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2906" w:rsidRPr="0087018B" w:rsidRDefault="0087018B" w:rsidP="00F72906">
      <w:pPr>
        <w:rPr>
          <w:b/>
          <w:sz w:val="144"/>
          <w:szCs w:val="144"/>
        </w:rPr>
      </w:pPr>
      <w:r>
        <w:rPr>
          <w:b/>
          <w:sz w:val="144"/>
          <w:szCs w:val="144"/>
        </w:rPr>
        <w:t>Brent</w:t>
      </w:r>
    </w:p>
    <w:p w:rsidR="00F72906" w:rsidRPr="00F72906" w:rsidRDefault="00F72906" w:rsidP="00F72906">
      <w:pPr>
        <w:rPr>
          <w:b/>
          <w:sz w:val="72"/>
          <w:szCs w:val="72"/>
        </w:rPr>
      </w:pPr>
      <w:r w:rsidRPr="00F72906">
        <w:rPr>
          <w:b/>
          <w:sz w:val="72"/>
          <w:szCs w:val="72"/>
        </w:rPr>
        <w:t>STATEMENT OF ACCOUNTS</w:t>
      </w:r>
    </w:p>
    <w:p w:rsidR="00E60552" w:rsidRDefault="00F72906" w:rsidP="00F72906">
      <w:pPr>
        <w:rPr>
          <w:b/>
          <w:sz w:val="144"/>
          <w:szCs w:val="144"/>
        </w:rPr>
        <w:sectPr w:rsidR="00E60552">
          <w:pgSz w:w="11906" w:h="16838"/>
          <w:pgMar w:top="1440" w:right="1440" w:bottom="1440" w:left="1440" w:header="708" w:footer="708" w:gutter="0"/>
          <w:cols w:space="708"/>
          <w:docGrid w:linePitch="360"/>
        </w:sectPr>
      </w:pPr>
      <w:r w:rsidRPr="00F72906">
        <w:rPr>
          <w:b/>
          <w:sz w:val="144"/>
          <w:szCs w:val="144"/>
        </w:rPr>
        <w:t>2019/20</w:t>
      </w:r>
    </w:p>
    <w:sdt>
      <w:sdtPr>
        <w:rPr>
          <w:rFonts w:asciiTheme="minorHAnsi" w:eastAsiaTheme="minorHAnsi" w:hAnsiTheme="minorHAnsi" w:cstheme="minorBidi"/>
          <w:color w:val="auto"/>
          <w:sz w:val="22"/>
          <w:szCs w:val="22"/>
          <w:lang w:val="en-GB"/>
        </w:rPr>
        <w:id w:val="-2071028887"/>
        <w:docPartObj>
          <w:docPartGallery w:val="Table of Contents"/>
          <w:docPartUnique/>
        </w:docPartObj>
      </w:sdtPr>
      <w:sdtEndPr>
        <w:rPr>
          <w:b/>
          <w:bCs/>
          <w:noProof/>
        </w:rPr>
      </w:sdtEndPr>
      <w:sdtContent>
        <w:p w:rsidR="00F72906" w:rsidRDefault="00F72906">
          <w:pPr>
            <w:pStyle w:val="TOCHeading"/>
          </w:pPr>
          <w:r>
            <w:t>Contents</w:t>
          </w:r>
        </w:p>
        <w:p w:rsidR="007B70DC" w:rsidRDefault="00E60552">
          <w:pPr>
            <w:pStyle w:val="TOC1"/>
            <w:tabs>
              <w:tab w:val="right" w:leader="dot" w:pos="9016"/>
            </w:tabs>
            <w:rPr>
              <w:rFonts w:eastAsiaTheme="minorEastAsia"/>
              <w:noProof/>
              <w:lang w:eastAsia="en-GB"/>
            </w:rPr>
          </w:pPr>
          <w:r>
            <w:fldChar w:fldCharType="begin"/>
          </w:r>
          <w:r>
            <w:instrText xml:space="preserve"> TOC \o "1-2" \h \z \u </w:instrText>
          </w:r>
          <w:r>
            <w:fldChar w:fldCharType="separate"/>
          </w:r>
          <w:hyperlink w:anchor="_Toc61870270" w:history="1">
            <w:r w:rsidR="007B70DC" w:rsidRPr="00C9269A">
              <w:rPr>
                <w:rStyle w:val="Hyperlink"/>
                <w:noProof/>
              </w:rPr>
              <w:t>Narrative Statement</w:t>
            </w:r>
            <w:r w:rsidR="007B70DC">
              <w:rPr>
                <w:noProof/>
                <w:webHidden/>
              </w:rPr>
              <w:tab/>
            </w:r>
            <w:r w:rsidR="007B70DC">
              <w:rPr>
                <w:noProof/>
                <w:webHidden/>
              </w:rPr>
              <w:fldChar w:fldCharType="begin"/>
            </w:r>
            <w:r w:rsidR="007B70DC">
              <w:rPr>
                <w:noProof/>
                <w:webHidden/>
              </w:rPr>
              <w:instrText xml:space="preserve"> PAGEREF _Toc61870270 \h </w:instrText>
            </w:r>
            <w:r w:rsidR="007B70DC">
              <w:rPr>
                <w:noProof/>
                <w:webHidden/>
              </w:rPr>
            </w:r>
            <w:r w:rsidR="007B70DC">
              <w:rPr>
                <w:noProof/>
                <w:webHidden/>
              </w:rPr>
              <w:fldChar w:fldCharType="separate"/>
            </w:r>
            <w:r w:rsidR="007B70DC">
              <w:rPr>
                <w:noProof/>
                <w:webHidden/>
              </w:rPr>
              <w:t>4</w:t>
            </w:r>
            <w:r w:rsidR="007B70DC">
              <w:rPr>
                <w:noProof/>
                <w:webHidden/>
              </w:rPr>
              <w:fldChar w:fldCharType="end"/>
            </w:r>
          </w:hyperlink>
        </w:p>
        <w:p w:rsidR="007B70DC" w:rsidRDefault="007B70DC">
          <w:pPr>
            <w:pStyle w:val="TOC1"/>
            <w:tabs>
              <w:tab w:val="right" w:leader="dot" w:pos="9016"/>
            </w:tabs>
            <w:rPr>
              <w:rFonts w:eastAsiaTheme="minorEastAsia"/>
              <w:noProof/>
              <w:lang w:eastAsia="en-GB"/>
            </w:rPr>
          </w:pPr>
          <w:hyperlink w:anchor="_Toc61870271" w:history="1">
            <w:r w:rsidRPr="00C9269A">
              <w:rPr>
                <w:rStyle w:val="Hyperlink"/>
                <w:noProof/>
              </w:rPr>
              <w:t>Core Statements</w:t>
            </w:r>
            <w:r>
              <w:rPr>
                <w:noProof/>
                <w:webHidden/>
              </w:rPr>
              <w:tab/>
            </w:r>
            <w:r>
              <w:rPr>
                <w:noProof/>
                <w:webHidden/>
              </w:rPr>
              <w:fldChar w:fldCharType="begin"/>
            </w:r>
            <w:r>
              <w:rPr>
                <w:noProof/>
                <w:webHidden/>
              </w:rPr>
              <w:instrText xml:space="preserve"> PAGEREF _Toc61870271 \h </w:instrText>
            </w:r>
            <w:r>
              <w:rPr>
                <w:noProof/>
                <w:webHidden/>
              </w:rPr>
            </w:r>
            <w:r>
              <w:rPr>
                <w:noProof/>
                <w:webHidden/>
              </w:rPr>
              <w:fldChar w:fldCharType="separate"/>
            </w:r>
            <w:r>
              <w:rPr>
                <w:noProof/>
                <w:webHidden/>
              </w:rPr>
              <w:t>22</w:t>
            </w:r>
            <w:r>
              <w:rPr>
                <w:noProof/>
                <w:webHidden/>
              </w:rPr>
              <w:fldChar w:fldCharType="end"/>
            </w:r>
          </w:hyperlink>
        </w:p>
        <w:p w:rsidR="007B70DC" w:rsidRDefault="007B70DC">
          <w:pPr>
            <w:pStyle w:val="TOC2"/>
            <w:tabs>
              <w:tab w:val="right" w:leader="dot" w:pos="9016"/>
            </w:tabs>
            <w:rPr>
              <w:rFonts w:eastAsiaTheme="minorEastAsia"/>
              <w:noProof/>
              <w:lang w:eastAsia="en-GB"/>
            </w:rPr>
          </w:pPr>
          <w:hyperlink w:anchor="_Toc61870272" w:history="1">
            <w:r w:rsidRPr="00C9269A">
              <w:rPr>
                <w:rStyle w:val="Hyperlink"/>
                <w:noProof/>
              </w:rPr>
              <w:t>Balance Sheet</w:t>
            </w:r>
            <w:r>
              <w:rPr>
                <w:noProof/>
                <w:webHidden/>
              </w:rPr>
              <w:tab/>
            </w:r>
            <w:r>
              <w:rPr>
                <w:noProof/>
                <w:webHidden/>
              </w:rPr>
              <w:fldChar w:fldCharType="begin"/>
            </w:r>
            <w:r>
              <w:rPr>
                <w:noProof/>
                <w:webHidden/>
              </w:rPr>
              <w:instrText xml:space="preserve"> PAGEREF _Toc61870272 \h </w:instrText>
            </w:r>
            <w:r>
              <w:rPr>
                <w:noProof/>
                <w:webHidden/>
              </w:rPr>
            </w:r>
            <w:r>
              <w:rPr>
                <w:noProof/>
                <w:webHidden/>
              </w:rPr>
              <w:fldChar w:fldCharType="separate"/>
            </w:r>
            <w:r>
              <w:rPr>
                <w:noProof/>
                <w:webHidden/>
              </w:rPr>
              <w:t>22</w:t>
            </w:r>
            <w:r>
              <w:rPr>
                <w:noProof/>
                <w:webHidden/>
              </w:rPr>
              <w:fldChar w:fldCharType="end"/>
            </w:r>
          </w:hyperlink>
        </w:p>
        <w:p w:rsidR="007B70DC" w:rsidRDefault="007B70DC">
          <w:pPr>
            <w:pStyle w:val="TOC2"/>
            <w:tabs>
              <w:tab w:val="right" w:leader="dot" w:pos="9016"/>
            </w:tabs>
            <w:rPr>
              <w:rFonts w:eastAsiaTheme="minorEastAsia"/>
              <w:noProof/>
              <w:lang w:eastAsia="en-GB"/>
            </w:rPr>
          </w:pPr>
          <w:hyperlink w:anchor="_Toc61870273" w:history="1">
            <w:r w:rsidRPr="00C9269A">
              <w:rPr>
                <w:rStyle w:val="Hyperlink"/>
                <w:noProof/>
              </w:rPr>
              <w:t>The Movement in Reserves Statement</w:t>
            </w:r>
            <w:r>
              <w:rPr>
                <w:noProof/>
                <w:webHidden/>
              </w:rPr>
              <w:tab/>
            </w:r>
            <w:r>
              <w:rPr>
                <w:noProof/>
                <w:webHidden/>
              </w:rPr>
              <w:fldChar w:fldCharType="begin"/>
            </w:r>
            <w:r>
              <w:rPr>
                <w:noProof/>
                <w:webHidden/>
              </w:rPr>
              <w:instrText xml:space="preserve"> PAGEREF _Toc61870273 \h </w:instrText>
            </w:r>
            <w:r>
              <w:rPr>
                <w:noProof/>
                <w:webHidden/>
              </w:rPr>
            </w:r>
            <w:r>
              <w:rPr>
                <w:noProof/>
                <w:webHidden/>
              </w:rPr>
              <w:fldChar w:fldCharType="separate"/>
            </w:r>
            <w:r>
              <w:rPr>
                <w:noProof/>
                <w:webHidden/>
              </w:rPr>
              <w:t>23</w:t>
            </w:r>
            <w:r>
              <w:rPr>
                <w:noProof/>
                <w:webHidden/>
              </w:rPr>
              <w:fldChar w:fldCharType="end"/>
            </w:r>
          </w:hyperlink>
        </w:p>
        <w:p w:rsidR="007B70DC" w:rsidRDefault="007B70DC">
          <w:pPr>
            <w:pStyle w:val="TOC2"/>
            <w:tabs>
              <w:tab w:val="right" w:leader="dot" w:pos="9016"/>
            </w:tabs>
            <w:rPr>
              <w:rFonts w:eastAsiaTheme="minorEastAsia"/>
              <w:noProof/>
              <w:lang w:eastAsia="en-GB"/>
            </w:rPr>
          </w:pPr>
          <w:hyperlink w:anchor="_Toc61870274" w:history="1">
            <w:r w:rsidRPr="00C9269A">
              <w:rPr>
                <w:rStyle w:val="Hyperlink"/>
                <w:noProof/>
              </w:rPr>
              <w:t>Comprehensive Income and Expenditure Statement</w:t>
            </w:r>
            <w:r>
              <w:rPr>
                <w:noProof/>
                <w:webHidden/>
              </w:rPr>
              <w:tab/>
            </w:r>
            <w:r>
              <w:rPr>
                <w:noProof/>
                <w:webHidden/>
              </w:rPr>
              <w:fldChar w:fldCharType="begin"/>
            </w:r>
            <w:r>
              <w:rPr>
                <w:noProof/>
                <w:webHidden/>
              </w:rPr>
              <w:instrText xml:space="preserve"> PAGEREF _Toc61870274 \h </w:instrText>
            </w:r>
            <w:r>
              <w:rPr>
                <w:noProof/>
                <w:webHidden/>
              </w:rPr>
            </w:r>
            <w:r>
              <w:rPr>
                <w:noProof/>
                <w:webHidden/>
              </w:rPr>
              <w:fldChar w:fldCharType="separate"/>
            </w:r>
            <w:r>
              <w:rPr>
                <w:noProof/>
                <w:webHidden/>
              </w:rPr>
              <w:t>25</w:t>
            </w:r>
            <w:r>
              <w:rPr>
                <w:noProof/>
                <w:webHidden/>
              </w:rPr>
              <w:fldChar w:fldCharType="end"/>
            </w:r>
          </w:hyperlink>
        </w:p>
        <w:p w:rsidR="007B70DC" w:rsidRDefault="007B70DC">
          <w:pPr>
            <w:pStyle w:val="TOC2"/>
            <w:tabs>
              <w:tab w:val="right" w:leader="dot" w:pos="9016"/>
            </w:tabs>
            <w:rPr>
              <w:rFonts w:eastAsiaTheme="minorEastAsia"/>
              <w:noProof/>
              <w:lang w:eastAsia="en-GB"/>
            </w:rPr>
          </w:pPr>
          <w:hyperlink w:anchor="_Toc61870275" w:history="1">
            <w:r w:rsidRPr="00C9269A">
              <w:rPr>
                <w:rStyle w:val="Hyperlink"/>
                <w:noProof/>
              </w:rPr>
              <w:t>Cash Flow Statement</w:t>
            </w:r>
            <w:r>
              <w:rPr>
                <w:noProof/>
                <w:webHidden/>
              </w:rPr>
              <w:tab/>
            </w:r>
            <w:r>
              <w:rPr>
                <w:noProof/>
                <w:webHidden/>
              </w:rPr>
              <w:fldChar w:fldCharType="begin"/>
            </w:r>
            <w:r>
              <w:rPr>
                <w:noProof/>
                <w:webHidden/>
              </w:rPr>
              <w:instrText xml:space="preserve"> PAGEREF _Toc61870275 \h </w:instrText>
            </w:r>
            <w:r>
              <w:rPr>
                <w:noProof/>
                <w:webHidden/>
              </w:rPr>
            </w:r>
            <w:r>
              <w:rPr>
                <w:noProof/>
                <w:webHidden/>
              </w:rPr>
              <w:fldChar w:fldCharType="separate"/>
            </w:r>
            <w:r>
              <w:rPr>
                <w:noProof/>
                <w:webHidden/>
              </w:rPr>
              <w:t>27</w:t>
            </w:r>
            <w:r>
              <w:rPr>
                <w:noProof/>
                <w:webHidden/>
              </w:rPr>
              <w:fldChar w:fldCharType="end"/>
            </w:r>
          </w:hyperlink>
        </w:p>
        <w:p w:rsidR="007B70DC" w:rsidRDefault="007B70DC">
          <w:pPr>
            <w:pStyle w:val="TOC1"/>
            <w:tabs>
              <w:tab w:val="right" w:leader="dot" w:pos="9016"/>
            </w:tabs>
            <w:rPr>
              <w:rFonts w:eastAsiaTheme="minorEastAsia"/>
              <w:noProof/>
              <w:lang w:eastAsia="en-GB"/>
            </w:rPr>
          </w:pPr>
          <w:hyperlink w:anchor="_Toc61870276" w:history="1">
            <w:r w:rsidRPr="00C9269A">
              <w:rPr>
                <w:rStyle w:val="Hyperlink"/>
                <w:noProof/>
              </w:rPr>
              <w:t>Notes and Disclosures to the Core Statements</w:t>
            </w:r>
            <w:r>
              <w:rPr>
                <w:noProof/>
                <w:webHidden/>
              </w:rPr>
              <w:tab/>
            </w:r>
            <w:r>
              <w:rPr>
                <w:noProof/>
                <w:webHidden/>
              </w:rPr>
              <w:fldChar w:fldCharType="begin"/>
            </w:r>
            <w:r>
              <w:rPr>
                <w:noProof/>
                <w:webHidden/>
              </w:rPr>
              <w:instrText xml:space="preserve"> PAGEREF _Toc61870276 \h </w:instrText>
            </w:r>
            <w:r>
              <w:rPr>
                <w:noProof/>
                <w:webHidden/>
              </w:rPr>
            </w:r>
            <w:r>
              <w:rPr>
                <w:noProof/>
                <w:webHidden/>
              </w:rPr>
              <w:fldChar w:fldCharType="separate"/>
            </w:r>
            <w:r>
              <w:rPr>
                <w:noProof/>
                <w:webHidden/>
              </w:rPr>
              <w:t>28</w:t>
            </w:r>
            <w:r>
              <w:rPr>
                <w:noProof/>
                <w:webHidden/>
              </w:rPr>
              <w:fldChar w:fldCharType="end"/>
            </w:r>
          </w:hyperlink>
        </w:p>
        <w:p w:rsidR="007B70DC" w:rsidRDefault="007B70DC">
          <w:pPr>
            <w:pStyle w:val="TOC2"/>
            <w:tabs>
              <w:tab w:val="right" w:leader="dot" w:pos="9016"/>
            </w:tabs>
            <w:rPr>
              <w:rFonts w:eastAsiaTheme="minorEastAsia"/>
              <w:noProof/>
              <w:lang w:eastAsia="en-GB"/>
            </w:rPr>
          </w:pPr>
          <w:hyperlink w:anchor="_Toc61870277" w:history="1">
            <w:r w:rsidRPr="00C9269A">
              <w:rPr>
                <w:rStyle w:val="Hyperlink"/>
                <w:noProof/>
              </w:rPr>
              <w:t>Physical Assets</w:t>
            </w:r>
            <w:r>
              <w:rPr>
                <w:noProof/>
                <w:webHidden/>
              </w:rPr>
              <w:tab/>
            </w:r>
            <w:r>
              <w:rPr>
                <w:noProof/>
                <w:webHidden/>
              </w:rPr>
              <w:fldChar w:fldCharType="begin"/>
            </w:r>
            <w:r>
              <w:rPr>
                <w:noProof/>
                <w:webHidden/>
              </w:rPr>
              <w:instrText xml:space="preserve"> PAGEREF _Toc61870277 \h </w:instrText>
            </w:r>
            <w:r>
              <w:rPr>
                <w:noProof/>
                <w:webHidden/>
              </w:rPr>
            </w:r>
            <w:r>
              <w:rPr>
                <w:noProof/>
                <w:webHidden/>
              </w:rPr>
              <w:fldChar w:fldCharType="separate"/>
            </w:r>
            <w:r>
              <w:rPr>
                <w:noProof/>
                <w:webHidden/>
              </w:rPr>
              <w:t>28</w:t>
            </w:r>
            <w:r>
              <w:rPr>
                <w:noProof/>
                <w:webHidden/>
              </w:rPr>
              <w:fldChar w:fldCharType="end"/>
            </w:r>
          </w:hyperlink>
        </w:p>
        <w:p w:rsidR="007B70DC" w:rsidRDefault="007B70DC">
          <w:pPr>
            <w:pStyle w:val="TOC2"/>
            <w:tabs>
              <w:tab w:val="right" w:leader="dot" w:pos="9016"/>
            </w:tabs>
            <w:rPr>
              <w:rFonts w:eastAsiaTheme="minorEastAsia"/>
              <w:noProof/>
              <w:lang w:eastAsia="en-GB"/>
            </w:rPr>
          </w:pPr>
          <w:hyperlink w:anchor="_Toc61870278" w:history="1">
            <w:r w:rsidRPr="00C9269A">
              <w:rPr>
                <w:rStyle w:val="Hyperlink"/>
                <w:noProof/>
              </w:rPr>
              <w:t>Current Assets</w:t>
            </w:r>
            <w:r>
              <w:rPr>
                <w:noProof/>
                <w:webHidden/>
              </w:rPr>
              <w:tab/>
            </w:r>
            <w:r>
              <w:rPr>
                <w:noProof/>
                <w:webHidden/>
              </w:rPr>
              <w:fldChar w:fldCharType="begin"/>
            </w:r>
            <w:r>
              <w:rPr>
                <w:noProof/>
                <w:webHidden/>
              </w:rPr>
              <w:instrText xml:space="preserve"> PAGEREF _Toc61870278 \h </w:instrText>
            </w:r>
            <w:r>
              <w:rPr>
                <w:noProof/>
                <w:webHidden/>
              </w:rPr>
            </w:r>
            <w:r>
              <w:rPr>
                <w:noProof/>
                <w:webHidden/>
              </w:rPr>
              <w:fldChar w:fldCharType="separate"/>
            </w:r>
            <w:r>
              <w:rPr>
                <w:noProof/>
                <w:webHidden/>
              </w:rPr>
              <w:t>30</w:t>
            </w:r>
            <w:r>
              <w:rPr>
                <w:noProof/>
                <w:webHidden/>
              </w:rPr>
              <w:fldChar w:fldCharType="end"/>
            </w:r>
          </w:hyperlink>
        </w:p>
        <w:p w:rsidR="007B70DC" w:rsidRDefault="007B70DC">
          <w:pPr>
            <w:pStyle w:val="TOC2"/>
            <w:tabs>
              <w:tab w:val="right" w:leader="dot" w:pos="9016"/>
            </w:tabs>
            <w:rPr>
              <w:rFonts w:eastAsiaTheme="minorEastAsia"/>
              <w:noProof/>
              <w:lang w:eastAsia="en-GB"/>
            </w:rPr>
          </w:pPr>
          <w:hyperlink w:anchor="_Toc61870279" w:history="1">
            <w:r w:rsidRPr="00C9269A">
              <w:rPr>
                <w:rStyle w:val="Hyperlink"/>
                <w:noProof/>
              </w:rPr>
              <w:t>Cash Flow Notes</w:t>
            </w:r>
            <w:r>
              <w:rPr>
                <w:noProof/>
                <w:webHidden/>
              </w:rPr>
              <w:tab/>
            </w:r>
            <w:r>
              <w:rPr>
                <w:noProof/>
                <w:webHidden/>
              </w:rPr>
              <w:fldChar w:fldCharType="begin"/>
            </w:r>
            <w:r>
              <w:rPr>
                <w:noProof/>
                <w:webHidden/>
              </w:rPr>
              <w:instrText xml:space="preserve"> PAGEREF _Toc61870279 \h </w:instrText>
            </w:r>
            <w:r>
              <w:rPr>
                <w:noProof/>
                <w:webHidden/>
              </w:rPr>
            </w:r>
            <w:r>
              <w:rPr>
                <w:noProof/>
                <w:webHidden/>
              </w:rPr>
              <w:fldChar w:fldCharType="separate"/>
            </w:r>
            <w:r>
              <w:rPr>
                <w:noProof/>
                <w:webHidden/>
              </w:rPr>
              <w:t>31</w:t>
            </w:r>
            <w:r>
              <w:rPr>
                <w:noProof/>
                <w:webHidden/>
              </w:rPr>
              <w:fldChar w:fldCharType="end"/>
            </w:r>
          </w:hyperlink>
        </w:p>
        <w:p w:rsidR="007B70DC" w:rsidRDefault="007B70DC">
          <w:pPr>
            <w:pStyle w:val="TOC2"/>
            <w:tabs>
              <w:tab w:val="right" w:leader="dot" w:pos="9016"/>
            </w:tabs>
            <w:rPr>
              <w:rFonts w:eastAsiaTheme="minorEastAsia"/>
              <w:noProof/>
              <w:lang w:eastAsia="en-GB"/>
            </w:rPr>
          </w:pPr>
          <w:hyperlink w:anchor="_Toc61870280" w:history="1">
            <w:r w:rsidRPr="00C9269A">
              <w:rPr>
                <w:rStyle w:val="Hyperlink"/>
                <w:noProof/>
              </w:rPr>
              <w:t>Liabilities</w:t>
            </w:r>
            <w:r>
              <w:rPr>
                <w:noProof/>
                <w:webHidden/>
              </w:rPr>
              <w:tab/>
            </w:r>
            <w:r>
              <w:rPr>
                <w:noProof/>
                <w:webHidden/>
              </w:rPr>
              <w:fldChar w:fldCharType="begin"/>
            </w:r>
            <w:r>
              <w:rPr>
                <w:noProof/>
                <w:webHidden/>
              </w:rPr>
              <w:instrText xml:space="preserve"> PAGEREF _Toc61870280 \h </w:instrText>
            </w:r>
            <w:r>
              <w:rPr>
                <w:noProof/>
                <w:webHidden/>
              </w:rPr>
            </w:r>
            <w:r>
              <w:rPr>
                <w:noProof/>
                <w:webHidden/>
              </w:rPr>
              <w:fldChar w:fldCharType="separate"/>
            </w:r>
            <w:r>
              <w:rPr>
                <w:noProof/>
                <w:webHidden/>
              </w:rPr>
              <w:t>34</w:t>
            </w:r>
            <w:r>
              <w:rPr>
                <w:noProof/>
                <w:webHidden/>
              </w:rPr>
              <w:fldChar w:fldCharType="end"/>
            </w:r>
          </w:hyperlink>
        </w:p>
        <w:p w:rsidR="007B70DC" w:rsidRDefault="007B70DC">
          <w:pPr>
            <w:pStyle w:val="TOC2"/>
            <w:tabs>
              <w:tab w:val="right" w:leader="dot" w:pos="9016"/>
            </w:tabs>
            <w:rPr>
              <w:rFonts w:eastAsiaTheme="minorEastAsia"/>
              <w:noProof/>
              <w:lang w:eastAsia="en-GB"/>
            </w:rPr>
          </w:pPr>
          <w:hyperlink w:anchor="_Toc61870281" w:history="1">
            <w:r w:rsidRPr="00C9269A">
              <w:rPr>
                <w:rStyle w:val="Hyperlink"/>
                <w:noProof/>
              </w:rPr>
              <w:t>Earmarked Reserves</w:t>
            </w:r>
            <w:r>
              <w:rPr>
                <w:noProof/>
                <w:webHidden/>
              </w:rPr>
              <w:tab/>
            </w:r>
            <w:r>
              <w:rPr>
                <w:noProof/>
                <w:webHidden/>
              </w:rPr>
              <w:fldChar w:fldCharType="begin"/>
            </w:r>
            <w:r>
              <w:rPr>
                <w:noProof/>
                <w:webHidden/>
              </w:rPr>
              <w:instrText xml:space="preserve"> PAGEREF _Toc61870281 \h </w:instrText>
            </w:r>
            <w:r>
              <w:rPr>
                <w:noProof/>
                <w:webHidden/>
              </w:rPr>
            </w:r>
            <w:r>
              <w:rPr>
                <w:noProof/>
                <w:webHidden/>
              </w:rPr>
              <w:fldChar w:fldCharType="separate"/>
            </w:r>
            <w:r>
              <w:rPr>
                <w:noProof/>
                <w:webHidden/>
              </w:rPr>
              <w:t>35</w:t>
            </w:r>
            <w:r>
              <w:rPr>
                <w:noProof/>
                <w:webHidden/>
              </w:rPr>
              <w:fldChar w:fldCharType="end"/>
            </w:r>
          </w:hyperlink>
        </w:p>
        <w:p w:rsidR="007B70DC" w:rsidRDefault="007B70DC">
          <w:pPr>
            <w:pStyle w:val="TOC2"/>
            <w:tabs>
              <w:tab w:val="right" w:leader="dot" w:pos="9016"/>
            </w:tabs>
            <w:rPr>
              <w:rFonts w:eastAsiaTheme="minorEastAsia"/>
              <w:noProof/>
              <w:lang w:eastAsia="en-GB"/>
            </w:rPr>
          </w:pPr>
          <w:hyperlink w:anchor="_Toc61870282" w:history="1">
            <w:r w:rsidRPr="00C9269A">
              <w:rPr>
                <w:rStyle w:val="Hyperlink"/>
                <w:noProof/>
              </w:rPr>
              <w:t>Comprehensive Income and Expenditure Notes</w:t>
            </w:r>
            <w:r>
              <w:rPr>
                <w:noProof/>
                <w:webHidden/>
              </w:rPr>
              <w:tab/>
            </w:r>
            <w:r>
              <w:rPr>
                <w:noProof/>
                <w:webHidden/>
              </w:rPr>
              <w:fldChar w:fldCharType="begin"/>
            </w:r>
            <w:r>
              <w:rPr>
                <w:noProof/>
                <w:webHidden/>
              </w:rPr>
              <w:instrText xml:space="preserve"> PAGEREF _Toc61870282 \h </w:instrText>
            </w:r>
            <w:r>
              <w:rPr>
                <w:noProof/>
                <w:webHidden/>
              </w:rPr>
            </w:r>
            <w:r>
              <w:rPr>
                <w:noProof/>
                <w:webHidden/>
              </w:rPr>
              <w:fldChar w:fldCharType="separate"/>
            </w:r>
            <w:r>
              <w:rPr>
                <w:noProof/>
                <w:webHidden/>
              </w:rPr>
              <w:t>38</w:t>
            </w:r>
            <w:r>
              <w:rPr>
                <w:noProof/>
                <w:webHidden/>
              </w:rPr>
              <w:fldChar w:fldCharType="end"/>
            </w:r>
          </w:hyperlink>
        </w:p>
        <w:p w:rsidR="007B70DC" w:rsidRDefault="007B70DC">
          <w:pPr>
            <w:pStyle w:val="TOC2"/>
            <w:tabs>
              <w:tab w:val="right" w:leader="dot" w:pos="9016"/>
            </w:tabs>
            <w:rPr>
              <w:rFonts w:eastAsiaTheme="minorEastAsia"/>
              <w:noProof/>
              <w:lang w:eastAsia="en-GB"/>
            </w:rPr>
          </w:pPr>
          <w:hyperlink w:anchor="_Toc61870283" w:history="1">
            <w:r w:rsidRPr="00C9269A">
              <w:rPr>
                <w:rStyle w:val="Hyperlink"/>
                <w:noProof/>
              </w:rPr>
              <w:t>Expenditure and Funding Analysis Notes</w:t>
            </w:r>
            <w:r>
              <w:rPr>
                <w:noProof/>
                <w:webHidden/>
              </w:rPr>
              <w:tab/>
            </w:r>
            <w:r>
              <w:rPr>
                <w:noProof/>
                <w:webHidden/>
              </w:rPr>
              <w:fldChar w:fldCharType="begin"/>
            </w:r>
            <w:r>
              <w:rPr>
                <w:noProof/>
                <w:webHidden/>
              </w:rPr>
              <w:instrText xml:space="preserve"> PAGEREF _Toc61870283 \h </w:instrText>
            </w:r>
            <w:r>
              <w:rPr>
                <w:noProof/>
                <w:webHidden/>
              </w:rPr>
            </w:r>
            <w:r>
              <w:rPr>
                <w:noProof/>
                <w:webHidden/>
              </w:rPr>
              <w:fldChar w:fldCharType="separate"/>
            </w:r>
            <w:r>
              <w:rPr>
                <w:noProof/>
                <w:webHidden/>
              </w:rPr>
              <w:t>39</w:t>
            </w:r>
            <w:r>
              <w:rPr>
                <w:noProof/>
                <w:webHidden/>
              </w:rPr>
              <w:fldChar w:fldCharType="end"/>
            </w:r>
          </w:hyperlink>
        </w:p>
        <w:p w:rsidR="007B70DC" w:rsidRDefault="007B70DC">
          <w:pPr>
            <w:pStyle w:val="TOC2"/>
            <w:tabs>
              <w:tab w:val="right" w:leader="dot" w:pos="9016"/>
            </w:tabs>
            <w:rPr>
              <w:rFonts w:eastAsiaTheme="minorEastAsia"/>
              <w:noProof/>
              <w:lang w:eastAsia="en-GB"/>
            </w:rPr>
          </w:pPr>
          <w:hyperlink w:anchor="_Toc61870284" w:history="1">
            <w:r w:rsidRPr="00C9269A">
              <w:rPr>
                <w:rStyle w:val="Hyperlink"/>
                <w:noProof/>
              </w:rPr>
              <w:t>Additional Disclosures</w:t>
            </w:r>
            <w:r>
              <w:rPr>
                <w:noProof/>
                <w:webHidden/>
              </w:rPr>
              <w:tab/>
            </w:r>
            <w:r>
              <w:rPr>
                <w:noProof/>
                <w:webHidden/>
              </w:rPr>
              <w:fldChar w:fldCharType="begin"/>
            </w:r>
            <w:r>
              <w:rPr>
                <w:noProof/>
                <w:webHidden/>
              </w:rPr>
              <w:instrText xml:space="preserve"> PAGEREF _Toc61870284 \h </w:instrText>
            </w:r>
            <w:r>
              <w:rPr>
                <w:noProof/>
                <w:webHidden/>
              </w:rPr>
            </w:r>
            <w:r>
              <w:rPr>
                <w:noProof/>
                <w:webHidden/>
              </w:rPr>
              <w:fldChar w:fldCharType="separate"/>
            </w:r>
            <w:r>
              <w:rPr>
                <w:noProof/>
                <w:webHidden/>
              </w:rPr>
              <w:t>42</w:t>
            </w:r>
            <w:r>
              <w:rPr>
                <w:noProof/>
                <w:webHidden/>
              </w:rPr>
              <w:fldChar w:fldCharType="end"/>
            </w:r>
          </w:hyperlink>
        </w:p>
        <w:p w:rsidR="007B70DC" w:rsidRDefault="007B70DC">
          <w:pPr>
            <w:pStyle w:val="TOC2"/>
            <w:tabs>
              <w:tab w:val="right" w:leader="dot" w:pos="9016"/>
            </w:tabs>
            <w:rPr>
              <w:rFonts w:eastAsiaTheme="minorEastAsia"/>
              <w:noProof/>
              <w:lang w:eastAsia="en-GB"/>
            </w:rPr>
          </w:pPr>
          <w:hyperlink w:anchor="_Toc61870285" w:history="1">
            <w:r w:rsidRPr="00C9269A">
              <w:rPr>
                <w:rStyle w:val="Hyperlink"/>
                <w:noProof/>
              </w:rPr>
              <w:t>Financial Instruments</w:t>
            </w:r>
            <w:r>
              <w:rPr>
                <w:noProof/>
                <w:webHidden/>
              </w:rPr>
              <w:tab/>
            </w:r>
            <w:r>
              <w:rPr>
                <w:noProof/>
                <w:webHidden/>
              </w:rPr>
              <w:fldChar w:fldCharType="begin"/>
            </w:r>
            <w:r>
              <w:rPr>
                <w:noProof/>
                <w:webHidden/>
              </w:rPr>
              <w:instrText xml:space="preserve"> PAGEREF _Toc61870285 \h </w:instrText>
            </w:r>
            <w:r>
              <w:rPr>
                <w:noProof/>
                <w:webHidden/>
              </w:rPr>
            </w:r>
            <w:r>
              <w:rPr>
                <w:noProof/>
                <w:webHidden/>
              </w:rPr>
              <w:fldChar w:fldCharType="separate"/>
            </w:r>
            <w:r>
              <w:rPr>
                <w:noProof/>
                <w:webHidden/>
              </w:rPr>
              <w:t>50</w:t>
            </w:r>
            <w:r>
              <w:rPr>
                <w:noProof/>
                <w:webHidden/>
              </w:rPr>
              <w:fldChar w:fldCharType="end"/>
            </w:r>
          </w:hyperlink>
        </w:p>
        <w:p w:rsidR="007B70DC" w:rsidRDefault="007B70DC">
          <w:pPr>
            <w:pStyle w:val="TOC2"/>
            <w:tabs>
              <w:tab w:val="right" w:leader="dot" w:pos="9016"/>
            </w:tabs>
            <w:rPr>
              <w:rFonts w:eastAsiaTheme="minorEastAsia"/>
              <w:noProof/>
              <w:lang w:eastAsia="en-GB"/>
            </w:rPr>
          </w:pPr>
          <w:hyperlink w:anchor="_Toc61870286" w:history="1">
            <w:r w:rsidRPr="00C9269A">
              <w:rPr>
                <w:rStyle w:val="Hyperlink"/>
                <w:noProof/>
              </w:rPr>
              <w:t>Employee Benefits</w:t>
            </w:r>
            <w:r>
              <w:rPr>
                <w:noProof/>
                <w:webHidden/>
              </w:rPr>
              <w:tab/>
            </w:r>
            <w:r>
              <w:rPr>
                <w:noProof/>
                <w:webHidden/>
              </w:rPr>
              <w:fldChar w:fldCharType="begin"/>
            </w:r>
            <w:r>
              <w:rPr>
                <w:noProof/>
                <w:webHidden/>
              </w:rPr>
              <w:instrText xml:space="preserve"> PAGEREF _Toc61870286 \h </w:instrText>
            </w:r>
            <w:r>
              <w:rPr>
                <w:noProof/>
                <w:webHidden/>
              </w:rPr>
            </w:r>
            <w:r>
              <w:rPr>
                <w:noProof/>
                <w:webHidden/>
              </w:rPr>
              <w:fldChar w:fldCharType="separate"/>
            </w:r>
            <w:r>
              <w:rPr>
                <w:noProof/>
                <w:webHidden/>
              </w:rPr>
              <w:t>66</w:t>
            </w:r>
            <w:r>
              <w:rPr>
                <w:noProof/>
                <w:webHidden/>
              </w:rPr>
              <w:fldChar w:fldCharType="end"/>
            </w:r>
          </w:hyperlink>
        </w:p>
        <w:p w:rsidR="007B70DC" w:rsidRDefault="007B70DC">
          <w:pPr>
            <w:pStyle w:val="TOC2"/>
            <w:tabs>
              <w:tab w:val="right" w:leader="dot" w:pos="9016"/>
            </w:tabs>
            <w:rPr>
              <w:rFonts w:eastAsiaTheme="minorEastAsia"/>
              <w:noProof/>
              <w:lang w:eastAsia="en-GB"/>
            </w:rPr>
          </w:pPr>
          <w:hyperlink w:anchor="_Toc61870287" w:history="1">
            <w:r w:rsidRPr="00C9269A">
              <w:rPr>
                <w:rStyle w:val="Hyperlink"/>
                <w:noProof/>
              </w:rPr>
              <w:t>Pension Notes</w:t>
            </w:r>
            <w:r>
              <w:rPr>
                <w:noProof/>
                <w:webHidden/>
              </w:rPr>
              <w:tab/>
            </w:r>
            <w:r>
              <w:rPr>
                <w:noProof/>
                <w:webHidden/>
              </w:rPr>
              <w:fldChar w:fldCharType="begin"/>
            </w:r>
            <w:r>
              <w:rPr>
                <w:noProof/>
                <w:webHidden/>
              </w:rPr>
              <w:instrText xml:space="preserve"> PAGEREF _Toc61870287 \h </w:instrText>
            </w:r>
            <w:r>
              <w:rPr>
                <w:noProof/>
                <w:webHidden/>
              </w:rPr>
            </w:r>
            <w:r>
              <w:rPr>
                <w:noProof/>
                <w:webHidden/>
              </w:rPr>
              <w:fldChar w:fldCharType="separate"/>
            </w:r>
            <w:r>
              <w:rPr>
                <w:noProof/>
                <w:webHidden/>
              </w:rPr>
              <w:t>71</w:t>
            </w:r>
            <w:r>
              <w:rPr>
                <w:noProof/>
                <w:webHidden/>
              </w:rPr>
              <w:fldChar w:fldCharType="end"/>
            </w:r>
          </w:hyperlink>
        </w:p>
        <w:p w:rsidR="007B70DC" w:rsidRDefault="007B70DC">
          <w:pPr>
            <w:pStyle w:val="TOC1"/>
            <w:tabs>
              <w:tab w:val="right" w:leader="dot" w:pos="9016"/>
            </w:tabs>
            <w:rPr>
              <w:rFonts w:eastAsiaTheme="minorEastAsia"/>
              <w:noProof/>
              <w:lang w:eastAsia="en-GB"/>
            </w:rPr>
          </w:pPr>
          <w:hyperlink w:anchor="_Toc61870288" w:history="1">
            <w:r w:rsidRPr="00C9269A">
              <w:rPr>
                <w:rStyle w:val="Hyperlink"/>
                <w:noProof/>
              </w:rPr>
              <w:t>Housing Revenue Account</w:t>
            </w:r>
            <w:r>
              <w:rPr>
                <w:noProof/>
                <w:webHidden/>
              </w:rPr>
              <w:tab/>
            </w:r>
            <w:r>
              <w:rPr>
                <w:noProof/>
                <w:webHidden/>
              </w:rPr>
              <w:fldChar w:fldCharType="begin"/>
            </w:r>
            <w:r>
              <w:rPr>
                <w:noProof/>
                <w:webHidden/>
              </w:rPr>
              <w:instrText xml:space="preserve"> PAGEREF _Toc61870288 \h </w:instrText>
            </w:r>
            <w:r>
              <w:rPr>
                <w:noProof/>
                <w:webHidden/>
              </w:rPr>
            </w:r>
            <w:r>
              <w:rPr>
                <w:noProof/>
                <w:webHidden/>
              </w:rPr>
              <w:fldChar w:fldCharType="separate"/>
            </w:r>
            <w:r>
              <w:rPr>
                <w:noProof/>
                <w:webHidden/>
              </w:rPr>
              <w:t>77</w:t>
            </w:r>
            <w:r>
              <w:rPr>
                <w:noProof/>
                <w:webHidden/>
              </w:rPr>
              <w:fldChar w:fldCharType="end"/>
            </w:r>
          </w:hyperlink>
        </w:p>
        <w:p w:rsidR="007B70DC" w:rsidRDefault="007B70DC">
          <w:pPr>
            <w:pStyle w:val="TOC2"/>
            <w:tabs>
              <w:tab w:val="right" w:leader="dot" w:pos="9016"/>
            </w:tabs>
            <w:rPr>
              <w:rFonts w:eastAsiaTheme="minorEastAsia"/>
              <w:noProof/>
              <w:lang w:eastAsia="en-GB"/>
            </w:rPr>
          </w:pPr>
          <w:hyperlink w:anchor="_Toc61870289" w:history="1">
            <w:r w:rsidRPr="00C9269A">
              <w:rPr>
                <w:rStyle w:val="Hyperlink"/>
                <w:noProof/>
              </w:rPr>
              <w:t>Income and Expenditure Statement for the Year Ended 31 March 2020</w:t>
            </w:r>
            <w:r>
              <w:rPr>
                <w:noProof/>
                <w:webHidden/>
              </w:rPr>
              <w:tab/>
            </w:r>
            <w:r>
              <w:rPr>
                <w:noProof/>
                <w:webHidden/>
              </w:rPr>
              <w:fldChar w:fldCharType="begin"/>
            </w:r>
            <w:r>
              <w:rPr>
                <w:noProof/>
                <w:webHidden/>
              </w:rPr>
              <w:instrText xml:space="preserve"> PAGEREF _Toc61870289 \h </w:instrText>
            </w:r>
            <w:r>
              <w:rPr>
                <w:noProof/>
                <w:webHidden/>
              </w:rPr>
            </w:r>
            <w:r>
              <w:rPr>
                <w:noProof/>
                <w:webHidden/>
              </w:rPr>
              <w:fldChar w:fldCharType="separate"/>
            </w:r>
            <w:r>
              <w:rPr>
                <w:noProof/>
                <w:webHidden/>
              </w:rPr>
              <w:t>77</w:t>
            </w:r>
            <w:r>
              <w:rPr>
                <w:noProof/>
                <w:webHidden/>
              </w:rPr>
              <w:fldChar w:fldCharType="end"/>
            </w:r>
          </w:hyperlink>
        </w:p>
        <w:p w:rsidR="007B70DC" w:rsidRDefault="007B70DC">
          <w:pPr>
            <w:pStyle w:val="TOC2"/>
            <w:tabs>
              <w:tab w:val="right" w:leader="dot" w:pos="9016"/>
            </w:tabs>
            <w:rPr>
              <w:rFonts w:eastAsiaTheme="minorEastAsia"/>
              <w:noProof/>
              <w:lang w:eastAsia="en-GB"/>
            </w:rPr>
          </w:pPr>
          <w:hyperlink w:anchor="_Toc61870290" w:history="1">
            <w:r w:rsidRPr="00C9269A">
              <w:rPr>
                <w:rStyle w:val="Hyperlink"/>
                <w:noProof/>
              </w:rPr>
              <w:t>Notes to the Housing Revenue Account</w:t>
            </w:r>
            <w:r>
              <w:rPr>
                <w:noProof/>
                <w:webHidden/>
              </w:rPr>
              <w:tab/>
            </w:r>
            <w:r>
              <w:rPr>
                <w:noProof/>
                <w:webHidden/>
              </w:rPr>
              <w:fldChar w:fldCharType="begin"/>
            </w:r>
            <w:r>
              <w:rPr>
                <w:noProof/>
                <w:webHidden/>
              </w:rPr>
              <w:instrText xml:space="preserve"> PAGEREF _Toc61870290 \h </w:instrText>
            </w:r>
            <w:r>
              <w:rPr>
                <w:noProof/>
                <w:webHidden/>
              </w:rPr>
            </w:r>
            <w:r>
              <w:rPr>
                <w:noProof/>
                <w:webHidden/>
              </w:rPr>
              <w:fldChar w:fldCharType="separate"/>
            </w:r>
            <w:r>
              <w:rPr>
                <w:noProof/>
                <w:webHidden/>
              </w:rPr>
              <w:t>79</w:t>
            </w:r>
            <w:r>
              <w:rPr>
                <w:noProof/>
                <w:webHidden/>
              </w:rPr>
              <w:fldChar w:fldCharType="end"/>
            </w:r>
          </w:hyperlink>
        </w:p>
        <w:p w:rsidR="007B70DC" w:rsidRDefault="007B70DC">
          <w:pPr>
            <w:pStyle w:val="TOC1"/>
            <w:tabs>
              <w:tab w:val="right" w:leader="dot" w:pos="9016"/>
            </w:tabs>
            <w:rPr>
              <w:rFonts w:eastAsiaTheme="minorEastAsia"/>
              <w:noProof/>
              <w:lang w:eastAsia="en-GB"/>
            </w:rPr>
          </w:pPr>
          <w:hyperlink w:anchor="_Toc61870291" w:history="1">
            <w:r w:rsidRPr="00C9269A">
              <w:rPr>
                <w:rStyle w:val="Hyperlink"/>
                <w:noProof/>
              </w:rPr>
              <w:t>Collection Fund</w:t>
            </w:r>
            <w:r>
              <w:rPr>
                <w:noProof/>
                <w:webHidden/>
              </w:rPr>
              <w:tab/>
            </w:r>
            <w:r>
              <w:rPr>
                <w:noProof/>
                <w:webHidden/>
              </w:rPr>
              <w:fldChar w:fldCharType="begin"/>
            </w:r>
            <w:r>
              <w:rPr>
                <w:noProof/>
                <w:webHidden/>
              </w:rPr>
              <w:instrText xml:space="preserve"> PAGEREF _Toc61870291 \h </w:instrText>
            </w:r>
            <w:r>
              <w:rPr>
                <w:noProof/>
                <w:webHidden/>
              </w:rPr>
            </w:r>
            <w:r>
              <w:rPr>
                <w:noProof/>
                <w:webHidden/>
              </w:rPr>
              <w:fldChar w:fldCharType="separate"/>
            </w:r>
            <w:r>
              <w:rPr>
                <w:noProof/>
                <w:webHidden/>
              </w:rPr>
              <w:t>82</w:t>
            </w:r>
            <w:r>
              <w:rPr>
                <w:noProof/>
                <w:webHidden/>
              </w:rPr>
              <w:fldChar w:fldCharType="end"/>
            </w:r>
          </w:hyperlink>
        </w:p>
        <w:p w:rsidR="007B70DC" w:rsidRDefault="007B70DC">
          <w:pPr>
            <w:pStyle w:val="TOC2"/>
            <w:tabs>
              <w:tab w:val="right" w:leader="dot" w:pos="9016"/>
            </w:tabs>
            <w:rPr>
              <w:rFonts w:eastAsiaTheme="minorEastAsia"/>
              <w:noProof/>
              <w:lang w:eastAsia="en-GB"/>
            </w:rPr>
          </w:pPr>
          <w:hyperlink w:anchor="_Toc61870292" w:history="1">
            <w:r w:rsidRPr="00C9269A">
              <w:rPr>
                <w:rStyle w:val="Hyperlink"/>
                <w:noProof/>
              </w:rPr>
              <w:t>Collection Fund Account for the Year ended 31 March 2020</w:t>
            </w:r>
            <w:r>
              <w:rPr>
                <w:noProof/>
                <w:webHidden/>
              </w:rPr>
              <w:tab/>
            </w:r>
            <w:r>
              <w:rPr>
                <w:noProof/>
                <w:webHidden/>
              </w:rPr>
              <w:fldChar w:fldCharType="begin"/>
            </w:r>
            <w:r>
              <w:rPr>
                <w:noProof/>
                <w:webHidden/>
              </w:rPr>
              <w:instrText xml:space="preserve"> PAGEREF _Toc61870292 \h </w:instrText>
            </w:r>
            <w:r>
              <w:rPr>
                <w:noProof/>
                <w:webHidden/>
              </w:rPr>
            </w:r>
            <w:r>
              <w:rPr>
                <w:noProof/>
                <w:webHidden/>
              </w:rPr>
              <w:fldChar w:fldCharType="separate"/>
            </w:r>
            <w:r>
              <w:rPr>
                <w:noProof/>
                <w:webHidden/>
              </w:rPr>
              <w:t>82</w:t>
            </w:r>
            <w:r>
              <w:rPr>
                <w:noProof/>
                <w:webHidden/>
              </w:rPr>
              <w:fldChar w:fldCharType="end"/>
            </w:r>
          </w:hyperlink>
        </w:p>
        <w:p w:rsidR="007B70DC" w:rsidRDefault="007B70DC">
          <w:pPr>
            <w:pStyle w:val="TOC2"/>
            <w:tabs>
              <w:tab w:val="right" w:leader="dot" w:pos="9016"/>
            </w:tabs>
            <w:rPr>
              <w:rFonts w:eastAsiaTheme="minorEastAsia"/>
              <w:noProof/>
              <w:lang w:eastAsia="en-GB"/>
            </w:rPr>
          </w:pPr>
          <w:hyperlink w:anchor="_Toc61870293" w:history="1">
            <w:r w:rsidRPr="00C9269A">
              <w:rPr>
                <w:rStyle w:val="Hyperlink"/>
                <w:noProof/>
              </w:rPr>
              <w:t>Notes to the Collection Fund</w:t>
            </w:r>
            <w:r>
              <w:rPr>
                <w:noProof/>
                <w:webHidden/>
              </w:rPr>
              <w:tab/>
            </w:r>
            <w:r>
              <w:rPr>
                <w:noProof/>
                <w:webHidden/>
              </w:rPr>
              <w:fldChar w:fldCharType="begin"/>
            </w:r>
            <w:r>
              <w:rPr>
                <w:noProof/>
                <w:webHidden/>
              </w:rPr>
              <w:instrText xml:space="preserve"> PAGEREF _Toc61870293 \h </w:instrText>
            </w:r>
            <w:r>
              <w:rPr>
                <w:noProof/>
                <w:webHidden/>
              </w:rPr>
            </w:r>
            <w:r>
              <w:rPr>
                <w:noProof/>
                <w:webHidden/>
              </w:rPr>
              <w:fldChar w:fldCharType="separate"/>
            </w:r>
            <w:r>
              <w:rPr>
                <w:noProof/>
                <w:webHidden/>
              </w:rPr>
              <w:t>83</w:t>
            </w:r>
            <w:r>
              <w:rPr>
                <w:noProof/>
                <w:webHidden/>
              </w:rPr>
              <w:fldChar w:fldCharType="end"/>
            </w:r>
          </w:hyperlink>
        </w:p>
        <w:p w:rsidR="007B70DC" w:rsidRDefault="007B70DC">
          <w:pPr>
            <w:pStyle w:val="TOC1"/>
            <w:tabs>
              <w:tab w:val="right" w:leader="dot" w:pos="9016"/>
            </w:tabs>
            <w:rPr>
              <w:rFonts w:eastAsiaTheme="minorEastAsia"/>
              <w:noProof/>
              <w:lang w:eastAsia="en-GB"/>
            </w:rPr>
          </w:pPr>
          <w:hyperlink w:anchor="_Toc61870294" w:history="1">
            <w:r w:rsidRPr="00C9269A">
              <w:rPr>
                <w:rStyle w:val="Hyperlink"/>
                <w:noProof/>
              </w:rPr>
              <w:t>Group Accounts</w:t>
            </w:r>
            <w:r>
              <w:rPr>
                <w:noProof/>
                <w:webHidden/>
              </w:rPr>
              <w:tab/>
            </w:r>
            <w:r>
              <w:rPr>
                <w:noProof/>
                <w:webHidden/>
              </w:rPr>
              <w:fldChar w:fldCharType="begin"/>
            </w:r>
            <w:r>
              <w:rPr>
                <w:noProof/>
                <w:webHidden/>
              </w:rPr>
              <w:instrText xml:space="preserve"> PAGEREF _Toc61870294 \h </w:instrText>
            </w:r>
            <w:r>
              <w:rPr>
                <w:noProof/>
                <w:webHidden/>
              </w:rPr>
            </w:r>
            <w:r>
              <w:rPr>
                <w:noProof/>
                <w:webHidden/>
              </w:rPr>
              <w:fldChar w:fldCharType="separate"/>
            </w:r>
            <w:r>
              <w:rPr>
                <w:noProof/>
                <w:webHidden/>
              </w:rPr>
              <w:t>85</w:t>
            </w:r>
            <w:r>
              <w:rPr>
                <w:noProof/>
                <w:webHidden/>
              </w:rPr>
              <w:fldChar w:fldCharType="end"/>
            </w:r>
          </w:hyperlink>
        </w:p>
        <w:p w:rsidR="007B70DC" w:rsidRDefault="007B70DC">
          <w:pPr>
            <w:pStyle w:val="TOC2"/>
            <w:tabs>
              <w:tab w:val="right" w:leader="dot" w:pos="9016"/>
            </w:tabs>
            <w:rPr>
              <w:rFonts w:eastAsiaTheme="minorEastAsia"/>
              <w:noProof/>
              <w:lang w:eastAsia="en-GB"/>
            </w:rPr>
          </w:pPr>
          <w:hyperlink w:anchor="_Toc61870295" w:history="1">
            <w:r w:rsidRPr="00C9269A">
              <w:rPr>
                <w:rStyle w:val="Hyperlink"/>
                <w:noProof/>
              </w:rPr>
              <w:t>Group Accounting Policies</w:t>
            </w:r>
            <w:r>
              <w:rPr>
                <w:noProof/>
                <w:webHidden/>
              </w:rPr>
              <w:tab/>
            </w:r>
            <w:r>
              <w:rPr>
                <w:noProof/>
                <w:webHidden/>
              </w:rPr>
              <w:fldChar w:fldCharType="begin"/>
            </w:r>
            <w:r>
              <w:rPr>
                <w:noProof/>
                <w:webHidden/>
              </w:rPr>
              <w:instrText xml:space="preserve"> PAGEREF _Toc61870295 \h </w:instrText>
            </w:r>
            <w:r>
              <w:rPr>
                <w:noProof/>
                <w:webHidden/>
              </w:rPr>
            </w:r>
            <w:r>
              <w:rPr>
                <w:noProof/>
                <w:webHidden/>
              </w:rPr>
              <w:fldChar w:fldCharType="separate"/>
            </w:r>
            <w:r>
              <w:rPr>
                <w:noProof/>
                <w:webHidden/>
              </w:rPr>
              <w:t>86</w:t>
            </w:r>
            <w:r>
              <w:rPr>
                <w:noProof/>
                <w:webHidden/>
              </w:rPr>
              <w:fldChar w:fldCharType="end"/>
            </w:r>
          </w:hyperlink>
        </w:p>
        <w:p w:rsidR="007B70DC" w:rsidRDefault="007B70DC">
          <w:pPr>
            <w:pStyle w:val="TOC2"/>
            <w:tabs>
              <w:tab w:val="right" w:leader="dot" w:pos="9016"/>
            </w:tabs>
            <w:rPr>
              <w:rFonts w:eastAsiaTheme="minorEastAsia"/>
              <w:noProof/>
              <w:lang w:eastAsia="en-GB"/>
            </w:rPr>
          </w:pPr>
          <w:hyperlink w:anchor="_Toc61870296" w:history="1">
            <w:r w:rsidRPr="00C9269A">
              <w:rPr>
                <w:rStyle w:val="Hyperlink"/>
                <w:noProof/>
              </w:rPr>
              <w:t>Group Statements</w:t>
            </w:r>
            <w:r>
              <w:rPr>
                <w:noProof/>
                <w:webHidden/>
              </w:rPr>
              <w:tab/>
            </w:r>
            <w:r>
              <w:rPr>
                <w:noProof/>
                <w:webHidden/>
              </w:rPr>
              <w:fldChar w:fldCharType="begin"/>
            </w:r>
            <w:r>
              <w:rPr>
                <w:noProof/>
                <w:webHidden/>
              </w:rPr>
              <w:instrText xml:space="preserve"> PAGEREF _Toc61870296 \h </w:instrText>
            </w:r>
            <w:r>
              <w:rPr>
                <w:noProof/>
                <w:webHidden/>
              </w:rPr>
            </w:r>
            <w:r>
              <w:rPr>
                <w:noProof/>
                <w:webHidden/>
              </w:rPr>
              <w:fldChar w:fldCharType="separate"/>
            </w:r>
            <w:r>
              <w:rPr>
                <w:noProof/>
                <w:webHidden/>
              </w:rPr>
              <w:t>86</w:t>
            </w:r>
            <w:r>
              <w:rPr>
                <w:noProof/>
                <w:webHidden/>
              </w:rPr>
              <w:fldChar w:fldCharType="end"/>
            </w:r>
          </w:hyperlink>
        </w:p>
        <w:p w:rsidR="007B70DC" w:rsidRDefault="007B70DC">
          <w:pPr>
            <w:pStyle w:val="TOC2"/>
            <w:tabs>
              <w:tab w:val="right" w:leader="dot" w:pos="9016"/>
            </w:tabs>
            <w:rPr>
              <w:rFonts w:eastAsiaTheme="minorEastAsia"/>
              <w:noProof/>
              <w:lang w:eastAsia="en-GB"/>
            </w:rPr>
          </w:pPr>
          <w:hyperlink w:anchor="_Toc61870297" w:history="1">
            <w:r w:rsidRPr="00C9269A">
              <w:rPr>
                <w:rStyle w:val="Hyperlink"/>
                <w:noProof/>
              </w:rPr>
              <w:t>Group Consolidated Income &amp; Expenditure Statement</w:t>
            </w:r>
            <w:r>
              <w:rPr>
                <w:noProof/>
                <w:webHidden/>
              </w:rPr>
              <w:tab/>
            </w:r>
            <w:r>
              <w:rPr>
                <w:noProof/>
                <w:webHidden/>
              </w:rPr>
              <w:fldChar w:fldCharType="begin"/>
            </w:r>
            <w:r>
              <w:rPr>
                <w:noProof/>
                <w:webHidden/>
              </w:rPr>
              <w:instrText xml:space="preserve"> PAGEREF _Toc61870297 \h </w:instrText>
            </w:r>
            <w:r>
              <w:rPr>
                <w:noProof/>
                <w:webHidden/>
              </w:rPr>
            </w:r>
            <w:r>
              <w:rPr>
                <w:noProof/>
                <w:webHidden/>
              </w:rPr>
              <w:fldChar w:fldCharType="separate"/>
            </w:r>
            <w:r>
              <w:rPr>
                <w:noProof/>
                <w:webHidden/>
              </w:rPr>
              <w:t>87</w:t>
            </w:r>
            <w:r>
              <w:rPr>
                <w:noProof/>
                <w:webHidden/>
              </w:rPr>
              <w:fldChar w:fldCharType="end"/>
            </w:r>
          </w:hyperlink>
        </w:p>
        <w:p w:rsidR="007B70DC" w:rsidRDefault="007B70DC">
          <w:pPr>
            <w:pStyle w:val="TOC2"/>
            <w:tabs>
              <w:tab w:val="right" w:leader="dot" w:pos="9016"/>
            </w:tabs>
            <w:rPr>
              <w:rFonts w:eastAsiaTheme="minorEastAsia"/>
              <w:noProof/>
              <w:lang w:eastAsia="en-GB"/>
            </w:rPr>
          </w:pPr>
          <w:hyperlink w:anchor="_Toc61870298" w:history="1">
            <w:r w:rsidRPr="00C9269A">
              <w:rPr>
                <w:rStyle w:val="Hyperlink"/>
                <w:noProof/>
              </w:rPr>
              <w:t>Group Cashflow Statement</w:t>
            </w:r>
            <w:r>
              <w:rPr>
                <w:noProof/>
                <w:webHidden/>
              </w:rPr>
              <w:tab/>
            </w:r>
            <w:r>
              <w:rPr>
                <w:noProof/>
                <w:webHidden/>
              </w:rPr>
              <w:fldChar w:fldCharType="begin"/>
            </w:r>
            <w:r>
              <w:rPr>
                <w:noProof/>
                <w:webHidden/>
              </w:rPr>
              <w:instrText xml:space="preserve"> PAGEREF _Toc61870298 \h </w:instrText>
            </w:r>
            <w:r>
              <w:rPr>
                <w:noProof/>
                <w:webHidden/>
              </w:rPr>
            </w:r>
            <w:r>
              <w:rPr>
                <w:noProof/>
                <w:webHidden/>
              </w:rPr>
              <w:fldChar w:fldCharType="separate"/>
            </w:r>
            <w:r>
              <w:rPr>
                <w:noProof/>
                <w:webHidden/>
              </w:rPr>
              <w:t>88</w:t>
            </w:r>
            <w:r>
              <w:rPr>
                <w:noProof/>
                <w:webHidden/>
              </w:rPr>
              <w:fldChar w:fldCharType="end"/>
            </w:r>
          </w:hyperlink>
        </w:p>
        <w:p w:rsidR="007B70DC" w:rsidRDefault="007B70DC">
          <w:pPr>
            <w:pStyle w:val="TOC2"/>
            <w:tabs>
              <w:tab w:val="right" w:leader="dot" w:pos="9016"/>
            </w:tabs>
            <w:rPr>
              <w:rFonts w:eastAsiaTheme="minorEastAsia"/>
              <w:noProof/>
              <w:lang w:eastAsia="en-GB"/>
            </w:rPr>
          </w:pPr>
          <w:hyperlink w:anchor="_Toc61870299" w:history="1">
            <w:r w:rsidRPr="00C9269A">
              <w:rPr>
                <w:rStyle w:val="Hyperlink"/>
                <w:noProof/>
              </w:rPr>
              <w:t>Group Movement In Reserves</w:t>
            </w:r>
            <w:r>
              <w:rPr>
                <w:noProof/>
                <w:webHidden/>
              </w:rPr>
              <w:tab/>
            </w:r>
            <w:r>
              <w:rPr>
                <w:noProof/>
                <w:webHidden/>
              </w:rPr>
              <w:fldChar w:fldCharType="begin"/>
            </w:r>
            <w:r>
              <w:rPr>
                <w:noProof/>
                <w:webHidden/>
              </w:rPr>
              <w:instrText xml:space="preserve"> PAGEREF _Toc61870299 \h </w:instrText>
            </w:r>
            <w:r>
              <w:rPr>
                <w:noProof/>
                <w:webHidden/>
              </w:rPr>
            </w:r>
            <w:r>
              <w:rPr>
                <w:noProof/>
                <w:webHidden/>
              </w:rPr>
              <w:fldChar w:fldCharType="separate"/>
            </w:r>
            <w:r>
              <w:rPr>
                <w:noProof/>
                <w:webHidden/>
              </w:rPr>
              <w:t>89</w:t>
            </w:r>
            <w:r>
              <w:rPr>
                <w:noProof/>
                <w:webHidden/>
              </w:rPr>
              <w:fldChar w:fldCharType="end"/>
            </w:r>
          </w:hyperlink>
        </w:p>
        <w:p w:rsidR="007B70DC" w:rsidRDefault="007B70DC">
          <w:pPr>
            <w:pStyle w:val="TOC2"/>
            <w:tabs>
              <w:tab w:val="right" w:leader="dot" w:pos="9016"/>
            </w:tabs>
            <w:rPr>
              <w:rFonts w:eastAsiaTheme="minorEastAsia"/>
              <w:noProof/>
              <w:lang w:eastAsia="en-GB"/>
            </w:rPr>
          </w:pPr>
          <w:hyperlink w:anchor="_Toc61870300" w:history="1">
            <w:r w:rsidRPr="00C9269A">
              <w:rPr>
                <w:rStyle w:val="Hyperlink"/>
                <w:rFonts w:ascii="Calibri" w:hAnsi="Calibri" w:cs="Calibri"/>
                <w:noProof/>
              </w:rPr>
              <w:t>Notes to the Group Accounts</w:t>
            </w:r>
            <w:r>
              <w:rPr>
                <w:noProof/>
                <w:webHidden/>
              </w:rPr>
              <w:tab/>
            </w:r>
            <w:r>
              <w:rPr>
                <w:noProof/>
                <w:webHidden/>
              </w:rPr>
              <w:fldChar w:fldCharType="begin"/>
            </w:r>
            <w:r>
              <w:rPr>
                <w:noProof/>
                <w:webHidden/>
              </w:rPr>
              <w:instrText xml:space="preserve"> PAGEREF _Toc61870300 \h </w:instrText>
            </w:r>
            <w:r>
              <w:rPr>
                <w:noProof/>
                <w:webHidden/>
              </w:rPr>
            </w:r>
            <w:r>
              <w:rPr>
                <w:noProof/>
                <w:webHidden/>
              </w:rPr>
              <w:fldChar w:fldCharType="separate"/>
            </w:r>
            <w:r>
              <w:rPr>
                <w:noProof/>
                <w:webHidden/>
              </w:rPr>
              <w:t>90</w:t>
            </w:r>
            <w:r>
              <w:rPr>
                <w:noProof/>
                <w:webHidden/>
              </w:rPr>
              <w:fldChar w:fldCharType="end"/>
            </w:r>
          </w:hyperlink>
        </w:p>
        <w:p w:rsidR="007B70DC" w:rsidRDefault="007B70DC">
          <w:pPr>
            <w:pStyle w:val="TOC1"/>
            <w:tabs>
              <w:tab w:val="right" w:leader="dot" w:pos="9016"/>
            </w:tabs>
            <w:rPr>
              <w:rFonts w:eastAsiaTheme="minorEastAsia"/>
              <w:noProof/>
              <w:lang w:eastAsia="en-GB"/>
            </w:rPr>
          </w:pPr>
          <w:hyperlink w:anchor="_Toc61870301" w:history="1">
            <w:r w:rsidRPr="00C9269A">
              <w:rPr>
                <w:rStyle w:val="Hyperlink"/>
                <w:noProof/>
              </w:rPr>
              <w:t>Chair of the Audit Committee</w:t>
            </w:r>
            <w:r>
              <w:rPr>
                <w:noProof/>
                <w:webHidden/>
              </w:rPr>
              <w:tab/>
            </w:r>
            <w:r>
              <w:rPr>
                <w:noProof/>
                <w:webHidden/>
              </w:rPr>
              <w:fldChar w:fldCharType="begin"/>
            </w:r>
            <w:r>
              <w:rPr>
                <w:noProof/>
                <w:webHidden/>
              </w:rPr>
              <w:instrText xml:space="preserve"> PAGEREF _Toc61870301 \h </w:instrText>
            </w:r>
            <w:r>
              <w:rPr>
                <w:noProof/>
                <w:webHidden/>
              </w:rPr>
            </w:r>
            <w:r>
              <w:rPr>
                <w:noProof/>
                <w:webHidden/>
              </w:rPr>
              <w:fldChar w:fldCharType="separate"/>
            </w:r>
            <w:r>
              <w:rPr>
                <w:noProof/>
                <w:webHidden/>
              </w:rPr>
              <w:t>98</w:t>
            </w:r>
            <w:r>
              <w:rPr>
                <w:noProof/>
                <w:webHidden/>
              </w:rPr>
              <w:fldChar w:fldCharType="end"/>
            </w:r>
          </w:hyperlink>
        </w:p>
        <w:p w:rsidR="007B70DC" w:rsidRDefault="007B70DC">
          <w:pPr>
            <w:pStyle w:val="TOC1"/>
            <w:tabs>
              <w:tab w:val="right" w:leader="dot" w:pos="9016"/>
            </w:tabs>
            <w:rPr>
              <w:rFonts w:eastAsiaTheme="minorEastAsia"/>
              <w:noProof/>
              <w:lang w:eastAsia="en-GB"/>
            </w:rPr>
          </w:pPr>
          <w:hyperlink w:anchor="_Toc61870302" w:history="1">
            <w:r w:rsidRPr="00C9269A">
              <w:rPr>
                <w:rStyle w:val="Hyperlink"/>
                <w:noProof/>
              </w:rPr>
              <w:t>INDEPENDENT AUDITOR’S REPORT TO THE MEMBERS OF LONDON BOROUGH OF BRENT</w:t>
            </w:r>
            <w:r>
              <w:rPr>
                <w:noProof/>
                <w:webHidden/>
              </w:rPr>
              <w:tab/>
            </w:r>
            <w:r>
              <w:rPr>
                <w:noProof/>
                <w:webHidden/>
              </w:rPr>
              <w:fldChar w:fldCharType="begin"/>
            </w:r>
            <w:r>
              <w:rPr>
                <w:noProof/>
                <w:webHidden/>
              </w:rPr>
              <w:instrText xml:space="preserve"> PAGEREF _Toc61870302 \h </w:instrText>
            </w:r>
            <w:r>
              <w:rPr>
                <w:noProof/>
                <w:webHidden/>
              </w:rPr>
            </w:r>
            <w:r>
              <w:rPr>
                <w:noProof/>
                <w:webHidden/>
              </w:rPr>
              <w:fldChar w:fldCharType="separate"/>
            </w:r>
            <w:r>
              <w:rPr>
                <w:noProof/>
                <w:webHidden/>
              </w:rPr>
              <w:t>99</w:t>
            </w:r>
            <w:r>
              <w:rPr>
                <w:noProof/>
                <w:webHidden/>
              </w:rPr>
              <w:fldChar w:fldCharType="end"/>
            </w:r>
          </w:hyperlink>
        </w:p>
        <w:p w:rsidR="007B70DC" w:rsidRDefault="007B70DC">
          <w:pPr>
            <w:pStyle w:val="TOC1"/>
            <w:tabs>
              <w:tab w:val="right" w:leader="dot" w:pos="9016"/>
            </w:tabs>
            <w:rPr>
              <w:rFonts w:eastAsiaTheme="minorEastAsia"/>
              <w:noProof/>
              <w:lang w:eastAsia="en-GB"/>
            </w:rPr>
          </w:pPr>
          <w:hyperlink w:anchor="_Toc61870303" w:history="1">
            <w:r w:rsidRPr="00C9269A">
              <w:rPr>
                <w:rStyle w:val="Hyperlink"/>
                <w:noProof/>
              </w:rPr>
              <w:t>Statement of Responsibilities for the Statement of Accounts</w:t>
            </w:r>
            <w:r>
              <w:rPr>
                <w:noProof/>
                <w:webHidden/>
              </w:rPr>
              <w:tab/>
            </w:r>
            <w:r>
              <w:rPr>
                <w:noProof/>
                <w:webHidden/>
              </w:rPr>
              <w:fldChar w:fldCharType="begin"/>
            </w:r>
            <w:r>
              <w:rPr>
                <w:noProof/>
                <w:webHidden/>
              </w:rPr>
              <w:instrText xml:space="preserve"> PAGEREF _Toc61870303 \h </w:instrText>
            </w:r>
            <w:r>
              <w:rPr>
                <w:noProof/>
                <w:webHidden/>
              </w:rPr>
            </w:r>
            <w:r>
              <w:rPr>
                <w:noProof/>
                <w:webHidden/>
              </w:rPr>
              <w:fldChar w:fldCharType="separate"/>
            </w:r>
            <w:r>
              <w:rPr>
                <w:noProof/>
                <w:webHidden/>
              </w:rPr>
              <w:t>100</w:t>
            </w:r>
            <w:r>
              <w:rPr>
                <w:noProof/>
                <w:webHidden/>
              </w:rPr>
              <w:fldChar w:fldCharType="end"/>
            </w:r>
          </w:hyperlink>
        </w:p>
        <w:p w:rsidR="007B70DC" w:rsidRDefault="007B70DC">
          <w:pPr>
            <w:pStyle w:val="TOC1"/>
            <w:tabs>
              <w:tab w:val="right" w:leader="dot" w:pos="9016"/>
            </w:tabs>
            <w:rPr>
              <w:rFonts w:eastAsiaTheme="minorEastAsia"/>
              <w:noProof/>
              <w:lang w:eastAsia="en-GB"/>
            </w:rPr>
          </w:pPr>
          <w:hyperlink w:anchor="_Toc61870305" w:history="1">
            <w:r w:rsidRPr="00C9269A">
              <w:rPr>
                <w:rStyle w:val="Hyperlink"/>
                <w:noProof/>
              </w:rPr>
              <w:t>Statement of Accounting Policies</w:t>
            </w:r>
            <w:r>
              <w:rPr>
                <w:noProof/>
                <w:webHidden/>
              </w:rPr>
              <w:tab/>
            </w:r>
            <w:r>
              <w:rPr>
                <w:noProof/>
                <w:webHidden/>
              </w:rPr>
              <w:fldChar w:fldCharType="begin"/>
            </w:r>
            <w:r>
              <w:rPr>
                <w:noProof/>
                <w:webHidden/>
              </w:rPr>
              <w:instrText xml:space="preserve"> PAGEREF _Toc61870305 \h </w:instrText>
            </w:r>
            <w:r>
              <w:rPr>
                <w:noProof/>
                <w:webHidden/>
              </w:rPr>
            </w:r>
            <w:r>
              <w:rPr>
                <w:noProof/>
                <w:webHidden/>
              </w:rPr>
              <w:fldChar w:fldCharType="separate"/>
            </w:r>
            <w:r>
              <w:rPr>
                <w:noProof/>
                <w:webHidden/>
              </w:rPr>
              <w:t>101</w:t>
            </w:r>
            <w:r>
              <w:rPr>
                <w:noProof/>
                <w:webHidden/>
              </w:rPr>
              <w:fldChar w:fldCharType="end"/>
            </w:r>
          </w:hyperlink>
        </w:p>
        <w:p w:rsidR="007B70DC" w:rsidRDefault="007B70DC">
          <w:pPr>
            <w:pStyle w:val="TOC1"/>
            <w:tabs>
              <w:tab w:val="right" w:leader="dot" w:pos="9016"/>
            </w:tabs>
            <w:rPr>
              <w:rFonts w:eastAsiaTheme="minorEastAsia"/>
              <w:noProof/>
              <w:lang w:eastAsia="en-GB"/>
            </w:rPr>
          </w:pPr>
          <w:hyperlink w:anchor="_Toc61870306" w:history="1">
            <w:r w:rsidRPr="00C9269A">
              <w:rPr>
                <w:rStyle w:val="Hyperlink"/>
                <w:noProof/>
              </w:rPr>
              <w:t>Additional Reconciliations</w:t>
            </w:r>
            <w:r>
              <w:rPr>
                <w:noProof/>
                <w:webHidden/>
              </w:rPr>
              <w:tab/>
            </w:r>
            <w:r>
              <w:rPr>
                <w:noProof/>
                <w:webHidden/>
              </w:rPr>
              <w:fldChar w:fldCharType="begin"/>
            </w:r>
            <w:r>
              <w:rPr>
                <w:noProof/>
                <w:webHidden/>
              </w:rPr>
              <w:instrText xml:space="preserve"> PAGEREF _Toc61870306 \h </w:instrText>
            </w:r>
            <w:r>
              <w:rPr>
                <w:noProof/>
                <w:webHidden/>
              </w:rPr>
            </w:r>
            <w:r>
              <w:rPr>
                <w:noProof/>
                <w:webHidden/>
              </w:rPr>
              <w:fldChar w:fldCharType="separate"/>
            </w:r>
            <w:r>
              <w:rPr>
                <w:noProof/>
                <w:webHidden/>
              </w:rPr>
              <w:t>122</w:t>
            </w:r>
            <w:r>
              <w:rPr>
                <w:noProof/>
                <w:webHidden/>
              </w:rPr>
              <w:fldChar w:fldCharType="end"/>
            </w:r>
          </w:hyperlink>
        </w:p>
        <w:p w:rsidR="007B70DC" w:rsidRDefault="007B70DC">
          <w:pPr>
            <w:pStyle w:val="TOC2"/>
            <w:tabs>
              <w:tab w:val="right" w:leader="dot" w:pos="9016"/>
            </w:tabs>
            <w:rPr>
              <w:rFonts w:eastAsiaTheme="minorEastAsia"/>
              <w:noProof/>
              <w:lang w:eastAsia="en-GB"/>
            </w:rPr>
          </w:pPr>
          <w:hyperlink w:anchor="_Toc61870307" w:history="1">
            <w:r w:rsidRPr="00C9269A">
              <w:rPr>
                <w:rStyle w:val="Hyperlink"/>
                <w:noProof/>
              </w:rPr>
              <w:t>Nature of Income and Expenditure</w:t>
            </w:r>
            <w:r>
              <w:rPr>
                <w:noProof/>
                <w:webHidden/>
              </w:rPr>
              <w:tab/>
            </w:r>
            <w:r>
              <w:rPr>
                <w:noProof/>
                <w:webHidden/>
              </w:rPr>
              <w:fldChar w:fldCharType="begin"/>
            </w:r>
            <w:r>
              <w:rPr>
                <w:noProof/>
                <w:webHidden/>
              </w:rPr>
              <w:instrText xml:space="preserve"> PAGEREF _Toc61870307 \h </w:instrText>
            </w:r>
            <w:r>
              <w:rPr>
                <w:noProof/>
                <w:webHidden/>
              </w:rPr>
            </w:r>
            <w:r>
              <w:rPr>
                <w:noProof/>
                <w:webHidden/>
              </w:rPr>
              <w:fldChar w:fldCharType="separate"/>
            </w:r>
            <w:r>
              <w:rPr>
                <w:noProof/>
                <w:webHidden/>
              </w:rPr>
              <w:t>122</w:t>
            </w:r>
            <w:r>
              <w:rPr>
                <w:noProof/>
                <w:webHidden/>
              </w:rPr>
              <w:fldChar w:fldCharType="end"/>
            </w:r>
          </w:hyperlink>
        </w:p>
        <w:p w:rsidR="007B70DC" w:rsidRDefault="007B70DC">
          <w:pPr>
            <w:pStyle w:val="TOC2"/>
            <w:tabs>
              <w:tab w:val="right" w:leader="dot" w:pos="9016"/>
            </w:tabs>
            <w:rPr>
              <w:rFonts w:eastAsiaTheme="minorEastAsia"/>
              <w:noProof/>
              <w:lang w:eastAsia="en-GB"/>
            </w:rPr>
          </w:pPr>
          <w:hyperlink w:anchor="_Toc61870308" w:history="1">
            <w:r w:rsidRPr="00C9269A">
              <w:rPr>
                <w:rStyle w:val="Hyperlink"/>
                <w:noProof/>
              </w:rPr>
              <w:t>Movements in Reserves Detail</w:t>
            </w:r>
            <w:r>
              <w:rPr>
                <w:noProof/>
                <w:webHidden/>
              </w:rPr>
              <w:tab/>
            </w:r>
            <w:r>
              <w:rPr>
                <w:noProof/>
                <w:webHidden/>
              </w:rPr>
              <w:fldChar w:fldCharType="begin"/>
            </w:r>
            <w:r>
              <w:rPr>
                <w:noProof/>
                <w:webHidden/>
              </w:rPr>
              <w:instrText xml:space="preserve"> PAGEREF _Toc61870308 \h </w:instrText>
            </w:r>
            <w:r>
              <w:rPr>
                <w:noProof/>
                <w:webHidden/>
              </w:rPr>
            </w:r>
            <w:r>
              <w:rPr>
                <w:noProof/>
                <w:webHidden/>
              </w:rPr>
              <w:fldChar w:fldCharType="separate"/>
            </w:r>
            <w:r>
              <w:rPr>
                <w:noProof/>
                <w:webHidden/>
              </w:rPr>
              <w:t>123</w:t>
            </w:r>
            <w:r>
              <w:rPr>
                <w:noProof/>
                <w:webHidden/>
              </w:rPr>
              <w:fldChar w:fldCharType="end"/>
            </w:r>
          </w:hyperlink>
        </w:p>
        <w:p w:rsidR="007B70DC" w:rsidRDefault="007B70DC">
          <w:pPr>
            <w:pStyle w:val="TOC1"/>
            <w:tabs>
              <w:tab w:val="right" w:leader="dot" w:pos="9016"/>
            </w:tabs>
            <w:rPr>
              <w:rFonts w:eastAsiaTheme="minorEastAsia"/>
              <w:noProof/>
              <w:lang w:eastAsia="en-GB"/>
            </w:rPr>
          </w:pPr>
          <w:hyperlink w:anchor="_Toc61870309" w:history="1">
            <w:r w:rsidRPr="00C9269A">
              <w:rPr>
                <w:rStyle w:val="Hyperlink"/>
                <w:rFonts w:cs="Calibri"/>
                <w:noProof/>
              </w:rPr>
              <w:t>Brent Pension Fund Accounts</w:t>
            </w:r>
            <w:r>
              <w:rPr>
                <w:noProof/>
                <w:webHidden/>
              </w:rPr>
              <w:tab/>
            </w:r>
            <w:r>
              <w:rPr>
                <w:noProof/>
                <w:webHidden/>
              </w:rPr>
              <w:fldChar w:fldCharType="begin"/>
            </w:r>
            <w:r>
              <w:rPr>
                <w:noProof/>
                <w:webHidden/>
              </w:rPr>
              <w:instrText xml:space="preserve"> PAGEREF _Toc61870309 \h </w:instrText>
            </w:r>
            <w:r>
              <w:rPr>
                <w:noProof/>
                <w:webHidden/>
              </w:rPr>
            </w:r>
            <w:r>
              <w:rPr>
                <w:noProof/>
                <w:webHidden/>
              </w:rPr>
              <w:fldChar w:fldCharType="separate"/>
            </w:r>
            <w:r>
              <w:rPr>
                <w:noProof/>
                <w:webHidden/>
              </w:rPr>
              <w:t>127</w:t>
            </w:r>
            <w:r>
              <w:rPr>
                <w:noProof/>
                <w:webHidden/>
              </w:rPr>
              <w:fldChar w:fldCharType="end"/>
            </w:r>
          </w:hyperlink>
        </w:p>
        <w:p w:rsidR="007B70DC" w:rsidRDefault="007B70DC">
          <w:pPr>
            <w:pStyle w:val="TOC2"/>
            <w:tabs>
              <w:tab w:val="right" w:leader="dot" w:pos="9016"/>
            </w:tabs>
            <w:rPr>
              <w:rFonts w:eastAsiaTheme="minorEastAsia"/>
              <w:noProof/>
              <w:lang w:eastAsia="en-GB"/>
            </w:rPr>
          </w:pPr>
          <w:hyperlink w:anchor="_Toc61870310" w:history="1">
            <w:r w:rsidRPr="00C9269A">
              <w:rPr>
                <w:rStyle w:val="Hyperlink"/>
                <w:noProof/>
              </w:rPr>
              <w:t>Pension Fund Accounts as at 31 March 2020</w:t>
            </w:r>
            <w:r>
              <w:rPr>
                <w:noProof/>
                <w:webHidden/>
              </w:rPr>
              <w:tab/>
            </w:r>
            <w:r>
              <w:rPr>
                <w:noProof/>
                <w:webHidden/>
              </w:rPr>
              <w:fldChar w:fldCharType="begin"/>
            </w:r>
            <w:r>
              <w:rPr>
                <w:noProof/>
                <w:webHidden/>
              </w:rPr>
              <w:instrText xml:space="preserve"> PAGEREF _Toc61870310 \h </w:instrText>
            </w:r>
            <w:r>
              <w:rPr>
                <w:noProof/>
                <w:webHidden/>
              </w:rPr>
            </w:r>
            <w:r>
              <w:rPr>
                <w:noProof/>
                <w:webHidden/>
              </w:rPr>
              <w:fldChar w:fldCharType="separate"/>
            </w:r>
            <w:r>
              <w:rPr>
                <w:noProof/>
                <w:webHidden/>
              </w:rPr>
              <w:t>127</w:t>
            </w:r>
            <w:r>
              <w:rPr>
                <w:noProof/>
                <w:webHidden/>
              </w:rPr>
              <w:fldChar w:fldCharType="end"/>
            </w:r>
          </w:hyperlink>
        </w:p>
        <w:p w:rsidR="007B70DC" w:rsidRDefault="007B70DC">
          <w:pPr>
            <w:pStyle w:val="TOC2"/>
            <w:tabs>
              <w:tab w:val="right" w:leader="dot" w:pos="9016"/>
            </w:tabs>
            <w:rPr>
              <w:rFonts w:eastAsiaTheme="minorEastAsia"/>
              <w:noProof/>
              <w:lang w:eastAsia="en-GB"/>
            </w:rPr>
          </w:pPr>
          <w:hyperlink w:anchor="_Toc61870311" w:history="1">
            <w:r w:rsidRPr="00C9269A">
              <w:rPr>
                <w:rStyle w:val="Hyperlink"/>
                <w:noProof/>
              </w:rPr>
              <w:t>Notes to the Brent Pension Fund accounts</w:t>
            </w:r>
            <w:r>
              <w:rPr>
                <w:noProof/>
                <w:webHidden/>
              </w:rPr>
              <w:tab/>
            </w:r>
            <w:r>
              <w:rPr>
                <w:noProof/>
                <w:webHidden/>
              </w:rPr>
              <w:fldChar w:fldCharType="begin"/>
            </w:r>
            <w:r>
              <w:rPr>
                <w:noProof/>
                <w:webHidden/>
              </w:rPr>
              <w:instrText xml:space="preserve"> PAGEREF _Toc61870311 \h </w:instrText>
            </w:r>
            <w:r>
              <w:rPr>
                <w:noProof/>
                <w:webHidden/>
              </w:rPr>
            </w:r>
            <w:r>
              <w:rPr>
                <w:noProof/>
                <w:webHidden/>
              </w:rPr>
              <w:fldChar w:fldCharType="separate"/>
            </w:r>
            <w:r>
              <w:rPr>
                <w:noProof/>
                <w:webHidden/>
              </w:rPr>
              <w:t>128</w:t>
            </w:r>
            <w:r>
              <w:rPr>
                <w:noProof/>
                <w:webHidden/>
              </w:rPr>
              <w:fldChar w:fldCharType="end"/>
            </w:r>
          </w:hyperlink>
        </w:p>
        <w:p w:rsidR="007B70DC" w:rsidRDefault="007B70DC">
          <w:pPr>
            <w:pStyle w:val="TOC1"/>
            <w:tabs>
              <w:tab w:val="right" w:leader="dot" w:pos="9016"/>
            </w:tabs>
            <w:rPr>
              <w:rFonts w:eastAsiaTheme="minorEastAsia"/>
              <w:noProof/>
              <w:lang w:eastAsia="en-GB"/>
            </w:rPr>
          </w:pPr>
          <w:hyperlink w:anchor="_Toc61870312" w:history="1">
            <w:r w:rsidRPr="00C9269A">
              <w:rPr>
                <w:rStyle w:val="Hyperlink"/>
                <w:noProof/>
              </w:rPr>
              <w:t>Glossary</w:t>
            </w:r>
            <w:r>
              <w:rPr>
                <w:noProof/>
                <w:webHidden/>
              </w:rPr>
              <w:tab/>
            </w:r>
            <w:r>
              <w:rPr>
                <w:noProof/>
                <w:webHidden/>
              </w:rPr>
              <w:fldChar w:fldCharType="begin"/>
            </w:r>
            <w:r>
              <w:rPr>
                <w:noProof/>
                <w:webHidden/>
              </w:rPr>
              <w:instrText xml:space="preserve"> PAGEREF _Toc61870312 \h </w:instrText>
            </w:r>
            <w:r>
              <w:rPr>
                <w:noProof/>
                <w:webHidden/>
              </w:rPr>
            </w:r>
            <w:r>
              <w:rPr>
                <w:noProof/>
                <w:webHidden/>
              </w:rPr>
              <w:fldChar w:fldCharType="separate"/>
            </w:r>
            <w:r>
              <w:rPr>
                <w:noProof/>
                <w:webHidden/>
              </w:rPr>
              <w:t>164</w:t>
            </w:r>
            <w:r>
              <w:rPr>
                <w:noProof/>
                <w:webHidden/>
              </w:rPr>
              <w:fldChar w:fldCharType="end"/>
            </w:r>
          </w:hyperlink>
        </w:p>
        <w:p w:rsidR="00F72906" w:rsidRDefault="00E60552" w:rsidP="00F72906">
          <w:r>
            <w:fldChar w:fldCharType="end"/>
          </w:r>
        </w:p>
      </w:sdtContent>
    </w:sdt>
    <w:p w:rsidR="00E60552" w:rsidRDefault="00E60552" w:rsidP="00F72906">
      <w:pPr>
        <w:pStyle w:val="Heading1"/>
        <w:sectPr w:rsidR="00E60552">
          <w:pgSz w:w="11906" w:h="16838"/>
          <w:pgMar w:top="1440" w:right="1440" w:bottom="1440" w:left="1440" w:header="708" w:footer="708" w:gutter="0"/>
          <w:cols w:space="708"/>
          <w:docGrid w:linePitch="360"/>
        </w:sectPr>
      </w:pPr>
    </w:p>
    <w:p w:rsidR="00F72906" w:rsidRDefault="00F72906" w:rsidP="00F72906">
      <w:pPr>
        <w:pStyle w:val="Heading1"/>
      </w:pPr>
      <w:bookmarkStart w:id="0" w:name="_Toc61870270"/>
      <w:r>
        <w:lastRenderedPageBreak/>
        <w:t>Narrative Statement</w:t>
      </w:r>
      <w:bookmarkEnd w:id="0"/>
    </w:p>
    <w:p w:rsidR="00F72906" w:rsidRDefault="00F72906" w:rsidP="00F72906">
      <w:r>
        <w:t>I am very pleased to present Brent Council’s Statement of Accounts for 2019/20. Whilst by their very nature the accounts can be backward looking they do provide the context of the financial position for Brent at the end of the financial year as well as the numerous challenges presently facing the local authority sector and likely to do so in the future.</w:t>
      </w:r>
    </w:p>
    <w:p w:rsidR="00F72906" w:rsidRDefault="00F72906" w:rsidP="00F72906">
      <w:r>
        <w:t>This narrative report contains the following sections:</w:t>
      </w:r>
    </w:p>
    <w:p w:rsidR="00F72906" w:rsidRDefault="00F72906" w:rsidP="00F72906">
      <w:r>
        <w:t>•</w:t>
      </w:r>
      <w:r>
        <w:tab/>
        <w:t>Performance in 2019/20 (1 – 20)</w:t>
      </w:r>
    </w:p>
    <w:p w:rsidR="00F72906" w:rsidRDefault="00F72906" w:rsidP="00F72906">
      <w:r>
        <w:t>•</w:t>
      </w:r>
      <w:r>
        <w:tab/>
        <w:t>Other significant financial results and information (21 – 37)</w:t>
      </w:r>
    </w:p>
    <w:p w:rsidR="00F72906" w:rsidRDefault="00F72906" w:rsidP="00F72906">
      <w:r>
        <w:t>•</w:t>
      </w:r>
      <w:r>
        <w:tab/>
        <w:t>Organisational overview (38 – 46)</w:t>
      </w:r>
    </w:p>
    <w:p w:rsidR="00F72906" w:rsidRDefault="00F72906" w:rsidP="00F72906">
      <w:r>
        <w:t>•</w:t>
      </w:r>
      <w:r>
        <w:tab/>
        <w:t>COVID-19 Expenditure Tracker (47 - 79)</w:t>
      </w:r>
    </w:p>
    <w:p w:rsidR="00F72906" w:rsidRDefault="00F72906" w:rsidP="00F72906">
      <w:r>
        <w:t>•</w:t>
      </w:r>
      <w:r>
        <w:tab/>
        <w:t>Managing the financial Impact of COVID-19 pressures (80 - 84)</w:t>
      </w:r>
    </w:p>
    <w:p w:rsidR="00F72906" w:rsidRDefault="00F72906" w:rsidP="00F72906">
      <w:r>
        <w:t>•</w:t>
      </w:r>
      <w:r>
        <w:tab/>
        <w:t>Going concern (85 - 94)</w:t>
      </w:r>
    </w:p>
    <w:p w:rsidR="00F72906" w:rsidRDefault="00F72906" w:rsidP="00F72906">
      <w:r>
        <w:t>•</w:t>
      </w:r>
      <w:r>
        <w:tab/>
        <w:t>Governance (95 - 97)</w:t>
      </w:r>
    </w:p>
    <w:p w:rsidR="00F72906" w:rsidRDefault="00F72906" w:rsidP="00F72906">
      <w:r>
        <w:t>•</w:t>
      </w:r>
      <w:r>
        <w:tab/>
        <w:t>Financial governance (98 - 99)</w:t>
      </w:r>
    </w:p>
    <w:p w:rsidR="00F72906" w:rsidRDefault="00F72906" w:rsidP="00F72906">
      <w:r>
        <w:t>•</w:t>
      </w:r>
      <w:r>
        <w:tab/>
        <w:t>Looking ahead (100 – 103)</w:t>
      </w:r>
    </w:p>
    <w:p w:rsidR="00F72906" w:rsidRDefault="00F72906" w:rsidP="00F72906"/>
    <w:p w:rsidR="00F72906" w:rsidRPr="00F72906" w:rsidRDefault="00F72906" w:rsidP="00F72906">
      <w:pPr>
        <w:rPr>
          <w:b/>
        </w:rPr>
      </w:pPr>
      <w:r w:rsidRPr="00F72906">
        <w:rPr>
          <w:b/>
        </w:rPr>
        <w:t>Performance in 2019/20</w:t>
      </w:r>
    </w:p>
    <w:p w:rsidR="00F72906" w:rsidRDefault="00F72906" w:rsidP="00F72906">
      <w:r>
        <w:t>1.</w:t>
      </w:r>
      <w:r>
        <w:tab/>
        <w:t>As set out in the table below, whilst there were over and underspends across all services, overall revenue expenditure on council services spent to budget.</w:t>
      </w:r>
    </w:p>
    <w:p w:rsidR="00F72906" w:rsidRPr="00F72906" w:rsidRDefault="00F72906" w:rsidP="00F72906">
      <w:pPr>
        <w:rPr>
          <w:i/>
        </w:rPr>
      </w:pPr>
      <w:r w:rsidRPr="00F72906">
        <w:rPr>
          <w:i/>
        </w:rPr>
        <w:t>Revenue Expenditure</w:t>
      </w:r>
    </w:p>
    <w:p w:rsidR="00F72906" w:rsidRPr="00F72906" w:rsidRDefault="00F72906" w:rsidP="00F72906">
      <w:pPr>
        <w:rPr>
          <w:color w:val="FF0000"/>
        </w:rPr>
      </w:pPr>
      <w:r w:rsidRPr="00F72906">
        <w:rPr>
          <w:color w:val="FF0000"/>
        </w:rPr>
        <w:t>Table 1</w:t>
      </w:r>
    </w:p>
    <w:tbl>
      <w:tblPr>
        <w:tblW w:w="9355" w:type="dxa"/>
        <w:tblInd w:w="274" w:type="dxa"/>
        <w:tblLook w:val="04A0" w:firstRow="1" w:lastRow="0" w:firstColumn="1" w:lastColumn="0" w:noHBand="0" w:noVBand="1"/>
      </w:tblPr>
      <w:tblGrid>
        <w:gridCol w:w="4536"/>
        <w:gridCol w:w="1559"/>
        <w:gridCol w:w="1701"/>
        <w:gridCol w:w="1559"/>
      </w:tblGrid>
      <w:tr w:rsidR="00F72906" w:rsidRPr="009C2DD2" w:rsidTr="0003552F">
        <w:trPr>
          <w:trHeight w:val="840"/>
        </w:trPr>
        <w:tc>
          <w:tcPr>
            <w:tcW w:w="4536" w:type="dxa"/>
            <w:tcBorders>
              <w:top w:val="single" w:sz="8" w:space="0" w:color="auto"/>
              <w:left w:val="single" w:sz="8" w:space="0" w:color="auto"/>
              <w:bottom w:val="single" w:sz="8" w:space="0" w:color="auto"/>
              <w:right w:val="single" w:sz="8" w:space="0" w:color="auto"/>
            </w:tcBorders>
            <w:shd w:val="clear" w:color="000000" w:fill="EDEDED"/>
            <w:vAlign w:val="center"/>
            <w:hideMark/>
          </w:tcPr>
          <w:p w:rsidR="00F72906" w:rsidRPr="009C2DD2" w:rsidRDefault="00F72906" w:rsidP="0003552F">
            <w:pPr>
              <w:rPr>
                <w:rFonts w:cs="Calibri"/>
                <w:b/>
                <w:bCs/>
                <w:color w:val="000000"/>
                <w:sz w:val="20"/>
                <w:szCs w:val="20"/>
                <w:lang w:eastAsia="en-GB"/>
              </w:rPr>
            </w:pPr>
            <w:r w:rsidRPr="009C2DD2">
              <w:rPr>
                <w:rFonts w:cs="Calibri"/>
                <w:b/>
                <w:bCs/>
                <w:color w:val="000000"/>
                <w:sz w:val="20"/>
                <w:szCs w:val="20"/>
                <w:lang w:eastAsia="en-GB"/>
              </w:rPr>
              <w:t xml:space="preserve">Directorate </w:t>
            </w:r>
          </w:p>
        </w:tc>
        <w:tc>
          <w:tcPr>
            <w:tcW w:w="1559" w:type="dxa"/>
            <w:tcBorders>
              <w:top w:val="single" w:sz="8" w:space="0" w:color="auto"/>
              <w:left w:val="nil"/>
              <w:bottom w:val="single" w:sz="8" w:space="0" w:color="auto"/>
              <w:right w:val="single" w:sz="8" w:space="0" w:color="auto"/>
            </w:tcBorders>
            <w:shd w:val="clear" w:color="000000" w:fill="EDEDED"/>
            <w:vAlign w:val="center"/>
            <w:hideMark/>
          </w:tcPr>
          <w:p w:rsidR="00F72906" w:rsidRPr="009C2DD2" w:rsidRDefault="00F72906" w:rsidP="0003552F">
            <w:pPr>
              <w:jc w:val="right"/>
              <w:rPr>
                <w:rFonts w:cs="Calibri"/>
                <w:b/>
                <w:bCs/>
                <w:color w:val="000000"/>
                <w:sz w:val="20"/>
                <w:szCs w:val="20"/>
                <w:lang w:eastAsia="en-GB"/>
              </w:rPr>
            </w:pPr>
            <w:r w:rsidRPr="009C2DD2">
              <w:rPr>
                <w:rFonts w:cs="Calibri"/>
                <w:b/>
                <w:bCs/>
                <w:color w:val="000000"/>
                <w:sz w:val="20"/>
                <w:szCs w:val="20"/>
                <w:lang w:eastAsia="en-GB"/>
              </w:rPr>
              <w:t>Full year Budget £m</w:t>
            </w:r>
          </w:p>
        </w:tc>
        <w:tc>
          <w:tcPr>
            <w:tcW w:w="1701" w:type="dxa"/>
            <w:tcBorders>
              <w:top w:val="single" w:sz="8" w:space="0" w:color="auto"/>
              <w:left w:val="nil"/>
              <w:bottom w:val="single" w:sz="8" w:space="0" w:color="auto"/>
              <w:right w:val="single" w:sz="8" w:space="0" w:color="auto"/>
            </w:tcBorders>
            <w:shd w:val="clear" w:color="000000" w:fill="EDEDED"/>
            <w:vAlign w:val="center"/>
            <w:hideMark/>
          </w:tcPr>
          <w:p w:rsidR="00F72906" w:rsidRPr="009C2DD2" w:rsidRDefault="00F72906" w:rsidP="0003552F">
            <w:pPr>
              <w:jc w:val="right"/>
              <w:rPr>
                <w:rFonts w:cs="Calibri"/>
                <w:b/>
                <w:bCs/>
                <w:color w:val="000000"/>
                <w:sz w:val="20"/>
                <w:szCs w:val="20"/>
                <w:lang w:eastAsia="en-GB"/>
              </w:rPr>
            </w:pPr>
            <w:r w:rsidRPr="009C2DD2">
              <w:rPr>
                <w:rFonts w:cs="Calibri"/>
                <w:b/>
                <w:bCs/>
                <w:color w:val="000000"/>
                <w:sz w:val="20"/>
                <w:szCs w:val="20"/>
                <w:lang w:eastAsia="en-GB"/>
              </w:rPr>
              <w:t>Expenditure £m</w:t>
            </w:r>
          </w:p>
        </w:tc>
        <w:tc>
          <w:tcPr>
            <w:tcW w:w="1559" w:type="dxa"/>
            <w:tcBorders>
              <w:top w:val="single" w:sz="8" w:space="0" w:color="auto"/>
              <w:left w:val="nil"/>
              <w:bottom w:val="single" w:sz="8" w:space="0" w:color="auto"/>
              <w:right w:val="single" w:sz="8" w:space="0" w:color="auto"/>
            </w:tcBorders>
            <w:shd w:val="clear" w:color="000000" w:fill="A8D08D"/>
            <w:vAlign w:val="center"/>
            <w:hideMark/>
          </w:tcPr>
          <w:p w:rsidR="00F72906" w:rsidRPr="009C2DD2" w:rsidRDefault="00F72906" w:rsidP="0003552F">
            <w:pPr>
              <w:jc w:val="right"/>
              <w:rPr>
                <w:rFonts w:cs="Calibri"/>
                <w:b/>
                <w:bCs/>
                <w:color w:val="000000"/>
                <w:sz w:val="20"/>
                <w:szCs w:val="20"/>
                <w:lang w:eastAsia="en-GB"/>
              </w:rPr>
            </w:pPr>
            <w:r w:rsidRPr="009C2DD2">
              <w:rPr>
                <w:rFonts w:cs="Calibri"/>
                <w:b/>
                <w:bCs/>
                <w:color w:val="000000"/>
                <w:sz w:val="20"/>
                <w:szCs w:val="20"/>
                <w:lang w:eastAsia="en-GB"/>
              </w:rPr>
              <w:t>Over / (under) spend £m</w:t>
            </w:r>
          </w:p>
        </w:tc>
      </w:tr>
      <w:tr w:rsidR="00F72906" w:rsidRPr="009C2DD2" w:rsidTr="0003552F">
        <w:trPr>
          <w:trHeight w:val="288"/>
        </w:trPr>
        <w:tc>
          <w:tcPr>
            <w:tcW w:w="4536" w:type="dxa"/>
            <w:tcBorders>
              <w:top w:val="nil"/>
              <w:left w:val="single" w:sz="8" w:space="0" w:color="auto"/>
              <w:bottom w:val="nil"/>
              <w:right w:val="single" w:sz="8" w:space="0" w:color="auto"/>
            </w:tcBorders>
            <w:shd w:val="clear" w:color="000000" w:fill="FFFFFF"/>
            <w:noWrap/>
            <w:vAlign w:val="center"/>
            <w:hideMark/>
          </w:tcPr>
          <w:p w:rsidR="00F72906" w:rsidRPr="009C2DD2" w:rsidRDefault="00F72906" w:rsidP="0003552F">
            <w:pPr>
              <w:rPr>
                <w:rFonts w:cs="Calibri"/>
                <w:color w:val="000000"/>
                <w:sz w:val="20"/>
                <w:szCs w:val="20"/>
                <w:lang w:eastAsia="en-GB"/>
              </w:rPr>
            </w:pPr>
            <w:r w:rsidRPr="009C2DD2">
              <w:rPr>
                <w:rFonts w:cs="Calibri"/>
                <w:color w:val="000000"/>
                <w:sz w:val="20"/>
                <w:szCs w:val="20"/>
                <w:lang w:eastAsia="en-GB"/>
              </w:rPr>
              <w:t>(GF) Children and young people</w:t>
            </w:r>
          </w:p>
        </w:tc>
        <w:tc>
          <w:tcPr>
            <w:tcW w:w="1559" w:type="dxa"/>
            <w:tcBorders>
              <w:top w:val="nil"/>
              <w:left w:val="nil"/>
              <w:bottom w:val="nil"/>
              <w:right w:val="nil"/>
            </w:tcBorders>
            <w:shd w:val="clear" w:color="000000" w:fill="FFFFFF"/>
            <w:noWrap/>
            <w:vAlign w:val="center"/>
            <w:hideMark/>
          </w:tcPr>
          <w:p w:rsidR="00F72906" w:rsidRPr="009C2DD2" w:rsidRDefault="00F72906" w:rsidP="0003552F">
            <w:pPr>
              <w:jc w:val="right"/>
              <w:rPr>
                <w:rFonts w:cs="Calibri"/>
                <w:color w:val="000000"/>
                <w:sz w:val="20"/>
                <w:szCs w:val="20"/>
                <w:lang w:eastAsia="en-GB"/>
              </w:rPr>
            </w:pPr>
            <w:r w:rsidRPr="009C2DD2">
              <w:rPr>
                <w:rFonts w:cs="Calibri"/>
                <w:color w:val="000000"/>
                <w:sz w:val="20"/>
                <w:szCs w:val="20"/>
                <w:lang w:eastAsia="en-GB"/>
              </w:rPr>
              <w:t>48.8</w:t>
            </w:r>
          </w:p>
        </w:tc>
        <w:tc>
          <w:tcPr>
            <w:tcW w:w="1701" w:type="dxa"/>
            <w:tcBorders>
              <w:top w:val="nil"/>
              <w:left w:val="single" w:sz="8" w:space="0" w:color="auto"/>
              <w:bottom w:val="nil"/>
              <w:right w:val="single" w:sz="8" w:space="0" w:color="auto"/>
            </w:tcBorders>
            <w:shd w:val="clear" w:color="000000" w:fill="FFFFFF"/>
            <w:noWrap/>
            <w:vAlign w:val="center"/>
            <w:hideMark/>
          </w:tcPr>
          <w:p w:rsidR="00F72906" w:rsidRPr="009C2DD2" w:rsidRDefault="00F72906" w:rsidP="0003552F">
            <w:pPr>
              <w:jc w:val="right"/>
              <w:rPr>
                <w:rFonts w:cs="Calibri"/>
                <w:color w:val="000000"/>
                <w:sz w:val="20"/>
                <w:szCs w:val="20"/>
                <w:lang w:eastAsia="en-GB"/>
              </w:rPr>
            </w:pPr>
            <w:r w:rsidRPr="009C2DD2">
              <w:rPr>
                <w:rFonts w:cs="Calibri"/>
                <w:color w:val="000000"/>
                <w:sz w:val="20"/>
                <w:szCs w:val="20"/>
                <w:lang w:eastAsia="en-GB"/>
              </w:rPr>
              <w:t>50.3</w:t>
            </w:r>
          </w:p>
        </w:tc>
        <w:tc>
          <w:tcPr>
            <w:tcW w:w="1559" w:type="dxa"/>
            <w:tcBorders>
              <w:top w:val="nil"/>
              <w:left w:val="nil"/>
              <w:bottom w:val="nil"/>
              <w:right w:val="single" w:sz="8" w:space="0" w:color="auto"/>
            </w:tcBorders>
            <w:shd w:val="clear" w:color="000000" w:fill="A8D08D"/>
            <w:noWrap/>
            <w:vAlign w:val="center"/>
            <w:hideMark/>
          </w:tcPr>
          <w:p w:rsidR="00F72906" w:rsidRPr="009C2DD2" w:rsidRDefault="00F72906" w:rsidP="0003552F">
            <w:pPr>
              <w:jc w:val="right"/>
              <w:rPr>
                <w:rFonts w:cs="Calibri"/>
                <w:b/>
                <w:bCs/>
                <w:color w:val="000000"/>
                <w:sz w:val="20"/>
                <w:szCs w:val="20"/>
                <w:lang w:eastAsia="en-GB"/>
              </w:rPr>
            </w:pPr>
            <w:r w:rsidRPr="009C2DD2">
              <w:rPr>
                <w:rFonts w:cs="Calibri"/>
                <w:b/>
                <w:bCs/>
                <w:color w:val="000000"/>
                <w:sz w:val="20"/>
                <w:szCs w:val="20"/>
                <w:lang w:eastAsia="en-GB"/>
              </w:rPr>
              <w:t>1.5</w:t>
            </w:r>
          </w:p>
        </w:tc>
      </w:tr>
      <w:tr w:rsidR="00F72906" w:rsidRPr="009C2DD2" w:rsidTr="0003552F">
        <w:trPr>
          <w:trHeight w:val="288"/>
        </w:trPr>
        <w:tc>
          <w:tcPr>
            <w:tcW w:w="4536" w:type="dxa"/>
            <w:tcBorders>
              <w:top w:val="nil"/>
              <w:left w:val="single" w:sz="8" w:space="0" w:color="auto"/>
              <w:bottom w:val="nil"/>
              <w:right w:val="single" w:sz="8" w:space="0" w:color="auto"/>
            </w:tcBorders>
            <w:shd w:val="clear" w:color="000000" w:fill="FFFFFF"/>
            <w:vAlign w:val="center"/>
            <w:hideMark/>
          </w:tcPr>
          <w:p w:rsidR="00F72906" w:rsidRPr="009C2DD2" w:rsidRDefault="00F72906" w:rsidP="0003552F">
            <w:pPr>
              <w:rPr>
                <w:rFonts w:cs="Calibri"/>
                <w:color w:val="000000"/>
                <w:sz w:val="20"/>
                <w:szCs w:val="20"/>
                <w:lang w:eastAsia="en-GB"/>
              </w:rPr>
            </w:pPr>
            <w:r w:rsidRPr="009C2DD2">
              <w:rPr>
                <w:rFonts w:cs="Calibri"/>
                <w:color w:val="000000"/>
                <w:sz w:val="20"/>
                <w:szCs w:val="20"/>
                <w:lang w:eastAsia="en-GB"/>
              </w:rPr>
              <w:t xml:space="preserve">(GF) Community wellbeing </w:t>
            </w:r>
          </w:p>
        </w:tc>
        <w:tc>
          <w:tcPr>
            <w:tcW w:w="1559" w:type="dxa"/>
            <w:tcBorders>
              <w:top w:val="nil"/>
              <w:left w:val="nil"/>
              <w:bottom w:val="nil"/>
              <w:right w:val="nil"/>
            </w:tcBorders>
            <w:shd w:val="clear" w:color="000000" w:fill="FFFFFF"/>
            <w:vAlign w:val="center"/>
            <w:hideMark/>
          </w:tcPr>
          <w:p w:rsidR="00F72906" w:rsidRPr="009C2DD2" w:rsidRDefault="00F72906" w:rsidP="0003552F">
            <w:pPr>
              <w:jc w:val="right"/>
              <w:rPr>
                <w:rFonts w:cs="Calibri"/>
                <w:color w:val="000000"/>
                <w:sz w:val="20"/>
                <w:szCs w:val="20"/>
                <w:lang w:eastAsia="en-GB"/>
              </w:rPr>
            </w:pPr>
            <w:r w:rsidRPr="009C2DD2">
              <w:rPr>
                <w:rFonts w:cs="Calibri"/>
                <w:color w:val="000000"/>
                <w:sz w:val="20"/>
                <w:szCs w:val="20"/>
                <w:lang w:eastAsia="en-GB"/>
              </w:rPr>
              <w:t>136.6</w:t>
            </w:r>
          </w:p>
        </w:tc>
        <w:tc>
          <w:tcPr>
            <w:tcW w:w="1701" w:type="dxa"/>
            <w:tcBorders>
              <w:top w:val="nil"/>
              <w:left w:val="single" w:sz="8" w:space="0" w:color="auto"/>
              <w:bottom w:val="nil"/>
              <w:right w:val="single" w:sz="8" w:space="0" w:color="auto"/>
            </w:tcBorders>
            <w:shd w:val="clear" w:color="000000" w:fill="FFFFFF"/>
            <w:vAlign w:val="center"/>
            <w:hideMark/>
          </w:tcPr>
          <w:p w:rsidR="00F72906" w:rsidRPr="009C2DD2" w:rsidRDefault="00F72906" w:rsidP="0003552F">
            <w:pPr>
              <w:jc w:val="right"/>
              <w:rPr>
                <w:rFonts w:cs="Calibri"/>
                <w:color w:val="000000"/>
                <w:sz w:val="20"/>
                <w:szCs w:val="20"/>
                <w:lang w:eastAsia="en-GB"/>
              </w:rPr>
            </w:pPr>
            <w:r w:rsidRPr="009C2DD2">
              <w:rPr>
                <w:rFonts w:cs="Calibri"/>
                <w:color w:val="000000"/>
                <w:sz w:val="20"/>
                <w:szCs w:val="20"/>
                <w:lang w:eastAsia="en-GB"/>
              </w:rPr>
              <w:t>137.2</w:t>
            </w:r>
          </w:p>
        </w:tc>
        <w:tc>
          <w:tcPr>
            <w:tcW w:w="1559" w:type="dxa"/>
            <w:tcBorders>
              <w:top w:val="nil"/>
              <w:left w:val="nil"/>
              <w:bottom w:val="nil"/>
              <w:right w:val="single" w:sz="8" w:space="0" w:color="auto"/>
            </w:tcBorders>
            <w:shd w:val="clear" w:color="000000" w:fill="A8D08D"/>
            <w:vAlign w:val="center"/>
            <w:hideMark/>
          </w:tcPr>
          <w:p w:rsidR="00F72906" w:rsidRPr="009C2DD2" w:rsidRDefault="00F72906" w:rsidP="0003552F">
            <w:pPr>
              <w:jc w:val="right"/>
              <w:rPr>
                <w:rFonts w:cs="Calibri"/>
                <w:b/>
                <w:bCs/>
                <w:color w:val="000000"/>
                <w:sz w:val="20"/>
                <w:szCs w:val="20"/>
                <w:lang w:eastAsia="en-GB"/>
              </w:rPr>
            </w:pPr>
            <w:r w:rsidRPr="009C2DD2">
              <w:rPr>
                <w:rFonts w:cs="Calibri"/>
                <w:b/>
                <w:bCs/>
                <w:color w:val="000000"/>
                <w:sz w:val="20"/>
                <w:szCs w:val="20"/>
                <w:lang w:eastAsia="en-GB"/>
              </w:rPr>
              <w:t>0.6</w:t>
            </w:r>
          </w:p>
        </w:tc>
      </w:tr>
      <w:tr w:rsidR="00F72906" w:rsidRPr="009C2DD2" w:rsidTr="0003552F">
        <w:trPr>
          <w:trHeight w:val="288"/>
        </w:trPr>
        <w:tc>
          <w:tcPr>
            <w:tcW w:w="4536" w:type="dxa"/>
            <w:tcBorders>
              <w:top w:val="nil"/>
              <w:left w:val="single" w:sz="8" w:space="0" w:color="auto"/>
              <w:bottom w:val="nil"/>
              <w:right w:val="single" w:sz="8" w:space="0" w:color="auto"/>
            </w:tcBorders>
            <w:shd w:val="clear" w:color="000000" w:fill="FFFFFF"/>
            <w:noWrap/>
            <w:vAlign w:val="center"/>
            <w:hideMark/>
          </w:tcPr>
          <w:p w:rsidR="00F72906" w:rsidRPr="009C2DD2" w:rsidRDefault="00F72906" w:rsidP="0003552F">
            <w:pPr>
              <w:rPr>
                <w:rFonts w:cs="Calibri"/>
                <w:color w:val="000000"/>
                <w:sz w:val="20"/>
                <w:szCs w:val="20"/>
                <w:lang w:eastAsia="en-GB"/>
              </w:rPr>
            </w:pPr>
            <w:r w:rsidRPr="009C2DD2">
              <w:rPr>
                <w:rFonts w:cs="Calibri"/>
                <w:color w:val="000000"/>
                <w:sz w:val="20"/>
                <w:szCs w:val="20"/>
                <w:lang w:eastAsia="en-GB"/>
              </w:rPr>
              <w:t>Assistant Chief Executive</w:t>
            </w:r>
          </w:p>
        </w:tc>
        <w:tc>
          <w:tcPr>
            <w:tcW w:w="1559" w:type="dxa"/>
            <w:tcBorders>
              <w:top w:val="nil"/>
              <w:left w:val="nil"/>
              <w:bottom w:val="nil"/>
              <w:right w:val="nil"/>
            </w:tcBorders>
            <w:shd w:val="clear" w:color="000000" w:fill="FFFFFF"/>
            <w:noWrap/>
            <w:vAlign w:val="center"/>
            <w:hideMark/>
          </w:tcPr>
          <w:p w:rsidR="00F72906" w:rsidRPr="009C2DD2" w:rsidRDefault="00F72906" w:rsidP="0003552F">
            <w:pPr>
              <w:jc w:val="right"/>
              <w:rPr>
                <w:rFonts w:cs="Calibri"/>
                <w:color w:val="000000"/>
                <w:sz w:val="20"/>
                <w:szCs w:val="20"/>
                <w:lang w:eastAsia="en-GB"/>
              </w:rPr>
            </w:pPr>
            <w:r w:rsidRPr="009C2DD2">
              <w:rPr>
                <w:rFonts w:cs="Calibri"/>
                <w:color w:val="000000"/>
                <w:sz w:val="20"/>
                <w:szCs w:val="20"/>
                <w:lang w:eastAsia="en-GB"/>
              </w:rPr>
              <w:t>7.8</w:t>
            </w:r>
          </w:p>
        </w:tc>
        <w:tc>
          <w:tcPr>
            <w:tcW w:w="1701" w:type="dxa"/>
            <w:tcBorders>
              <w:top w:val="nil"/>
              <w:left w:val="single" w:sz="8" w:space="0" w:color="auto"/>
              <w:bottom w:val="nil"/>
              <w:right w:val="single" w:sz="8" w:space="0" w:color="auto"/>
            </w:tcBorders>
            <w:shd w:val="clear" w:color="000000" w:fill="FFFFFF"/>
            <w:noWrap/>
            <w:vAlign w:val="center"/>
            <w:hideMark/>
          </w:tcPr>
          <w:p w:rsidR="00F72906" w:rsidRPr="009C2DD2" w:rsidRDefault="00F72906" w:rsidP="0003552F">
            <w:pPr>
              <w:jc w:val="right"/>
              <w:rPr>
                <w:rFonts w:cs="Calibri"/>
                <w:color w:val="000000"/>
                <w:sz w:val="20"/>
                <w:szCs w:val="20"/>
                <w:lang w:eastAsia="en-GB"/>
              </w:rPr>
            </w:pPr>
            <w:r w:rsidRPr="009C2DD2">
              <w:rPr>
                <w:rFonts w:cs="Calibri"/>
                <w:color w:val="000000"/>
                <w:sz w:val="20"/>
                <w:szCs w:val="20"/>
                <w:lang w:eastAsia="en-GB"/>
              </w:rPr>
              <w:t>7.8</w:t>
            </w:r>
          </w:p>
        </w:tc>
        <w:tc>
          <w:tcPr>
            <w:tcW w:w="1559" w:type="dxa"/>
            <w:tcBorders>
              <w:top w:val="nil"/>
              <w:left w:val="nil"/>
              <w:bottom w:val="nil"/>
              <w:right w:val="single" w:sz="8" w:space="0" w:color="auto"/>
            </w:tcBorders>
            <w:shd w:val="clear" w:color="000000" w:fill="A8D08D"/>
            <w:noWrap/>
            <w:vAlign w:val="center"/>
            <w:hideMark/>
          </w:tcPr>
          <w:p w:rsidR="00F72906" w:rsidRPr="009C2DD2" w:rsidRDefault="00F72906" w:rsidP="0003552F">
            <w:pPr>
              <w:jc w:val="right"/>
              <w:rPr>
                <w:rFonts w:cs="Calibri"/>
                <w:b/>
                <w:bCs/>
                <w:color w:val="000000"/>
                <w:sz w:val="20"/>
                <w:szCs w:val="20"/>
                <w:lang w:eastAsia="en-GB"/>
              </w:rPr>
            </w:pPr>
            <w:r w:rsidRPr="009C2DD2">
              <w:rPr>
                <w:rFonts w:cs="Calibri"/>
                <w:b/>
                <w:bCs/>
                <w:color w:val="000000"/>
                <w:sz w:val="20"/>
                <w:szCs w:val="20"/>
                <w:lang w:eastAsia="en-GB"/>
              </w:rPr>
              <w:t>0.0</w:t>
            </w:r>
          </w:p>
        </w:tc>
      </w:tr>
      <w:tr w:rsidR="00F72906" w:rsidRPr="009C2DD2" w:rsidTr="0003552F">
        <w:trPr>
          <w:trHeight w:val="288"/>
        </w:trPr>
        <w:tc>
          <w:tcPr>
            <w:tcW w:w="4536" w:type="dxa"/>
            <w:tcBorders>
              <w:top w:val="nil"/>
              <w:left w:val="single" w:sz="8" w:space="0" w:color="auto"/>
              <w:bottom w:val="nil"/>
              <w:right w:val="single" w:sz="8" w:space="0" w:color="auto"/>
            </w:tcBorders>
            <w:shd w:val="clear" w:color="000000" w:fill="FFFFFF"/>
            <w:noWrap/>
            <w:vAlign w:val="center"/>
            <w:hideMark/>
          </w:tcPr>
          <w:p w:rsidR="00F72906" w:rsidRPr="009C2DD2" w:rsidRDefault="00F72906" w:rsidP="0003552F">
            <w:pPr>
              <w:rPr>
                <w:rFonts w:cs="Calibri"/>
                <w:color w:val="000000"/>
                <w:sz w:val="20"/>
                <w:szCs w:val="20"/>
                <w:lang w:eastAsia="en-GB"/>
              </w:rPr>
            </w:pPr>
            <w:r w:rsidRPr="009C2DD2">
              <w:rPr>
                <w:rFonts w:cs="Calibri"/>
                <w:color w:val="000000"/>
                <w:sz w:val="20"/>
                <w:szCs w:val="20"/>
                <w:lang w:eastAsia="en-GB"/>
              </w:rPr>
              <w:t>Customer and Digital Services</w:t>
            </w:r>
          </w:p>
        </w:tc>
        <w:tc>
          <w:tcPr>
            <w:tcW w:w="1559" w:type="dxa"/>
            <w:tcBorders>
              <w:top w:val="nil"/>
              <w:left w:val="nil"/>
              <w:bottom w:val="nil"/>
              <w:right w:val="nil"/>
            </w:tcBorders>
            <w:shd w:val="clear" w:color="000000" w:fill="FFFFFF"/>
            <w:noWrap/>
            <w:vAlign w:val="center"/>
            <w:hideMark/>
          </w:tcPr>
          <w:p w:rsidR="00F72906" w:rsidRPr="009C2DD2" w:rsidRDefault="00F72906" w:rsidP="0003552F">
            <w:pPr>
              <w:jc w:val="right"/>
              <w:rPr>
                <w:rFonts w:cs="Calibri"/>
                <w:color w:val="000000"/>
                <w:sz w:val="20"/>
                <w:szCs w:val="20"/>
                <w:lang w:eastAsia="en-GB"/>
              </w:rPr>
            </w:pPr>
            <w:r w:rsidRPr="009C2DD2">
              <w:rPr>
                <w:rFonts w:cs="Calibri"/>
                <w:color w:val="000000"/>
                <w:sz w:val="20"/>
                <w:szCs w:val="20"/>
                <w:lang w:eastAsia="en-GB"/>
              </w:rPr>
              <w:t>21.2</w:t>
            </w:r>
          </w:p>
        </w:tc>
        <w:tc>
          <w:tcPr>
            <w:tcW w:w="1701" w:type="dxa"/>
            <w:tcBorders>
              <w:top w:val="nil"/>
              <w:left w:val="single" w:sz="8" w:space="0" w:color="auto"/>
              <w:bottom w:val="nil"/>
              <w:right w:val="single" w:sz="8" w:space="0" w:color="auto"/>
            </w:tcBorders>
            <w:shd w:val="clear" w:color="000000" w:fill="FFFFFF"/>
            <w:noWrap/>
            <w:vAlign w:val="center"/>
            <w:hideMark/>
          </w:tcPr>
          <w:p w:rsidR="00F72906" w:rsidRPr="009C2DD2" w:rsidRDefault="00F72906" w:rsidP="0003552F">
            <w:pPr>
              <w:jc w:val="right"/>
              <w:rPr>
                <w:rFonts w:cs="Calibri"/>
                <w:color w:val="000000"/>
                <w:sz w:val="20"/>
                <w:szCs w:val="20"/>
                <w:lang w:eastAsia="en-GB"/>
              </w:rPr>
            </w:pPr>
            <w:r w:rsidRPr="009C2DD2">
              <w:rPr>
                <w:rFonts w:cs="Calibri"/>
                <w:color w:val="000000"/>
                <w:sz w:val="20"/>
                <w:szCs w:val="20"/>
                <w:lang w:eastAsia="en-GB"/>
              </w:rPr>
              <w:t>21.2</w:t>
            </w:r>
          </w:p>
        </w:tc>
        <w:tc>
          <w:tcPr>
            <w:tcW w:w="1559" w:type="dxa"/>
            <w:tcBorders>
              <w:top w:val="nil"/>
              <w:left w:val="nil"/>
              <w:bottom w:val="nil"/>
              <w:right w:val="single" w:sz="8" w:space="0" w:color="auto"/>
            </w:tcBorders>
            <w:shd w:val="clear" w:color="000000" w:fill="A8D08D"/>
            <w:noWrap/>
            <w:vAlign w:val="center"/>
            <w:hideMark/>
          </w:tcPr>
          <w:p w:rsidR="00F72906" w:rsidRPr="009C2DD2" w:rsidRDefault="00F72906" w:rsidP="0003552F">
            <w:pPr>
              <w:jc w:val="right"/>
              <w:rPr>
                <w:rFonts w:cs="Calibri"/>
                <w:b/>
                <w:bCs/>
                <w:color w:val="000000"/>
                <w:sz w:val="20"/>
                <w:szCs w:val="20"/>
                <w:lang w:eastAsia="en-GB"/>
              </w:rPr>
            </w:pPr>
            <w:r w:rsidRPr="009C2DD2">
              <w:rPr>
                <w:rFonts w:cs="Calibri"/>
                <w:b/>
                <w:bCs/>
                <w:color w:val="000000"/>
                <w:sz w:val="20"/>
                <w:szCs w:val="20"/>
                <w:lang w:eastAsia="en-GB"/>
              </w:rPr>
              <w:t>0.0</w:t>
            </w:r>
          </w:p>
        </w:tc>
      </w:tr>
      <w:tr w:rsidR="00F72906" w:rsidRPr="009C2DD2" w:rsidTr="0003552F">
        <w:trPr>
          <w:trHeight w:val="288"/>
        </w:trPr>
        <w:tc>
          <w:tcPr>
            <w:tcW w:w="4536" w:type="dxa"/>
            <w:tcBorders>
              <w:top w:val="nil"/>
              <w:left w:val="single" w:sz="8" w:space="0" w:color="auto"/>
              <w:bottom w:val="nil"/>
              <w:right w:val="single" w:sz="8" w:space="0" w:color="auto"/>
            </w:tcBorders>
            <w:shd w:val="clear" w:color="000000" w:fill="FFFFFF"/>
            <w:noWrap/>
            <w:vAlign w:val="center"/>
            <w:hideMark/>
          </w:tcPr>
          <w:p w:rsidR="00F72906" w:rsidRPr="009C2DD2" w:rsidRDefault="00F72906" w:rsidP="0003552F">
            <w:pPr>
              <w:rPr>
                <w:rFonts w:cs="Calibri"/>
                <w:color w:val="000000"/>
                <w:sz w:val="20"/>
                <w:szCs w:val="20"/>
                <w:lang w:eastAsia="en-GB"/>
              </w:rPr>
            </w:pPr>
            <w:r w:rsidRPr="009C2DD2">
              <w:rPr>
                <w:rFonts w:cs="Calibri"/>
                <w:color w:val="000000"/>
                <w:sz w:val="20"/>
                <w:szCs w:val="20"/>
                <w:lang w:eastAsia="en-GB"/>
              </w:rPr>
              <w:t>Chief Executive Department</w:t>
            </w:r>
          </w:p>
        </w:tc>
        <w:tc>
          <w:tcPr>
            <w:tcW w:w="1559" w:type="dxa"/>
            <w:tcBorders>
              <w:top w:val="nil"/>
              <w:left w:val="nil"/>
              <w:bottom w:val="nil"/>
              <w:right w:val="nil"/>
            </w:tcBorders>
            <w:shd w:val="clear" w:color="000000" w:fill="FFFFFF"/>
            <w:noWrap/>
            <w:vAlign w:val="center"/>
            <w:hideMark/>
          </w:tcPr>
          <w:p w:rsidR="00F72906" w:rsidRPr="009C2DD2" w:rsidRDefault="00F72906" w:rsidP="0003552F">
            <w:pPr>
              <w:jc w:val="right"/>
              <w:rPr>
                <w:rFonts w:cs="Calibri"/>
                <w:color w:val="000000"/>
                <w:sz w:val="20"/>
                <w:szCs w:val="20"/>
                <w:lang w:eastAsia="en-GB"/>
              </w:rPr>
            </w:pPr>
            <w:r w:rsidRPr="009C2DD2">
              <w:rPr>
                <w:rFonts w:cs="Calibri"/>
                <w:color w:val="000000"/>
                <w:sz w:val="20"/>
                <w:szCs w:val="20"/>
                <w:lang w:eastAsia="en-GB"/>
              </w:rPr>
              <w:t>16.6</w:t>
            </w:r>
          </w:p>
        </w:tc>
        <w:tc>
          <w:tcPr>
            <w:tcW w:w="1701" w:type="dxa"/>
            <w:tcBorders>
              <w:top w:val="nil"/>
              <w:left w:val="single" w:sz="8" w:space="0" w:color="auto"/>
              <w:bottom w:val="nil"/>
              <w:right w:val="single" w:sz="8" w:space="0" w:color="auto"/>
            </w:tcBorders>
            <w:shd w:val="clear" w:color="000000" w:fill="FFFFFF"/>
            <w:vAlign w:val="center"/>
            <w:hideMark/>
          </w:tcPr>
          <w:p w:rsidR="00F72906" w:rsidRPr="009C2DD2" w:rsidRDefault="00F72906" w:rsidP="0003552F">
            <w:pPr>
              <w:jc w:val="right"/>
              <w:rPr>
                <w:rFonts w:cs="Calibri"/>
                <w:color w:val="000000"/>
                <w:sz w:val="20"/>
                <w:szCs w:val="20"/>
                <w:lang w:eastAsia="en-GB"/>
              </w:rPr>
            </w:pPr>
            <w:r w:rsidRPr="009C2DD2">
              <w:rPr>
                <w:rFonts w:cs="Calibri"/>
                <w:color w:val="000000"/>
                <w:sz w:val="20"/>
                <w:szCs w:val="20"/>
                <w:lang w:eastAsia="en-GB"/>
              </w:rPr>
              <w:t>16.6</w:t>
            </w:r>
          </w:p>
        </w:tc>
        <w:tc>
          <w:tcPr>
            <w:tcW w:w="1559" w:type="dxa"/>
            <w:tcBorders>
              <w:top w:val="nil"/>
              <w:left w:val="nil"/>
              <w:bottom w:val="nil"/>
              <w:right w:val="single" w:sz="8" w:space="0" w:color="auto"/>
            </w:tcBorders>
            <w:shd w:val="clear" w:color="000000" w:fill="A8D08D"/>
            <w:vAlign w:val="center"/>
            <w:hideMark/>
          </w:tcPr>
          <w:p w:rsidR="00F72906" w:rsidRPr="009C2DD2" w:rsidRDefault="00F72906" w:rsidP="0003552F">
            <w:pPr>
              <w:jc w:val="right"/>
              <w:rPr>
                <w:rFonts w:cs="Calibri"/>
                <w:b/>
                <w:bCs/>
                <w:color w:val="000000"/>
                <w:sz w:val="20"/>
                <w:szCs w:val="20"/>
                <w:lang w:eastAsia="en-GB"/>
              </w:rPr>
            </w:pPr>
            <w:r w:rsidRPr="009C2DD2">
              <w:rPr>
                <w:rFonts w:cs="Calibri"/>
                <w:b/>
                <w:bCs/>
                <w:color w:val="000000"/>
                <w:sz w:val="20"/>
                <w:szCs w:val="20"/>
                <w:lang w:eastAsia="en-GB"/>
              </w:rPr>
              <w:t>0.0</w:t>
            </w:r>
          </w:p>
        </w:tc>
      </w:tr>
      <w:tr w:rsidR="00F72906" w:rsidRPr="009C2DD2" w:rsidTr="0003552F">
        <w:trPr>
          <w:trHeight w:val="288"/>
        </w:trPr>
        <w:tc>
          <w:tcPr>
            <w:tcW w:w="4536" w:type="dxa"/>
            <w:tcBorders>
              <w:top w:val="nil"/>
              <w:left w:val="single" w:sz="8" w:space="0" w:color="auto"/>
              <w:bottom w:val="nil"/>
              <w:right w:val="single" w:sz="8" w:space="0" w:color="auto"/>
            </w:tcBorders>
            <w:shd w:val="clear" w:color="000000" w:fill="FFFFFF"/>
            <w:noWrap/>
            <w:vAlign w:val="center"/>
            <w:hideMark/>
          </w:tcPr>
          <w:p w:rsidR="00F72906" w:rsidRPr="009C2DD2" w:rsidRDefault="00F72906" w:rsidP="0003552F">
            <w:pPr>
              <w:rPr>
                <w:rFonts w:cs="Calibri"/>
                <w:color w:val="000000"/>
                <w:sz w:val="20"/>
                <w:szCs w:val="20"/>
                <w:lang w:eastAsia="en-GB"/>
              </w:rPr>
            </w:pPr>
            <w:r w:rsidRPr="009C2DD2">
              <w:rPr>
                <w:rFonts w:cs="Calibri"/>
                <w:color w:val="000000"/>
                <w:sz w:val="20"/>
                <w:szCs w:val="20"/>
                <w:lang w:eastAsia="en-GB"/>
              </w:rPr>
              <w:t>Regeneration &amp; environment</w:t>
            </w:r>
          </w:p>
        </w:tc>
        <w:tc>
          <w:tcPr>
            <w:tcW w:w="1559" w:type="dxa"/>
            <w:tcBorders>
              <w:top w:val="nil"/>
              <w:left w:val="nil"/>
              <w:bottom w:val="nil"/>
              <w:right w:val="nil"/>
            </w:tcBorders>
            <w:shd w:val="clear" w:color="000000" w:fill="FFFFFF"/>
            <w:noWrap/>
            <w:vAlign w:val="center"/>
            <w:hideMark/>
          </w:tcPr>
          <w:p w:rsidR="00F72906" w:rsidRPr="009C2DD2" w:rsidRDefault="00F72906" w:rsidP="0003552F">
            <w:pPr>
              <w:jc w:val="right"/>
              <w:rPr>
                <w:rFonts w:cs="Calibri"/>
                <w:color w:val="000000"/>
                <w:sz w:val="20"/>
                <w:szCs w:val="20"/>
                <w:lang w:eastAsia="en-GB"/>
              </w:rPr>
            </w:pPr>
            <w:r w:rsidRPr="009C2DD2">
              <w:rPr>
                <w:rFonts w:cs="Calibri"/>
                <w:color w:val="000000"/>
                <w:sz w:val="20"/>
                <w:szCs w:val="20"/>
                <w:lang w:eastAsia="en-GB"/>
              </w:rPr>
              <w:t>40.2</w:t>
            </w:r>
          </w:p>
        </w:tc>
        <w:tc>
          <w:tcPr>
            <w:tcW w:w="1701" w:type="dxa"/>
            <w:tcBorders>
              <w:top w:val="nil"/>
              <w:left w:val="single" w:sz="8" w:space="0" w:color="auto"/>
              <w:bottom w:val="nil"/>
              <w:right w:val="single" w:sz="8" w:space="0" w:color="auto"/>
            </w:tcBorders>
            <w:shd w:val="clear" w:color="000000" w:fill="FFFFFF"/>
            <w:vAlign w:val="center"/>
            <w:hideMark/>
          </w:tcPr>
          <w:p w:rsidR="00F72906" w:rsidRPr="009C2DD2" w:rsidRDefault="00F72906" w:rsidP="0003552F">
            <w:pPr>
              <w:jc w:val="right"/>
              <w:rPr>
                <w:rFonts w:cs="Calibri"/>
                <w:color w:val="000000"/>
                <w:sz w:val="20"/>
                <w:szCs w:val="20"/>
                <w:lang w:eastAsia="en-GB"/>
              </w:rPr>
            </w:pPr>
            <w:r w:rsidRPr="009C2DD2">
              <w:rPr>
                <w:rFonts w:cs="Calibri"/>
                <w:color w:val="000000"/>
                <w:sz w:val="20"/>
                <w:szCs w:val="20"/>
                <w:lang w:eastAsia="en-GB"/>
              </w:rPr>
              <w:t>38.1</w:t>
            </w:r>
          </w:p>
        </w:tc>
        <w:tc>
          <w:tcPr>
            <w:tcW w:w="1559" w:type="dxa"/>
            <w:tcBorders>
              <w:top w:val="nil"/>
              <w:left w:val="nil"/>
              <w:bottom w:val="nil"/>
              <w:right w:val="single" w:sz="8" w:space="0" w:color="auto"/>
            </w:tcBorders>
            <w:shd w:val="clear" w:color="000000" w:fill="A8D08D"/>
            <w:vAlign w:val="center"/>
            <w:hideMark/>
          </w:tcPr>
          <w:p w:rsidR="00F72906" w:rsidRPr="009C2DD2" w:rsidRDefault="00F72906" w:rsidP="0003552F">
            <w:pPr>
              <w:jc w:val="right"/>
              <w:rPr>
                <w:rFonts w:cs="Calibri"/>
                <w:b/>
                <w:bCs/>
                <w:color w:val="000000"/>
                <w:sz w:val="20"/>
                <w:szCs w:val="20"/>
                <w:lang w:eastAsia="en-GB"/>
              </w:rPr>
            </w:pPr>
            <w:r w:rsidRPr="009C2DD2">
              <w:rPr>
                <w:rFonts w:cs="Calibri"/>
                <w:b/>
                <w:bCs/>
                <w:color w:val="000000"/>
                <w:sz w:val="20"/>
                <w:szCs w:val="20"/>
                <w:lang w:eastAsia="en-GB"/>
              </w:rPr>
              <w:t>(2.1)</w:t>
            </w:r>
          </w:p>
        </w:tc>
      </w:tr>
      <w:tr w:rsidR="00F72906" w:rsidRPr="009C2DD2" w:rsidTr="0003552F">
        <w:trPr>
          <w:trHeight w:val="288"/>
        </w:trPr>
        <w:tc>
          <w:tcPr>
            <w:tcW w:w="4536" w:type="dxa"/>
            <w:tcBorders>
              <w:top w:val="nil"/>
              <w:left w:val="single" w:sz="8" w:space="0" w:color="auto"/>
              <w:bottom w:val="nil"/>
              <w:right w:val="single" w:sz="8" w:space="0" w:color="auto"/>
            </w:tcBorders>
            <w:shd w:val="clear" w:color="000000" w:fill="FFFFFF"/>
            <w:noWrap/>
            <w:vAlign w:val="center"/>
            <w:hideMark/>
          </w:tcPr>
          <w:p w:rsidR="00F72906" w:rsidRPr="009C2DD2" w:rsidRDefault="00F72906" w:rsidP="0003552F">
            <w:pPr>
              <w:rPr>
                <w:rFonts w:cs="Calibri"/>
                <w:color w:val="000000"/>
                <w:sz w:val="20"/>
                <w:szCs w:val="20"/>
                <w:lang w:eastAsia="en-GB"/>
              </w:rPr>
            </w:pPr>
            <w:r w:rsidRPr="009C2DD2">
              <w:rPr>
                <w:rFonts w:cs="Calibri"/>
                <w:color w:val="000000"/>
                <w:sz w:val="20"/>
                <w:szCs w:val="20"/>
                <w:lang w:eastAsia="en-GB"/>
              </w:rPr>
              <w:t> </w:t>
            </w:r>
          </w:p>
        </w:tc>
        <w:tc>
          <w:tcPr>
            <w:tcW w:w="1559" w:type="dxa"/>
            <w:tcBorders>
              <w:top w:val="nil"/>
              <w:left w:val="nil"/>
              <w:bottom w:val="nil"/>
              <w:right w:val="nil"/>
            </w:tcBorders>
            <w:shd w:val="clear" w:color="000000" w:fill="FFFFFF"/>
            <w:noWrap/>
            <w:hideMark/>
          </w:tcPr>
          <w:p w:rsidR="00F72906" w:rsidRPr="009C2DD2" w:rsidRDefault="00F72906" w:rsidP="0003552F">
            <w:pPr>
              <w:rPr>
                <w:rFonts w:cs="Calibri"/>
                <w:color w:val="000000"/>
                <w:lang w:eastAsia="en-GB"/>
              </w:rPr>
            </w:pPr>
            <w:r w:rsidRPr="009C2DD2">
              <w:rPr>
                <w:rFonts w:cs="Calibri"/>
                <w:color w:val="000000"/>
                <w:lang w:eastAsia="en-GB"/>
              </w:rPr>
              <w:t> </w:t>
            </w:r>
          </w:p>
        </w:tc>
        <w:tc>
          <w:tcPr>
            <w:tcW w:w="1701" w:type="dxa"/>
            <w:tcBorders>
              <w:top w:val="nil"/>
              <w:left w:val="single" w:sz="8" w:space="0" w:color="auto"/>
              <w:bottom w:val="nil"/>
              <w:right w:val="single" w:sz="8" w:space="0" w:color="auto"/>
            </w:tcBorders>
            <w:shd w:val="clear" w:color="000000" w:fill="FFFFFF"/>
            <w:noWrap/>
            <w:vAlign w:val="center"/>
            <w:hideMark/>
          </w:tcPr>
          <w:p w:rsidR="00F72906" w:rsidRPr="009C2DD2" w:rsidRDefault="00F72906" w:rsidP="0003552F">
            <w:pPr>
              <w:jc w:val="right"/>
              <w:rPr>
                <w:rFonts w:cs="Calibri"/>
                <w:color w:val="000000"/>
                <w:sz w:val="20"/>
                <w:szCs w:val="20"/>
                <w:lang w:eastAsia="en-GB"/>
              </w:rPr>
            </w:pPr>
            <w:r w:rsidRPr="009C2DD2">
              <w:rPr>
                <w:rFonts w:cs="Calibri"/>
                <w:color w:val="000000"/>
                <w:sz w:val="20"/>
                <w:szCs w:val="20"/>
                <w:lang w:eastAsia="en-GB"/>
              </w:rPr>
              <w:t> </w:t>
            </w:r>
          </w:p>
        </w:tc>
        <w:tc>
          <w:tcPr>
            <w:tcW w:w="1559" w:type="dxa"/>
            <w:tcBorders>
              <w:top w:val="nil"/>
              <w:left w:val="nil"/>
              <w:bottom w:val="nil"/>
              <w:right w:val="single" w:sz="8" w:space="0" w:color="auto"/>
            </w:tcBorders>
            <w:shd w:val="clear" w:color="000000" w:fill="A8D08D"/>
            <w:noWrap/>
            <w:vAlign w:val="center"/>
            <w:hideMark/>
          </w:tcPr>
          <w:p w:rsidR="00F72906" w:rsidRPr="009C2DD2" w:rsidRDefault="00F72906" w:rsidP="0003552F">
            <w:pPr>
              <w:jc w:val="right"/>
              <w:rPr>
                <w:rFonts w:cs="Calibri"/>
                <w:b/>
                <w:bCs/>
                <w:color w:val="000000"/>
                <w:sz w:val="20"/>
                <w:szCs w:val="20"/>
                <w:lang w:eastAsia="en-GB"/>
              </w:rPr>
            </w:pPr>
            <w:r w:rsidRPr="009C2DD2">
              <w:rPr>
                <w:rFonts w:cs="Calibri"/>
                <w:b/>
                <w:bCs/>
                <w:color w:val="000000"/>
                <w:sz w:val="20"/>
                <w:szCs w:val="20"/>
                <w:lang w:eastAsia="en-GB"/>
              </w:rPr>
              <w:t> </w:t>
            </w:r>
          </w:p>
        </w:tc>
      </w:tr>
      <w:tr w:rsidR="00F72906" w:rsidRPr="009C2DD2" w:rsidTr="0003552F">
        <w:trPr>
          <w:trHeight w:val="300"/>
        </w:trPr>
        <w:tc>
          <w:tcPr>
            <w:tcW w:w="4536" w:type="dxa"/>
            <w:tcBorders>
              <w:top w:val="nil"/>
              <w:left w:val="single" w:sz="8" w:space="0" w:color="auto"/>
              <w:bottom w:val="double" w:sz="6" w:space="0" w:color="auto"/>
              <w:right w:val="single" w:sz="8" w:space="0" w:color="auto"/>
            </w:tcBorders>
            <w:shd w:val="clear" w:color="000000" w:fill="CACACA"/>
            <w:vAlign w:val="center"/>
            <w:hideMark/>
          </w:tcPr>
          <w:p w:rsidR="00F72906" w:rsidRPr="009C2DD2" w:rsidRDefault="00F72906" w:rsidP="0003552F">
            <w:pPr>
              <w:rPr>
                <w:rFonts w:cs="Calibri"/>
                <w:b/>
                <w:bCs/>
                <w:color w:val="000000"/>
                <w:sz w:val="20"/>
                <w:szCs w:val="20"/>
                <w:lang w:eastAsia="en-GB"/>
              </w:rPr>
            </w:pPr>
            <w:r w:rsidRPr="009C2DD2">
              <w:rPr>
                <w:rFonts w:cs="Calibri"/>
                <w:b/>
                <w:bCs/>
                <w:color w:val="000000"/>
                <w:sz w:val="20"/>
                <w:szCs w:val="20"/>
                <w:lang w:eastAsia="en-GB"/>
              </w:rPr>
              <w:t>Grand Total</w:t>
            </w:r>
          </w:p>
        </w:tc>
        <w:tc>
          <w:tcPr>
            <w:tcW w:w="1559" w:type="dxa"/>
            <w:tcBorders>
              <w:top w:val="nil"/>
              <w:left w:val="nil"/>
              <w:bottom w:val="double" w:sz="6" w:space="0" w:color="auto"/>
              <w:right w:val="nil"/>
            </w:tcBorders>
            <w:shd w:val="clear" w:color="000000" w:fill="CACACA"/>
            <w:vAlign w:val="center"/>
            <w:hideMark/>
          </w:tcPr>
          <w:p w:rsidR="00F72906" w:rsidRPr="009C2DD2" w:rsidRDefault="00F72906" w:rsidP="0003552F">
            <w:pPr>
              <w:jc w:val="right"/>
              <w:rPr>
                <w:rFonts w:cs="Calibri"/>
                <w:b/>
                <w:bCs/>
                <w:color w:val="000000"/>
                <w:sz w:val="20"/>
                <w:szCs w:val="20"/>
                <w:lang w:eastAsia="en-GB"/>
              </w:rPr>
            </w:pPr>
            <w:r w:rsidRPr="009C2DD2">
              <w:rPr>
                <w:rFonts w:cs="Calibri"/>
                <w:b/>
                <w:bCs/>
                <w:color w:val="000000"/>
                <w:sz w:val="20"/>
                <w:szCs w:val="20"/>
                <w:lang w:eastAsia="en-GB"/>
              </w:rPr>
              <w:t>27</w:t>
            </w:r>
            <w:r>
              <w:rPr>
                <w:rFonts w:cs="Calibri"/>
                <w:b/>
                <w:bCs/>
                <w:color w:val="000000"/>
                <w:sz w:val="20"/>
                <w:szCs w:val="20"/>
                <w:lang w:eastAsia="en-GB"/>
              </w:rPr>
              <w:t>1.2</w:t>
            </w:r>
          </w:p>
        </w:tc>
        <w:tc>
          <w:tcPr>
            <w:tcW w:w="1701" w:type="dxa"/>
            <w:tcBorders>
              <w:top w:val="nil"/>
              <w:left w:val="single" w:sz="8" w:space="0" w:color="auto"/>
              <w:bottom w:val="double" w:sz="6" w:space="0" w:color="auto"/>
              <w:right w:val="single" w:sz="8" w:space="0" w:color="auto"/>
            </w:tcBorders>
            <w:shd w:val="clear" w:color="000000" w:fill="CACACA"/>
            <w:vAlign w:val="center"/>
            <w:hideMark/>
          </w:tcPr>
          <w:p w:rsidR="00F72906" w:rsidRPr="009C2DD2" w:rsidRDefault="00F72906" w:rsidP="0003552F">
            <w:pPr>
              <w:jc w:val="right"/>
              <w:rPr>
                <w:rFonts w:cs="Calibri"/>
                <w:b/>
                <w:bCs/>
                <w:color w:val="000000"/>
                <w:sz w:val="20"/>
                <w:szCs w:val="20"/>
                <w:lang w:eastAsia="en-GB"/>
              </w:rPr>
            </w:pPr>
            <w:r w:rsidRPr="009C2DD2">
              <w:rPr>
                <w:rFonts w:cs="Calibri"/>
                <w:b/>
                <w:bCs/>
                <w:color w:val="000000"/>
                <w:sz w:val="20"/>
                <w:szCs w:val="20"/>
                <w:lang w:eastAsia="en-GB"/>
              </w:rPr>
              <w:t>27</w:t>
            </w:r>
            <w:r>
              <w:rPr>
                <w:rFonts w:cs="Calibri"/>
                <w:b/>
                <w:bCs/>
                <w:color w:val="000000"/>
                <w:sz w:val="20"/>
                <w:szCs w:val="20"/>
                <w:lang w:eastAsia="en-GB"/>
              </w:rPr>
              <w:t>1.2</w:t>
            </w:r>
          </w:p>
        </w:tc>
        <w:tc>
          <w:tcPr>
            <w:tcW w:w="1559" w:type="dxa"/>
            <w:tcBorders>
              <w:top w:val="nil"/>
              <w:left w:val="nil"/>
              <w:bottom w:val="double" w:sz="6" w:space="0" w:color="auto"/>
              <w:right w:val="single" w:sz="8" w:space="0" w:color="auto"/>
            </w:tcBorders>
            <w:shd w:val="clear" w:color="000000" w:fill="A8D08D"/>
            <w:vAlign w:val="center"/>
            <w:hideMark/>
          </w:tcPr>
          <w:p w:rsidR="00F72906" w:rsidRPr="009C2DD2" w:rsidRDefault="00F72906" w:rsidP="0003552F">
            <w:pPr>
              <w:jc w:val="right"/>
              <w:rPr>
                <w:rFonts w:cs="Calibri"/>
                <w:b/>
                <w:bCs/>
                <w:color w:val="000000"/>
                <w:sz w:val="20"/>
                <w:szCs w:val="20"/>
                <w:lang w:eastAsia="en-GB"/>
              </w:rPr>
            </w:pPr>
            <w:r w:rsidRPr="009C2DD2">
              <w:rPr>
                <w:rFonts w:cs="Calibri"/>
                <w:b/>
                <w:bCs/>
                <w:color w:val="000000"/>
                <w:sz w:val="20"/>
                <w:szCs w:val="20"/>
                <w:lang w:eastAsia="en-GB"/>
              </w:rPr>
              <w:t>0.0</w:t>
            </w:r>
          </w:p>
        </w:tc>
      </w:tr>
    </w:tbl>
    <w:p w:rsidR="00F72906" w:rsidRDefault="00F72906" w:rsidP="00F72906"/>
    <w:p w:rsidR="00F72906" w:rsidRPr="00F72906" w:rsidRDefault="00F72906" w:rsidP="00F72906">
      <w:pPr>
        <w:rPr>
          <w:i/>
        </w:rPr>
      </w:pPr>
      <w:r w:rsidRPr="00F72906">
        <w:rPr>
          <w:i/>
        </w:rPr>
        <w:lastRenderedPageBreak/>
        <w:t>General Fund</w:t>
      </w:r>
    </w:p>
    <w:p w:rsidR="00F72906" w:rsidRDefault="00F72906" w:rsidP="00F72906">
      <w:r>
        <w:t>2.</w:t>
      </w:r>
      <w:r>
        <w:tab/>
        <w:t>The Children and Young People department overspent by £1.5 million. This pressure has arisen because of two main cost drivers, the national challenge of recruitment and retention of social workers and demand for placements. This is part of a national pattern and most Councils in England and Wales are reporting similar pressures due to demand for care services. This reflects a growing body of evidence of difficulties in maintaining existing care standards without substantial additional funding as part of the Spending Review.</w:t>
      </w:r>
    </w:p>
    <w:p w:rsidR="00F72906" w:rsidRDefault="00F72906" w:rsidP="00F72906">
      <w:r>
        <w:t>3.</w:t>
      </w:r>
      <w:r>
        <w:tab/>
        <w:t>Community Well Being overspent by £0.6 million. This is attributable to unachieved savings on Adult Social Care due to delays in the retender of Homecare and Day care contracts, and a delay in the deregistration of Tudor Gardens as a residential home to turn it into a supported living scheme.</w:t>
      </w:r>
    </w:p>
    <w:p w:rsidR="00F72906" w:rsidRDefault="00F72906" w:rsidP="00F72906">
      <w:r>
        <w:t>4.</w:t>
      </w:r>
      <w:r>
        <w:tab/>
        <w:t xml:space="preserve">The risk of the overspends in children’s services and adult social care was identified early in the year and compensatory measures were taken elsewhere, principally within the Regeneration and Environment department to ensure that service expenditure was kept within the agreed budget for the year. </w:t>
      </w:r>
    </w:p>
    <w:p w:rsidR="00F72906" w:rsidRDefault="00F72906" w:rsidP="00F72906">
      <w:r>
        <w:t>5.</w:t>
      </w:r>
      <w:r>
        <w:tab/>
        <w:t>The other departments within the general fund achieved spend broadly in line with budget.</w:t>
      </w:r>
    </w:p>
    <w:p w:rsidR="00F72906" w:rsidRDefault="00F72906" w:rsidP="00F72906"/>
    <w:p w:rsidR="00F72906" w:rsidRPr="00F72906" w:rsidRDefault="00F72906" w:rsidP="00F72906">
      <w:pPr>
        <w:rPr>
          <w:i/>
        </w:rPr>
      </w:pPr>
      <w:r w:rsidRPr="00F72906">
        <w:rPr>
          <w:i/>
        </w:rPr>
        <w:t>Schools and DSG</w:t>
      </w:r>
    </w:p>
    <w:p w:rsidR="00F72906" w:rsidRDefault="00F72906" w:rsidP="00F72906">
      <w:r>
        <w:t>6.</w:t>
      </w:r>
      <w:r>
        <w:tab/>
        <w:t>Dedicated schools grant (DSG) funds local authority schools’ budgets and is the main source of income for schools. In 2019/20 Maintained school reserves have fallen by £10.1 million to £8.5 million as school budgets remain under considerable pressures due to funding not keeping pace with rising costs. In 2019/20, the DSG reported a deficit of £4.9million. This is mainly within the High Needs Block which has come under increased pressure in supporting children with special educational needs. The reported DSG deficit is disclosed within the general fund reserves.</w:t>
      </w:r>
    </w:p>
    <w:p w:rsidR="00F72906" w:rsidRDefault="00F72906" w:rsidP="00F72906">
      <w:r>
        <w:t>7.</w:t>
      </w:r>
      <w:r>
        <w:tab/>
        <w:t xml:space="preserve">The High Needs block has been impacted by the increasing number of Education, Health and Care plans (EHCP) being undertaken. This is a national challenge and locally in Brent, there has been a 35% growth in the number of EHCPs in the last 5 years. In 2019/20, this growth was 12%. This has led to spend which is significantly higher than the funding provided by the Department for Education (DfE). </w:t>
      </w:r>
    </w:p>
    <w:p w:rsidR="00F72906" w:rsidRDefault="00F72906" w:rsidP="00F72906">
      <w:r>
        <w:t>8.</w:t>
      </w:r>
      <w:r>
        <w:tab/>
        <w:t>In line with the School and Early Years Finance (England) Regulations 2020 this deficit will be disclosed within general fund reserves and funded from future year’s funding and/or recovery plans as agreed with the DfE. This Council is barred from funding deficits from the general fund without the secretary of state’s approval. Given this, the deficit of £4.9million will be carried forward to 2020/21. Longer-term actions will be required to recover the deficit and a task group has been set up by the Council to co-ordinate, monitor and oversee a recovery plan. Further details on the DSG performance during the year have been disclosed in note 22.</w:t>
      </w:r>
    </w:p>
    <w:p w:rsidR="00F72906" w:rsidRDefault="00F72906" w:rsidP="00F72906"/>
    <w:p w:rsidR="00F72906" w:rsidRPr="00F72906" w:rsidRDefault="00F72906" w:rsidP="00F72906">
      <w:pPr>
        <w:rPr>
          <w:i/>
        </w:rPr>
      </w:pPr>
      <w:r w:rsidRPr="00F72906">
        <w:rPr>
          <w:i/>
        </w:rPr>
        <w:t>Housing Revenue Account (HRA)</w:t>
      </w:r>
    </w:p>
    <w:p w:rsidR="00F72906" w:rsidRDefault="00F72906" w:rsidP="00F72906">
      <w:r>
        <w:t>9.</w:t>
      </w:r>
      <w:r>
        <w:tab/>
        <w:t xml:space="preserve">The Housing Revenue Account (HRA) is a ring-fenced account, which manages income and expenditure in relation to 7,794 units of council owned housing stock. Stock levels increased by 43 </w:t>
      </w:r>
      <w:r>
        <w:lastRenderedPageBreak/>
        <w:t>units overall compared to the previous year following major new investment in the affordable housing programme.</w:t>
      </w:r>
    </w:p>
    <w:p w:rsidR="00F72906" w:rsidRDefault="00F72906" w:rsidP="00F72906">
      <w:r>
        <w:t>10.</w:t>
      </w:r>
      <w:r>
        <w:tab/>
        <w:t>The HRA reported a break-even position for 2019-20. The HRA operating reserve balance remains unchanged from last year at £1.4m.</w:t>
      </w:r>
    </w:p>
    <w:p w:rsidR="00F72906" w:rsidRDefault="00F72906" w:rsidP="00F72906">
      <w:r>
        <w:t>11.</w:t>
      </w:r>
      <w:r>
        <w:tab/>
        <w:t>Within the HRA, there were some minor in-year overspends against the planned budgeted expenditure. These related to enhancing services for residents by bringing the estate cleaning services team in-house from September 2019 and committing to paying the estate cleaning team the London Living Wage. The in-year budgetary pressure was managed through the cost reductions achieved by the IT transformation project.</w:t>
      </w:r>
    </w:p>
    <w:p w:rsidR="00F72906" w:rsidRDefault="00F72906" w:rsidP="00F72906">
      <w:r>
        <w:t>12.</w:t>
      </w:r>
      <w:r>
        <w:tab/>
        <w:t>The end of the financial year coincided with the early stages of lockdown in response to COVID-19.  Whilst there was no material impact on the 19/20 collection rates of rent and service charges, looking ahead the impact of the pandemic on rent and service charge collections is a key risk area for the HRA budget and this will be kept under close review with an updated position reported in the MTFP.</w:t>
      </w:r>
    </w:p>
    <w:p w:rsidR="00F72906" w:rsidRPr="00F72906" w:rsidRDefault="00F72906" w:rsidP="00F72906">
      <w:pPr>
        <w:rPr>
          <w:i/>
        </w:rPr>
      </w:pPr>
    </w:p>
    <w:p w:rsidR="00F72906" w:rsidRPr="00F72906" w:rsidRDefault="00F72906" w:rsidP="00F72906">
      <w:pPr>
        <w:rPr>
          <w:i/>
        </w:rPr>
      </w:pPr>
      <w:r w:rsidRPr="00F72906">
        <w:rPr>
          <w:i/>
        </w:rPr>
        <w:t>Capital Expenditure</w:t>
      </w:r>
    </w:p>
    <w:p w:rsidR="00F72906" w:rsidRPr="00F72906" w:rsidRDefault="00F72906" w:rsidP="00F72906">
      <w:pPr>
        <w:rPr>
          <w:color w:val="FF0000"/>
        </w:rPr>
      </w:pPr>
      <w:r w:rsidRPr="00F72906">
        <w:rPr>
          <w:color w:val="FF0000"/>
        </w:rPr>
        <w:t>Table 2</w:t>
      </w:r>
    </w:p>
    <w:tbl>
      <w:tblPr>
        <w:tblW w:w="9247" w:type="dxa"/>
        <w:tblInd w:w="279" w:type="dxa"/>
        <w:tblLook w:val="04A0" w:firstRow="1" w:lastRow="0" w:firstColumn="1" w:lastColumn="0" w:noHBand="0" w:noVBand="1"/>
      </w:tblPr>
      <w:tblGrid>
        <w:gridCol w:w="4536"/>
        <w:gridCol w:w="1593"/>
        <w:gridCol w:w="1559"/>
        <w:gridCol w:w="1559"/>
      </w:tblGrid>
      <w:tr w:rsidR="00F72906" w:rsidRPr="00E32262" w:rsidTr="0003552F">
        <w:trPr>
          <w:trHeight w:val="792"/>
        </w:trPr>
        <w:tc>
          <w:tcPr>
            <w:tcW w:w="4536" w:type="dxa"/>
            <w:tcBorders>
              <w:top w:val="single" w:sz="4" w:space="0" w:color="auto"/>
              <w:left w:val="single" w:sz="4" w:space="0" w:color="auto"/>
              <w:bottom w:val="single" w:sz="4" w:space="0" w:color="auto"/>
              <w:right w:val="single" w:sz="4" w:space="0" w:color="auto"/>
            </w:tcBorders>
            <w:shd w:val="clear" w:color="000000" w:fill="EDEDED"/>
            <w:hideMark/>
          </w:tcPr>
          <w:p w:rsidR="00F72906" w:rsidRPr="00E32262" w:rsidRDefault="00F72906" w:rsidP="0003552F">
            <w:pPr>
              <w:rPr>
                <w:rFonts w:cstheme="minorHAnsi"/>
                <w:b/>
                <w:bCs/>
                <w:color w:val="000000"/>
                <w:sz w:val="20"/>
                <w:szCs w:val="20"/>
                <w:lang w:eastAsia="en-GB"/>
              </w:rPr>
            </w:pPr>
            <w:r w:rsidRPr="00E32262">
              <w:rPr>
                <w:rFonts w:cstheme="minorHAnsi"/>
                <w:b/>
                <w:bCs/>
                <w:color w:val="000000"/>
                <w:sz w:val="20"/>
                <w:szCs w:val="20"/>
                <w:lang w:eastAsia="en-GB"/>
              </w:rPr>
              <w:t xml:space="preserve">Directorate </w:t>
            </w:r>
          </w:p>
        </w:tc>
        <w:tc>
          <w:tcPr>
            <w:tcW w:w="1593" w:type="dxa"/>
            <w:tcBorders>
              <w:top w:val="single" w:sz="4" w:space="0" w:color="auto"/>
              <w:left w:val="nil"/>
              <w:bottom w:val="single" w:sz="4" w:space="0" w:color="auto"/>
              <w:right w:val="single" w:sz="4" w:space="0" w:color="auto"/>
            </w:tcBorders>
            <w:shd w:val="clear" w:color="000000" w:fill="EDEDED"/>
            <w:hideMark/>
          </w:tcPr>
          <w:p w:rsidR="00F72906" w:rsidRPr="00E32262" w:rsidRDefault="00F72906" w:rsidP="0003552F">
            <w:pPr>
              <w:jc w:val="right"/>
              <w:rPr>
                <w:rFonts w:cstheme="minorHAnsi"/>
                <w:b/>
                <w:bCs/>
                <w:color w:val="000000"/>
                <w:sz w:val="20"/>
                <w:szCs w:val="20"/>
                <w:lang w:eastAsia="en-GB"/>
              </w:rPr>
            </w:pPr>
            <w:r w:rsidRPr="00E32262">
              <w:rPr>
                <w:rFonts w:cstheme="minorHAnsi"/>
                <w:b/>
                <w:bCs/>
                <w:color w:val="000000"/>
                <w:sz w:val="20"/>
                <w:szCs w:val="20"/>
                <w:lang w:eastAsia="en-GB"/>
              </w:rPr>
              <w:t>Full year Budget £m</w:t>
            </w:r>
          </w:p>
        </w:tc>
        <w:tc>
          <w:tcPr>
            <w:tcW w:w="1559" w:type="dxa"/>
            <w:tcBorders>
              <w:top w:val="single" w:sz="4" w:space="0" w:color="auto"/>
              <w:left w:val="nil"/>
              <w:bottom w:val="single" w:sz="4" w:space="0" w:color="auto"/>
              <w:right w:val="single" w:sz="4" w:space="0" w:color="auto"/>
            </w:tcBorders>
            <w:shd w:val="clear" w:color="000000" w:fill="EDEDED"/>
            <w:hideMark/>
          </w:tcPr>
          <w:p w:rsidR="00F72906" w:rsidRPr="00E32262" w:rsidRDefault="00F72906" w:rsidP="0003552F">
            <w:pPr>
              <w:jc w:val="right"/>
              <w:rPr>
                <w:rFonts w:cstheme="minorHAnsi"/>
                <w:b/>
                <w:bCs/>
                <w:color w:val="000000"/>
                <w:sz w:val="20"/>
                <w:szCs w:val="20"/>
                <w:lang w:eastAsia="en-GB"/>
              </w:rPr>
            </w:pPr>
            <w:r w:rsidRPr="00E32262">
              <w:rPr>
                <w:rFonts w:cstheme="minorHAnsi"/>
                <w:b/>
                <w:bCs/>
                <w:color w:val="000000"/>
                <w:sz w:val="20"/>
                <w:szCs w:val="20"/>
                <w:lang w:eastAsia="en-GB"/>
              </w:rPr>
              <w:t>Expenditure £m</w:t>
            </w:r>
          </w:p>
        </w:tc>
        <w:tc>
          <w:tcPr>
            <w:tcW w:w="1559" w:type="dxa"/>
            <w:tcBorders>
              <w:top w:val="single" w:sz="4" w:space="0" w:color="auto"/>
              <w:left w:val="nil"/>
              <w:bottom w:val="single" w:sz="4" w:space="0" w:color="auto"/>
              <w:right w:val="single" w:sz="4" w:space="0" w:color="auto"/>
            </w:tcBorders>
            <w:shd w:val="clear" w:color="auto" w:fill="A8D08D" w:themeFill="accent6" w:themeFillTint="99"/>
            <w:hideMark/>
          </w:tcPr>
          <w:p w:rsidR="00F72906" w:rsidRPr="00E32262" w:rsidRDefault="00F72906" w:rsidP="0003552F">
            <w:pPr>
              <w:jc w:val="right"/>
              <w:rPr>
                <w:rFonts w:cstheme="minorHAnsi"/>
                <w:b/>
                <w:bCs/>
                <w:color w:val="000000"/>
                <w:sz w:val="20"/>
                <w:szCs w:val="20"/>
                <w:lang w:eastAsia="en-GB"/>
              </w:rPr>
            </w:pPr>
            <w:r w:rsidRPr="00E32262">
              <w:rPr>
                <w:rFonts w:cstheme="minorHAnsi"/>
                <w:b/>
                <w:bCs/>
                <w:color w:val="000000"/>
                <w:sz w:val="20"/>
                <w:szCs w:val="20"/>
                <w:lang w:eastAsia="en-GB"/>
              </w:rPr>
              <w:t>Over / (under) spend £m</w:t>
            </w:r>
          </w:p>
        </w:tc>
      </w:tr>
      <w:tr w:rsidR="00F72906" w:rsidRPr="00E32262" w:rsidTr="0003552F">
        <w:trPr>
          <w:trHeight w:val="264"/>
        </w:trPr>
        <w:tc>
          <w:tcPr>
            <w:tcW w:w="4536" w:type="dxa"/>
            <w:tcBorders>
              <w:top w:val="nil"/>
              <w:left w:val="single" w:sz="4" w:space="0" w:color="auto"/>
              <w:bottom w:val="nil"/>
              <w:right w:val="single" w:sz="4" w:space="0" w:color="auto"/>
            </w:tcBorders>
            <w:shd w:val="clear" w:color="000000" w:fill="FFFFFF"/>
            <w:hideMark/>
          </w:tcPr>
          <w:p w:rsidR="00F72906" w:rsidRPr="00E32262" w:rsidRDefault="00F72906" w:rsidP="0003552F">
            <w:pPr>
              <w:rPr>
                <w:rFonts w:cstheme="minorHAnsi"/>
                <w:color w:val="000000"/>
                <w:sz w:val="20"/>
                <w:szCs w:val="20"/>
                <w:lang w:eastAsia="en-GB"/>
              </w:rPr>
            </w:pPr>
            <w:r w:rsidRPr="00E32262">
              <w:rPr>
                <w:rFonts w:cstheme="minorHAnsi"/>
                <w:color w:val="000000"/>
                <w:sz w:val="20"/>
                <w:szCs w:val="20"/>
                <w:lang w:eastAsia="en-GB"/>
              </w:rPr>
              <w:t>Corporate Landlord</w:t>
            </w:r>
          </w:p>
        </w:tc>
        <w:tc>
          <w:tcPr>
            <w:tcW w:w="1593" w:type="dxa"/>
            <w:tcBorders>
              <w:top w:val="nil"/>
              <w:left w:val="nil"/>
              <w:bottom w:val="nil"/>
              <w:right w:val="nil"/>
            </w:tcBorders>
            <w:shd w:val="clear" w:color="000000" w:fill="FFFFFF"/>
            <w:hideMark/>
          </w:tcPr>
          <w:p w:rsidR="00F72906" w:rsidRPr="00E32262" w:rsidRDefault="00F72906" w:rsidP="0003552F">
            <w:pPr>
              <w:jc w:val="right"/>
              <w:rPr>
                <w:rFonts w:cstheme="minorHAnsi"/>
                <w:color w:val="000000"/>
                <w:sz w:val="20"/>
                <w:szCs w:val="20"/>
                <w:lang w:eastAsia="en-GB"/>
              </w:rPr>
            </w:pPr>
            <w:r w:rsidRPr="00E32262">
              <w:rPr>
                <w:rFonts w:cstheme="minorHAnsi"/>
                <w:color w:val="000000"/>
                <w:sz w:val="20"/>
                <w:szCs w:val="20"/>
                <w:lang w:eastAsia="en-GB"/>
              </w:rPr>
              <w:t>10.6</w:t>
            </w:r>
          </w:p>
        </w:tc>
        <w:tc>
          <w:tcPr>
            <w:tcW w:w="1559" w:type="dxa"/>
            <w:tcBorders>
              <w:top w:val="nil"/>
              <w:left w:val="single" w:sz="4" w:space="0" w:color="auto"/>
              <w:bottom w:val="nil"/>
              <w:right w:val="single" w:sz="4" w:space="0" w:color="auto"/>
            </w:tcBorders>
            <w:shd w:val="clear" w:color="000000" w:fill="FFFFFF"/>
            <w:hideMark/>
          </w:tcPr>
          <w:p w:rsidR="00F72906" w:rsidRPr="00E32262" w:rsidRDefault="00F72906" w:rsidP="0003552F">
            <w:pPr>
              <w:jc w:val="right"/>
              <w:rPr>
                <w:rFonts w:cstheme="minorHAnsi"/>
                <w:color w:val="000000"/>
                <w:sz w:val="20"/>
                <w:szCs w:val="20"/>
                <w:lang w:eastAsia="en-GB"/>
              </w:rPr>
            </w:pPr>
            <w:r w:rsidRPr="00E32262">
              <w:rPr>
                <w:rFonts w:cstheme="minorHAnsi"/>
                <w:color w:val="000000"/>
                <w:sz w:val="20"/>
                <w:szCs w:val="20"/>
                <w:lang w:eastAsia="en-GB"/>
              </w:rPr>
              <w:t>5.3</w:t>
            </w:r>
          </w:p>
        </w:tc>
        <w:tc>
          <w:tcPr>
            <w:tcW w:w="1559" w:type="dxa"/>
            <w:tcBorders>
              <w:top w:val="nil"/>
              <w:left w:val="nil"/>
              <w:bottom w:val="nil"/>
              <w:right w:val="single" w:sz="4" w:space="0" w:color="auto"/>
            </w:tcBorders>
            <w:shd w:val="clear" w:color="auto" w:fill="A8D08D" w:themeFill="accent6" w:themeFillTint="99"/>
            <w:hideMark/>
          </w:tcPr>
          <w:p w:rsidR="00F72906" w:rsidRPr="00E32262" w:rsidRDefault="00F72906" w:rsidP="0003552F">
            <w:pPr>
              <w:jc w:val="right"/>
              <w:rPr>
                <w:rFonts w:cstheme="minorHAnsi"/>
                <w:b/>
                <w:color w:val="000000"/>
                <w:sz w:val="20"/>
                <w:szCs w:val="20"/>
                <w:lang w:eastAsia="en-GB"/>
              </w:rPr>
            </w:pPr>
            <w:r w:rsidRPr="00E32262">
              <w:rPr>
                <w:rFonts w:cstheme="minorHAnsi"/>
                <w:b/>
                <w:color w:val="000000"/>
                <w:sz w:val="20"/>
                <w:szCs w:val="20"/>
                <w:lang w:eastAsia="en-GB"/>
              </w:rPr>
              <w:t>(5.3)</w:t>
            </w:r>
          </w:p>
        </w:tc>
      </w:tr>
      <w:tr w:rsidR="00F72906" w:rsidRPr="00E32262" w:rsidTr="0003552F">
        <w:trPr>
          <w:trHeight w:val="264"/>
        </w:trPr>
        <w:tc>
          <w:tcPr>
            <w:tcW w:w="4536" w:type="dxa"/>
            <w:tcBorders>
              <w:top w:val="nil"/>
              <w:left w:val="single" w:sz="4" w:space="0" w:color="auto"/>
              <w:bottom w:val="nil"/>
              <w:right w:val="single" w:sz="4" w:space="0" w:color="auto"/>
            </w:tcBorders>
            <w:shd w:val="clear" w:color="auto" w:fill="FFFFFF" w:themeFill="background1"/>
            <w:noWrap/>
            <w:hideMark/>
          </w:tcPr>
          <w:p w:rsidR="00F72906" w:rsidRPr="00E32262" w:rsidRDefault="00F72906" w:rsidP="0003552F">
            <w:pPr>
              <w:rPr>
                <w:rFonts w:cstheme="minorHAnsi"/>
                <w:color w:val="000000"/>
                <w:sz w:val="20"/>
                <w:szCs w:val="20"/>
                <w:lang w:eastAsia="en-GB"/>
              </w:rPr>
            </w:pPr>
            <w:r w:rsidRPr="00E32262">
              <w:rPr>
                <w:rFonts w:cstheme="minorHAnsi"/>
                <w:color w:val="000000"/>
                <w:sz w:val="20"/>
                <w:szCs w:val="20"/>
                <w:lang w:eastAsia="en-GB"/>
              </w:rPr>
              <w:t>Regeneration</w:t>
            </w:r>
          </w:p>
        </w:tc>
        <w:tc>
          <w:tcPr>
            <w:tcW w:w="1593" w:type="dxa"/>
            <w:tcBorders>
              <w:top w:val="nil"/>
              <w:left w:val="nil"/>
              <w:bottom w:val="nil"/>
              <w:right w:val="single" w:sz="4" w:space="0" w:color="auto"/>
            </w:tcBorders>
            <w:shd w:val="clear" w:color="auto" w:fill="FFFFFF" w:themeFill="background1"/>
            <w:noWrap/>
            <w:hideMark/>
          </w:tcPr>
          <w:p w:rsidR="00F72906" w:rsidRPr="00E32262" w:rsidRDefault="00F72906" w:rsidP="0003552F">
            <w:pPr>
              <w:jc w:val="right"/>
              <w:rPr>
                <w:rFonts w:cstheme="minorHAnsi"/>
                <w:color w:val="000000"/>
                <w:sz w:val="20"/>
                <w:szCs w:val="20"/>
                <w:lang w:eastAsia="en-GB"/>
              </w:rPr>
            </w:pPr>
            <w:r w:rsidRPr="00E32262">
              <w:rPr>
                <w:rFonts w:cstheme="minorHAnsi"/>
                <w:color w:val="000000"/>
                <w:sz w:val="20"/>
                <w:szCs w:val="20"/>
                <w:lang w:eastAsia="en-GB"/>
              </w:rPr>
              <w:t>4.0</w:t>
            </w:r>
          </w:p>
        </w:tc>
        <w:tc>
          <w:tcPr>
            <w:tcW w:w="1559" w:type="dxa"/>
            <w:tcBorders>
              <w:top w:val="nil"/>
              <w:left w:val="nil"/>
              <w:bottom w:val="nil"/>
              <w:right w:val="single" w:sz="4" w:space="0" w:color="auto"/>
            </w:tcBorders>
            <w:shd w:val="clear" w:color="auto" w:fill="FFFFFF" w:themeFill="background1"/>
            <w:noWrap/>
            <w:hideMark/>
          </w:tcPr>
          <w:p w:rsidR="00F72906" w:rsidRPr="00E32262" w:rsidRDefault="00F72906" w:rsidP="0003552F">
            <w:pPr>
              <w:jc w:val="right"/>
              <w:rPr>
                <w:rFonts w:cstheme="minorHAnsi"/>
                <w:color w:val="000000"/>
                <w:sz w:val="20"/>
                <w:szCs w:val="20"/>
                <w:lang w:eastAsia="en-GB"/>
              </w:rPr>
            </w:pPr>
            <w:r w:rsidRPr="00E32262">
              <w:rPr>
                <w:rFonts w:cstheme="minorHAnsi"/>
                <w:color w:val="000000"/>
                <w:sz w:val="20"/>
                <w:szCs w:val="20"/>
                <w:lang w:eastAsia="en-GB"/>
              </w:rPr>
              <w:t>4.2</w:t>
            </w:r>
          </w:p>
        </w:tc>
        <w:tc>
          <w:tcPr>
            <w:tcW w:w="1559" w:type="dxa"/>
            <w:tcBorders>
              <w:top w:val="nil"/>
              <w:left w:val="nil"/>
              <w:bottom w:val="nil"/>
              <w:right w:val="single" w:sz="4" w:space="0" w:color="auto"/>
            </w:tcBorders>
            <w:shd w:val="clear" w:color="auto" w:fill="A8D08D" w:themeFill="accent6" w:themeFillTint="99"/>
            <w:noWrap/>
            <w:hideMark/>
          </w:tcPr>
          <w:p w:rsidR="00F72906" w:rsidRPr="00E32262" w:rsidRDefault="00F72906" w:rsidP="0003552F">
            <w:pPr>
              <w:jc w:val="right"/>
              <w:rPr>
                <w:rFonts w:cstheme="minorHAnsi"/>
                <w:b/>
                <w:color w:val="000000"/>
                <w:sz w:val="20"/>
                <w:szCs w:val="20"/>
                <w:lang w:eastAsia="en-GB"/>
              </w:rPr>
            </w:pPr>
            <w:r w:rsidRPr="00E32262">
              <w:rPr>
                <w:rFonts w:cstheme="minorHAnsi"/>
                <w:b/>
                <w:color w:val="000000"/>
                <w:sz w:val="20"/>
                <w:szCs w:val="20"/>
                <w:lang w:eastAsia="en-GB"/>
              </w:rPr>
              <w:t>0.2</w:t>
            </w:r>
          </w:p>
        </w:tc>
      </w:tr>
      <w:tr w:rsidR="00F72906" w:rsidRPr="00E32262" w:rsidTr="0003552F">
        <w:trPr>
          <w:trHeight w:val="264"/>
        </w:trPr>
        <w:tc>
          <w:tcPr>
            <w:tcW w:w="4536" w:type="dxa"/>
            <w:tcBorders>
              <w:top w:val="nil"/>
              <w:left w:val="single" w:sz="4" w:space="0" w:color="auto"/>
              <w:bottom w:val="nil"/>
              <w:right w:val="single" w:sz="4" w:space="0" w:color="auto"/>
            </w:tcBorders>
            <w:shd w:val="clear" w:color="auto" w:fill="FFFFFF" w:themeFill="background1"/>
            <w:hideMark/>
          </w:tcPr>
          <w:p w:rsidR="00F72906" w:rsidRPr="00E32262" w:rsidRDefault="00F72906" w:rsidP="0003552F">
            <w:pPr>
              <w:rPr>
                <w:rFonts w:cstheme="minorHAnsi"/>
                <w:color w:val="000000"/>
                <w:sz w:val="20"/>
                <w:szCs w:val="20"/>
                <w:lang w:eastAsia="en-GB"/>
              </w:rPr>
            </w:pPr>
            <w:r w:rsidRPr="00E32262">
              <w:rPr>
                <w:rFonts w:cstheme="minorHAnsi"/>
                <w:color w:val="000000"/>
                <w:sz w:val="20"/>
                <w:szCs w:val="20"/>
                <w:lang w:eastAsia="en-GB"/>
              </w:rPr>
              <w:t xml:space="preserve">St. Raphael’s Estate Regeneration </w:t>
            </w:r>
          </w:p>
        </w:tc>
        <w:tc>
          <w:tcPr>
            <w:tcW w:w="1593" w:type="dxa"/>
            <w:tcBorders>
              <w:top w:val="nil"/>
              <w:left w:val="nil"/>
              <w:bottom w:val="nil"/>
              <w:right w:val="nil"/>
            </w:tcBorders>
            <w:shd w:val="clear" w:color="auto" w:fill="FFFFFF" w:themeFill="background1"/>
            <w:hideMark/>
          </w:tcPr>
          <w:p w:rsidR="00F72906" w:rsidRPr="00E32262" w:rsidRDefault="00F72906" w:rsidP="0003552F">
            <w:pPr>
              <w:jc w:val="right"/>
              <w:rPr>
                <w:rFonts w:cstheme="minorHAnsi"/>
                <w:color w:val="000000"/>
                <w:sz w:val="20"/>
                <w:szCs w:val="20"/>
                <w:lang w:eastAsia="en-GB"/>
              </w:rPr>
            </w:pPr>
            <w:r w:rsidRPr="00E32262">
              <w:rPr>
                <w:rFonts w:cstheme="minorHAnsi"/>
                <w:color w:val="000000"/>
                <w:sz w:val="20"/>
                <w:szCs w:val="20"/>
                <w:lang w:eastAsia="en-GB"/>
              </w:rPr>
              <w:t>1.0</w:t>
            </w:r>
          </w:p>
        </w:tc>
        <w:tc>
          <w:tcPr>
            <w:tcW w:w="1559" w:type="dxa"/>
            <w:tcBorders>
              <w:top w:val="nil"/>
              <w:left w:val="single" w:sz="4" w:space="0" w:color="auto"/>
              <w:bottom w:val="nil"/>
              <w:right w:val="single" w:sz="4" w:space="0" w:color="auto"/>
            </w:tcBorders>
            <w:shd w:val="clear" w:color="auto" w:fill="FFFFFF" w:themeFill="background1"/>
            <w:hideMark/>
          </w:tcPr>
          <w:p w:rsidR="00F72906" w:rsidRPr="00E32262" w:rsidRDefault="00F72906" w:rsidP="0003552F">
            <w:pPr>
              <w:jc w:val="right"/>
              <w:rPr>
                <w:rFonts w:cstheme="minorHAnsi"/>
                <w:color w:val="000000"/>
                <w:sz w:val="20"/>
                <w:szCs w:val="20"/>
                <w:lang w:eastAsia="en-GB"/>
              </w:rPr>
            </w:pPr>
            <w:r w:rsidRPr="00E32262">
              <w:rPr>
                <w:rFonts w:cstheme="minorHAnsi"/>
                <w:color w:val="000000"/>
                <w:sz w:val="20"/>
                <w:szCs w:val="20"/>
                <w:lang w:eastAsia="en-GB"/>
              </w:rPr>
              <w:t>0.7</w:t>
            </w:r>
          </w:p>
        </w:tc>
        <w:tc>
          <w:tcPr>
            <w:tcW w:w="1559" w:type="dxa"/>
            <w:tcBorders>
              <w:top w:val="nil"/>
              <w:left w:val="nil"/>
              <w:bottom w:val="nil"/>
              <w:right w:val="single" w:sz="4" w:space="0" w:color="auto"/>
            </w:tcBorders>
            <w:shd w:val="clear" w:color="auto" w:fill="A8D08D" w:themeFill="accent6" w:themeFillTint="99"/>
            <w:noWrap/>
            <w:hideMark/>
          </w:tcPr>
          <w:p w:rsidR="00F72906" w:rsidRPr="00E32262" w:rsidRDefault="00F72906" w:rsidP="0003552F">
            <w:pPr>
              <w:jc w:val="right"/>
              <w:rPr>
                <w:rFonts w:cstheme="minorHAnsi"/>
                <w:b/>
                <w:color w:val="000000"/>
                <w:sz w:val="20"/>
                <w:szCs w:val="20"/>
                <w:lang w:eastAsia="en-GB"/>
              </w:rPr>
            </w:pPr>
            <w:r w:rsidRPr="00E32262">
              <w:rPr>
                <w:rFonts w:cstheme="minorHAnsi"/>
                <w:b/>
                <w:color w:val="000000"/>
                <w:sz w:val="20"/>
                <w:szCs w:val="20"/>
                <w:lang w:eastAsia="en-GB"/>
              </w:rPr>
              <w:t>(0.3)</w:t>
            </w:r>
          </w:p>
        </w:tc>
      </w:tr>
      <w:tr w:rsidR="00F72906" w:rsidRPr="00E32262" w:rsidTr="0003552F">
        <w:trPr>
          <w:trHeight w:val="264"/>
        </w:trPr>
        <w:tc>
          <w:tcPr>
            <w:tcW w:w="4536" w:type="dxa"/>
            <w:tcBorders>
              <w:top w:val="nil"/>
              <w:left w:val="single" w:sz="4" w:space="0" w:color="auto"/>
              <w:bottom w:val="nil"/>
              <w:right w:val="single" w:sz="4" w:space="0" w:color="auto"/>
            </w:tcBorders>
            <w:shd w:val="clear" w:color="auto" w:fill="FFFFFF" w:themeFill="background1"/>
            <w:noWrap/>
            <w:hideMark/>
          </w:tcPr>
          <w:p w:rsidR="00F72906" w:rsidRPr="00E32262" w:rsidRDefault="00F72906" w:rsidP="0003552F">
            <w:pPr>
              <w:rPr>
                <w:rFonts w:cstheme="minorHAnsi"/>
                <w:color w:val="000000"/>
                <w:sz w:val="20"/>
                <w:szCs w:val="20"/>
                <w:lang w:eastAsia="en-GB"/>
              </w:rPr>
            </w:pPr>
            <w:r w:rsidRPr="00E32262">
              <w:rPr>
                <w:rFonts w:cstheme="minorHAnsi"/>
                <w:color w:val="000000"/>
                <w:sz w:val="20"/>
                <w:szCs w:val="20"/>
                <w:lang w:eastAsia="en-GB"/>
              </w:rPr>
              <w:t>Housing Care Investment</w:t>
            </w:r>
          </w:p>
        </w:tc>
        <w:tc>
          <w:tcPr>
            <w:tcW w:w="1593" w:type="dxa"/>
            <w:tcBorders>
              <w:top w:val="nil"/>
              <w:left w:val="nil"/>
              <w:bottom w:val="nil"/>
              <w:right w:val="single" w:sz="4" w:space="0" w:color="auto"/>
            </w:tcBorders>
            <w:shd w:val="clear" w:color="auto" w:fill="FFFFFF" w:themeFill="background1"/>
            <w:noWrap/>
            <w:hideMark/>
          </w:tcPr>
          <w:p w:rsidR="00F72906" w:rsidRPr="00E32262" w:rsidRDefault="00F72906" w:rsidP="0003552F">
            <w:pPr>
              <w:jc w:val="right"/>
              <w:rPr>
                <w:rFonts w:cstheme="minorHAnsi"/>
                <w:color w:val="000000"/>
                <w:sz w:val="20"/>
                <w:szCs w:val="20"/>
                <w:lang w:eastAsia="en-GB"/>
              </w:rPr>
            </w:pPr>
            <w:r w:rsidRPr="00E32262">
              <w:rPr>
                <w:rFonts w:cstheme="minorHAnsi"/>
                <w:color w:val="000000"/>
                <w:sz w:val="20"/>
                <w:szCs w:val="20"/>
                <w:lang w:eastAsia="en-GB"/>
              </w:rPr>
              <w:t>203.0</w:t>
            </w:r>
          </w:p>
        </w:tc>
        <w:tc>
          <w:tcPr>
            <w:tcW w:w="1559" w:type="dxa"/>
            <w:tcBorders>
              <w:top w:val="nil"/>
              <w:left w:val="nil"/>
              <w:bottom w:val="nil"/>
              <w:right w:val="single" w:sz="4" w:space="0" w:color="auto"/>
            </w:tcBorders>
            <w:shd w:val="clear" w:color="auto" w:fill="FFFFFF" w:themeFill="background1"/>
            <w:noWrap/>
            <w:hideMark/>
          </w:tcPr>
          <w:p w:rsidR="00F72906" w:rsidRPr="00E32262" w:rsidRDefault="00F72906" w:rsidP="0003552F">
            <w:pPr>
              <w:jc w:val="right"/>
              <w:rPr>
                <w:rFonts w:cstheme="minorHAnsi"/>
                <w:color w:val="000000"/>
                <w:sz w:val="20"/>
                <w:szCs w:val="20"/>
                <w:lang w:eastAsia="en-GB"/>
              </w:rPr>
            </w:pPr>
            <w:r w:rsidRPr="00E32262">
              <w:rPr>
                <w:rFonts w:cstheme="minorHAnsi"/>
                <w:color w:val="000000"/>
                <w:sz w:val="20"/>
                <w:szCs w:val="20"/>
                <w:lang w:eastAsia="en-GB"/>
              </w:rPr>
              <w:t>186.0</w:t>
            </w:r>
          </w:p>
        </w:tc>
        <w:tc>
          <w:tcPr>
            <w:tcW w:w="1559" w:type="dxa"/>
            <w:tcBorders>
              <w:top w:val="nil"/>
              <w:left w:val="nil"/>
              <w:bottom w:val="nil"/>
              <w:right w:val="single" w:sz="4" w:space="0" w:color="auto"/>
            </w:tcBorders>
            <w:shd w:val="clear" w:color="auto" w:fill="A8D08D" w:themeFill="accent6" w:themeFillTint="99"/>
            <w:noWrap/>
            <w:hideMark/>
          </w:tcPr>
          <w:p w:rsidR="00F72906" w:rsidRPr="00E32262" w:rsidRDefault="00F72906" w:rsidP="0003552F">
            <w:pPr>
              <w:jc w:val="right"/>
              <w:rPr>
                <w:rFonts w:cstheme="minorHAnsi"/>
                <w:b/>
                <w:color w:val="000000"/>
                <w:sz w:val="20"/>
                <w:szCs w:val="20"/>
                <w:lang w:eastAsia="en-GB"/>
              </w:rPr>
            </w:pPr>
            <w:r w:rsidRPr="00E32262">
              <w:rPr>
                <w:rFonts w:cstheme="minorHAnsi"/>
                <w:b/>
                <w:color w:val="000000"/>
                <w:sz w:val="20"/>
                <w:szCs w:val="20"/>
                <w:lang w:eastAsia="en-GB"/>
              </w:rPr>
              <w:t>(17.0)</w:t>
            </w:r>
          </w:p>
        </w:tc>
      </w:tr>
      <w:tr w:rsidR="00F72906" w:rsidRPr="00E32262" w:rsidTr="0003552F">
        <w:trPr>
          <w:trHeight w:val="264"/>
        </w:trPr>
        <w:tc>
          <w:tcPr>
            <w:tcW w:w="4536" w:type="dxa"/>
            <w:tcBorders>
              <w:top w:val="nil"/>
              <w:left w:val="single" w:sz="4" w:space="0" w:color="auto"/>
              <w:bottom w:val="nil"/>
              <w:right w:val="single" w:sz="4" w:space="0" w:color="auto"/>
            </w:tcBorders>
            <w:shd w:val="clear" w:color="auto" w:fill="FFFFFF" w:themeFill="background1"/>
            <w:hideMark/>
          </w:tcPr>
          <w:p w:rsidR="00F72906" w:rsidRPr="00E32262" w:rsidRDefault="00F72906" w:rsidP="0003552F">
            <w:pPr>
              <w:rPr>
                <w:rFonts w:cstheme="minorHAnsi"/>
                <w:color w:val="000000"/>
                <w:sz w:val="20"/>
                <w:szCs w:val="20"/>
                <w:lang w:eastAsia="en-GB"/>
              </w:rPr>
            </w:pPr>
            <w:r w:rsidRPr="00E32262">
              <w:rPr>
                <w:rFonts w:cstheme="minorHAnsi"/>
                <w:color w:val="000000"/>
                <w:sz w:val="20"/>
                <w:szCs w:val="20"/>
                <w:lang w:eastAsia="en-GB"/>
              </w:rPr>
              <w:t>Schools</w:t>
            </w:r>
          </w:p>
        </w:tc>
        <w:tc>
          <w:tcPr>
            <w:tcW w:w="1593" w:type="dxa"/>
            <w:tcBorders>
              <w:top w:val="nil"/>
              <w:left w:val="nil"/>
              <w:bottom w:val="nil"/>
              <w:right w:val="nil"/>
            </w:tcBorders>
            <w:shd w:val="clear" w:color="auto" w:fill="FFFFFF" w:themeFill="background1"/>
            <w:hideMark/>
          </w:tcPr>
          <w:p w:rsidR="00F72906" w:rsidRPr="00E32262" w:rsidRDefault="00F72906" w:rsidP="0003552F">
            <w:pPr>
              <w:jc w:val="right"/>
              <w:rPr>
                <w:rFonts w:cstheme="minorHAnsi"/>
                <w:color w:val="000000"/>
                <w:sz w:val="20"/>
                <w:szCs w:val="20"/>
                <w:lang w:eastAsia="en-GB"/>
              </w:rPr>
            </w:pPr>
            <w:r w:rsidRPr="00E32262">
              <w:rPr>
                <w:rFonts w:cstheme="minorHAnsi"/>
                <w:color w:val="000000"/>
                <w:sz w:val="20"/>
                <w:szCs w:val="20"/>
                <w:lang w:eastAsia="en-GB"/>
              </w:rPr>
              <w:t>10.8</w:t>
            </w:r>
          </w:p>
        </w:tc>
        <w:tc>
          <w:tcPr>
            <w:tcW w:w="1559" w:type="dxa"/>
            <w:tcBorders>
              <w:top w:val="nil"/>
              <w:left w:val="single" w:sz="4" w:space="0" w:color="auto"/>
              <w:bottom w:val="nil"/>
              <w:right w:val="single" w:sz="4" w:space="0" w:color="auto"/>
            </w:tcBorders>
            <w:shd w:val="clear" w:color="auto" w:fill="FFFFFF" w:themeFill="background1"/>
            <w:hideMark/>
          </w:tcPr>
          <w:p w:rsidR="00F72906" w:rsidRPr="00E32262" w:rsidRDefault="00F72906" w:rsidP="0003552F">
            <w:pPr>
              <w:jc w:val="right"/>
              <w:rPr>
                <w:rFonts w:cstheme="minorHAnsi"/>
                <w:color w:val="000000"/>
                <w:sz w:val="20"/>
                <w:szCs w:val="20"/>
                <w:lang w:eastAsia="en-GB"/>
              </w:rPr>
            </w:pPr>
            <w:r w:rsidRPr="00E32262">
              <w:rPr>
                <w:rFonts w:cstheme="minorHAnsi"/>
                <w:color w:val="000000"/>
                <w:sz w:val="20"/>
                <w:szCs w:val="20"/>
                <w:lang w:eastAsia="en-GB"/>
              </w:rPr>
              <w:t>9.6</w:t>
            </w:r>
          </w:p>
        </w:tc>
        <w:tc>
          <w:tcPr>
            <w:tcW w:w="1559" w:type="dxa"/>
            <w:tcBorders>
              <w:top w:val="nil"/>
              <w:left w:val="nil"/>
              <w:bottom w:val="nil"/>
              <w:right w:val="single" w:sz="4" w:space="0" w:color="auto"/>
            </w:tcBorders>
            <w:shd w:val="clear" w:color="auto" w:fill="A8D08D" w:themeFill="accent6" w:themeFillTint="99"/>
            <w:noWrap/>
            <w:hideMark/>
          </w:tcPr>
          <w:p w:rsidR="00F72906" w:rsidRPr="00E32262" w:rsidRDefault="00F72906" w:rsidP="0003552F">
            <w:pPr>
              <w:jc w:val="right"/>
              <w:rPr>
                <w:rFonts w:cstheme="minorHAnsi"/>
                <w:b/>
                <w:color w:val="000000"/>
                <w:sz w:val="20"/>
                <w:szCs w:val="20"/>
                <w:lang w:eastAsia="en-GB"/>
              </w:rPr>
            </w:pPr>
            <w:r w:rsidRPr="00E32262">
              <w:rPr>
                <w:rFonts w:cstheme="minorHAnsi"/>
                <w:b/>
                <w:color w:val="000000"/>
                <w:sz w:val="20"/>
                <w:szCs w:val="20"/>
                <w:lang w:eastAsia="en-GB"/>
              </w:rPr>
              <w:t>(1.2)</w:t>
            </w:r>
          </w:p>
        </w:tc>
      </w:tr>
      <w:tr w:rsidR="00F72906" w:rsidRPr="00E32262" w:rsidTr="0003552F">
        <w:trPr>
          <w:trHeight w:val="264"/>
        </w:trPr>
        <w:tc>
          <w:tcPr>
            <w:tcW w:w="4536" w:type="dxa"/>
            <w:tcBorders>
              <w:top w:val="nil"/>
              <w:left w:val="single" w:sz="4" w:space="0" w:color="auto"/>
              <w:bottom w:val="nil"/>
              <w:right w:val="single" w:sz="4" w:space="0" w:color="auto"/>
            </w:tcBorders>
            <w:shd w:val="clear" w:color="auto" w:fill="FFFFFF" w:themeFill="background1"/>
            <w:noWrap/>
            <w:hideMark/>
          </w:tcPr>
          <w:p w:rsidR="00F72906" w:rsidRPr="00E32262" w:rsidRDefault="00F72906" w:rsidP="0003552F">
            <w:pPr>
              <w:rPr>
                <w:rFonts w:cstheme="minorHAnsi"/>
                <w:color w:val="000000"/>
                <w:sz w:val="20"/>
                <w:szCs w:val="20"/>
                <w:lang w:eastAsia="en-GB"/>
              </w:rPr>
            </w:pPr>
            <w:r w:rsidRPr="00E32262">
              <w:rPr>
                <w:rFonts w:cstheme="minorHAnsi"/>
                <w:color w:val="000000"/>
                <w:sz w:val="20"/>
                <w:szCs w:val="20"/>
                <w:lang w:eastAsia="en-GB"/>
              </w:rPr>
              <w:t>South Kilburn</w:t>
            </w:r>
          </w:p>
        </w:tc>
        <w:tc>
          <w:tcPr>
            <w:tcW w:w="1593" w:type="dxa"/>
            <w:tcBorders>
              <w:top w:val="nil"/>
              <w:left w:val="nil"/>
              <w:bottom w:val="nil"/>
              <w:right w:val="single" w:sz="4" w:space="0" w:color="auto"/>
            </w:tcBorders>
            <w:shd w:val="clear" w:color="auto" w:fill="FFFFFF" w:themeFill="background1"/>
            <w:noWrap/>
            <w:hideMark/>
          </w:tcPr>
          <w:p w:rsidR="00F72906" w:rsidRPr="00E32262" w:rsidRDefault="00F72906" w:rsidP="0003552F">
            <w:pPr>
              <w:jc w:val="right"/>
              <w:rPr>
                <w:rFonts w:cstheme="minorHAnsi"/>
                <w:color w:val="000000"/>
                <w:sz w:val="20"/>
                <w:szCs w:val="20"/>
                <w:lang w:eastAsia="en-GB"/>
              </w:rPr>
            </w:pPr>
            <w:r w:rsidRPr="00E32262">
              <w:rPr>
                <w:rFonts w:cstheme="minorHAnsi"/>
                <w:color w:val="000000"/>
                <w:sz w:val="20"/>
                <w:szCs w:val="20"/>
                <w:lang w:eastAsia="en-GB"/>
              </w:rPr>
              <w:t>10.6</w:t>
            </w:r>
          </w:p>
        </w:tc>
        <w:tc>
          <w:tcPr>
            <w:tcW w:w="1559" w:type="dxa"/>
            <w:tcBorders>
              <w:top w:val="nil"/>
              <w:left w:val="nil"/>
              <w:bottom w:val="nil"/>
              <w:right w:val="single" w:sz="4" w:space="0" w:color="auto"/>
            </w:tcBorders>
            <w:shd w:val="clear" w:color="auto" w:fill="FFFFFF" w:themeFill="background1"/>
            <w:noWrap/>
            <w:hideMark/>
          </w:tcPr>
          <w:p w:rsidR="00F72906" w:rsidRPr="00E32262" w:rsidRDefault="00F72906" w:rsidP="0003552F">
            <w:pPr>
              <w:jc w:val="right"/>
              <w:rPr>
                <w:rFonts w:cstheme="minorHAnsi"/>
                <w:color w:val="000000"/>
                <w:sz w:val="20"/>
                <w:szCs w:val="20"/>
                <w:lang w:eastAsia="en-GB"/>
              </w:rPr>
            </w:pPr>
            <w:r w:rsidRPr="00E32262">
              <w:rPr>
                <w:rFonts w:cstheme="minorHAnsi"/>
                <w:color w:val="000000"/>
                <w:sz w:val="20"/>
                <w:szCs w:val="20"/>
                <w:lang w:eastAsia="en-GB"/>
              </w:rPr>
              <w:t>8.8</w:t>
            </w:r>
          </w:p>
        </w:tc>
        <w:tc>
          <w:tcPr>
            <w:tcW w:w="1559" w:type="dxa"/>
            <w:tcBorders>
              <w:top w:val="nil"/>
              <w:left w:val="nil"/>
              <w:bottom w:val="nil"/>
              <w:right w:val="single" w:sz="4" w:space="0" w:color="auto"/>
            </w:tcBorders>
            <w:shd w:val="clear" w:color="auto" w:fill="A8D08D" w:themeFill="accent6" w:themeFillTint="99"/>
            <w:noWrap/>
            <w:hideMark/>
          </w:tcPr>
          <w:p w:rsidR="00F72906" w:rsidRPr="00E32262" w:rsidRDefault="00F72906" w:rsidP="0003552F">
            <w:pPr>
              <w:jc w:val="right"/>
              <w:rPr>
                <w:rFonts w:cstheme="minorHAnsi"/>
                <w:b/>
                <w:color w:val="000000"/>
                <w:sz w:val="20"/>
                <w:szCs w:val="20"/>
                <w:lang w:eastAsia="en-GB"/>
              </w:rPr>
            </w:pPr>
            <w:r w:rsidRPr="00E32262">
              <w:rPr>
                <w:rFonts w:cstheme="minorHAnsi"/>
                <w:b/>
                <w:color w:val="000000"/>
                <w:sz w:val="20"/>
                <w:szCs w:val="20"/>
                <w:lang w:eastAsia="en-GB"/>
              </w:rPr>
              <w:t>(1.8)</w:t>
            </w:r>
          </w:p>
        </w:tc>
      </w:tr>
      <w:tr w:rsidR="00F72906" w:rsidRPr="00E32262" w:rsidTr="0003552F">
        <w:trPr>
          <w:trHeight w:val="264"/>
        </w:trPr>
        <w:tc>
          <w:tcPr>
            <w:tcW w:w="4536" w:type="dxa"/>
            <w:tcBorders>
              <w:top w:val="nil"/>
              <w:left w:val="single" w:sz="4" w:space="0" w:color="auto"/>
              <w:bottom w:val="nil"/>
              <w:right w:val="single" w:sz="4" w:space="0" w:color="auto"/>
            </w:tcBorders>
            <w:shd w:val="clear" w:color="auto" w:fill="FFFFFF" w:themeFill="background1"/>
            <w:noWrap/>
            <w:hideMark/>
          </w:tcPr>
          <w:p w:rsidR="00F72906" w:rsidRPr="00E32262" w:rsidRDefault="00F72906" w:rsidP="0003552F">
            <w:pPr>
              <w:rPr>
                <w:rFonts w:cstheme="minorHAnsi"/>
                <w:color w:val="000000"/>
                <w:sz w:val="20"/>
                <w:szCs w:val="20"/>
                <w:lang w:eastAsia="en-GB"/>
              </w:rPr>
            </w:pPr>
            <w:r w:rsidRPr="00E32262">
              <w:rPr>
                <w:rFonts w:cstheme="minorHAnsi"/>
                <w:color w:val="000000"/>
                <w:sz w:val="20"/>
                <w:szCs w:val="20"/>
                <w:lang w:eastAsia="en-GB"/>
              </w:rPr>
              <w:t>Public Realm</w:t>
            </w:r>
          </w:p>
        </w:tc>
        <w:tc>
          <w:tcPr>
            <w:tcW w:w="1593" w:type="dxa"/>
            <w:tcBorders>
              <w:top w:val="nil"/>
              <w:left w:val="nil"/>
              <w:bottom w:val="nil"/>
              <w:right w:val="nil"/>
            </w:tcBorders>
            <w:shd w:val="clear" w:color="auto" w:fill="FFFFFF" w:themeFill="background1"/>
            <w:noWrap/>
            <w:hideMark/>
          </w:tcPr>
          <w:p w:rsidR="00F72906" w:rsidRPr="00E32262" w:rsidRDefault="00F72906" w:rsidP="0003552F">
            <w:pPr>
              <w:jc w:val="right"/>
              <w:rPr>
                <w:rFonts w:cstheme="minorHAnsi"/>
                <w:color w:val="000000"/>
                <w:sz w:val="20"/>
                <w:szCs w:val="20"/>
                <w:lang w:eastAsia="en-GB"/>
              </w:rPr>
            </w:pPr>
            <w:r w:rsidRPr="00E32262">
              <w:rPr>
                <w:rFonts w:cstheme="minorHAnsi"/>
                <w:color w:val="000000"/>
                <w:sz w:val="20"/>
                <w:szCs w:val="20"/>
                <w:lang w:eastAsia="en-GB"/>
              </w:rPr>
              <w:t>21.2</w:t>
            </w:r>
          </w:p>
        </w:tc>
        <w:tc>
          <w:tcPr>
            <w:tcW w:w="1559" w:type="dxa"/>
            <w:tcBorders>
              <w:top w:val="nil"/>
              <w:left w:val="single" w:sz="4" w:space="0" w:color="auto"/>
              <w:bottom w:val="nil"/>
              <w:right w:val="single" w:sz="4" w:space="0" w:color="auto"/>
            </w:tcBorders>
            <w:shd w:val="clear" w:color="auto" w:fill="FFFFFF" w:themeFill="background1"/>
            <w:noWrap/>
            <w:hideMark/>
          </w:tcPr>
          <w:p w:rsidR="00F72906" w:rsidRPr="00E32262" w:rsidRDefault="00F72906" w:rsidP="0003552F">
            <w:pPr>
              <w:jc w:val="right"/>
              <w:rPr>
                <w:rFonts w:cstheme="minorHAnsi"/>
                <w:color w:val="000000"/>
                <w:sz w:val="20"/>
                <w:szCs w:val="20"/>
                <w:lang w:eastAsia="en-GB"/>
              </w:rPr>
            </w:pPr>
            <w:r w:rsidRPr="00E32262">
              <w:rPr>
                <w:rFonts w:cstheme="minorHAnsi"/>
                <w:color w:val="000000"/>
                <w:sz w:val="20"/>
                <w:szCs w:val="20"/>
                <w:lang w:eastAsia="en-GB"/>
              </w:rPr>
              <w:t>17.4</w:t>
            </w:r>
          </w:p>
        </w:tc>
        <w:tc>
          <w:tcPr>
            <w:tcW w:w="1559" w:type="dxa"/>
            <w:tcBorders>
              <w:top w:val="nil"/>
              <w:left w:val="nil"/>
              <w:bottom w:val="nil"/>
              <w:right w:val="single" w:sz="4" w:space="0" w:color="auto"/>
            </w:tcBorders>
            <w:shd w:val="clear" w:color="auto" w:fill="A8D08D" w:themeFill="accent6" w:themeFillTint="99"/>
            <w:noWrap/>
            <w:hideMark/>
          </w:tcPr>
          <w:p w:rsidR="00F72906" w:rsidRPr="00E32262" w:rsidRDefault="00F72906" w:rsidP="0003552F">
            <w:pPr>
              <w:jc w:val="right"/>
              <w:rPr>
                <w:rFonts w:cstheme="minorHAnsi"/>
                <w:b/>
                <w:color w:val="000000"/>
                <w:sz w:val="20"/>
                <w:szCs w:val="20"/>
                <w:lang w:eastAsia="en-GB"/>
              </w:rPr>
            </w:pPr>
            <w:r w:rsidRPr="00E32262">
              <w:rPr>
                <w:rFonts w:cstheme="minorHAnsi"/>
                <w:b/>
                <w:color w:val="000000"/>
                <w:sz w:val="20"/>
                <w:szCs w:val="20"/>
                <w:lang w:eastAsia="en-GB"/>
              </w:rPr>
              <w:t>(3.8)</w:t>
            </w:r>
          </w:p>
        </w:tc>
      </w:tr>
      <w:tr w:rsidR="00F72906" w:rsidRPr="00E32262" w:rsidTr="0003552F">
        <w:trPr>
          <w:trHeight w:val="264"/>
        </w:trPr>
        <w:tc>
          <w:tcPr>
            <w:tcW w:w="4536" w:type="dxa"/>
            <w:tcBorders>
              <w:top w:val="nil"/>
              <w:left w:val="single" w:sz="4" w:space="0" w:color="auto"/>
              <w:bottom w:val="nil"/>
              <w:right w:val="single" w:sz="4" w:space="0" w:color="auto"/>
            </w:tcBorders>
            <w:shd w:val="clear" w:color="auto" w:fill="FFFFFF" w:themeFill="background1"/>
            <w:noWrap/>
            <w:hideMark/>
          </w:tcPr>
          <w:p w:rsidR="00F72906" w:rsidRPr="00E32262" w:rsidRDefault="00F72906" w:rsidP="0003552F">
            <w:pPr>
              <w:rPr>
                <w:rFonts w:cstheme="minorHAnsi"/>
                <w:color w:val="000000"/>
                <w:sz w:val="20"/>
                <w:szCs w:val="20"/>
                <w:lang w:eastAsia="en-GB"/>
              </w:rPr>
            </w:pPr>
            <w:r w:rsidRPr="00E32262">
              <w:rPr>
                <w:rFonts w:cstheme="minorHAnsi"/>
                <w:color w:val="000000"/>
                <w:sz w:val="20"/>
                <w:szCs w:val="20"/>
                <w:lang w:eastAsia="en-GB"/>
              </w:rPr>
              <w:t> </w:t>
            </w:r>
          </w:p>
        </w:tc>
        <w:tc>
          <w:tcPr>
            <w:tcW w:w="1593" w:type="dxa"/>
            <w:tcBorders>
              <w:top w:val="nil"/>
              <w:left w:val="nil"/>
              <w:bottom w:val="nil"/>
              <w:right w:val="single" w:sz="4" w:space="0" w:color="auto"/>
            </w:tcBorders>
            <w:shd w:val="clear" w:color="auto" w:fill="FFFFFF" w:themeFill="background1"/>
            <w:noWrap/>
            <w:hideMark/>
          </w:tcPr>
          <w:p w:rsidR="00F72906" w:rsidRPr="00E32262" w:rsidRDefault="00F72906" w:rsidP="0003552F">
            <w:pPr>
              <w:jc w:val="right"/>
              <w:rPr>
                <w:rFonts w:cstheme="minorHAnsi"/>
                <w:color w:val="000000"/>
                <w:sz w:val="20"/>
                <w:szCs w:val="20"/>
                <w:lang w:eastAsia="en-GB"/>
              </w:rPr>
            </w:pPr>
            <w:r w:rsidRPr="00E32262">
              <w:rPr>
                <w:rFonts w:cstheme="minorHAnsi"/>
                <w:color w:val="000000"/>
                <w:sz w:val="20"/>
                <w:szCs w:val="20"/>
                <w:lang w:eastAsia="en-GB"/>
              </w:rPr>
              <w:t> </w:t>
            </w:r>
          </w:p>
        </w:tc>
        <w:tc>
          <w:tcPr>
            <w:tcW w:w="1559" w:type="dxa"/>
            <w:tcBorders>
              <w:top w:val="nil"/>
              <w:left w:val="nil"/>
              <w:bottom w:val="nil"/>
              <w:right w:val="single" w:sz="4" w:space="0" w:color="auto"/>
            </w:tcBorders>
            <w:shd w:val="clear" w:color="auto" w:fill="FFFFFF" w:themeFill="background1"/>
            <w:noWrap/>
            <w:hideMark/>
          </w:tcPr>
          <w:p w:rsidR="00F72906" w:rsidRPr="00E32262" w:rsidRDefault="00F72906" w:rsidP="0003552F">
            <w:pPr>
              <w:jc w:val="right"/>
              <w:rPr>
                <w:rFonts w:cstheme="minorHAnsi"/>
                <w:color w:val="000000"/>
                <w:sz w:val="20"/>
                <w:szCs w:val="20"/>
                <w:lang w:eastAsia="en-GB"/>
              </w:rPr>
            </w:pPr>
            <w:r w:rsidRPr="00E32262">
              <w:rPr>
                <w:rFonts w:cstheme="minorHAnsi"/>
                <w:color w:val="000000"/>
                <w:sz w:val="20"/>
                <w:szCs w:val="20"/>
                <w:lang w:eastAsia="en-GB"/>
              </w:rPr>
              <w:t> </w:t>
            </w:r>
          </w:p>
        </w:tc>
        <w:tc>
          <w:tcPr>
            <w:tcW w:w="1559" w:type="dxa"/>
            <w:tcBorders>
              <w:top w:val="nil"/>
              <w:left w:val="nil"/>
              <w:bottom w:val="nil"/>
              <w:right w:val="single" w:sz="4" w:space="0" w:color="auto"/>
            </w:tcBorders>
            <w:shd w:val="clear" w:color="auto" w:fill="A8D08D" w:themeFill="accent6" w:themeFillTint="99"/>
            <w:noWrap/>
            <w:hideMark/>
          </w:tcPr>
          <w:p w:rsidR="00F72906" w:rsidRPr="00E32262" w:rsidRDefault="00F72906" w:rsidP="0003552F">
            <w:pPr>
              <w:jc w:val="right"/>
              <w:rPr>
                <w:rFonts w:cstheme="minorHAnsi"/>
                <w:b/>
                <w:color w:val="000000"/>
                <w:sz w:val="20"/>
                <w:szCs w:val="20"/>
                <w:lang w:eastAsia="en-GB"/>
              </w:rPr>
            </w:pPr>
            <w:r w:rsidRPr="00E32262">
              <w:rPr>
                <w:rFonts w:cstheme="minorHAnsi"/>
                <w:b/>
                <w:color w:val="000000"/>
                <w:sz w:val="20"/>
                <w:szCs w:val="20"/>
                <w:lang w:eastAsia="en-GB"/>
              </w:rPr>
              <w:t> </w:t>
            </w:r>
          </w:p>
        </w:tc>
      </w:tr>
      <w:tr w:rsidR="00F72906" w:rsidRPr="00E32262" w:rsidTr="0003552F">
        <w:trPr>
          <w:trHeight w:val="276"/>
        </w:trPr>
        <w:tc>
          <w:tcPr>
            <w:tcW w:w="4536" w:type="dxa"/>
            <w:tcBorders>
              <w:top w:val="nil"/>
              <w:left w:val="single" w:sz="4" w:space="0" w:color="auto"/>
              <w:bottom w:val="double" w:sz="6" w:space="0" w:color="auto"/>
              <w:right w:val="single" w:sz="4" w:space="0" w:color="auto"/>
            </w:tcBorders>
            <w:shd w:val="clear" w:color="000000" w:fill="CACACA"/>
            <w:hideMark/>
          </w:tcPr>
          <w:p w:rsidR="00F72906" w:rsidRPr="00E32262" w:rsidRDefault="00F72906" w:rsidP="0003552F">
            <w:pPr>
              <w:rPr>
                <w:rFonts w:cstheme="minorHAnsi"/>
                <w:b/>
                <w:bCs/>
                <w:color w:val="000000"/>
                <w:sz w:val="20"/>
                <w:szCs w:val="20"/>
                <w:lang w:eastAsia="en-GB"/>
              </w:rPr>
            </w:pPr>
            <w:r w:rsidRPr="00E32262">
              <w:rPr>
                <w:rFonts w:cstheme="minorHAnsi"/>
                <w:b/>
                <w:bCs/>
                <w:color w:val="000000"/>
                <w:sz w:val="20"/>
                <w:szCs w:val="20"/>
                <w:lang w:eastAsia="en-GB"/>
              </w:rPr>
              <w:t>Grand Total</w:t>
            </w:r>
          </w:p>
        </w:tc>
        <w:tc>
          <w:tcPr>
            <w:tcW w:w="1593" w:type="dxa"/>
            <w:tcBorders>
              <w:top w:val="nil"/>
              <w:left w:val="nil"/>
              <w:bottom w:val="double" w:sz="6" w:space="0" w:color="auto"/>
              <w:right w:val="nil"/>
            </w:tcBorders>
            <w:shd w:val="clear" w:color="000000" w:fill="CACACA"/>
            <w:hideMark/>
          </w:tcPr>
          <w:p w:rsidR="00F72906" w:rsidRPr="00E32262" w:rsidRDefault="00F72906" w:rsidP="0003552F">
            <w:pPr>
              <w:jc w:val="right"/>
              <w:rPr>
                <w:rFonts w:cstheme="minorHAnsi"/>
                <w:b/>
                <w:bCs/>
                <w:color w:val="000000"/>
                <w:sz w:val="20"/>
                <w:szCs w:val="20"/>
                <w:lang w:eastAsia="en-GB"/>
              </w:rPr>
            </w:pPr>
            <w:r w:rsidRPr="00E32262">
              <w:rPr>
                <w:rFonts w:cstheme="minorHAnsi"/>
                <w:b/>
                <w:bCs/>
                <w:color w:val="000000"/>
                <w:sz w:val="20"/>
                <w:szCs w:val="20"/>
                <w:lang w:eastAsia="en-GB"/>
              </w:rPr>
              <w:t>261.2</w:t>
            </w:r>
          </w:p>
        </w:tc>
        <w:tc>
          <w:tcPr>
            <w:tcW w:w="1559" w:type="dxa"/>
            <w:tcBorders>
              <w:top w:val="nil"/>
              <w:left w:val="single" w:sz="4" w:space="0" w:color="auto"/>
              <w:bottom w:val="double" w:sz="6" w:space="0" w:color="auto"/>
              <w:right w:val="single" w:sz="4" w:space="0" w:color="auto"/>
            </w:tcBorders>
            <w:shd w:val="clear" w:color="000000" w:fill="CACACA"/>
            <w:hideMark/>
          </w:tcPr>
          <w:p w:rsidR="00F72906" w:rsidRPr="00E32262" w:rsidRDefault="00F72906" w:rsidP="0003552F">
            <w:pPr>
              <w:jc w:val="right"/>
              <w:rPr>
                <w:rFonts w:cstheme="minorHAnsi"/>
                <w:b/>
                <w:bCs/>
                <w:color w:val="000000"/>
                <w:sz w:val="20"/>
                <w:szCs w:val="20"/>
                <w:lang w:eastAsia="en-GB"/>
              </w:rPr>
            </w:pPr>
            <w:r w:rsidRPr="00E32262">
              <w:rPr>
                <w:rFonts w:cstheme="minorHAnsi"/>
                <w:b/>
                <w:bCs/>
                <w:color w:val="000000"/>
                <w:sz w:val="20"/>
                <w:szCs w:val="20"/>
                <w:lang w:eastAsia="en-GB"/>
              </w:rPr>
              <w:t>232.0</w:t>
            </w:r>
          </w:p>
        </w:tc>
        <w:tc>
          <w:tcPr>
            <w:tcW w:w="1559" w:type="dxa"/>
            <w:tcBorders>
              <w:top w:val="nil"/>
              <w:left w:val="nil"/>
              <w:bottom w:val="double" w:sz="6" w:space="0" w:color="auto"/>
              <w:right w:val="single" w:sz="4" w:space="0" w:color="auto"/>
            </w:tcBorders>
            <w:shd w:val="clear" w:color="auto" w:fill="A8D08D" w:themeFill="accent6" w:themeFillTint="99"/>
            <w:hideMark/>
          </w:tcPr>
          <w:p w:rsidR="00F72906" w:rsidRPr="00E32262" w:rsidRDefault="00F72906" w:rsidP="0003552F">
            <w:pPr>
              <w:jc w:val="right"/>
              <w:rPr>
                <w:rFonts w:cstheme="minorHAnsi"/>
                <w:b/>
                <w:bCs/>
                <w:color w:val="000000"/>
                <w:sz w:val="20"/>
                <w:szCs w:val="20"/>
                <w:lang w:eastAsia="en-GB"/>
              </w:rPr>
            </w:pPr>
            <w:r w:rsidRPr="00E32262">
              <w:rPr>
                <w:rFonts w:cstheme="minorHAnsi"/>
                <w:b/>
                <w:bCs/>
                <w:color w:val="000000"/>
                <w:sz w:val="20"/>
                <w:szCs w:val="20"/>
                <w:lang w:eastAsia="en-GB"/>
              </w:rPr>
              <w:t>(29.2)</w:t>
            </w:r>
          </w:p>
        </w:tc>
      </w:tr>
    </w:tbl>
    <w:p w:rsidR="00F72906" w:rsidRDefault="00F72906" w:rsidP="00F72906"/>
    <w:p w:rsidR="00F72906" w:rsidRPr="0087018B" w:rsidRDefault="00F72906" w:rsidP="00F72906">
      <w:r>
        <w:t>13.</w:t>
      </w:r>
      <w:r>
        <w:tab/>
        <w:t>The Council has an ambitious five year capital investment programme totalling £1.1bn which is financed from a combination of capital receipts, the Council’s resources and external borrowing. For 2019/20 the Council spent £232m, which equates to 89% of the approved capital programme budget and was under spent compared to budget by £29.2m or 11% as shown in Table 2 above.</w:t>
      </w:r>
    </w:p>
    <w:p w:rsidR="00F72906" w:rsidRPr="00F72906" w:rsidRDefault="00F72906" w:rsidP="00F72906">
      <w:pPr>
        <w:rPr>
          <w:i/>
        </w:rPr>
      </w:pPr>
      <w:r>
        <w:rPr>
          <w:i/>
        </w:rPr>
        <w:t xml:space="preserve">Corporate Landlord </w:t>
      </w:r>
    </w:p>
    <w:p w:rsidR="00F72906" w:rsidRDefault="00F72906" w:rsidP="00F72906">
      <w:r>
        <w:t>14.</w:t>
      </w:r>
      <w:r>
        <w:tab/>
        <w:t>Reporting a £5.3m underspend due to protracted commercial and legal negotiations which has caused delays in agreeing the final terms of the loan to the United College Group (UCG) for proposed development works on a new campus.</w:t>
      </w:r>
    </w:p>
    <w:p w:rsidR="00F72906" w:rsidRDefault="00F72906" w:rsidP="00F72906">
      <w:r>
        <w:lastRenderedPageBreak/>
        <w:t>Regeneration</w:t>
      </w:r>
    </w:p>
    <w:p w:rsidR="00F72906" w:rsidRDefault="00F72906" w:rsidP="00F72906">
      <w:r>
        <w:t>15.</w:t>
      </w:r>
      <w:r>
        <w:tab/>
        <w:t>A small overspend in year caused by the Morland Gardens scheme incurring design fee and other costs earlier than originally planned. The scheme is still expected to come in on budget over the life of the project. This is offset by an equivalent underspend on the St Raphael’s Estate regeneration budget due to design and procurement work pushed back to 2020-21.</w:t>
      </w:r>
    </w:p>
    <w:p w:rsidR="00F72906" w:rsidRDefault="00F72906" w:rsidP="00F72906"/>
    <w:p w:rsidR="00F72906" w:rsidRPr="00F72906" w:rsidRDefault="00F72906" w:rsidP="00F72906">
      <w:pPr>
        <w:rPr>
          <w:i/>
        </w:rPr>
      </w:pPr>
      <w:r w:rsidRPr="00F72906">
        <w:rPr>
          <w:i/>
        </w:rPr>
        <w:t xml:space="preserve">Housing, Care </w:t>
      </w:r>
      <w:r>
        <w:rPr>
          <w:i/>
        </w:rPr>
        <w:t>and Investment</w:t>
      </w:r>
    </w:p>
    <w:p w:rsidR="00F72906" w:rsidRDefault="00F72906" w:rsidP="00F72906">
      <w:r>
        <w:t>16.</w:t>
      </w:r>
      <w:r>
        <w:tab/>
        <w:t>The £17m underspend in housing is due to several projects. They include the acquisition and street properties programme underspending by £6m due to difficulties in identifying and securing a suitable pipeline of street properties. Approximately £6m relates to delayed works at the following sites: (Honey Pot Lane, Learie Constantine securing vacant possession and agreeing leases, BICC redevelopment and Brondesbury Road clinic). Lastly following the acquisition of 235 new units at Gloucester and Durham the Council secured a saving of c £5m compared to the original budget by agreeing an SDLT exemption with HMRC.</w:t>
      </w:r>
    </w:p>
    <w:p w:rsidR="00F72906" w:rsidRDefault="00F72906" w:rsidP="00F72906"/>
    <w:p w:rsidR="00F72906" w:rsidRPr="00F72906" w:rsidRDefault="00F72906" w:rsidP="00F72906">
      <w:pPr>
        <w:rPr>
          <w:i/>
        </w:rPr>
      </w:pPr>
      <w:r>
        <w:rPr>
          <w:i/>
        </w:rPr>
        <w:t>Schools</w:t>
      </w:r>
    </w:p>
    <w:p w:rsidR="00F72906" w:rsidRDefault="00F72906" w:rsidP="00F72906">
      <w:r>
        <w:t>17.</w:t>
      </w:r>
      <w:r>
        <w:tab/>
        <w:t>The £1.2m underspend is caused by slippage on a number of projects within the annual maintenance programme and schools expansion programme now planned to be carried forward and completed in 2020/21.</w:t>
      </w:r>
    </w:p>
    <w:p w:rsidR="00F72906" w:rsidRDefault="00F72906" w:rsidP="00F72906"/>
    <w:p w:rsidR="00F72906" w:rsidRPr="00F72906" w:rsidRDefault="00F72906" w:rsidP="00F72906">
      <w:pPr>
        <w:rPr>
          <w:i/>
        </w:rPr>
      </w:pPr>
      <w:r w:rsidRPr="00F72906">
        <w:rPr>
          <w:i/>
        </w:rPr>
        <w:t>South Kilburn</w:t>
      </w:r>
    </w:p>
    <w:p w:rsidR="00F72906" w:rsidRDefault="00F72906" w:rsidP="00F72906">
      <w:r>
        <w:t>18.</w:t>
      </w:r>
      <w:r>
        <w:tab/>
        <w:t>A £1.8m underspend due to delays in securing property acquisitions on William Dunbar and Saville, Crone Court and Austen House schemes.</w:t>
      </w:r>
    </w:p>
    <w:p w:rsidR="00F72906" w:rsidRDefault="00F72906" w:rsidP="00F72906"/>
    <w:p w:rsidR="00F72906" w:rsidRPr="00F72906" w:rsidRDefault="00F72906" w:rsidP="00F72906">
      <w:pPr>
        <w:rPr>
          <w:i/>
        </w:rPr>
      </w:pPr>
      <w:r>
        <w:rPr>
          <w:i/>
        </w:rPr>
        <w:t>Public Realm</w:t>
      </w:r>
    </w:p>
    <w:p w:rsidR="00F72906" w:rsidRDefault="00F72906" w:rsidP="00F72906">
      <w:r>
        <w:t>19.</w:t>
      </w:r>
      <w:r>
        <w:tab/>
        <w:t>There is a £3.8m underspend across a number of infrastructure improvement programmes. A large proportion of this sum relates to planned footways works which were paused in March due to the pandemic outbreak.</w:t>
      </w:r>
    </w:p>
    <w:p w:rsidR="00F72906" w:rsidRDefault="00F72906" w:rsidP="00F72906">
      <w:r>
        <w:t>20.</w:t>
      </w:r>
      <w:r>
        <w:tab/>
        <w:t xml:space="preserve">The Council continues to review the capital programme to assess the financial and delivery implications of the crisis on programmes and projects planned to be completed within the next financial year. With the exception of a few contractors that ceased working on site or reduced their site activities most are now resuming work from May onwards. Indeed, most of our capital programmes and projects have been progressing albeit within the social distancing constraints. Other than some of the savings targets (linked to securing rental income) now being delayed, there are no material impacts anticipated from the recent review undertaken. </w:t>
      </w:r>
    </w:p>
    <w:p w:rsidR="00F72906" w:rsidRDefault="00F72906" w:rsidP="00F72906"/>
    <w:p w:rsidR="00F72906" w:rsidRPr="00F72906" w:rsidRDefault="00F72906" w:rsidP="00F72906">
      <w:pPr>
        <w:rPr>
          <w:b/>
        </w:rPr>
      </w:pPr>
      <w:r w:rsidRPr="00F72906">
        <w:rPr>
          <w:b/>
        </w:rPr>
        <w:t>Other significant financial results and information</w:t>
      </w:r>
    </w:p>
    <w:p w:rsidR="00F72906" w:rsidRPr="00F72906" w:rsidRDefault="00F72906" w:rsidP="00F72906">
      <w:pPr>
        <w:rPr>
          <w:i/>
        </w:rPr>
      </w:pPr>
      <w:r w:rsidRPr="00F72906">
        <w:rPr>
          <w:i/>
        </w:rPr>
        <w:t>Staffing</w:t>
      </w:r>
    </w:p>
    <w:p w:rsidR="00F72906" w:rsidRDefault="00F72906" w:rsidP="00F72906">
      <w:r>
        <w:lastRenderedPageBreak/>
        <w:t>21.</w:t>
      </w:r>
      <w:r>
        <w:tab/>
        <w:t>Following the end of the 4 year housing estate cleaning contract and subsequent contract performance review the Council took steps to bring this contract in-house. This involved the transfer of c 75 staff to the Council.</w:t>
      </w:r>
    </w:p>
    <w:p w:rsidR="00F72906" w:rsidRDefault="00F72906" w:rsidP="00F72906">
      <w:r>
        <w:t>22.</w:t>
      </w:r>
      <w:r>
        <w:tab/>
        <w:t>During the year the number of school staff and council officers paid over £50,000 in 2019/20 has increased by 17 compared to 2018/19, this is in part due to inflationary pay rises and to greater permanency in professional roles such as social work and accountancy.</w:t>
      </w:r>
    </w:p>
    <w:p w:rsidR="00F72906" w:rsidRDefault="00F72906" w:rsidP="00F72906">
      <w:r>
        <w:t>23.</w:t>
      </w:r>
      <w:r>
        <w:tab/>
        <w:t>The number of exit packages decreased from 228 in 2018/19, at a cost of £4.8m, to 116 in 2019/20 at a reduced cost of £2.4m. The 2018/19 figures include 107 employees who opted to take voluntary redundancy from the Council, following a major programme in 2017/18 to reduce costs via staffing reductions, whilst for 19/20 uptake fell to 87 individuals.</w:t>
      </w:r>
    </w:p>
    <w:p w:rsidR="00F72906" w:rsidRPr="00F72906" w:rsidRDefault="00F72906" w:rsidP="00F72906">
      <w:pPr>
        <w:rPr>
          <w:i/>
        </w:rPr>
      </w:pPr>
      <w:r w:rsidRPr="00F72906">
        <w:rPr>
          <w:i/>
        </w:rPr>
        <w:t>Borrowing</w:t>
      </w:r>
    </w:p>
    <w:p w:rsidR="00F72906" w:rsidRDefault="00F72906" w:rsidP="00F72906">
      <w:r>
        <w:t>24.</w:t>
      </w:r>
      <w:r>
        <w:tab/>
        <w:t>The Council’s external borrowing increased to £598.8m (2018/19: £396.3m), an increase of £203m. This includes PWLB (Public Works Loan Board), LOBO and Fixed Rate loans, a debut £80m Private Placement loan secured in March 2020 and short term loans with other Councils totalling c£130m.</w:t>
      </w:r>
    </w:p>
    <w:p w:rsidR="00F72906" w:rsidRDefault="00F72906" w:rsidP="00F72906">
      <w:pPr>
        <w:rPr>
          <w:color w:val="FF0000"/>
        </w:rPr>
      </w:pPr>
      <w:r w:rsidRPr="00F72906">
        <w:rPr>
          <w:color w:val="FF0000"/>
        </w:rPr>
        <w:t>Table 3</w:t>
      </w:r>
    </w:p>
    <w:tbl>
      <w:tblPr>
        <w:tblW w:w="9389" w:type="dxa"/>
        <w:tblInd w:w="279" w:type="dxa"/>
        <w:tblLook w:val="04A0" w:firstRow="1" w:lastRow="0" w:firstColumn="1" w:lastColumn="0" w:noHBand="0" w:noVBand="1"/>
      </w:tblPr>
      <w:tblGrid>
        <w:gridCol w:w="6237"/>
        <w:gridCol w:w="1593"/>
        <w:gridCol w:w="1559"/>
      </w:tblGrid>
      <w:tr w:rsidR="00F72906" w:rsidRPr="00E32262" w:rsidTr="0003552F">
        <w:trPr>
          <w:trHeight w:val="862"/>
        </w:trPr>
        <w:tc>
          <w:tcPr>
            <w:tcW w:w="6237" w:type="dxa"/>
            <w:tcBorders>
              <w:top w:val="single" w:sz="4" w:space="0" w:color="auto"/>
              <w:left w:val="single" w:sz="4" w:space="0" w:color="auto"/>
              <w:bottom w:val="single" w:sz="4" w:space="0" w:color="auto"/>
              <w:right w:val="single" w:sz="4" w:space="0" w:color="auto"/>
            </w:tcBorders>
            <w:shd w:val="clear" w:color="000000" w:fill="EDEDED"/>
            <w:hideMark/>
          </w:tcPr>
          <w:p w:rsidR="00F72906" w:rsidRPr="00E32262" w:rsidRDefault="00F72906" w:rsidP="0003552F">
            <w:pPr>
              <w:rPr>
                <w:rFonts w:cstheme="minorHAnsi"/>
                <w:b/>
                <w:bCs/>
                <w:color w:val="000000"/>
                <w:sz w:val="20"/>
                <w:szCs w:val="20"/>
                <w:lang w:eastAsia="en-GB"/>
              </w:rPr>
            </w:pPr>
            <w:r w:rsidRPr="00E32262">
              <w:rPr>
                <w:rFonts w:cstheme="minorHAnsi"/>
                <w:b/>
                <w:bCs/>
                <w:color w:val="000000"/>
                <w:sz w:val="20"/>
                <w:szCs w:val="20"/>
                <w:lang w:eastAsia="en-GB"/>
              </w:rPr>
              <w:t>Loans</w:t>
            </w:r>
          </w:p>
        </w:tc>
        <w:tc>
          <w:tcPr>
            <w:tcW w:w="1593" w:type="dxa"/>
            <w:tcBorders>
              <w:top w:val="single" w:sz="4" w:space="0" w:color="auto"/>
              <w:left w:val="nil"/>
              <w:bottom w:val="single" w:sz="4" w:space="0" w:color="auto"/>
              <w:right w:val="single" w:sz="4" w:space="0" w:color="auto"/>
            </w:tcBorders>
            <w:shd w:val="clear" w:color="auto" w:fill="A8D08D" w:themeFill="accent6" w:themeFillTint="99"/>
            <w:hideMark/>
          </w:tcPr>
          <w:p w:rsidR="00F72906" w:rsidRPr="00E32262" w:rsidRDefault="00F72906" w:rsidP="0003552F">
            <w:pPr>
              <w:jc w:val="center"/>
              <w:rPr>
                <w:rFonts w:cstheme="minorHAnsi"/>
                <w:b/>
                <w:bCs/>
                <w:color w:val="000000"/>
                <w:sz w:val="20"/>
                <w:szCs w:val="20"/>
                <w:lang w:eastAsia="en-GB"/>
              </w:rPr>
            </w:pPr>
            <w:r w:rsidRPr="00E32262">
              <w:rPr>
                <w:rFonts w:cstheme="minorHAnsi"/>
                <w:b/>
                <w:bCs/>
                <w:color w:val="000000"/>
                <w:sz w:val="20"/>
                <w:szCs w:val="20"/>
                <w:lang w:eastAsia="en-GB"/>
              </w:rPr>
              <w:t>2019/20</w:t>
            </w:r>
          </w:p>
          <w:p w:rsidR="00F72906" w:rsidRPr="00E32262" w:rsidRDefault="00F72906" w:rsidP="0003552F">
            <w:pPr>
              <w:jc w:val="center"/>
              <w:rPr>
                <w:rFonts w:cstheme="minorHAnsi"/>
                <w:b/>
                <w:bCs/>
                <w:color w:val="000000"/>
                <w:sz w:val="20"/>
                <w:szCs w:val="20"/>
                <w:lang w:eastAsia="en-GB"/>
              </w:rPr>
            </w:pPr>
            <w:r w:rsidRPr="00E32262">
              <w:rPr>
                <w:rFonts w:cstheme="minorHAnsi"/>
                <w:b/>
                <w:bCs/>
                <w:color w:val="000000"/>
                <w:sz w:val="20"/>
                <w:szCs w:val="20"/>
                <w:lang w:eastAsia="en-GB"/>
              </w:rPr>
              <w:t>£m</w:t>
            </w:r>
          </w:p>
        </w:tc>
        <w:tc>
          <w:tcPr>
            <w:tcW w:w="1559" w:type="dxa"/>
            <w:tcBorders>
              <w:top w:val="single" w:sz="4" w:space="0" w:color="auto"/>
              <w:left w:val="nil"/>
              <w:bottom w:val="single" w:sz="4" w:space="0" w:color="auto"/>
              <w:right w:val="single" w:sz="4" w:space="0" w:color="auto"/>
            </w:tcBorders>
            <w:shd w:val="clear" w:color="000000" w:fill="EDEDED"/>
            <w:hideMark/>
          </w:tcPr>
          <w:p w:rsidR="00F72906" w:rsidRPr="00E32262" w:rsidRDefault="00F72906" w:rsidP="0003552F">
            <w:pPr>
              <w:jc w:val="center"/>
              <w:rPr>
                <w:rFonts w:cstheme="minorHAnsi"/>
                <w:b/>
                <w:bCs/>
                <w:color w:val="000000"/>
                <w:sz w:val="20"/>
                <w:szCs w:val="20"/>
                <w:lang w:eastAsia="en-GB"/>
              </w:rPr>
            </w:pPr>
            <w:r w:rsidRPr="00E32262">
              <w:rPr>
                <w:rFonts w:cstheme="minorHAnsi"/>
                <w:b/>
                <w:bCs/>
                <w:color w:val="000000"/>
                <w:sz w:val="20"/>
                <w:szCs w:val="20"/>
                <w:lang w:eastAsia="en-GB"/>
              </w:rPr>
              <w:t>2018/19</w:t>
            </w:r>
          </w:p>
          <w:p w:rsidR="00F72906" w:rsidRPr="00E32262" w:rsidRDefault="00F72906" w:rsidP="0003552F">
            <w:pPr>
              <w:jc w:val="center"/>
              <w:rPr>
                <w:rFonts w:cstheme="minorHAnsi"/>
                <w:b/>
                <w:bCs/>
                <w:color w:val="000000"/>
                <w:sz w:val="20"/>
                <w:szCs w:val="20"/>
                <w:lang w:eastAsia="en-GB"/>
              </w:rPr>
            </w:pPr>
            <w:r w:rsidRPr="00E32262">
              <w:rPr>
                <w:rFonts w:cstheme="minorHAnsi"/>
                <w:b/>
                <w:bCs/>
                <w:color w:val="000000"/>
                <w:sz w:val="20"/>
                <w:szCs w:val="20"/>
                <w:lang w:eastAsia="en-GB"/>
              </w:rPr>
              <w:t xml:space="preserve"> £m</w:t>
            </w:r>
          </w:p>
        </w:tc>
      </w:tr>
      <w:tr w:rsidR="00F72906" w:rsidRPr="00E32262" w:rsidTr="0003552F">
        <w:trPr>
          <w:trHeight w:val="264"/>
        </w:trPr>
        <w:tc>
          <w:tcPr>
            <w:tcW w:w="6237" w:type="dxa"/>
            <w:tcBorders>
              <w:top w:val="nil"/>
              <w:left w:val="single" w:sz="4" w:space="0" w:color="auto"/>
              <w:bottom w:val="nil"/>
              <w:right w:val="single" w:sz="4" w:space="0" w:color="auto"/>
            </w:tcBorders>
            <w:shd w:val="clear" w:color="auto" w:fill="FFFFFF" w:themeFill="background1"/>
            <w:hideMark/>
          </w:tcPr>
          <w:p w:rsidR="00F72906" w:rsidRPr="00E32262" w:rsidRDefault="00F72906" w:rsidP="0003552F">
            <w:pPr>
              <w:rPr>
                <w:rFonts w:cstheme="minorHAnsi"/>
                <w:color w:val="000000"/>
                <w:sz w:val="20"/>
                <w:szCs w:val="20"/>
                <w:lang w:eastAsia="en-GB"/>
              </w:rPr>
            </w:pPr>
            <w:r w:rsidRPr="00E32262">
              <w:rPr>
                <w:rFonts w:cstheme="minorHAnsi"/>
                <w:color w:val="000000"/>
                <w:sz w:val="20"/>
                <w:szCs w:val="20"/>
                <w:lang w:eastAsia="en-GB"/>
              </w:rPr>
              <w:t>PWLB</w:t>
            </w:r>
          </w:p>
        </w:tc>
        <w:tc>
          <w:tcPr>
            <w:tcW w:w="1593" w:type="dxa"/>
            <w:tcBorders>
              <w:top w:val="nil"/>
              <w:left w:val="nil"/>
              <w:bottom w:val="nil"/>
              <w:right w:val="nil"/>
            </w:tcBorders>
            <w:shd w:val="clear" w:color="auto" w:fill="A8D08D" w:themeFill="accent6" w:themeFillTint="99"/>
            <w:hideMark/>
          </w:tcPr>
          <w:p w:rsidR="00F72906" w:rsidRPr="00E32262" w:rsidRDefault="00F72906" w:rsidP="0003552F">
            <w:pPr>
              <w:jc w:val="right"/>
              <w:rPr>
                <w:rFonts w:cstheme="minorHAnsi"/>
                <w:color w:val="000000"/>
                <w:sz w:val="20"/>
                <w:szCs w:val="20"/>
                <w:lang w:eastAsia="en-GB"/>
              </w:rPr>
            </w:pPr>
            <w:r w:rsidRPr="00E32262">
              <w:rPr>
                <w:rFonts w:cstheme="minorHAnsi"/>
                <w:color w:val="000000"/>
                <w:sz w:val="20"/>
                <w:szCs w:val="20"/>
                <w:lang w:eastAsia="en-GB"/>
              </w:rPr>
              <w:t>300.3</w:t>
            </w:r>
          </w:p>
        </w:tc>
        <w:tc>
          <w:tcPr>
            <w:tcW w:w="1559" w:type="dxa"/>
            <w:tcBorders>
              <w:top w:val="nil"/>
              <w:left w:val="single" w:sz="4" w:space="0" w:color="auto"/>
              <w:bottom w:val="nil"/>
              <w:right w:val="single" w:sz="4" w:space="0" w:color="auto"/>
            </w:tcBorders>
            <w:shd w:val="clear" w:color="auto" w:fill="FFFFFF" w:themeFill="background1"/>
            <w:hideMark/>
          </w:tcPr>
          <w:p w:rsidR="00F72906" w:rsidRPr="00E32262" w:rsidRDefault="00F72906" w:rsidP="0003552F">
            <w:pPr>
              <w:jc w:val="right"/>
              <w:rPr>
                <w:rFonts w:cstheme="minorHAnsi"/>
                <w:color w:val="000000"/>
                <w:sz w:val="20"/>
                <w:szCs w:val="20"/>
                <w:lang w:eastAsia="en-GB"/>
              </w:rPr>
            </w:pPr>
            <w:r>
              <w:rPr>
                <w:rFonts w:cstheme="minorHAnsi"/>
                <w:color w:val="000000"/>
                <w:sz w:val="20"/>
                <w:szCs w:val="20"/>
                <w:lang w:eastAsia="en-GB"/>
              </w:rPr>
              <w:t>310.8</w:t>
            </w:r>
          </w:p>
        </w:tc>
      </w:tr>
      <w:tr w:rsidR="00F72906" w:rsidRPr="00E32262" w:rsidTr="0003552F">
        <w:trPr>
          <w:trHeight w:val="264"/>
        </w:trPr>
        <w:tc>
          <w:tcPr>
            <w:tcW w:w="6237" w:type="dxa"/>
            <w:tcBorders>
              <w:top w:val="nil"/>
              <w:left w:val="single" w:sz="4" w:space="0" w:color="auto"/>
              <w:bottom w:val="nil"/>
              <w:right w:val="single" w:sz="4" w:space="0" w:color="auto"/>
            </w:tcBorders>
            <w:shd w:val="clear" w:color="auto" w:fill="FFFFFF" w:themeFill="background1"/>
            <w:noWrap/>
            <w:hideMark/>
          </w:tcPr>
          <w:p w:rsidR="00F72906" w:rsidRPr="00E32262" w:rsidRDefault="00F72906" w:rsidP="0003552F">
            <w:pPr>
              <w:rPr>
                <w:rFonts w:cstheme="minorHAnsi"/>
                <w:color w:val="000000"/>
                <w:sz w:val="20"/>
                <w:szCs w:val="20"/>
                <w:lang w:eastAsia="en-GB"/>
              </w:rPr>
            </w:pPr>
            <w:r w:rsidRPr="00E32262">
              <w:rPr>
                <w:rFonts w:cstheme="minorHAnsi"/>
                <w:color w:val="000000"/>
                <w:sz w:val="20"/>
                <w:szCs w:val="20"/>
                <w:lang w:eastAsia="en-GB"/>
              </w:rPr>
              <w:t>LOBO Loans</w:t>
            </w:r>
          </w:p>
        </w:tc>
        <w:tc>
          <w:tcPr>
            <w:tcW w:w="1593" w:type="dxa"/>
            <w:tcBorders>
              <w:top w:val="nil"/>
              <w:left w:val="nil"/>
              <w:bottom w:val="nil"/>
              <w:right w:val="single" w:sz="4" w:space="0" w:color="auto"/>
            </w:tcBorders>
            <w:shd w:val="clear" w:color="auto" w:fill="A8D08D" w:themeFill="accent6" w:themeFillTint="99"/>
            <w:noWrap/>
            <w:hideMark/>
          </w:tcPr>
          <w:p w:rsidR="00F72906" w:rsidRPr="00E32262" w:rsidRDefault="00F72906" w:rsidP="0003552F">
            <w:pPr>
              <w:jc w:val="right"/>
              <w:rPr>
                <w:rFonts w:cstheme="minorHAnsi"/>
                <w:color w:val="000000"/>
                <w:sz w:val="20"/>
                <w:szCs w:val="20"/>
                <w:lang w:eastAsia="en-GB"/>
              </w:rPr>
            </w:pPr>
            <w:r w:rsidRPr="00E32262">
              <w:rPr>
                <w:rFonts w:cstheme="minorHAnsi"/>
                <w:color w:val="000000"/>
                <w:sz w:val="20"/>
                <w:szCs w:val="20"/>
                <w:lang w:eastAsia="en-GB"/>
              </w:rPr>
              <w:t>70.5</w:t>
            </w:r>
          </w:p>
        </w:tc>
        <w:tc>
          <w:tcPr>
            <w:tcW w:w="1559" w:type="dxa"/>
            <w:tcBorders>
              <w:top w:val="nil"/>
              <w:left w:val="nil"/>
              <w:bottom w:val="nil"/>
              <w:right w:val="single" w:sz="4" w:space="0" w:color="auto"/>
            </w:tcBorders>
            <w:shd w:val="clear" w:color="auto" w:fill="FFFFFF" w:themeFill="background1"/>
            <w:noWrap/>
            <w:hideMark/>
          </w:tcPr>
          <w:p w:rsidR="00F72906" w:rsidRPr="00E32262" w:rsidRDefault="00F72906" w:rsidP="0003552F">
            <w:pPr>
              <w:jc w:val="right"/>
              <w:rPr>
                <w:rFonts w:cstheme="minorHAnsi"/>
                <w:color w:val="000000"/>
                <w:sz w:val="20"/>
                <w:szCs w:val="20"/>
                <w:lang w:eastAsia="en-GB"/>
              </w:rPr>
            </w:pPr>
            <w:r w:rsidRPr="00E32262">
              <w:rPr>
                <w:rFonts w:cstheme="minorHAnsi"/>
                <w:color w:val="000000"/>
                <w:sz w:val="20"/>
                <w:szCs w:val="20"/>
                <w:lang w:eastAsia="en-GB"/>
              </w:rPr>
              <w:t>70.5</w:t>
            </w:r>
          </w:p>
        </w:tc>
      </w:tr>
      <w:tr w:rsidR="00F72906" w:rsidRPr="00E32262" w:rsidTr="0003552F">
        <w:trPr>
          <w:trHeight w:val="264"/>
        </w:trPr>
        <w:tc>
          <w:tcPr>
            <w:tcW w:w="6237" w:type="dxa"/>
            <w:tcBorders>
              <w:top w:val="nil"/>
              <w:left w:val="single" w:sz="4" w:space="0" w:color="auto"/>
              <w:bottom w:val="nil"/>
              <w:right w:val="single" w:sz="4" w:space="0" w:color="auto"/>
            </w:tcBorders>
            <w:shd w:val="clear" w:color="auto" w:fill="FFFFFF" w:themeFill="background1"/>
            <w:hideMark/>
          </w:tcPr>
          <w:p w:rsidR="00F72906" w:rsidRPr="00E32262" w:rsidRDefault="00F72906" w:rsidP="0003552F">
            <w:pPr>
              <w:rPr>
                <w:rFonts w:cstheme="minorHAnsi"/>
                <w:color w:val="000000"/>
                <w:sz w:val="20"/>
                <w:szCs w:val="20"/>
                <w:lang w:eastAsia="en-GB"/>
              </w:rPr>
            </w:pPr>
            <w:r w:rsidRPr="00E32262">
              <w:rPr>
                <w:rFonts w:cstheme="minorHAnsi"/>
                <w:color w:val="000000"/>
                <w:sz w:val="20"/>
                <w:szCs w:val="20"/>
                <w:lang w:eastAsia="en-GB"/>
              </w:rPr>
              <w:t xml:space="preserve">Fixed Rate Loans </w:t>
            </w:r>
          </w:p>
        </w:tc>
        <w:tc>
          <w:tcPr>
            <w:tcW w:w="1593" w:type="dxa"/>
            <w:tcBorders>
              <w:top w:val="nil"/>
              <w:left w:val="nil"/>
              <w:bottom w:val="nil"/>
              <w:right w:val="nil"/>
            </w:tcBorders>
            <w:shd w:val="clear" w:color="auto" w:fill="A8D08D" w:themeFill="accent6" w:themeFillTint="99"/>
            <w:hideMark/>
          </w:tcPr>
          <w:p w:rsidR="00F72906" w:rsidRPr="00E32262" w:rsidRDefault="00F72906" w:rsidP="0003552F">
            <w:pPr>
              <w:jc w:val="right"/>
              <w:rPr>
                <w:rFonts w:cstheme="minorHAnsi"/>
                <w:color w:val="000000"/>
                <w:sz w:val="20"/>
                <w:szCs w:val="20"/>
                <w:lang w:eastAsia="en-GB"/>
              </w:rPr>
            </w:pPr>
            <w:r w:rsidRPr="00E32262">
              <w:rPr>
                <w:rFonts w:cstheme="minorHAnsi"/>
                <w:color w:val="000000"/>
                <w:sz w:val="20"/>
                <w:szCs w:val="20"/>
                <w:lang w:eastAsia="en-GB"/>
              </w:rPr>
              <w:t>228.0</w:t>
            </w:r>
          </w:p>
        </w:tc>
        <w:tc>
          <w:tcPr>
            <w:tcW w:w="1559" w:type="dxa"/>
            <w:tcBorders>
              <w:top w:val="nil"/>
              <w:left w:val="single" w:sz="4" w:space="0" w:color="auto"/>
              <w:bottom w:val="nil"/>
              <w:right w:val="single" w:sz="4" w:space="0" w:color="auto"/>
            </w:tcBorders>
            <w:shd w:val="clear" w:color="auto" w:fill="FFFFFF" w:themeFill="background1"/>
            <w:hideMark/>
          </w:tcPr>
          <w:p w:rsidR="00F72906" w:rsidRPr="00E32262" w:rsidRDefault="00F72906" w:rsidP="0003552F">
            <w:pPr>
              <w:jc w:val="right"/>
              <w:rPr>
                <w:rFonts w:cstheme="minorHAnsi"/>
                <w:color w:val="000000"/>
                <w:sz w:val="20"/>
                <w:szCs w:val="20"/>
                <w:lang w:eastAsia="en-GB"/>
              </w:rPr>
            </w:pPr>
            <w:r w:rsidRPr="00E32262">
              <w:rPr>
                <w:rFonts w:cstheme="minorHAnsi"/>
                <w:color w:val="000000"/>
                <w:sz w:val="20"/>
                <w:szCs w:val="20"/>
                <w:lang w:eastAsia="en-GB"/>
              </w:rPr>
              <w:t>15.0</w:t>
            </w:r>
          </w:p>
        </w:tc>
      </w:tr>
      <w:tr w:rsidR="00F72906" w:rsidRPr="00E32262" w:rsidTr="0003552F">
        <w:trPr>
          <w:trHeight w:val="264"/>
        </w:trPr>
        <w:tc>
          <w:tcPr>
            <w:tcW w:w="6237" w:type="dxa"/>
            <w:tcBorders>
              <w:top w:val="nil"/>
              <w:left w:val="single" w:sz="4" w:space="0" w:color="auto"/>
              <w:bottom w:val="nil"/>
              <w:right w:val="single" w:sz="4" w:space="0" w:color="auto"/>
            </w:tcBorders>
            <w:shd w:val="clear" w:color="auto" w:fill="FFFFFF" w:themeFill="background1"/>
            <w:noWrap/>
            <w:hideMark/>
          </w:tcPr>
          <w:p w:rsidR="00F72906" w:rsidRPr="00E32262" w:rsidRDefault="00F72906" w:rsidP="0003552F">
            <w:pPr>
              <w:rPr>
                <w:rFonts w:cstheme="minorHAnsi"/>
                <w:color w:val="000000"/>
                <w:sz w:val="20"/>
                <w:szCs w:val="20"/>
                <w:lang w:eastAsia="en-GB"/>
              </w:rPr>
            </w:pPr>
            <w:r w:rsidRPr="00E32262">
              <w:rPr>
                <w:rFonts w:cstheme="minorHAnsi"/>
                <w:color w:val="000000"/>
                <w:sz w:val="20"/>
                <w:szCs w:val="20"/>
                <w:lang w:eastAsia="en-GB"/>
              </w:rPr>
              <w:t> </w:t>
            </w:r>
          </w:p>
        </w:tc>
        <w:tc>
          <w:tcPr>
            <w:tcW w:w="1593" w:type="dxa"/>
            <w:tcBorders>
              <w:top w:val="nil"/>
              <w:left w:val="nil"/>
              <w:bottom w:val="nil"/>
              <w:right w:val="single" w:sz="4" w:space="0" w:color="auto"/>
            </w:tcBorders>
            <w:shd w:val="clear" w:color="auto" w:fill="A8D08D" w:themeFill="accent6" w:themeFillTint="99"/>
            <w:noWrap/>
            <w:hideMark/>
          </w:tcPr>
          <w:p w:rsidR="00F72906" w:rsidRPr="00E32262" w:rsidRDefault="00F72906" w:rsidP="0003552F">
            <w:pPr>
              <w:jc w:val="right"/>
              <w:rPr>
                <w:rFonts w:cstheme="minorHAnsi"/>
                <w:color w:val="000000"/>
                <w:sz w:val="20"/>
                <w:szCs w:val="20"/>
                <w:lang w:eastAsia="en-GB"/>
              </w:rPr>
            </w:pPr>
            <w:r w:rsidRPr="00E32262">
              <w:rPr>
                <w:rFonts w:cstheme="minorHAnsi"/>
                <w:color w:val="000000"/>
                <w:sz w:val="20"/>
                <w:szCs w:val="20"/>
                <w:lang w:eastAsia="en-GB"/>
              </w:rPr>
              <w:t> </w:t>
            </w:r>
          </w:p>
        </w:tc>
        <w:tc>
          <w:tcPr>
            <w:tcW w:w="1559" w:type="dxa"/>
            <w:tcBorders>
              <w:top w:val="nil"/>
              <w:left w:val="nil"/>
              <w:bottom w:val="nil"/>
              <w:right w:val="single" w:sz="4" w:space="0" w:color="auto"/>
            </w:tcBorders>
            <w:shd w:val="clear" w:color="auto" w:fill="FFFFFF" w:themeFill="background1"/>
            <w:noWrap/>
            <w:hideMark/>
          </w:tcPr>
          <w:p w:rsidR="00F72906" w:rsidRPr="00E32262" w:rsidRDefault="00F72906" w:rsidP="0003552F">
            <w:pPr>
              <w:jc w:val="right"/>
              <w:rPr>
                <w:rFonts w:cstheme="minorHAnsi"/>
                <w:color w:val="000000"/>
                <w:sz w:val="20"/>
                <w:szCs w:val="20"/>
                <w:lang w:eastAsia="en-GB"/>
              </w:rPr>
            </w:pPr>
            <w:r w:rsidRPr="00E32262">
              <w:rPr>
                <w:rFonts w:cstheme="minorHAnsi"/>
                <w:color w:val="000000"/>
                <w:sz w:val="20"/>
                <w:szCs w:val="20"/>
                <w:lang w:eastAsia="en-GB"/>
              </w:rPr>
              <w:t> </w:t>
            </w:r>
          </w:p>
        </w:tc>
      </w:tr>
      <w:tr w:rsidR="00F72906" w:rsidRPr="00E32262" w:rsidTr="0003552F">
        <w:trPr>
          <w:trHeight w:val="276"/>
        </w:trPr>
        <w:tc>
          <w:tcPr>
            <w:tcW w:w="6237" w:type="dxa"/>
            <w:tcBorders>
              <w:top w:val="nil"/>
              <w:left w:val="single" w:sz="4" w:space="0" w:color="auto"/>
              <w:bottom w:val="double" w:sz="6" w:space="0" w:color="auto"/>
              <w:right w:val="single" w:sz="4" w:space="0" w:color="auto"/>
            </w:tcBorders>
            <w:shd w:val="clear" w:color="000000" w:fill="CACACA"/>
            <w:hideMark/>
          </w:tcPr>
          <w:p w:rsidR="00F72906" w:rsidRPr="00E32262" w:rsidRDefault="00F72906" w:rsidP="0003552F">
            <w:pPr>
              <w:rPr>
                <w:rFonts w:cstheme="minorHAnsi"/>
                <w:b/>
                <w:bCs/>
                <w:color w:val="000000"/>
                <w:sz w:val="20"/>
                <w:szCs w:val="20"/>
                <w:lang w:eastAsia="en-GB"/>
              </w:rPr>
            </w:pPr>
            <w:r w:rsidRPr="00E32262">
              <w:rPr>
                <w:rFonts w:cstheme="minorHAnsi"/>
                <w:b/>
                <w:bCs/>
                <w:color w:val="000000"/>
                <w:sz w:val="20"/>
                <w:szCs w:val="20"/>
                <w:lang w:eastAsia="en-GB"/>
              </w:rPr>
              <w:t>Grand Total</w:t>
            </w:r>
          </w:p>
        </w:tc>
        <w:tc>
          <w:tcPr>
            <w:tcW w:w="1593" w:type="dxa"/>
            <w:tcBorders>
              <w:top w:val="nil"/>
              <w:left w:val="nil"/>
              <w:bottom w:val="double" w:sz="6" w:space="0" w:color="auto"/>
              <w:right w:val="nil"/>
            </w:tcBorders>
            <w:shd w:val="clear" w:color="auto" w:fill="A8D08D" w:themeFill="accent6" w:themeFillTint="99"/>
            <w:hideMark/>
          </w:tcPr>
          <w:p w:rsidR="00F72906" w:rsidRPr="00E32262" w:rsidRDefault="00F72906" w:rsidP="0003552F">
            <w:pPr>
              <w:jc w:val="right"/>
              <w:rPr>
                <w:rFonts w:cstheme="minorHAnsi"/>
                <w:b/>
                <w:bCs/>
                <w:color w:val="000000"/>
                <w:sz w:val="20"/>
                <w:szCs w:val="20"/>
                <w:lang w:eastAsia="en-GB"/>
              </w:rPr>
            </w:pPr>
            <w:r w:rsidRPr="00E32262">
              <w:rPr>
                <w:rFonts w:cstheme="minorHAnsi"/>
                <w:b/>
                <w:bCs/>
                <w:color w:val="000000"/>
                <w:sz w:val="20"/>
                <w:szCs w:val="20"/>
                <w:lang w:eastAsia="en-GB"/>
              </w:rPr>
              <w:t>598.8</w:t>
            </w:r>
          </w:p>
        </w:tc>
        <w:tc>
          <w:tcPr>
            <w:tcW w:w="1559" w:type="dxa"/>
            <w:tcBorders>
              <w:top w:val="nil"/>
              <w:left w:val="single" w:sz="4" w:space="0" w:color="auto"/>
              <w:bottom w:val="double" w:sz="6" w:space="0" w:color="auto"/>
              <w:right w:val="single" w:sz="4" w:space="0" w:color="auto"/>
            </w:tcBorders>
            <w:shd w:val="clear" w:color="000000" w:fill="CACACA"/>
            <w:hideMark/>
          </w:tcPr>
          <w:p w:rsidR="00F72906" w:rsidRPr="00E32262" w:rsidRDefault="00F72906" w:rsidP="0003552F">
            <w:pPr>
              <w:jc w:val="right"/>
              <w:rPr>
                <w:rFonts w:cstheme="minorHAnsi"/>
                <w:b/>
                <w:bCs/>
                <w:color w:val="000000"/>
                <w:sz w:val="20"/>
                <w:szCs w:val="20"/>
                <w:lang w:eastAsia="en-GB"/>
              </w:rPr>
            </w:pPr>
            <w:r>
              <w:rPr>
                <w:rFonts w:cstheme="minorHAnsi"/>
                <w:b/>
                <w:bCs/>
                <w:color w:val="000000"/>
                <w:sz w:val="20"/>
                <w:szCs w:val="20"/>
                <w:lang w:eastAsia="en-GB"/>
              </w:rPr>
              <w:t>396.3</w:t>
            </w:r>
          </w:p>
        </w:tc>
      </w:tr>
    </w:tbl>
    <w:p w:rsidR="00F72906" w:rsidRDefault="00F72906" w:rsidP="00F72906"/>
    <w:p w:rsidR="00F72906" w:rsidRDefault="00F72906" w:rsidP="00F72906">
      <w:r>
        <w:t>25.</w:t>
      </w:r>
      <w:r>
        <w:tab/>
        <w:t>The Council’s external borrowing rose significantly over the year mainly to fund the growing capital programme which includes over £100m spend on the “in borough” acquisition programme comprising of 235 affordable homes in South Kilburn and purchase of 153 Key Worker units block in Wembley by i4B, the Council’s wholly owned subsidiary company.</w:t>
      </w:r>
    </w:p>
    <w:p w:rsidR="00F72906" w:rsidRPr="006C130C" w:rsidRDefault="006C130C" w:rsidP="00F72906">
      <w:pPr>
        <w:rPr>
          <w:i/>
        </w:rPr>
      </w:pPr>
      <w:r>
        <w:rPr>
          <w:i/>
        </w:rPr>
        <w:t xml:space="preserve">Private Placement </w:t>
      </w:r>
    </w:p>
    <w:p w:rsidR="00F72906" w:rsidRDefault="00F72906" w:rsidP="00F72906">
      <w:r>
        <w:t>26.</w:t>
      </w:r>
      <w:r>
        <w:tab/>
        <w:t>As part of a drive to save debt servicing costs and increase diversification the Council sought alternative forms of finance to PWLB. The Council raised £80m unsecured, fixed rate, amortised loans from Private Placement market in March 2020. The Council achieved credit spreads of over 60-80bps on the margins offered by the PWLB and an all-in coupon of under 2% for 20 years and 2.01% for 25 years average life funds raised. This borrowing will fund the Council’s ambitious housing and regeneration plans which will have a pivotal role to play in the recovery plans</w:t>
      </w:r>
      <w:r w:rsidR="0087018B">
        <w:t xml:space="preserve"> of the borough post COVID-19. </w:t>
      </w:r>
    </w:p>
    <w:p w:rsidR="00F72906" w:rsidRDefault="00F72906" w:rsidP="00F72906">
      <w:r>
        <w:t>27.</w:t>
      </w:r>
      <w:r>
        <w:tab/>
        <w:t xml:space="preserve">The Council’s MTFP provides for regular reviews of the capital financing budget and the minimum revenue provision to ensure that capital investment remains sustainable and affordable. In the past the Council has always minimised its interest costs by utilising internal cash resources over </w:t>
      </w:r>
      <w:r>
        <w:lastRenderedPageBreak/>
        <w:t>the short-term instead of undertaking more expensive external borrowing however due to the reduction of cash reserves combined with the need for additional borrowing to finance the council’s capital programme, and the availability of cheap borrowing, new borrowing has been undertaken this financial year.</w:t>
      </w:r>
    </w:p>
    <w:p w:rsidR="00F72906" w:rsidRPr="0087018B" w:rsidRDefault="00F72906" w:rsidP="00F72906">
      <w:pPr>
        <w:rPr>
          <w:i/>
        </w:rPr>
      </w:pPr>
      <w:r w:rsidRPr="0087018B">
        <w:rPr>
          <w:i/>
        </w:rPr>
        <w:t>Pension Fund</w:t>
      </w:r>
    </w:p>
    <w:p w:rsidR="00F72906" w:rsidRDefault="00F72906" w:rsidP="00F72906">
      <w:r>
        <w:t>28.</w:t>
      </w:r>
      <w:r>
        <w:tab/>
        <w:t>The Pension Fund is a contributory defined benefit pension scheme administered by Brent Council to provide pensions and other benefits for pensionable employees of Brent Council and a range of other scheduled and admitted bodies.</w:t>
      </w:r>
    </w:p>
    <w:p w:rsidR="00F72906" w:rsidRDefault="00F72906" w:rsidP="00F72906">
      <w:r>
        <w:t>29.</w:t>
      </w:r>
      <w:r>
        <w:tab/>
        <w:t>During 2019/20, the value of the Pension Fund’s investments has decreased to £835m (2018/19 £856m). This is due to the poor performance of equity markets in the final quarter of the year related to COVID-19. At the end of December 2019, inv</w:t>
      </w:r>
      <w:r w:rsidR="0087018B">
        <w:t xml:space="preserve">estments were valued at £935m. </w:t>
      </w:r>
    </w:p>
    <w:p w:rsidR="00F72906" w:rsidRDefault="00F72906" w:rsidP="00F72906">
      <w:r>
        <w:t>30.</w:t>
      </w:r>
      <w:r>
        <w:tab/>
        <w:t xml:space="preserve">Total contributions received from employers and employees was £60m for the year, an increase from the previous year.  Total benefits paid to scheme beneficiaries, in the form of pensions or other benefits, was £48m, an increase on the previous year’s £46m. As in 2018/19, the Pension Fund is in a positive cash-flow position because its contributions exceed its outgoings to members. This means that the Pension Fund is able to invest some of the contributions from members in order to further increase the assets available to pay future benefits. This is in contrast to some Local Government Pension Scheme funds, who have to use some of their investments each year, reducing the assets </w:t>
      </w:r>
      <w:r w:rsidR="0087018B">
        <w:t>on which they can make returns.</w:t>
      </w:r>
    </w:p>
    <w:p w:rsidR="00F72906" w:rsidRDefault="00F72906" w:rsidP="00F72906">
      <w:r>
        <w:t>31.</w:t>
      </w:r>
      <w:r>
        <w:tab/>
        <w:t>The Brent Pension Fund is revalued every three years by an independent actuary. This is a detailed appraisal that uses economic and demographic assumptions in order to estimate future liabilities and set employer contribution rates. It was agreed in this valuation that the employer contribution rate would remain stable at 35% for the next 3 years. This is consistent with the Fund’s deficit recovery plan to clear its deficit within 19 y</w:t>
      </w:r>
      <w:r w:rsidR="0087018B">
        <w:t>ears of the balance sheet date.</w:t>
      </w:r>
    </w:p>
    <w:p w:rsidR="00F72906" w:rsidRDefault="00F72906" w:rsidP="00F72906">
      <w:r>
        <w:t>32.</w:t>
      </w:r>
      <w:r>
        <w:tab/>
        <w:t>This Triennial Valuation revealed that the Fund’s assets, at 31 March 2019, were sufficient to meet 78% of the liabilities (i.e. the present value of promised retirement benefits) accrued up to that date. This is a significant increase on the 55% funding level a</w:t>
      </w:r>
      <w:r w:rsidR="0087018B">
        <w:t xml:space="preserve">s at the March 2016 valuation. </w:t>
      </w:r>
    </w:p>
    <w:p w:rsidR="00F72906" w:rsidRDefault="00F72906" w:rsidP="00F72906">
      <w:r>
        <w:t>33.</w:t>
      </w:r>
      <w:r>
        <w:tab/>
        <w:t>Since March 2019, the investments of the pension fund have generated a return lower than the returns assumed by the fund actuary as part of the valuation. This is due to steep falls in some markets (particularly global equity markets) following the outbreak and global spread of COVID-19 in early 2020. The Fund holds a well-diversified portfolio, which has been invested in line with its investment strategy, therefore some assets have increased in value helping to m</w:t>
      </w:r>
      <w:r w:rsidR="0087018B">
        <w:t>itigate impact of market falls.</w:t>
      </w:r>
    </w:p>
    <w:p w:rsidR="00F72906" w:rsidRDefault="00F72906" w:rsidP="00F72906">
      <w:r>
        <w:t>34.</w:t>
      </w:r>
      <w:r>
        <w:tab/>
        <w:t>The Pension liability dropped by £266m due to strong investment returns as well as better data and membership experience. In addition to this the assumptions concerning pension rates and salary increases have been revised which has lowered the liability.</w:t>
      </w:r>
    </w:p>
    <w:p w:rsidR="00F72906" w:rsidRDefault="00F72906" w:rsidP="00F72906"/>
    <w:p w:rsidR="00F72906" w:rsidRPr="0087018B" w:rsidRDefault="00F72906" w:rsidP="00F72906">
      <w:pPr>
        <w:rPr>
          <w:i/>
        </w:rPr>
      </w:pPr>
      <w:r w:rsidRPr="0087018B">
        <w:rPr>
          <w:i/>
        </w:rPr>
        <w:t>In Year Debt Collection</w:t>
      </w:r>
    </w:p>
    <w:p w:rsidR="00F72906" w:rsidRDefault="00F72906" w:rsidP="00F72906">
      <w:r>
        <w:t>35.</w:t>
      </w:r>
      <w:r>
        <w:tab/>
        <w:t xml:space="preserve">The council collected 95.1% of the 2019/20 council tax due during the year, a 1% reduction in collection rate from last year. Business rates and housing rents collection have seen a slight drop in performance compared to 99% collection rate last year and below targets of 98.7% and 99.5% respectively.  Performance in the collection of sundry debts remains low at 65.9%, a further drop </w:t>
      </w:r>
      <w:r>
        <w:lastRenderedPageBreak/>
        <w:t>from the 71% achieved last year, compared to a target collection rate of 80%.  The table below reflects actual performance against targets set for in year collection.</w:t>
      </w:r>
    </w:p>
    <w:p w:rsidR="00F72906" w:rsidRDefault="00F72906" w:rsidP="00F72906">
      <w:r>
        <w:t>36.</w:t>
      </w:r>
      <w:r>
        <w:tab/>
        <w:t>Across various categories of debts, a total of £24m arrears was collected in year, with a large proportion generated from sundry debts.</w:t>
      </w:r>
      <w:r w:rsidR="0087018B">
        <w:t xml:space="preserve"> </w:t>
      </w:r>
    </w:p>
    <w:p w:rsidR="0087018B" w:rsidRPr="0087018B" w:rsidRDefault="00F72906" w:rsidP="00F72906">
      <w:pPr>
        <w:rPr>
          <w:color w:val="FF0000"/>
        </w:rPr>
      </w:pPr>
      <w:r w:rsidRPr="0087018B">
        <w:rPr>
          <w:color w:val="FF0000"/>
        </w:rPr>
        <w:t>Table 4</w:t>
      </w:r>
      <w:r w:rsidR="0087018B">
        <w:rPr>
          <w:rFonts w:cstheme="minorHAnsi"/>
          <w:noProof/>
          <w:lang w:eastAsia="en-GB"/>
        </w:rPr>
        <w:drawing>
          <wp:inline distT="0" distB="0" distL="0" distR="0" wp14:anchorId="77BCEA54" wp14:editId="25768BD5">
            <wp:extent cx="5516287" cy="3337560"/>
            <wp:effectExtent l="0" t="0" r="8255" b="0"/>
            <wp:docPr id="3" name="Picture 3" descr="Bar chart and table to show actual and target collection rate" title="2019/20 in year debt coll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1122" cy="3340485"/>
                    </a:xfrm>
                    <a:prstGeom prst="rect">
                      <a:avLst/>
                    </a:prstGeom>
                    <a:noFill/>
                  </pic:spPr>
                </pic:pic>
              </a:graphicData>
            </a:graphic>
          </wp:inline>
        </w:drawing>
      </w:r>
    </w:p>
    <w:tbl>
      <w:tblPr>
        <w:tblW w:w="8642" w:type="dxa"/>
        <w:tblInd w:w="274" w:type="dxa"/>
        <w:shd w:val="clear" w:color="auto" w:fill="CADFFF"/>
        <w:tblCellMar>
          <w:left w:w="0" w:type="dxa"/>
          <w:right w:w="0" w:type="dxa"/>
        </w:tblCellMar>
        <w:tblLook w:val="04A0" w:firstRow="1" w:lastRow="0" w:firstColumn="1" w:lastColumn="0" w:noHBand="0" w:noVBand="1"/>
      </w:tblPr>
      <w:tblGrid>
        <w:gridCol w:w="4116"/>
        <w:gridCol w:w="1527"/>
        <w:gridCol w:w="1596"/>
        <w:gridCol w:w="1403"/>
      </w:tblGrid>
      <w:tr w:rsidR="00752FD4" w:rsidRPr="00DF545E" w:rsidTr="0003552F">
        <w:trPr>
          <w:trHeight w:val="346"/>
        </w:trPr>
        <w:tc>
          <w:tcPr>
            <w:tcW w:w="8642" w:type="dxa"/>
            <w:gridSpan w:val="4"/>
            <w:tcBorders>
              <w:top w:val="single" w:sz="12" w:space="0" w:color="auto"/>
              <w:left w:val="single" w:sz="12" w:space="0" w:color="auto"/>
              <w:bottom w:val="single" w:sz="12" w:space="0" w:color="auto"/>
              <w:right w:val="single" w:sz="12" w:space="0" w:color="auto"/>
            </w:tcBorders>
            <w:shd w:val="clear" w:color="auto" w:fill="CACACA"/>
            <w:tcMar>
              <w:top w:w="80" w:type="dxa"/>
              <w:left w:w="80" w:type="dxa"/>
              <w:bottom w:w="80" w:type="dxa"/>
              <w:right w:w="80" w:type="dxa"/>
            </w:tcMar>
            <w:hideMark/>
          </w:tcPr>
          <w:p w:rsidR="00752FD4" w:rsidRPr="00504128" w:rsidRDefault="00752FD4" w:rsidP="0003552F">
            <w:pPr>
              <w:pStyle w:val="BodyB"/>
              <w:jc w:val="center"/>
              <w:rPr>
                <w:rFonts w:asciiTheme="minorHAnsi" w:hAnsiTheme="minorHAnsi" w:cstheme="minorHAnsi"/>
                <w:sz w:val="22"/>
                <w:szCs w:val="22"/>
              </w:rPr>
            </w:pPr>
            <w:r w:rsidRPr="00504128">
              <w:rPr>
                <w:rFonts w:asciiTheme="minorHAnsi" w:hAnsiTheme="minorHAnsi" w:cstheme="minorHAnsi"/>
                <w:b/>
                <w:bCs/>
                <w:sz w:val="22"/>
                <w:szCs w:val="22"/>
              </w:rPr>
              <w:t>Outstanding debt</w:t>
            </w:r>
          </w:p>
        </w:tc>
      </w:tr>
      <w:tr w:rsidR="00752FD4" w:rsidRPr="00DF545E" w:rsidTr="0003552F">
        <w:trPr>
          <w:trHeight w:val="597"/>
        </w:trPr>
        <w:tc>
          <w:tcPr>
            <w:tcW w:w="4116" w:type="dxa"/>
            <w:tcBorders>
              <w:top w:val="single" w:sz="12" w:space="0" w:color="auto"/>
              <w:left w:val="single" w:sz="12" w:space="0" w:color="auto"/>
              <w:bottom w:val="single" w:sz="12" w:space="0" w:color="auto"/>
              <w:right w:val="single" w:sz="12" w:space="0" w:color="auto"/>
            </w:tcBorders>
            <w:shd w:val="clear" w:color="auto" w:fill="535353"/>
            <w:tcMar>
              <w:top w:w="80" w:type="dxa"/>
              <w:left w:w="80" w:type="dxa"/>
              <w:bottom w:w="80" w:type="dxa"/>
              <w:right w:w="80" w:type="dxa"/>
            </w:tcMar>
            <w:vAlign w:val="center"/>
            <w:hideMark/>
          </w:tcPr>
          <w:p w:rsidR="00752FD4" w:rsidRPr="008966B8" w:rsidRDefault="00752FD4" w:rsidP="0003552F">
            <w:pPr>
              <w:pStyle w:val="BodyB"/>
              <w:rPr>
                <w:rFonts w:asciiTheme="minorHAnsi" w:hAnsiTheme="minorHAnsi" w:cstheme="minorHAnsi"/>
                <w:sz w:val="20"/>
                <w:szCs w:val="20"/>
              </w:rPr>
            </w:pPr>
            <w:r w:rsidRPr="008966B8">
              <w:rPr>
                <w:rFonts w:asciiTheme="minorHAnsi" w:hAnsiTheme="minorHAnsi" w:cstheme="minorHAnsi"/>
                <w:b/>
                <w:bCs/>
                <w:color w:val="FFFFFF"/>
                <w:sz w:val="20"/>
                <w:szCs w:val="20"/>
              </w:rPr>
              <w:t>Debt Categories</w:t>
            </w:r>
          </w:p>
        </w:tc>
        <w:tc>
          <w:tcPr>
            <w:tcW w:w="1527" w:type="dxa"/>
            <w:tcBorders>
              <w:top w:val="single" w:sz="12" w:space="0" w:color="auto"/>
              <w:left w:val="single" w:sz="12" w:space="0" w:color="auto"/>
              <w:bottom w:val="single" w:sz="12" w:space="0" w:color="auto"/>
              <w:right w:val="single" w:sz="8" w:space="0" w:color="000000"/>
            </w:tcBorders>
            <w:shd w:val="clear" w:color="auto" w:fill="535353"/>
            <w:tcMar>
              <w:top w:w="80" w:type="dxa"/>
              <w:left w:w="80" w:type="dxa"/>
              <w:bottom w:w="80" w:type="dxa"/>
              <w:right w:w="80" w:type="dxa"/>
            </w:tcMar>
            <w:vAlign w:val="center"/>
            <w:hideMark/>
          </w:tcPr>
          <w:p w:rsidR="00752FD4" w:rsidRPr="008966B8" w:rsidRDefault="00752FD4" w:rsidP="0003552F">
            <w:pPr>
              <w:pStyle w:val="BodyB"/>
              <w:jc w:val="right"/>
              <w:rPr>
                <w:rFonts w:asciiTheme="minorHAnsi" w:hAnsiTheme="minorHAnsi" w:cstheme="minorHAnsi"/>
                <w:sz w:val="20"/>
                <w:szCs w:val="20"/>
              </w:rPr>
            </w:pPr>
            <w:r w:rsidRPr="008966B8">
              <w:rPr>
                <w:rFonts w:asciiTheme="minorHAnsi" w:hAnsiTheme="minorHAnsi" w:cstheme="minorHAnsi"/>
                <w:b/>
                <w:bCs/>
                <w:color w:val="FFFFFF"/>
                <w:sz w:val="20"/>
                <w:szCs w:val="20"/>
              </w:rPr>
              <w:t>Debts as at 31st Mar 2019 £m</w:t>
            </w:r>
          </w:p>
        </w:tc>
        <w:tc>
          <w:tcPr>
            <w:tcW w:w="1596" w:type="dxa"/>
            <w:tcBorders>
              <w:top w:val="single" w:sz="12" w:space="0" w:color="auto"/>
              <w:left w:val="nil"/>
              <w:bottom w:val="single" w:sz="12" w:space="0" w:color="auto"/>
              <w:right w:val="single" w:sz="8" w:space="0" w:color="000000"/>
            </w:tcBorders>
            <w:shd w:val="clear" w:color="auto" w:fill="535353"/>
            <w:tcMar>
              <w:top w:w="80" w:type="dxa"/>
              <w:left w:w="80" w:type="dxa"/>
              <w:bottom w:w="80" w:type="dxa"/>
              <w:right w:w="80" w:type="dxa"/>
            </w:tcMar>
            <w:hideMark/>
          </w:tcPr>
          <w:p w:rsidR="00752FD4" w:rsidRPr="008966B8" w:rsidRDefault="00752FD4" w:rsidP="0003552F">
            <w:pPr>
              <w:pStyle w:val="BodyB"/>
              <w:jc w:val="right"/>
              <w:rPr>
                <w:rFonts w:asciiTheme="minorHAnsi" w:hAnsiTheme="minorHAnsi" w:cstheme="minorHAnsi"/>
                <w:sz w:val="20"/>
                <w:szCs w:val="20"/>
              </w:rPr>
            </w:pPr>
            <w:r w:rsidRPr="008966B8">
              <w:rPr>
                <w:rFonts w:asciiTheme="minorHAnsi" w:hAnsiTheme="minorHAnsi" w:cstheme="minorHAnsi"/>
                <w:b/>
                <w:bCs/>
                <w:color w:val="FFFFFF"/>
                <w:sz w:val="20"/>
                <w:szCs w:val="20"/>
              </w:rPr>
              <w:t>Debts as at 31st Mar 2020 £m</w:t>
            </w:r>
          </w:p>
        </w:tc>
        <w:tc>
          <w:tcPr>
            <w:tcW w:w="1403" w:type="dxa"/>
            <w:tcBorders>
              <w:top w:val="single" w:sz="12" w:space="0" w:color="auto"/>
              <w:left w:val="nil"/>
              <w:bottom w:val="single" w:sz="12" w:space="0" w:color="auto"/>
              <w:right w:val="single" w:sz="12" w:space="0" w:color="auto"/>
            </w:tcBorders>
            <w:shd w:val="clear" w:color="auto" w:fill="535353"/>
            <w:tcMar>
              <w:top w:w="80" w:type="dxa"/>
              <w:left w:w="80" w:type="dxa"/>
              <w:bottom w:w="80" w:type="dxa"/>
              <w:right w:w="80" w:type="dxa"/>
            </w:tcMar>
            <w:vAlign w:val="center"/>
            <w:hideMark/>
          </w:tcPr>
          <w:p w:rsidR="00752FD4" w:rsidRPr="008966B8" w:rsidRDefault="00752FD4" w:rsidP="0003552F">
            <w:pPr>
              <w:pStyle w:val="BodyB"/>
              <w:jc w:val="right"/>
              <w:rPr>
                <w:rFonts w:asciiTheme="minorHAnsi" w:hAnsiTheme="minorHAnsi" w:cstheme="minorHAnsi"/>
                <w:color w:val="FFFFFF"/>
                <w:sz w:val="20"/>
                <w:szCs w:val="20"/>
              </w:rPr>
            </w:pPr>
            <w:r w:rsidRPr="008966B8">
              <w:rPr>
                <w:rFonts w:asciiTheme="minorHAnsi" w:hAnsiTheme="minorHAnsi" w:cstheme="minorHAnsi"/>
                <w:b/>
                <w:bCs/>
                <w:color w:val="FFFFFF"/>
                <w:sz w:val="20"/>
                <w:szCs w:val="20"/>
              </w:rPr>
              <w:t>Increase/</w:t>
            </w:r>
          </w:p>
          <w:p w:rsidR="00752FD4" w:rsidRPr="008966B8" w:rsidRDefault="00752FD4" w:rsidP="0003552F">
            <w:pPr>
              <w:pStyle w:val="BodyB"/>
              <w:jc w:val="right"/>
              <w:rPr>
                <w:rFonts w:asciiTheme="minorHAnsi" w:hAnsiTheme="minorHAnsi" w:cstheme="minorHAnsi"/>
                <w:sz w:val="20"/>
                <w:szCs w:val="20"/>
              </w:rPr>
            </w:pPr>
            <w:r w:rsidRPr="008966B8">
              <w:rPr>
                <w:rFonts w:asciiTheme="minorHAnsi" w:hAnsiTheme="minorHAnsi" w:cstheme="minorHAnsi"/>
                <w:b/>
                <w:bCs/>
                <w:color w:val="FFFFFF"/>
                <w:sz w:val="20"/>
                <w:szCs w:val="20"/>
              </w:rPr>
              <w:t xml:space="preserve">(Reduction) £m </w:t>
            </w:r>
          </w:p>
        </w:tc>
      </w:tr>
      <w:tr w:rsidR="00752FD4" w:rsidRPr="00DF545E" w:rsidTr="0003552F">
        <w:trPr>
          <w:trHeight w:val="335"/>
        </w:trPr>
        <w:tc>
          <w:tcPr>
            <w:tcW w:w="4116" w:type="dxa"/>
            <w:tcBorders>
              <w:top w:val="single" w:sz="12" w:space="0" w:color="auto"/>
              <w:left w:val="single" w:sz="12" w:space="0" w:color="auto"/>
              <w:bottom w:val="single" w:sz="12" w:space="0" w:color="auto"/>
              <w:right w:val="single" w:sz="12" w:space="0" w:color="auto"/>
            </w:tcBorders>
            <w:shd w:val="clear" w:color="auto" w:fill="auto"/>
            <w:tcMar>
              <w:top w:w="80" w:type="dxa"/>
              <w:left w:w="80" w:type="dxa"/>
              <w:bottom w:w="80" w:type="dxa"/>
              <w:right w:w="80" w:type="dxa"/>
            </w:tcMar>
            <w:hideMark/>
          </w:tcPr>
          <w:p w:rsidR="00752FD4" w:rsidRPr="008966B8" w:rsidRDefault="00752FD4" w:rsidP="0003552F">
            <w:pPr>
              <w:pStyle w:val="BodyB"/>
              <w:rPr>
                <w:rFonts w:asciiTheme="minorHAnsi" w:hAnsiTheme="minorHAnsi" w:cstheme="minorHAnsi"/>
                <w:sz w:val="20"/>
                <w:szCs w:val="20"/>
              </w:rPr>
            </w:pPr>
            <w:r w:rsidRPr="008966B8">
              <w:rPr>
                <w:rFonts w:asciiTheme="minorHAnsi" w:hAnsiTheme="minorHAnsi" w:cstheme="minorHAnsi"/>
                <w:sz w:val="20"/>
                <w:szCs w:val="20"/>
              </w:rPr>
              <w:t>Council Tax</w:t>
            </w:r>
          </w:p>
        </w:tc>
        <w:tc>
          <w:tcPr>
            <w:tcW w:w="1527" w:type="dxa"/>
            <w:tcBorders>
              <w:top w:val="single" w:sz="12" w:space="0" w:color="auto"/>
              <w:left w:val="single" w:sz="12" w:space="0" w:color="auto"/>
              <w:bottom w:val="single" w:sz="12" w:space="0" w:color="auto"/>
              <w:right w:val="single" w:sz="8" w:space="0" w:color="000000"/>
            </w:tcBorders>
            <w:shd w:val="clear" w:color="auto" w:fill="auto"/>
            <w:tcMar>
              <w:top w:w="80" w:type="dxa"/>
              <w:left w:w="80" w:type="dxa"/>
              <w:bottom w:w="80" w:type="dxa"/>
              <w:right w:w="80" w:type="dxa"/>
            </w:tcMar>
            <w:hideMark/>
          </w:tcPr>
          <w:p w:rsidR="00752FD4" w:rsidRPr="008966B8" w:rsidRDefault="00752FD4" w:rsidP="0003552F">
            <w:pPr>
              <w:pStyle w:val="BodyB"/>
              <w:jc w:val="right"/>
              <w:rPr>
                <w:rFonts w:asciiTheme="minorHAnsi" w:hAnsiTheme="minorHAnsi" w:cstheme="minorHAnsi"/>
                <w:sz w:val="20"/>
                <w:szCs w:val="20"/>
              </w:rPr>
            </w:pPr>
            <w:r w:rsidRPr="008966B8">
              <w:rPr>
                <w:rFonts w:asciiTheme="minorHAnsi" w:hAnsiTheme="minorHAnsi" w:cstheme="minorHAnsi"/>
                <w:sz w:val="20"/>
                <w:szCs w:val="20"/>
              </w:rPr>
              <w:t>48</w:t>
            </w:r>
          </w:p>
        </w:tc>
        <w:tc>
          <w:tcPr>
            <w:tcW w:w="1596" w:type="dxa"/>
            <w:tcBorders>
              <w:top w:val="single" w:sz="12" w:space="0" w:color="auto"/>
              <w:left w:val="nil"/>
              <w:bottom w:val="single" w:sz="12" w:space="0" w:color="auto"/>
              <w:right w:val="single" w:sz="8" w:space="0" w:color="000000"/>
            </w:tcBorders>
            <w:shd w:val="clear" w:color="auto" w:fill="auto"/>
            <w:tcMar>
              <w:top w:w="80" w:type="dxa"/>
              <w:left w:w="80" w:type="dxa"/>
              <w:bottom w:w="80" w:type="dxa"/>
              <w:right w:w="80" w:type="dxa"/>
            </w:tcMar>
            <w:hideMark/>
          </w:tcPr>
          <w:p w:rsidR="00752FD4" w:rsidRPr="008966B8" w:rsidRDefault="00752FD4" w:rsidP="0003552F">
            <w:pPr>
              <w:pStyle w:val="BodyB"/>
              <w:jc w:val="right"/>
              <w:rPr>
                <w:rFonts w:asciiTheme="minorHAnsi" w:hAnsiTheme="minorHAnsi" w:cstheme="minorHAnsi"/>
                <w:sz w:val="20"/>
                <w:szCs w:val="20"/>
              </w:rPr>
            </w:pPr>
            <w:r w:rsidRPr="008966B8">
              <w:rPr>
                <w:rFonts w:asciiTheme="minorHAnsi" w:hAnsiTheme="minorHAnsi" w:cstheme="minorHAnsi"/>
                <w:sz w:val="20"/>
                <w:szCs w:val="20"/>
              </w:rPr>
              <w:t>44</w:t>
            </w:r>
          </w:p>
        </w:tc>
        <w:tc>
          <w:tcPr>
            <w:tcW w:w="1403" w:type="dxa"/>
            <w:tcBorders>
              <w:top w:val="single" w:sz="12" w:space="0" w:color="auto"/>
              <w:left w:val="nil"/>
              <w:bottom w:val="single" w:sz="12" w:space="0" w:color="auto"/>
              <w:right w:val="single" w:sz="12" w:space="0" w:color="auto"/>
            </w:tcBorders>
            <w:shd w:val="clear" w:color="auto" w:fill="auto"/>
            <w:tcMar>
              <w:top w:w="80" w:type="dxa"/>
              <w:left w:w="80" w:type="dxa"/>
              <w:bottom w:w="80" w:type="dxa"/>
              <w:right w:w="80" w:type="dxa"/>
            </w:tcMar>
            <w:hideMark/>
          </w:tcPr>
          <w:p w:rsidR="00752FD4" w:rsidRPr="008966B8" w:rsidRDefault="00752FD4" w:rsidP="0003552F">
            <w:pPr>
              <w:pStyle w:val="BodyB"/>
              <w:jc w:val="right"/>
              <w:rPr>
                <w:rFonts w:asciiTheme="minorHAnsi" w:hAnsiTheme="minorHAnsi" w:cstheme="minorHAnsi"/>
                <w:sz w:val="20"/>
                <w:szCs w:val="20"/>
              </w:rPr>
            </w:pPr>
            <w:r w:rsidRPr="008966B8">
              <w:rPr>
                <w:rFonts w:asciiTheme="minorHAnsi" w:hAnsiTheme="minorHAnsi" w:cstheme="minorHAnsi"/>
                <w:sz w:val="20"/>
                <w:szCs w:val="20"/>
              </w:rPr>
              <w:t>(4)</w:t>
            </w:r>
          </w:p>
        </w:tc>
      </w:tr>
      <w:tr w:rsidR="00752FD4" w:rsidRPr="00DF545E" w:rsidTr="0003552F">
        <w:trPr>
          <w:trHeight w:val="380"/>
        </w:trPr>
        <w:tc>
          <w:tcPr>
            <w:tcW w:w="4116" w:type="dxa"/>
            <w:tcBorders>
              <w:top w:val="single" w:sz="12" w:space="0" w:color="auto"/>
              <w:left w:val="single" w:sz="12" w:space="0" w:color="auto"/>
              <w:bottom w:val="single" w:sz="12" w:space="0" w:color="auto"/>
              <w:right w:val="single" w:sz="12" w:space="0" w:color="auto"/>
            </w:tcBorders>
            <w:shd w:val="clear" w:color="auto" w:fill="auto"/>
            <w:tcMar>
              <w:top w:w="80" w:type="dxa"/>
              <w:left w:w="80" w:type="dxa"/>
              <w:bottom w:w="80" w:type="dxa"/>
              <w:right w:w="80" w:type="dxa"/>
            </w:tcMar>
            <w:hideMark/>
          </w:tcPr>
          <w:p w:rsidR="00752FD4" w:rsidRPr="008966B8" w:rsidRDefault="00752FD4" w:rsidP="0003552F">
            <w:pPr>
              <w:pStyle w:val="BodyB"/>
              <w:rPr>
                <w:rFonts w:asciiTheme="minorHAnsi" w:hAnsiTheme="minorHAnsi" w:cstheme="minorHAnsi"/>
                <w:sz w:val="20"/>
                <w:szCs w:val="20"/>
              </w:rPr>
            </w:pPr>
            <w:r w:rsidRPr="008966B8">
              <w:rPr>
                <w:rFonts w:asciiTheme="minorHAnsi" w:hAnsiTheme="minorHAnsi" w:cstheme="minorHAnsi"/>
                <w:sz w:val="20"/>
                <w:szCs w:val="20"/>
              </w:rPr>
              <w:t>Housing Benefits overpayments</w:t>
            </w:r>
          </w:p>
        </w:tc>
        <w:tc>
          <w:tcPr>
            <w:tcW w:w="1527" w:type="dxa"/>
            <w:tcBorders>
              <w:top w:val="single" w:sz="12" w:space="0" w:color="auto"/>
              <w:left w:val="single" w:sz="12" w:space="0" w:color="auto"/>
              <w:bottom w:val="single" w:sz="12" w:space="0" w:color="auto"/>
              <w:right w:val="single" w:sz="8" w:space="0" w:color="000000"/>
            </w:tcBorders>
            <w:shd w:val="clear" w:color="auto" w:fill="auto"/>
            <w:tcMar>
              <w:top w:w="80" w:type="dxa"/>
              <w:left w:w="80" w:type="dxa"/>
              <w:bottom w:w="80" w:type="dxa"/>
              <w:right w:w="80" w:type="dxa"/>
            </w:tcMar>
            <w:hideMark/>
          </w:tcPr>
          <w:p w:rsidR="00752FD4" w:rsidRPr="008966B8" w:rsidRDefault="00752FD4" w:rsidP="0003552F">
            <w:pPr>
              <w:pStyle w:val="BodyB"/>
              <w:jc w:val="right"/>
              <w:rPr>
                <w:rFonts w:asciiTheme="minorHAnsi" w:hAnsiTheme="minorHAnsi" w:cstheme="minorHAnsi"/>
                <w:sz w:val="20"/>
                <w:szCs w:val="20"/>
              </w:rPr>
            </w:pPr>
            <w:r w:rsidRPr="008966B8">
              <w:rPr>
                <w:rFonts w:asciiTheme="minorHAnsi" w:hAnsiTheme="minorHAnsi" w:cstheme="minorHAnsi"/>
                <w:sz w:val="20"/>
                <w:szCs w:val="20"/>
              </w:rPr>
              <w:t>29</w:t>
            </w:r>
          </w:p>
        </w:tc>
        <w:tc>
          <w:tcPr>
            <w:tcW w:w="1596" w:type="dxa"/>
            <w:tcBorders>
              <w:top w:val="single" w:sz="12" w:space="0" w:color="auto"/>
              <w:left w:val="nil"/>
              <w:bottom w:val="single" w:sz="12" w:space="0" w:color="auto"/>
              <w:right w:val="single" w:sz="8" w:space="0" w:color="000000"/>
            </w:tcBorders>
            <w:shd w:val="clear" w:color="auto" w:fill="auto"/>
            <w:tcMar>
              <w:top w:w="80" w:type="dxa"/>
              <w:left w:w="80" w:type="dxa"/>
              <w:bottom w:w="80" w:type="dxa"/>
              <w:right w:w="80" w:type="dxa"/>
            </w:tcMar>
            <w:hideMark/>
          </w:tcPr>
          <w:p w:rsidR="00752FD4" w:rsidRPr="008966B8" w:rsidRDefault="00752FD4" w:rsidP="0003552F">
            <w:pPr>
              <w:pStyle w:val="BodyB"/>
              <w:jc w:val="right"/>
              <w:rPr>
                <w:rFonts w:asciiTheme="minorHAnsi" w:hAnsiTheme="minorHAnsi" w:cstheme="minorHAnsi"/>
                <w:sz w:val="20"/>
                <w:szCs w:val="20"/>
              </w:rPr>
            </w:pPr>
            <w:r w:rsidRPr="008966B8">
              <w:rPr>
                <w:rFonts w:asciiTheme="minorHAnsi" w:hAnsiTheme="minorHAnsi" w:cstheme="minorHAnsi"/>
                <w:sz w:val="20"/>
                <w:szCs w:val="20"/>
              </w:rPr>
              <w:t>24</w:t>
            </w:r>
          </w:p>
        </w:tc>
        <w:tc>
          <w:tcPr>
            <w:tcW w:w="1403" w:type="dxa"/>
            <w:tcBorders>
              <w:top w:val="single" w:sz="12" w:space="0" w:color="auto"/>
              <w:left w:val="nil"/>
              <w:bottom w:val="single" w:sz="12" w:space="0" w:color="auto"/>
              <w:right w:val="single" w:sz="12" w:space="0" w:color="auto"/>
            </w:tcBorders>
            <w:shd w:val="clear" w:color="auto" w:fill="auto"/>
            <w:tcMar>
              <w:top w:w="80" w:type="dxa"/>
              <w:left w:w="80" w:type="dxa"/>
              <w:bottom w:w="80" w:type="dxa"/>
              <w:right w:w="80" w:type="dxa"/>
            </w:tcMar>
            <w:hideMark/>
          </w:tcPr>
          <w:p w:rsidR="00752FD4" w:rsidRPr="008966B8" w:rsidRDefault="00752FD4" w:rsidP="0003552F">
            <w:pPr>
              <w:pStyle w:val="BodyB"/>
              <w:jc w:val="right"/>
              <w:rPr>
                <w:rFonts w:asciiTheme="minorHAnsi" w:hAnsiTheme="minorHAnsi" w:cstheme="minorHAnsi"/>
                <w:sz w:val="20"/>
                <w:szCs w:val="20"/>
              </w:rPr>
            </w:pPr>
            <w:r w:rsidRPr="008966B8">
              <w:rPr>
                <w:rFonts w:asciiTheme="minorHAnsi" w:hAnsiTheme="minorHAnsi" w:cstheme="minorHAnsi"/>
                <w:sz w:val="20"/>
                <w:szCs w:val="20"/>
              </w:rPr>
              <w:t>(5)</w:t>
            </w:r>
          </w:p>
        </w:tc>
      </w:tr>
      <w:tr w:rsidR="00752FD4" w:rsidRPr="00DF545E" w:rsidTr="0003552F">
        <w:trPr>
          <w:trHeight w:val="335"/>
        </w:trPr>
        <w:tc>
          <w:tcPr>
            <w:tcW w:w="4116" w:type="dxa"/>
            <w:tcBorders>
              <w:top w:val="single" w:sz="12" w:space="0" w:color="auto"/>
              <w:left w:val="single" w:sz="12" w:space="0" w:color="auto"/>
              <w:bottom w:val="single" w:sz="12" w:space="0" w:color="auto"/>
              <w:right w:val="single" w:sz="12" w:space="0" w:color="auto"/>
            </w:tcBorders>
            <w:shd w:val="clear" w:color="auto" w:fill="auto"/>
            <w:tcMar>
              <w:top w:w="80" w:type="dxa"/>
              <w:left w:w="80" w:type="dxa"/>
              <w:bottom w:w="80" w:type="dxa"/>
              <w:right w:w="80" w:type="dxa"/>
            </w:tcMar>
            <w:hideMark/>
          </w:tcPr>
          <w:p w:rsidR="00752FD4" w:rsidRPr="008966B8" w:rsidRDefault="00752FD4" w:rsidP="0003552F">
            <w:pPr>
              <w:pStyle w:val="BodyB"/>
              <w:rPr>
                <w:rFonts w:asciiTheme="minorHAnsi" w:hAnsiTheme="minorHAnsi" w:cstheme="minorHAnsi"/>
                <w:sz w:val="20"/>
                <w:szCs w:val="20"/>
              </w:rPr>
            </w:pPr>
            <w:r w:rsidRPr="008966B8">
              <w:rPr>
                <w:rFonts w:asciiTheme="minorHAnsi" w:hAnsiTheme="minorHAnsi" w:cstheme="minorHAnsi"/>
                <w:sz w:val="20"/>
                <w:szCs w:val="20"/>
              </w:rPr>
              <w:t>Business Rates</w:t>
            </w:r>
          </w:p>
        </w:tc>
        <w:tc>
          <w:tcPr>
            <w:tcW w:w="1527" w:type="dxa"/>
            <w:tcBorders>
              <w:top w:val="single" w:sz="12" w:space="0" w:color="auto"/>
              <w:left w:val="single" w:sz="12" w:space="0" w:color="auto"/>
              <w:bottom w:val="single" w:sz="12" w:space="0" w:color="auto"/>
              <w:right w:val="single" w:sz="8" w:space="0" w:color="000000"/>
            </w:tcBorders>
            <w:shd w:val="clear" w:color="auto" w:fill="auto"/>
            <w:tcMar>
              <w:top w:w="80" w:type="dxa"/>
              <w:left w:w="80" w:type="dxa"/>
              <w:bottom w:w="80" w:type="dxa"/>
              <w:right w:w="80" w:type="dxa"/>
            </w:tcMar>
            <w:hideMark/>
          </w:tcPr>
          <w:p w:rsidR="00752FD4" w:rsidRPr="008966B8" w:rsidRDefault="00752FD4" w:rsidP="0003552F">
            <w:pPr>
              <w:pStyle w:val="BodyB"/>
              <w:jc w:val="right"/>
              <w:rPr>
                <w:rFonts w:asciiTheme="minorHAnsi" w:hAnsiTheme="minorHAnsi" w:cstheme="minorHAnsi"/>
                <w:sz w:val="20"/>
                <w:szCs w:val="20"/>
              </w:rPr>
            </w:pPr>
            <w:r w:rsidRPr="008966B8">
              <w:rPr>
                <w:rFonts w:asciiTheme="minorHAnsi" w:hAnsiTheme="minorHAnsi" w:cstheme="minorHAnsi"/>
                <w:sz w:val="20"/>
                <w:szCs w:val="20"/>
              </w:rPr>
              <w:t>9</w:t>
            </w:r>
          </w:p>
        </w:tc>
        <w:tc>
          <w:tcPr>
            <w:tcW w:w="1596" w:type="dxa"/>
            <w:tcBorders>
              <w:top w:val="single" w:sz="12" w:space="0" w:color="auto"/>
              <w:left w:val="nil"/>
              <w:bottom w:val="single" w:sz="12" w:space="0" w:color="auto"/>
              <w:right w:val="single" w:sz="8" w:space="0" w:color="000000"/>
            </w:tcBorders>
            <w:shd w:val="clear" w:color="auto" w:fill="auto"/>
            <w:tcMar>
              <w:top w:w="80" w:type="dxa"/>
              <w:left w:w="80" w:type="dxa"/>
              <w:bottom w:w="80" w:type="dxa"/>
              <w:right w:w="80" w:type="dxa"/>
            </w:tcMar>
            <w:hideMark/>
          </w:tcPr>
          <w:p w:rsidR="00752FD4" w:rsidRPr="008966B8" w:rsidRDefault="00752FD4" w:rsidP="0003552F">
            <w:pPr>
              <w:pStyle w:val="BodyB"/>
              <w:jc w:val="right"/>
              <w:rPr>
                <w:rFonts w:asciiTheme="minorHAnsi" w:hAnsiTheme="minorHAnsi" w:cstheme="minorHAnsi"/>
                <w:sz w:val="20"/>
                <w:szCs w:val="20"/>
              </w:rPr>
            </w:pPr>
            <w:r w:rsidRPr="008966B8">
              <w:rPr>
                <w:rFonts w:asciiTheme="minorHAnsi" w:hAnsiTheme="minorHAnsi" w:cstheme="minorHAnsi"/>
                <w:sz w:val="20"/>
                <w:szCs w:val="20"/>
              </w:rPr>
              <w:t>7</w:t>
            </w:r>
          </w:p>
        </w:tc>
        <w:tc>
          <w:tcPr>
            <w:tcW w:w="1403" w:type="dxa"/>
            <w:tcBorders>
              <w:top w:val="single" w:sz="12" w:space="0" w:color="auto"/>
              <w:left w:val="nil"/>
              <w:bottom w:val="single" w:sz="12" w:space="0" w:color="auto"/>
              <w:right w:val="single" w:sz="12" w:space="0" w:color="auto"/>
            </w:tcBorders>
            <w:shd w:val="clear" w:color="auto" w:fill="auto"/>
            <w:tcMar>
              <w:top w:w="80" w:type="dxa"/>
              <w:left w:w="80" w:type="dxa"/>
              <w:bottom w:w="80" w:type="dxa"/>
              <w:right w:w="80" w:type="dxa"/>
            </w:tcMar>
            <w:hideMark/>
          </w:tcPr>
          <w:p w:rsidR="00752FD4" w:rsidRPr="008966B8" w:rsidRDefault="00752FD4" w:rsidP="0003552F">
            <w:pPr>
              <w:pStyle w:val="BodyB"/>
              <w:jc w:val="right"/>
              <w:rPr>
                <w:rFonts w:asciiTheme="minorHAnsi" w:hAnsiTheme="minorHAnsi" w:cstheme="minorHAnsi"/>
                <w:sz w:val="20"/>
                <w:szCs w:val="20"/>
              </w:rPr>
            </w:pPr>
            <w:r w:rsidRPr="008966B8">
              <w:rPr>
                <w:rFonts w:asciiTheme="minorHAnsi" w:hAnsiTheme="minorHAnsi" w:cstheme="minorHAnsi"/>
                <w:sz w:val="20"/>
                <w:szCs w:val="20"/>
              </w:rPr>
              <w:t>(2)</w:t>
            </w:r>
          </w:p>
        </w:tc>
      </w:tr>
      <w:tr w:rsidR="00752FD4" w:rsidRPr="00DF545E" w:rsidTr="0003552F">
        <w:trPr>
          <w:trHeight w:val="335"/>
        </w:trPr>
        <w:tc>
          <w:tcPr>
            <w:tcW w:w="4116" w:type="dxa"/>
            <w:tcBorders>
              <w:top w:val="single" w:sz="12" w:space="0" w:color="auto"/>
              <w:left w:val="single" w:sz="12" w:space="0" w:color="auto"/>
              <w:bottom w:val="single" w:sz="12" w:space="0" w:color="auto"/>
              <w:right w:val="single" w:sz="12" w:space="0" w:color="auto"/>
            </w:tcBorders>
            <w:shd w:val="clear" w:color="auto" w:fill="auto"/>
            <w:tcMar>
              <w:top w:w="80" w:type="dxa"/>
              <w:left w:w="80" w:type="dxa"/>
              <w:bottom w:w="80" w:type="dxa"/>
              <w:right w:w="80" w:type="dxa"/>
            </w:tcMar>
            <w:hideMark/>
          </w:tcPr>
          <w:p w:rsidR="00752FD4" w:rsidRPr="008966B8" w:rsidRDefault="00752FD4" w:rsidP="0003552F">
            <w:pPr>
              <w:pStyle w:val="BodyB"/>
              <w:rPr>
                <w:rFonts w:asciiTheme="minorHAnsi" w:hAnsiTheme="minorHAnsi" w:cstheme="minorHAnsi"/>
                <w:sz w:val="20"/>
                <w:szCs w:val="20"/>
              </w:rPr>
            </w:pPr>
            <w:r w:rsidRPr="008966B8">
              <w:rPr>
                <w:rFonts w:asciiTheme="minorHAnsi" w:hAnsiTheme="minorHAnsi" w:cstheme="minorHAnsi"/>
                <w:sz w:val="20"/>
                <w:szCs w:val="20"/>
              </w:rPr>
              <w:t>Sundry Debt</w:t>
            </w:r>
          </w:p>
        </w:tc>
        <w:tc>
          <w:tcPr>
            <w:tcW w:w="1527" w:type="dxa"/>
            <w:tcBorders>
              <w:top w:val="single" w:sz="12" w:space="0" w:color="auto"/>
              <w:left w:val="single" w:sz="12" w:space="0" w:color="auto"/>
              <w:bottom w:val="single" w:sz="12" w:space="0" w:color="auto"/>
              <w:right w:val="single" w:sz="8" w:space="0" w:color="000000"/>
            </w:tcBorders>
            <w:shd w:val="clear" w:color="auto" w:fill="auto"/>
            <w:tcMar>
              <w:top w:w="80" w:type="dxa"/>
              <w:left w:w="80" w:type="dxa"/>
              <w:bottom w:w="80" w:type="dxa"/>
              <w:right w:w="80" w:type="dxa"/>
            </w:tcMar>
            <w:hideMark/>
          </w:tcPr>
          <w:p w:rsidR="00752FD4" w:rsidRPr="008966B8" w:rsidRDefault="00752FD4" w:rsidP="0003552F">
            <w:pPr>
              <w:pStyle w:val="BodyB"/>
              <w:jc w:val="right"/>
              <w:rPr>
                <w:rFonts w:asciiTheme="minorHAnsi" w:hAnsiTheme="minorHAnsi" w:cstheme="minorHAnsi"/>
                <w:sz w:val="20"/>
                <w:szCs w:val="20"/>
              </w:rPr>
            </w:pPr>
            <w:r w:rsidRPr="008966B8">
              <w:rPr>
                <w:rFonts w:asciiTheme="minorHAnsi" w:hAnsiTheme="minorHAnsi" w:cstheme="minorHAnsi"/>
                <w:sz w:val="20"/>
                <w:szCs w:val="20"/>
              </w:rPr>
              <w:t>16</w:t>
            </w:r>
          </w:p>
        </w:tc>
        <w:tc>
          <w:tcPr>
            <w:tcW w:w="1596" w:type="dxa"/>
            <w:tcBorders>
              <w:top w:val="single" w:sz="12" w:space="0" w:color="auto"/>
              <w:left w:val="nil"/>
              <w:bottom w:val="single" w:sz="12" w:space="0" w:color="auto"/>
              <w:right w:val="single" w:sz="8" w:space="0" w:color="000000"/>
            </w:tcBorders>
            <w:shd w:val="clear" w:color="auto" w:fill="auto"/>
            <w:tcMar>
              <w:top w:w="80" w:type="dxa"/>
              <w:left w:w="80" w:type="dxa"/>
              <w:bottom w:w="80" w:type="dxa"/>
              <w:right w:w="80" w:type="dxa"/>
            </w:tcMar>
            <w:hideMark/>
          </w:tcPr>
          <w:p w:rsidR="00752FD4" w:rsidRPr="008966B8" w:rsidRDefault="00752FD4" w:rsidP="0003552F">
            <w:pPr>
              <w:pStyle w:val="BodyB"/>
              <w:jc w:val="right"/>
              <w:rPr>
                <w:rFonts w:asciiTheme="minorHAnsi" w:hAnsiTheme="minorHAnsi" w:cstheme="minorHAnsi"/>
                <w:sz w:val="20"/>
                <w:szCs w:val="20"/>
              </w:rPr>
            </w:pPr>
            <w:r w:rsidRPr="008966B8">
              <w:rPr>
                <w:rFonts w:asciiTheme="minorHAnsi" w:hAnsiTheme="minorHAnsi" w:cstheme="minorHAnsi"/>
                <w:sz w:val="20"/>
                <w:szCs w:val="20"/>
              </w:rPr>
              <w:t>3</w:t>
            </w:r>
          </w:p>
        </w:tc>
        <w:tc>
          <w:tcPr>
            <w:tcW w:w="1403" w:type="dxa"/>
            <w:tcBorders>
              <w:top w:val="single" w:sz="12" w:space="0" w:color="auto"/>
              <w:left w:val="nil"/>
              <w:bottom w:val="single" w:sz="12" w:space="0" w:color="auto"/>
              <w:right w:val="single" w:sz="12" w:space="0" w:color="auto"/>
            </w:tcBorders>
            <w:shd w:val="clear" w:color="auto" w:fill="auto"/>
            <w:tcMar>
              <w:top w:w="80" w:type="dxa"/>
              <w:left w:w="80" w:type="dxa"/>
              <w:bottom w:w="80" w:type="dxa"/>
              <w:right w:w="80" w:type="dxa"/>
            </w:tcMar>
            <w:hideMark/>
          </w:tcPr>
          <w:p w:rsidR="00752FD4" w:rsidRPr="008966B8" w:rsidRDefault="00752FD4" w:rsidP="0003552F">
            <w:pPr>
              <w:pStyle w:val="BodyB"/>
              <w:jc w:val="right"/>
              <w:rPr>
                <w:rFonts w:asciiTheme="minorHAnsi" w:hAnsiTheme="minorHAnsi" w:cstheme="minorHAnsi"/>
                <w:sz w:val="20"/>
                <w:szCs w:val="20"/>
              </w:rPr>
            </w:pPr>
            <w:r w:rsidRPr="008966B8">
              <w:rPr>
                <w:rFonts w:asciiTheme="minorHAnsi" w:hAnsiTheme="minorHAnsi" w:cstheme="minorHAnsi"/>
                <w:sz w:val="20"/>
                <w:szCs w:val="20"/>
              </w:rPr>
              <w:t>(13)</w:t>
            </w:r>
          </w:p>
        </w:tc>
      </w:tr>
    </w:tbl>
    <w:p w:rsidR="00F72906" w:rsidRDefault="00F72906" w:rsidP="00F72906"/>
    <w:p w:rsidR="0087018B" w:rsidRPr="00752FD4" w:rsidRDefault="00F72906" w:rsidP="00F72906">
      <w:r>
        <w:t>37.</w:t>
      </w:r>
      <w:r>
        <w:tab/>
        <w:t>For 2019/20 the provision for debt was uplifted by 10% to reflect emerging issues arising from the pandemic.  As part of the Council’s immediate response we have temporarily paused any debt enforcement action and in some cases allowed payment holidays.  This is a temporary measure to provide support during the outbreak and will gradually be scaled down as situation improves. Additional information on the provision can be found in the Key Judgements and</w:t>
      </w:r>
      <w:r w:rsidR="0087018B">
        <w:t xml:space="preserve"> Material Estimates disclosure.</w:t>
      </w:r>
    </w:p>
    <w:p w:rsidR="00F72906" w:rsidRPr="00752FD4" w:rsidRDefault="00F72906" w:rsidP="00F72906">
      <w:pPr>
        <w:rPr>
          <w:b/>
        </w:rPr>
      </w:pPr>
      <w:r w:rsidRPr="00752FD4">
        <w:rPr>
          <w:b/>
        </w:rPr>
        <w:t xml:space="preserve">Organisational overview </w:t>
      </w:r>
    </w:p>
    <w:p w:rsidR="00F72906" w:rsidRDefault="00F72906" w:rsidP="00F72906">
      <w:r>
        <w:lastRenderedPageBreak/>
        <w:t>38.</w:t>
      </w:r>
      <w:r>
        <w:tab/>
        <w:t>To say this has been another challenging year for local government would be an understatement. The outbreak of the COVID-19 pandemic in early 2020 has caused massive disruption to the economy and public finances.</w:t>
      </w:r>
    </w:p>
    <w:p w:rsidR="00F72906" w:rsidRDefault="00F72906" w:rsidP="00F72906"/>
    <w:p w:rsidR="00F72906" w:rsidRDefault="00F72906" w:rsidP="00F72906">
      <w:r>
        <w:t>39.</w:t>
      </w:r>
      <w:r>
        <w:tab/>
        <w:t>Before this, the Council was already dealing with a decade of austerity measures, Business Rate reforms, a re-setting of government funding with the Fair Funding Review, Adult Social Care pressures and the impact of Brexit. The current situation is exceptional and the Council has had to make critical decisions quickly, often in response to specific and constantly evolving Government direction and guidance.</w:t>
      </w:r>
    </w:p>
    <w:p w:rsidR="00F72906" w:rsidRDefault="00F72906" w:rsidP="00F72906"/>
    <w:p w:rsidR="00F72906" w:rsidRDefault="00F72906" w:rsidP="00F72906">
      <w:r>
        <w:t>40.</w:t>
      </w:r>
      <w:r>
        <w:tab/>
        <w:t>In response the Council has instigated the Strategic Gold Group to lead on the coordination and response to the COVID-19 Pandemic. Since early March the group has met regularly and leads on the communications to residents, staff and members. The group is represented by Strategic Directors, Human Resources, the Director of Public Health, Communications, Emergency Planning and the Operational Director for Customer Services and is chaired by the Chief Executive.</w:t>
      </w:r>
    </w:p>
    <w:p w:rsidR="00F72906" w:rsidRDefault="00F72906" w:rsidP="00F72906"/>
    <w:p w:rsidR="00F72906" w:rsidRDefault="00F72906" w:rsidP="00F72906">
      <w:r>
        <w:t>41.</w:t>
      </w:r>
      <w:r>
        <w:tab/>
        <w:t>Alongside this London wide arrangements have been in place throughout period. A London Resilience forum was stood up and a Strategic Co-ordination Group (SCG) has overseen the response of all our partners, NHS, PHE, Police, Fire, GLA, and Central Government. The Chair of the SCG was given powers by the government to direct public services throughout this crisis and every day The Council is duty bound to return a situation report to them outlining the resilience of all our critical services. They have also provided direction in relation to issues such as shielding, PPE, testing, enforcement of social distancing and Brent have followed instructions where relevant.</w:t>
      </w:r>
    </w:p>
    <w:p w:rsidR="00F72906" w:rsidRDefault="00F72906" w:rsidP="00F72906"/>
    <w:p w:rsidR="00F72906" w:rsidRDefault="00F72906" w:rsidP="00F72906">
      <w:r>
        <w:t>42.</w:t>
      </w:r>
      <w:r>
        <w:tab/>
        <w:t>The role of London Local Authority Gold throughout most of this period has been undertaken by the Chief Executive of Waltham Forest. This has been executed by way of a sub-regional structure with Brent being in the West London sub-region along with Harrow, Hillingdon, Ealing, Hounslow and Hammersmith of Fulham.</w:t>
      </w:r>
    </w:p>
    <w:p w:rsidR="00F72906" w:rsidRDefault="00F72906" w:rsidP="00F72906"/>
    <w:p w:rsidR="00F72906" w:rsidRDefault="00F72906" w:rsidP="00F72906">
      <w:r>
        <w:t>43.</w:t>
      </w:r>
      <w:r>
        <w:tab/>
        <w:t>The Council’s initial response to the pandemic was to follow government guidance with regard to the scientific evidence and whilst services were reduced and increasing numbers of staff were working from home we did not shut down all services until the government instituted the lockdown on 23 March 2020.  Since that point the council has changed its position to one where staff are largely based at home working remotely and providing mainly critical services.</w:t>
      </w:r>
    </w:p>
    <w:p w:rsidR="00F72906" w:rsidRDefault="00F72906" w:rsidP="00F72906"/>
    <w:p w:rsidR="00F72906" w:rsidRDefault="00F72906" w:rsidP="00F72906">
      <w:r>
        <w:t>44.</w:t>
      </w:r>
      <w:r>
        <w:tab/>
        <w:t>So far the main areas of increased Council activity have been:</w:t>
      </w:r>
    </w:p>
    <w:p w:rsidR="00F72906" w:rsidRDefault="00F72906" w:rsidP="00F72906"/>
    <w:p w:rsidR="00752FD4" w:rsidRDefault="00F72906" w:rsidP="00F72906">
      <w:pPr>
        <w:pStyle w:val="ListParagraph"/>
        <w:numPr>
          <w:ilvl w:val="0"/>
          <w:numId w:val="1"/>
        </w:numPr>
      </w:pPr>
      <w:r>
        <w:t>Social Care and PPE - ensuring hospital discharges happen quickly, supporting care homes and domiciliary care, getting PPE to carers and front line staff, testing of front line staff.</w:t>
      </w:r>
    </w:p>
    <w:p w:rsidR="00752FD4" w:rsidRDefault="00F72906" w:rsidP="00F72906">
      <w:pPr>
        <w:pStyle w:val="ListParagraph"/>
        <w:numPr>
          <w:ilvl w:val="0"/>
          <w:numId w:val="1"/>
        </w:numPr>
      </w:pPr>
      <w:r>
        <w:lastRenderedPageBreak/>
        <w:t>Parks, Open Spaces &amp; Mortuaries - building additional mortuary capacity and working with funeral directors to ensure funerals happen as quickly as possible, enforcement of social distancing in parks and open spaces and high streets along with the effective monitoring of which shops should and should not be open, keeping the bins emptied given much higher levels of domestic waste.</w:t>
      </w:r>
    </w:p>
    <w:p w:rsidR="00752FD4" w:rsidRDefault="00F72906" w:rsidP="00F72906">
      <w:pPr>
        <w:pStyle w:val="ListParagraph"/>
        <w:numPr>
          <w:ilvl w:val="0"/>
          <w:numId w:val="1"/>
        </w:numPr>
      </w:pPr>
      <w:r>
        <w:t>Staff redeployment - the redeployment of staff to ensure that increased benefits and council tax enquiries are efficiently expedited and all calls answered, contacting all 18,500 NHS shielded residents and others referred to us as vulnerable and providing food and now medicines to those who are in need.</w:t>
      </w:r>
    </w:p>
    <w:p w:rsidR="00752FD4" w:rsidRDefault="00F72906" w:rsidP="00F72906">
      <w:pPr>
        <w:pStyle w:val="ListParagraph"/>
        <w:numPr>
          <w:ilvl w:val="0"/>
          <w:numId w:val="1"/>
        </w:numPr>
      </w:pPr>
      <w:r>
        <w:t xml:space="preserve">Grants and other financial assistance - working on small grants to businesses and business rates relief and now sorting out how we will get ourselves back onto a sustainable financial footing, also have needed to ensure that we are alert to any potential for fraud as a result of monies being distributed in response to COVID-19. </w:t>
      </w:r>
    </w:p>
    <w:p w:rsidR="00752FD4" w:rsidRDefault="00F72906" w:rsidP="00F72906">
      <w:pPr>
        <w:pStyle w:val="ListParagraph"/>
        <w:numPr>
          <w:ilvl w:val="0"/>
          <w:numId w:val="1"/>
        </w:numPr>
      </w:pPr>
      <w:r>
        <w:t>Voluntary Sector &amp; Partnerships - worked with the voluntary and community sector to provide support and indeed food and transport to foodbanks, advice and support to residents and communications media, answering enquiries and ensuring information is given to residents in the Borough through the web and other social media channels.</w:t>
      </w:r>
    </w:p>
    <w:p w:rsidR="00752FD4" w:rsidRDefault="00F72906" w:rsidP="00F72906">
      <w:pPr>
        <w:pStyle w:val="ListParagraph"/>
        <w:numPr>
          <w:ilvl w:val="0"/>
          <w:numId w:val="1"/>
        </w:numPr>
      </w:pPr>
      <w:r>
        <w:t>Rough Sleepers - ensure that rough sleepers have been accommodated and provided additional accommodation for those that are in danger of becoming rough sleepers; emergency repairs have continued.</w:t>
      </w:r>
    </w:p>
    <w:p w:rsidR="00752FD4" w:rsidRDefault="00F72906" w:rsidP="00F72906">
      <w:pPr>
        <w:pStyle w:val="ListParagraph"/>
        <w:numPr>
          <w:ilvl w:val="0"/>
          <w:numId w:val="1"/>
        </w:numPr>
      </w:pPr>
      <w:r>
        <w:t>Educational Settings - working very closely with schools in the borough to support with PPE and provide guidance and help co-ordinate in relation to the childcare commitment for key workers and those children identified as vulnerable.</w:t>
      </w:r>
    </w:p>
    <w:p w:rsidR="00F72906" w:rsidRDefault="00F72906" w:rsidP="00F72906">
      <w:pPr>
        <w:pStyle w:val="ListParagraph"/>
        <w:numPr>
          <w:ilvl w:val="0"/>
          <w:numId w:val="1"/>
        </w:numPr>
      </w:pPr>
      <w:r>
        <w:t>Communications - information has constantly needed to be updated and sent to residents, staff, businesses and members.</w:t>
      </w:r>
    </w:p>
    <w:p w:rsidR="00F72906" w:rsidRDefault="00F72906" w:rsidP="00F72906">
      <w:r>
        <w:t>45.</w:t>
      </w:r>
      <w:r>
        <w:tab/>
        <w:t>Despite the fact that the majority of staff are now home based the Council has been able to continue to deliver the majority of services without disruption. Although some services by the nature of the public interface have been temporarily closed down e.g. Libraries and sports centres, recycling centre, whilst other services have been projected into greater prominence as a result of the shutdown, for example registrations, mortuaries.</w:t>
      </w:r>
    </w:p>
    <w:p w:rsidR="00F72906" w:rsidRDefault="00F72906" w:rsidP="00F72906">
      <w:r>
        <w:lastRenderedPageBreak/>
        <w:t xml:space="preserve"> </w:t>
      </w:r>
      <w:r w:rsidR="00752FD4" w:rsidRPr="00E32262">
        <w:rPr>
          <w:rFonts w:cstheme="minorHAnsi"/>
          <w:noProof/>
          <w:color w:val="343A41"/>
          <w:lang w:eastAsia="en-GB"/>
        </w:rPr>
        <w:drawing>
          <wp:inline distT="0" distB="0" distL="0" distR="0" wp14:anchorId="513424CB" wp14:editId="587457A3">
            <wp:extent cx="3914775" cy="4303553"/>
            <wp:effectExtent l="0" t="0" r="0" b="1905"/>
            <wp:docPr id="2" name="Picture 2" descr="Image showing our statistics for Covid-19 response" title="Our Covid-19 Response in numb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ploaded image: No description set. 8540 YB164 p07 Infographic to Sophie 300dpi.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58670" cy="4351807"/>
                    </a:xfrm>
                    <a:prstGeom prst="rect">
                      <a:avLst/>
                    </a:prstGeom>
                    <a:noFill/>
                    <a:ln>
                      <a:noFill/>
                    </a:ln>
                  </pic:spPr>
                </pic:pic>
              </a:graphicData>
            </a:graphic>
          </wp:inline>
        </w:drawing>
      </w:r>
    </w:p>
    <w:p w:rsidR="00752FD4" w:rsidRDefault="00F72906" w:rsidP="00F72906">
      <w:r>
        <w:t>46.</w:t>
      </w:r>
      <w:r>
        <w:tab/>
        <w:t>In response to the outbreak, central government has been making daily announcements and the following grants have been made available to Cou</w:t>
      </w:r>
      <w:r w:rsidR="00752FD4">
        <w:t>ncil’s to support the response:</w:t>
      </w:r>
    </w:p>
    <w:p w:rsidR="00752FD4" w:rsidRPr="00752FD4" w:rsidRDefault="00F72906" w:rsidP="00F72906">
      <w:pPr>
        <w:pStyle w:val="ListParagraph"/>
        <w:numPr>
          <w:ilvl w:val="0"/>
          <w:numId w:val="2"/>
        </w:numPr>
        <w:rPr>
          <w:i/>
        </w:rPr>
      </w:pPr>
      <w:r w:rsidRPr="00752FD4">
        <w:rPr>
          <w:i/>
        </w:rPr>
        <w:t>COVID-19 Fund - A £3.2 billion fund for local authorities to help in the response to coronavirus (COVID-19) pressures across all the services they deliver. Brent’s share of this fund is £18.4m.</w:t>
      </w:r>
    </w:p>
    <w:p w:rsidR="00752FD4" w:rsidRPr="00752FD4" w:rsidRDefault="00F72906" w:rsidP="00F72906">
      <w:pPr>
        <w:pStyle w:val="ListParagraph"/>
        <w:numPr>
          <w:ilvl w:val="0"/>
          <w:numId w:val="2"/>
        </w:numPr>
        <w:rPr>
          <w:i/>
        </w:rPr>
      </w:pPr>
      <w:r w:rsidRPr="00752FD4">
        <w:rPr>
          <w:i/>
        </w:rPr>
        <w:t>Hardship Fund - A £500 million Hardship Fund to provide council tax relief to vulnerable people and households to help those affected most by coronavirus. Brent allocation £3.9m.</w:t>
      </w:r>
    </w:p>
    <w:p w:rsidR="00752FD4" w:rsidRPr="00752FD4" w:rsidRDefault="00F72906" w:rsidP="00F72906">
      <w:pPr>
        <w:pStyle w:val="ListParagraph"/>
        <w:numPr>
          <w:ilvl w:val="0"/>
          <w:numId w:val="2"/>
        </w:numPr>
        <w:rPr>
          <w:i/>
        </w:rPr>
      </w:pPr>
      <w:r w:rsidRPr="00752FD4">
        <w:rPr>
          <w:i/>
        </w:rPr>
        <w:t>Rough Sleepers - This is a £3.2 million fund available to all local authorities in England to reimburse them for the cost of providing accommodation and services to those sleeping on the streets to help them successfully self-isolate.</w:t>
      </w:r>
    </w:p>
    <w:p w:rsidR="00F72906" w:rsidRPr="00752FD4" w:rsidRDefault="00F72906" w:rsidP="00F72906">
      <w:pPr>
        <w:pStyle w:val="ListParagraph"/>
        <w:numPr>
          <w:ilvl w:val="0"/>
          <w:numId w:val="2"/>
        </w:numPr>
        <w:rPr>
          <w:i/>
        </w:rPr>
      </w:pPr>
      <w:r w:rsidRPr="00752FD4">
        <w:rPr>
          <w:i/>
        </w:rPr>
        <w:t>Business Rates Relief - There are two business rates grants which have been announced. The Small Business Grant Fund and the Retail, Hospitality and Leisure Business Grant Fund (£65.9m).</w:t>
      </w:r>
    </w:p>
    <w:p w:rsidR="00F72906" w:rsidRDefault="00F72906" w:rsidP="00F72906"/>
    <w:p w:rsidR="00F72906" w:rsidRPr="00752FD4" w:rsidRDefault="00F72906" w:rsidP="00F72906">
      <w:pPr>
        <w:rPr>
          <w:b/>
        </w:rPr>
      </w:pPr>
      <w:r w:rsidRPr="00752FD4">
        <w:rPr>
          <w:b/>
        </w:rPr>
        <w:t>COVID-19 Expenditure Tracker</w:t>
      </w:r>
    </w:p>
    <w:p w:rsidR="00F72906" w:rsidRDefault="00F72906" w:rsidP="00F72906">
      <w:r>
        <w:t>47.</w:t>
      </w:r>
      <w:r>
        <w:tab/>
        <w:t>As a result of these extraordinary circumstances, it is expected that service departments will experience income and expenditure pressures over and above that which their 2020-21 budgets are based upon, with the 2020-21 budgets having been only agreed by Council in February 2020. The magnitude of these expenditure pressures will depend on the severity of the pandemic and how long the pandemic lasts. Two scenarios have been modelled based on a lockdown period of 3 and 6 months.</w:t>
      </w:r>
    </w:p>
    <w:p w:rsidR="00F72906" w:rsidRDefault="00F72906" w:rsidP="00F72906"/>
    <w:p w:rsidR="00F72906" w:rsidRDefault="00F72906" w:rsidP="00F72906">
      <w:r>
        <w:t>48.</w:t>
      </w:r>
      <w:r>
        <w:tab/>
        <w:t>A cost tracker has been created to estimate and record these additional pressures. It includes anticipated additional expenditure pressures, loss of income, impact on savings and capital programmes and treasury management issues. Table 5 below provides a summary of the expected loss of income and costs to the council (as at 1st May 2020), assuming that the current social distancing measures are in place for three months and that the financial impact is experienced for an additional three months to 30 September 2020. These figures are reported fortnightly to the Ministry of Housing, Communities and Local Government (MHCLG).</w:t>
      </w:r>
    </w:p>
    <w:p w:rsidR="00F72906" w:rsidRDefault="00F72906" w:rsidP="00F72906"/>
    <w:p w:rsidR="00F72906" w:rsidRPr="00752FD4" w:rsidRDefault="00F72906" w:rsidP="00F72906">
      <w:pPr>
        <w:rPr>
          <w:color w:val="FF0000"/>
        </w:rPr>
      </w:pPr>
      <w:r w:rsidRPr="00752FD4">
        <w:rPr>
          <w:color w:val="FF0000"/>
        </w:rPr>
        <w:t>Table 5</w:t>
      </w:r>
    </w:p>
    <w:tbl>
      <w:tblPr>
        <w:tblW w:w="9355" w:type="dxa"/>
        <w:tblInd w:w="274" w:type="dxa"/>
        <w:tblLook w:val="04A0" w:firstRow="1" w:lastRow="0" w:firstColumn="1" w:lastColumn="0" w:noHBand="0" w:noVBand="1"/>
      </w:tblPr>
      <w:tblGrid>
        <w:gridCol w:w="3118"/>
        <w:gridCol w:w="1417"/>
        <w:gridCol w:w="1701"/>
        <w:gridCol w:w="1559"/>
        <w:gridCol w:w="1560"/>
      </w:tblGrid>
      <w:tr w:rsidR="00752FD4" w:rsidRPr="004F4ABA" w:rsidTr="0003552F">
        <w:trPr>
          <w:trHeight w:val="805"/>
        </w:trPr>
        <w:tc>
          <w:tcPr>
            <w:tcW w:w="3118" w:type="dxa"/>
            <w:tcBorders>
              <w:top w:val="single" w:sz="8" w:space="0" w:color="auto"/>
              <w:left w:val="single" w:sz="8" w:space="0" w:color="auto"/>
              <w:bottom w:val="nil"/>
              <w:right w:val="single" w:sz="8" w:space="0" w:color="auto"/>
            </w:tcBorders>
            <w:shd w:val="clear" w:color="000000" w:fill="E7E6E6"/>
            <w:hideMark/>
          </w:tcPr>
          <w:p w:rsidR="00752FD4" w:rsidRPr="004F4ABA" w:rsidRDefault="00752FD4" w:rsidP="0003552F">
            <w:pPr>
              <w:rPr>
                <w:rFonts w:cs="Calibri"/>
                <w:b/>
                <w:bCs/>
                <w:color w:val="000000"/>
                <w:sz w:val="20"/>
                <w:szCs w:val="20"/>
                <w:lang w:eastAsia="en-GB"/>
              </w:rPr>
            </w:pPr>
            <w:r w:rsidRPr="004F4ABA">
              <w:rPr>
                <w:rFonts w:cs="Calibri"/>
                <w:b/>
                <w:bCs/>
                <w:color w:val="000000"/>
                <w:sz w:val="20"/>
                <w:szCs w:val="20"/>
                <w:lang w:eastAsia="en-GB"/>
              </w:rPr>
              <w:t>Directorate</w:t>
            </w:r>
          </w:p>
        </w:tc>
        <w:tc>
          <w:tcPr>
            <w:tcW w:w="1417" w:type="dxa"/>
            <w:tcBorders>
              <w:top w:val="single" w:sz="8" w:space="0" w:color="auto"/>
              <w:left w:val="nil"/>
              <w:bottom w:val="nil"/>
              <w:right w:val="single" w:sz="8" w:space="0" w:color="auto"/>
            </w:tcBorders>
            <w:shd w:val="clear" w:color="000000" w:fill="E7E6E6"/>
            <w:hideMark/>
          </w:tcPr>
          <w:p w:rsidR="00752FD4" w:rsidRPr="004F4ABA" w:rsidRDefault="00752FD4" w:rsidP="0003552F">
            <w:pPr>
              <w:jc w:val="center"/>
              <w:rPr>
                <w:rFonts w:cs="Calibri"/>
                <w:b/>
                <w:bCs/>
                <w:color w:val="000000"/>
                <w:sz w:val="20"/>
                <w:szCs w:val="20"/>
                <w:lang w:eastAsia="en-GB"/>
              </w:rPr>
            </w:pPr>
            <w:r w:rsidRPr="004F4ABA">
              <w:rPr>
                <w:rFonts w:cs="Calibri"/>
                <w:b/>
                <w:bCs/>
                <w:color w:val="000000"/>
                <w:sz w:val="20"/>
                <w:szCs w:val="20"/>
                <w:lang w:eastAsia="en-GB"/>
              </w:rPr>
              <w:t>19/20 Impact (£m)</w:t>
            </w:r>
          </w:p>
        </w:tc>
        <w:tc>
          <w:tcPr>
            <w:tcW w:w="1701" w:type="dxa"/>
            <w:tcBorders>
              <w:top w:val="single" w:sz="8" w:space="0" w:color="auto"/>
              <w:left w:val="nil"/>
              <w:bottom w:val="nil"/>
              <w:right w:val="single" w:sz="8" w:space="0" w:color="auto"/>
            </w:tcBorders>
            <w:shd w:val="clear" w:color="000000" w:fill="E7E6E6"/>
            <w:hideMark/>
          </w:tcPr>
          <w:p w:rsidR="00752FD4" w:rsidRPr="004F4ABA" w:rsidRDefault="00752FD4" w:rsidP="0003552F">
            <w:pPr>
              <w:jc w:val="center"/>
              <w:rPr>
                <w:rFonts w:cs="Calibri"/>
                <w:b/>
                <w:bCs/>
                <w:color w:val="000000"/>
                <w:sz w:val="20"/>
                <w:szCs w:val="20"/>
                <w:lang w:eastAsia="en-GB"/>
              </w:rPr>
            </w:pPr>
            <w:r w:rsidRPr="004F4ABA">
              <w:rPr>
                <w:rFonts w:cs="Calibri"/>
                <w:b/>
                <w:bCs/>
                <w:color w:val="000000"/>
                <w:sz w:val="20"/>
                <w:szCs w:val="20"/>
                <w:lang w:eastAsia="en-GB"/>
              </w:rPr>
              <w:t>20/21 3 month lockdown impact to 30 Jun 20 (£m)</w:t>
            </w:r>
          </w:p>
        </w:tc>
        <w:tc>
          <w:tcPr>
            <w:tcW w:w="1559" w:type="dxa"/>
            <w:tcBorders>
              <w:top w:val="single" w:sz="8" w:space="0" w:color="auto"/>
              <w:left w:val="nil"/>
              <w:bottom w:val="nil"/>
              <w:right w:val="single" w:sz="8" w:space="0" w:color="auto"/>
            </w:tcBorders>
            <w:shd w:val="clear" w:color="000000" w:fill="E7E6E6"/>
            <w:hideMark/>
          </w:tcPr>
          <w:p w:rsidR="00752FD4" w:rsidRPr="004F4ABA" w:rsidRDefault="00752FD4" w:rsidP="0003552F">
            <w:pPr>
              <w:jc w:val="center"/>
              <w:rPr>
                <w:rFonts w:cs="Calibri"/>
                <w:b/>
                <w:bCs/>
                <w:color w:val="000000"/>
                <w:sz w:val="20"/>
                <w:szCs w:val="20"/>
                <w:lang w:eastAsia="en-GB"/>
              </w:rPr>
            </w:pPr>
            <w:r w:rsidRPr="004F4ABA">
              <w:rPr>
                <w:rFonts w:cs="Calibri"/>
                <w:b/>
                <w:bCs/>
                <w:color w:val="000000"/>
                <w:sz w:val="20"/>
                <w:szCs w:val="20"/>
                <w:lang w:eastAsia="en-GB"/>
              </w:rPr>
              <w:t>20/21 Extended to 30 Sep 20 (£m)</w:t>
            </w:r>
          </w:p>
        </w:tc>
        <w:tc>
          <w:tcPr>
            <w:tcW w:w="1560" w:type="dxa"/>
            <w:vMerge w:val="restart"/>
            <w:tcBorders>
              <w:top w:val="single" w:sz="8" w:space="0" w:color="auto"/>
              <w:left w:val="single" w:sz="8" w:space="0" w:color="auto"/>
              <w:bottom w:val="single" w:sz="8" w:space="0" w:color="000000"/>
              <w:right w:val="single" w:sz="8" w:space="0" w:color="auto"/>
            </w:tcBorders>
            <w:shd w:val="clear" w:color="000000" w:fill="A8D08D"/>
            <w:hideMark/>
          </w:tcPr>
          <w:p w:rsidR="00752FD4" w:rsidRPr="004F4ABA" w:rsidRDefault="00752FD4" w:rsidP="0003552F">
            <w:pPr>
              <w:jc w:val="center"/>
              <w:rPr>
                <w:rFonts w:cs="Calibri"/>
                <w:b/>
                <w:bCs/>
                <w:color w:val="000000"/>
                <w:sz w:val="20"/>
                <w:szCs w:val="20"/>
                <w:lang w:eastAsia="en-GB"/>
              </w:rPr>
            </w:pPr>
            <w:r w:rsidRPr="004F4ABA">
              <w:rPr>
                <w:rFonts w:cs="Calibri"/>
                <w:b/>
                <w:bCs/>
                <w:color w:val="000000"/>
                <w:sz w:val="20"/>
                <w:szCs w:val="20"/>
                <w:lang w:eastAsia="en-GB"/>
              </w:rPr>
              <w:t>Total estimated impact (£m)</w:t>
            </w:r>
          </w:p>
        </w:tc>
      </w:tr>
      <w:tr w:rsidR="00752FD4" w:rsidRPr="004F4ABA" w:rsidTr="0003552F">
        <w:trPr>
          <w:trHeight w:val="54"/>
        </w:trPr>
        <w:tc>
          <w:tcPr>
            <w:tcW w:w="3118" w:type="dxa"/>
            <w:tcBorders>
              <w:top w:val="nil"/>
              <w:left w:val="single" w:sz="8" w:space="0" w:color="auto"/>
              <w:bottom w:val="single" w:sz="8" w:space="0" w:color="auto"/>
              <w:right w:val="single" w:sz="8" w:space="0" w:color="auto"/>
            </w:tcBorders>
            <w:shd w:val="clear" w:color="000000" w:fill="E7E6E6"/>
            <w:vAlign w:val="center"/>
            <w:hideMark/>
          </w:tcPr>
          <w:p w:rsidR="00752FD4" w:rsidRPr="004F4ABA" w:rsidRDefault="00752FD4" w:rsidP="0003552F">
            <w:pPr>
              <w:rPr>
                <w:rFonts w:cs="Calibri"/>
                <w:b/>
                <w:bCs/>
                <w:color w:val="000000"/>
                <w:sz w:val="20"/>
                <w:szCs w:val="20"/>
                <w:lang w:eastAsia="en-GB"/>
              </w:rPr>
            </w:pPr>
            <w:r w:rsidRPr="004F4ABA">
              <w:rPr>
                <w:rFonts w:cs="Calibri"/>
                <w:b/>
                <w:bCs/>
                <w:color w:val="000000"/>
                <w:sz w:val="20"/>
                <w:szCs w:val="20"/>
                <w:lang w:eastAsia="en-GB"/>
              </w:rPr>
              <w:t> </w:t>
            </w:r>
          </w:p>
        </w:tc>
        <w:tc>
          <w:tcPr>
            <w:tcW w:w="1417" w:type="dxa"/>
            <w:tcBorders>
              <w:top w:val="nil"/>
              <w:left w:val="nil"/>
              <w:bottom w:val="single" w:sz="8" w:space="0" w:color="auto"/>
              <w:right w:val="single" w:sz="8" w:space="0" w:color="auto"/>
            </w:tcBorders>
            <w:shd w:val="clear" w:color="000000" w:fill="E7E6E6"/>
            <w:vAlign w:val="center"/>
            <w:hideMark/>
          </w:tcPr>
          <w:p w:rsidR="00752FD4" w:rsidRPr="004F4ABA" w:rsidRDefault="00752FD4" w:rsidP="0003552F">
            <w:pPr>
              <w:jc w:val="center"/>
              <w:rPr>
                <w:rFonts w:cs="Calibri"/>
                <w:b/>
                <w:bCs/>
                <w:color w:val="000000"/>
                <w:sz w:val="20"/>
                <w:szCs w:val="20"/>
                <w:lang w:eastAsia="en-GB"/>
              </w:rPr>
            </w:pPr>
            <w:r w:rsidRPr="004F4ABA">
              <w:rPr>
                <w:rFonts w:cs="Calibri"/>
                <w:b/>
                <w:bCs/>
                <w:color w:val="000000"/>
                <w:sz w:val="20"/>
                <w:szCs w:val="20"/>
                <w:lang w:eastAsia="en-GB"/>
              </w:rPr>
              <w:t> </w:t>
            </w:r>
          </w:p>
        </w:tc>
        <w:tc>
          <w:tcPr>
            <w:tcW w:w="1701" w:type="dxa"/>
            <w:tcBorders>
              <w:top w:val="nil"/>
              <w:left w:val="nil"/>
              <w:bottom w:val="single" w:sz="8" w:space="0" w:color="auto"/>
              <w:right w:val="single" w:sz="8" w:space="0" w:color="auto"/>
            </w:tcBorders>
            <w:shd w:val="clear" w:color="000000" w:fill="E7E6E6"/>
            <w:hideMark/>
          </w:tcPr>
          <w:p w:rsidR="00752FD4" w:rsidRPr="004F4ABA" w:rsidRDefault="00752FD4" w:rsidP="0003552F">
            <w:pPr>
              <w:jc w:val="center"/>
              <w:rPr>
                <w:rFonts w:cs="Calibri"/>
                <w:b/>
                <w:bCs/>
                <w:color w:val="000000"/>
                <w:sz w:val="20"/>
                <w:szCs w:val="20"/>
                <w:lang w:eastAsia="en-GB"/>
              </w:rPr>
            </w:pPr>
            <w:r w:rsidRPr="004F4ABA">
              <w:rPr>
                <w:rFonts w:cs="Calibri"/>
                <w:b/>
                <w:bCs/>
                <w:color w:val="000000"/>
                <w:sz w:val="20"/>
                <w:szCs w:val="20"/>
                <w:lang w:eastAsia="en-GB"/>
              </w:rPr>
              <w:t>Scenario 1</w:t>
            </w:r>
          </w:p>
        </w:tc>
        <w:tc>
          <w:tcPr>
            <w:tcW w:w="1559" w:type="dxa"/>
            <w:tcBorders>
              <w:top w:val="nil"/>
              <w:left w:val="nil"/>
              <w:bottom w:val="single" w:sz="8" w:space="0" w:color="auto"/>
              <w:right w:val="single" w:sz="8" w:space="0" w:color="auto"/>
            </w:tcBorders>
            <w:shd w:val="clear" w:color="000000" w:fill="E7E6E6"/>
            <w:hideMark/>
          </w:tcPr>
          <w:p w:rsidR="00752FD4" w:rsidRPr="004F4ABA" w:rsidRDefault="00752FD4" w:rsidP="0003552F">
            <w:pPr>
              <w:jc w:val="center"/>
              <w:rPr>
                <w:rFonts w:cs="Calibri"/>
                <w:b/>
                <w:bCs/>
                <w:color w:val="000000"/>
                <w:sz w:val="20"/>
                <w:szCs w:val="20"/>
                <w:lang w:eastAsia="en-GB"/>
              </w:rPr>
            </w:pPr>
            <w:r w:rsidRPr="004F4ABA">
              <w:rPr>
                <w:rFonts w:cs="Calibri"/>
                <w:b/>
                <w:bCs/>
                <w:color w:val="000000"/>
                <w:sz w:val="20"/>
                <w:szCs w:val="20"/>
                <w:lang w:eastAsia="en-GB"/>
              </w:rPr>
              <w:t>Scenario 2</w:t>
            </w:r>
          </w:p>
        </w:tc>
        <w:tc>
          <w:tcPr>
            <w:tcW w:w="1560" w:type="dxa"/>
            <w:vMerge/>
            <w:tcBorders>
              <w:top w:val="single" w:sz="8" w:space="0" w:color="auto"/>
              <w:left w:val="single" w:sz="8" w:space="0" w:color="auto"/>
              <w:bottom w:val="single" w:sz="8" w:space="0" w:color="000000"/>
              <w:right w:val="single" w:sz="8" w:space="0" w:color="auto"/>
            </w:tcBorders>
            <w:vAlign w:val="center"/>
            <w:hideMark/>
          </w:tcPr>
          <w:p w:rsidR="00752FD4" w:rsidRPr="004F4ABA" w:rsidRDefault="00752FD4" w:rsidP="0003552F">
            <w:pPr>
              <w:rPr>
                <w:rFonts w:cs="Calibri"/>
                <w:b/>
                <w:bCs/>
                <w:color w:val="000000"/>
                <w:sz w:val="20"/>
                <w:szCs w:val="20"/>
                <w:lang w:eastAsia="en-GB"/>
              </w:rPr>
            </w:pPr>
          </w:p>
        </w:tc>
      </w:tr>
      <w:tr w:rsidR="00752FD4" w:rsidRPr="004F4ABA" w:rsidTr="0003552F">
        <w:trPr>
          <w:trHeight w:val="288"/>
        </w:trPr>
        <w:tc>
          <w:tcPr>
            <w:tcW w:w="3118" w:type="dxa"/>
            <w:tcBorders>
              <w:top w:val="nil"/>
              <w:left w:val="single" w:sz="8" w:space="0" w:color="auto"/>
              <w:bottom w:val="nil"/>
              <w:right w:val="single" w:sz="8" w:space="0" w:color="auto"/>
            </w:tcBorders>
            <w:shd w:val="clear" w:color="000000" w:fill="FFFFFF"/>
            <w:vAlign w:val="center"/>
            <w:hideMark/>
          </w:tcPr>
          <w:p w:rsidR="00752FD4" w:rsidRPr="004F4ABA" w:rsidRDefault="00752FD4" w:rsidP="0003552F">
            <w:pPr>
              <w:rPr>
                <w:rFonts w:cs="Calibri"/>
                <w:b/>
                <w:bCs/>
                <w:color w:val="000000"/>
                <w:sz w:val="20"/>
                <w:szCs w:val="20"/>
                <w:lang w:eastAsia="en-GB"/>
              </w:rPr>
            </w:pPr>
            <w:r w:rsidRPr="004F4ABA">
              <w:rPr>
                <w:rFonts w:cs="Calibri"/>
                <w:b/>
                <w:bCs/>
                <w:color w:val="000000"/>
                <w:sz w:val="20"/>
                <w:szCs w:val="20"/>
                <w:lang w:eastAsia="en-GB"/>
              </w:rPr>
              <w:t>General fund</w:t>
            </w:r>
          </w:p>
        </w:tc>
        <w:tc>
          <w:tcPr>
            <w:tcW w:w="1417" w:type="dxa"/>
            <w:tcBorders>
              <w:top w:val="nil"/>
              <w:left w:val="nil"/>
              <w:bottom w:val="nil"/>
              <w:right w:val="nil"/>
            </w:tcBorders>
            <w:shd w:val="clear" w:color="000000" w:fill="FFFFFF"/>
            <w:vAlign w:val="center"/>
            <w:hideMark/>
          </w:tcPr>
          <w:p w:rsidR="00752FD4" w:rsidRPr="004F4ABA" w:rsidRDefault="00752FD4" w:rsidP="0003552F">
            <w:pPr>
              <w:jc w:val="center"/>
              <w:rPr>
                <w:rFonts w:cs="Calibri"/>
                <w:b/>
                <w:bCs/>
                <w:color w:val="000000"/>
                <w:sz w:val="20"/>
                <w:szCs w:val="20"/>
                <w:lang w:eastAsia="en-GB"/>
              </w:rPr>
            </w:pPr>
            <w:r w:rsidRPr="004F4ABA">
              <w:rPr>
                <w:rFonts w:cs="Calibri"/>
                <w:b/>
                <w:bCs/>
                <w:color w:val="000000"/>
                <w:sz w:val="20"/>
                <w:szCs w:val="20"/>
                <w:lang w:eastAsia="en-GB"/>
              </w:rPr>
              <w:t> </w:t>
            </w:r>
          </w:p>
        </w:tc>
        <w:tc>
          <w:tcPr>
            <w:tcW w:w="1701" w:type="dxa"/>
            <w:tcBorders>
              <w:top w:val="nil"/>
              <w:left w:val="single" w:sz="8" w:space="0" w:color="auto"/>
              <w:bottom w:val="nil"/>
              <w:right w:val="single" w:sz="8" w:space="0" w:color="auto"/>
            </w:tcBorders>
            <w:shd w:val="clear" w:color="000000" w:fill="FFFFFF"/>
            <w:vAlign w:val="center"/>
            <w:hideMark/>
          </w:tcPr>
          <w:p w:rsidR="00752FD4" w:rsidRPr="004F4ABA" w:rsidRDefault="00752FD4" w:rsidP="0003552F">
            <w:pPr>
              <w:rPr>
                <w:rFonts w:cs="Calibri"/>
                <w:color w:val="000000"/>
                <w:sz w:val="20"/>
                <w:szCs w:val="20"/>
                <w:lang w:eastAsia="en-GB"/>
              </w:rPr>
            </w:pPr>
            <w:r w:rsidRPr="004F4ABA">
              <w:rPr>
                <w:rFonts w:cs="Calibri"/>
                <w:color w:val="000000"/>
                <w:sz w:val="20"/>
                <w:szCs w:val="20"/>
                <w:lang w:eastAsia="en-GB"/>
              </w:rPr>
              <w:t> </w:t>
            </w:r>
          </w:p>
        </w:tc>
        <w:tc>
          <w:tcPr>
            <w:tcW w:w="1559" w:type="dxa"/>
            <w:tcBorders>
              <w:top w:val="nil"/>
              <w:left w:val="nil"/>
              <w:bottom w:val="nil"/>
              <w:right w:val="nil"/>
            </w:tcBorders>
            <w:shd w:val="clear" w:color="000000" w:fill="FFFFFF"/>
            <w:vAlign w:val="center"/>
            <w:hideMark/>
          </w:tcPr>
          <w:p w:rsidR="00752FD4" w:rsidRPr="004F4ABA" w:rsidRDefault="00752FD4" w:rsidP="0003552F">
            <w:pPr>
              <w:jc w:val="center"/>
              <w:rPr>
                <w:rFonts w:cs="Calibri"/>
                <w:b/>
                <w:bCs/>
                <w:color w:val="000000"/>
                <w:sz w:val="20"/>
                <w:szCs w:val="20"/>
                <w:lang w:eastAsia="en-GB"/>
              </w:rPr>
            </w:pPr>
            <w:r w:rsidRPr="004F4ABA">
              <w:rPr>
                <w:rFonts w:cs="Calibri"/>
                <w:b/>
                <w:bCs/>
                <w:color w:val="000000"/>
                <w:sz w:val="20"/>
                <w:szCs w:val="20"/>
                <w:lang w:eastAsia="en-GB"/>
              </w:rPr>
              <w:t> </w:t>
            </w:r>
          </w:p>
        </w:tc>
        <w:tc>
          <w:tcPr>
            <w:tcW w:w="1560" w:type="dxa"/>
            <w:tcBorders>
              <w:top w:val="nil"/>
              <w:left w:val="single" w:sz="8" w:space="0" w:color="auto"/>
              <w:bottom w:val="nil"/>
              <w:right w:val="single" w:sz="8" w:space="0" w:color="auto"/>
            </w:tcBorders>
            <w:shd w:val="clear" w:color="000000" w:fill="A8D08D"/>
            <w:vAlign w:val="center"/>
            <w:hideMark/>
          </w:tcPr>
          <w:p w:rsidR="00752FD4" w:rsidRPr="004F4ABA" w:rsidRDefault="00752FD4" w:rsidP="0003552F">
            <w:pPr>
              <w:jc w:val="center"/>
              <w:rPr>
                <w:rFonts w:cs="Calibri"/>
                <w:b/>
                <w:bCs/>
                <w:color w:val="000000"/>
                <w:sz w:val="20"/>
                <w:szCs w:val="20"/>
                <w:lang w:eastAsia="en-GB"/>
              </w:rPr>
            </w:pPr>
            <w:r w:rsidRPr="004F4ABA">
              <w:rPr>
                <w:rFonts w:cs="Calibri"/>
                <w:b/>
                <w:bCs/>
                <w:color w:val="000000"/>
                <w:sz w:val="20"/>
                <w:szCs w:val="20"/>
                <w:lang w:eastAsia="en-GB"/>
              </w:rPr>
              <w:t> </w:t>
            </w:r>
          </w:p>
        </w:tc>
      </w:tr>
      <w:tr w:rsidR="00752FD4" w:rsidRPr="004F4ABA" w:rsidTr="0003552F">
        <w:trPr>
          <w:trHeight w:val="288"/>
        </w:trPr>
        <w:tc>
          <w:tcPr>
            <w:tcW w:w="3118" w:type="dxa"/>
            <w:tcBorders>
              <w:top w:val="nil"/>
              <w:left w:val="single" w:sz="8" w:space="0" w:color="auto"/>
              <w:bottom w:val="nil"/>
              <w:right w:val="single" w:sz="8" w:space="0" w:color="auto"/>
            </w:tcBorders>
            <w:shd w:val="clear" w:color="000000" w:fill="FFFFFF"/>
            <w:noWrap/>
            <w:vAlign w:val="center"/>
            <w:hideMark/>
          </w:tcPr>
          <w:p w:rsidR="00752FD4" w:rsidRPr="004F4ABA" w:rsidRDefault="00752FD4" w:rsidP="0003552F">
            <w:pPr>
              <w:rPr>
                <w:rFonts w:cs="Calibri"/>
                <w:color w:val="000000"/>
                <w:sz w:val="20"/>
                <w:szCs w:val="20"/>
                <w:lang w:eastAsia="en-GB"/>
              </w:rPr>
            </w:pPr>
            <w:r w:rsidRPr="004F4ABA">
              <w:rPr>
                <w:rFonts w:cs="Calibri"/>
                <w:color w:val="000000"/>
                <w:sz w:val="20"/>
                <w:szCs w:val="20"/>
                <w:lang w:eastAsia="en-GB"/>
              </w:rPr>
              <w:t>(GF) Children and young people</w:t>
            </w:r>
          </w:p>
        </w:tc>
        <w:tc>
          <w:tcPr>
            <w:tcW w:w="1417" w:type="dxa"/>
            <w:tcBorders>
              <w:top w:val="nil"/>
              <w:left w:val="nil"/>
              <w:bottom w:val="nil"/>
              <w:right w:val="nil"/>
            </w:tcBorders>
            <w:shd w:val="clear" w:color="000000" w:fill="FFFFFF"/>
            <w:noWrap/>
            <w:vAlign w:val="center"/>
            <w:hideMark/>
          </w:tcPr>
          <w:p w:rsidR="00752FD4" w:rsidRPr="004F4ABA" w:rsidRDefault="00752FD4" w:rsidP="0003552F">
            <w:pPr>
              <w:jc w:val="center"/>
              <w:rPr>
                <w:rFonts w:cs="Calibri"/>
                <w:color w:val="000000"/>
                <w:sz w:val="20"/>
                <w:szCs w:val="20"/>
                <w:lang w:eastAsia="en-GB"/>
              </w:rPr>
            </w:pPr>
            <w:r w:rsidRPr="004F4ABA">
              <w:rPr>
                <w:rFonts w:cs="Calibri"/>
                <w:color w:val="000000"/>
                <w:sz w:val="20"/>
                <w:szCs w:val="20"/>
                <w:lang w:eastAsia="en-GB"/>
              </w:rPr>
              <w:t>0</w:t>
            </w:r>
          </w:p>
        </w:tc>
        <w:tc>
          <w:tcPr>
            <w:tcW w:w="1701" w:type="dxa"/>
            <w:tcBorders>
              <w:top w:val="nil"/>
              <w:left w:val="single" w:sz="8" w:space="0" w:color="auto"/>
              <w:bottom w:val="nil"/>
              <w:right w:val="single" w:sz="8" w:space="0" w:color="auto"/>
            </w:tcBorders>
            <w:shd w:val="clear" w:color="000000" w:fill="FFFFFF"/>
            <w:noWrap/>
            <w:vAlign w:val="center"/>
            <w:hideMark/>
          </w:tcPr>
          <w:p w:rsidR="00752FD4" w:rsidRPr="004F4ABA" w:rsidRDefault="00752FD4" w:rsidP="0003552F">
            <w:pPr>
              <w:jc w:val="center"/>
              <w:rPr>
                <w:rFonts w:cs="Calibri"/>
                <w:color w:val="000000"/>
                <w:sz w:val="20"/>
                <w:szCs w:val="20"/>
                <w:lang w:eastAsia="en-GB"/>
              </w:rPr>
            </w:pPr>
            <w:r w:rsidRPr="004F4ABA">
              <w:rPr>
                <w:rFonts w:cs="Calibri"/>
                <w:color w:val="000000"/>
                <w:sz w:val="20"/>
                <w:szCs w:val="20"/>
                <w:lang w:eastAsia="en-GB"/>
              </w:rPr>
              <w:t>1.4</w:t>
            </w:r>
          </w:p>
        </w:tc>
        <w:tc>
          <w:tcPr>
            <w:tcW w:w="1559" w:type="dxa"/>
            <w:tcBorders>
              <w:top w:val="nil"/>
              <w:left w:val="nil"/>
              <w:bottom w:val="nil"/>
              <w:right w:val="nil"/>
            </w:tcBorders>
            <w:shd w:val="clear" w:color="000000" w:fill="FFFFFF"/>
            <w:noWrap/>
            <w:vAlign w:val="center"/>
            <w:hideMark/>
          </w:tcPr>
          <w:p w:rsidR="00752FD4" w:rsidRPr="004F4ABA" w:rsidRDefault="00752FD4" w:rsidP="0003552F">
            <w:pPr>
              <w:jc w:val="center"/>
              <w:rPr>
                <w:rFonts w:cs="Calibri"/>
                <w:color w:val="000000"/>
                <w:sz w:val="20"/>
                <w:szCs w:val="20"/>
                <w:lang w:eastAsia="en-GB"/>
              </w:rPr>
            </w:pPr>
            <w:r w:rsidRPr="004F4ABA">
              <w:rPr>
                <w:rFonts w:cs="Calibri"/>
                <w:color w:val="000000"/>
                <w:sz w:val="20"/>
                <w:szCs w:val="20"/>
                <w:lang w:eastAsia="en-GB"/>
              </w:rPr>
              <w:t>1.6</w:t>
            </w:r>
          </w:p>
        </w:tc>
        <w:tc>
          <w:tcPr>
            <w:tcW w:w="1560" w:type="dxa"/>
            <w:tcBorders>
              <w:top w:val="nil"/>
              <w:left w:val="single" w:sz="8" w:space="0" w:color="auto"/>
              <w:bottom w:val="nil"/>
              <w:right w:val="single" w:sz="8" w:space="0" w:color="auto"/>
            </w:tcBorders>
            <w:shd w:val="clear" w:color="000000" w:fill="A8D08D"/>
            <w:noWrap/>
            <w:vAlign w:val="center"/>
            <w:hideMark/>
          </w:tcPr>
          <w:p w:rsidR="00752FD4" w:rsidRPr="004F4ABA" w:rsidRDefault="00752FD4" w:rsidP="0003552F">
            <w:pPr>
              <w:jc w:val="center"/>
              <w:rPr>
                <w:rFonts w:cs="Calibri"/>
                <w:b/>
                <w:bCs/>
                <w:color w:val="000000"/>
                <w:sz w:val="20"/>
                <w:szCs w:val="20"/>
                <w:lang w:eastAsia="en-GB"/>
              </w:rPr>
            </w:pPr>
            <w:r w:rsidRPr="004F4ABA">
              <w:rPr>
                <w:rFonts w:cs="Calibri"/>
                <w:b/>
                <w:bCs/>
                <w:color w:val="000000"/>
                <w:sz w:val="20"/>
                <w:szCs w:val="20"/>
                <w:lang w:eastAsia="en-GB"/>
              </w:rPr>
              <w:t>3</w:t>
            </w:r>
          </w:p>
        </w:tc>
      </w:tr>
      <w:tr w:rsidR="00752FD4" w:rsidRPr="004F4ABA" w:rsidTr="0003552F">
        <w:trPr>
          <w:trHeight w:val="288"/>
        </w:trPr>
        <w:tc>
          <w:tcPr>
            <w:tcW w:w="3118" w:type="dxa"/>
            <w:tcBorders>
              <w:top w:val="nil"/>
              <w:left w:val="single" w:sz="8" w:space="0" w:color="auto"/>
              <w:bottom w:val="nil"/>
              <w:right w:val="single" w:sz="8" w:space="0" w:color="auto"/>
            </w:tcBorders>
            <w:shd w:val="clear" w:color="000000" w:fill="FFFFFF"/>
            <w:noWrap/>
            <w:vAlign w:val="center"/>
            <w:hideMark/>
          </w:tcPr>
          <w:p w:rsidR="00752FD4" w:rsidRPr="004F4ABA" w:rsidRDefault="00752FD4" w:rsidP="0003552F">
            <w:pPr>
              <w:rPr>
                <w:rFonts w:cs="Calibri"/>
                <w:color w:val="000000"/>
                <w:sz w:val="20"/>
                <w:szCs w:val="20"/>
                <w:lang w:eastAsia="en-GB"/>
              </w:rPr>
            </w:pPr>
            <w:r w:rsidRPr="004F4ABA">
              <w:rPr>
                <w:rFonts w:cs="Calibri"/>
                <w:color w:val="000000"/>
                <w:sz w:val="20"/>
                <w:szCs w:val="20"/>
                <w:lang w:eastAsia="en-GB"/>
              </w:rPr>
              <w:t>Community and Wellbeing</w:t>
            </w:r>
          </w:p>
        </w:tc>
        <w:tc>
          <w:tcPr>
            <w:tcW w:w="1417" w:type="dxa"/>
            <w:tcBorders>
              <w:top w:val="nil"/>
              <w:left w:val="nil"/>
              <w:bottom w:val="nil"/>
              <w:right w:val="nil"/>
            </w:tcBorders>
            <w:shd w:val="clear" w:color="000000" w:fill="FFFFFF"/>
            <w:noWrap/>
            <w:vAlign w:val="center"/>
            <w:hideMark/>
          </w:tcPr>
          <w:p w:rsidR="00752FD4" w:rsidRPr="004F4ABA" w:rsidRDefault="00752FD4" w:rsidP="0003552F">
            <w:pPr>
              <w:jc w:val="center"/>
              <w:rPr>
                <w:rFonts w:cs="Calibri"/>
                <w:color w:val="000000"/>
                <w:sz w:val="20"/>
                <w:szCs w:val="20"/>
                <w:lang w:eastAsia="en-GB"/>
              </w:rPr>
            </w:pPr>
            <w:r w:rsidRPr="004F4ABA">
              <w:rPr>
                <w:rFonts w:cs="Calibri"/>
                <w:color w:val="000000"/>
                <w:sz w:val="20"/>
                <w:szCs w:val="20"/>
                <w:lang w:eastAsia="en-GB"/>
              </w:rPr>
              <w:t>0.3</w:t>
            </w:r>
          </w:p>
        </w:tc>
        <w:tc>
          <w:tcPr>
            <w:tcW w:w="1701" w:type="dxa"/>
            <w:tcBorders>
              <w:top w:val="nil"/>
              <w:left w:val="single" w:sz="8" w:space="0" w:color="auto"/>
              <w:bottom w:val="nil"/>
              <w:right w:val="single" w:sz="8" w:space="0" w:color="auto"/>
            </w:tcBorders>
            <w:shd w:val="clear" w:color="000000" w:fill="FFFFFF"/>
            <w:noWrap/>
            <w:vAlign w:val="center"/>
            <w:hideMark/>
          </w:tcPr>
          <w:p w:rsidR="00752FD4" w:rsidRPr="004F4ABA" w:rsidRDefault="00752FD4" w:rsidP="0003552F">
            <w:pPr>
              <w:jc w:val="center"/>
              <w:rPr>
                <w:rFonts w:cs="Calibri"/>
                <w:color w:val="000000"/>
                <w:sz w:val="20"/>
                <w:szCs w:val="20"/>
                <w:lang w:eastAsia="en-GB"/>
              </w:rPr>
            </w:pPr>
            <w:r w:rsidRPr="004F4ABA">
              <w:rPr>
                <w:rFonts w:cs="Calibri"/>
                <w:color w:val="000000"/>
                <w:sz w:val="20"/>
                <w:szCs w:val="20"/>
                <w:lang w:eastAsia="en-GB"/>
              </w:rPr>
              <w:t>3.7</w:t>
            </w:r>
          </w:p>
        </w:tc>
        <w:tc>
          <w:tcPr>
            <w:tcW w:w="1559" w:type="dxa"/>
            <w:tcBorders>
              <w:top w:val="nil"/>
              <w:left w:val="nil"/>
              <w:bottom w:val="nil"/>
              <w:right w:val="nil"/>
            </w:tcBorders>
            <w:shd w:val="clear" w:color="000000" w:fill="FFFFFF"/>
            <w:noWrap/>
            <w:vAlign w:val="center"/>
            <w:hideMark/>
          </w:tcPr>
          <w:p w:rsidR="00752FD4" w:rsidRPr="004F4ABA" w:rsidRDefault="00752FD4" w:rsidP="0003552F">
            <w:pPr>
              <w:jc w:val="center"/>
              <w:rPr>
                <w:rFonts w:cs="Calibri"/>
                <w:color w:val="000000"/>
                <w:sz w:val="20"/>
                <w:szCs w:val="20"/>
                <w:lang w:eastAsia="en-GB"/>
              </w:rPr>
            </w:pPr>
            <w:r w:rsidRPr="004F4ABA">
              <w:rPr>
                <w:rFonts w:cs="Calibri"/>
                <w:color w:val="000000"/>
                <w:sz w:val="20"/>
                <w:szCs w:val="20"/>
                <w:lang w:eastAsia="en-GB"/>
              </w:rPr>
              <w:t>3.5</w:t>
            </w:r>
          </w:p>
        </w:tc>
        <w:tc>
          <w:tcPr>
            <w:tcW w:w="1560" w:type="dxa"/>
            <w:tcBorders>
              <w:top w:val="nil"/>
              <w:left w:val="single" w:sz="8" w:space="0" w:color="auto"/>
              <w:bottom w:val="nil"/>
              <w:right w:val="single" w:sz="8" w:space="0" w:color="auto"/>
            </w:tcBorders>
            <w:shd w:val="clear" w:color="000000" w:fill="A8D08D"/>
            <w:noWrap/>
            <w:vAlign w:val="center"/>
            <w:hideMark/>
          </w:tcPr>
          <w:p w:rsidR="00752FD4" w:rsidRPr="004F4ABA" w:rsidRDefault="00752FD4" w:rsidP="0003552F">
            <w:pPr>
              <w:jc w:val="center"/>
              <w:rPr>
                <w:rFonts w:cs="Calibri"/>
                <w:b/>
                <w:bCs/>
                <w:color w:val="000000"/>
                <w:sz w:val="20"/>
                <w:szCs w:val="20"/>
                <w:lang w:eastAsia="en-GB"/>
              </w:rPr>
            </w:pPr>
            <w:r w:rsidRPr="004F4ABA">
              <w:rPr>
                <w:rFonts w:cs="Calibri"/>
                <w:b/>
                <w:bCs/>
                <w:color w:val="000000"/>
                <w:sz w:val="20"/>
                <w:szCs w:val="20"/>
                <w:lang w:eastAsia="en-GB"/>
              </w:rPr>
              <w:t>7.5</w:t>
            </w:r>
          </w:p>
        </w:tc>
      </w:tr>
      <w:tr w:rsidR="00752FD4" w:rsidRPr="004F4ABA" w:rsidTr="0003552F">
        <w:trPr>
          <w:trHeight w:val="288"/>
        </w:trPr>
        <w:tc>
          <w:tcPr>
            <w:tcW w:w="3118" w:type="dxa"/>
            <w:tcBorders>
              <w:top w:val="nil"/>
              <w:left w:val="single" w:sz="8" w:space="0" w:color="auto"/>
              <w:bottom w:val="nil"/>
              <w:right w:val="single" w:sz="8" w:space="0" w:color="auto"/>
            </w:tcBorders>
            <w:shd w:val="clear" w:color="000000" w:fill="FFFFFF"/>
            <w:noWrap/>
            <w:vAlign w:val="center"/>
            <w:hideMark/>
          </w:tcPr>
          <w:p w:rsidR="00752FD4" w:rsidRPr="004F4ABA" w:rsidRDefault="00752FD4" w:rsidP="0003552F">
            <w:pPr>
              <w:rPr>
                <w:rFonts w:cs="Calibri"/>
                <w:color w:val="000000"/>
                <w:sz w:val="20"/>
                <w:szCs w:val="20"/>
                <w:lang w:eastAsia="en-GB"/>
              </w:rPr>
            </w:pPr>
            <w:r w:rsidRPr="004F4ABA">
              <w:rPr>
                <w:rFonts w:cs="Calibri"/>
                <w:color w:val="000000"/>
                <w:sz w:val="20"/>
                <w:szCs w:val="20"/>
                <w:lang w:eastAsia="en-GB"/>
              </w:rPr>
              <w:t>Assistant Chief Executive</w:t>
            </w:r>
          </w:p>
        </w:tc>
        <w:tc>
          <w:tcPr>
            <w:tcW w:w="1417" w:type="dxa"/>
            <w:tcBorders>
              <w:top w:val="nil"/>
              <w:left w:val="nil"/>
              <w:bottom w:val="nil"/>
              <w:right w:val="nil"/>
            </w:tcBorders>
            <w:shd w:val="clear" w:color="000000" w:fill="FFFFFF"/>
            <w:noWrap/>
            <w:vAlign w:val="center"/>
            <w:hideMark/>
          </w:tcPr>
          <w:p w:rsidR="00752FD4" w:rsidRPr="004F4ABA" w:rsidRDefault="00752FD4" w:rsidP="0003552F">
            <w:pPr>
              <w:jc w:val="center"/>
              <w:rPr>
                <w:rFonts w:cs="Calibri"/>
                <w:color w:val="000000"/>
                <w:sz w:val="20"/>
                <w:szCs w:val="20"/>
                <w:lang w:eastAsia="en-GB"/>
              </w:rPr>
            </w:pPr>
            <w:r w:rsidRPr="004F4ABA">
              <w:rPr>
                <w:rFonts w:cs="Calibri"/>
                <w:color w:val="000000"/>
                <w:sz w:val="20"/>
                <w:szCs w:val="20"/>
                <w:lang w:eastAsia="en-GB"/>
              </w:rPr>
              <w:t>0</w:t>
            </w:r>
          </w:p>
        </w:tc>
        <w:tc>
          <w:tcPr>
            <w:tcW w:w="1701" w:type="dxa"/>
            <w:tcBorders>
              <w:top w:val="nil"/>
              <w:left w:val="single" w:sz="8" w:space="0" w:color="auto"/>
              <w:bottom w:val="nil"/>
              <w:right w:val="single" w:sz="8" w:space="0" w:color="auto"/>
            </w:tcBorders>
            <w:shd w:val="clear" w:color="000000" w:fill="FFFFFF"/>
            <w:noWrap/>
            <w:vAlign w:val="center"/>
            <w:hideMark/>
          </w:tcPr>
          <w:p w:rsidR="00752FD4" w:rsidRPr="004F4ABA" w:rsidRDefault="00752FD4" w:rsidP="0003552F">
            <w:pPr>
              <w:jc w:val="center"/>
              <w:rPr>
                <w:rFonts w:cs="Calibri"/>
                <w:color w:val="000000"/>
                <w:sz w:val="20"/>
                <w:szCs w:val="20"/>
                <w:lang w:eastAsia="en-GB"/>
              </w:rPr>
            </w:pPr>
            <w:r w:rsidRPr="004F4ABA">
              <w:rPr>
                <w:rFonts w:cs="Calibri"/>
                <w:color w:val="000000"/>
                <w:sz w:val="20"/>
                <w:szCs w:val="20"/>
                <w:lang w:eastAsia="en-GB"/>
              </w:rPr>
              <w:t>0.4</w:t>
            </w:r>
          </w:p>
        </w:tc>
        <w:tc>
          <w:tcPr>
            <w:tcW w:w="1559" w:type="dxa"/>
            <w:tcBorders>
              <w:top w:val="nil"/>
              <w:left w:val="nil"/>
              <w:bottom w:val="nil"/>
              <w:right w:val="nil"/>
            </w:tcBorders>
            <w:shd w:val="clear" w:color="000000" w:fill="FFFFFF"/>
            <w:noWrap/>
            <w:vAlign w:val="center"/>
            <w:hideMark/>
          </w:tcPr>
          <w:p w:rsidR="00752FD4" w:rsidRPr="004F4ABA" w:rsidRDefault="00752FD4" w:rsidP="0003552F">
            <w:pPr>
              <w:jc w:val="center"/>
              <w:rPr>
                <w:rFonts w:cs="Calibri"/>
                <w:color w:val="000000"/>
                <w:sz w:val="20"/>
                <w:szCs w:val="20"/>
                <w:lang w:eastAsia="en-GB"/>
              </w:rPr>
            </w:pPr>
            <w:r w:rsidRPr="004F4ABA">
              <w:rPr>
                <w:rFonts w:cs="Calibri"/>
                <w:color w:val="000000"/>
                <w:sz w:val="20"/>
                <w:szCs w:val="20"/>
                <w:lang w:eastAsia="en-GB"/>
              </w:rPr>
              <w:t>0.1</w:t>
            </w:r>
          </w:p>
        </w:tc>
        <w:tc>
          <w:tcPr>
            <w:tcW w:w="1560" w:type="dxa"/>
            <w:tcBorders>
              <w:top w:val="nil"/>
              <w:left w:val="single" w:sz="8" w:space="0" w:color="auto"/>
              <w:bottom w:val="nil"/>
              <w:right w:val="single" w:sz="8" w:space="0" w:color="auto"/>
            </w:tcBorders>
            <w:shd w:val="clear" w:color="000000" w:fill="A8D08D"/>
            <w:noWrap/>
            <w:vAlign w:val="center"/>
            <w:hideMark/>
          </w:tcPr>
          <w:p w:rsidR="00752FD4" w:rsidRPr="004F4ABA" w:rsidRDefault="00752FD4" w:rsidP="0003552F">
            <w:pPr>
              <w:jc w:val="center"/>
              <w:rPr>
                <w:rFonts w:cs="Calibri"/>
                <w:b/>
                <w:bCs/>
                <w:color w:val="000000"/>
                <w:sz w:val="20"/>
                <w:szCs w:val="20"/>
                <w:lang w:eastAsia="en-GB"/>
              </w:rPr>
            </w:pPr>
            <w:r w:rsidRPr="004F4ABA">
              <w:rPr>
                <w:rFonts w:cs="Calibri"/>
                <w:b/>
                <w:bCs/>
                <w:color w:val="000000"/>
                <w:sz w:val="20"/>
                <w:szCs w:val="20"/>
                <w:lang w:eastAsia="en-GB"/>
              </w:rPr>
              <w:t>0.5</w:t>
            </w:r>
          </w:p>
        </w:tc>
      </w:tr>
      <w:tr w:rsidR="00752FD4" w:rsidRPr="004F4ABA" w:rsidTr="0003552F">
        <w:trPr>
          <w:trHeight w:val="288"/>
        </w:trPr>
        <w:tc>
          <w:tcPr>
            <w:tcW w:w="3118" w:type="dxa"/>
            <w:tcBorders>
              <w:top w:val="nil"/>
              <w:left w:val="single" w:sz="8" w:space="0" w:color="auto"/>
              <w:bottom w:val="nil"/>
              <w:right w:val="single" w:sz="8" w:space="0" w:color="auto"/>
            </w:tcBorders>
            <w:shd w:val="clear" w:color="000000" w:fill="FFFFFF"/>
            <w:noWrap/>
            <w:vAlign w:val="center"/>
            <w:hideMark/>
          </w:tcPr>
          <w:p w:rsidR="00752FD4" w:rsidRPr="004F4ABA" w:rsidRDefault="00752FD4" w:rsidP="0003552F">
            <w:pPr>
              <w:rPr>
                <w:rFonts w:cs="Calibri"/>
                <w:color w:val="000000"/>
                <w:sz w:val="20"/>
                <w:szCs w:val="20"/>
                <w:lang w:eastAsia="en-GB"/>
              </w:rPr>
            </w:pPr>
            <w:r w:rsidRPr="004F4ABA">
              <w:rPr>
                <w:rFonts w:cs="Calibri"/>
                <w:color w:val="000000"/>
                <w:sz w:val="20"/>
                <w:szCs w:val="20"/>
                <w:lang w:eastAsia="en-GB"/>
              </w:rPr>
              <w:t>Customer and Digital Services</w:t>
            </w:r>
          </w:p>
        </w:tc>
        <w:tc>
          <w:tcPr>
            <w:tcW w:w="1417" w:type="dxa"/>
            <w:tcBorders>
              <w:top w:val="nil"/>
              <w:left w:val="nil"/>
              <w:bottom w:val="nil"/>
              <w:right w:val="nil"/>
            </w:tcBorders>
            <w:shd w:val="clear" w:color="000000" w:fill="FFFFFF"/>
            <w:noWrap/>
            <w:vAlign w:val="center"/>
            <w:hideMark/>
          </w:tcPr>
          <w:p w:rsidR="00752FD4" w:rsidRPr="004F4ABA" w:rsidRDefault="00752FD4" w:rsidP="0003552F">
            <w:pPr>
              <w:jc w:val="center"/>
              <w:rPr>
                <w:rFonts w:cs="Calibri"/>
                <w:color w:val="000000"/>
                <w:sz w:val="20"/>
                <w:szCs w:val="20"/>
                <w:lang w:eastAsia="en-GB"/>
              </w:rPr>
            </w:pPr>
            <w:r w:rsidRPr="004F4ABA">
              <w:rPr>
                <w:rFonts w:cs="Calibri"/>
                <w:color w:val="000000"/>
                <w:sz w:val="20"/>
                <w:szCs w:val="20"/>
                <w:lang w:eastAsia="en-GB"/>
              </w:rPr>
              <w:t>0</w:t>
            </w:r>
          </w:p>
        </w:tc>
        <w:tc>
          <w:tcPr>
            <w:tcW w:w="1701" w:type="dxa"/>
            <w:tcBorders>
              <w:top w:val="nil"/>
              <w:left w:val="single" w:sz="8" w:space="0" w:color="auto"/>
              <w:bottom w:val="nil"/>
              <w:right w:val="single" w:sz="8" w:space="0" w:color="auto"/>
            </w:tcBorders>
            <w:shd w:val="clear" w:color="000000" w:fill="FFFFFF"/>
            <w:noWrap/>
            <w:vAlign w:val="center"/>
            <w:hideMark/>
          </w:tcPr>
          <w:p w:rsidR="00752FD4" w:rsidRPr="004F4ABA" w:rsidRDefault="00752FD4" w:rsidP="0003552F">
            <w:pPr>
              <w:jc w:val="center"/>
              <w:rPr>
                <w:rFonts w:cs="Calibri"/>
                <w:color w:val="000000"/>
                <w:sz w:val="20"/>
                <w:szCs w:val="20"/>
                <w:lang w:eastAsia="en-GB"/>
              </w:rPr>
            </w:pPr>
            <w:r w:rsidRPr="004F4ABA">
              <w:rPr>
                <w:rFonts w:cs="Calibri"/>
                <w:color w:val="000000"/>
                <w:sz w:val="20"/>
                <w:szCs w:val="20"/>
                <w:lang w:eastAsia="en-GB"/>
              </w:rPr>
              <w:t>6.1</w:t>
            </w:r>
          </w:p>
        </w:tc>
        <w:tc>
          <w:tcPr>
            <w:tcW w:w="1559" w:type="dxa"/>
            <w:tcBorders>
              <w:top w:val="nil"/>
              <w:left w:val="nil"/>
              <w:bottom w:val="nil"/>
              <w:right w:val="nil"/>
            </w:tcBorders>
            <w:shd w:val="clear" w:color="000000" w:fill="FFFFFF"/>
            <w:noWrap/>
            <w:vAlign w:val="center"/>
            <w:hideMark/>
          </w:tcPr>
          <w:p w:rsidR="00752FD4" w:rsidRPr="004F4ABA" w:rsidRDefault="00752FD4" w:rsidP="0003552F">
            <w:pPr>
              <w:jc w:val="center"/>
              <w:rPr>
                <w:rFonts w:cs="Calibri"/>
                <w:color w:val="000000"/>
                <w:sz w:val="20"/>
                <w:szCs w:val="20"/>
                <w:lang w:eastAsia="en-GB"/>
              </w:rPr>
            </w:pPr>
            <w:r w:rsidRPr="004F4ABA">
              <w:rPr>
                <w:rFonts w:cs="Calibri"/>
                <w:color w:val="000000"/>
                <w:sz w:val="20"/>
                <w:szCs w:val="20"/>
                <w:lang w:eastAsia="en-GB"/>
              </w:rPr>
              <w:t>2.3</w:t>
            </w:r>
          </w:p>
        </w:tc>
        <w:tc>
          <w:tcPr>
            <w:tcW w:w="1560" w:type="dxa"/>
            <w:tcBorders>
              <w:top w:val="nil"/>
              <w:left w:val="single" w:sz="8" w:space="0" w:color="auto"/>
              <w:bottom w:val="nil"/>
              <w:right w:val="single" w:sz="8" w:space="0" w:color="auto"/>
            </w:tcBorders>
            <w:shd w:val="clear" w:color="000000" w:fill="A8D08D"/>
            <w:noWrap/>
            <w:vAlign w:val="center"/>
            <w:hideMark/>
          </w:tcPr>
          <w:p w:rsidR="00752FD4" w:rsidRPr="004F4ABA" w:rsidRDefault="00752FD4" w:rsidP="0003552F">
            <w:pPr>
              <w:jc w:val="center"/>
              <w:rPr>
                <w:rFonts w:cs="Calibri"/>
                <w:b/>
                <w:bCs/>
                <w:color w:val="000000"/>
                <w:sz w:val="20"/>
                <w:szCs w:val="20"/>
                <w:lang w:eastAsia="en-GB"/>
              </w:rPr>
            </w:pPr>
            <w:r w:rsidRPr="004F4ABA">
              <w:rPr>
                <w:rFonts w:cs="Calibri"/>
                <w:b/>
                <w:bCs/>
                <w:color w:val="000000"/>
                <w:sz w:val="20"/>
                <w:szCs w:val="20"/>
                <w:lang w:eastAsia="en-GB"/>
              </w:rPr>
              <w:t>8.4</w:t>
            </w:r>
          </w:p>
        </w:tc>
      </w:tr>
      <w:tr w:rsidR="00752FD4" w:rsidRPr="004F4ABA" w:rsidTr="0003552F">
        <w:trPr>
          <w:trHeight w:val="288"/>
        </w:trPr>
        <w:tc>
          <w:tcPr>
            <w:tcW w:w="3118" w:type="dxa"/>
            <w:tcBorders>
              <w:top w:val="nil"/>
              <w:left w:val="single" w:sz="8" w:space="0" w:color="auto"/>
              <w:bottom w:val="nil"/>
              <w:right w:val="single" w:sz="8" w:space="0" w:color="auto"/>
            </w:tcBorders>
            <w:shd w:val="clear" w:color="000000" w:fill="FFFFFF"/>
            <w:noWrap/>
            <w:vAlign w:val="center"/>
            <w:hideMark/>
          </w:tcPr>
          <w:p w:rsidR="00752FD4" w:rsidRPr="004F4ABA" w:rsidRDefault="00752FD4" w:rsidP="0003552F">
            <w:pPr>
              <w:rPr>
                <w:rFonts w:cs="Calibri"/>
                <w:color w:val="000000"/>
                <w:sz w:val="20"/>
                <w:szCs w:val="20"/>
                <w:lang w:eastAsia="en-GB"/>
              </w:rPr>
            </w:pPr>
            <w:r w:rsidRPr="004F4ABA">
              <w:rPr>
                <w:rFonts w:cs="Calibri"/>
                <w:color w:val="000000"/>
                <w:sz w:val="20"/>
                <w:szCs w:val="20"/>
                <w:lang w:eastAsia="en-GB"/>
              </w:rPr>
              <w:t>Regeneration and Environment</w:t>
            </w:r>
          </w:p>
        </w:tc>
        <w:tc>
          <w:tcPr>
            <w:tcW w:w="1417" w:type="dxa"/>
            <w:tcBorders>
              <w:top w:val="nil"/>
              <w:left w:val="nil"/>
              <w:bottom w:val="nil"/>
              <w:right w:val="nil"/>
            </w:tcBorders>
            <w:shd w:val="clear" w:color="000000" w:fill="FFFFFF"/>
            <w:noWrap/>
            <w:vAlign w:val="center"/>
            <w:hideMark/>
          </w:tcPr>
          <w:p w:rsidR="00752FD4" w:rsidRPr="004F4ABA" w:rsidRDefault="00752FD4" w:rsidP="0003552F">
            <w:pPr>
              <w:jc w:val="center"/>
              <w:rPr>
                <w:rFonts w:cs="Calibri"/>
                <w:color w:val="000000"/>
                <w:sz w:val="20"/>
                <w:szCs w:val="20"/>
                <w:lang w:eastAsia="en-GB"/>
              </w:rPr>
            </w:pPr>
            <w:r w:rsidRPr="004F4ABA">
              <w:rPr>
                <w:rFonts w:cs="Calibri"/>
                <w:color w:val="000000"/>
                <w:sz w:val="20"/>
                <w:szCs w:val="20"/>
                <w:lang w:eastAsia="en-GB"/>
              </w:rPr>
              <w:t>0.1</w:t>
            </w:r>
          </w:p>
        </w:tc>
        <w:tc>
          <w:tcPr>
            <w:tcW w:w="1701" w:type="dxa"/>
            <w:tcBorders>
              <w:top w:val="nil"/>
              <w:left w:val="single" w:sz="8" w:space="0" w:color="auto"/>
              <w:bottom w:val="nil"/>
              <w:right w:val="single" w:sz="8" w:space="0" w:color="auto"/>
            </w:tcBorders>
            <w:shd w:val="clear" w:color="000000" w:fill="FFFFFF"/>
            <w:noWrap/>
            <w:vAlign w:val="center"/>
            <w:hideMark/>
          </w:tcPr>
          <w:p w:rsidR="00752FD4" w:rsidRPr="004F4ABA" w:rsidRDefault="00752FD4" w:rsidP="0003552F">
            <w:pPr>
              <w:jc w:val="center"/>
              <w:rPr>
                <w:rFonts w:cs="Calibri"/>
                <w:color w:val="000000"/>
                <w:sz w:val="20"/>
                <w:szCs w:val="20"/>
                <w:lang w:eastAsia="en-GB"/>
              </w:rPr>
            </w:pPr>
            <w:r w:rsidRPr="004F4ABA">
              <w:rPr>
                <w:rFonts w:cs="Calibri"/>
                <w:color w:val="000000"/>
                <w:sz w:val="20"/>
                <w:szCs w:val="20"/>
                <w:lang w:eastAsia="en-GB"/>
              </w:rPr>
              <w:t>6.4</w:t>
            </w:r>
          </w:p>
        </w:tc>
        <w:tc>
          <w:tcPr>
            <w:tcW w:w="1559" w:type="dxa"/>
            <w:tcBorders>
              <w:top w:val="nil"/>
              <w:left w:val="nil"/>
              <w:bottom w:val="nil"/>
              <w:right w:val="nil"/>
            </w:tcBorders>
            <w:shd w:val="clear" w:color="000000" w:fill="FFFFFF"/>
            <w:noWrap/>
            <w:vAlign w:val="center"/>
            <w:hideMark/>
          </w:tcPr>
          <w:p w:rsidR="00752FD4" w:rsidRPr="004F4ABA" w:rsidRDefault="00752FD4" w:rsidP="0003552F">
            <w:pPr>
              <w:jc w:val="center"/>
              <w:rPr>
                <w:rFonts w:cs="Calibri"/>
                <w:color w:val="000000"/>
                <w:sz w:val="20"/>
                <w:szCs w:val="20"/>
                <w:lang w:eastAsia="en-GB"/>
              </w:rPr>
            </w:pPr>
            <w:r w:rsidRPr="004F4ABA">
              <w:rPr>
                <w:rFonts w:cs="Calibri"/>
                <w:color w:val="000000"/>
                <w:sz w:val="20"/>
                <w:szCs w:val="20"/>
                <w:lang w:eastAsia="en-GB"/>
              </w:rPr>
              <w:t>5.5</w:t>
            </w:r>
          </w:p>
        </w:tc>
        <w:tc>
          <w:tcPr>
            <w:tcW w:w="1560" w:type="dxa"/>
            <w:tcBorders>
              <w:top w:val="nil"/>
              <w:left w:val="single" w:sz="8" w:space="0" w:color="auto"/>
              <w:bottom w:val="nil"/>
              <w:right w:val="single" w:sz="8" w:space="0" w:color="auto"/>
            </w:tcBorders>
            <w:shd w:val="clear" w:color="000000" w:fill="A8D08D"/>
            <w:noWrap/>
            <w:vAlign w:val="center"/>
            <w:hideMark/>
          </w:tcPr>
          <w:p w:rsidR="00752FD4" w:rsidRPr="004F4ABA" w:rsidRDefault="00752FD4" w:rsidP="0003552F">
            <w:pPr>
              <w:jc w:val="center"/>
              <w:rPr>
                <w:rFonts w:cs="Calibri"/>
                <w:b/>
                <w:bCs/>
                <w:color w:val="000000"/>
                <w:sz w:val="20"/>
                <w:szCs w:val="20"/>
                <w:lang w:eastAsia="en-GB"/>
              </w:rPr>
            </w:pPr>
            <w:r w:rsidRPr="004F4ABA">
              <w:rPr>
                <w:rFonts w:cs="Calibri"/>
                <w:b/>
                <w:bCs/>
                <w:color w:val="000000"/>
                <w:sz w:val="20"/>
                <w:szCs w:val="20"/>
                <w:lang w:eastAsia="en-GB"/>
              </w:rPr>
              <w:t>12</w:t>
            </w:r>
          </w:p>
        </w:tc>
      </w:tr>
      <w:tr w:rsidR="00752FD4" w:rsidRPr="004F4ABA" w:rsidTr="0003552F">
        <w:trPr>
          <w:trHeight w:val="288"/>
        </w:trPr>
        <w:tc>
          <w:tcPr>
            <w:tcW w:w="3118" w:type="dxa"/>
            <w:tcBorders>
              <w:top w:val="nil"/>
              <w:left w:val="single" w:sz="8" w:space="0" w:color="auto"/>
              <w:bottom w:val="nil"/>
              <w:right w:val="single" w:sz="8" w:space="0" w:color="auto"/>
            </w:tcBorders>
            <w:shd w:val="clear" w:color="000000" w:fill="FFFFFF"/>
            <w:noWrap/>
            <w:vAlign w:val="center"/>
            <w:hideMark/>
          </w:tcPr>
          <w:p w:rsidR="00752FD4" w:rsidRPr="004F4ABA" w:rsidRDefault="00752FD4" w:rsidP="0003552F">
            <w:pPr>
              <w:rPr>
                <w:rFonts w:cs="Calibri"/>
                <w:b/>
                <w:bCs/>
                <w:color w:val="000000"/>
                <w:sz w:val="20"/>
                <w:szCs w:val="20"/>
                <w:lang w:eastAsia="en-GB"/>
              </w:rPr>
            </w:pPr>
            <w:r w:rsidRPr="004F4ABA">
              <w:rPr>
                <w:rFonts w:cs="Calibri"/>
                <w:b/>
                <w:bCs/>
                <w:color w:val="000000"/>
                <w:sz w:val="20"/>
                <w:szCs w:val="20"/>
                <w:lang w:eastAsia="en-GB"/>
              </w:rPr>
              <w:t>General Fund Sub-Total</w:t>
            </w:r>
          </w:p>
        </w:tc>
        <w:tc>
          <w:tcPr>
            <w:tcW w:w="1417" w:type="dxa"/>
            <w:tcBorders>
              <w:top w:val="nil"/>
              <w:left w:val="nil"/>
              <w:bottom w:val="nil"/>
              <w:right w:val="nil"/>
            </w:tcBorders>
            <w:shd w:val="clear" w:color="000000" w:fill="FFFFFF"/>
            <w:noWrap/>
            <w:vAlign w:val="center"/>
            <w:hideMark/>
          </w:tcPr>
          <w:p w:rsidR="00752FD4" w:rsidRPr="004F4ABA" w:rsidRDefault="00752FD4" w:rsidP="0003552F">
            <w:pPr>
              <w:jc w:val="center"/>
              <w:rPr>
                <w:rFonts w:cs="Calibri"/>
                <w:b/>
                <w:bCs/>
                <w:color w:val="000000"/>
                <w:sz w:val="20"/>
                <w:szCs w:val="20"/>
                <w:lang w:eastAsia="en-GB"/>
              </w:rPr>
            </w:pPr>
            <w:r w:rsidRPr="004F4ABA">
              <w:rPr>
                <w:rFonts w:cs="Calibri"/>
                <w:b/>
                <w:bCs/>
                <w:color w:val="000000"/>
                <w:sz w:val="20"/>
                <w:szCs w:val="20"/>
                <w:lang w:eastAsia="en-GB"/>
              </w:rPr>
              <w:t>0.4</w:t>
            </w:r>
          </w:p>
        </w:tc>
        <w:tc>
          <w:tcPr>
            <w:tcW w:w="1701" w:type="dxa"/>
            <w:tcBorders>
              <w:top w:val="nil"/>
              <w:left w:val="single" w:sz="8" w:space="0" w:color="auto"/>
              <w:bottom w:val="nil"/>
              <w:right w:val="single" w:sz="8" w:space="0" w:color="auto"/>
            </w:tcBorders>
            <w:shd w:val="clear" w:color="000000" w:fill="FFFFFF"/>
            <w:noWrap/>
            <w:vAlign w:val="center"/>
            <w:hideMark/>
          </w:tcPr>
          <w:p w:rsidR="00752FD4" w:rsidRPr="004F4ABA" w:rsidRDefault="00752FD4" w:rsidP="0003552F">
            <w:pPr>
              <w:jc w:val="center"/>
              <w:rPr>
                <w:rFonts w:cs="Calibri"/>
                <w:b/>
                <w:bCs/>
                <w:color w:val="000000"/>
                <w:sz w:val="20"/>
                <w:szCs w:val="20"/>
                <w:lang w:eastAsia="en-GB"/>
              </w:rPr>
            </w:pPr>
            <w:r w:rsidRPr="004F4ABA">
              <w:rPr>
                <w:rFonts w:cs="Calibri"/>
                <w:b/>
                <w:bCs/>
                <w:color w:val="000000"/>
                <w:sz w:val="20"/>
                <w:szCs w:val="20"/>
                <w:lang w:eastAsia="en-GB"/>
              </w:rPr>
              <w:t>18</w:t>
            </w:r>
          </w:p>
        </w:tc>
        <w:tc>
          <w:tcPr>
            <w:tcW w:w="1559" w:type="dxa"/>
            <w:tcBorders>
              <w:top w:val="nil"/>
              <w:left w:val="nil"/>
              <w:bottom w:val="nil"/>
              <w:right w:val="nil"/>
            </w:tcBorders>
            <w:shd w:val="clear" w:color="000000" w:fill="FFFFFF"/>
            <w:noWrap/>
            <w:vAlign w:val="center"/>
            <w:hideMark/>
          </w:tcPr>
          <w:p w:rsidR="00752FD4" w:rsidRPr="004F4ABA" w:rsidRDefault="00752FD4" w:rsidP="0003552F">
            <w:pPr>
              <w:jc w:val="center"/>
              <w:rPr>
                <w:rFonts w:cs="Calibri"/>
                <w:b/>
                <w:bCs/>
                <w:color w:val="000000"/>
                <w:sz w:val="20"/>
                <w:szCs w:val="20"/>
                <w:lang w:eastAsia="en-GB"/>
              </w:rPr>
            </w:pPr>
            <w:r w:rsidRPr="004F4ABA">
              <w:rPr>
                <w:rFonts w:cs="Calibri"/>
                <w:b/>
                <w:bCs/>
                <w:color w:val="000000"/>
                <w:sz w:val="20"/>
                <w:szCs w:val="20"/>
                <w:lang w:eastAsia="en-GB"/>
              </w:rPr>
              <w:t>13</w:t>
            </w:r>
          </w:p>
        </w:tc>
        <w:tc>
          <w:tcPr>
            <w:tcW w:w="1560" w:type="dxa"/>
            <w:tcBorders>
              <w:top w:val="nil"/>
              <w:left w:val="single" w:sz="8" w:space="0" w:color="auto"/>
              <w:bottom w:val="nil"/>
              <w:right w:val="single" w:sz="8" w:space="0" w:color="auto"/>
            </w:tcBorders>
            <w:shd w:val="clear" w:color="000000" w:fill="A8D08D"/>
            <w:noWrap/>
            <w:vAlign w:val="center"/>
            <w:hideMark/>
          </w:tcPr>
          <w:p w:rsidR="00752FD4" w:rsidRPr="004F4ABA" w:rsidRDefault="00752FD4" w:rsidP="0003552F">
            <w:pPr>
              <w:jc w:val="center"/>
              <w:rPr>
                <w:rFonts w:cs="Calibri"/>
                <w:b/>
                <w:bCs/>
                <w:color w:val="000000"/>
                <w:sz w:val="20"/>
                <w:szCs w:val="20"/>
                <w:lang w:eastAsia="en-GB"/>
              </w:rPr>
            </w:pPr>
            <w:r w:rsidRPr="004F4ABA">
              <w:rPr>
                <w:rFonts w:cs="Calibri"/>
                <w:b/>
                <w:bCs/>
                <w:color w:val="000000"/>
                <w:sz w:val="20"/>
                <w:szCs w:val="20"/>
                <w:lang w:eastAsia="en-GB"/>
              </w:rPr>
              <w:t>31.4</w:t>
            </w:r>
          </w:p>
        </w:tc>
      </w:tr>
      <w:tr w:rsidR="00752FD4" w:rsidRPr="004F4ABA" w:rsidTr="0003552F">
        <w:trPr>
          <w:trHeight w:val="288"/>
        </w:trPr>
        <w:tc>
          <w:tcPr>
            <w:tcW w:w="3118" w:type="dxa"/>
            <w:tcBorders>
              <w:top w:val="nil"/>
              <w:left w:val="single" w:sz="8" w:space="0" w:color="auto"/>
              <w:bottom w:val="nil"/>
              <w:right w:val="single" w:sz="8" w:space="0" w:color="auto"/>
            </w:tcBorders>
            <w:shd w:val="clear" w:color="000000" w:fill="FFFFFF"/>
            <w:noWrap/>
            <w:vAlign w:val="center"/>
            <w:hideMark/>
          </w:tcPr>
          <w:p w:rsidR="00752FD4" w:rsidRPr="004F4ABA" w:rsidRDefault="00752FD4" w:rsidP="0003552F">
            <w:pPr>
              <w:rPr>
                <w:rFonts w:cs="Calibri"/>
                <w:color w:val="000000"/>
                <w:sz w:val="20"/>
                <w:szCs w:val="20"/>
                <w:lang w:eastAsia="en-GB"/>
              </w:rPr>
            </w:pPr>
            <w:r w:rsidRPr="004F4ABA">
              <w:rPr>
                <w:rFonts w:cs="Calibri"/>
                <w:color w:val="000000"/>
                <w:sz w:val="20"/>
                <w:szCs w:val="20"/>
                <w:lang w:eastAsia="en-GB"/>
              </w:rPr>
              <w:t> </w:t>
            </w:r>
          </w:p>
        </w:tc>
        <w:tc>
          <w:tcPr>
            <w:tcW w:w="1417" w:type="dxa"/>
            <w:tcBorders>
              <w:top w:val="nil"/>
              <w:left w:val="nil"/>
              <w:bottom w:val="nil"/>
              <w:right w:val="nil"/>
            </w:tcBorders>
            <w:shd w:val="clear" w:color="000000" w:fill="FFFFFF"/>
            <w:noWrap/>
            <w:hideMark/>
          </w:tcPr>
          <w:p w:rsidR="00752FD4" w:rsidRPr="004F4ABA" w:rsidRDefault="00752FD4" w:rsidP="0003552F">
            <w:pPr>
              <w:rPr>
                <w:rFonts w:cs="Calibri"/>
                <w:color w:val="000000"/>
                <w:lang w:eastAsia="en-GB"/>
              </w:rPr>
            </w:pPr>
            <w:r w:rsidRPr="004F4ABA">
              <w:rPr>
                <w:rFonts w:cs="Calibri"/>
                <w:color w:val="000000"/>
                <w:lang w:eastAsia="en-GB"/>
              </w:rPr>
              <w:t> </w:t>
            </w:r>
          </w:p>
        </w:tc>
        <w:tc>
          <w:tcPr>
            <w:tcW w:w="1701" w:type="dxa"/>
            <w:tcBorders>
              <w:top w:val="nil"/>
              <w:left w:val="single" w:sz="8" w:space="0" w:color="auto"/>
              <w:bottom w:val="nil"/>
              <w:right w:val="single" w:sz="8" w:space="0" w:color="auto"/>
            </w:tcBorders>
            <w:shd w:val="clear" w:color="000000" w:fill="FFFFFF"/>
            <w:noWrap/>
            <w:vAlign w:val="center"/>
            <w:hideMark/>
          </w:tcPr>
          <w:p w:rsidR="00752FD4" w:rsidRPr="004F4ABA" w:rsidRDefault="00752FD4" w:rsidP="0003552F">
            <w:pPr>
              <w:rPr>
                <w:rFonts w:cs="Calibri"/>
                <w:color w:val="000000"/>
                <w:sz w:val="20"/>
                <w:szCs w:val="20"/>
                <w:lang w:eastAsia="en-GB"/>
              </w:rPr>
            </w:pPr>
            <w:r w:rsidRPr="004F4ABA">
              <w:rPr>
                <w:rFonts w:cs="Calibri"/>
                <w:color w:val="000000"/>
                <w:sz w:val="20"/>
                <w:szCs w:val="20"/>
                <w:lang w:eastAsia="en-GB"/>
              </w:rPr>
              <w:t> </w:t>
            </w:r>
          </w:p>
        </w:tc>
        <w:tc>
          <w:tcPr>
            <w:tcW w:w="1559" w:type="dxa"/>
            <w:tcBorders>
              <w:top w:val="nil"/>
              <w:left w:val="nil"/>
              <w:bottom w:val="nil"/>
              <w:right w:val="nil"/>
            </w:tcBorders>
            <w:shd w:val="clear" w:color="000000" w:fill="FFFFFF"/>
            <w:noWrap/>
            <w:hideMark/>
          </w:tcPr>
          <w:p w:rsidR="00752FD4" w:rsidRPr="004F4ABA" w:rsidRDefault="00752FD4" w:rsidP="0003552F">
            <w:pPr>
              <w:rPr>
                <w:rFonts w:cs="Calibri"/>
                <w:color w:val="000000"/>
                <w:lang w:eastAsia="en-GB"/>
              </w:rPr>
            </w:pPr>
            <w:r w:rsidRPr="004F4ABA">
              <w:rPr>
                <w:rFonts w:cs="Calibri"/>
                <w:color w:val="000000"/>
                <w:lang w:eastAsia="en-GB"/>
              </w:rPr>
              <w:t> </w:t>
            </w:r>
          </w:p>
        </w:tc>
        <w:tc>
          <w:tcPr>
            <w:tcW w:w="1560" w:type="dxa"/>
            <w:tcBorders>
              <w:top w:val="nil"/>
              <w:left w:val="single" w:sz="8" w:space="0" w:color="auto"/>
              <w:bottom w:val="nil"/>
              <w:right w:val="single" w:sz="8" w:space="0" w:color="auto"/>
            </w:tcBorders>
            <w:shd w:val="clear" w:color="000000" w:fill="A8D08D"/>
            <w:noWrap/>
            <w:vAlign w:val="center"/>
            <w:hideMark/>
          </w:tcPr>
          <w:p w:rsidR="00752FD4" w:rsidRPr="004F4ABA" w:rsidRDefault="00752FD4" w:rsidP="0003552F">
            <w:pPr>
              <w:jc w:val="center"/>
              <w:rPr>
                <w:rFonts w:cs="Calibri"/>
                <w:b/>
                <w:bCs/>
                <w:color w:val="000000"/>
                <w:sz w:val="20"/>
                <w:szCs w:val="20"/>
                <w:lang w:eastAsia="en-GB"/>
              </w:rPr>
            </w:pPr>
            <w:r w:rsidRPr="004F4ABA">
              <w:rPr>
                <w:rFonts w:cs="Calibri"/>
                <w:b/>
                <w:bCs/>
                <w:color w:val="000000"/>
                <w:sz w:val="20"/>
                <w:szCs w:val="20"/>
                <w:lang w:eastAsia="en-GB"/>
              </w:rPr>
              <w:t> </w:t>
            </w:r>
          </w:p>
        </w:tc>
      </w:tr>
      <w:tr w:rsidR="00752FD4" w:rsidRPr="004F4ABA" w:rsidTr="0003552F">
        <w:trPr>
          <w:trHeight w:val="288"/>
        </w:trPr>
        <w:tc>
          <w:tcPr>
            <w:tcW w:w="3118" w:type="dxa"/>
            <w:tcBorders>
              <w:top w:val="nil"/>
              <w:left w:val="single" w:sz="8" w:space="0" w:color="auto"/>
              <w:bottom w:val="nil"/>
              <w:right w:val="single" w:sz="8" w:space="0" w:color="auto"/>
            </w:tcBorders>
            <w:shd w:val="clear" w:color="000000" w:fill="FFFFFF"/>
            <w:noWrap/>
            <w:vAlign w:val="center"/>
            <w:hideMark/>
          </w:tcPr>
          <w:p w:rsidR="00752FD4" w:rsidRPr="004F4ABA" w:rsidRDefault="00752FD4" w:rsidP="0003552F">
            <w:pPr>
              <w:rPr>
                <w:rFonts w:cs="Calibri"/>
                <w:b/>
                <w:bCs/>
                <w:color w:val="000000"/>
                <w:sz w:val="20"/>
                <w:szCs w:val="20"/>
                <w:lang w:eastAsia="en-GB"/>
              </w:rPr>
            </w:pPr>
            <w:r w:rsidRPr="004F4ABA">
              <w:rPr>
                <w:rFonts w:cs="Calibri"/>
                <w:b/>
                <w:bCs/>
                <w:color w:val="000000"/>
                <w:sz w:val="20"/>
                <w:szCs w:val="20"/>
                <w:lang w:eastAsia="en-GB"/>
              </w:rPr>
              <w:t>Dedicated Schools Grant</w:t>
            </w:r>
          </w:p>
        </w:tc>
        <w:tc>
          <w:tcPr>
            <w:tcW w:w="1417" w:type="dxa"/>
            <w:tcBorders>
              <w:top w:val="nil"/>
              <w:left w:val="nil"/>
              <w:bottom w:val="nil"/>
              <w:right w:val="nil"/>
            </w:tcBorders>
            <w:shd w:val="clear" w:color="000000" w:fill="FFFFFF"/>
            <w:noWrap/>
            <w:vAlign w:val="center"/>
            <w:hideMark/>
          </w:tcPr>
          <w:p w:rsidR="00752FD4" w:rsidRPr="004F4ABA" w:rsidRDefault="00752FD4" w:rsidP="0003552F">
            <w:pPr>
              <w:jc w:val="center"/>
              <w:rPr>
                <w:rFonts w:cs="Calibri"/>
                <w:b/>
                <w:bCs/>
                <w:color w:val="000000"/>
                <w:sz w:val="20"/>
                <w:szCs w:val="20"/>
                <w:lang w:eastAsia="en-GB"/>
              </w:rPr>
            </w:pPr>
            <w:r w:rsidRPr="004F4ABA">
              <w:rPr>
                <w:rFonts w:cs="Calibri"/>
                <w:b/>
                <w:bCs/>
                <w:color w:val="000000"/>
                <w:sz w:val="20"/>
                <w:szCs w:val="20"/>
                <w:lang w:eastAsia="en-GB"/>
              </w:rPr>
              <w:t>0</w:t>
            </w:r>
          </w:p>
        </w:tc>
        <w:tc>
          <w:tcPr>
            <w:tcW w:w="1701" w:type="dxa"/>
            <w:tcBorders>
              <w:top w:val="nil"/>
              <w:left w:val="single" w:sz="8" w:space="0" w:color="auto"/>
              <w:bottom w:val="nil"/>
              <w:right w:val="single" w:sz="8" w:space="0" w:color="auto"/>
            </w:tcBorders>
            <w:shd w:val="clear" w:color="000000" w:fill="FFFFFF"/>
            <w:noWrap/>
            <w:vAlign w:val="center"/>
            <w:hideMark/>
          </w:tcPr>
          <w:p w:rsidR="00752FD4" w:rsidRPr="004F4ABA" w:rsidRDefault="00752FD4" w:rsidP="0003552F">
            <w:pPr>
              <w:jc w:val="center"/>
              <w:rPr>
                <w:rFonts w:cs="Calibri"/>
                <w:b/>
                <w:bCs/>
                <w:color w:val="000000"/>
                <w:sz w:val="20"/>
                <w:szCs w:val="20"/>
                <w:lang w:eastAsia="en-GB"/>
              </w:rPr>
            </w:pPr>
            <w:r w:rsidRPr="004F4ABA">
              <w:rPr>
                <w:rFonts w:cs="Calibri"/>
                <w:b/>
                <w:bCs/>
                <w:color w:val="000000"/>
                <w:sz w:val="20"/>
                <w:szCs w:val="20"/>
                <w:lang w:eastAsia="en-GB"/>
              </w:rPr>
              <w:t>0.2</w:t>
            </w:r>
          </w:p>
        </w:tc>
        <w:tc>
          <w:tcPr>
            <w:tcW w:w="1559" w:type="dxa"/>
            <w:tcBorders>
              <w:top w:val="nil"/>
              <w:left w:val="nil"/>
              <w:bottom w:val="nil"/>
              <w:right w:val="nil"/>
            </w:tcBorders>
            <w:shd w:val="clear" w:color="000000" w:fill="FFFFFF"/>
            <w:noWrap/>
            <w:vAlign w:val="center"/>
            <w:hideMark/>
          </w:tcPr>
          <w:p w:rsidR="00752FD4" w:rsidRPr="004F4ABA" w:rsidRDefault="00752FD4" w:rsidP="0003552F">
            <w:pPr>
              <w:jc w:val="center"/>
              <w:rPr>
                <w:rFonts w:cs="Calibri"/>
                <w:b/>
                <w:bCs/>
                <w:color w:val="000000"/>
                <w:sz w:val="20"/>
                <w:szCs w:val="20"/>
                <w:lang w:eastAsia="en-GB"/>
              </w:rPr>
            </w:pPr>
            <w:r w:rsidRPr="004F4ABA">
              <w:rPr>
                <w:rFonts w:cs="Calibri"/>
                <w:b/>
                <w:bCs/>
                <w:color w:val="000000"/>
                <w:sz w:val="20"/>
                <w:szCs w:val="20"/>
                <w:lang w:eastAsia="en-GB"/>
              </w:rPr>
              <w:t>0.1</w:t>
            </w:r>
          </w:p>
        </w:tc>
        <w:tc>
          <w:tcPr>
            <w:tcW w:w="1560" w:type="dxa"/>
            <w:tcBorders>
              <w:top w:val="nil"/>
              <w:left w:val="single" w:sz="8" w:space="0" w:color="auto"/>
              <w:bottom w:val="nil"/>
              <w:right w:val="single" w:sz="8" w:space="0" w:color="auto"/>
            </w:tcBorders>
            <w:shd w:val="clear" w:color="000000" w:fill="A8D08D"/>
            <w:noWrap/>
            <w:vAlign w:val="center"/>
            <w:hideMark/>
          </w:tcPr>
          <w:p w:rsidR="00752FD4" w:rsidRPr="004F4ABA" w:rsidRDefault="00752FD4" w:rsidP="0003552F">
            <w:pPr>
              <w:jc w:val="center"/>
              <w:rPr>
                <w:rFonts w:cs="Calibri"/>
                <w:b/>
                <w:bCs/>
                <w:color w:val="000000"/>
                <w:sz w:val="20"/>
                <w:szCs w:val="20"/>
                <w:lang w:eastAsia="en-GB"/>
              </w:rPr>
            </w:pPr>
            <w:r w:rsidRPr="004F4ABA">
              <w:rPr>
                <w:rFonts w:cs="Calibri"/>
                <w:b/>
                <w:bCs/>
                <w:color w:val="000000"/>
                <w:sz w:val="20"/>
                <w:szCs w:val="20"/>
                <w:lang w:eastAsia="en-GB"/>
              </w:rPr>
              <w:t>0.3</w:t>
            </w:r>
          </w:p>
        </w:tc>
      </w:tr>
      <w:tr w:rsidR="00752FD4" w:rsidRPr="004F4ABA" w:rsidTr="0003552F">
        <w:trPr>
          <w:trHeight w:val="288"/>
        </w:trPr>
        <w:tc>
          <w:tcPr>
            <w:tcW w:w="3118" w:type="dxa"/>
            <w:tcBorders>
              <w:top w:val="nil"/>
              <w:left w:val="single" w:sz="8" w:space="0" w:color="auto"/>
              <w:bottom w:val="nil"/>
              <w:right w:val="single" w:sz="8" w:space="0" w:color="auto"/>
            </w:tcBorders>
            <w:shd w:val="clear" w:color="000000" w:fill="FFFFFF"/>
            <w:noWrap/>
            <w:vAlign w:val="center"/>
            <w:hideMark/>
          </w:tcPr>
          <w:p w:rsidR="00752FD4" w:rsidRPr="004F4ABA" w:rsidRDefault="00752FD4" w:rsidP="0003552F">
            <w:pPr>
              <w:rPr>
                <w:rFonts w:cs="Calibri"/>
                <w:b/>
                <w:bCs/>
                <w:color w:val="000000"/>
                <w:sz w:val="20"/>
                <w:szCs w:val="20"/>
                <w:lang w:eastAsia="en-GB"/>
              </w:rPr>
            </w:pPr>
            <w:r w:rsidRPr="004F4ABA">
              <w:rPr>
                <w:rFonts w:cs="Calibri"/>
                <w:b/>
                <w:bCs/>
                <w:color w:val="000000"/>
                <w:sz w:val="20"/>
                <w:szCs w:val="20"/>
                <w:lang w:eastAsia="en-GB"/>
              </w:rPr>
              <w:t> </w:t>
            </w:r>
          </w:p>
        </w:tc>
        <w:tc>
          <w:tcPr>
            <w:tcW w:w="1417" w:type="dxa"/>
            <w:tcBorders>
              <w:top w:val="nil"/>
              <w:left w:val="nil"/>
              <w:bottom w:val="nil"/>
              <w:right w:val="nil"/>
            </w:tcBorders>
            <w:shd w:val="clear" w:color="000000" w:fill="FFFFFF"/>
            <w:noWrap/>
            <w:hideMark/>
          </w:tcPr>
          <w:p w:rsidR="00752FD4" w:rsidRPr="004F4ABA" w:rsidRDefault="00752FD4" w:rsidP="0003552F">
            <w:pPr>
              <w:rPr>
                <w:rFonts w:cs="Calibri"/>
                <w:color w:val="000000"/>
                <w:lang w:eastAsia="en-GB"/>
              </w:rPr>
            </w:pPr>
            <w:r w:rsidRPr="004F4ABA">
              <w:rPr>
                <w:rFonts w:cs="Calibri"/>
                <w:color w:val="000000"/>
                <w:lang w:eastAsia="en-GB"/>
              </w:rPr>
              <w:t> </w:t>
            </w:r>
          </w:p>
        </w:tc>
        <w:tc>
          <w:tcPr>
            <w:tcW w:w="1701" w:type="dxa"/>
            <w:tcBorders>
              <w:top w:val="nil"/>
              <w:left w:val="single" w:sz="8" w:space="0" w:color="auto"/>
              <w:bottom w:val="nil"/>
              <w:right w:val="single" w:sz="8" w:space="0" w:color="auto"/>
            </w:tcBorders>
            <w:shd w:val="clear" w:color="000000" w:fill="FFFFFF"/>
            <w:noWrap/>
            <w:vAlign w:val="center"/>
            <w:hideMark/>
          </w:tcPr>
          <w:p w:rsidR="00752FD4" w:rsidRPr="004F4ABA" w:rsidRDefault="00752FD4" w:rsidP="0003552F">
            <w:pPr>
              <w:rPr>
                <w:rFonts w:cs="Calibri"/>
                <w:color w:val="000000"/>
                <w:sz w:val="20"/>
                <w:szCs w:val="20"/>
                <w:lang w:eastAsia="en-GB"/>
              </w:rPr>
            </w:pPr>
            <w:r w:rsidRPr="004F4ABA">
              <w:rPr>
                <w:rFonts w:cs="Calibri"/>
                <w:color w:val="000000"/>
                <w:sz w:val="20"/>
                <w:szCs w:val="20"/>
                <w:lang w:eastAsia="en-GB"/>
              </w:rPr>
              <w:t> </w:t>
            </w:r>
          </w:p>
        </w:tc>
        <w:tc>
          <w:tcPr>
            <w:tcW w:w="1559" w:type="dxa"/>
            <w:tcBorders>
              <w:top w:val="nil"/>
              <w:left w:val="nil"/>
              <w:bottom w:val="nil"/>
              <w:right w:val="nil"/>
            </w:tcBorders>
            <w:shd w:val="clear" w:color="000000" w:fill="FFFFFF"/>
            <w:noWrap/>
            <w:hideMark/>
          </w:tcPr>
          <w:p w:rsidR="00752FD4" w:rsidRPr="004F4ABA" w:rsidRDefault="00752FD4" w:rsidP="0003552F">
            <w:pPr>
              <w:rPr>
                <w:rFonts w:cs="Calibri"/>
                <w:color w:val="000000"/>
                <w:lang w:eastAsia="en-GB"/>
              </w:rPr>
            </w:pPr>
            <w:r w:rsidRPr="004F4ABA">
              <w:rPr>
                <w:rFonts w:cs="Calibri"/>
                <w:color w:val="000000"/>
                <w:lang w:eastAsia="en-GB"/>
              </w:rPr>
              <w:t> </w:t>
            </w:r>
          </w:p>
        </w:tc>
        <w:tc>
          <w:tcPr>
            <w:tcW w:w="1560" w:type="dxa"/>
            <w:tcBorders>
              <w:top w:val="nil"/>
              <w:left w:val="single" w:sz="8" w:space="0" w:color="auto"/>
              <w:bottom w:val="nil"/>
              <w:right w:val="single" w:sz="8" w:space="0" w:color="auto"/>
            </w:tcBorders>
            <w:shd w:val="clear" w:color="000000" w:fill="A8D08D"/>
            <w:noWrap/>
            <w:vAlign w:val="center"/>
            <w:hideMark/>
          </w:tcPr>
          <w:p w:rsidR="00752FD4" w:rsidRPr="004F4ABA" w:rsidRDefault="00752FD4" w:rsidP="0003552F">
            <w:pPr>
              <w:jc w:val="center"/>
              <w:rPr>
                <w:rFonts w:cs="Calibri"/>
                <w:b/>
                <w:bCs/>
                <w:color w:val="000000"/>
                <w:sz w:val="20"/>
                <w:szCs w:val="20"/>
                <w:lang w:eastAsia="en-GB"/>
              </w:rPr>
            </w:pPr>
            <w:r w:rsidRPr="004F4ABA">
              <w:rPr>
                <w:rFonts w:cs="Calibri"/>
                <w:b/>
                <w:bCs/>
                <w:color w:val="000000"/>
                <w:sz w:val="20"/>
                <w:szCs w:val="20"/>
                <w:lang w:eastAsia="en-GB"/>
              </w:rPr>
              <w:t> </w:t>
            </w:r>
          </w:p>
        </w:tc>
      </w:tr>
      <w:tr w:rsidR="00752FD4" w:rsidRPr="004F4ABA" w:rsidTr="0003552F">
        <w:trPr>
          <w:trHeight w:val="288"/>
        </w:trPr>
        <w:tc>
          <w:tcPr>
            <w:tcW w:w="3118" w:type="dxa"/>
            <w:tcBorders>
              <w:top w:val="nil"/>
              <w:left w:val="single" w:sz="8" w:space="0" w:color="auto"/>
              <w:bottom w:val="nil"/>
              <w:right w:val="single" w:sz="8" w:space="0" w:color="auto"/>
            </w:tcBorders>
            <w:shd w:val="clear" w:color="000000" w:fill="FFFFFF"/>
            <w:noWrap/>
            <w:vAlign w:val="center"/>
            <w:hideMark/>
          </w:tcPr>
          <w:p w:rsidR="00752FD4" w:rsidRPr="004F4ABA" w:rsidRDefault="00752FD4" w:rsidP="0003552F">
            <w:pPr>
              <w:rPr>
                <w:rFonts w:cs="Calibri"/>
                <w:b/>
                <w:bCs/>
                <w:color w:val="000000"/>
                <w:sz w:val="20"/>
                <w:szCs w:val="20"/>
                <w:lang w:eastAsia="en-GB"/>
              </w:rPr>
            </w:pPr>
            <w:r w:rsidRPr="004F4ABA">
              <w:rPr>
                <w:rFonts w:cs="Calibri"/>
                <w:b/>
                <w:bCs/>
                <w:color w:val="000000"/>
                <w:sz w:val="20"/>
                <w:szCs w:val="20"/>
                <w:lang w:eastAsia="en-GB"/>
              </w:rPr>
              <w:t>Housing Revenue Account</w:t>
            </w:r>
          </w:p>
        </w:tc>
        <w:tc>
          <w:tcPr>
            <w:tcW w:w="1417" w:type="dxa"/>
            <w:tcBorders>
              <w:top w:val="nil"/>
              <w:left w:val="nil"/>
              <w:bottom w:val="nil"/>
              <w:right w:val="nil"/>
            </w:tcBorders>
            <w:shd w:val="clear" w:color="000000" w:fill="FFFFFF"/>
            <w:noWrap/>
            <w:vAlign w:val="center"/>
            <w:hideMark/>
          </w:tcPr>
          <w:p w:rsidR="00752FD4" w:rsidRPr="004F4ABA" w:rsidRDefault="00752FD4" w:rsidP="0003552F">
            <w:pPr>
              <w:jc w:val="center"/>
              <w:rPr>
                <w:rFonts w:cs="Calibri"/>
                <w:b/>
                <w:bCs/>
                <w:color w:val="000000"/>
                <w:sz w:val="20"/>
                <w:szCs w:val="20"/>
                <w:lang w:eastAsia="en-GB"/>
              </w:rPr>
            </w:pPr>
            <w:r w:rsidRPr="004F4ABA">
              <w:rPr>
                <w:rFonts w:cs="Calibri"/>
                <w:b/>
                <w:bCs/>
                <w:color w:val="000000"/>
                <w:sz w:val="20"/>
                <w:szCs w:val="20"/>
                <w:lang w:eastAsia="en-GB"/>
              </w:rPr>
              <w:t>0</w:t>
            </w:r>
          </w:p>
        </w:tc>
        <w:tc>
          <w:tcPr>
            <w:tcW w:w="1701" w:type="dxa"/>
            <w:tcBorders>
              <w:top w:val="nil"/>
              <w:left w:val="single" w:sz="8" w:space="0" w:color="auto"/>
              <w:bottom w:val="nil"/>
              <w:right w:val="single" w:sz="8" w:space="0" w:color="auto"/>
            </w:tcBorders>
            <w:shd w:val="clear" w:color="000000" w:fill="FFFFFF"/>
            <w:noWrap/>
            <w:vAlign w:val="center"/>
            <w:hideMark/>
          </w:tcPr>
          <w:p w:rsidR="00752FD4" w:rsidRPr="004F4ABA" w:rsidRDefault="00752FD4" w:rsidP="0003552F">
            <w:pPr>
              <w:jc w:val="center"/>
              <w:rPr>
                <w:rFonts w:cs="Calibri"/>
                <w:b/>
                <w:bCs/>
                <w:color w:val="000000"/>
                <w:sz w:val="20"/>
                <w:szCs w:val="20"/>
                <w:lang w:eastAsia="en-GB"/>
              </w:rPr>
            </w:pPr>
            <w:r w:rsidRPr="004F4ABA">
              <w:rPr>
                <w:rFonts w:cs="Calibri"/>
                <w:b/>
                <w:bCs/>
                <w:color w:val="000000"/>
                <w:sz w:val="20"/>
                <w:szCs w:val="20"/>
                <w:lang w:eastAsia="en-GB"/>
              </w:rPr>
              <w:t>1.6</w:t>
            </w:r>
          </w:p>
        </w:tc>
        <w:tc>
          <w:tcPr>
            <w:tcW w:w="1559" w:type="dxa"/>
            <w:tcBorders>
              <w:top w:val="nil"/>
              <w:left w:val="nil"/>
              <w:bottom w:val="nil"/>
              <w:right w:val="nil"/>
            </w:tcBorders>
            <w:shd w:val="clear" w:color="000000" w:fill="FFFFFF"/>
            <w:noWrap/>
            <w:vAlign w:val="center"/>
            <w:hideMark/>
          </w:tcPr>
          <w:p w:rsidR="00752FD4" w:rsidRPr="004F4ABA" w:rsidRDefault="00752FD4" w:rsidP="0003552F">
            <w:pPr>
              <w:jc w:val="center"/>
              <w:rPr>
                <w:rFonts w:cs="Calibri"/>
                <w:b/>
                <w:bCs/>
                <w:color w:val="000000"/>
                <w:sz w:val="20"/>
                <w:szCs w:val="20"/>
                <w:lang w:eastAsia="en-GB"/>
              </w:rPr>
            </w:pPr>
            <w:r w:rsidRPr="004F4ABA">
              <w:rPr>
                <w:rFonts w:cs="Calibri"/>
                <w:b/>
                <w:bCs/>
                <w:color w:val="000000"/>
                <w:sz w:val="20"/>
                <w:szCs w:val="20"/>
                <w:lang w:eastAsia="en-GB"/>
              </w:rPr>
              <w:t>1.8</w:t>
            </w:r>
          </w:p>
        </w:tc>
        <w:tc>
          <w:tcPr>
            <w:tcW w:w="1560" w:type="dxa"/>
            <w:tcBorders>
              <w:top w:val="nil"/>
              <w:left w:val="single" w:sz="8" w:space="0" w:color="auto"/>
              <w:bottom w:val="nil"/>
              <w:right w:val="single" w:sz="8" w:space="0" w:color="auto"/>
            </w:tcBorders>
            <w:shd w:val="clear" w:color="000000" w:fill="A8D08D"/>
            <w:noWrap/>
            <w:vAlign w:val="center"/>
            <w:hideMark/>
          </w:tcPr>
          <w:p w:rsidR="00752FD4" w:rsidRPr="004F4ABA" w:rsidRDefault="00752FD4" w:rsidP="0003552F">
            <w:pPr>
              <w:jc w:val="center"/>
              <w:rPr>
                <w:rFonts w:cs="Calibri"/>
                <w:b/>
                <w:bCs/>
                <w:color w:val="000000"/>
                <w:sz w:val="20"/>
                <w:szCs w:val="20"/>
                <w:lang w:eastAsia="en-GB"/>
              </w:rPr>
            </w:pPr>
            <w:r w:rsidRPr="004F4ABA">
              <w:rPr>
                <w:rFonts w:cs="Calibri"/>
                <w:b/>
                <w:bCs/>
                <w:color w:val="000000"/>
                <w:sz w:val="20"/>
                <w:szCs w:val="20"/>
                <w:lang w:eastAsia="en-GB"/>
              </w:rPr>
              <w:t>3.4</w:t>
            </w:r>
          </w:p>
        </w:tc>
      </w:tr>
      <w:tr w:rsidR="00752FD4" w:rsidRPr="004F4ABA" w:rsidTr="0003552F">
        <w:trPr>
          <w:trHeight w:val="300"/>
        </w:trPr>
        <w:tc>
          <w:tcPr>
            <w:tcW w:w="3118" w:type="dxa"/>
            <w:tcBorders>
              <w:top w:val="nil"/>
              <w:left w:val="single" w:sz="8" w:space="0" w:color="auto"/>
              <w:bottom w:val="nil"/>
              <w:right w:val="single" w:sz="8" w:space="0" w:color="auto"/>
            </w:tcBorders>
            <w:shd w:val="clear" w:color="000000" w:fill="FFFFFF"/>
            <w:noWrap/>
            <w:vAlign w:val="center"/>
            <w:hideMark/>
          </w:tcPr>
          <w:p w:rsidR="00752FD4" w:rsidRPr="004F4ABA" w:rsidRDefault="00752FD4" w:rsidP="0003552F">
            <w:pPr>
              <w:rPr>
                <w:rFonts w:cs="Calibri"/>
                <w:color w:val="000000"/>
                <w:sz w:val="20"/>
                <w:szCs w:val="20"/>
                <w:lang w:eastAsia="en-GB"/>
              </w:rPr>
            </w:pPr>
            <w:r w:rsidRPr="004F4ABA">
              <w:rPr>
                <w:rFonts w:cs="Calibri"/>
                <w:color w:val="000000"/>
                <w:sz w:val="20"/>
                <w:szCs w:val="20"/>
                <w:lang w:eastAsia="en-GB"/>
              </w:rPr>
              <w:t> </w:t>
            </w:r>
          </w:p>
        </w:tc>
        <w:tc>
          <w:tcPr>
            <w:tcW w:w="1417" w:type="dxa"/>
            <w:tcBorders>
              <w:top w:val="nil"/>
              <w:left w:val="nil"/>
              <w:bottom w:val="nil"/>
              <w:right w:val="nil"/>
            </w:tcBorders>
            <w:shd w:val="clear" w:color="000000" w:fill="FFFFFF"/>
            <w:noWrap/>
            <w:hideMark/>
          </w:tcPr>
          <w:p w:rsidR="00752FD4" w:rsidRPr="004F4ABA" w:rsidRDefault="00752FD4" w:rsidP="0003552F">
            <w:pPr>
              <w:rPr>
                <w:rFonts w:cs="Calibri"/>
                <w:color w:val="000000"/>
                <w:lang w:eastAsia="en-GB"/>
              </w:rPr>
            </w:pPr>
            <w:r w:rsidRPr="004F4ABA">
              <w:rPr>
                <w:rFonts w:cs="Calibri"/>
                <w:color w:val="000000"/>
                <w:lang w:eastAsia="en-GB"/>
              </w:rPr>
              <w:t> </w:t>
            </w:r>
          </w:p>
        </w:tc>
        <w:tc>
          <w:tcPr>
            <w:tcW w:w="1701" w:type="dxa"/>
            <w:tcBorders>
              <w:top w:val="nil"/>
              <w:left w:val="single" w:sz="8" w:space="0" w:color="auto"/>
              <w:bottom w:val="nil"/>
              <w:right w:val="single" w:sz="8" w:space="0" w:color="auto"/>
            </w:tcBorders>
            <w:shd w:val="clear" w:color="000000" w:fill="FFFFFF"/>
            <w:noWrap/>
            <w:vAlign w:val="center"/>
            <w:hideMark/>
          </w:tcPr>
          <w:p w:rsidR="00752FD4" w:rsidRPr="004F4ABA" w:rsidRDefault="00752FD4" w:rsidP="0003552F">
            <w:pPr>
              <w:jc w:val="center"/>
              <w:rPr>
                <w:rFonts w:cs="Calibri"/>
                <w:color w:val="000000"/>
                <w:sz w:val="20"/>
                <w:szCs w:val="20"/>
                <w:lang w:eastAsia="en-GB"/>
              </w:rPr>
            </w:pPr>
            <w:r w:rsidRPr="004F4ABA">
              <w:rPr>
                <w:rFonts w:cs="Calibri"/>
                <w:color w:val="000000"/>
                <w:sz w:val="20"/>
                <w:szCs w:val="20"/>
                <w:lang w:eastAsia="en-GB"/>
              </w:rPr>
              <w:t> </w:t>
            </w:r>
          </w:p>
        </w:tc>
        <w:tc>
          <w:tcPr>
            <w:tcW w:w="1559" w:type="dxa"/>
            <w:tcBorders>
              <w:top w:val="nil"/>
              <w:left w:val="nil"/>
              <w:bottom w:val="nil"/>
              <w:right w:val="nil"/>
            </w:tcBorders>
            <w:shd w:val="clear" w:color="000000" w:fill="FFFFFF"/>
            <w:noWrap/>
            <w:hideMark/>
          </w:tcPr>
          <w:p w:rsidR="00752FD4" w:rsidRPr="004F4ABA" w:rsidRDefault="00752FD4" w:rsidP="0003552F">
            <w:pPr>
              <w:rPr>
                <w:rFonts w:cs="Calibri"/>
                <w:color w:val="000000"/>
                <w:lang w:eastAsia="en-GB"/>
              </w:rPr>
            </w:pPr>
            <w:r w:rsidRPr="004F4ABA">
              <w:rPr>
                <w:rFonts w:cs="Calibri"/>
                <w:color w:val="000000"/>
                <w:lang w:eastAsia="en-GB"/>
              </w:rPr>
              <w:t> </w:t>
            </w:r>
          </w:p>
        </w:tc>
        <w:tc>
          <w:tcPr>
            <w:tcW w:w="1560" w:type="dxa"/>
            <w:tcBorders>
              <w:top w:val="nil"/>
              <w:left w:val="single" w:sz="8" w:space="0" w:color="auto"/>
              <w:bottom w:val="nil"/>
              <w:right w:val="single" w:sz="8" w:space="0" w:color="auto"/>
            </w:tcBorders>
            <w:shd w:val="clear" w:color="000000" w:fill="A8D08D"/>
            <w:noWrap/>
            <w:vAlign w:val="center"/>
            <w:hideMark/>
          </w:tcPr>
          <w:p w:rsidR="00752FD4" w:rsidRPr="004F4ABA" w:rsidRDefault="00752FD4" w:rsidP="0003552F">
            <w:pPr>
              <w:jc w:val="center"/>
              <w:rPr>
                <w:rFonts w:cs="Calibri"/>
                <w:b/>
                <w:bCs/>
                <w:color w:val="000000"/>
                <w:sz w:val="20"/>
                <w:szCs w:val="20"/>
                <w:lang w:eastAsia="en-GB"/>
              </w:rPr>
            </w:pPr>
            <w:r w:rsidRPr="004F4ABA">
              <w:rPr>
                <w:rFonts w:cs="Calibri"/>
                <w:b/>
                <w:bCs/>
                <w:color w:val="000000"/>
                <w:sz w:val="20"/>
                <w:szCs w:val="20"/>
                <w:lang w:eastAsia="en-GB"/>
              </w:rPr>
              <w:t> </w:t>
            </w:r>
          </w:p>
        </w:tc>
      </w:tr>
      <w:tr w:rsidR="00752FD4" w:rsidRPr="004F4ABA" w:rsidTr="0003552F">
        <w:trPr>
          <w:trHeight w:val="300"/>
        </w:trPr>
        <w:tc>
          <w:tcPr>
            <w:tcW w:w="3118" w:type="dxa"/>
            <w:tcBorders>
              <w:top w:val="single" w:sz="8" w:space="0" w:color="auto"/>
              <w:left w:val="single" w:sz="8" w:space="0" w:color="auto"/>
              <w:bottom w:val="double" w:sz="6" w:space="0" w:color="auto"/>
              <w:right w:val="single" w:sz="8" w:space="0" w:color="auto"/>
            </w:tcBorders>
            <w:shd w:val="clear" w:color="000000" w:fill="D9D9D9"/>
            <w:noWrap/>
            <w:vAlign w:val="center"/>
            <w:hideMark/>
          </w:tcPr>
          <w:p w:rsidR="00752FD4" w:rsidRPr="004F4ABA" w:rsidRDefault="00752FD4" w:rsidP="0003552F">
            <w:pPr>
              <w:rPr>
                <w:rFonts w:cs="Calibri"/>
                <w:b/>
                <w:bCs/>
                <w:color w:val="000000"/>
                <w:sz w:val="20"/>
                <w:szCs w:val="20"/>
                <w:lang w:eastAsia="en-GB"/>
              </w:rPr>
            </w:pPr>
            <w:r w:rsidRPr="004F4ABA">
              <w:rPr>
                <w:rFonts w:cs="Calibri"/>
                <w:b/>
                <w:bCs/>
                <w:color w:val="000000"/>
                <w:sz w:val="20"/>
                <w:szCs w:val="20"/>
                <w:lang w:eastAsia="en-GB"/>
              </w:rPr>
              <w:t>Grand Total</w:t>
            </w:r>
          </w:p>
        </w:tc>
        <w:tc>
          <w:tcPr>
            <w:tcW w:w="1417" w:type="dxa"/>
            <w:tcBorders>
              <w:top w:val="single" w:sz="8" w:space="0" w:color="auto"/>
              <w:left w:val="nil"/>
              <w:bottom w:val="double" w:sz="6" w:space="0" w:color="auto"/>
              <w:right w:val="nil"/>
            </w:tcBorders>
            <w:shd w:val="clear" w:color="000000" w:fill="DBDBDB"/>
            <w:noWrap/>
            <w:vAlign w:val="center"/>
            <w:hideMark/>
          </w:tcPr>
          <w:p w:rsidR="00752FD4" w:rsidRPr="004F4ABA" w:rsidRDefault="00752FD4" w:rsidP="0003552F">
            <w:pPr>
              <w:jc w:val="center"/>
              <w:rPr>
                <w:rFonts w:cs="Calibri"/>
                <w:b/>
                <w:bCs/>
                <w:color w:val="000000"/>
                <w:sz w:val="20"/>
                <w:szCs w:val="20"/>
                <w:lang w:eastAsia="en-GB"/>
              </w:rPr>
            </w:pPr>
            <w:r w:rsidRPr="004F4ABA">
              <w:rPr>
                <w:rFonts w:cs="Calibri"/>
                <w:b/>
                <w:bCs/>
                <w:color w:val="000000"/>
                <w:sz w:val="20"/>
                <w:szCs w:val="20"/>
                <w:lang w:eastAsia="en-GB"/>
              </w:rPr>
              <w:t>0.4</w:t>
            </w:r>
          </w:p>
        </w:tc>
        <w:tc>
          <w:tcPr>
            <w:tcW w:w="1701" w:type="dxa"/>
            <w:tcBorders>
              <w:top w:val="single" w:sz="8" w:space="0" w:color="auto"/>
              <w:left w:val="single" w:sz="8" w:space="0" w:color="auto"/>
              <w:bottom w:val="double" w:sz="6" w:space="0" w:color="auto"/>
              <w:right w:val="single" w:sz="8" w:space="0" w:color="auto"/>
            </w:tcBorders>
            <w:shd w:val="clear" w:color="000000" w:fill="DBDBDB"/>
            <w:noWrap/>
            <w:vAlign w:val="center"/>
            <w:hideMark/>
          </w:tcPr>
          <w:p w:rsidR="00752FD4" w:rsidRPr="004F4ABA" w:rsidRDefault="00752FD4" w:rsidP="0003552F">
            <w:pPr>
              <w:jc w:val="center"/>
              <w:rPr>
                <w:rFonts w:cs="Calibri"/>
                <w:b/>
                <w:bCs/>
                <w:color w:val="000000"/>
                <w:sz w:val="20"/>
                <w:szCs w:val="20"/>
                <w:lang w:eastAsia="en-GB"/>
              </w:rPr>
            </w:pPr>
            <w:r w:rsidRPr="004F4ABA">
              <w:rPr>
                <w:rFonts w:cs="Calibri"/>
                <w:b/>
                <w:bCs/>
                <w:color w:val="000000"/>
                <w:sz w:val="20"/>
                <w:szCs w:val="20"/>
                <w:lang w:eastAsia="en-GB"/>
              </w:rPr>
              <w:t>19.8</w:t>
            </w:r>
          </w:p>
        </w:tc>
        <w:tc>
          <w:tcPr>
            <w:tcW w:w="1559" w:type="dxa"/>
            <w:tcBorders>
              <w:top w:val="single" w:sz="8" w:space="0" w:color="auto"/>
              <w:left w:val="nil"/>
              <w:bottom w:val="double" w:sz="6" w:space="0" w:color="auto"/>
              <w:right w:val="nil"/>
            </w:tcBorders>
            <w:shd w:val="clear" w:color="000000" w:fill="DBDBDB"/>
            <w:noWrap/>
            <w:vAlign w:val="center"/>
            <w:hideMark/>
          </w:tcPr>
          <w:p w:rsidR="00752FD4" w:rsidRPr="004F4ABA" w:rsidRDefault="00752FD4" w:rsidP="0003552F">
            <w:pPr>
              <w:jc w:val="center"/>
              <w:rPr>
                <w:rFonts w:cs="Calibri"/>
                <w:b/>
                <w:bCs/>
                <w:color w:val="000000"/>
                <w:sz w:val="20"/>
                <w:szCs w:val="20"/>
                <w:lang w:eastAsia="en-GB"/>
              </w:rPr>
            </w:pPr>
            <w:r w:rsidRPr="004F4ABA">
              <w:rPr>
                <w:rFonts w:cs="Calibri"/>
                <w:b/>
                <w:bCs/>
                <w:color w:val="000000"/>
                <w:sz w:val="20"/>
                <w:szCs w:val="20"/>
                <w:lang w:eastAsia="en-GB"/>
              </w:rPr>
              <w:t>14.9</w:t>
            </w:r>
          </w:p>
        </w:tc>
        <w:tc>
          <w:tcPr>
            <w:tcW w:w="1560" w:type="dxa"/>
            <w:tcBorders>
              <w:top w:val="single" w:sz="8" w:space="0" w:color="auto"/>
              <w:left w:val="single" w:sz="8" w:space="0" w:color="auto"/>
              <w:bottom w:val="double" w:sz="6" w:space="0" w:color="auto"/>
              <w:right w:val="single" w:sz="8" w:space="0" w:color="auto"/>
            </w:tcBorders>
            <w:shd w:val="clear" w:color="000000" w:fill="A8D08D"/>
            <w:noWrap/>
            <w:vAlign w:val="center"/>
            <w:hideMark/>
          </w:tcPr>
          <w:p w:rsidR="00752FD4" w:rsidRPr="004F4ABA" w:rsidRDefault="00752FD4" w:rsidP="0003552F">
            <w:pPr>
              <w:jc w:val="center"/>
              <w:rPr>
                <w:rFonts w:cs="Calibri"/>
                <w:b/>
                <w:bCs/>
                <w:color w:val="000000"/>
                <w:sz w:val="20"/>
                <w:szCs w:val="20"/>
                <w:lang w:eastAsia="en-GB"/>
              </w:rPr>
            </w:pPr>
            <w:r w:rsidRPr="004F4ABA">
              <w:rPr>
                <w:rFonts w:cs="Calibri"/>
                <w:b/>
                <w:bCs/>
                <w:color w:val="000000"/>
                <w:sz w:val="20"/>
                <w:szCs w:val="20"/>
                <w:lang w:eastAsia="en-GB"/>
              </w:rPr>
              <w:t>35.1</w:t>
            </w:r>
          </w:p>
        </w:tc>
      </w:tr>
    </w:tbl>
    <w:p w:rsidR="00F72906" w:rsidRDefault="00F72906" w:rsidP="00F72906"/>
    <w:p w:rsidR="00F72906" w:rsidRDefault="00F72906" w:rsidP="00F72906">
      <w:r>
        <w:t>49.</w:t>
      </w:r>
      <w:r>
        <w:tab/>
        <w:t>The expected cost impacts and risks included in Table</w:t>
      </w:r>
      <w:r w:rsidR="00752FD4">
        <w:t xml:space="preserve"> 5 are explained further below:</w:t>
      </w:r>
    </w:p>
    <w:p w:rsidR="00F72906" w:rsidRPr="00752FD4" w:rsidRDefault="00F72906" w:rsidP="00F72906">
      <w:pPr>
        <w:rPr>
          <w:i/>
        </w:rPr>
      </w:pPr>
      <w:r w:rsidRPr="00752FD4">
        <w:rPr>
          <w:i/>
        </w:rPr>
        <w:t>Children &amp; Young People</w:t>
      </w:r>
    </w:p>
    <w:p w:rsidR="00F72906" w:rsidRDefault="00F72906" w:rsidP="00F72906">
      <w:r>
        <w:t>50.</w:t>
      </w:r>
      <w:r>
        <w:tab/>
        <w:t>Immediate costs estimated incurred against the general fund in 2019/20 as a result of COVID-19 are minimal and includes the purchase additional cleaning products, catering costs for the Nurseries. There have also been some costs incurred on the provision of emergency food supplies and travel assistance for children in care. These costs are expected to ramp up in 2020/21 and will expand to include overtime costs for staff supporting the Emergency Duty Team.</w:t>
      </w:r>
    </w:p>
    <w:p w:rsidR="00F72906" w:rsidRPr="00752FD4" w:rsidRDefault="00F72906" w:rsidP="00F72906">
      <w:pPr>
        <w:rPr>
          <w:i/>
        </w:rPr>
      </w:pPr>
      <w:r w:rsidRPr="00752FD4">
        <w:rPr>
          <w:i/>
        </w:rPr>
        <w:t>Community and wellbeing</w:t>
      </w:r>
    </w:p>
    <w:p w:rsidR="00F72906" w:rsidRDefault="00F72906" w:rsidP="00F72906">
      <w:r>
        <w:lastRenderedPageBreak/>
        <w:t>51.</w:t>
      </w:r>
      <w:r>
        <w:tab/>
        <w:t>For 2019/20, COVID-19 costs have mainly been incurred by Adult Social Care in relation to Personal Protective Equipment (PPE) to equip social care providers. Costs have also been incurred on reconfiguring the Peel Road property as a step down facility for patients discharged from hospital who need to continue to self-isolate. In 2020/21 further purchases of PPE will be required to support Adult Social Ca</w:t>
      </w:r>
      <w:r w:rsidR="00752FD4">
        <w:t>re in particular at care homes.</w:t>
      </w:r>
    </w:p>
    <w:p w:rsidR="00F72906" w:rsidRDefault="00F72906" w:rsidP="00F72906">
      <w:r>
        <w:t>52.</w:t>
      </w:r>
      <w:r>
        <w:tab/>
        <w:t>An increased hourly rate for Homecare providers of 5% has been agreed. This was necessary to support care providers through the pandemic and has been supported by implement immediate payment terms and in some ca</w:t>
      </w:r>
      <w:r w:rsidR="00752FD4">
        <w:t>ses making payments in advance.</w:t>
      </w:r>
    </w:p>
    <w:p w:rsidR="00F72906" w:rsidRDefault="00F72906" w:rsidP="00F72906">
      <w:r>
        <w:t>53.</w:t>
      </w:r>
      <w:r>
        <w:tab/>
        <w:t>Other expected cost pressures include the need to recruit additional staff to cover sickness and self-isolation across Adult Social Care, extra support for vulnerable social clients who cannot access supplies easily and additional social care packages which cannot be</w:t>
      </w:r>
      <w:r w:rsidR="00752FD4">
        <w:t xml:space="preserve"> reclaimed through NHS funding.</w:t>
      </w:r>
    </w:p>
    <w:p w:rsidR="00F72906" w:rsidRDefault="00F72906" w:rsidP="00F72906">
      <w:r>
        <w:t>54.</w:t>
      </w:r>
      <w:r>
        <w:tab/>
        <w:t>In Housing there has been a need to secure accommodation for homeless individuals to enable social distancing. Whilst on the housing capital programme a reduction of planned works on the HRA housing stock as contractors are not able to work could result in an increase in responsive repairs.</w:t>
      </w:r>
      <w:r w:rsidR="00752FD4">
        <w:t xml:space="preserve">  </w:t>
      </w:r>
    </w:p>
    <w:p w:rsidR="00F72906" w:rsidRDefault="00F72906" w:rsidP="00F72906">
      <w:r>
        <w:t>55.</w:t>
      </w:r>
      <w:r>
        <w:tab/>
        <w:t>Private Housing Service income will be impacted with landlord applications anticipated to reduce, less promotion of the service, and less enforcement activity is likely given the lockdown restrictions. Also, Income collection rates in the HRA are anticipated to fall in 2020/21 as the economy wors</w:t>
      </w:r>
      <w:r w:rsidR="00752FD4">
        <w:t>ens and unemployment increases.</w:t>
      </w:r>
    </w:p>
    <w:p w:rsidR="00F72906" w:rsidRDefault="00F72906" w:rsidP="00F72906">
      <w:r>
        <w:t>56.</w:t>
      </w:r>
      <w:r>
        <w:tab/>
        <w:t>Financial support will be required to assist Leisure centre contractors and Bridge Park Community Leisure Centre has been re-purposed as a hub for the co-ordination and delivery of packages to support vulnerable resi</w:t>
      </w:r>
      <w:r w:rsidR="00752FD4">
        <w:t>dents on the NHS shielded list.</w:t>
      </w:r>
    </w:p>
    <w:p w:rsidR="00F72906" w:rsidRDefault="00F72906" w:rsidP="00F72906">
      <w:r>
        <w:t>57.</w:t>
      </w:r>
      <w:r>
        <w:tab/>
        <w:t>Included within the Councils savings targets for 2020/21 is the construction and delivery of new NAIL (New Accommodation for Independent Living) housing units. The achievement of these savings will be delayed by the pandemic as officer time and focus will now</w:t>
      </w:r>
      <w:r w:rsidR="00752FD4">
        <w:t xml:space="preserve"> be centred the crisis response</w:t>
      </w:r>
    </w:p>
    <w:p w:rsidR="00F72906" w:rsidRDefault="00F72906" w:rsidP="00F72906">
      <w:r>
        <w:t>58.</w:t>
      </w:r>
      <w:r>
        <w:tab/>
        <w:t>There are plans for a number of completed properties in the NAIL programme to be repurposed as step down facilities for recovering patients discharged. Assuming the crisis continues for 6 months this could halve the savings realised through the NAIL programme in 2020/21.</w:t>
      </w:r>
    </w:p>
    <w:p w:rsidR="00F72906" w:rsidRPr="00752FD4" w:rsidRDefault="00F72906" w:rsidP="00F72906">
      <w:pPr>
        <w:rPr>
          <w:i/>
        </w:rPr>
      </w:pPr>
      <w:r w:rsidRPr="00752FD4">
        <w:rPr>
          <w:i/>
        </w:rPr>
        <w:t>Assistant Chief Executive</w:t>
      </w:r>
    </w:p>
    <w:p w:rsidR="00F72906" w:rsidRDefault="00F72906" w:rsidP="00F72906">
      <w:r>
        <w:t>59.</w:t>
      </w:r>
      <w:r>
        <w:tab/>
        <w:t>There is an expectation of loss of fees and charges from Conferences and Events due to cancellations. The service is also predicting a reduction of commercial advertising income on outdoor sites and a fall in advertising fees from “Your Brent” Magazine. Additionally, there is expected to be a loss of income from film productions no longer using council sites and parking services. In addition to this, the provision of additional grants to the voluntary sector will exert furthe</w:t>
      </w:r>
      <w:r w:rsidR="00752FD4">
        <w:t>r pressure on existing budgets.</w:t>
      </w:r>
    </w:p>
    <w:p w:rsidR="00F72906" w:rsidRDefault="00F72906" w:rsidP="00F72906">
      <w:r>
        <w:t>60.</w:t>
      </w:r>
      <w:r>
        <w:tab/>
        <w:t>There may be a potential loss of income in 2020/21 from traded services with schools such as the Brent Music Service and the Gordon Brown Centre due to the uncertainty surrounding the re-opening of schools.</w:t>
      </w:r>
      <w:r w:rsidR="00752FD4">
        <w:t xml:space="preserve">  </w:t>
      </w:r>
    </w:p>
    <w:p w:rsidR="00F72906" w:rsidRDefault="00F72906" w:rsidP="00F72906">
      <w:r>
        <w:lastRenderedPageBreak/>
        <w:t>61.</w:t>
      </w:r>
      <w:r>
        <w:tab/>
        <w:t>There is also a risk to the timing of the delivery of the CYP department’s savings target for 2020/21 linked to the development of Family Wellbeing Centres and the development of a shared fostering service with</w:t>
      </w:r>
      <w:r w:rsidR="00752FD4">
        <w:t xml:space="preserve"> other West London Authorities.</w:t>
      </w:r>
    </w:p>
    <w:p w:rsidR="00F72906" w:rsidRDefault="00F72906" w:rsidP="00F72906">
      <w:r>
        <w:t>62.</w:t>
      </w:r>
      <w:r>
        <w:tab/>
        <w:t>In 2020/21 there is predicted to be further pressures against the Dedicated Schools Grant (DSG) funded budgets as a result of the potential need for additional tutoring costs whilst Looked After Children (LAC) are out of school and until int</w:t>
      </w:r>
      <w:r w:rsidR="00752FD4">
        <w:t>erim arrangements are in place.</w:t>
      </w:r>
    </w:p>
    <w:p w:rsidR="00F72906" w:rsidRDefault="00F72906" w:rsidP="00F72906">
      <w:r>
        <w:t>63.</w:t>
      </w:r>
      <w:r>
        <w:tab/>
        <w:t>Other costs could include staffing cost pressures to address staff absences, the replacement and/or accidental damage to equipment sent home with pupils, providing internet connection and chrome books to enable all alternative provision placed students’ access online provision.</w:t>
      </w:r>
    </w:p>
    <w:p w:rsidR="00F72906" w:rsidRPr="00752FD4" w:rsidRDefault="00F72906" w:rsidP="00F72906">
      <w:pPr>
        <w:rPr>
          <w:i/>
        </w:rPr>
      </w:pPr>
      <w:r w:rsidRPr="00752FD4">
        <w:rPr>
          <w:i/>
        </w:rPr>
        <w:t>Customer and Digital Services</w:t>
      </w:r>
    </w:p>
    <w:p w:rsidR="00F72906" w:rsidRDefault="00F72906" w:rsidP="00F72906">
      <w:r>
        <w:t>64.</w:t>
      </w:r>
      <w:r>
        <w:tab/>
        <w:t>The main pressures are expected to derive from cancelled ceremonies within the Registration and Nationalities service area which could result in substantial income loss in 2020-21 depending on the length and s</w:t>
      </w:r>
      <w:r w:rsidR="00752FD4">
        <w:t>everity of the lockdown period.</w:t>
      </w:r>
    </w:p>
    <w:p w:rsidR="00F72906" w:rsidRDefault="00F72906" w:rsidP="00F72906">
      <w:r>
        <w:t>65.</w:t>
      </w:r>
      <w:r>
        <w:tab/>
        <w:t xml:space="preserve">Other pressures relate to the administration and implementation of recently announced measures to support businesses and individuals in receipt of the Council Tax support. </w:t>
      </w:r>
    </w:p>
    <w:p w:rsidR="00F72906" w:rsidRPr="00752FD4" w:rsidRDefault="00F72906" w:rsidP="00F72906">
      <w:pPr>
        <w:rPr>
          <w:i/>
        </w:rPr>
      </w:pPr>
      <w:r w:rsidRPr="00752FD4">
        <w:rPr>
          <w:i/>
        </w:rPr>
        <w:t>Regeneration &amp; Environment</w:t>
      </w:r>
    </w:p>
    <w:p w:rsidR="00F72906" w:rsidRDefault="00F72906" w:rsidP="00F72906">
      <w:r>
        <w:t>66.</w:t>
      </w:r>
      <w:r>
        <w:tab/>
        <w:t>Prior to coronavirus measures being introduced, budget pressures were already identified for 2020/21 relating to an income deficit in Parking, the Brent Transport Service and the Veolia contract. The COVID-19 pandemic and the lockdown is expected t</w:t>
      </w:r>
      <w:r w:rsidR="00752FD4">
        <w:t xml:space="preserve">o create additional pressures. </w:t>
      </w:r>
    </w:p>
    <w:p w:rsidR="00F72906" w:rsidRDefault="00F72906" w:rsidP="00F72906">
      <w:r>
        <w:t>67.</w:t>
      </w:r>
      <w:r>
        <w:tab/>
        <w:t>The main costs relate to the establishment of a temporary overflow mortuary. Other pinch points are predicted to come from reduced income, due to the government's social distancing measures. The largest of these is parking income (c £1m per month) due to reduced motoring activity and red</w:t>
      </w:r>
      <w:r w:rsidR="00752FD4">
        <w:t xml:space="preserve">uced penalty charge issuances. </w:t>
      </w:r>
    </w:p>
    <w:p w:rsidR="00F72906" w:rsidRDefault="00F72906" w:rsidP="00F72906">
      <w:r>
        <w:t>68.</w:t>
      </w:r>
      <w:r>
        <w:tab/>
        <w:t>The department is also predicting a rise in bad debts as a result of businesses unable to pay commercial rent, reduced activity in Building Control and Planning fee income. Neighbourhood Management are likely to be effected by the loss of income from the suspension of FPN issuing within Environmental Enforcement and a reduction in demand for per</w:t>
      </w:r>
      <w:r w:rsidR="00752FD4">
        <w:t>mits for skips and scaffolding.</w:t>
      </w:r>
    </w:p>
    <w:p w:rsidR="00F72906" w:rsidRDefault="00F72906" w:rsidP="00F72906">
      <w:r>
        <w:t>69.</w:t>
      </w:r>
      <w:r>
        <w:tab/>
        <w:t>In addition to this savings targets for 2020-21 linked to property income, building control fees and licensing revenue are now unlikely to be met.</w:t>
      </w:r>
    </w:p>
    <w:p w:rsidR="00F72906" w:rsidRPr="00752FD4" w:rsidRDefault="00F72906" w:rsidP="00F72906">
      <w:pPr>
        <w:rPr>
          <w:i/>
        </w:rPr>
      </w:pPr>
      <w:r w:rsidRPr="00752FD4">
        <w:rPr>
          <w:i/>
        </w:rPr>
        <w:t>Capital Programme</w:t>
      </w:r>
    </w:p>
    <w:p w:rsidR="00F72906" w:rsidRDefault="00F72906" w:rsidP="00F72906">
      <w:r>
        <w:t>70.</w:t>
      </w:r>
      <w:r>
        <w:tab/>
        <w:t xml:space="preserve">As the disruption caused by coronavirus continues to spread, so does the potential to generate additional risks for construction contracts that underpin delivery of </w:t>
      </w:r>
      <w:r w:rsidR="00752FD4">
        <w:t>the councils capital programme.</w:t>
      </w:r>
    </w:p>
    <w:p w:rsidR="00F72906" w:rsidRDefault="00F72906" w:rsidP="00F72906">
      <w:r>
        <w:t>71.</w:t>
      </w:r>
      <w:r>
        <w:tab/>
        <w:t>The effects of the virus in the UK and internationally both in terms of the rising number affected as well as the preventative measures taken means that it is now certain that COVID-19 will impact on construction and infrastructure projects in the UK, with labour and material shortages b</w:t>
      </w:r>
      <w:r w:rsidR="00752FD4">
        <w:t>eing expected.</w:t>
      </w:r>
    </w:p>
    <w:p w:rsidR="00F72906" w:rsidRDefault="00F72906" w:rsidP="00F72906">
      <w:r>
        <w:t>72.</w:t>
      </w:r>
      <w:r>
        <w:tab/>
        <w:t>This raises a number of potential risks and considerations for the capital programme from a contractor and council perspective.</w:t>
      </w:r>
    </w:p>
    <w:p w:rsidR="00F72906" w:rsidRDefault="00F72906" w:rsidP="00F72906">
      <w:r>
        <w:lastRenderedPageBreak/>
        <w:t>73.</w:t>
      </w:r>
      <w:r>
        <w:tab/>
        <w:t>For contractors, where projects are stalled for an extended period contractors could go bust resulting in significant delays and cost increases. Although main contractors are protected to some extent through the newly implemented immediate payment policies there is no guarantee of this protection being passed down to sub-contractors. Finally, if contractors down tools this could lead to substantial delay</w:t>
      </w:r>
      <w:r w:rsidR="00752FD4">
        <w:t>s in delivery of the programme.</w:t>
      </w:r>
    </w:p>
    <w:p w:rsidR="00F72906" w:rsidRDefault="00F72906" w:rsidP="00F72906">
      <w:r>
        <w:t>74.</w:t>
      </w:r>
      <w:r>
        <w:tab/>
        <w:t>From a Council perspective, where projects are delayed this could create cost/income pressures through a reduction or delay in the receipt of rental income, capital grants, S106 and CIL receipts which are required to fund capital borrowing costs or contrib</w:t>
      </w:r>
      <w:r w:rsidR="0076192C">
        <w:t>ute to revenue savings targets.</w:t>
      </w:r>
    </w:p>
    <w:p w:rsidR="00F72906" w:rsidRDefault="00F72906" w:rsidP="00F72906">
      <w:r>
        <w:t>75.</w:t>
      </w:r>
      <w:r>
        <w:tab/>
        <w:t xml:space="preserve">There is also a risk that the deferral of highways maintenance due to shortage of labour and materials could lead to higher long-term costs </w:t>
      </w:r>
      <w:r w:rsidR="0076192C">
        <w:t>and increased insurance claims.</w:t>
      </w:r>
    </w:p>
    <w:p w:rsidR="00F72906" w:rsidRDefault="00F72906" w:rsidP="00F72906">
      <w:r>
        <w:t>76.</w:t>
      </w:r>
      <w:r>
        <w:tab/>
        <w:t>The risks noted above are routinely tracked and monitored through the various internal governance boards and committees. Whilst the Council’s capital programme for 2019/20 has been largely unaffected so far, we predict that the financial risks from the COVID-19 outbreak could begin to impact from 2020/21 depending on the length of the lockdown, however several different scenarios have been modelled as set out in Table 5.</w:t>
      </w:r>
    </w:p>
    <w:p w:rsidR="00F72906" w:rsidRPr="0076192C" w:rsidRDefault="00F72906" w:rsidP="00F72906">
      <w:pPr>
        <w:rPr>
          <w:i/>
        </w:rPr>
      </w:pPr>
      <w:r w:rsidRPr="0076192C">
        <w:rPr>
          <w:i/>
        </w:rPr>
        <w:t>Treasury Management</w:t>
      </w:r>
    </w:p>
    <w:p w:rsidR="00F72906" w:rsidRDefault="00F72906" w:rsidP="00F72906">
      <w:r>
        <w:t>77.</w:t>
      </w:r>
      <w:r>
        <w:tab/>
        <w:t>The government is providing a series of additional funding measures in response to the challenges caused by COVID-19. This is likely to mean that from the 1 April, most Councils will receive large sums of money from central government. The Council is due to receive £18.3m from the Coronavirus Fund and £64m in relati</w:t>
      </w:r>
      <w:r w:rsidR="0076192C">
        <w:t>on to Business Rates Discounts.</w:t>
      </w:r>
    </w:p>
    <w:p w:rsidR="00F72906" w:rsidRDefault="00F72906" w:rsidP="00F72906">
      <w:r>
        <w:t>78.</w:t>
      </w:r>
      <w:r>
        <w:tab/>
        <w:t>The Councils Treasury Management Strategy articulates the Council's policies for managing this cash and gives priority to the security and liquidity over that of return. During this period of increased financial risk the Council will continue to work within this approved framework and will not break existing limits to cope with this inflow, nor will it leave large sum</w:t>
      </w:r>
      <w:r w:rsidR="0076192C">
        <w:t>s exposed to undue credit risk.</w:t>
      </w:r>
    </w:p>
    <w:p w:rsidR="00F72906" w:rsidRDefault="00F72906" w:rsidP="00F72906">
      <w:r>
        <w:t>79.</w:t>
      </w:r>
      <w:r>
        <w:tab/>
        <w:t>Whilst the Council will naturally wish to keep this extra cash secure and liquid, this is best achieved by diversifying investments across money market funds, call accounts, short-term local authority loans and by utilising safe havens such as the DMADF (Debt Management Account Deposit Facility). This is a facility run by the Debt Management Office and provides the Council with a flexible and secure facility to supplement other existing investment options while saving interest costs for central government. The Council intends to utilise the DMO for holding the majority of the additional COVID-19 funding in the short term until these cash bala</w:t>
      </w:r>
      <w:r w:rsidR="0076192C">
        <w:t>nces run down to normal levels.</w:t>
      </w:r>
    </w:p>
    <w:p w:rsidR="00F72906" w:rsidRPr="0076192C" w:rsidRDefault="00F72906" w:rsidP="00F72906">
      <w:pPr>
        <w:rPr>
          <w:b/>
        </w:rPr>
      </w:pPr>
      <w:r w:rsidRPr="0076192C">
        <w:rPr>
          <w:b/>
        </w:rPr>
        <w:t>Managing the financial Impact of COVID-19 pressures</w:t>
      </w:r>
    </w:p>
    <w:p w:rsidR="00F72906" w:rsidRDefault="00F72906" w:rsidP="00F72906">
      <w:r>
        <w:t>80.</w:t>
      </w:r>
      <w:r>
        <w:tab/>
        <w:t>Table 5 shows that based on current estimates, the net cost of COVID-19 is expected to be an additional £35m in 2020-21 (£19.8m if the impact can be restricted to 3 months), which is far in excess of the £18.3m funding recently announced. That being said, the Government has consistently said that it is committed to supporting local authorities to play their</w:t>
      </w:r>
      <w:r w:rsidR="0076192C">
        <w:t xml:space="preserve"> part in the national response.</w:t>
      </w:r>
    </w:p>
    <w:p w:rsidR="00F72906" w:rsidRDefault="00F72906" w:rsidP="00F72906">
      <w:r>
        <w:t>81.</w:t>
      </w:r>
      <w:r>
        <w:tab/>
        <w:t xml:space="preserve">The cost estimates set out in this report are considerable and the Council is working to the assumption (based on assertions made by Chancellor of the Exchequer, Rishi Sunak) that these costs will be fully reimbursed. However, in the event that there is a shortfall, contingency plans are in place to keep the council on a sound financial footing. These plans will be encapsulated in a more detailed report to Cabinet later in the year however the Council will use the full range of options </w:t>
      </w:r>
      <w:r>
        <w:lastRenderedPageBreak/>
        <w:t>available, including (but not limited to) taking steps to reduce demand for services, implementing further efficiency savings, streamlining processes wherever possible and as a last resort the re-diverting of earmarked cash reserves as a one-off measure.</w:t>
      </w:r>
    </w:p>
    <w:p w:rsidR="00F72906" w:rsidRPr="0076192C" w:rsidRDefault="00F72906" w:rsidP="00F72906">
      <w:pPr>
        <w:rPr>
          <w:b/>
        </w:rPr>
      </w:pPr>
      <w:r w:rsidRPr="0076192C">
        <w:rPr>
          <w:b/>
        </w:rPr>
        <w:t>Impact on 2020/21 savings and MTFS</w:t>
      </w:r>
    </w:p>
    <w:p w:rsidR="00F72906" w:rsidRDefault="00F72906" w:rsidP="00F72906">
      <w:r>
        <w:t>82.</w:t>
      </w:r>
      <w:r>
        <w:tab/>
        <w:t>The budget agreed by Council in February 2020 included savings of £7.4m in 2020/21, in order to deliver a balanced budget. Assuming the baseline assumption that the lockdown protocols will last three months and a further three months will be required to return to a form of normality, the impact on the savings planned for delivery</w:t>
      </w:r>
      <w:r w:rsidR="0076192C">
        <w:t xml:space="preserve"> in 2020/21 have been reviewed.</w:t>
      </w:r>
    </w:p>
    <w:p w:rsidR="00F72906" w:rsidRDefault="00F72906" w:rsidP="00F72906">
      <w:r>
        <w:t>83.</w:t>
      </w:r>
      <w:r>
        <w:tab/>
        <w:t>The initial analysis shows that of the £7.4m planned savings in 20/21, £0.3m are at risk of not being delivered at all, £2.4m have already been delivered (either delivered early or not affected by the impact of COVID-19) and £4.7m will not be delivered</w:t>
      </w:r>
      <w:r w:rsidR="0076192C">
        <w:t xml:space="preserve"> in 20/21.</w:t>
      </w:r>
    </w:p>
    <w:p w:rsidR="00F72906" w:rsidRDefault="00F72906" w:rsidP="00F72906">
      <w:r>
        <w:t>84.</w:t>
      </w:r>
      <w:r>
        <w:tab/>
        <w:t>Further analysis is underway to determine whether (i) the savings at risk will not be delivered at all, (ii) the savings at risk will be delivered but there may be some degree of slippage and/or (iii) mitigating actions can be implemented in the short term. It is envisaged that this outlook will become clearer in the coming months. Along with the review and tracking of COVID-19 cost pressures throughout the period of the pandemic, the position is being monitored on a daily basis and a detailed report along with a refreshed Medium Term Financial Plan (MTFP) including revised proposals will be re</w:t>
      </w:r>
      <w:r w:rsidR="0076192C">
        <w:t>ported to Cabinet in July 2020.</w:t>
      </w:r>
    </w:p>
    <w:p w:rsidR="00F72906" w:rsidRPr="0076192C" w:rsidRDefault="00F72906" w:rsidP="00F72906">
      <w:pPr>
        <w:rPr>
          <w:b/>
        </w:rPr>
      </w:pPr>
      <w:r w:rsidRPr="0076192C">
        <w:rPr>
          <w:b/>
        </w:rPr>
        <w:t>Going Concern</w:t>
      </w:r>
    </w:p>
    <w:p w:rsidR="00F72906" w:rsidRDefault="00F72906" w:rsidP="00F72906">
      <w:r>
        <w:t>85.</w:t>
      </w:r>
      <w:r>
        <w:tab/>
        <w:t>As with all local authorities, the Council is required to compile its Statement of Accounts in accordance with the Code of Practice on Local Authority Accounting for 2019/20. In accordance with the Code the Council’s Statement of Accounts is prepared on the basis that the Council will continue to operate in the foreseeable future and that it is able to do so within the current and anticipated resources available. It therefore naturally follows that the Council expects to realise its assets and settle its obligations in the normal course of business. There are several themes worth discussing when considering the “going concern” question.</w:t>
      </w:r>
    </w:p>
    <w:p w:rsidR="00F72906" w:rsidRPr="0076192C" w:rsidRDefault="00F72906" w:rsidP="00F72906">
      <w:pPr>
        <w:rPr>
          <w:b/>
        </w:rPr>
      </w:pPr>
      <w:r w:rsidRPr="0076192C">
        <w:rPr>
          <w:b/>
        </w:rPr>
        <w:t>Statute and regulations</w:t>
      </w:r>
    </w:p>
    <w:p w:rsidR="00F72906" w:rsidRDefault="00F72906" w:rsidP="00F72906">
      <w:r>
        <w:t>86.</w:t>
      </w:r>
      <w:r>
        <w:tab/>
        <w:t>The Council cannot be created or dissolved without statutory prescription, it would not therefore be appropriate for local authority financial statements to be prepared on anything other than a going concern basis. It is also extremely likely that, as in the case of other councils, central government would step in to provide support and assistance if any council ran into financial difficulties.</w:t>
      </w:r>
    </w:p>
    <w:p w:rsidR="00F72906" w:rsidRPr="0076192C" w:rsidRDefault="00F72906" w:rsidP="00F72906">
      <w:pPr>
        <w:rPr>
          <w:b/>
        </w:rPr>
      </w:pPr>
      <w:r w:rsidRPr="0076192C">
        <w:rPr>
          <w:b/>
        </w:rPr>
        <w:t>Current financial position</w:t>
      </w:r>
    </w:p>
    <w:p w:rsidR="00F72906" w:rsidRDefault="00F72906" w:rsidP="00F72906">
      <w:r>
        <w:t>87.</w:t>
      </w:r>
      <w:r>
        <w:tab/>
        <w:t xml:space="preserve">The financial outturn position 2019/20 shows a balanced position and as at the 31 March 20 the Council held general revenue reserves of £15.1m. Additionally the Council held £160m in earmarked reserves (excluding Community Infrastructure Levy (CIL) funds) which are held to meet </w:t>
      </w:r>
      <w:r w:rsidR="0076192C">
        <w:t xml:space="preserve">specific identified pressures. </w:t>
      </w:r>
    </w:p>
    <w:p w:rsidR="00F72906" w:rsidRDefault="00F72906" w:rsidP="00F72906">
      <w:r>
        <w:t>88.</w:t>
      </w:r>
      <w:r>
        <w:tab/>
        <w:t>General reserves reflect the ability of the Council to deal with unforeseen events and unexpected financial pressures in any particular year and are a key indicator of the financial resilience of the Council. Given that Brent has relatively high levels of reserves this is a positive indicator. As part of the Medium Term Financial Strategy the Director of Finance has assessed that the optimum level of general reserves to be held by the Council is between 5-10% of net</w:t>
      </w:r>
      <w:r w:rsidR="0076192C">
        <w:t xml:space="preserve"> </w:t>
      </w:r>
      <w:r>
        <w:lastRenderedPageBreak/>
        <w:t>expenditure. At 31 March 2020 general reserves were at 5.3% of the net revenue budget for 2020/21.</w:t>
      </w:r>
    </w:p>
    <w:p w:rsidR="00F72906" w:rsidRPr="0076192C" w:rsidRDefault="00F72906" w:rsidP="00F72906">
      <w:pPr>
        <w:rPr>
          <w:b/>
        </w:rPr>
      </w:pPr>
      <w:r w:rsidRPr="0076192C">
        <w:rPr>
          <w:b/>
        </w:rPr>
        <w:t>Projected financial position</w:t>
      </w:r>
    </w:p>
    <w:p w:rsidR="00F72906" w:rsidRDefault="00F72906" w:rsidP="00F72906">
      <w:r>
        <w:t>89.</w:t>
      </w:r>
      <w:r>
        <w:tab/>
        <w:t xml:space="preserve">The Council set a balanced budget in 2020/21 with a total cash limit of £298.8m. The budget included £21.2m of growth and technical adjustments and required £7.4m efficiency savings, all of which have been identified. The sector has faced significant reductions in central government grant funding and the Council has successfully achieved budget savings of £174m over the last 10 years, demonstrating a good track record </w:t>
      </w:r>
      <w:r w:rsidR="0076192C">
        <w:t>of strong financial management.</w:t>
      </w:r>
    </w:p>
    <w:p w:rsidR="00F72906" w:rsidRDefault="00F72906" w:rsidP="00F72906">
      <w:r>
        <w:t>90.</w:t>
      </w:r>
      <w:r>
        <w:tab/>
        <w:t>Prior to the outbreak of the pandemic a budget gap of £6.1m over the period 2021/22 to 2022/23 had been identified and a package of savings were agreed by Cabinet in March 2020. The progress of the savings targets along with the ongoing impact of the pandemic will be carefully monitored over the Medium Term Financial period and reported back to Cabinet periodically. In the event that the COVID-19 costs are not funded by central government the Council has the option of utilising general reserves as a one-off measure. However, in this event, the Council would need to find additional savings in the short-term to replenish the</w:t>
      </w:r>
      <w:r w:rsidR="0076192C">
        <w:t>se reserves to required levels.</w:t>
      </w:r>
    </w:p>
    <w:p w:rsidR="00F72906" w:rsidRDefault="00F72906" w:rsidP="00F72906">
      <w:r>
        <w:t>91.</w:t>
      </w:r>
      <w:r>
        <w:tab/>
        <w:t>The Council has a well-established process for the development of its Capital Strategy. As with the revenue budget it is reported to Cabinet each year along with the Treasury and Investment Strategy which ensures that the Council maintains a capital programme which is prudent, sustainable and affordable. The Council has an ambitious capital programme for 2020/21 to 2024/25 totalling £780m.</w:t>
      </w:r>
    </w:p>
    <w:p w:rsidR="00F72906" w:rsidRPr="0076192C" w:rsidRDefault="00F72906" w:rsidP="00F72906">
      <w:pPr>
        <w:rPr>
          <w:b/>
        </w:rPr>
      </w:pPr>
      <w:r w:rsidRPr="0076192C">
        <w:rPr>
          <w:b/>
        </w:rPr>
        <w:t>The Council’s balance sheet</w:t>
      </w:r>
    </w:p>
    <w:p w:rsidR="00F72906" w:rsidRDefault="00F72906" w:rsidP="00F72906">
      <w:r>
        <w:t>92.</w:t>
      </w:r>
      <w:r>
        <w:tab/>
        <w:t xml:space="preserve">The balance sheet shows a net worth of £1,666m (excluding the pension liability of £660.2m). There are statutory arrangements for funding the pension deficit through increasing contributions over the remaining working life of the employees, as assessed by an independent actuary. Council’s contributions for 2020/21 have been set at 35% which is in line with the Fund’s deficit recovery plan to clear its deficit within 19 years of the balance sheet date. The Councils balance sheet position therefore remains healthy. </w:t>
      </w:r>
    </w:p>
    <w:p w:rsidR="00F72906" w:rsidRPr="0076192C" w:rsidRDefault="00F72906" w:rsidP="00F72906">
      <w:pPr>
        <w:rPr>
          <w:b/>
        </w:rPr>
      </w:pPr>
      <w:r w:rsidRPr="0076192C">
        <w:rPr>
          <w:b/>
        </w:rPr>
        <w:t>The Council’s governance arrangements</w:t>
      </w:r>
    </w:p>
    <w:p w:rsidR="00F72906" w:rsidRDefault="00F72906" w:rsidP="00F72906">
      <w:r>
        <w:t>93.</w:t>
      </w:r>
      <w:r>
        <w:tab/>
        <w:t>The Council has a well-established and robust corporate governance framework. This includes the statutory elements like the post of Head of Paid Service, the Monitoring Officer and the Section 151 Officer in addition to the current political arrangements. An overview of this governance framework is provided within the Annual Governance Statement for 2019/20. This includes a detailed review of the effectiveness of the Council’s governance arrangements, including arrangements put in place during the p</w:t>
      </w:r>
      <w:r w:rsidR="0076192C">
        <w:t>eriod of the COVID-19 pandemic.</w:t>
      </w:r>
    </w:p>
    <w:p w:rsidR="00F72906" w:rsidRDefault="00F72906" w:rsidP="00F72906">
      <w:r>
        <w:t>94.</w:t>
      </w:r>
      <w:r>
        <w:tab/>
        <w:t>Despite the challenges faced by COVID-19 which are captured throughout this statement, it is considered that whilst having regard to the Council’s arrangements summarised above and other such factors as highlighted in this report that the C</w:t>
      </w:r>
      <w:r w:rsidR="0076192C">
        <w:t>ouncil remains a going concern.</w:t>
      </w:r>
    </w:p>
    <w:p w:rsidR="00F72906" w:rsidRPr="0076192C" w:rsidRDefault="00F72906" w:rsidP="00F72906">
      <w:pPr>
        <w:rPr>
          <w:b/>
        </w:rPr>
      </w:pPr>
      <w:r w:rsidRPr="0076192C">
        <w:rPr>
          <w:b/>
        </w:rPr>
        <w:t>Governance</w:t>
      </w:r>
    </w:p>
    <w:p w:rsidR="00F72906" w:rsidRDefault="00F72906" w:rsidP="00F72906">
      <w:r>
        <w:t>95.</w:t>
      </w:r>
      <w:r>
        <w:tab/>
        <w:t xml:space="preserve">The urgency of the current situation has required decisions to be taken at speed and sometimes without the degree of consultation and debate that is usually considered desirable, because it is not currently practicable. As the current situation in respect of COVID-19 is clearly an exceptional one, interim arrangements were enacted that authorised the Chief Executive under the </w:t>
      </w:r>
      <w:r>
        <w:lastRenderedPageBreak/>
        <w:t>Constitution to exercise any executive or non-executive functions where the matter is urgent, un</w:t>
      </w:r>
      <w:r w:rsidR="0076192C">
        <w:t>less this is prohibited by law.</w:t>
      </w:r>
    </w:p>
    <w:p w:rsidR="00F72906" w:rsidRDefault="00F72906" w:rsidP="00F72906">
      <w:r>
        <w:t>96.</w:t>
      </w:r>
      <w:r>
        <w:tab/>
        <w:t>These steps were necessary in order to protect critical and essential services, comply with the government and PHE guidance or to implement Government schemes and provisions of the Coronavirus Act 2020 and other new legislation. Full details including a list of critical services was reported to the Audit and Standards Advisory Committee at i</w:t>
      </w:r>
      <w:r w:rsidR="0076192C">
        <w:t>ts meeting of the 5th May 2020.</w:t>
      </w:r>
    </w:p>
    <w:p w:rsidR="00F72906" w:rsidRDefault="00F72906" w:rsidP="00F72906">
      <w:r>
        <w:t>97.</w:t>
      </w:r>
      <w:r>
        <w:tab/>
        <w:t>Further details concerning the emergency governance procedures implemented following the outbreak of the pandemic can be found in the Annua</w:t>
      </w:r>
      <w:r w:rsidR="0076192C">
        <w:t>l Governance Statement 2019/20.</w:t>
      </w:r>
    </w:p>
    <w:p w:rsidR="00F72906" w:rsidRPr="0076192C" w:rsidRDefault="00F72906" w:rsidP="00F72906">
      <w:pPr>
        <w:rPr>
          <w:b/>
        </w:rPr>
      </w:pPr>
      <w:r w:rsidRPr="0076192C">
        <w:rPr>
          <w:b/>
        </w:rPr>
        <w:t>Financial Governance</w:t>
      </w:r>
    </w:p>
    <w:p w:rsidR="00F72906" w:rsidRDefault="00F72906" w:rsidP="00F72906">
      <w:r>
        <w:t>98.</w:t>
      </w:r>
      <w:r>
        <w:tab/>
        <w:t>The maintenance of financial control and stewardship of public funds will remain critical during the response to COVID-19. We have stressed that officers must continue to comply with their legal responsibilities and have regard to their duties as set out in Managing Public Money and other related guidance. Any financial mismanagement during this period will be dealt with in exactly the same way as at any other time. We have also highlighted officers to the dangers of frau</w:t>
      </w:r>
      <w:r w:rsidR="0076192C">
        <w:t>d and put in place mitigations.</w:t>
      </w:r>
    </w:p>
    <w:p w:rsidR="00F72906" w:rsidRDefault="00F72906" w:rsidP="00F72906">
      <w:r>
        <w:t>99.</w:t>
      </w:r>
      <w:r>
        <w:tab/>
        <w:t>The Finance Department has undertaken periodic reviews of our financial governance arrangements to ensure decisions to commit resources in response to COVID-19 are robust. We have also tested the resilience of the finance functions and business continuity plans to make sure that the most important elements (running payroll, paying suppliers, core reporting) can continue even wi</w:t>
      </w:r>
      <w:r w:rsidR="0076192C">
        <w:t xml:space="preserve">th significant staff absences. </w:t>
      </w:r>
    </w:p>
    <w:p w:rsidR="00F72906" w:rsidRPr="0076192C" w:rsidRDefault="00F72906" w:rsidP="00F72906">
      <w:pPr>
        <w:rPr>
          <w:b/>
        </w:rPr>
      </w:pPr>
      <w:r w:rsidRPr="0076192C">
        <w:rPr>
          <w:b/>
        </w:rPr>
        <w:t>Looking Ahead</w:t>
      </w:r>
    </w:p>
    <w:p w:rsidR="00F72906" w:rsidRPr="0076192C" w:rsidRDefault="00F72906" w:rsidP="00F72906">
      <w:pPr>
        <w:rPr>
          <w:i/>
        </w:rPr>
      </w:pPr>
      <w:r w:rsidRPr="0076192C">
        <w:rPr>
          <w:i/>
        </w:rPr>
        <w:t>Recovery</w:t>
      </w:r>
    </w:p>
    <w:p w:rsidR="00F72906" w:rsidRDefault="00F72906" w:rsidP="00F72906">
      <w:r>
        <w:t>100.</w:t>
      </w:r>
      <w:r>
        <w:tab/>
        <w:t xml:space="preserve">Whilst we do not yet know for certain how long the lockdown will continue for the council is now operating stably in the “new normal”. It is therefore crucial that we consider the many options open to the Council once the lockdown (either partial or total) ends. Recovery planning will need to cover both internal i.e. council and external i.e. community recovery and will probably have to be done in a phased way. It will be very important to ensure that all councillors and all staff are involved in this </w:t>
      </w:r>
      <w:r w:rsidR="0076192C">
        <w:t xml:space="preserve">discussion as we move forward. </w:t>
      </w:r>
    </w:p>
    <w:p w:rsidR="00F72906" w:rsidRDefault="00F72906" w:rsidP="00F72906">
      <w:r>
        <w:t>101.</w:t>
      </w:r>
      <w:r>
        <w:tab/>
        <w:t xml:space="preserve">The Council is already looking ahead and actively planning for this by identifying elements of what has happened in recent months that we would like to retain e.g. even more flexible working than is currently the case, quicker decision making and more generic roles for some officers, less traffic on the road and improved air quality, a stronger sense of communities looking after each other. Equally there will be some other areas where we may put things back in place as before but that we now know we can </w:t>
      </w:r>
      <w:r w:rsidR="0076192C">
        <w:t>do them differently and better.</w:t>
      </w:r>
    </w:p>
    <w:p w:rsidR="00F72906" w:rsidRDefault="00F72906" w:rsidP="00F72906">
      <w:r>
        <w:t>102.</w:t>
      </w:r>
      <w:r>
        <w:tab/>
        <w:t>As part of this initiative, reporting through the Senior Leadership Team (SLT) departments have been identifying potential actions or processes that could be adopted as the Council transitions through this recovery phase in the coming months.</w:t>
      </w:r>
    </w:p>
    <w:p w:rsidR="00F72906" w:rsidRPr="0076192C" w:rsidRDefault="00F72906" w:rsidP="00F72906">
      <w:pPr>
        <w:rPr>
          <w:color w:val="FF0000"/>
        </w:rPr>
      </w:pPr>
      <w:r w:rsidRPr="0076192C">
        <w:rPr>
          <w:color w:val="FF0000"/>
        </w:rPr>
        <w:t>Table 6</w:t>
      </w:r>
    </w:p>
    <w:tbl>
      <w:tblPr>
        <w:tblStyle w:val="TableGrid"/>
        <w:tblW w:w="9351" w:type="dxa"/>
        <w:tblInd w:w="279" w:type="dxa"/>
        <w:tblLook w:val="04A0" w:firstRow="1" w:lastRow="0" w:firstColumn="1" w:lastColumn="0" w:noHBand="0" w:noVBand="1"/>
        <w:tblCaption w:val="Potential actions or processes that can be adopted"/>
        <w:tblDescription w:val="Table showing the identified potnetial actions or processes that could be adopted as the Council transitions through this recovery phase. This is set out into 3 categoties; restore, retain and re-invent"/>
      </w:tblPr>
      <w:tblGrid>
        <w:gridCol w:w="3114"/>
        <w:gridCol w:w="3119"/>
        <w:gridCol w:w="3118"/>
      </w:tblGrid>
      <w:tr w:rsidR="0076192C" w:rsidRPr="00E32262" w:rsidTr="0003552F">
        <w:trPr>
          <w:trHeight w:val="1111"/>
          <w:tblHeader/>
        </w:trPr>
        <w:tc>
          <w:tcPr>
            <w:tcW w:w="3114" w:type="dxa"/>
            <w:shd w:val="clear" w:color="auto" w:fill="7F7F7F" w:themeFill="text1" w:themeFillTint="80"/>
          </w:tcPr>
          <w:p w:rsidR="0076192C" w:rsidRPr="00E32262" w:rsidRDefault="0076192C" w:rsidP="0003552F">
            <w:pPr>
              <w:rPr>
                <w:rFonts w:cstheme="minorHAnsi"/>
                <w:b/>
                <w:color w:val="FFFFFF" w:themeColor="background1"/>
              </w:rPr>
            </w:pPr>
            <w:r w:rsidRPr="00E32262">
              <w:rPr>
                <w:rFonts w:cstheme="minorHAnsi"/>
                <w:b/>
                <w:color w:val="FFFFFF" w:themeColor="background1"/>
              </w:rPr>
              <w:lastRenderedPageBreak/>
              <w:t xml:space="preserve">Restore </w:t>
            </w:r>
          </w:p>
          <w:p w:rsidR="0076192C" w:rsidRPr="00E32262" w:rsidRDefault="0076192C" w:rsidP="0003552F">
            <w:pPr>
              <w:rPr>
                <w:rFonts w:cstheme="minorHAnsi"/>
                <w:i/>
                <w:color w:val="FFFFFF" w:themeColor="background1"/>
              </w:rPr>
            </w:pPr>
            <w:r w:rsidRPr="00E32262">
              <w:rPr>
                <w:rFonts w:cstheme="minorHAnsi"/>
                <w:i/>
                <w:color w:val="FFFFFF" w:themeColor="background1"/>
              </w:rPr>
              <w:t>(Gradual transition away from crisis management arrangements)</w:t>
            </w:r>
          </w:p>
        </w:tc>
        <w:tc>
          <w:tcPr>
            <w:tcW w:w="3119" w:type="dxa"/>
            <w:shd w:val="clear" w:color="auto" w:fill="7F7F7F" w:themeFill="text1" w:themeFillTint="80"/>
          </w:tcPr>
          <w:p w:rsidR="0076192C" w:rsidRPr="00E32262" w:rsidRDefault="0076192C" w:rsidP="0003552F">
            <w:pPr>
              <w:rPr>
                <w:rFonts w:cstheme="minorHAnsi"/>
                <w:b/>
                <w:color w:val="FFFFFF" w:themeColor="background1"/>
              </w:rPr>
            </w:pPr>
            <w:r w:rsidRPr="00E32262">
              <w:rPr>
                <w:rFonts w:cstheme="minorHAnsi"/>
                <w:b/>
                <w:color w:val="FFFFFF" w:themeColor="background1"/>
              </w:rPr>
              <w:t xml:space="preserve">Retain </w:t>
            </w:r>
          </w:p>
          <w:p w:rsidR="0076192C" w:rsidRPr="00E32262" w:rsidRDefault="0076192C" w:rsidP="0003552F">
            <w:pPr>
              <w:rPr>
                <w:rFonts w:cstheme="minorHAnsi"/>
                <w:i/>
                <w:color w:val="FFFFFF" w:themeColor="background1"/>
              </w:rPr>
            </w:pPr>
            <w:r w:rsidRPr="00E32262">
              <w:rPr>
                <w:rFonts w:cstheme="minorHAnsi"/>
                <w:i/>
                <w:color w:val="FFFFFF" w:themeColor="background1"/>
              </w:rPr>
              <w:t>(Identifying those aspects of work that staff wish to maintain)</w:t>
            </w:r>
          </w:p>
        </w:tc>
        <w:tc>
          <w:tcPr>
            <w:tcW w:w="3118" w:type="dxa"/>
            <w:shd w:val="clear" w:color="auto" w:fill="7F7F7F" w:themeFill="text1" w:themeFillTint="80"/>
          </w:tcPr>
          <w:p w:rsidR="0076192C" w:rsidRPr="00E32262" w:rsidRDefault="0076192C" w:rsidP="0003552F">
            <w:pPr>
              <w:rPr>
                <w:rFonts w:cstheme="minorHAnsi"/>
                <w:b/>
                <w:color w:val="FFFFFF" w:themeColor="background1"/>
              </w:rPr>
            </w:pPr>
            <w:r w:rsidRPr="00E32262">
              <w:rPr>
                <w:rFonts w:cstheme="minorHAnsi"/>
                <w:b/>
                <w:color w:val="FFFFFF" w:themeColor="background1"/>
              </w:rPr>
              <w:t xml:space="preserve">Re-invent </w:t>
            </w:r>
          </w:p>
          <w:p w:rsidR="0076192C" w:rsidRPr="00E32262" w:rsidRDefault="0076192C" w:rsidP="0003552F">
            <w:pPr>
              <w:rPr>
                <w:rFonts w:cstheme="minorHAnsi"/>
                <w:i/>
                <w:color w:val="FFFFFF" w:themeColor="background1"/>
              </w:rPr>
            </w:pPr>
            <w:r w:rsidRPr="00E32262">
              <w:rPr>
                <w:rFonts w:cstheme="minorHAnsi"/>
                <w:i/>
                <w:color w:val="FFFFFF" w:themeColor="background1"/>
              </w:rPr>
              <w:t>(Aspects of work that staff should retain, re-invent or stop)</w:t>
            </w:r>
          </w:p>
        </w:tc>
      </w:tr>
      <w:tr w:rsidR="0076192C" w:rsidRPr="00E32262" w:rsidTr="0003552F">
        <w:tc>
          <w:tcPr>
            <w:tcW w:w="3114" w:type="dxa"/>
          </w:tcPr>
          <w:p w:rsidR="0076192C" w:rsidRPr="00E32262" w:rsidRDefault="0076192C" w:rsidP="0003552F">
            <w:pPr>
              <w:rPr>
                <w:rFonts w:cstheme="minorHAnsi"/>
              </w:rPr>
            </w:pPr>
          </w:p>
          <w:p w:rsidR="0076192C" w:rsidRPr="00E32262" w:rsidRDefault="0076192C" w:rsidP="0003552F">
            <w:pPr>
              <w:rPr>
                <w:rFonts w:cstheme="minorHAnsi"/>
              </w:rPr>
            </w:pPr>
            <w:r w:rsidRPr="00E32262">
              <w:rPr>
                <w:rFonts w:cstheme="minorHAnsi"/>
              </w:rPr>
              <w:t>•Responding to national directives</w:t>
            </w:r>
          </w:p>
          <w:p w:rsidR="0076192C" w:rsidRPr="00E32262" w:rsidRDefault="0076192C" w:rsidP="0003552F">
            <w:pPr>
              <w:rPr>
                <w:rFonts w:cstheme="minorHAnsi"/>
              </w:rPr>
            </w:pPr>
            <w:r w:rsidRPr="00E32262">
              <w:rPr>
                <w:rFonts w:cstheme="minorHAnsi"/>
              </w:rPr>
              <w:t>•Maintaining social distancing</w:t>
            </w:r>
          </w:p>
          <w:p w:rsidR="0076192C" w:rsidRPr="00E32262" w:rsidRDefault="0076192C" w:rsidP="0003552F">
            <w:pPr>
              <w:rPr>
                <w:rFonts w:cstheme="minorHAnsi"/>
              </w:rPr>
            </w:pPr>
            <w:r w:rsidRPr="00E32262">
              <w:rPr>
                <w:rFonts w:cstheme="minorHAnsi"/>
              </w:rPr>
              <w:t>•Ongoing support for shielded cohort</w:t>
            </w:r>
          </w:p>
          <w:p w:rsidR="0076192C" w:rsidRPr="00E32262" w:rsidRDefault="0076192C" w:rsidP="0003552F">
            <w:pPr>
              <w:rPr>
                <w:rFonts w:cstheme="minorHAnsi"/>
              </w:rPr>
            </w:pPr>
            <w:r w:rsidRPr="00E32262">
              <w:rPr>
                <w:rFonts w:cstheme="minorHAnsi"/>
              </w:rPr>
              <w:t>•Managing phasing out of crisis services (e.g. food delivery)</w:t>
            </w:r>
          </w:p>
          <w:p w:rsidR="0076192C" w:rsidRPr="00E32262" w:rsidRDefault="0076192C" w:rsidP="0003552F">
            <w:pPr>
              <w:rPr>
                <w:rFonts w:cstheme="minorHAnsi"/>
              </w:rPr>
            </w:pPr>
            <w:r w:rsidRPr="00E32262">
              <w:rPr>
                <w:rFonts w:cstheme="minorHAnsi"/>
              </w:rPr>
              <w:t>•Ramping up business as usual</w:t>
            </w:r>
          </w:p>
          <w:p w:rsidR="0076192C" w:rsidRPr="00E32262" w:rsidRDefault="0076192C" w:rsidP="0003552F">
            <w:pPr>
              <w:rPr>
                <w:rFonts w:cstheme="minorHAnsi"/>
              </w:rPr>
            </w:pPr>
            <w:r w:rsidRPr="00E32262">
              <w:rPr>
                <w:rFonts w:cstheme="minorHAnsi"/>
              </w:rPr>
              <w:t>•Recognising staff and community contributions</w:t>
            </w:r>
          </w:p>
          <w:p w:rsidR="0076192C" w:rsidRPr="00E32262" w:rsidRDefault="0076192C" w:rsidP="0003552F">
            <w:pPr>
              <w:rPr>
                <w:rFonts w:cstheme="minorHAnsi"/>
              </w:rPr>
            </w:pPr>
            <w:r w:rsidRPr="00E32262">
              <w:rPr>
                <w:rFonts w:cstheme="minorHAnsi"/>
              </w:rPr>
              <w:t>•Recovering from areas where income has been lost</w:t>
            </w:r>
          </w:p>
          <w:p w:rsidR="0076192C" w:rsidRPr="00E32262" w:rsidRDefault="0076192C" w:rsidP="0003552F">
            <w:pPr>
              <w:rPr>
                <w:rFonts w:cstheme="minorHAnsi"/>
              </w:rPr>
            </w:pPr>
          </w:p>
        </w:tc>
        <w:tc>
          <w:tcPr>
            <w:tcW w:w="3119" w:type="dxa"/>
          </w:tcPr>
          <w:p w:rsidR="0076192C" w:rsidRPr="00E32262" w:rsidRDefault="0076192C" w:rsidP="0003552F">
            <w:pPr>
              <w:rPr>
                <w:rFonts w:cstheme="minorHAnsi"/>
              </w:rPr>
            </w:pPr>
          </w:p>
          <w:p w:rsidR="0076192C" w:rsidRPr="00E32262" w:rsidRDefault="0076192C" w:rsidP="0003552F">
            <w:pPr>
              <w:rPr>
                <w:rFonts w:cstheme="minorHAnsi"/>
              </w:rPr>
            </w:pPr>
            <w:r w:rsidRPr="00E32262">
              <w:rPr>
                <w:rFonts w:cstheme="minorHAnsi"/>
              </w:rPr>
              <w:t>•Increased home working</w:t>
            </w:r>
          </w:p>
          <w:p w:rsidR="0076192C" w:rsidRPr="00E32262" w:rsidRDefault="0076192C" w:rsidP="0003552F">
            <w:pPr>
              <w:rPr>
                <w:rFonts w:cstheme="minorHAnsi"/>
              </w:rPr>
            </w:pPr>
            <w:r w:rsidRPr="00E32262">
              <w:rPr>
                <w:rFonts w:cstheme="minorHAnsi"/>
              </w:rPr>
              <w:t>•Empowering the workforce</w:t>
            </w:r>
          </w:p>
          <w:p w:rsidR="0076192C" w:rsidRPr="00E32262" w:rsidRDefault="0076192C" w:rsidP="0003552F">
            <w:pPr>
              <w:rPr>
                <w:rFonts w:cstheme="minorHAnsi"/>
              </w:rPr>
            </w:pPr>
            <w:r w:rsidRPr="00E32262">
              <w:rPr>
                <w:rFonts w:cstheme="minorHAnsi"/>
              </w:rPr>
              <w:t>•More collaborative working across service areas and with partners</w:t>
            </w:r>
          </w:p>
          <w:p w:rsidR="0076192C" w:rsidRPr="00E32262" w:rsidRDefault="0076192C" w:rsidP="0003552F">
            <w:pPr>
              <w:rPr>
                <w:rFonts w:cstheme="minorHAnsi"/>
              </w:rPr>
            </w:pPr>
            <w:r w:rsidRPr="00E32262">
              <w:rPr>
                <w:rFonts w:cstheme="minorHAnsi"/>
              </w:rPr>
              <w:t>•Rapid and effective roll out of new technology solutions</w:t>
            </w:r>
          </w:p>
          <w:p w:rsidR="0076192C" w:rsidRPr="00E32262" w:rsidRDefault="0076192C" w:rsidP="0003552F">
            <w:pPr>
              <w:rPr>
                <w:rFonts w:cstheme="minorHAnsi"/>
              </w:rPr>
            </w:pPr>
            <w:r w:rsidRPr="00E32262">
              <w:rPr>
                <w:rFonts w:cstheme="minorHAnsi"/>
              </w:rPr>
              <w:t>•Effective internal communication methods</w:t>
            </w:r>
          </w:p>
        </w:tc>
        <w:tc>
          <w:tcPr>
            <w:tcW w:w="3118" w:type="dxa"/>
          </w:tcPr>
          <w:p w:rsidR="0076192C" w:rsidRPr="00E32262" w:rsidRDefault="0076192C" w:rsidP="0003552F">
            <w:pPr>
              <w:rPr>
                <w:rFonts w:cstheme="minorHAnsi"/>
              </w:rPr>
            </w:pPr>
          </w:p>
          <w:p w:rsidR="0076192C" w:rsidRPr="00E32262" w:rsidRDefault="0076192C" w:rsidP="0003552F">
            <w:pPr>
              <w:rPr>
                <w:rFonts w:cstheme="minorHAnsi"/>
              </w:rPr>
            </w:pPr>
            <w:r w:rsidRPr="00E32262">
              <w:rPr>
                <w:rFonts w:cstheme="minorHAnsi"/>
              </w:rPr>
              <w:t>•Different use of the Civic Centre work space</w:t>
            </w:r>
          </w:p>
          <w:p w:rsidR="0076192C" w:rsidRPr="00E32262" w:rsidRDefault="0076192C" w:rsidP="0003552F">
            <w:pPr>
              <w:rPr>
                <w:rFonts w:cstheme="minorHAnsi"/>
              </w:rPr>
            </w:pPr>
            <w:r w:rsidRPr="00E32262">
              <w:rPr>
                <w:rFonts w:cstheme="minorHAnsi"/>
              </w:rPr>
              <w:t>•Flexible start and finish times</w:t>
            </w:r>
          </w:p>
          <w:p w:rsidR="0076192C" w:rsidRPr="00E32262" w:rsidRDefault="0076192C" w:rsidP="0003552F">
            <w:pPr>
              <w:rPr>
                <w:rFonts w:cstheme="minorHAnsi"/>
              </w:rPr>
            </w:pPr>
            <w:r w:rsidRPr="00E32262">
              <w:rPr>
                <w:rFonts w:cstheme="minorHAnsi"/>
              </w:rPr>
              <w:t>•Leaner working, removing tasks that don’t add value</w:t>
            </w:r>
          </w:p>
          <w:p w:rsidR="0076192C" w:rsidRPr="00E32262" w:rsidRDefault="0076192C" w:rsidP="0003552F">
            <w:pPr>
              <w:rPr>
                <w:rFonts w:cstheme="minorHAnsi"/>
              </w:rPr>
            </w:pPr>
            <w:r w:rsidRPr="00E32262">
              <w:rPr>
                <w:rFonts w:cstheme="minorHAnsi"/>
              </w:rPr>
              <w:t>•Greater use of technology to communicate and collaborate</w:t>
            </w:r>
          </w:p>
          <w:p w:rsidR="0076192C" w:rsidRPr="00E32262" w:rsidRDefault="0076192C" w:rsidP="0003552F">
            <w:pPr>
              <w:rPr>
                <w:rFonts w:cstheme="minorHAnsi"/>
              </w:rPr>
            </w:pPr>
            <w:r w:rsidRPr="00E32262">
              <w:rPr>
                <w:rFonts w:cstheme="minorHAnsi"/>
              </w:rPr>
              <w:t>•Better decision making by empowering staff at all levels</w:t>
            </w:r>
          </w:p>
        </w:tc>
      </w:tr>
    </w:tbl>
    <w:p w:rsidR="00F72906" w:rsidRDefault="00F72906" w:rsidP="00F72906"/>
    <w:p w:rsidR="0003552F" w:rsidRDefault="00F72906" w:rsidP="00F72906">
      <w:r>
        <w:t>103.</w:t>
      </w:r>
      <w:r>
        <w:tab/>
        <w:t>The results of this collaborative review will shape the way that the Council is structured and servic</w:t>
      </w:r>
      <w:r w:rsidR="0076192C">
        <w:t>es delivered for years to come.</w:t>
      </w:r>
    </w:p>
    <w:p w:rsidR="0003552F" w:rsidRDefault="0003552F">
      <w:r>
        <w:br w:type="page"/>
      </w:r>
    </w:p>
    <w:p w:rsidR="00F72906" w:rsidRDefault="00F72906" w:rsidP="0003552F">
      <w:pPr>
        <w:pStyle w:val="Heading1"/>
      </w:pPr>
      <w:bookmarkStart w:id="1" w:name="_Toc61870271"/>
      <w:r>
        <w:lastRenderedPageBreak/>
        <w:t>Core Statements</w:t>
      </w:r>
      <w:bookmarkEnd w:id="1"/>
      <w:r>
        <w:t xml:space="preserve"> </w:t>
      </w:r>
    </w:p>
    <w:p w:rsidR="00F72906" w:rsidRDefault="00F72906" w:rsidP="0003552F">
      <w:r>
        <w:t xml:space="preserve">The Council’s accounts are presented in 4 main statements in line with statutory requirements and </w:t>
      </w:r>
      <w:r w:rsidR="0003552F">
        <w:t xml:space="preserve">supported by additional notes. </w:t>
      </w:r>
    </w:p>
    <w:p w:rsidR="00F72906" w:rsidRDefault="00F72906" w:rsidP="0003552F">
      <w:pPr>
        <w:pStyle w:val="Heading2"/>
      </w:pPr>
      <w:bookmarkStart w:id="2" w:name="_Toc61870272"/>
      <w:r>
        <w:t>Balance Sheet</w:t>
      </w:r>
      <w:bookmarkEnd w:id="2"/>
      <w:r>
        <w:t xml:space="preserve"> </w:t>
      </w:r>
    </w:p>
    <w:tbl>
      <w:tblPr>
        <w:tblW w:w="8145" w:type="dxa"/>
        <w:tblLook w:val="00A0" w:firstRow="1" w:lastRow="0" w:firstColumn="1" w:lastColumn="0" w:noHBand="0" w:noVBand="0"/>
      </w:tblPr>
      <w:tblGrid>
        <w:gridCol w:w="1256"/>
        <w:gridCol w:w="222"/>
        <w:gridCol w:w="3704"/>
        <w:gridCol w:w="754"/>
        <w:gridCol w:w="1276"/>
        <w:gridCol w:w="933"/>
      </w:tblGrid>
      <w:tr w:rsidR="0003552F" w:rsidRPr="00EB2995" w:rsidTr="0003552F">
        <w:trPr>
          <w:trHeight w:hRule="exact" w:val="284"/>
        </w:trPr>
        <w:tc>
          <w:tcPr>
            <w:tcW w:w="1256" w:type="dxa"/>
            <w:tcBorders>
              <w:top w:val="nil"/>
              <w:left w:val="nil"/>
              <w:bottom w:val="nil"/>
              <w:right w:val="nil"/>
            </w:tcBorders>
            <w:noWrap/>
            <w:vAlign w:val="center"/>
          </w:tcPr>
          <w:p w:rsidR="0003552F" w:rsidRPr="00EB2995" w:rsidRDefault="0003552F" w:rsidP="0003552F">
            <w:pPr>
              <w:jc w:val="right"/>
              <w:rPr>
                <w:rFonts w:cs="Calibri"/>
                <w:b/>
                <w:bCs/>
                <w:color w:val="000000"/>
                <w:lang w:eastAsia="en-GB"/>
              </w:rPr>
            </w:pPr>
            <w:r w:rsidRPr="00EB2995">
              <w:rPr>
                <w:rFonts w:cs="Calibri"/>
                <w:b/>
                <w:bCs/>
                <w:color w:val="000000"/>
                <w:lang w:eastAsia="en-GB"/>
              </w:rPr>
              <w:t>31-Mar</w:t>
            </w:r>
          </w:p>
        </w:tc>
        <w:tc>
          <w:tcPr>
            <w:tcW w:w="222" w:type="dxa"/>
            <w:tcBorders>
              <w:top w:val="nil"/>
              <w:left w:val="nil"/>
              <w:bottom w:val="nil"/>
              <w:right w:val="nil"/>
            </w:tcBorders>
            <w:vAlign w:val="center"/>
          </w:tcPr>
          <w:p w:rsidR="0003552F" w:rsidRPr="00EB2995" w:rsidRDefault="0003552F" w:rsidP="0003552F">
            <w:pPr>
              <w:jc w:val="right"/>
              <w:rPr>
                <w:rFonts w:cs="Calibri"/>
                <w:b/>
                <w:bCs/>
                <w:color w:val="000000"/>
                <w:lang w:eastAsia="en-GB"/>
              </w:rPr>
            </w:pPr>
          </w:p>
        </w:tc>
        <w:tc>
          <w:tcPr>
            <w:tcW w:w="3704" w:type="dxa"/>
            <w:tcBorders>
              <w:top w:val="nil"/>
              <w:left w:val="nil"/>
              <w:bottom w:val="nil"/>
              <w:right w:val="nil"/>
            </w:tcBorders>
            <w:noWrap/>
            <w:vAlign w:val="center"/>
          </w:tcPr>
          <w:p w:rsidR="0003552F" w:rsidRPr="00EB2995" w:rsidRDefault="0003552F" w:rsidP="0003552F">
            <w:pPr>
              <w:jc w:val="right"/>
              <w:rPr>
                <w:rFonts w:cs="Calibri"/>
                <w:sz w:val="20"/>
                <w:szCs w:val="20"/>
                <w:lang w:eastAsia="en-GB"/>
              </w:rPr>
            </w:pPr>
          </w:p>
        </w:tc>
        <w:tc>
          <w:tcPr>
            <w:tcW w:w="754" w:type="dxa"/>
            <w:tcBorders>
              <w:top w:val="nil"/>
              <w:left w:val="nil"/>
              <w:bottom w:val="nil"/>
              <w:right w:val="nil"/>
            </w:tcBorders>
            <w:vAlign w:val="center"/>
          </w:tcPr>
          <w:p w:rsidR="0003552F" w:rsidRPr="00EB2995" w:rsidRDefault="0003552F" w:rsidP="0003552F">
            <w:pPr>
              <w:jc w:val="right"/>
              <w:rPr>
                <w:rFonts w:cs="Calibri"/>
                <w:sz w:val="20"/>
                <w:szCs w:val="20"/>
                <w:lang w:eastAsia="en-GB"/>
              </w:rPr>
            </w:pPr>
          </w:p>
        </w:tc>
        <w:tc>
          <w:tcPr>
            <w:tcW w:w="1276" w:type="dxa"/>
            <w:tcBorders>
              <w:top w:val="nil"/>
              <w:left w:val="nil"/>
              <w:bottom w:val="nil"/>
              <w:right w:val="nil"/>
            </w:tcBorders>
            <w:noWrap/>
            <w:vAlign w:val="center"/>
          </w:tcPr>
          <w:p w:rsidR="0003552F" w:rsidRPr="00EB2995" w:rsidRDefault="0003552F" w:rsidP="0003552F">
            <w:pPr>
              <w:jc w:val="right"/>
              <w:rPr>
                <w:rFonts w:cs="Calibri"/>
                <w:b/>
                <w:bCs/>
                <w:color w:val="000000"/>
                <w:lang w:eastAsia="en-GB"/>
              </w:rPr>
            </w:pPr>
            <w:r w:rsidRPr="00EB2995">
              <w:rPr>
                <w:rFonts w:cs="Calibri"/>
                <w:b/>
                <w:bCs/>
                <w:color w:val="000000"/>
                <w:lang w:eastAsia="en-GB"/>
              </w:rPr>
              <w:t>31-Mar</w:t>
            </w:r>
          </w:p>
        </w:tc>
        <w:tc>
          <w:tcPr>
            <w:tcW w:w="933" w:type="dxa"/>
            <w:tcBorders>
              <w:top w:val="nil"/>
              <w:left w:val="nil"/>
              <w:bottom w:val="nil"/>
              <w:right w:val="nil"/>
            </w:tcBorders>
            <w:vAlign w:val="center"/>
          </w:tcPr>
          <w:p w:rsidR="0003552F" w:rsidRPr="00EB2995" w:rsidRDefault="0003552F" w:rsidP="0003552F">
            <w:pPr>
              <w:jc w:val="right"/>
              <w:rPr>
                <w:rFonts w:cs="Calibri"/>
                <w:b/>
                <w:bCs/>
                <w:color w:val="000000"/>
                <w:lang w:eastAsia="en-GB"/>
              </w:rPr>
            </w:pPr>
          </w:p>
        </w:tc>
      </w:tr>
      <w:tr w:rsidR="0003552F" w:rsidRPr="00EB2995" w:rsidTr="0003552F">
        <w:trPr>
          <w:trHeight w:hRule="exact" w:val="284"/>
        </w:trPr>
        <w:tc>
          <w:tcPr>
            <w:tcW w:w="1256" w:type="dxa"/>
            <w:tcBorders>
              <w:top w:val="nil"/>
              <w:left w:val="nil"/>
              <w:bottom w:val="nil"/>
              <w:right w:val="nil"/>
            </w:tcBorders>
            <w:noWrap/>
            <w:vAlign w:val="center"/>
          </w:tcPr>
          <w:p w:rsidR="0003552F" w:rsidRPr="00EB2995" w:rsidRDefault="0003552F" w:rsidP="0003552F">
            <w:pPr>
              <w:jc w:val="right"/>
              <w:rPr>
                <w:rFonts w:cs="Calibri"/>
                <w:b/>
                <w:bCs/>
                <w:color w:val="000000"/>
                <w:lang w:eastAsia="en-GB"/>
              </w:rPr>
            </w:pPr>
            <w:r w:rsidRPr="00EB2995">
              <w:rPr>
                <w:rFonts w:cs="Calibri"/>
                <w:b/>
                <w:bCs/>
                <w:color w:val="000000"/>
                <w:lang w:eastAsia="en-GB"/>
              </w:rPr>
              <w:t>2019</w:t>
            </w:r>
          </w:p>
        </w:tc>
        <w:tc>
          <w:tcPr>
            <w:tcW w:w="222" w:type="dxa"/>
            <w:tcBorders>
              <w:top w:val="nil"/>
              <w:left w:val="nil"/>
              <w:bottom w:val="nil"/>
              <w:right w:val="nil"/>
            </w:tcBorders>
            <w:vAlign w:val="center"/>
          </w:tcPr>
          <w:p w:rsidR="0003552F" w:rsidRPr="00EB2995" w:rsidRDefault="0003552F" w:rsidP="0003552F">
            <w:pPr>
              <w:jc w:val="right"/>
              <w:rPr>
                <w:rFonts w:cs="Calibri"/>
                <w:b/>
                <w:bCs/>
                <w:color w:val="000000"/>
                <w:lang w:eastAsia="en-GB"/>
              </w:rPr>
            </w:pPr>
          </w:p>
        </w:tc>
        <w:tc>
          <w:tcPr>
            <w:tcW w:w="3704" w:type="dxa"/>
            <w:tcBorders>
              <w:top w:val="nil"/>
              <w:left w:val="nil"/>
              <w:bottom w:val="nil"/>
              <w:right w:val="nil"/>
            </w:tcBorders>
            <w:noWrap/>
            <w:vAlign w:val="center"/>
          </w:tcPr>
          <w:p w:rsidR="0003552F" w:rsidRPr="00EB2995" w:rsidRDefault="0003552F" w:rsidP="0003552F">
            <w:pPr>
              <w:jc w:val="right"/>
              <w:rPr>
                <w:rFonts w:cs="Calibri"/>
                <w:sz w:val="20"/>
                <w:szCs w:val="20"/>
                <w:lang w:eastAsia="en-GB"/>
              </w:rPr>
            </w:pPr>
          </w:p>
        </w:tc>
        <w:tc>
          <w:tcPr>
            <w:tcW w:w="754" w:type="dxa"/>
            <w:tcBorders>
              <w:top w:val="nil"/>
              <w:left w:val="nil"/>
              <w:bottom w:val="nil"/>
              <w:right w:val="nil"/>
            </w:tcBorders>
            <w:vAlign w:val="center"/>
          </w:tcPr>
          <w:p w:rsidR="0003552F" w:rsidRPr="00EB2995" w:rsidRDefault="0003552F" w:rsidP="0003552F">
            <w:pPr>
              <w:jc w:val="center"/>
              <w:rPr>
                <w:rFonts w:cs="Calibri"/>
                <w:b/>
                <w:bCs/>
                <w:color w:val="000000"/>
                <w:lang w:eastAsia="en-GB"/>
              </w:rPr>
            </w:pPr>
            <w:r w:rsidRPr="00EB2995">
              <w:rPr>
                <w:rFonts w:cs="Calibri"/>
                <w:b/>
                <w:bCs/>
                <w:color w:val="000000"/>
                <w:lang w:eastAsia="en-GB"/>
              </w:rPr>
              <w:t>Notes</w:t>
            </w:r>
          </w:p>
        </w:tc>
        <w:tc>
          <w:tcPr>
            <w:tcW w:w="1276" w:type="dxa"/>
            <w:tcBorders>
              <w:top w:val="nil"/>
              <w:left w:val="nil"/>
              <w:bottom w:val="nil"/>
              <w:right w:val="nil"/>
            </w:tcBorders>
            <w:noWrap/>
            <w:vAlign w:val="center"/>
          </w:tcPr>
          <w:p w:rsidR="0003552F" w:rsidRPr="00EB2995" w:rsidRDefault="0003552F" w:rsidP="0003552F">
            <w:pPr>
              <w:jc w:val="right"/>
              <w:rPr>
                <w:rFonts w:cs="Calibri"/>
                <w:b/>
                <w:bCs/>
                <w:color w:val="000000"/>
                <w:lang w:eastAsia="en-GB"/>
              </w:rPr>
            </w:pPr>
            <w:r w:rsidRPr="00EB2995">
              <w:rPr>
                <w:rFonts w:cs="Calibri"/>
                <w:b/>
                <w:bCs/>
                <w:color w:val="000000"/>
                <w:lang w:eastAsia="en-GB"/>
              </w:rPr>
              <w:t>2020</w:t>
            </w:r>
          </w:p>
        </w:tc>
        <w:tc>
          <w:tcPr>
            <w:tcW w:w="933" w:type="dxa"/>
            <w:tcBorders>
              <w:top w:val="nil"/>
              <w:left w:val="nil"/>
              <w:bottom w:val="nil"/>
              <w:right w:val="nil"/>
            </w:tcBorders>
            <w:vAlign w:val="center"/>
          </w:tcPr>
          <w:p w:rsidR="0003552F" w:rsidRPr="00EB2995" w:rsidRDefault="0003552F" w:rsidP="0003552F">
            <w:pPr>
              <w:jc w:val="right"/>
              <w:rPr>
                <w:rFonts w:cs="Calibri"/>
                <w:b/>
                <w:bCs/>
                <w:color w:val="000000"/>
                <w:lang w:eastAsia="en-GB"/>
              </w:rPr>
            </w:pPr>
          </w:p>
        </w:tc>
      </w:tr>
      <w:tr w:rsidR="0003552F" w:rsidRPr="00EB2995" w:rsidTr="0003552F">
        <w:trPr>
          <w:trHeight w:hRule="exact" w:val="284"/>
        </w:trPr>
        <w:tc>
          <w:tcPr>
            <w:tcW w:w="1256" w:type="dxa"/>
            <w:tcBorders>
              <w:top w:val="nil"/>
              <w:left w:val="nil"/>
              <w:bottom w:val="nil"/>
              <w:right w:val="nil"/>
            </w:tcBorders>
            <w:noWrap/>
            <w:vAlign w:val="center"/>
          </w:tcPr>
          <w:p w:rsidR="0003552F" w:rsidRPr="00EB2995" w:rsidRDefault="0003552F" w:rsidP="0003552F">
            <w:pPr>
              <w:jc w:val="right"/>
              <w:rPr>
                <w:rFonts w:cs="Calibri"/>
                <w:b/>
                <w:bCs/>
                <w:color w:val="000000"/>
                <w:lang w:eastAsia="en-GB"/>
              </w:rPr>
            </w:pPr>
            <w:r w:rsidRPr="00EB2995">
              <w:rPr>
                <w:rFonts w:cs="Calibri"/>
                <w:b/>
                <w:bCs/>
                <w:color w:val="000000"/>
                <w:lang w:eastAsia="en-GB"/>
              </w:rPr>
              <w:t>£m</w:t>
            </w:r>
          </w:p>
        </w:tc>
        <w:tc>
          <w:tcPr>
            <w:tcW w:w="222" w:type="dxa"/>
            <w:tcBorders>
              <w:top w:val="nil"/>
              <w:left w:val="nil"/>
              <w:bottom w:val="nil"/>
              <w:right w:val="nil"/>
            </w:tcBorders>
            <w:vAlign w:val="center"/>
          </w:tcPr>
          <w:p w:rsidR="0003552F" w:rsidRPr="00EB2995" w:rsidRDefault="0003552F" w:rsidP="0003552F">
            <w:pPr>
              <w:jc w:val="right"/>
              <w:rPr>
                <w:rFonts w:cs="Calibri"/>
                <w:b/>
                <w:bCs/>
                <w:color w:val="000000"/>
                <w:lang w:eastAsia="en-GB"/>
              </w:rPr>
            </w:pPr>
          </w:p>
        </w:tc>
        <w:tc>
          <w:tcPr>
            <w:tcW w:w="3704" w:type="dxa"/>
            <w:tcBorders>
              <w:top w:val="nil"/>
              <w:left w:val="nil"/>
              <w:bottom w:val="nil"/>
              <w:right w:val="nil"/>
            </w:tcBorders>
            <w:noWrap/>
            <w:vAlign w:val="center"/>
          </w:tcPr>
          <w:p w:rsidR="0003552F" w:rsidRPr="00EB2995" w:rsidRDefault="0003552F" w:rsidP="0003552F">
            <w:pPr>
              <w:rPr>
                <w:rFonts w:cs="Calibri"/>
                <w:sz w:val="20"/>
                <w:szCs w:val="20"/>
                <w:lang w:eastAsia="en-GB"/>
              </w:rPr>
            </w:pPr>
          </w:p>
        </w:tc>
        <w:tc>
          <w:tcPr>
            <w:tcW w:w="754" w:type="dxa"/>
            <w:tcBorders>
              <w:top w:val="nil"/>
              <w:left w:val="nil"/>
              <w:bottom w:val="nil"/>
              <w:right w:val="nil"/>
            </w:tcBorders>
            <w:vAlign w:val="center"/>
          </w:tcPr>
          <w:p w:rsidR="0003552F" w:rsidRPr="00EB2995" w:rsidRDefault="0003552F" w:rsidP="0003552F">
            <w:pPr>
              <w:rPr>
                <w:rFonts w:cs="Calibri"/>
                <w:sz w:val="20"/>
                <w:szCs w:val="20"/>
                <w:lang w:eastAsia="en-GB"/>
              </w:rPr>
            </w:pPr>
          </w:p>
        </w:tc>
        <w:tc>
          <w:tcPr>
            <w:tcW w:w="1276" w:type="dxa"/>
            <w:tcBorders>
              <w:top w:val="nil"/>
              <w:left w:val="nil"/>
              <w:bottom w:val="nil"/>
              <w:right w:val="nil"/>
            </w:tcBorders>
            <w:noWrap/>
            <w:vAlign w:val="center"/>
          </w:tcPr>
          <w:p w:rsidR="0003552F" w:rsidRPr="00EB2995" w:rsidRDefault="0003552F" w:rsidP="0003552F">
            <w:pPr>
              <w:jc w:val="right"/>
              <w:rPr>
                <w:rFonts w:cs="Calibri"/>
                <w:b/>
                <w:bCs/>
                <w:color w:val="000000"/>
                <w:lang w:eastAsia="en-GB"/>
              </w:rPr>
            </w:pPr>
            <w:r w:rsidRPr="00EB2995">
              <w:rPr>
                <w:rFonts w:cs="Calibri"/>
                <w:b/>
                <w:bCs/>
                <w:color w:val="000000"/>
                <w:lang w:eastAsia="en-GB"/>
              </w:rPr>
              <w:t>£m</w:t>
            </w:r>
          </w:p>
        </w:tc>
        <w:tc>
          <w:tcPr>
            <w:tcW w:w="933" w:type="dxa"/>
            <w:tcBorders>
              <w:top w:val="nil"/>
              <w:left w:val="nil"/>
              <w:bottom w:val="single" w:sz="8" w:space="0" w:color="auto"/>
              <w:right w:val="nil"/>
            </w:tcBorders>
            <w:vAlign w:val="center"/>
          </w:tcPr>
          <w:p w:rsidR="0003552F" w:rsidRPr="00EB2995" w:rsidRDefault="0003552F" w:rsidP="0003552F">
            <w:pPr>
              <w:rPr>
                <w:rFonts w:cs="Calibri"/>
                <w:color w:val="000000"/>
                <w:sz w:val="20"/>
                <w:szCs w:val="20"/>
                <w:lang w:eastAsia="en-GB"/>
              </w:rPr>
            </w:pPr>
            <w:r w:rsidRPr="00EB2995">
              <w:rPr>
                <w:rFonts w:cs="Calibri"/>
                <w:color w:val="000000"/>
                <w:sz w:val="20"/>
                <w:szCs w:val="20"/>
                <w:lang w:eastAsia="en-GB"/>
              </w:rPr>
              <w:t> </w:t>
            </w:r>
          </w:p>
        </w:tc>
      </w:tr>
      <w:tr w:rsidR="0003552F" w:rsidRPr="00EB2995" w:rsidTr="0003552F">
        <w:trPr>
          <w:trHeight w:hRule="exact" w:val="284"/>
        </w:trPr>
        <w:tc>
          <w:tcPr>
            <w:tcW w:w="1256" w:type="dxa"/>
            <w:tcBorders>
              <w:top w:val="single" w:sz="8" w:space="0" w:color="auto"/>
              <w:left w:val="single" w:sz="8" w:space="0" w:color="auto"/>
              <w:bottom w:val="nil"/>
              <w:right w:val="single" w:sz="8" w:space="0" w:color="auto"/>
            </w:tcBorders>
            <w:noWrap/>
            <w:vAlign w:val="center"/>
          </w:tcPr>
          <w:p w:rsidR="0003552F" w:rsidRPr="00EB2995" w:rsidRDefault="0003552F" w:rsidP="0003552F">
            <w:pPr>
              <w:jc w:val="right"/>
              <w:rPr>
                <w:rFonts w:cs="Calibri"/>
                <w:color w:val="000000"/>
                <w:lang w:eastAsia="en-GB"/>
              </w:rPr>
            </w:pPr>
            <w:r w:rsidRPr="00EB2995">
              <w:rPr>
                <w:rFonts w:cs="Calibri"/>
                <w:color w:val="000000"/>
                <w:lang w:eastAsia="en-GB"/>
              </w:rPr>
              <w:t>1,670.1</w:t>
            </w:r>
          </w:p>
        </w:tc>
        <w:tc>
          <w:tcPr>
            <w:tcW w:w="222" w:type="dxa"/>
            <w:tcBorders>
              <w:top w:val="nil"/>
              <w:left w:val="nil"/>
              <w:bottom w:val="nil"/>
              <w:right w:val="nil"/>
            </w:tcBorders>
            <w:vAlign w:val="center"/>
          </w:tcPr>
          <w:p w:rsidR="0003552F" w:rsidRPr="00EB2995" w:rsidRDefault="0003552F" w:rsidP="0003552F">
            <w:pPr>
              <w:jc w:val="right"/>
              <w:rPr>
                <w:rFonts w:cs="Calibri"/>
                <w:color w:val="000000"/>
                <w:lang w:eastAsia="en-GB"/>
              </w:rPr>
            </w:pPr>
          </w:p>
        </w:tc>
        <w:tc>
          <w:tcPr>
            <w:tcW w:w="3704" w:type="dxa"/>
            <w:tcBorders>
              <w:top w:val="nil"/>
              <w:left w:val="nil"/>
              <w:bottom w:val="nil"/>
              <w:right w:val="nil"/>
            </w:tcBorders>
            <w:noWrap/>
            <w:vAlign w:val="center"/>
          </w:tcPr>
          <w:p w:rsidR="0003552F" w:rsidRPr="00EB2995" w:rsidRDefault="0003552F" w:rsidP="0003552F">
            <w:pPr>
              <w:rPr>
                <w:rFonts w:cs="Calibri"/>
                <w:color w:val="000000"/>
                <w:lang w:eastAsia="en-GB"/>
              </w:rPr>
            </w:pPr>
            <w:r w:rsidRPr="00EB2995">
              <w:rPr>
                <w:rFonts w:cs="Calibri"/>
                <w:color w:val="000000"/>
                <w:lang w:eastAsia="en-GB"/>
              </w:rPr>
              <w:t>Property, Plant &amp; Equipment</w:t>
            </w:r>
          </w:p>
        </w:tc>
        <w:tc>
          <w:tcPr>
            <w:tcW w:w="754" w:type="dxa"/>
            <w:tcBorders>
              <w:top w:val="nil"/>
              <w:left w:val="nil"/>
              <w:bottom w:val="nil"/>
              <w:right w:val="nil"/>
            </w:tcBorders>
            <w:vAlign w:val="center"/>
          </w:tcPr>
          <w:p w:rsidR="0003552F" w:rsidRPr="00EB2995" w:rsidRDefault="0003552F" w:rsidP="0003552F">
            <w:pPr>
              <w:jc w:val="center"/>
              <w:rPr>
                <w:rFonts w:cs="Calibri"/>
                <w:color w:val="000000"/>
                <w:lang w:eastAsia="en-GB"/>
              </w:rPr>
            </w:pPr>
            <w:r w:rsidRPr="00EB2995">
              <w:rPr>
                <w:rFonts w:cs="Calibri"/>
                <w:color w:val="000000"/>
                <w:lang w:eastAsia="en-GB"/>
              </w:rPr>
              <w:t>1</w:t>
            </w:r>
          </w:p>
        </w:tc>
        <w:tc>
          <w:tcPr>
            <w:tcW w:w="1276" w:type="dxa"/>
            <w:tcBorders>
              <w:top w:val="single" w:sz="8" w:space="0" w:color="auto"/>
              <w:left w:val="single" w:sz="8" w:space="0" w:color="auto"/>
              <w:bottom w:val="nil"/>
              <w:right w:val="single" w:sz="8" w:space="0" w:color="auto"/>
            </w:tcBorders>
            <w:noWrap/>
            <w:vAlign w:val="center"/>
          </w:tcPr>
          <w:p w:rsidR="0003552F" w:rsidRPr="00EB2995" w:rsidRDefault="00A924BE" w:rsidP="0003552F">
            <w:pPr>
              <w:jc w:val="right"/>
              <w:rPr>
                <w:rFonts w:cs="Calibri"/>
                <w:color w:val="000000"/>
                <w:lang w:eastAsia="en-GB"/>
              </w:rPr>
            </w:pPr>
            <w:r>
              <w:rPr>
                <w:rFonts w:cs="Calibri"/>
                <w:color w:val="000000"/>
              </w:rPr>
              <w:t>1,963</w:t>
            </w:r>
            <w:r w:rsidR="0003552F" w:rsidRPr="00EB2995">
              <w:rPr>
                <w:rFonts w:cs="Calibri"/>
                <w:color w:val="000000"/>
              </w:rPr>
              <w:t>.</w:t>
            </w:r>
            <w:r>
              <w:rPr>
                <w:rFonts w:cs="Calibri"/>
                <w:color w:val="000000"/>
              </w:rPr>
              <w:t>8</w:t>
            </w:r>
          </w:p>
        </w:tc>
        <w:tc>
          <w:tcPr>
            <w:tcW w:w="933" w:type="dxa"/>
            <w:vMerge w:val="restart"/>
            <w:tcBorders>
              <w:top w:val="nil"/>
              <w:left w:val="single" w:sz="8" w:space="0" w:color="auto"/>
              <w:bottom w:val="single" w:sz="8" w:space="0" w:color="000000"/>
              <w:right w:val="single" w:sz="8" w:space="0" w:color="auto"/>
            </w:tcBorders>
            <w:shd w:val="clear" w:color="000000" w:fill="55B768"/>
            <w:textDirection w:val="tbRl"/>
            <w:vAlign w:val="center"/>
          </w:tcPr>
          <w:p w:rsidR="0003552F" w:rsidRPr="00EB2995" w:rsidRDefault="0003552F" w:rsidP="0003552F">
            <w:pPr>
              <w:jc w:val="center"/>
              <w:rPr>
                <w:rFonts w:cs="Calibri"/>
                <w:color w:val="0070C0"/>
                <w:lang w:eastAsia="en-GB"/>
              </w:rPr>
            </w:pPr>
            <w:r w:rsidRPr="00EB2995">
              <w:rPr>
                <w:rFonts w:cs="Calibri"/>
                <w:color w:val="0070C0"/>
                <w:lang w:eastAsia="en-GB"/>
              </w:rPr>
              <w:t>Non Current Assets</w:t>
            </w:r>
          </w:p>
        </w:tc>
      </w:tr>
      <w:tr w:rsidR="0003552F" w:rsidRPr="00EB2995" w:rsidTr="0003552F">
        <w:trPr>
          <w:trHeight w:hRule="exact" w:val="284"/>
        </w:trPr>
        <w:tc>
          <w:tcPr>
            <w:tcW w:w="1256" w:type="dxa"/>
            <w:tcBorders>
              <w:top w:val="nil"/>
              <w:left w:val="single" w:sz="8" w:space="0" w:color="auto"/>
              <w:bottom w:val="nil"/>
              <w:right w:val="single" w:sz="8" w:space="0" w:color="auto"/>
            </w:tcBorders>
            <w:noWrap/>
            <w:vAlign w:val="center"/>
          </w:tcPr>
          <w:p w:rsidR="0003552F" w:rsidRPr="00EB2995" w:rsidRDefault="0003552F" w:rsidP="0003552F">
            <w:pPr>
              <w:jc w:val="right"/>
              <w:rPr>
                <w:rFonts w:cs="Calibri"/>
                <w:color w:val="000000"/>
                <w:lang w:eastAsia="en-GB"/>
              </w:rPr>
            </w:pPr>
            <w:r w:rsidRPr="00EB2995">
              <w:rPr>
                <w:rFonts w:cs="Calibri"/>
                <w:color w:val="000000"/>
                <w:lang w:eastAsia="en-GB"/>
              </w:rPr>
              <w:t>0.5</w:t>
            </w:r>
          </w:p>
        </w:tc>
        <w:tc>
          <w:tcPr>
            <w:tcW w:w="222" w:type="dxa"/>
            <w:tcBorders>
              <w:top w:val="nil"/>
              <w:left w:val="nil"/>
              <w:bottom w:val="nil"/>
              <w:right w:val="nil"/>
            </w:tcBorders>
            <w:vAlign w:val="center"/>
          </w:tcPr>
          <w:p w:rsidR="0003552F" w:rsidRPr="00EB2995" w:rsidRDefault="0003552F" w:rsidP="0003552F">
            <w:pPr>
              <w:jc w:val="right"/>
              <w:rPr>
                <w:rFonts w:cs="Calibri"/>
                <w:color w:val="000000"/>
                <w:lang w:eastAsia="en-GB"/>
              </w:rPr>
            </w:pPr>
          </w:p>
        </w:tc>
        <w:tc>
          <w:tcPr>
            <w:tcW w:w="3704" w:type="dxa"/>
            <w:tcBorders>
              <w:top w:val="nil"/>
              <w:left w:val="nil"/>
              <w:bottom w:val="nil"/>
              <w:right w:val="nil"/>
            </w:tcBorders>
            <w:noWrap/>
            <w:vAlign w:val="center"/>
          </w:tcPr>
          <w:p w:rsidR="0003552F" w:rsidRPr="00EB2995" w:rsidRDefault="0003552F" w:rsidP="0003552F">
            <w:pPr>
              <w:rPr>
                <w:rFonts w:cs="Calibri"/>
                <w:color w:val="000000"/>
                <w:lang w:eastAsia="en-GB"/>
              </w:rPr>
            </w:pPr>
            <w:r w:rsidRPr="00EB2995">
              <w:rPr>
                <w:rFonts w:cs="Calibri"/>
                <w:color w:val="000000"/>
                <w:lang w:eastAsia="en-GB"/>
              </w:rPr>
              <w:t>Heritage Assets</w:t>
            </w:r>
          </w:p>
        </w:tc>
        <w:tc>
          <w:tcPr>
            <w:tcW w:w="754" w:type="dxa"/>
            <w:tcBorders>
              <w:top w:val="nil"/>
              <w:left w:val="nil"/>
              <w:bottom w:val="nil"/>
              <w:right w:val="nil"/>
            </w:tcBorders>
            <w:noWrap/>
            <w:vAlign w:val="bottom"/>
          </w:tcPr>
          <w:p w:rsidR="0003552F" w:rsidRPr="00EB2995" w:rsidRDefault="0003552F" w:rsidP="0003552F">
            <w:pPr>
              <w:rPr>
                <w:rFonts w:cs="Calibri"/>
                <w:color w:val="000000"/>
                <w:lang w:eastAsia="en-GB"/>
              </w:rPr>
            </w:pPr>
          </w:p>
        </w:tc>
        <w:tc>
          <w:tcPr>
            <w:tcW w:w="1276" w:type="dxa"/>
            <w:tcBorders>
              <w:top w:val="nil"/>
              <w:left w:val="single" w:sz="8" w:space="0" w:color="auto"/>
              <w:bottom w:val="nil"/>
              <w:right w:val="single" w:sz="8" w:space="0" w:color="auto"/>
            </w:tcBorders>
            <w:noWrap/>
            <w:vAlign w:val="center"/>
          </w:tcPr>
          <w:p w:rsidR="0003552F" w:rsidRPr="00EB2995" w:rsidRDefault="0003552F" w:rsidP="0003552F">
            <w:pPr>
              <w:jc w:val="right"/>
              <w:rPr>
                <w:rFonts w:cs="Calibri"/>
                <w:color w:val="000000"/>
                <w:lang w:eastAsia="en-GB"/>
              </w:rPr>
            </w:pPr>
            <w:r w:rsidRPr="00EB2995">
              <w:rPr>
                <w:rFonts w:cs="Calibri"/>
                <w:color w:val="000000"/>
              </w:rPr>
              <w:t>0.5</w:t>
            </w:r>
          </w:p>
        </w:tc>
        <w:tc>
          <w:tcPr>
            <w:tcW w:w="933" w:type="dxa"/>
            <w:vMerge/>
            <w:tcBorders>
              <w:top w:val="nil"/>
              <w:left w:val="single" w:sz="8" w:space="0" w:color="auto"/>
              <w:bottom w:val="single" w:sz="8" w:space="0" w:color="000000"/>
              <w:right w:val="single" w:sz="8" w:space="0" w:color="auto"/>
            </w:tcBorders>
            <w:vAlign w:val="center"/>
          </w:tcPr>
          <w:p w:rsidR="0003552F" w:rsidRPr="00EB2995" w:rsidRDefault="0003552F" w:rsidP="0003552F">
            <w:pPr>
              <w:rPr>
                <w:rFonts w:cs="Calibri"/>
                <w:color w:val="0070C0"/>
                <w:lang w:eastAsia="en-GB"/>
              </w:rPr>
            </w:pPr>
          </w:p>
        </w:tc>
      </w:tr>
      <w:tr w:rsidR="0003552F" w:rsidRPr="00EB2995" w:rsidTr="0003552F">
        <w:trPr>
          <w:trHeight w:hRule="exact" w:val="284"/>
        </w:trPr>
        <w:tc>
          <w:tcPr>
            <w:tcW w:w="1256" w:type="dxa"/>
            <w:tcBorders>
              <w:top w:val="nil"/>
              <w:left w:val="single" w:sz="8" w:space="0" w:color="auto"/>
              <w:bottom w:val="nil"/>
              <w:right w:val="single" w:sz="8" w:space="0" w:color="auto"/>
            </w:tcBorders>
            <w:noWrap/>
            <w:vAlign w:val="center"/>
          </w:tcPr>
          <w:p w:rsidR="0003552F" w:rsidRPr="00EB2995" w:rsidRDefault="0003552F" w:rsidP="0003552F">
            <w:pPr>
              <w:jc w:val="right"/>
              <w:rPr>
                <w:rFonts w:cs="Calibri"/>
                <w:color w:val="000000"/>
                <w:lang w:eastAsia="en-GB"/>
              </w:rPr>
            </w:pPr>
            <w:r w:rsidRPr="00EB2995">
              <w:rPr>
                <w:rFonts w:cs="Calibri"/>
                <w:color w:val="000000"/>
                <w:lang w:eastAsia="en-GB"/>
              </w:rPr>
              <w:t>3.6</w:t>
            </w:r>
          </w:p>
        </w:tc>
        <w:tc>
          <w:tcPr>
            <w:tcW w:w="222" w:type="dxa"/>
            <w:tcBorders>
              <w:top w:val="nil"/>
              <w:left w:val="nil"/>
              <w:bottom w:val="nil"/>
              <w:right w:val="nil"/>
            </w:tcBorders>
            <w:vAlign w:val="center"/>
          </w:tcPr>
          <w:p w:rsidR="0003552F" w:rsidRPr="00EB2995" w:rsidRDefault="0003552F" w:rsidP="0003552F">
            <w:pPr>
              <w:jc w:val="right"/>
              <w:rPr>
                <w:rFonts w:cs="Calibri"/>
                <w:color w:val="000000"/>
                <w:lang w:eastAsia="en-GB"/>
              </w:rPr>
            </w:pPr>
          </w:p>
        </w:tc>
        <w:tc>
          <w:tcPr>
            <w:tcW w:w="3704" w:type="dxa"/>
            <w:tcBorders>
              <w:top w:val="nil"/>
              <w:left w:val="nil"/>
              <w:bottom w:val="nil"/>
              <w:right w:val="nil"/>
            </w:tcBorders>
            <w:noWrap/>
            <w:vAlign w:val="center"/>
          </w:tcPr>
          <w:p w:rsidR="0003552F" w:rsidRPr="00EB2995" w:rsidRDefault="0003552F" w:rsidP="0003552F">
            <w:pPr>
              <w:rPr>
                <w:rFonts w:cs="Calibri"/>
                <w:color w:val="000000"/>
                <w:lang w:eastAsia="en-GB"/>
              </w:rPr>
            </w:pPr>
            <w:r w:rsidRPr="00EB2995">
              <w:rPr>
                <w:rFonts w:cs="Calibri"/>
                <w:color w:val="000000"/>
                <w:lang w:eastAsia="en-GB"/>
              </w:rPr>
              <w:t>Intangible Assets</w:t>
            </w:r>
          </w:p>
        </w:tc>
        <w:tc>
          <w:tcPr>
            <w:tcW w:w="754" w:type="dxa"/>
            <w:tcBorders>
              <w:top w:val="nil"/>
              <w:left w:val="nil"/>
              <w:bottom w:val="nil"/>
              <w:right w:val="nil"/>
            </w:tcBorders>
            <w:noWrap/>
            <w:vAlign w:val="bottom"/>
          </w:tcPr>
          <w:p w:rsidR="0003552F" w:rsidRPr="00EB2995" w:rsidRDefault="0003552F" w:rsidP="0003552F">
            <w:pPr>
              <w:jc w:val="center"/>
              <w:rPr>
                <w:rFonts w:cs="Calibri"/>
                <w:color w:val="000000"/>
                <w:lang w:eastAsia="en-GB"/>
              </w:rPr>
            </w:pPr>
          </w:p>
        </w:tc>
        <w:tc>
          <w:tcPr>
            <w:tcW w:w="1276" w:type="dxa"/>
            <w:tcBorders>
              <w:top w:val="nil"/>
              <w:left w:val="single" w:sz="8" w:space="0" w:color="auto"/>
              <w:bottom w:val="nil"/>
              <w:right w:val="single" w:sz="8" w:space="0" w:color="auto"/>
            </w:tcBorders>
            <w:noWrap/>
            <w:vAlign w:val="center"/>
          </w:tcPr>
          <w:p w:rsidR="0003552F" w:rsidRPr="00EB2995" w:rsidRDefault="0003552F" w:rsidP="0003552F">
            <w:pPr>
              <w:jc w:val="right"/>
              <w:rPr>
                <w:rFonts w:cs="Calibri"/>
                <w:color w:val="000000"/>
                <w:lang w:eastAsia="en-GB"/>
              </w:rPr>
            </w:pPr>
            <w:r w:rsidRPr="00EB2995">
              <w:rPr>
                <w:rFonts w:cs="Calibri"/>
                <w:color w:val="000000"/>
              </w:rPr>
              <w:t>6.4</w:t>
            </w:r>
          </w:p>
        </w:tc>
        <w:tc>
          <w:tcPr>
            <w:tcW w:w="933" w:type="dxa"/>
            <w:vMerge/>
            <w:tcBorders>
              <w:top w:val="nil"/>
              <w:left w:val="single" w:sz="8" w:space="0" w:color="auto"/>
              <w:bottom w:val="single" w:sz="8" w:space="0" w:color="000000"/>
              <w:right w:val="single" w:sz="8" w:space="0" w:color="auto"/>
            </w:tcBorders>
            <w:vAlign w:val="center"/>
          </w:tcPr>
          <w:p w:rsidR="0003552F" w:rsidRPr="00EB2995" w:rsidRDefault="0003552F" w:rsidP="0003552F">
            <w:pPr>
              <w:rPr>
                <w:rFonts w:cs="Calibri"/>
                <w:color w:val="0070C0"/>
                <w:lang w:eastAsia="en-GB"/>
              </w:rPr>
            </w:pPr>
          </w:p>
        </w:tc>
      </w:tr>
      <w:tr w:rsidR="0003552F" w:rsidRPr="00EB2995" w:rsidTr="0003552F">
        <w:trPr>
          <w:trHeight w:hRule="exact" w:val="284"/>
        </w:trPr>
        <w:tc>
          <w:tcPr>
            <w:tcW w:w="1256" w:type="dxa"/>
            <w:tcBorders>
              <w:top w:val="nil"/>
              <w:left w:val="single" w:sz="8" w:space="0" w:color="auto"/>
              <w:bottom w:val="nil"/>
              <w:right w:val="single" w:sz="8" w:space="0" w:color="auto"/>
            </w:tcBorders>
            <w:noWrap/>
            <w:vAlign w:val="center"/>
          </w:tcPr>
          <w:p w:rsidR="0003552F" w:rsidRPr="00EB2995" w:rsidRDefault="0003552F" w:rsidP="0003552F">
            <w:pPr>
              <w:jc w:val="right"/>
              <w:rPr>
                <w:rFonts w:cs="Calibri"/>
                <w:color w:val="000000"/>
                <w:lang w:eastAsia="en-GB"/>
              </w:rPr>
            </w:pPr>
            <w:r w:rsidRPr="00EB2995">
              <w:rPr>
                <w:rFonts w:cs="Calibri"/>
                <w:color w:val="000000"/>
                <w:lang w:eastAsia="en-GB"/>
              </w:rPr>
              <w:t>23.4</w:t>
            </w:r>
          </w:p>
        </w:tc>
        <w:tc>
          <w:tcPr>
            <w:tcW w:w="222" w:type="dxa"/>
            <w:tcBorders>
              <w:top w:val="nil"/>
              <w:left w:val="nil"/>
              <w:bottom w:val="nil"/>
              <w:right w:val="nil"/>
            </w:tcBorders>
            <w:vAlign w:val="center"/>
          </w:tcPr>
          <w:p w:rsidR="0003552F" w:rsidRPr="00EB2995" w:rsidRDefault="0003552F" w:rsidP="0003552F">
            <w:pPr>
              <w:jc w:val="right"/>
              <w:rPr>
                <w:rFonts w:cs="Calibri"/>
                <w:color w:val="000000"/>
                <w:lang w:eastAsia="en-GB"/>
              </w:rPr>
            </w:pPr>
          </w:p>
        </w:tc>
        <w:tc>
          <w:tcPr>
            <w:tcW w:w="3704" w:type="dxa"/>
            <w:tcBorders>
              <w:top w:val="nil"/>
              <w:left w:val="nil"/>
              <w:bottom w:val="nil"/>
              <w:right w:val="nil"/>
            </w:tcBorders>
            <w:noWrap/>
            <w:vAlign w:val="center"/>
          </w:tcPr>
          <w:p w:rsidR="0003552F" w:rsidRPr="00EB2995" w:rsidRDefault="0003552F" w:rsidP="0003552F">
            <w:pPr>
              <w:rPr>
                <w:rFonts w:cs="Calibri"/>
                <w:color w:val="000000"/>
                <w:lang w:eastAsia="en-GB"/>
              </w:rPr>
            </w:pPr>
            <w:r w:rsidRPr="00EB2995">
              <w:rPr>
                <w:rFonts w:cs="Calibri"/>
                <w:color w:val="000000"/>
                <w:lang w:eastAsia="en-GB"/>
              </w:rPr>
              <w:t>Long Term Investments</w:t>
            </w:r>
          </w:p>
        </w:tc>
        <w:tc>
          <w:tcPr>
            <w:tcW w:w="754" w:type="dxa"/>
            <w:tcBorders>
              <w:top w:val="nil"/>
              <w:left w:val="nil"/>
              <w:bottom w:val="nil"/>
              <w:right w:val="nil"/>
            </w:tcBorders>
            <w:vAlign w:val="center"/>
          </w:tcPr>
          <w:p w:rsidR="0003552F" w:rsidRPr="00EB2995" w:rsidRDefault="0003552F" w:rsidP="0003552F">
            <w:pPr>
              <w:jc w:val="center"/>
              <w:rPr>
                <w:rFonts w:cs="Calibri"/>
                <w:color w:val="000000"/>
                <w:lang w:eastAsia="en-GB"/>
              </w:rPr>
            </w:pPr>
            <w:r w:rsidRPr="00EB2995">
              <w:rPr>
                <w:rFonts w:cs="Calibri"/>
                <w:color w:val="000000"/>
                <w:lang w:eastAsia="en-GB"/>
              </w:rPr>
              <w:t>25</w:t>
            </w:r>
          </w:p>
        </w:tc>
        <w:tc>
          <w:tcPr>
            <w:tcW w:w="1276" w:type="dxa"/>
            <w:tcBorders>
              <w:top w:val="nil"/>
              <w:left w:val="single" w:sz="8" w:space="0" w:color="auto"/>
              <w:bottom w:val="nil"/>
              <w:right w:val="single" w:sz="8" w:space="0" w:color="auto"/>
            </w:tcBorders>
            <w:noWrap/>
            <w:vAlign w:val="center"/>
          </w:tcPr>
          <w:p w:rsidR="0003552F" w:rsidRPr="00EB2995" w:rsidRDefault="0003552F" w:rsidP="0003552F">
            <w:pPr>
              <w:jc w:val="right"/>
              <w:rPr>
                <w:rFonts w:cs="Calibri"/>
                <w:color w:val="000000"/>
                <w:lang w:eastAsia="en-GB"/>
              </w:rPr>
            </w:pPr>
            <w:r w:rsidRPr="00EB2995">
              <w:rPr>
                <w:rFonts w:cs="Calibri"/>
                <w:color w:val="000000"/>
              </w:rPr>
              <w:t>62.4</w:t>
            </w:r>
          </w:p>
        </w:tc>
        <w:tc>
          <w:tcPr>
            <w:tcW w:w="933" w:type="dxa"/>
            <w:vMerge/>
            <w:tcBorders>
              <w:top w:val="nil"/>
              <w:left w:val="single" w:sz="8" w:space="0" w:color="auto"/>
              <w:bottom w:val="single" w:sz="8" w:space="0" w:color="000000"/>
              <w:right w:val="single" w:sz="8" w:space="0" w:color="auto"/>
            </w:tcBorders>
            <w:vAlign w:val="center"/>
          </w:tcPr>
          <w:p w:rsidR="0003552F" w:rsidRPr="00EB2995" w:rsidRDefault="0003552F" w:rsidP="0003552F">
            <w:pPr>
              <w:rPr>
                <w:rFonts w:cs="Calibri"/>
                <w:color w:val="0070C0"/>
                <w:lang w:eastAsia="en-GB"/>
              </w:rPr>
            </w:pPr>
          </w:p>
        </w:tc>
      </w:tr>
      <w:tr w:rsidR="0003552F" w:rsidRPr="00EB2995" w:rsidTr="0003552F">
        <w:trPr>
          <w:trHeight w:hRule="exact" w:val="284"/>
        </w:trPr>
        <w:tc>
          <w:tcPr>
            <w:tcW w:w="1256" w:type="dxa"/>
            <w:tcBorders>
              <w:top w:val="nil"/>
              <w:left w:val="single" w:sz="8" w:space="0" w:color="auto"/>
              <w:bottom w:val="single" w:sz="8" w:space="0" w:color="auto"/>
              <w:right w:val="single" w:sz="8" w:space="0" w:color="auto"/>
            </w:tcBorders>
            <w:noWrap/>
            <w:vAlign w:val="center"/>
          </w:tcPr>
          <w:p w:rsidR="0003552F" w:rsidRPr="00EB2995" w:rsidRDefault="0003552F" w:rsidP="0003552F">
            <w:pPr>
              <w:jc w:val="right"/>
              <w:rPr>
                <w:rFonts w:cs="Calibri"/>
                <w:color w:val="000000"/>
                <w:lang w:eastAsia="en-GB"/>
              </w:rPr>
            </w:pPr>
            <w:r w:rsidRPr="00EB2995">
              <w:rPr>
                <w:rFonts w:cs="Calibri"/>
                <w:color w:val="000000"/>
                <w:lang w:eastAsia="en-GB"/>
              </w:rPr>
              <w:t>115.6</w:t>
            </w:r>
          </w:p>
        </w:tc>
        <w:tc>
          <w:tcPr>
            <w:tcW w:w="222" w:type="dxa"/>
            <w:tcBorders>
              <w:top w:val="nil"/>
              <w:left w:val="nil"/>
              <w:bottom w:val="nil"/>
              <w:right w:val="nil"/>
            </w:tcBorders>
            <w:vAlign w:val="center"/>
          </w:tcPr>
          <w:p w:rsidR="0003552F" w:rsidRPr="00EB2995" w:rsidRDefault="0003552F" w:rsidP="0003552F">
            <w:pPr>
              <w:jc w:val="right"/>
              <w:rPr>
                <w:rFonts w:cs="Calibri"/>
                <w:color w:val="000000"/>
                <w:lang w:eastAsia="en-GB"/>
              </w:rPr>
            </w:pPr>
          </w:p>
        </w:tc>
        <w:tc>
          <w:tcPr>
            <w:tcW w:w="3704" w:type="dxa"/>
            <w:tcBorders>
              <w:top w:val="nil"/>
              <w:left w:val="nil"/>
              <w:bottom w:val="nil"/>
              <w:right w:val="nil"/>
            </w:tcBorders>
            <w:noWrap/>
            <w:vAlign w:val="center"/>
          </w:tcPr>
          <w:p w:rsidR="0003552F" w:rsidRPr="00EB2995" w:rsidRDefault="0003552F" w:rsidP="0003552F">
            <w:pPr>
              <w:rPr>
                <w:rFonts w:cs="Calibri"/>
                <w:color w:val="000000"/>
                <w:lang w:eastAsia="en-GB"/>
              </w:rPr>
            </w:pPr>
            <w:r w:rsidRPr="00EB2995">
              <w:rPr>
                <w:rFonts w:cs="Calibri"/>
                <w:color w:val="000000"/>
                <w:lang w:eastAsia="en-GB"/>
              </w:rPr>
              <w:t>Long Term Debtors</w:t>
            </w:r>
          </w:p>
        </w:tc>
        <w:tc>
          <w:tcPr>
            <w:tcW w:w="754" w:type="dxa"/>
            <w:tcBorders>
              <w:top w:val="nil"/>
              <w:left w:val="nil"/>
              <w:bottom w:val="nil"/>
              <w:right w:val="nil"/>
            </w:tcBorders>
            <w:vAlign w:val="center"/>
          </w:tcPr>
          <w:p w:rsidR="0003552F" w:rsidRPr="00EB2995" w:rsidRDefault="0003552F" w:rsidP="0003552F">
            <w:pPr>
              <w:jc w:val="center"/>
              <w:rPr>
                <w:rFonts w:cs="Calibri"/>
                <w:color w:val="000000"/>
                <w:lang w:eastAsia="en-GB"/>
              </w:rPr>
            </w:pPr>
            <w:r w:rsidRPr="00EB2995">
              <w:rPr>
                <w:rFonts w:cs="Calibri"/>
                <w:color w:val="000000"/>
                <w:lang w:eastAsia="en-GB"/>
              </w:rPr>
              <w:t>25</w:t>
            </w:r>
          </w:p>
        </w:tc>
        <w:tc>
          <w:tcPr>
            <w:tcW w:w="1276" w:type="dxa"/>
            <w:tcBorders>
              <w:top w:val="nil"/>
              <w:left w:val="single" w:sz="8" w:space="0" w:color="auto"/>
              <w:bottom w:val="single" w:sz="8" w:space="0" w:color="auto"/>
              <w:right w:val="single" w:sz="8" w:space="0" w:color="auto"/>
            </w:tcBorders>
            <w:noWrap/>
            <w:vAlign w:val="center"/>
          </w:tcPr>
          <w:p w:rsidR="0003552F" w:rsidRPr="00EB2995" w:rsidRDefault="0003552F" w:rsidP="0003552F">
            <w:pPr>
              <w:jc w:val="right"/>
              <w:rPr>
                <w:rFonts w:cs="Calibri"/>
                <w:color w:val="000000"/>
                <w:lang w:eastAsia="en-GB"/>
              </w:rPr>
            </w:pPr>
            <w:r w:rsidRPr="00EB2995">
              <w:rPr>
                <w:rFonts w:cs="Calibri"/>
                <w:color w:val="000000"/>
              </w:rPr>
              <w:t>132.3</w:t>
            </w:r>
          </w:p>
        </w:tc>
        <w:tc>
          <w:tcPr>
            <w:tcW w:w="933" w:type="dxa"/>
            <w:vMerge/>
            <w:tcBorders>
              <w:top w:val="nil"/>
              <w:left w:val="single" w:sz="8" w:space="0" w:color="auto"/>
              <w:bottom w:val="single" w:sz="8" w:space="0" w:color="000000"/>
              <w:right w:val="single" w:sz="8" w:space="0" w:color="auto"/>
            </w:tcBorders>
            <w:vAlign w:val="center"/>
          </w:tcPr>
          <w:p w:rsidR="0003552F" w:rsidRPr="00EB2995" w:rsidRDefault="0003552F" w:rsidP="0003552F">
            <w:pPr>
              <w:rPr>
                <w:rFonts w:cs="Calibri"/>
                <w:color w:val="0070C0"/>
                <w:lang w:eastAsia="en-GB"/>
              </w:rPr>
            </w:pPr>
          </w:p>
        </w:tc>
      </w:tr>
      <w:tr w:rsidR="0003552F" w:rsidRPr="00EB2995" w:rsidTr="0003552F">
        <w:trPr>
          <w:trHeight w:hRule="exact" w:val="284"/>
        </w:trPr>
        <w:tc>
          <w:tcPr>
            <w:tcW w:w="1256" w:type="dxa"/>
            <w:tcBorders>
              <w:top w:val="nil"/>
              <w:left w:val="single" w:sz="8" w:space="0" w:color="auto"/>
              <w:bottom w:val="nil"/>
              <w:right w:val="single" w:sz="8" w:space="0" w:color="auto"/>
            </w:tcBorders>
            <w:noWrap/>
            <w:vAlign w:val="center"/>
          </w:tcPr>
          <w:p w:rsidR="0003552F" w:rsidRPr="00EB2995" w:rsidRDefault="0003552F" w:rsidP="0003552F">
            <w:pPr>
              <w:jc w:val="right"/>
              <w:rPr>
                <w:rFonts w:cs="Calibri"/>
                <w:b/>
                <w:bCs/>
                <w:color w:val="000000"/>
                <w:lang w:eastAsia="en-GB"/>
              </w:rPr>
            </w:pPr>
            <w:r w:rsidRPr="00EB2995">
              <w:rPr>
                <w:rFonts w:cs="Calibri"/>
                <w:b/>
                <w:bCs/>
                <w:color w:val="000000"/>
                <w:lang w:eastAsia="en-GB"/>
              </w:rPr>
              <w:t>1,813.2</w:t>
            </w:r>
          </w:p>
        </w:tc>
        <w:tc>
          <w:tcPr>
            <w:tcW w:w="222" w:type="dxa"/>
            <w:tcBorders>
              <w:top w:val="nil"/>
              <w:left w:val="nil"/>
              <w:bottom w:val="nil"/>
              <w:right w:val="nil"/>
            </w:tcBorders>
            <w:vAlign w:val="center"/>
          </w:tcPr>
          <w:p w:rsidR="0003552F" w:rsidRPr="00EB2995" w:rsidRDefault="0003552F" w:rsidP="0003552F">
            <w:pPr>
              <w:jc w:val="right"/>
              <w:rPr>
                <w:rFonts w:cs="Calibri"/>
                <w:b/>
                <w:bCs/>
                <w:color w:val="000000"/>
                <w:lang w:eastAsia="en-GB"/>
              </w:rPr>
            </w:pPr>
          </w:p>
        </w:tc>
        <w:tc>
          <w:tcPr>
            <w:tcW w:w="3704" w:type="dxa"/>
            <w:tcBorders>
              <w:top w:val="nil"/>
              <w:left w:val="nil"/>
              <w:bottom w:val="nil"/>
              <w:right w:val="nil"/>
            </w:tcBorders>
            <w:noWrap/>
            <w:vAlign w:val="center"/>
          </w:tcPr>
          <w:p w:rsidR="0003552F" w:rsidRPr="00EB2995" w:rsidRDefault="0003552F" w:rsidP="0003552F">
            <w:pPr>
              <w:rPr>
                <w:rFonts w:cs="Calibri"/>
                <w:b/>
                <w:bCs/>
                <w:color w:val="000000"/>
                <w:lang w:eastAsia="en-GB"/>
              </w:rPr>
            </w:pPr>
            <w:r w:rsidRPr="00EB2995">
              <w:rPr>
                <w:rFonts w:cs="Calibri"/>
                <w:b/>
                <w:bCs/>
                <w:color w:val="000000"/>
                <w:lang w:eastAsia="en-GB"/>
              </w:rPr>
              <w:t>Long Term Assets</w:t>
            </w:r>
          </w:p>
        </w:tc>
        <w:tc>
          <w:tcPr>
            <w:tcW w:w="754" w:type="dxa"/>
            <w:tcBorders>
              <w:top w:val="nil"/>
              <w:left w:val="nil"/>
              <w:bottom w:val="nil"/>
              <w:right w:val="nil"/>
            </w:tcBorders>
            <w:vAlign w:val="bottom"/>
          </w:tcPr>
          <w:p w:rsidR="0003552F" w:rsidRPr="00EB2995" w:rsidRDefault="0003552F" w:rsidP="0003552F">
            <w:pPr>
              <w:rPr>
                <w:rFonts w:cs="Calibri"/>
                <w:b/>
                <w:bCs/>
                <w:color w:val="000000"/>
                <w:lang w:eastAsia="en-GB"/>
              </w:rPr>
            </w:pPr>
          </w:p>
        </w:tc>
        <w:tc>
          <w:tcPr>
            <w:tcW w:w="1276" w:type="dxa"/>
            <w:tcBorders>
              <w:top w:val="nil"/>
              <w:left w:val="single" w:sz="8" w:space="0" w:color="auto"/>
              <w:bottom w:val="nil"/>
              <w:right w:val="single" w:sz="8" w:space="0" w:color="auto"/>
            </w:tcBorders>
            <w:noWrap/>
            <w:vAlign w:val="center"/>
          </w:tcPr>
          <w:p w:rsidR="0003552F" w:rsidRPr="00EB2995" w:rsidRDefault="00A924BE" w:rsidP="0003552F">
            <w:pPr>
              <w:jc w:val="right"/>
              <w:rPr>
                <w:rFonts w:cs="Calibri"/>
                <w:b/>
                <w:bCs/>
                <w:color w:val="000000"/>
                <w:lang w:eastAsia="en-GB"/>
              </w:rPr>
            </w:pPr>
            <w:r>
              <w:rPr>
                <w:rFonts w:cs="Calibri"/>
                <w:b/>
                <w:bCs/>
                <w:color w:val="000000"/>
              </w:rPr>
              <w:t>2,165</w:t>
            </w:r>
            <w:r w:rsidR="0003552F" w:rsidRPr="00EB2995">
              <w:rPr>
                <w:rFonts w:cs="Calibri"/>
                <w:b/>
                <w:bCs/>
                <w:color w:val="000000"/>
              </w:rPr>
              <w:t>.</w:t>
            </w:r>
            <w:r>
              <w:rPr>
                <w:rFonts w:cs="Calibri"/>
                <w:b/>
                <w:bCs/>
                <w:color w:val="000000"/>
              </w:rPr>
              <w:t>4</w:t>
            </w:r>
          </w:p>
        </w:tc>
        <w:tc>
          <w:tcPr>
            <w:tcW w:w="933" w:type="dxa"/>
            <w:tcBorders>
              <w:top w:val="nil"/>
              <w:left w:val="nil"/>
              <w:bottom w:val="single" w:sz="8" w:space="0" w:color="auto"/>
              <w:right w:val="single" w:sz="8" w:space="0" w:color="auto"/>
            </w:tcBorders>
            <w:shd w:val="clear" w:color="000000" w:fill="FFFFFF"/>
            <w:vAlign w:val="center"/>
          </w:tcPr>
          <w:p w:rsidR="0003552F" w:rsidRPr="00EB2995" w:rsidRDefault="0003552F" w:rsidP="0003552F">
            <w:pPr>
              <w:jc w:val="right"/>
              <w:rPr>
                <w:rFonts w:cs="Calibri"/>
                <w:b/>
                <w:bCs/>
                <w:color w:val="0070C0"/>
                <w:lang w:eastAsia="en-GB"/>
              </w:rPr>
            </w:pPr>
            <w:r w:rsidRPr="00EB2995">
              <w:rPr>
                <w:rFonts w:cs="Calibri"/>
                <w:b/>
                <w:bCs/>
                <w:color w:val="0070C0"/>
                <w:lang w:eastAsia="en-GB"/>
              </w:rPr>
              <w:t> </w:t>
            </w:r>
          </w:p>
        </w:tc>
      </w:tr>
      <w:tr w:rsidR="0003552F" w:rsidRPr="00EB2995" w:rsidTr="0003552F">
        <w:trPr>
          <w:trHeight w:hRule="exact" w:val="284"/>
        </w:trPr>
        <w:tc>
          <w:tcPr>
            <w:tcW w:w="1256" w:type="dxa"/>
            <w:tcBorders>
              <w:top w:val="nil"/>
              <w:left w:val="single" w:sz="8" w:space="0" w:color="auto"/>
              <w:bottom w:val="nil"/>
              <w:right w:val="single" w:sz="8" w:space="0" w:color="auto"/>
            </w:tcBorders>
            <w:noWrap/>
            <w:vAlign w:val="center"/>
          </w:tcPr>
          <w:p w:rsidR="0003552F" w:rsidRPr="00EB2995" w:rsidRDefault="0003552F" w:rsidP="0003552F">
            <w:pPr>
              <w:jc w:val="right"/>
              <w:rPr>
                <w:rFonts w:cs="Calibri"/>
                <w:color w:val="000000"/>
                <w:lang w:eastAsia="en-GB"/>
              </w:rPr>
            </w:pPr>
            <w:r w:rsidRPr="00EB2995">
              <w:rPr>
                <w:rFonts w:cs="Calibri"/>
                <w:color w:val="000000"/>
                <w:lang w:eastAsia="en-GB"/>
              </w:rPr>
              <w:t>61.0</w:t>
            </w:r>
          </w:p>
        </w:tc>
        <w:tc>
          <w:tcPr>
            <w:tcW w:w="222" w:type="dxa"/>
            <w:tcBorders>
              <w:top w:val="nil"/>
              <w:left w:val="nil"/>
              <w:bottom w:val="nil"/>
              <w:right w:val="nil"/>
            </w:tcBorders>
            <w:vAlign w:val="center"/>
          </w:tcPr>
          <w:p w:rsidR="0003552F" w:rsidRPr="00EB2995" w:rsidRDefault="0003552F" w:rsidP="0003552F">
            <w:pPr>
              <w:jc w:val="right"/>
              <w:rPr>
                <w:rFonts w:cs="Calibri"/>
                <w:color w:val="000000"/>
                <w:lang w:eastAsia="en-GB"/>
              </w:rPr>
            </w:pPr>
          </w:p>
        </w:tc>
        <w:tc>
          <w:tcPr>
            <w:tcW w:w="3704" w:type="dxa"/>
            <w:tcBorders>
              <w:top w:val="nil"/>
              <w:left w:val="nil"/>
              <w:bottom w:val="nil"/>
              <w:right w:val="nil"/>
            </w:tcBorders>
            <w:noWrap/>
            <w:vAlign w:val="center"/>
          </w:tcPr>
          <w:p w:rsidR="0003552F" w:rsidRPr="00EB2995" w:rsidRDefault="0003552F" w:rsidP="0003552F">
            <w:pPr>
              <w:rPr>
                <w:rFonts w:cs="Calibri"/>
                <w:color w:val="000000"/>
                <w:lang w:eastAsia="en-GB"/>
              </w:rPr>
            </w:pPr>
            <w:r w:rsidRPr="00EB2995">
              <w:rPr>
                <w:rFonts w:cs="Calibri"/>
                <w:color w:val="000000"/>
                <w:lang w:eastAsia="en-GB"/>
              </w:rPr>
              <w:t>Short Term Investments</w:t>
            </w:r>
          </w:p>
        </w:tc>
        <w:tc>
          <w:tcPr>
            <w:tcW w:w="754" w:type="dxa"/>
            <w:tcBorders>
              <w:top w:val="nil"/>
              <w:left w:val="nil"/>
              <w:bottom w:val="nil"/>
              <w:right w:val="nil"/>
            </w:tcBorders>
            <w:vAlign w:val="center"/>
          </w:tcPr>
          <w:p w:rsidR="0003552F" w:rsidRPr="00EB2995" w:rsidRDefault="0003552F" w:rsidP="0003552F">
            <w:pPr>
              <w:jc w:val="center"/>
              <w:rPr>
                <w:rFonts w:cs="Calibri"/>
                <w:color w:val="000000"/>
                <w:lang w:eastAsia="en-GB"/>
              </w:rPr>
            </w:pPr>
            <w:r w:rsidRPr="00EB2995">
              <w:rPr>
                <w:rFonts w:cs="Calibri"/>
                <w:color w:val="000000"/>
                <w:lang w:eastAsia="en-GB"/>
              </w:rPr>
              <w:t>25</w:t>
            </w:r>
          </w:p>
        </w:tc>
        <w:tc>
          <w:tcPr>
            <w:tcW w:w="1276" w:type="dxa"/>
            <w:tcBorders>
              <w:top w:val="nil"/>
              <w:left w:val="single" w:sz="8" w:space="0" w:color="auto"/>
              <w:bottom w:val="nil"/>
              <w:right w:val="single" w:sz="8" w:space="0" w:color="auto"/>
            </w:tcBorders>
            <w:noWrap/>
            <w:vAlign w:val="center"/>
          </w:tcPr>
          <w:p w:rsidR="0003552F" w:rsidRPr="00EB2995" w:rsidRDefault="0003552F" w:rsidP="0003552F">
            <w:pPr>
              <w:jc w:val="right"/>
              <w:rPr>
                <w:rFonts w:cs="Calibri"/>
                <w:color w:val="000000"/>
                <w:lang w:eastAsia="en-GB"/>
              </w:rPr>
            </w:pPr>
            <w:r>
              <w:rPr>
                <w:rFonts w:cs="Calibri"/>
                <w:color w:val="000000"/>
              </w:rPr>
              <w:t>0.0</w:t>
            </w:r>
          </w:p>
        </w:tc>
        <w:tc>
          <w:tcPr>
            <w:tcW w:w="933" w:type="dxa"/>
            <w:vMerge w:val="restart"/>
            <w:tcBorders>
              <w:top w:val="single" w:sz="8" w:space="0" w:color="auto"/>
              <w:left w:val="single" w:sz="8" w:space="0" w:color="auto"/>
              <w:bottom w:val="single" w:sz="4" w:space="0" w:color="auto"/>
              <w:right w:val="single" w:sz="8" w:space="0" w:color="auto"/>
            </w:tcBorders>
            <w:shd w:val="clear" w:color="000000" w:fill="FFFF66"/>
            <w:textDirection w:val="tbRl"/>
            <w:vAlign w:val="center"/>
          </w:tcPr>
          <w:p w:rsidR="0003552F" w:rsidRPr="00EB2995" w:rsidRDefault="0003552F" w:rsidP="0003552F">
            <w:pPr>
              <w:jc w:val="center"/>
              <w:rPr>
                <w:rFonts w:cs="Calibri"/>
                <w:color w:val="0070C0"/>
                <w:lang w:eastAsia="en-GB"/>
              </w:rPr>
            </w:pPr>
            <w:r w:rsidRPr="00EB2995">
              <w:rPr>
                <w:rFonts w:cs="Calibri"/>
                <w:color w:val="0070C0"/>
                <w:lang w:eastAsia="en-GB"/>
              </w:rPr>
              <w:t>Current Assets</w:t>
            </w:r>
          </w:p>
        </w:tc>
      </w:tr>
      <w:tr w:rsidR="0003552F" w:rsidRPr="00EB2995" w:rsidTr="0003552F">
        <w:trPr>
          <w:trHeight w:hRule="exact" w:val="284"/>
        </w:trPr>
        <w:tc>
          <w:tcPr>
            <w:tcW w:w="1256" w:type="dxa"/>
            <w:tcBorders>
              <w:top w:val="nil"/>
              <w:left w:val="single" w:sz="8" w:space="0" w:color="auto"/>
              <w:bottom w:val="nil"/>
              <w:right w:val="single" w:sz="8" w:space="0" w:color="auto"/>
            </w:tcBorders>
            <w:noWrap/>
            <w:vAlign w:val="center"/>
          </w:tcPr>
          <w:p w:rsidR="0003552F" w:rsidRPr="00EB2995" w:rsidRDefault="0003552F" w:rsidP="0003552F">
            <w:pPr>
              <w:jc w:val="right"/>
              <w:rPr>
                <w:rFonts w:cs="Calibri"/>
                <w:color w:val="000000"/>
                <w:lang w:eastAsia="en-GB"/>
              </w:rPr>
            </w:pPr>
            <w:r w:rsidRPr="00EB2995">
              <w:rPr>
                <w:rFonts w:cs="Calibri"/>
                <w:color w:val="000000"/>
                <w:lang w:eastAsia="en-GB"/>
              </w:rPr>
              <w:t>107.3</w:t>
            </w:r>
          </w:p>
        </w:tc>
        <w:tc>
          <w:tcPr>
            <w:tcW w:w="222" w:type="dxa"/>
            <w:tcBorders>
              <w:top w:val="nil"/>
              <w:left w:val="nil"/>
              <w:bottom w:val="nil"/>
              <w:right w:val="nil"/>
            </w:tcBorders>
            <w:vAlign w:val="center"/>
          </w:tcPr>
          <w:p w:rsidR="0003552F" w:rsidRPr="00EB2995" w:rsidRDefault="0003552F" w:rsidP="0003552F">
            <w:pPr>
              <w:jc w:val="right"/>
              <w:rPr>
                <w:rFonts w:cs="Calibri"/>
                <w:color w:val="000000"/>
                <w:lang w:eastAsia="en-GB"/>
              </w:rPr>
            </w:pPr>
          </w:p>
        </w:tc>
        <w:tc>
          <w:tcPr>
            <w:tcW w:w="3704" w:type="dxa"/>
            <w:tcBorders>
              <w:top w:val="nil"/>
              <w:left w:val="nil"/>
              <w:bottom w:val="nil"/>
              <w:right w:val="nil"/>
            </w:tcBorders>
            <w:noWrap/>
            <w:vAlign w:val="center"/>
          </w:tcPr>
          <w:p w:rsidR="0003552F" w:rsidRPr="00EB2995" w:rsidRDefault="0003552F" w:rsidP="0003552F">
            <w:pPr>
              <w:rPr>
                <w:rFonts w:cs="Calibri"/>
                <w:color w:val="000000"/>
                <w:lang w:eastAsia="en-GB"/>
              </w:rPr>
            </w:pPr>
            <w:r w:rsidRPr="00EB2995">
              <w:rPr>
                <w:rFonts w:cs="Calibri"/>
                <w:color w:val="000000"/>
                <w:lang w:eastAsia="en-GB"/>
              </w:rPr>
              <w:t>Short Term Debtors</w:t>
            </w:r>
          </w:p>
        </w:tc>
        <w:tc>
          <w:tcPr>
            <w:tcW w:w="754" w:type="dxa"/>
            <w:tcBorders>
              <w:top w:val="nil"/>
              <w:left w:val="nil"/>
              <w:bottom w:val="nil"/>
              <w:right w:val="nil"/>
            </w:tcBorders>
            <w:vAlign w:val="center"/>
          </w:tcPr>
          <w:p w:rsidR="0003552F" w:rsidRPr="00EB2995" w:rsidRDefault="0003552F" w:rsidP="0003552F">
            <w:pPr>
              <w:jc w:val="center"/>
              <w:rPr>
                <w:rFonts w:cs="Calibri"/>
                <w:color w:val="000000"/>
                <w:lang w:eastAsia="en-GB"/>
              </w:rPr>
            </w:pPr>
            <w:r w:rsidRPr="00EB2995">
              <w:rPr>
                <w:rFonts w:cs="Calibri"/>
                <w:color w:val="000000"/>
                <w:lang w:eastAsia="en-GB"/>
              </w:rPr>
              <w:t>2</w:t>
            </w:r>
          </w:p>
        </w:tc>
        <w:tc>
          <w:tcPr>
            <w:tcW w:w="1276" w:type="dxa"/>
            <w:tcBorders>
              <w:top w:val="nil"/>
              <w:left w:val="single" w:sz="8" w:space="0" w:color="auto"/>
              <w:bottom w:val="nil"/>
              <w:right w:val="single" w:sz="8" w:space="0" w:color="auto"/>
            </w:tcBorders>
            <w:noWrap/>
            <w:vAlign w:val="center"/>
          </w:tcPr>
          <w:p w:rsidR="0003552F" w:rsidRPr="00EB2995" w:rsidRDefault="00A924BE" w:rsidP="0003552F">
            <w:pPr>
              <w:jc w:val="right"/>
              <w:rPr>
                <w:rFonts w:cs="Calibri"/>
                <w:color w:val="000000"/>
                <w:lang w:eastAsia="en-GB"/>
              </w:rPr>
            </w:pPr>
            <w:r>
              <w:rPr>
                <w:rFonts w:cs="Calibri"/>
                <w:color w:val="000000"/>
              </w:rPr>
              <w:t>156.8</w:t>
            </w:r>
          </w:p>
        </w:tc>
        <w:tc>
          <w:tcPr>
            <w:tcW w:w="933" w:type="dxa"/>
            <w:vMerge/>
            <w:tcBorders>
              <w:top w:val="nil"/>
              <w:left w:val="single" w:sz="8" w:space="0" w:color="auto"/>
              <w:bottom w:val="single" w:sz="4" w:space="0" w:color="auto"/>
              <w:right w:val="single" w:sz="8" w:space="0" w:color="auto"/>
            </w:tcBorders>
            <w:vAlign w:val="center"/>
          </w:tcPr>
          <w:p w:rsidR="0003552F" w:rsidRPr="00EB2995" w:rsidRDefault="0003552F" w:rsidP="0003552F">
            <w:pPr>
              <w:rPr>
                <w:rFonts w:cs="Calibri"/>
                <w:color w:val="0070C0"/>
                <w:lang w:eastAsia="en-GB"/>
              </w:rPr>
            </w:pPr>
          </w:p>
        </w:tc>
      </w:tr>
      <w:tr w:rsidR="0003552F" w:rsidRPr="00EB2995" w:rsidTr="0003552F">
        <w:trPr>
          <w:trHeight w:hRule="exact" w:val="284"/>
        </w:trPr>
        <w:tc>
          <w:tcPr>
            <w:tcW w:w="1256" w:type="dxa"/>
            <w:tcBorders>
              <w:top w:val="nil"/>
              <w:left w:val="single" w:sz="8" w:space="0" w:color="auto"/>
              <w:bottom w:val="single" w:sz="8" w:space="0" w:color="auto"/>
              <w:right w:val="single" w:sz="8" w:space="0" w:color="auto"/>
            </w:tcBorders>
            <w:noWrap/>
            <w:vAlign w:val="center"/>
          </w:tcPr>
          <w:p w:rsidR="0003552F" w:rsidRPr="00EB2995" w:rsidRDefault="0003552F" w:rsidP="0003552F">
            <w:pPr>
              <w:jc w:val="right"/>
              <w:rPr>
                <w:rFonts w:cs="Calibri"/>
                <w:color w:val="000000"/>
                <w:lang w:eastAsia="en-GB"/>
              </w:rPr>
            </w:pPr>
            <w:r w:rsidRPr="00EB2995">
              <w:rPr>
                <w:rFonts w:cs="Calibri"/>
                <w:color w:val="000000"/>
                <w:lang w:eastAsia="en-GB"/>
              </w:rPr>
              <w:t>53.3</w:t>
            </w:r>
          </w:p>
        </w:tc>
        <w:tc>
          <w:tcPr>
            <w:tcW w:w="222" w:type="dxa"/>
            <w:tcBorders>
              <w:top w:val="nil"/>
              <w:left w:val="nil"/>
              <w:bottom w:val="nil"/>
              <w:right w:val="nil"/>
            </w:tcBorders>
            <w:vAlign w:val="center"/>
          </w:tcPr>
          <w:p w:rsidR="0003552F" w:rsidRPr="00EB2995" w:rsidRDefault="0003552F" w:rsidP="0003552F">
            <w:pPr>
              <w:jc w:val="right"/>
              <w:rPr>
                <w:rFonts w:cs="Calibri"/>
                <w:color w:val="000000"/>
                <w:lang w:eastAsia="en-GB"/>
              </w:rPr>
            </w:pPr>
          </w:p>
        </w:tc>
        <w:tc>
          <w:tcPr>
            <w:tcW w:w="3704" w:type="dxa"/>
            <w:tcBorders>
              <w:top w:val="nil"/>
              <w:left w:val="nil"/>
              <w:bottom w:val="nil"/>
              <w:right w:val="nil"/>
            </w:tcBorders>
            <w:noWrap/>
            <w:vAlign w:val="center"/>
          </w:tcPr>
          <w:p w:rsidR="0003552F" w:rsidRPr="00EB2995" w:rsidRDefault="0003552F" w:rsidP="0003552F">
            <w:pPr>
              <w:rPr>
                <w:rFonts w:cs="Calibri"/>
                <w:color w:val="000000"/>
                <w:lang w:eastAsia="en-GB"/>
              </w:rPr>
            </w:pPr>
            <w:r w:rsidRPr="00EB2995">
              <w:rPr>
                <w:rFonts w:cs="Calibri"/>
                <w:color w:val="000000"/>
                <w:lang w:eastAsia="en-GB"/>
              </w:rPr>
              <w:t>Cash and Cash Equivalents</w:t>
            </w:r>
          </w:p>
        </w:tc>
        <w:tc>
          <w:tcPr>
            <w:tcW w:w="754" w:type="dxa"/>
            <w:tcBorders>
              <w:top w:val="nil"/>
              <w:left w:val="nil"/>
              <w:bottom w:val="nil"/>
              <w:right w:val="nil"/>
            </w:tcBorders>
            <w:vAlign w:val="center"/>
          </w:tcPr>
          <w:p w:rsidR="0003552F" w:rsidRPr="00EB2995" w:rsidRDefault="0003552F" w:rsidP="0003552F">
            <w:pPr>
              <w:jc w:val="center"/>
              <w:rPr>
                <w:rFonts w:cs="Calibri"/>
                <w:color w:val="000000"/>
                <w:lang w:eastAsia="en-GB"/>
              </w:rPr>
            </w:pPr>
            <w:r w:rsidRPr="00EB2995">
              <w:rPr>
                <w:rFonts w:cs="Calibri"/>
                <w:color w:val="000000"/>
                <w:lang w:eastAsia="en-GB"/>
              </w:rPr>
              <w:t>3</w:t>
            </w:r>
          </w:p>
        </w:tc>
        <w:tc>
          <w:tcPr>
            <w:tcW w:w="1276" w:type="dxa"/>
            <w:tcBorders>
              <w:top w:val="nil"/>
              <w:left w:val="single" w:sz="8" w:space="0" w:color="auto"/>
              <w:bottom w:val="single" w:sz="8" w:space="0" w:color="auto"/>
              <w:right w:val="single" w:sz="8" w:space="0" w:color="auto"/>
            </w:tcBorders>
            <w:noWrap/>
            <w:vAlign w:val="center"/>
          </w:tcPr>
          <w:p w:rsidR="0003552F" w:rsidRPr="00EB2995" w:rsidRDefault="0003552F" w:rsidP="0003552F">
            <w:pPr>
              <w:jc w:val="right"/>
              <w:rPr>
                <w:rFonts w:cs="Calibri"/>
                <w:color w:val="000000"/>
                <w:lang w:eastAsia="en-GB"/>
              </w:rPr>
            </w:pPr>
            <w:r>
              <w:rPr>
                <w:rFonts w:cs="Calibri"/>
                <w:color w:val="000000"/>
              </w:rPr>
              <w:t>135.2</w:t>
            </w:r>
          </w:p>
        </w:tc>
        <w:tc>
          <w:tcPr>
            <w:tcW w:w="933" w:type="dxa"/>
            <w:vMerge/>
            <w:tcBorders>
              <w:top w:val="nil"/>
              <w:left w:val="single" w:sz="8" w:space="0" w:color="auto"/>
              <w:bottom w:val="single" w:sz="4" w:space="0" w:color="auto"/>
              <w:right w:val="single" w:sz="8" w:space="0" w:color="auto"/>
            </w:tcBorders>
            <w:vAlign w:val="center"/>
          </w:tcPr>
          <w:p w:rsidR="0003552F" w:rsidRPr="00EB2995" w:rsidRDefault="0003552F" w:rsidP="0003552F">
            <w:pPr>
              <w:rPr>
                <w:rFonts w:cs="Calibri"/>
                <w:color w:val="0070C0"/>
                <w:lang w:eastAsia="en-GB"/>
              </w:rPr>
            </w:pPr>
          </w:p>
        </w:tc>
      </w:tr>
      <w:tr w:rsidR="0003552F" w:rsidRPr="00EB2995" w:rsidTr="0003552F">
        <w:trPr>
          <w:trHeight w:hRule="exact" w:val="284"/>
        </w:trPr>
        <w:tc>
          <w:tcPr>
            <w:tcW w:w="1256" w:type="dxa"/>
            <w:tcBorders>
              <w:top w:val="nil"/>
              <w:left w:val="single" w:sz="8" w:space="0" w:color="auto"/>
              <w:bottom w:val="nil"/>
              <w:right w:val="single" w:sz="8" w:space="0" w:color="auto"/>
            </w:tcBorders>
            <w:noWrap/>
            <w:vAlign w:val="center"/>
          </w:tcPr>
          <w:p w:rsidR="0003552F" w:rsidRPr="00EB2995" w:rsidRDefault="0003552F" w:rsidP="0003552F">
            <w:pPr>
              <w:jc w:val="right"/>
              <w:rPr>
                <w:rFonts w:cs="Calibri"/>
                <w:b/>
                <w:bCs/>
                <w:color w:val="000000"/>
                <w:lang w:eastAsia="en-GB"/>
              </w:rPr>
            </w:pPr>
            <w:r w:rsidRPr="00EB2995">
              <w:rPr>
                <w:rFonts w:cs="Calibri"/>
                <w:b/>
                <w:bCs/>
                <w:color w:val="000000"/>
                <w:lang w:eastAsia="en-GB"/>
              </w:rPr>
              <w:t>221.6</w:t>
            </w:r>
          </w:p>
        </w:tc>
        <w:tc>
          <w:tcPr>
            <w:tcW w:w="222" w:type="dxa"/>
            <w:tcBorders>
              <w:top w:val="nil"/>
              <w:left w:val="nil"/>
              <w:bottom w:val="nil"/>
              <w:right w:val="nil"/>
            </w:tcBorders>
            <w:vAlign w:val="center"/>
          </w:tcPr>
          <w:p w:rsidR="0003552F" w:rsidRPr="00EB2995" w:rsidRDefault="0003552F" w:rsidP="0003552F">
            <w:pPr>
              <w:jc w:val="right"/>
              <w:rPr>
                <w:rFonts w:cs="Calibri"/>
                <w:b/>
                <w:bCs/>
                <w:color w:val="000000"/>
                <w:lang w:eastAsia="en-GB"/>
              </w:rPr>
            </w:pPr>
          </w:p>
        </w:tc>
        <w:tc>
          <w:tcPr>
            <w:tcW w:w="3704" w:type="dxa"/>
            <w:tcBorders>
              <w:top w:val="nil"/>
              <w:left w:val="nil"/>
              <w:bottom w:val="nil"/>
              <w:right w:val="nil"/>
            </w:tcBorders>
            <w:noWrap/>
            <w:vAlign w:val="center"/>
          </w:tcPr>
          <w:p w:rsidR="0003552F" w:rsidRPr="00EB2995" w:rsidRDefault="0003552F" w:rsidP="0003552F">
            <w:pPr>
              <w:rPr>
                <w:rFonts w:cs="Calibri"/>
                <w:b/>
                <w:bCs/>
                <w:color w:val="000000"/>
                <w:lang w:eastAsia="en-GB"/>
              </w:rPr>
            </w:pPr>
            <w:r w:rsidRPr="00EB2995">
              <w:rPr>
                <w:rFonts w:cs="Calibri"/>
                <w:b/>
                <w:bCs/>
                <w:color w:val="000000"/>
                <w:lang w:eastAsia="en-GB"/>
              </w:rPr>
              <w:t>Current Assets</w:t>
            </w:r>
          </w:p>
        </w:tc>
        <w:tc>
          <w:tcPr>
            <w:tcW w:w="754" w:type="dxa"/>
            <w:tcBorders>
              <w:top w:val="nil"/>
              <w:left w:val="nil"/>
              <w:bottom w:val="nil"/>
              <w:right w:val="nil"/>
            </w:tcBorders>
            <w:vAlign w:val="bottom"/>
          </w:tcPr>
          <w:p w:rsidR="0003552F" w:rsidRPr="00EB2995" w:rsidRDefault="0003552F" w:rsidP="0003552F">
            <w:pPr>
              <w:rPr>
                <w:rFonts w:cs="Calibri"/>
                <w:b/>
                <w:bCs/>
                <w:color w:val="000000"/>
                <w:lang w:eastAsia="en-GB"/>
              </w:rPr>
            </w:pPr>
          </w:p>
        </w:tc>
        <w:tc>
          <w:tcPr>
            <w:tcW w:w="1276" w:type="dxa"/>
            <w:tcBorders>
              <w:top w:val="nil"/>
              <w:left w:val="single" w:sz="8" w:space="0" w:color="auto"/>
              <w:bottom w:val="nil"/>
              <w:right w:val="single" w:sz="8" w:space="0" w:color="auto"/>
            </w:tcBorders>
            <w:noWrap/>
            <w:vAlign w:val="center"/>
          </w:tcPr>
          <w:p w:rsidR="0003552F" w:rsidRPr="00EB2995" w:rsidRDefault="00A924BE" w:rsidP="0003552F">
            <w:pPr>
              <w:jc w:val="right"/>
              <w:rPr>
                <w:rFonts w:cs="Calibri"/>
                <w:b/>
                <w:bCs/>
                <w:color w:val="000000"/>
                <w:lang w:eastAsia="en-GB"/>
              </w:rPr>
            </w:pPr>
            <w:r>
              <w:rPr>
                <w:rFonts w:cs="Calibri"/>
                <w:b/>
                <w:bCs/>
                <w:color w:val="000000"/>
              </w:rPr>
              <w:t>292.0</w:t>
            </w:r>
          </w:p>
        </w:tc>
        <w:tc>
          <w:tcPr>
            <w:tcW w:w="933" w:type="dxa"/>
            <w:tcBorders>
              <w:top w:val="single" w:sz="4" w:space="0" w:color="auto"/>
              <w:left w:val="nil"/>
              <w:bottom w:val="single" w:sz="8" w:space="0" w:color="auto"/>
              <w:right w:val="single" w:sz="8" w:space="0" w:color="auto"/>
            </w:tcBorders>
            <w:shd w:val="clear" w:color="000000" w:fill="FFFFFF"/>
            <w:vAlign w:val="center"/>
          </w:tcPr>
          <w:p w:rsidR="0003552F" w:rsidRPr="00EB2995" w:rsidRDefault="0003552F" w:rsidP="0003552F">
            <w:pPr>
              <w:jc w:val="right"/>
              <w:rPr>
                <w:rFonts w:cs="Calibri"/>
                <w:b/>
                <w:bCs/>
                <w:color w:val="0070C0"/>
                <w:lang w:eastAsia="en-GB"/>
              </w:rPr>
            </w:pPr>
            <w:r w:rsidRPr="00EB2995">
              <w:rPr>
                <w:rFonts w:cs="Calibri"/>
                <w:b/>
                <w:bCs/>
                <w:color w:val="0070C0"/>
                <w:lang w:eastAsia="en-GB"/>
              </w:rPr>
              <w:t> </w:t>
            </w:r>
          </w:p>
        </w:tc>
      </w:tr>
      <w:tr w:rsidR="0003552F" w:rsidRPr="00EB2995" w:rsidTr="0003552F">
        <w:trPr>
          <w:trHeight w:hRule="exact" w:val="284"/>
        </w:trPr>
        <w:tc>
          <w:tcPr>
            <w:tcW w:w="1256" w:type="dxa"/>
            <w:tcBorders>
              <w:top w:val="nil"/>
              <w:left w:val="single" w:sz="8" w:space="0" w:color="auto"/>
              <w:bottom w:val="nil"/>
              <w:right w:val="single" w:sz="8" w:space="0" w:color="auto"/>
            </w:tcBorders>
            <w:noWrap/>
            <w:vAlign w:val="center"/>
          </w:tcPr>
          <w:p w:rsidR="0003552F" w:rsidRPr="00EB2995" w:rsidRDefault="0003552F" w:rsidP="0003552F">
            <w:pPr>
              <w:jc w:val="right"/>
              <w:rPr>
                <w:rFonts w:cs="Calibri"/>
                <w:color w:val="000000"/>
                <w:lang w:eastAsia="en-GB"/>
              </w:rPr>
            </w:pPr>
            <w:r w:rsidRPr="00EB2995">
              <w:rPr>
                <w:rFonts w:cs="Calibri"/>
                <w:color w:val="000000"/>
                <w:lang w:eastAsia="en-GB"/>
              </w:rPr>
              <w:t>(14.4)</w:t>
            </w:r>
          </w:p>
        </w:tc>
        <w:tc>
          <w:tcPr>
            <w:tcW w:w="222" w:type="dxa"/>
            <w:tcBorders>
              <w:top w:val="nil"/>
              <w:left w:val="nil"/>
              <w:bottom w:val="nil"/>
              <w:right w:val="nil"/>
            </w:tcBorders>
            <w:vAlign w:val="center"/>
          </w:tcPr>
          <w:p w:rsidR="0003552F" w:rsidRPr="00EB2995" w:rsidRDefault="0003552F" w:rsidP="0003552F">
            <w:pPr>
              <w:jc w:val="right"/>
              <w:rPr>
                <w:rFonts w:cs="Calibri"/>
                <w:color w:val="000000"/>
                <w:lang w:eastAsia="en-GB"/>
              </w:rPr>
            </w:pPr>
          </w:p>
        </w:tc>
        <w:tc>
          <w:tcPr>
            <w:tcW w:w="3704" w:type="dxa"/>
            <w:tcBorders>
              <w:top w:val="nil"/>
              <w:left w:val="nil"/>
              <w:bottom w:val="nil"/>
              <w:right w:val="nil"/>
            </w:tcBorders>
            <w:noWrap/>
            <w:vAlign w:val="center"/>
          </w:tcPr>
          <w:p w:rsidR="0003552F" w:rsidRPr="00EB2995" w:rsidRDefault="0003552F" w:rsidP="0003552F">
            <w:pPr>
              <w:rPr>
                <w:rFonts w:cs="Calibri"/>
                <w:color w:val="000000"/>
                <w:lang w:eastAsia="en-GB"/>
              </w:rPr>
            </w:pPr>
            <w:r w:rsidRPr="00EB2995">
              <w:rPr>
                <w:rFonts w:cs="Calibri"/>
                <w:color w:val="000000"/>
                <w:lang w:eastAsia="en-GB"/>
              </w:rPr>
              <w:t>Short Term Borrowing</w:t>
            </w:r>
          </w:p>
        </w:tc>
        <w:tc>
          <w:tcPr>
            <w:tcW w:w="754" w:type="dxa"/>
            <w:tcBorders>
              <w:top w:val="nil"/>
              <w:left w:val="nil"/>
              <w:bottom w:val="nil"/>
              <w:right w:val="nil"/>
            </w:tcBorders>
            <w:vAlign w:val="center"/>
          </w:tcPr>
          <w:p w:rsidR="0003552F" w:rsidRPr="00EB2995" w:rsidRDefault="0003552F" w:rsidP="0003552F">
            <w:pPr>
              <w:jc w:val="center"/>
              <w:rPr>
                <w:rFonts w:cs="Calibri"/>
                <w:color w:val="000000"/>
                <w:lang w:eastAsia="en-GB"/>
              </w:rPr>
            </w:pPr>
            <w:r w:rsidRPr="00EB2995">
              <w:rPr>
                <w:rFonts w:cs="Calibri"/>
                <w:color w:val="000000"/>
                <w:lang w:eastAsia="en-GB"/>
              </w:rPr>
              <w:t>25</w:t>
            </w:r>
          </w:p>
        </w:tc>
        <w:tc>
          <w:tcPr>
            <w:tcW w:w="1276" w:type="dxa"/>
            <w:tcBorders>
              <w:top w:val="nil"/>
              <w:left w:val="single" w:sz="8" w:space="0" w:color="auto"/>
              <w:bottom w:val="nil"/>
              <w:right w:val="single" w:sz="8" w:space="0" w:color="auto"/>
            </w:tcBorders>
            <w:noWrap/>
            <w:vAlign w:val="center"/>
          </w:tcPr>
          <w:p w:rsidR="0003552F" w:rsidRPr="00EB2995" w:rsidRDefault="0003552F" w:rsidP="0003552F">
            <w:pPr>
              <w:jc w:val="right"/>
              <w:rPr>
                <w:rFonts w:cs="Calibri"/>
                <w:color w:val="000000"/>
                <w:lang w:eastAsia="en-GB"/>
              </w:rPr>
            </w:pPr>
            <w:r w:rsidRPr="00EB2995">
              <w:rPr>
                <w:rFonts w:cs="Calibri"/>
                <w:color w:val="000000"/>
              </w:rPr>
              <w:t>(140.9)</w:t>
            </w:r>
          </w:p>
        </w:tc>
        <w:tc>
          <w:tcPr>
            <w:tcW w:w="933" w:type="dxa"/>
            <w:vMerge w:val="restart"/>
            <w:tcBorders>
              <w:top w:val="nil"/>
              <w:left w:val="single" w:sz="8" w:space="0" w:color="auto"/>
              <w:bottom w:val="single" w:sz="8" w:space="0" w:color="000000"/>
              <w:right w:val="single" w:sz="8" w:space="0" w:color="auto"/>
            </w:tcBorders>
            <w:shd w:val="clear" w:color="000000" w:fill="FFC000"/>
            <w:textDirection w:val="tbRl"/>
            <w:vAlign w:val="center"/>
          </w:tcPr>
          <w:p w:rsidR="0003552F" w:rsidRPr="00EB2995" w:rsidRDefault="0003552F" w:rsidP="0003552F">
            <w:pPr>
              <w:jc w:val="center"/>
              <w:rPr>
                <w:rFonts w:cs="Calibri"/>
                <w:color w:val="0070C0"/>
                <w:lang w:eastAsia="en-GB"/>
              </w:rPr>
            </w:pPr>
            <w:r w:rsidRPr="00EB2995">
              <w:rPr>
                <w:rFonts w:cs="Calibri"/>
                <w:color w:val="0070C0"/>
                <w:lang w:eastAsia="en-GB"/>
              </w:rPr>
              <w:t>Liabilities</w:t>
            </w:r>
          </w:p>
        </w:tc>
      </w:tr>
      <w:tr w:rsidR="0003552F" w:rsidRPr="00EB2995" w:rsidTr="0003552F">
        <w:trPr>
          <w:trHeight w:hRule="exact" w:val="284"/>
        </w:trPr>
        <w:tc>
          <w:tcPr>
            <w:tcW w:w="1256" w:type="dxa"/>
            <w:tcBorders>
              <w:top w:val="nil"/>
              <w:left w:val="single" w:sz="8" w:space="0" w:color="auto"/>
              <w:bottom w:val="nil"/>
              <w:right w:val="single" w:sz="8" w:space="0" w:color="auto"/>
            </w:tcBorders>
            <w:noWrap/>
            <w:vAlign w:val="center"/>
          </w:tcPr>
          <w:p w:rsidR="0003552F" w:rsidRPr="00EB2995" w:rsidRDefault="0003552F" w:rsidP="0003552F">
            <w:pPr>
              <w:jc w:val="right"/>
              <w:rPr>
                <w:rFonts w:cs="Calibri"/>
                <w:color w:val="000000"/>
                <w:lang w:eastAsia="en-GB"/>
              </w:rPr>
            </w:pPr>
            <w:r w:rsidRPr="00EB2995">
              <w:rPr>
                <w:rFonts w:cs="Calibri"/>
                <w:color w:val="000000"/>
                <w:lang w:eastAsia="en-GB"/>
              </w:rPr>
              <w:t>(143.9)</w:t>
            </w:r>
          </w:p>
        </w:tc>
        <w:tc>
          <w:tcPr>
            <w:tcW w:w="222" w:type="dxa"/>
            <w:tcBorders>
              <w:top w:val="nil"/>
              <w:left w:val="nil"/>
              <w:bottom w:val="nil"/>
              <w:right w:val="nil"/>
            </w:tcBorders>
            <w:vAlign w:val="center"/>
          </w:tcPr>
          <w:p w:rsidR="0003552F" w:rsidRPr="00EB2995" w:rsidRDefault="0003552F" w:rsidP="0003552F">
            <w:pPr>
              <w:jc w:val="right"/>
              <w:rPr>
                <w:rFonts w:cs="Calibri"/>
                <w:color w:val="000000"/>
                <w:lang w:eastAsia="en-GB"/>
              </w:rPr>
            </w:pPr>
          </w:p>
        </w:tc>
        <w:tc>
          <w:tcPr>
            <w:tcW w:w="3704" w:type="dxa"/>
            <w:tcBorders>
              <w:top w:val="nil"/>
              <w:left w:val="nil"/>
              <w:bottom w:val="nil"/>
              <w:right w:val="nil"/>
            </w:tcBorders>
            <w:noWrap/>
            <w:vAlign w:val="center"/>
          </w:tcPr>
          <w:p w:rsidR="0003552F" w:rsidRPr="00EB2995" w:rsidRDefault="0003552F" w:rsidP="0003552F">
            <w:pPr>
              <w:rPr>
                <w:rFonts w:cs="Calibri"/>
                <w:color w:val="000000"/>
                <w:lang w:eastAsia="en-GB"/>
              </w:rPr>
            </w:pPr>
            <w:r w:rsidRPr="00EB2995">
              <w:rPr>
                <w:rFonts w:cs="Calibri"/>
                <w:color w:val="000000"/>
                <w:lang w:eastAsia="en-GB"/>
              </w:rPr>
              <w:t>Short Term Creditors</w:t>
            </w:r>
          </w:p>
        </w:tc>
        <w:tc>
          <w:tcPr>
            <w:tcW w:w="754" w:type="dxa"/>
            <w:tcBorders>
              <w:top w:val="nil"/>
              <w:left w:val="nil"/>
              <w:bottom w:val="nil"/>
              <w:right w:val="nil"/>
            </w:tcBorders>
            <w:vAlign w:val="center"/>
          </w:tcPr>
          <w:p w:rsidR="0003552F" w:rsidRPr="00EB2995" w:rsidRDefault="0003552F" w:rsidP="0003552F">
            <w:pPr>
              <w:jc w:val="center"/>
              <w:rPr>
                <w:rFonts w:cs="Calibri"/>
                <w:color w:val="000000"/>
                <w:lang w:eastAsia="en-GB"/>
              </w:rPr>
            </w:pPr>
            <w:r w:rsidRPr="00EB2995">
              <w:rPr>
                <w:rFonts w:cs="Calibri"/>
                <w:color w:val="000000"/>
                <w:lang w:eastAsia="en-GB"/>
              </w:rPr>
              <w:t>7</w:t>
            </w:r>
          </w:p>
        </w:tc>
        <w:tc>
          <w:tcPr>
            <w:tcW w:w="1276" w:type="dxa"/>
            <w:tcBorders>
              <w:top w:val="nil"/>
              <w:left w:val="single" w:sz="8" w:space="0" w:color="auto"/>
              <w:bottom w:val="nil"/>
              <w:right w:val="single" w:sz="8" w:space="0" w:color="auto"/>
            </w:tcBorders>
            <w:noWrap/>
            <w:vAlign w:val="center"/>
          </w:tcPr>
          <w:p w:rsidR="0003552F" w:rsidRPr="00EB2995" w:rsidRDefault="0003552F" w:rsidP="0003552F">
            <w:pPr>
              <w:jc w:val="right"/>
              <w:rPr>
                <w:rFonts w:cs="Calibri"/>
                <w:color w:val="000000"/>
                <w:lang w:eastAsia="en-GB"/>
              </w:rPr>
            </w:pPr>
            <w:r w:rsidRPr="00EB2995">
              <w:rPr>
                <w:rFonts w:cs="Calibri"/>
                <w:color w:val="000000"/>
              </w:rPr>
              <w:t>(125.0)</w:t>
            </w:r>
          </w:p>
        </w:tc>
        <w:tc>
          <w:tcPr>
            <w:tcW w:w="933" w:type="dxa"/>
            <w:vMerge/>
            <w:tcBorders>
              <w:top w:val="nil"/>
              <w:left w:val="single" w:sz="8" w:space="0" w:color="auto"/>
              <w:bottom w:val="single" w:sz="8" w:space="0" w:color="000000"/>
              <w:right w:val="single" w:sz="8" w:space="0" w:color="auto"/>
            </w:tcBorders>
            <w:vAlign w:val="center"/>
          </w:tcPr>
          <w:p w:rsidR="0003552F" w:rsidRPr="00EB2995" w:rsidRDefault="0003552F" w:rsidP="0003552F">
            <w:pPr>
              <w:rPr>
                <w:rFonts w:cs="Calibri"/>
                <w:color w:val="0070C0"/>
                <w:lang w:eastAsia="en-GB"/>
              </w:rPr>
            </w:pPr>
          </w:p>
        </w:tc>
      </w:tr>
      <w:tr w:rsidR="0003552F" w:rsidRPr="00EB2995" w:rsidTr="0003552F">
        <w:trPr>
          <w:trHeight w:hRule="exact" w:val="284"/>
        </w:trPr>
        <w:tc>
          <w:tcPr>
            <w:tcW w:w="1256" w:type="dxa"/>
            <w:tcBorders>
              <w:top w:val="nil"/>
              <w:left w:val="single" w:sz="8" w:space="0" w:color="auto"/>
              <w:bottom w:val="nil"/>
              <w:right w:val="single" w:sz="8" w:space="0" w:color="auto"/>
            </w:tcBorders>
            <w:noWrap/>
            <w:vAlign w:val="center"/>
          </w:tcPr>
          <w:p w:rsidR="0003552F" w:rsidRPr="00EB2995" w:rsidRDefault="0003552F" w:rsidP="0003552F">
            <w:pPr>
              <w:jc w:val="right"/>
              <w:rPr>
                <w:rFonts w:cs="Calibri"/>
                <w:color w:val="000000"/>
                <w:lang w:eastAsia="en-GB"/>
              </w:rPr>
            </w:pPr>
            <w:r w:rsidRPr="00EB2995">
              <w:rPr>
                <w:rFonts w:cs="Calibri"/>
                <w:color w:val="000000"/>
                <w:lang w:eastAsia="en-GB"/>
              </w:rPr>
              <w:t>(0.0)</w:t>
            </w:r>
          </w:p>
        </w:tc>
        <w:tc>
          <w:tcPr>
            <w:tcW w:w="222" w:type="dxa"/>
            <w:tcBorders>
              <w:top w:val="nil"/>
              <w:left w:val="nil"/>
              <w:bottom w:val="nil"/>
              <w:right w:val="nil"/>
            </w:tcBorders>
            <w:vAlign w:val="center"/>
          </w:tcPr>
          <w:p w:rsidR="0003552F" w:rsidRPr="00EB2995" w:rsidRDefault="0003552F" w:rsidP="0003552F">
            <w:pPr>
              <w:jc w:val="right"/>
              <w:rPr>
                <w:rFonts w:cs="Calibri"/>
                <w:color w:val="000000"/>
                <w:lang w:eastAsia="en-GB"/>
              </w:rPr>
            </w:pPr>
          </w:p>
        </w:tc>
        <w:tc>
          <w:tcPr>
            <w:tcW w:w="3704" w:type="dxa"/>
            <w:tcBorders>
              <w:top w:val="nil"/>
              <w:left w:val="nil"/>
              <w:bottom w:val="nil"/>
              <w:right w:val="nil"/>
            </w:tcBorders>
            <w:noWrap/>
            <w:vAlign w:val="center"/>
          </w:tcPr>
          <w:p w:rsidR="0003552F" w:rsidRPr="00EB2995" w:rsidRDefault="0003552F" w:rsidP="0003552F">
            <w:pPr>
              <w:rPr>
                <w:rFonts w:cs="Calibri"/>
                <w:color w:val="000000"/>
                <w:lang w:eastAsia="en-GB"/>
              </w:rPr>
            </w:pPr>
            <w:r w:rsidRPr="00EB2995">
              <w:rPr>
                <w:rFonts w:cs="Calibri"/>
                <w:color w:val="000000"/>
                <w:lang w:eastAsia="en-GB"/>
              </w:rPr>
              <w:t>Grant Receipts in Advance- Revenue</w:t>
            </w:r>
          </w:p>
        </w:tc>
        <w:tc>
          <w:tcPr>
            <w:tcW w:w="754" w:type="dxa"/>
            <w:tcBorders>
              <w:top w:val="nil"/>
              <w:left w:val="nil"/>
              <w:bottom w:val="nil"/>
              <w:right w:val="nil"/>
            </w:tcBorders>
            <w:vAlign w:val="center"/>
          </w:tcPr>
          <w:p w:rsidR="0003552F" w:rsidRPr="00EB2995" w:rsidRDefault="0003552F" w:rsidP="0003552F">
            <w:pPr>
              <w:jc w:val="center"/>
              <w:rPr>
                <w:rFonts w:cs="Calibri"/>
                <w:color w:val="000000"/>
                <w:lang w:eastAsia="en-GB"/>
              </w:rPr>
            </w:pPr>
            <w:r w:rsidRPr="00EB2995">
              <w:rPr>
                <w:rFonts w:cs="Calibri"/>
                <w:color w:val="000000"/>
                <w:lang w:eastAsia="en-GB"/>
              </w:rPr>
              <w:t>20</w:t>
            </w:r>
          </w:p>
        </w:tc>
        <w:tc>
          <w:tcPr>
            <w:tcW w:w="1276" w:type="dxa"/>
            <w:tcBorders>
              <w:top w:val="nil"/>
              <w:left w:val="single" w:sz="8" w:space="0" w:color="auto"/>
              <w:bottom w:val="nil"/>
              <w:right w:val="single" w:sz="8" w:space="0" w:color="auto"/>
            </w:tcBorders>
            <w:noWrap/>
            <w:vAlign w:val="center"/>
          </w:tcPr>
          <w:p w:rsidR="0003552F" w:rsidRPr="00EB2995" w:rsidRDefault="0003552F" w:rsidP="0003552F">
            <w:pPr>
              <w:jc w:val="right"/>
              <w:rPr>
                <w:rFonts w:cs="Calibri"/>
                <w:color w:val="000000"/>
                <w:lang w:eastAsia="en-GB"/>
              </w:rPr>
            </w:pPr>
            <w:r w:rsidRPr="00EB2995">
              <w:rPr>
                <w:rFonts w:cs="Calibri"/>
                <w:color w:val="000000"/>
              </w:rPr>
              <w:t>(8.3)</w:t>
            </w:r>
          </w:p>
        </w:tc>
        <w:tc>
          <w:tcPr>
            <w:tcW w:w="933" w:type="dxa"/>
            <w:vMerge/>
            <w:tcBorders>
              <w:top w:val="nil"/>
              <w:left w:val="single" w:sz="8" w:space="0" w:color="auto"/>
              <w:bottom w:val="single" w:sz="8" w:space="0" w:color="000000"/>
              <w:right w:val="single" w:sz="8" w:space="0" w:color="auto"/>
            </w:tcBorders>
            <w:vAlign w:val="center"/>
          </w:tcPr>
          <w:p w:rsidR="0003552F" w:rsidRPr="00EB2995" w:rsidRDefault="0003552F" w:rsidP="0003552F">
            <w:pPr>
              <w:rPr>
                <w:rFonts w:cs="Calibri"/>
                <w:color w:val="0070C0"/>
                <w:lang w:eastAsia="en-GB"/>
              </w:rPr>
            </w:pPr>
          </w:p>
        </w:tc>
      </w:tr>
      <w:tr w:rsidR="0003552F" w:rsidRPr="00EB2995" w:rsidTr="0003552F">
        <w:trPr>
          <w:trHeight w:hRule="exact" w:val="284"/>
        </w:trPr>
        <w:tc>
          <w:tcPr>
            <w:tcW w:w="1256" w:type="dxa"/>
            <w:tcBorders>
              <w:top w:val="nil"/>
              <w:left w:val="single" w:sz="8" w:space="0" w:color="auto"/>
              <w:bottom w:val="single" w:sz="8" w:space="0" w:color="auto"/>
              <w:right w:val="single" w:sz="8" w:space="0" w:color="auto"/>
            </w:tcBorders>
            <w:noWrap/>
            <w:vAlign w:val="center"/>
          </w:tcPr>
          <w:p w:rsidR="0003552F" w:rsidRPr="00EB2995" w:rsidRDefault="0003552F" w:rsidP="0003552F">
            <w:pPr>
              <w:jc w:val="right"/>
              <w:rPr>
                <w:rFonts w:cs="Calibri"/>
                <w:color w:val="000000"/>
                <w:lang w:eastAsia="en-GB"/>
              </w:rPr>
            </w:pPr>
            <w:r w:rsidRPr="00EB2995">
              <w:rPr>
                <w:rFonts w:cs="Calibri"/>
                <w:color w:val="000000"/>
                <w:lang w:eastAsia="en-GB"/>
              </w:rPr>
              <w:t>(2.6)</w:t>
            </w:r>
          </w:p>
        </w:tc>
        <w:tc>
          <w:tcPr>
            <w:tcW w:w="222" w:type="dxa"/>
            <w:tcBorders>
              <w:top w:val="nil"/>
              <w:left w:val="nil"/>
              <w:bottom w:val="nil"/>
              <w:right w:val="nil"/>
            </w:tcBorders>
            <w:vAlign w:val="center"/>
          </w:tcPr>
          <w:p w:rsidR="0003552F" w:rsidRPr="00EB2995" w:rsidRDefault="0003552F" w:rsidP="0003552F">
            <w:pPr>
              <w:jc w:val="right"/>
              <w:rPr>
                <w:rFonts w:cs="Calibri"/>
                <w:color w:val="000000"/>
                <w:lang w:eastAsia="en-GB"/>
              </w:rPr>
            </w:pPr>
          </w:p>
        </w:tc>
        <w:tc>
          <w:tcPr>
            <w:tcW w:w="3704" w:type="dxa"/>
            <w:tcBorders>
              <w:top w:val="nil"/>
              <w:left w:val="nil"/>
              <w:bottom w:val="nil"/>
              <w:right w:val="nil"/>
            </w:tcBorders>
            <w:noWrap/>
            <w:vAlign w:val="center"/>
          </w:tcPr>
          <w:p w:rsidR="0003552F" w:rsidRPr="00EB2995" w:rsidRDefault="0003552F" w:rsidP="0003552F">
            <w:pPr>
              <w:rPr>
                <w:rFonts w:cs="Calibri"/>
                <w:color w:val="000000"/>
                <w:lang w:eastAsia="en-GB"/>
              </w:rPr>
            </w:pPr>
            <w:r w:rsidRPr="00EB2995">
              <w:rPr>
                <w:rFonts w:cs="Calibri"/>
                <w:color w:val="000000"/>
                <w:lang w:eastAsia="en-GB"/>
              </w:rPr>
              <w:t>Provisions</w:t>
            </w:r>
          </w:p>
        </w:tc>
        <w:tc>
          <w:tcPr>
            <w:tcW w:w="754" w:type="dxa"/>
            <w:tcBorders>
              <w:top w:val="nil"/>
              <w:left w:val="nil"/>
              <w:bottom w:val="nil"/>
              <w:right w:val="nil"/>
            </w:tcBorders>
            <w:vAlign w:val="center"/>
          </w:tcPr>
          <w:p w:rsidR="0003552F" w:rsidRPr="00EB2995" w:rsidRDefault="0003552F" w:rsidP="0003552F">
            <w:pPr>
              <w:jc w:val="center"/>
              <w:rPr>
                <w:rFonts w:cs="Calibri"/>
                <w:color w:val="000000"/>
                <w:lang w:eastAsia="en-GB"/>
              </w:rPr>
            </w:pPr>
            <w:r w:rsidRPr="00EB2995">
              <w:rPr>
                <w:rFonts w:cs="Calibri"/>
                <w:color w:val="000000"/>
                <w:lang w:eastAsia="en-GB"/>
              </w:rPr>
              <w:t>9</w:t>
            </w:r>
          </w:p>
        </w:tc>
        <w:tc>
          <w:tcPr>
            <w:tcW w:w="1276" w:type="dxa"/>
            <w:tcBorders>
              <w:top w:val="nil"/>
              <w:left w:val="single" w:sz="8" w:space="0" w:color="auto"/>
              <w:bottom w:val="single" w:sz="8" w:space="0" w:color="auto"/>
              <w:right w:val="single" w:sz="8" w:space="0" w:color="auto"/>
            </w:tcBorders>
            <w:noWrap/>
            <w:vAlign w:val="center"/>
          </w:tcPr>
          <w:p w:rsidR="0003552F" w:rsidRPr="00EB2995" w:rsidRDefault="0003552F" w:rsidP="0003552F">
            <w:pPr>
              <w:jc w:val="right"/>
              <w:rPr>
                <w:rFonts w:cs="Calibri"/>
                <w:color w:val="000000"/>
                <w:lang w:eastAsia="en-GB"/>
              </w:rPr>
            </w:pPr>
            <w:r w:rsidRPr="00EB2995">
              <w:rPr>
                <w:rFonts w:cs="Calibri"/>
                <w:color w:val="000000"/>
              </w:rPr>
              <w:t>(2.2)</w:t>
            </w:r>
          </w:p>
        </w:tc>
        <w:tc>
          <w:tcPr>
            <w:tcW w:w="933" w:type="dxa"/>
            <w:vMerge/>
            <w:tcBorders>
              <w:top w:val="nil"/>
              <w:left w:val="single" w:sz="8" w:space="0" w:color="auto"/>
              <w:bottom w:val="single" w:sz="8" w:space="0" w:color="000000"/>
              <w:right w:val="single" w:sz="8" w:space="0" w:color="auto"/>
            </w:tcBorders>
            <w:vAlign w:val="center"/>
          </w:tcPr>
          <w:p w:rsidR="0003552F" w:rsidRPr="00EB2995" w:rsidRDefault="0003552F" w:rsidP="0003552F">
            <w:pPr>
              <w:rPr>
                <w:rFonts w:cs="Calibri"/>
                <w:color w:val="0070C0"/>
                <w:lang w:eastAsia="en-GB"/>
              </w:rPr>
            </w:pPr>
          </w:p>
        </w:tc>
      </w:tr>
      <w:tr w:rsidR="0003552F" w:rsidRPr="00EB2995" w:rsidTr="0003552F">
        <w:trPr>
          <w:trHeight w:hRule="exact" w:val="284"/>
        </w:trPr>
        <w:tc>
          <w:tcPr>
            <w:tcW w:w="1256" w:type="dxa"/>
            <w:tcBorders>
              <w:top w:val="nil"/>
              <w:left w:val="single" w:sz="8" w:space="0" w:color="auto"/>
              <w:bottom w:val="nil"/>
              <w:right w:val="single" w:sz="8" w:space="0" w:color="auto"/>
            </w:tcBorders>
            <w:noWrap/>
            <w:vAlign w:val="center"/>
          </w:tcPr>
          <w:p w:rsidR="0003552F" w:rsidRPr="00EB2995" w:rsidRDefault="0003552F" w:rsidP="0003552F">
            <w:pPr>
              <w:jc w:val="right"/>
              <w:rPr>
                <w:rFonts w:cs="Calibri"/>
                <w:b/>
                <w:bCs/>
                <w:color w:val="000000"/>
                <w:lang w:eastAsia="en-GB"/>
              </w:rPr>
            </w:pPr>
            <w:r w:rsidRPr="00EB2995">
              <w:rPr>
                <w:rFonts w:cs="Calibri"/>
                <w:b/>
                <w:bCs/>
                <w:color w:val="000000"/>
                <w:lang w:eastAsia="en-GB"/>
              </w:rPr>
              <w:t>(160.9)</w:t>
            </w:r>
          </w:p>
        </w:tc>
        <w:tc>
          <w:tcPr>
            <w:tcW w:w="222" w:type="dxa"/>
            <w:tcBorders>
              <w:top w:val="nil"/>
              <w:left w:val="nil"/>
              <w:bottom w:val="nil"/>
              <w:right w:val="nil"/>
            </w:tcBorders>
            <w:vAlign w:val="center"/>
          </w:tcPr>
          <w:p w:rsidR="0003552F" w:rsidRPr="00EB2995" w:rsidRDefault="0003552F" w:rsidP="0003552F">
            <w:pPr>
              <w:jc w:val="right"/>
              <w:rPr>
                <w:rFonts w:cs="Calibri"/>
                <w:b/>
                <w:bCs/>
                <w:color w:val="000000"/>
                <w:lang w:eastAsia="en-GB"/>
              </w:rPr>
            </w:pPr>
          </w:p>
        </w:tc>
        <w:tc>
          <w:tcPr>
            <w:tcW w:w="3704" w:type="dxa"/>
            <w:tcBorders>
              <w:top w:val="nil"/>
              <w:left w:val="nil"/>
              <w:bottom w:val="nil"/>
              <w:right w:val="nil"/>
            </w:tcBorders>
            <w:noWrap/>
            <w:vAlign w:val="center"/>
          </w:tcPr>
          <w:p w:rsidR="0003552F" w:rsidRPr="00EB2995" w:rsidRDefault="0003552F" w:rsidP="0003552F">
            <w:pPr>
              <w:rPr>
                <w:rFonts w:cs="Calibri"/>
                <w:b/>
                <w:bCs/>
                <w:color w:val="000000"/>
                <w:lang w:eastAsia="en-GB"/>
              </w:rPr>
            </w:pPr>
            <w:r w:rsidRPr="00EB2995">
              <w:rPr>
                <w:rFonts w:cs="Calibri"/>
                <w:b/>
                <w:bCs/>
                <w:color w:val="000000"/>
                <w:lang w:eastAsia="en-GB"/>
              </w:rPr>
              <w:t>Current Liabilities</w:t>
            </w:r>
          </w:p>
        </w:tc>
        <w:tc>
          <w:tcPr>
            <w:tcW w:w="754" w:type="dxa"/>
            <w:tcBorders>
              <w:top w:val="nil"/>
              <w:left w:val="nil"/>
              <w:bottom w:val="nil"/>
              <w:right w:val="nil"/>
            </w:tcBorders>
            <w:vAlign w:val="bottom"/>
          </w:tcPr>
          <w:p w:rsidR="0003552F" w:rsidRPr="00EB2995" w:rsidRDefault="0003552F" w:rsidP="0003552F">
            <w:pPr>
              <w:rPr>
                <w:rFonts w:cs="Calibri"/>
                <w:b/>
                <w:bCs/>
                <w:color w:val="000000"/>
                <w:lang w:eastAsia="en-GB"/>
              </w:rPr>
            </w:pPr>
          </w:p>
        </w:tc>
        <w:tc>
          <w:tcPr>
            <w:tcW w:w="1276" w:type="dxa"/>
            <w:tcBorders>
              <w:top w:val="nil"/>
              <w:left w:val="single" w:sz="8" w:space="0" w:color="auto"/>
              <w:bottom w:val="nil"/>
              <w:right w:val="single" w:sz="8" w:space="0" w:color="auto"/>
            </w:tcBorders>
            <w:noWrap/>
            <w:vAlign w:val="center"/>
          </w:tcPr>
          <w:p w:rsidR="0003552F" w:rsidRPr="00EB2995" w:rsidRDefault="0003552F" w:rsidP="0003552F">
            <w:pPr>
              <w:jc w:val="right"/>
              <w:rPr>
                <w:rFonts w:cs="Calibri"/>
                <w:b/>
                <w:bCs/>
                <w:color w:val="000000"/>
                <w:lang w:eastAsia="en-GB"/>
              </w:rPr>
            </w:pPr>
            <w:r w:rsidRPr="00EB2995">
              <w:rPr>
                <w:rFonts w:cs="Calibri"/>
                <w:b/>
                <w:bCs/>
                <w:color w:val="000000"/>
              </w:rPr>
              <w:t>(276.4)</w:t>
            </w:r>
          </w:p>
        </w:tc>
        <w:tc>
          <w:tcPr>
            <w:tcW w:w="933" w:type="dxa"/>
            <w:vMerge/>
            <w:tcBorders>
              <w:top w:val="nil"/>
              <w:left w:val="single" w:sz="8" w:space="0" w:color="auto"/>
              <w:bottom w:val="single" w:sz="8" w:space="0" w:color="000000"/>
              <w:right w:val="single" w:sz="8" w:space="0" w:color="auto"/>
            </w:tcBorders>
            <w:vAlign w:val="center"/>
          </w:tcPr>
          <w:p w:rsidR="0003552F" w:rsidRPr="00EB2995" w:rsidRDefault="0003552F" w:rsidP="0003552F">
            <w:pPr>
              <w:rPr>
                <w:rFonts w:cs="Calibri"/>
                <w:color w:val="0070C0"/>
                <w:lang w:eastAsia="en-GB"/>
              </w:rPr>
            </w:pPr>
          </w:p>
        </w:tc>
      </w:tr>
      <w:tr w:rsidR="0003552F" w:rsidRPr="00EB2995" w:rsidTr="0003552F">
        <w:trPr>
          <w:trHeight w:hRule="exact" w:val="284"/>
        </w:trPr>
        <w:tc>
          <w:tcPr>
            <w:tcW w:w="1256" w:type="dxa"/>
            <w:tcBorders>
              <w:top w:val="nil"/>
              <w:left w:val="single" w:sz="8" w:space="0" w:color="auto"/>
              <w:bottom w:val="nil"/>
              <w:right w:val="single" w:sz="8" w:space="0" w:color="auto"/>
            </w:tcBorders>
            <w:noWrap/>
            <w:vAlign w:val="center"/>
          </w:tcPr>
          <w:p w:rsidR="0003552F" w:rsidRPr="00EB2995" w:rsidRDefault="0003552F" w:rsidP="0003552F">
            <w:pPr>
              <w:jc w:val="right"/>
              <w:rPr>
                <w:rFonts w:cs="Calibri"/>
                <w:color w:val="000000"/>
                <w:lang w:eastAsia="en-GB"/>
              </w:rPr>
            </w:pPr>
            <w:r w:rsidRPr="00EB2995">
              <w:rPr>
                <w:rFonts w:cs="Calibri"/>
                <w:color w:val="000000"/>
                <w:lang w:eastAsia="en-GB"/>
              </w:rPr>
              <w:t>(33.2)</w:t>
            </w:r>
          </w:p>
        </w:tc>
        <w:tc>
          <w:tcPr>
            <w:tcW w:w="222" w:type="dxa"/>
            <w:tcBorders>
              <w:top w:val="nil"/>
              <w:left w:val="nil"/>
              <w:bottom w:val="nil"/>
              <w:right w:val="nil"/>
            </w:tcBorders>
            <w:vAlign w:val="center"/>
          </w:tcPr>
          <w:p w:rsidR="0003552F" w:rsidRPr="00EB2995" w:rsidRDefault="0003552F" w:rsidP="0003552F">
            <w:pPr>
              <w:jc w:val="right"/>
              <w:rPr>
                <w:rFonts w:cs="Calibri"/>
                <w:color w:val="000000"/>
                <w:lang w:eastAsia="en-GB"/>
              </w:rPr>
            </w:pPr>
          </w:p>
        </w:tc>
        <w:tc>
          <w:tcPr>
            <w:tcW w:w="3704" w:type="dxa"/>
            <w:tcBorders>
              <w:top w:val="nil"/>
              <w:left w:val="nil"/>
              <w:bottom w:val="nil"/>
              <w:right w:val="nil"/>
            </w:tcBorders>
            <w:noWrap/>
            <w:vAlign w:val="center"/>
          </w:tcPr>
          <w:p w:rsidR="0003552F" w:rsidRPr="00EB2995" w:rsidRDefault="0003552F" w:rsidP="0003552F">
            <w:pPr>
              <w:rPr>
                <w:rFonts w:cs="Calibri"/>
                <w:color w:val="000000"/>
                <w:lang w:eastAsia="en-GB"/>
              </w:rPr>
            </w:pPr>
            <w:r w:rsidRPr="00EB2995">
              <w:rPr>
                <w:rFonts w:cs="Calibri"/>
                <w:color w:val="000000"/>
                <w:lang w:eastAsia="en-GB"/>
              </w:rPr>
              <w:t>Long Term Creditors</w:t>
            </w:r>
          </w:p>
        </w:tc>
        <w:tc>
          <w:tcPr>
            <w:tcW w:w="754" w:type="dxa"/>
            <w:tcBorders>
              <w:top w:val="nil"/>
              <w:left w:val="nil"/>
              <w:bottom w:val="nil"/>
              <w:right w:val="nil"/>
            </w:tcBorders>
            <w:vAlign w:val="center"/>
          </w:tcPr>
          <w:p w:rsidR="0003552F" w:rsidRPr="00EB2995" w:rsidRDefault="0003552F" w:rsidP="0003552F">
            <w:pPr>
              <w:jc w:val="center"/>
              <w:rPr>
                <w:rFonts w:cs="Calibri"/>
                <w:color w:val="000000"/>
                <w:lang w:eastAsia="en-GB"/>
              </w:rPr>
            </w:pPr>
            <w:r w:rsidRPr="00EB2995">
              <w:rPr>
                <w:rFonts w:cs="Calibri"/>
                <w:color w:val="000000"/>
                <w:lang w:eastAsia="en-GB"/>
              </w:rPr>
              <w:t>25</w:t>
            </w:r>
          </w:p>
        </w:tc>
        <w:tc>
          <w:tcPr>
            <w:tcW w:w="1276" w:type="dxa"/>
            <w:tcBorders>
              <w:top w:val="nil"/>
              <w:left w:val="single" w:sz="8" w:space="0" w:color="auto"/>
              <w:bottom w:val="nil"/>
              <w:right w:val="single" w:sz="8" w:space="0" w:color="auto"/>
            </w:tcBorders>
            <w:noWrap/>
            <w:vAlign w:val="center"/>
          </w:tcPr>
          <w:p w:rsidR="0003552F" w:rsidRPr="00EB2995" w:rsidRDefault="0003552F" w:rsidP="0003552F">
            <w:pPr>
              <w:jc w:val="right"/>
              <w:rPr>
                <w:rFonts w:cs="Calibri"/>
                <w:color w:val="000000"/>
                <w:lang w:eastAsia="en-GB"/>
              </w:rPr>
            </w:pPr>
            <w:r w:rsidRPr="00EB2995">
              <w:rPr>
                <w:rFonts w:cs="Calibri"/>
                <w:color w:val="000000"/>
              </w:rPr>
              <w:t>(30.0)</w:t>
            </w:r>
          </w:p>
        </w:tc>
        <w:tc>
          <w:tcPr>
            <w:tcW w:w="933" w:type="dxa"/>
            <w:vMerge/>
            <w:tcBorders>
              <w:top w:val="nil"/>
              <w:left w:val="single" w:sz="8" w:space="0" w:color="auto"/>
              <w:bottom w:val="single" w:sz="8" w:space="0" w:color="000000"/>
              <w:right w:val="single" w:sz="8" w:space="0" w:color="auto"/>
            </w:tcBorders>
            <w:vAlign w:val="center"/>
          </w:tcPr>
          <w:p w:rsidR="0003552F" w:rsidRPr="00EB2995" w:rsidRDefault="0003552F" w:rsidP="0003552F">
            <w:pPr>
              <w:rPr>
                <w:rFonts w:cs="Calibri"/>
                <w:color w:val="0070C0"/>
                <w:lang w:eastAsia="en-GB"/>
              </w:rPr>
            </w:pPr>
          </w:p>
        </w:tc>
      </w:tr>
      <w:tr w:rsidR="0003552F" w:rsidRPr="00EB2995" w:rsidTr="0003552F">
        <w:trPr>
          <w:trHeight w:hRule="exact" w:val="284"/>
        </w:trPr>
        <w:tc>
          <w:tcPr>
            <w:tcW w:w="1256" w:type="dxa"/>
            <w:tcBorders>
              <w:top w:val="nil"/>
              <w:left w:val="single" w:sz="8" w:space="0" w:color="auto"/>
              <w:bottom w:val="nil"/>
              <w:right w:val="single" w:sz="8" w:space="0" w:color="auto"/>
            </w:tcBorders>
            <w:noWrap/>
            <w:vAlign w:val="center"/>
          </w:tcPr>
          <w:p w:rsidR="0003552F" w:rsidRPr="00EB2995" w:rsidRDefault="0003552F" w:rsidP="0003552F">
            <w:pPr>
              <w:jc w:val="right"/>
              <w:rPr>
                <w:rFonts w:cs="Calibri"/>
                <w:color w:val="000000"/>
                <w:lang w:eastAsia="en-GB"/>
              </w:rPr>
            </w:pPr>
            <w:r w:rsidRPr="00EB2995">
              <w:rPr>
                <w:rFonts w:cs="Calibri"/>
                <w:color w:val="000000"/>
                <w:lang w:eastAsia="en-GB"/>
              </w:rPr>
              <w:t>(19.8)</w:t>
            </w:r>
          </w:p>
        </w:tc>
        <w:tc>
          <w:tcPr>
            <w:tcW w:w="222" w:type="dxa"/>
            <w:tcBorders>
              <w:top w:val="nil"/>
              <w:left w:val="nil"/>
              <w:bottom w:val="nil"/>
              <w:right w:val="nil"/>
            </w:tcBorders>
            <w:vAlign w:val="center"/>
          </w:tcPr>
          <w:p w:rsidR="0003552F" w:rsidRPr="00EB2995" w:rsidRDefault="0003552F" w:rsidP="0003552F">
            <w:pPr>
              <w:jc w:val="right"/>
              <w:rPr>
                <w:rFonts w:cs="Calibri"/>
                <w:color w:val="000000"/>
                <w:lang w:eastAsia="en-GB"/>
              </w:rPr>
            </w:pPr>
          </w:p>
        </w:tc>
        <w:tc>
          <w:tcPr>
            <w:tcW w:w="3704" w:type="dxa"/>
            <w:tcBorders>
              <w:top w:val="nil"/>
              <w:left w:val="nil"/>
              <w:bottom w:val="nil"/>
              <w:right w:val="nil"/>
            </w:tcBorders>
            <w:noWrap/>
            <w:vAlign w:val="center"/>
          </w:tcPr>
          <w:p w:rsidR="0003552F" w:rsidRPr="00EB2995" w:rsidRDefault="0003552F" w:rsidP="0003552F">
            <w:pPr>
              <w:rPr>
                <w:rFonts w:cs="Calibri"/>
                <w:color w:val="000000"/>
                <w:lang w:eastAsia="en-GB"/>
              </w:rPr>
            </w:pPr>
            <w:r w:rsidRPr="00EB2995">
              <w:rPr>
                <w:rFonts w:cs="Calibri"/>
                <w:color w:val="000000"/>
                <w:lang w:eastAsia="en-GB"/>
              </w:rPr>
              <w:t>Provisions</w:t>
            </w:r>
          </w:p>
        </w:tc>
        <w:tc>
          <w:tcPr>
            <w:tcW w:w="754" w:type="dxa"/>
            <w:tcBorders>
              <w:top w:val="nil"/>
              <w:left w:val="nil"/>
              <w:bottom w:val="nil"/>
              <w:right w:val="nil"/>
            </w:tcBorders>
            <w:vAlign w:val="center"/>
          </w:tcPr>
          <w:p w:rsidR="0003552F" w:rsidRPr="00EB2995" w:rsidRDefault="0003552F" w:rsidP="0003552F">
            <w:pPr>
              <w:jc w:val="center"/>
              <w:rPr>
                <w:rFonts w:cs="Calibri"/>
                <w:color w:val="000000"/>
                <w:lang w:eastAsia="en-GB"/>
              </w:rPr>
            </w:pPr>
            <w:r w:rsidRPr="00EB2995">
              <w:rPr>
                <w:rFonts w:cs="Calibri"/>
                <w:color w:val="000000"/>
                <w:lang w:eastAsia="en-GB"/>
              </w:rPr>
              <w:t>9</w:t>
            </w:r>
          </w:p>
        </w:tc>
        <w:tc>
          <w:tcPr>
            <w:tcW w:w="1276" w:type="dxa"/>
            <w:tcBorders>
              <w:top w:val="nil"/>
              <w:left w:val="single" w:sz="8" w:space="0" w:color="auto"/>
              <w:bottom w:val="nil"/>
              <w:right w:val="single" w:sz="8" w:space="0" w:color="auto"/>
            </w:tcBorders>
            <w:noWrap/>
            <w:vAlign w:val="center"/>
          </w:tcPr>
          <w:p w:rsidR="0003552F" w:rsidRPr="00EB2995" w:rsidRDefault="0003552F" w:rsidP="0003552F">
            <w:pPr>
              <w:jc w:val="right"/>
              <w:rPr>
                <w:rFonts w:cs="Calibri"/>
                <w:color w:val="000000"/>
                <w:lang w:eastAsia="en-GB"/>
              </w:rPr>
            </w:pPr>
            <w:r w:rsidRPr="00EB2995">
              <w:rPr>
                <w:rFonts w:cs="Calibri"/>
                <w:color w:val="000000"/>
              </w:rPr>
              <w:t>(14.5)</w:t>
            </w:r>
          </w:p>
        </w:tc>
        <w:tc>
          <w:tcPr>
            <w:tcW w:w="933" w:type="dxa"/>
            <w:vMerge/>
            <w:tcBorders>
              <w:top w:val="nil"/>
              <w:left w:val="single" w:sz="8" w:space="0" w:color="auto"/>
              <w:bottom w:val="single" w:sz="8" w:space="0" w:color="000000"/>
              <w:right w:val="single" w:sz="8" w:space="0" w:color="auto"/>
            </w:tcBorders>
            <w:vAlign w:val="center"/>
          </w:tcPr>
          <w:p w:rsidR="0003552F" w:rsidRPr="00EB2995" w:rsidRDefault="0003552F" w:rsidP="0003552F">
            <w:pPr>
              <w:rPr>
                <w:rFonts w:cs="Calibri"/>
                <w:color w:val="0070C0"/>
                <w:lang w:eastAsia="en-GB"/>
              </w:rPr>
            </w:pPr>
          </w:p>
        </w:tc>
      </w:tr>
      <w:tr w:rsidR="0003552F" w:rsidRPr="00EB2995" w:rsidTr="0003552F">
        <w:trPr>
          <w:trHeight w:hRule="exact" w:val="284"/>
        </w:trPr>
        <w:tc>
          <w:tcPr>
            <w:tcW w:w="1256" w:type="dxa"/>
            <w:tcBorders>
              <w:top w:val="nil"/>
              <w:left w:val="single" w:sz="8" w:space="0" w:color="auto"/>
              <w:bottom w:val="nil"/>
              <w:right w:val="single" w:sz="8" w:space="0" w:color="auto"/>
            </w:tcBorders>
            <w:noWrap/>
            <w:vAlign w:val="center"/>
          </w:tcPr>
          <w:p w:rsidR="0003552F" w:rsidRPr="00EB2995" w:rsidRDefault="0003552F" w:rsidP="0003552F">
            <w:pPr>
              <w:jc w:val="right"/>
              <w:rPr>
                <w:rFonts w:cs="Calibri"/>
                <w:color w:val="000000"/>
                <w:lang w:eastAsia="en-GB"/>
              </w:rPr>
            </w:pPr>
            <w:r w:rsidRPr="00EB2995">
              <w:rPr>
                <w:rFonts w:cs="Calibri"/>
                <w:color w:val="000000"/>
                <w:lang w:eastAsia="en-GB"/>
              </w:rPr>
              <w:t>(385.8)</w:t>
            </w:r>
          </w:p>
        </w:tc>
        <w:tc>
          <w:tcPr>
            <w:tcW w:w="222" w:type="dxa"/>
            <w:tcBorders>
              <w:top w:val="nil"/>
              <w:left w:val="nil"/>
              <w:bottom w:val="nil"/>
              <w:right w:val="nil"/>
            </w:tcBorders>
            <w:vAlign w:val="center"/>
          </w:tcPr>
          <w:p w:rsidR="0003552F" w:rsidRPr="00EB2995" w:rsidRDefault="0003552F" w:rsidP="0003552F">
            <w:pPr>
              <w:jc w:val="right"/>
              <w:rPr>
                <w:rFonts w:cs="Calibri"/>
                <w:color w:val="000000"/>
                <w:lang w:eastAsia="en-GB"/>
              </w:rPr>
            </w:pPr>
          </w:p>
        </w:tc>
        <w:tc>
          <w:tcPr>
            <w:tcW w:w="3704" w:type="dxa"/>
            <w:tcBorders>
              <w:top w:val="nil"/>
              <w:left w:val="nil"/>
              <w:bottom w:val="nil"/>
              <w:right w:val="nil"/>
            </w:tcBorders>
            <w:noWrap/>
            <w:vAlign w:val="center"/>
          </w:tcPr>
          <w:p w:rsidR="0003552F" w:rsidRPr="00EB2995" w:rsidRDefault="0003552F" w:rsidP="0003552F">
            <w:pPr>
              <w:rPr>
                <w:rFonts w:cs="Calibri"/>
                <w:color w:val="000000"/>
                <w:lang w:eastAsia="en-GB"/>
              </w:rPr>
            </w:pPr>
            <w:r w:rsidRPr="00EB2995">
              <w:rPr>
                <w:rFonts w:cs="Calibri"/>
                <w:color w:val="000000"/>
                <w:lang w:eastAsia="en-GB"/>
              </w:rPr>
              <w:t>Long Term Borrowing</w:t>
            </w:r>
          </w:p>
        </w:tc>
        <w:tc>
          <w:tcPr>
            <w:tcW w:w="754" w:type="dxa"/>
            <w:tcBorders>
              <w:top w:val="nil"/>
              <w:left w:val="nil"/>
              <w:bottom w:val="nil"/>
              <w:right w:val="nil"/>
            </w:tcBorders>
            <w:vAlign w:val="center"/>
          </w:tcPr>
          <w:p w:rsidR="0003552F" w:rsidRPr="00EB2995" w:rsidRDefault="0003552F" w:rsidP="0003552F">
            <w:pPr>
              <w:jc w:val="center"/>
              <w:rPr>
                <w:rFonts w:cs="Calibri"/>
                <w:color w:val="000000"/>
                <w:lang w:eastAsia="en-GB"/>
              </w:rPr>
            </w:pPr>
            <w:r w:rsidRPr="00EB2995">
              <w:rPr>
                <w:rFonts w:cs="Calibri"/>
                <w:color w:val="000000"/>
                <w:lang w:eastAsia="en-GB"/>
              </w:rPr>
              <w:t>25</w:t>
            </w:r>
          </w:p>
        </w:tc>
        <w:tc>
          <w:tcPr>
            <w:tcW w:w="1276" w:type="dxa"/>
            <w:tcBorders>
              <w:top w:val="nil"/>
              <w:left w:val="single" w:sz="8" w:space="0" w:color="auto"/>
              <w:bottom w:val="nil"/>
              <w:right w:val="single" w:sz="8" w:space="0" w:color="auto"/>
            </w:tcBorders>
            <w:noWrap/>
            <w:vAlign w:val="center"/>
          </w:tcPr>
          <w:p w:rsidR="0003552F" w:rsidRPr="00EB2995" w:rsidRDefault="0003552F" w:rsidP="0003552F">
            <w:pPr>
              <w:jc w:val="right"/>
              <w:rPr>
                <w:rFonts w:cs="Calibri"/>
                <w:color w:val="000000"/>
                <w:lang w:eastAsia="en-GB"/>
              </w:rPr>
            </w:pPr>
            <w:r w:rsidRPr="00EB2995">
              <w:rPr>
                <w:rFonts w:cs="Calibri"/>
                <w:color w:val="000000"/>
              </w:rPr>
              <w:t>(462.1)</w:t>
            </w:r>
          </w:p>
        </w:tc>
        <w:tc>
          <w:tcPr>
            <w:tcW w:w="933" w:type="dxa"/>
            <w:vMerge/>
            <w:tcBorders>
              <w:top w:val="nil"/>
              <w:left w:val="single" w:sz="8" w:space="0" w:color="auto"/>
              <w:bottom w:val="single" w:sz="8" w:space="0" w:color="000000"/>
              <w:right w:val="single" w:sz="8" w:space="0" w:color="auto"/>
            </w:tcBorders>
            <w:vAlign w:val="center"/>
          </w:tcPr>
          <w:p w:rsidR="0003552F" w:rsidRPr="00EB2995" w:rsidRDefault="0003552F" w:rsidP="0003552F">
            <w:pPr>
              <w:rPr>
                <w:rFonts w:cs="Calibri"/>
                <w:color w:val="0070C0"/>
                <w:lang w:eastAsia="en-GB"/>
              </w:rPr>
            </w:pPr>
          </w:p>
        </w:tc>
      </w:tr>
      <w:tr w:rsidR="0003552F" w:rsidRPr="00EB2995" w:rsidTr="0003552F">
        <w:trPr>
          <w:trHeight w:hRule="exact" w:val="284"/>
        </w:trPr>
        <w:tc>
          <w:tcPr>
            <w:tcW w:w="1256" w:type="dxa"/>
            <w:tcBorders>
              <w:top w:val="nil"/>
              <w:left w:val="single" w:sz="8" w:space="0" w:color="auto"/>
              <w:bottom w:val="single" w:sz="8" w:space="0" w:color="auto"/>
              <w:right w:val="single" w:sz="8" w:space="0" w:color="auto"/>
            </w:tcBorders>
            <w:noWrap/>
            <w:vAlign w:val="center"/>
          </w:tcPr>
          <w:p w:rsidR="0003552F" w:rsidRPr="00EB2995" w:rsidRDefault="0003552F" w:rsidP="0003552F">
            <w:pPr>
              <w:jc w:val="right"/>
              <w:rPr>
                <w:rFonts w:cs="Calibri"/>
                <w:color w:val="000000"/>
                <w:lang w:eastAsia="en-GB"/>
              </w:rPr>
            </w:pPr>
            <w:r w:rsidRPr="00EB2995">
              <w:rPr>
                <w:rFonts w:cs="Calibri"/>
                <w:color w:val="000000"/>
                <w:lang w:eastAsia="en-GB"/>
              </w:rPr>
              <w:t>(941.8)</w:t>
            </w:r>
          </w:p>
        </w:tc>
        <w:tc>
          <w:tcPr>
            <w:tcW w:w="222" w:type="dxa"/>
            <w:tcBorders>
              <w:top w:val="nil"/>
              <w:left w:val="nil"/>
              <w:bottom w:val="nil"/>
              <w:right w:val="nil"/>
            </w:tcBorders>
            <w:vAlign w:val="center"/>
          </w:tcPr>
          <w:p w:rsidR="0003552F" w:rsidRPr="00EB2995" w:rsidRDefault="0003552F" w:rsidP="0003552F">
            <w:pPr>
              <w:jc w:val="right"/>
              <w:rPr>
                <w:rFonts w:cs="Calibri"/>
                <w:color w:val="000000"/>
                <w:lang w:eastAsia="en-GB"/>
              </w:rPr>
            </w:pPr>
          </w:p>
        </w:tc>
        <w:tc>
          <w:tcPr>
            <w:tcW w:w="3704" w:type="dxa"/>
            <w:tcBorders>
              <w:top w:val="nil"/>
              <w:left w:val="nil"/>
              <w:bottom w:val="nil"/>
              <w:right w:val="nil"/>
            </w:tcBorders>
            <w:noWrap/>
            <w:vAlign w:val="center"/>
          </w:tcPr>
          <w:p w:rsidR="0003552F" w:rsidRPr="00EB2995" w:rsidRDefault="0003552F" w:rsidP="0003552F">
            <w:pPr>
              <w:rPr>
                <w:rFonts w:cs="Calibri"/>
                <w:color w:val="000000"/>
                <w:lang w:eastAsia="en-GB"/>
              </w:rPr>
            </w:pPr>
            <w:r w:rsidRPr="00EB2995">
              <w:rPr>
                <w:rFonts w:cs="Calibri"/>
                <w:color w:val="000000"/>
                <w:lang w:eastAsia="en-GB"/>
              </w:rPr>
              <w:t>Other Long Term Liabilities</w:t>
            </w:r>
          </w:p>
        </w:tc>
        <w:tc>
          <w:tcPr>
            <w:tcW w:w="754" w:type="dxa"/>
            <w:tcBorders>
              <w:top w:val="nil"/>
              <w:left w:val="nil"/>
              <w:bottom w:val="nil"/>
              <w:right w:val="nil"/>
            </w:tcBorders>
            <w:vAlign w:val="center"/>
          </w:tcPr>
          <w:p w:rsidR="0003552F" w:rsidRPr="00EB2995" w:rsidRDefault="0003552F" w:rsidP="0003552F">
            <w:pPr>
              <w:jc w:val="center"/>
              <w:rPr>
                <w:rFonts w:cs="Calibri"/>
                <w:color w:val="000000"/>
                <w:lang w:eastAsia="en-GB"/>
              </w:rPr>
            </w:pPr>
            <w:r w:rsidRPr="00EB2995">
              <w:rPr>
                <w:rFonts w:cs="Calibri"/>
                <w:color w:val="000000"/>
                <w:lang w:eastAsia="en-GB"/>
              </w:rPr>
              <w:t>8</w:t>
            </w:r>
          </w:p>
        </w:tc>
        <w:tc>
          <w:tcPr>
            <w:tcW w:w="1276" w:type="dxa"/>
            <w:tcBorders>
              <w:top w:val="nil"/>
              <w:left w:val="single" w:sz="8" w:space="0" w:color="auto"/>
              <w:bottom w:val="single" w:sz="8" w:space="0" w:color="auto"/>
              <w:right w:val="single" w:sz="8" w:space="0" w:color="auto"/>
            </w:tcBorders>
            <w:noWrap/>
            <w:vAlign w:val="center"/>
          </w:tcPr>
          <w:p w:rsidR="0003552F" w:rsidRPr="00EB2995" w:rsidRDefault="0003552F" w:rsidP="0003552F">
            <w:pPr>
              <w:jc w:val="right"/>
              <w:rPr>
                <w:rFonts w:cs="Calibri"/>
                <w:color w:val="000000"/>
                <w:lang w:eastAsia="en-GB"/>
              </w:rPr>
            </w:pPr>
            <w:r w:rsidRPr="00EB2995">
              <w:rPr>
                <w:rFonts w:cs="Calibri"/>
                <w:color w:val="000000"/>
              </w:rPr>
              <w:t>(674.3)</w:t>
            </w:r>
          </w:p>
        </w:tc>
        <w:tc>
          <w:tcPr>
            <w:tcW w:w="933" w:type="dxa"/>
            <w:vMerge/>
            <w:tcBorders>
              <w:top w:val="nil"/>
              <w:left w:val="single" w:sz="8" w:space="0" w:color="auto"/>
              <w:bottom w:val="single" w:sz="8" w:space="0" w:color="000000"/>
              <w:right w:val="single" w:sz="8" w:space="0" w:color="auto"/>
            </w:tcBorders>
            <w:vAlign w:val="center"/>
          </w:tcPr>
          <w:p w:rsidR="0003552F" w:rsidRPr="00EB2995" w:rsidRDefault="0003552F" w:rsidP="0003552F">
            <w:pPr>
              <w:rPr>
                <w:rFonts w:cs="Calibri"/>
                <w:color w:val="0070C0"/>
                <w:lang w:eastAsia="en-GB"/>
              </w:rPr>
            </w:pPr>
          </w:p>
        </w:tc>
      </w:tr>
      <w:tr w:rsidR="0003552F" w:rsidRPr="00EB2995" w:rsidTr="0003552F">
        <w:trPr>
          <w:trHeight w:hRule="exact" w:val="284"/>
        </w:trPr>
        <w:tc>
          <w:tcPr>
            <w:tcW w:w="1256" w:type="dxa"/>
            <w:tcBorders>
              <w:top w:val="nil"/>
              <w:left w:val="single" w:sz="8" w:space="0" w:color="auto"/>
              <w:bottom w:val="nil"/>
              <w:right w:val="single" w:sz="8" w:space="0" w:color="auto"/>
            </w:tcBorders>
            <w:noWrap/>
            <w:vAlign w:val="center"/>
          </w:tcPr>
          <w:p w:rsidR="0003552F" w:rsidRPr="00EB2995" w:rsidRDefault="0003552F" w:rsidP="0003552F">
            <w:pPr>
              <w:jc w:val="right"/>
              <w:rPr>
                <w:rFonts w:cs="Calibri"/>
                <w:b/>
                <w:bCs/>
                <w:color w:val="000000"/>
                <w:lang w:eastAsia="en-GB"/>
              </w:rPr>
            </w:pPr>
            <w:r w:rsidRPr="00EB2995">
              <w:rPr>
                <w:rFonts w:cs="Calibri"/>
                <w:b/>
                <w:bCs/>
                <w:color w:val="000000"/>
                <w:lang w:eastAsia="en-GB"/>
              </w:rPr>
              <w:t>(1,380.6)</w:t>
            </w:r>
          </w:p>
        </w:tc>
        <w:tc>
          <w:tcPr>
            <w:tcW w:w="222" w:type="dxa"/>
            <w:tcBorders>
              <w:top w:val="nil"/>
              <w:left w:val="nil"/>
              <w:bottom w:val="nil"/>
              <w:right w:val="nil"/>
            </w:tcBorders>
            <w:vAlign w:val="center"/>
          </w:tcPr>
          <w:p w:rsidR="0003552F" w:rsidRPr="00EB2995" w:rsidRDefault="0003552F" w:rsidP="0003552F">
            <w:pPr>
              <w:jc w:val="right"/>
              <w:rPr>
                <w:rFonts w:cs="Calibri"/>
                <w:b/>
                <w:bCs/>
                <w:color w:val="000000"/>
                <w:lang w:eastAsia="en-GB"/>
              </w:rPr>
            </w:pPr>
          </w:p>
        </w:tc>
        <w:tc>
          <w:tcPr>
            <w:tcW w:w="3704" w:type="dxa"/>
            <w:tcBorders>
              <w:top w:val="nil"/>
              <w:left w:val="nil"/>
              <w:bottom w:val="nil"/>
              <w:right w:val="nil"/>
            </w:tcBorders>
            <w:noWrap/>
            <w:vAlign w:val="center"/>
          </w:tcPr>
          <w:p w:rsidR="0003552F" w:rsidRPr="00EB2995" w:rsidRDefault="0003552F" w:rsidP="0003552F">
            <w:pPr>
              <w:rPr>
                <w:rFonts w:cs="Calibri"/>
                <w:b/>
                <w:bCs/>
                <w:color w:val="000000"/>
                <w:lang w:eastAsia="en-GB"/>
              </w:rPr>
            </w:pPr>
            <w:r w:rsidRPr="00EB2995">
              <w:rPr>
                <w:rFonts w:cs="Calibri"/>
                <w:b/>
                <w:bCs/>
                <w:color w:val="000000"/>
                <w:lang w:eastAsia="en-GB"/>
              </w:rPr>
              <w:t>Long Term Liabilities</w:t>
            </w:r>
          </w:p>
        </w:tc>
        <w:tc>
          <w:tcPr>
            <w:tcW w:w="754" w:type="dxa"/>
            <w:tcBorders>
              <w:top w:val="nil"/>
              <w:left w:val="nil"/>
              <w:bottom w:val="nil"/>
              <w:right w:val="nil"/>
            </w:tcBorders>
            <w:vAlign w:val="center"/>
          </w:tcPr>
          <w:p w:rsidR="0003552F" w:rsidRPr="00EB2995" w:rsidRDefault="0003552F" w:rsidP="0003552F">
            <w:pPr>
              <w:rPr>
                <w:rFonts w:cs="Calibri"/>
                <w:b/>
                <w:bCs/>
                <w:color w:val="000000"/>
                <w:lang w:eastAsia="en-GB"/>
              </w:rPr>
            </w:pPr>
          </w:p>
        </w:tc>
        <w:tc>
          <w:tcPr>
            <w:tcW w:w="1276" w:type="dxa"/>
            <w:tcBorders>
              <w:top w:val="nil"/>
              <w:left w:val="single" w:sz="8" w:space="0" w:color="auto"/>
              <w:bottom w:val="nil"/>
              <w:right w:val="single" w:sz="8" w:space="0" w:color="auto"/>
            </w:tcBorders>
            <w:noWrap/>
            <w:vAlign w:val="center"/>
          </w:tcPr>
          <w:p w:rsidR="0003552F" w:rsidRPr="00EB2995" w:rsidRDefault="0003552F" w:rsidP="0003552F">
            <w:pPr>
              <w:jc w:val="right"/>
              <w:rPr>
                <w:rFonts w:cs="Calibri"/>
                <w:b/>
                <w:bCs/>
                <w:color w:val="000000"/>
                <w:lang w:eastAsia="en-GB"/>
              </w:rPr>
            </w:pPr>
            <w:r w:rsidRPr="00EB2995">
              <w:rPr>
                <w:rFonts w:cs="Calibri"/>
                <w:b/>
                <w:bCs/>
                <w:color w:val="000000"/>
                <w:lang w:eastAsia="en-GB"/>
              </w:rPr>
              <w:t>(1,180.9)</w:t>
            </w:r>
          </w:p>
        </w:tc>
        <w:tc>
          <w:tcPr>
            <w:tcW w:w="933" w:type="dxa"/>
            <w:tcBorders>
              <w:top w:val="nil"/>
              <w:left w:val="nil"/>
              <w:bottom w:val="nil"/>
              <w:right w:val="single" w:sz="8" w:space="0" w:color="auto"/>
            </w:tcBorders>
            <w:shd w:val="clear" w:color="000000" w:fill="FFFFFF"/>
            <w:vAlign w:val="center"/>
          </w:tcPr>
          <w:p w:rsidR="0003552F" w:rsidRPr="00EB2995" w:rsidRDefault="0003552F" w:rsidP="0003552F">
            <w:pPr>
              <w:jc w:val="right"/>
              <w:rPr>
                <w:rFonts w:cs="Calibri"/>
                <w:b/>
                <w:bCs/>
                <w:color w:val="0070C0"/>
                <w:lang w:eastAsia="en-GB"/>
              </w:rPr>
            </w:pPr>
            <w:r w:rsidRPr="00EB2995">
              <w:rPr>
                <w:rFonts w:cs="Calibri"/>
                <w:b/>
                <w:bCs/>
                <w:color w:val="0070C0"/>
                <w:lang w:eastAsia="en-GB"/>
              </w:rPr>
              <w:t> </w:t>
            </w:r>
          </w:p>
        </w:tc>
      </w:tr>
      <w:tr w:rsidR="0003552F" w:rsidRPr="00EB2995" w:rsidTr="0003552F">
        <w:trPr>
          <w:trHeight w:hRule="exact" w:val="284"/>
        </w:trPr>
        <w:tc>
          <w:tcPr>
            <w:tcW w:w="1256" w:type="dxa"/>
            <w:tcBorders>
              <w:top w:val="nil"/>
              <w:left w:val="single" w:sz="8" w:space="0" w:color="auto"/>
              <w:bottom w:val="single" w:sz="8" w:space="0" w:color="auto"/>
              <w:right w:val="single" w:sz="8" w:space="0" w:color="auto"/>
            </w:tcBorders>
            <w:noWrap/>
            <w:vAlign w:val="center"/>
          </w:tcPr>
          <w:p w:rsidR="0003552F" w:rsidRPr="00EB2995" w:rsidRDefault="0003552F" w:rsidP="0003552F">
            <w:pPr>
              <w:jc w:val="right"/>
              <w:rPr>
                <w:rFonts w:cs="Calibri"/>
                <w:b/>
                <w:bCs/>
                <w:color w:val="000000"/>
              </w:rPr>
            </w:pPr>
            <w:r w:rsidRPr="00EB2995">
              <w:rPr>
                <w:rFonts w:cs="Calibri"/>
                <w:b/>
                <w:bCs/>
                <w:color w:val="000000"/>
              </w:rPr>
              <w:t>493.3</w:t>
            </w:r>
          </w:p>
          <w:p w:rsidR="0003552F" w:rsidRPr="00EB2995" w:rsidRDefault="0003552F" w:rsidP="0003552F">
            <w:pPr>
              <w:jc w:val="right"/>
              <w:rPr>
                <w:rFonts w:cs="Calibri"/>
                <w:b/>
                <w:bCs/>
                <w:color w:val="000000"/>
                <w:lang w:eastAsia="en-GB"/>
              </w:rPr>
            </w:pPr>
          </w:p>
        </w:tc>
        <w:tc>
          <w:tcPr>
            <w:tcW w:w="222" w:type="dxa"/>
            <w:tcBorders>
              <w:top w:val="nil"/>
              <w:left w:val="nil"/>
              <w:bottom w:val="nil"/>
              <w:right w:val="nil"/>
            </w:tcBorders>
            <w:vAlign w:val="center"/>
          </w:tcPr>
          <w:p w:rsidR="0003552F" w:rsidRPr="00EB2995" w:rsidRDefault="0003552F" w:rsidP="0003552F">
            <w:pPr>
              <w:jc w:val="right"/>
              <w:rPr>
                <w:rFonts w:cs="Calibri"/>
                <w:b/>
                <w:bCs/>
                <w:color w:val="000000"/>
                <w:lang w:eastAsia="en-GB"/>
              </w:rPr>
            </w:pPr>
          </w:p>
        </w:tc>
        <w:tc>
          <w:tcPr>
            <w:tcW w:w="3704" w:type="dxa"/>
            <w:tcBorders>
              <w:top w:val="nil"/>
              <w:left w:val="nil"/>
              <w:bottom w:val="nil"/>
              <w:right w:val="nil"/>
            </w:tcBorders>
            <w:noWrap/>
            <w:vAlign w:val="center"/>
          </w:tcPr>
          <w:p w:rsidR="0003552F" w:rsidRPr="00EB2995" w:rsidRDefault="0003552F" w:rsidP="0003552F">
            <w:pPr>
              <w:rPr>
                <w:rFonts w:cs="Calibri"/>
                <w:b/>
                <w:bCs/>
                <w:color w:val="000000"/>
                <w:lang w:eastAsia="en-GB"/>
              </w:rPr>
            </w:pPr>
            <w:r w:rsidRPr="00EB2995">
              <w:rPr>
                <w:rFonts w:cs="Calibri"/>
                <w:b/>
                <w:bCs/>
                <w:color w:val="000000"/>
                <w:lang w:eastAsia="en-GB"/>
              </w:rPr>
              <w:t>Net Assets</w:t>
            </w:r>
          </w:p>
          <w:p w:rsidR="0003552F" w:rsidRPr="00EB2995" w:rsidRDefault="0003552F" w:rsidP="0003552F">
            <w:pPr>
              <w:rPr>
                <w:rFonts w:cs="Calibri"/>
                <w:b/>
                <w:bCs/>
                <w:color w:val="000000"/>
                <w:lang w:eastAsia="en-GB"/>
              </w:rPr>
            </w:pPr>
          </w:p>
        </w:tc>
        <w:tc>
          <w:tcPr>
            <w:tcW w:w="754" w:type="dxa"/>
            <w:tcBorders>
              <w:top w:val="nil"/>
              <w:left w:val="nil"/>
              <w:bottom w:val="nil"/>
              <w:right w:val="single" w:sz="8" w:space="0" w:color="auto"/>
            </w:tcBorders>
            <w:vAlign w:val="center"/>
          </w:tcPr>
          <w:p w:rsidR="0003552F" w:rsidRPr="00EB2995" w:rsidRDefault="0003552F" w:rsidP="0003552F">
            <w:pPr>
              <w:rPr>
                <w:rFonts w:cs="Calibri"/>
                <w:color w:val="000000"/>
                <w:sz w:val="20"/>
                <w:szCs w:val="20"/>
                <w:lang w:eastAsia="en-GB"/>
              </w:rPr>
            </w:pPr>
            <w:r w:rsidRPr="00EB2995">
              <w:rPr>
                <w:rFonts w:cs="Calibri"/>
                <w:color w:val="000000"/>
                <w:sz w:val="20"/>
                <w:szCs w:val="20"/>
                <w:lang w:eastAsia="en-GB"/>
              </w:rPr>
              <w:t> </w:t>
            </w:r>
          </w:p>
        </w:tc>
        <w:tc>
          <w:tcPr>
            <w:tcW w:w="1276" w:type="dxa"/>
            <w:tcBorders>
              <w:top w:val="nil"/>
              <w:left w:val="nil"/>
              <w:bottom w:val="single" w:sz="8" w:space="0" w:color="auto"/>
              <w:right w:val="single" w:sz="8" w:space="0" w:color="auto"/>
            </w:tcBorders>
            <w:noWrap/>
            <w:vAlign w:val="center"/>
          </w:tcPr>
          <w:p w:rsidR="0003552F" w:rsidRPr="00EB2995" w:rsidRDefault="00A924BE" w:rsidP="0003552F">
            <w:pPr>
              <w:jc w:val="right"/>
              <w:rPr>
                <w:rFonts w:cs="Calibri"/>
                <w:b/>
                <w:bCs/>
                <w:color w:val="000000"/>
                <w:lang w:eastAsia="en-GB"/>
              </w:rPr>
            </w:pPr>
            <w:r>
              <w:rPr>
                <w:rFonts w:cs="Calibri"/>
                <w:b/>
                <w:bCs/>
                <w:color w:val="000000"/>
                <w:lang w:eastAsia="en-GB"/>
              </w:rPr>
              <w:t>1,000</w:t>
            </w:r>
            <w:r w:rsidR="0003552F" w:rsidRPr="00EB2995">
              <w:rPr>
                <w:rFonts w:cs="Calibri"/>
                <w:b/>
                <w:bCs/>
                <w:color w:val="000000"/>
                <w:lang w:eastAsia="en-GB"/>
              </w:rPr>
              <w:t>.</w:t>
            </w:r>
            <w:r w:rsidR="0003552F">
              <w:rPr>
                <w:rFonts w:cs="Calibri"/>
                <w:b/>
                <w:bCs/>
                <w:color w:val="000000"/>
                <w:lang w:eastAsia="en-GB"/>
              </w:rPr>
              <w:t>1</w:t>
            </w:r>
          </w:p>
          <w:p w:rsidR="0003552F" w:rsidRPr="00EB2995" w:rsidRDefault="0003552F" w:rsidP="0003552F">
            <w:pPr>
              <w:jc w:val="right"/>
              <w:rPr>
                <w:rFonts w:cs="Calibri"/>
                <w:b/>
                <w:bCs/>
                <w:color w:val="000000"/>
                <w:lang w:eastAsia="en-GB"/>
              </w:rPr>
            </w:pPr>
          </w:p>
        </w:tc>
        <w:tc>
          <w:tcPr>
            <w:tcW w:w="933" w:type="dxa"/>
            <w:tcBorders>
              <w:top w:val="nil"/>
              <w:left w:val="nil"/>
              <w:bottom w:val="single" w:sz="8" w:space="0" w:color="auto"/>
              <w:right w:val="single" w:sz="8" w:space="0" w:color="auto"/>
            </w:tcBorders>
            <w:shd w:val="clear" w:color="000000" w:fill="FFFFFF"/>
            <w:vAlign w:val="center"/>
          </w:tcPr>
          <w:p w:rsidR="0003552F" w:rsidRPr="00EB2995" w:rsidRDefault="0003552F" w:rsidP="0003552F">
            <w:pPr>
              <w:rPr>
                <w:rFonts w:cs="Calibri"/>
                <w:b/>
                <w:bCs/>
                <w:color w:val="0070C0"/>
                <w:lang w:eastAsia="en-GB"/>
              </w:rPr>
            </w:pPr>
          </w:p>
        </w:tc>
      </w:tr>
      <w:tr w:rsidR="0003552F" w:rsidRPr="00EB2995" w:rsidTr="0003552F">
        <w:trPr>
          <w:trHeight w:hRule="exact" w:val="284"/>
        </w:trPr>
        <w:tc>
          <w:tcPr>
            <w:tcW w:w="1256" w:type="dxa"/>
            <w:tcBorders>
              <w:top w:val="nil"/>
              <w:left w:val="single" w:sz="8" w:space="0" w:color="auto"/>
              <w:bottom w:val="nil"/>
              <w:right w:val="single" w:sz="8" w:space="0" w:color="auto"/>
            </w:tcBorders>
            <w:noWrap/>
            <w:vAlign w:val="center"/>
          </w:tcPr>
          <w:p w:rsidR="0003552F" w:rsidRPr="00EB2995" w:rsidRDefault="0003552F" w:rsidP="0003552F">
            <w:pPr>
              <w:jc w:val="right"/>
              <w:rPr>
                <w:rFonts w:cs="Calibri"/>
                <w:b/>
                <w:bCs/>
                <w:color w:val="000000"/>
                <w:lang w:eastAsia="en-GB"/>
              </w:rPr>
            </w:pPr>
          </w:p>
        </w:tc>
        <w:tc>
          <w:tcPr>
            <w:tcW w:w="222" w:type="dxa"/>
            <w:tcBorders>
              <w:top w:val="nil"/>
              <w:left w:val="nil"/>
              <w:bottom w:val="nil"/>
              <w:right w:val="nil"/>
            </w:tcBorders>
            <w:vAlign w:val="center"/>
          </w:tcPr>
          <w:p w:rsidR="0003552F" w:rsidRPr="00EB2995" w:rsidRDefault="0003552F" w:rsidP="0003552F">
            <w:pPr>
              <w:jc w:val="right"/>
              <w:rPr>
                <w:rFonts w:cs="Calibri"/>
                <w:b/>
                <w:bCs/>
                <w:color w:val="000000"/>
                <w:lang w:eastAsia="en-GB"/>
              </w:rPr>
            </w:pPr>
          </w:p>
        </w:tc>
        <w:tc>
          <w:tcPr>
            <w:tcW w:w="3704" w:type="dxa"/>
            <w:tcBorders>
              <w:top w:val="nil"/>
              <w:left w:val="nil"/>
              <w:bottom w:val="nil"/>
              <w:right w:val="nil"/>
            </w:tcBorders>
            <w:noWrap/>
            <w:vAlign w:val="center"/>
          </w:tcPr>
          <w:p w:rsidR="0003552F" w:rsidRPr="00EB2995" w:rsidRDefault="0003552F" w:rsidP="0003552F">
            <w:pPr>
              <w:rPr>
                <w:rFonts w:cs="Calibri"/>
                <w:b/>
                <w:bCs/>
                <w:color w:val="000000"/>
                <w:lang w:eastAsia="en-GB"/>
              </w:rPr>
            </w:pPr>
            <w:r w:rsidRPr="00EB2995">
              <w:rPr>
                <w:rFonts w:cs="Calibri"/>
                <w:b/>
                <w:bCs/>
                <w:color w:val="000000"/>
                <w:lang w:eastAsia="en-GB"/>
              </w:rPr>
              <w:t>Reserves</w:t>
            </w:r>
          </w:p>
        </w:tc>
        <w:tc>
          <w:tcPr>
            <w:tcW w:w="754" w:type="dxa"/>
            <w:tcBorders>
              <w:top w:val="nil"/>
              <w:left w:val="nil"/>
              <w:bottom w:val="nil"/>
              <w:right w:val="nil"/>
            </w:tcBorders>
            <w:vAlign w:val="center"/>
          </w:tcPr>
          <w:p w:rsidR="0003552F" w:rsidRPr="00EB2995" w:rsidRDefault="0003552F" w:rsidP="0003552F">
            <w:pPr>
              <w:rPr>
                <w:rFonts w:cs="Calibri"/>
                <w:b/>
                <w:bCs/>
                <w:color w:val="000000"/>
                <w:lang w:eastAsia="en-GB"/>
              </w:rPr>
            </w:pPr>
          </w:p>
        </w:tc>
        <w:tc>
          <w:tcPr>
            <w:tcW w:w="1276" w:type="dxa"/>
            <w:tcBorders>
              <w:top w:val="nil"/>
              <w:left w:val="single" w:sz="8" w:space="0" w:color="auto"/>
              <w:bottom w:val="nil"/>
              <w:right w:val="single" w:sz="8" w:space="0" w:color="auto"/>
            </w:tcBorders>
            <w:noWrap/>
            <w:vAlign w:val="center"/>
          </w:tcPr>
          <w:p w:rsidR="0003552F" w:rsidRPr="00EB2995" w:rsidRDefault="0003552F" w:rsidP="0003552F">
            <w:pPr>
              <w:jc w:val="right"/>
              <w:rPr>
                <w:rFonts w:cs="Calibri"/>
                <w:b/>
                <w:bCs/>
                <w:color w:val="000000"/>
                <w:lang w:eastAsia="en-GB"/>
              </w:rPr>
            </w:pPr>
            <w:r w:rsidRPr="00EB2995">
              <w:rPr>
                <w:rFonts w:cs="Calibri"/>
                <w:b/>
                <w:bCs/>
                <w:color w:val="000000"/>
              </w:rPr>
              <w:t> </w:t>
            </w:r>
          </w:p>
        </w:tc>
        <w:tc>
          <w:tcPr>
            <w:tcW w:w="933" w:type="dxa"/>
            <w:vMerge w:val="restart"/>
            <w:tcBorders>
              <w:top w:val="single" w:sz="8" w:space="0" w:color="auto"/>
              <w:left w:val="single" w:sz="8" w:space="0" w:color="auto"/>
              <w:bottom w:val="single" w:sz="4" w:space="0" w:color="auto"/>
              <w:right w:val="single" w:sz="8" w:space="0" w:color="auto"/>
            </w:tcBorders>
            <w:shd w:val="clear" w:color="000000" w:fill="00B0F0"/>
            <w:textDirection w:val="tbRl"/>
            <w:vAlign w:val="center"/>
          </w:tcPr>
          <w:p w:rsidR="0003552F" w:rsidRPr="00EB2995" w:rsidRDefault="0003552F" w:rsidP="0003552F">
            <w:pPr>
              <w:jc w:val="center"/>
              <w:rPr>
                <w:rFonts w:cs="Calibri"/>
                <w:color w:val="0070C0"/>
                <w:lang w:eastAsia="en-GB"/>
              </w:rPr>
            </w:pPr>
            <w:r w:rsidRPr="00EB2995">
              <w:rPr>
                <w:rFonts w:cs="Calibri"/>
                <w:color w:val="0070C0"/>
                <w:lang w:eastAsia="en-GB"/>
              </w:rPr>
              <w:t>Reserves</w:t>
            </w:r>
          </w:p>
        </w:tc>
      </w:tr>
      <w:tr w:rsidR="0003552F" w:rsidRPr="00EB2995" w:rsidTr="0003552F">
        <w:trPr>
          <w:trHeight w:hRule="exact" w:val="284"/>
        </w:trPr>
        <w:tc>
          <w:tcPr>
            <w:tcW w:w="1256" w:type="dxa"/>
            <w:tcBorders>
              <w:top w:val="nil"/>
              <w:left w:val="single" w:sz="8" w:space="0" w:color="auto"/>
              <w:bottom w:val="nil"/>
              <w:right w:val="single" w:sz="8" w:space="0" w:color="auto"/>
            </w:tcBorders>
            <w:noWrap/>
            <w:vAlign w:val="center"/>
          </w:tcPr>
          <w:p w:rsidR="0003552F" w:rsidRPr="00EB2995" w:rsidRDefault="0003552F" w:rsidP="0003552F">
            <w:pPr>
              <w:jc w:val="right"/>
              <w:rPr>
                <w:rFonts w:cs="Calibri"/>
                <w:color w:val="000000"/>
                <w:lang w:eastAsia="en-GB"/>
              </w:rPr>
            </w:pPr>
            <w:r w:rsidRPr="00EB2995">
              <w:rPr>
                <w:rFonts w:cs="Calibri"/>
                <w:color w:val="000000"/>
                <w:lang w:eastAsia="en-GB"/>
              </w:rPr>
              <w:t>(368.4)</w:t>
            </w:r>
          </w:p>
        </w:tc>
        <w:tc>
          <w:tcPr>
            <w:tcW w:w="222" w:type="dxa"/>
            <w:tcBorders>
              <w:top w:val="nil"/>
              <w:left w:val="nil"/>
              <w:bottom w:val="nil"/>
              <w:right w:val="nil"/>
            </w:tcBorders>
            <w:vAlign w:val="center"/>
          </w:tcPr>
          <w:p w:rsidR="0003552F" w:rsidRPr="00EB2995" w:rsidRDefault="0003552F" w:rsidP="0003552F">
            <w:pPr>
              <w:jc w:val="right"/>
              <w:rPr>
                <w:rFonts w:cs="Calibri"/>
                <w:color w:val="000000"/>
                <w:lang w:eastAsia="en-GB"/>
              </w:rPr>
            </w:pPr>
          </w:p>
        </w:tc>
        <w:tc>
          <w:tcPr>
            <w:tcW w:w="3704" w:type="dxa"/>
            <w:tcBorders>
              <w:top w:val="nil"/>
              <w:left w:val="nil"/>
              <w:bottom w:val="nil"/>
              <w:right w:val="nil"/>
            </w:tcBorders>
            <w:noWrap/>
            <w:vAlign w:val="center"/>
          </w:tcPr>
          <w:p w:rsidR="0003552F" w:rsidRPr="00EB2995" w:rsidRDefault="0003552F" w:rsidP="0003552F">
            <w:pPr>
              <w:rPr>
                <w:rFonts w:cs="Calibri"/>
                <w:color w:val="000000"/>
                <w:lang w:eastAsia="en-GB"/>
              </w:rPr>
            </w:pPr>
            <w:r w:rsidRPr="00EB2995">
              <w:rPr>
                <w:rFonts w:cs="Calibri"/>
                <w:color w:val="000000"/>
                <w:lang w:eastAsia="en-GB"/>
              </w:rPr>
              <w:t>Usable Reserves</w:t>
            </w:r>
          </w:p>
        </w:tc>
        <w:tc>
          <w:tcPr>
            <w:tcW w:w="754" w:type="dxa"/>
            <w:tcBorders>
              <w:top w:val="nil"/>
              <w:left w:val="nil"/>
              <w:bottom w:val="nil"/>
              <w:right w:val="nil"/>
            </w:tcBorders>
            <w:vAlign w:val="center"/>
          </w:tcPr>
          <w:p w:rsidR="0003552F" w:rsidRPr="00EB2995" w:rsidRDefault="0003552F" w:rsidP="0003552F">
            <w:pPr>
              <w:rPr>
                <w:rFonts w:cs="Calibri"/>
                <w:color w:val="000000"/>
                <w:lang w:eastAsia="en-GB"/>
              </w:rPr>
            </w:pPr>
          </w:p>
        </w:tc>
        <w:tc>
          <w:tcPr>
            <w:tcW w:w="1276" w:type="dxa"/>
            <w:tcBorders>
              <w:top w:val="nil"/>
              <w:left w:val="single" w:sz="8" w:space="0" w:color="auto"/>
              <w:bottom w:val="nil"/>
              <w:right w:val="single" w:sz="8" w:space="0" w:color="auto"/>
            </w:tcBorders>
            <w:noWrap/>
            <w:vAlign w:val="center"/>
          </w:tcPr>
          <w:p w:rsidR="0003552F" w:rsidRPr="00EB2995" w:rsidRDefault="00A924BE" w:rsidP="0003552F">
            <w:pPr>
              <w:jc w:val="right"/>
              <w:rPr>
                <w:rFonts w:cs="Calibri"/>
                <w:color w:val="000000"/>
                <w:lang w:eastAsia="en-GB"/>
              </w:rPr>
            </w:pPr>
            <w:r>
              <w:rPr>
                <w:rFonts w:cs="Calibri"/>
                <w:color w:val="000000"/>
              </w:rPr>
              <w:t>(396.8</w:t>
            </w:r>
            <w:r w:rsidR="0003552F" w:rsidRPr="00EB2995">
              <w:rPr>
                <w:rFonts w:cs="Calibri"/>
                <w:color w:val="000000"/>
              </w:rPr>
              <w:t>)</w:t>
            </w:r>
          </w:p>
        </w:tc>
        <w:tc>
          <w:tcPr>
            <w:tcW w:w="933" w:type="dxa"/>
            <w:vMerge/>
            <w:tcBorders>
              <w:top w:val="nil"/>
              <w:left w:val="single" w:sz="8" w:space="0" w:color="auto"/>
              <w:bottom w:val="single" w:sz="4" w:space="0" w:color="auto"/>
              <w:right w:val="single" w:sz="8" w:space="0" w:color="auto"/>
            </w:tcBorders>
            <w:vAlign w:val="center"/>
          </w:tcPr>
          <w:p w:rsidR="0003552F" w:rsidRPr="00EB2995" w:rsidRDefault="0003552F" w:rsidP="0003552F">
            <w:pPr>
              <w:rPr>
                <w:rFonts w:cs="Calibri"/>
                <w:color w:val="0070C0"/>
                <w:lang w:eastAsia="en-GB"/>
              </w:rPr>
            </w:pPr>
          </w:p>
        </w:tc>
      </w:tr>
      <w:tr w:rsidR="0003552F" w:rsidRPr="00EB2995" w:rsidTr="0003552F">
        <w:trPr>
          <w:trHeight w:hRule="exact" w:val="284"/>
        </w:trPr>
        <w:tc>
          <w:tcPr>
            <w:tcW w:w="1256" w:type="dxa"/>
            <w:tcBorders>
              <w:top w:val="nil"/>
              <w:left w:val="single" w:sz="8" w:space="0" w:color="auto"/>
              <w:bottom w:val="nil"/>
              <w:right w:val="single" w:sz="8" w:space="0" w:color="auto"/>
            </w:tcBorders>
            <w:noWrap/>
            <w:vAlign w:val="center"/>
          </w:tcPr>
          <w:p w:rsidR="0003552F" w:rsidRPr="00EB2995" w:rsidRDefault="0003552F" w:rsidP="0003552F">
            <w:pPr>
              <w:jc w:val="right"/>
              <w:rPr>
                <w:rFonts w:cs="Calibri"/>
                <w:color w:val="000000"/>
                <w:lang w:eastAsia="en-GB"/>
              </w:rPr>
            </w:pPr>
            <w:r w:rsidRPr="00EB2995">
              <w:rPr>
                <w:rFonts w:cs="Calibri"/>
                <w:color w:val="000000"/>
                <w:lang w:eastAsia="en-GB"/>
              </w:rPr>
              <w:t>(124.9)</w:t>
            </w:r>
          </w:p>
        </w:tc>
        <w:tc>
          <w:tcPr>
            <w:tcW w:w="222" w:type="dxa"/>
            <w:tcBorders>
              <w:top w:val="nil"/>
              <w:left w:val="nil"/>
              <w:bottom w:val="nil"/>
              <w:right w:val="nil"/>
            </w:tcBorders>
            <w:vAlign w:val="center"/>
          </w:tcPr>
          <w:p w:rsidR="0003552F" w:rsidRPr="00EB2995" w:rsidRDefault="0003552F" w:rsidP="0003552F">
            <w:pPr>
              <w:jc w:val="right"/>
              <w:rPr>
                <w:rFonts w:cs="Calibri"/>
                <w:color w:val="000000"/>
                <w:lang w:eastAsia="en-GB"/>
              </w:rPr>
            </w:pPr>
          </w:p>
        </w:tc>
        <w:tc>
          <w:tcPr>
            <w:tcW w:w="3704" w:type="dxa"/>
            <w:tcBorders>
              <w:top w:val="nil"/>
              <w:left w:val="nil"/>
              <w:bottom w:val="nil"/>
              <w:right w:val="nil"/>
            </w:tcBorders>
            <w:noWrap/>
            <w:vAlign w:val="center"/>
          </w:tcPr>
          <w:p w:rsidR="0003552F" w:rsidRPr="00EB2995" w:rsidRDefault="0003552F" w:rsidP="0003552F">
            <w:pPr>
              <w:rPr>
                <w:rFonts w:cs="Calibri"/>
                <w:color w:val="000000"/>
                <w:lang w:eastAsia="en-GB"/>
              </w:rPr>
            </w:pPr>
            <w:r w:rsidRPr="00EB2995">
              <w:rPr>
                <w:rFonts w:cs="Calibri"/>
                <w:color w:val="000000"/>
                <w:lang w:eastAsia="en-GB"/>
              </w:rPr>
              <w:t>Unusable Reserves</w:t>
            </w:r>
          </w:p>
        </w:tc>
        <w:tc>
          <w:tcPr>
            <w:tcW w:w="754" w:type="dxa"/>
            <w:tcBorders>
              <w:top w:val="nil"/>
              <w:left w:val="nil"/>
              <w:bottom w:val="nil"/>
              <w:right w:val="nil"/>
            </w:tcBorders>
            <w:vAlign w:val="bottom"/>
          </w:tcPr>
          <w:p w:rsidR="0003552F" w:rsidRPr="00EB2995" w:rsidRDefault="0003552F" w:rsidP="0003552F">
            <w:pPr>
              <w:rPr>
                <w:rFonts w:cs="Calibri"/>
                <w:color w:val="000000"/>
                <w:lang w:eastAsia="en-GB"/>
              </w:rPr>
            </w:pPr>
          </w:p>
        </w:tc>
        <w:tc>
          <w:tcPr>
            <w:tcW w:w="1276" w:type="dxa"/>
            <w:tcBorders>
              <w:top w:val="nil"/>
              <w:left w:val="single" w:sz="8" w:space="0" w:color="auto"/>
              <w:bottom w:val="nil"/>
              <w:right w:val="single" w:sz="8" w:space="0" w:color="auto"/>
            </w:tcBorders>
            <w:noWrap/>
            <w:vAlign w:val="center"/>
          </w:tcPr>
          <w:p w:rsidR="0003552F" w:rsidRPr="00EB2995" w:rsidRDefault="00A924BE" w:rsidP="0003552F">
            <w:pPr>
              <w:jc w:val="right"/>
              <w:rPr>
                <w:rFonts w:cs="Calibri"/>
                <w:color w:val="000000"/>
                <w:lang w:eastAsia="en-GB"/>
              </w:rPr>
            </w:pPr>
            <w:r>
              <w:rPr>
                <w:rFonts w:cs="Calibri"/>
                <w:color w:val="000000"/>
              </w:rPr>
              <w:t>(603.3</w:t>
            </w:r>
            <w:r w:rsidR="0003552F" w:rsidRPr="00EB2995">
              <w:rPr>
                <w:rFonts w:cs="Calibri"/>
                <w:color w:val="000000"/>
              </w:rPr>
              <w:t>)</w:t>
            </w:r>
          </w:p>
        </w:tc>
        <w:tc>
          <w:tcPr>
            <w:tcW w:w="933" w:type="dxa"/>
            <w:vMerge/>
            <w:tcBorders>
              <w:top w:val="nil"/>
              <w:left w:val="single" w:sz="8" w:space="0" w:color="auto"/>
              <w:bottom w:val="single" w:sz="4" w:space="0" w:color="auto"/>
              <w:right w:val="single" w:sz="8" w:space="0" w:color="auto"/>
            </w:tcBorders>
            <w:vAlign w:val="center"/>
          </w:tcPr>
          <w:p w:rsidR="0003552F" w:rsidRPr="00EB2995" w:rsidRDefault="0003552F" w:rsidP="0003552F">
            <w:pPr>
              <w:rPr>
                <w:rFonts w:cs="Calibri"/>
                <w:color w:val="0070C0"/>
                <w:lang w:eastAsia="en-GB"/>
              </w:rPr>
            </w:pPr>
          </w:p>
        </w:tc>
      </w:tr>
      <w:tr w:rsidR="0003552F" w:rsidRPr="00EB2995" w:rsidTr="0003552F">
        <w:trPr>
          <w:trHeight w:hRule="exact" w:val="284"/>
        </w:trPr>
        <w:tc>
          <w:tcPr>
            <w:tcW w:w="1256" w:type="dxa"/>
            <w:tcBorders>
              <w:top w:val="single" w:sz="8" w:space="0" w:color="auto"/>
              <w:left w:val="single" w:sz="8" w:space="0" w:color="auto"/>
              <w:bottom w:val="single" w:sz="8" w:space="0" w:color="auto"/>
              <w:right w:val="single" w:sz="8" w:space="0" w:color="auto"/>
            </w:tcBorders>
            <w:noWrap/>
            <w:vAlign w:val="center"/>
          </w:tcPr>
          <w:p w:rsidR="0003552F" w:rsidRPr="00EB2995" w:rsidRDefault="0003552F" w:rsidP="0003552F">
            <w:pPr>
              <w:jc w:val="right"/>
              <w:rPr>
                <w:rFonts w:cs="Calibri"/>
                <w:b/>
                <w:bCs/>
                <w:color w:val="000000"/>
                <w:lang w:eastAsia="en-GB"/>
              </w:rPr>
            </w:pPr>
            <w:r w:rsidRPr="00EB2995">
              <w:rPr>
                <w:rFonts w:cs="Calibri"/>
                <w:b/>
                <w:bCs/>
                <w:color w:val="000000"/>
                <w:lang w:eastAsia="en-GB"/>
              </w:rPr>
              <w:t>(</w:t>
            </w:r>
            <w:r w:rsidRPr="00EB2995">
              <w:rPr>
                <w:rFonts w:cs="Calibri"/>
                <w:b/>
                <w:bCs/>
                <w:color w:val="000000"/>
              </w:rPr>
              <w:t>493.3</w:t>
            </w:r>
            <w:r w:rsidRPr="00EB2995">
              <w:rPr>
                <w:rFonts w:cs="Calibri"/>
                <w:b/>
                <w:bCs/>
                <w:color w:val="000000"/>
                <w:lang w:eastAsia="en-GB"/>
              </w:rPr>
              <w:t>)</w:t>
            </w:r>
          </w:p>
        </w:tc>
        <w:tc>
          <w:tcPr>
            <w:tcW w:w="222" w:type="dxa"/>
            <w:tcBorders>
              <w:top w:val="nil"/>
              <w:left w:val="nil"/>
              <w:bottom w:val="nil"/>
              <w:right w:val="nil"/>
            </w:tcBorders>
            <w:vAlign w:val="center"/>
          </w:tcPr>
          <w:p w:rsidR="0003552F" w:rsidRPr="00EB2995" w:rsidRDefault="0003552F" w:rsidP="0003552F">
            <w:pPr>
              <w:jc w:val="right"/>
              <w:rPr>
                <w:rFonts w:cs="Calibri"/>
                <w:b/>
                <w:bCs/>
                <w:color w:val="000000"/>
                <w:lang w:eastAsia="en-GB"/>
              </w:rPr>
            </w:pPr>
          </w:p>
        </w:tc>
        <w:tc>
          <w:tcPr>
            <w:tcW w:w="3704" w:type="dxa"/>
            <w:tcBorders>
              <w:top w:val="nil"/>
              <w:left w:val="nil"/>
              <w:bottom w:val="nil"/>
              <w:right w:val="nil"/>
            </w:tcBorders>
            <w:noWrap/>
            <w:vAlign w:val="center"/>
          </w:tcPr>
          <w:p w:rsidR="0003552F" w:rsidRPr="00EB2995" w:rsidRDefault="0003552F" w:rsidP="0003552F">
            <w:pPr>
              <w:rPr>
                <w:rFonts w:cs="Calibri"/>
                <w:b/>
                <w:bCs/>
                <w:color w:val="000000"/>
                <w:lang w:eastAsia="en-GB"/>
              </w:rPr>
            </w:pPr>
            <w:r w:rsidRPr="00EB2995">
              <w:rPr>
                <w:rFonts w:cs="Calibri"/>
                <w:b/>
                <w:bCs/>
                <w:color w:val="000000"/>
                <w:lang w:eastAsia="en-GB"/>
              </w:rPr>
              <w:t>Total Reserves</w:t>
            </w:r>
          </w:p>
        </w:tc>
        <w:tc>
          <w:tcPr>
            <w:tcW w:w="754" w:type="dxa"/>
            <w:tcBorders>
              <w:top w:val="nil"/>
              <w:left w:val="nil"/>
              <w:bottom w:val="nil"/>
              <w:right w:val="nil"/>
            </w:tcBorders>
            <w:vAlign w:val="center"/>
          </w:tcPr>
          <w:p w:rsidR="0003552F" w:rsidRPr="00EB2995" w:rsidRDefault="0003552F" w:rsidP="0003552F">
            <w:pPr>
              <w:rPr>
                <w:rFonts w:cs="Calibri"/>
                <w:b/>
                <w:bCs/>
                <w:color w:val="000000"/>
                <w:lang w:eastAsia="en-GB"/>
              </w:rPr>
            </w:pPr>
          </w:p>
        </w:tc>
        <w:tc>
          <w:tcPr>
            <w:tcW w:w="1276" w:type="dxa"/>
            <w:tcBorders>
              <w:top w:val="single" w:sz="8" w:space="0" w:color="auto"/>
              <w:left w:val="single" w:sz="8" w:space="0" w:color="auto"/>
              <w:bottom w:val="single" w:sz="8" w:space="0" w:color="auto"/>
              <w:right w:val="single" w:sz="8" w:space="0" w:color="auto"/>
            </w:tcBorders>
            <w:noWrap/>
            <w:vAlign w:val="center"/>
          </w:tcPr>
          <w:p w:rsidR="0003552F" w:rsidRPr="00EB2995" w:rsidRDefault="00A924BE" w:rsidP="0003552F">
            <w:pPr>
              <w:jc w:val="right"/>
              <w:rPr>
                <w:rFonts w:cs="Calibri"/>
                <w:b/>
                <w:bCs/>
                <w:color w:val="000000"/>
                <w:lang w:eastAsia="en-GB"/>
              </w:rPr>
            </w:pPr>
            <w:r>
              <w:rPr>
                <w:rFonts w:cs="Calibri"/>
                <w:b/>
                <w:bCs/>
                <w:color w:val="000000"/>
              </w:rPr>
              <w:t>(1,000</w:t>
            </w:r>
            <w:r w:rsidR="0003552F">
              <w:rPr>
                <w:rFonts w:cs="Calibri"/>
                <w:b/>
                <w:bCs/>
                <w:color w:val="000000"/>
              </w:rPr>
              <w:t>.1</w:t>
            </w:r>
            <w:r w:rsidR="0003552F" w:rsidRPr="00EB2995">
              <w:rPr>
                <w:rFonts w:cs="Calibri"/>
                <w:b/>
                <w:bCs/>
                <w:color w:val="000000"/>
              </w:rPr>
              <w:t>)</w:t>
            </w:r>
          </w:p>
        </w:tc>
        <w:tc>
          <w:tcPr>
            <w:tcW w:w="933" w:type="dxa"/>
            <w:tcBorders>
              <w:top w:val="single" w:sz="4" w:space="0" w:color="auto"/>
              <w:left w:val="nil"/>
              <w:bottom w:val="nil"/>
              <w:right w:val="nil"/>
            </w:tcBorders>
            <w:noWrap/>
            <w:vAlign w:val="bottom"/>
          </w:tcPr>
          <w:p w:rsidR="0003552F" w:rsidRPr="00EB2995" w:rsidRDefault="0003552F" w:rsidP="0003552F">
            <w:pPr>
              <w:jc w:val="right"/>
              <w:rPr>
                <w:rFonts w:cs="Calibri"/>
                <w:b/>
                <w:bCs/>
                <w:color w:val="000000"/>
                <w:lang w:eastAsia="en-GB"/>
              </w:rPr>
            </w:pPr>
          </w:p>
        </w:tc>
      </w:tr>
    </w:tbl>
    <w:p w:rsidR="0003552F" w:rsidRDefault="0003552F" w:rsidP="0003552F"/>
    <w:p w:rsidR="0003552F" w:rsidRDefault="0003552F" w:rsidP="0003552F">
      <w:pPr>
        <w:sectPr w:rsidR="0003552F">
          <w:pgSz w:w="11906" w:h="16838"/>
          <w:pgMar w:top="1440" w:right="1440" w:bottom="1440" w:left="1440" w:header="708" w:footer="708" w:gutter="0"/>
          <w:cols w:space="708"/>
          <w:docGrid w:linePitch="360"/>
        </w:sectPr>
      </w:pPr>
    </w:p>
    <w:p w:rsidR="00F72906" w:rsidRDefault="00F72906" w:rsidP="0003552F">
      <w:pPr>
        <w:pStyle w:val="Heading2"/>
      </w:pPr>
      <w:bookmarkStart w:id="3" w:name="_Toc61870273"/>
      <w:r>
        <w:lastRenderedPageBreak/>
        <w:t>The Movement in Reserves Statement</w:t>
      </w:r>
      <w:bookmarkEnd w:id="3"/>
      <w:r>
        <w:t xml:space="preserve"> </w:t>
      </w:r>
    </w:p>
    <w:tbl>
      <w:tblPr>
        <w:tblW w:w="14251" w:type="dxa"/>
        <w:tblInd w:w="108" w:type="dxa"/>
        <w:tblLook w:val="00A0" w:firstRow="1" w:lastRow="0" w:firstColumn="1" w:lastColumn="0" w:noHBand="0" w:noVBand="0"/>
      </w:tblPr>
      <w:tblGrid>
        <w:gridCol w:w="811"/>
        <w:gridCol w:w="521"/>
        <w:gridCol w:w="1707"/>
        <w:gridCol w:w="980"/>
        <w:gridCol w:w="32"/>
        <w:gridCol w:w="949"/>
        <w:gridCol w:w="43"/>
        <w:gridCol w:w="1077"/>
        <w:gridCol w:w="43"/>
        <w:gridCol w:w="883"/>
        <w:gridCol w:w="97"/>
        <w:gridCol w:w="1025"/>
        <w:gridCol w:w="95"/>
        <w:gridCol w:w="854"/>
        <w:gridCol w:w="106"/>
        <w:gridCol w:w="843"/>
        <w:gridCol w:w="117"/>
        <w:gridCol w:w="957"/>
        <w:gridCol w:w="117"/>
        <w:gridCol w:w="960"/>
        <w:gridCol w:w="75"/>
        <w:gridCol w:w="922"/>
        <w:gridCol w:w="81"/>
        <w:gridCol w:w="956"/>
      </w:tblGrid>
      <w:tr w:rsidR="0003552F" w:rsidRPr="00EB2995" w:rsidTr="0003552F">
        <w:trPr>
          <w:trHeight w:val="1125"/>
        </w:trPr>
        <w:tc>
          <w:tcPr>
            <w:tcW w:w="811" w:type="dxa"/>
            <w:tcBorders>
              <w:top w:val="nil"/>
              <w:left w:val="nil"/>
              <w:bottom w:val="nil"/>
              <w:right w:val="nil"/>
            </w:tcBorders>
            <w:vAlign w:val="bottom"/>
          </w:tcPr>
          <w:p w:rsidR="0003552F" w:rsidRPr="00EB2995" w:rsidRDefault="0003552F" w:rsidP="0003552F">
            <w:pPr>
              <w:rPr>
                <w:rFonts w:cs="Calibri"/>
                <w:color w:val="000000"/>
                <w:lang w:eastAsia="en-GB"/>
              </w:rPr>
            </w:pPr>
          </w:p>
        </w:tc>
        <w:tc>
          <w:tcPr>
            <w:tcW w:w="521" w:type="dxa"/>
            <w:tcBorders>
              <w:top w:val="nil"/>
              <w:left w:val="nil"/>
              <w:bottom w:val="nil"/>
              <w:right w:val="nil"/>
            </w:tcBorders>
            <w:vAlign w:val="bottom"/>
          </w:tcPr>
          <w:p w:rsidR="0003552F" w:rsidRPr="00EB2995" w:rsidRDefault="0003552F" w:rsidP="0003552F">
            <w:pPr>
              <w:rPr>
                <w:rFonts w:cs="Calibri"/>
                <w:color w:val="000000"/>
                <w:lang w:eastAsia="en-GB"/>
              </w:rPr>
            </w:pPr>
          </w:p>
        </w:tc>
        <w:tc>
          <w:tcPr>
            <w:tcW w:w="1707" w:type="dxa"/>
            <w:tcBorders>
              <w:top w:val="nil"/>
              <w:left w:val="nil"/>
              <w:bottom w:val="nil"/>
              <w:right w:val="nil"/>
            </w:tcBorders>
            <w:shd w:val="clear" w:color="000000" w:fill="FFFFFF"/>
            <w:vAlign w:val="center"/>
          </w:tcPr>
          <w:p w:rsidR="0003552F" w:rsidRPr="00EB2995" w:rsidRDefault="0003552F" w:rsidP="0003552F">
            <w:pPr>
              <w:rPr>
                <w:rFonts w:cs="Calibri"/>
                <w:b/>
                <w:bCs/>
                <w:color w:val="000000"/>
                <w:sz w:val="20"/>
                <w:szCs w:val="20"/>
                <w:lang w:eastAsia="en-GB"/>
              </w:rPr>
            </w:pPr>
            <w:r w:rsidRPr="00EB2995">
              <w:rPr>
                <w:rFonts w:cs="Calibri"/>
                <w:b/>
                <w:bCs/>
                <w:color w:val="000000"/>
                <w:sz w:val="20"/>
                <w:szCs w:val="20"/>
                <w:lang w:eastAsia="en-GB"/>
              </w:rPr>
              <w:t> </w:t>
            </w:r>
          </w:p>
        </w:tc>
        <w:tc>
          <w:tcPr>
            <w:tcW w:w="1012" w:type="dxa"/>
            <w:gridSpan w:val="2"/>
            <w:tcBorders>
              <w:top w:val="nil"/>
              <w:left w:val="nil"/>
              <w:right w:val="nil"/>
            </w:tcBorders>
            <w:shd w:val="clear" w:color="000000" w:fill="FFFFFF"/>
            <w:vAlign w:val="bottom"/>
          </w:tcPr>
          <w:p w:rsidR="0003552F" w:rsidRPr="00EB2995" w:rsidRDefault="0003552F" w:rsidP="0003552F">
            <w:pPr>
              <w:jc w:val="right"/>
              <w:rPr>
                <w:rFonts w:cs="Calibri"/>
                <w:b/>
                <w:bCs/>
                <w:color w:val="000000"/>
                <w:sz w:val="20"/>
                <w:szCs w:val="20"/>
                <w:lang w:eastAsia="en-GB"/>
              </w:rPr>
            </w:pPr>
            <w:r w:rsidRPr="00EB2995">
              <w:rPr>
                <w:rFonts w:cs="Calibri"/>
                <w:b/>
                <w:bCs/>
                <w:color w:val="000000"/>
                <w:sz w:val="20"/>
                <w:szCs w:val="20"/>
                <w:lang w:eastAsia="en-GB"/>
              </w:rPr>
              <w:t>General Fund Balance</w:t>
            </w:r>
          </w:p>
        </w:tc>
        <w:tc>
          <w:tcPr>
            <w:tcW w:w="949" w:type="dxa"/>
            <w:tcBorders>
              <w:top w:val="nil"/>
              <w:left w:val="nil"/>
              <w:right w:val="nil"/>
            </w:tcBorders>
            <w:shd w:val="clear" w:color="000000" w:fill="FFFFFF"/>
            <w:vAlign w:val="bottom"/>
          </w:tcPr>
          <w:p w:rsidR="0003552F" w:rsidRPr="00EB2995" w:rsidRDefault="0003552F" w:rsidP="0003552F">
            <w:pPr>
              <w:jc w:val="right"/>
              <w:rPr>
                <w:rFonts w:cs="Calibri"/>
                <w:b/>
                <w:bCs/>
                <w:color w:val="000000"/>
                <w:sz w:val="20"/>
                <w:szCs w:val="20"/>
                <w:lang w:eastAsia="en-GB"/>
              </w:rPr>
            </w:pPr>
            <w:r w:rsidRPr="00EB2995">
              <w:rPr>
                <w:rFonts w:cs="Calibri"/>
                <w:b/>
                <w:bCs/>
                <w:color w:val="000000"/>
                <w:sz w:val="20"/>
                <w:szCs w:val="20"/>
                <w:lang w:eastAsia="en-GB"/>
              </w:rPr>
              <w:t>School Balances</w:t>
            </w:r>
          </w:p>
        </w:tc>
        <w:tc>
          <w:tcPr>
            <w:tcW w:w="1120" w:type="dxa"/>
            <w:gridSpan w:val="2"/>
            <w:tcBorders>
              <w:top w:val="nil"/>
              <w:left w:val="nil"/>
              <w:right w:val="nil"/>
            </w:tcBorders>
            <w:shd w:val="clear" w:color="000000" w:fill="FFFFFF"/>
            <w:vAlign w:val="bottom"/>
          </w:tcPr>
          <w:p w:rsidR="0003552F" w:rsidRPr="00EB2995" w:rsidRDefault="0003552F" w:rsidP="0003552F">
            <w:pPr>
              <w:jc w:val="right"/>
              <w:rPr>
                <w:rFonts w:cs="Calibri"/>
                <w:b/>
                <w:bCs/>
                <w:color w:val="000000"/>
                <w:sz w:val="20"/>
                <w:szCs w:val="20"/>
                <w:lang w:eastAsia="en-GB"/>
              </w:rPr>
            </w:pPr>
            <w:r w:rsidRPr="00EB2995">
              <w:rPr>
                <w:rFonts w:cs="Calibri"/>
                <w:b/>
                <w:bCs/>
                <w:color w:val="000000"/>
                <w:sz w:val="20"/>
                <w:szCs w:val="20"/>
                <w:lang w:eastAsia="en-GB"/>
              </w:rPr>
              <w:t>Earmarked General Fund Reserves</w:t>
            </w:r>
          </w:p>
        </w:tc>
        <w:tc>
          <w:tcPr>
            <w:tcW w:w="926" w:type="dxa"/>
            <w:gridSpan w:val="2"/>
            <w:tcBorders>
              <w:top w:val="nil"/>
              <w:left w:val="nil"/>
              <w:right w:val="nil"/>
            </w:tcBorders>
            <w:shd w:val="clear" w:color="000000" w:fill="FFFFFF"/>
            <w:vAlign w:val="bottom"/>
          </w:tcPr>
          <w:p w:rsidR="0003552F" w:rsidRPr="00EB2995" w:rsidRDefault="0003552F" w:rsidP="0003552F">
            <w:pPr>
              <w:jc w:val="right"/>
              <w:rPr>
                <w:rFonts w:cs="Calibri"/>
                <w:b/>
                <w:bCs/>
                <w:color w:val="000000"/>
                <w:sz w:val="20"/>
                <w:szCs w:val="20"/>
                <w:lang w:eastAsia="en-GB"/>
              </w:rPr>
            </w:pPr>
            <w:r w:rsidRPr="00EB2995">
              <w:rPr>
                <w:rFonts w:cs="Calibri"/>
                <w:b/>
                <w:bCs/>
                <w:color w:val="000000"/>
                <w:sz w:val="20"/>
                <w:szCs w:val="20"/>
                <w:lang w:eastAsia="en-GB"/>
              </w:rPr>
              <w:t>HRA</w:t>
            </w:r>
          </w:p>
        </w:tc>
        <w:tc>
          <w:tcPr>
            <w:tcW w:w="1122" w:type="dxa"/>
            <w:gridSpan w:val="2"/>
            <w:tcBorders>
              <w:top w:val="nil"/>
              <w:left w:val="nil"/>
              <w:right w:val="nil"/>
            </w:tcBorders>
            <w:shd w:val="clear" w:color="000000" w:fill="FFFFFF"/>
            <w:vAlign w:val="bottom"/>
          </w:tcPr>
          <w:p w:rsidR="0003552F" w:rsidRPr="00EB2995" w:rsidRDefault="0003552F" w:rsidP="0003552F">
            <w:pPr>
              <w:jc w:val="right"/>
              <w:rPr>
                <w:rFonts w:cs="Calibri"/>
                <w:b/>
                <w:bCs/>
                <w:color w:val="000000"/>
                <w:sz w:val="20"/>
                <w:szCs w:val="20"/>
                <w:lang w:eastAsia="en-GB"/>
              </w:rPr>
            </w:pPr>
            <w:r w:rsidRPr="00EB2995">
              <w:rPr>
                <w:rFonts w:cs="Calibri"/>
                <w:b/>
                <w:bCs/>
                <w:color w:val="000000"/>
                <w:sz w:val="20"/>
                <w:szCs w:val="20"/>
                <w:lang w:eastAsia="en-GB"/>
              </w:rPr>
              <w:t>Earmarked HRA Reserves</w:t>
            </w:r>
          </w:p>
        </w:tc>
        <w:tc>
          <w:tcPr>
            <w:tcW w:w="949" w:type="dxa"/>
            <w:gridSpan w:val="2"/>
            <w:tcBorders>
              <w:top w:val="nil"/>
              <w:left w:val="nil"/>
              <w:right w:val="nil"/>
            </w:tcBorders>
            <w:shd w:val="clear" w:color="000000" w:fill="FFFFFF"/>
            <w:vAlign w:val="bottom"/>
          </w:tcPr>
          <w:p w:rsidR="0003552F" w:rsidRPr="00EB2995" w:rsidRDefault="0003552F" w:rsidP="0003552F">
            <w:pPr>
              <w:jc w:val="right"/>
              <w:rPr>
                <w:rFonts w:cs="Calibri"/>
                <w:b/>
                <w:bCs/>
                <w:color w:val="000000"/>
                <w:sz w:val="20"/>
                <w:szCs w:val="20"/>
                <w:lang w:eastAsia="en-GB"/>
              </w:rPr>
            </w:pPr>
            <w:r w:rsidRPr="00EB2995">
              <w:rPr>
                <w:rFonts w:cs="Calibri"/>
                <w:b/>
                <w:bCs/>
                <w:color w:val="000000"/>
                <w:sz w:val="20"/>
                <w:szCs w:val="20"/>
                <w:lang w:eastAsia="en-GB"/>
              </w:rPr>
              <w:t>Capital Receipts Reserve</w:t>
            </w:r>
          </w:p>
        </w:tc>
        <w:tc>
          <w:tcPr>
            <w:tcW w:w="949" w:type="dxa"/>
            <w:gridSpan w:val="2"/>
            <w:tcBorders>
              <w:top w:val="nil"/>
              <w:left w:val="nil"/>
              <w:right w:val="nil"/>
            </w:tcBorders>
            <w:shd w:val="clear" w:color="000000" w:fill="FFFFFF"/>
            <w:vAlign w:val="bottom"/>
          </w:tcPr>
          <w:p w:rsidR="0003552F" w:rsidRPr="00EB2995" w:rsidRDefault="0003552F" w:rsidP="0003552F">
            <w:pPr>
              <w:jc w:val="right"/>
              <w:rPr>
                <w:rFonts w:cs="Calibri"/>
                <w:b/>
                <w:bCs/>
                <w:color w:val="000000"/>
                <w:sz w:val="20"/>
                <w:szCs w:val="20"/>
                <w:lang w:eastAsia="en-GB"/>
              </w:rPr>
            </w:pPr>
            <w:r w:rsidRPr="00EB2995">
              <w:rPr>
                <w:rFonts w:cs="Calibri"/>
                <w:b/>
                <w:bCs/>
                <w:color w:val="000000"/>
                <w:sz w:val="20"/>
                <w:szCs w:val="20"/>
                <w:lang w:eastAsia="en-GB"/>
              </w:rPr>
              <w:t>Major Repairs Reserve</w:t>
            </w:r>
          </w:p>
        </w:tc>
        <w:tc>
          <w:tcPr>
            <w:tcW w:w="1074" w:type="dxa"/>
            <w:gridSpan w:val="2"/>
            <w:tcBorders>
              <w:top w:val="nil"/>
              <w:left w:val="nil"/>
              <w:right w:val="nil"/>
            </w:tcBorders>
            <w:shd w:val="clear" w:color="000000" w:fill="FFFFFF"/>
            <w:vAlign w:val="bottom"/>
          </w:tcPr>
          <w:p w:rsidR="0003552F" w:rsidRPr="00EB2995" w:rsidRDefault="0003552F" w:rsidP="0003552F">
            <w:pPr>
              <w:jc w:val="right"/>
              <w:rPr>
                <w:rFonts w:cs="Calibri"/>
                <w:b/>
                <w:bCs/>
                <w:color w:val="000000"/>
                <w:sz w:val="20"/>
                <w:szCs w:val="20"/>
                <w:lang w:eastAsia="en-GB"/>
              </w:rPr>
            </w:pPr>
            <w:r w:rsidRPr="00EB2995">
              <w:rPr>
                <w:rFonts w:cs="Calibri"/>
                <w:b/>
                <w:bCs/>
                <w:color w:val="000000"/>
                <w:sz w:val="20"/>
                <w:szCs w:val="20"/>
                <w:lang w:eastAsia="en-GB"/>
              </w:rPr>
              <w:t>Capital Grants Unapplied</w:t>
            </w:r>
          </w:p>
        </w:tc>
        <w:tc>
          <w:tcPr>
            <w:tcW w:w="1152" w:type="dxa"/>
            <w:gridSpan w:val="3"/>
            <w:tcBorders>
              <w:top w:val="nil"/>
              <w:left w:val="nil"/>
              <w:right w:val="nil"/>
            </w:tcBorders>
            <w:shd w:val="clear" w:color="000000" w:fill="FFFFFF"/>
            <w:vAlign w:val="bottom"/>
          </w:tcPr>
          <w:p w:rsidR="0003552F" w:rsidRPr="00EB2995" w:rsidRDefault="0003552F" w:rsidP="0003552F">
            <w:pPr>
              <w:jc w:val="right"/>
              <w:rPr>
                <w:rFonts w:cs="Calibri"/>
                <w:b/>
                <w:bCs/>
                <w:color w:val="000000"/>
                <w:sz w:val="20"/>
                <w:szCs w:val="20"/>
                <w:lang w:eastAsia="en-GB"/>
              </w:rPr>
            </w:pPr>
            <w:r w:rsidRPr="00EB2995">
              <w:rPr>
                <w:rFonts w:cs="Calibri"/>
                <w:b/>
                <w:bCs/>
                <w:color w:val="000000"/>
                <w:sz w:val="20"/>
                <w:szCs w:val="20"/>
                <w:lang w:eastAsia="en-GB"/>
              </w:rPr>
              <w:t>Total Usable Reserves</w:t>
            </w:r>
          </w:p>
        </w:tc>
        <w:tc>
          <w:tcPr>
            <w:tcW w:w="1003" w:type="dxa"/>
            <w:gridSpan w:val="2"/>
            <w:tcBorders>
              <w:top w:val="nil"/>
              <w:left w:val="nil"/>
              <w:right w:val="nil"/>
            </w:tcBorders>
            <w:shd w:val="clear" w:color="000000" w:fill="FFFFFF"/>
            <w:vAlign w:val="bottom"/>
          </w:tcPr>
          <w:p w:rsidR="0003552F" w:rsidRPr="00EB2995" w:rsidRDefault="0003552F" w:rsidP="0003552F">
            <w:pPr>
              <w:jc w:val="right"/>
              <w:rPr>
                <w:rFonts w:cs="Calibri"/>
                <w:b/>
                <w:bCs/>
                <w:color w:val="000000"/>
                <w:sz w:val="20"/>
                <w:szCs w:val="20"/>
                <w:lang w:eastAsia="en-GB"/>
              </w:rPr>
            </w:pPr>
            <w:r w:rsidRPr="00EB2995">
              <w:rPr>
                <w:rFonts w:cs="Calibri"/>
                <w:b/>
                <w:bCs/>
                <w:color w:val="000000"/>
                <w:sz w:val="20"/>
                <w:szCs w:val="20"/>
                <w:lang w:eastAsia="en-GB"/>
              </w:rPr>
              <w:t>Unusable Reserves</w:t>
            </w:r>
          </w:p>
        </w:tc>
        <w:tc>
          <w:tcPr>
            <w:tcW w:w="956" w:type="dxa"/>
            <w:tcBorders>
              <w:top w:val="nil"/>
              <w:left w:val="nil"/>
              <w:right w:val="nil"/>
            </w:tcBorders>
            <w:shd w:val="clear" w:color="000000" w:fill="FFFFFF"/>
            <w:vAlign w:val="bottom"/>
          </w:tcPr>
          <w:p w:rsidR="0003552F" w:rsidRPr="00EB2995" w:rsidRDefault="0003552F" w:rsidP="0003552F">
            <w:pPr>
              <w:jc w:val="right"/>
              <w:rPr>
                <w:rFonts w:cs="Calibri"/>
                <w:b/>
                <w:bCs/>
                <w:color w:val="000000"/>
                <w:sz w:val="20"/>
                <w:szCs w:val="20"/>
                <w:lang w:eastAsia="en-GB"/>
              </w:rPr>
            </w:pPr>
            <w:r w:rsidRPr="00EB2995">
              <w:rPr>
                <w:rFonts w:cs="Calibri"/>
                <w:b/>
                <w:bCs/>
                <w:color w:val="000000"/>
                <w:sz w:val="20"/>
                <w:szCs w:val="20"/>
                <w:lang w:eastAsia="en-GB"/>
              </w:rPr>
              <w:t>Total Reserves</w:t>
            </w:r>
          </w:p>
        </w:tc>
      </w:tr>
      <w:tr w:rsidR="0003552F" w:rsidRPr="00EB2995" w:rsidTr="0003552F">
        <w:trPr>
          <w:trHeight w:val="370"/>
        </w:trPr>
        <w:tc>
          <w:tcPr>
            <w:tcW w:w="811" w:type="dxa"/>
            <w:tcBorders>
              <w:top w:val="nil"/>
              <w:left w:val="nil"/>
              <w:bottom w:val="nil"/>
              <w:right w:val="nil"/>
            </w:tcBorders>
            <w:vAlign w:val="bottom"/>
          </w:tcPr>
          <w:p w:rsidR="0003552F" w:rsidRPr="00EB2995" w:rsidRDefault="0003552F" w:rsidP="0003552F">
            <w:pPr>
              <w:rPr>
                <w:rFonts w:cs="Calibri"/>
                <w:color w:val="000000"/>
                <w:lang w:eastAsia="en-GB"/>
              </w:rPr>
            </w:pPr>
          </w:p>
        </w:tc>
        <w:tc>
          <w:tcPr>
            <w:tcW w:w="521" w:type="dxa"/>
            <w:tcBorders>
              <w:top w:val="nil"/>
              <w:left w:val="nil"/>
              <w:bottom w:val="nil"/>
              <w:right w:val="nil"/>
            </w:tcBorders>
            <w:vAlign w:val="bottom"/>
          </w:tcPr>
          <w:p w:rsidR="0003552F" w:rsidRPr="00EB2995" w:rsidRDefault="0003552F" w:rsidP="0003552F">
            <w:pPr>
              <w:rPr>
                <w:rFonts w:cs="Calibri"/>
                <w:color w:val="000000"/>
                <w:lang w:eastAsia="en-GB"/>
              </w:rPr>
            </w:pPr>
          </w:p>
        </w:tc>
        <w:tc>
          <w:tcPr>
            <w:tcW w:w="1707" w:type="dxa"/>
            <w:tcBorders>
              <w:top w:val="nil"/>
              <w:left w:val="nil"/>
              <w:bottom w:val="nil"/>
              <w:right w:val="nil"/>
            </w:tcBorders>
            <w:shd w:val="clear" w:color="000000" w:fill="FFFFFF"/>
            <w:vAlign w:val="center"/>
          </w:tcPr>
          <w:p w:rsidR="0003552F" w:rsidRPr="00EB2995" w:rsidRDefault="0003552F" w:rsidP="0003552F">
            <w:pPr>
              <w:rPr>
                <w:rFonts w:cs="Calibri"/>
                <w:b/>
                <w:bCs/>
                <w:color w:val="000000"/>
                <w:sz w:val="20"/>
                <w:szCs w:val="20"/>
                <w:lang w:eastAsia="en-GB"/>
              </w:rPr>
            </w:pPr>
          </w:p>
        </w:tc>
        <w:tc>
          <w:tcPr>
            <w:tcW w:w="1012" w:type="dxa"/>
            <w:gridSpan w:val="2"/>
            <w:tcBorders>
              <w:top w:val="nil"/>
              <w:left w:val="nil"/>
              <w:bottom w:val="single" w:sz="4" w:space="0" w:color="auto"/>
              <w:right w:val="nil"/>
            </w:tcBorders>
            <w:shd w:val="clear" w:color="000000" w:fill="FFFFFF"/>
            <w:vAlign w:val="bottom"/>
          </w:tcPr>
          <w:p w:rsidR="0003552F" w:rsidRPr="00EB2995" w:rsidRDefault="0003552F" w:rsidP="0003552F">
            <w:pPr>
              <w:jc w:val="right"/>
              <w:rPr>
                <w:rFonts w:cs="Calibri"/>
                <w:b/>
                <w:bCs/>
                <w:color w:val="000000"/>
                <w:sz w:val="20"/>
                <w:szCs w:val="20"/>
                <w:lang w:eastAsia="en-GB"/>
              </w:rPr>
            </w:pPr>
            <w:r w:rsidRPr="00EB2995">
              <w:rPr>
                <w:rFonts w:cs="Calibri"/>
                <w:b/>
                <w:bCs/>
                <w:color w:val="000000"/>
                <w:sz w:val="20"/>
                <w:szCs w:val="20"/>
                <w:lang w:eastAsia="en-GB"/>
              </w:rPr>
              <w:t>£m</w:t>
            </w:r>
          </w:p>
        </w:tc>
        <w:tc>
          <w:tcPr>
            <w:tcW w:w="949" w:type="dxa"/>
            <w:tcBorders>
              <w:top w:val="nil"/>
              <w:left w:val="nil"/>
              <w:bottom w:val="single" w:sz="4" w:space="0" w:color="auto"/>
              <w:right w:val="nil"/>
            </w:tcBorders>
            <w:shd w:val="clear" w:color="000000" w:fill="FFFFFF"/>
            <w:vAlign w:val="bottom"/>
          </w:tcPr>
          <w:p w:rsidR="0003552F" w:rsidRPr="00EB2995" w:rsidRDefault="0003552F" w:rsidP="0003552F">
            <w:pPr>
              <w:jc w:val="right"/>
              <w:rPr>
                <w:rFonts w:cs="Calibri"/>
                <w:b/>
                <w:bCs/>
                <w:color w:val="000000"/>
                <w:sz w:val="20"/>
                <w:szCs w:val="20"/>
                <w:lang w:eastAsia="en-GB"/>
              </w:rPr>
            </w:pPr>
            <w:r w:rsidRPr="00EB2995">
              <w:rPr>
                <w:rFonts w:cs="Calibri"/>
                <w:b/>
                <w:bCs/>
                <w:color w:val="000000"/>
                <w:sz w:val="20"/>
                <w:szCs w:val="20"/>
                <w:lang w:eastAsia="en-GB"/>
              </w:rPr>
              <w:t>£m</w:t>
            </w:r>
          </w:p>
        </w:tc>
        <w:tc>
          <w:tcPr>
            <w:tcW w:w="1120" w:type="dxa"/>
            <w:gridSpan w:val="2"/>
            <w:tcBorders>
              <w:top w:val="nil"/>
              <w:left w:val="nil"/>
              <w:bottom w:val="single" w:sz="4" w:space="0" w:color="auto"/>
              <w:right w:val="nil"/>
            </w:tcBorders>
            <w:shd w:val="clear" w:color="000000" w:fill="FFFFFF"/>
            <w:vAlign w:val="bottom"/>
          </w:tcPr>
          <w:p w:rsidR="0003552F" w:rsidRPr="00EB2995" w:rsidRDefault="0003552F" w:rsidP="0003552F">
            <w:pPr>
              <w:jc w:val="right"/>
              <w:rPr>
                <w:rFonts w:cs="Calibri"/>
                <w:b/>
                <w:bCs/>
                <w:color w:val="000000"/>
                <w:sz w:val="20"/>
                <w:szCs w:val="20"/>
                <w:lang w:eastAsia="en-GB"/>
              </w:rPr>
            </w:pPr>
            <w:r w:rsidRPr="00EB2995">
              <w:rPr>
                <w:rFonts w:cs="Calibri"/>
                <w:b/>
                <w:bCs/>
                <w:color w:val="000000"/>
                <w:sz w:val="20"/>
                <w:szCs w:val="20"/>
                <w:lang w:eastAsia="en-GB"/>
              </w:rPr>
              <w:t>£m</w:t>
            </w:r>
          </w:p>
        </w:tc>
        <w:tc>
          <w:tcPr>
            <w:tcW w:w="926" w:type="dxa"/>
            <w:gridSpan w:val="2"/>
            <w:tcBorders>
              <w:top w:val="nil"/>
              <w:left w:val="nil"/>
              <w:bottom w:val="single" w:sz="4" w:space="0" w:color="auto"/>
              <w:right w:val="nil"/>
            </w:tcBorders>
            <w:shd w:val="clear" w:color="000000" w:fill="FFFFFF"/>
            <w:vAlign w:val="bottom"/>
          </w:tcPr>
          <w:p w:rsidR="0003552F" w:rsidRPr="00EB2995" w:rsidRDefault="0003552F" w:rsidP="0003552F">
            <w:pPr>
              <w:jc w:val="right"/>
              <w:rPr>
                <w:rFonts w:cs="Calibri"/>
                <w:b/>
                <w:bCs/>
                <w:color w:val="000000"/>
                <w:sz w:val="20"/>
                <w:szCs w:val="20"/>
                <w:lang w:eastAsia="en-GB"/>
              </w:rPr>
            </w:pPr>
            <w:r w:rsidRPr="00EB2995">
              <w:rPr>
                <w:rFonts w:cs="Calibri"/>
                <w:b/>
                <w:bCs/>
                <w:color w:val="000000"/>
                <w:sz w:val="20"/>
                <w:szCs w:val="20"/>
                <w:lang w:eastAsia="en-GB"/>
              </w:rPr>
              <w:t>£m</w:t>
            </w:r>
          </w:p>
        </w:tc>
        <w:tc>
          <w:tcPr>
            <w:tcW w:w="1122" w:type="dxa"/>
            <w:gridSpan w:val="2"/>
            <w:tcBorders>
              <w:top w:val="nil"/>
              <w:left w:val="nil"/>
              <w:bottom w:val="single" w:sz="4" w:space="0" w:color="auto"/>
              <w:right w:val="nil"/>
            </w:tcBorders>
            <w:shd w:val="clear" w:color="000000" w:fill="FFFFFF"/>
            <w:vAlign w:val="bottom"/>
          </w:tcPr>
          <w:p w:rsidR="0003552F" w:rsidRPr="00EB2995" w:rsidRDefault="0003552F" w:rsidP="0003552F">
            <w:pPr>
              <w:jc w:val="right"/>
              <w:rPr>
                <w:rFonts w:cs="Calibri"/>
                <w:b/>
                <w:bCs/>
                <w:color w:val="000000"/>
                <w:sz w:val="20"/>
                <w:szCs w:val="20"/>
                <w:lang w:eastAsia="en-GB"/>
              </w:rPr>
            </w:pPr>
            <w:r w:rsidRPr="00EB2995">
              <w:rPr>
                <w:rFonts w:cs="Calibri"/>
                <w:b/>
                <w:bCs/>
                <w:color w:val="000000"/>
                <w:sz w:val="20"/>
                <w:szCs w:val="20"/>
                <w:lang w:eastAsia="en-GB"/>
              </w:rPr>
              <w:t>£m</w:t>
            </w:r>
          </w:p>
        </w:tc>
        <w:tc>
          <w:tcPr>
            <w:tcW w:w="949" w:type="dxa"/>
            <w:gridSpan w:val="2"/>
            <w:tcBorders>
              <w:top w:val="nil"/>
              <w:left w:val="nil"/>
              <w:bottom w:val="single" w:sz="4" w:space="0" w:color="auto"/>
              <w:right w:val="nil"/>
            </w:tcBorders>
            <w:shd w:val="clear" w:color="000000" w:fill="FFFFFF"/>
            <w:vAlign w:val="bottom"/>
          </w:tcPr>
          <w:p w:rsidR="0003552F" w:rsidRPr="00EB2995" w:rsidRDefault="0003552F" w:rsidP="0003552F">
            <w:pPr>
              <w:jc w:val="right"/>
              <w:rPr>
                <w:rFonts w:cs="Calibri"/>
                <w:b/>
                <w:bCs/>
                <w:color w:val="000000"/>
                <w:sz w:val="20"/>
                <w:szCs w:val="20"/>
                <w:lang w:eastAsia="en-GB"/>
              </w:rPr>
            </w:pPr>
            <w:r w:rsidRPr="00EB2995">
              <w:rPr>
                <w:rFonts w:cs="Calibri"/>
                <w:b/>
                <w:bCs/>
                <w:color w:val="000000"/>
                <w:sz w:val="20"/>
                <w:szCs w:val="20"/>
                <w:lang w:eastAsia="en-GB"/>
              </w:rPr>
              <w:t>£m</w:t>
            </w:r>
          </w:p>
        </w:tc>
        <w:tc>
          <w:tcPr>
            <w:tcW w:w="949" w:type="dxa"/>
            <w:gridSpan w:val="2"/>
            <w:tcBorders>
              <w:top w:val="nil"/>
              <w:left w:val="nil"/>
              <w:bottom w:val="single" w:sz="4" w:space="0" w:color="auto"/>
              <w:right w:val="nil"/>
            </w:tcBorders>
            <w:shd w:val="clear" w:color="000000" w:fill="FFFFFF"/>
            <w:vAlign w:val="bottom"/>
          </w:tcPr>
          <w:p w:rsidR="0003552F" w:rsidRPr="00EB2995" w:rsidRDefault="0003552F" w:rsidP="0003552F">
            <w:pPr>
              <w:jc w:val="right"/>
              <w:rPr>
                <w:rFonts w:cs="Calibri"/>
                <w:b/>
                <w:bCs/>
                <w:color w:val="000000"/>
                <w:sz w:val="20"/>
                <w:szCs w:val="20"/>
                <w:lang w:eastAsia="en-GB"/>
              </w:rPr>
            </w:pPr>
            <w:r w:rsidRPr="00EB2995">
              <w:rPr>
                <w:rFonts w:cs="Calibri"/>
                <w:b/>
                <w:bCs/>
                <w:color w:val="000000"/>
                <w:sz w:val="20"/>
                <w:szCs w:val="20"/>
                <w:lang w:eastAsia="en-GB"/>
              </w:rPr>
              <w:t>£m</w:t>
            </w:r>
          </w:p>
        </w:tc>
        <w:tc>
          <w:tcPr>
            <w:tcW w:w="1074" w:type="dxa"/>
            <w:gridSpan w:val="2"/>
            <w:tcBorders>
              <w:top w:val="nil"/>
              <w:left w:val="nil"/>
              <w:bottom w:val="single" w:sz="4" w:space="0" w:color="auto"/>
              <w:right w:val="nil"/>
            </w:tcBorders>
            <w:shd w:val="clear" w:color="000000" w:fill="FFFFFF"/>
            <w:vAlign w:val="bottom"/>
          </w:tcPr>
          <w:p w:rsidR="0003552F" w:rsidRPr="00EB2995" w:rsidRDefault="0003552F" w:rsidP="0003552F">
            <w:pPr>
              <w:jc w:val="right"/>
              <w:rPr>
                <w:rFonts w:cs="Calibri"/>
                <w:b/>
                <w:bCs/>
                <w:color w:val="000000"/>
                <w:sz w:val="20"/>
                <w:szCs w:val="20"/>
                <w:lang w:eastAsia="en-GB"/>
              </w:rPr>
            </w:pPr>
            <w:r w:rsidRPr="00EB2995">
              <w:rPr>
                <w:rFonts w:cs="Calibri"/>
                <w:b/>
                <w:bCs/>
                <w:color w:val="000000"/>
                <w:sz w:val="20"/>
                <w:szCs w:val="20"/>
                <w:lang w:eastAsia="en-GB"/>
              </w:rPr>
              <w:t>£m</w:t>
            </w:r>
          </w:p>
        </w:tc>
        <w:tc>
          <w:tcPr>
            <w:tcW w:w="1152" w:type="dxa"/>
            <w:gridSpan w:val="3"/>
            <w:tcBorders>
              <w:top w:val="nil"/>
              <w:left w:val="nil"/>
              <w:bottom w:val="single" w:sz="4" w:space="0" w:color="auto"/>
              <w:right w:val="nil"/>
            </w:tcBorders>
            <w:shd w:val="clear" w:color="000000" w:fill="FFFFFF"/>
            <w:vAlign w:val="bottom"/>
          </w:tcPr>
          <w:p w:rsidR="0003552F" w:rsidRPr="00EB2995" w:rsidRDefault="0003552F" w:rsidP="0003552F">
            <w:pPr>
              <w:jc w:val="right"/>
              <w:rPr>
                <w:rFonts w:cs="Calibri"/>
                <w:b/>
                <w:bCs/>
                <w:color w:val="000000"/>
                <w:sz w:val="20"/>
                <w:szCs w:val="20"/>
                <w:lang w:eastAsia="en-GB"/>
              </w:rPr>
            </w:pPr>
            <w:r w:rsidRPr="00EB2995">
              <w:rPr>
                <w:rFonts w:cs="Calibri"/>
                <w:b/>
                <w:bCs/>
                <w:color w:val="000000"/>
                <w:sz w:val="20"/>
                <w:szCs w:val="20"/>
                <w:lang w:eastAsia="en-GB"/>
              </w:rPr>
              <w:t>£m</w:t>
            </w:r>
          </w:p>
        </w:tc>
        <w:tc>
          <w:tcPr>
            <w:tcW w:w="1003" w:type="dxa"/>
            <w:gridSpan w:val="2"/>
            <w:tcBorders>
              <w:top w:val="nil"/>
              <w:left w:val="nil"/>
              <w:bottom w:val="single" w:sz="4" w:space="0" w:color="auto"/>
              <w:right w:val="nil"/>
            </w:tcBorders>
            <w:shd w:val="clear" w:color="000000" w:fill="FFFFFF"/>
            <w:vAlign w:val="bottom"/>
          </w:tcPr>
          <w:p w:rsidR="0003552F" w:rsidRPr="00EB2995" w:rsidRDefault="0003552F" w:rsidP="0003552F">
            <w:pPr>
              <w:jc w:val="right"/>
              <w:rPr>
                <w:rFonts w:cs="Calibri"/>
                <w:b/>
                <w:bCs/>
                <w:color w:val="000000"/>
                <w:sz w:val="20"/>
                <w:szCs w:val="20"/>
                <w:lang w:eastAsia="en-GB"/>
              </w:rPr>
            </w:pPr>
            <w:r w:rsidRPr="00EB2995">
              <w:rPr>
                <w:rFonts w:cs="Calibri"/>
                <w:b/>
                <w:bCs/>
                <w:color w:val="000000"/>
                <w:sz w:val="20"/>
                <w:szCs w:val="20"/>
                <w:lang w:eastAsia="en-GB"/>
              </w:rPr>
              <w:t>£m</w:t>
            </w:r>
          </w:p>
        </w:tc>
        <w:tc>
          <w:tcPr>
            <w:tcW w:w="956" w:type="dxa"/>
            <w:tcBorders>
              <w:top w:val="nil"/>
              <w:left w:val="nil"/>
              <w:bottom w:val="single" w:sz="4" w:space="0" w:color="auto"/>
              <w:right w:val="nil"/>
            </w:tcBorders>
            <w:shd w:val="clear" w:color="000000" w:fill="FFFFFF"/>
            <w:vAlign w:val="bottom"/>
          </w:tcPr>
          <w:p w:rsidR="0003552F" w:rsidRPr="00EB2995" w:rsidRDefault="0003552F" w:rsidP="0003552F">
            <w:pPr>
              <w:jc w:val="right"/>
              <w:rPr>
                <w:rFonts w:cs="Calibri"/>
                <w:b/>
                <w:bCs/>
                <w:color w:val="000000"/>
                <w:sz w:val="20"/>
                <w:szCs w:val="20"/>
                <w:lang w:eastAsia="en-GB"/>
              </w:rPr>
            </w:pPr>
            <w:r w:rsidRPr="00EB2995">
              <w:rPr>
                <w:rFonts w:cs="Calibri"/>
                <w:b/>
                <w:bCs/>
                <w:color w:val="000000"/>
                <w:sz w:val="20"/>
                <w:szCs w:val="20"/>
                <w:lang w:eastAsia="en-GB"/>
              </w:rPr>
              <w:t>£m</w:t>
            </w:r>
          </w:p>
        </w:tc>
      </w:tr>
      <w:tr w:rsidR="0003552F" w:rsidRPr="00EB2995" w:rsidTr="0003552F">
        <w:trPr>
          <w:trHeight w:val="300"/>
        </w:trPr>
        <w:tc>
          <w:tcPr>
            <w:tcW w:w="3039" w:type="dxa"/>
            <w:gridSpan w:val="3"/>
            <w:tcBorders>
              <w:top w:val="nil"/>
              <w:left w:val="nil"/>
              <w:bottom w:val="nil"/>
              <w:right w:val="single" w:sz="8" w:space="0" w:color="000000"/>
            </w:tcBorders>
            <w:shd w:val="clear" w:color="000000" w:fill="FFFFFF"/>
            <w:vAlign w:val="center"/>
          </w:tcPr>
          <w:p w:rsidR="0003552F" w:rsidRPr="00EB2995" w:rsidRDefault="0003552F" w:rsidP="0003552F">
            <w:pPr>
              <w:rPr>
                <w:rFonts w:cs="Calibri"/>
                <w:b/>
                <w:bCs/>
                <w:color w:val="000000"/>
                <w:sz w:val="20"/>
                <w:szCs w:val="20"/>
                <w:lang w:eastAsia="en-GB"/>
              </w:rPr>
            </w:pPr>
            <w:r w:rsidRPr="00EB2995">
              <w:rPr>
                <w:rFonts w:cs="Calibri"/>
                <w:b/>
                <w:bCs/>
                <w:color w:val="000000"/>
                <w:sz w:val="20"/>
                <w:szCs w:val="20"/>
                <w:lang w:eastAsia="en-GB"/>
              </w:rPr>
              <w:t>Balance as at 31 March 2019</w:t>
            </w:r>
          </w:p>
        </w:tc>
        <w:tc>
          <w:tcPr>
            <w:tcW w:w="980" w:type="dxa"/>
            <w:tcBorders>
              <w:top w:val="nil"/>
              <w:left w:val="nil"/>
              <w:bottom w:val="nil"/>
              <w:right w:val="nil"/>
            </w:tcBorders>
            <w:shd w:val="clear" w:color="000000" w:fill="FFFFFF"/>
            <w:noWrap/>
            <w:vAlign w:val="center"/>
          </w:tcPr>
          <w:p w:rsidR="0003552F" w:rsidRPr="00EB2995" w:rsidRDefault="0003552F" w:rsidP="0003552F">
            <w:pPr>
              <w:jc w:val="right"/>
              <w:rPr>
                <w:rFonts w:cs="Calibri"/>
                <w:b/>
                <w:bCs/>
                <w:color w:val="000000"/>
                <w:sz w:val="20"/>
                <w:szCs w:val="20"/>
                <w:lang w:eastAsia="en-GB"/>
              </w:rPr>
            </w:pPr>
            <w:r>
              <w:rPr>
                <w:rFonts w:cs="Calibri"/>
                <w:b/>
                <w:bCs/>
                <w:color w:val="000000"/>
                <w:sz w:val="20"/>
                <w:szCs w:val="20"/>
              </w:rPr>
              <w:t>(15.1)</w:t>
            </w:r>
          </w:p>
        </w:tc>
        <w:tc>
          <w:tcPr>
            <w:tcW w:w="1024" w:type="dxa"/>
            <w:gridSpan w:val="3"/>
            <w:tcBorders>
              <w:top w:val="nil"/>
              <w:left w:val="nil"/>
              <w:bottom w:val="nil"/>
              <w:right w:val="nil"/>
            </w:tcBorders>
            <w:shd w:val="clear" w:color="000000" w:fill="FFFFFF"/>
            <w:vAlign w:val="center"/>
          </w:tcPr>
          <w:p w:rsidR="0003552F" w:rsidRPr="00EB2995" w:rsidRDefault="0003552F" w:rsidP="0003552F">
            <w:pPr>
              <w:jc w:val="right"/>
              <w:rPr>
                <w:rFonts w:cs="Calibri"/>
                <w:b/>
                <w:bCs/>
                <w:color w:val="000000"/>
                <w:sz w:val="20"/>
                <w:szCs w:val="20"/>
                <w:lang w:eastAsia="en-GB"/>
              </w:rPr>
            </w:pPr>
            <w:r>
              <w:rPr>
                <w:rFonts w:cs="Calibri"/>
                <w:b/>
                <w:bCs/>
                <w:color w:val="000000"/>
                <w:sz w:val="20"/>
                <w:szCs w:val="20"/>
              </w:rPr>
              <w:t>(18.6)</w:t>
            </w:r>
          </w:p>
        </w:tc>
        <w:tc>
          <w:tcPr>
            <w:tcW w:w="1120" w:type="dxa"/>
            <w:gridSpan w:val="2"/>
            <w:tcBorders>
              <w:top w:val="nil"/>
              <w:left w:val="nil"/>
              <w:bottom w:val="nil"/>
              <w:right w:val="nil"/>
            </w:tcBorders>
            <w:shd w:val="clear" w:color="000000" w:fill="FFFFFF"/>
            <w:noWrap/>
            <w:vAlign w:val="center"/>
          </w:tcPr>
          <w:p w:rsidR="0003552F" w:rsidRPr="00EB2995" w:rsidRDefault="0003552F" w:rsidP="0003552F">
            <w:pPr>
              <w:jc w:val="right"/>
              <w:rPr>
                <w:rFonts w:cs="Calibri"/>
                <w:b/>
                <w:bCs/>
                <w:color w:val="000000"/>
                <w:sz w:val="20"/>
                <w:szCs w:val="20"/>
                <w:lang w:eastAsia="en-GB"/>
              </w:rPr>
            </w:pPr>
            <w:r>
              <w:rPr>
                <w:rFonts w:cs="Calibri"/>
                <w:b/>
                <w:bCs/>
                <w:color w:val="000000"/>
                <w:sz w:val="20"/>
                <w:szCs w:val="20"/>
              </w:rPr>
              <w:t>(233.8)</w:t>
            </w:r>
          </w:p>
        </w:tc>
        <w:tc>
          <w:tcPr>
            <w:tcW w:w="980" w:type="dxa"/>
            <w:gridSpan w:val="2"/>
            <w:tcBorders>
              <w:top w:val="nil"/>
              <w:left w:val="nil"/>
              <w:bottom w:val="nil"/>
              <w:right w:val="nil"/>
            </w:tcBorders>
            <w:shd w:val="clear" w:color="000000" w:fill="FFFFFF"/>
            <w:noWrap/>
            <w:vAlign w:val="center"/>
          </w:tcPr>
          <w:p w:rsidR="0003552F" w:rsidRPr="00EB2995" w:rsidRDefault="0003552F" w:rsidP="0003552F">
            <w:pPr>
              <w:jc w:val="right"/>
              <w:rPr>
                <w:rFonts w:cs="Calibri"/>
                <w:b/>
                <w:bCs/>
                <w:color w:val="000000"/>
                <w:sz w:val="20"/>
                <w:szCs w:val="20"/>
                <w:lang w:eastAsia="en-GB"/>
              </w:rPr>
            </w:pPr>
            <w:r>
              <w:rPr>
                <w:rFonts w:cs="Calibri"/>
                <w:b/>
                <w:bCs/>
                <w:color w:val="000000"/>
                <w:sz w:val="20"/>
                <w:szCs w:val="20"/>
              </w:rPr>
              <w:t>(1.4)</w:t>
            </w:r>
          </w:p>
        </w:tc>
        <w:tc>
          <w:tcPr>
            <w:tcW w:w="1120" w:type="dxa"/>
            <w:gridSpan w:val="2"/>
            <w:tcBorders>
              <w:top w:val="nil"/>
              <w:left w:val="nil"/>
              <w:bottom w:val="nil"/>
              <w:right w:val="nil"/>
            </w:tcBorders>
            <w:shd w:val="clear" w:color="000000" w:fill="FFFFFF"/>
            <w:noWrap/>
            <w:vAlign w:val="center"/>
          </w:tcPr>
          <w:p w:rsidR="0003552F" w:rsidRPr="00EB2995" w:rsidRDefault="0003552F" w:rsidP="0003552F">
            <w:pPr>
              <w:jc w:val="right"/>
              <w:rPr>
                <w:rFonts w:cs="Calibri"/>
                <w:b/>
                <w:bCs/>
                <w:color w:val="000000"/>
                <w:sz w:val="20"/>
                <w:szCs w:val="20"/>
                <w:lang w:eastAsia="en-GB"/>
              </w:rPr>
            </w:pPr>
            <w:r>
              <w:rPr>
                <w:rFonts w:cs="Calibri"/>
                <w:b/>
                <w:bCs/>
                <w:color w:val="000000"/>
                <w:sz w:val="20"/>
                <w:szCs w:val="20"/>
              </w:rPr>
              <w:t>(1.7)</w:t>
            </w:r>
          </w:p>
        </w:tc>
        <w:tc>
          <w:tcPr>
            <w:tcW w:w="960" w:type="dxa"/>
            <w:gridSpan w:val="2"/>
            <w:tcBorders>
              <w:top w:val="nil"/>
              <w:left w:val="nil"/>
              <w:bottom w:val="nil"/>
              <w:right w:val="nil"/>
            </w:tcBorders>
            <w:shd w:val="clear" w:color="000000" w:fill="FFFFFF"/>
            <w:noWrap/>
            <w:vAlign w:val="center"/>
          </w:tcPr>
          <w:p w:rsidR="0003552F" w:rsidRPr="00EB2995" w:rsidRDefault="0003552F" w:rsidP="0003552F">
            <w:pPr>
              <w:jc w:val="right"/>
              <w:rPr>
                <w:rFonts w:cs="Calibri"/>
                <w:b/>
                <w:bCs/>
                <w:color w:val="000000"/>
                <w:sz w:val="20"/>
                <w:szCs w:val="20"/>
                <w:lang w:eastAsia="en-GB"/>
              </w:rPr>
            </w:pPr>
            <w:r>
              <w:rPr>
                <w:rFonts w:cs="Calibri"/>
                <w:b/>
                <w:bCs/>
                <w:color w:val="000000"/>
                <w:sz w:val="20"/>
                <w:szCs w:val="20"/>
              </w:rPr>
              <w:t>(25.4)</w:t>
            </w:r>
          </w:p>
        </w:tc>
        <w:tc>
          <w:tcPr>
            <w:tcW w:w="960" w:type="dxa"/>
            <w:gridSpan w:val="2"/>
            <w:tcBorders>
              <w:top w:val="nil"/>
              <w:left w:val="nil"/>
              <w:bottom w:val="nil"/>
              <w:right w:val="nil"/>
            </w:tcBorders>
            <w:shd w:val="clear" w:color="000000" w:fill="FFFFFF"/>
            <w:noWrap/>
            <w:vAlign w:val="center"/>
          </w:tcPr>
          <w:p w:rsidR="0003552F" w:rsidRPr="00EB2995" w:rsidRDefault="0003552F" w:rsidP="0003552F">
            <w:pPr>
              <w:jc w:val="right"/>
              <w:rPr>
                <w:rFonts w:cs="Calibri"/>
                <w:b/>
                <w:bCs/>
                <w:color w:val="000000"/>
                <w:sz w:val="20"/>
                <w:szCs w:val="20"/>
                <w:lang w:eastAsia="en-GB"/>
              </w:rPr>
            </w:pPr>
            <w:r>
              <w:rPr>
                <w:rFonts w:cs="Calibri"/>
                <w:b/>
                <w:bCs/>
                <w:color w:val="000000"/>
                <w:sz w:val="20"/>
                <w:szCs w:val="20"/>
              </w:rPr>
              <w:t>0.0</w:t>
            </w:r>
          </w:p>
        </w:tc>
        <w:tc>
          <w:tcPr>
            <w:tcW w:w="1074" w:type="dxa"/>
            <w:gridSpan w:val="2"/>
            <w:tcBorders>
              <w:top w:val="nil"/>
              <w:left w:val="nil"/>
              <w:bottom w:val="nil"/>
              <w:right w:val="nil"/>
            </w:tcBorders>
            <w:shd w:val="clear" w:color="000000" w:fill="FFFFFF"/>
            <w:noWrap/>
            <w:vAlign w:val="center"/>
          </w:tcPr>
          <w:p w:rsidR="0003552F" w:rsidRPr="00EB2995" w:rsidRDefault="0003552F" w:rsidP="0003552F">
            <w:pPr>
              <w:jc w:val="right"/>
              <w:rPr>
                <w:rFonts w:cs="Calibri"/>
                <w:b/>
                <w:bCs/>
                <w:color w:val="000000"/>
                <w:sz w:val="20"/>
                <w:szCs w:val="20"/>
                <w:lang w:eastAsia="en-GB"/>
              </w:rPr>
            </w:pPr>
            <w:r>
              <w:rPr>
                <w:rFonts w:cs="Calibri"/>
                <w:b/>
                <w:bCs/>
                <w:color w:val="000000"/>
                <w:sz w:val="20"/>
                <w:szCs w:val="20"/>
              </w:rPr>
              <w:t>(72.4)</w:t>
            </w:r>
          </w:p>
        </w:tc>
        <w:tc>
          <w:tcPr>
            <w:tcW w:w="960" w:type="dxa"/>
            <w:tcBorders>
              <w:top w:val="nil"/>
              <w:left w:val="nil"/>
              <w:bottom w:val="nil"/>
              <w:right w:val="nil"/>
            </w:tcBorders>
            <w:shd w:val="clear" w:color="000000" w:fill="FFFFFF"/>
            <w:noWrap/>
            <w:vAlign w:val="center"/>
          </w:tcPr>
          <w:p w:rsidR="0003552F" w:rsidRPr="00EB2995" w:rsidRDefault="0003552F" w:rsidP="0003552F">
            <w:pPr>
              <w:jc w:val="right"/>
              <w:rPr>
                <w:rFonts w:cs="Calibri"/>
                <w:b/>
                <w:bCs/>
                <w:color w:val="000000"/>
                <w:sz w:val="20"/>
                <w:szCs w:val="20"/>
                <w:lang w:eastAsia="en-GB"/>
              </w:rPr>
            </w:pPr>
            <w:r>
              <w:rPr>
                <w:rFonts w:cs="Calibri"/>
                <w:b/>
                <w:bCs/>
                <w:color w:val="000000"/>
                <w:sz w:val="20"/>
                <w:szCs w:val="20"/>
              </w:rPr>
              <w:t>(368.4)</w:t>
            </w:r>
          </w:p>
        </w:tc>
        <w:tc>
          <w:tcPr>
            <w:tcW w:w="997" w:type="dxa"/>
            <w:gridSpan w:val="2"/>
            <w:tcBorders>
              <w:top w:val="nil"/>
              <w:left w:val="nil"/>
              <w:bottom w:val="nil"/>
              <w:right w:val="nil"/>
            </w:tcBorders>
            <w:shd w:val="clear" w:color="000000" w:fill="FFFFFF"/>
            <w:noWrap/>
            <w:vAlign w:val="center"/>
          </w:tcPr>
          <w:p w:rsidR="0003552F" w:rsidRPr="00EB2995" w:rsidRDefault="0003552F" w:rsidP="0003552F">
            <w:pPr>
              <w:jc w:val="right"/>
              <w:rPr>
                <w:rFonts w:cs="Calibri"/>
                <w:b/>
                <w:bCs/>
                <w:color w:val="000000"/>
                <w:sz w:val="20"/>
                <w:szCs w:val="20"/>
                <w:lang w:eastAsia="en-GB"/>
              </w:rPr>
            </w:pPr>
            <w:r>
              <w:rPr>
                <w:rFonts w:cs="Calibri"/>
                <w:b/>
                <w:bCs/>
                <w:color w:val="000000"/>
                <w:sz w:val="20"/>
                <w:szCs w:val="20"/>
              </w:rPr>
              <w:t>(124.9)</w:t>
            </w:r>
          </w:p>
        </w:tc>
        <w:tc>
          <w:tcPr>
            <w:tcW w:w="1037" w:type="dxa"/>
            <w:gridSpan w:val="2"/>
            <w:tcBorders>
              <w:top w:val="nil"/>
              <w:left w:val="nil"/>
              <w:bottom w:val="nil"/>
              <w:right w:val="single" w:sz="8" w:space="0" w:color="auto"/>
            </w:tcBorders>
            <w:shd w:val="clear" w:color="000000" w:fill="FFFFFF"/>
            <w:noWrap/>
            <w:vAlign w:val="center"/>
          </w:tcPr>
          <w:p w:rsidR="0003552F" w:rsidRPr="00EB2995" w:rsidRDefault="0003552F" w:rsidP="0003552F">
            <w:pPr>
              <w:jc w:val="right"/>
              <w:rPr>
                <w:rFonts w:cs="Calibri"/>
                <w:b/>
                <w:bCs/>
                <w:color w:val="000000"/>
                <w:sz w:val="20"/>
                <w:szCs w:val="20"/>
                <w:lang w:eastAsia="en-GB"/>
              </w:rPr>
            </w:pPr>
            <w:r>
              <w:rPr>
                <w:rFonts w:cs="Calibri"/>
                <w:b/>
                <w:bCs/>
                <w:color w:val="000000"/>
                <w:sz w:val="20"/>
                <w:szCs w:val="20"/>
              </w:rPr>
              <w:t>(493.3)</w:t>
            </w:r>
          </w:p>
        </w:tc>
      </w:tr>
      <w:tr w:rsidR="0003552F" w:rsidRPr="00EB2995" w:rsidTr="0003552F">
        <w:trPr>
          <w:trHeight w:val="300"/>
        </w:trPr>
        <w:tc>
          <w:tcPr>
            <w:tcW w:w="3039" w:type="dxa"/>
            <w:gridSpan w:val="3"/>
            <w:tcBorders>
              <w:top w:val="nil"/>
              <w:left w:val="nil"/>
              <w:bottom w:val="nil"/>
              <w:right w:val="single" w:sz="8" w:space="0" w:color="000000"/>
            </w:tcBorders>
            <w:shd w:val="clear" w:color="000000" w:fill="FFFFFF"/>
            <w:vAlign w:val="center"/>
          </w:tcPr>
          <w:p w:rsidR="0003552F" w:rsidRPr="00EB2995" w:rsidRDefault="0003552F" w:rsidP="0003552F">
            <w:pPr>
              <w:rPr>
                <w:rFonts w:cs="Calibri"/>
                <w:b/>
                <w:bCs/>
                <w:color w:val="000000"/>
                <w:sz w:val="20"/>
                <w:szCs w:val="20"/>
                <w:lang w:eastAsia="en-GB"/>
              </w:rPr>
            </w:pPr>
            <w:r w:rsidRPr="00EB2995">
              <w:rPr>
                <w:rFonts w:cs="Calibri"/>
                <w:b/>
                <w:bCs/>
                <w:color w:val="000000"/>
                <w:sz w:val="20"/>
                <w:szCs w:val="20"/>
                <w:lang w:eastAsia="en-GB"/>
              </w:rPr>
              <w:t>Movement in reserves during 2019/20</w:t>
            </w:r>
          </w:p>
        </w:tc>
        <w:tc>
          <w:tcPr>
            <w:tcW w:w="980" w:type="dxa"/>
            <w:tcBorders>
              <w:top w:val="nil"/>
              <w:left w:val="nil"/>
              <w:bottom w:val="nil"/>
              <w:right w:val="nil"/>
            </w:tcBorders>
            <w:shd w:val="clear" w:color="000000" w:fill="FFFFFF"/>
            <w:noWrap/>
            <w:vAlign w:val="center"/>
          </w:tcPr>
          <w:p w:rsidR="0003552F" w:rsidRPr="00EB2995" w:rsidRDefault="0003552F" w:rsidP="0003552F">
            <w:pPr>
              <w:jc w:val="right"/>
              <w:rPr>
                <w:rFonts w:cs="Calibri"/>
                <w:color w:val="FF0000"/>
                <w:sz w:val="20"/>
                <w:szCs w:val="20"/>
                <w:lang w:eastAsia="en-GB"/>
              </w:rPr>
            </w:pPr>
            <w:r>
              <w:rPr>
                <w:rFonts w:cs="Calibri"/>
                <w:b/>
                <w:bCs/>
                <w:color w:val="000000"/>
                <w:sz w:val="20"/>
                <w:szCs w:val="20"/>
              </w:rPr>
              <w:t> </w:t>
            </w:r>
          </w:p>
        </w:tc>
        <w:tc>
          <w:tcPr>
            <w:tcW w:w="1024" w:type="dxa"/>
            <w:gridSpan w:val="3"/>
            <w:tcBorders>
              <w:top w:val="nil"/>
              <w:left w:val="nil"/>
              <w:bottom w:val="nil"/>
              <w:right w:val="nil"/>
            </w:tcBorders>
            <w:shd w:val="clear" w:color="000000" w:fill="FFFFFF"/>
            <w:vAlign w:val="center"/>
          </w:tcPr>
          <w:p w:rsidR="0003552F" w:rsidRPr="00EB2995" w:rsidRDefault="0003552F" w:rsidP="0003552F">
            <w:pPr>
              <w:jc w:val="right"/>
              <w:rPr>
                <w:rFonts w:cs="Calibri"/>
                <w:color w:val="000000"/>
                <w:sz w:val="20"/>
                <w:szCs w:val="20"/>
                <w:lang w:eastAsia="en-GB"/>
              </w:rPr>
            </w:pPr>
            <w:r>
              <w:rPr>
                <w:rFonts w:cs="Calibri"/>
                <w:color w:val="000000"/>
                <w:sz w:val="20"/>
                <w:szCs w:val="20"/>
              </w:rPr>
              <w:t> </w:t>
            </w:r>
          </w:p>
        </w:tc>
        <w:tc>
          <w:tcPr>
            <w:tcW w:w="1120" w:type="dxa"/>
            <w:gridSpan w:val="2"/>
            <w:tcBorders>
              <w:top w:val="nil"/>
              <w:left w:val="nil"/>
              <w:bottom w:val="nil"/>
              <w:right w:val="nil"/>
            </w:tcBorders>
            <w:shd w:val="clear" w:color="000000" w:fill="FFFFFF"/>
            <w:noWrap/>
            <w:vAlign w:val="center"/>
          </w:tcPr>
          <w:p w:rsidR="0003552F" w:rsidRPr="00EB2995" w:rsidRDefault="0003552F" w:rsidP="0003552F">
            <w:pPr>
              <w:jc w:val="right"/>
              <w:rPr>
                <w:rFonts w:cs="Calibri"/>
                <w:color w:val="000000"/>
                <w:sz w:val="20"/>
                <w:szCs w:val="20"/>
                <w:lang w:eastAsia="en-GB"/>
              </w:rPr>
            </w:pPr>
            <w:r>
              <w:rPr>
                <w:rFonts w:cs="Calibri"/>
                <w:color w:val="000000"/>
                <w:sz w:val="20"/>
                <w:szCs w:val="20"/>
              </w:rPr>
              <w:t> </w:t>
            </w:r>
          </w:p>
        </w:tc>
        <w:tc>
          <w:tcPr>
            <w:tcW w:w="980" w:type="dxa"/>
            <w:gridSpan w:val="2"/>
            <w:tcBorders>
              <w:top w:val="nil"/>
              <w:left w:val="nil"/>
              <w:bottom w:val="nil"/>
              <w:right w:val="nil"/>
            </w:tcBorders>
            <w:shd w:val="clear" w:color="000000" w:fill="FFFFFF"/>
            <w:noWrap/>
            <w:vAlign w:val="center"/>
          </w:tcPr>
          <w:p w:rsidR="0003552F" w:rsidRPr="00EB2995" w:rsidRDefault="0003552F" w:rsidP="0003552F">
            <w:pPr>
              <w:jc w:val="right"/>
              <w:rPr>
                <w:rFonts w:cs="Calibri"/>
                <w:color w:val="000000"/>
                <w:sz w:val="20"/>
                <w:szCs w:val="20"/>
                <w:lang w:eastAsia="en-GB"/>
              </w:rPr>
            </w:pPr>
            <w:r>
              <w:rPr>
                <w:rFonts w:cs="Calibri"/>
                <w:color w:val="000000"/>
                <w:sz w:val="20"/>
                <w:szCs w:val="20"/>
              </w:rPr>
              <w:t> </w:t>
            </w:r>
          </w:p>
        </w:tc>
        <w:tc>
          <w:tcPr>
            <w:tcW w:w="1120" w:type="dxa"/>
            <w:gridSpan w:val="2"/>
            <w:tcBorders>
              <w:top w:val="nil"/>
              <w:left w:val="nil"/>
              <w:bottom w:val="nil"/>
              <w:right w:val="nil"/>
            </w:tcBorders>
            <w:shd w:val="clear" w:color="000000" w:fill="FFFFFF"/>
            <w:noWrap/>
            <w:vAlign w:val="center"/>
          </w:tcPr>
          <w:p w:rsidR="0003552F" w:rsidRPr="00EB2995" w:rsidRDefault="0003552F" w:rsidP="0003552F">
            <w:pPr>
              <w:jc w:val="right"/>
              <w:rPr>
                <w:rFonts w:cs="Calibri"/>
                <w:color w:val="000000"/>
                <w:sz w:val="20"/>
                <w:szCs w:val="20"/>
                <w:lang w:eastAsia="en-GB"/>
              </w:rPr>
            </w:pPr>
            <w:r>
              <w:rPr>
                <w:rFonts w:cs="Calibri"/>
                <w:color w:val="000000"/>
                <w:sz w:val="20"/>
                <w:szCs w:val="20"/>
              </w:rPr>
              <w:t> </w:t>
            </w:r>
          </w:p>
        </w:tc>
        <w:tc>
          <w:tcPr>
            <w:tcW w:w="960" w:type="dxa"/>
            <w:gridSpan w:val="2"/>
            <w:tcBorders>
              <w:top w:val="nil"/>
              <w:left w:val="nil"/>
              <w:bottom w:val="nil"/>
              <w:right w:val="nil"/>
            </w:tcBorders>
            <w:shd w:val="clear" w:color="000000" w:fill="FFFFFF"/>
            <w:noWrap/>
            <w:vAlign w:val="center"/>
          </w:tcPr>
          <w:p w:rsidR="0003552F" w:rsidRPr="00EB2995" w:rsidRDefault="0003552F" w:rsidP="0003552F">
            <w:pPr>
              <w:jc w:val="right"/>
              <w:rPr>
                <w:rFonts w:cs="Calibri"/>
                <w:color w:val="000000"/>
                <w:sz w:val="20"/>
                <w:szCs w:val="20"/>
                <w:lang w:eastAsia="en-GB"/>
              </w:rPr>
            </w:pPr>
            <w:r>
              <w:rPr>
                <w:rFonts w:cs="Calibri"/>
                <w:color w:val="000000"/>
                <w:sz w:val="20"/>
                <w:szCs w:val="20"/>
              </w:rPr>
              <w:t> </w:t>
            </w:r>
          </w:p>
        </w:tc>
        <w:tc>
          <w:tcPr>
            <w:tcW w:w="960" w:type="dxa"/>
            <w:gridSpan w:val="2"/>
            <w:tcBorders>
              <w:top w:val="nil"/>
              <w:left w:val="nil"/>
              <w:bottom w:val="nil"/>
              <w:right w:val="nil"/>
            </w:tcBorders>
            <w:shd w:val="clear" w:color="000000" w:fill="FFFFFF"/>
            <w:noWrap/>
            <w:vAlign w:val="center"/>
          </w:tcPr>
          <w:p w:rsidR="0003552F" w:rsidRPr="00EB2995" w:rsidRDefault="0003552F" w:rsidP="0003552F">
            <w:pPr>
              <w:jc w:val="right"/>
              <w:rPr>
                <w:rFonts w:cs="Calibri"/>
                <w:color w:val="000000"/>
                <w:sz w:val="20"/>
                <w:szCs w:val="20"/>
                <w:lang w:eastAsia="en-GB"/>
              </w:rPr>
            </w:pPr>
            <w:r>
              <w:rPr>
                <w:rFonts w:cs="Calibri"/>
                <w:color w:val="000000"/>
                <w:sz w:val="20"/>
                <w:szCs w:val="20"/>
              </w:rPr>
              <w:t> </w:t>
            </w:r>
          </w:p>
        </w:tc>
        <w:tc>
          <w:tcPr>
            <w:tcW w:w="1074" w:type="dxa"/>
            <w:gridSpan w:val="2"/>
            <w:tcBorders>
              <w:top w:val="nil"/>
              <w:left w:val="nil"/>
              <w:bottom w:val="nil"/>
              <w:right w:val="nil"/>
            </w:tcBorders>
            <w:shd w:val="clear" w:color="000000" w:fill="FFFFFF"/>
            <w:noWrap/>
            <w:vAlign w:val="center"/>
          </w:tcPr>
          <w:p w:rsidR="0003552F" w:rsidRPr="00EB2995" w:rsidRDefault="0003552F" w:rsidP="0003552F">
            <w:pPr>
              <w:jc w:val="right"/>
              <w:rPr>
                <w:rFonts w:cs="Calibri"/>
                <w:color w:val="000000"/>
                <w:sz w:val="20"/>
                <w:szCs w:val="20"/>
                <w:lang w:eastAsia="en-GB"/>
              </w:rPr>
            </w:pPr>
            <w:r>
              <w:rPr>
                <w:rFonts w:cs="Calibri"/>
                <w:color w:val="000000"/>
                <w:sz w:val="20"/>
                <w:szCs w:val="20"/>
              </w:rPr>
              <w:t> </w:t>
            </w:r>
          </w:p>
        </w:tc>
        <w:tc>
          <w:tcPr>
            <w:tcW w:w="960" w:type="dxa"/>
            <w:tcBorders>
              <w:top w:val="nil"/>
              <w:left w:val="nil"/>
              <w:bottom w:val="nil"/>
              <w:right w:val="nil"/>
            </w:tcBorders>
            <w:shd w:val="clear" w:color="000000" w:fill="FFFFFF"/>
            <w:noWrap/>
            <w:vAlign w:val="center"/>
          </w:tcPr>
          <w:p w:rsidR="0003552F" w:rsidRPr="00EB2995" w:rsidRDefault="0003552F" w:rsidP="0003552F">
            <w:pPr>
              <w:jc w:val="right"/>
              <w:rPr>
                <w:rFonts w:cs="Calibri"/>
                <w:b/>
                <w:bCs/>
                <w:color w:val="000000"/>
                <w:sz w:val="20"/>
                <w:szCs w:val="20"/>
                <w:lang w:eastAsia="en-GB"/>
              </w:rPr>
            </w:pPr>
            <w:r>
              <w:rPr>
                <w:rFonts w:cs="Calibri"/>
                <w:color w:val="000000"/>
                <w:sz w:val="20"/>
                <w:szCs w:val="20"/>
              </w:rPr>
              <w:t> </w:t>
            </w:r>
          </w:p>
        </w:tc>
        <w:tc>
          <w:tcPr>
            <w:tcW w:w="997" w:type="dxa"/>
            <w:gridSpan w:val="2"/>
            <w:tcBorders>
              <w:top w:val="nil"/>
              <w:left w:val="nil"/>
              <w:bottom w:val="nil"/>
              <w:right w:val="nil"/>
            </w:tcBorders>
            <w:shd w:val="clear" w:color="000000" w:fill="FFFFFF"/>
            <w:noWrap/>
            <w:vAlign w:val="center"/>
          </w:tcPr>
          <w:p w:rsidR="0003552F" w:rsidRPr="00EB2995" w:rsidRDefault="0003552F" w:rsidP="0003552F">
            <w:pPr>
              <w:jc w:val="right"/>
              <w:rPr>
                <w:rFonts w:cs="Calibri"/>
                <w:color w:val="000000"/>
                <w:sz w:val="20"/>
                <w:szCs w:val="20"/>
                <w:lang w:eastAsia="en-GB"/>
              </w:rPr>
            </w:pPr>
            <w:r>
              <w:rPr>
                <w:rFonts w:cs="Calibri"/>
                <w:color w:val="000000"/>
                <w:sz w:val="20"/>
                <w:szCs w:val="20"/>
              </w:rPr>
              <w:t> </w:t>
            </w:r>
          </w:p>
        </w:tc>
        <w:tc>
          <w:tcPr>
            <w:tcW w:w="1037" w:type="dxa"/>
            <w:gridSpan w:val="2"/>
            <w:tcBorders>
              <w:top w:val="nil"/>
              <w:left w:val="nil"/>
              <w:bottom w:val="nil"/>
              <w:right w:val="single" w:sz="8" w:space="0" w:color="auto"/>
            </w:tcBorders>
            <w:shd w:val="clear" w:color="000000" w:fill="FFFFFF"/>
            <w:noWrap/>
            <w:vAlign w:val="center"/>
          </w:tcPr>
          <w:p w:rsidR="0003552F" w:rsidRPr="00EB2995" w:rsidRDefault="0003552F" w:rsidP="0003552F">
            <w:pPr>
              <w:jc w:val="right"/>
              <w:rPr>
                <w:rFonts w:cs="Calibri"/>
                <w:b/>
                <w:bCs/>
                <w:color w:val="FF0000"/>
                <w:sz w:val="20"/>
                <w:szCs w:val="20"/>
                <w:lang w:eastAsia="en-GB"/>
              </w:rPr>
            </w:pPr>
            <w:r>
              <w:rPr>
                <w:rFonts w:cs="Calibri"/>
                <w:b/>
                <w:bCs/>
                <w:color w:val="FF0000"/>
                <w:sz w:val="20"/>
                <w:szCs w:val="20"/>
              </w:rPr>
              <w:t> </w:t>
            </w:r>
          </w:p>
        </w:tc>
      </w:tr>
      <w:tr w:rsidR="0003552F" w:rsidRPr="00EB2995" w:rsidTr="0003552F">
        <w:trPr>
          <w:trHeight w:val="570"/>
        </w:trPr>
        <w:tc>
          <w:tcPr>
            <w:tcW w:w="3039" w:type="dxa"/>
            <w:gridSpan w:val="3"/>
            <w:tcBorders>
              <w:top w:val="nil"/>
              <w:left w:val="nil"/>
              <w:bottom w:val="nil"/>
              <w:right w:val="single" w:sz="8" w:space="0" w:color="000000"/>
            </w:tcBorders>
            <w:shd w:val="clear" w:color="000000" w:fill="FFFFFF"/>
            <w:vAlign w:val="center"/>
          </w:tcPr>
          <w:p w:rsidR="0003552F" w:rsidRPr="00EB2995" w:rsidRDefault="0003552F" w:rsidP="0003552F">
            <w:pPr>
              <w:rPr>
                <w:rFonts w:cs="Calibri"/>
                <w:color w:val="000000"/>
                <w:sz w:val="20"/>
                <w:szCs w:val="20"/>
                <w:lang w:eastAsia="en-GB"/>
              </w:rPr>
            </w:pPr>
            <w:r w:rsidRPr="00EB2995">
              <w:rPr>
                <w:rFonts w:cs="Calibri"/>
                <w:color w:val="000000"/>
                <w:sz w:val="20"/>
                <w:szCs w:val="20"/>
                <w:lang w:eastAsia="en-GB"/>
              </w:rPr>
              <w:t>(Surplus) or deficit on the provision of services</w:t>
            </w:r>
          </w:p>
        </w:tc>
        <w:tc>
          <w:tcPr>
            <w:tcW w:w="980" w:type="dxa"/>
            <w:tcBorders>
              <w:top w:val="nil"/>
              <w:left w:val="nil"/>
              <w:bottom w:val="nil"/>
              <w:right w:val="nil"/>
            </w:tcBorders>
            <w:shd w:val="clear" w:color="000000" w:fill="FFFFFF"/>
            <w:noWrap/>
            <w:vAlign w:val="center"/>
          </w:tcPr>
          <w:p w:rsidR="0003552F" w:rsidRPr="00EB2995" w:rsidRDefault="00456ADB" w:rsidP="0003552F">
            <w:pPr>
              <w:jc w:val="right"/>
              <w:rPr>
                <w:rFonts w:cs="Calibri"/>
                <w:color w:val="000000"/>
                <w:sz w:val="20"/>
                <w:szCs w:val="20"/>
                <w:lang w:eastAsia="en-GB"/>
              </w:rPr>
            </w:pPr>
            <w:r>
              <w:rPr>
                <w:rFonts w:cs="Calibri"/>
                <w:color w:val="000000"/>
                <w:sz w:val="20"/>
                <w:szCs w:val="20"/>
              </w:rPr>
              <w:t>(20.1</w:t>
            </w:r>
            <w:r w:rsidR="0003552F">
              <w:rPr>
                <w:rFonts w:cs="Calibri"/>
                <w:color w:val="000000"/>
                <w:sz w:val="20"/>
                <w:szCs w:val="20"/>
              </w:rPr>
              <w:t>)</w:t>
            </w:r>
          </w:p>
        </w:tc>
        <w:tc>
          <w:tcPr>
            <w:tcW w:w="1024" w:type="dxa"/>
            <w:gridSpan w:val="3"/>
            <w:tcBorders>
              <w:top w:val="nil"/>
              <w:left w:val="nil"/>
              <w:bottom w:val="nil"/>
              <w:right w:val="nil"/>
            </w:tcBorders>
            <w:shd w:val="clear" w:color="000000" w:fill="FFFFFF"/>
            <w:vAlign w:val="center"/>
          </w:tcPr>
          <w:p w:rsidR="0003552F" w:rsidRPr="00EB2995" w:rsidRDefault="0003552F" w:rsidP="0003552F">
            <w:pPr>
              <w:jc w:val="right"/>
              <w:rPr>
                <w:rFonts w:cs="Calibri"/>
                <w:color w:val="000000"/>
                <w:sz w:val="20"/>
                <w:szCs w:val="20"/>
                <w:lang w:eastAsia="en-GB"/>
              </w:rPr>
            </w:pPr>
            <w:r>
              <w:rPr>
                <w:rFonts w:cs="Calibri"/>
                <w:color w:val="000000"/>
                <w:sz w:val="20"/>
                <w:szCs w:val="20"/>
              </w:rPr>
              <w:t>0.0</w:t>
            </w:r>
          </w:p>
        </w:tc>
        <w:tc>
          <w:tcPr>
            <w:tcW w:w="1120" w:type="dxa"/>
            <w:gridSpan w:val="2"/>
            <w:tcBorders>
              <w:top w:val="nil"/>
              <w:left w:val="nil"/>
              <w:bottom w:val="nil"/>
              <w:right w:val="nil"/>
            </w:tcBorders>
            <w:shd w:val="clear" w:color="000000" w:fill="FFFFFF"/>
            <w:noWrap/>
            <w:vAlign w:val="center"/>
          </w:tcPr>
          <w:p w:rsidR="0003552F" w:rsidRPr="00EB2995" w:rsidRDefault="0003552F" w:rsidP="0003552F">
            <w:pPr>
              <w:jc w:val="right"/>
              <w:rPr>
                <w:rFonts w:cs="Calibri"/>
                <w:color w:val="000000"/>
                <w:sz w:val="20"/>
                <w:szCs w:val="20"/>
                <w:lang w:eastAsia="en-GB"/>
              </w:rPr>
            </w:pPr>
            <w:r>
              <w:rPr>
                <w:rFonts w:cs="Calibri"/>
                <w:color w:val="000000"/>
                <w:sz w:val="20"/>
                <w:szCs w:val="20"/>
              </w:rPr>
              <w:t>0.0</w:t>
            </w:r>
          </w:p>
        </w:tc>
        <w:tc>
          <w:tcPr>
            <w:tcW w:w="980" w:type="dxa"/>
            <w:gridSpan w:val="2"/>
            <w:tcBorders>
              <w:top w:val="nil"/>
              <w:left w:val="nil"/>
              <w:bottom w:val="nil"/>
              <w:right w:val="nil"/>
            </w:tcBorders>
            <w:shd w:val="clear" w:color="000000" w:fill="FFFFFF"/>
            <w:noWrap/>
            <w:vAlign w:val="center"/>
          </w:tcPr>
          <w:p w:rsidR="0003552F" w:rsidRPr="00EB2995" w:rsidRDefault="0003552F" w:rsidP="0003552F">
            <w:pPr>
              <w:jc w:val="right"/>
              <w:rPr>
                <w:rFonts w:cs="Calibri"/>
                <w:color w:val="000000"/>
                <w:sz w:val="20"/>
                <w:szCs w:val="20"/>
                <w:lang w:eastAsia="en-GB"/>
              </w:rPr>
            </w:pPr>
            <w:r>
              <w:rPr>
                <w:rFonts w:cs="Calibri"/>
                <w:color w:val="000000"/>
                <w:sz w:val="20"/>
                <w:szCs w:val="20"/>
              </w:rPr>
              <w:t>10.4</w:t>
            </w:r>
          </w:p>
        </w:tc>
        <w:tc>
          <w:tcPr>
            <w:tcW w:w="1120" w:type="dxa"/>
            <w:gridSpan w:val="2"/>
            <w:tcBorders>
              <w:top w:val="nil"/>
              <w:left w:val="nil"/>
              <w:bottom w:val="nil"/>
              <w:right w:val="nil"/>
            </w:tcBorders>
            <w:shd w:val="clear" w:color="000000" w:fill="FFFFFF"/>
            <w:noWrap/>
            <w:vAlign w:val="center"/>
          </w:tcPr>
          <w:p w:rsidR="0003552F" w:rsidRPr="00EB2995" w:rsidRDefault="0003552F" w:rsidP="0003552F">
            <w:pPr>
              <w:jc w:val="right"/>
              <w:rPr>
                <w:rFonts w:cs="Calibri"/>
                <w:color w:val="000000"/>
                <w:sz w:val="20"/>
                <w:szCs w:val="20"/>
                <w:lang w:eastAsia="en-GB"/>
              </w:rPr>
            </w:pPr>
            <w:r>
              <w:rPr>
                <w:rFonts w:cs="Calibri"/>
                <w:color w:val="000000"/>
                <w:sz w:val="20"/>
                <w:szCs w:val="20"/>
              </w:rPr>
              <w:t>0.0</w:t>
            </w:r>
          </w:p>
        </w:tc>
        <w:tc>
          <w:tcPr>
            <w:tcW w:w="960" w:type="dxa"/>
            <w:gridSpan w:val="2"/>
            <w:tcBorders>
              <w:top w:val="nil"/>
              <w:left w:val="nil"/>
              <w:bottom w:val="nil"/>
              <w:right w:val="nil"/>
            </w:tcBorders>
            <w:shd w:val="clear" w:color="000000" w:fill="FFFFFF"/>
            <w:noWrap/>
            <w:vAlign w:val="center"/>
          </w:tcPr>
          <w:p w:rsidR="0003552F" w:rsidRPr="00EB2995" w:rsidRDefault="0003552F" w:rsidP="0003552F">
            <w:pPr>
              <w:jc w:val="right"/>
              <w:rPr>
                <w:rFonts w:cs="Calibri"/>
                <w:color w:val="000000"/>
                <w:sz w:val="20"/>
                <w:szCs w:val="20"/>
                <w:lang w:eastAsia="en-GB"/>
              </w:rPr>
            </w:pPr>
            <w:r>
              <w:rPr>
                <w:rFonts w:cs="Calibri"/>
                <w:color w:val="000000"/>
                <w:sz w:val="20"/>
                <w:szCs w:val="20"/>
              </w:rPr>
              <w:t>0.0</w:t>
            </w:r>
          </w:p>
        </w:tc>
        <w:tc>
          <w:tcPr>
            <w:tcW w:w="960" w:type="dxa"/>
            <w:gridSpan w:val="2"/>
            <w:tcBorders>
              <w:top w:val="nil"/>
              <w:left w:val="nil"/>
              <w:bottom w:val="nil"/>
              <w:right w:val="nil"/>
            </w:tcBorders>
            <w:shd w:val="clear" w:color="000000" w:fill="FFFFFF"/>
            <w:noWrap/>
            <w:vAlign w:val="center"/>
          </w:tcPr>
          <w:p w:rsidR="0003552F" w:rsidRPr="00EB2995" w:rsidRDefault="0003552F" w:rsidP="0003552F">
            <w:pPr>
              <w:jc w:val="right"/>
              <w:rPr>
                <w:rFonts w:cs="Calibri"/>
                <w:color w:val="000000"/>
                <w:sz w:val="20"/>
                <w:szCs w:val="20"/>
                <w:lang w:eastAsia="en-GB"/>
              </w:rPr>
            </w:pPr>
            <w:r>
              <w:rPr>
                <w:rFonts w:cs="Calibri"/>
                <w:color w:val="000000"/>
                <w:sz w:val="20"/>
                <w:szCs w:val="20"/>
              </w:rPr>
              <w:t>0.0</w:t>
            </w:r>
          </w:p>
        </w:tc>
        <w:tc>
          <w:tcPr>
            <w:tcW w:w="1074" w:type="dxa"/>
            <w:gridSpan w:val="2"/>
            <w:tcBorders>
              <w:top w:val="nil"/>
              <w:left w:val="nil"/>
              <w:bottom w:val="nil"/>
              <w:right w:val="nil"/>
            </w:tcBorders>
            <w:shd w:val="clear" w:color="000000" w:fill="FFFFFF"/>
            <w:noWrap/>
            <w:vAlign w:val="center"/>
          </w:tcPr>
          <w:p w:rsidR="0003552F" w:rsidRPr="00EB2995" w:rsidRDefault="0003552F" w:rsidP="0003552F">
            <w:pPr>
              <w:jc w:val="right"/>
              <w:rPr>
                <w:rFonts w:cs="Calibri"/>
                <w:color w:val="000000"/>
                <w:sz w:val="20"/>
                <w:szCs w:val="20"/>
                <w:lang w:eastAsia="en-GB"/>
              </w:rPr>
            </w:pPr>
            <w:r>
              <w:rPr>
                <w:rFonts w:cs="Calibri"/>
                <w:color w:val="000000"/>
                <w:sz w:val="20"/>
                <w:szCs w:val="20"/>
              </w:rPr>
              <w:t>0.0</w:t>
            </w:r>
          </w:p>
        </w:tc>
        <w:tc>
          <w:tcPr>
            <w:tcW w:w="960" w:type="dxa"/>
            <w:tcBorders>
              <w:top w:val="nil"/>
              <w:left w:val="nil"/>
              <w:bottom w:val="nil"/>
              <w:right w:val="nil"/>
            </w:tcBorders>
            <w:shd w:val="clear" w:color="000000" w:fill="FFFFFF"/>
            <w:noWrap/>
            <w:vAlign w:val="center"/>
          </w:tcPr>
          <w:p w:rsidR="0003552F" w:rsidRPr="00EB2995" w:rsidRDefault="00711454" w:rsidP="0003552F">
            <w:pPr>
              <w:jc w:val="right"/>
              <w:rPr>
                <w:rFonts w:cs="Calibri"/>
                <w:bCs/>
                <w:color w:val="000000"/>
                <w:sz w:val="20"/>
                <w:szCs w:val="20"/>
                <w:lang w:eastAsia="en-GB"/>
              </w:rPr>
            </w:pPr>
            <w:r>
              <w:rPr>
                <w:rFonts w:cs="Calibri"/>
                <w:color w:val="000000"/>
                <w:sz w:val="20"/>
                <w:szCs w:val="20"/>
              </w:rPr>
              <w:t>(9.7</w:t>
            </w:r>
            <w:r w:rsidR="0003552F">
              <w:rPr>
                <w:rFonts w:cs="Calibri"/>
                <w:color w:val="000000"/>
                <w:sz w:val="20"/>
                <w:szCs w:val="20"/>
              </w:rPr>
              <w:t>)</w:t>
            </w:r>
          </w:p>
        </w:tc>
        <w:tc>
          <w:tcPr>
            <w:tcW w:w="997" w:type="dxa"/>
            <w:gridSpan w:val="2"/>
            <w:tcBorders>
              <w:top w:val="nil"/>
              <w:left w:val="nil"/>
              <w:bottom w:val="nil"/>
              <w:right w:val="nil"/>
            </w:tcBorders>
            <w:shd w:val="clear" w:color="000000" w:fill="FFFFFF"/>
            <w:noWrap/>
            <w:vAlign w:val="center"/>
          </w:tcPr>
          <w:p w:rsidR="0003552F" w:rsidRPr="00EB2995" w:rsidRDefault="0003552F" w:rsidP="0003552F">
            <w:pPr>
              <w:jc w:val="right"/>
              <w:rPr>
                <w:rFonts w:cs="Calibri"/>
                <w:color w:val="000000"/>
                <w:sz w:val="20"/>
                <w:szCs w:val="20"/>
                <w:lang w:eastAsia="en-GB"/>
              </w:rPr>
            </w:pPr>
            <w:r>
              <w:rPr>
                <w:rFonts w:cs="Calibri"/>
                <w:color w:val="000000"/>
                <w:sz w:val="20"/>
                <w:szCs w:val="20"/>
              </w:rPr>
              <w:t>0.0</w:t>
            </w:r>
          </w:p>
        </w:tc>
        <w:tc>
          <w:tcPr>
            <w:tcW w:w="1037" w:type="dxa"/>
            <w:gridSpan w:val="2"/>
            <w:tcBorders>
              <w:top w:val="nil"/>
              <w:left w:val="nil"/>
              <w:bottom w:val="nil"/>
              <w:right w:val="single" w:sz="8" w:space="0" w:color="auto"/>
            </w:tcBorders>
            <w:shd w:val="clear" w:color="000000" w:fill="FFFFFF"/>
            <w:noWrap/>
            <w:vAlign w:val="center"/>
          </w:tcPr>
          <w:p w:rsidR="0003552F" w:rsidRPr="00EB2995" w:rsidRDefault="00711454" w:rsidP="0003552F">
            <w:pPr>
              <w:jc w:val="right"/>
              <w:rPr>
                <w:rFonts w:cs="Calibri"/>
                <w:bCs/>
                <w:sz w:val="20"/>
                <w:szCs w:val="20"/>
                <w:lang w:eastAsia="en-GB"/>
              </w:rPr>
            </w:pPr>
            <w:r>
              <w:rPr>
                <w:rFonts w:cs="Calibri"/>
                <w:b/>
                <w:bCs/>
                <w:color w:val="000000"/>
                <w:sz w:val="20"/>
                <w:szCs w:val="20"/>
              </w:rPr>
              <w:t>(9.7</w:t>
            </w:r>
            <w:r w:rsidR="0003552F">
              <w:rPr>
                <w:rFonts w:cs="Calibri"/>
                <w:b/>
                <w:bCs/>
                <w:color w:val="000000"/>
                <w:sz w:val="20"/>
                <w:szCs w:val="20"/>
              </w:rPr>
              <w:t>)</w:t>
            </w:r>
          </w:p>
        </w:tc>
      </w:tr>
      <w:tr w:rsidR="0003552F" w:rsidRPr="00EB2995" w:rsidTr="0003552F">
        <w:trPr>
          <w:trHeight w:val="315"/>
        </w:trPr>
        <w:tc>
          <w:tcPr>
            <w:tcW w:w="3039" w:type="dxa"/>
            <w:gridSpan w:val="3"/>
            <w:tcBorders>
              <w:top w:val="nil"/>
              <w:left w:val="nil"/>
              <w:bottom w:val="nil"/>
              <w:right w:val="single" w:sz="8" w:space="0" w:color="000000"/>
            </w:tcBorders>
            <w:shd w:val="clear" w:color="000000" w:fill="FFFFFF"/>
            <w:vAlign w:val="center"/>
          </w:tcPr>
          <w:p w:rsidR="0003552F" w:rsidRPr="00EB2995" w:rsidRDefault="0003552F" w:rsidP="0003552F">
            <w:pPr>
              <w:rPr>
                <w:rFonts w:cs="Calibri"/>
                <w:color w:val="000000"/>
                <w:sz w:val="20"/>
                <w:szCs w:val="20"/>
                <w:lang w:eastAsia="en-GB"/>
              </w:rPr>
            </w:pPr>
            <w:r w:rsidRPr="00EB2995">
              <w:rPr>
                <w:rFonts w:cs="Calibri"/>
                <w:color w:val="000000"/>
                <w:sz w:val="20"/>
                <w:szCs w:val="20"/>
                <w:lang w:eastAsia="en-GB"/>
              </w:rPr>
              <w:t>Other comprehensive income &amp; expenditure</w:t>
            </w:r>
          </w:p>
        </w:tc>
        <w:tc>
          <w:tcPr>
            <w:tcW w:w="980" w:type="dxa"/>
            <w:tcBorders>
              <w:top w:val="nil"/>
              <w:left w:val="nil"/>
              <w:bottom w:val="single" w:sz="8" w:space="0" w:color="auto"/>
              <w:right w:val="nil"/>
            </w:tcBorders>
            <w:shd w:val="clear" w:color="000000" w:fill="FFFFFF"/>
            <w:noWrap/>
            <w:vAlign w:val="center"/>
          </w:tcPr>
          <w:p w:rsidR="0003552F" w:rsidRPr="00EB2995" w:rsidRDefault="0003552F" w:rsidP="0003552F">
            <w:pPr>
              <w:jc w:val="right"/>
              <w:rPr>
                <w:rFonts w:cs="Calibri"/>
                <w:color w:val="000000"/>
                <w:sz w:val="20"/>
                <w:szCs w:val="20"/>
                <w:lang w:eastAsia="en-GB"/>
              </w:rPr>
            </w:pPr>
            <w:r>
              <w:rPr>
                <w:rFonts w:cs="Calibri"/>
                <w:color w:val="000000"/>
                <w:sz w:val="20"/>
                <w:szCs w:val="20"/>
              </w:rPr>
              <w:t>0.0</w:t>
            </w:r>
          </w:p>
        </w:tc>
        <w:tc>
          <w:tcPr>
            <w:tcW w:w="1024" w:type="dxa"/>
            <w:gridSpan w:val="3"/>
            <w:tcBorders>
              <w:top w:val="nil"/>
              <w:left w:val="nil"/>
              <w:bottom w:val="single" w:sz="8" w:space="0" w:color="auto"/>
              <w:right w:val="nil"/>
            </w:tcBorders>
            <w:shd w:val="clear" w:color="000000" w:fill="FFFFFF"/>
            <w:vAlign w:val="center"/>
          </w:tcPr>
          <w:p w:rsidR="0003552F" w:rsidRPr="00EB2995" w:rsidRDefault="0003552F" w:rsidP="0003552F">
            <w:pPr>
              <w:jc w:val="right"/>
              <w:rPr>
                <w:rFonts w:cs="Calibri"/>
                <w:color w:val="000000"/>
                <w:sz w:val="20"/>
                <w:szCs w:val="20"/>
                <w:lang w:eastAsia="en-GB"/>
              </w:rPr>
            </w:pPr>
            <w:r>
              <w:rPr>
                <w:rFonts w:cs="Calibri"/>
                <w:color w:val="000000"/>
                <w:sz w:val="20"/>
                <w:szCs w:val="20"/>
              </w:rPr>
              <w:t>0.0</w:t>
            </w:r>
          </w:p>
        </w:tc>
        <w:tc>
          <w:tcPr>
            <w:tcW w:w="1120" w:type="dxa"/>
            <w:gridSpan w:val="2"/>
            <w:tcBorders>
              <w:top w:val="nil"/>
              <w:left w:val="nil"/>
              <w:bottom w:val="single" w:sz="8" w:space="0" w:color="auto"/>
              <w:right w:val="nil"/>
            </w:tcBorders>
            <w:shd w:val="clear" w:color="000000" w:fill="FFFFFF"/>
            <w:noWrap/>
            <w:vAlign w:val="center"/>
          </w:tcPr>
          <w:p w:rsidR="0003552F" w:rsidRPr="00EB2995" w:rsidRDefault="0003552F" w:rsidP="0003552F">
            <w:pPr>
              <w:jc w:val="right"/>
              <w:rPr>
                <w:rFonts w:cs="Calibri"/>
                <w:color w:val="000000"/>
                <w:sz w:val="20"/>
                <w:szCs w:val="20"/>
                <w:lang w:eastAsia="en-GB"/>
              </w:rPr>
            </w:pPr>
            <w:r>
              <w:rPr>
                <w:rFonts w:cs="Calibri"/>
                <w:color w:val="000000"/>
                <w:sz w:val="20"/>
                <w:szCs w:val="20"/>
              </w:rPr>
              <w:t>0.0</w:t>
            </w:r>
          </w:p>
        </w:tc>
        <w:tc>
          <w:tcPr>
            <w:tcW w:w="980" w:type="dxa"/>
            <w:gridSpan w:val="2"/>
            <w:tcBorders>
              <w:top w:val="nil"/>
              <w:left w:val="nil"/>
              <w:bottom w:val="single" w:sz="8" w:space="0" w:color="auto"/>
              <w:right w:val="nil"/>
            </w:tcBorders>
            <w:shd w:val="clear" w:color="000000" w:fill="FFFFFF"/>
            <w:noWrap/>
            <w:vAlign w:val="center"/>
          </w:tcPr>
          <w:p w:rsidR="0003552F" w:rsidRPr="00EB2995" w:rsidRDefault="0003552F" w:rsidP="0003552F">
            <w:pPr>
              <w:jc w:val="right"/>
              <w:rPr>
                <w:rFonts w:cs="Calibri"/>
                <w:color w:val="000000"/>
                <w:sz w:val="20"/>
                <w:szCs w:val="20"/>
                <w:lang w:eastAsia="en-GB"/>
              </w:rPr>
            </w:pPr>
            <w:r>
              <w:rPr>
                <w:rFonts w:cs="Calibri"/>
                <w:color w:val="000000"/>
                <w:sz w:val="20"/>
                <w:szCs w:val="20"/>
              </w:rPr>
              <w:t>0.0</w:t>
            </w:r>
          </w:p>
        </w:tc>
        <w:tc>
          <w:tcPr>
            <w:tcW w:w="1120" w:type="dxa"/>
            <w:gridSpan w:val="2"/>
            <w:tcBorders>
              <w:top w:val="nil"/>
              <w:left w:val="nil"/>
              <w:bottom w:val="single" w:sz="8" w:space="0" w:color="auto"/>
              <w:right w:val="nil"/>
            </w:tcBorders>
            <w:shd w:val="clear" w:color="000000" w:fill="FFFFFF"/>
            <w:noWrap/>
            <w:vAlign w:val="center"/>
          </w:tcPr>
          <w:p w:rsidR="0003552F" w:rsidRPr="00EB2995" w:rsidRDefault="0003552F" w:rsidP="0003552F">
            <w:pPr>
              <w:jc w:val="right"/>
              <w:rPr>
                <w:rFonts w:cs="Calibri"/>
                <w:color w:val="000000"/>
                <w:sz w:val="20"/>
                <w:szCs w:val="20"/>
                <w:lang w:eastAsia="en-GB"/>
              </w:rPr>
            </w:pPr>
            <w:r>
              <w:rPr>
                <w:rFonts w:cs="Calibri"/>
                <w:color w:val="000000"/>
                <w:sz w:val="20"/>
                <w:szCs w:val="20"/>
              </w:rPr>
              <w:t>0.0</w:t>
            </w:r>
          </w:p>
        </w:tc>
        <w:tc>
          <w:tcPr>
            <w:tcW w:w="960" w:type="dxa"/>
            <w:gridSpan w:val="2"/>
            <w:tcBorders>
              <w:top w:val="nil"/>
              <w:left w:val="nil"/>
              <w:bottom w:val="single" w:sz="8" w:space="0" w:color="auto"/>
              <w:right w:val="nil"/>
            </w:tcBorders>
            <w:shd w:val="clear" w:color="000000" w:fill="FFFFFF"/>
            <w:noWrap/>
            <w:vAlign w:val="center"/>
          </w:tcPr>
          <w:p w:rsidR="0003552F" w:rsidRPr="00EB2995" w:rsidRDefault="0003552F" w:rsidP="0003552F">
            <w:pPr>
              <w:jc w:val="right"/>
              <w:rPr>
                <w:rFonts w:cs="Calibri"/>
                <w:color w:val="000000"/>
                <w:sz w:val="20"/>
                <w:szCs w:val="20"/>
                <w:lang w:eastAsia="en-GB"/>
              </w:rPr>
            </w:pPr>
            <w:r>
              <w:rPr>
                <w:rFonts w:cs="Calibri"/>
                <w:color w:val="000000"/>
                <w:sz w:val="20"/>
                <w:szCs w:val="20"/>
              </w:rPr>
              <w:t>0.0</w:t>
            </w:r>
          </w:p>
        </w:tc>
        <w:tc>
          <w:tcPr>
            <w:tcW w:w="960" w:type="dxa"/>
            <w:gridSpan w:val="2"/>
            <w:tcBorders>
              <w:top w:val="nil"/>
              <w:left w:val="nil"/>
              <w:bottom w:val="single" w:sz="8" w:space="0" w:color="auto"/>
              <w:right w:val="nil"/>
            </w:tcBorders>
            <w:shd w:val="clear" w:color="000000" w:fill="FFFFFF"/>
            <w:noWrap/>
            <w:vAlign w:val="center"/>
          </w:tcPr>
          <w:p w:rsidR="0003552F" w:rsidRPr="00EB2995" w:rsidRDefault="0003552F" w:rsidP="0003552F">
            <w:pPr>
              <w:jc w:val="right"/>
              <w:rPr>
                <w:rFonts w:cs="Calibri"/>
                <w:color w:val="000000"/>
                <w:sz w:val="20"/>
                <w:szCs w:val="20"/>
                <w:lang w:eastAsia="en-GB"/>
              </w:rPr>
            </w:pPr>
            <w:r>
              <w:rPr>
                <w:rFonts w:cs="Calibri"/>
                <w:color w:val="000000"/>
                <w:sz w:val="20"/>
                <w:szCs w:val="20"/>
              </w:rPr>
              <w:t>0.0</w:t>
            </w:r>
          </w:p>
        </w:tc>
        <w:tc>
          <w:tcPr>
            <w:tcW w:w="1074" w:type="dxa"/>
            <w:gridSpan w:val="2"/>
            <w:tcBorders>
              <w:top w:val="nil"/>
              <w:left w:val="nil"/>
              <w:bottom w:val="single" w:sz="8" w:space="0" w:color="auto"/>
              <w:right w:val="nil"/>
            </w:tcBorders>
            <w:shd w:val="clear" w:color="000000" w:fill="FFFFFF"/>
            <w:noWrap/>
            <w:vAlign w:val="center"/>
          </w:tcPr>
          <w:p w:rsidR="0003552F" w:rsidRPr="00EB2995" w:rsidRDefault="0003552F" w:rsidP="0003552F">
            <w:pPr>
              <w:jc w:val="right"/>
              <w:rPr>
                <w:rFonts w:cs="Calibri"/>
                <w:color w:val="000000"/>
                <w:sz w:val="20"/>
                <w:szCs w:val="20"/>
                <w:lang w:eastAsia="en-GB"/>
              </w:rPr>
            </w:pPr>
            <w:r>
              <w:rPr>
                <w:rFonts w:cs="Calibri"/>
                <w:color w:val="000000"/>
                <w:sz w:val="20"/>
                <w:szCs w:val="20"/>
              </w:rPr>
              <w:t>0.0</w:t>
            </w:r>
          </w:p>
        </w:tc>
        <w:tc>
          <w:tcPr>
            <w:tcW w:w="960" w:type="dxa"/>
            <w:tcBorders>
              <w:top w:val="nil"/>
              <w:left w:val="nil"/>
              <w:bottom w:val="single" w:sz="8" w:space="0" w:color="auto"/>
              <w:right w:val="nil"/>
            </w:tcBorders>
            <w:shd w:val="clear" w:color="000000" w:fill="FFFFFF"/>
            <w:noWrap/>
            <w:vAlign w:val="center"/>
          </w:tcPr>
          <w:p w:rsidR="0003552F" w:rsidRPr="00EB2995" w:rsidRDefault="0003552F" w:rsidP="0003552F">
            <w:pPr>
              <w:jc w:val="right"/>
              <w:rPr>
                <w:rFonts w:cs="Calibri"/>
                <w:bCs/>
                <w:color w:val="000000"/>
                <w:sz w:val="20"/>
                <w:szCs w:val="20"/>
                <w:lang w:eastAsia="en-GB"/>
              </w:rPr>
            </w:pPr>
            <w:r>
              <w:rPr>
                <w:rFonts w:cs="Calibri"/>
                <w:color w:val="000000"/>
                <w:sz w:val="20"/>
                <w:szCs w:val="20"/>
              </w:rPr>
              <w:t>0.0</w:t>
            </w:r>
          </w:p>
        </w:tc>
        <w:tc>
          <w:tcPr>
            <w:tcW w:w="997" w:type="dxa"/>
            <w:gridSpan w:val="2"/>
            <w:tcBorders>
              <w:top w:val="nil"/>
              <w:left w:val="nil"/>
              <w:bottom w:val="single" w:sz="8" w:space="0" w:color="auto"/>
              <w:right w:val="nil"/>
            </w:tcBorders>
            <w:shd w:val="clear" w:color="000000" w:fill="FFFFFF"/>
            <w:noWrap/>
            <w:vAlign w:val="center"/>
          </w:tcPr>
          <w:p w:rsidR="0003552F" w:rsidRPr="00EB2995" w:rsidRDefault="00711454" w:rsidP="0003552F">
            <w:pPr>
              <w:jc w:val="right"/>
              <w:rPr>
                <w:rFonts w:cs="Calibri"/>
                <w:color w:val="000000"/>
                <w:sz w:val="20"/>
                <w:szCs w:val="20"/>
                <w:lang w:eastAsia="en-GB"/>
              </w:rPr>
            </w:pPr>
            <w:r>
              <w:rPr>
                <w:rFonts w:cs="Calibri"/>
                <w:color w:val="000000"/>
                <w:sz w:val="20"/>
                <w:szCs w:val="20"/>
              </w:rPr>
              <w:t>(497.1</w:t>
            </w:r>
            <w:r w:rsidR="0003552F">
              <w:rPr>
                <w:rFonts w:cs="Calibri"/>
                <w:color w:val="000000"/>
                <w:sz w:val="20"/>
                <w:szCs w:val="20"/>
              </w:rPr>
              <w:t>)</w:t>
            </w:r>
          </w:p>
        </w:tc>
        <w:tc>
          <w:tcPr>
            <w:tcW w:w="1037" w:type="dxa"/>
            <w:gridSpan w:val="2"/>
            <w:tcBorders>
              <w:top w:val="nil"/>
              <w:left w:val="nil"/>
              <w:bottom w:val="single" w:sz="8" w:space="0" w:color="auto"/>
              <w:right w:val="single" w:sz="8" w:space="0" w:color="auto"/>
            </w:tcBorders>
            <w:shd w:val="clear" w:color="000000" w:fill="FFFFFF"/>
            <w:noWrap/>
            <w:vAlign w:val="center"/>
          </w:tcPr>
          <w:p w:rsidR="0003552F" w:rsidRPr="00EB2995" w:rsidRDefault="00711454" w:rsidP="0003552F">
            <w:pPr>
              <w:jc w:val="right"/>
              <w:rPr>
                <w:rFonts w:cs="Calibri"/>
                <w:bCs/>
                <w:sz w:val="20"/>
                <w:szCs w:val="20"/>
                <w:lang w:eastAsia="en-GB"/>
              </w:rPr>
            </w:pPr>
            <w:r>
              <w:rPr>
                <w:rFonts w:cs="Calibri"/>
                <w:b/>
                <w:bCs/>
                <w:color w:val="000000"/>
                <w:sz w:val="20"/>
                <w:szCs w:val="20"/>
              </w:rPr>
              <w:t>(497.1</w:t>
            </w:r>
            <w:r w:rsidR="0003552F">
              <w:rPr>
                <w:rFonts w:cs="Calibri"/>
                <w:b/>
                <w:bCs/>
                <w:color w:val="000000"/>
                <w:sz w:val="20"/>
                <w:szCs w:val="20"/>
              </w:rPr>
              <w:t>)</w:t>
            </w:r>
          </w:p>
        </w:tc>
      </w:tr>
      <w:tr w:rsidR="0003552F" w:rsidRPr="00EB2995" w:rsidTr="0003552F">
        <w:trPr>
          <w:trHeight w:val="315"/>
        </w:trPr>
        <w:tc>
          <w:tcPr>
            <w:tcW w:w="3039" w:type="dxa"/>
            <w:gridSpan w:val="3"/>
            <w:tcBorders>
              <w:top w:val="nil"/>
              <w:left w:val="nil"/>
              <w:bottom w:val="nil"/>
              <w:right w:val="single" w:sz="8" w:space="0" w:color="000000"/>
            </w:tcBorders>
            <w:shd w:val="clear" w:color="000000" w:fill="FFFFFF"/>
            <w:vAlign w:val="center"/>
          </w:tcPr>
          <w:p w:rsidR="0003552F" w:rsidRPr="00EB2995" w:rsidRDefault="0003552F" w:rsidP="0003552F">
            <w:pPr>
              <w:rPr>
                <w:rFonts w:cs="Calibri"/>
                <w:b/>
                <w:bCs/>
                <w:color w:val="000000"/>
                <w:sz w:val="20"/>
                <w:szCs w:val="20"/>
                <w:lang w:eastAsia="en-GB"/>
              </w:rPr>
            </w:pPr>
            <w:r w:rsidRPr="00EB2995">
              <w:rPr>
                <w:rFonts w:cs="Calibri"/>
                <w:b/>
                <w:bCs/>
                <w:color w:val="000000"/>
                <w:sz w:val="20"/>
                <w:szCs w:val="20"/>
                <w:lang w:eastAsia="en-GB"/>
              </w:rPr>
              <w:t>Total comprehensive income &amp; expenditure</w:t>
            </w:r>
          </w:p>
        </w:tc>
        <w:tc>
          <w:tcPr>
            <w:tcW w:w="980" w:type="dxa"/>
            <w:tcBorders>
              <w:top w:val="nil"/>
              <w:left w:val="nil"/>
              <w:bottom w:val="nil"/>
              <w:right w:val="nil"/>
            </w:tcBorders>
            <w:shd w:val="clear" w:color="000000" w:fill="FFFFFF"/>
            <w:noWrap/>
            <w:vAlign w:val="center"/>
          </w:tcPr>
          <w:p w:rsidR="0003552F" w:rsidRPr="00EB2995" w:rsidRDefault="00456ADB" w:rsidP="0003552F">
            <w:pPr>
              <w:jc w:val="right"/>
              <w:rPr>
                <w:rFonts w:cs="Calibri"/>
                <w:b/>
                <w:bCs/>
                <w:color w:val="000000"/>
                <w:sz w:val="20"/>
                <w:szCs w:val="20"/>
                <w:lang w:eastAsia="en-GB"/>
              </w:rPr>
            </w:pPr>
            <w:r>
              <w:rPr>
                <w:rFonts w:cs="Calibri"/>
                <w:b/>
                <w:bCs/>
                <w:color w:val="000000"/>
                <w:sz w:val="20"/>
                <w:szCs w:val="20"/>
              </w:rPr>
              <w:t>(20.1</w:t>
            </w:r>
            <w:r w:rsidR="0003552F">
              <w:rPr>
                <w:rFonts w:cs="Calibri"/>
                <w:b/>
                <w:bCs/>
                <w:color w:val="000000"/>
                <w:sz w:val="20"/>
                <w:szCs w:val="20"/>
              </w:rPr>
              <w:t>)</w:t>
            </w:r>
          </w:p>
        </w:tc>
        <w:tc>
          <w:tcPr>
            <w:tcW w:w="1024" w:type="dxa"/>
            <w:gridSpan w:val="3"/>
            <w:tcBorders>
              <w:top w:val="nil"/>
              <w:left w:val="nil"/>
              <w:bottom w:val="nil"/>
              <w:right w:val="nil"/>
            </w:tcBorders>
            <w:shd w:val="clear" w:color="000000" w:fill="FFFFFF"/>
            <w:noWrap/>
            <w:vAlign w:val="center"/>
          </w:tcPr>
          <w:p w:rsidR="0003552F" w:rsidRPr="00EB2995" w:rsidRDefault="0003552F" w:rsidP="0003552F">
            <w:pPr>
              <w:jc w:val="right"/>
              <w:rPr>
                <w:rFonts w:cs="Calibri"/>
                <w:b/>
                <w:bCs/>
                <w:color w:val="000000"/>
                <w:sz w:val="20"/>
                <w:szCs w:val="20"/>
                <w:lang w:eastAsia="en-GB"/>
              </w:rPr>
            </w:pPr>
            <w:r>
              <w:rPr>
                <w:rFonts w:cs="Calibri"/>
                <w:b/>
                <w:bCs/>
                <w:color w:val="000000"/>
                <w:sz w:val="20"/>
                <w:szCs w:val="20"/>
              </w:rPr>
              <w:t>0.0</w:t>
            </w:r>
          </w:p>
        </w:tc>
        <w:tc>
          <w:tcPr>
            <w:tcW w:w="1120" w:type="dxa"/>
            <w:gridSpan w:val="2"/>
            <w:tcBorders>
              <w:top w:val="nil"/>
              <w:left w:val="nil"/>
              <w:bottom w:val="nil"/>
              <w:right w:val="nil"/>
            </w:tcBorders>
            <w:shd w:val="clear" w:color="000000" w:fill="FFFFFF"/>
            <w:noWrap/>
            <w:vAlign w:val="center"/>
          </w:tcPr>
          <w:p w:rsidR="0003552F" w:rsidRPr="00EB2995" w:rsidRDefault="0003552F" w:rsidP="0003552F">
            <w:pPr>
              <w:jc w:val="right"/>
              <w:rPr>
                <w:rFonts w:cs="Calibri"/>
                <w:b/>
                <w:bCs/>
                <w:color w:val="000000"/>
                <w:sz w:val="20"/>
                <w:szCs w:val="20"/>
                <w:lang w:eastAsia="en-GB"/>
              </w:rPr>
            </w:pPr>
            <w:r>
              <w:rPr>
                <w:rFonts w:cs="Calibri"/>
                <w:b/>
                <w:bCs/>
                <w:color w:val="000000"/>
                <w:sz w:val="20"/>
                <w:szCs w:val="20"/>
              </w:rPr>
              <w:t>0.0</w:t>
            </w:r>
          </w:p>
        </w:tc>
        <w:tc>
          <w:tcPr>
            <w:tcW w:w="980" w:type="dxa"/>
            <w:gridSpan w:val="2"/>
            <w:tcBorders>
              <w:top w:val="nil"/>
              <w:left w:val="nil"/>
              <w:bottom w:val="nil"/>
              <w:right w:val="nil"/>
            </w:tcBorders>
            <w:shd w:val="clear" w:color="000000" w:fill="FFFFFF"/>
            <w:noWrap/>
            <w:vAlign w:val="center"/>
          </w:tcPr>
          <w:p w:rsidR="0003552F" w:rsidRPr="00EB2995" w:rsidRDefault="0003552F" w:rsidP="0003552F">
            <w:pPr>
              <w:jc w:val="right"/>
              <w:rPr>
                <w:rFonts w:cs="Calibri"/>
                <w:b/>
                <w:bCs/>
                <w:color w:val="000000"/>
                <w:sz w:val="20"/>
                <w:szCs w:val="20"/>
                <w:lang w:eastAsia="en-GB"/>
              </w:rPr>
            </w:pPr>
            <w:r>
              <w:rPr>
                <w:rFonts w:cs="Calibri"/>
                <w:b/>
                <w:bCs/>
                <w:color w:val="000000"/>
                <w:sz w:val="20"/>
                <w:szCs w:val="20"/>
              </w:rPr>
              <w:t>10.4</w:t>
            </w:r>
          </w:p>
        </w:tc>
        <w:tc>
          <w:tcPr>
            <w:tcW w:w="1120" w:type="dxa"/>
            <w:gridSpan w:val="2"/>
            <w:tcBorders>
              <w:top w:val="nil"/>
              <w:left w:val="nil"/>
              <w:bottom w:val="nil"/>
              <w:right w:val="nil"/>
            </w:tcBorders>
            <w:shd w:val="clear" w:color="000000" w:fill="FFFFFF"/>
            <w:noWrap/>
            <w:vAlign w:val="center"/>
          </w:tcPr>
          <w:p w:rsidR="0003552F" w:rsidRPr="00EB2995" w:rsidRDefault="0003552F" w:rsidP="0003552F">
            <w:pPr>
              <w:jc w:val="right"/>
              <w:rPr>
                <w:rFonts w:cs="Calibri"/>
                <w:b/>
                <w:bCs/>
                <w:color w:val="000000"/>
                <w:sz w:val="20"/>
                <w:szCs w:val="20"/>
                <w:lang w:eastAsia="en-GB"/>
              </w:rPr>
            </w:pPr>
            <w:r>
              <w:rPr>
                <w:rFonts w:cs="Calibri"/>
                <w:b/>
                <w:bCs/>
                <w:color w:val="000000"/>
                <w:sz w:val="20"/>
                <w:szCs w:val="20"/>
              </w:rPr>
              <w:t>0.0</w:t>
            </w:r>
          </w:p>
        </w:tc>
        <w:tc>
          <w:tcPr>
            <w:tcW w:w="960" w:type="dxa"/>
            <w:gridSpan w:val="2"/>
            <w:tcBorders>
              <w:top w:val="nil"/>
              <w:left w:val="nil"/>
              <w:bottom w:val="nil"/>
              <w:right w:val="nil"/>
            </w:tcBorders>
            <w:shd w:val="clear" w:color="000000" w:fill="FFFFFF"/>
            <w:noWrap/>
            <w:vAlign w:val="center"/>
          </w:tcPr>
          <w:p w:rsidR="0003552F" w:rsidRPr="00EB2995" w:rsidRDefault="0003552F" w:rsidP="0003552F">
            <w:pPr>
              <w:jc w:val="right"/>
              <w:rPr>
                <w:rFonts w:cs="Calibri"/>
                <w:b/>
                <w:bCs/>
                <w:color w:val="000000"/>
                <w:sz w:val="20"/>
                <w:szCs w:val="20"/>
                <w:lang w:eastAsia="en-GB"/>
              </w:rPr>
            </w:pPr>
            <w:r>
              <w:rPr>
                <w:rFonts w:cs="Calibri"/>
                <w:b/>
                <w:bCs/>
                <w:color w:val="000000"/>
                <w:sz w:val="20"/>
                <w:szCs w:val="20"/>
              </w:rPr>
              <w:t>0.0</w:t>
            </w:r>
          </w:p>
        </w:tc>
        <w:tc>
          <w:tcPr>
            <w:tcW w:w="960" w:type="dxa"/>
            <w:gridSpan w:val="2"/>
            <w:tcBorders>
              <w:top w:val="nil"/>
              <w:left w:val="nil"/>
              <w:bottom w:val="nil"/>
              <w:right w:val="nil"/>
            </w:tcBorders>
            <w:shd w:val="clear" w:color="000000" w:fill="FFFFFF"/>
            <w:noWrap/>
            <w:vAlign w:val="center"/>
          </w:tcPr>
          <w:p w:rsidR="0003552F" w:rsidRPr="00EB2995" w:rsidRDefault="0003552F" w:rsidP="0003552F">
            <w:pPr>
              <w:jc w:val="right"/>
              <w:rPr>
                <w:rFonts w:cs="Calibri"/>
                <w:b/>
                <w:bCs/>
                <w:color w:val="000000"/>
                <w:sz w:val="20"/>
                <w:szCs w:val="20"/>
                <w:lang w:eastAsia="en-GB"/>
              </w:rPr>
            </w:pPr>
            <w:r>
              <w:rPr>
                <w:rFonts w:cs="Calibri"/>
                <w:b/>
                <w:bCs/>
                <w:color w:val="000000"/>
                <w:sz w:val="20"/>
                <w:szCs w:val="20"/>
              </w:rPr>
              <w:t>0.0</w:t>
            </w:r>
          </w:p>
        </w:tc>
        <w:tc>
          <w:tcPr>
            <w:tcW w:w="1074" w:type="dxa"/>
            <w:gridSpan w:val="2"/>
            <w:tcBorders>
              <w:top w:val="nil"/>
              <w:left w:val="nil"/>
              <w:bottom w:val="nil"/>
              <w:right w:val="nil"/>
            </w:tcBorders>
            <w:shd w:val="clear" w:color="000000" w:fill="FFFFFF"/>
            <w:noWrap/>
            <w:vAlign w:val="center"/>
          </w:tcPr>
          <w:p w:rsidR="0003552F" w:rsidRPr="00EB2995" w:rsidRDefault="0003552F" w:rsidP="0003552F">
            <w:pPr>
              <w:jc w:val="right"/>
              <w:rPr>
                <w:rFonts w:cs="Calibri"/>
                <w:b/>
                <w:bCs/>
                <w:color w:val="000000"/>
                <w:sz w:val="20"/>
                <w:szCs w:val="20"/>
                <w:lang w:eastAsia="en-GB"/>
              </w:rPr>
            </w:pPr>
            <w:r>
              <w:rPr>
                <w:rFonts w:cs="Calibri"/>
                <w:b/>
                <w:bCs/>
                <w:color w:val="000000"/>
                <w:sz w:val="20"/>
                <w:szCs w:val="20"/>
              </w:rPr>
              <w:t>0.0</w:t>
            </w:r>
          </w:p>
        </w:tc>
        <w:tc>
          <w:tcPr>
            <w:tcW w:w="960" w:type="dxa"/>
            <w:tcBorders>
              <w:top w:val="nil"/>
              <w:left w:val="nil"/>
              <w:bottom w:val="nil"/>
              <w:right w:val="nil"/>
            </w:tcBorders>
            <w:shd w:val="clear" w:color="000000" w:fill="FFFFFF"/>
            <w:noWrap/>
            <w:vAlign w:val="center"/>
          </w:tcPr>
          <w:p w:rsidR="0003552F" w:rsidRPr="00EB2995" w:rsidRDefault="00711454" w:rsidP="0003552F">
            <w:pPr>
              <w:jc w:val="right"/>
              <w:rPr>
                <w:rFonts w:cs="Calibri"/>
                <w:b/>
                <w:bCs/>
                <w:color w:val="000000"/>
                <w:sz w:val="20"/>
                <w:szCs w:val="20"/>
                <w:lang w:eastAsia="en-GB"/>
              </w:rPr>
            </w:pPr>
            <w:r>
              <w:rPr>
                <w:rFonts w:cs="Calibri"/>
                <w:b/>
                <w:bCs/>
                <w:color w:val="000000"/>
                <w:sz w:val="20"/>
                <w:szCs w:val="20"/>
              </w:rPr>
              <w:t>(0.7</w:t>
            </w:r>
            <w:r w:rsidR="0003552F">
              <w:rPr>
                <w:rFonts w:cs="Calibri"/>
                <w:b/>
                <w:bCs/>
                <w:color w:val="000000"/>
                <w:sz w:val="20"/>
                <w:szCs w:val="20"/>
              </w:rPr>
              <w:t>)</w:t>
            </w:r>
          </w:p>
        </w:tc>
        <w:tc>
          <w:tcPr>
            <w:tcW w:w="997" w:type="dxa"/>
            <w:gridSpan w:val="2"/>
            <w:tcBorders>
              <w:top w:val="nil"/>
              <w:left w:val="nil"/>
              <w:bottom w:val="nil"/>
              <w:right w:val="nil"/>
            </w:tcBorders>
            <w:shd w:val="clear" w:color="000000" w:fill="FFFFFF"/>
            <w:noWrap/>
            <w:vAlign w:val="center"/>
          </w:tcPr>
          <w:p w:rsidR="0003552F" w:rsidRPr="00EB2995" w:rsidRDefault="00711454" w:rsidP="0003552F">
            <w:pPr>
              <w:jc w:val="right"/>
              <w:rPr>
                <w:rFonts w:cs="Calibri"/>
                <w:b/>
                <w:bCs/>
                <w:color w:val="000000"/>
                <w:sz w:val="20"/>
                <w:szCs w:val="20"/>
                <w:lang w:eastAsia="en-GB"/>
              </w:rPr>
            </w:pPr>
            <w:r>
              <w:rPr>
                <w:rFonts w:cs="Calibri"/>
                <w:b/>
                <w:bCs/>
                <w:color w:val="000000"/>
                <w:sz w:val="20"/>
                <w:szCs w:val="20"/>
              </w:rPr>
              <w:t>(497.1</w:t>
            </w:r>
            <w:r w:rsidR="0003552F">
              <w:rPr>
                <w:rFonts w:cs="Calibri"/>
                <w:b/>
                <w:bCs/>
                <w:color w:val="000000"/>
                <w:sz w:val="20"/>
                <w:szCs w:val="20"/>
              </w:rPr>
              <w:t>)</w:t>
            </w:r>
          </w:p>
        </w:tc>
        <w:tc>
          <w:tcPr>
            <w:tcW w:w="1037" w:type="dxa"/>
            <w:gridSpan w:val="2"/>
            <w:tcBorders>
              <w:top w:val="nil"/>
              <w:left w:val="nil"/>
              <w:bottom w:val="nil"/>
              <w:right w:val="single" w:sz="8" w:space="0" w:color="auto"/>
            </w:tcBorders>
            <w:shd w:val="clear" w:color="000000" w:fill="FFFFFF"/>
            <w:noWrap/>
            <w:vAlign w:val="center"/>
          </w:tcPr>
          <w:p w:rsidR="0003552F" w:rsidRPr="00EB2995" w:rsidRDefault="00711454" w:rsidP="0003552F">
            <w:pPr>
              <w:jc w:val="right"/>
              <w:rPr>
                <w:rFonts w:cs="Calibri"/>
                <w:b/>
                <w:bCs/>
                <w:color w:val="000000"/>
                <w:sz w:val="20"/>
                <w:szCs w:val="20"/>
                <w:lang w:eastAsia="en-GB"/>
              </w:rPr>
            </w:pPr>
            <w:r>
              <w:rPr>
                <w:rFonts w:cs="Calibri"/>
                <w:b/>
                <w:bCs/>
                <w:color w:val="000000"/>
                <w:sz w:val="20"/>
                <w:szCs w:val="20"/>
              </w:rPr>
              <w:t>(506</w:t>
            </w:r>
            <w:r w:rsidR="0003552F">
              <w:rPr>
                <w:rFonts w:cs="Calibri"/>
                <w:b/>
                <w:bCs/>
                <w:color w:val="000000"/>
                <w:sz w:val="20"/>
                <w:szCs w:val="20"/>
              </w:rPr>
              <w:t>.8)</w:t>
            </w:r>
          </w:p>
        </w:tc>
      </w:tr>
      <w:tr w:rsidR="0003552F" w:rsidRPr="00EB2995" w:rsidTr="0003552F">
        <w:trPr>
          <w:trHeight w:val="615"/>
        </w:trPr>
        <w:tc>
          <w:tcPr>
            <w:tcW w:w="3039" w:type="dxa"/>
            <w:gridSpan w:val="3"/>
            <w:tcBorders>
              <w:top w:val="nil"/>
              <w:left w:val="nil"/>
              <w:bottom w:val="nil"/>
              <w:right w:val="single" w:sz="8" w:space="0" w:color="000000"/>
            </w:tcBorders>
            <w:shd w:val="clear" w:color="000000" w:fill="FFFFFF"/>
            <w:vAlign w:val="center"/>
          </w:tcPr>
          <w:p w:rsidR="0003552F" w:rsidRPr="00EB2995" w:rsidRDefault="0003552F" w:rsidP="0003552F">
            <w:pPr>
              <w:rPr>
                <w:rFonts w:cs="Calibri"/>
                <w:color w:val="000000"/>
                <w:sz w:val="20"/>
                <w:szCs w:val="20"/>
                <w:lang w:eastAsia="en-GB"/>
              </w:rPr>
            </w:pPr>
            <w:r w:rsidRPr="00EB2995">
              <w:rPr>
                <w:rFonts w:cs="Calibri"/>
                <w:color w:val="000000"/>
                <w:sz w:val="20"/>
                <w:szCs w:val="20"/>
                <w:lang w:eastAsia="en-GB"/>
              </w:rPr>
              <w:t xml:space="preserve">Adjustments between accounting basis &amp; funding basis under regulations </w:t>
            </w:r>
          </w:p>
        </w:tc>
        <w:tc>
          <w:tcPr>
            <w:tcW w:w="980" w:type="dxa"/>
            <w:tcBorders>
              <w:top w:val="nil"/>
              <w:left w:val="nil"/>
              <w:bottom w:val="single" w:sz="8" w:space="0" w:color="auto"/>
              <w:right w:val="nil"/>
            </w:tcBorders>
            <w:shd w:val="clear" w:color="000000" w:fill="FFFFFF"/>
            <w:noWrap/>
            <w:vAlign w:val="center"/>
          </w:tcPr>
          <w:p w:rsidR="0003552F" w:rsidRPr="00EB2995" w:rsidRDefault="00456ADB" w:rsidP="0003552F">
            <w:pPr>
              <w:jc w:val="right"/>
              <w:rPr>
                <w:rFonts w:cs="Calibri"/>
                <w:color w:val="000000"/>
                <w:sz w:val="20"/>
                <w:szCs w:val="20"/>
                <w:lang w:eastAsia="en-GB"/>
              </w:rPr>
            </w:pPr>
            <w:r>
              <w:rPr>
                <w:rFonts w:cs="Calibri"/>
                <w:color w:val="000000"/>
                <w:sz w:val="20"/>
                <w:szCs w:val="20"/>
              </w:rPr>
              <w:t>(16</w:t>
            </w:r>
            <w:r w:rsidR="0003552F">
              <w:rPr>
                <w:rFonts w:cs="Calibri"/>
                <w:color w:val="000000"/>
                <w:sz w:val="20"/>
                <w:szCs w:val="20"/>
              </w:rPr>
              <w:t>.4)</w:t>
            </w:r>
          </w:p>
        </w:tc>
        <w:tc>
          <w:tcPr>
            <w:tcW w:w="1024" w:type="dxa"/>
            <w:gridSpan w:val="3"/>
            <w:tcBorders>
              <w:top w:val="nil"/>
              <w:left w:val="nil"/>
              <w:bottom w:val="single" w:sz="8" w:space="0" w:color="auto"/>
              <w:right w:val="nil"/>
            </w:tcBorders>
            <w:shd w:val="clear" w:color="000000" w:fill="FFFFFF"/>
            <w:vAlign w:val="center"/>
          </w:tcPr>
          <w:p w:rsidR="0003552F" w:rsidRPr="00EB2995" w:rsidRDefault="0003552F" w:rsidP="0003552F">
            <w:pPr>
              <w:jc w:val="right"/>
              <w:rPr>
                <w:rFonts w:cs="Calibri"/>
                <w:color w:val="000000"/>
                <w:sz w:val="20"/>
                <w:szCs w:val="20"/>
                <w:lang w:eastAsia="en-GB"/>
              </w:rPr>
            </w:pPr>
            <w:r>
              <w:rPr>
                <w:rFonts w:cs="Calibri"/>
                <w:color w:val="000000"/>
                <w:sz w:val="20"/>
                <w:szCs w:val="20"/>
              </w:rPr>
              <w:t>0.0</w:t>
            </w:r>
          </w:p>
        </w:tc>
        <w:tc>
          <w:tcPr>
            <w:tcW w:w="1120" w:type="dxa"/>
            <w:gridSpan w:val="2"/>
            <w:tcBorders>
              <w:top w:val="nil"/>
              <w:left w:val="nil"/>
              <w:bottom w:val="single" w:sz="8" w:space="0" w:color="auto"/>
              <w:right w:val="nil"/>
            </w:tcBorders>
            <w:shd w:val="clear" w:color="000000" w:fill="FFFFFF"/>
            <w:noWrap/>
            <w:vAlign w:val="center"/>
          </w:tcPr>
          <w:p w:rsidR="0003552F" w:rsidRPr="00EB2995" w:rsidRDefault="0003552F" w:rsidP="0003552F">
            <w:pPr>
              <w:jc w:val="right"/>
              <w:rPr>
                <w:rFonts w:cs="Calibri"/>
                <w:color w:val="000000"/>
                <w:sz w:val="20"/>
                <w:szCs w:val="20"/>
                <w:lang w:eastAsia="en-GB"/>
              </w:rPr>
            </w:pPr>
            <w:r>
              <w:rPr>
                <w:rFonts w:cs="Calibri"/>
                <w:color w:val="000000"/>
                <w:sz w:val="20"/>
                <w:szCs w:val="20"/>
              </w:rPr>
              <w:t>0.0</w:t>
            </w:r>
          </w:p>
        </w:tc>
        <w:tc>
          <w:tcPr>
            <w:tcW w:w="980" w:type="dxa"/>
            <w:gridSpan w:val="2"/>
            <w:tcBorders>
              <w:top w:val="nil"/>
              <w:left w:val="nil"/>
              <w:bottom w:val="single" w:sz="8" w:space="0" w:color="auto"/>
              <w:right w:val="nil"/>
            </w:tcBorders>
            <w:shd w:val="clear" w:color="000000" w:fill="FFFFFF"/>
            <w:noWrap/>
            <w:vAlign w:val="center"/>
          </w:tcPr>
          <w:p w:rsidR="0003552F" w:rsidRPr="00EB2995" w:rsidRDefault="0003552F" w:rsidP="0003552F">
            <w:pPr>
              <w:jc w:val="right"/>
              <w:rPr>
                <w:rFonts w:cs="Calibri"/>
                <w:color w:val="000000"/>
                <w:sz w:val="20"/>
                <w:szCs w:val="20"/>
                <w:highlight w:val="yellow"/>
                <w:lang w:eastAsia="en-GB"/>
              </w:rPr>
            </w:pPr>
            <w:r>
              <w:rPr>
                <w:rFonts w:cs="Calibri"/>
                <w:color w:val="000000"/>
                <w:sz w:val="20"/>
                <w:szCs w:val="20"/>
              </w:rPr>
              <w:t>(13.1)</w:t>
            </w:r>
          </w:p>
        </w:tc>
        <w:tc>
          <w:tcPr>
            <w:tcW w:w="1120" w:type="dxa"/>
            <w:gridSpan w:val="2"/>
            <w:tcBorders>
              <w:top w:val="nil"/>
              <w:left w:val="nil"/>
              <w:bottom w:val="single" w:sz="8" w:space="0" w:color="auto"/>
              <w:right w:val="nil"/>
            </w:tcBorders>
            <w:shd w:val="clear" w:color="000000" w:fill="FFFFFF"/>
            <w:noWrap/>
            <w:vAlign w:val="center"/>
          </w:tcPr>
          <w:p w:rsidR="0003552F" w:rsidRPr="00EB2995" w:rsidRDefault="0003552F" w:rsidP="0003552F">
            <w:pPr>
              <w:jc w:val="right"/>
              <w:rPr>
                <w:rFonts w:cs="Calibri"/>
                <w:color w:val="000000"/>
                <w:sz w:val="20"/>
                <w:szCs w:val="20"/>
                <w:lang w:eastAsia="en-GB"/>
              </w:rPr>
            </w:pPr>
            <w:r>
              <w:rPr>
                <w:rFonts w:cs="Calibri"/>
                <w:color w:val="000000"/>
                <w:sz w:val="20"/>
                <w:szCs w:val="20"/>
              </w:rPr>
              <w:t>0.0</w:t>
            </w:r>
          </w:p>
        </w:tc>
        <w:tc>
          <w:tcPr>
            <w:tcW w:w="960" w:type="dxa"/>
            <w:gridSpan w:val="2"/>
            <w:tcBorders>
              <w:top w:val="nil"/>
              <w:left w:val="nil"/>
              <w:bottom w:val="single" w:sz="8" w:space="0" w:color="auto"/>
              <w:right w:val="nil"/>
            </w:tcBorders>
            <w:shd w:val="clear" w:color="000000" w:fill="FFFFFF"/>
            <w:noWrap/>
            <w:vAlign w:val="center"/>
          </w:tcPr>
          <w:p w:rsidR="0003552F" w:rsidRPr="00EB2995" w:rsidRDefault="0003552F" w:rsidP="0003552F">
            <w:pPr>
              <w:jc w:val="right"/>
              <w:rPr>
                <w:rFonts w:cs="Calibri"/>
                <w:color w:val="000000"/>
                <w:sz w:val="20"/>
                <w:szCs w:val="20"/>
                <w:lang w:eastAsia="en-GB"/>
              </w:rPr>
            </w:pPr>
            <w:r>
              <w:rPr>
                <w:rFonts w:cs="Calibri"/>
                <w:color w:val="000000"/>
                <w:sz w:val="20"/>
                <w:szCs w:val="20"/>
              </w:rPr>
              <w:t>13.8</w:t>
            </w:r>
          </w:p>
        </w:tc>
        <w:tc>
          <w:tcPr>
            <w:tcW w:w="960" w:type="dxa"/>
            <w:gridSpan w:val="2"/>
            <w:tcBorders>
              <w:top w:val="nil"/>
              <w:left w:val="nil"/>
              <w:bottom w:val="single" w:sz="8" w:space="0" w:color="auto"/>
              <w:right w:val="nil"/>
            </w:tcBorders>
            <w:shd w:val="clear" w:color="000000" w:fill="FFFFFF"/>
            <w:noWrap/>
            <w:vAlign w:val="center"/>
          </w:tcPr>
          <w:p w:rsidR="0003552F" w:rsidRPr="00EB2995" w:rsidRDefault="0003552F" w:rsidP="0003552F">
            <w:pPr>
              <w:jc w:val="right"/>
              <w:rPr>
                <w:rFonts w:cs="Calibri"/>
                <w:color w:val="000000"/>
                <w:sz w:val="20"/>
                <w:szCs w:val="20"/>
                <w:lang w:eastAsia="en-GB"/>
              </w:rPr>
            </w:pPr>
            <w:r>
              <w:rPr>
                <w:rFonts w:cs="Calibri"/>
                <w:color w:val="000000"/>
                <w:sz w:val="20"/>
                <w:szCs w:val="20"/>
              </w:rPr>
              <w:t>0.0</w:t>
            </w:r>
          </w:p>
        </w:tc>
        <w:tc>
          <w:tcPr>
            <w:tcW w:w="1074" w:type="dxa"/>
            <w:gridSpan w:val="2"/>
            <w:tcBorders>
              <w:top w:val="nil"/>
              <w:left w:val="nil"/>
              <w:bottom w:val="single" w:sz="8" w:space="0" w:color="auto"/>
              <w:right w:val="nil"/>
            </w:tcBorders>
            <w:shd w:val="clear" w:color="000000" w:fill="FFFFFF"/>
            <w:noWrap/>
            <w:vAlign w:val="center"/>
          </w:tcPr>
          <w:p w:rsidR="0003552F" w:rsidRPr="00EB2995" w:rsidRDefault="0003552F" w:rsidP="0003552F">
            <w:pPr>
              <w:jc w:val="right"/>
              <w:rPr>
                <w:rFonts w:cs="Calibri"/>
                <w:color w:val="000000"/>
                <w:sz w:val="20"/>
                <w:szCs w:val="20"/>
                <w:lang w:eastAsia="en-GB"/>
              </w:rPr>
            </w:pPr>
            <w:r>
              <w:rPr>
                <w:rFonts w:cs="Calibri"/>
                <w:color w:val="000000"/>
                <w:sz w:val="20"/>
                <w:szCs w:val="20"/>
              </w:rPr>
              <w:t>(3.0)</w:t>
            </w:r>
          </w:p>
        </w:tc>
        <w:tc>
          <w:tcPr>
            <w:tcW w:w="960" w:type="dxa"/>
            <w:tcBorders>
              <w:top w:val="nil"/>
              <w:left w:val="nil"/>
              <w:bottom w:val="single" w:sz="8" w:space="0" w:color="auto"/>
              <w:right w:val="nil"/>
            </w:tcBorders>
            <w:shd w:val="clear" w:color="000000" w:fill="FFFFFF"/>
            <w:noWrap/>
            <w:vAlign w:val="center"/>
          </w:tcPr>
          <w:p w:rsidR="0003552F" w:rsidRPr="00EB2995" w:rsidRDefault="00711454" w:rsidP="0003552F">
            <w:pPr>
              <w:jc w:val="right"/>
              <w:rPr>
                <w:rFonts w:cs="Calibri"/>
                <w:b/>
                <w:bCs/>
                <w:color w:val="000000"/>
                <w:sz w:val="20"/>
                <w:szCs w:val="20"/>
                <w:lang w:eastAsia="en-GB"/>
              </w:rPr>
            </w:pPr>
            <w:r>
              <w:rPr>
                <w:rFonts w:cs="Calibri"/>
                <w:color w:val="000000"/>
                <w:sz w:val="20"/>
                <w:szCs w:val="20"/>
              </w:rPr>
              <w:t>(18.7</w:t>
            </w:r>
            <w:r w:rsidR="0003552F">
              <w:rPr>
                <w:rFonts w:cs="Calibri"/>
                <w:color w:val="000000"/>
                <w:sz w:val="20"/>
                <w:szCs w:val="20"/>
              </w:rPr>
              <w:t>)</w:t>
            </w:r>
          </w:p>
        </w:tc>
        <w:tc>
          <w:tcPr>
            <w:tcW w:w="997" w:type="dxa"/>
            <w:gridSpan w:val="2"/>
            <w:tcBorders>
              <w:top w:val="nil"/>
              <w:left w:val="nil"/>
              <w:bottom w:val="single" w:sz="8" w:space="0" w:color="auto"/>
              <w:right w:val="nil"/>
            </w:tcBorders>
            <w:shd w:val="clear" w:color="000000" w:fill="FFFFFF"/>
            <w:noWrap/>
            <w:vAlign w:val="center"/>
          </w:tcPr>
          <w:p w:rsidR="0003552F" w:rsidRPr="00EB2995" w:rsidRDefault="00711454" w:rsidP="0003552F">
            <w:pPr>
              <w:jc w:val="right"/>
              <w:rPr>
                <w:rFonts w:cs="Calibri"/>
                <w:color w:val="000000"/>
                <w:sz w:val="20"/>
                <w:szCs w:val="20"/>
                <w:lang w:eastAsia="en-GB"/>
              </w:rPr>
            </w:pPr>
            <w:r>
              <w:rPr>
                <w:rFonts w:cs="Calibri"/>
                <w:color w:val="000000"/>
                <w:sz w:val="20"/>
                <w:szCs w:val="20"/>
              </w:rPr>
              <w:t>18.7</w:t>
            </w:r>
          </w:p>
        </w:tc>
        <w:tc>
          <w:tcPr>
            <w:tcW w:w="1037" w:type="dxa"/>
            <w:gridSpan w:val="2"/>
            <w:tcBorders>
              <w:top w:val="nil"/>
              <w:left w:val="nil"/>
              <w:bottom w:val="single" w:sz="8" w:space="0" w:color="auto"/>
              <w:right w:val="single" w:sz="8" w:space="0" w:color="auto"/>
            </w:tcBorders>
            <w:shd w:val="clear" w:color="000000" w:fill="FFFFFF"/>
            <w:noWrap/>
            <w:vAlign w:val="center"/>
          </w:tcPr>
          <w:p w:rsidR="0003552F" w:rsidRPr="00EB2995" w:rsidRDefault="0003552F" w:rsidP="0003552F">
            <w:pPr>
              <w:jc w:val="right"/>
              <w:rPr>
                <w:rFonts w:cs="Calibri"/>
                <w:b/>
                <w:bCs/>
                <w:color w:val="000000"/>
                <w:sz w:val="20"/>
                <w:szCs w:val="20"/>
                <w:lang w:eastAsia="en-GB"/>
              </w:rPr>
            </w:pPr>
            <w:r>
              <w:rPr>
                <w:rFonts w:cs="Calibri"/>
                <w:b/>
                <w:bCs/>
                <w:color w:val="000000"/>
                <w:sz w:val="20"/>
                <w:szCs w:val="20"/>
              </w:rPr>
              <w:t>0.0</w:t>
            </w:r>
          </w:p>
        </w:tc>
      </w:tr>
      <w:tr w:rsidR="0003552F" w:rsidRPr="00EB2995" w:rsidTr="0003552F">
        <w:trPr>
          <w:trHeight w:val="480"/>
        </w:trPr>
        <w:tc>
          <w:tcPr>
            <w:tcW w:w="3039" w:type="dxa"/>
            <w:gridSpan w:val="3"/>
            <w:tcBorders>
              <w:top w:val="nil"/>
              <w:left w:val="nil"/>
              <w:bottom w:val="nil"/>
              <w:right w:val="single" w:sz="8" w:space="0" w:color="000000"/>
            </w:tcBorders>
            <w:shd w:val="clear" w:color="000000" w:fill="FFFFFF"/>
            <w:vAlign w:val="center"/>
          </w:tcPr>
          <w:p w:rsidR="0003552F" w:rsidRPr="00EB2995" w:rsidRDefault="0003552F" w:rsidP="0003552F">
            <w:pPr>
              <w:rPr>
                <w:rFonts w:cs="Calibri"/>
                <w:b/>
                <w:bCs/>
                <w:color w:val="000000"/>
                <w:sz w:val="20"/>
                <w:szCs w:val="20"/>
                <w:lang w:eastAsia="en-GB"/>
              </w:rPr>
            </w:pPr>
            <w:r w:rsidRPr="00EB2995">
              <w:rPr>
                <w:rFonts w:cs="Calibri"/>
                <w:b/>
                <w:bCs/>
                <w:color w:val="000000"/>
                <w:sz w:val="20"/>
                <w:szCs w:val="20"/>
                <w:lang w:eastAsia="en-GB"/>
              </w:rPr>
              <w:t>Net (increase)/decrease before transfers to earmarked reserves</w:t>
            </w:r>
          </w:p>
        </w:tc>
        <w:tc>
          <w:tcPr>
            <w:tcW w:w="980" w:type="dxa"/>
            <w:tcBorders>
              <w:top w:val="nil"/>
              <w:left w:val="nil"/>
              <w:bottom w:val="nil"/>
              <w:right w:val="nil"/>
            </w:tcBorders>
            <w:shd w:val="clear" w:color="000000" w:fill="FFFFFF"/>
            <w:noWrap/>
            <w:vAlign w:val="center"/>
          </w:tcPr>
          <w:p w:rsidR="0003552F" w:rsidRPr="00EB2995" w:rsidRDefault="00456ADB" w:rsidP="0003552F">
            <w:pPr>
              <w:jc w:val="right"/>
              <w:rPr>
                <w:rFonts w:cs="Calibri"/>
                <w:color w:val="000000"/>
                <w:sz w:val="20"/>
                <w:szCs w:val="20"/>
                <w:lang w:eastAsia="en-GB"/>
              </w:rPr>
            </w:pPr>
            <w:r>
              <w:rPr>
                <w:rFonts w:cs="Calibri"/>
                <w:color w:val="000000"/>
                <w:sz w:val="20"/>
                <w:szCs w:val="20"/>
              </w:rPr>
              <w:t>(36.5</w:t>
            </w:r>
            <w:r w:rsidR="0003552F">
              <w:rPr>
                <w:rFonts w:cs="Calibri"/>
                <w:color w:val="000000"/>
                <w:sz w:val="20"/>
                <w:szCs w:val="20"/>
              </w:rPr>
              <w:t>)</w:t>
            </w:r>
          </w:p>
        </w:tc>
        <w:tc>
          <w:tcPr>
            <w:tcW w:w="1024" w:type="dxa"/>
            <w:gridSpan w:val="3"/>
            <w:tcBorders>
              <w:top w:val="nil"/>
              <w:left w:val="nil"/>
              <w:bottom w:val="nil"/>
              <w:right w:val="nil"/>
            </w:tcBorders>
            <w:shd w:val="clear" w:color="000000" w:fill="FFFFFF"/>
            <w:noWrap/>
            <w:vAlign w:val="center"/>
          </w:tcPr>
          <w:p w:rsidR="0003552F" w:rsidRPr="00EB2995" w:rsidRDefault="0003552F" w:rsidP="0003552F">
            <w:pPr>
              <w:jc w:val="right"/>
              <w:rPr>
                <w:rFonts w:cs="Calibri"/>
                <w:color w:val="000000"/>
                <w:sz w:val="20"/>
                <w:szCs w:val="20"/>
                <w:lang w:eastAsia="en-GB"/>
              </w:rPr>
            </w:pPr>
            <w:r>
              <w:rPr>
                <w:rFonts w:cs="Calibri"/>
                <w:color w:val="000000"/>
                <w:sz w:val="20"/>
                <w:szCs w:val="20"/>
              </w:rPr>
              <w:t>0.0</w:t>
            </w:r>
          </w:p>
        </w:tc>
        <w:tc>
          <w:tcPr>
            <w:tcW w:w="1120" w:type="dxa"/>
            <w:gridSpan w:val="2"/>
            <w:tcBorders>
              <w:top w:val="nil"/>
              <w:left w:val="nil"/>
              <w:bottom w:val="nil"/>
              <w:right w:val="nil"/>
            </w:tcBorders>
            <w:shd w:val="clear" w:color="000000" w:fill="FFFFFF"/>
            <w:noWrap/>
            <w:vAlign w:val="center"/>
          </w:tcPr>
          <w:p w:rsidR="0003552F" w:rsidRPr="00EB2995" w:rsidRDefault="0003552F" w:rsidP="0003552F">
            <w:pPr>
              <w:jc w:val="right"/>
              <w:rPr>
                <w:rFonts w:cs="Calibri"/>
                <w:color w:val="000000"/>
                <w:sz w:val="20"/>
                <w:szCs w:val="20"/>
                <w:lang w:eastAsia="en-GB"/>
              </w:rPr>
            </w:pPr>
            <w:r>
              <w:rPr>
                <w:rFonts w:cs="Calibri"/>
                <w:color w:val="000000"/>
                <w:sz w:val="20"/>
                <w:szCs w:val="20"/>
              </w:rPr>
              <w:t>0.0</w:t>
            </w:r>
          </w:p>
        </w:tc>
        <w:tc>
          <w:tcPr>
            <w:tcW w:w="980" w:type="dxa"/>
            <w:gridSpan w:val="2"/>
            <w:tcBorders>
              <w:top w:val="nil"/>
              <w:left w:val="nil"/>
              <w:bottom w:val="nil"/>
              <w:right w:val="nil"/>
            </w:tcBorders>
            <w:shd w:val="clear" w:color="000000" w:fill="FFFFFF"/>
            <w:noWrap/>
            <w:vAlign w:val="center"/>
          </w:tcPr>
          <w:p w:rsidR="0003552F" w:rsidRPr="00EB2995" w:rsidRDefault="0003552F" w:rsidP="0003552F">
            <w:pPr>
              <w:jc w:val="right"/>
              <w:rPr>
                <w:rFonts w:cs="Calibri"/>
                <w:color w:val="000000"/>
                <w:sz w:val="20"/>
                <w:szCs w:val="20"/>
                <w:lang w:eastAsia="en-GB"/>
              </w:rPr>
            </w:pPr>
            <w:r>
              <w:rPr>
                <w:rFonts w:cs="Calibri"/>
                <w:color w:val="000000"/>
                <w:sz w:val="20"/>
                <w:szCs w:val="20"/>
              </w:rPr>
              <w:t>(2.7)</w:t>
            </w:r>
          </w:p>
        </w:tc>
        <w:tc>
          <w:tcPr>
            <w:tcW w:w="1120" w:type="dxa"/>
            <w:gridSpan w:val="2"/>
            <w:tcBorders>
              <w:top w:val="nil"/>
              <w:left w:val="nil"/>
              <w:bottom w:val="nil"/>
              <w:right w:val="nil"/>
            </w:tcBorders>
            <w:shd w:val="clear" w:color="000000" w:fill="FFFFFF"/>
            <w:noWrap/>
            <w:vAlign w:val="center"/>
          </w:tcPr>
          <w:p w:rsidR="0003552F" w:rsidRPr="00EB2995" w:rsidRDefault="0003552F" w:rsidP="0003552F">
            <w:pPr>
              <w:jc w:val="right"/>
              <w:rPr>
                <w:rFonts w:cs="Calibri"/>
                <w:color w:val="000000"/>
                <w:sz w:val="20"/>
                <w:szCs w:val="20"/>
                <w:lang w:eastAsia="en-GB"/>
              </w:rPr>
            </w:pPr>
            <w:r>
              <w:rPr>
                <w:rFonts w:cs="Calibri"/>
                <w:color w:val="000000"/>
                <w:sz w:val="20"/>
                <w:szCs w:val="20"/>
              </w:rPr>
              <w:t>0.0</w:t>
            </w:r>
          </w:p>
        </w:tc>
        <w:tc>
          <w:tcPr>
            <w:tcW w:w="960" w:type="dxa"/>
            <w:gridSpan w:val="2"/>
            <w:tcBorders>
              <w:top w:val="nil"/>
              <w:left w:val="nil"/>
              <w:bottom w:val="nil"/>
              <w:right w:val="nil"/>
            </w:tcBorders>
            <w:shd w:val="clear" w:color="000000" w:fill="FFFFFF"/>
            <w:noWrap/>
            <w:vAlign w:val="center"/>
          </w:tcPr>
          <w:p w:rsidR="0003552F" w:rsidRPr="00EB2995" w:rsidRDefault="0003552F" w:rsidP="0003552F">
            <w:pPr>
              <w:jc w:val="right"/>
              <w:rPr>
                <w:rFonts w:cs="Calibri"/>
                <w:color w:val="000000"/>
                <w:sz w:val="20"/>
                <w:szCs w:val="20"/>
                <w:lang w:eastAsia="en-GB"/>
              </w:rPr>
            </w:pPr>
            <w:r>
              <w:rPr>
                <w:rFonts w:cs="Calibri"/>
                <w:color w:val="000000"/>
                <w:sz w:val="20"/>
                <w:szCs w:val="20"/>
              </w:rPr>
              <w:t>13.8</w:t>
            </w:r>
          </w:p>
        </w:tc>
        <w:tc>
          <w:tcPr>
            <w:tcW w:w="960" w:type="dxa"/>
            <w:gridSpan w:val="2"/>
            <w:tcBorders>
              <w:top w:val="nil"/>
              <w:left w:val="nil"/>
              <w:bottom w:val="nil"/>
              <w:right w:val="nil"/>
            </w:tcBorders>
            <w:shd w:val="clear" w:color="000000" w:fill="FFFFFF"/>
            <w:noWrap/>
            <w:vAlign w:val="center"/>
          </w:tcPr>
          <w:p w:rsidR="0003552F" w:rsidRPr="00EB2995" w:rsidRDefault="0003552F" w:rsidP="0003552F">
            <w:pPr>
              <w:jc w:val="right"/>
              <w:rPr>
                <w:rFonts w:cs="Calibri"/>
                <w:color w:val="000000"/>
                <w:sz w:val="20"/>
                <w:szCs w:val="20"/>
                <w:lang w:eastAsia="en-GB"/>
              </w:rPr>
            </w:pPr>
            <w:r>
              <w:rPr>
                <w:rFonts w:cs="Calibri"/>
                <w:color w:val="000000"/>
                <w:sz w:val="20"/>
                <w:szCs w:val="20"/>
              </w:rPr>
              <w:t>0.0</w:t>
            </w:r>
          </w:p>
        </w:tc>
        <w:tc>
          <w:tcPr>
            <w:tcW w:w="1074" w:type="dxa"/>
            <w:gridSpan w:val="2"/>
            <w:tcBorders>
              <w:top w:val="nil"/>
              <w:left w:val="nil"/>
              <w:bottom w:val="nil"/>
              <w:right w:val="nil"/>
            </w:tcBorders>
            <w:shd w:val="clear" w:color="000000" w:fill="FFFFFF"/>
            <w:noWrap/>
            <w:vAlign w:val="center"/>
          </w:tcPr>
          <w:p w:rsidR="0003552F" w:rsidRPr="00EB2995" w:rsidRDefault="0003552F" w:rsidP="0003552F">
            <w:pPr>
              <w:jc w:val="right"/>
              <w:rPr>
                <w:rFonts w:cs="Calibri"/>
                <w:color w:val="000000"/>
                <w:sz w:val="20"/>
                <w:szCs w:val="20"/>
                <w:lang w:eastAsia="en-GB"/>
              </w:rPr>
            </w:pPr>
            <w:r>
              <w:rPr>
                <w:rFonts w:cs="Calibri"/>
                <w:color w:val="000000"/>
                <w:sz w:val="20"/>
                <w:szCs w:val="20"/>
              </w:rPr>
              <w:t>(3.0)</w:t>
            </w:r>
          </w:p>
        </w:tc>
        <w:tc>
          <w:tcPr>
            <w:tcW w:w="960" w:type="dxa"/>
            <w:tcBorders>
              <w:top w:val="nil"/>
              <w:left w:val="nil"/>
              <w:bottom w:val="nil"/>
              <w:right w:val="nil"/>
            </w:tcBorders>
            <w:shd w:val="clear" w:color="000000" w:fill="FFFFFF"/>
            <w:noWrap/>
            <w:vAlign w:val="center"/>
          </w:tcPr>
          <w:p w:rsidR="0003552F" w:rsidRPr="00EB2995" w:rsidRDefault="00711454" w:rsidP="0003552F">
            <w:pPr>
              <w:jc w:val="right"/>
              <w:rPr>
                <w:rFonts w:cs="Calibri"/>
                <w:b/>
                <w:bCs/>
                <w:color w:val="000000"/>
                <w:sz w:val="20"/>
                <w:szCs w:val="20"/>
                <w:lang w:eastAsia="en-GB"/>
              </w:rPr>
            </w:pPr>
            <w:r>
              <w:rPr>
                <w:rFonts w:cs="Calibri"/>
                <w:color w:val="000000"/>
                <w:sz w:val="20"/>
                <w:szCs w:val="20"/>
              </w:rPr>
              <w:t>(28.4</w:t>
            </w:r>
            <w:r w:rsidR="0003552F">
              <w:rPr>
                <w:rFonts w:cs="Calibri"/>
                <w:color w:val="000000"/>
                <w:sz w:val="20"/>
                <w:szCs w:val="20"/>
              </w:rPr>
              <w:t>)</w:t>
            </w:r>
          </w:p>
        </w:tc>
        <w:tc>
          <w:tcPr>
            <w:tcW w:w="997" w:type="dxa"/>
            <w:gridSpan w:val="2"/>
            <w:tcBorders>
              <w:top w:val="nil"/>
              <w:left w:val="nil"/>
              <w:bottom w:val="nil"/>
              <w:right w:val="nil"/>
            </w:tcBorders>
            <w:shd w:val="clear" w:color="000000" w:fill="FFFFFF"/>
            <w:noWrap/>
            <w:vAlign w:val="center"/>
          </w:tcPr>
          <w:p w:rsidR="0003552F" w:rsidRPr="00EB2995" w:rsidRDefault="00711454" w:rsidP="0003552F">
            <w:pPr>
              <w:jc w:val="right"/>
              <w:rPr>
                <w:rFonts w:cs="Calibri"/>
                <w:color w:val="000000"/>
                <w:sz w:val="20"/>
                <w:szCs w:val="20"/>
                <w:lang w:eastAsia="en-GB"/>
              </w:rPr>
            </w:pPr>
            <w:r>
              <w:rPr>
                <w:rFonts w:cs="Calibri"/>
                <w:color w:val="000000"/>
                <w:sz w:val="20"/>
                <w:szCs w:val="20"/>
              </w:rPr>
              <w:t>(478.4</w:t>
            </w:r>
            <w:r w:rsidR="0003552F">
              <w:rPr>
                <w:rFonts w:cs="Calibri"/>
                <w:color w:val="000000"/>
                <w:sz w:val="20"/>
                <w:szCs w:val="20"/>
              </w:rPr>
              <w:t>)</w:t>
            </w:r>
          </w:p>
        </w:tc>
        <w:tc>
          <w:tcPr>
            <w:tcW w:w="1037" w:type="dxa"/>
            <w:gridSpan w:val="2"/>
            <w:tcBorders>
              <w:top w:val="nil"/>
              <w:left w:val="nil"/>
              <w:bottom w:val="nil"/>
              <w:right w:val="single" w:sz="8" w:space="0" w:color="auto"/>
            </w:tcBorders>
            <w:shd w:val="clear" w:color="000000" w:fill="FFFFFF"/>
            <w:noWrap/>
            <w:vAlign w:val="center"/>
          </w:tcPr>
          <w:p w:rsidR="0003552F" w:rsidRPr="00EB2995" w:rsidRDefault="00711454" w:rsidP="0003552F">
            <w:pPr>
              <w:jc w:val="right"/>
              <w:rPr>
                <w:rFonts w:cs="Calibri"/>
                <w:b/>
                <w:bCs/>
                <w:color w:val="000000"/>
                <w:sz w:val="20"/>
                <w:szCs w:val="20"/>
                <w:lang w:eastAsia="en-GB"/>
              </w:rPr>
            </w:pPr>
            <w:r>
              <w:rPr>
                <w:rFonts w:cs="Calibri"/>
                <w:color w:val="000000"/>
                <w:sz w:val="20"/>
                <w:szCs w:val="20"/>
              </w:rPr>
              <w:t>(506</w:t>
            </w:r>
            <w:r w:rsidR="0003552F">
              <w:rPr>
                <w:rFonts w:cs="Calibri"/>
                <w:color w:val="000000"/>
                <w:sz w:val="20"/>
                <w:szCs w:val="20"/>
              </w:rPr>
              <w:t>.8)</w:t>
            </w:r>
          </w:p>
        </w:tc>
      </w:tr>
      <w:tr w:rsidR="0003552F" w:rsidRPr="00EB2995" w:rsidTr="0003552F">
        <w:trPr>
          <w:trHeight w:val="450"/>
        </w:trPr>
        <w:tc>
          <w:tcPr>
            <w:tcW w:w="3039" w:type="dxa"/>
            <w:gridSpan w:val="3"/>
            <w:tcBorders>
              <w:top w:val="nil"/>
              <w:left w:val="nil"/>
              <w:bottom w:val="nil"/>
              <w:right w:val="single" w:sz="8" w:space="0" w:color="000000"/>
            </w:tcBorders>
            <w:shd w:val="clear" w:color="000000" w:fill="FFFFFF"/>
            <w:vAlign w:val="center"/>
          </w:tcPr>
          <w:p w:rsidR="0003552F" w:rsidRPr="00EB2995" w:rsidRDefault="0003552F" w:rsidP="0003552F">
            <w:pPr>
              <w:rPr>
                <w:rFonts w:cs="Calibri"/>
                <w:color w:val="000000"/>
                <w:sz w:val="20"/>
                <w:szCs w:val="20"/>
                <w:lang w:eastAsia="en-GB"/>
              </w:rPr>
            </w:pPr>
            <w:r w:rsidRPr="00EB2995">
              <w:rPr>
                <w:rFonts w:cs="Calibri"/>
                <w:color w:val="000000"/>
                <w:sz w:val="20"/>
                <w:szCs w:val="20"/>
                <w:lang w:eastAsia="en-GB"/>
              </w:rPr>
              <w:t xml:space="preserve">Transfers (to)/from earmarked reserves </w:t>
            </w:r>
          </w:p>
        </w:tc>
        <w:tc>
          <w:tcPr>
            <w:tcW w:w="980" w:type="dxa"/>
            <w:tcBorders>
              <w:top w:val="nil"/>
              <w:left w:val="nil"/>
              <w:bottom w:val="nil"/>
              <w:right w:val="nil"/>
            </w:tcBorders>
            <w:shd w:val="clear" w:color="000000" w:fill="FFFFFF"/>
            <w:noWrap/>
            <w:vAlign w:val="center"/>
          </w:tcPr>
          <w:p w:rsidR="0003552F" w:rsidRPr="00EB2995" w:rsidRDefault="00456ADB" w:rsidP="0003552F">
            <w:pPr>
              <w:jc w:val="right"/>
              <w:rPr>
                <w:rFonts w:cs="Calibri"/>
                <w:color w:val="000000"/>
                <w:sz w:val="20"/>
                <w:szCs w:val="20"/>
                <w:lang w:eastAsia="en-GB"/>
              </w:rPr>
            </w:pPr>
            <w:r>
              <w:rPr>
                <w:rFonts w:cs="Calibri"/>
                <w:color w:val="000000"/>
                <w:sz w:val="20"/>
                <w:szCs w:val="20"/>
              </w:rPr>
              <w:t>36.5</w:t>
            </w:r>
          </w:p>
        </w:tc>
        <w:tc>
          <w:tcPr>
            <w:tcW w:w="1024" w:type="dxa"/>
            <w:gridSpan w:val="3"/>
            <w:tcBorders>
              <w:top w:val="nil"/>
              <w:left w:val="nil"/>
              <w:bottom w:val="nil"/>
              <w:right w:val="nil"/>
            </w:tcBorders>
            <w:shd w:val="clear" w:color="000000" w:fill="FFFFFF"/>
            <w:vAlign w:val="center"/>
          </w:tcPr>
          <w:p w:rsidR="0003552F" w:rsidRPr="00EB2995" w:rsidRDefault="0003552F" w:rsidP="0003552F">
            <w:pPr>
              <w:jc w:val="right"/>
              <w:rPr>
                <w:rFonts w:cs="Calibri"/>
                <w:color w:val="000000"/>
                <w:sz w:val="20"/>
                <w:szCs w:val="20"/>
                <w:lang w:eastAsia="en-GB"/>
              </w:rPr>
            </w:pPr>
            <w:r>
              <w:rPr>
                <w:rFonts w:cs="Calibri"/>
                <w:color w:val="000000"/>
                <w:sz w:val="20"/>
                <w:szCs w:val="20"/>
              </w:rPr>
              <w:t>10.1</w:t>
            </w:r>
          </w:p>
        </w:tc>
        <w:tc>
          <w:tcPr>
            <w:tcW w:w="1120" w:type="dxa"/>
            <w:gridSpan w:val="2"/>
            <w:tcBorders>
              <w:top w:val="nil"/>
              <w:left w:val="nil"/>
              <w:bottom w:val="nil"/>
              <w:right w:val="nil"/>
            </w:tcBorders>
            <w:shd w:val="clear" w:color="000000" w:fill="FFFFFF"/>
            <w:noWrap/>
            <w:vAlign w:val="center"/>
          </w:tcPr>
          <w:p w:rsidR="0003552F" w:rsidRPr="00EB2995" w:rsidRDefault="00456ADB" w:rsidP="0003552F">
            <w:pPr>
              <w:jc w:val="right"/>
              <w:rPr>
                <w:rFonts w:cs="Calibri"/>
                <w:color w:val="000000"/>
                <w:sz w:val="20"/>
                <w:szCs w:val="20"/>
                <w:lang w:eastAsia="en-GB"/>
              </w:rPr>
            </w:pPr>
            <w:r>
              <w:rPr>
                <w:rFonts w:cs="Calibri"/>
                <w:color w:val="000000"/>
                <w:sz w:val="20"/>
                <w:szCs w:val="20"/>
              </w:rPr>
              <w:t>(46.6</w:t>
            </w:r>
            <w:r w:rsidR="0003552F">
              <w:rPr>
                <w:rFonts w:cs="Calibri"/>
                <w:color w:val="000000"/>
                <w:sz w:val="20"/>
                <w:szCs w:val="20"/>
              </w:rPr>
              <w:t>)</w:t>
            </w:r>
          </w:p>
        </w:tc>
        <w:tc>
          <w:tcPr>
            <w:tcW w:w="980" w:type="dxa"/>
            <w:gridSpan w:val="2"/>
            <w:tcBorders>
              <w:top w:val="nil"/>
              <w:left w:val="nil"/>
              <w:bottom w:val="nil"/>
              <w:right w:val="nil"/>
            </w:tcBorders>
            <w:shd w:val="clear" w:color="000000" w:fill="FFFFFF"/>
            <w:noWrap/>
            <w:vAlign w:val="center"/>
          </w:tcPr>
          <w:p w:rsidR="0003552F" w:rsidRPr="00EB2995" w:rsidRDefault="0003552F" w:rsidP="0003552F">
            <w:pPr>
              <w:jc w:val="right"/>
              <w:rPr>
                <w:rFonts w:cs="Calibri"/>
                <w:color w:val="000000"/>
                <w:sz w:val="20"/>
                <w:szCs w:val="20"/>
                <w:lang w:eastAsia="en-GB"/>
              </w:rPr>
            </w:pPr>
            <w:r>
              <w:rPr>
                <w:rFonts w:cs="Calibri"/>
                <w:color w:val="000000"/>
                <w:sz w:val="20"/>
                <w:szCs w:val="20"/>
              </w:rPr>
              <w:t>2.7</w:t>
            </w:r>
          </w:p>
        </w:tc>
        <w:tc>
          <w:tcPr>
            <w:tcW w:w="1120" w:type="dxa"/>
            <w:gridSpan w:val="2"/>
            <w:tcBorders>
              <w:top w:val="nil"/>
              <w:left w:val="nil"/>
              <w:bottom w:val="nil"/>
              <w:right w:val="nil"/>
            </w:tcBorders>
            <w:shd w:val="clear" w:color="000000" w:fill="FFFFFF"/>
            <w:noWrap/>
            <w:vAlign w:val="center"/>
          </w:tcPr>
          <w:p w:rsidR="0003552F" w:rsidRPr="00EB2995" w:rsidRDefault="0003552F" w:rsidP="0003552F">
            <w:pPr>
              <w:jc w:val="right"/>
              <w:rPr>
                <w:rFonts w:cs="Calibri"/>
                <w:color w:val="000000"/>
                <w:sz w:val="20"/>
                <w:szCs w:val="20"/>
                <w:lang w:eastAsia="en-GB"/>
              </w:rPr>
            </w:pPr>
            <w:r>
              <w:rPr>
                <w:rFonts w:cs="Calibri"/>
                <w:color w:val="000000"/>
                <w:sz w:val="20"/>
                <w:szCs w:val="20"/>
              </w:rPr>
              <w:t>(2.7)</w:t>
            </w:r>
          </w:p>
        </w:tc>
        <w:tc>
          <w:tcPr>
            <w:tcW w:w="960" w:type="dxa"/>
            <w:gridSpan w:val="2"/>
            <w:tcBorders>
              <w:top w:val="nil"/>
              <w:left w:val="nil"/>
              <w:bottom w:val="nil"/>
              <w:right w:val="nil"/>
            </w:tcBorders>
            <w:shd w:val="clear" w:color="000000" w:fill="FFFFFF"/>
            <w:noWrap/>
            <w:vAlign w:val="center"/>
          </w:tcPr>
          <w:p w:rsidR="0003552F" w:rsidRPr="00EB2995" w:rsidRDefault="0003552F" w:rsidP="0003552F">
            <w:pPr>
              <w:jc w:val="right"/>
              <w:rPr>
                <w:rFonts w:cs="Calibri"/>
                <w:color w:val="000000"/>
                <w:sz w:val="20"/>
                <w:szCs w:val="20"/>
                <w:lang w:eastAsia="en-GB"/>
              </w:rPr>
            </w:pPr>
            <w:r>
              <w:rPr>
                <w:rFonts w:cs="Calibri"/>
                <w:color w:val="000000"/>
                <w:sz w:val="20"/>
                <w:szCs w:val="20"/>
              </w:rPr>
              <w:t>0.0</w:t>
            </w:r>
          </w:p>
        </w:tc>
        <w:tc>
          <w:tcPr>
            <w:tcW w:w="960" w:type="dxa"/>
            <w:gridSpan w:val="2"/>
            <w:tcBorders>
              <w:top w:val="nil"/>
              <w:left w:val="nil"/>
              <w:bottom w:val="nil"/>
              <w:right w:val="nil"/>
            </w:tcBorders>
            <w:shd w:val="clear" w:color="000000" w:fill="FFFFFF"/>
            <w:noWrap/>
            <w:vAlign w:val="center"/>
          </w:tcPr>
          <w:p w:rsidR="0003552F" w:rsidRPr="00EB2995" w:rsidRDefault="0003552F" w:rsidP="0003552F">
            <w:pPr>
              <w:jc w:val="right"/>
              <w:rPr>
                <w:rFonts w:cs="Calibri"/>
                <w:color w:val="000000"/>
                <w:sz w:val="20"/>
                <w:szCs w:val="20"/>
                <w:lang w:eastAsia="en-GB"/>
              </w:rPr>
            </w:pPr>
            <w:r>
              <w:rPr>
                <w:rFonts w:cs="Calibri"/>
                <w:color w:val="000000"/>
                <w:sz w:val="20"/>
                <w:szCs w:val="20"/>
              </w:rPr>
              <w:t>0.0</w:t>
            </w:r>
          </w:p>
        </w:tc>
        <w:tc>
          <w:tcPr>
            <w:tcW w:w="1074" w:type="dxa"/>
            <w:gridSpan w:val="2"/>
            <w:tcBorders>
              <w:top w:val="nil"/>
              <w:left w:val="nil"/>
              <w:bottom w:val="nil"/>
              <w:right w:val="nil"/>
            </w:tcBorders>
            <w:shd w:val="clear" w:color="000000" w:fill="FFFFFF"/>
            <w:noWrap/>
            <w:vAlign w:val="center"/>
          </w:tcPr>
          <w:p w:rsidR="0003552F" w:rsidRPr="00EB2995" w:rsidRDefault="0003552F" w:rsidP="0003552F">
            <w:pPr>
              <w:jc w:val="right"/>
              <w:rPr>
                <w:rFonts w:cs="Calibri"/>
                <w:color w:val="000000"/>
                <w:sz w:val="20"/>
                <w:szCs w:val="20"/>
                <w:lang w:eastAsia="en-GB"/>
              </w:rPr>
            </w:pPr>
            <w:r>
              <w:rPr>
                <w:rFonts w:cs="Calibri"/>
                <w:color w:val="000000"/>
                <w:sz w:val="20"/>
                <w:szCs w:val="20"/>
              </w:rPr>
              <w:t>0.0</w:t>
            </w:r>
          </w:p>
        </w:tc>
        <w:tc>
          <w:tcPr>
            <w:tcW w:w="960" w:type="dxa"/>
            <w:tcBorders>
              <w:top w:val="nil"/>
              <w:left w:val="nil"/>
              <w:bottom w:val="nil"/>
              <w:right w:val="nil"/>
            </w:tcBorders>
            <w:shd w:val="clear" w:color="000000" w:fill="FFFFFF"/>
            <w:noWrap/>
            <w:vAlign w:val="center"/>
          </w:tcPr>
          <w:p w:rsidR="0003552F" w:rsidRPr="00EB2995" w:rsidRDefault="0003552F" w:rsidP="0003552F">
            <w:pPr>
              <w:jc w:val="right"/>
              <w:rPr>
                <w:rFonts w:cs="Calibri"/>
                <w:bCs/>
                <w:color w:val="000000"/>
                <w:sz w:val="20"/>
                <w:szCs w:val="20"/>
                <w:lang w:eastAsia="en-GB"/>
              </w:rPr>
            </w:pPr>
            <w:r>
              <w:rPr>
                <w:rFonts w:cs="Calibri"/>
                <w:color w:val="000000"/>
                <w:sz w:val="20"/>
                <w:szCs w:val="20"/>
              </w:rPr>
              <w:t>0.0</w:t>
            </w:r>
          </w:p>
        </w:tc>
        <w:tc>
          <w:tcPr>
            <w:tcW w:w="997" w:type="dxa"/>
            <w:gridSpan w:val="2"/>
            <w:tcBorders>
              <w:top w:val="nil"/>
              <w:left w:val="nil"/>
              <w:bottom w:val="nil"/>
              <w:right w:val="nil"/>
            </w:tcBorders>
            <w:shd w:val="clear" w:color="000000" w:fill="FFFFFF"/>
            <w:noWrap/>
            <w:vAlign w:val="center"/>
          </w:tcPr>
          <w:p w:rsidR="0003552F" w:rsidRPr="00EB2995" w:rsidRDefault="0003552F" w:rsidP="0003552F">
            <w:pPr>
              <w:jc w:val="right"/>
              <w:rPr>
                <w:rFonts w:cs="Calibri"/>
                <w:bCs/>
                <w:color w:val="000000"/>
                <w:sz w:val="20"/>
                <w:szCs w:val="20"/>
                <w:lang w:eastAsia="en-GB"/>
              </w:rPr>
            </w:pPr>
            <w:r>
              <w:rPr>
                <w:rFonts w:cs="Calibri"/>
                <w:color w:val="000000"/>
                <w:sz w:val="20"/>
                <w:szCs w:val="20"/>
              </w:rPr>
              <w:t>0.0</w:t>
            </w:r>
          </w:p>
        </w:tc>
        <w:tc>
          <w:tcPr>
            <w:tcW w:w="1037" w:type="dxa"/>
            <w:gridSpan w:val="2"/>
            <w:tcBorders>
              <w:top w:val="nil"/>
              <w:left w:val="nil"/>
              <w:bottom w:val="nil"/>
              <w:right w:val="single" w:sz="8" w:space="0" w:color="auto"/>
            </w:tcBorders>
            <w:shd w:val="clear" w:color="000000" w:fill="FFFFFF"/>
            <w:noWrap/>
            <w:vAlign w:val="center"/>
          </w:tcPr>
          <w:p w:rsidR="0003552F" w:rsidRPr="00EB2995" w:rsidRDefault="0003552F" w:rsidP="0003552F">
            <w:pPr>
              <w:jc w:val="right"/>
              <w:rPr>
                <w:rFonts w:cs="Calibri"/>
                <w:bCs/>
                <w:color w:val="000000"/>
                <w:sz w:val="20"/>
                <w:szCs w:val="20"/>
                <w:lang w:eastAsia="en-GB"/>
              </w:rPr>
            </w:pPr>
            <w:r>
              <w:rPr>
                <w:rFonts w:cs="Calibri"/>
                <w:color w:val="000000"/>
                <w:sz w:val="20"/>
                <w:szCs w:val="20"/>
              </w:rPr>
              <w:t>0.0</w:t>
            </w:r>
          </w:p>
        </w:tc>
      </w:tr>
      <w:tr w:rsidR="0003552F" w:rsidRPr="00EB2995" w:rsidTr="0003552F">
        <w:trPr>
          <w:trHeight w:val="360"/>
        </w:trPr>
        <w:tc>
          <w:tcPr>
            <w:tcW w:w="3039" w:type="dxa"/>
            <w:gridSpan w:val="3"/>
            <w:tcBorders>
              <w:top w:val="nil"/>
              <w:left w:val="nil"/>
              <w:bottom w:val="nil"/>
              <w:right w:val="single" w:sz="8" w:space="0" w:color="000000"/>
            </w:tcBorders>
            <w:shd w:val="clear" w:color="000000" w:fill="FFFFFF"/>
            <w:vAlign w:val="center"/>
          </w:tcPr>
          <w:p w:rsidR="0003552F" w:rsidRPr="00EB2995" w:rsidRDefault="0003552F" w:rsidP="0003552F">
            <w:pPr>
              <w:rPr>
                <w:rFonts w:cs="Calibri"/>
                <w:b/>
                <w:bCs/>
                <w:color w:val="000000"/>
                <w:sz w:val="20"/>
                <w:szCs w:val="20"/>
                <w:lang w:eastAsia="en-GB"/>
              </w:rPr>
            </w:pPr>
            <w:r w:rsidRPr="00EB2995">
              <w:rPr>
                <w:rFonts w:cs="Calibri"/>
                <w:b/>
                <w:bCs/>
                <w:color w:val="000000"/>
                <w:sz w:val="20"/>
                <w:szCs w:val="20"/>
                <w:lang w:eastAsia="en-GB"/>
              </w:rPr>
              <w:t>(Increase)/decrease in 2019/20</w:t>
            </w:r>
          </w:p>
        </w:tc>
        <w:tc>
          <w:tcPr>
            <w:tcW w:w="980" w:type="dxa"/>
            <w:tcBorders>
              <w:top w:val="single" w:sz="8" w:space="0" w:color="auto"/>
              <w:left w:val="nil"/>
              <w:bottom w:val="nil"/>
              <w:right w:val="nil"/>
            </w:tcBorders>
            <w:shd w:val="clear" w:color="000000" w:fill="FFFFFF"/>
            <w:noWrap/>
            <w:vAlign w:val="center"/>
          </w:tcPr>
          <w:p w:rsidR="0003552F" w:rsidRPr="00EB2995" w:rsidRDefault="0003552F" w:rsidP="0003552F">
            <w:pPr>
              <w:jc w:val="right"/>
              <w:rPr>
                <w:rFonts w:cs="Calibri"/>
                <w:b/>
                <w:bCs/>
                <w:color w:val="000000"/>
                <w:sz w:val="20"/>
                <w:szCs w:val="20"/>
                <w:lang w:eastAsia="en-GB"/>
              </w:rPr>
            </w:pPr>
            <w:r>
              <w:rPr>
                <w:rFonts w:cs="Calibri"/>
                <w:b/>
                <w:bCs/>
                <w:color w:val="000000"/>
                <w:sz w:val="20"/>
                <w:szCs w:val="20"/>
              </w:rPr>
              <w:t>0.0</w:t>
            </w:r>
          </w:p>
        </w:tc>
        <w:tc>
          <w:tcPr>
            <w:tcW w:w="1024" w:type="dxa"/>
            <w:gridSpan w:val="3"/>
            <w:tcBorders>
              <w:top w:val="single" w:sz="8" w:space="0" w:color="auto"/>
              <w:left w:val="nil"/>
              <w:bottom w:val="nil"/>
              <w:right w:val="nil"/>
            </w:tcBorders>
            <w:shd w:val="clear" w:color="000000" w:fill="FFFFFF"/>
            <w:noWrap/>
            <w:vAlign w:val="center"/>
          </w:tcPr>
          <w:p w:rsidR="0003552F" w:rsidRPr="00EB2995" w:rsidRDefault="0003552F" w:rsidP="0003552F">
            <w:pPr>
              <w:jc w:val="right"/>
              <w:rPr>
                <w:rFonts w:cs="Calibri"/>
                <w:b/>
                <w:bCs/>
                <w:color w:val="000000"/>
                <w:sz w:val="20"/>
                <w:szCs w:val="20"/>
                <w:lang w:eastAsia="en-GB"/>
              </w:rPr>
            </w:pPr>
            <w:r>
              <w:rPr>
                <w:rFonts w:cs="Calibri"/>
                <w:b/>
                <w:bCs/>
                <w:color w:val="000000"/>
                <w:sz w:val="20"/>
                <w:szCs w:val="20"/>
              </w:rPr>
              <w:t>10.1</w:t>
            </w:r>
          </w:p>
        </w:tc>
        <w:tc>
          <w:tcPr>
            <w:tcW w:w="1120" w:type="dxa"/>
            <w:gridSpan w:val="2"/>
            <w:tcBorders>
              <w:top w:val="single" w:sz="8" w:space="0" w:color="auto"/>
              <w:left w:val="nil"/>
              <w:bottom w:val="nil"/>
              <w:right w:val="nil"/>
            </w:tcBorders>
            <w:shd w:val="clear" w:color="000000" w:fill="FFFFFF"/>
            <w:noWrap/>
            <w:vAlign w:val="center"/>
          </w:tcPr>
          <w:p w:rsidR="0003552F" w:rsidRPr="00EB2995" w:rsidRDefault="00456ADB" w:rsidP="0003552F">
            <w:pPr>
              <w:jc w:val="right"/>
              <w:rPr>
                <w:rFonts w:cs="Calibri"/>
                <w:b/>
                <w:bCs/>
                <w:color w:val="000000"/>
                <w:sz w:val="20"/>
                <w:szCs w:val="20"/>
                <w:lang w:eastAsia="en-GB"/>
              </w:rPr>
            </w:pPr>
            <w:r>
              <w:rPr>
                <w:rFonts w:cs="Calibri"/>
                <w:b/>
                <w:bCs/>
                <w:color w:val="000000"/>
                <w:sz w:val="20"/>
                <w:szCs w:val="20"/>
              </w:rPr>
              <w:t>(46.6</w:t>
            </w:r>
            <w:r w:rsidR="0003552F">
              <w:rPr>
                <w:rFonts w:cs="Calibri"/>
                <w:b/>
                <w:bCs/>
                <w:color w:val="000000"/>
                <w:sz w:val="20"/>
                <w:szCs w:val="20"/>
              </w:rPr>
              <w:t>)</w:t>
            </w:r>
          </w:p>
        </w:tc>
        <w:tc>
          <w:tcPr>
            <w:tcW w:w="980" w:type="dxa"/>
            <w:gridSpan w:val="2"/>
            <w:tcBorders>
              <w:top w:val="single" w:sz="8" w:space="0" w:color="auto"/>
              <w:left w:val="nil"/>
              <w:bottom w:val="nil"/>
              <w:right w:val="nil"/>
            </w:tcBorders>
            <w:shd w:val="clear" w:color="000000" w:fill="FFFFFF"/>
            <w:noWrap/>
            <w:vAlign w:val="center"/>
          </w:tcPr>
          <w:p w:rsidR="0003552F" w:rsidRPr="00EB2995" w:rsidRDefault="0003552F" w:rsidP="0003552F">
            <w:pPr>
              <w:jc w:val="right"/>
              <w:rPr>
                <w:rFonts w:cs="Calibri"/>
                <w:b/>
                <w:bCs/>
                <w:color w:val="000000"/>
                <w:sz w:val="20"/>
                <w:szCs w:val="20"/>
                <w:lang w:eastAsia="en-GB"/>
              </w:rPr>
            </w:pPr>
            <w:r>
              <w:rPr>
                <w:rFonts w:cs="Calibri"/>
                <w:b/>
                <w:bCs/>
                <w:color w:val="000000"/>
                <w:sz w:val="20"/>
                <w:szCs w:val="20"/>
              </w:rPr>
              <w:t>0.0</w:t>
            </w:r>
          </w:p>
        </w:tc>
        <w:tc>
          <w:tcPr>
            <w:tcW w:w="1120" w:type="dxa"/>
            <w:gridSpan w:val="2"/>
            <w:tcBorders>
              <w:top w:val="single" w:sz="8" w:space="0" w:color="auto"/>
              <w:left w:val="nil"/>
              <w:bottom w:val="nil"/>
              <w:right w:val="nil"/>
            </w:tcBorders>
            <w:shd w:val="clear" w:color="000000" w:fill="FFFFFF"/>
            <w:noWrap/>
            <w:vAlign w:val="center"/>
          </w:tcPr>
          <w:p w:rsidR="0003552F" w:rsidRPr="00EB2995" w:rsidRDefault="0003552F" w:rsidP="0003552F">
            <w:pPr>
              <w:jc w:val="right"/>
              <w:rPr>
                <w:rFonts w:cs="Calibri"/>
                <w:b/>
                <w:bCs/>
                <w:color w:val="000000"/>
                <w:sz w:val="20"/>
                <w:szCs w:val="20"/>
                <w:lang w:eastAsia="en-GB"/>
              </w:rPr>
            </w:pPr>
            <w:r>
              <w:rPr>
                <w:rFonts w:cs="Calibri"/>
                <w:b/>
                <w:bCs/>
                <w:color w:val="000000"/>
                <w:sz w:val="20"/>
                <w:szCs w:val="20"/>
              </w:rPr>
              <w:t>(2.7)</w:t>
            </w:r>
          </w:p>
        </w:tc>
        <w:tc>
          <w:tcPr>
            <w:tcW w:w="960" w:type="dxa"/>
            <w:gridSpan w:val="2"/>
            <w:tcBorders>
              <w:top w:val="single" w:sz="8" w:space="0" w:color="auto"/>
              <w:left w:val="nil"/>
              <w:bottom w:val="nil"/>
              <w:right w:val="nil"/>
            </w:tcBorders>
            <w:shd w:val="clear" w:color="000000" w:fill="FFFFFF"/>
            <w:noWrap/>
            <w:vAlign w:val="center"/>
          </w:tcPr>
          <w:p w:rsidR="0003552F" w:rsidRPr="00EB2995" w:rsidRDefault="0003552F" w:rsidP="0003552F">
            <w:pPr>
              <w:jc w:val="right"/>
              <w:rPr>
                <w:rFonts w:cs="Calibri"/>
                <w:b/>
                <w:bCs/>
                <w:color w:val="000000"/>
                <w:sz w:val="20"/>
                <w:szCs w:val="20"/>
                <w:lang w:eastAsia="en-GB"/>
              </w:rPr>
            </w:pPr>
            <w:r>
              <w:rPr>
                <w:rFonts w:cs="Calibri"/>
                <w:b/>
                <w:bCs/>
                <w:color w:val="000000"/>
                <w:sz w:val="20"/>
                <w:szCs w:val="20"/>
              </w:rPr>
              <w:t>13.8</w:t>
            </w:r>
          </w:p>
        </w:tc>
        <w:tc>
          <w:tcPr>
            <w:tcW w:w="960" w:type="dxa"/>
            <w:gridSpan w:val="2"/>
            <w:tcBorders>
              <w:top w:val="single" w:sz="8" w:space="0" w:color="auto"/>
              <w:left w:val="nil"/>
              <w:bottom w:val="nil"/>
              <w:right w:val="nil"/>
            </w:tcBorders>
            <w:shd w:val="clear" w:color="000000" w:fill="FFFFFF"/>
            <w:noWrap/>
            <w:vAlign w:val="center"/>
          </w:tcPr>
          <w:p w:rsidR="0003552F" w:rsidRPr="00EB2995" w:rsidRDefault="0003552F" w:rsidP="0003552F">
            <w:pPr>
              <w:jc w:val="right"/>
              <w:rPr>
                <w:rFonts w:cs="Calibri"/>
                <w:b/>
                <w:bCs/>
                <w:color w:val="000000"/>
                <w:sz w:val="20"/>
                <w:szCs w:val="20"/>
                <w:lang w:eastAsia="en-GB"/>
              </w:rPr>
            </w:pPr>
            <w:r>
              <w:rPr>
                <w:rFonts w:cs="Calibri"/>
                <w:b/>
                <w:bCs/>
                <w:color w:val="000000"/>
                <w:sz w:val="20"/>
                <w:szCs w:val="20"/>
              </w:rPr>
              <w:t>0.0</w:t>
            </w:r>
          </w:p>
        </w:tc>
        <w:tc>
          <w:tcPr>
            <w:tcW w:w="1074" w:type="dxa"/>
            <w:gridSpan w:val="2"/>
            <w:tcBorders>
              <w:top w:val="single" w:sz="8" w:space="0" w:color="auto"/>
              <w:left w:val="nil"/>
              <w:bottom w:val="nil"/>
              <w:right w:val="nil"/>
            </w:tcBorders>
            <w:shd w:val="clear" w:color="000000" w:fill="FFFFFF"/>
            <w:noWrap/>
            <w:vAlign w:val="center"/>
          </w:tcPr>
          <w:p w:rsidR="0003552F" w:rsidRPr="00EB2995" w:rsidRDefault="0003552F" w:rsidP="0003552F">
            <w:pPr>
              <w:jc w:val="right"/>
              <w:rPr>
                <w:rFonts w:cs="Calibri"/>
                <w:b/>
                <w:bCs/>
                <w:color w:val="000000"/>
                <w:sz w:val="20"/>
                <w:szCs w:val="20"/>
                <w:lang w:eastAsia="en-GB"/>
              </w:rPr>
            </w:pPr>
            <w:r>
              <w:rPr>
                <w:rFonts w:cs="Calibri"/>
                <w:b/>
                <w:bCs/>
                <w:color w:val="000000"/>
                <w:sz w:val="20"/>
                <w:szCs w:val="20"/>
              </w:rPr>
              <w:t>(3.0)</w:t>
            </w:r>
          </w:p>
        </w:tc>
        <w:tc>
          <w:tcPr>
            <w:tcW w:w="960" w:type="dxa"/>
            <w:tcBorders>
              <w:top w:val="single" w:sz="8" w:space="0" w:color="auto"/>
              <w:left w:val="nil"/>
              <w:bottom w:val="nil"/>
              <w:right w:val="nil"/>
            </w:tcBorders>
            <w:shd w:val="clear" w:color="000000" w:fill="FFFFFF"/>
            <w:noWrap/>
            <w:vAlign w:val="center"/>
          </w:tcPr>
          <w:p w:rsidR="0003552F" w:rsidRPr="00EB2995" w:rsidRDefault="00711454" w:rsidP="0003552F">
            <w:pPr>
              <w:jc w:val="right"/>
              <w:rPr>
                <w:rFonts w:cs="Calibri"/>
                <w:b/>
                <w:bCs/>
                <w:color w:val="000000"/>
                <w:sz w:val="20"/>
                <w:szCs w:val="20"/>
                <w:lang w:eastAsia="en-GB"/>
              </w:rPr>
            </w:pPr>
            <w:r>
              <w:rPr>
                <w:rFonts w:cs="Calibri"/>
                <w:b/>
                <w:bCs/>
                <w:color w:val="000000"/>
                <w:sz w:val="20"/>
                <w:szCs w:val="20"/>
              </w:rPr>
              <w:t>(28.4</w:t>
            </w:r>
            <w:r w:rsidR="0003552F">
              <w:rPr>
                <w:rFonts w:cs="Calibri"/>
                <w:b/>
                <w:bCs/>
                <w:color w:val="000000"/>
                <w:sz w:val="20"/>
                <w:szCs w:val="20"/>
              </w:rPr>
              <w:t>)</w:t>
            </w:r>
          </w:p>
        </w:tc>
        <w:tc>
          <w:tcPr>
            <w:tcW w:w="997" w:type="dxa"/>
            <w:gridSpan w:val="2"/>
            <w:tcBorders>
              <w:top w:val="single" w:sz="8" w:space="0" w:color="auto"/>
              <w:left w:val="nil"/>
              <w:bottom w:val="nil"/>
              <w:right w:val="nil"/>
            </w:tcBorders>
            <w:shd w:val="clear" w:color="000000" w:fill="FFFFFF"/>
            <w:noWrap/>
            <w:vAlign w:val="center"/>
          </w:tcPr>
          <w:p w:rsidR="0003552F" w:rsidRPr="00EB2995" w:rsidRDefault="00711454" w:rsidP="0003552F">
            <w:pPr>
              <w:jc w:val="right"/>
              <w:rPr>
                <w:rFonts w:cs="Calibri"/>
                <w:b/>
                <w:bCs/>
                <w:color w:val="000000"/>
                <w:sz w:val="20"/>
                <w:szCs w:val="20"/>
                <w:lang w:eastAsia="en-GB"/>
              </w:rPr>
            </w:pPr>
            <w:r>
              <w:rPr>
                <w:rFonts w:cs="Calibri"/>
                <w:b/>
                <w:bCs/>
                <w:color w:val="000000"/>
                <w:sz w:val="20"/>
                <w:szCs w:val="20"/>
              </w:rPr>
              <w:t>(478.4</w:t>
            </w:r>
            <w:r w:rsidR="0003552F">
              <w:rPr>
                <w:rFonts w:cs="Calibri"/>
                <w:b/>
                <w:bCs/>
                <w:color w:val="000000"/>
                <w:sz w:val="20"/>
                <w:szCs w:val="20"/>
              </w:rPr>
              <w:t>)</w:t>
            </w:r>
          </w:p>
        </w:tc>
        <w:tc>
          <w:tcPr>
            <w:tcW w:w="1037" w:type="dxa"/>
            <w:gridSpan w:val="2"/>
            <w:tcBorders>
              <w:top w:val="single" w:sz="8" w:space="0" w:color="auto"/>
              <w:left w:val="nil"/>
              <w:bottom w:val="nil"/>
              <w:right w:val="single" w:sz="8" w:space="0" w:color="auto"/>
            </w:tcBorders>
            <w:shd w:val="clear" w:color="000000" w:fill="FFFFFF"/>
            <w:noWrap/>
            <w:vAlign w:val="center"/>
          </w:tcPr>
          <w:p w:rsidR="0003552F" w:rsidRPr="00EB2995" w:rsidRDefault="00711454" w:rsidP="0003552F">
            <w:pPr>
              <w:jc w:val="right"/>
              <w:rPr>
                <w:rFonts w:cs="Calibri"/>
                <w:b/>
                <w:bCs/>
                <w:color w:val="000000"/>
                <w:sz w:val="20"/>
                <w:szCs w:val="20"/>
                <w:lang w:eastAsia="en-GB"/>
              </w:rPr>
            </w:pPr>
            <w:r>
              <w:rPr>
                <w:rFonts w:cs="Calibri"/>
                <w:b/>
                <w:bCs/>
                <w:color w:val="000000"/>
                <w:sz w:val="20"/>
                <w:szCs w:val="20"/>
              </w:rPr>
              <w:t>(506</w:t>
            </w:r>
            <w:r w:rsidR="0003552F">
              <w:rPr>
                <w:rFonts w:cs="Calibri"/>
                <w:b/>
                <w:bCs/>
                <w:color w:val="000000"/>
                <w:sz w:val="20"/>
                <w:szCs w:val="20"/>
              </w:rPr>
              <w:t>.8)</w:t>
            </w:r>
          </w:p>
        </w:tc>
      </w:tr>
      <w:tr w:rsidR="0003552F" w:rsidRPr="00EB2995" w:rsidTr="0003552F">
        <w:trPr>
          <w:trHeight w:val="315"/>
        </w:trPr>
        <w:tc>
          <w:tcPr>
            <w:tcW w:w="3039" w:type="dxa"/>
            <w:gridSpan w:val="3"/>
            <w:tcBorders>
              <w:top w:val="nil"/>
              <w:left w:val="nil"/>
              <w:bottom w:val="nil"/>
              <w:right w:val="single" w:sz="8" w:space="0" w:color="000000"/>
            </w:tcBorders>
            <w:shd w:val="clear" w:color="000000" w:fill="FFFFFF"/>
            <w:vAlign w:val="center"/>
          </w:tcPr>
          <w:p w:rsidR="0003552F" w:rsidRPr="00EB2995" w:rsidRDefault="0003552F" w:rsidP="0003552F">
            <w:pPr>
              <w:rPr>
                <w:rFonts w:cs="Calibri"/>
                <w:b/>
                <w:bCs/>
                <w:color w:val="000000"/>
                <w:sz w:val="20"/>
                <w:szCs w:val="20"/>
                <w:lang w:eastAsia="en-GB"/>
              </w:rPr>
            </w:pPr>
            <w:r w:rsidRPr="00EB2995">
              <w:rPr>
                <w:rFonts w:cs="Calibri"/>
                <w:b/>
                <w:bCs/>
                <w:color w:val="000000"/>
                <w:sz w:val="20"/>
                <w:szCs w:val="20"/>
                <w:lang w:eastAsia="en-GB"/>
              </w:rPr>
              <w:t>Balance as at 31 March 2020</w:t>
            </w:r>
          </w:p>
        </w:tc>
        <w:tc>
          <w:tcPr>
            <w:tcW w:w="980" w:type="dxa"/>
            <w:tcBorders>
              <w:top w:val="single" w:sz="8" w:space="0" w:color="auto"/>
              <w:left w:val="nil"/>
              <w:bottom w:val="double" w:sz="6" w:space="0" w:color="auto"/>
              <w:right w:val="nil"/>
            </w:tcBorders>
            <w:shd w:val="clear" w:color="000000" w:fill="FFFFFF"/>
            <w:noWrap/>
            <w:vAlign w:val="center"/>
          </w:tcPr>
          <w:p w:rsidR="0003552F" w:rsidRPr="00EB2995" w:rsidRDefault="0003552F" w:rsidP="0003552F">
            <w:pPr>
              <w:jc w:val="right"/>
              <w:rPr>
                <w:rFonts w:cs="Calibri"/>
                <w:b/>
                <w:bCs/>
                <w:color w:val="000000"/>
                <w:sz w:val="20"/>
                <w:szCs w:val="20"/>
                <w:lang w:eastAsia="en-GB"/>
              </w:rPr>
            </w:pPr>
            <w:r>
              <w:rPr>
                <w:rFonts w:cs="Calibri"/>
                <w:b/>
                <w:bCs/>
                <w:color w:val="000000"/>
                <w:sz w:val="20"/>
                <w:szCs w:val="20"/>
              </w:rPr>
              <w:t>(15.1)</w:t>
            </w:r>
          </w:p>
        </w:tc>
        <w:tc>
          <w:tcPr>
            <w:tcW w:w="1024" w:type="dxa"/>
            <w:gridSpan w:val="3"/>
            <w:tcBorders>
              <w:top w:val="single" w:sz="8" w:space="0" w:color="auto"/>
              <w:left w:val="nil"/>
              <w:bottom w:val="double" w:sz="6" w:space="0" w:color="auto"/>
              <w:right w:val="nil"/>
            </w:tcBorders>
            <w:shd w:val="clear" w:color="000000" w:fill="FFFFFF"/>
            <w:noWrap/>
            <w:vAlign w:val="center"/>
          </w:tcPr>
          <w:p w:rsidR="0003552F" w:rsidRPr="00EB2995" w:rsidRDefault="0003552F" w:rsidP="0003552F">
            <w:pPr>
              <w:jc w:val="right"/>
              <w:rPr>
                <w:rFonts w:cs="Calibri"/>
                <w:b/>
                <w:bCs/>
                <w:color w:val="000000"/>
                <w:sz w:val="20"/>
                <w:szCs w:val="20"/>
                <w:lang w:eastAsia="en-GB"/>
              </w:rPr>
            </w:pPr>
            <w:r>
              <w:rPr>
                <w:rFonts w:cs="Calibri"/>
                <w:b/>
                <w:bCs/>
                <w:color w:val="000000"/>
                <w:sz w:val="20"/>
                <w:szCs w:val="20"/>
              </w:rPr>
              <w:t>(8.5)</w:t>
            </w:r>
          </w:p>
        </w:tc>
        <w:tc>
          <w:tcPr>
            <w:tcW w:w="1120" w:type="dxa"/>
            <w:gridSpan w:val="2"/>
            <w:tcBorders>
              <w:top w:val="single" w:sz="8" w:space="0" w:color="auto"/>
              <w:left w:val="nil"/>
              <w:bottom w:val="double" w:sz="6" w:space="0" w:color="auto"/>
              <w:right w:val="nil"/>
            </w:tcBorders>
            <w:shd w:val="clear" w:color="000000" w:fill="FFFFFF"/>
            <w:noWrap/>
            <w:vAlign w:val="center"/>
          </w:tcPr>
          <w:p w:rsidR="0003552F" w:rsidRPr="00EB2995" w:rsidRDefault="00456ADB" w:rsidP="0003552F">
            <w:pPr>
              <w:jc w:val="right"/>
              <w:rPr>
                <w:rFonts w:cs="Calibri"/>
                <w:b/>
                <w:bCs/>
                <w:color w:val="000000"/>
                <w:sz w:val="20"/>
                <w:szCs w:val="20"/>
                <w:lang w:eastAsia="en-GB"/>
              </w:rPr>
            </w:pPr>
            <w:r>
              <w:rPr>
                <w:rFonts w:cs="Calibri"/>
                <w:b/>
                <w:bCs/>
                <w:color w:val="000000"/>
                <w:sz w:val="20"/>
                <w:szCs w:val="20"/>
              </w:rPr>
              <w:t>(280</w:t>
            </w:r>
            <w:r w:rsidR="00711454">
              <w:rPr>
                <w:rFonts w:cs="Calibri"/>
                <w:b/>
                <w:bCs/>
                <w:color w:val="000000"/>
                <w:sz w:val="20"/>
                <w:szCs w:val="20"/>
              </w:rPr>
              <w:t>.4</w:t>
            </w:r>
            <w:r w:rsidR="0003552F">
              <w:rPr>
                <w:rFonts w:cs="Calibri"/>
                <w:b/>
                <w:bCs/>
                <w:color w:val="000000"/>
                <w:sz w:val="20"/>
                <w:szCs w:val="20"/>
              </w:rPr>
              <w:t>)</w:t>
            </w:r>
          </w:p>
        </w:tc>
        <w:tc>
          <w:tcPr>
            <w:tcW w:w="980" w:type="dxa"/>
            <w:gridSpan w:val="2"/>
            <w:tcBorders>
              <w:top w:val="single" w:sz="8" w:space="0" w:color="auto"/>
              <w:left w:val="nil"/>
              <w:bottom w:val="double" w:sz="6" w:space="0" w:color="auto"/>
              <w:right w:val="nil"/>
            </w:tcBorders>
            <w:shd w:val="clear" w:color="000000" w:fill="FFFFFF"/>
            <w:noWrap/>
            <w:vAlign w:val="center"/>
          </w:tcPr>
          <w:p w:rsidR="0003552F" w:rsidRPr="00EB2995" w:rsidRDefault="0003552F" w:rsidP="0003552F">
            <w:pPr>
              <w:jc w:val="right"/>
              <w:rPr>
                <w:rFonts w:cs="Calibri"/>
                <w:b/>
                <w:bCs/>
                <w:color w:val="000000"/>
                <w:sz w:val="20"/>
                <w:szCs w:val="20"/>
                <w:lang w:eastAsia="en-GB"/>
              </w:rPr>
            </w:pPr>
            <w:r>
              <w:rPr>
                <w:rFonts w:cs="Calibri"/>
                <w:b/>
                <w:bCs/>
                <w:color w:val="000000"/>
                <w:sz w:val="20"/>
                <w:szCs w:val="20"/>
              </w:rPr>
              <w:t>(1.4)</w:t>
            </w:r>
          </w:p>
        </w:tc>
        <w:tc>
          <w:tcPr>
            <w:tcW w:w="1120" w:type="dxa"/>
            <w:gridSpan w:val="2"/>
            <w:tcBorders>
              <w:top w:val="single" w:sz="8" w:space="0" w:color="auto"/>
              <w:left w:val="nil"/>
              <w:bottom w:val="double" w:sz="6" w:space="0" w:color="auto"/>
              <w:right w:val="nil"/>
            </w:tcBorders>
            <w:shd w:val="clear" w:color="000000" w:fill="FFFFFF"/>
            <w:noWrap/>
            <w:vAlign w:val="center"/>
          </w:tcPr>
          <w:p w:rsidR="0003552F" w:rsidRPr="00EB2995" w:rsidRDefault="0003552F" w:rsidP="0003552F">
            <w:pPr>
              <w:jc w:val="right"/>
              <w:rPr>
                <w:rFonts w:cs="Calibri"/>
                <w:b/>
                <w:bCs/>
                <w:color w:val="000000"/>
                <w:sz w:val="20"/>
                <w:szCs w:val="20"/>
                <w:lang w:eastAsia="en-GB"/>
              </w:rPr>
            </w:pPr>
            <w:r>
              <w:rPr>
                <w:rFonts w:cs="Calibri"/>
                <w:b/>
                <w:bCs/>
                <w:color w:val="000000"/>
                <w:sz w:val="20"/>
                <w:szCs w:val="20"/>
              </w:rPr>
              <w:t>(4.4)</w:t>
            </w:r>
          </w:p>
        </w:tc>
        <w:tc>
          <w:tcPr>
            <w:tcW w:w="960" w:type="dxa"/>
            <w:gridSpan w:val="2"/>
            <w:tcBorders>
              <w:top w:val="single" w:sz="8" w:space="0" w:color="auto"/>
              <w:left w:val="nil"/>
              <w:bottom w:val="double" w:sz="6" w:space="0" w:color="auto"/>
              <w:right w:val="nil"/>
            </w:tcBorders>
            <w:shd w:val="clear" w:color="000000" w:fill="FFFFFF"/>
            <w:noWrap/>
            <w:vAlign w:val="center"/>
          </w:tcPr>
          <w:p w:rsidR="0003552F" w:rsidRPr="00EB2995" w:rsidRDefault="0003552F" w:rsidP="0003552F">
            <w:pPr>
              <w:jc w:val="right"/>
              <w:rPr>
                <w:rFonts w:cs="Calibri"/>
                <w:b/>
                <w:bCs/>
                <w:color w:val="000000"/>
                <w:sz w:val="20"/>
                <w:szCs w:val="20"/>
                <w:lang w:eastAsia="en-GB"/>
              </w:rPr>
            </w:pPr>
            <w:r>
              <w:rPr>
                <w:rFonts w:cs="Calibri"/>
                <w:b/>
                <w:bCs/>
                <w:color w:val="000000"/>
                <w:sz w:val="20"/>
                <w:szCs w:val="20"/>
              </w:rPr>
              <w:t>(11.6)</w:t>
            </w:r>
          </w:p>
        </w:tc>
        <w:tc>
          <w:tcPr>
            <w:tcW w:w="960" w:type="dxa"/>
            <w:gridSpan w:val="2"/>
            <w:tcBorders>
              <w:top w:val="single" w:sz="8" w:space="0" w:color="auto"/>
              <w:left w:val="nil"/>
              <w:bottom w:val="double" w:sz="6" w:space="0" w:color="auto"/>
              <w:right w:val="nil"/>
            </w:tcBorders>
            <w:shd w:val="clear" w:color="000000" w:fill="FFFFFF"/>
            <w:noWrap/>
            <w:vAlign w:val="center"/>
          </w:tcPr>
          <w:p w:rsidR="0003552F" w:rsidRPr="00EB2995" w:rsidRDefault="0003552F" w:rsidP="0003552F">
            <w:pPr>
              <w:jc w:val="right"/>
              <w:rPr>
                <w:rFonts w:cs="Calibri"/>
                <w:b/>
                <w:bCs/>
                <w:color w:val="000000"/>
                <w:sz w:val="20"/>
                <w:szCs w:val="20"/>
                <w:lang w:eastAsia="en-GB"/>
              </w:rPr>
            </w:pPr>
            <w:r>
              <w:rPr>
                <w:rFonts w:cs="Calibri"/>
                <w:b/>
                <w:bCs/>
                <w:color w:val="000000"/>
                <w:sz w:val="20"/>
                <w:szCs w:val="20"/>
              </w:rPr>
              <w:t>0.0</w:t>
            </w:r>
          </w:p>
        </w:tc>
        <w:tc>
          <w:tcPr>
            <w:tcW w:w="1074" w:type="dxa"/>
            <w:gridSpan w:val="2"/>
            <w:tcBorders>
              <w:top w:val="single" w:sz="8" w:space="0" w:color="auto"/>
              <w:left w:val="nil"/>
              <w:bottom w:val="double" w:sz="6" w:space="0" w:color="auto"/>
              <w:right w:val="nil"/>
            </w:tcBorders>
            <w:shd w:val="clear" w:color="000000" w:fill="FFFFFF"/>
            <w:noWrap/>
            <w:vAlign w:val="center"/>
          </w:tcPr>
          <w:p w:rsidR="0003552F" w:rsidRPr="00EB2995" w:rsidRDefault="0003552F" w:rsidP="0003552F">
            <w:pPr>
              <w:jc w:val="right"/>
              <w:rPr>
                <w:rFonts w:cs="Calibri"/>
                <w:b/>
                <w:bCs/>
                <w:color w:val="000000"/>
                <w:sz w:val="20"/>
                <w:szCs w:val="20"/>
                <w:lang w:eastAsia="en-GB"/>
              </w:rPr>
            </w:pPr>
            <w:r>
              <w:rPr>
                <w:rFonts w:cs="Calibri"/>
                <w:b/>
                <w:bCs/>
                <w:color w:val="000000"/>
                <w:sz w:val="20"/>
                <w:szCs w:val="20"/>
              </w:rPr>
              <w:t>(75.4)</w:t>
            </w:r>
          </w:p>
        </w:tc>
        <w:tc>
          <w:tcPr>
            <w:tcW w:w="960" w:type="dxa"/>
            <w:tcBorders>
              <w:top w:val="single" w:sz="8" w:space="0" w:color="auto"/>
              <w:left w:val="nil"/>
              <w:bottom w:val="double" w:sz="6" w:space="0" w:color="auto"/>
              <w:right w:val="nil"/>
            </w:tcBorders>
            <w:shd w:val="clear" w:color="000000" w:fill="FFFFFF"/>
            <w:noWrap/>
            <w:vAlign w:val="center"/>
          </w:tcPr>
          <w:p w:rsidR="0003552F" w:rsidRPr="00EB2995" w:rsidRDefault="00711454" w:rsidP="0003552F">
            <w:pPr>
              <w:jc w:val="right"/>
              <w:rPr>
                <w:rFonts w:cs="Calibri"/>
                <w:b/>
                <w:bCs/>
                <w:color w:val="000000"/>
                <w:sz w:val="20"/>
                <w:szCs w:val="20"/>
                <w:lang w:eastAsia="en-GB"/>
              </w:rPr>
            </w:pPr>
            <w:r>
              <w:rPr>
                <w:rFonts w:cs="Calibri"/>
                <w:b/>
                <w:bCs/>
                <w:color w:val="000000"/>
                <w:sz w:val="20"/>
                <w:szCs w:val="20"/>
              </w:rPr>
              <w:t>(396.8</w:t>
            </w:r>
            <w:r w:rsidR="0003552F">
              <w:rPr>
                <w:rFonts w:cs="Calibri"/>
                <w:b/>
                <w:bCs/>
                <w:color w:val="000000"/>
                <w:sz w:val="20"/>
                <w:szCs w:val="20"/>
              </w:rPr>
              <w:t>)</w:t>
            </w:r>
          </w:p>
        </w:tc>
        <w:tc>
          <w:tcPr>
            <w:tcW w:w="997" w:type="dxa"/>
            <w:gridSpan w:val="2"/>
            <w:tcBorders>
              <w:top w:val="single" w:sz="8" w:space="0" w:color="auto"/>
              <w:left w:val="nil"/>
              <w:bottom w:val="double" w:sz="6" w:space="0" w:color="auto"/>
              <w:right w:val="nil"/>
            </w:tcBorders>
            <w:shd w:val="clear" w:color="000000" w:fill="FFFFFF"/>
            <w:noWrap/>
            <w:vAlign w:val="center"/>
          </w:tcPr>
          <w:p w:rsidR="0003552F" w:rsidRPr="00EB2995" w:rsidRDefault="00711454" w:rsidP="0003552F">
            <w:pPr>
              <w:jc w:val="right"/>
              <w:rPr>
                <w:rFonts w:cs="Calibri"/>
                <w:b/>
                <w:bCs/>
                <w:color w:val="000000"/>
                <w:sz w:val="20"/>
                <w:szCs w:val="20"/>
                <w:lang w:eastAsia="en-GB"/>
              </w:rPr>
            </w:pPr>
            <w:r>
              <w:rPr>
                <w:rFonts w:cs="Calibri"/>
                <w:b/>
                <w:bCs/>
                <w:color w:val="000000"/>
                <w:sz w:val="20"/>
                <w:szCs w:val="20"/>
              </w:rPr>
              <w:t>(603.3</w:t>
            </w:r>
            <w:r w:rsidR="0003552F">
              <w:rPr>
                <w:rFonts w:cs="Calibri"/>
                <w:b/>
                <w:bCs/>
                <w:color w:val="000000"/>
                <w:sz w:val="20"/>
                <w:szCs w:val="20"/>
              </w:rPr>
              <w:t>)</w:t>
            </w:r>
          </w:p>
        </w:tc>
        <w:tc>
          <w:tcPr>
            <w:tcW w:w="1037" w:type="dxa"/>
            <w:gridSpan w:val="2"/>
            <w:tcBorders>
              <w:top w:val="single" w:sz="8" w:space="0" w:color="auto"/>
              <w:left w:val="nil"/>
              <w:bottom w:val="double" w:sz="6" w:space="0" w:color="auto"/>
              <w:right w:val="single" w:sz="8" w:space="0" w:color="auto"/>
            </w:tcBorders>
            <w:shd w:val="clear" w:color="000000" w:fill="FFFFFF"/>
            <w:noWrap/>
            <w:vAlign w:val="center"/>
          </w:tcPr>
          <w:p w:rsidR="0003552F" w:rsidRPr="00EB2995" w:rsidRDefault="00711454" w:rsidP="0003552F">
            <w:pPr>
              <w:jc w:val="right"/>
              <w:rPr>
                <w:rFonts w:cs="Calibri"/>
                <w:b/>
                <w:bCs/>
                <w:color w:val="000000"/>
                <w:sz w:val="20"/>
                <w:szCs w:val="20"/>
                <w:lang w:eastAsia="en-GB"/>
              </w:rPr>
            </w:pPr>
            <w:r>
              <w:rPr>
                <w:rFonts w:cs="Calibri"/>
                <w:b/>
                <w:bCs/>
                <w:color w:val="000000"/>
                <w:sz w:val="20"/>
                <w:szCs w:val="20"/>
              </w:rPr>
              <w:t>(1,000</w:t>
            </w:r>
            <w:r w:rsidR="0003552F">
              <w:rPr>
                <w:rFonts w:cs="Calibri"/>
                <w:b/>
                <w:bCs/>
                <w:color w:val="000000"/>
                <w:sz w:val="20"/>
                <w:szCs w:val="20"/>
              </w:rPr>
              <w:t>.1)</w:t>
            </w:r>
          </w:p>
        </w:tc>
      </w:tr>
    </w:tbl>
    <w:p w:rsidR="00F72906" w:rsidRDefault="00F72906" w:rsidP="00F72906"/>
    <w:tbl>
      <w:tblPr>
        <w:tblW w:w="14351" w:type="dxa"/>
        <w:tblInd w:w="108" w:type="dxa"/>
        <w:tblLook w:val="00A0" w:firstRow="1" w:lastRow="0" w:firstColumn="1" w:lastColumn="0" w:noHBand="0" w:noVBand="0"/>
      </w:tblPr>
      <w:tblGrid>
        <w:gridCol w:w="816"/>
        <w:gridCol w:w="522"/>
        <w:gridCol w:w="1743"/>
        <w:gridCol w:w="960"/>
        <w:gridCol w:w="32"/>
        <w:gridCol w:w="949"/>
        <w:gridCol w:w="43"/>
        <w:gridCol w:w="1077"/>
        <w:gridCol w:w="43"/>
        <w:gridCol w:w="865"/>
        <w:gridCol w:w="95"/>
        <w:gridCol w:w="1025"/>
        <w:gridCol w:w="95"/>
        <w:gridCol w:w="854"/>
        <w:gridCol w:w="106"/>
        <w:gridCol w:w="843"/>
        <w:gridCol w:w="117"/>
        <w:gridCol w:w="957"/>
        <w:gridCol w:w="117"/>
        <w:gridCol w:w="960"/>
        <w:gridCol w:w="75"/>
        <w:gridCol w:w="922"/>
        <w:gridCol w:w="81"/>
        <w:gridCol w:w="1054"/>
      </w:tblGrid>
      <w:tr w:rsidR="0003552F" w:rsidRPr="00EB2995" w:rsidTr="0003552F">
        <w:trPr>
          <w:trHeight w:val="1125"/>
        </w:trPr>
        <w:tc>
          <w:tcPr>
            <w:tcW w:w="816" w:type="dxa"/>
            <w:tcBorders>
              <w:top w:val="nil"/>
              <w:left w:val="nil"/>
              <w:bottom w:val="nil"/>
              <w:right w:val="nil"/>
            </w:tcBorders>
            <w:vAlign w:val="bottom"/>
          </w:tcPr>
          <w:p w:rsidR="0003552F" w:rsidRPr="00EB2995" w:rsidRDefault="0003552F" w:rsidP="0003552F">
            <w:pPr>
              <w:rPr>
                <w:rFonts w:cs="Calibri"/>
                <w:color w:val="000000"/>
                <w:lang w:eastAsia="en-GB"/>
              </w:rPr>
            </w:pPr>
            <w:r>
              <w:lastRenderedPageBreak/>
              <w:t xml:space="preserve"> </w:t>
            </w:r>
          </w:p>
        </w:tc>
        <w:tc>
          <w:tcPr>
            <w:tcW w:w="522" w:type="dxa"/>
            <w:tcBorders>
              <w:top w:val="nil"/>
              <w:left w:val="nil"/>
              <w:bottom w:val="nil"/>
              <w:right w:val="nil"/>
            </w:tcBorders>
            <w:vAlign w:val="bottom"/>
          </w:tcPr>
          <w:p w:rsidR="0003552F" w:rsidRPr="00EB2995" w:rsidRDefault="0003552F" w:rsidP="0003552F">
            <w:pPr>
              <w:rPr>
                <w:rFonts w:cs="Calibri"/>
                <w:color w:val="000000"/>
                <w:lang w:eastAsia="en-GB"/>
              </w:rPr>
            </w:pPr>
          </w:p>
        </w:tc>
        <w:tc>
          <w:tcPr>
            <w:tcW w:w="1743" w:type="dxa"/>
            <w:tcBorders>
              <w:top w:val="nil"/>
              <w:left w:val="nil"/>
              <w:bottom w:val="nil"/>
              <w:right w:val="nil"/>
            </w:tcBorders>
            <w:shd w:val="clear" w:color="000000" w:fill="FFFFFF"/>
            <w:vAlign w:val="center"/>
          </w:tcPr>
          <w:p w:rsidR="0003552F" w:rsidRPr="00EB2995" w:rsidRDefault="0003552F" w:rsidP="0003552F">
            <w:pPr>
              <w:rPr>
                <w:rFonts w:cs="Calibri"/>
                <w:b/>
                <w:bCs/>
                <w:color w:val="000000"/>
                <w:sz w:val="20"/>
                <w:szCs w:val="20"/>
                <w:lang w:eastAsia="en-GB"/>
              </w:rPr>
            </w:pPr>
            <w:r w:rsidRPr="00EB2995">
              <w:rPr>
                <w:rFonts w:cs="Calibri"/>
                <w:b/>
                <w:bCs/>
                <w:color w:val="000000"/>
                <w:sz w:val="20"/>
                <w:szCs w:val="20"/>
                <w:lang w:eastAsia="en-GB"/>
              </w:rPr>
              <w:t> </w:t>
            </w:r>
          </w:p>
        </w:tc>
        <w:tc>
          <w:tcPr>
            <w:tcW w:w="992" w:type="dxa"/>
            <w:gridSpan w:val="2"/>
            <w:tcBorders>
              <w:top w:val="nil"/>
              <w:left w:val="nil"/>
              <w:right w:val="nil"/>
            </w:tcBorders>
            <w:shd w:val="clear" w:color="000000" w:fill="FFFFFF"/>
            <w:vAlign w:val="bottom"/>
          </w:tcPr>
          <w:p w:rsidR="0003552F" w:rsidRPr="00EB2995" w:rsidRDefault="0003552F" w:rsidP="0003552F">
            <w:pPr>
              <w:jc w:val="right"/>
              <w:rPr>
                <w:rFonts w:cs="Calibri"/>
                <w:b/>
                <w:bCs/>
                <w:color w:val="000000"/>
                <w:sz w:val="20"/>
                <w:szCs w:val="20"/>
                <w:lang w:eastAsia="en-GB"/>
              </w:rPr>
            </w:pPr>
            <w:r w:rsidRPr="00EB2995">
              <w:rPr>
                <w:rFonts w:cs="Calibri"/>
                <w:b/>
                <w:bCs/>
                <w:color w:val="000000"/>
                <w:sz w:val="20"/>
                <w:szCs w:val="20"/>
                <w:lang w:eastAsia="en-GB"/>
              </w:rPr>
              <w:t>General Fund Balance</w:t>
            </w:r>
          </w:p>
        </w:tc>
        <w:tc>
          <w:tcPr>
            <w:tcW w:w="949" w:type="dxa"/>
            <w:tcBorders>
              <w:top w:val="nil"/>
              <w:left w:val="nil"/>
              <w:right w:val="nil"/>
            </w:tcBorders>
            <w:shd w:val="clear" w:color="000000" w:fill="FFFFFF"/>
            <w:vAlign w:val="bottom"/>
          </w:tcPr>
          <w:p w:rsidR="0003552F" w:rsidRPr="00EB2995" w:rsidRDefault="0003552F" w:rsidP="0003552F">
            <w:pPr>
              <w:jc w:val="right"/>
              <w:rPr>
                <w:rFonts w:cs="Calibri"/>
                <w:b/>
                <w:bCs/>
                <w:color w:val="000000"/>
                <w:sz w:val="20"/>
                <w:szCs w:val="20"/>
                <w:lang w:eastAsia="en-GB"/>
              </w:rPr>
            </w:pPr>
            <w:r w:rsidRPr="00EB2995">
              <w:rPr>
                <w:rFonts w:cs="Calibri"/>
                <w:b/>
                <w:bCs/>
                <w:color w:val="000000"/>
                <w:sz w:val="20"/>
                <w:szCs w:val="20"/>
                <w:lang w:eastAsia="en-GB"/>
              </w:rPr>
              <w:t>School Balances</w:t>
            </w:r>
          </w:p>
        </w:tc>
        <w:tc>
          <w:tcPr>
            <w:tcW w:w="1120" w:type="dxa"/>
            <w:gridSpan w:val="2"/>
            <w:tcBorders>
              <w:top w:val="nil"/>
              <w:left w:val="nil"/>
              <w:right w:val="nil"/>
            </w:tcBorders>
            <w:shd w:val="clear" w:color="000000" w:fill="FFFFFF"/>
            <w:vAlign w:val="bottom"/>
          </w:tcPr>
          <w:p w:rsidR="0003552F" w:rsidRPr="00EB2995" w:rsidRDefault="0003552F" w:rsidP="0003552F">
            <w:pPr>
              <w:jc w:val="right"/>
              <w:rPr>
                <w:rFonts w:cs="Calibri"/>
                <w:b/>
                <w:bCs/>
                <w:color w:val="000000"/>
                <w:sz w:val="20"/>
                <w:szCs w:val="20"/>
                <w:lang w:eastAsia="en-GB"/>
              </w:rPr>
            </w:pPr>
            <w:r w:rsidRPr="00EB2995">
              <w:rPr>
                <w:rFonts w:cs="Calibri"/>
                <w:b/>
                <w:bCs/>
                <w:color w:val="000000"/>
                <w:sz w:val="20"/>
                <w:szCs w:val="20"/>
                <w:lang w:eastAsia="en-GB"/>
              </w:rPr>
              <w:t>Earmarked General Fund Reserves</w:t>
            </w:r>
          </w:p>
        </w:tc>
        <w:tc>
          <w:tcPr>
            <w:tcW w:w="908" w:type="dxa"/>
            <w:gridSpan w:val="2"/>
            <w:tcBorders>
              <w:top w:val="nil"/>
              <w:left w:val="nil"/>
              <w:right w:val="nil"/>
            </w:tcBorders>
            <w:shd w:val="clear" w:color="000000" w:fill="FFFFFF"/>
            <w:vAlign w:val="bottom"/>
          </w:tcPr>
          <w:p w:rsidR="0003552F" w:rsidRPr="00EB2995" w:rsidRDefault="0003552F" w:rsidP="0003552F">
            <w:pPr>
              <w:jc w:val="right"/>
              <w:rPr>
                <w:rFonts w:cs="Calibri"/>
                <w:b/>
                <w:bCs/>
                <w:color w:val="000000"/>
                <w:sz w:val="20"/>
                <w:szCs w:val="20"/>
                <w:lang w:eastAsia="en-GB"/>
              </w:rPr>
            </w:pPr>
            <w:r w:rsidRPr="00EB2995">
              <w:rPr>
                <w:rFonts w:cs="Calibri"/>
                <w:b/>
                <w:bCs/>
                <w:color w:val="000000"/>
                <w:sz w:val="20"/>
                <w:szCs w:val="20"/>
                <w:lang w:eastAsia="en-GB"/>
              </w:rPr>
              <w:t>HRA</w:t>
            </w:r>
          </w:p>
        </w:tc>
        <w:tc>
          <w:tcPr>
            <w:tcW w:w="1120" w:type="dxa"/>
            <w:gridSpan w:val="2"/>
            <w:tcBorders>
              <w:top w:val="nil"/>
              <w:left w:val="nil"/>
              <w:right w:val="nil"/>
            </w:tcBorders>
            <w:shd w:val="clear" w:color="000000" w:fill="FFFFFF"/>
            <w:vAlign w:val="bottom"/>
          </w:tcPr>
          <w:p w:rsidR="0003552F" w:rsidRPr="00EB2995" w:rsidRDefault="0003552F" w:rsidP="0003552F">
            <w:pPr>
              <w:jc w:val="right"/>
              <w:rPr>
                <w:rFonts w:cs="Calibri"/>
                <w:b/>
                <w:bCs/>
                <w:color w:val="000000"/>
                <w:sz w:val="20"/>
                <w:szCs w:val="20"/>
                <w:lang w:eastAsia="en-GB"/>
              </w:rPr>
            </w:pPr>
            <w:r w:rsidRPr="00EB2995">
              <w:rPr>
                <w:rFonts w:cs="Calibri"/>
                <w:b/>
                <w:bCs/>
                <w:color w:val="000000"/>
                <w:sz w:val="20"/>
                <w:szCs w:val="20"/>
                <w:lang w:eastAsia="en-GB"/>
              </w:rPr>
              <w:t>Earmarked HRA Reserves</w:t>
            </w:r>
          </w:p>
        </w:tc>
        <w:tc>
          <w:tcPr>
            <w:tcW w:w="949" w:type="dxa"/>
            <w:gridSpan w:val="2"/>
            <w:tcBorders>
              <w:top w:val="nil"/>
              <w:left w:val="nil"/>
              <w:right w:val="nil"/>
            </w:tcBorders>
            <w:shd w:val="clear" w:color="000000" w:fill="FFFFFF"/>
            <w:vAlign w:val="bottom"/>
          </w:tcPr>
          <w:p w:rsidR="0003552F" w:rsidRPr="00EB2995" w:rsidRDefault="0003552F" w:rsidP="0003552F">
            <w:pPr>
              <w:jc w:val="right"/>
              <w:rPr>
                <w:rFonts w:cs="Calibri"/>
                <w:b/>
                <w:bCs/>
                <w:color w:val="000000"/>
                <w:sz w:val="20"/>
                <w:szCs w:val="20"/>
                <w:lang w:eastAsia="en-GB"/>
              </w:rPr>
            </w:pPr>
            <w:r w:rsidRPr="00EB2995">
              <w:rPr>
                <w:rFonts w:cs="Calibri"/>
                <w:b/>
                <w:bCs/>
                <w:color w:val="000000"/>
                <w:sz w:val="20"/>
                <w:szCs w:val="20"/>
                <w:lang w:eastAsia="en-GB"/>
              </w:rPr>
              <w:t>Capital Receipts Reserve</w:t>
            </w:r>
          </w:p>
        </w:tc>
        <w:tc>
          <w:tcPr>
            <w:tcW w:w="949" w:type="dxa"/>
            <w:gridSpan w:val="2"/>
            <w:tcBorders>
              <w:top w:val="nil"/>
              <w:left w:val="nil"/>
              <w:right w:val="nil"/>
            </w:tcBorders>
            <w:shd w:val="clear" w:color="000000" w:fill="FFFFFF"/>
            <w:vAlign w:val="bottom"/>
          </w:tcPr>
          <w:p w:rsidR="0003552F" w:rsidRPr="00EB2995" w:rsidRDefault="0003552F" w:rsidP="0003552F">
            <w:pPr>
              <w:jc w:val="right"/>
              <w:rPr>
                <w:rFonts w:cs="Calibri"/>
                <w:b/>
                <w:bCs/>
                <w:color w:val="000000"/>
                <w:sz w:val="20"/>
                <w:szCs w:val="20"/>
                <w:lang w:eastAsia="en-GB"/>
              </w:rPr>
            </w:pPr>
            <w:r w:rsidRPr="00EB2995">
              <w:rPr>
                <w:rFonts w:cs="Calibri"/>
                <w:b/>
                <w:bCs/>
                <w:color w:val="000000"/>
                <w:sz w:val="20"/>
                <w:szCs w:val="20"/>
                <w:lang w:eastAsia="en-GB"/>
              </w:rPr>
              <w:t>Major Repairs Reserve</w:t>
            </w:r>
          </w:p>
        </w:tc>
        <w:tc>
          <w:tcPr>
            <w:tcW w:w="1074" w:type="dxa"/>
            <w:gridSpan w:val="2"/>
            <w:tcBorders>
              <w:top w:val="nil"/>
              <w:left w:val="nil"/>
              <w:right w:val="nil"/>
            </w:tcBorders>
            <w:shd w:val="clear" w:color="000000" w:fill="FFFFFF"/>
            <w:vAlign w:val="bottom"/>
          </w:tcPr>
          <w:p w:rsidR="0003552F" w:rsidRPr="00EB2995" w:rsidRDefault="0003552F" w:rsidP="0003552F">
            <w:pPr>
              <w:jc w:val="right"/>
              <w:rPr>
                <w:rFonts w:cs="Calibri"/>
                <w:b/>
                <w:bCs/>
                <w:color w:val="000000"/>
                <w:sz w:val="20"/>
                <w:szCs w:val="20"/>
                <w:lang w:eastAsia="en-GB"/>
              </w:rPr>
            </w:pPr>
            <w:r w:rsidRPr="00EB2995">
              <w:rPr>
                <w:rFonts w:cs="Calibri"/>
                <w:b/>
                <w:bCs/>
                <w:color w:val="000000"/>
                <w:sz w:val="20"/>
                <w:szCs w:val="20"/>
                <w:lang w:eastAsia="en-GB"/>
              </w:rPr>
              <w:t>Capital Grants Unapplied</w:t>
            </w:r>
          </w:p>
        </w:tc>
        <w:tc>
          <w:tcPr>
            <w:tcW w:w="1152" w:type="dxa"/>
            <w:gridSpan w:val="3"/>
            <w:tcBorders>
              <w:top w:val="nil"/>
              <w:left w:val="nil"/>
              <w:right w:val="nil"/>
            </w:tcBorders>
            <w:shd w:val="clear" w:color="000000" w:fill="FFFFFF"/>
            <w:vAlign w:val="bottom"/>
          </w:tcPr>
          <w:p w:rsidR="0003552F" w:rsidRPr="00EB2995" w:rsidRDefault="0003552F" w:rsidP="0003552F">
            <w:pPr>
              <w:jc w:val="right"/>
              <w:rPr>
                <w:rFonts w:cs="Calibri"/>
                <w:b/>
                <w:bCs/>
                <w:color w:val="000000"/>
                <w:sz w:val="20"/>
                <w:szCs w:val="20"/>
                <w:lang w:eastAsia="en-GB"/>
              </w:rPr>
            </w:pPr>
            <w:r w:rsidRPr="00EB2995">
              <w:rPr>
                <w:rFonts w:cs="Calibri"/>
                <w:b/>
                <w:bCs/>
                <w:color w:val="000000"/>
                <w:sz w:val="20"/>
                <w:szCs w:val="20"/>
                <w:lang w:eastAsia="en-GB"/>
              </w:rPr>
              <w:t>Total Usable Reserves</w:t>
            </w:r>
          </w:p>
        </w:tc>
        <w:tc>
          <w:tcPr>
            <w:tcW w:w="1003" w:type="dxa"/>
            <w:gridSpan w:val="2"/>
            <w:tcBorders>
              <w:top w:val="nil"/>
              <w:left w:val="nil"/>
              <w:right w:val="nil"/>
            </w:tcBorders>
            <w:shd w:val="clear" w:color="000000" w:fill="FFFFFF"/>
            <w:vAlign w:val="bottom"/>
          </w:tcPr>
          <w:p w:rsidR="0003552F" w:rsidRPr="00EB2995" w:rsidRDefault="0003552F" w:rsidP="0003552F">
            <w:pPr>
              <w:jc w:val="right"/>
              <w:rPr>
                <w:rFonts w:cs="Calibri"/>
                <w:b/>
                <w:bCs/>
                <w:color w:val="000000"/>
                <w:sz w:val="20"/>
                <w:szCs w:val="20"/>
                <w:lang w:eastAsia="en-GB"/>
              </w:rPr>
            </w:pPr>
            <w:r w:rsidRPr="00EB2995">
              <w:rPr>
                <w:rFonts w:cs="Calibri"/>
                <w:b/>
                <w:bCs/>
                <w:color w:val="000000"/>
                <w:sz w:val="20"/>
                <w:szCs w:val="20"/>
                <w:lang w:eastAsia="en-GB"/>
              </w:rPr>
              <w:t>Unusable Reserves</w:t>
            </w:r>
          </w:p>
        </w:tc>
        <w:tc>
          <w:tcPr>
            <w:tcW w:w="1054" w:type="dxa"/>
            <w:tcBorders>
              <w:top w:val="nil"/>
              <w:left w:val="nil"/>
              <w:right w:val="nil"/>
            </w:tcBorders>
            <w:shd w:val="clear" w:color="000000" w:fill="FFFFFF"/>
            <w:vAlign w:val="bottom"/>
          </w:tcPr>
          <w:p w:rsidR="0003552F" w:rsidRPr="00EB2995" w:rsidRDefault="0003552F" w:rsidP="0003552F">
            <w:pPr>
              <w:jc w:val="right"/>
              <w:rPr>
                <w:rFonts w:cs="Calibri"/>
                <w:b/>
                <w:bCs/>
                <w:color w:val="000000"/>
                <w:sz w:val="20"/>
                <w:szCs w:val="20"/>
                <w:lang w:eastAsia="en-GB"/>
              </w:rPr>
            </w:pPr>
            <w:r w:rsidRPr="00EB2995">
              <w:rPr>
                <w:rFonts w:cs="Calibri"/>
                <w:b/>
                <w:bCs/>
                <w:color w:val="000000"/>
                <w:sz w:val="20"/>
                <w:szCs w:val="20"/>
                <w:lang w:eastAsia="en-GB"/>
              </w:rPr>
              <w:t>Total Reserves</w:t>
            </w:r>
          </w:p>
        </w:tc>
      </w:tr>
      <w:tr w:rsidR="0003552F" w:rsidRPr="00EB2995" w:rsidTr="0003552F">
        <w:trPr>
          <w:trHeight w:val="370"/>
        </w:trPr>
        <w:tc>
          <w:tcPr>
            <w:tcW w:w="816" w:type="dxa"/>
            <w:tcBorders>
              <w:top w:val="nil"/>
              <w:left w:val="nil"/>
              <w:bottom w:val="nil"/>
              <w:right w:val="nil"/>
            </w:tcBorders>
            <w:vAlign w:val="bottom"/>
          </w:tcPr>
          <w:p w:rsidR="0003552F" w:rsidRPr="00EB2995" w:rsidRDefault="0003552F" w:rsidP="0003552F">
            <w:pPr>
              <w:rPr>
                <w:rFonts w:cs="Calibri"/>
                <w:color w:val="000000"/>
                <w:lang w:eastAsia="en-GB"/>
              </w:rPr>
            </w:pPr>
          </w:p>
        </w:tc>
        <w:tc>
          <w:tcPr>
            <w:tcW w:w="522" w:type="dxa"/>
            <w:tcBorders>
              <w:top w:val="nil"/>
              <w:left w:val="nil"/>
              <w:bottom w:val="nil"/>
              <w:right w:val="nil"/>
            </w:tcBorders>
            <w:vAlign w:val="bottom"/>
          </w:tcPr>
          <w:p w:rsidR="0003552F" w:rsidRPr="00EB2995" w:rsidRDefault="0003552F" w:rsidP="0003552F">
            <w:pPr>
              <w:rPr>
                <w:rFonts w:cs="Calibri"/>
                <w:color w:val="000000"/>
                <w:lang w:eastAsia="en-GB"/>
              </w:rPr>
            </w:pPr>
          </w:p>
        </w:tc>
        <w:tc>
          <w:tcPr>
            <w:tcW w:w="1743" w:type="dxa"/>
            <w:tcBorders>
              <w:top w:val="nil"/>
              <w:left w:val="nil"/>
              <w:bottom w:val="nil"/>
              <w:right w:val="nil"/>
            </w:tcBorders>
            <w:shd w:val="clear" w:color="000000" w:fill="FFFFFF"/>
            <w:vAlign w:val="center"/>
          </w:tcPr>
          <w:p w:rsidR="0003552F" w:rsidRPr="00EB2995" w:rsidRDefault="0003552F" w:rsidP="0003552F">
            <w:pPr>
              <w:rPr>
                <w:rFonts w:cs="Calibri"/>
                <w:b/>
                <w:bCs/>
                <w:color w:val="000000"/>
                <w:sz w:val="20"/>
                <w:szCs w:val="20"/>
                <w:lang w:eastAsia="en-GB"/>
              </w:rPr>
            </w:pPr>
          </w:p>
        </w:tc>
        <w:tc>
          <w:tcPr>
            <w:tcW w:w="992" w:type="dxa"/>
            <w:gridSpan w:val="2"/>
            <w:tcBorders>
              <w:top w:val="nil"/>
              <w:left w:val="nil"/>
              <w:bottom w:val="single" w:sz="4" w:space="0" w:color="auto"/>
              <w:right w:val="nil"/>
            </w:tcBorders>
            <w:shd w:val="clear" w:color="000000" w:fill="FFFFFF"/>
            <w:vAlign w:val="bottom"/>
          </w:tcPr>
          <w:p w:rsidR="0003552F" w:rsidRPr="00EB2995" w:rsidRDefault="0003552F" w:rsidP="0003552F">
            <w:pPr>
              <w:jc w:val="right"/>
              <w:rPr>
                <w:rFonts w:cs="Calibri"/>
                <w:b/>
                <w:bCs/>
                <w:color w:val="000000"/>
                <w:sz w:val="20"/>
                <w:szCs w:val="20"/>
                <w:lang w:eastAsia="en-GB"/>
              </w:rPr>
            </w:pPr>
            <w:r w:rsidRPr="00EB2995">
              <w:rPr>
                <w:rFonts w:cs="Calibri"/>
                <w:b/>
                <w:bCs/>
                <w:color w:val="000000"/>
                <w:sz w:val="20"/>
                <w:szCs w:val="20"/>
                <w:lang w:eastAsia="en-GB"/>
              </w:rPr>
              <w:t>£m</w:t>
            </w:r>
          </w:p>
        </w:tc>
        <w:tc>
          <w:tcPr>
            <w:tcW w:w="949" w:type="dxa"/>
            <w:tcBorders>
              <w:top w:val="nil"/>
              <w:left w:val="nil"/>
              <w:bottom w:val="single" w:sz="4" w:space="0" w:color="auto"/>
              <w:right w:val="nil"/>
            </w:tcBorders>
            <w:shd w:val="clear" w:color="000000" w:fill="FFFFFF"/>
            <w:vAlign w:val="bottom"/>
          </w:tcPr>
          <w:p w:rsidR="0003552F" w:rsidRPr="00EB2995" w:rsidRDefault="0003552F" w:rsidP="0003552F">
            <w:pPr>
              <w:jc w:val="right"/>
              <w:rPr>
                <w:rFonts w:cs="Calibri"/>
                <w:b/>
                <w:bCs/>
                <w:color w:val="000000"/>
                <w:sz w:val="20"/>
                <w:szCs w:val="20"/>
                <w:lang w:eastAsia="en-GB"/>
              </w:rPr>
            </w:pPr>
            <w:r w:rsidRPr="00EB2995">
              <w:rPr>
                <w:rFonts w:cs="Calibri"/>
                <w:b/>
                <w:bCs/>
                <w:color w:val="000000"/>
                <w:sz w:val="20"/>
                <w:szCs w:val="20"/>
                <w:lang w:eastAsia="en-GB"/>
              </w:rPr>
              <w:t>£m</w:t>
            </w:r>
          </w:p>
        </w:tc>
        <w:tc>
          <w:tcPr>
            <w:tcW w:w="1120" w:type="dxa"/>
            <w:gridSpan w:val="2"/>
            <w:tcBorders>
              <w:top w:val="nil"/>
              <w:left w:val="nil"/>
              <w:bottom w:val="single" w:sz="4" w:space="0" w:color="auto"/>
              <w:right w:val="nil"/>
            </w:tcBorders>
            <w:shd w:val="clear" w:color="000000" w:fill="FFFFFF"/>
            <w:vAlign w:val="bottom"/>
          </w:tcPr>
          <w:p w:rsidR="0003552F" w:rsidRPr="00EB2995" w:rsidRDefault="0003552F" w:rsidP="0003552F">
            <w:pPr>
              <w:jc w:val="right"/>
              <w:rPr>
                <w:rFonts w:cs="Calibri"/>
                <w:b/>
                <w:bCs/>
                <w:color w:val="000000"/>
                <w:sz w:val="20"/>
                <w:szCs w:val="20"/>
                <w:lang w:eastAsia="en-GB"/>
              </w:rPr>
            </w:pPr>
            <w:r w:rsidRPr="00EB2995">
              <w:rPr>
                <w:rFonts w:cs="Calibri"/>
                <w:b/>
                <w:bCs/>
                <w:color w:val="000000"/>
                <w:sz w:val="20"/>
                <w:szCs w:val="20"/>
                <w:lang w:eastAsia="en-GB"/>
              </w:rPr>
              <w:t>£m</w:t>
            </w:r>
          </w:p>
        </w:tc>
        <w:tc>
          <w:tcPr>
            <w:tcW w:w="908" w:type="dxa"/>
            <w:gridSpan w:val="2"/>
            <w:tcBorders>
              <w:top w:val="nil"/>
              <w:left w:val="nil"/>
              <w:bottom w:val="single" w:sz="4" w:space="0" w:color="auto"/>
              <w:right w:val="nil"/>
            </w:tcBorders>
            <w:shd w:val="clear" w:color="000000" w:fill="FFFFFF"/>
            <w:vAlign w:val="bottom"/>
          </w:tcPr>
          <w:p w:rsidR="0003552F" w:rsidRPr="00EB2995" w:rsidRDefault="0003552F" w:rsidP="0003552F">
            <w:pPr>
              <w:jc w:val="right"/>
              <w:rPr>
                <w:rFonts w:cs="Calibri"/>
                <w:b/>
                <w:bCs/>
                <w:color w:val="000000"/>
                <w:sz w:val="20"/>
                <w:szCs w:val="20"/>
                <w:lang w:eastAsia="en-GB"/>
              </w:rPr>
            </w:pPr>
            <w:r w:rsidRPr="00EB2995">
              <w:rPr>
                <w:rFonts w:cs="Calibri"/>
                <w:b/>
                <w:bCs/>
                <w:color w:val="000000"/>
                <w:sz w:val="20"/>
                <w:szCs w:val="20"/>
                <w:lang w:eastAsia="en-GB"/>
              </w:rPr>
              <w:t>£m</w:t>
            </w:r>
          </w:p>
        </w:tc>
        <w:tc>
          <w:tcPr>
            <w:tcW w:w="1120" w:type="dxa"/>
            <w:gridSpan w:val="2"/>
            <w:tcBorders>
              <w:top w:val="nil"/>
              <w:left w:val="nil"/>
              <w:bottom w:val="single" w:sz="4" w:space="0" w:color="auto"/>
              <w:right w:val="nil"/>
            </w:tcBorders>
            <w:shd w:val="clear" w:color="000000" w:fill="FFFFFF"/>
            <w:vAlign w:val="bottom"/>
          </w:tcPr>
          <w:p w:rsidR="0003552F" w:rsidRPr="00EB2995" w:rsidRDefault="0003552F" w:rsidP="0003552F">
            <w:pPr>
              <w:jc w:val="right"/>
              <w:rPr>
                <w:rFonts w:cs="Calibri"/>
                <w:b/>
                <w:bCs/>
                <w:color w:val="000000"/>
                <w:sz w:val="20"/>
                <w:szCs w:val="20"/>
                <w:lang w:eastAsia="en-GB"/>
              </w:rPr>
            </w:pPr>
            <w:r w:rsidRPr="00EB2995">
              <w:rPr>
                <w:rFonts w:cs="Calibri"/>
                <w:b/>
                <w:bCs/>
                <w:color w:val="000000"/>
                <w:sz w:val="20"/>
                <w:szCs w:val="20"/>
                <w:lang w:eastAsia="en-GB"/>
              </w:rPr>
              <w:t>£m</w:t>
            </w:r>
          </w:p>
        </w:tc>
        <w:tc>
          <w:tcPr>
            <w:tcW w:w="949" w:type="dxa"/>
            <w:gridSpan w:val="2"/>
            <w:tcBorders>
              <w:top w:val="nil"/>
              <w:left w:val="nil"/>
              <w:bottom w:val="single" w:sz="4" w:space="0" w:color="auto"/>
              <w:right w:val="nil"/>
            </w:tcBorders>
            <w:shd w:val="clear" w:color="000000" w:fill="FFFFFF"/>
            <w:vAlign w:val="bottom"/>
          </w:tcPr>
          <w:p w:rsidR="0003552F" w:rsidRPr="00EB2995" w:rsidRDefault="0003552F" w:rsidP="0003552F">
            <w:pPr>
              <w:jc w:val="right"/>
              <w:rPr>
                <w:rFonts w:cs="Calibri"/>
                <w:b/>
                <w:bCs/>
                <w:color w:val="000000"/>
                <w:sz w:val="20"/>
                <w:szCs w:val="20"/>
                <w:lang w:eastAsia="en-GB"/>
              </w:rPr>
            </w:pPr>
            <w:r w:rsidRPr="00EB2995">
              <w:rPr>
                <w:rFonts w:cs="Calibri"/>
                <w:b/>
                <w:bCs/>
                <w:color w:val="000000"/>
                <w:sz w:val="20"/>
                <w:szCs w:val="20"/>
                <w:lang w:eastAsia="en-GB"/>
              </w:rPr>
              <w:t>£m</w:t>
            </w:r>
          </w:p>
        </w:tc>
        <w:tc>
          <w:tcPr>
            <w:tcW w:w="949" w:type="dxa"/>
            <w:gridSpan w:val="2"/>
            <w:tcBorders>
              <w:top w:val="nil"/>
              <w:left w:val="nil"/>
              <w:bottom w:val="single" w:sz="4" w:space="0" w:color="auto"/>
              <w:right w:val="nil"/>
            </w:tcBorders>
            <w:shd w:val="clear" w:color="000000" w:fill="FFFFFF"/>
            <w:vAlign w:val="bottom"/>
          </w:tcPr>
          <w:p w:rsidR="0003552F" w:rsidRPr="00EB2995" w:rsidRDefault="0003552F" w:rsidP="0003552F">
            <w:pPr>
              <w:jc w:val="right"/>
              <w:rPr>
                <w:rFonts w:cs="Calibri"/>
                <w:b/>
                <w:bCs/>
                <w:color w:val="000000"/>
                <w:sz w:val="20"/>
                <w:szCs w:val="20"/>
                <w:lang w:eastAsia="en-GB"/>
              </w:rPr>
            </w:pPr>
            <w:r w:rsidRPr="00EB2995">
              <w:rPr>
                <w:rFonts w:cs="Calibri"/>
                <w:b/>
                <w:bCs/>
                <w:color w:val="000000"/>
                <w:sz w:val="20"/>
                <w:szCs w:val="20"/>
                <w:lang w:eastAsia="en-GB"/>
              </w:rPr>
              <w:t>£m</w:t>
            </w:r>
          </w:p>
        </w:tc>
        <w:tc>
          <w:tcPr>
            <w:tcW w:w="1074" w:type="dxa"/>
            <w:gridSpan w:val="2"/>
            <w:tcBorders>
              <w:top w:val="nil"/>
              <w:left w:val="nil"/>
              <w:bottom w:val="single" w:sz="4" w:space="0" w:color="auto"/>
              <w:right w:val="nil"/>
            </w:tcBorders>
            <w:shd w:val="clear" w:color="000000" w:fill="FFFFFF"/>
            <w:vAlign w:val="bottom"/>
          </w:tcPr>
          <w:p w:rsidR="0003552F" w:rsidRPr="00EB2995" w:rsidRDefault="0003552F" w:rsidP="0003552F">
            <w:pPr>
              <w:jc w:val="right"/>
              <w:rPr>
                <w:rFonts w:cs="Calibri"/>
                <w:b/>
                <w:bCs/>
                <w:color w:val="000000"/>
                <w:sz w:val="20"/>
                <w:szCs w:val="20"/>
                <w:lang w:eastAsia="en-GB"/>
              </w:rPr>
            </w:pPr>
            <w:r w:rsidRPr="00EB2995">
              <w:rPr>
                <w:rFonts w:cs="Calibri"/>
                <w:b/>
                <w:bCs/>
                <w:color w:val="000000"/>
                <w:sz w:val="20"/>
                <w:szCs w:val="20"/>
                <w:lang w:eastAsia="en-GB"/>
              </w:rPr>
              <w:t>£m</w:t>
            </w:r>
          </w:p>
        </w:tc>
        <w:tc>
          <w:tcPr>
            <w:tcW w:w="1152" w:type="dxa"/>
            <w:gridSpan w:val="3"/>
            <w:tcBorders>
              <w:top w:val="nil"/>
              <w:left w:val="nil"/>
              <w:bottom w:val="single" w:sz="4" w:space="0" w:color="auto"/>
              <w:right w:val="nil"/>
            </w:tcBorders>
            <w:shd w:val="clear" w:color="000000" w:fill="FFFFFF"/>
            <w:vAlign w:val="bottom"/>
          </w:tcPr>
          <w:p w:rsidR="0003552F" w:rsidRPr="00EB2995" w:rsidRDefault="0003552F" w:rsidP="0003552F">
            <w:pPr>
              <w:jc w:val="right"/>
              <w:rPr>
                <w:rFonts w:cs="Calibri"/>
                <w:b/>
                <w:bCs/>
                <w:color w:val="000000"/>
                <w:sz w:val="20"/>
                <w:szCs w:val="20"/>
                <w:lang w:eastAsia="en-GB"/>
              </w:rPr>
            </w:pPr>
            <w:r w:rsidRPr="00EB2995">
              <w:rPr>
                <w:rFonts w:cs="Calibri"/>
                <w:b/>
                <w:bCs/>
                <w:color w:val="000000"/>
                <w:sz w:val="20"/>
                <w:szCs w:val="20"/>
                <w:lang w:eastAsia="en-GB"/>
              </w:rPr>
              <w:t>£m</w:t>
            </w:r>
          </w:p>
        </w:tc>
        <w:tc>
          <w:tcPr>
            <w:tcW w:w="1003" w:type="dxa"/>
            <w:gridSpan w:val="2"/>
            <w:tcBorders>
              <w:top w:val="nil"/>
              <w:left w:val="nil"/>
              <w:bottom w:val="single" w:sz="4" w:space="0" w:color="auto"/>
              <w:right w:val="nil"/>
            </w:tcBorders>
            <w:shd w:val="clear" w:color="000000" w:fill="FFFFFF"/>
            <w:vAlign w:val="bottom"/>
          </w:tcPr>
          <w:p w:rsidR="0003552F" w:rsidRPr="00EB2995" w:rsidRDefault="0003552F" w:rsidP="0003552F">
            <w:pPr>
              <w:jc w:val="right"/>
              <w:rPr>
                <w:rFonts w:cs="Calibri"/>
                <w:b/>
                <w:bCs/>
                <w:color w:val="000000"/>
                <w:sz w:val="20"/>
                <w:szCs w:val="20"/>
                <w:lang w:eastAsia="en-GB"/>
              </w:rPr>
            </w:pPr>
            <w:r w:rsidRPr="00EB2995">
              <w:rPr>
                <w:rFonts w:cs="Calibri"/>
                <w:b/>
                <w:bCs/>
                <w:color w:val="000000"/>
                <w:sz w:val="20"/>
                <w:szCs w:val="20"/>
                <w:lang w:eastAsia="en-GB"/>
              </w:rPr>
              <w:t>£m</w:t>
            </w:r>
          </w:p>
        </w:tc>
        <w:tc>
          <w:tcPr>
            <w:tcW w:w="1054" w:type="dxa"/>
            <w:tcBorders>
              <w:top w:val="nil"/>
              <w:left w:val="nil"/>
              <w:bottom w:val="single" w:sz="4" w:space="0" w:color="auto"/>
              <w:right w:val="nil"/>
            </w:tcBorders>
            <w:shd w:val="clear" w:color="000000" w:fill="FFFFFF"/>
            <w:vAlign w:val="bottom"/>
          </w:tcPr>
          <w:p w:rsidR="0003552F" w:rsidRPr="00EB2995" w:rsidRDefault="0003552F" w:rsidP="0003552F">
            <w:pPr>
              <w:jc w:val="right"/>
              <w:rPr>
                <w:rFonts w:cs="Calibri"/>
                <w:b/>
                <w:bCs/>
                <w:color w:val="000000"/>
                <w:sz w:val="20"/>
                <w:szCs w:val="20"/>
                <w:lang w:eastAsia="en-GB"/>
              </w:rPr>
            </w:pPr>
            <w:r w:rsidRPr="00EB2995">
              <w:rPr>
                <w:rFonts w:cs="Calibri"/>
                <w:b/>
                <w:bCs/>
                <w:color w:val="000000"/>
                <w:sz w:val="20"/>
                <w:szCs w:val="20"/>
                <w:lang w:eastAsia="en-GB"/>
              </w:rPr>
              <w:t>£m</w:t>
            </w:r>
          </w:p>
        </w:tc>
      </w:tr>
      <w:tr w:rsidR="0003552F" w:rsidRPr="00EB2995" w:rsidTr="0003552F">
        <w:trPr>
          <w:trHeight w:val="300"/>
        </w:trPr>
        <w:tc>
          <w:tcPr>
            <w:tcW w:w="3081" w:type="dxa"/>
            <w:gridSpan w:val="3"/>
            <w:tcBorders>
              <w:top w:val="nil"/>
              <w:left w:val="nil"/>
              <w:bottom w:val="nil"/>
              <w:right w:val="single" w:sz="8" w:space="0" w:color="000000"/>
            </w:tcBorders>
            <w:shd w:val="clear" w:color="000000" w:fill="FFFFFF"/>
            <w:vAlign w:val="center"/>
          </w:tcPr>
          <w:p w:rsidR="0003552F" w:rsidRPr="00EB2995" w:rsidRDefault="0003552F" w:rsidP="0003552F">
            <w:pPr>
              <w:rPr>
                <w:rFonts w:cs="Calibri"/>
                <w:b/>
                <w:bCs/>
                <w:color w:val="000000"/>
                <w:sz w:val="20"/>
                <w:szCs w:val="20"/>
                <w:lang w:eastAsia="en-GB"/>
              </w:rPr>
            </w:pPr>
            <w:r w:rsidRPr="00EB2995">
              <w:rPr>
                <w:rFonts w:cs="Calibri"/>
                <w:b/>
                <w:bCs/>
                <w:color w:val="000000"/>
                <w:sz w:val="20"/>
                <w:szCs w:val="20"/>
                <w:lang w:eastAsia="en-GB"/>
              </w:rPr>
              <w:t>Balance as at 31 March 2018</w:t>
            </w:r>
          </w:p>
        </w:tc>
        <w:tc>
          <w:tcPr>
            <w:tcW w:w="960" w:type="dxa"/>
            <w:tcBorders>
              <w:top w:val="nil"/>
              <w:left w:val="nil"/>
              <w:bottom w:val="nil"/>
              <w:right w:val="nil"/>
            </w:tcBorders>
            <w:shd w:val="clear" w:color="000000" w:fill="FFFFFF"/>
            <w:noWrap/>
            <w:vAlign w:val="center"/>
          </w:tcPr>
          <w:p w:rsidR="0003552F" w:rsidRPr="00EB2995" w:rsidRDefault="0003552F" w:rsidP="0003552F">
            <w:pPr>
              <w:jc w:val="right"/>
              <w:rPr>
                <w:rFonts w:cs="Calibri"/>
                <w:b/>
                <w:bCs/>
                <w:color w:val="000000"/>
                <w:sz w:val="20"/>
                <w:szCs w:val="20"/>
                <w:lang w:eastAsia="en-GB"/>
              </w:rPr>
            </w:pPr>
            <w:r w:rsidRPr="00EB2995">
              <w:rPr>
                <w:rFonts w:cs="Calibri"/>
                <w:b/>
                <w:bCs/>
                <w:color w:val="000000"/>
                <w:sz w:val="20"/>
                <w:szCs w:val="20"/>
              </w:rPr>
              <w:t>(12.3)</w:t>
            </w:r>
          </w:p>
        </w:tc>
        <w:tc>
          <w:tcPr>
            <w:tcW w:w="1024" w:type="dxa"/>
            <w:gridSpan w:val="3"/>
            <w:tcBorders>
              <w:top w:val="nil"/>
              <w:left w:val="nil"/>
              <w:bottom w:val="nil"/>
              <w:right w:val="nil"/>
            </w:tcBorders>
            <w:shd w:val="clear" w:color="000000" w:fill="FFFFFF"/>
            <w:vAlign w:val="center"/>
          </w:tcPr>
          <w:p w:rsidR="0003552F" w:rsidRPr="00EB2995" w:rsidRDefault="0003552F" w:rsidP="0003552F">
            <w:pPr>
              <w:jc w:val="right"/>
              <w:rPr>
                <w:rFonts w:cs="Calibri"/>
                <w:b/>
                <w:bCs/>
                <w:color w:val="000000"/>
                <w:sz w:val="20"/>
                <w:szCs w:val="20"/>
                <w:lang w:eastAsia="en-GB"/>
              </w:rPr>
            </w:pPr>
            <w:r w:rsidRPr="00EB2995">
              <w:rPr>
                <w:rFonts w:cs="Calibri"/>
                <w:b/>
                <w:bCs/>
                <w:color w:val="000000"/>
                <w:sz w:val="20"/>
                <w:szCs w:val="20"/>
              </w:rPr>
              <w:t>(23.9)</w:t>
            </w:r>
          </w:p>
        </w:tc>
        <w:tc>
          <w:tcPr>
            <w:tcW w:w="1120" w:type="dxa"/>
            <w:gridSpan w:val="2"/>
            <w:tcBorders>
              <w:top w:val="nil"/>
              <w:left w:val="nil"/>
              <w:bottom w:val="nil"/>
              <w:right w:val="nil"/>
            </w:tcBorders>
            <w:shd w:val="clear" w:color="000000" w:fill="FFFFFF"/>
            <w:noWrap/>
            <w:vAlign w:val="center"/>
          </w:tcPr>
          <w:p w:rsidR="0003552F" w:rsidRPr="00EB2995" w:rsidRDefault="0003552F" w:rsidP="0003552F">
            <w:pPr>
              <w:jc w:val="right"/>
              <w:rPr>
                <w:rFonts w:cs="Calibri"/>
                <w:b/>
                <w:bCs/>
                <w:color w:val="000000"/>
                <w:sz w:val="20"/>
                <w:szCs w:val="20"/>
                <w:lang w:eastAsia="en-GB"/>
              </w:rPr>
            </w:pPr>
            <w:r w:rsidRPr="00EB2995">
              <w:rPr>
                <w:rFonts w:cs="Calibri"/>
                <w:b/>
                <w:bCs/>
                <w:color w:val="000000"/>
                <w:sz w:val="20"/>
                <w:szCs w:val="20"/>
              </w:rPr>
              <w:t>(202.6)</w:t>
            </w:r>
          </w:p>
        </w:tc>
        <w:tc>
          <w:tcPr>
            <w:tcW w:w="960" w:type="dxa"/>
            <w:gridSpan w:val="2"/>
            <w:tcBorders>
              <w:top w:val="nil"/>
              <w:left w:val="nil"/>
              <w:bottom w:val="nil"/>
              <w:right w:val="nil"/>
            </w:tcBorders>
            <w:shd w:val="clear" w:color="000000" w:fill="FFFFFF"/>
            <w:noWrap/>
            <w:vAlign w:val="center"/>
          </w:tcPr>
          <w:p w:rsidR="0003552F" w:rsidRPr="00EB2995" w:rsidRDefault="0003552F" w:rsidP="0003552F">
            <w:pPr>
              <w:jc w:val="right"/>
              <w:rPr>
                <w:rFonts w:cs="Calibri"/>
                <w:b/>
                <w:bCs/>
                <w:color w:val="000000"/>
                <w:sz w:val="20"/>
                <w:szCs w:val="20"/>
                <w:lang w:eastAsia="en-GB"/>
              </w:rPr>
            </w:pPr>
            <w:r w:rsidRPr="00EB2995">
              <w:rPr>
                <w:rFonts w:cs="Calibri"/>
                <w:b/>
                <w:bCs/>
                <w:color w:val="000000"/>
                <w:sz w:val="20"/>
                <w:szCs w:val="20"/>
              </w:rPr>
              <w:t>(3.7)</w:t>
            </w:r>
          </w:p>
        </w:tc>
        <w:tc>
          <w:tcPr>
            <w:tcW w:w="1120" w:type="dxa"/>
            <w:gridSpan w:val="2"/>
            <w:tcBorders>
              <w:top w:val="nil"/>
              <w:left w:val="nil"/>
              <w:bottom w:val="nil"/>
              <w:right w:val="nil"/>
            </w:tcBorders>
            <w:shd w:val="clear" w:color="000000" w:fill="FFFFFF"/>
            <w:noWrap/>
            <w:vAlign w:val="center"/>
          </w:tcPr>
          <w:p w:rsidR="0003552F" w:rsidRPr="00EB2995" w:rsidRDefault="0003552F" w:rsidP="0003552F">
            <w:pPr>
              <w:jc w:val="right"/>
              <w:rPr>
                <w:rFonts w:cs="Calibri"/>
                <w:b/>
                <w:bCs/>
                <w:color w:val="000000"/>
                <w:sz w:val="20"/>
                <w:szCs w:val="20"/>
                <w:lang w:eastAsia="en-GB"/>
              </w:rPr>
            </w:pPr>
            <w:r w:rsidRPr="00EB2995">
              <w:rPr>
                <w:rFonts w:cs="Calibri"/>
                <w:b/>
                <w:bCs/>
                <w:color w:val="000000"/>
                <w:sz w:val="20"/>
                <w:szCs w:val="20"/>
              </w:rPr>
              <w:t>(1.7)</w:t>
            </w:r>
          </w:p>
        </w:tc>
        <w:tc>
          <w:tcPr>
            <w:tcW w:w="960" w:type="dxa"/>
            <w:gridSpan w:val="2"/>
            <w:tcBorders>
              <w:top w:val="nil"/>
              <w:left w:val="nil"/>
              <w:bottom w:val="nil"/>
              <w:right w:val="nil"/>
            </w:tcBorders>
            <w:shd w:val="clear" w:color="000000" w:fill="FFFFFF"/>
            <w:noWrap/>
            <w:vAlign w:val="center"/>
          </w:tcPr>
          <w:p w:rsidR="0003552F" w:rsidRPr="00EB2995" w:rsidRDefault="0003552F" w:rsidP="0003552F">
            <w:pPr>
              <w:jc w:val="right"/>
              <w:rPr>
                <w:rFonts w:cs="Calibri"/>
                <w:b/>
                <w:bCs/>
                <w:color w:val="000000"/>
                <w:sz w:val="20"/>
                <w:szCs w:val="20"/>
                <w:lang w:eastAsia="en-GB"/>
              </w:rPr>
            </w:pPr>
            <w:r w:rsidRPr="00EB2995">
              <w:rPr>
                <w:rFonts w:cs="Calibri"/>
                <w:b/>
                <w:bCs/>
                <w:color w:val="000000"/>
                <w:sz w:val="20"/>
                <w:szCs w:val="20"/>
              </w:rPr>
              <w:t>(38.4)</w:t>
            </w:r>
          </w:p>
        </w:tc>
        <w:tc>
          <w:tcPr>
            <w:tcW w:w="960" w:type="dxa"/>
            <w:gridSpan w:val="2"/>
            <w:tcBorders>
              <w:top w:val="nil"/>
              <w:left w:val="nil"/>
              <w:bottom w:val="nil"/>
              <w:right w:val="nil"/>
            </w:tcBorders>
            <w:shd w:val="clear" w:color="000000" w:fill="FFFFFF"/>
            <w:noWrap/>
            <w:vAlign w:val="center"/>
          </w:tcPr>
          <w:p w:rsidR="0003552F" w:rsidRPr="00EB2995" w:rsidRDefault="0003552F" w:rsidP="0003552F">
            <w:pPr>
              <w:jc w:val="right"/>
              <w:rPr>
                <w:rFonts w:cs="Calibri"/>
                <w:b/>
                <w:bCs/>
                <w:color w:val="000000"/>
                <w:sz w:val="20"/>
                <w:szCs w:val="20"/>
                <w:lang w:eastAsia="en-GB"/>
              </w:rPr>
            </w:pPr>
            <w:r w:rsidRPr="00EB2995">
              <w:rPr>
                <w:rFonts w:cs="Calibri"/>
                <w:b/>
                <w:bCs/>
                <w:color w:val="000000"/>
                <w:sz w:val="20"/>
                <w:szCs w:val="20"/>
              </w:rPr>
              <w:t>0.0</w:t>
            </w:r>
          </w:p>
        </w:tc>
        <w:tc>
          <w:tcPr>
            <w:tcW w:w="1074" w:type="dxa"/>
            <w:gridSpan w:val="2"/>
            <w:tcBorders>
              <w:top w:val="nil"/>
              <w:left w:val="nil"/>
              <w:bottom w:val="nil"/>
              <w:right w:val="nil"/>
            </w:tcBorders>
            <w:shd w:val="clear" w:color="000000" w:fill="FFFFFF"/>
            <w:noWrap/>
            <w:vAlign w:val="center"/>
          </w:tcPr>
          <w:p w:rsidR="0003552F" w:rsidRPr="00EB2995" w:rsidRDefault="0003552F" w:rsidP="0003552F">
            <w:pPr>
              <w:jc w:val="right"/>
              <w:rPr>
                <w:rFonts w:cs="Calibri"/>
                <w:b/>
                <w:bCs/>
                <w:color w:val="000000"/>
                <w:sz w:val="20"/>
                <w:szCs w:val="20"/>
                <w:lang w:eastAsia="en-GB"/>
              </w:rPr>
            </w:pPr>
            <w:r w:rsidRPr="00EB2995">
              <w:rPr>
                <w:rFonts w:cs="Calibri"/>
                <w:b/>
                <w:bCs/>
                <w:color w:val="000000"/>
                <w:sz w:val="20"/>
                <w:szCs w:val="20"/>
              </w:rPr>
              <w:t>(82.5)</w:t>
            </w:r>
          </w:p>
        </w:tc>
        <w:tc>
          <w:tcPr>
            <w:tcW w:w="960" w:type="dxa"/>
            <w:tcBorders>
              <w:top w:val="nil"/>
              <w:left w:val="nil"/>
              <w:bottom w:val="nil"/>
              <w:right w:val="nil"/>
            </w:tcBorders>
            <w:shd w:val="clear" w:color="000000" w:fill="FFFFFF"/>
            <w:noWrap/>
            <w:vAlign w:val="center"/>
          </w:tcPr>
          <w:p w:rsidR="0003552F" w:rsidRPr="00EB2995" w:rsidRDefault="0003552F" w:rsidP="0003552F">
            <w:pPr>
              <w:jc w:val="right"/>
              <w:rPr>
                <w:rFonts w:cs="Calibri"/>
                <w:b/>
                <w:bCs/>
                <w:color w:val="000000"/>
                <w:sz w:val="20"/>
                <w:szCs w:val="20"/>
                <w:lang w:eastAsia="en-GB"/>
              </w:rPr>
            </w:pPr>
            <w:r w:rsidRPr="00EB2995">
              <w:rPr>
                <w:rFonts w:cs="Calibri"/>
                <w:b/>
                <w:bCs/>
                <w:color w:val="000000"/>
                <w:sz w:val="20"/>
                <w:szCs w:val="20"/>
              </w:rPr>
              <w:t>(365.0)</w:t>
            </w:r>
          </w:p>
        </w:tc>
        <w:tc>
          <w:tcPr>
            <w:tcW w:w="997" w:type="dxa"/>
            <w:gridSpan w:val="2"/>
            <w:tcBorders>
              <w:top w:val="nil"/>
              <w:left w:val="nil"/>
              <w:bottom w:val="nil"/>
              <w:right w:val="nil"/>
            </w:tcBorders>
            <w:shd w:val="clear" w:color="000000" w:fill="FFFFFF"/>
            <w:noWrap/>
            <w:vAlign w:val="center"/>
          </w:tcPr>
          <w:p w:rsidR="0003552F" w:rsidRPr="00EB2995" w:rsidRDefault="0003552F" w:rsidP="0003552F">
            <w:pPr>
              <w:jc w:val="right"/>
              <w:rPr>
                <w:rFonts w:cs="Calibri"/>
                <w:b/>
                <w:bCs/>
                <w:color w:val="000000"/>
                <w:sz w:val="20"/>
                <w:szCs w:val="20"/>
                <w:lang w:eastAsia="en-GB"/>
              </w:rPr>
            </w:pPr>
            <w:r w:rsidRPr="00EB2995">
              <w:rPr>
                <w:rFonts w:cs="Calibri"/>
                <w:b/>
                <w:bCs/>
                <w:color w:val="000000"/>
                <w:sz w:val="20"/>
                <w:szCs w:val="20"/>
              </w:rPr>
              <w:t>(140.2)</w:t>
            </w:r>
          </w:p>
        </w:tc>
        <w:tc>
          <w:tcPr>
            <w:tcW w:w="1135" w:type="dxa"/>
            <w:gridSpan w:val="2"/>
            <w:tcBorders>
              <w:top w:val="nil"/>
              <w:left w:val="nil"/>
              <w:bottom w:val="nil"/>
              <w:right w:val="single" w:sz="8" w:space="0" w:color="auto"/>
            </w:tcBorders>
            <w:shd w:val="clear" w:color="000000" w:fill="FFFFFF"/>
            <w:noWrap/>
            <w:vAlign w:val="center"/>
          </w:tcPr>
          <w:p w:rsidR="0003552F" w:rsidRPr="00EB2995" w:rsidRDefault="0003552F" w:rsidP="0003552F">
            <w:pPr>
              <w:jc w:val="right"/>
              <w:rPr>
                <w:rFonts w:cs="Calibri"/>
                <w:b/>
                <w:bCs/>
                <w:color w:val="000000"/>
                <w:sz w:val="20"/>
                <w:szCs w:val="20"/>
                <w:lang w:eastAsia="en-GB"/>
              </w:rPr>
            </w:pPr>
            <w:r w:rsidRPr="00EB2995">
              <w:rPr>
                <w:rFonts w:cs="Calibri"/>
                <w:b/>
                <w:bCs/>
                <w:color w:val="000000"/>
                <w:sz w:val="20"/>
                <w:szCs w:val="20"/>
              </w:rPr>
              <w:t>(505.2)</w:t>
            </w:r>
          </w:p>
        </w:tc>
      </w:tr>
      <w:tr w:rsidR="0003552F" w:rsidRPr="00EB2995" w:rsidTr="0003552F">
        <w:trPr>
          <w:trHeight w:val="300"/>
        </w:trPr>
        <w:tc>
          <w:tcPr>
            <w:tcW w:w="3081" w:type="dxa"/>
            <w:gridSpan w:val="3"/>
            <w:tcBorders>
              <w:top w:val="nil"/>
              <w:left w:val="nil"/>
              <w:bottom w:val="nil"/>
              <w:right w:val="single" w:sz="8" w:space="0" w:color="000000"/>
            </w:tcBorders>
            <w:shd w:val="clear" w:color="000000" w:fill="FFFFFF"/>
            <w:vAlign w:val="center"/>
          </w:tcPr>
          <w:p w:rsidR="0003552F" w:rsidRPr="00EB2995" w:rsidRDefault="0003552F" w:rsidP="0003552F">
            <w:pPr>
              <w:rPr>
                <w:rFonts w:cs="Calibri"/>
                <w:b/>
                <w:bCs/>
                <w:color w:val="000000"/>
                <w:sz w:val="20"/>
                <w:szCs w:val="20"/>
                <w:lang w:eastAsia="en-GB"/>
              </w:rPr>
            </w:pPr>
            <w:r w:rsidRPr="00EB2995">
              <w:rPr>
                <w:rFonts w:cs="Calibri"/>
                <w:b/>
                <w:bCs/>
                <w:color w:val="000000"/>
                <w:sz w:val="20"/>
                <w:szCs w:val="20"/>
                <w:lang w:eastAsia="en-GB"/>
              </w:rPr>
              <w:t>Movement in reserves during 2018/19</w:t>
            </w:r>
          </w:p>
        </w:tc>
        <w:tc>
          <w:tcPr>
            <w:tcW w:w="960" w:type="dxa"/>
            <w:tcBorders>
              <w:top w:val="nil"/>
              <w:left w:val="nil"/>
              <w:bottom w:val="nil"/>
              <w:right w:val="nil"/>
            </w:tcBorders>
            <w:shd w:val="clear" w:color="000000" w:fill="FFFFFF"/>
            <w:noWrap/>
            <w:vAlign w:val="center"/>
          </w:tcPr>
          <w:p w:rsidR="0003552F" w:rsidRPr="00EB2995" w:rsidRDefault="0003552F" w:rsidP="0003552F">
            <w:pPr>
              <w:jc w:val="right"/>
              <w:rPr>
                <w:rFonts w:cs="Calibri"/>
                <w:color w:val="FF0000"/>
                <w:sz w:val="20"/>
                <w:szCs w:val="20"/>
                <w:lang w:eastAsia="en-GB"/>
              </w:rPr>
            </w:pPr>
            <w:r w:rsidRPr="00EB2995">
              <w:rPr>
                <w:rFonts w:cs="Calibri"/>
                <w:b/>
                <w:bCs/>
                <w:color w:val="000000"/>
                <w:sz w:val="20"/>
                <w:szCs w:val="20"/>
              </w:rPr>
              <w:t> </w:t>
            </w:r>
          </w:p>
        </w:tc>
        <w:tc>
          <w:tcPr>
            <w:tcW w:w="1024" w:type="dxa"/>
            <w:gridSpan w:val="3"/>
            <w:tcBorders>
              <w:top w:val="nil"/>
              <w:left w:val="nil"/>
              <w:bottom w:val="nil"/>
              <w:right w:val="nil"/>
            </w:tcBorders>
            <w:shd w:val="clear" w:color="000000" w:fill="FFFFFF"/>
            <w:vAlign w:val="center"/>
          </w:tcPr>
          <w:p w:rsidR="0003552F" w:rsidRPr="00EB2995" w:rsidRDefault="0003552F" w:rsidP="0003552F">
            <w:pPr>
              <w:jc w:val="right"/>
              <w:rPr>
                <w:rFonts w:cs="Calibri"/>
                <w:color w:val="000000"/>
                <w:sz w:val="20"/>
                <w:szCs w:val="20"/>
                <w:lang w:eastAsia="en-GB"/>
              </w:rPr>
            </w:pPr>
            <w:r w:rsidRPr="00EB2995">
              <w:rPr>
                <w:rFonts w:cs="Calibri"/>
                <w:color w:val="000000"/>
                <w:sz w:val="20"/>
                <w:szCs w:val="20"/>
              </w:rPr>
              <w:t> </w:t>
            </w:r>
          </w:p>
        </w:tc>
        <w:tc>
          <w:tcPr>
            <w:tcW w:w="1120" w:type="dxa"/>
            <w:gridSpan w:val="2"/>
            <w:tcBorders>
              <w:top w:val="nil"/>
              <w:left w:val="nil"/>
              <w:bottom w:val="nil"/>
              <w:right w:val="nil"/>
            </w:tcBorders>
            <w:shd w:val="clear" w:color="000000" w:fill="FFFFFF"/>
            <w:noWrap/>
            <w:vAlign w:val="center"/>
          </w:tcPr>
          <w:p w:rsidR="0003552F" w:rsidRPr="00EB2995" w:rsidRDefault="0003552F" w:rsidP="0003552F">
            <w:pPr>
              <w:jc w:val="right"/>
              <w:rPr>
                <w:rFonts w:cs="Calibri"/>
                <w:color w:val="000000"/>
                <w:sz w:val="20"/>
                <w:szCs w:val="20"/>
                <w:lang w:eastAsia="en-GB"/>
              </w:rPr>
            </w:pPr>
            <w:r w:rsidRPr="00EB2995">
              <w:rPr>
                <w:rFonts w:cs="Calibri"/>
                <w:color w:val="000000"/>
                <w:sz w:val="20"/>
                <w:szCs w:val="20"/>
              </w:rPr>
              <w:t> </w:t>
            </w:r>
          </w:p>
        </w:tc>
        <w:tc>
          <w:tcPr>
            <w:tcW w:w="960" w:type="dxa"/>
            <w:gridSpan w:val="2"/>
            <w:tcBorders>
              <w:top w:val="nil"/>
              <w:left w:val="nil"/>
              <w:bottom w:val="nil"/>
              <w:right w:val="nil"/>
            </w:tcBorders>
            <w:shd w:val="clear" w:color="000000" w:fill="FFFFFF"/>
            <w:noWrap/>
            <w:vAlign w:val="center"/>
          </w:tcPr>
          <w:p w:rsidR="0003552F" w:rsidRPr="00EB2995" w:rsidRDefault="0003552F" w:rsidP="0003552F">
            <w:pPr>
              <w:jc w:val="right"/>
              <w:rPr>
                <w:rFonts w:cs="Calibri"/>
                <w:color w:val="000000"/>
                <w:sz w:val="20"/>
                <w:szCs w:val="20"/>
                <w:lang w:eastAsia="en-GB"/>
              </w:rPr>
            </w:pPr>
            <w:r w:rsidRPr="00EB2995">
              <w:rPr>
                <w:rFonts w:cs="Calibri"/>
                <w:color w:val="000000"/>
                <w:sz w:val="20"/>
                <w:szCs w:val="20"/>
              </w:rPr>
              <w:t> </w:t>
            </w:r>
          </w:p>
        </w:tc>
        <w:tc>
          <w:tcPr>
            <w:tcW w:w="1120" w:type="dxa"/>
            <w:gridSpan w:val="2"/>
            <w:tcBorders>
              <w:top w:val="nil"/>
              <w:left w:val="nil"/>
              <w:bottom w:val="nil"/>
              <w:right w:val="nil"/>
            </w:tcBorders>
            <w:shd w:val="clear" w:color="000000" w:fill="FFFFFF"/>
            <w:noWrap/>
            <w:vAlign w:val="center"/>
          </w:tcPr>
          <w:p w:rsidR="0003552F" w:rsidRPr="00EB2995" w:rsidRDefault="0003552F" w:rsidP="0003552F">
            <w:pPr>
              <w:jc w:val="right"/>
              <w:rPr>
                <w:rFonts w:cs="Calibri"/>
                <w:color w:val="000000"/>
                <w:sz w:val="20"/>
                <w:szCs w:val="20"/>
                <w:lang w:eastAsia="en-GB"/>
              </w:rPr>
            </w:pPr>
            <w:r w:rsidRPr="00EB2995">
              <w:rPr>
                <w:rFonts w:cs="Calibri"/>
                <w:color w:val="000000"/>
                <w:sz w:val="20"/>
                <w:szCs w:val="20"/>
              </w:rPr>
              <w:t> </w:t>
            </w:r>
          </w:p>
        </w:tc>
        <w:tc>
          <w:tcPr>
            <w:tcW w:w="960" w:type="dxa"/>
            <w:gridSpan w:val="2"/>
            <w:tcBorders>
              <w:top w:val="nil"/>
              <w:left w:val="nil"/>
              <w:bottom w:val="nil"/>
              <w:right w:val="nil"/>
            </w:tcBorders>
            <w:shd w:val="clear" w:color="000000" w:fill="FFFFFF"/>
            <w:noWrap/>
            <w:vAlign w:val="center"/>
          </w:tcPr>
          <w:p w:rsidR="0003552F" w:rsidRPr="00EB2995" w:rsidRDefault="0003552F" w:rsidP="0003552F">
            <w:pPr>
              <w:jc w:val="right"/>
              <w:rPr>
                <w:rFonts w:cs="Calibri"/>
                <w:color w:val="000000"/>
                <w:sz w:val="20"/>
                <w:szCs w:val="20"/>
                <w:lang w:eastAsia="en-GB"/>
              </w:rPr>
            </w:pPr>
            <w:r w:rsidRPr="00EB2995">
              <w:rPr>
                <w:rFonts w:cs="Calibri"/>
                <w:color w:val="000000"/>
                <w:sz w:val="20"/>
                <w:szCs w:val="20"/>
              </w:rPr>
              <w:t> </w:t>
            </w:r>
          </w:p>
        </w:tc>
        <w:tc>
          <w:tcPr>
            <w:tcW w:w="960" w:type="dxa"/>
            <w:gridSpan w:val="2"/>
            <w:tcBorders>
              <w:top w:val="nil"/>
              <w:left w:val="nil"/>
              <w:bottom w:val="nil"/>
              <w:right w:val="nil"/>
            </w:tcBorders>
            <w:shd w:val="clear" w:color="000000" w:fill="FFFFFF"/>
            <w:noWrap/>
            <w:vAlign w:val="center"/>
          </w:tcPr>
          <w:p w:rsidR="0003552F" w:rsidRPr="00EB2995" w:rsidRDefault="0003552F" w:rsidP="0003552F">
            <w:pPr>
              <w:jc w:val="right"/>
              <w:rPr>
                <w:rFonts w:cs="Calibri"/>
                <w:color w:val="000000"/>
                <w:sz w:val="20"/>
                <w:szCs w:val="20"/>
                <w:lang w:eastAsia="en-GB"/>
              </w:rPr>
            </w:pPr>
            <w:r w:rsidRPr="00EB2995">
              <w:rPr>
                <w:rFonts w:cs="Calibri"/>
                <w:color w:val="000000"/>
                <w:sz w:val="20"/>
                <w:szCs w:val="20"/>
              </w:rPr>
              <w:t> </w:t>
            </w:r>
          </w:p>
        </w:tc>
        <w:tc>
          <w:tcPr>
            <w:tcW w:w="1074" w:type="dxa"/>
            <w:gridSpan w:val="2"/>
            <w:tcBorders>
              <w:top w:val="nil"/>
              <w:left w:val="nil"/>
              <w:bottom w:val="nil"/>
              <w:right w:val="nil"/>
            </w:tcBorders>
            <w:shd w:val="clear" w:color="000000" w:fill="FFFFFF"/>
            <w:noWrap/>
            <w:vAlign w:val="center"/>
          </w:tcPr>
          <w:p w:rsidR="0003552F" w:rsidRPr="00EB2995" w:rsidRDefault="0003552F" w:rsidP="0003552F">
            <w:pPr>
              <w:jc w:val="right"/>
              <w:rPr>
                <w:rFonts w:cs="Calibri"/>
                <w:color w:val="000000"/>
                <w:sz w:val="20"/>
                <w:szCs w:val="20"/>
                <w:lang w:eastAsia="en-GB"/>
              </w:rPr>
            </w:pPr>
            <w:r w:rsidRPr="00EB2995">
              <w:rPr>
                <w:rFonts w:cs="Calibri"/>
                <w:color w:val="000000"/>
                <w:sz w:val="20"/>
                <w:szCs w:val="20"/>
              </w:rPr>
              <w:t> </w:t>
            </w:r>
          </w:p>
        </w:tc>
        <w:tc>
          <w:tcPr>
            <w:tcW w:w="960" w:type="dxa"/>
            <w:tcBorders>
              <w:top w:val="nil"/>
              <w:left w:val="nil"/>
              <w:bottom w:val="nil"/>
              <w:right w:val="nil"/>
            </w:tcBorders>
            <w:shd w:val="clear" w:color="000000" w:fill="FFFFFF"/>
            <w:noWrap/>
            <w:vAlign w:val="center"/>
          </w:tcPr>
          <w:p w:rsidR="0003552F" w:rsidRPr="00EB2995" w:rsidRDefault="0003552F" w:rsidP="0003552F">
            <w:pPr>
              <w:jc w:val="right"/>
              <w:rPr>
                <w:rFonts w:cs="Calibri"/>
                <w:b/>
                <w:bCs/>
                <w:color w:val="000000"/>
                <w:sz w:val="20"/>
                <w:szCs w:val="20"/>
                <w:lang w:eastAsia="en-GB"/>
              </w:rPr>
            </w:pPr>
            <w:r w:rsidRPr="00EB2995">
              <w:rPr>
                <w:rFonts w:cs="Calibri"/>
                <w:b/>
                <w:bCs/>
                <w:color w:val="000000"/>
                <w:sz w:val="20"/>
                <w:szCs w:val="20"/>
              </w:rPr>
              <w:t> </w:t>
            </w:r>
          </w:p>
        </w:tc>
        <w:tc>
          <w:tcPr>
            <w:tcW w:w="997" w:type="dxa"/>
            <w:gridSpan w:val="2"/>
            <w:tcBorders>
              <w:top w:val="nil"/>
              <w:left w:val="nil"/>
              <w:bottom w:val="nil"/>
              <w:right w:val="nil"/>
            </w:tcBorders>
            <w:shd w:val="clear" w:color="000000" w:fill="FFFFFF"/>
            <w:noWrap/>
            <w:vAlign w:val="center"/>
          </w:tcPr>
          <w:p w:rsidR="0003552F" w:rsidRPr="00EB2995" w:rsidRDefault="0003552F" w:rsidP="0003552F">
            <w:pPr>
              <w:jc w:val="right"/>
              <w:rPr>
                <w:rFonts w:cs="Calibri"/>
                <w:color w:val="000000"/>
                <w:sz w:val="20"/>
                <w:szCs w:val="20"/>
                <w:lang w:eastAsia="en-GB"/>
              </w:rPr>
            </w:pPr>
            <w:r w:rsidRPr="00EB2995">
              <w:rPr>
                <w:rFonts w:cs="Calibri"/>
                <w:color w:val="000000"/>
                <w:sz w:val="20"/>
                <w:szCs w:val="20"/>
              </w:rPr>
              <w:t> </w:t>
            </w:r>
          </w:p>
        </w:tc>
        <w:tc>
          <w:tcPr>
            <w:tcW w:w="1135" w:type="dxa"/>
            <w:gridSpan w:val="2"/>
            <w:tcBorders>
              <w:top w:val="nil"/>
              <w:left w:val="nil"/>
              <w:bottom w:val="nil"/>
              <w:right w:val="single" w:sz="8" w:space="0" w:color="auto"/>
            </w:tcBorders>
            <w:shd w:val="clear" w:color="000000" w:fill="FFFFFF"/>
            <w:noWrap/>
            <w:vAlign w:val="center"/>
          </w:tcPr>
          <w:p w:rsidR="0003552F" w:rsidRPr="00EB2995" w:rsidRDefault="0003552F" w:rsidP="0003552F">
            <w:pPr>
              <w:jc w:val="right"/>
              <w:rPr>
                <w:rFonts w:cs="Calibri"/>
                <w:b/>
                <w:bCs/>
                <w:color w:val="FF0000"/>
                <w:sz w:val="20"/>
                <w:szCs w:val="20"/>
                <w:lang w:eastAsia="en-GB"/>
              </w:rPr>
            </w:pPr>
            <w:r w:rsidRPr="00EB2995">
              <w:rPr>
                <w:rFonts w:cs="Calibri"/>
                <w:b/>
                <w:bCs/>
                <w:color w:val="FF0000"/>
                <w:sz w:val="20"/>
                <w:szCs w:val="20"/>
              </w:rPr>
              <w:t> </w:t>
            </w:r>
          </w:p>
        </w:tc>
      </w:tr>
      <w:tr w:rsidR="0003552F" w:rsidRPr="00EB2995" w:rsidTr="0003552F">
        <w:trPr>
          <w:trHeight w:val="570"/>
        </w:trPr>
        <w:tc>
          <w:tcPr>
            <w:tcW w:w="3081" w:type="dxa"/>
            <w:gridSpan w:val="3"/>
            <w:tcBorders>
              <w:top w:val="nil"/>
              <w:left w:val="nil"/>
              <w:bottom w:val="nil"/>
              <w:right w:val="single" w:sz="8" w:space="0" w:color="000000"/>
            </w:tcBorders>
            <w:shd w:val="clear" w:color="000000" w:fill="FFFFFF"/>
            <w:vAlign w:val="center"/>
          </w:tcPr>
          <w:p w:rsidR="0003552F" w:rsidRPr="00EB2995" w:rsidRDefault="0003552F" w:rsidP="0003552F">
            <w:pPr>
              <w:rPr>
                <w:rFonts w:cs="Calibri"/>
                <w:color w:val="000000"/>
                <w:sz w:val="20"/>
                <w:szCs w:val="20"/>
                <w:lang w:eastAsia="en-GB"/>
              </w:rPr>
            </w:pPr>
            <w:r w:rsidRPr="00EB2995">
              <w:rPr>
                <w:rFonts w:cs="Calibri"/>
                <w:color w:val="000000"/>
                <w:sz w:val="20"/>
                <w:szCs w:val="20"/>
                <w:lang w:eastAsia="en-GB"/>
              </w:rPr>
              <w:t>(Surplus) or deficit on the provision of services</w:t>
            </w:r>
          </w:p>
        </w:tc>
        <w:tc>
          <w:tcPr>
            <w:tcW w:w="960" w:type="dxa"/>
            <w:tcBorders>
              <w:top w:val="nil"/>
              <w:left w:val="nil"/>
              <w:bottom w:val="nil"/>
              <w:right w:val="nil"/>
            </w:tcBorders>
            <w:shd w:val="clear" w:color="000000" w:fill="FFFFFF"/>
            <w:noWrap/>
            <w:vAlign w:val="center"/>
          </w:tcPr>
          <w:p w:rsidR="0003552F" w:rsidRPr="00EB2995" w:rsidRDefault="0003552F" w:rsidP="0003552F">
            <w:pPr>
              <w:jc w:val="right"/>
              <w:rPr>
                <w:rFonts w:cs="Calibri"/>
                <w:color w:val="000000"/>
                <w:sz w:val="20"/>
                <w:szCs w:val="20"/>
                <w:lang w:eastAsia="en-GB"/>
              </w:rPr>
            </w:pPr>
            <w:r w:rsidRPr="00EB2995">
              <w:rPr>
                <w:rFonts w:cs="Calibri"/>
                <w:bCs/>
                <w:color w:val="000000"/>
                <w:sz w:val="20"/>
                <w:szCs w:val="20"/>
              </w:rPr>
              <w:t>32.4</w:t>
            </w:r>
          </w:p>
        </w:tc>
        <w:tc>
          <w:tcPr>
            <w:tcW w:w="1024" w:type="dxa"/>
            <w:gridSpan w:val="3"/>
            <w:tcBorders>
              <w:top w:val="nil"/>
              <w:left w:val="nil"/>
              <w:bottom w:val="nil"/>
              <w:right w:val="nil"/>
            </w:tcBorders>
            <w:shd w:val="clear" w:color="000000" w:fill="FFFFFF"/>
            <w:vAlign w:val="center"/>
          </w:tcPr>
          <w:p w:rsidR="0003552F" w:rsidRPr="00EB2995" w:rsidRDefault="0003552F" w:rsidP="0003552F">
            <w:pPr>
              <w:jc w:val="right"/>
              <w:rPr>
                <w:rFonts w:cs="Calibri"/>
                <w:color w:val="000000"/>
                <w:sz w:val="20"/>
                <w:szCs w:val="20"/>
                <w:lang w:eastAsia="en-GB"/>
              </w:rPr>
            </w:pPr>
            <w:r w:rsidRPr="00EB2995">
              <w:rPr>
                <w:rFonts w:cs="Calibri"/>
                <w:color w:val="000000"/>
                <w:sz w:val="20"/>
                <w:szCs w:val="20"/>
              </w:rPr>
              <w:t>0.0</w:t>
            </w:r>
          </w:p>
        </w:tc>
        <w:tc>
          <w:tcPr>
            <w:tcW w:w="1120" w:type="dxa"/>
            <w:gridSpan w:val="2"/>
            <w:tcBorders>
              <w:top w:val="nil"/>
              <w:left w:val="nil"/>
              <w:bottom w:val="nil"/>
              <w:right w:val="nil"/>
            </w:tcBorders>
            <w:shd w:val="clear" w:color="000000" w:fill="FFFFFF"/>
            <w:noWrap/>
            <w:vAlign w:val="center"/>
          </w:tcPr>
          <w:p w:rsidR="0003552F" w:rsidRPr="00EB2995" w:rsidRDefault="0003552F" w:rsidP="0003552F">
            <w:pPr>
              <w:jc w:val="right"/>
              <w:rPr>
                <w:rFonts w:cs="Calibri"/>
                <w:color w:val="000000"/>
                <w:sz w:val="20"/>
                <w:szCs w:val="20"/>
                <w:lang w:eastAsia="en-GB"/>
              </w:rPr>
            </w:pPr>
            <w:r w:rsidRPr="00EB2995">
              <w:rPr>
                <w:rFonts w:cs="Calibri"/>
                <w:color w:val="000000"/>
                <w:sz w:val="20"/>
                <w:szCs w:val="20"/>
              </w:rPr>
              <w:t>0.0</w:t>
            </w:r>
          </w:p>
        </w:tc>
        <w:tc>
          <w:tcPr>
            <w:tcW w:w="960" w:type="dxa"/>
            <w:gridSpan w:val="2"/>
            <w:tcBorders>
              <w:top w:val="nil"/>
              <w:left w:val="nil"/>
              <w:bottom w:val="nil"/>
              <w:right w:val="nil"/>
            </w:tcBorders>
            <w:shd w:val="clear" w:color="000000" w:fill="FFFFFF"/>
            <w:noWrap/>
            <w:vAlign w:val="center"/>
          </w:tcPr>
          <w:p w:rsidR="0003552F" w:rsidRPr="00EB2995" w:rsidRDefault="0003552F" w:rsidP="0003552F">
            <w:pPr>
              <w:jc w:val="right"/>
              <w:rPr>
                <w:rFonts w:cs="Calibri"/>
                <w:color w:val="000000"/>
                <w:sz w:val="20"/>
                <w:szCs w:val="20"/>
                <w:lang w:eastAsia="en-GB"/>
              </w:rPr>
            </w:pPr>
            <w:r w:rsidRPr="00EB2995">
              <w:rPr>
                <w:rFonts w:cs="Calibri"/>
                <w:color w:val="000000"/>
                <w:sz w:val="20"/>
                <w:szCs w:val="20"/>
              </w:rPr>
              <w:t>21.9</w:t>
            </w:r>
          </w:p>
        </w:tc>
        <w:tc>
          <w:tcPr>
            <w:tcW w:w="1120" w:type="dxa"/>
            <w:gridSpan w:val="2"/>
            <w:tcBorders>
              <w:top w:val="nil"/>
              <w:left w:val="nil"/>
              <w:bottom w:val="nil"/>
              <w:right w:val="nil"/>
            </w:tcBorders>
            <w:shd w:val="clear" w:color="000000" w:fill="FFFFFF"/>
            <w:noWrap/>
            <w:vAlign w:val="center"/>
          </w:tcPr>
          <w:p w:rsidR="0003552F" w:rsidRPr="00EB2995" w:rsidRDefault="0003552F" w:rsidP="0003552F">
            <w:pPr>
              <w:jc w:val="right"/>
              <w:rPr>
                <w:rFonts w:cs="Calibri"/>
                <w:color w:val="000000"/>
                <w:sz w:val="20"/>
                <w:szCs w:val="20"/>
                <w:lang w:eastAsia="en-GB"/>
              </w:rPr>
            </w:pPr>
            <w:r w:rsidRPr="00EB2995">
              <w:rPr>
                <w:rFonts w:cs="Calibri"/>
                <w:color w:val="000000"/>
                <w:sz w:val="20"/>
                <w:szCs w:val="20"/>
              </w:rPr>
              <w:t>0.0</w:t>
            </w:r>
          </w:p>
        </w:tc>
        <w:tc>
          <w:tcPr>
            <w:tcW w:w="960" w:type="dxa"/>
            <w:gridSpan w:val="2"/>
            <w:tcBorders>
              <w:top w:val="nil"/>
              <w:left w:val="nil"/>
              <w:bottom w:val="nil"/>
              <w:right w:val="nil"/>
            </w:tcBorders>
            <w:shd w:val="clear" w:color="000000" w:fill="FFFFFF"/>
            <w:noWrap/>
            <w:vAlign w:val="center"/>
          </w:tcPr>
          <w:p w:rsidR="0003552F" w:rsidRPr="00EB2995" w:rsidRDefault="0003552F" w:rsidP="0003552F">
            <w:pPr>
              <w:jc w:val="right"/>
              <w:rPr>
                <w:rFonts w:cs="Calibri"/>
                <w:color w:val="000000"/>
                <w:sz w:val="20"/>
                <w:szCs w:val="20"/>
                <w:lang w:eastAsia="en-GB"/>
              </w:rPr>
            </w:pPr>
            <w:r w:rsidRPr="00EB2995">
              <w:rPr>
                <w:rFonts w:cs="Calibri"/>
                <w:color w:val="000000"/>
                <w:sz w:val="20"/>
                <w:szCs w:val="20"/>
              </w:rPr>
              <w:t>0.0</w:t>
            </w:r>
          </w:p>
        </w:tc>
        <w:tc>
          <w:tcPr>
            <w:tcW w:w="960" w:type="dxa"/>
            <w:gridSpan w:val="2"/>
            <w:tcBorders>
              <w:top w:val="nil"/>
              <w:left w:val="nil"/>
              <w:bottom w:val="nil"/>
              <w:right w:val="nil"/>
            </w:tcBorders>
            <w:shd w:val="clear" w:color="000000" w:fill="FFFFFF"/>
            <w:noWrap/>
            <w:vAlign w:val="center"/>
          </w:tcPr>
          <w:p w:rsidR="0003552F" w:rsidRPr="00EB2995" w:rsidRDefault="0003552F" w:rsidP="0003552F">
            <w:pPr>
              <w:jc w:val="right"/>
              <w:rPr>
                <w:rFonts w:cs="Calibri"/>
                <w:color w:val="000000"/>
                <w:sz w:val="20"/>
                <w:szCs w:val="20"/>
                <w:lang w:eastAsia="en-GB"/>
              </w:rPr>
            </w:pPr>
            <w:r w:rsidRPr="00EB2995">
              <w:rPr>
                <w:rFonts w:cs="Calibri"/>
                <w:color w:val="000000"/>
                <w:sz w:val="20"/>
                <w:szCs w:val="20"/>
              </w:rPr>
              <w:t>0.0</w:t>
            </w:r>
          </w:p>
        </w:tc>
        <w:tc>
          <w:tcPr>
            <w:tcW w:w="1074" w:type="dxa"/>
            <w:gridSpan w:val="2"/>
            <w:tcBorders>
              <w:top w:val="nil"/>
              <w:left w:val="nil"/>
              <w:bottom w:val="nil"/>
              <w:right w:val="nil"/>
            </w:tcBorders>
            <w:shd w:val="clear" w:color="000000" w:fill="FFFFFF"/>
            <w:noWrap/>
            <w:vAlign w:val="center"/>
          </w:tcPr>
          <w:p w:rsidR="0003552F" w:rsidRPr="00EB2995" w:rsidRDefault="0003552F" w:rsidP="0003552F">
            <w:pPr>
              <w:jc w:val="right"/>
              <w:rPr>
                <w:rFonts w:cs="Calibri"/>
                <w:color w:val="000000"/>
                <w:sz w:val="20"/>
                <w:szCs w:val="20"/>
                <w:lang w:eastAsia="en-GB"/>
              </w:rPr>
            </w:pPr>
            <w:r w:rsidRPr="00EB2995">
              <w:rPr>
                <w:rFonts w:cs="Calibri"/>
                <w:color w:val="000000"/>
                <w:sz w:val="20"/>
                <w:szCs w:val="20"/>
              </w:rPr>
              <w:t>0.0</w:t>
            </w:r>
          </w:p>
        </w:tc>
        <w:tc>
          <w:tcPr>
            <w:tcW w:w="960" w:type="dxa"/>
            <w:tcBorders>
              <w:top w:val="nil"/>
              <w:left w:val="nil"/>
              <w:bottom w:val="nil"/>
              <w:right w:val="nil"/>
            </w:tcBorders>
            <w:shd w:val="clear" w:color="000000" w:fill="FFFFFF"/>
            <w:noWrap/>
            <w:vAlign w:val="center"/>
          </w:tcPr>
          <w:p w:rsidR="0003552F" w:rsidRPr="00EB2995" w:rsidRDefault="0003552F" w:rsidP="0003552F">
            <w:pPr>
              <w:jc w:val="right"/>
              <w:rPr>
                <w:rFonts w:cs="Calibri"/>
                <w:bCs/>
                <w:color w:val="000000"/>
                <w:sz w:val="20"/>
                <w:szCs w:val="20"/>
                <w:lang w:eastAsia="en-GB"/>
              </w:rPr>
            </w:pPr>
            <w:r w:rsidRPr="00EB2995">
              <w:rPr>
                <w:rFonts w:cs="Calibri"/>
                <w:bCs/>
                <w:color w:val="000000"/>
                <w:sz w:val="20"/>
                <w:szCs w:val="20"/>
              </w:rPr>
              <w:t>54.3</w:t>
            </w:r>
          </w:p>
        </w:tc>
        <w:tc>
          <w:tcPr>
            <w:tcW w:w="997" w:type="dxa"/>
            <w:gridSpan w:val="2"/>
            <w:tcBorders>
              <w:top w:val="nil"/>
              <w:left w:val="nil"/>
              <w:bottom w:val="nil"/>
              <w:right w:val="nil"/>
            </w:tcBorders>
            <w:shd w:val="clear" w:color="000000" w:fill="FFFFFF"/>
            <w:noWrap/>
            <w:vAlign w:val="center"/>
          </w:tcPr>
          <w:p w:rsidR="0003552F" w:rsidRPr="00EB2995" w:rsidRDefault="0003552F" w:rsidP="0003552F">
            <w:pPr>
              <w:jc w:val="right"/>
              <w:rPr>
                <w:rFonts w:cs="Calibri"/>
                <w:color w:val="000000"/>
                <w:sz w:val="20"/>
                <w:szCs w:val="20"/>
                <w:lang w:eastAsia="en-GB"/>
              </w:rPr>
            </w:pPr>
            <w:r w:rsidRPr="00EB2995">
              <w:rPr>
                <w:rFonts w:cs="Calibri"/>
                <w:color w:val="000000"/>
                <w:sz w:val="20"/>
                <w:szCs w:val="20"/>
              </w:rPr>
              <w:t>0.0</w:t>
            </w:r>
          </w:p>
        </w:tc>
        <w:tc>
          <w:tcPr>
            <w:tcW w:w="1135" w:type="dxa"/>
            <w:gridSpan w:val="2"/>
            <w:tcBorders>
              <w:top w:val="nil"/>
              <w:left w:val="nil"/>
              <w:bottom w:val="nil"/>
              <w:right w:val="single" w:sz="8" w:space="0" w:color="auto"/>
            </w:tcBorders>
            <w:shd w:val="clear" w:color="000000" w:fill="FFFFFF"/>
            <w:noWrap/>
            <w:vAlign w:val="center"/>
          </w:tcPr>
          <w:p w:rsidR="0003552F" w:rsidRPr="00EB2995" w:rsidRDefault="0003552F" w:rsidP="0003552F">
            <w:pPr>
              <w:jc w:val="right"/>
              <w:rPr>
                <w:rFonts w:cs="Calibri"/>
                <w:bCs/>
                <w:color w:val="000000"/>
                <w:sz w:val="20"/>
                <w:szCs w:val="20"/>
                <w:lang w:eastAsia="en-GB"/>
              </w:rPr>
            </w:pPr>
            <w:r w:rsidRPr="00EB2995">
              <w:rPr>
                <w:rFonts w:cs="Calibri"/>
                <w:bCs/>
                <w:color w:val="000000"/>
                <w:sz w:val="20"/>
                <w:szCs w:val="20"/>
              </w:rPr>
              <w:t>53.3</w:t>
            </w:r>
          </w:p>
        </w:tc>
      </w:tr>
      <w:tr w:rsidR="0003552F" w:rsidRPr="00EB2995" w:rsidTr="0003552F">
        <w:trPr>
          <w:trHeight w:val="315"/>
        </w:trPr>
        <w:tc>
          <w:tcPr>
            <w:tcW w:w="3081" w:type="dxa"/>
            <w:gridSpan w:val="3"/>
            <w:tcBorders>
              <w:top w:val="nil"/>
              <w:left w:val="nil"/>
              <w:bottom w:val="nil"/>
              <w:right w:val="single" w:sz="8" w:space="0" w:color="000000"/>
            </w:tcBorders>
            <w:shd w:val="clear" w:color="000000" w:fill="FFFFFF"/>
            <w:vAlign w:val="center"/>
          </w:tcPr>
          <w:p w:rsidR="0003552F" w:rsidRPr="00EB2995" w:rsidRDefault="0003552F" w:rsidP="0003552F">
            <w:pPr>
              <w:rPr>
                <w:rFonts w:cs="Calibri"/>
                <w:color w:val="000000"/>
                <w:sz w:val="20"/>
                <w:szCs w:val="20"/>
                <w:lang w:eastAsia="en-GB"/>
              </w:rPr>
            </w:pPr>
            <w:r w:rsidRPr="00EB2995">
              <w:rPr>
                <w:rFonts w:cs="Calibri"/>
                <w:color w:val="000000"/>
                <w:sz w:val="20"/>
                <w:szCs w:val="20"/>
                <w:lang w:eastAsia="en-GB"/>
              </w:rPr>
              <w:t>Other comprehensive income &amp; expenditure</w:t>
            </w:r>
          </w:p>
        </w:tc>
        <w:tc>
          <w:tcPr>
            <w:tcW w:w="960" w:type="dxa"/>
            <w:tcBorders>
              <w:top w:val="nil"/>
              <w:left w:val="nil"/>
              <w:bottom w:val="single" w:sz="8" w:space="0" w:color="auto"/>
              <w:right w:val="nil"/>
            </w:tcBorders>
            <w:shd w:val="clear" w:color="000000" w:fill="FFFFFF"/>
            <w:noWrap/>
            <w:vAlign w:val="center"/>
          </w:tcPr>
          <w:p w:rsidR="0003552F" w:rsidRPr="00EB2995" w:rsidRDefault="0003552F" w:rsidP="0003552F">
            <w:pPr>
              <w:jc w:val="right"/>
              <w:rPr>
                <w:rFonts w:cs="Calibri"/>
                <w:color w:val="000000"/>
                <w:sz w:val="20"/>
                <w:szCs w:val="20"/>
                <w:lang w:eastAsia="en-GB"/>
              </w:rPr>
            </w:pPr>
            <w:r w:rsidRPr="00EB2995">
              <w:rPr>
                <w:rFonts w:cs="Calibri"/>
                <w:color w:val="000000"/>
                <w:sz w:val="20"/>
                <w:szCs w:val="20"/>
              </w:rPr>
              <w:t>0.0</w:t>
            </w:r>
          </w:p>
        </w:tc>
        <w:tc>
          <w:tcPr>
            <w:tcW w:w="1024" w:type="dxa"/>
            <w:gridSpan w:val="3"/>
            <w:tcBorders>
              <w:top w:val="nil"/>
              <w:left w:val="nil"/>
              <w:bottom w:val="single" w:sz="8" w:space="0" w:color="auto"/>
              <w:right w:val="nil"/>
            </w:tcBorders>
            <w:shd w:val="clear" w:color="000000" w:fill="FFFFFF"/>
            <w:vAlign w:val="center"/>
          </w:tcPr>
          <w:p w:rsidR="0003552F" w:rsidRPr="00EB2995" w:rsidRDefault="0003552F" w:rsidP="0003552F">
            <w:pPr>
              <w:jc w:val="right"/>
              <w:rPr>
                <w:rFonts w:cs="Calibri"/>
                <w:color w:val="000000"/>
                <w:sz w:val="20"/>
                <w:szCs w:val="20"/>
                <w:lang w:eastAsia="en-GB"/>
              </w:rPr>
            </w:pPr>
            <w:r w:rsidRPr="00EB2995">
              <w:rPr>
                <w:rFonts w:cs="Calibri"/>
                <w:color w:val="000000"/>
                <w:sz w:val="20"/>
                <w:szCs w:val="20"/>
              </w:rPr>
              <w:t>0.0</w:t>
            </w:r>
          </w:p>
        </w:tc>
        <w:tc>
          <w:tcPr>
            <w:tcW w:w="1120" w:type="dxa"/>
            <w:gridSpan w:val="2"/>
            <w:tcBorders>
              <w:top w:val="nil"/>
              <w:left w:val="nil"/>
              <w:bottom w:val="single" w:sz="8" w:space="0" w:color="auto"/>
              <w:right w:val="nil"/>
            </w:tcBorders>
            <w:shd w:val="clear" w:color="000000" w:fill="FFFFFF"/>
            <w:noWrap/>
            <w:vAlign w:val="center"/>
          </w:tcPr>
          <w:p w:rsidR="0003552F" w:rsidRPr="00EB2995" w:rsidRDefault="0003552F" w:rsidP="0003552F">
            <w:pPr>
              <w:jc w:val="right"/>
              <w:rPr>
                <w:rFonts w:cs="Calibri"/>
                <w:color w:val="000000"/>
                <w:sz w:val="20"/>
                <w:szCs w:val="20"/>
                <w:lang w:eastAsia="en-GB"/>
              </w:rPr>
            </w:pPr>
            <w:r w:rsidRPr="00EB2995">
              <w:rPr>
                <w:rFonts w:cs="Calibri"/>
                <w:color w:val="000000"/>
                <w:sz w:val="20"/>
                <w:szCs w:val="20"/>
              </w:rPr>
              <w:t>0.0</w:t>
            </w:r>
          </w:p>
        </w:tc>
        <w:tc>
          <w:tcPr>
            <w:tcW w:w="960" w:type="dxa"/>
            <w:gridSpan w:val="2"/>
            <w:tcBorders>
              <w:top w:val="nil"/>
              <w:left w:val="nil"/>
              <w:bottom w:val="single" w:sz="8" w:space="0" w:color="auto"/>
              <w:right w:val="nil"/>
            </w:tcBorders>
            <w:shd w:val="clear" w:color="000000" w:fill="FFFFFF"/>
            <w:noWrap/>
            <w:vAlign w:val="center"/>
          </w:tcPr>
          <w:p w:rsidR="0003552F" w:rsidRPr="00EB2995" w:rsidRDefault="0003552F" w:rsidP="0003552F">
            <w:pPr>
              <w:jc w:val="right"/>
              <w:rPr>
                <w:rFonts w:cs="Calibri"/>
                <w:color w:val="000000"/>
                <w:sz w:val="20"/>
                <w:szCs w:val="20"/>
                <w:lang w:eastAsia="en-GB"/>
              </w:rPr>
            </w:pPr>
            <w:r w:rsidRPr="00EB2995">
              <w:rPr>
                <w:rFonts w:cs="Calibri"/>
                <w:color w:val="000000"/>
                <w:sz w:val="20"/>
                <w:szCs w:val="20"/>
              </w:rPr>
              <w:t>0.0</w:t>
            </w:r>
          </w:p>
        </w:tc>
        <w:tc>
          <w:tcPr>
            <w:tcW w:w="1120" w:type="dxa"/>
            <w:gridSpan w:val="2"/>
            <w:tcBorders>
              <w:top w:val="nil"/>
              <w:left w:val="nil"/>
              <w:bottom w:val="single" w:sz="8" w:space="0" w:color="auto"/>
              <w:right w:val="nil"/>
            </w:tcBorders>
            <w:shd w:val="clear" w:color="000000" w:fill="FFFFFF"/>
            <w:noWrap/>
            <w:vAlign w:val="center"/>
          </w:tcPr>
          <w:p w:rsidR="0003552F" w:rsidRPr="00EB2995" w:rsidRDefault="0003552F" w:rsidP="0003552F">
            <w:pPr>
              <w:jc w:val="right"/>
              <w:rPr>
                <w:rFonts w:cs="Calibri"/>
                <w:color w:val="000000"/>
                <w:sz w:val="20"/>
                <w:szCs w:val="20"/>
                <w:lang w:eastAsia="en-GB"/>
              </w:rPr>
            </w:pPr>
            <w:r w:rsidRPr="00EB2995">
              <w:rPr>
                <w:rFonts w:cs="Calibri"/>
                <w:color w:val="000000"/>
                <w:sz w:val="20"/>
                <w:szCs w:val="20"/>
              </w:rPr>
              <w:t>0.0</w:t>
            </w:r>
          </w:p>
        </w:tc>
        <w:tc>
          <w:tcPr>
            <w:tcW w:w="960" w:type="dxa"/>
            <w:gridSpan w:val="2"/>
            <w:tcBorders>
              <w:top w:val="nil"/>
              <w:left w:val="nil"/>
              <w:bottom w:val="single" w:sz="8" w:space="0" w:color="auto"/>
              <w:right w:val="nil"/>
            </w:tcBorders>
            <w:shd w:val="clear" w:color="000000" w:fill="FFFFFF"/>
            <w:noWrap/>
            <w:vAlign w:val="center"/>
          </w:tcPr>
          <w:p w:rsidR="0003552F" w:rsidRPr="00EB2995" w:rsidRDefault="0003552F" w:rsidP="0003552F">
            <w:pPr>
              <w:jc w:val="right"/>
              <w:rPr>
                <w:rFonts w:cs="Calibri"/>
                <w:color w:val="000000"/>
                <w:sz w:val="20"/>
                <w:szCs w:val="20"/>
                <w:lang w:eastAsia="en-GB"/>
              </w:rPr>
            </w:pPr>
            <w:r w:rsidRPr="00EB2995">
              <w:rPr>
                <w:rFonts w:cs="Calibri"/>
                <w:color w:val="000000"/>
                <w:sz w:val="20"/>
                <w:szCs w:val="20"/>
              </w:rPr>
              <w:t>0.0</w:t>
            </w:r>
          </w:p>
        </w:tc>
        <w:tc>
          <w:tcPr>
            <w:tcW w:w="960" w:type="dxa"/>
            <w:gridSpan w:val="2"/>
            <w:tcBorders>
              <w:top w:val="nil"/>
              <w:left w:val="nil"/>
              <w:bottom w:val="single" w:sz="8" w:space="0" w:color="auto"/>
              <w:right w:val="nil"/>
            </w:tcBorders>
            <w:shd w:val="clear" w:color="000000" w:fill="FFFFFF"/>
            <w:noWrap/>
            <w:vAlign w:val="center"/>
          </w:tcPr>
          <w:p w:rsidR="0003552F" w:rsidRPr="00EB2995" w:rsidRDefault="0003552F" w:rsidP="0003552F">
            <w:pPr>
              <w:jc w:val="right"/>
              <w:rPr>
                <w:rFonts w:cs="Calibri"/>
                <w:color w:val="000000"/>
                <w:sz w:val="20"/>
                <w:szCs w:val="20"/>
                <w:lang w:eastAsia="en-GB"/>
              </w:rPr>
            </w:pPr>
            <w:r w:rsidRPr="00EB2995">
              <w:rPr>
                <w:rFonts w:cs="Calibri"/>
                <w:color w:val="000000"/>
                <w:sz w:val="20"/>
                <w:szCs w:val="20"/>
              </w:rPr>
              <w:t>0.0</w:t>
            </w:r>
          </w:p>
        </w:tc>
        <w:tc>
          <w:tcPr>
            <w:tcW w:w="1074" w:type="dxa"/>
            <w:gridSpan w:val="2"/>
            <w:tcBorders>
              <w:top w:val="nil"/>
              <w:left w:val="nil"/>
              <w:bottom w:val="single" w:sz="8" w:space="0" w:color="auto"/>
              <w:right w:val="nil"/>
            </w:tcBorders>
            <w:shd w:val="clear" w:color="000000" w:fill="FFFFFF"/>
            <w:noWrap/>
            <w:vAlign w:val="center"/>
          </w:tcPr>
          <w:p w:rsidR="0003552F" w:rsidRPr="00EB2995" w:rsidRDefault="0003552F" w:rsidP="0003552F">
            <w:pPr>
              <w:jc w:val="right"/>
              <w:rPr>
                <w:rFonts w:cs="Calibri"/>
                <w:color w:val="000000"/>
                <w:sz w:val="20"/>
                <w:szCs w:val="20"/>
                <w:lang w:eastAsia="en-GB"/>
              </w:rPr>
            </w:pPr>
            <w:r w:rsidRPr="00EB2995">
              <w:rPr>
                <w:rFonts w:cs="Calibri"/>
                <w:color w:val="000000"/>
                <w:sz w:val="20"/>
                <w:szCs w:val="20"/>
              </w:rPr>
              <w:t>0.0</w:t>
            </w:r>
          </w:p>
        </w:tc>
        <w:tc>
          <w:tcPr>
            <w:tcW w:w="960" w:type="dxa"/>
            <w:tcBorders>
              <w:top w:val="nil"/>
              <w:left w:val="nil"/>
              <w:bottom w:val="single" w:sz="8" w:space="0" w:color="auto"/>
              <w:right w:val="nil"/>
            </w:tcBorders>
            <w:shd w:val="clear" w:color="000000" w:fill="FFFFFF"/>
            <w:noWrap/>
            <w:vAlign w:val="center"/>
          </w:tcPr>
          <w:p w:rsidR="0003552F" w:rsidRPr="00EB2995" w:rsidRDefault="0003552F" w:rsidP="0003552F">
            <w:pPr>
              <w:jc w:val="right"/>
              <w:rPr>
                <w:rFonts w:cs="Calibri"/>
                <w:bCs/>
                <w:color w:val="000000"/>
                <w:sz w:val="20"/>
                <w:szCs w:val="20"/>
                <w:lang w:eastAsia="en-GB"/>
              </w:rPr>
            </w:pPr>
            <w:r w:rsidRPr="00EB2995">
              <w:rPr>
                <w:rFonts w:cs="Calibri"/>
                <w:bCs/>
                <w:color w:val="000000"/>
                <w:sz w:val="20"/>
                <w:szCs w:val="20"/>
              </w:rPr>
              <w:t>0.0</w:t>
            </w:r>
          </w:p>
        </w:tc>
        <w:tc>
          <w:tcPr>
            <w:tcW w:w="997" w:type="dxa"/>
            <w:gridSpan w:val="2"/>
            <w:tcBorders>
              <w:top w:val="nil"/>
              <w:left w:val="nil"/>
              <w:bottom w:val="single" w:sz="8" w:space="0" w:color="auto"/>
              <w:right w:val="nil"/>
            </w:tcBorders>
            <w:shd w:val="clear" w:color="000000" w:fill="FFFFFF"/>
            <w:noWrap/>
            <w:vAlign w:val="center"/>
          </w:tcPr>
          <w:p w:rsidR="0003552F" w:rsidRPr="00EB2995" w:rsidRDefault="0003552F" w:rsidP="0003552F">
            <w:pPr>
              <w:jc w:val="right"/>
              <w:rPr>
                <w:rFonts w:cs="Calibri"/>
                <w:color w:val="000000"/>
                <w:sz w:val="20"/>
                <w:szCs w:val="20"/>
                <w:lang w:eastAsia="en-GB"/>
              </w:rPr>
            </w:pPr>
            <w:r w:rsidRPr="00EB2995">
              <w:rPr>
                <w:rFonts w:cs="Calibri"/>
                <w:color w:val="000000"/>
                <w:sz w:val="20"/>
                <w:szCs w:val="20"/>
              </w:rPr>
              <w:t>(42.3)</w:t>
            </w:r>
          </w:p>
        </w:tc>
        <w:tc>
          <w:tcPr>
            <w:tcW w:w="1135" w:type="dxa"/>
            <w:gridSpan w:val="2"/>
            <w:tcBorders>
              <w:top w:val="nil"/>
              <w:left w:val="nil"/>
              <w:bottom w:val="single" w:sz="8" w:space="0" w:color="auto"/>
              <w:right w:val="single" w:sz="8" w:space="0" w:color="auto"/>
            </w:tcBorders>
            <w:shd w:val="clear" w:color="000000" w:fill="FFFFFF"/>
            <w:noWrap/>
            <w:vAlign w:val="center"/>
          </w:tcPr>
          <w:p w:rsidR="0003552F" w:rsidRPr="00EB2995" w:rsidRDefault="0003552F" w:rsidP="0003552F">
            <w:pPr>
              <w:jc w:val="right"/>
              <w:rPr>
                <w:rFonts w:cs="Calibri"/>
                <w:bCs/>
                <w:color w:val="000000"/>
                <w:sz w:val="20"/>
                <w:szCs w:val="20"/>
                <w:lang w:eastAsia="en-GB"/>
              </w:rPr>
            </w:pPr>
            <w:r w:rsidRPr="00EB2995">
              <w:rPr>
                <w:rFonts w:cs="Calibri"/>
                <w:bCs/>
                <w:color w:val="000000"/>
                <w:sz w:val="20"/>
                <w:szCs w:val="20"/>
              </w:rPr>
              <w:t>(42.3)</w:t>
            </w:r>
          </w:p>
        </w:tc>
      </w:tr>
      <w:tr w:rsidR="0003552F" w:rsidRPr="00EB2995" w:rsidTr="0003552F">
        <w:trPr>
          <w:trHeight w:val="315"/>
        </w:trPr>
        <w:tc>
          <w:tcPr>
            <w:tcW w:w="3081" w:type="dxa"/>
            <w:gridSpan w:val="3"/>
            <w:tcBorders>
              <w:top w:val="nil"/>
              <w:left w:val="nil"/>
              <w:bottom w:val="nil"/>
              <w:right w:val="single" w:sz="8" w:space="0" w:color="000000"/>
            </w:tcBorders>
            <w:shd w:val="clear" w:color="000000" w:fill="FFFFFF"/>
            <w:vAlign w:val="center"/>
          </w:tcPr>
          <w:p w:rsidR="0003552F" w:rsidRPr="00EB2995" w:rsidRDefault="0003552F" w:rsidP="0003552F">
            <w:pPr>
              <w:rPr>
                <w:rFonts w:cs="Calibri"/>
                <w:b/>
                <w:bCs/>
                <w:color w:val="000000"/>
                <w:sz w:val="20"/>
                <w:szCs w:val="20"/>
                <w:lang w:eastAsia="en-GB"/>
              </w:rPr>
            </w:pPr>
            <w:r w:rsidRPr="00EB2995">
              <w:rPr>
                <w:rFonts w:cs="Calibri"/>
                <w:b/>
                <w:bCs/>
                <w:color w:val="000000"/>
                <w:sz w:val="20"/>
                <w:szCs w:val="20"/>
                <w:lang w:eastAsia="en-GB"/>
              </w:rPr>
              <w:t>Total comprehensive income &amp; expenditure</w:t>
            </w:r>
          </w:p>
        </w:tc>
        <w:tc>
          <w:tcPr>
            <w:tcW w:w="960" w:type="dxa"/>
            <w:tcBorders>
              <w:top w:val="nil"/>
              <w:left w:val="nil"/>
              <w:bottom w:val="nil"/>
              <w:right w:val="nil"/>
            </w:tcBorders>
            <w:shd w:val="clear" w:color="000000" w:fill="FFFFFF"/>
            <w:noWrap/>
            <w:vAlign w:val="center"/>
          </w:tcPr>
          <w:p w:rsidR="0003552F" w:rsidRPr="00EB2995" w:rsidRDefault="0003552F" w:rsidP="0003552F">
            <w:pPr>
              <w:jc w:val="right"/>
              <w:rPr>
                <w:rFonts w:cs="Calibri"/>
                <w:b/>
                <w:bCs/>
                <w:color w:val="000000"/>
                <w:sz w:val="20"/>
                <w:szCs w:val="20"/>
                <w:lang w:eastAsia="en-GB"/>
              </w:rPr>
            </w:pPr>
            <w:r w:rsidRPr="00EB2995">
              <w:rPr>
                <w:rFonts w:cs="Calibri"/>
                <w:b/>
                <w:bCs/>
                <w:color w:val="000000"/>
                <w:sz w:val="20"/>
                <w:szCs w:val="20"/>
              </w:rPr>
              <w:t>32.4</w:t>
            </w:r>
          </w:p>
        </w:tc>
        <w:tc>
          <w:tcPr>
            <w:tcW w:w="1024" w:type="dxa"/>
            <w:gridSpan w:val="3"/>
            <w:tcBorders>
              <w:top w:val="nil"/>
              <w:left w:val="nil"/>
              <w:bottom w:val="nil"/>
              <w:right w:val="nil"/>
            </w:tcBorders>
            <w:shd w:val="clear" w:color="000000" w:fill="FFFFFF"/>
            <w:noWrap/>
            <w:vAlign w:val="center"/>
          </w:tcPr>
          <w:p w:rsidR="0003552F" w:rsidRPr="00EB2995" w:rsidRDefault="0003552F" w:rsidP="0003552F">
            <w:pPr>
              <w:jc w:val="right"/>
              <w:rPr>
                <w:rFonts w:cs="Calibri"/>
                <w:b/>
                <w:bCs/>
                <w:color w:val="000000"/>
                <w:sz w:val="20"/>
                <w:szCs w:val="20"/>
                <w:lang w:eastAsia="en-GB"/>
              </w:rPr>
            </w:pPr>
            <w:r w:rsidRPr="00EB2995">
              <w:rPr>
                <w:rFonts w:cs="Calibri"/>
                <w:b/>
                <w:bCs/>
                <w:color w:val="000000"/>
                <w:sz w:val="20"/>
                <w:szCs w:val="20"/>
              </w:rPr>
              <w:t>0.0</w:t>
            </w:r>
          </w:p>
        </w:tc>
        <w:tc>
          <w:tcPr>
            <w:tcW w:w="1120" w:type="dxa"/>
            <w:gridSpan w:val="2"/>
            <w:tcBorders>
              <w:top w:val="nil"/>
              <w:left w:val="nil"/>
              <w:bottom w:val="nil"/>
              <w:right w:val="nil"/>
            </w:tcBorders>
            <w:shd w:val="clear" w:color="000000" w:fill="FFFFFF"/>
            <w:noWrap/>
            <w:vAlign w:val="center"/>
          </w:tcPr>
          <w:p w:rsidR="0003552F" w:rsidRPr="00EB2995" w:rsidRDefault="0003552F" w:rsidP="0003552F">
            <w:pPr>
              <w:jc w:val="right"/>
              <w:rPr>
                <w:rFonts w:cs="Calibri"/>
                <w:b/>
                <w:bCs/>
                <w:color w:val="000000"/>
                <w:sz w:val="20"/>
                <w:szCs w:val="20"/>
                <w:lang w:eastAsia="en-GB"/>
              </w:rPr>
            </w:pPr>
            <w:r w:rsidRPr="00EB2995">
              <w:rPr>
                <w:rFonts w:cs="Calibri"/>
                <w:b/>
                <w:bCs/>
                <w:color w:val="000000"/>
                <w:sz w:val="20"/>
                <w:szCs w:val="20"/>
              </w:rPr>
              <w:t>0.0</w:t>
            </w:r>
          </w:p>
        </w:tc>
        <w:tc>
          <w:tcPr>
            <w:tcW w:w="960" w:type="dxa"/>
            <w:gridSpan w:val="2"/>
            <w:tcBorders>
              <w:top w:val="nil"/>
              <w:left w:val="nil"/>
              <w:bottom w:val="nil"/>
              <w:right w:val="nil"/>
            </w:tcBorders>
            <w:shd w:val="clear" w:color="000000" w:fill="FFFFFF"/>
            <w:noWrap/>
            <w:vAlign w:val="center"/>
          </w:tcPr>
          <w:p w:rsidR="0003552F" w:rsidRPr="00EB2995" w:rsidRDefault="0003552F" w:rsidP="0003552F">
            <w:pPr>
              <w:jc w:val="right"/>
              <w:rPr>
                <w:rFonts w:cs="Calibri"/>
                <w:b/>
                <w:bCs/>
                <w:color w:val="000000"/>
                <w:sz w:val="20"/>
                <w:szCs w:val="20"/>
                <w:lang w:eastAsia="en-GB"/>
              </w:rPr>
            </w:pPr>
            <w:r w:rsidRPr="00EB2995">
              <w:rPr>
                <w:rFonts w:cs="Calibri"/>
                <w:b/>
                <w:bCs/>
                <w:color w:val="000000"/>
                <w:sz w:val="20"/>
                <w:szCs w:val="20"/>
              </w:rPr>
              <w:t>21.9</w:t>
            </w:r>
          </w:p>
        </w:tc>
        <w:tc>
          <w:tcPr>
            <w:tcW w:w="1120" w:type="dxa"/>
            <w:gridSpan w:val="2"/>
            <w:tcBorders>
              <w:top w:val="nil"/>
              <w:left w:val="nil"/>
              <w:bottom w:val="nil"/>
              <w:right w:val="nil"/>
            </w:tcBorders>
            <w:shd w:val="clear" w:color="000000" w:fill="FFFFFF"/>
            <w:noWrap/>
            <w:vAlign w:val="center"/>
          </w:tcPr>
          <w:p w:rsidR="0003552F" w:rsidRPr="00EB2995" w:rsidRDefault="0003552F" w:rsidP="0003552F">
            <w:pPr>
              <w:jc w:val="right"/>
              <w:rPr>
                <w:rFonts w:cs="Calibri"/>
                <w:b/>
                <w:bCs/>
                <w:color w:val="000000"/>
                <w:sz w:val="20"/>
                <w:szCs w:val="20"/>
                <w:lang w:eastAsia="en-GB"/>
              </w:rPr>
            </w:pPr>
            <w:r w:rsidRPr="00EB2995">
              <w:rPr>
                <w:rFonts w:cs="Calibri"/>
                <w:b/>
                <w:bCs/>
                <w:color w:val="000000"/>
                <w:sz w:val="20"/>
                <w:szCs w:val="20"/>
              </w:rPr>
              <w:t>0.0</w:t>
            </w:r>
          </w:p>
        </w:tc>
        <w:tc>
          <w:tcPr>
            <w:tcW w:w="960" w:type="dxa"/>
            <w:gridSpan w:val="2"/>
            <w:tcBorders>
              <w:top w:val="nil"/>
              <w:left w:val="nil"/>
              <w:bottom w:val="nil"/>
              <w:right w:val="nil"/>
            </w:tcBorders>
            <w:shd w:val="clear" w:color="000000" w:fill="FFFFFF"/>
            <w:noWrap/>
            <w:vAlign w:val="center"/>
          </w:tcPr>
          <w:p w:rsidR="0003552F" w:rsidRPr="00EB2995" w:rsidRDefault="0003552F" w:rsidP="0003552F">
            <w:pPr>
              <w:jc w:val="right"/>
              <w:rPr>
                <w:rFonts w:cs="Calibri"/>
                <w:b/>
                <w:bCs/>
                <w:color w:val="000000"/>
                <w:sz w:val="20"/>
                <w:szCs w:val="20"/>
                <w:lang w:eastAsia="en-GB"/>
              </w:rPr>
            </w:pPr>
            <w:r w:rsidRPr="00EB2995">
              <w:rPr>
                <w:rFonts w:cs="Calibri"/>
                <w:b/>
                <w:bCs/>
                <w:color w:val="000000"/>
                <w:sz w:val="20"/>
                <w:szCs w:val="20"/>
              </w:rPr>
              <w:t>0.0</w:t>
            </w:r>
          </w:p>
        </w:tc>
        <w:tc>
          <w:tcPr>
            <w:tcW w:w="960" w:type="dxa"/>
            <w:gridSpan w:val="2"/>
            <w:tcBorders>
              <w:top w:val="nil"/>
              <w:left w:val="nil"/>
              <w:bottom w:val="nil"/>
              <w:right w:val="nil"/>
            </w:tcBorders>
            <w:shd w:val="clear" w:color="000000" w:fill="FFFFFF"/>
            <w:noWrap/>
            <w:vAlign w:val="center"/>
          </w:tcPr>
          <w:p w:rsidR="0003552F" w:rsidRPr="00EB2995" w:rsidRDefault="0003552F" w:rsidP="0003552F">
            <w:pPr>
              <w:jc w:val="right"/>
              <w:rPr>
                <w:rFonts w:cs="Calibri"/>
                <w:b/>
                <w:bCs/>
                <w:color w:val="000000"/>
                <w:sz w:val="20"/>
                <w:szCs w:val="20"/>
                <w:lang w:eastAsia="en-GB"/>
              </w:rPr>
            </w:pPr>
            <w:r w:rsidRPr="00EB2995">
              <w:rPr>
                <w:rFonts w:cs="Calibri"/>
                <w:b/>
                <w:bCs/>
                <w:color w:val="000000"/>
                <w:sz w:val="20"/>
                <w:szCs w:val="20"/>
              </w:rPr>
              <w:t>0.0</w:t>
            </w:r>
          </w:p>
        </w:tc>
        <w:tc>
          <w:tcPr>
            <w:tcW w:w="1074" w:type="dxa"/>
            <w:gridSpan w:val="2"/>
            <w:tcBorders>
              <w:top w:val="nil"/>
              <w:left w:val="nil"/>
              <w:bottom w:val="nil"/>
              <w:right w:val="nil"/>
            </w:tcBorders>
            <w:shd w:val="clear" w:color="000000" w:fill="FFFFFF"/>
            <w:noWrap/>
            <w:vAlign w:val="center"/>
          </w:tcPr>
          <w:p w:rsidR="0003552F" w:rsidRPr="00EB2995" w:rsidRDefault="0003552F" w:rsidP="0003552F">
            <w:pPr>
              <w:jc w:val="right"/>
              <w:rPr>
                <w:rFonts w:cs="Calibri"/>
                <w:b/>
                <w:bCs/>
                <w:color w:val="000000"/>
                <w:sz w:val="20"/>
                <w:szCs w:val="20"/>
                <w:lang w:eastAsia="en-GB"/>
              </w:rPr>
            </w:pPr>
            <w:r w:rsidRPr="00EB2995">
              <w:rPr>
                <w:rFonts w:cs="Calibri"/>
                <w:b/>
                <w:bCs/>
                <w:color w:val="000000"/>
                <w:sz w:val="20"/>
                <w:szCs w:val="20"/>
              </w:rPr>
              <w:t>0.0</w:t>
            </w:r>
          </w:p>
        </w:tc>
        <w:tc>
          <w:tcPr>
            <w:tcW w:w="960" w:type="dxa"/>
            <w:tcBorders>
              <w:top w:val="nil"/>
              <w:left w:val="nil"/>
              <w:bottom w:val="nil"/>
              <w:right w:val="nil"/>
            </w:tcBorders>
            <w:shd w:val="clear" w:color="000000" w:fill="FFFFFF"/>
            <w:noWrap/>
            <w:vAlign w:val="center"/>
          </w:tcPr>
          <w:p w:rsidR="0003552F" w:rsidRPr="00EB2995" w:rsidRDefault="0003552F" w:rsidP="0003552F">
            <w:pPr>
              <w:jc w:val="right"/>
              <w:rPr>
                <w:rFonts w:cs="Calibri"/>
                <w:b/>
                <w:bCs/>
                <w:color w:val="000000"/>
                <w:sz w:val="20"/>
                <w:szCs w:val="20"/>
                <w:lang w:eastAsia="en-GB"/>
              </w:rPr>
            </w:pPr>
            <w:r w:rsidRPr="00EB2995">
              <w:rPr>
                <w:rFonts w:cs="Calibri"/>
                <w:b/>
                <w:bCs/>
                <w:color w:val="000000"/>
                <w:sz w:val="20"/>
                <w:szCs w:val="20"/>
              </w:rPr>
              <w:t>54.3</w:t>
            </w:r>
          </w:p>
        </w:tc>
        <w:tc>
          <w:tcPr>
            <w:tcW w:w="997" w:type="dxa"/>
            <w:gridSpan w:val="2"/>
            <w:tcBorders>
              <w:top w:val="nil"/>
              <w:left w:val="nil"/>
              <w:bottom w:val="nil"/>
              <w:right w:val="nil"/>
            </w:tcBorders>
            <w:shd w:val="clear" w:color="000000" w:fill="FFFFFF"/>
            <w:noWrap/>
            <w:vAlign w:val="center"/>
          </w:tcPr>
          <w:p w:rsidR="0003552F" w:rsidRPr="00EB2995" w:rsidRDefault="0003552F" w:rsidP="0003552F">
            <w:pPr>
              <w:jc w:val="right"/>
              <w:rPr>
                <w:rFonts w:cs="Calibri"/>
                <w:b/>
                <w:bCs/>
                <w:color w:val="000000"/>
                <w:sz w:val="20"/>
                <w:szCs w:val="20"/>
                <w:lang w:eastAsia="en-GB"/>
              </w:rPr>
            </w:pPr>
            <w:r w:rsidRPr="00EB2995">
              <w:rPr>
                <w:rFonts w:cs="Calibri"/>
                <w:b/>
                <w:bCs/>
                <w:color w:val="000000"/>
                <w:sz w:val="20"/>
                <w:szCs w:val="20"/>
              </w:rPr>
              <w:t>(42.3)</w:t>
            </w:r>
          </w:p>
        </w:tc>
        <w:tc>
          <w:tcPr>
            <w:tcW w:w="1135" w:type="dxa"/>
            <w:gridSpan w:val="2"/>
            <w:tcBorders>
              <w:top w:val="nil"/>
              <w:left w:val="nil"/>
              <w:bottom w:val="nil"/>
              <w:right w:val="single" w:sz="8" w:space="0" w:color="auto"/>
            </w:tcBorders>
            <w:shd w:val="clear" w:color="000000" w:fill="FFFFFF"/>
            <w:noWrap/>
            <w:vAlign w:val="center"/>
          </w:tcPr>
          <w:p w:rsidR="0003552F" w:rsidRPr="00EB2995" w:rsidRDefault="0003552F" w:rsidP="0003552F">
            <w:pPr>
              <w:jc w:val="right"/>
              <w:rPr>
                <w:rFonts w:cs="Calibri"/>
                <w:b/>
                <w:bCs/>
                <w:color w:val="000000"/>
                <w:sz w:val="20"/>
                <w:szCs w:val="20"/>
                <w:lang w:eastAsia="en-GB"/>
              </w:rPr>
            </w:pPr>
            <w:r w:rsidRPr="00EB2995">
              <w:rPr>
                <w:rFonts w:cs="Calibri"/>
                <w:b/>
                <w:bCs/>
                <w:color w:val="000000"/>
                <w:sz w:val="20"/>
                <w:szCs w:val="20"/>
              </w:rPr>
              <w:t>12</w:t>
            </w:r>
            <w:r>
              <w:rPr>
                <w:rFonts w:cs="Calibri"/>
                <w:b/>
                <w:bCs/>
                <w:color w:val="000000"/>
                <w:sz w:val="20"/>
                <w:szCs w:val="20"/>
              </w:rPr>
              <w:t>.0</w:t>
            </w:r>
          </w:p>
        </w:tc>
      </w:tr>
      <w:tr w:rsidR="0003552F" w:rsidRPr="00EB2995" w:rsidTr="0003552F">
        <w:trPr>
          <w:trHeight w:val="615"/>
        </w:trPr>
        <w:tc>
          <w:tcPr>
            <w:tcW w:w="3081" w:type="dxa"/>
            <w:gridSpan w:val="3"/>
            <w:tcBorders>
              <w:top w:val="nil"/>
              <w:left w:val="nil"/>
              <w:bottom w:val="nil"/>
              <w:right w:val="single" w:sz="8" w:space="0" w:color="000000"/>
            </w:tcBorders>
            <w:shd w:val="clear" w:color="000000" w:fill="FFFFFF"/>
            <w:vAlign w:val="center"/>
          </w:tcPr>
          <w:p w:rsidR="0003552F" w:rsidRPr="00EB2995" w:rsidRDefault="0003552F" w:rsidP="0003552F">
            <w:pPr>
              <w:rPr>
                <w:rFonts w:cs="Calibri"/>
                <w:color w:val="000000"/>
                <w:sz w:val="20"/>
                <w:szCs w:val="20"/>
                <w:lang w:eastAsia="en-GB"/>
              </w:rPr>
            </w:pPr>
            <w:r w:rsidRPr="00EB2995">
              <w:rPr>
                <w:rFonts w:cs="Calibri"/>
                <w:color w:val="000000"/>
                <w:sz w:val="20"/>
                <w:szCs w:val="20"/>
                <w:lang w:eastAsia="en-GB"/>
              </w:rPr>
              <w:t xml:space="preserve">Adjustments between accounting basis &amp; funding basis under regulations </w:t>
            </w:r>
          </w:p>
        </w:tc>
        <w:tc>
          <w:tcPr>
            <w:tcW w:w="960" w:type="dxa"/>
            <w:tcBorders>
              <w:top w:val="nil"/>
              <w:left w:val="nil"/>
              <w:bottom w:val="single" w:sz="8" w:space="0" w:color="auto"/>
              <w:right w:val="nil"/>
            </w:tcBorders>
            <w:shd w:val="clear" w:color="000000" w:fill="FFFFFF"/>
            <w:noWrap/>
            <w:vAlign w:val="center"/>
          </w:tcPr>
          <w:p w:rsidR="0003552F" w:rsidRPr="00EB2995" w:rsidRDefault="0003552F" w:rsidP="0003552F">
            <w:pPr>
              <w:jc w:val="right"/>
              <w:rPr>
                <w:rFonts w:cs="Calibri"/>
                <w:color w:val="000000"/>
                <w:sz w:val="20"/>
                <w:szCs w:val="20"/>
                <w:lang w:eastAsia="en-GB"/>
              </w:rPr>
            </w:pPr>
            <w:r w:rsidRPr="00EB2995">
              <w:rPr>
                <w:rFonts w:cs="Calibri"/>
                <w:color w:val="000000"/>
                <w:sz w:val="20"/>
                <w:szCs w:val="20"/>
              </w:rPr>
              <w:t>(61.0)</w:t>
            </w:r>
          </w:p>
        </w:tc>
        <w:tc>
          <w:tcPr>
            <w:tcW w:w="1024" w:type="dxa"/>
            <w:gridSpan w:val="3"/>
            <w:tcBorders>
              <w:top w:val="nil"/>
              <w:left w:val="nil"/>
              <w:bottom w:val="single" w:sz="8" w:space="0" w:color="auto"/>
              <w:right w:val="nil"/>
            </w:tcBorders>
            <w:shd w:val="clear" w:color="000000" w:fill="FFFFFF"/>
            <w:vAlign w:val="center"/>
          </w:tcPr>
          <w:p w:rsidR="0003552F" w:rsidRPr="00EB2995" w:rsidRDefault="0003552F" w:rsidP="0003552F">
            <w:pPr>
              <w:jc w:val="right"/>
              <w:rPr>
                <w:rFonts w:cs="Calibri"/>
                <w:color w:val="000000"/>
                <w:sz w:val="20"/>
                <w:szCs w:val="20"/>
                <w:lang w:eastAsia="en-GB"/>
              </w:rPr>
            </w:pPr>
            <w:r w:rsidRPr="00EB2995">
              <w:rPr>
                <w:rFonts w:cs="Calibri"/>
                <w:color w:val="000000"/>
                <w:sz w:val="20"/>
                <w:szCs w:val="20"/>
              </w:rPr>
              <w:t>0.0</w:t>
            </w:r>
          </w:p>
        </w:tc>
        <w:tc>
          <w:tcPr>
            <w:tcW w:w="1120" w:type="dxa"/>
            <w:gridSpan w:val="2"/>
            <w:tcBorders>
              <w:top w:val="nil"/>
              <w:left w:val="nil"/>
              <w:bottom w:val="single" w:sz="8" w:space="0" w:color="auto"/>
              <w:right w:val="nil"/>
            </w:tcBorders>
            <w:shd w:val="clear" w:color="000000" w:fill="FFFFFF"/>
            <w:noWrap/>
            <w:vAlign w:val="center"/>
          </w:tcPr>
          <w:p w:rsidR="0003552F" w:rsidRPr="00EB2995" w:rsidRDefault="0003552F" w:rsidP="0003552F">
            <w:pPr>
              <w:jc w:val="right"/>
              <w:rPr>
                <w:rFonts w:cs="Calibri"/>
                <w:color w:val="000000"/>
                <w:sz w:val="20"/>
                <w:szCs w:val="20"/>
                <w:lang w:eastAsia="en-GB"/>
              </w:rPr>
            </w:pPr>
            <w:r w:rsidRPr="00EB2995">
              <w:rPr>
                <w:rFonts w:cs="Calibri"/>
                <w:color w:val="000000"/>
                <w:sz w:val="20"/>
                <w:szCs w:val="20"/>
              </w:rPr>
              <w:t>0.0</w:t>
            </w:r>
          </w:p>
        </w:tc>
        <w:tc>
          <w:tcPr>
            <w:tcW w:w="960" w:type="dxa"/>
            <w:gridSpan w:val="2"/>
            <w:tcBorders>
              <w:top w:val="nil"/>
              <w:left w:val="nil"/>
              <w:bottom w:val="single" w:sz="8" w:space="0" w:color="auto"/>
              <w:right w:val="nil"/>
            </w:tcBorders>
            <w:shd w:val="clear" w:color="000000" w:fill="FFFFFF"/>
            <w:noWrap/>
            <w:vAlign w:val="center"/>
          </w:tcPr>
          <w:p w:rsidR="0003552F" w:rsidRPr="00EB2995" w:rsidRDefault="0003552F" w:rsidP="0003552F">
            <w:pPr>
              <w:jc w:val="right"/>
              <w:rPr>
                <w:rFonts w:cs="Calibri"/>
                <w:color w:val="000000"/>
                <w:sz w:val="20"/>
                <w:szCs w:val="20"/>
                <w:lang w:eastAsia="en-GB"/>
              </w:rPr>
            </w:pPr>
            <w:r w:rsidRPr="00EB2995">
              <w:rPr>
                <w:rFonts w:cs="Calibri"/>
                <w:color w:val="000000"/>
                <w:sz w:val="20"/>
                <w:szCs w:val="20"/>
              </w:rPr>
              <w:t>(19.6)</w:t>
            </w:r>
          </w:p>
        </w:tc>
        <w:tc>
          <w:tcPr>
            <w:tcW w:w="1120" w:type="dxa"/>
            <w:gridSpan w:val="2"/>
            <w:tcBorders>
              <w:top w:val="nil"/>
              <w:left w:val="nil"/>
              <w:bottom w:val="single" w:sz="8" w:space="0" w:color="auto"/>
              <w:right w:val="nil"/>
            </w:tcBorders>
            <w:shd w:val="clear" w:color="000000" w:fill="FFFFFF"/>
            <w:noWrap/>
            <w:vAlign w:val="center"/>
          </w:tcPr>
          <w:p w:rsidR="0003552F" w:rsidRPr="00EB2995" w:rsidRDefault="0003552F" w:rsidP="0003552F">
            <w:pPr>
              <w:jc w:val="right"/>
              <w:rPr>
                <w:rFonts w:cs="Calibri"/>
                <w:color w:val="000000"/>
                <w:sz w:val="20"/>
                <w:szCs w:val="20"/>
                <w:lang w:eastAsia="en-GB"/>
              </w:rPr>
            </w:pPr>
            <w:r w:rsidRPr="00EB2995">
              <w:rPr>
                <w:rFonts w:cs="Calibri"/>
                <w:color w:val="000000"/>
                <w:sz w:val="20"/>
                <w:szCs w:val="20"/>
              </w:rPr>
              <w:t>0.0</w:t>
            </w:r>
          </w:p>
        </w:tc>
        <w:tc>
          <w:tcPr>
            <w:tcW w:w="960" w:type="dxa"/>
            <w:gridSpan w:val="2"/>
            <w:tcBorders>
              <w:top w:val="nil"/>
              <w:left w:val="nil"/>
              <w:bottom w:val="single" w:sz="8" w:space="0" w:color="auto"/>
              <w:right w:val="nil"/>
            </w:tcBorders>
            <w:shd w:val="clear" w:color="000000" w:fill="FFFFFF"/>
            <w:noWrap/>
            <w:vAlign w:val="center"/>
          </w:tcPr>
          <w:p w:rsidR="0003552F" w:rsidRPr="00EB2995" w:rsidRDefault="0003552F" w:rsidP="0003552F">
            <w:pPr>
              <w:jc w:val="right"/>
              <w:rPr>
                <w:rFonts w:cs="Calibri"/>
                <w:color w:val="000000"/>
                <w:sz w:val="20"/>
                <w:szCs w:val="20"/>
                <w:lang w:eastAsia="en-GB"/>
              </w:rPr>
            </w:pPr>
            <w:r w:rsidRPr="00EB2995">
              <w:rPr>
                <w:rFonts w:cs="Calibri"/>
                <w:color w:val="000000"/>
                <w:sz w:val="20"/>
                <w:szCs w:val="20"/>
              </w:rPr>
              <w:t>13.0</w:t>
            </w:r>
          </w:p>
        </w:tc>
        <w:tc>
          <w:tcPr>
            <w:tcW w:w="960" w:type="dxa"/>
            <w:gridSpan w:val="2"/>
            <w:tcBorders>
              <w:top w:val="nil"/>
              <w:left w:val="nil"/>
              <w:bottom w:val="single" w:sz="8" w:space="0" w:color="auto"/>
              <w:right w:val="nil"/>
            </w:tcBorders>
            <w:shd w:val="clear" w:color="000000" w:fill="FFFFFF"/>
            <w:noWrap/>
            <w:vAlign w:val="center"/>
          </w:tcPr>
          <w:p w:rsidR="0003552F" w:rsidRPr="00EB2995" w:rsidRDefault="0003552F" w:rsidP="0003552F">
            <w:pPr>
              <w:jc w:val="right"/>
              <w:rPr>
                <w:rFonts w:cs="Calibri"/>
                <w:color w:val="000000"/>
                <w:sz w:val="20"/>
                <w:szCs w:val="20"/>
                <w:lang w:eastAsia="en-GB"/>
              </w:rPr>
            </w:pPr>
            <w:r w:rsidRPr="00EB2995">
              <w:rPr>
                <w:rFonts w:cs="Calibri"/>
                <w:color w:val="000000"/>
                <w:sz w:val="20"/>
                <w:szCs w:val="20"/>
              </w:rPr>
              <w:t>0.0</w:t>
            </w:r>
          </w:p>
        </w:tc>
        <w:tc>
          <w:tcPr>
            <w:tcW w:w="1074" w:type="dxa"/>
            <w:gridSpan w:val="2"/>
            <w:tcBorders>
              <w:top w:val="nil"/>
              <w:left w:val="nil"/>
              <w:bottom w:val="single" w:sz="8" w:space="0" w:color="auto"/>
              <w:right w:val="nil"/>
            </w:tcBorders>
            <w:shd w:val="clear" w:color="000000" w:fill="FFFFFF"/>
            <w:noWrap/>
            <w:vAlign w:val="center"/>
          </w:tcPr>
          <w:p w:rsidR="0003552F" w:rsidRPr="00EB2995" w:rsidRDefault="0003552F" w:rsidP="0003552F">
            <w:pPr>
              <w:jc w:val="right"/>
              <w:rPr>
                <w:rFonts w:cs="Calibri"/>
                <w:color w:val="000000"/>
                <w:sz w:val="20"/>
                <w:szCs w:val="20"/>
                <w:lang w:eastAsia="en-GB"/>
              </w:rPr>
            </w:pPr>
            <w:r w:rsidRPr="00EB2995">
              <w:rPr>
                <w:rFonts w:cs="Calibri"/>
                <w:color w:val="000000"/>
                <w:sz w:val="20"/>
                <w:szCs w:val="20"/>
              </w:rPr>
              <w:t>10.1</w:t>
            </w:r>
          </w:p>
        </w:tc>
        <w:tc>
          <w:tcPr>
            <w:tcW w:w="960" w:type="dxa"/>
            <w:tcBorders>
              <w:top w:val="nil"/>
              <w:left w:val="nil"/>
              <w:bottom w:val="single" w:sz="8" w:space="0" w:color="auto"/>
              <w:right w:val="nil"/>
            </w:tcBorders>
            <w:shd w:val="clear" w:color="000000" w:fill="FFFFFF"/>
            <w:noWrap/>
            <w:vAlign w:val="center"/>
          </w:tcPr>
          <w:p w:rsidR="0003552F" w:rsidRPr="00EB2995" w:rsidRDefault="0003552F" w:rsidP="0003552F">
            <w:pPr>
              <w:jc w:val="right"/>
              <w:rPr>
                <w:rFonts w:cs="Calibri"/>
                <w:b/>
                <w:bCs/>
                <w:color w:val="000000"/>
                <w:sz w:val="20"/>
                <w:szCs w:val="20"/>
                <w:lang w:eastAsia="en-GB"/>
              </w:rPr>
            </w:pPr>
            <w:r w:rsidRPr="00EB2995">
              <w:rPr>
                <w:rFonts w:cs="Calibri"/>
                <w:color w:val="000000"/>
                <w:sz w:val="20"/>
                <w:szCs w:val="20"/>
              </w:rPr>
              <w:t>(57.6)</w:t>
            </w:r>
          </w:p>
        </w:tc>
        <w:tc>
          <w:tcPr>
            <w:tcW w:w="997" w:type="dxa"/>
            <w:gridSpan w:val="2"/>
            <w:tcBorders>
              <w:top w:val="nil"/>
              <w:left w:val="nil"/>
              <w:bottom w:val="single" w:sz="8" w:space="0" w:color="auto"/>
              <w:right w:val="nil"/>
            </w:tcBorders>
            <w:shd w:val="clear" w:color="000000" w:fill="FFFFFF"/>
            <w:noWrap/>
            <w:vAlign w:val="center"/>
          </w:tcPr>
          <w:p w:rsidR="0003552F" w:rsidRPr="00EB2995" w:rsidRDefault="0003552F" w:rsidP="0003552F">
            <w:pPr>
              <w:jc w:val="right"/>
              <w:rPr>
                <w:rFonts w:cs="Calibri"/>
                <w:color w:val="000000"/>
                <w:sz w:val="20"/>
                <w:szCs w:val="20"/>
                <w:lang w:eastAsia="en-GB"/>
              </w:rPr>
            </w:pPr>
            <w:r w:rsidRPr="00EB2995">
              <w:rPr>
                <w:rFonts w:cs="Calibri"/>
                <w:color w:val="000000"/>
                <w:sz w:val="20"/>
                <w:szCs w:val="20"/>
              </w:rPr>
              <w:t>57.6</w:t>
            </w:r>
          </w:p>
        </w:tc>
        <w:tc>
          <w:tcPr>
            <w:tcW w:w="1135" w:type="dxa"/>
            <w:gridSpan w:val="2"/>
            <w:tcBorders>
              <w:top w:val="nil"/>
              <w:left w:val="nil"/>
              <w:bottom w:val="single" w:sz="8" w:space="0" w:color="auto"/>
              <w:right w:val="single" w:sz="8" w:space="0" w:color="auto"/>
            </w:tcBorders>
            <w:shd w:val="clear" w:color="000000" w:fill="FFFFFF"/>
            <w:noWrap/>
            <w:vAlign w:val="center"/>
          </w:tcPr>
          <w:p w:rsidR="0003552F" w:rsidRPr="00EB2995" w:rsidRDefault="0003552F" w:rsidP="0003552F">
            <w:pPr>
              <w:jc w:val="right"/>
              <w:rPr>
                <w:rFonts w:cs="Calibri"/>
                <w:b/>
                <w:bCs/>
                <w:color w:val="000000"/>
                <w:sz w:val="20"/>
                <w:szCs w:val="20"/>
                <w:lang w:eastAsia="en-GB"/>
              </w:rPr>
            </w:pPr>
            <w:r w:rsidRPr="00EB2995">
              <w:rPr>
                <w:rFonts w:cs="Calibri"/>
                <w:color w:val="000000"/>
                <w:sz w:val="20"/>
                <w:szCs w:val="20"/>
              </w:rPr>
              <w:t>0.0</w:t>
            </w:r>
          </w:p>
        </w:tc>
      </w:tr>
      <w:tr w:rsidR="0003552F" w:rsidRPr="00EB2995" w:rsidTr="0003552F">
        <w:trPr>
          <w:trHeight w:val="480"/>
        </w:trPr>
        <w:tc>
          <w:tcPr>
            <w:tcW w:w="3081" w:type="dxa"/>
            <w:gridSpan w:val="3"/>
            <w:tcBorders>
              <w:top w:val="nil"/>
              <w:left w:val="nil"/>
              <w:bottom w:val="nil"/>
              <w:right w:val="single" w:sz="8" w:space="0" w:color="000000"/>
            </w:tcBorders>
            <w:shd w:val="clear" w:color="000000" w:fill="FFFFFF"/>
            <w:vAlign w:val="center"/>
          </w:tcPr>
          <w:p w:rsidR="0003552F" w:rsidRPr="00EB2995" w:rsidRDefault="0003552F" w:rsidP="0003552F">
            <w:pPr>
              <w:rPr>
                <w:rFonts w:cs="Calibri"/>
                <w:b/>
                <w:bCs/>
                <w:color w:val="000000"/>
                <w:sz w:val="20"/>
                <w:szCs w:val="20"/>
                <w:lang w:eastAsia="en-GB"/>
              </w:rPr>
            </w:pPr>
            <w:r w:rsidRPr="00EB2995">
              <w:rPr>
                <w:rFonts w:cs="Calibri"/>
                <w:b/>
                <w:bCs/>
                <w:color w:val="000000"/>
                <w:sz w:val="20"/>
                <w:szCs w:val="20"/>
                <w:lang w:eastAsia="en-GB"/>
              </w:rPr>
              <w:t>Net (increase)/decrease before transfers to earmarked reserves</w:t>
            </w:r>
          </w:p>
        </w:tc>
        <w:tc>
          <w:tcPr>
            <w:tcW w:w="960" w:type="dxa"/>
            <w:tcBorders>
              <w:top w:val="nil"/>
              <w:left w:val="nil"/>
              <w:bottom w:val="nil"/>
              <w:right w:val="nil"/>
            </w:tcBorders>
            <w:shd w:val="clear" w:color="000000" w:fill="FFFFFF"/>
            <w:noWrap/>
            <w:vAlign w:val="center"/>
          </w:tcPr>
          <w:p w:rsidR="0003552F" w:rsidRPr="00EB2995" w:rsidRDefault="0003552F" w:rsidP="0003552F">
            <w:pPr>
              <w:jc w:val="right"/>
              <w:rPr>
                <w:rFonts w:cs="Calibri"/>
                <w:color w:val="000000"/>
                <w:sz w:val="20"/>
                <w:szCs w:val="20"/>
                <w:lang w:eastAsia="en-GB"/>
              </w:rPr>
            </w:pPr>
            <w:r w:rsidRPr="00EB2995">
              <w:rPr>
                <w:rFonts w:cs="Calibri"/>
                <w:b/>
                <w:bCs/>
                <w:color w:val="000000"/>
                <w:sz w:val="20"/>
                <w:szCs w:val="20"/>
              </w:rPr>
              <w:t>(28.7)</w:t>
            </w:r>
          </w:p>
        </w:tc>
        <w:tc>
          <w:tcPr>
            <w:tcW w:w="1024" w:type="dxa"/>
            <w:gridSpan w:val="3"/>
            <w:tcBorders>
              <w:top w:val="nil"/>
              <w:left w:val="nil"/>
              <w:bottom w:val="nil"/>
              <w:right w:val="nil"/>
            </w:tcBorders>
            <w:shd w:val="clear" w:color="000000" w:fill="FFFFFF"/>
            <w:noWrap/>
            <w:vAlign w:val="center"/>
          </w:tcPr>
          <w:p w:rsidR="0003552F" w:rsidRPr="00EB2995" w:rsidRDefault="0003552F" w:rsidP="0003552F">
            <w:pPr>
              <w:jc w:val="right"/>
              <w:rPr>
                <w:rFonts w:cs="Calibri"/>
                <w:color w:val="000000"/>
                <w:sz w:val="20"/>
                <w:szCs w:val="20"/>
                <w:lang w:eastAsia="en-GB"/>
              </w:rPr>
            </w:pPr>
            <w:r w:rsidRPr="00EB2995">
              <w:rPr>
                <w:rFonts w:cs="Calibri"/>
                <w:b/>
                <w:bCs/>
                <w:color w:val="000000"/>
                <w:sz w:val="20"/>
                <w:szCs w:val="20"/>
              </w:rPr>
              <w:t>0.0</w:t>
            </w:r>
          </w:p>
        </w:tc>
        <w:tc>
          <w:tcPr>
            <w:tcW w:w="1120" w:type="dxa"/>
            <w:gridSpan w:val="2"/>
            <w:tcBorders>
              <w:top w:val="nil"/>
              <w:left w:val="nil"/>
              <w:bottom w:val="nil"/>
              <w:right w:val="nil"/>
            </w:tcBorders>
            <w:shd w:val="clear" w:color="000000" w:fill="FFFFFF"/>
            <w:noWrap/>
            <w:vAlign w:val="center"/>
          </w:tcPr>
          <w:p w:rsidR="0003552F" w:rsidRPr="00EB2995" w:rsidRDefault="0003552F" w:rsidP="0003552F">
            <w:pPr>
              <w:jc w:val="right"/>
              <w:rPr>
                <w:rFonts w:cs="Calibri"/>
                <w:color w:val="000000"/>
                <w:sz w:val="20"/>
                <w:szCs w:val="20"/>
                <w:lang w:eastAsia="en-GB"/>
              </w:rPr>
            </w:pPr>
            <w:r w:rsidRPr="00EB2995">
              <w:rPr>
                <w:rFonts w:cs="Calibri"/>
                <w:b/>
                <w:bCs/>
                <w:color w:val="000000"/>
                <w:sz w:val="20"/>
                <w:szCs w:val="20"/>
              </w:rPr>
              <w:t>0.0</w:t>
            </w:r>
          </w:p>
        </w:tc>
        <w:tc>
          <w:tcPr>
            <w:tcW w:w="960" w:type="dxa"/>
            <w:gridSpan w:val="2"/>
            <w:tcBorders>
              <w:top w:val="nil"/>
              <w:left w:val="nil"/>
              <w:bottom w:val="nil"/>
              <w:right w:val="nil"/>
            </w:tcBorders>
            <w:shd w:val="clear" w:color="000000" w:fill="FFFFFF"/>
            <w:noWrap/>
            <w:vAlign w:val="center"/>
          </w:tcPr>
          <w:p w:rsidR="0003552F" w:rsidRPr="00EB2995" w:rsidRDefault="0003552F" w:rsidP="0003552F">
            <w:pPr>
              <w:jc w:val="right"/>
              <w:rPr>
                <w:rFonts w:cs="Calibri"/>
                <w:color w:val="000000"/>
                <w:sz w:val="20"/>
                <w:szCs w:val="20"/>
                <w:lang w:eastAsia="en-GB"/>
              </w:rPr>
            </w:pPr>
            <w:r w:rsidRPr="00EB2995">
              <w:rPr>
                <w:rFonts w:cs="Calibri"/>
                <w:b/>
                <w:bCs/>
                <w:color w:val="000000"/>
                <w:sz w:val="20"/>
                <w:szCs w:val="20"/>
              </w:rPr>
              <w:t>2.3</w:t>
            </w:r>
          </w:p>
        </w:tc>
        <w:tc>
          <w:tcPr>
            <w:tcW w:w="1120" w:type="dxa"/>
            <w:gridSpan w:val="2"/>
            <w:tcBorders>
              <w:top w:val="nil"/>
              <w:left w:val="nil"/>
              <w:bottom w:val="nil"/>
              <w:right w:val="nil"/>
            </w:tcBorders>
            <w:shd w:val="clear" w:color="000000" w:fill="FFFFFF"/>
            <w:noWrap/>
            <w:vAlign w:val="center"/>
          </w:tcPr>
          <w:p w:rsidR="0003552F" w:rsidRPr="00EB2995" w:rsidRDefault="0003552F" w:rsidP="0003552F">
            <w:pPr>
              <w:jc w:val="right"/>
              <w:rPr>
                <w:rFonts w:cs="Calibri"/>
                <w:color w:val="000000"/>
                <w:sz w:val="20"/>
                <w:szCs w:val="20"/>
                <w:lang w:eastAsia="en-GB"/>
              </w:rPr>
            </w:pPr>
            <w:r w:rsidRPr="00EB2995">
              <w:rPr>
                <w:rFonts w:cs="Calibri"/>
                <w:b/>
                <w:bCs/>
                <w:color w:val="000000"/>
                <w:sz w:val="20"/>
                <w:szCs w:val="20"/>
              </w:rPr>
              <w:t>0.0</w:t>
            </w:r>
          </w:p>
        </w:tc>
        <w:tc>
          <w:tcPr>
            <w:tcW w:w="960" w:type="dxa"/>
            <w:gridSpan w:val="2"/>
            <w:tcBorders>
              <w:top w:val="nil"/>
              <w:left w:val="nil"/>
              <w:bottom w:val="nil"/>
              <w:right w:val="nil"/>
            </w:tcBorders>
            <w:shd w:val="clear" w:color="000000" w:fill="FFFFFF"/>
            <w:noWrap/>
            <w:vAlign w:val="center"/>
          </w:tcPr>
          <w:p w:rsidR="0003552F" w:rsidRPr="00EB2995" w:rsidRDefault="0003552F" w:rsidP="0003552F">
            <w:pPr>
              <w:jc w:val="right"/>
              <w:rPr>
                <w:rFonts w:cs="Calibri"/>
                <w:color w:val="000000"/>
                <w:sz w:val="20"/>
                <w:szCs w:val="20"/>
                <w:lang w:eastAsia="en-GB"/>
              </w:rPr>
            </w:pPr>
            <w:r w:rsidRPr="00EB2995">
              <w:rPr>
                <w:rFonts w:cs="Calibri"/>
                <w:b/>
                <w:bCs/>
                <w:color w:val="000000"/>
                <w:sz w:val="20"/>
                <w:szCs w:val="20"/>
              </w:rPr>
              <w:t>13.0</w:t>
            </w:r>
          </w:p>
        </w:tc>
        <w:tc>
          <w:tcPr>
            <w:tcW w:w="960" w:type="dxa"/>
            <w:gridSpan w:val="2"/>
            <w:tcBorders>
              <w:top w:val="nil"/>
              <w:left w:val="nil"/>
              <w:bottom w:val="nil"/>
              <w:right w:val="nil"/>
            </w:tcBorders>
            <w:shd w:val="clear" w:color="000000" w:fill="FFFFFF"/>
            <w:noWrap/>
            <w:vAlign w:val="center"/>
          </w:tcPr>
          <w:p w:rsidR="0003552F" w:rsidRPr="00EB2995" w:rsidRDefault="0003552F" w:rsidP="0003552F">
            <w:pPr>
              <w:jc w:val="right"/>
              <w:rPr>
                <w:rFonts w:cs="Calibri"/>
                <w:color w:val="000000"/>
                <w:sz w:val="20"/>
                <w:szCs w:val="20"/>
                <w:lang w:eastAsia="en-GB"/>
              </w:rPr>
            </w:pPr>
            <w:r w:rsidRPr="00EB2995">
              <w:rPr>
                <w:rFonts w:cs="Calibri"/>
                <w:b/>
                <w:bCs/>
                <w:color w:val="000000"/>
                <w:sz w:val="20"/>
                <w:szCs w:val="20"/>
              </w:rPr>
              <w:t>0.0</w:t>
            </w:r>
          </w:p>
        </w:tc>
        <w:tc>
          <w:tcPr>
            <w:tcW w:w="1074" w:type="dxa"/>
            <w:gridSpan w:val="2"/>
            <w:tcBorders>
              <w:top w:val="nil"/>
              <w:left w:val="nil"/>
              <w:bottom w:val="nil"/>
              <w:right w:val="nil"/>
            </w:tcBorders>
            <w:shd w:val="clear" w:color="000000" w:fill="FFFFFF"/>
            <w:noWrap/>
            <w:vAlign w:val="center"/>
          </w:tcPr>
          <w:p w:rsidR="0003552F" w:rsidRPr="00EB2995" w:rsidRDefault="0003552F" w:rsidP="0003552F">
            <w:pPr>
              <w:jc w:val="right"/>
              <w:rPr>
                <w:rFonts w:cs="Calibri"/>
                <w:color w:val="000000"/>
                <w:sz w:val="20"/>
                <w:szCs w:val="20"/>
                <w:lang w:eastAsia="en-GB"/>
              </w:rPr>
            </w:pPr>
            <w:r w:rsidRPr="00EB2995">
              <w:rPr>
                <w:rFonts w:cs="Calibri"/>
                <w:b/>
                <w:bCs/>
                <w:color w:val="000000"/>
                <w:sz w:val="20"/>
                <w:szCs w:val="20"/>
              </w:rPr>
              <w:t>10.1</w:t>
            </w:r>
          </w:p>
        </w:tc>
        <w:tc>
          <w:tcPr>
            <w:tcW w:w="960" w:type="dxa"/>
            <w:tcBorders>
              <w:top w:val="nil"/>
              <w:left w:val="nil"/>
              <w:bottom w:val="nil"/>
              <w:right w:val="nil"/>
            </w:tcBorders>
            <w:shd w:val="clear" w:color="000000" w:fill="FFFFFF"/>
            <w:noWrap/>
            <w:vAlign w:val="center"/>
          </w:tcPr>
          <w:p w:rsidR="0003552F" w:rsidRPr="00EB2995" w:rsidRDefault="0003552F" w:rsidP="0003552F">
            <w:pPr>
              <w:jc w:val="right"/>
              <w:rPr>
                <w:rFonts w:cs="Calibri"/>
                <w:b/>
                <w:bCs/>
                <w:color w:val="000000"/>
                <w:sz w:val="20"/>
                <w:szCs w:val="20"/>
                <w:lang w:eastAsia="en-GB"/>
              </w:rPr>
            </w:pPr>
            <w:r w:rsidRPr="00EB2995">
              <w:rPr>
                <w:rFonts w:cs="Calibri"/>
                <w:b/>
                <w:bCs/>
                <w:color w:val="000000"/>
                <w:sz w:val="20"/>
                <w:szCs w:val="20"/>
              </w:rPr>
              <w:t>(3.3)</w:t>
            </w:r>
          </w:p>
        </w:tc>
        <w:tc>
          <w:tcPr>
            <w:tcW w:w="997" w:type="dxa"/>
            <w:gridSpan w:val="2"/>
            <w:tcBorders>
              <w:top w:val="nil"/>
              <w:left w:val="nil"/>
              <w:bottom w:val="nil"/>
              <w:right w:val="nil"/>
            </w:tcBorders>
            <w:shd w:val="clear" w:color="000000" w:fill="FFFFFF"/>
            <w:noWrap/>
            <w:vAlign w:val="center"/>
          </w:tcPr>
          <w:p w:rsidR="0003552F" w:rsidRPr="00EB2995" w:rsidRDefault="0003552F" w:rsidP="0003552F">
            <w:pPr>
              <w:jc w:val="right"/>
              <w:rPr>
                <w:rFonts w:cs="Calibri"/>
                <w:color w:val="000000"/>
                <w:sz w:val="20"/>
                <w:szCs w:val="20"/>
                <w:lang w:eastAsia="en-GB"/>
              </w:rPr>
            </w:pPr>
            <w:r w:rsidRPr="00EB2995">
              <w:rPr>
                <w:rFonts w:cs="Calibri"/>
                <w:b/>
                <w:bCs/>
                <w:color w:val="000000"/>
                <w:sz w:val="20"/>
                <w:szCs w:val="20"/>
              </w:rPr>
              <w:t>15.3</w:t>
            </w:r>
          </w:p>
        </w:tc>
        <w:tc>
          <w:tcPr>
            <w:tcW w:w="1135" w:type="dxa"/>
            <w:gridSpan w:val="2"/>
            <w:tcBorders>
              <w:top w:val="nil"/>
              <w:left w:val="nil"/>
              <w:bottom w:val="nil"/>
              <w:right w:val="single" w:sz="8" w:space="0" w:color="auto"/>
            </w:tcBorders>
            <w:shd w:val="clear" w:color="000000" w:fill="FFFFFF"/>
            <w:noWrap/>
            <w:vAlign w:val="center"/>
          </w:tcPr>
          <w:p w:rsidR="0003552F" w:rsidRPr="00EB2995" w:rsidRDefault="0003552F" w:rsidP="0003552F">
            <w:pPr>
              <w:jc w:val="right"/>
              <w:rPr>
                <w:rFonts w:cs="Calibri"/>
                <w:b/>
                <w:bCs/>
                <w:color w:val="000000"/>
                <w:sz w:val="20"/>
                <w:szCs w:val="20"/>
                <w:lang w:eastAsia="en-GB"/>
              </w:rPr>
            </w:pPr>
            <w:r w:rsidRPr="00EB2995">
              <w:rPr>
                <w:rFonts w:cs="Calibri"/>
                <w:b/>
                <w:bCs/>
                <w:color w:val="000000"/>
                <w:sz w:val="20"/>
                <w:szCs w:val="20"/>
              </w:rPr>
              <w:t>12</w:t>
            </w:r>
            <w:r>
              <w:rPr>
                <w:rFonts w:cs="Calibri"/>
                <w:b/>
                <w:bCs/>
                <w:color w:val="000000"/>
                <w:sz w:val="20"/>
                <w:szCs w:val="20"/>
              </w:rPr>
              <w:t>.0</w:t>
            </w:r>
          </w:p>
        </w:tc>
      </w:tr>
      <w:tr w:rsidR="0003552F" w:rsidRPr="00EB2995" w:rsidTr="0003552F">
        <w:trPr>
          <w:trHeight w:val="450"/>
        </w:trPr>
        <w:tc>
          <w:tcPr>
            <w:tcW w:w="3081" w:type="dxa"/>
            <w:gridSpan w:val="3"/>
            <w:tcBorders>
              <w:top w:val="nil"/>
              <w:left w:val="nil"/>
              <w:bottom w:val="nil"/>
              <w:right w:val="single" w:sz="8" w:space="0" w:color="000000"/>
            </w:tcBorders>
            <w:shd w:val="clear" w:color="000000" w:fill="FFFFFF"/>
            <w:vAlign w:val="center"/>
          </w:tcPr>
          <w:p w:rsidR="0003552F" w:rsidRPr="00EB2995" w:rsidRDefault="0003552F" w:rsidP="0003552F">
            <w:pPr>
              <w:rPr>
                <w:rFonts w:cs="Calibri"/>
                <w:color w:val="000000"/>
                <w:sz w:val="20"/>
                <w:szCs w:val="20"/>
                <w:lang w:eastAsia="en-GB"/>
              </w:rPr>
            </w:pPr>
            <w:r w:rsidRPr="00EB2995">
              <w:rPr>
                <w:rFonts w:cs="Calibri"/>
                <w:color w:val="000000"/>
                <w:sz w:val="20"/>
                <w:szCs w:val="20"/>
                <w:lang w:eastAsia="en-GB"/>
              </w:rPr>
              <w:t xml:space="preserve">Transfers (to)/from earmarked reserves </w:t>
            </w:r>
          </w:p>
        </w:tc>
        <w:tc>
          <w:tcPr>
            <w:tcW w:w="960" w:type="dxa"/>
            <w:tcBorders>
              <w:top w:val="nil"/>
              <w:left w:val="nil"/>
              <w:bottom w:val="nil"/>
              <w:right w:val="nil"/>
            </w:tcBorders>
            <w:shd w:val="clear" w:color="000000" w:fill="FFFFFF"/>
            <w:noWrap/>
            <w:vAlign w:val="center"/>
          </w:tcPr>
          <w:p w:rsidR="0003552F" w:rsidRPr="00EB2995" w:rsidRDefault="0003552F" w:rsidP="0003552F">
            <w:pPr>
              <w:jc w:val="right"/>
              <w:rPr>
                <w:rFonts w:cs="Calibri"/>
                <w:color w:val="000000"/>
                <w:sz w:val="20"/>
                <w:szCs w:val="20"/>
                <w:lang w:eastAsia="en-GB"/>
              </w:rPr>
            </w:pPr>
            <w:r w:rsidRPr="00EB2995">
              <w:rPr>
                <w:rFonts w:cs="Calibri"/>
                <w:color w:val="000000"/>
                <w:sz w:val="20"/>
                <w:szCs w:val="20"/>
              </w:rPr>
              <w:t>25.9</w:t>
            </w:r>
          </w:p>
        </w:tc>
        <w:tc>
          <w:tcPr>
            <w:tcW w:w="1024" w:type="dxa"/>
            <w:gridSpan w:val="3"/>
            <w:tcBorders>
              <w:top w:val="nil"/>
              <w:left w:val="nil"/>
              <w:bottom w:val="nil"/>
              <w:right w:val="nil"/>
            </w:tcBorders>
            <w:shd w:val="clear" w:color="000000" w:fill="FFFFFF"/>
            <w:vAlign w:val="center"/>
          </w:tcPr>
          <w:p w:rsidR="0003552F" w:rsidRPr="00EB2995" w:rsidRDefault="0003552F" w:rsidP="0003552F">
            <w:pPr>
              <w:jc w:val="right"/>
              <w:rPr>
                <w:rFonts w:cs="Calibri"/>
                <w:color w:val="000000"/>
                <w:sz w:val="20"/>
                <w:szCs w:val="20"/>
                <w:lang w:eastAsia="en-GB"/>
              </w:rPr>
            </w:pPr>
            <w:r w:rsidRPr="00EB2995">
              <w:rPr>
                <w:rFonts w:cs="Calibri"/>
                <w:color w:val="000000"/>
                <w:sz w:val="20"/>
                <w:szCs w:val="20"/>
              </w:rPr>
              <w:t>5.3</w:t>
            </w:r>
          </w:p>
        </w:tc>
        <w:tc>
          <w:tcPr>
            <w:tcW w:w="1120" w:type="dxa"/>
            <w:gridSpan w:val="2"/>
            <w:tcBorders>
              <w:top w:val="nil"/>
              <w:left w:val="nil"/>
              <w:bottom w:val="nil"/>
              <w:right w:val="nil"/>
            </w:tcBorders>
            <w:shd w:val="clear" w:color="000000" w:fill="FFFFFF"/>
            <w:noWrap/>
            <w:vAlign w:val="center"/>
          </w:tcPr>
          <w:p w:rsidR="0003552F" w:rsidRPr="00EB2995" w:rsidRDefault="0003552F" w:rsidP="0003552F">
            <w:pPr>
              <w:jc w:val="right"/>
              <w:rPr>
                <w:rFonts w:cs="Calibri"/>
                <w:color w:val="000000"/>
                <w:sz w:val="20"/>
                <w:szCs w:val="20"/>
                <w:lang w:eastAsia="en-GB"/>
              </w:rPr>
            </w:pPr>
            <w:r w:rsidRPr="00EB2995">
              <w:rPr>
                <w:rFonts w:cs="Calibri"/>
                <w:color w:val="000000"/>
                <w:sz w:val="20"/>
                <w:szCs w:val="20"/>
              </w:rPr>
              <w:t>(31.2)</w:t>
            </w:r>
          </w:p>
        </w:tc>
        <w:tc>
          <w:tcPr>
            <w:tcW w:w="960" w:type="dxa"/>
            <w:gridSpan w:val="2"/>
            <w:tcBorders>
              <w:top w:val="nil"/>
              <w:left w:val="nil"/>
              <w:bottom w:val="nil"/>
              <w:right w:val="nil"/>
            </w:tcBorders>
            <w:shd w:val="clear" w:color="000000" w:fill="FFFFFF"/>
            <w:noWrap/>
            <w:vAlign w:val="center"/>
          </w:tcPr>
          <w:p w:rsidR="0003552F" w:rsidRPr="00EB2995" w:rsidRDefault="0003552F" w:rsidP="0003552F">
            <w:pPr>
              <w:jc w:val="right"/>
              <w:rPr>
                <w:rFonts w:cs="Calibri"/>
                <w:color w:val="000000"/>
                <w:sz w:val="20"/>
                <w:szCs w:val="20"/>
                <w:lang w:eastAsia="en-GB"/>
              </w:rPr>
            </w:pPr>
            <w:r w:rsidRPr="00EB2995">
              <w:rPr>
                <w:rFonts w:cs="Calibri"/>
                <w:color w:val="000000"/>
                <w:sz w:val="20"/>
                <w:szCs w:val="20"/>
              </w:rPr>
              <w:t>0.0</w:t>
            </w:r>
          </w:p>
        </w:tc>
        <w:tc>
          <w:tcPr>
            <w:tcW w:w="1120" w:type="dxa"/>
            <w:gridSpan w:val="2"/>
            <w:tcBorders>
              <w:top w:val="nil"/>
              <w:left w:val="nil"/>
              <w:bottom w:val="nil"/>
              <w:right w:val="nil"/>
            </w:tcBorders>
            <w:shd w:val="clear" w:color="000000" w:fill="FFFFFF"/>
            <w:noWrap/>
            <w:vAlign w:val="center"/>
          </w:tcPr>
          <w:p w:rsidR="0003552F" w:rsidRPr="00EB2995" w:rsidRDefault="0003552F" w:rsidP="0003552F">
            <w:pPr>
              <w:jc w:val="right"/>
              <w:rPr>
                <w:rFonts w:cs="Calibri"/>
                <w:color w:val="000000"/>
                <w:sz w:val="20"/>
                <w:szCs w:val="20"/>
                <w:lang w:eastAsia="en-GB"/>
              </w:rPr>
            </w:pPr>
            <w:r w:rsidRPr="00EB2995">
              <w:rPr>
                <w:rFonts w:cs="Calibri"/>
                <w:color w:val="000000"/>
                <w:sz w:val="20"/>
                <w:szCs w:val="20"/>
              </w:rPr>
              <w:t>0.0</w:t>
            </w:r>
          </w:p>
        </w:tc>
        <w:tc>
          <w:tcPr>
            <w:tcW w:w="960" w:type="dxa"/>
            <w:gridSpan w:val="2"/>
            <w:tcBorders>
              <w:top w:val="nil"/>
              <w:left w:val="nil"/>
              <w:bottom w:val="nil"/>
              <w:right w:val="nil"/>
            </w:tcBorders>
            <w:shd w:val="clear" w:color="000000" w:fill="FFFFFF"/>
            <w:noWrap/>
            <w:vAlign w:val="center"/>
          </w:tcPr>
          <w:p w:rsidR="0003552F" w:rsidRPr="00EB2995" w:rsidRDefault="0003552F" w:rsidP="0003552F">
            <w:pPr>
              <w:jc w:val="right"/>
              <w:rPr>
                <w:rFonts w:cs="Calibri"/>
                <w:color w:val="000000"/>
                <w:sz w:val="20"/>
                <w:szCs w:val="20"/>
                <w:lang w:eastAsia="en-GB"/>
              </w:rPr>
            </w:pPr>
            <w:r w:rsidRPr="00EB2995">
              <w:rPr>
                <w:rFonts w:cs="Calibri"/>
                <w:color w:val="000000"/>
                <w:sz w:val="20"/>
                <w:szCs w:val="20"/>
              </w:rPr>
              <w:t>0.0</w:t>
            </w:r>
          </w:p>
        </w:tc>
        <w:tc>
          <w:tcPr>
            <w:tcW w:w="960" w:type="dxa"/>
            <w:gridSpan w:val="2"/>
            <w:tcBorders>
              <w:top w:val="nil"/>
              <w:left w:val="nil"/>
              <w:bottom w:val="nil"/>
              <w:right w:val="nil"/>
            </w:tcBorders>
            <w:shd w:val="clear" w:color="000000" w:fill="FFFFFF"/>
            <w:noWrap/>
            <w:vAlign w:val="center"/>
          </w:tcPr>
          <w:p w:rsidR="0003552F" w:rsidRPr="00EB2995" w:rsidRDefault="0003552F" w:rsidP="0003552F">
            <w:pPr>
              <w:jc w:val="right"/>
              <w:rPr>
                <w:rFonts w:cs="Calibri"/>
                <w:color w:val="000000"/>
                <w:sz w:val="20"/>
                <w:szCs w:val="20"/>
                <w:lang w:eastAsia="en-GB"/>
              </w:rPr>
            </w:pPr>
            <w:r w:rsidRPr="00EB2995">
              <w:rPr>
                <w:rFonts w:cs="Calibri"/>
                <w:color w:val="000000"/>
                <w:sz w:val="20"/>
                <w:szCs w:val="20"/>
              </w:rPr>
              <w:t>0.0</w:t>
            </w:r>
          </w:p>
        </w:tc>
        <w:tc>
          <w:tcPr>
            <w:tcW w:w="1074" w:type="dxa"/>
            <w:gridSpan w:val="2"/>
            <w:tcBorders>
              <w:top w:val="nil"/>
              <w:left w:val="nil"/>
              <w:bottom w:val="nil"/>
              <w:right w:val="nil"/>
            </w:tcBorders>
            <w:shd w:val="clear" w:color="000000" w:fill="FFFFFF"/>
            <w:noWrap/>
            <w:vAlign w:val="center"/>
          </w:tcPr>
          <w:p w:rsidR="0003552F" w:rsidRPr="00EB2995" w:rsidRDefault="0003552F" w:rsidP="0003552F">
            <w:pPr>
              <w:jc w:val="right"/>
              <w:rPr>
                <w:rFonts w:cs="Calibri"/>
                <w:color w:val="000000"/>
                <w:sz w:val="20"/>
                <w:szCs w:val="20"/>
                <w:lang w:eastAsia="en-GB"/>
              </w:rPr>
            </w:pPr>
            <w:r w:rsidRPr="00EB2995">
              <w:rPr>
                <w:rFonts w:cs="Calibri"/>
                <w:color w:val="000000"/>
                <w:sz w:val="20"/>
                <w:szCs w:val="20"/>
              </w:rPr>
              <w:t>0.0</w:t>
            </w:r>
          </w:p>
        </w:tc>
        <w:tc>
          <w:tcPr>
            <w:tcW w:w="960" w:type="dxa"/>
            <w:tcBorders>
              <w:top w:val="nil"/>
              <w:left w:val="nil"/>
              <w:bottom w:val="nil"/>
              <w:right w:val="nil"/>
            </w:tcBorders>
            <w:shd w:val="clear" w:color="000000" w:fill="FFFFFF"/>
            <w:noWrap/>
            <w:vAlign w:val="center"/>
          </w:tcPr>
          <w:p w:rsidR="0003552F" w:rsidRPr="00EB2995" w:rsidRDefault="0003552F" w:rsidP="0003552F">
            <w:pPr>
              <w:jc w:val="right"/>
              <w:rPr>
                <w:rFonts w:cs="Calibri"/>
                <w:bCs/>
                <w:color w:val="000000"/>
                <w:sz w:val="20"/>
                <w:szCs w:val="20"/>
                <w:lang w:eastAsia="en-GB"/>
              </w:rPr>
            </w:pPr>
            <w:r w:rsidRPr="00EB2995">
              <w:rPr>
                <w:rFonts w:cs="Calibri"/>
                <w:bCs/>
                <w:color w:val="000000"/>
                <w:sz w:val="20"/>
                <w:szCs w:val="20"/>
              </w:rPr>
              <w:t>(0.0)</w:t>
            </w:r>
          </w:p>
        </w:tc>
        <w:tc>
          <w:tcPr>
            <w:tcW w:w="997" w:type="dxa"/>
            <w:gridSpan w:val="2"/>
            <w:tcBorders>
              <w:top w:val="nil"/>
              <w:left w:val="nil"/>
              <w:bottom w:val="nil"/>
              <w:right w:val="nil"/>
            </w:tcBorders>
            <w:shd w:val="clear" w:color="000000" w:fill="FFFFFF"/>
            <w:noWrap/>
            <w:vAlign w:val="center"/>
          </w:tcPr>
          <w:p w:rsidR="0003552F" w:rsidRPr="00EB2995" w:rsidRDefault="0003552F" w:rsidP="0003552F">
            <w:pPr>
              <w:jc w:val="right"/>
              <w:rPr>
                <w:rFonts w:cs="Calibri"/>
                <w:bCs/>
                <w:color w:val="000000"/>
                <w:sz w:val="20"/>
                <w:szCs w:val="20"/>
                <w:lang w:eastAsia="en-GB"/>
              </w:rPr>
            </w:pPr>
            <w:r w:rsidRPr="00EB2995">
              <w:rPr>
                <w:rFonts w:cs="Calibri"/>
                <w:bCs/>
                <w:color w:val="000000"/>
                <w:sz w:val="20"/>
                <w:szCs w:val="20"/>
              </w:rPr>
              <w:t>0.0</w:t>
            </w:r>
          </w:p>
        </w:tc>
        <w:tc>
          <w:tcPr>
            <w:tcW w:w="1135" w:type="dxa"/>
            <w:gridSpan w:val="2"/>
            <w:tcBorders>
              <w:top w:val="nil"/>
              <w:left w:val="nil"/>
              <w:bottom w:val="nil"/>
              <w:right w:val="single" w:sz="8" w:space="0" w:color="auto"/>
            </w:tcBorders>
            <w:shd w:val="clear" w:color="000000" w:fill="FFFFFF"/>
            <w:noWrap/>
            <w:vAlign w:val="center"/>
          </w:tcPr>
          <w:p w:rsidR="0003552F" w:rsidRPr="00EB2995" w:rsidRDefault="0003552F" w:rsidP="0003552F">
            <w:pPr>
              <w:jc w:val="right"/>
              <w:rPr>
                <w:rFonts w:cs="Calibri"/>
                <w:bCs/>
                <w:color w:val="000000"/>
                <w:sz w:val="20"/>
                <w:szCs w:val="20"/>
                <w:lang w:eastAsia="en-GB"/>
              </w:rPr>
            </w:pPr>
            <w:r w:rsidRPr="00EB2995">
              <w:rPr>
                <w:rFonts w:cs="Calibri"/>
                <w:bCs/>
                <w:color w:val="000000"/>
                <w:sz w:val="20"/>
                <w:szCs w:val="20"/>
              </w:rPr>
              <w:t>(0.0)</w:t>
            </w:r>
          </w:p>
        </w:tc>
      </w:tr>
      <w:tr w:rsidR="0003552F" w:rsidRPr="00EB2995" w:rsidTr="0003552F">
        <w:trPr>
          <w:trHeight w:val="360"/>
        </w:trPr>
        <w:tc>
          <w:tcPr>
            <w:tcW w:w="3081" w:type="dxa"/>
            <w:gridSpan w:val="3"/>
            <w:tcBorders>
              <w:top w:val="nil"/>
              <w:left w:val="nil"/>
              <w:bottom w:val="nil"/>
              <w:right w:val="single" w:sz="8" w:space="0" w:color="000000"/>
            </w:tcBorders>
            <w:shd w:val="clear" w:color="000000" w:fill="FFFFFF"/>
            <w:vAlign w:val="center"/>
          </w:tcPr>
          <w:p w:rsidR="0003552F" w:rsidRPr="00EB2995" w:rsidRDefault="0003552F" w:rsidP="0003552F">
            <w:pPr>
              <w:rPr>
                <w:rFonts w:cs="Calibri"/>
                <w:b/>
                <w:bCs/>
                <w:color w:val="000000"/>
                <w:sz w:val="20"/>
                <w:szCs w:val="20"/>
                <w:lang w:eastAsia="en-GB"/>
              </w:rPr>
            </w:pPr>
            <w:r w:rsidRPr="00EB2995">
              <w:rPr>
                <w:rFonts w:cs="Calibri"/>
                <w:b/>
                <w:bCs/>
                <w:color w:val="000000"/>
                <w:sz w:val="20"/>
                <w:szCs w:val="20"/>
                <w:lang w:eastAsia="en-GB"/>
              </w:rPr>
              <w:t>(Increase)/decrease in 2018/19</w:t>
            </w:r>
          </w:p>
        </w:tc>
        <w:tc>
          <w:tcPr>
            <w:tcW w:w="960" w:type="dxa"/>
            <w:tcBorders>
              <w:top w:val="single" w:sz="8" w:space="0" w:color="auto"/>
              <w:left w:val="nil"/>
              <w:bottom w:val="nil"/>
              <w:right w:val="nil"/>
            </w:tcBorders>
            <w:shd w:val="clear" w:color="000000" w:fill="FFFFFF"/>
            <w:noWrap/>
            <w:vAlign w:val="center"/>
          </w:tcPr>
          <w:p w:rsidR="0003552F" w:rsidRPr="00EB2995" w:rsidRDefault="0003552F" w:rsidP="0003552F">
            <w:pPr>
              <w:jc w:val="right"/>
              <w:rPr>
                <w:rFonts w:cs="Calibri"/>
                <w:b/>
                <w:bCs/>
                <w:color w:val="000000"/>
                <w:sz w:val="20"/>
                <w:szCs w:val="20"/>
                <w:lang w:eastAsia="en-GB"/>
              </w:rPr>
            </w:pPr>
            <w:r w:rsidRPr="00EB2995">
              <w:rPr>
                <w:rFonts w:cs="Calibri"/>
                <w:b/>
                <w:bCs/>
                <w:color w:val="000000"/>
                <w:sz w:val="20"/>
                <w:szCs w:val="20"/>
              </w:rPr>
              <w:t>(2.8)</w:t>
            </w:r>
          </w:p>
        </w:tc>
        <w:tc>
          <w:tcPr>
            <w:tcW w:w="1024" w:type="dxa"/>
            <w:gridSpan w:val="3"/>
            <w:tcBorders>
              <w:top w:val="single" w:sz="8" w:space="0" w:color="auto"/>
              <w:left w:val="nil"/>
              <w:bottom w:val="nil"/>
              <w:right w:val="nil"/>
            </w:tcBorders>
            <w:shd w:val="clear" w:color="000000" w:fill="FFFFFF"/>
            <w:noWrap/>
            <w:vAlign w:val="center"/>
          </w:tcPr>
          <w:p w:rsidR="0003552F" w:rsidRPr="00EB2995" w:rsidRDefault="0003552F" w:rsidP="0003552F">
            <w:pPr>
              <w:jc w:val="right"/>
              <w:rPr>
                <w:rFonts w:cs="Calibri"/>
                <w:b/>
                <w:bCs/>
                <w:color w:val="000000"/>
                <w:sz w:val="20"/>
                <w:szCs w:val="20"/>
                <w:lang w:eastAsia="en-GB"/>
              </w:rPr>
            </w:pPr>
            <w:r w:rsidRPr="00EB2995">
              <w:rPr>
                <w:rFonts w:cs="Calibri"/>
                <w:b/>
                <w:bCs/>
                <w:color w:val="000000"/>
                <w:sz w:val="20"/>
                <w:szCs w:val="20"/>
              </w:rPr>
              <w:t>5.3</w:t>
            </w:r>
          </w:p>
        </w:tc>
        <w:tc>
          <w:tcPr>
            <w:tcW w:w="1120" w:type="dxa"/>
            <w:gridSpan w:val="2"/>
            <w:tcBorders>
              <w:top w:val="single" w:sz="8" w:space="0" w:color="auto"/>
              <w:left w:val="nil"/>
              <w:bottom w:val="nil"/>
              <w:right w:val="nil"/>
            </w:tcBorders>
            <w:shd w:val="clear" w:color="000000" w:fill="FFFFFF"/>
            <w:noWrap/>
            <w:vAlign w:val="center"/>
          </w:tcPr>
          <w:p w:rsidR="0003552F" w:rsidRPr="00EB2995" w:rsidRDefault="0003552F" w:rsidP="0003552F">
            <w:pPr>
              <w:jc w:val="right"/>
              <w:rPr>
                <w:rFonts w:cs="Calibri"/>
                <w:b/>
                <w:bCs/>
                <w:color w:val="000000"/>
                <w:sz w:val="20"/>
                <w:szCs w:val="20"/>
                <w:lang w:eastAsia="en-GB"/>
              </w:rPr>
            </w:pPr>
            <w:r w:rsidRPr="00EB2995">
              <w:rPr>
                <w:rFonts w:cs="Calibri"/>
                <w:b/>
                <w:bCs/>
                <w:color w:val="000000"/>
                <w:sz w:val="20"/>
                <w:szCs w:val="20"/>
              </w:rPr>
              <w:t>(31.2)</w:t>
            </w:r>
          </w:p>
        </w:tc>
        <w:tc>
          <w:tcPr>
            <w:tcW w:w="960" w:type="dxa"/>
            <w:gridSpan w:val="2"/>
            <w:tcBorders>
              <w:top w:val="single" w:sz="8" w:space="0" w:color="auto"/>
              <w:left w:val="nil"/>
              <w:bottom w:val="nil"/>
              <w:right w:val="nil"/>
            </w:tcBorders>
            <w:shd w:val="clear" w:color="000000" w:fill="FFFFFF"/>
            <w:noWrap/>
            <w:vAlign w:val="center"/>
          </w:tcPr>
          <w:p w:rsidR="0003552F" w:rsidRPr="00EB2995" w:rsidRDefault="0003552F" w:rsidP="0003552F">
            <w:pPr>
              <w:jc w:val="right"/>
              <w:rPr>
                <w:rFonts w:cs="Calibri"/>
                <w:b/>
                <w:bCs/>
                <w:color w:val="000000"/>
                <w:sz w:val="20"/>
                <w:szCs w:val="20"/>
                <w:lang w:eastAsia="en-GB"/>
              </w:rPr>
            </w:pPr>
            <w:r w:rsidRPr="00EB2995">
              <w:rPr>
                <w:rFonts w:cs="Calibri"/>
                <w:b/>
                <w:bCs/>
                <w:color w:val="000000"/>
                <w:sz w:val="20"/>
                <w:szCs w:val="20"/>
              </w:rPr>
              <w:t>2.3</w:t>
            </w:r>
          </w:p>
        </w:tc>
        <w:tc>
          <w:tcPr>
            <w:tcW w:w="1120" w:type="dxa"/>
            <w:gridSpan w:val="2"/>
            <w:tcBorders>
              <w:top w:val="single" w:sz="8" w:space="0" w:color="auto"/>
              <w:left w:val="nil"/>
              <w:bottom w:val="nil"/>
              <w:right w:val="nil"/>
            </w:tcBorders>
            <w:shd w:val="clear" w:color="000000" w:fill="FFFFFF"/>
            <w:noWrap/>
            <w:vAlign w:val="center"/>
          </w:tcPr>
          <w:p w:rsidR="0003552F" w:rsidRPr="00EB2995" w:rsidRDefault="0003552F" w:rsidP="0003552F">
            <w:pPr>
              <w:jc w:val="right"/>
              <w:rPr>
                <w:rFonts w:cs="Calibri"/>
                <w:b/>
                <w:bCs/>
                <w:color w:val="000000"/>
                <w:sz w:val="20"/>
                <w:szCs w:val="20"/>
                <w:lang w:eastAsia="en-GB"/>
              </w:rPr>
            </w:pPr>
            <w:r w:rsidRPr="00EB2995">
              <w:rPr>
                <w:rFonts w:cs="Calibri"/>
                <w:b/>
                <w:bCs/>
                <w:color w:val="000000"/>
                <w:sz w:val="20"/>
                <w:szCs w:val="20"/>
              </w:rPr>
              <w:t>0.0</w:t>
            </w:r>
          </w:p>
        </w:tc>
        <w:tc>
          <w:tcPr>
            <w:tcW w:w="960" w:type="dxa"/>
            <w:gridSpan w:val="2"/>
            <w:tcBorders>
              <w:top w:val="single" w:sz="8" w:space="0" w:color="auto"/>
              <w:left w:val="nil"/>
              <w:bottom w:val="nil"/>
              <w:right w:val="nil"/>
            </w:tcBorders>
            <w:shd w:val="clear" w:color="000000" w:fill="FFFFFF"/>
            <w:noWrap/>
            <w:vAlign w:val="center"/>
          </w:tcPr>
          <w:p w:rsidR="0003552F" w:rsidRPr="00EB2995" w:rsidRDefault="0003552F" w:rsidP="0003552F">
            <w:pPr>
              <w:jc w:val="right"/>
              <w:rPr>
                <w:rFonts w:cs="Calibri"/>
                <w:b/>
                <w:bCs/>
                <w:color w:val="000000"/>
                <w:sz w:val="20"/>
                <w:szCs w:val="20"/>
                <w:lang w:eastAsia="en-GB"/>
              </w:rPr>
            </w:pPr>
            <w:r w:rsidRPr="00EB2995">
              <w:rPr>
                <w:rFonts w:cs="Calibri"/>
                <w:b/>
                <w:bCs/>
                <w:color w:val="000000"/>
                <w:sz w:val="20"/>
                <w:szCs w:val="20"/>
              </w:rPr>
              <w:t>13.0</w:t>
            </w:r>
          </w:p>
        </w:tc>
        <w:tc>
          <w:tcPr>
            <w:tcW w:w="960" w:type="dxa"/>
            <w:gridSpan w:val="2"/>
            <w:tcBorders>
              <w:top w:val="single" w:sz="8" w:space="0" w:color="auto"/>
              <w:left w:val="nil"/>
              <w:bottom w:val="nil"/>
              <w:right w:val="nil"/>
            </w:tcBorders>
            <w:shd w:val="clear" w:color="000000" w:fill="FFFFFF"/>
            <w:noWrap/>
            <w:vAlign w:val="center"/>
          </w:tcPr>
          <w:p w:rsidR="0003552F" w:rsidRPr="00EB2995" w:rsidRDefault="0003552F" w:rsidP="0003552F">
            <w:pPr>
              <w:jc w:val="right"/>
              <w:rPr>
                <w:rFonts w:cs="Calibri"/>
                <w:b/>
                <w:bCs/>
                <w:color w:val="000000"/>
                <w:sz w:val="20"/>
                <w:szCs w:val="20"/>
                <w:lang w:eastAsia="en-GB"/>
              </w:rPr>
            </w:pPr>
            <w:r w:rsidRPr="00EB2995">
              <w:rPr>
                <w:rFonts w:cs="Calibri"/>
                <w:b/>
                <w:bCs/>
                <w:color w:val="000000"/>
                <w:sz w:val="20"/>
                <w:szCs w:val="20"/>
              </w:rPr>
              <w:t>0.0</w:t>
            </w:r>
          </w:p>
        </w:tc>
        <w:tc>
          <w:tcPr>
            <w:tcW w:w="1074" w:type="dxa"/>
            <w:gridSpan w:val="2"/>
            <w:tcBorders>
              <w:top w:val="single" w:sz="8" w:space="0" w:color="auto"/>
              <w:left w:val="nil"/>
              <w:bottom w:val="nil"/>
              <w:right w:val="nil"/>
            </w:tcBorders>
            <w:shd w:val="clear" w:color="000000" w:fill="FFFFFF"/>
            <w:noWrap/>
            <w:vAlign w:val="center"/>
          </w:tcPr>
          <w:p w:rsidR="0003552F" w:rsidRPr="00EB2995" w:rsidRDefault="0003552F" w:rsidP="0003552F">
            <w:pPr>
              <w:jc w:val="right"/>
              <w:rPr>
                <w:rFonts w:cs="Calibri"/>
                <w:b/>
                <w:bCs/>
                <w:color w:val="000000"/>
                <w:sz w:val="20"/>
                <w:szCs w:val="20"/>
                <w:lang w:eastAsia="en-GB"/>
              </w:rPr>
            </w:pPr>
            <w:r w:rsidRPr="00EB2995">
              <w:rPr>
                <w:rFonts w:cs="Calibri"/>
                <w:b/>
                <w:bCs/>
                <w:color w:val="000000"/>
                <w:sz w:val="20"/>
                <w:szCs w:val="20"/>
              </w:rPr>
              <w:t>10.1</w:t>
            </w:r>
          </w:p>
        </w:tc>
        <w:tc>
          <w:tcPr>
            <w:tcW w:w="960" w:type="dxa"/>
            <w:tcBorders>
              <w:top w:val="single" w:sz="8" w:space="0" w:color="auto"/>
              <w:left w:val="nil"/>
              <w:bottom w:val="nil"/>
              <w:right w:val="nil"/>
            </w:tcBorders>
            <w:shd w:val="clear" w:color="000000" w:fill="FFFFFF"/>
            <w:noWrap/>
            <w:vAlign w:val="center"/>
          </w:tcPr>
          <w:p w:rsidR="0003552F" w:rsidRPr="00EB2995" w:rsidRDefault="0003552F" w:rsidP="0003552F">
            <w:pPr>
              <w:jc w:val="right"/>
              <w:rPr>
                <w:rFonts w:cs="Calibri"/>
                <w:b/>
                <w:bCs/>
                <w:color w:val="000000"/>
                <w:sz w:val="20"/>
                <w:szCs w:val="20"/>
                <w:lang w:eastAsia="en-GB"/>
              </w:rPr>
            </w:pPr>
            <w:r w:rsidRPr="00EB2995">
              <w:rPr>
                <w:rFonts w:cs="Calibri"/>
                <w:b/>
                <w:bCs/>
                <w:color w:val="000000"/>
                <w:sz w:val="20"/>
                <w:szCs w:val="20"/>
              </w:rPr>
              <w:t>(3.3)</w:t>
            </w:r>
          </w:p>
        </w:tc>
        <w:tc>
          <w:tcPr>
            <w:tcW w:w="997" w:type="dxa"/>
            <w:gridSpan w:val="2"/>
            <w:tcBorders>
              <w:top w:val="single" w:sz="8" w:space="0" w:color="auto"/>
              <w:left w:val="nil"/>
              <w:bottom w:val="nil"/>
              <w:right w:val="nil"/>
            </w:tcBorders>
            <w:shd w:val="clear" w:color="000000" w:fill="FFFFFF"/>
            <w:noWrap/>
            <w:vAlign w:val="center"/>
          </w:tcPr>
          <w:p w:rsidR="0003552F" w:rsidRPr="00EB2995" w:rsidRDefault="0003552F" w:rsidP="0003552F">
            <w:pPr>
              <w:jc w:val="right"/>
              <w:rPr>
                <w:rFonts w:cs="Calibri"/>
                <w:b/>
                <w:bCs/>
                <w:color w:val="000000"/>
                <w:sz w:val="20"/>
                <w:szCs w:val="20"/>
                <w:lang w:eastAsia="en-GB"/>
              </w:rPr>
            </w:pPr>
            <w:r w:rsidRPr="00EB2995">
              <w:rPr>
                <w:rFonts w:cs="Calibri"/>
                <w:b/>
                <w:bCs/>
                <w:color w:val="000000"/>
                <w:sz w:val="20"/>
                <w:szCs w:val="20"/>
              </w:rPr>
              <w:t>15.3</w:t>
            </w:r>
          </w:p>
        </w:tc>
        <w:tc>
          <w:tcPr>
            <w:tcW w:w="1135" w:type="dxa"/>
            <w:gridSpan w:val="2"/>
            <w:tcBorders>
              <w:top w:val="single" w:sz="8" w:space="0" w:color="auto"/>
              <w:left w:val="nil"/>
              <w:bottom w:val="nil"/>
              <w:right w:val="single" w:sz="8" w:space="0" w:color="auto"/>
            </w:tcBorders>
            <w:shd w:val="clear" w:color="000000" w:fill="FFFFFF"/>
            <w:noWrap/>
            <w:vAlign w:val="center"/>
          </w:tcPr>
          <w:p w:rsidR="0003552F" w:rsidRPr="00EB2995" w:rsidRDefault="0003552F" w:rsidP="0003552F">
            <w:pPr>
              <w:jc w:val="right"/>
              <w:rPr>
                <w:rFonts w:cs="Calibri"/>
                <w:b/>
                <w:bCs/>
                <w:color w:val="000000"/>
                <w:sz w:val="20"/>
                <w:szCs w:val="20"/>
                <w:lang w:eastAsia="en-GB"/>
              </w:rPr>
            </w:pPr>
            <w:r w:rsidRPr="00EB2995">
              <w:rPr>
                <w:rFonts w:cs="Calibri"/>
                <w:b/>
                <w:bCs/>
                <w:color w:val="000000"/>
                <w:sz w:val="20"/>
                <w:szCs w:val="20"/>
              </w:rPr>
              <w:t>11</w:t>
            </w:r>
          </w:p>
        </w:tc>
      </w:tr>
      <w:tr w:rsidR="0003552F" w:rsidRPr="00EB2995" w:rsidTr="0003552F">
        <w:trPr>
          <w:trHeight w:val="315"/>
        </w:trPr>
        <w:tc>
          <w:tcPr>
            <w:tcW w:w="3081" w:type="dxa"/>
            <w:gridSpan w:val="3"/>
            <w:tcBorders>
              <w:top w:val="nil"/>
              <w:left w:val="nil"/>
              <w:bottom w:val="nil"/>
              <w:right w:val="single" w:sz="8" w:space="0" w:color="000000"/>
            </w:tcBorders>
            <w:shd w:val="clear" w:color="000000" w:fill="FFFFFF"/>
            <w:vAlign w:val="center"/>
          </w:tcPr>
          <w:p w:rsidR="0003552F" w:rsidRPr="00EB2995" w:rsidRDefault="0003552F" w:rsidP="0003552F">
            <w:pPr>
              <w:rPr>
                <w:rFonts w:cs="Calibri"/>
                <w:b/>
                <w:bCs/>
                <w:color w:val="000000"/>
                <w:sz w:val="20"/>
                <w:szCs w:val="20"/>
                <w:lang w:eastAsia="en-GB"/>
              </w:rPr>
            </w:pPr>
            <w:r w:rsidRPr="00EB2995">
              <w:rPr>
                <w:rFonts w:cs="Calibri"/>
                <w:b/>
                <w:bCs/>
                <w:color w:val="000000"/>
                <w:sz w:val="20"/>
                <w:szCs w:val="20"/>
                <w:lang w:eastAsia="en-GB"/>
              </w:rPr>
              <w:t>Balance as at 31 March 2019</w:t>
            </w:r>
          </w:p>
        </w:tc>
        <w:tc>
          <w:tcPr>
            <w:tcW w:w="960" w:type="dxa"/>
            <w:tcBorders>
              <w:top w:val="single" w:sz="8" w:space="0" w:color="auto"/>
              <w:left w:val="nil"/>
              <w:bottom w:val="double" w:sz="6" w:space="0" w:color="auto"/>
              <w:right w:val="nil"/>
            </w:tcBorders>
            <w:shd w:val="clear" w:color="000000" w:fill="FFFFFF"/>
            <w:noWrap/>
            <w:vAlign w:val="center"/>
          </w:tcPr>
          <w:p w:rsidR="0003552F" w:rsidRPr="00EB2995" w:rsidRDefault="0003552F" w:rsidP="0003552F">
            <w:pPr>
              <w:jc w:val="right"/>
              <w:rPr>
                <w:rFonts w:cs="Calibri"/>
                <w:b/>
                <w:bCs/>
                <w:color w:val="000000"/>
                <w:sz w:val="20"/>
                <w:szCs w:val="20"/>
                <w:lang w:eastAsia="en-GB"/>
              </w:rPr>
            </w:pPr>
            <w:r w:rsidRPr="00EB2995">
              <w:rPr>
                <w:rFonts w:cs="Calibri"/>
                <w:b/>
                <w:bCs/>
                <w:color w:val="000000"/>
                <w:sz w:val="20"/>
                <w:szCs w:val="20"/>
              </w:rPr>
              <w:t>(15.1)</w:t>
            </w:r>
          </w:p>
        </w:tc>
        <w:tc>
          <w:tcPr>
            <w:tcW w:w="1024" w:type="dxa"/>
            <w:gridSpan w:val="3"/>
            <w:tcBorders>
              <w:top w:val="single" w:sz="8" w:space="0" w:color="auto"/>
              <w:left w:val="nil"/>
              <w:bottom w:val="double" w:sz="6" w:space="0" w:color="auto"/>
              <w:right w:val="nil"/>
            </w:tcBorders>
            <w:shd w:val="clear" w:color="000000" w:fill="FFFFFF"/>
            <w:noWrap/>
            <w:vAlign w:val="center"/>
          </w:tcPr>
          <w:p w:rsidR="0003552F" w:rsidRPr="00EB2995" w:rsidRDefault="0003552F" w:rsidP="0003552F">
            <w:pPr>
              <w:jc w:val="right"/>
              <w:rPr>
                <w:rFonts w:cs="Calibri"/>
                <w:b/>
                <w:bCs/>
                <w:color w:val="000000"/>
                <w:sz w:val="20"/>
                <w:szCs w:val="20"/>
                <w:lang w:eastAsia="en-GB"/>
              </w:rPr>
            </w:pPr>
            <w:r w:rsidRPr="00EB2995">
              <w:rPr>
                <w:rFonts w:cs="Calibri"/>
                <w:b/>
                <w:bCs/>
                <w:color w:val="000000"/>
                <w:sz w:val="20"/>
                <w:szCs w:val="20"/>
              </w:rPr>
              <w:t>(18.6)</w:t>
            </w:r>
          </w:p>
        </w:tc>
        <w:tc>
          <w:tcPr>
            <w:tcW w:w="1120" w:type="dxa"/>
            <w:gridSpan w:val="2"/>
            <w:tcBorders>
              <w:top w:val="single" w:sz="8" w:space="0" w:color="auto"/>
              <w:left w:val="nil"/>
              <w:bottom w:val="double" w:sz="6" w:space="0" w:color="auto"/>
              <w:right w:val="nil"/>
            </w:tcBorders>
            <w:shd w:val="clear" w:color="000000" w:fill="FFFFFF"/>
            <w:noWrap/>
            <w:vAlign w:val="center"/>
          </w:tcPr>
          <w:p w:rsidR="0003552F" w:rsidRPr="00EB2995" w:rsidRDefault="0003552F" w:rsidP="0003552F">
            <w:pPr>
              <w:jc w:val="right"/>
              <w:rPr>
                <w:rFonts w:cs="Calibri"/>
                <w:b/>
                <w:bCs/>
                <w:color w:val="000000"/>
                <w:sz w:val="20"/>
                <w:szCs w:val="20"/>
                <w:lang w:eastAsia="en-GB"/>
              </w:rPr>
            </w:pPr>
            <w:r w:rsidRPr="00EB2995">
              <w:rPr>
                <w:rFonts w:cs="Calibri"/>
                <w:b/>
                <w:bCs/>
                <w:color w:val="000000"/>
                <w:sz w:val="20"/>
                <w:szCs w:val="20"/>
              </w:rPr>
              <w:t>(233.8)</w:t>
            </w:r>
          </w:p>
        </w:tc>
        <w:tc>
          <w:tcPr>
            <w:tcW w:w="960" w:type="dxa"/>
            <w:gridSpan w:val="2"/>
            <w:tcBorders>
              <w:top w:val="single" w:sz="8" w:space="0" w:color="auto"/>
              <w:left w:val="nil"/>
              <w:bottom w:val="double" w:sz="6" w:space="0" w:color="auto"/>
              <w:right w:val="nil"/>
            </w:tcBorders>
            <w:shd w:val="clear" w:color="000000" w:fill="FFFFFF"/>
            <w:noWrap/>
            <w:vAlign w:val="center"/>
          </w:tcPr>
          <w:p w:rsidR="0003552F" w:rsidRPr="00EB2995" w:rsidRDefault="0003552F" w:rsidP="0003552F">
            <w:pPr>
              <w:jc w:val="right"/>
              <w:rPr>
                <w:rFonts w:cs="Calibri"/>
                <w:b/>
                <w:bCs/>
                <w:color w:val="000000"/>
                <w:sz w:val="20"/>
                <w:szCs w:val="20"/>
                <w:lang w:eastAsia="en-GB"/>
              </w:rPr>
            </w:pPr>
            <w:r w:rsidRPr="00EB2995">
              <w:rPr>
                <w:rFonts w:cs="Calibri"/>
                <w:b/>
                <w:bCs/>
                <w:color w:val="000000"/>
                <w:sz w:val="20"/>
                <w:szCs w:val="20"/>
              </w:rPr>
              <w:t>(1.4)</w:t>
            </w:r>
          </w:p>
        </w:tc>
        <w:tc>
          <w:tcPr>
            <w:tcW w:w="1120" w:type="dxa"/>
            <w:gridSpan w:val="2"/>
            <w:tcBorders>
              <w:top w:val="single" w:sz="8" w:space="0" w:color="auto"/>
              <w:left w:val="nil"/>
              <w:bottom w:val="double" w:sz="6" w:space="0" w:color="auto"/>
              <w:right w:val="nil"/>
            </w:tcBorders>
            <w:shd w:val="clear" w:color="000000" w:fill="FFFFFF"/>
            <w:noWrap/>
            <w:vAlign w:val="center"/>
          </w:tcPr>
          <w:p w:rsidR="0003552F" w:rsidRPr="00EB2995" w:rsidRDefault="0003552F" w:rsidP="0003552F">
            <w:pPr>
              <w:jc w:val="right"/>
              <w:rPr>
                <w:rFonts w:cs="Calibri"/>
                <w:b/>
                <w:bCs/>
                <w:color w:val="000000"/>
                <w:sz w:val="20"/>
                <w:szCs w:val="20"/>
                <w:lang w:eastAsia="en-GB"/>
              </w:rPr>
            </w:pPr>
            <w:r w:rsidRPr="00EB2995">
              <w:rPr>
                <w:rFonts w:cs="Calibri"/>
                <w:b/>
                <w:bCs/>
                <w:color w:val="000000"/>
                <w:sz w:val="20"/>
                <w:szCs w:val="20"/>
              </w:rPr>
              <w:t>(1.7)</w:t>
            </w:r>
          </w:p>
        </w:tc>
        <w:tc>
          <w:tcPr>
            <w:tcW w:w="960" w:type="dxa"/>
            <w:gridSpan w:val="2"/>
            <w:tcBorders>
              <w:top w:val="single" w:sz="8" w:space="0" w:color="auto"/>
              <w:left w:val="nil"/>
              <w:bottom w:val="double" w:sz="6" w:space="0" w:color="auto"/>
              <w:right w:val="nil"/>
            </w:tcBorders>
            <w:shd w:val="clear" w:color="000000" w:fill="FFFFFF"/>
            <w:noWrap/>
            <w:vAlign w:val="center"/>
          </w:tcPr>
          <w:p w:rsidR="0003552F" w:rsidRPr="00EB2995" w:rsidRDefault="0003552F" w:rsidP="0003552F">
            <w:pPr>
              <w:jc w:val="right"/>
              <w:rPr>
                <w:rFonts w:cs="Calibri"/>
                <w:b/>
                <w:bCs/>
                <w:color w:val="000000"/>
                <w:sz w:val="20"/>
                <w:szCs w:val="20"/>
                <w:lang w:eastAsia="en-GB"/>
              </w:rPr>
            </w:pPr>
            <w:r w:rsidRPr="00EB2995">
              <w:rPr>
                <w:rFonts w:cs="Calibri"/>
                <w:b/>
                <w:bCs/>
                <w:color w:val="000000"/>
                <w:sz w:val="20"/>
                <w:szCs w:val="20"/>
              </w:rPr>
              <w:t>(25.4)</w:t>
            </w:r>
          </w:p>
        </w:tc>
        <w:tc>
          <w:tcPr>
            <w:tcW w:w="960" w:type="dxa"/>
            <w:gridSpan w:val="2"/>
            <w:tcBorders>
              <w:top w:val="single" w:sz="8" w:space="0" w:color="auto"/>
              <w:left w:val="nil"/>
              <w:bottom w:val="double" w:sz="6" w:space="0" w:color="auto"/>
              <w:right w:val="nil"/>
            </w:tcBorders>
            <w:shd w:val="clear" w:color="000000" w:fill="FFFFFF"/>
            <w:noWrap/>
            <w:vAlign w:val="center"/>
          </w:tcPr>
          <w:p w:rsidR="0003552F" w:rsidRPr="00EB2995" w:rsidRDefault="0003552F" w:rsidP="0003552F">
            <w:pPr>
              <w:jc w:val="right"/>
              <w:rPr>
                <w:rFonts w:cs="Calibri"/>
                <w:b/>
                <w:bCs/>
                <w:color w:val="000000"/>
                <w:sz w:val="20"/>
                <w:szCs w:val="20"/>
                <w:lang w:eastAsia="en-GB"/>
              </w:rPr>
            </w:pPr>
            <w:r w:rsidRPr="00EB2995">
              <w:rPr>
                <w:rFonts w:cs="Calibri"/>
                <w:b/>
                <w:bCs/>
                <w:color w:val="000000"/>
                <w:sz w:val="20"/>
                <w:szCs w:val="20"/>
              </w:rPr>
              <w:t>0.0</w:t>
            </w:r>
          </w:p>
        </w:tc>
        <w:tc>
          <w:tcPr>
            <w:tcW w:w="1074" w:type="dxa"/>
            <w:gridSpan w:val="2"/>
            <w:tcBorders>
              <w:top w:val="single" w:sz="8" w:space="0" w:color="auto"/>
              <w:left w:val="nil"/>
              <w:bottom w:val="double" w:sz="6" w:space="0" w:color="auto"/>
              <w:right w:val="nil"/>
            </w:tcBorders>
            <w:shd w:val="clear" w:color="000000" w:fill="FFFFFF"/>
            <w:noWrap/>
            <w:vAlign w:val="center"/>
          </w:tcPr>
          <w:p w:rsidR="0003552F" w:rsidRPr="00EB2995" w:rsidRDefault="0003552F" w:rsidP="0003552F">
            <w:pPr>
              <w:jc w:val="right"/>
              <w:rPr>
                <w:rFonts w:cs="Calibri"/>
                <w:b/>
                <w:bCs/>
                <w:color w:val="000000"/>
                <w:sz w:val="20"/>
                <w:szCs w:val="20"/>
                <w:lang w:eastAsia="en-GB"/>
              </w:rPr>
            </w:pPr>
            <w:r w:rsidRPr="00EB2995">
              <w:rPr>
                <w:rFonts w:cs="Calibri"/>
                <w:b/>
                <w:bCs/>
                <w:color w:val="000000"/>
                <w:sz w:val="20"/>
                <w:szCs w:val="20"/>
              </w:rPr>
              <w:t>(72.4)</w:t>
            </w:r>
          </w:p>
        </w:tc>
        <w:tc>
          <w:tcPr>
            <w:tcW w:w="960" w:type="dxa"/>
            <w:tcBorders>
              <w:top w:val="single" w:sz="8" w:space="0" w:color="auto"/>
              <w:left w:val="nil"/>
              <w:bottom w:val="double" w:sz="6" w:space="0" w:color="auto"/>
              <w:right w:val="nil"/>
            </w:tcBorders>
            <w:shd w:val="clear" w:color="000000" w:fill="FFFFFF"/>
            <w:noWrap/>
            <w:vAlign w:val="center"/>
          </w:tcPr>
          <w:p w:rsidR="0003552F" w:rsidRPr="00EB2995" w:rsidRDefault="0003552F" w:rsidP="0003552F">
            <w:pPr>
              <w:jc w:val="right"/>
              <w:rPr>
                <w:rFonts w:cs="Calibri"/>
                <w:b/>
                <w:bCs/>
                <w:color w:val="000000"/>
                <w:sz w:val="20"/>
                <w:szCs w:val="20"/>
                <w:lang w:eastAsia="en-GB"/>
              </w:rPr>
            </w:pPr>
            <w:r w:rsidRPr="00EB2995">
              <w:rPr>
                <w:rFonts w:cs="Calibri"/>
                <w:b/>
                <w:bCs/>
                <w:color w:val="000000"/>
                <w:sz w:val="20"/>
                <w:szCs w:val="20"/>
              </w:rPr>
              <w:t>(368.3)</w:t>
            </w:r>
          </w:p>
        </w:tc>
        <w:tc>
          <w:tcPr>
            <w:tcW w:w="997" w:type="dxa"/>
            <w:gridSpan w:val="2"/>
            <w:tcBorders>
              <w:top w:val="single" w:sz="8" w:space="0" w:color="auto"/>
              <w:left w:val="nil"/>
              <w:bottom w:val="double" w:sz="6" w:space="0" w:color="auto"/>
              <w:right w:val="nil"/>
            </w:tcBorders>
            <w:shd w:val="clear" w:color="000000" w:fill="FFFFFF"/>
            <w:noWrap/>
            <w:vAlign w:val="center"/>
          </w:tcPr>
          <w:p w:rsidR="0003552F" w:rsidRPr="00EB2995" w:rsidRDefault="0003552F" w:rsidP="0003552F">
            <w:pPr>
              <w:jc w:val="right"/>
              <w:rPr>
                <w:rFonts w:cs="Calibri"/>
                <w:b/>
                <w:bCs/>
                <w:color w:val="000000"/>
                <w:sz w:val="20"/>
                <w:szCs w:val="20"/>
                <w:lang w:eastAsia="en-GB"/>
              </w:rPr>
            </w:pPr>
            <w:r w:rsidRPr="00EB2995">
              <w:rPr>
                <w:rFonts w:cs="Calibri"/>
                <w:b/>
                <w:bCs/>
                <w:color w:val="000000"/>
                <w:sz w:val="20"/>
                <w:szCs w:val="20"/>
              </w:rPr>
              <w:t>(124.9)</w:t>
            </w:r>
          </w:p>
        </w:tc>
        <w:tc>
          <w:tcPr>
            <w:tcW w:w="1135" w:type="dxa"/>
            <w:gridSpan w:val="2"/>
            <w:tcBorders>
              <w:top w:val="single" w:sz="8" w:space="0" w:color="auto"/>
              <w:left w:val="nil"/>
              <w:bottom w:val="double" w:sz="6" w:space="0" w:color="auto"/>
              <w:right w:val="single" w:sz="8" w:space="0" w:color="auto"/>
            </w:tcBorders>
            <w:shd w:val="clear" w:color="000000" w:fill="FFFFFF"/>
            <w:noWrap/>
            <w:vAlign w:val="center"/>
          </w:tcPr>
          <w:p w:rsidR="0003552F" w:rsidRPr="00EB2995" w:rsidRDefault="0003552F" w:rsidP="0003552F">
            <w:pPr>
              <w:jc w:val="right"/>
              <w:rPr>
                <w:rFonts w:cs="Calibri"/>
                <w:b/>
                <w:bCs/>
                <w:color w:val="000000"/>
                <w:sz w:val="20"/>
                <w:szCs w:val="20"/>
                <w:lang w:eastAsia="en-GB"/>
              </w:rPr>
            </w:pPr>
            <w:r w:rsidRPr="00EB2995">
              <w:rPr>
                <w:rFonts w:cs="Calibri"/>
                <w:b/>
                <w:bCs/>
                <w:color w:val="000000"/>
                <w:sz w:val="20"/>
                <w:szCs w:val="20"/>
              </w:rPr>
              <w:t>(493.2)</w:t>
            </w:r>
          </w:p>
        </w:tc>
      </w:tr>
    </w:tbl>
    <w:p w:rsidR="0003552F" w:rsidRDefault="00F72906" w:rsidP="00F72906">
      <w:pPr>
        <w:sectPr w:rsidR="0003552F" w:rsidSect="0003552F">
          <w:pgSz w:w="16838" w:h="11906" w:orient="landscape"/>
          <w:pgMar w:top="1440" w:right="1440" w:bottom="1440" w:left="1440" w:header="708" w:footer="708" w:gutter="0"/>
          <w:cols w:space="708"/>
          <w:docGrid w:linePitch="360"/>
        </w:sectPr>
      </w:pPr>
      <w:r>
        <w:t xml:space="preserve">Further detail is included in Note 10 – Transfers to/from Earmarked Reserves, in the HRA statement and notes, and in the Movement in Reserves Detail in the Additional Reconciliation disclosures. </w:t>
      </w:r>
    </w:p>
    <w:p w:rsidR="00F72906" w:rsidRDefault="00F72906" w:rsidP="0003552F">
      <w:pPr>
        <w:pStyle w:val="Heading2"/>
      </w:pPr>
      <w:bookmarkStart w:id="4" w:name="_Toc61870274"/>
      <w:r>
        <w:lastRenderedPageBreak/>
        <w:t>Comprehensive Income and Expenditure Statement</w:t>
      </w:r>
      <w:bookmarkEnd w:id="4"/>
    </w:p>
    <w:tbl>
      <w:tblPr>
        <w:tblW w:w="15368" w:type="dxa"/>
        <w:tblInd w:w="426" w:type="dxa"/>
        <w:tblLayout w:type="fixed"/>
        <w:tblLook w:val="00A0" w:firstRow="1" w:lastRow="0" w:firstColumn="1" w:lastColumn="0" w:noHBand="0" w:noVBand="0"/>
      </w:tblPr>
      <w:tblGrid>
        <w:gridCol w:w="1264"/>
        <w:gridCol w:w="897"/>
        <w:gridCol w:w="1660"/>
        <w:gridCol w:w="239"/>
        <w:gridCol w:w="2343"/>
        <w:gridCol w:w="3369"/>
        <w:gridCol w:w="234"/>
        <w:gridCol w:w="1102"/>
        <w:gridCol w:w="41"/>
        <w:gridCol w:w="40"/>
        <w:gridCol w:w="21"/>
        <w:gridCol w:w="1264"/>
        <w:gridCol w:w="1417"/>
        <w:gridCol w:w="752"/>
        <w:gridCol w:w="104"/>
        <w:gridCol w:w="180"/>
        <w:gridCol w:w="177"/>
        <w:gridCol w:w="264"/>
      </w:tblGrid>
      <w:tr w:rsidR="0003552F" w:rsidRPr="00EB2995" w:rsidTr="0003552F">
        <w:trPr>
          <w:trHeight w:hRule="exact" w:val="284"/>
        </w:trPr>
        <w:tc>
          <w:tcPr>
            <w:tcW w:w="3821" w:type="dxa"/>
            <w:gridSpan w:val="3"/>
            <w:tcBorders>
              <w:top w:val="nil"/>
              <w:left w:val="nil"/>
              <w:bottom w:val="nil"/>
              <w:right w:val="nil"/>
            </w:tcBorders>
          </w:tcPr>
          <w:p w:rsidR="0003552F" w:rsidRPr="00EB2995" w:rsidRDefault="00B64F8F" w:rsidP="0003552F">
            <w:pPr>
              <w:jc w:val="right"/>
              <w:rPr>
                <w:rFonts w:cs="Calibri"/>
                <w:b/>
                <w:bCs/>
                <w:color w:val="000000"/>
                <w:lang w:eastAsia="en-GB"/>
              </w:rPr>
            </w:pPr>
            <w:r>
              <w:rPr>
                <w:rFonts w:cs="Calibri"/>
                <w:b/>
                <w:bCs/>
                <w:color w:val="000000"/>
                <w:lang w:eastAsia="en-GB"/>
              </w:rPr>
              <w:t>*</w:t>
            </w:r>
            <w:r w:rsidR="0003552F" w:rsidRPr="00EB2995">
              <w:rPr>
                <w:rFonts w:cs="Calibri"/>
                <w:b/>
                <w:bCs/>
                <w:color w:val="000000"/>
                <w:lang w:eastAsia="en-GB"/>
              </w:rPr>
              <w:t>Restated 2018/19</w:t>
            </w:r>
          </w:p>
        </w:tc>
        <w:tc>
          <w:tcPr>
            <w:tcW w:w="239" w:type="dxa"/>
            <w:tcBorders>
              <w:top w:val="nil"/>
              <w:left w:val="nil"/>
              <w:bottom w:val="nil"/>
              <w:right w:val="nil"/>
            </w:tcBorders>
            <w:noWrap/>
            <w:vAlign w:val="bottom"/>
          </w:tcPr>
          <w:p w:rsidR="0003552F" w:rsidRPr="00EB2995" w:rsidRDefault="0003552F" w:rsidP="0003552F">
            <w:pPr>
              <w:jc w:val="right"/>
              <w:rPr>
                <w:rFonts w:cs="Calibri"/>
                <w:b/>
                <w:bCs/>
                <w:color w:val="000000"/>
                <w:lang w:eastAsia="en-GB"/>
              </w:rPr>
            </w:pPr>
          </w:p>
        </w:tc>
        <w:tc>
          <w:tcPr>
            <w:tcW w:w="5946" w:type="dxa"/>
            <w:gridSpan w:val="3"/>
            <w:tcBorders>
              <w:top w:val="nil"/>
              <w:left w:val="nil"/>
              <w:bottom w:val="nil"/>
              <w:right w:val="nil"/>
            </w:tcBorders>
            <w:noWrap/>
            <w:vAlign w:val="bottom"/>
          </w:tcPr>
          <w:p w:rsidR="0003552F" w:rsidRPr="00EB2995" w:rsidRDefault="0003552F" w:rsidP="0003552F">
            <w:pPr>
              <w:rPr>
                <w:rFonts w:cs="Calibri"/>
                <w:sz w:val="20"/>
                <w:szCs w:val="20"/>
                <w:lang w:eastAsia="en-GB"/>
              </w:rPr>
            </w:pPr>
          </w:p>
        </w:tc>
        <w:tc>
          <w:tcPr>
            <w:tcW w:w="3885" w:type="dxa"/>
            <w:gridSpan w:val="6"/>
            <w:tcBorders>
              <w:top w:val="nil"/>
              <w:left w:val="nil"/>
              <w:bottom w:val="nil"/>
              <w:right w:val="nil"/>
            </w:tcBorders>
            <w:noWrap/>
            <w:vAlign w:val="center"/>
          </w:tcPr>
          <w:p w:rsidR="0003552F" w:rsidRPr="00EB2995" w:rsidRDefault="0003552F" w:rsidP="0003552F">
            <w:pPr>
              <w:jc w:val="right"/>
              <w:rPr>
                <w:rFonts w:cs="Calibri"/>
                <w:b/>
                <w:bCs/>
                <w:color w:val="000000"/>
                <w:lang w:eastAsia="en-GB"/>
              </w:rPr>
            </w:pPr>
            <w:r w:rsidRPr="00EB2995">
              <w:rPr>
                <w:rFonts w:cs="Calibri"/>
                <w:b/>
                <w:bCs/>
                <w:color w:val="000000"/>
                <w:lang w:eastAsia="en-GB"/>
              </w:rPr>
              <w:t>2019/20</w:t>
            </w:r>
          </w:p>
        </w:tc>
        <w:tc>
          <w:tcPr>
            <w:tcW w:w="1477" w:type="dxa"/>
            <w:gridSpan w:val="5"/>
            <w:tcBorders>
              <w:top w:val="nil"/>
              <w:left w:val="nil"/>
              <w:bottom w:val="nil"/>
              <w:right w:val="nil"/>
            </w:tcBorders>
            <w:noWrap/>
            <w:vAlign w:val="bottom"/>
          </w:tcPr>
          <w:p w:rsidR="0003552F" w:rsidRPr="00EB2995" w:rsidRDefault="0003552F" w:rsidP="0003552F">
            <w:pPr>
              <w:jc w:val="center"/>
              <w:rPr>
                <w:rFonts w:cs="Calibri"/>
                <w:b/>
                <w:bCs/>
                <w:color w:val="000000"/>
                <w:lang w:eastAsia="en-GB"/>
              </w:rPr>
            </w:pPr>
          </w:p>
        </w:tc>
      </w:tr>
      <w:tr w:rsidR="0003552F" w:rsidRPr="00EB2995" w:rsidTr="0003552F">
        <w:trPr>
          <w:gridAfter w:val="2"/>
          <w:wAfter w:w="441" w:type="dxa"/>
          <w:trHeight w:hRule="exact" w:val="284"/>
        </w:trPr>
        <w:tc>
          <w:tcPr>
            <w:tcW w:w="1264" w:type="dxa"/>
            <w:vMerge w:val="restart"/>
            <w:tcBorders>
              <w:top w:val="nil"/>
              <w:left w:val="nil"/>
              <w:right w:val="nil"/>
            </w:tcBorders>
            <w:vAlign w:val="center"/>
          </w:tcPr>
          <w:p w:rsidR="0003552F" w:rsidRPr="00EB2995" w:rsidRDefault="0003552F" w:rsidP="0003552F">
            <w:pPr>
              <w:ind w:left="-531"/>
              <w:jc w:val="right"/>
              <w:rPr>
                <w:rFonts w:cs="Calibri"/>
                <w:b/>
                <w:bCs/>
                <w:color w:val="000000"/>
                <w:lang w:eastAsia="en-GB"/>
              </w:rPr>
            </w:pPr>
            <w:r w:rsidRPr="00EB2995">
              <w:rPr>
                <w:rFonts w:cs="Calibri"/>
                <w:b/>
                <w:bCs/>
                <w:color w:val="000000"/>
                <w:lang w:eastAsia="en-GB"/>
              </w:rPr>
              <w:t>Gross Expenditure</w:t>
            </w:r>
          </w:p>
        </w:tc>
        <w:tc>
          <w:tcPr>
            <w:tcW w:w="897" w:type="dxa"/>
            <w:vMerge w:val="restart"/>
            <w:tcBorders>
              <w:top w:val="nil"/>
              <w:left w:val="nil"/>
              <w:right w:val="nil"/>
            </w:tcBorders>
            <w:vAlign w:val="center"/>
          </w:tcPr>
          <w:p w:rsidR="0003552F" w:rsidRPr="00EB2995" w:rsidRDefault="0003552F" w:rsidP="0003552F">
            <w:pPr>
              <w:jc w:val="right"/>
              <w:rPr>
                <w:rFonts w:cs="Calibri"/>
                <w:b/>
                <w:bCs/>
                <w:color w:val="000000"/>
                <w:lang w:eastAsia="en-GB"/>
              </w:rPr>
            </w:pPr>
            <w:r w:rsidRPr="00EB2995">
              <w:rPr>
                <w:rFonts w:cs="Calibri"/>
                <w:b/>
                <w:bCs/>
                <w:color w:val="000000"/>
                <w:lang w:eastAsia="en-GB"/>
              </w:rPr>
              <w:t>Gross Income</w:t>
            </w:r>
          </w:p>
        </w:tc>
        <w:tc>
          <w:tcPr>
            <w:tcW w:w="1660" w:type="dxa"/>
            <w:vMerge w:val="restart"/>
            <w:tcBorders>
              <w:top w:val="nil"/>
              <w:left w:val="nil"/>
              <w:bottom w:val="nil"/>
              <w:right w:val="nil"/>
            </w:tcBorders>
            <w:vAlign w:val="center"/>
          </w:tcPr>
          <w:p w:rsidR="0003552F" w:rsidRPr="00EB2995" w:rsidRDefault="0003552F" w:rsidP="0003552F">
            <w:pPr>
              <w:jc w:val="right"/>
              <w:rPr>
                <w:rFonts w:cs="Calibri"/>
                <w:b/>
                <w:bCs/>
                <w:color w:val="000000"/>
                <w:lang w:eastAsia="en-GB"/>
              </w:rPr>
            </w:pPr>
            <w:r w:rsidRPr="00EB2995">
              <w:rPr>
                <w:rFonts w:cs="Calibri"/>
                <w:b/>
                <w:bCs/>
                <w:color w:val="000000"/>
                <w:lang w:eastAsia="en-GB"/>
              </w:rPr>
              <w:t>Net Expenditure</w:t>
            </w:r>
          </w:p>
        </w:tc>
        <w:tc>
          <w:tcPr>
            <w:tcW w:w="239" w:type="dxa"/>
            <w:tcBorders>
              <w:top w:val="nil"/>
              <w:left w:val="nil"/>
              <w:bottom w:val="nil"/>
              <w:right w:val="nil"/>
            </w:tcBorders>
            <w:noWrap/>
            <w:vAlign w:val="bottom"/>
          </w:tcPr>
          <w:p w:rsidR="0003552F" w:rsidRPr="00EB2995" w:rsidRDefault="0003552F" w:rsidP="0003552F">
            <w:pPr>
              <w:jc w:val="right"/>
              <w:rPr>
                <w:rFonts w:cs="Calibri"/>
                <w:b/>
                <w:bCs/>
                <w:color w:val="000000"/>
                <w:lang w:eastAsia="en-GB"/>
              </w:rPr>
            </w:pPr>
          </w:p>
        </w:tc>
        <w:tc>
          <w:tcPr>
            <w:tcW w:w="2343" w:type="dxa"/>
            <w:tcBorders>
              <w:top w:val="nil"/>
              <w:left w:val="nil"/>
              <w:bottom w:val="nil"/>
              <w:right w:val="nil"/>
            </w:tcBorders>
            <w:noWrap/>
            <w:vAlign w:val="bottom"/>
          </w:tcPr>
          <w:p w:rsidR="0003552F" w:rsidRPr="00EB2995" w:rsidRDefault="0003552F" w:rsidP="0003552F">
            <w:pPr>
              <w:rPr>
                <w:rFonts w:cs="Calibri"/>
                <w:sz w:val="20"/>
                <w:szCs w:val="20"/>
                <w:lang w:eastAsia="en-GB"/>
              </w:rPr>
            </w:pPr>
          </w:p>
        </w:tc>
        <w:tc>
          <w:tcPr>
            <w:tcW w:w="4746" w:type="dxa"/>
            <w:gridSpan w:val="4"/>
            <w:vMerge w:val="restart"/>
            <w:tcBorders>
              <w:top w:val="nil"/>
              <w:left w:val="nil"/>
              <w:bottom w:val="nil"/>
              <w:right w:val="nil"/>
            </w:tcBorders>
            <w:vAlign w:val="center"/>
          </w:tcPr>
          <w:p w:rsidR="0003552F" w:rsidRDefault="0003552F" w:rsidP="0003552F">
            <w:pPr>
              <w:jc w:val="right"/>
              <w:rPr>
                <w:rFonts w:cs="Calibri"/>
                <w:b/>
                <w:bCs/>
                <w:color w:val="000000"/>
                <w:lang w:eastAsia="en-GB"/>
              </w:rPr>
            </w:pPr>
            <w:r w:rsidRPr="00EB2995">
              <w:rPr>
                <w:rFonts w:cs="Calibri"/>
                <w:b/>
                <w:bCs/>
                <w:color w:val="000000"/>
                <w:lang w:eastAsia="en-GB"/>
              </w:rPr>
              <w:t xml:space="preserve">Gross </w:t>
            </w:r>
          </w:p>
          <w:p w:rsidR="0003552F" w:rsidRPr="00EB2995" w:rsidRDefault="0003552F" w:rsidP="0003552F">
            <w:pPr>
              <w:jc w:val="right"/>
              <w:rPr>
                <w:rFonts w:cs="Calibri"/>
                <w:b/>
                <w:bCs/>
                <w:color w:val="000000"/>
                <w:lang w:eastAsia="en-GB"/>
              </w:rPr>
            </w:pPr>
            <w:r w:rsidRPr="00EB2995">
              <w:rPr>
                <w:rFonts w:cs="Calibri"/>
                <w:b/>
                <w:bCs/>
                <w:color w:val="000000"/>
                <w:lang w:eastAsia="en-GB"/>
              </w:rPr>
              <w:t>Expenditure</w:t>
            </w:r>
          </w:p>
        </w:tc>
        <w:tc>
          <w:tcPr>
            <w:tcW w:w="1325" w:type="dxa"/>
            <w:gridSpan w:val="3"/>
            <w:vMerge w:val="restart"/>
            <w:tcBorders>
              <w:top w:val="nil"/>
              <w:left w:val="nil"/>
              <w:bottom w:val="nil"/>
              <w:right w:val="nil"/>
            </w:tcBorders>
            <w:vAlign w:val="center"/>
          </w:tcPr>
          <w:p w:rsidR="0003552F" w:rsidRPr="00EB2995" w:rsidRDefault="0003552F" w:rsidP="0003552F">
            <w:pPr>
              <w:jc w:val="right"/>
              <w:rPr>
                <w:rFonts w:cs="Calibri"/>
                <w:b/>
                <w:bCs/>
                <w:color w:val="000000"/>
                <w:lang w:eastAsia="en-GB"/>
              </w:rPr>
            </w:pPr>
            <w:r w:rsidRPr="00EB2995">
              <w:rPr>
                <w:rFonts w:cs="Calibri"/>
                <w:b/>
                <w:bCs/>
                <w:color w:val="000000"/>
                <w:lang w:eastAsia="en-GB"/>
              </w:rPr>
              <w:t>Gross Income</w:t>
            </w:r>
          </w:p>
        </w:tc>
        <w:tc>
          <w:tcPr>
            <w:tcW w:w="1417" w:type="dxa"/>
            <w:vMerge w:val="restart"/>
            <w:tcBorders>
              <w:top w:val="nil"/>
              <w:left w:val="nil"/>
              <w:bottom w:val="nil"/>
              <w:right w:val="nil"/>
            </w:tcBorders>
            <w:vAlign w:val="center"/>
          </w:tcPr>
          <w:p w:rsidR="0003552F" w:rsidRPr="00EB2995" w:rsidRDefault="0003552F" w:rsidP="0003552F">
            <w:pPr>
              <w:ind w:left="-243"/>
              <w:jc w:val="right"/>
              <w:rPr>
                <w:rFonts w:cs="Calibri"/>
                <w:b/>
                <w:bCs/>
                <w:color w:val="000000"/>
                <w:lang w:eastAsia="en-GB"/>
              </w:rPr>
            </w:pPr>
            <w:r w:rsidRPr="00EB2995">
              <w:rPr>
                <w:rFonts w:cs="Calibri"/>
                <w:b/>
                <w:bCs/>
                <w:color w:val="000000"/>
                <w:lang w:eastAsia="en-GB"/>
              </w:rPr>
              <w:t>Net Expenditure</w:t>
            </w:r>
          </w:p>
        </w:tc>
        <w:tc>
          <w:tcPr>
            <w:tcW w:w="1036" w:type="dxa"/>
            <w:gridSpan w:val="3"/>
            <w:tcBorders>
              <w:top w:val="nil"/>
              <w:left w:val="nil"/>
              <w:bottom w:val="nil"/>
              <w:right w:val="nil"/>
            </w:tcBorders>
            <w:noWrap/>
            <w:vAlign w:val="bottom"/>
          </w:tcPr>
          <w:p w:rsidR="0003552F" w:rsidRPr="00EB2995" w:rsidRDefault="0003552F" w:rsidP="0003552F">
            <w:pPr>
              <w:jc w:val="right"/>
              <w:rPr>
                <w:rFonts w:cs="Calibri"/>
                <w:b/>
                <w:bCs/>
                <w:color w:val="000000"/>
                <w:lang w:eastAsia="en-GB"/>
              </w:rPr>
            </w:pPr>
          </w:p>
        </w:tc>
      </w:tr>
      <w:tr w:rsidR="0003552F" w:rsidRPr="00EB2995" w:rsidTr="00EA2048">
        <w:trPr>
          <w:gridAfter w:val="4"/>
          <w:wAfter w:w="725" w:type="dxa"/>
          <w:trHeight w:hRule="exact" w:val="652"/>
        </w:trPr>
        <w:tc>
          <w:tcPr>
            <w:tcW w:w="1264" w:type="dxa"/>
            <w:vMerge/>
            <w:tcBorders>
              <w:left w:val="nil"/>
              <w:bottom w:val="nil"/>
              <w:right w:val="nil"/>
            </w:tcBorders>
            <w:vAlign w:val="center"/>
          </w:tcPr>
          <w:p w:rsidR="0003552F" w:rsidRPr="00EB2995" w:rsidRDefault="0003552F" w:rsidP="0003552F">
            <w:pPr>
              <w:ind w:left="-531"/>
              <w:rPr>
                <w:rFonts w:cs="Calibri"/>
                <w:b/>
                <w:bCs/>
                <w:color w:val="000000"/>
                <w:lang w:eastAsia="en-GB"/>
              </w:rPr>
            </w:pPr>
          </w:p>
        </w:tc>
        <w:tc>
          <w:tcPr>
            <w:tcW w:w="897" w:type="dxa"/>
            <w:vMerge/>
            <w:tcBorders>
              <w:left w:val="nil"/>
              <w:bottom w:val="nil"/>
              <w:right w:val="nil"/>
            </w:tcBorders>
            <w:vAlign w:val="center"/>
          </w:tcPr>
          <w:p w:rsidR="0003552F" w:rsidRPr="00EB2995" w:rsidRDefault="0003552F" w:rsidP="0003552F">
            <w:pPr>
              <w:rPr>
                <w:rFonts w:cs="Calibri"/>
                <w:b/>
                <w:bCs/>
                <w:color w:val="000000"/>
                <w:lang w:eastAsia="en-GB"/>
              </w:rPr>
            </w:pPr>
          </w:p>
        </w:tc>
        <w:tc>
          <w:tcPr>
            <w:tcW w:w="1660" w:type="dxa"/>
            <w:vMerge/>
            <w:tcBorders>
              <w:top w:val="nil"/>
              <w:left w:val="nil"/>
              <w:bottom w:val="nil"/>
              <w:right w:val="nil"/>
            </w:tcBorders>
            <w:vAlign w:val="center"/>
          </w:tcPr>
          <w:p w:rsidR="0003552F" w:rsidRPr="00EB2995" w:rsidRDefault="0003552F" w:rsidP="0003552F">
            <w:pPr>
              <w:rPr>
                <w:rFonts w:cs="Calibri"/>
                <w:b/>
                <w:bCs/>
                <w:color w:val="000000"/>
                <w:lang w:eastAsia="en-GB"/>
              </w:rPr>
            </w:pPr>
          </w:p>
        </w:tc>
        <w:tc>
          <w:tcPr>
            <w:tcW w:w="239" w:type="dxa"/>
            <w:tcBorders>
              <w:top w:val="nil"/>
              <w:left w:val="nil"/>
              <w:bottom w:val="nil"/>
              <w:right w:val="nil"/>
            </w:tcBorders>
            <w:noWrap/>
            <w:vAlign w:val="bottom"/>
          </w:tcPr>
          <w:p w:rsidR="0003552F" w:rsidRPr="00EB2995" w:rsidRDefault="0003552F" w:rsidP="0003552F">
            <w:pPr>
              <w:rPr>
                <w:rFonts w:cs="Calibri"/>
                <w:sz w:val="20"/>
                <w:szCs w:val="20"/>
                <w:lang w:eastAsia="en-GB"/>
              </w:rPr>
            </w:pPr>
          </w:p>
        </w:tc>
        <w:tc>
          <w:tcPr>
            <w:tcW w:w="2343" w:type="dxa"/>
            <w:tcBorders>
              <w:top w:val="nil"/>
              <w:left w:val="nil"/>
              <w:bottom w:val="nil"/>
              <w:right w:val="nil"/>
            </w:tcBorders>
            <w:noWrap/>
            <w:vAlign w:val="bottom"/>
          </w:tcPr>
          <w:p w:rsidR="0003552F" w:rsidRPr="00EB2995" w:rsidRDefault="0003552F" w:rsidP="0003552F">
            <w:pPr>
              <w:rPr>
                <w:rFonts w:cs="Calibri"/>
                <w:sz w:val="20"/>
                <w:szCs w:val="20"/>
                <w:lang w:eastAsia="en-GB"/>
              </w:rPr>
            </w:pPr>
          </w:p>
        </w:tc>
        <w:tc>
          <w:tcPr>
            <w:tcW w:w="4746" w:type="dxa"/>
            <w:gridSpan w:val="4"/>
            <w:vMerge/>
            <w:tcBorders>
              <w:top w:val="nil"/>
              <w:left w:val="nil"/>
              <w:bottom w:val="nil"/>
              <w:right w:val="nil"/>
            </w:tcBorders>
            <w:vAlign w:val="center"/>
          </w:tcPr>
          <w:p w:rsidR="0003552F" w:rsidRPr="00EB2995" w:rsidRDefault="0003552F" w:rsidP="0003552F">
            <w:pPr>
              <w:rPr>
                <w:rFonts w:cs="Calibri"/>
                <w:b/>
                <w:bCs/>
                <w:color w:val="000000"/>
                <w:lang w:eastAsia="en-GB"/>
              </w:rPr>
            </w:pPr>
          </w:p>
        </w:tc>
        <w:tc>
          <w:tcPr>
            <w:tcW w:w="1325" w:type="dxa"/>
            <w:gridSpan w:val="3"/>
            <w:vMerge/>
            <w:tcBorders>
              <w:top w:val="nil"/>
              <w:left w:val="nil"/>
              <w:bottom w:val="nil"/>
              <w:right w:val="nil"/>
            </w:tcBorders>
            <w:vAlign w:val="center"/>
          </w:tcPr>
          <w:p w:rsidR="0003552F" w:rsidRPr="00EB2995" w:rsidRDefault="0003552F" w:rsidP="0003552F">
            <w:pPr>
              <w:rPr>
                <w:rFonts w:cs="Calibri"/>
                <w:b/>
                <w:bCs/>
                <w:color w:val="000000"/>
                <w:lang w:eastAsia="en-GB"/>
              </w:rPr>
            </w:pPr>
          </w:p>
        </w:tc>
        <w:tc>
          <w:tcPr>
            <w:tcW w:w="1417" w:type="dxa"/>
            <w:vMerge/>
            <w:tcBorders>
              <w:top w:val="nil"/>
              <w:left w:val="nil"/>
              <w:bottom w:val="nil"/>
              <w:right w:val="nil"/>
            </w:tcBorders>
            <w:vAlign w:val="center"/>
          </w:tcPr>
          <w:p w:rsidR="0003552F" w:rsidRPr="00EB2995" w:rsidRDefault="0003552F" w:rsidP="0003552F">
            <w:pPr>
              <w:ind w:left="-243"/>
              <w:rPr>
                <w:rFonts w:cs="Calibri"/>
                <w:b/>
                <w:bCs/>
                <w:color w:val="000000"/>
                <w:lang w:eastAsia="en-GB"/>
              </w:rPr>
            </w:pPr>
          </w:p>
        </w:tc>
        <w:tc>
          <w:tcPr>
            <w:tcW w:w="752" w:type="dxa"/>
            <w:tcBorders>
              <w:top w:val="nil"/>
              <w:left w:val="nil"/>
              <w:bottom w:val="nil"/>
              <w:right w:val="nil"/>
            </w:tcBorders>
            <w:vAlign w:val="center"/>
          </w:tcPr>
          <w:p w:rsidR="0003552F" w:rsidRPr="00EB2995" w:rsidRDefault="0003552F" w:rsidP="0003552F">
            <w:pPr>
              <w:ind w:left="-101" w:right="-390"/>
              <w:rPr>
                <w:rFonts w:cs="Calibri"/>
                <w:b/>
                <w:bCs/>
                <w:color w:val="000000"/>
                <w:lang w:eastAsia="en-GB"/>
              </w:rPr>
            </w:pPr>
            <w:r w:rsidRPr="00EB2995">
              <w:rPr>
                <w:rFonts w:cs="Calibri"/>
                <w:b/>
                <w:bCs/>
                <w:color w:val="000000"/>
                <w:lang w:eastAsia="en-GB"/>
              </w:rPr>
              <w:t>Notes</w:t>
            </w:r>
          </w:p>
        </w:tc>
      </w:tr>
      <w:tr w:rsidR="0003552F" w:rsidRPr="00EB2995" w:rsidTr="0003552F">
        <w:trPr>
          <w:gridAfter w:val="2"/>
          <w:wAfter w:w="441" w:type="dxa"/>
          <w:trHeight w:hRule="exact" w:val="284"/>
        </w:trPr>
        <w:tc>
          <w:tcPr>
            <w:tcW w:w="1264" w:type="dxa"/>
            <w:tcBorders>
              <w:top w:val="nil"/>
              <w:left w:val="nil"/>
              <w:bottom w:val="single" w:sz="8" w:space="0" w:color="auto"/>
              <w:right w:val="nil"/>
            </w:tcBorders>
            <w:vAlign w:val="center"/>
          </w:tcPr>
          <w:p w:rsidR="0003552F" w:rsidRPr="00EB2995" w:rsidRDefault="0003552F" w:rsidP="0003552F">
            <w:pPr>
              <w:ind w:left="-531"/>
              <w:jc w:val="right"/>
              <w:rPr>
                <w:rFonts w:cs="Calibri"/>
                <w:b/>
                <w:bCs/>
                <w:color w:val="000000"/>
                <w:lang w:eastAsia="en-GB"/>
              </w:rPr>
            </w:pPr>
            <w:r w:rsidRPr="00EB2995">
              <w:rPr>
                <w:rFonts w:cs="Calibri"/>
                <w:b/>
                <w:bCs/>
                <w:color w:val="000000"/>
                <w:lang w:eastAsia="en-GB"/>
              </w:rPr>
              <w:t>£m</w:t>
            </w:r>
          </w:p>
        </w:tc>
        <w:tc>
          <w:tcPr>
            <w:tcW w:w="897" w:type="dxa"/>
            <w:tcBorders>
              <w:top w:val="nil"/>
              <w:left w:val="nil"/>
              <w:bottom w:val="single" w:sz="8" w:space="0" w:color="auto"/>
              <w:right w:val="nil"/>
            </w:tcBorders>
            <w:vAlign w:val="center"/>
          </w:tcPr>
          <w:p w:rsidR="0003552F" w:rsidRPr="00EB2995" w:rsidRDefault="0003552F" w:rsidP="0003552F">
            <w:pPr>
              <w:jc w:val="right"/>
              <w:rPr>
                <w:rFonts w:cs="Calibri"/>
                <w:b/>
                <w:bCs/>
                <w:color w:val="000000"/>
                <w:lang w:eastAsia="en-GB"/>
              </w:rPr>
            </w:pPr>
            <w:r w:rsidRPr="00EB2995">
              <w:rPr>
                <w:rFonts w:cs="Calibri"/>
                <w:b/>
                <w:bCs/>
                <w:color w:val="000000"/>
                <w:lang w:eastAsia="en-GB"/>
              </w:rPr>
              <w:t>£m</w:t>
            </w:r>
          </w:p>
        </w:tc>
        <w:tc>
          <w:tcPr>
            <w:tcW w:w="1660" w:type="dxa"/>
            <w:tcBorders>
              <w:top w:val="nil"/>
              <w:left w:val="nil"/>
              <w:bottom w:val="single" w:sz="8" w:space="0" w:color="auto"/>
              <w:right w:val="nil"/>
            </w:tcBorders>
            <w:noWrap/>
            <w:vAlign w:val="center"/>
          </w:tcPr>
          <w:p w:rsidR="0003552F" w:rsidRPr="00EB2995" w:rsidRDefault="0003552F" w:rsidP="0003552F">
            <w:pPr>
              <w:jc w:val="right"/>
              <w:rPr>
                <w:rFonts w:cs="Calibri"/>
                <w:b/>
                <w:bCs/>
                <w:color w:val="000000"/>
                <w:lang w:eastAsia="en-GB"/>
              </w:rPr>
            </w:pPr>
            <w:r w:rsidRPr="00EB2995">
              <w:rPr>
                <w:rFonts w:cs="Calibri"/>
                <w:b/>
                <w:bCs/>
                <w:color w:val="000000"/>
                <w:lang w:eastAsia="en-GB"/>
              </w:rPr>
              <w:t>£m</w:t>
            </w:r>
          </w:p>
        </w:tc>
        <w:tc>
          <w:tcPr>
            <w:tcW w:w="239" w:type="dxa"/>
            <w:tcBorders>
              <w:top w:val="nil"/>
              <w:left w:val="nil"/>
              <w:bottom w:val="nil"/>
              <w:right w:val="nil"/>
            </w:tcBorders>
            <w:noWrap/>
            <w:vAlign w:val="bottom"/>
          </w:tcPr>
          <w:p w:rsidR="0003552F" w:rsidRPr="00EB2995" w:rsidRDefault="0003552F" w:rsidP="0003552F">
            <w:pPr>
              <w:jc w:val="right"/>
              <w:rPr>
                <w:rFonts w:cs="Calibri"/>
                <w:b/>
                <w:bCs/>
                <w:color w:val="000000"/>
                <w:lang w:eastAsia="en-GB"/>
              </w:rPr>
            </w:pPr>
          </w:p>
        </w:tc>
        <w:tc>
          <w:tcPr>
            <w:tcW w:w="2343" w:type="dxa"/>
            <w:tcBorders>
              <w:top w:val="nil"/>
              <w:left w:val="nil"/>
              <w:bottom w:val="nil"/>
              <w:right w:val="nil"/>
            </w:tcBorders>
            <w:noWrap/>
            <w:vAlign w:val="bottom"/>
          </w:tcPr>
          <w:p w:rsidR="0003552F" w:rsidRPr="00EB2995" w:rsidRDefault="0003552F" w:rsidP="0003552F">
            <w:pPr>
              <w:rPr>
                <w:rFonts w:cs="Calibri"/>
                <w:sz w:val="20"/>
                <w:szCs w:val="20"/>
                <w:lang w:eastAsia="en-GB"/>
              </w:rPr>
            </w:pPr>
          </w:p>
        </w:tc>
        <w:tc>
          <w:tcPr>
            <w:tcW w:w="4746" w:type="dxa"/>
            <w:gridSpan w:val="4"/>
            <w:tcBorders>
              <w:top w:val="nil"/>
              <w:left w:val="nil"/>
              <w:bottom w:val="nil"/>
              <w:right w:val="nil"/>
            </w:tcBorders>
            <w:noWrap/>
            <w:vAlign w:val="center"/>
          </w:tcPr>
          <w:p w:rsidR="0003552F" w:rsidRPr="00EB2995" w:rsidRDefault="0003552F" w:rsidP="0003552F">
            <w:pPr>
              <w:jc w:val="right"/>
              <w:rPr>
                <w:rFonts w:cs="Calibri"/>
                <w:b/>
                <w:bCs/>
                <w:color w:val="000000"/>
                <w:lang w:eastAsia="en-GB"/>
              </w:rPr>
            </w:pPr>
            <w:r w:rsidRPr="00EB2995">
              <w:rPr>
                <w:rFonts w:cs="Calibri"/>
                <w:b/>
                <w:bCs/>
                <w:color w:val="000000"/>
                <w:lang w:eastAsia="en-GB"/>
              </w:rPr>
              <w:t>£m</w:t>
            </w:r>
          </w:p>
        </w:tc>
        <w:tc>
          <w:tcPr>
            <w:tcW w:w="1325" w:type="dxa"/>
            <w:gridSpan w:val="3"/>
            <w:tcBorders>
              <w:top w:val="nil"/>
              <w:left w:val="nil"/>
              <w:bottom w:val="nil"/>
              <w:right w:val="nil"/>
            </w:tcBorders>
            <w:noWrap/>
            <w:vAlign w:val="center"/>
          </w:tcPr>
          <w:p w:rsidR="0003552F" w:rsidRPr="00EB2995" w:rsidRDefault="0003552F" w:rsidP="0003552F">
            <w:pPr>
              <w:jc w:val="right"/>
              <w:rPr>
                <w:rFonts w:cs="Calibri"/>
                <w:b/>
                <w:bCs/>
                <w:color w:val="000000"/>
                <w:lang w:eastAsia="en-GB"/>
              </w:rPr>
            </w:pPr>
            <w:r w:rsidRPr="00EB2995">
              <w:rPr>
                <w:rFonts w:cs="Calibri"/>
                <w:b/>
                <w:bCs/>
                <w:color w:val="000000"/>
                <w:lang w:eastAsia="en-GB"/>
              </w:rPr>
              <w:t>£m</w:t>
            </w:r>
          </w:p>
        </w:tc>
        <w:tc>
          <w:tcPr>
            <w:tcW w:w="1417" w:type="dxa"/>
            <w:tcBorders>
              <w:top w:val="nil"/>
              <w:left w:val="nil"/>
              <w:bottom w:val="nil"/>
              <w:right w:val="nil"/>
            </w:tcBorders>
            <w:noWrap/>
            <w:vAlign w:val="center"/>
          </w:tcPr>
          <w:p w:rsidR="0003552F" w:rsidRPr="00EB2995" w:rsidRDefault="0003552F" w:rsidP="0003552F">
            <w:pPr>
              <w:ind w:left="-243"/>
              <w:jc w:val="right"/>
              <w:rPr>
                <w:rFonts w:cs="Calibri"/>
                <w:b/>
                <w:bCs/>
                <w:color w:val="000000"/>
                <w:lang w:eastAsia="en-GB"/>
              </w:rPr>
            </w:pPr>
            <w:r w:rsidRPr="00EB2995">
              <w:rPr>
                <w:rFonts w:cs="Calibri"/>
                <w:b/>
                <w:bCs/>
                <w:color w:val="000000"/>
                <w:lang w:eastAsia="en-GB"/>
              </w:rPr>
              <w:t>£m</w:t>
            </w:r>
          </w:p>
        </w:tc>
        <w:tc>
          <w:tcPr>
            <w:tcW w:w="1036" w:type="dxa"/>
            <w:gridSpan w:val="3"/>
            <w:tcBorders>
              <w:top w:val="nil"/>
              <w:left w:val="nil"/>
              <w:right w:val="nil"/>
            </w:tcBorders>
            <w:vAlign w:val="center"/>
          </w:tcPr>
          <w:p w:rsidR="0003552F" w:rsidRPr="00EB2995" w:rsidRDefault="0003552F" w:rsidP="0003552F">
            <w:pPr>
              <w:jc w:val="right"/>
              <w:rPr>
                <w:rFonts w:cs="Calibri"/>
                <w:b/>
                <w:bCs/>
                <w:color w:val="000000"/>
                <w:lang w:eastAsia="en-GB"/>
              </w:rPr>
            </w:pPr>
          </w:p>
        </w:tc>
      </w:tr>
      <w:tr w:rsidR="0003552F" w:rsidRPr="00EB2995" w:rsidTr="0003552F">
        <w:trPr>
          <w:gridAfter w:val="3"/>
          <w:wAfter w:w="621" w:type="dxa"/>
          <w:trHeight w:hRule="exact" w:val="284"/>
        </w:trPr>
        <w:tc>
          <w:tcPr>
            <w:tcW w:w="1264" w:type="dxa"/>
            <w:tcBorders>
              <w:top w:val="nil"/>
              <w:left w:val="single" w:sz="8" w:space="0" w:color="auto"/>
              <w:bottom w:val="nil"/>
              <w:right w:val="single" w:sz="8" w:space="0" w:color="auto"/>
            </w:tcBorders>
            <w:vAlign w:val="center"/>
          </w:tcPr>
          <w:p w:rsidR="0003552F" w:rsidRPr="00EB2995" w:rsidRDefault="0003552F" w:rsidP="0003552F">
            <w:pPr>
              <w:jc w:val="right"/>
              <w:rPr>
                <w:rFonts w:cs="Calibri"/>
                <w:bCs/>
                <w:color w:val="000000"/>
                <w:lang w:eastAsia="en-GB"/>
              </w:rPr>
            </w:pPr>
            <w:r w:rsidRPr="00EB2995">
              <w:rPr>
                <w:rFonts w:cs="Calibri"/>
                <w:color w:val="000000"/>
              </w:rPr>
              <w:t>9.2</w:t>
            </w:r>
          </w:p>
        </w:tc>
        <w:tc>
          <w:tcPr>
            <w:tcW w:w="897" w:type="dxa"/>
            <w:tcBorders>
              <w:top w:val="nil"/>
              <w:left w:val="single" w:sz="8" w:space="0" w:color="auto"/>
              <w:bottom w:val="nil"/>
              <w:right w:val="single" w:sz="8" w:space="0" w:color="auto"/>
            </w:tcBorders>
            <w:vAlign w:val="center"/>
          </w:tcPr>
          <w:p w:rsidR="0003552F" w:rsidRPr="00EB2995" w:rsidRDefault="0003552F" w:rsidP="0003552F">
            <w:pPr>
              <w:jc w:val="center"/>
              <w:rPr>
                <w:rFonts w:cs="Calibri"/>
                <w:bCs/>
                <w:color w:val="000000"/>
                <w:lang w:eastAsia="en-GB"/>
              </w:rPr>
            </w:pPr>
            <w:r w:rsidRPr="00EB2995">
              <w:rPr>
                <w:rFonts w:cs="Calibri"/>
                <w:color w:val="000000"/>
              </w:rPr>
              <w:t>(1.8)</w:t>
            </w:r>
          </w:p>
        </w:tc>
        <w:tc>
          <w:tcPr>
            <w:tcW w:w="1660" w:type="dxa"/>
            <w:tcBorders>
              <w:top w:val="nil"/>
              <w:left w:val="single" w:sz="8" w:space="0" w:color="auto"/>
              <w:bottom w:val="nil"/>
              <w:right w:val="single" w:sz="8" w:space="0" w:color="auto"/>
            </w:tcBorders>
            <w:noWrap/>
            <w:vAlign w:val="center"/>
          </w:tcPr>
          <w:p w:rsidR="0003552F" w:rsidRPr="00EB2995" w:rsidRDefault="0003552F" w:rsidP="0003552F">
            <w:pPr>
              <w:jc w:val="right"/>
              <w:rPr>
                <w:rFonts w:cs="Calibri"/>
                <w:b/>
                <w:bCs/>
                <w:color w:val="000000"/>
                <w:lang w:eastAsia="en-GB"/>
              </w:rPr>
            </w:pPr>
            <w:r w:rsidRPr="00EB2995">
              <w:rPr>
                <w:rFonts w:cs="Calibri"/>
                <w:b/>
                <w:bCs/>
                <w:color w:val="000000"/>
              </w:rPr>
              <w:t>7.4</w:t>
            </w:r>
          </w:p>
        </w:tc>
        <w:tc>
          <w:tcPr>
            <w:tcW w:w="5951" w:type="dxa"/>
            <w:gridSpan w:val="3"/>
            <w:tcBorders>
              <w:top w:val="nil"/>
              <w:left w:val="nil"/>
              <w:bottom w:val="nil"/>
              <w:right w:val="nil"/>
            </w:tcBorders>
            <w:vAlign w:val="center"/>
          </w:tcPr>
          <w:p w:rsidR="0003552F" w:rsidRPr="00EB2995" w:rsidRDefault="0003552F" w:rsidP="0003552F">
            <w:pPr>
              <w:rPr>
                <w:rFonts w:cs="Calibri"/>
                <w:color w:val="000000"/>
                <w:lang w:eastAsia="en-GB"/>
              </w:rPr>
            </w:pPr>
            <w:r w:rsidRPr="00EB2995">
              <w:rPr>
                <w:rFonts w:cs="Calibri"/>
                <w:color w:val="000000"/>
                <w:lang w:eastAsia="en-GB"/>
              </w:rPr>
              <w:t>Assistant Chief Executive</w:t>
            </w:r>
          </w:p>
        </w:tc>
        <w:tc>
          <w:tcPr>
            <w:tcW w:w="1336" w:type="dxa"/>
            <w:gridSpan w:val="2"/>
            <w:tcBorders>
              <w:top w:val="single" w:sz="8" w:space="0" w:color="auto"/>
              <w:left w:val="single" w:sz="8" w:space="0" w:color="auto"/>
              <w:bottom w:val="nil"/>
              <w:right w:val="single" w:sz="8" w:space="0" w:color="auto"/>
            </w:tcBorders>
            <w:noWrap/>
            <w:vAlign w:val="center"/>
          </w:tcPr>
          <w:p w:rsidR="0003552F" w:rsidRPr="00EB2995" w:rsidRDefault="0003552F" w:rsidP="0003552F">
            <w:pPr>
              <w:jc w:val="right"/>
              <w:rPr>
                <w:rFonts w:cs="Calibri"/>
                <w:color w:val="000000"/>
                <w:lang w:eastAsia="en-GB"/>
              </w:rPr>
            </w:pPr>
            <w:r>
              <w:rPr>
                <w:rFonts w:cs="Calibri"/>
                <w:color w:val="000000"/>
              </w:rPr>
              <w:t>11.8</w:t>
            </w:r>
          </w:p>
        </w:tc>
        <w:tc>
          <w:tcPr>
            <w:tcW w:w="1366" w:type="dxa"/>
            <w:gridSpan w:val="4"/>
            <w:tcBorders>
              <w:top w:val="single" w:sz="8" w:space="0" w:color="auto"/>
              <w:left w:val="nil"/>
              <w:bottom w:val="nil"/>
              <w:right w:val="single" w:sz="8" w:space="0" w:color="auto"/>
            </w:tcBorders>
            <w:noWrap/>
            <w:vAlign w:val="center"/>
          </w:tcPr>
          <w:p w:rsidR="0003552F" w:rsidRPr="00EB2995" w:rsidRDefault="0003552F" w:rsidP="0003552F">
            <w:pPr>
              <w:jc w:val="right"/>
              <w:rPr>
                <w:rFonts w:cs="Calibri"/>
                <w:color w:val="000000"/>
                <w:lang w:eastAsia="en-GB"/>
              </w:rPr>
            </w:pPr>
            <w:r>
              <w:rPr>
                <w:rFonts w:cs="Calibri"/>
                <w:color w:val="000000"/>
              </w:rPr>
              <w:t>(2.2)</w:t>
            </w:r>
          </w:p>
        </w:tc>
        <w:tc>
          <w:tcPr>
            <w:tcW w:w="1417" w:type="dxa"/>
            <w:tcBorders>
              <w:top w:val="single" w:sz="8" w:space="0" w:color="auto"/>
              <w:left w:val="nil"/>
              <w:bottom w:val="nil"/>
              <w:right w:val="single" w:sz="8" w:space="0" w:color="auto"/>
            </w:tcBorders>
            <w:noWrap/>
            <w:vAlign w:val="center"/>
          </w:tcPr>
          <w:p w:rsidR="0003552F" w:rsidRPr="00EB2995" w:rsidRDefault="0003552F" w:rsidP="0003552F">
            <w:pPr>
              <w:jc w:val="right"/>
              <w:rPr>
                <w:rFonts w:cs="Calibri"/>
                <w:b/>
                <w:bCs/>
                <w:color w:val="000000"/>
                <w:lang w:eastAsia="en-GB"/>
              </w:rPr>
            </w:pPr>
            <w:r>
              <w:rPr>
                <w:rFonts w:cs="Calibri"/>
                <w:b/>
                <w:bCs/>
                <w:color w:val="000000"/>
              </w:rPr>
              <w:t>9.6</w:t>
            </w:r>
          </w:p>
        </w:tc>
        <w:tc>
          <w:tcPr>
            <w:tcW w:w="856" w:type="dxa"/>
            <w:gridSpan w:val="2"/>
            <w:tcBorders>
              <w:left w:val="nil"/>
              <w:bottom w:val="nil"/>
            </w:tcBorders>
            <w:noWrap/>
            <w:vAlign w:val="bottom"/>
          </w:tcPr>
          <w:p w:rsidR="0003552F" w:rsidRPr="00EB2995" w:rsidRDefault="0003552F" w:rsidP="0003552F">
            <w:pPr>
              <w:rPr>
                <w:rFonts w:cs="Calibri"/>
                <w:color w:val="000000"/>
                <w:lang w:eastAsia="en-GB"/>
              </w:rPr>
            </w:pPr>
            <w:r w:rsidRPr="00EB2995">
              <w:rPr>
                <w:rFonts w:cs="Calibri"/>
                <w:color w:val="000000"/>
                <w:lang w:eastAsia="en-GB"/>
              </w:rPr>
              <w:t> </w:t>
            </w:r>
          </w:p>
        </w:tc>
      </w:tr>
      <w:tr w:rsidR="0003552F" w:rsidRPr="00EB2995" w:rsidTr="0003552F">
        <w:trPr>
          <w:gridAfter w:val="3"/>
          <w:wAfter w:w="621" w:type="dxa"/>
          <w:trHeight w:hRule="exact" w:val="284"/>
        </w:trPr>
        <w:tc>
          <w:tcPr>
            <w:tcW w:w="1264" w:type="dxa"/>
            <w:tcBorders>
              <w:top w:val="nil"/>
              <w:left w:val="single" w:sz="8" w:space="0" w:color="auto"/>
              <w:bottom w:val="nil"/>
              <w:right w:val="single" w:sz="8" w:space="0" w:color="auto"/>
            </w:tcBorders>
            <w:vAlign w:val="bottom"/>
          </w:tcPr>
          <w:p w:rsidR="0003552F" w:rsidRPr="00EB2995" w:rsidRDefault="0003552F" w:rsidP="0003552F">
            <w:pPr>
              <w:jc w:val="right"/>
              <w:rPr>
                <w:rFonts w:cs="Calibri"/>
                <w:bCs/>
                <w:color w:val="000000"/>
                <w:lang w:eastAsia="en-GB"/>
              </w:rPr>
            </w:pPr>
            <w:r w:rsidRPr="00EB2995">
              <w:rPr>
                <w:rFonts w:cs="Calibri"/>
                <w:color w:val="000000"/>
              </w:rPr>
              <w:t>15.7</w:t>
            </w:r>
          </w:p>
        </w:tc>
        <w:tc>
          <w:tcPr>
            <w:tcW w:w="897" w:type="dxa"/>
            <w:tcBorders>
              <w:top w:val="nil"/>
              <w:left w:val="single" w:sz="8" w:space="0" w:color="auto"/>
              <w:bottom w:val="nil"/>
              <w:right w:val="single" w:sz="8" w:space="0" w:color="auto"/>
            </w:tcBorders>
            <w:vAlign w:val="bottom"/>
          </w:tcPr>
          <w:p w:rsidR="0003552F" w:rsidRPr="00EB2995" w:rsidRDefault="0003552F" w:rsidP="0003552F">
            <w:pPr>
              <w:jc w:val="right"/>
              <w:rPr>
                <w:rFonts w:cs="Calibri"/>
                <w:bCs/>
                <w:color w:val="000000"/>
                <w:lang w:eastAsia="en-GB"/>
              </w:rPr>
            </w:pPr>
            <w:r w:rsidRPr="00EB2995">
              <w:rPr>
                <w:rFonts w:cs="Calibri"/>
                <w:color w:val="000000"/>
              </w:rPr>
              <w:t>(1.1)</w:t>
            </w:r>
          </w:p>
        </w:tc>
        <w:tc>
          <w:tcPr>
            <w:tcW w:w="1660" w:type="dxa"/>
            <w:tcBorders>
              <w:top w:val="nil"/>
              <w:left w:val="single" w:sz="8" w:space="0" w:color="auto"/>
              <w:bottom w:val="nil"/>
              <w:right w:val="single" w:sz="8" w:space="0" w:color="auto"/>
            </w:tcBorders>
            <w:noWrap/>
            <w:vAlign w:val="center"/>
          </w:tcPr>
          <w:p w:rsidR="0003552F" w:rsidRPr="00EB2995" w:rsidRDefault="0003552F" w:rsidP="0003552F">
            <w:pPr>
              <w:jc w:val="right"/>
              <w:rPr>
                <w:rFonts w:cs="Calibri"/>
                <w:b/>
                <w:bCs/>
                <w:color w:val="000000"/>
                <w:lang w:eastAsia="en-GB"/>
              </w:rPr>
            </w:pPr>
            <w:r w:rsidRPr="00EB2995">
              <w:rPr>
                <w:rFonts w:cs="Calibri"/>
                <w:b/>
                <w:bCs/>
                <w:color w:val="000000"/>
              </w:rPr>
              <w:t>14.6</w:t>
            </w:r>
          </w:p>
        </w:tc>
        <w:tc>
          <w:tcPr>
            <w:tcW w:w="5951" w:type="dxa"/>
            <w:gridSpan w:val="3"/>
            <w:tcBorders>
              <w:top w:val="nil"/>
              <w:left w:val="nil"/>
              <w:bottom w:val="nil"/>
              <w:right w:val="nil"/>
            </w:tcBorders>
            <w:vAlign w:val="center"/>
          </w:tcPr>
          <w:p w:rsidR="0003552F" w:rsidRPr="00EB2995" w:rsidRDefault="0003552F" w:rsidP="0003552F">
            <w:pPr>
              <w:rPr>
                <w:rFonts w:cs="Calibri"/>
                <w:color w:val="000000"/>
                <w:lang w:eastAsia="en-GB"/>
              </w:rPr>
            </w:pPr>
            <w:r w:rsidRPr="00EB2995">
              <w:rPr>
                <w:rFonts w:cs="Calibri"/>
                <w:color w:val="000000"/>
                <w:lang w:eastAsia="en-GB"/>
              </w:rPr>
              <w:t>Chief Executive Department</w:t>
            </w:r>
          </w:p>
        </w:tc>
        <w:tc>
          <w:tcPr>
            <w:tcW w:w="1336" w:type="dxa"/>
            <w:gridSpan w:val="2"/>
            <w:tcBorders>
              <w:top w:val="nil"/>
              <w:left w:val="single" w:sz="8" w:space="0" w:color="auto"/>
              <w:bottom w:val="nil"/>
              <w:right w:val="single" w:sz="8" w:space="0" w:color="auto"/>
            </w:tcBorders>
            <w:noWrap/>
            <w:vAlign w:val="bottom"/>
          </w:tcPr>
          <w:p w:rsidR="0003552F" w:rsidRPr="00EB2995" w:rsidRDefault="0003552F" w:rsidP="0003552F">
            <w:pPr>
              <w:jc w:val="right"/>
              <w:rPr>
                <w:rFonts w:cs="Calibri"/>
                <w:color w:val="000000"/>
                <w:lang w:eastAsia="en-GB"/>
              </w:rPr>
            </w:pPr>
            <w:r>
              <w:rPr>
                <w:rFonts w:cs="Calibri"/>
                <w:color w:val="000000"/>
              </w:rPr>
              <w:t>20.1</w:t>
            </w:r>
          </w:p>
        </w:tc>
        <w:tc>
          <w:tcPr>
            <w:tcW w:w="1366" w:type="dxa"/>
            <w:gridSpan w:val="4"/>
            <w:tcBorders>
              <w:top w:val="nil"/>
              <w:left w:val="nil"/>
              <w:bottom w:val="nil"/>
              <w:right w:val="single" w:sz="8" w:space="0" w:color="auto"/>
            </w:tcBorders>
            <w:noWrap/>
            <w:vAlign w:val="bottom"/>
          </w:tcPr>
          <w:p w:rsidR="0003552F" w:rsidRPr="00EB2995" w:rsidRDefault="0003552F" w:rsidP="0003552F">
            <w:pPr>
              <w:jc w:val="right"/>
              <w:rPr>
                <w:rFonts w:cs="Calibri"/>
                <w:color w:val="000000"/>
                <w:lang w:eastAsia="en-GB"/>
              </w:rPr>
            </w:pPr>
            <w:r>
              <w:rPr>
                <w:rFonts w:cs="Calibri"/>
                <w:color w:val="000000"/>
              </w:rPr>
              <w:t>(0.9)</w:t>
            </w:r>
          </w:p>
        </w:tc>
        <w:tc>
          <w:tcPr>
            <w:tcW w:w="1417" w:type="dxa"/>
            <w:tcBorders>
              <w:top w:val="nil"/>
              <w:left w:val="nil"/>
              <w:bottom w:val="nil"/>
              <w:right w:val="single" w:sz="8" w:space="0" w:color="auto"/>
            </w:tcBorders>
            <w:noWrap/>
            <w:vAlign w:val="center"/>
          </w:tcPr>
          <w:p w:rsidR="0003552F" w:rsidRPr="00EB2995" w:rsidRDefault="0003552F" w:rsidP="0003552F">
            <w:pPr>
              <w:jc w:val="right"/>
              <w:rPr>
                <w:rFonts w:cs="Calibri"/>
                <w:b/>
                <w:bCs/>
                <w:color w:val="000000"/>
                <w:lang w:eastAsia="en-GB"/>
              </w:rPr>
            </w:pPr>
            <w:r>
              <w:rPr>
                <w:rFonts w:cs="Calibri"/>
                <w:b/>
                <w:bCs/>
                <w:color w:val="000000"/>
              </w:rPr>
              <w:t>19.2</w:t>
            </w:r>
          </w:p>
        </w:tc>
        <w:tc>
          <w:tcPr>
            <w:tcW w:w="856" w:type="dxa"/>
            <w:gridSpan w:val="2"/>
            <w:tcBorders>
              <w:top w:val="nil"/>
              <w:left w:val="nil"/>
              <w:bottom w:val="nil"/>
            </w:tcBorders>
            <w:noWrap/>
            <w:vAlign w:val="bottom"/>
          </w:tcPr>
          <w:p w:rsidR="0003552F" w:rsidRPr="00EB2995" w:rsidRDefault="0003552F" w:rsidP="0003552F">
            <w:pPr>
              <w:rPr>
                <w:rFonts w:cs="Calibri"/>
                <w:color w:val="000000"/>
                <w:lang w:eastAsia="en-GB"/>
              </w:rPr>
            </w:pPr>
            <w:r w:rsidRPr="00EB2995">
              <w:rPr>
                <w:rFonts w:cs="Calibri"/>
                <w:color w:val="000000"/>
                <w:lang w:eastAsia="en-GB"/>
              </w:rPr>
              <w:t> </w:t>
            </w:r>
          </w:p>
        </w:tc>
      </w:tr>
      <w:tr w:rsidR="0003552F" w:rsidRPr="00EB2995" w:rsidTr="0003552F">
        <w:trPr>
          <w:gridAfter w:val="3"/>
          <w:wAfter w:w="621" w:type="dxa"/>
          <w:trHeight w:hRule="exact" w:val="284"/>
        </w:trPr>
        <w:tc>
          <w:tcPr>
            <w:tcW w:w="1264" w:type="dxa"/>
            <w:tcBorders>
              <w:top w:val="nil"/>
              <w:left w:val="single" w:sz="8" w:space="0" w:color="auto"/>
              <w:bottom w:val="nil"/>
              <w:right w:val="single" w:sz="8" w:space="0" w:color="auto"/>
            </w:tcBorders>
            <w:vAlign w:val="center"/>
          </w:tcPr>
          <w:p w:rsidR="0003552F" w:rsidRPr="00EB2995" w:rsidRDefault="0003552F" w:rsidP="0003552F">
            <w:pPr>
              <w:jc w:val="right"/>
              <w:rPr>
                <w:rFonts w:cs="Calibri"/>
                <w:bCs/>
                <w:color w:val="000000"/>
                <w:lang w:eastAsia="en-GB"/>
              </w:rPr>
            </w:pPr>
            <w:r w:rsidRPr="00EB2995">
              <w:rPr>
                <w:rFonts w:cs="Calibri"/>
                <w:color w:val="000000"/>
              </w:rPr>
              <w:t>76.0</w:t>
            </w:r>
          </w:p>
        </w:tc>
        <w:tc>
          <w:tcPr>
            <w:tcW w:w="897" w:type="dxa"/>
            <w:tcBorders>
              <w:top w:val="nil"/>
              <w:left w:val="single" w:sz="8" w:space="0" w:color="auto"/>
              <w:bottom w:val="nil"/>
              <w:right w:val="single" w:sz="8" w:space="0" w:color="auto"/>
            </w:tcBorders>
            <w:vAlign w:val="center"/>
          </w:tcPr>
          <w:p w:rsidR="0003552F" w:rsidRPr="00EB2995" w:rsidRDefault="0003552F" w:rsidP="0003552F">
            <w:pPr>
              <w:jc w:val="right"/>
              <w:rPr>
                <w:rFonts w:cs="Calibri"/>
                <w:bCs/>
                <w:color w:val="000000"/>
                <w:lang w:eastAsia="en-GB"/>
              </w:rPr>
            </w:pPr>
            <w:r w:rsidRPr="00EB2995">
              <w:rPr>
                <w:rFonts w:cs="Calibri"/>
                <w:color w:val="000000"/>
              </w:rPr>
              <w:t>(24.2)</w:t>
            </w:r>
          </w:p>
        </w:tc>
        <w:tc>
          <w:tcPr>
            <w:tcW w:w="1660" w:type="dxa"/>
            <w:tcBorders>
              <w:top w:val="nil"/>
              <w:left w:val="single" w:sz="8" w:space="0" w:color="auto"/>
              <w:bottom w:val="nil"/>
              <w:right w:val="single" w:sz="8" w:space="0" w:color="auto"/>
            </w:tcBorders>
            <w:noWrap/>
            <w:vAlign w:val="center"/>
          </w:tcPr>
          <w:p w:rsidR="0003552F" w:rsidRPr="00EB2995" w:rsidRDefault="0003552F" w:rsidP="0003552F">
            <w:pPr>
              <w:jc w:val="right"/>
              <w:rPr>
                <w:rFonts w:cs="Calibri"/>
                <w:b/>
                <w:bCs/>
                <w:color w:val="000000"/>
                <w:lang w:eastAsia="en-GB"/>
              </w:rPr>
            </w:pPr>
            <w:r w:rsidRPr="00EB2995">
              <w:rPr>
                <w:rFonts w:cs="Calibri"/>
                <w:b/>
                <w:bCs/>
                <w:color w:val="000000"/>
              </w:rPr>
              <w:t>51.8</w:t>
            </w:r>
          </w:p>
        </w:tc>
        <w:tc>
          <w:tcPr>
            <w:tcW w:w="5951" w:type="dxa"/>
            <w:gridSpan w:val="3"/>
            <w:tcBorders>
              <w:top w:val="nil"/>
              <w:left w:val="nil"/>
              <w:bottom w:val="nil"/>
              <w:right w:val="nil"/>
            </w:tcBorders>
            <w:vAlign w:val="center"/>
          </w:tcPr>
          <w:p w:rsidR="0003552F" w:rsidRPr="00EB2995" w:rsidRDefault="0003552F" w:rsidP="0003552F">
            <w:pPr>
              <w:rPr>
                <w:rFonts w:cs="Calibri"/>
                <w:color w:val="000000"/>
                <w:lang w:eastAsia="en-GB"/>
              </w:rPr>
            </w:pPr>
            <w:r w:rsidRPr="00EB2995">
              <w:rPr>
                <w:rFonts w:cs="Calibri"/>
                <w:color w:val="000000"/>
              </w:rPr>
              <w:t>Children &amp; Young People (GF)</w:t>
            </w:r>
          </w:p>
        </w:tc>
        <w:tc>
          <w:tcPr>
            <w:tcW w:w="1336" w:type="dxa"/>
            <w:gridSpan w:val="2"/>
            <w:tcBorders>
              <w:top w:val="nil"/>
              <w:left w:val="single" w:sz="8" w:space="0" w:color="auto"/>
              <w:bottom w:val="nil"/>
              <w:right w:val="single" w:sz="8" w:space="0" w:color="auto"/>
            </w:tcBorders>
            <w:noWrap/>
            <w:vAlign w:val="center"/>
          </w:tcPr>
          <w:p w:rsidR="0003552F" w:rsidRPr="00EB2995" w:rsidRDefault="0003552F" w:rsidP="0003552F">
            <w:pPr>
              <w:jc w:val="right"/>
              <w:rPr>
                <w:rFonts w:cs="Calibri"/>
                <w:color w:val="000000"/>
                <w:lang w:eastAsia="en-GB"/>
              </w:rPr>
            </w:pPr>
            <w:r>
              <w:rPr>
                <w:rFonts w:cs="Calibri"/>
                <w:color w:val="000000"/>
              </w:rPr>
              <w:t>80.6</w:t>
            </w:r>
          </w:p>
        </w:tc>
        <w:tc>
          <w:tcPr>
            <w:tcW w:w="1366" w:type="dxa"/>
            <w:gridSpan w:val="4"/>
            <w:tcBorders>
              <w:top w:val="nil"/>
              <w:left w:val="nil"/>
              <w:bottom w:val="nil"/>
              <w:right w:val="single" w:sz="8" w:space="0" w:color="auto"/>
            </w:tcBorders>
            <w:noWrap/>
            <w:vAlign w:val="center"/>
          </w:tcPr>
          <w:p w:rsidR="0003552F" w:rsidRPr="00EB2995" w:rsidRDefault="0003552F" w:rsidP="0003552F">
            <w:pPr>
              <w:jc w:val="right"/>
              <w:rPr>
                <w:rFonts w:cs="Calibri"/>
                <w:color w:val="000000"/>
                <w:lang w:eastAsia="en-GB"/>
              </w:rPr>
            </w:pPr>
            <w:r>
              <w:rPr>
                <w:rFonts w:cs="Calibri"/>
                <w:color w:val="000000"/>
              </w:rPr>
              <w:t>(30.2)</w:t>
            </w:r>
          </w:p>
        </w:tc>
        <w:tc>
          <w:tcPr>
            <w:tcW w:w="1417" w:type="dxa"/>
            <w:tcBorders>
              <w:top w:val="nil"/>
              <w:left w:val="nil"/>
              <w:bottom w:val="nil"/>
              <w:right w:val="single" w:sz="8" w:space="0" w:color="auto"/>
            </w:tcBorders>
            <w:noWrap/>
            <w:vAlign w:val="center"/>
          </w:tcPr>
          <w:p w:rsidR="0003552F" w:rsidRPr="00EB2995" w:rsidRDefault="0003552F" w:rsidP="0003552F">
            <w:pPr>
              <w:jc w:val="right"/>
              <w:rPr>
                <w:rFonts w:cs="Calibri"/>
                <w:b/>
                <w:bCs/>
                <w:color w:val="000000"/>
                <w:lang w:eastAsia="en-GB"/>
              </w:rPr>
            </w:pPr>
            <w:r>
              <w:rPr>
                <w:rFonts w:cs="Calibri"/>
                <w:b/>
                <w:bCs/>
                <w:color w:val="000000"/>
              </w:rPr>
              <w:t>50.4</w:t>
            </w:r>
          </w:p>
        </w:tc>
        <w:tc>
          <w:tcPr>
            <w:tcW w:w="856" w:type="dxa"/>
            <w:gridSpan w:val="2"/>
            <w:tcBorders>
              <w:top w:val="nil"/>
              <w:left w:val="nil"/>
              <w:bottom w:val="nil"/>
            </w:tcBorders>
            <w:noWrap/>
            <w:vAlign w:val="bottom"/>
          </w:tcPr>
          <w:p w:rsidR="0003552F" w:rsidRPr="00EB2995" w:rsidRDefault="0003552F" w:rsidP="0003552F">
            <w:pPr>
              <w:rPr>
                <w:rFonts w:cs="Calibri"/>
                <w:color w:val="000000"/>
                <w:lang w:eastAsia="en-GB"/>
              </w:rPr>
            </w:pPr>
            <w:r w:rsidRPr="00EB2995">
              <w:rPr>
                <w:rFonts w:cs="Calibri"/>
                <w:color w:val="000000"/>
                <w:lang w:eastAsia="en-GB"/>
              </w:rPr>
              <w:t> </w:t>
            </w:r>
          </w:p>
        </w:tc>
      </w:tr>
      <w:tr w:rsidR="0003552F" w:rsidRPr="00EB2995" w:rsidTr="0003552F">
        <w:trPr>
          <w:gridAfter w:val="3"/>
          <w:wAfter w:w="621" w:type="dxa"/>
          <w:trHeight w:hRule="exact" w:val="284"/>
        </w:trPr>
        <w:tc>
          <w:tcPr>
            <w:tcW w:w="1264" w:type="dxa"/>
            <w:tcBorders>
              <w:top w:val="nil"/>
              <w:left w:val="single" w:sz="8" w:space="0" w:color="auto"/>
              <w:bottom w:val="nil"/>
              <w:right w:val="single" w:sz="8" w:space="0" w:color="auto"/>
            </w:tcBorders>
            <w:vAlign w:val="center"/>
          </w:tcPr>
          <w:p w:rsidR="0003552F" w:rsidRPr="00EB2995" w:rsidRDefault="0003552F" w:rsidP="0003552F">
            <w:pPr>
              <w:jc w:val="right"/>
              <w:rPr>
                <w:rFonts w:cs="Calibri"/>
                <w:bCs/>
                <w:color w:val="000000"/>
                <w:lang w:eastAsia="en-GB"/>
              </w:rPr>
            </w:pPr>
            <w:r w:rsidRPr="00EB2995">
              <w:rPr>
                <w:rFonts w:cs="Calibri"/>
                <w:color w:val="000000"/>
              </w:rPr>
              <w:t>233.9</w:t>
            </w:r>
          </w:p>
        </w:tc>
        <w:tc>
          <w:tcPr>
            <w:tcW w:w="897" w:type="dxa"/>
            <w:tcBorders>
              <w:top w:val="nil"/>
              <w:left w:val="single" w:sz="8" w:space="0" w:color="auto"/>
              <w:bottom w:val="nil"/>
              <w:right w:val="single" w:sz="8" w:space="0" w:color="auto"/>
            </w:tcBorders>
            <w:vAlign w:val="center"/>
          </w:tcPr>
          <w:p w:rsidR="0003552F" w:rsidRPr="00EB2995" w:rsidRDefault="0003552F" w:rsidP="0003552F">
            <w:pPr>
              <w:jc w:val="right"/>
              <w:rPr>
                <w:rFonts w:cs="Calibri"/>
                <w:bCs/>
                <w:color w:val="000000"/>
                <w:lang w:eastAsia="en-GB"/>
              </w:rPr>
            </w:pPr>
            <w:r w:rsidRPr="00EB2995">
              <w:rPr>
                <w:rFonts w:cs="Calibri"/>
                <w:color w:val="000000"/>
              </w:rPr>
              <w:t>(213.4)</w:t>
            </w:r>
          </w:p>
        </w:tc>
        <w:tc>
          <w:tcPr>
            <w:tcW w:w="1660" w:type="dxa"/>
            <w:tcBorders>
              <w:top w:val="nil"/>
              <w:left w:val="single" w:sz="8" w:space="0" w:color="auto"/>
              <w:bottom w:val="nil"/>
              <w:right w:val="single" w:sz="8" w:space="0" w:color="auto"/>
            </w:tcBorders>
            <w:noWrap/>
            <w:vAlign w:val="center"/>
          </w:tcPr>
          <w:p w:rsidR="0003552F" w:rsidRPr="00EB2995" w:rsidRDefault="0003552F" w:rsidP="0003552F">
            <w:pPr>
              <w:jc w:val="right"/>
              <w:rPr>
                <w:rFonts w:cs="Calibri"/>
                <w:b/>
                <w:bCs/>
                <w:color w:val="000000"/>
                <w:lang w:eastAsia="en-GB"/>
              </w:rPr>
            </w:pPr>
            <w:r w:rsidRPr="00EB2995">
              <w:rPr>
                <w:rFonts w:cs="Calibri"/>
                <w:b/>
                <w:bCs/>
                <w:color w:val="000000"/>
              </w:rPr>
              <w:t>20.5</w:t>
            </w:r>
          </w:p>
        </w:tc>
        <w:tc>
          <w:tcPr>
            <w:tcW w:w="5951" w:type="dxa"/>
            <w:gridSpan w:val="3"/>
            <w:tcBorders>
              <w:top w:val="nil"/>
              <w:left w:val="nil"/>
              <w:bottom w:val="nil"/>
              <w:right w:val="nil"/>
            </w:tcBorders>
            <w:vAlign w:val="center"/>
          </w:tcPr>
          <w:p w:rsidR="0003552F" w:rsidRPr="00EB2995" w:rsidRDefault="0003552F" w:rsidP="0003552F">
            <w:pPr>
              <w:rPr>
                <w:rFonts w:cs="Calibri"/>
                <w:color w:val="000000"/>
                <w:lang w:eastAsia="en-GB"/>
              </w:rPr>
            </w:pPr>
            <w:r w:rsidRPr="00EB2995">
              <w:rPr>
                <w:rFonts w:cs="Calibri"/>
                <w:color w:val="000000"/>
              </w:rPr>
              <w:t>Children &amp; Young People (DSG)</w:t>
            </w:r>
          </w:p>
        </w:tc>
        <w:tc>
          <w:tcPr>
            <w:tcW w:w="1336" w:type="dxa"/>
            <w:gridSpan w:val="2"/>
            <w:tcBorders>
              <w:top w:val="nil"/>
              <w:left w:val="single" w:sz="8" w:space="0" w:color="auto"/>
              <w:bottom w:val="nil"/>
              <w:right w:val="single" w:sz="8" w:space="0" w:color="auto"/>
            </w:tcBorders>
            <w:noWrap/>
            <w:vAlign w:val="center"/>
          </w:tcPr>
          <w:p w:rsidR="0003552F" w:rsidRPr="00EB2995" w:rsidRDefault="00EA2048" w:rsidP="00EA2048">
            <w:pPr>
              <w:jc w:val="right"/>
              <w:rPr>
                <w:rFonts w:cs="Calibri"/>
                <w:color w:val="000000"/>
                <w:lang w:eastAsia="en-GB"/>
              </w:rPr>
            </w:pPr>
            <w:r>
              <w:rPr>
                <w:rFonts w:cs="Calibri"/>
                <w:color w:val="000000"/>
              </w:rPr>
              <w:t>233.8</w:t>
            </w:r>
          </w:p>
        </w:tc>
        <w:tc>
          <w:tcPr>
            <w:tcW w:w="1366" w:type="dxa"/>
            <w:gridSpan w:val="4"/>
            <w:tcBorders>
              <w:top w:val="nil"/>
              <w:left w:val="nil"/>
              <w:bottom w:val="nil"/>
              <w:right w:val="single" w:sz="8" w:space="0" w:color="auto"/>
            </w:tcBorders>
            <w:noWrap/>
            <w:vAlign w:val="center"/>
          </w:tcPr>
          <w:p w:rsidR="0003552F" w:rsidRPr="00EB2995" w:rsidRDefault="0003552F" w:rsidP="0003552F">
            <w:pPr>
              <w:jc w:val="right"/>
              <w:rPr>
                <w:rFonts w:cs="Calibri"/>
                <w:color w:val="000000"/>
                <w:lang w:eastAsia="en-GB"/>
              </w:rPr>
            </w:pPr>
            <w:r>
              <w:rPr>
                <w:rFonts w:cs="Calibri"/>
                <w:color w:val="000000"/>
              </w:rPr>
              <w:t>(202.3)</w:t>
            </w:r>
          </w:p>
        </w:tc>
        <w:tc>
          <w:tcPr>
            <w:tcW w:w="1417" w:type="dxa"/>
            <w:tcBorders>
              <w:top w:val="nil"/>
              <w:left w:val="nil"/>
              <w:bottom w:val="nil"/>
              <w:right w:val="single" w:sz="8" w:space="0" w:color="auto"/>
            </w:tcBorders>
            <w:noWrap/>
            <w:vAlign w:val="center"/>
          </w:tcPr>
          <w:p w:rsidR="0003552F" w:rsidRPr="00EB2995" w:rsidRDefault="00EA2048" w:rsidP="0003552F">
            <w:pPr>
              <w:jc w:val="right"/>
              <w:rPr>
                <w:rFonts w:cs="Calibri"/>
                <w:b/>
                <w:bCs/>
                <w:color w:val="000000"/>
                <w:lang w:eastAsia="en-GB"/>
              </w:rPr>
            </w:pPr>
            <w:r>
              <w:rPr>
                <w:rFonts w:cs="Calibri"/>
                <w:b/>
                <w:bCs/>
                <w:color w:val="000000"/>
              </w:rPr>
              <w:t>31.5</w:t>
            </w:r>
          </w:p>
        </w:tc>
        <w:tc>
          <w:tcPr>
            <w:tcW w:w="856" w:type="dxa"/>
            <w:gridSpan w:val="2"/>
            <w:tcBorders>
              <w:top w:val="nil"/>
              <w:left w:val="nil"/>
              <w:bottom w:val="nil"/>
            </w:tcBorders>
            <w:noWrap/>
            <w:vAlign w:val="bottom"/>
          </w:tcPr>
          <w:p w:rsidR="0003552F" w:rsidRPr="00EB2995" w:rsidRDefault="0003552F" w:rsidP="0003552F">
            <w:pPr>
              <w:rPr>
                <w:rFonts w:cs="Calibri"/>
                <w:color w:val="000000"/>
                <w:lang w:eastAsia="en-GB"/>
              </w:rPr>
            </w:pPr>
            <w:r w:rsidRPr="00EB2995">
              <w:rPr>
                <w:rFonts w:cs="Calibri"/>
                <w:color w:val="000000"/>
                <w:lang w:eastAsia="en-GB"/>
              </w:rPr>
              <w:t> </w:t>
            </w:r>
          </w:p>
        </w:tc>
      </w:tr>
      <w:tr w:rsidR="0003552F" w:rsidRPr="00EB2995" w:rsidTr="0003552F">
        <w:trPr>
          <w:gridAfter w:val="3"/>
          <w:wAfter w:w="621" w:type="dxa"/>
          <w:trHeight w:hRule="exact" w:val="284"/>
        </w:trPr>
        <w:tc>
          <w:tcPr>
            <w:tcW w:w="1264" w:type="dxa"/>
            <w:tcBorders>
              <w:top w:val="nil"/>
              <w:left w:val="single" w:sz="8" w:space="0" w:color="auto"/>
              <w:bottom w:val="nil"/>
              <w:right w:val="single" w:sz="8" w:space="0" w:color="auto"/>
            </w:tcBorders>
            <w:vAlign w:val="center"/>
          </w:tcPr>
          <w:p w:rsidR="0003552F" w:rsidRPr="00EB2995" w:rsidRDefault="0003552F" w:rsidP="0003552F">
            <w:pPr>
              <w:jc w:val="right"/>
              <w:rPr>
                <w:rFonts w:cs="Calibri"/>
                <w:bCs/>
                <w:color w:val="000000"/>
                <w:lang w:eastAsia="en-GB"/>
              </w:rPr>
            </w:pPr>
            <w:r w:rsidRPr="00EB2995">
              <w:rPr>
                <w:rFonts w:cs="Calibri"/>
                <w:color w:val="000000"/>
              </w:rPr>
              <w:t>216.4</w:t>
            </w:r>
          </w:p>
        </w:tc>
        <w:tc>
          <w:tcPr>
            <w:tcW w:w="897" w:type="dxa"/>
            <w:tcBorders>
              <w:top w:val="nil"/>
              <w:left w:val="single" w:sz="8" w:space="0" w:color="auto"/>
              <w:bottom w:val="nil"/>
              <w:right w:val="single" w:sz="8" w:space="0" w:color="auto"/>
            </w:tcBorders>
            <w:vAlign w:val="center"/>
          </w:tcPr>
          <w:p w:rsidR="0003552F" w:rsidRPr="00EB2995" w:rsidRDefault="0003552F" w:rsidP="0003552F">
            <w:pPr>
              <w:jc w:val="right"/>
              <w:rPr>
                <w:rFonts w:cs="Calibri"/>
                <w:bCs/>
                <w:color w:val="000000"/>
                <w:lang w:eastAsia="en-GB"/>
              </w:rPr>
            </w:pPr>
            <w:r w:rsidRPr="00EB2995">
              <w:rPr>
                <w:rFonts w:cs="Calibri"/>
                <w:color w:val="000000"/>
              </w:rPr>
              <w:t>(90.1)</w:t>
            </w:r>
          </w:p>
        </w:tc>
        <w:tc>
          <w:tcPr>
            <w:tcW w:w="1660" w:type="dxa"/>
            <w:tcBorders>
              <w:top w:val="nil"/>
              <w:left w:val="single" w:sz="8" w:space="0" w:color="auto"/>
              <w:bottom w:val="nil"/>
              <w:right w:val="single" w:sz="8" w:space="0" w:color="auto"/>
            </w:tcBorders>
            <w:noWrap/>
            <w:vAlign w:val="center"/>
          </w:tcPr>
          <w:p w:rsidR="0003552F" w:rsidRPr="00EB2995" w:rsidRDefault="0003552F" w:rsidP="0003552F">
            <w:pPr>
              <w:jc w:val="right"/>
              <w:rPr>
                <w:rFonts w:cs="Calibri"/>
                <w:b/>
                <w:bCs/>
                <w:color w:val="000000"/>
                <w:lang w:eastAsia="en-GB"/>
              </w:rPr>
            </w:pPr>
            <w:r w:rsidRPr="00EB2995">
              <w:rPr>
                <w:rFonts w:cs="Calibri"/>
                <w:b/>
                <w:bCs/>
                <w:color w:val="000000"/>
              </w:rPr>
              <w:t>126.3</w:t>
            </w:r>
          </w:p>
        </w:tc>
        <w:tc>
          <w:tcPr>
            <w:tcW w:w="5951" w:type="dxa"/>
            <w:gridSpan w:val="3"/>
            <w:tcBorders>
              <w:top w:val="nil"/>
              <w:left w:val="nil"/>
              <w:bottom w:val="nil"/>
              <w:right w:val="nil"/>
            </w:tcBorders>
            <w:vAlign w:val="center"/>
          </w:tcPr>
          <w:p w:rsidR="0003552F" w:rsidRPr="00EB2995" w:rsidRDefault="0003552F" w:rsidP="0003552F">
            <w:pPr>
              <w:rPr>
                <w:rFonts w:cs="Calibri"/>
                <w:color w:val="000000"/>
                <w:lang w:eastAsia="en-GB"/>
              </w:rPr>
            </w:pPr>
            <w:r w:rsidRPr="00EB2995">
              <w:rPr>
                <w:rFonts w:cs="Calibri"/>
                <w:color w:val="000000"/>
              </w:rPr>
              <w:t>Community Wellbeing (GF)</w:t>
            </w:r>
          </w:p>
        </w:tc>
        <w:tc>
          <w:tcPr>
            <w:tcW w:w="1336" w:type="dxa"/>
            <w:gridSpan w:val="2"/>
            <w:tcBorders>
              <w:top w:val="nil"/>
              <w:left w:val="single" w:sz="8" w:space="0" w:color="auto"/>
              <w:bottom w:val="nil"/>
              <w:right w:val="single" w:sz="8" w:space="0" w:color="auto"/>
            </w:tcBorders>
            <w:noWrap/>
            <w:vAlign w:val="center"/>
          </w:tcPr>
          <w:p w:rsidR="0003552F" w:rsidRPr="00EB2995" w:rsidRDefault="00EA2048" w:rsidP="0003552F">
            <w:pPr>
              <w:jc w:val="right"/>
              <w:rPr>
                <w:rFonts w:cs="Calibri"/>
                <w:color w:val="000000"/>
                <w:lang w:eastAsia="en-GB"/>
              </w:rPr>
            </w:pPr>
            <w:r>
              <w:rPr>
                <w:rFonts w:cs="Calibri"/>
                <w:color w:val="000000"/>
              </w:rPr>
              <w:t>232.4</w:t>
            </w:r>
          </w:p>
        </w:tc>
        <w:tc>
          <w:tcPr>
            <w:tcW w:w="1366" w:type="dxa"/>
            <w:gridSpan w:val="4"/>
            <w:tcBorders>
              <w:top w:val="nil"/>
              <w:left w:val="nil"/>
              <w:bottom w:val="nil"/>
              <w:right w:val="single" w:sz="8" w:space="0" w:color="auto"/>
            </w:tcBorders>
            <w:noWrap/>
            <w:vAlign w:val="center"/>
          </w:tcPr>
          <w:p w:rsidR="0003552F" w:rsidRPr="00EB2995" w:rsidRDefault="0003552F" w:rsidP="0003552F">
            <w:pPr>
              <w:jc w:val="right"/>
              <w:rPr>
                <w:rFonts w:cs="Calibri"/>
                <w:color w:val="000000"/>
                <w:lang w:eastAsia="en-GB"/>
              </w:rPr>
            </w:pPr>
            <w:r>
              <w:rPr>
                <w:rFonts w:cs="Calibri"/>
                <w:color w:val="000000"/>
              </w:rPr>
              <w:t>(79.8)</w:t>
            </w:r>
          </w:p>
        </w:tc>
        <w:tc>
          <w:tcPr>
            <w:tcW w:w="1417" w:type="dxa"/>
            <w:tcBorders>
              <w:top w:val="nil"/>
              <w:left w:val="nil"/>
              <w:bottom w:val="nil"/>
              <w:right w:val="single" w:sz="8" w:space="0" w:color="auto"/>
            </w:tcBorders>
            <w:noWrap/>
            <w:vAlign w:val="center"/>
          </w:tcPr>
          <w:p w:rsidR="0003552F" w:rsidRPr="00EB2995" w:rsidRDefault="00EA2048" w:rsidP="0003552F">
            <w:pPr>
              <w:jc w:val="right"/>
              <w:rPr>
                <w:rFonts w:cs="Calibri"/>
                <w:b/>
                <w:bCs/>
                <w:color w:val="000000"/>
                <w:lang w:eastAsia="en-GB"/>
              </w:rPr>
            </w:pPr>
            <w:r>
              <w:rPr>
                <w:rFonts w:cs="Calibri"/>
                <w:b/>
                <w:bCs/>
                <w:color w:val="000000"/>
              </w:rPr>
              <w:t>152.6</w:t>
            </w:r>
          </w:p>
        </w:tc>
        <w:tc>
          <w:tcPr>
            <w:tcW w:w="856" w:type="dxa"/>
            <w:gridSpan w:val="2"/>
            <w:tcBorders>
              <w:top w:val="nil"/>
              <w:left w:val="nil"/>
              <w:bottom w:val="nil"/>
            </w:tcBorders>
            <w:noWrap/>
            <w:vAlign w:val="bottom"/>
          </w:tcPr>
          <w:p w:rsidR="0003552F" w:rsidRPr="00EB2995" w:rsidRDefault="0003552F" w:rsidP="0003552F">
            <w:pPr>
              <w:rPr>
                <w:rFonts w:cs="Calibri"/>
                <w:color w:val="000000"/>
                <w:lang w:eastAsia="en-GB"/>
              </w:rPr>
            </w:pPr>
            <w:r w:rsidRPr="00EB2995">
              <w:rPr>
                <w:rFonts w:cs="Calibri"/>
                <w:color w:val="000000"/>
                <w:lang w:eastAsia="en-GB"/>
              </w:rPr>
              <w:t> </w:t>
            </w:r>
          </w:p>
        </w:tc>
      </w:tr>
      <w:tr w:rsidR="0003552F" w:rsidRPr="00EB2995" w:rsidTr="0003552F">
        <w:trPr>
          <w:gridAfter w:val="3"/>
          <w:wAfter w:w="621" w:type="dxa"/>
          <w:trHeight w:hRule="exact" w:val="284"/>
        </w:trPr>
        <w:tc>
          <w:tcPr>
            <w:tcW w:w="1264" w:type="dxa"/>
            <w:tcBorders>
              <w:top w:val="nil"/>
              <w:left w:val="single" w:sz="8" w:space="0" w:color="auto"/>
              <w:bottom w:val="nil"/>
              <w:right w:val="single" w:sz="8" w:space="0" w:color="auto"/>
            </w:tcBorders>
            <w:vAlign w:val="center"/>
          </w:tcPr>
          <w:p w:rsidR="0003552F" w:rsidRPr="00EB2995" w:rsidRDefault="0003552F" w:rsidP="0003552F">
            <w:pPr>
              <w:jc w:val="right"/>
              <w:rPr>
                <w:rFonts w:cs="Calibri"/>
                <w:bCs/>
                <w:color w:val="000000"/>
                <w:lang w:eastAsia="en-GB"/>
              </w:rPr>
            </w:pPr>
            <w:r w:rsidRPr="00EB2995">
              <w:rPr>
                <w:rFonts w:cs="Calibri"/>
                <w:color w:val="000000"/>
              </w:rPr>
              <w:t>72.1</w:t>
            </w:r>
          </w:p>
        </w:tc>
        <w:tc>
          <w:tcPr>
            <w:tcW w:w="897" w:type="dxa"/>
            <w:tcBorders>
              <w:top w:val="nil"/>
              <w:left w:val="single" w:sz="8" w:space="0" w:color="auto"/>
              <w:bottom w:val="nil"/>
              <w:right w:val="single" w:sz="8" w:space="0" w:color="auto"/>
            </w:tcBorders>
            <w:vAlign w:val="center"/>
          </w:tcPr>
          <w:p w:rsidR="0003552F" w:rsidRPr="00EB2995" w:rsidRDefault="0003552F" w:rsidP="0003552F">
            <w:pPr>
              <w:jc w:val="right"/>
              <w:rPr>
                <w:rFonts w:cs="Calibri"/>
                <w:bCs/>
                <w:color w:val="000000"/>
                <w:lang w:eastAsia="en-GB"/>
              </w:rPr>
            </w:pPr>
            <w:r w:rsidRPr="00EB2995">
              <w:rPr>
                <w:rFonts w:cs="Calibri"/>
                <w:color w:val="000000"/>
              </w:rPr>
              <w:t>(55.1)</w:t>
            </w:r>
          </w:p>
        </w:tc>
        <w:tc>
          <w:tcPr>
            <w:tcW w:w="1660" w:type="dxa"/>
            <w:tcBorders>
              <w:top w:val="nil"/>
              <w:left w:val="single" w:sz="8" w:space="0" w:color="auto"/>
              <w:bottom w:val="nil"/>
              <w:right w:val="single" w:sz="8" w:space="0" w:color="auto"/>
            </w:tcBorders>
            <w:noWrap/>
            <w:vAlign w:val="center"/>
          </w:tcPr>
          <w:p w:rsidR="0003552F" w:rsidRPr="00EB2995" w:rsidRDefault="0003552F" w:rsidP="0003552F">
            <w:pPr>
              <w:jc w:val="right"/>
              <w:rPr>
                <w:rFonts w:cs="Calibri"/>
                <w:b/>
                <w:bCs/>
                <w:color w:val="000000"/>
                <w:lang w:eastAsia="en-GB"/>
              </w:rPr>
            </w:pPr>
            <w:r w:rsidRPr="00EB2995">
              <w:rPr>
                <w:rFonts w:cs="Calibri"/>
                <w:b/>
                <w:bCs/>
                <w:color w:val="000000"/>
              </w:rPr>
              <w:t>17.0</w:t>
            </w:r>
          </w:p>
        </w:tc>
        <w:tc>
          <w:tcPr>
            <w:tcW w:w="5951" w:type="dxa"/>
            <w:gridSpan w:val="3"/>
            <w:tcBorders>
              <w:top w:val="nil"/>
              <w:left w:val="nil"/>
              <w:bottom w:val="nil"/>
              <w:right w:val="nil"/>
            </w:tcBorders>
            <w:vAlign w:val="center"/>
          </w:tcPr>
          <w:p w:rsidR="0003552F" w:rsidRPr="00EB2995" w:rsidRDefault="0003552F" w:rsidP="0003552F">
            <w:pPr>
              <w:rPr>
                <w:rFonts w:cs="Calibri"/>
                <w:color w:val="000000"/>
                <w:lang w:eastAsia="en-GB"/>
              </w:rPr>
            </w:pPr>
            <w:r w:rsidRPr="00EB2995">
              <w:rPr>
                <w:rFonts w:cs="Calibri"/>
                <w:color w:val="000000"/>
              </w:rPr>
              <w:t>Community Wellbeing (HRA)</w:t>
            </w:r>
          </w:p>
        </w:tc>
        <w:tc>
          <w:tcPr>
            <w:tcW w:w="1336" w:type="dxa"/>
            <w:gridSpan w:val="2"/>
            <w:tcBorders>
              <w:top w:val="nil"/>
              <w:left w:val="single" w:sz="8" w:space="0" w:color="auto"/>
              <w:bottom w:val="nil"/>
              <w:right w:val="single" w:sz="8" w:space="0" w:color="auto"/>
            </w:tcBorders>
            <w:noWrap/>
            <w:vAlign w:val="center"/>
          </w:tcPr>
          <w:p w:rsidR="0003552F" w:rsidRPr="00EB2995" w:rsidRDefault="0003552F" w:rsidP="0003552F">
            <w:pPr>
              <w:jc w:val="right"/>
              <w:rPr>
                <w:rFonts w:cs="Calibri"/>
                <w:color w:val="000000"/>
                <w:lang w:eastAsia="en-GB"/>
              </w:rPr>
            </w:pPr>
            <w:r>
              <w:rPr>
                <w:rFonts w:cs="Calibri"/>
                <w:color w:val="000000"/>
              </w:rPr>
              <w:t>59.0</w:t>
            </w:r>
          </w:p>
        </w:tc>
        <w:tc>
          <w:tcPr>
            <w:tcW w:w="1366" w:type="dxa"/>
            <w:gridSpan w:val="4"/>
            <w:tcBorders>
              <w:top w:val="nil"/>
              <w:left w:val="nil"/>
              <w:bottom w:val="nil"/>
              <w:right w:val="single" w:sz="8" w:space="0" w:color="auto"/>
            </w:tcBorders>
            <w:noWrap/>
            <w:vAlign w:val="center"/>
          </w:tcPr>
          <w:p w:rsidR="0003552F" w:rsidRPr="00EB2995" w:rsidRDefault="0003552F" w:rsidP="0003552F">
            <w:pPr>
              <w:jc w:val="right"/>
              <w:rPr>
                <w:rFonts w:cs="Calibri"/>
                <w:color w:val="000000"/>
                <w:lang w:eastAsia="en-GB"/>
              </w:rPr>
            </w:pPr>
            <w:r>
              <w:rPr>
                <w:rFonts w:cs="Calibri"/>
                <w:color w:val="000000"/>
              </w:rPr>
              <w:t>(55.6)</w:t>
            </w:r>
          </w:p>
        </w:tc>
        <w:tc>
          <w:tcPr>
            <w:tcW w:w="1417" w:type="dxa"/>
            <w:tcBorders>
              <w:top w:val="nil"/>
              <w:left w:val="nil"/>
              <w:bottom w:val="nil"/>
              <w:right w:val="single" w:sz="8" w:space="0" w:color="auto"/>
            </w:tcBorders>
            <w:noWrap/>
            <w:vAlign w:val="center"/>
          </w:tcPr>
          <w:p w:rsidR="0003552F" w:rsidRPr="00EB2995" w:rsidRDefault="0003552F" w:rsidP="0003552F">
            <w:pPr>
              <w:jc w:val="right"/>
              <w:rPr>
                <w:rFonts w:cs="Calibri"/>
                <w:b/>
                <w:bCs/>
                <w:color w:val="000000"/>
                <w:lang w:eastAsia="en-GB"/>
              </w:rPr>
            </w:pPr>
            <w:r>
              <w:rPr>
                <w:rFonts w:cs="Calibri"/>
                <w:b/>
                <w:bCs/>
                <w:color w:val="000000"/>
              </w:rPr>
              <w:t>3.4</w:t>
            </w:r>
          </w:p>
        </w:tc>
        <w:tc>
          <w:tcPr>
            <w:tcW w:w="856" w:type="dxa"/>
            <w:gridSpan w:val="2"/>
            <w:tcBorders>
              <w:top w:val="nil"/>
              <w:left w:val="nil"/>
              <w:bottom w:val="nil"/>
            </w:tcBorders>
            <w:noWrap/>
            <w:vAlign w:val="bottom"/>
          </w:tcPr>
          <w:p w:rsidR="0003552F" w:rsidRPr="00EB2995" w:rsidRDefault="0003552F" w:rsidP="0003552F">
            <w:pPr>
              <w:rPr>
                <w:rFonts w:cs="Calibri"/>
                <w:color w:val="000000"/>
                <w:lang w:eastAsia="en-GB"/>
              </w:rPr>
            </w:pPr>
            <w:r w:rsidRPr="00EB2995">
              <w:rPr>
                <w:rFonts w:cs="Calibri"/>
                <w:color w:val="000000"/>
                <w:lang w:eastAsia="en-GB"/>
              </w:rPr>
              <w:t> </w:t>
            </w:r>
          </w:p>
        </w:tc>
      </w:tr>
      <w:tr w:rsidR="0003552F" w:rsidRPr="00EB2995" w:rsidTr="0003552F">
        <w:trPr>
          <w:gridAfter w:val="3"/>
          <w:wAfter w:w="621" w:type="dxa"/>
          <w:trHeight w:hRule="exact" w:val="284"/>
        </w:trPr>
        <w:tc>
          <w:tcPr>
            <w:tcW w:w="1264" w:type="dxa"/>
            <w:tcBorders>
              <w:top w:val="nil"/>
              <w:left w:val="single" w:sz="8" w:space="0" w:color="auto"/>
              <w:bottom w:val="nil"/>
              <w:right w:val="single" w:sz="8" w:space="0" w:color="auto"/>
            </w:tcBorders>
            <w:vAlign w:val="center"/>
          </w:tcPr>
          <w:p w:rsidR="0003552F" w:rsidRPr="00EB2995" w:rsidRDefault="0003552F" w:rsidP="0003552F">
            <w:pPr>
              <w:jc w:val="right"/>
              <w:rPr>
                <w:rFonts w:cs="Calibri"/>
                <w:bCs/>
                <w:color w:val="000000"/>
                <w:lang w:eastAsia="en-GB"/>
              </w:rPr>
            </w:pPr>
            <w:r w:rsidRPr="00EB2995">
              <w:rPr>
                <w:rFonts w:cs="Calibri"/>
                <w:color w:val="000000"/>
              </w:rPr>
              <w:t>38.7</w:t>
            </w:r>
          </w:p>
        </w:tc>
        <w:tc>
          <w:tcPr>
            <w:tcW w:w="897" w:type="dxa"/>
            <w:tcBorders>
              <w:top w:val="nil"/>
              <w:left w:val="single" w:sz="8" w:space="0" w:color="auto"/>
              <w:bottom w:val="nil"/>
              <w:right w:val="single" w:sz="8" w:space="0" w:color="auto"/>
            </w:tcBorders>
            <w:vAlign w:val="center"/>
          </w:tcPr>
          <w:p w:rsidR="0003552F" w:rsidRPr="00EB2995" w:rsidRDefault="0003552F" w:rsidP="0003552F">
            <w:pPr>
              <w:jc w:val="right"/>
              <w:rPr>
                <w:rFonts w:cs="Calibri"/>
                <w:bCs/>
                <w:color w:val="000000"/>
                <w:lang w:eastAsia="en-GB"/>
              </w:rPr>
            </w:pPr>
            <w:r w:rsidRPr="00EB2995">
              <w:rPr>
                <w:rFonts w:cs="Calibri"/>
                <w:color w:val="000000"/>
              </w:rPr>
              <w:t>(19.3)</w:t>
            </w:r>
          </w:p>
        </w:tc>
        <w:tc>
          <w:tcPr>
            <w:tcW w:w="1660" w:type="dxa"/>
            <w:tcBorders>
              <w:top w:val="nil"/>
              <w:left w:val="single" w:sz="8" w:space="0" w:color="auto"/>
              <w:bottom w:val="nil"/>
              <w:right w:val="single" w:sz="8" w:space="0" w:color="auto"/>
            </w:tcBorders>
            <w:noWrap/>
            <w:vAlign w:val="center"/>
          </w:tcPr>
          <w:p w:rsidR="0003552F" w:rsidRPr="00EB2995" w:rsidRDefault="0003552F" w:rsidP="0003552F">
            <w:pPr>
              <w:jc w:val="right"/>
              <w:rPr>
                <w:rFonts w:cs="Calibri"/>
                <w:b/>
                <w:bCs/>
                <w:color w:val="000000"/>
                <w:lang w:eastAsia="en-GB"/>
              </w:rPr>
            </w:pPr>
            <w:r w:rsidRPr="00EB2995">
              <w:rPr>
                <w:rFonts w:cs="Calibri"/>
                <w:b/>
                <w:bCs/>
                <w:color w:val="000000"/>
              </w:rPr>
              <w:t>19.4</w:t>
            </w:r>
          </w:p>
        </w:tc>
        <w:tc>
          <w:tcPr>
            <w:tcW w:w="5951" w:type="dxa"/>
            <w:gridSpan w:val="3"/>
            <w:tcBorders>
              <w:top w:val="nil"/>
              <w:left w:val="nil"/>
              <w:bottom w:val="nil"/>
              <w:right w:val="nil"/>
            </w:tcBorders>
            <w:vAlign w:val="center"/>
          </w:tcPr>
          <w:p w:rsidR="0003552F" w:rsidRPr="00EB2995" w:rsidRDefault="0003552F" w:rsidP="0003552F">
            <w:pPr>
              <w:rPr>
                <w:rFonts w:cs="Calibri"/>
                <w:color w:val="000000"/>
                <w:lang w:eastAsia="en-GB"/>
              </w:rPr>
            </w:pPr>
            <w:r w:rsidRPr="00EB2995">
              <w:rPr>
                <w:rFonts w:cs="Calibri"/>
                <w:color w:val="000000"/>
              </w:rPr>
              <w:t>Customer &amp; Digital Services</w:t>
            </w:r>
          </w:p>
        </w:tc>
        <w:tc>
          <w:tcPr>
            <w:tcW w:w="1336" w:type="dxa"/>
            <w:gridSpan w:val="2"/>
            <w:tcBorders>
              <w:top w:val="nil"/>
              <w:left w:val="single" w:sz="8" w:space="0" w:color="auto"/>
              <w:right w:val="single" w:sz="8" w:space="0" w:color="auto"/>
            </w:tcBorders>
            <w:noWrap/>
            <w:vAlign w:val="center"/>
          </w:tcPr>
          <w:p w:rsidR="0003552F" w:rsidRPr="00EB2995" w:rsidRDefault="0003552F" w:rsidP="0003552F">
            <w:pPr>
              <w:jc w:val="right"/>
              <w:rPr>
                <w:rFonts w:cs="Calibri"/>
                <w:color w:val="000000"/>
                <w:lang w:eastAsia="en-GB"/>
              </w:rPr>
            </w:pPr>
            <w:r>
              <w:rPr>
                <w:rFonts w:cs="Calibri"/>
                <w:color w:val="000000"/>
              </w:rPr>
              <w:t>38.8</w:t>
            </w:r>
          </w:p>
        </w:tc>
        <w:tc>
          <w:tcPr>
            <w:tcW w:w="1366" w:type="dxa"/>
            <w:gridSpan w:val="4"/>
            <w:tcBorders>
              <w:top w:val="nil"/>
              <w:left w:val="nil"/>
              <w:right w:val="single" w:sz="8" w:space="0" w:color="auto"/>
            </w:tcBorders>
            <w:noWrap/>
            <w:vAlign w:val="center"/>
          </w:tcPr>
          <w:p w:rsidR="0003552F" w:rsidRPr="00EB2995" w:rsidRDefault="0003552F" w:rsidP="0003552F">
            <w:pPr>
              <w:jc w:val="right"/>
              <w:rPr>
                <w:rFonts w:cs="Calibri"/>
                <w:color w:val="000000"/>
                <w:lang w:eastAsia="en-GB"/>
              </w:rPr>
            </w:pPr>
            <w:r>
              <w:rPr>
                <w:rFonts w:cs="Calibri"/>
                <w:color w:val="000000"/>
              </w:rPr>
              <w:t>(17.9)</w:t>
            </w:r>
          </w:p>
        </w:tc>
        <w:tc>
          <w:tcPr>
            <w:tcW w:w="1417" w:type="dxa"/>
            <w:tcBorders>
              <w:top w:val="nil"/>
              <w:left w:val="nil"/>
              <w:right w:val="single" w:sz="8" w:space="0" w:color="auto"/>
            </w:tcBorders>
            <w:noWrap/>
            <w:vAlign w:val="center"/>
          </w:tcPr>
          <w:p w:rsidR="0003552F" w:rsidRPr="00EB2995" w:rsidRDefault="0003552F" w:rsidP="0003552F">
            <w:pPr>
              <w:jc w:val="right"/>
              <w:rPr>
                <w:rFonts w:cs="Calibri"/>
                <w:b/>
                <w:bCs/>
                <w:color w:val="000000"/>
                <w:lang w:eastAsia="en-GB"/>
              </w:rPr>
            </w:pPr>
            <w:r>
              <w:rPr>
                <w:rFonts w:cs="Calibri"/>
                <w:b/>
                <w:bCs/>
                <w:color w:val="000000"/>
              </w:rPr>
              <w:t>20.9</w:t>
            </w:r>
          </w:p>
        </w:tc>
        <w:tc>
          <w:tcPr>
            <w:tcW w:w="856" w:type="dxa"/>
            <w:gridSpan w:val="2"/>
            <w:tcBorders>
              <w:top w:val="nil"/>
              <w:left w:val="nil"/>
              <w:bottom w:val="nil"/>
            </w:tcBorders>
            <w:noWrap/>
            <w:vAlign w:val="bottom"/>
          </w:tcPr>
          <w:p w:rsidR="0003552F" w:rsidRPr="00EB2995" w:rsidRDefault="0003552F" w:rsidP="0003552F">
            <w:pPr>
              <w:rPr>
                <w:rFonts w:cs="Calibri"/>
                <w:color w:val="000000"/>
                <w:lang w:eastAsia="en-GB"/>
              </w:rPr>
            </w:pPr>
            <w:r w:rsidRPr="00EB2995">
              <w:rPr>
                <w:rFonts w:cs="Calibri"/>
                <w:color w:val="000000"/>
                <w:lang w:eastAsia="en-GB"/>
              </w:rPr>
              <w:t> </w:t>
            </w:r>
          </w:p>
        </w:tc>
      </w:tr>
      <w:tr w:rsidR="0003552F" w:rsidRPr="00EB2995" w:rsidTr="0003552F">
        <w:trPr>
          <w:gridAfter w:val="3"/>
          <w:wAfter w:w="621" w:type="dxa"/>
          <w:trHeight w:hRule="exact" w:val="284"/>
        </w:trPr>
        <w:tc>
          <w:tcPr>
            <w:tcW w:w="1264" w:type="dxa"/>
            <w:tcBorders>
              <w:top w:val="nil"/>
              <w:left w:val="single" w:sz="8" w:space="0" w:color="auto"/>
              <w:bottom w:val="nil"/>
              <w:right w:val="single" w:sz="8" w:space="0" w:color="auto"/>
            </w:tcBorders>
            <w:vAlign w:val="bottom"/>
          </w:tcPr>
          <w:p w:rsidR="0003552F" w:rsidRPr="00EB2995" w:rsidRDefault="0003552F" w:rsidP="0003552F">
            <w:pPr>
              <w:jc w:val="right"/>
              <w:rPr>
                <w:rFonts w:cs="Calibri"/>
                <w:color w:val="000000"/>
                <w:lang w:eastAsia="en-GB"/>
              </w:rPr>
            </w:pPr>
            <w:r w:rsidRPr="00EB2995">
              <w:rPr>
                <w:rFonts w:cs="Calibri"/>
                <w:color w:val="000000"/>
              </w:rPr>
              <w:t>93.7</w:t>
            </w:r>
          </w:p>
        </w:tc>
        <w:tc>
          <w:tcPr>
            <w:tcW w:w="897" w:type="dxa"/>
            <w:tcBorders>
              <w:top w:val="nil"/>
              <w:left w:val="single" w:sz="8" w:space="0" w:color="auto"/>
              <w:bottom w:val="nil"/>
              <w:right w:val="single" w:sz="8" w:space="0" w:color="auto"/>
            </w:tcBorders>
            <w:vAlign w:val="bottom"/>
          </w:tcPr>
          <w:p w:rsidR="0003552F" w:rsidRPr="00EB2995" w:rsidRDefault="0003552F" w:rsidP="0003552F">
            <w:pPr>
              <w:jc w:val="right"/>
              <w:rPr>
                <w:rFonts w:cs="Calibri"/>
                <w:color w:val="000000"/>
                <w:lang w:eastAsia="en-GB"/>
              </w:rPr>
            </w:pPr>
            <w:r w:rsidRPr="00EB2995">
              <w:rPr>
                <w:rFonts w:cs="Calibri"/>
                <w:color w:val="000000"/>
              </w:rPr>
              <w:t>(44.9)</w:t>
            </w:r>
          </w:p>
        </w:tc>
        <w:tc>
          <w:tcPr>
            <w:tcW w:w="1660" w:type="dxa"/>
            <w:tcBorders>
              <w:top w:val="nil"/>
              <w:left w:val="single" w:sz="8" w:space="0" w:color="auto"/>
              <w:bottom w:val="nil"/>
              <w:right w:val="single" w:sz="8" w:space="0" w:color="auto"/>
            </w:tcBorders>
            <w:noWrap/>
            <w:vAlign w:val="center"/>
          </w:tcPr>
          <w:p w:rsidR="0003552F" w:rsidRPr="00EB2995" w:rsidRDefault="0003552F" w:rsidP="0003552F">
            <w:pPr>
              <w:jc w:val="right"/>
              <w:rPr>
                <w:rFonts w:cs="Calibri"/>
                <w:b/>
                <w:bCs/>
                <w:color w:val="000000"/>
                <w:lang w:eastAsia="en-GB"/>
              </w:rPr>
            </w:pPr>
            <w:r w:rsidRPr="00EB2995">
              <w:rPr>
                <w:rFonts w:cs="Calibri"/>
                <w:b/>
                <w:bCs/>
                <w:color w:val="000000"/>
              </w:rPr>
              <w:t>48.8</w:t>
            </w:r>
          </w:p>
        </w:tc>
        <w:tc>
          <w:tcPr>
            <w:tcW w:w="5951" w:type="dxa"/>
            <w:gridSpan w:val="3"/>
            <w:tcBorders>
              <w:top w:val="nil"/>
              <w:left w:val="nil"/>
              <w:bottom w:val="nil"/>
              <w:right w:val="nil"/>
            </w:tcBorders>
            <w:vAlign w:val="bottom"/>
          </w:tcPr>
          <w:p w:rsidR="0003552F" w:rsidRPr="00EB2995" w:rsidRDefault="0003552F" w:rsidP="0003552F">
            <w:pPr>
              <w:rPr>
                <w:rFonts w:cs="Calibri"/>
                <w:color w:val="000000"/>
                <w:lang w:eastAsia="en-GB"/>
              </w:rPr>
            </w:pPr>
            <w:r w:rsidRPr="00EB2995">
              <w:rPr>
                <w:rFonts w:cs="Calibri"/>
                <w:color w:val="000000"/>
              </w:rPr>
              <w:t>Regeneration &amp; Environment</w:t>
            </w:r>
          </w:p>
        </w:tc>
        <w:tc>
          <w:tcPr>
            <w:tcW w:w="1336" w:type="dxa"/>
            <w:gridSpan w:val="2"/>
            <w:tcBorders>
              <w:top w:val="nil"/>
              <w:left w:val="single" w:sz="8" w:space="0" w:color="auto"/>
              <w:right w:val="single" w:sz="8" w:space="0" w:color="auto"/>
            </w:tcBorders>
            <w:noWrap/>
            <w:vAlign w:val="bottom"/>
          </w:tcPr>
          <w:p w:rsidR="0003552F" w:rsidRPr="00EB2995" w:rsidRDefault="0003552F" w:rsidP="0003552F">
            <w:pPr>
              <w:jc w:val="right"/>
              <w:rPr>
                <w:rFonts w:cs="Calibri"/>
                <w:color w:val="000000"/>
                <w:lang w:eastAsia="en-GB"/>
              </w:rPr>
            </w:pPr>
            <w:r>
              <w:rPr>
                <w:rFonts w:cs="Calibri"/>
                <w:color w:val="000000"/>
              </w:rPr>
              <w:t>90.9</w:t>
            </w:r>
          </w:p>
        </w:tc>
        <w:tc>
          <w:tcPr>
            <w:tcW w:w="1366" w:type="dxa"/>
            <w:gridSpan w:val="4"/>
            <w:tcBorders>
              <w:top w:val="nil"/>
              <w:left w:val="nil"/>
              <w:right w:val="single" w:sz="8" w:space="0" w:color="auto"/>
            </w:tcBorders>
            <w:noWrap/>
            <w:vAlign w:val="bottom"/>
          </w:tcPr>
          <w:p w:rsidR="0003552F" w:rsidRPr="00EB2995" w:rsidRDefault="0003552F" w:rsidP="0003552F">
            <w:pPr>
              <w:jc w:val="right"/>
              <w:rPr>
                <w:rFonts w:cs="Calibri"/>
                <w:color w:val="000000"/>
                <w:lang w:eastAsia="en-GB"/>
              </w:rPr>
            </w:pPr>
            <w:r>
              <w:rPr>
                <w:rFonts w:cs="Calibri"/>
                <w:color w:val="000000"/>
              </w:rPr>
              <w:t>(48.1)</w:t>
            </w:r>
          </w:p>
        </w:tc>
        <w:tc>
          <w:tcPr>
            <w:tcW w:w="1417" w:type="dxa"/>
            <w:tcBorders>
              <w:top w:val="nil"/>
              <w:left w:val="nil"/>
              <w:right w:val="single" w:sz="8" w:space="0" w:color="auto"/>
            </w:tcBorders>
            <w:noWrap/>
            <w:vAlign w:val="center"/>
          </w:tcPr>
          <w:p w:rsidR="0003552F" w:rsidRPr="00EB2995" w:rsidRDefault="0003552F" w:rsidP="0003552F">
            <w:pPr>
              <w:jc w:val="right"/>
              <w:rPr>
                <w:rFonts w:cs="Calibri"/>
                <w:b/>
                <w:bCs/>
                <w:color w:val="000000"/>
                <w:lang w:eastAsia="en-GB"/>
              </w:rPr>
            </w:pPr>
            <w:r>
              <w:rPr>
                <w:rFonts w:cs="Calibri"/>
                <w:b/>
                <w:bCs/>
                <w:color w:val="000000"/>
              </w:rPr>
              <w:t>42.8</w:t>
            </w:r>
          </w:p>
        </w:tc>
        <w:tc>
          <w:tcPr>
            <w:tcW w:w="856" w:type="dxa"/>
            <w:gridSpan w:val="2"/>
            <w:tcBorders>
              <w:top w:val="nil"/>
              <w:left w:val="nil"/>
              <w:bottom w:val="nil"/>
            </w:tcBorders>
            <w:noWrap/>
            <w:vAlign w:val="bottom"/>
          </w:tcPr>
          <w:p w:rsidR="0003552F" w:rsidRPr="00EB2995" w:rsidRDefault="0003552F" w:rsidP="0003552F">
            <w:pPr>
              <w:rPr>
                <w:rFonts w:cs="Calibri"/>
                <w:color w:val="000000"/>
                <w:lang w:eastAsia="en-GB"/>
              </w:rPr>
            </w:pPr>
          </w:p>
        </w:tc>
      </w:tr>
      <w:tr w:rsidR="0003552F" w:rsidRPr="00EB2995" w:rsidTr="0003552F">
        <w:trPr>
          <w:gridAfter w:val="3"/>
          <w:wAfter w:w="621" w:type="dxa"/>
          <w:trHeight w:hRule="exact" w:val="284"/>
        </w:trPr>
        <w:tc>
          <w:tcPr>
            <w:tcW w:w="1264" w:type="dxa"/>
            <w:tcBorders>
              <w:top w:val="nil"/>
              <w:left w:val="single" w:sz="8" w:space="0" w:color="auto"/>
              <w:bottom w:val="nil"/>
              <w:right w:val="single" w:sz="8" w:space="0" w:color="auto"/>
            </w:tcBorders>
            <w:vAlign w:val="center"/>
          </w:tcPr>
          <w:p w:rsidR="0003552F" w:rsidRPr="00EB2995" w:rsidRDefault="0003552F" w:rsidP="0003552F">
            <w:pPr>
              <w:ind w:left="-531"/>
              <w:jc w:val="right"/>
              <w:rPr>
                <w:rFonts w:cs="Calibri"/>
                <w:bCs/>
                <w:color w:val="000000"/>
                <w:lang w:eastAsia="en-GB"/>
              </w:rPr>
            </w:pPr>
            <w:r w:rsidRPr="00EB2995">
              <w:rPr>
                <w:rFonts w:cs="Calibri"/>
                <w:color w:val="000000"/>
              </w:rPr>
              <w:t>352.3</w:t>
            </w:r>
          </w:p>
        </w:tc>
        <w:tc>
          <w:tcPr>
            <w:tcW w:w="897" w:type="dxa"/>
            <w:tcBorders>
              <w:top w:val="nil"/>
              <w:left w:val="single" w:sz="8" w:space="0" w:color="auto"/>
              <w:bottom w:val="nil"/>
              <w:right w:val="single" w:sz="8" w:space="0" w:color="auto"/>
            </w:tcBorders>
            <w:vAlign w:val="center"/>
          </w:tcPr>
          <w:p w:rsidR="0003552F" w:rsidRPr="00EB2995" w:rsidRDefault="0003552F" w:rsidP="0003552F">
            <w:pPr>
              <w:jc w:val="right"/>
              <w:rPr>
                <w:rFonts w:cs="Calibri"/>
                <w:bCs/>
                <w:color w:val="000000"/>
                <w:lang w:eastAsia="en-GB"/>
              </w:rPr>
            </w:pPr>
            <w:r w:rsidRPr="00EB2995">
              <w:rPr>
                <w:rFonts w:cs="Calibri"/>
                <w:color w:val="000000"/>
              </w:rPr>
              <w:t>(373.9)</w:t>
            </w:r>
          </w:p>
        </w:tc>
        <w:tc>
          <w:tcPr>
            <w:tcW w:w="1660" w:type="dxa"/>
            <w:tcBorders>
              <w:top w:val="nil"/>
              <w:left w:val="single" w:sz="8" w:space="0" w:color="auto"/>
              <w:bottom w:val="nil"/>
              <w:right w:val="single" w:sz="8" w:space="0" w:color="auto"/>
            </w:tcBorders>
            <w:noWrap/>
            <w:vAlign w:val="center"/>
          </w:tcPr>
          <w:p w:rsidR="0003552F" w:rsidRPr="00EB2995" w:rsidRDefault="0003552F" w:rsidP="0003552F">
            <w:pPr>
              <w:jc w:val="right"/>
              <w:rPr>
                <w:rFonts w:cs="Calibri"/>
                <w:b/>
                <w:bCs/>
                <w:color w:val="000000"/>
                <w:lang w:eastAsia="en-GB"/>
              </w:rPr>
            </w:pPr>
            <w:r w:rsidRPr="00EB2995">
              <w:rPr>
                <w:rFonts w:cs="Calibri"/>
                <w:b/>
                <w:bCs/>
                <w:color w:val="000000"/>
              </w:rPr>
              <w:t>(21.6)</w:t>
            </w:r>
          </w:p>
        </w:tc>
        <w:tc>
          <w:tcPr>
            <w:tcW w:w="5951" w:type="dxa"/>
            <w:gridSpan w:val="3"/>
            <w:tcBorders>
              <w:top w:val="nil"/>
              <w:left w:val="nil"/>
              <w:bottom w:val="nil"/>
              <w:right w:val="single" w:sz="4" w:space="0" w:color="auto"/>
            </w:tcBorders>
            <w:vAlign w:val="center"/>
          </w:tcPr>
          <w:p w:rsidR="0003552F" w:rsidRPr="00EB2995" w:rsidRDefault="0003552F" w:rsidP="0003552F">
            <w:pPr>
              <w:rPr>
                <w:rFonts w:cs="Calibri"/>
                <w:color w:val="000000"/>
                <w:lang w:eastAsia="en-GB"/>
              </w:rPr>
            </w:pPr>
            <w:r w:rsidRPr="00EB2995">
              <w:rPr>
                <w:rFonts w:cs="Calibri"/>
                <w:color w:val="000000"/>
                <w:lang w:eastAsia="en-GB"/>
              </w:rPr>
              <w:t>Central Items</w:t>
            </w:r>
          </w:p>
        </w:tc>
        <w:tc>
          <w:tcPr>
            <w:tcW w:w="1336" w:type="dxa"/>
            <w:gridSpan w:val="2"/>
            <w:tcBorders>
              <w:top w:val="nil"/>
              <w:left w:val="single" w:sz="4" w:space="0" w:color="auto"/>
              <w:bottom w:val="single" w:sz="4" w:space="0" w:color="auto"/>
              <w:right w:val="single" w:sz="4" w:space="0" w:color="auto"/>
            </w:tcBorders>
            <w:noWrap/>
            <w:vAlign w:val="center"/>
          </w:tcPr>
          <w:p w:rsidR="0003552F" w:rsidRPr="00EB2995" w:rsidRDefault="00EA2048" w:rsidP="0003552F">
            <w:pPr>
              <w:jc w:val="right"/>
              <w:rPr>
                <w:rFonts w:cs="Calibri"/>
                <w:color w:val="000000"/>
                <w:lang w:eastAsia="en-GB"/>
              </w:rPr>
            </w:pPr>
            <w:r>
              <w:rPr>
                <w:rFonts w:cs="Calibri"/>
                <w:color w:val="000000"/>
              </w:rPr>
              <w:t>306.6</w:t>
            </w:r>
          </w:p>
        </w:tc>
        <w:tc>
          <w:tcPr>
            <w:tcW w:w="1366" w:type="dxa"/>
            <w:gridSpan w:val="4"/>
            <w:tcBorders>
              <w:top w:val="nil"/>
              <w:left w:val="single" w:sz="4" w:space="0" w:color="auto"/>
              <w:bottom w:val="single" w:sz="4" w:space="0" w:color="auto"/>
              <w:right w:val="single" w:sz="4" w:space="0" w:color="auto"/>
            </w:tcBorders>
            <w:noWrap/>
            <w:vAlign w:val="center"/>
          </w:tcPr>
          <w:p w:rsidR="0003552F" w:rsidRPr="00EB2995" w:rsidRDefault="0003552F" w:rsidP="0003552F">
            <w:pPr>
              <w:jc w:val="right"/>
              <w:rPr>
                <w:rFonts w:cs="Calibri"/>
                <w:color w:val="000000"/>
                <w:lang w:eastAsia="en-GB"/>
              </w:rPr>
            </w:pPr>
            <w:r>
              <w:rPr>
                <w:rFonts w:cs="Calibri"/>
                <w:color w:val="000000"/>
              </w:rPr>
              <w:t>(358.5)</w:t>
            </w:r>
          </w:p>
        </w:tc>
        <w:tc>
          <w:tcPr>
            <w:tcW w:w="1417" w:type="dxa"/>
            <w:tcBorders>
              <w:top w:val="nil"/>
              <w:left w:val="single" w:sz="4" w:space="0" w:color="auto"/>
              <w:bottom w:val="single" w:sz="4" w:space="0" w:color="auto"/>
              <w:right w:val="single" w:sz="8" w:space="0" w:color="auto"/>
            </w:tcBorders>
            <w:noWrap/>
            <w:vAlign w:val="center"/>
          </w:tcPr>
          <w:p w:rsidR="0003552F" w:rsidRPr="00EB2995" w:rsidRDefault="00EA2048" w:rsidP="0003552F">
            <w:pPr>
              <w:jc w:val="right"/>
              <w:rPr>
                <w:rFonts w:cs="Calibri"/>
                <w:b/>
                <w:bCs/>
                <w:color w:val="000000"/>
                <w:lang w:eastAsia="en-GB"/>
              </w:rPr>
            </w:pPr>
            <w:r>
              <w:rPr>
                <w:rFonts w:cs="Calibri"/>
                <w:b/>
                <w:bCs/>
                <w:color w:val="000000"/>
              </w:rPr>
              <w:t>(51.9)</w:t>
            </w:r>
          </w:p>
        </w:tc>
        <w:tc>
          <w:tcPr>
            <w:tcW w:w="856" w:type="dxa"/>
            <w:gridSpan w:val="2"/>
            <w:tcBorders>
              <w:top w:val="nil"/>
              <w:left w:val="single" w:sz="8" w:space="0" w:color="auto"/>
              <w:bottom w:val="nil"/>
            </w:tcBorders>
            <w:noWrap/>
            <w:vAlign w:val="bottom"/>
          </w:tcPr>
          <w:p w:rsidR="0003552F" w:rsidRPr="00EB2995" w:rsidRDefault="0003552F" w:rsidP="0003552F">
            <w:pPr>
              <w:rPr>
                <w:rFonts w:cs="Calibri"/>
                <w:color w:val="000000"/>
                <w:lang w:eastAsia="en-GB"/>
              </w:rPr>
            </w:pPr>
          </w:p>
        </w:tc>
      </w:tr>
      <w:tr w:rsidR="0003552F" w:rsidRPr="00EB2995" w:rsidTr="0003552F">
        <w:trPr>
          <w:gridAfter w:val="3"/>
          <w:wAfter w:w="621" w:type="dxa"/>
          <w:trHeight w:hRule="exact" w:val="284"/>
        </w:trPr>
        <w:tc>
          <w:tcPr>
            <w:tcW w:w="1264" w:type="dxa"/>
            <w:tcBorders>
              <w:top w:val="single" w:sz="8" w:space="0" w:color="auto"/>
              <w:left w:val="single" w:sz="8" w:space="0" w:color="auto"/>
              <w:bottom w:val="single" w:sz="8" w:space="0" w:color="auto"/>
              <w:right w:val="single" w:sz="8" w:space="0" w:color="auto"/>
            </w:tcBorders>
            <w:vAlign w:val="center"/>
          </w:tcPr>
          <w:p w:rsidR="0003552F" w:rsidRPr="00EB2995" w:rsidRDefault="0003552F" w:rsidP="0003552F">
            <w:pPr>
              <w:ind w:left="-531"/>
              <w:jc w:val="right"/>
              <w:rPr>
                <w:rFonts w:cs="Calibri"/>
                <w:b/>
                <w:bCs/>
                <w:color w:val="000000"/>
                <w:lang w:eastAsia="en-GB"/>
              </w:rPr>
            </w:pPr>
            <w:r w:rsidRPr="00EB2995">
              <w:rPr>
                <w:rFonts w:cs="Calibri"/>
                <w:b/>
                <w:bCs/>
                <w:color w:val="000000"/>
              </w:rPr>
              <w:t>1,108.0</w:t>
            </w:r>
          </w:p>
        </w:tc>
        <w:tc>
          <w:tcPr>
            <w:tcW w:w="897" w:type="dxa"/>
            <w:tcBorders>
              <w:top w:val="single" w:sz="8" w:space="0" w:color="auto"/>
              <w:left w:val="single" w:sz="8" w:space="0" w:color="auto"/>
              <w:bottom w:val="single" w:sz="8" w:space="0" w:color="auto"/>
              <w:right w:val="single" w:sz="8" w:space="0" w:color="auto"/>
            </w:tcBorders>
            <w:vAlign w:val="center"/>
          </w:tcPr>
          <w:p w:rsidR="0003552F" w:rsidRPr="00EB2995" w:rsidRDefault="0003552F" w:rsidP="0003552F">
            <w:pPr>
              <w:jc w:val="right"/>
              <w:rPr>
                <w:rFonts w:cs="Calibri"/>
                <w:b/>
                <w:bCs/>
                <w:color w:val="000000"/>
                <w:lang w:eastAsia="en-GB"/>
              </w:rPr>
            </w:pPr>
            <w:r w:rsidRPr="00EB2995">
              <w:rPr>
                <w:rFonts w:cs="Calibri"/>
                <w:b/>
                <w:bCs/>
                <w:color w:val="000000"/>
              </w:rPr>
              <w:t>(823.8)</w:t>
            </w:r>
          </w:p>
        </w:tc>
        <w:tc>
          <w:tcPr>
            <w:tcW w:w="1660" w:type="dxa"/>
            <w:tcBorders>
              <w:top w:val="single" w:sz="8" w:space="0" w:color="auto"/>
              <w:left w:val="single" w:sz="8" w:space="0" w:color="auto"/>
              <w:bottom w:val="single" w:sz="4" w:space="0" w:color="auto"/>
              <w:right w:val="single" w:sz="8" w:space="0" w:color="auto"/>
            </w:tcBorders>
            <w:noWrap/>
            <w:vAlign w:val="center"/>
          </w:tcPr>
          <w:p w:rsidR="0003552F" w:rsidRPr="00EB2995" w:rsidRDefault="0003552F" w:rsidP="0003552F">
            <w:pPr>
              <w:jc w:val="right"/>
              <w:rPr>
                <w:rFonts w:cs="Calibri"/>
                <w:b/>
                <w:bCs/>
                <w:color w:val="000000"/>
                <w:lang w:eastAsia="en-GB"/>
              </w:rPr>
            </w:pPr>
            <w:r w:rsidRPr="00EB2995">
              <w:rPr>
                <w:rFonts w:cs="Calibri"/>
                <w:b/>
                <w:bCs/>
                <w:color w:val="000000"/>
              </w:rPr>
              <w:t>284.2</w:t>
            </w:r>
          </w:p>
        </w:tc>
        <w:tc>
          <w:tcPr>
            <w:tcW w:w="5951" w:type="dxa"/>
            <w:gridSpan w:val="3"/>
            <w:tcBorders>
              <w:top w:val="nil"/>
              <w:left w:val="nil"/>
              <w:bottom w:val="nil"/>
              <w:right w:val="single" w:sz="8" w:space="0" w:color="auto"/>
            </w:tcBorders>
            <w:vAlign w:val="center"/>
          </w:tcPr>
          <w:p w:rsidR="0003552F" w:rsidRPr="00EB2995" w:rsidRDefault="0003552F" w:rsidP="0003552F">
            <w:pPr>
              <w:rPr>
                <w:rFonts w:cs="Calibri"/>
                <w:b/>
                <w:bCs/>
                <w:color w:val="000000"/>
                <w:lang w:eastAsia="en-GB"/>
              </w:rPr>
            </w:pPr>
            <w:r w:rsidRPr="00EB2995">
              <w:rPr>
                <w:rFonts w:cs="Calibri"/>
                <w:b/>
                <w:bCs/>
                <w:color w:val="000000"/>
                <w:lang w:eastAsia="en-GB"/>
              </w:rPr>
              <w:t>Cost of Services</w:t>
            </w:r>
          </w:p>
        </w:tc>
        <w:tc>
          <w:tcPr>
            <w:tcW w:w="1336" w:type="dxa"/>
            <w:gridSpan w:val="2"/>
            <w:tcBorders>
              <w:top w:val="single" w:sz="4" w:space="0" w:color="auto"/>
              <w:left w:val="nil"/>
              <w:bottom w:val="single" w:sz="8" w:space="0" w:color="auto"/>
              <w:right w:val="single" w:sz="8" w:space="0" w:color="auto"/>
            </w:tcBorders>
            <w:noWrap/>
            <w:vAlign w:val="center"/>
          </w:tcPr>
          <w:p w:rsidR="0003552F" w:rsidRPr="00EB2995" w:rsidRDefault="00EA2048" w:rsidP="0003552F">
            <w:pPr>
              <w:jc w:val="right"/>
              <w:rPr>
                <w:rFonts w:cs="Calibri"/>
                <w:b/>
                <w:bCs/>
                <w:color w:val="000000"/>
                <w:lang w:eastAsia="en-GB"/>
              </w:rPr>
            </w:pPr>
            <w:r>
              <w:rPr>
                <w:rFonts w:cs="Calibri"/>
                <w:b/>
                <w:bCs/>
                <w:color w:val="000000"/>
              </w:rPr>
              <w:t>1,074.0</w:t>
            </w:r>
          </w:p>
        </w:tc>
        <w:tc>
          <w:tcPr>
            <w:tcW w:w="1366" w:type="dxa"/>
            <w:gridSpan w:val="4"/>
            <w:tcBorders>
              <w:top w:val="single" w:sz="4" w:space="0" w:color="auto"/>
              <w:left w:val="nil"/>
              <w:bottom w:val="single" w:sz="8" w:space="0" w:color="auto"/>
              <w:right w:val="single" w:sz="8" w:space="0" w:color="auto"/>
            </w:tcBorders>
            <w:noWrap/>
            <w:vAlign w:val="center"/>
          </w:tcPr>
          <w:p w:rsidR="0003552F" w:rsidRPr="00EB2995" w:rsidRDefault="0003552F" w:rsidP="0003552F">
            <w:pPr>
              <w:jc w:val="right"/>
              <w:rPr>
                <w:rFonts w:cs="Calibri"/>
                <w:b/>
                <w:bCs/>
                <w:color w:val="000000"/>
                <w:lang w:eastAsia="en-GB"/>
              </w:rPr>
            </w:pPr>
            <w:r>
              <w:rPr>
                <w:rFonts w:cs="Calibri"/>
                <w:b/>
                <w:bCs/>
                <w:color w:val="000000"/>
              </w:rPr>
              <w:t>(795.5)</w:t>
            </w:r>
          </w:p>
        </w:tc>
        <w:tc>
          <w:tcPr>
            <w:tcW w:w="1417" w:type="dxa"/>
            <w:tcBorders>
              <w:top w:val="single" w:sz="4" w:space="0" w:color="auto"/>
              <w:left w:val="nil"/>
              <w:bottom w:val="single" w:sz="8" w:space="0" w:color="auto"/>
              <w:right w:val="single" w:sz="8" w:space="0" w:color="auto"/>
            </w:tcBorders>
            <w:noWrap/>
            <w:vAlign w:val="center"/>
          </w:tcPr>
          <w:p w:rsidR="0003552F" w:rsidRPr="00EB2995" w:rsidRDefault="00EA2048" w:rsidP="0003552F">
            <w:pPr>
              <w:jc w:val="right"/>
              <w:rPr>
                <w:rFonts w:cs="Calibri"/>
                <w:b/>
                <w:bCs/>
                <w:color w:val="000000"/>
                <w:lang w:eastAsia="en-GB"/>
              </w:rPr>
            </w:pPr>
            <w:r>
              <w:rPr>
                <w:rFonts w:cs="Calibri"/>
                <w:b/>
                <w:bCs/>
                <w:color w:val="000000"/>
              </w:rPr>
              <w:t>278.5</w:t>
            </w:r>
          </w:p>
        </w:tc>
        <w:tc>
          <w:tcPr>
            <w:tcW w:w="856" w:type="dxa"/>
            <w:gridSpan w:val="2"/>
            <w:tcBorders>
              <w:top w:val="nil"/>
              <w:left w:val="nil"/>
              <w:bottom w:val="nil"/>
            </w:tcBorders>
            <w:noWrap/>
            <w:vAlign w:val="bottom"/>
          </w:tcPr>
          <w:p w:rsidR="0003552F" w:rsidRPr="00EB2995" w:rsidRDefault="0003552F" w:rsidP="0003552F">
            <w:pPr>
              <w:rPr>
                <w:rFonts w:cs="Calibri"/>
                <w:color w:val="000000"/>
                <w:lang w:eastAsia="en-GB"/>
              </w:rPr>
            </w:pPr>
            <w:r w:rsidRPr="00EB2995">
              <w:rPr>
                <w:rFonts w:cs="Calibri"/>
                <w:color w:val="000000"/>
                <w:lang w:eastAsia="en-GB"/>
              </w:rPr>
              <w:t> </w:t>
            </w:r>
          </w:p>
        </w:tc>
      </w:tr>
      <w:tr w:rsidR="0003552F" w:rsidRPr="00EB2995" w:rsidTr="0003552F">
        <w:trPr>
          <w:gridAfter w:val="1"/>
          <w:wAfter w:w="264" w:type="dxa"/>
          <w:trHeight w:hRule="exact" w:val="284"/>
        </w:trPr>
        <w:tc>
          <w:tcPr>
            <w:tcW w:w="1264" w:type="dxa"/>
            <w:tcBorders>
              <w:top w:val="single" w:sz="8" w:space="0" w:color="auto"/>
              <w:bottom w:val="nil"/>
            </w:tcBorders>
          </w:tcPr>
          <w:p w:rsidR="0003552F" w:rsidRPr="00EB2995" w:rsidRDefault="0003552F" w:rsidP="0003552F">
            <w:pPr>
              <w:ind w:left="-531"/>
              <w:jc w:val="right"/>
              <w:rPr>
                <w:rFonts w:cs="Calibri"/>
                <w:color w:val="000000"/>
                <w:lang w:eastAsia="en-GB"/>
              </w:rPr>
            </w:pPr>
          </w:p>
        </w:tc>
        <w:tc>
          <w:tcPr>
            <w:tcW w:w="897" w:type="dxa"/>
            <w:tcBorders>
              <w:top w:val="single" w:sz="8" w:space="0" w:color="auto"/>
              <w:bottom w:val="nil"/>
              <w:right w:val="single" w:sz="4" w:space="0" w:color="auto"/>
            </w:tcBorders>
          </w:tcPr>
          <w:p w:rsidR="0003552F" w:rsidRPr="00EB2995" w:rsidRDefault="0003552F" w:rsidP="0003552F">
            <w:pPr>
              <w:jc w:val="right"/>
              <w:rPr>
                <w:rFonts w:cs="Calibri"/>
                <w:color w:val="000000"/>
                <w:lang w:eastAsia="en-GB"/>
              </w:rPr>
            </w:pPr>
          </w:p>
        </w:tc>
        <w:tc>
          <w:tcPr>
            <w:tcW w:w="1660" w:type="dxa"/>
            <w:tcBorders>
              <w:top w:val="single" w:sz="4" w:space="0" w:color="auto"/>
              <w:left w:val="single" w:sz="4" w:space="0" w:color="auto"/>
              <w:right w:val="single" w:sz="4" w:space="0" w:color="auto"/>
            </w:tcBorders>
            <w:noWrap/>
            <w:vAlign w:val="center"/>
          </w:tcPr>
          <w:p w:rsidR="0003552F" w:rsidRPr="00EB2995" w:rsidRDefault="0003552F" w:rsidP="0003552F">
            <w:pPr>
              <w:jc w:val="right"/>
              <w:rPr>
                <w:rFonts w:cs="Calibri"/>
                <w:color w:val="000000"/>
                <w:lang w:eastAsia="en-GB"/>
              </w:rPr>
            </w:pPr>
            <w:r w:rsidRPr="00EB2995">
              <w:rPr>
                <w:rFonts w:cs="Calibri"/>
                <w:color w:val="000000"/>
                <w:lang w:eastAsia="en-GB"/>
              </w:rPr>
              <w:t>63.2</w:t>
            </w:r>
          </w:p>
        </w:tc>
        <w:tc>
          <w:tcPr>
            <w:tcW w:w="5951" w:type="dxa"/>
            <w:gridSpan w:val="3"/>
            <w:tcBorders>
              <w:top w:val="nil"/>
              <w:left w:val="single" w:sz="4" w:space="0" w:color="auto"/>
              <w:right w:val="nil"/>
            </w:tcBorders>
            <w:vAlign w:val="center"/>
          </w:tcPr>
          <w:p w:rsidR="0003552F" w:rsidRPr="00EB2995" w:rsidRDefault="0003552F" w:rsidP="0003552F">
            <w:pPr>
              <w:rPr>
                <w:rFonts w:cs="Calibri"/>
                <w:color w:val="000000"/>
                <w:lang w:eastAsia="en-GB"/>
              </w:rPr>
            </w:pPr>
            <w:r w:rsidRPr="00EB2995">
              <w:rPr>
                <w:rFonts w:cs="Calibri"/>
                <w:color w:val="000000"/>
                <w:lang w:eastAsia="en-GB"/>
              </w:rPr>
              <w:t xml:space="preserve">Other operating expenditure </w:t>
            </w:r>
          </w:p>
        </w:tc>
        <w:tc>
          <w:tcPr>
            <w:tcW w:w="1417" w:type="dxa"/>
            <w:gridSpan w:val="4"/>
            <w:tcBorders>
              <w:top w:val="nil"/>
              <w:left w:val="nil"/>
              <w:right w:val="nil"/>
            </w:tcBorders>
            <w:noWrap/>
            <w:vAlign w:val="center"/>
          </w:tcPr>
          <w:p w:rsidR="0003552F" w:rsidRPr="00EB2995" w:rsidRDefault="0003552F" w:rsidP="0003552F">
            <w:pPr>
              <w:rPr>
                <w:rFonts w:cs="Calibri"/>
                <w:color w:val="000000"/>
                <w:lang w:eastAsia="en-GB"/>
              </w:rPr>
            </w:pPr>
          </w:p>
        </w:tc>
        <w:tc>
          <w:tcPr>
            <w:tcW w:w="1285" w:type="dxa"/>
            <w:gridSpan w:val="2"/>
            <w:tcBorders>
              <w:top w:val="nil"/>
              <w:left w:val="nil"/>
              <w:right w:val="single" w:sz="4" w:space="0" w:color="auto"/>
            </w:tcBorders>
            <w:noWrap/>
            <w:vAlign w:val="center"/>
          </w:tcPr>
          <w:p w:rsidR="0003552F" w:rsidRPr="00EB2995" w:rsidRDefault="0003552F" w:rsidP="0003552F">
            <w:pPr>
              <w:jc w:val="right"/>
              <w:rPr>
                <w:rFonts w:cs="Calibri"/>
                <w:lang w:eastAsia="en-GB"/>
              </w:rPr>
            </w:pPr>
          </w:p>
        </w:tc>
        <w:tc>
          <w:tcPr>
            <w:tcW w:w="1417" w:type="dxa"/>
            <w:tcBorders>
              <w:top w:val="single" w:sz="4" w:space="0" w:color="auto"/>
              <w:left w:val="single" w:sz="4" w:space="0" w:color="auto"/>
              <w:right w:val="single" w:sz="4" w:space="0" w:color="auto"/>
            </w:tcBorders>
            <w:noWrap/>
            <w:vAlign w:val="center"/>
          </w:tcPr>
          <w:p w:rsidR="0003552F" w:rsidRPr="00EB2995" w:rsidRDefault="0003552F" w:rsidP="0003552F">
            <w:pPr>
              <w:ind w:left="-176" w:firstLine="176"/>
              <w:jc w:val="right"/>
              <w:rPr>
                <w:rFonts w:cs="Calibri"/>
                <w:color w:val="000000"/>
                <w:lang w:eastAsia="en-GB"/>
              </w:rPr>
            </w:pPr>
            <w:r w:rsidRPr="00EB2995">
              <w:rPr>
                <w:rFonts w:cs="Calibri"/>
                <w:color w:val="000000"/>
                <w:lang w:eastAsia="en-GB"/>
              </w:rPr>
              <w:t>3.2</w:t>
            </w:r>
          </w:p>
        </w:tc>
        <w:tc>
          <w:tcPr>
            <w:tcW w:w="1213" w:type="dxa"/>
            <w:gridSpan w:val="4"/>
            <w:tcBorders>
              <w:top w:val="nil"/>
              <w:left w:val="single" w:sz="4" w:space="0" w:color="auto"/>
              <w:bottom w:val="nil"/>
            </w:tcBorders>
            <w:noWrap/>
            <w:vAlign w:val="bottom"/>
          </w:tcPr>
          <w:p w:rsidR="0003552F" w:rsidRPr="00EB2995" w:rsidRDefault="0003552F" w:rsidP="0003552F">
            <w:pPr>
              <w:jc w:val="center"/>
              <w:rPr>
                <w:rFonts w:cs="Calibri"/>
                <w:color w:val="000000"/>
                <w:lang w:eastAsia="en-GB"/>
              </w:rPr>
            </w:pPr>
            <w:r w:rsidRPr="00EB2995">
              <w:rPr>
                <w:rFonts w:cs="Calibri"/>
                <w:color w:val="000000"/>
                <w:lang w:eastAsia="en-GB"/>
              </w:rPr>
              <w:t>11</w:t>
            </w:r>
          </w:p>
        </w:tc>
      </w:tr>
      <w:tr w:rsidR="0003552F" w:rsidRPr="00EB2995" w:rsidTr="0003552F">
        <w:trPr>
          <w:gridAfter w:val="1"/>
          <w:wAfter w:w="264" w:type="dxa"/>
          <w:trHeight w:hRule="exact" w:val="284"/>
        </w:trPr>
        <w:tc>
          <w:tcPr>
            <w:tcW w:w="1264" w:type="dxa"/>
            <w:tcBorders>
              <w:top w:val="nil"/>
              <w:bottom w:val="nil"/>
            </w:tcBorders>
          </w:tcPr>
          <w:p w:rsidR="0003552F" w:rsidRPr="00EB2995" w:rsidRDefault="0003552F" w:rsidP="0003552F">
            <w:pPr>
              <w:ind w:left="-531"/>
              <w:jc w:val="right"/>
              <w:rPr>
                <w:rFonts w:cs="Calibri"/>
                <w:color w:val="000000"/>
                <w:lang w:eastAsia="en-GB"/>
              </w:rPr>
            </w:pPr>
          </w:p>
        </w:tc>
        <w:tc>
          <w:tcPr>
            <w:tcW w:w="897" w:type="dxa"/>
            <w:tcBorders>
              <w:top w:val="nil"/>
              <w:bottom w:val="nil"/>
              <w:right w:val="single" w:sz="4" w:space="0" w:color="auto"/>
            </w:tcBorders>
          </w:tcPr>
          <w:p w:rsidR="0003552F" w:rsidRPr="00EB2995" w:rsidRDefault="0003552F" w:rsidP="0003552F">
            <w:pPr>
              <w:jc w:val="right"/>
              <w:rPr>
                <w:rFonts w:cs="Calibri"/>
                <w:color w:val="000000"/>
                <w:lang w:eastAsia="en-GB"/>
              </w:rPr>
            </w:pPr>
          </w:p>
        </w:tc>
        <w:tc>
          <w:tcPr>
            <w:tcW w:w="1660" w:type="dxa"/>
            <w:tcBorders>
              <w:top w:val="nil"/>
              <w:left w:val="single" w:sz="4" w:space="0" w:color="auto"/>
              <w:bottom w:val="nil"/>
              <w:right w:val="single" w:sz="4" w:space="0" w:color="auto"/>
            </w:tcBorders>
            <w:noWrap/>
            <w:vAlign w:val="center"/>
          </w:tcPr>
          <w:p w:rsidR="0003552F" w:rsidRPr="00EB2995" w:rsidRDefault="0003552F" w:rsidP="0003552F">
            <w:pPr>
              <w:jc w:val="right"/>
              <w:rPr>
                <w:rFonts w:cs="Calibri"/>
                <w:color w:val="000000"/>
                <w:lang w:eastAsia="en-GB"/>
              </w:rPr>
            </w:pPr>
            <w:r w:rsidRPr="00EB2995">
              <w:rPr>
                <w:rFonts w:cs="Calibri"/>
                <w:color w:val="000000"/>
                <w:lang w:eastAsia="en-GB"/>
              </w:rPr>
              <w:t>36.0</w:t>
            </w:r>
          </w:p>
        </w:tc>
        <w:tc>
          <w:tcPr>
            <w:tcW w:w="7389" w:type="dxa"/>
            <w:gridSpan w:val="8"/>
            <w:tcBorders>
              <w:top w:val="nil"/>
              <w:left w:val="single" w:sz="4" w:space="0" w:color="auto"/>
              <w:bottom w:val="nil"/>
            </w:tcBorders>
            <w:vAlign w:val="center"/>
          </w:tcPr>
          <w:p w:rsidR="0003552F" w:rsidRPr="00EB2995" w:rsidRDefault="0003552F" w:rsidP="0003552F">
            <w:pPr>
              <w:rPr>
                <w:rFonts w:cs="Calibri"/>
                <w:color w:val="000000"/>
                <w:lang w:eastAsia="en-GB"/>
              </w:rPr>
            </w:pPr>
            <w:r w:rsidRPr="00EB2995">
              <w:rPr>
                <w:rFonts w:cs="Calibri"/>
                <w:color w:val="000000"/>
                <w:lang w:eastAsia="en-GB"/>
              </w:rPr>
              <w:t xml:space="preserve">Financing and investment income &amp; expenditure </w:t>
            </w:r>
          </w:p>
        </w:tc>
        <w:tc>
          <w:tcPr>
            <w:tcW w:w="1264" w:type="dxa"/>
            <w:tcBorders>
              <w:top w:val="nil"/>
              <w:bottom w:val="nil"/>
              <w:right w:val="single" w:sz="4" w:space="0" w:color="auto"/>
            </w:tcBorders>
            <w:noWrap/>
            <w:vAlign w:val="center"/>
          </w:tcPr>
          <w:p w:rsidR="0003552F" w:rsidRPr="00EB2995" w:rsidRDefault="0003552F" w:rsidP="0003552F">
            <w:pPr>
              <w:rPr>
                <w:rFonts w:cs="Calibri"/>
                <w:color w:val="000000"/>
                <w:lang w:eastAsia="en-GB"/>
              </w:rPr>
            </w:pPr>
          </w:p>
        </w:tc>
        <w:tc>
          <w:tcPr>
            <w:tcW w:w="1417" w:type="dxa"/>
            <w:tcBorders>
              <w:top w:val="nil"/>
              <w:left w:val="single" w:sz="4" w:space="0" w:color="auto"/>
              <w:bottom w:val="nil"/>
              <w:right w:val="single" w:sz="4" w:space="0" w:color="auto"/>
            </w:tcBorders>
            <w:noWrap/>
            <w:vAlign w:val="center"/>
          </w:tcPr>
          <w:p w:rsidR="0003552F" w:rsidRPr="00EB2995" w:rsidRDefault="0003552F" w:rsidP="0003552F">
            <w:pPr>
              <w:jc w:val="right"/>
              <w:rPr>
                <w:rFonts w:cs="Calibri"/>
                <w:color w:val="000000"/>
                <w:lang w:eastAsia="en-GB"/>
              </w:rPr>
            </w:pPr>
            <w:r w:rsidRPr="00EB2995">
              <w:rPr>
                <w:rFonts w:cs="Calibri"/>
                <w:color w:val="000000"/>
              </w:rPr>
              <w:t>38.</w:t>
            </w:r>
            <w:r>
              <w:rPr>
                <w:rFonts w:cs="Calibri"/>
                <w:color w:val="000000"/>
              </w:rPr>
              <w:t>1</w:t>
            </w:r>
          </w:p>
        </w:tc>
        <w:tc>
          <w:tcPr>
            <w:tcW w:w="1213" w:type="dxa"/>
            <w:gridSpan w:val="4"/>
            <w:tcBorders>
              <w:top w:val="nil"/>
              <w:left w:val="single" w:sz="4" w:space="0" w:color="auto"/>
              <w:bottom w:val="nil"/>
            </w:tcBorders>
            <w:noWrap/>
            <w:vAlign w:val="bottom"/>
          </w:tcPr>
          <w:p w:rsidR="0003552F" w:rsidRPr="00EB2995" w:rsidRDefault="0003552F" w:rsidP="0003552F">
            <w:pPr>
              <w:jc w:val="center"/>
              <w:rPr>
                <w:rFonts w:cs="Calibri"/>
                <w:color w:val="000000"/>
                <w:lang w:eastAsia="en-GB"/>
              </w:rPr>
            </w:pPr>
            <w:r w:rsidRPr="00EB2995">
              <w:rPr>
                <w:rFonts w:cs="Calibri"/>
                <w:color w:val="000000"/>
                <w:lang w:eastAsia="en-GB"/>
              </w:rPr>
              <w:t>12</w:t>
            </w:r>
          </w:p>
        </w:tc>
      </w:tr>
      <w:tr w:rsidR="0003552F" w:rsidRPr="00EB2995" w:rsidTr="0003552F">
        <w:trPr>
          <w:gridAfter w:val="1"/>
          <w:wAfter w:w="264" w:type="dxa"/>
          <w:trHeight w:hRule="exact" w:val="284"/>
        </w:trPr>
        <w:tc>
          <w:tcPr>
            <w:tcW w:w="1264" w:type="dxa"/>
            <w:tcBorders>
              <w:top w:val="nil"/>
            </w:tcBorders>
          </w:tcPr>
          <w:p w:rsidR="0003552F" w:rsidRPr="00EB2995" w:rsidRDefault="0003552F" w:rsidP="0003552F">
            <w:pPr>
              <w:ind w:left="-531"/>
              <w:jc w:val="right"/>
              <w:rPr>
                <w:rFonts w:cs="Calibri"/>
                <w:color w:val="000000"/>
                <w:lang w:eastAsia="en-GB"/>
              </w:rPr>
            </w:pPr>
          </w:p>
        </w:tc>
        <w:tc>
          <w:tcPr>
            <w:tcW w:w="897" w:type="dxa"/>
            <w:tcBorders>
              <w:top w:val="nil"/>
              <w:right w:val="single" w:sz="4" w:space="0" w:color="auto"/>
            </w:tcBorders>
          </w:tcPr>
          <w:p w:rsidR="0003552F" w:rsidRPr="00EB2995" w:rsidRDefault="0003552F" w:rsidP="0003552F">
            <w:pPr>
              <w:jc w:val="right"/>
              <w:rPr>
                <w:rFonts w:cs="Calibri"/>
                <w:color w:val="000000"/>
                <w:lang w:eastAsia="en-GB"/>
              </w:rPr>
            </w:pPr>
          </w:p>
        </w:tc>
        <w:tc>
          <w:tcPr>
            <w:tcW w:w="1660" w:type="dxa"/>
            <w:tcBorders>
              <w:top w:val="nil"/>
              <w:left w:val="single" w:sz="4" w:space="0" w:color="auto"/>
              <w:right w:val="single" w:sz="4" w:space="0" w:color="auto"/>
            </w:tcBorders>
            <w:noWrap/>
            <w:vAlign w:val="center"/>
          </w:tcPr>
          <w:p w:rsidR="0003552F" w:rsidRPr="00EB2995" w:rsidRDefault="0003552F" w:rsidP="0003552F">
            <w:pPr>
              <w:jc w:val="right"/>
              <w:rPr>
                <w:rFonts w:cs="Calibri"/>
                <w:color w:val="000000"/>
                <w:lang w:eastAsia="en-GB"/>
              </w:rPr>
            </w:pPr>
            <w:r w:rsidRPr="00EB2995">
              <w:rPr>
                <w:rFonts w:cs="Calibri"/>
                <w:color w:val="000000"/>
                <w:lang w:eastAsia="en-GB"/>
              </w:rPr>
              <w:t>(328.7)</w:t>
            </w:r>
          </w:p>
        </w:tc>
        <w:tc>
          <w:tcPr>
            <w:tcW w:w="7389" w:type="dxa"/>
            <w:gridSpan w:val="8"/>
            <w:tcBorders>
              <w:top w:val="nil"/>
              <w:left w:val="single" w:sz="4" w:space="0" w:color="auto"/>
            </w:tcBorders>
            <w:vAlign w:val="center"/>
          </w:tcPr>
          <w:p w:rsidR="0003552F" w:rsidRPr="00EB2995" w:rsidRDefault="0003552F" w:rsidP="0003552F">
            <w:pPr>
              <w:rPr>
                <w:rFonts w:cs="Calibri"/>
                <w:color w:val="000000"/>
                <w:lang w:eastAsia="en-GB"/>
              </w:rPr>
            </w:pPr>
            <w:r w:rsidRPr="00EB2995">
              <w:rPr>
                <w:rFonts w:cs="Calibri"/>
                <w:color w:val="000000"/>
                <w:lang w:eastAsia="en-GB"/>
              </w:rPr>
              <w:t xml:space="preserve">Taxation and non-specific grant income </w:t>
            </w:r>
          </w:p>
        </w:tc>
        <w:tc>
          <w:tcPr>
            <w:tcW w:w="1264" w:type="dxa"/>
            <w:tcBorders>
              <w:top w:val="nil"/>
              <w:right w:val="single" w:sz="4" w:space="0" w:color="auto"/>
            </w:tcBorders>
            <w:noWrap/>
            <w:vAlign w:val="center"/>
          </w:tcPr>
          <w:p w:rsidR="0003552F" w:rsidRPr="00EB2995" w:rsidRDefault="0003552F" w:rsidP="0003552F">
            <w:pPr>
              <w:rPr>
                <w:rFonts w:cs="Calibri"/>
                <w:color w:val="000000"/>
                <w:lang w:eastAsia="en-GB"/>
              </w:rPr>
            </w:pPr>
          </w:p>
        </w:tc>
        <w:tc>
          <w:tcPr>
            <w:tcW w:w="1417" w:type="dxa"/>
            <w:tcBorders>
              <w:top w:val="nil"/>
              <w:left w:val="single" w:sz="4" w:space="0" w:color="auto"/>
              <w:right w:val="single" w:sz="4" w:space="0" w:color="auto"/>
            </w:tcBorders>
            <w:noWrap/>
            <w:vAlign w:val="center"/>
          </w:tcPr>
          <w:p w:rsidR="0003552F" w:rsidRPr="00EB2995" w:rsidRDefault="0003552F" w:rsidP="0003552F">
            <w:pPr>
              <w:jc w:val="right"/>
              <w:rPr>
                <w:rFonts w:cs="Calibri"/>
                <w:color w:val="000000"/>
                <w:lang w:eastAsia="en-GB"/>
              </w:rPr>
            </w:pPr>
            <w:r>
              <w:rPr>
                <w:rFonts w:cs="Calibri"/>
                <w:color w:val="000000"/>
              </w:rPr>
              <w:t>(329.5</w:t>
            </w:r>
            <w:r w:rsidRPr="00EB2995">
              <w:rPr>
                <w:rFonts w:cs="Calibri"/>
                <w:color w:val="000000"/>
              </w:rPr>
              <w:t>)</w:t>
            </w:r>
          </w:p>
        </w:tc>
        <w:tc>
          <w:tcPr>
            <w:tcW w:w="1213" w:type="dxa"/>
            <w:gridSpan w:val="4"/>
            <w:tcBorders>
              <w:top w:val="nil"/>
              <w:left w:val="single" w:sz="4" w:space="0" w:color="auto"/>
              <w:bottom w:val="nil"/>
            </w:tcBorders>
            <w:noWrap/>
            <w:vAlign w:val="bottom"/>
          </w:tcPr>
          <w:p w:rsidR="0003552F" w:rsidRPr="00EB2995" w:rsidRDefault="0003552F" w:rsidP="0003552F">
            <w:pPr>
              <w:jc w:val="center"/>
              <w:rPr>
                <w:rFonts w:cs="Calibri"/>
                <w:color w:val="000000"/>
                <w:lang w:eastAsia="en-GB"/>
              </w:rPr>
            </w:pPr>
            <w:r w:rsidRPr="00EB2995">
              <w:rPr>
                <w:rFonts w:cs="Calibri"/>
                <w:color w:val="000000"/>
                <w:lang w:eastAsia="en-GB"/>
              </w:rPr>
              <w:t>13</w:t>
            </w:r>
          </w:p>
        </w:tc>
      </w:tr>
      <w:tr w:rsidR="0003552F" w:rsidRPr="00EB2995" w:rsidTr="0003552F">
        <w:trPr>
          <w:gridAfter w:val="1"/>
          <w:wAfter w:w="264" w:type="dxa"/>
          <w:trHeight w:hRule="exact" w:val="284"/>
        </w:trPr>
        <w:tc>
          <w:tcPr>
            <w:tcW w:w="1264" w:type="dxa"/>
            <w:tcBorders>
              <w:top w:val="nil"/>
              <w:bottom w:val="nil"/>
            </w:tcBorders>
          </w:tcPr>
          <w:p w:rsidR="0003552F" w:rsidRPr="00EB2995" w:rsidRDefault="0003552F" w:rsidP="0003552F">
            <w:pPr>
              <w:ind w:left="-531"/>
              <w:jc w:val="right"/>
              <w:rPr>
                <w:rFonts w:cs="Calibri"/>
                <w:b/>
                <w:bCs/>
                <w:color w:val="000000"/>
                <w:lang w:eastAsia="en-GB"/>
              </w:rPr>
            </w:pPr>
          </w:p>
        </w:tc>
        <w:tc>
          <w:tcPr>
            <w:tcW w:w="897" w:type="dxa"/>
            <w:tcBorders>
              <w:top w:val="nil"/>
              <w:bottom w:val="nil"/>
              <w:right w:val="single" w:sz="4" w:space="0" w:color="auto"/>
            </w:tcBorders>
          </w:tcPr>
          <w:p w:rsidR="0003552F" w:rsidRPr="00EB2995" w:rsidRDefault="0003552F" w:rsidP="0003552F">
            <w:pPr>
              <w:jc w:val="right"/>
              <w:rPr>
                <w:rFonts w:cs="Calibri"/>
                <w:b/>
                <w:bCs/>
                <w:color w:val="000000"/>
                <w:lang w:eastAsia="en-GB"/>
              </w:rPr>
            </w:pPr>
          </w:p>
        </w:tc>
        <w:tc>
          <w:tcPr>
            <w:tcW w:w="1660" w:type="dxa"/>
            <w:tcBorders>
              <w:left w:val="single" w:sz="4" w:space="0" w:color="auto"/>
              <w:right w:val="single" w:sz="4" w:space="0" w:color="auto"/>
            </w:tcBorders>
            <w:noWrap/>
            <w:vAlign w:val="center"/>
          </w:tcPr>
          <w:p w:rsidR="0003552F" w:rsidRPr="00EB2995" w:rsidRDefault="0003552F" w:rsidP="0003552F">
            <w:pPr>
              <w:jc w:val="right"/>
              <w:rPr>
                <w:rFonts w:cs="Calibri"/>
                <w:b/>
                <w:bCs/>
                <w:color w:val="000000"/>
                <w:lang w:eastAsia="en-GB"/>
              </w:rPr>
            </w:pPr>
            <w:r w:rsidRPr="00EB2995">
              <w:rPr>
                <w:rFonts w:cs="Calibri"/>
                <w:b/>
                <w:bCs/>
                <w:color w:val="000000"/>
                <w:lang w:eastAsia="en-GB"/>
              </w:rPr>
              <w:t>54.7</w:t>
            </w:r>
          </w:p>
        </w:tc>
        <w:tc>
          <w:tcPr>
            <w:tcW w:w="7389" w:type="dxa"/>
            <w:gridSpan w:val="8"/>
            <w:tcBorders>
              <w:left w:val="single" w:sz="4" w:space="0" w:color="auto"/>
            </w:tcBorders>
            <w:vAlign w:val="center"/>
          </w:tcPr>
          <w:p w:rsidR="0003552F" w:rsidRPr="00EB2995" w:rsidRDefault="0003552F" w:rsidP="0003552F">
            <w:pPr>
              <w:rPr>
                <w:rFonts w:cs="Calibri"/>
                <w:b/>
                <w:bCs/>
                <w:color w:val="000000"/>
                <w:lang w:eastAsia="en-GB"/>
              </w:rPr>
            </w:pPr>
            <w:r w:rsidRPr="00EB2995">
              <w:rPr>
                <w:rFonts w:cs="Calibri"/>
                <w:b/>
                <w:bCs/>
                <w:color w:val="000000"/>
                <w:lang w:eastAsia="en-GB"/>
              </w:rPr>
              <w:t>(Surplus) or Deficit on Provision of Services</w:t>
            </w:r>
          </w:p>
        </w:tc>
        <w:tc>
          <w:tcPr>
            <w:tcW w:w="1264" w:type="dxa"/>
            <w:tcBorders>
              <w:right w:val="single" w:sz="4" w:space="0" w:color="auto"/>
            </w:tcBorders>
            <w:noWrap/>
            <w:vAlign w:val="center"/>
          </w:tcPr>
          <w:p w:rsidR="0003552F" w:rsidRPr="00EB2995" w:rsidRDefault="0003552F" w:rsidP="0003552F">
            <w:pPr>
              <w:rPr>
                <w:rFonts w:cs="Calibri"/>
                <w:b/>
                <w:bCs/>
                <w:color w:val="000000"/>
                <w:lang w:eastAsia="en-GB"/>
              </w:rPr>
            </w:pPr>
          </w:p>
        </w:tc>
        <w:tc>
          <w:tcPr>
            <w:tcW w:w="1417" w:type="dxa"/>
            <w:tcBorders>
              <w:left w:val="single" w:sz="4" w:space="0" w:color="auto"/>
              <w:right w:val="single" w:sz="4" w:space="0" w:color="auto"/>
            </w:tcBorders>
            <w:noWrap/>
            <w:vAlign w:val="center"/>
          </w:tcPr>
          <w:p w:rsidR="0003552F" w:rsidRPr="00EB2995" w:rsidRDefault="00EA2048" w:rsidP="0003552F">
            <w:pPr>
              <w:jc w:val="right"/>
              <w:rPr>
                <w:rFonts w:cs="Calibri"/>
                <w:b/>
                <w:bCs/>
                <w:color w:val="000000"/>
                <w:lang w:eastAsia="en-GB"/>
              </w:rPr>
            </w:pPr>
            <w:r>
              <w:rPr>
                <w:rFonts w:cs="Calibri"/>
                <w:b/>
                <w:bCs/>
                <w:color w:val="000000"/>
              </w:rPr>
              <w:t>(9.7</w:t>
            </w:r>
            <w:r w:rsidR="0003552F" w:rsidRPr="00EB2995">
              <w:rPr>
                <w:rFonts w:cs="Calibri"/>
                <w:b/>
                <w:bCs/>
                <w:color w:val="000000"/>
              </w:rPr>
              <w:t>)</w:t>
            </w:r>
          </w:p>
        </w:tc>
        <w:tc>
          <w:tcPr>
            <w:tcW w:w="1213" w:type="dxa"/>
            <w:gridSpan w:val="4"/>
            <w:tcBorders>
              <w:top w:val="nil"/>
              <w:left w:val="single" w:sz="4" w:space="0" w:color="auto"/>
              <w:bottom w:val="nil"/>
            </w:tcBorders>
            <w:noWrap/>
            <w:vAlign w:val="bottom"/>
          </w:tcPr>
          <w:p w:rsidR="0003552F" w:rsidRPr="00EB2995" w:rsidRDefault="0003552F" w:rsidP="0003552F">
            <w:pPr>
              <w:jc w:val="center"/>
              <w:rPr>
                <w:rFonts w:cs="Calibri"/>
                <w:color w:val="000000"/>
                <w:lang w:eastAsia="en-GB"/>
              </w:rPr>
            </w:pPr>
          </w:p>
        </w:tc>
      </w:tr>
      <w:tr w:rsidR="0003552F" w:rsidRPr="00EB2995" w:rsidTr="0003552F">
        <w:trPr>
          <w:gridAfter w:val="1"/>
          <w:wAfter w:w="264" w:type="dxa"/>
          <w:trHeight w:hRule="exact" w:val="284"/>
        </w:trPr>
        <w:tc>
          <w:tcPr>
            <w:tcW w:w="1264" w:type="dxa"/>
            <w:tcBorders>
              <w:top w:val="nil"/>
              <w:bottom w:val="nil"/>
            </w:tcBorders>
          </w:tcPr>
          <w:p w:rsidR="0003552F" w:rsidRPr="00EB2995" w:rsidRDefault="0003552F" w:rsidP="0003552F">
            <w:pPr>
              <w:ind w:left="-531"/>
              <w:jc w:val="right"/>
              <w:rPr>
                <w:rFonts w:cs="Calibri"/>
                <w:color w:val="000000"/>
                <w:lang w:eastAsia="en-GB"/>
              </w:rPr>
            </w:pPr>
          </w:p>
        </w:tc>
        <w:tc>
          <w:tcPr>
            <w:tcW w:w="897" w:type="dxa"/>
            <w:tcBorders>
              <w:top w:val="nil"/>
              <w:bottom w:val="nil"/>
              <w:right w:val="single" w:sz="4" w:space="0" w:color="auto"/>
            </w:tcBorders>
          </w:tcPr>
          <w:p w:rsidR="0003552F" w:rsidRPr="00EB2995" w:rsidRDefault="0003552F" w:rsidP="0003552F">
            <w:pPr>
              <w:jc w:val="right"/>
              <w:rPr>
                <w:rFonts w:cs="Calibri"/>
                <w:color w:val="000000"/>
                <w:lang w:eastAsia="en-GB"/>
              </w:rPr>
            </w:pPr>
          </w:p>
        </w:tc>
        <w:tc>
          <w:tcPr>
            <w:tcW w:w="1660" w:type="dxa"/>
            <w:tcBorders>
              <w:left w:val="single" w:sz="4" w:space="0" w:color="auto"/>
              <w:right w:val="single" w:sz="4" w:space="0" w:color="auto"/>
            </w:tcBorders>
            <w:noWrap/>
            <w:vAlign w:val="center"/>
          </w:tcPr>
          <w:p w:rsidR="0003552F" w:rsidRPr="00EB2995" w:rsidRDefault="0003552F" w:rsidP="0003552F">
            <w:pPr>
              <w:jc w:val="right"/>
              <w:rPr>
                <w:rFonts w:cs="Calibri"/>
                <w:color w:val="000000"/>
                <w:lang w:eastAsia="en-GB"/>
              </w:rPr>
            </w:pPr>
            <w:r w:rsidRPr="00EB2995">
              <w:rPr>
                <w:rFonts w:cs="Calibri"/>
                <w:color w:val="000000"/>
                <w:lang w:eastAsia="en-GB"/>
              </w:rPr>
              <w:t>(98.9)</w:t>
            </w:r>
          </w:p>
        </w:tc>
        <w:tc>
          <w:tcPr>
            <w:tcW w:w="7389" w:type="dxa"/>
            <w:gridSpan w:val="8"/>
            <w:tcBorders>
              <w:left w:val="single" w:sz="4" w:space="0" w:color="auto"/>
            </w:tcBorders>
            <w:vAlign w:val="center"/>
          </w:tcPr>
          <w:p w:rsidR="0003552F" w:rsidRPr="00EB2995" w:rsidRDefault="0003552F" w:rsidP="0003552F">
            <w:pPr>
              <w:rPr>
                <w:rFonts w:cs="Calibri"/>
                <w:color w:val="000000"/>
                <w:lang w:eastAsia="en-GB"/>
              </w:rPr>
            </w:pPr>
            <w:r w:rsidRPr="00EB2995">
              <w:rPr>
                <w:rFonts w:cs="Calibri"/>
                <w:color w:val="000000"/>
                <w:lang w:eastAsia="en-GB"/>
              </w:rPr>
              <w:t>(Surplus) or deficit on revaluation of Property, Plant and Equipment assets</w:t>
            </w:r>
          </w:p>
        </w:tc>
        <w:tc>
          <w:tcPr>
            <w:tcW w:w="1264" w:type="dxa"/>
            <w:tcBorders>
              <w:right w:val="single" w:sz="4" w:space="0" w:color="auto"/>
            </w:tcBorders>
            <w:noWrap/>
            <w:vAlign w:val="center"/>
          </w:tcPr>
          <w:p w:rsidR="0003552F" w:rsidRPr="00EB2995" w:rsidRDefault="0003552F" w:rsidP="0003552F">
            <w:pPr>
              <w:rPr>
                <w:rFonts w:cs="Calibri"/>
                <w:color w:val="000000"/>
                <w:lang w:eastAsia="en-GB"/>
              </w:rPr>
            </w:pPr>
          </w:p>
        </w:tc>
        <w:tc>
          <w:tcPr>
            <w:tcW w:w="1417" w:type="dxa"/>
            <w:tcBorders>
              <w:left w:val="single" w:sz="4" w:space="0" w:color="auto"/>
              <w:right w:val="single" w:sz="4" w:space="0" w:color="auto"/>
            </w:tcBorders>
            <w:noWrap/>
            <w:vAlign w:val="center"/>
          </w:tcPr>
          <w:p w:rsidR="0003552F" w:rsidRPr="00EB2995" w:rsidRDefault="00EA2048" w:rsidP="0003552F">
            <w:pPr>
              <w:jc w:val="right"/>
              <w:rPr>
                <w:rFonts w:cs="Calibri"/>
                <w:color w:val="000000"/>
                <w:lang w:eastAsia="en-GB"/>
              </w:rPr>
            </w:pPr>
            <w:r>
              <w:rPr>
                <w:rFonts w:cs="Calibri"/>
                <w:color w:val="000000"/>
              </w:rPr>
              <w:t>(208.5</w:t>
            </w:r>
            <w:r w:rsidR="0003552F">
              <w:rPr>
                <w:rFonts w:cs="Calibri"/>
                <w:color w:val="000000"/>
              </w:rPr>
              <w:t>)</w:t>
            </w:r>
          </w:p>
        </w:tc>
        <w:tc>
          <w:tcPr>
            <w:tcW w:w="1213" w:type="dxa"/>
            <w:gridSpan w:val="4"/>
            <w:tcBorders>
              <w:top w:val="nil"/>
              <w:left w:val="single" w:sz="4" w:space="0" w:color="auto"/>
              <w:bottom w:val="nil"/>
            </w:tcBorders>
            <w:noWrap/>
            <w:vAlign w:val="bottom"/>
          </w:tcPr>
          <w:p w:rsidR="0003552F" w:rsidRPr="00EB2995" w:rsidRDefault="0003552F" w:rsidP="0003552F">
            <w:pPr>
              <w:jc w:val="center"/>
              <w:rPr>
                <w:rFonts w:cs="Calibri"/>
                <w:color w:val="000000"/>
                <w:lang w:eastAsia="en-GB"/>
              </w:rPr>
            </w:pPr>
          </w:p>
        </w:tc>
      </w:tr>
      <w:tr w:rsidR="0003552F" w:rsidRPr="00EB2995" w:rsidTr="0003552F">
        <w:trPr>
          <w:gridAfter w:val="1"/>
          <w:wAfter w:w="264" w:type="dxa"/>
          <w:trHeight w:hRule="exact" w:val="284"/>
        </w:trPr>
        <w:tc>
          <w:tcPr>
            <w:tcW w:w="1264" w:type="dxa"/>
            <w:tcBorders>
              <w:top w:val="nil"/>
              <w:bottom w:val="nil"/>
            </w:tcBorders>
          </w:tcPr>
          <w:p w:rsidR="0003552F" w:rsidRPr="00EB2995" w:rsidRDefault="0003552F" w:rsidP="0003552F">
            <w:pPr>
              <w:ind w:left="-531"/>
              <w:jc w:val="right"/>
              <w:rPr>
                <w:rFonts w:cs="Calibri"/>
                <w:color w:val="000000"/>
                <w:lang w:eastAsia="en-GB"/>
              </w:rPr>
            </w:pPr>
          </w:p>
        </w:tc>
        <w:tc>
          <w:tcPr>
            <w:tcW w:w="897" w:type="dxa"/>
            <w:tcBorders>
              <w:top w:val="nil"/>
              <w:bottom w:val="nil"/>
              <w:right w:val="single" w:sz="4" w:space="0" w:color="auto"/>
            </w:tcBorders>
          </w:tcPr>
          <w:p w:rsidR="0003552F" w:rsidRPr="00EB2995" w:rsidRDefault="0003552F" w:rsidP="0003552F">
            <w:pPr>
              <w:jc w:val="right"/>
              <w:rPr>
                <w:rFonts w:cs="Calibri"/>
                <w:color w:val="000000"/>
                <w:lang w:eastAsia="en-GB"/>
              </w:rPr>
            </w:pPr>
          </w:p>
        </w:tc>
        <w:tc>
          <w:tcPr>
            <w:tcW w:w="1660" w:type="dxa"/>
            <w:tcBorders>
              <w:left w:val="single" w:sz="4" w:space="0" w:color="auto"/>
              <w:bottom w:val="single" w:sz="4" w:space="0" w:color="auto"/>
              <w:right w:val="single" w:sz="4" w:space="0" w:color="auto"/>
            </w:tcBorders>
            <w:noWrap/>
            <w:vAlign w:val="center"/>
          </w:tcPr>
          <w:p w:rsidR="0003552F" w:rsidRPr="00EB2995" w:rsidRDefault="0003552F" w:rsidP="0003552F">
            <w:pPr>
              <w:jc w:val="right"/>
              <w:rPr>
                <w:rFonts w:cs="Calibri"/>
                <w:color w:val="000000"/>
                <w:lang w:eastAsia="en-GB"/>
              </w:rPr>
            </w:pPr>
            <w:r w:rsidRPr="00EB2995">
              <w:rPr>
                <w:rFonts w:cs="Calibri"/>
                <w:color w:val="000000"/>
                <w:lang w:eastAsia="en-GB"/>
              </w:rPr>
              <w:t>56.6</w:t>
            </w:r>
          </w:p>
        </w:tc>
        <w:tc>
          <w:tcPr>
            <w:tcW w:w="7389" w:type="dxa"/>
            <w:gridSpan w:val="8"/>
            <w:tcBorders>
              <w:left w:val="single" w:sz="4" w:space="0" w:color="auto"/>
            </w:tcBorders>
            <w:vAlign w:val="center"/>
          </w:tcPr>
          <w:p w:rsidR="0003552F" w:rsidRPr="00EB2995" w:rsidRDefault="0003552F" w:rsidP="0003552F">
            <w:pPr>
              <w:rPr>
                <w:rFonts w:cs="Calibri"/>
                <w:color w:val="000000"/>
                <w:lang w:eastAsia="en-GB"/>
              </w:rPr>
            </w:pPr>
            <w:r w:rsidRPr="00EB2995">
              <w:rPr>
                <w:rFonts w:cs="Calibri"/>
                <w:color w:val="000000"/>
                <w:lang w:eastAsia="en-GB"/>
              </w:rPr>
              <w:t>Actuarial (gains)/losses on pension assets and liabilities</w:t>
            </w:r>
          </w:p>
        </w:tc>
        <w:tc>
          <w:tcPr>
            <w:tcW w:w="1264" w:type="dxa"/>
            <w:tcBorders>
              <w:right w:val="single" w:sz="4" w:space="0" w:color="auto"/>
            </w:tcBorders>
            <w:noWrap/>
            <w:vAlign w:val="center"/>
          </w:tcPr>
          <w:p w:rsidR="0003552F" w:rsidRPr="00EB2995" w:rsidRDefault="0003552F" w:rsidP="0003552F">
            <w:pPr>
              <w:rPr>
                <w:rFonts w:cs="Calibri"/>
                <w:color w:val="000000"/>
                <w:lang w:eastAsia="en-GB"/>
              </w:rPr>
            </w:pPr>
          </w:p>
        </w:tc>
        <w:tc>
          <w:tcPr>
            <w:tcW w:w="1417" w:type="dxa"/>
            <w:tcBorders>
              <w:left w:val="single" w:sz="4" w:space="0" w:color="auto"/>
              <w:right w:val="single" w:sz="4" w:space="0" w:color="auto"/>
            </w:tcBorders>
            <w:noWrap/>
            <w:vAlign w:val="center"/>
          </w:tcPr>
          <w:p w:rsidR="0003552F" w:rsidRPr="00EB2995" w:rsidRDefault="0003552F" w:rsidP="0003552F">
            <w:pPr>
              <w:jc w:val="right"/>
              <w:rPr>
                <w:rFonts w:cs="Calibri"/>
                <w:color w:val="000000"/>
                <w:lang w:eastAsia="en-GB"/>
              </w:rPr>
            </w:pPr>
            <w:r>
              <w:rPr>
                <w:rFonts w:cs="Calibri"/>
                <w:color w:val="000000"/>
              </w:rPr>
              <w:t>(288.6)</w:t>
            </w:r>
          </w:p>
        </w:tc>
        <w:tc>
          <w:tcPr>
            <w:tcW w:w="1213" w:type="dxa"/>
            <w:gridSpan w:val="4"/>
            <w:tcBorders>
              <w:top w:val="nil"/>
              <w:left w:val="single" w:sz="4" w:space="0" w:color="auto"/>
              <w:bottom w:val="nil"/>
            </w:tcBorders>
            <w:noWrap/>
            <w:vAlign w:val="bottom"/>
          </w:tcPr>
          <w:p w:rsidR="0003552F" w:rsidRPr="00EB2995" w:rsidRDefault="0003552F" w:rsidP="0003552F">
            <w:pPr>
              <w:jc w:val="center"/>
              <w:rPr>
                <w:rFonts w:cs="Calibri"/>
                <w:color w:val="000000"/>
                <w:lang w:eastAsia="en-GB"/>
              </w:rPr>
            </w:pPr>
            <w:r w:rsidRPr="00EB2995">
              <w:rPr>
                <w:rFonts w:cs="Calibri"/>
                <w:color w:val="000000"/>
                <w:lang w:eastAsia="en-GB"/>
              </w:rPr>
              <w:t>32</w:t>
            </w:r>
          </w:p>
        </w:tc>
      </w:tr>
      <w:tr w:rsidR="0003552F" w:rsidRPr="00EB2995" w:rsidTr="0003552F">
        <w:trPr>
          <w:gridAfter w:val="1"/>
          <w:wAfter w:w="264" w:type="dxa"/>
          <w:trHeight w:hRule="exact" w:val="284"/>
        </w:trPr>
        <w:tc>
          <w:tcPr>
            <w:tcW w:w="1264" w:type="dxa"/>
          </w:tcPr>
          <w:p w:rsidR="0003552F" w:rsidRPr="00EB2995" w:rsidRDefault="0003552F" w:rsidP="0003552F">
            <w:pPr>
              <w:ind w:left="-531"/>
              <w:jc w:val="right"/>
              <w:rPr>
                <w:rFonts w:cs="Calibri"/>
                <w:b/>
                <w:bCs/>
                <w:color w:val="000000"/>
                <w:lang w:eastAsia="en-GB"/>
              </w:rPr>
            </w:pPr>
          </w:p>
        </w:tc>
        <w:tc>
          <w:tcPr>
            <w:tcW w:w="897" w:type="dxa"/>
            <w:tcBorders>
              <w:right w:val="single" w:sz="4" w:space="0" w:color="auto"/>
            </w:tcBorders>
          </w:tcPr>
          <w:p w:rsidR="0003552F" w:rsidRPr="00EB2995" w:rsidRDefault="0003552F" w:rsidP="0003552F">
            <w:pPr>
              <w:jc w:val="right"/>
              <w:rPr>
                <w:rFonts w:cs="Calibri"/>
                <w:b/>
                <w:bCs/>
                <w:color w:val="000000"/>
                <w:lang w:eastAsia="en-GB"/>
              </w:rPr>
            </w:pPr>
          </w:p>
        </w:tc>
        <w:tc>
          <w:tcPr>
            <w:tcW w:w="1660" w:type="dxa"/>
            <w:tcBorders>
              <w:top w:val="single" w:sz="4" w:space="0" w:color="auto"/>
              <w:left w:val="single" w:sz="4" w:space="0" w:color="auto"/>
              <w:bottom w:val="single" w:sz="8" w:space="0" w:color="auto"/>
              <w:right w:val="single" w:sz="4" w:space="0" w:color="auto"/>
            </w:tcBorders>
            <w:noWrap/>
            <w:vAlign w:val="center"/>
          </w:tcPr>
          <w:p w:rsidR="0003552F" w:rsidRPr="00EB2995" w:rsidRDefault="0003552F" w:rsidP="0003552F">
            <w:pPr>
              <w:jc w:val="right"/>
              <w:rPr>
                <w:rFonts w:cs="Calibri"/>
                <w:b/>
                <w:bCs/>
                <w:color w:val="000000"/>
                <w:lang w:eastAsia="en-GB"/>
              </w:rPr>
            </w:pPr>
            <w:r w:rsidRPr="00EB2995">
              <w:rPr>
                <w:rFonts w:cs="Calibri"/>
                <w:b/>
                <w:bCs/>
                <w:color w:val="000000"/>
                <w:lang w:eastAsia="en-GB"/>
              </w:rPr>
              <w:t>(42.3)</w:t>
            </w:r>
          </w:p>
        </w:tc>
        <w:tc>
          <w:tcPr>
            <w:tcW w:w="5951" w:type="dxa"/>
            <w:gridSpan w:val="3"/>
            <w:tcBorders>
              <w:left w:val="single" w:sz="4" w:space="0" w:color="auto"/>
              <w:bottom w:val="nil"/>
              <w:right w:val="nil"/>
            </w:tcBorders>
            <w:vAlign w:val="center"/>
          </w:tcPr>
          <w:p w:rsidR="0003552F" w:rsidRPr="00EB2995" w:rsidRDefault="0003552F" w:rsidP="0003552F">
            <w:pPr>
              <w:rPr>
                <w:rFonts w:cs="Calibri"/>
                <w:b/>
                <w:bCs/>
                <w:color w:val="000000"/>
                <w:lang w:eastAsia="en-GB"/>
              </w:rPr>
            </w:pPr>
            <w:r w:rsidRPr="00EB2995">
              <w:rPr>
                <w:rFonts w:cs="Calibri"/>
                <w:b/>
                <w:bCs/>
                <w:color w:val="000000"/>
                <w:lang w:eastAsia="en-GB"/>
              </w:rPr>
              <w:t>Other Comprehensive Income and Expenditure</w:t>
            </w:r>
          </w:p>
        </w:tc>
        <w:tc>
          <w:tcPr>
            <w:tcW w:w="1417" w:type="dxa"/>
            <w:gridSpan w:val="4"/>
            <w:tcBorders>
              <w:left w:val="nil"/>
              <w:bottom w:val="nil"/>
              <w:right w:val="nil"/>
            </w:tcBorders>
            <w:noWrap/>
            <w:vAlign w:val="center"/>
          </w:tcPr>
          <w:p w:rsidR="0003552F" w:rsidRPr="00EB2995" w:rsidRDefault="0003552F" w:rsidP="0003552F">
            <w:pPr>
              <w:rPr>
                <w:rFonts w:cs="Calibri"/>
                <w:b/>
                <w:bCs/>
                <w:color w:val="000000"/>
                <w:lang w:eastAsia="en-GB"/>
              </w:rPr>
            </w:pPr>
          </w:p>
        </w:tc>
        <w:tc>
          <w:tcPr>
            <w:tcW w:w="1285" w:type="dxa"/>
            <w:gridSpan w:val="2"/>
            <w:tcBorders>
              <w:left w:val="nil"/>
              <w:bottom w:val="nil"/>
              <w:right w:val="single" w:sz="4" w:space="0" w:color="auto"/>
            </w:tcBorders>
            <w:noWrap/>
            <w:vAlign w:val="center"/>
          </w:tcPr>
          <w:p w:rsidR="0003552F" w:rsidRPr="00EB2995" w:rsidRDefault="0003552F" w:rsidP="0003552F">
            <w:pPr>
              <w:jc w:val="right"/>
              <w:rPr>
                <w:rFonts w:cs="Calibri"/>
                <w:lang w:eastAsia="en-GB"/>
              </w:rPr>
            </w:pPr>
          </w:p>
        </w:tc>
        <w:tc>
          <w:tcPr>
            <w:tcW w:w="1417" w:type="dxa"/>
            <w:tcBorders>
              <w:top w:val="single" w:sz="4" w:space="0" w:color="auto"/>
              <w:left w:val="single" w:sz="4" w:space="0" w:color="auto"/>
              <w:bottom w:val="single" w:sz="4" w:space="0" w:color="auto"/>
              <w:right w:val="single" w:sz="4" w:space="0" w:color="auto"/>
            </w:tcBorders>
            <w:noWrap/>
            <w:vAlign w:val="center"/>
          </w:tcPr>
          <w:p w:rsidR="0003552F" w:rsidRPr="00EB2995" w:rsidRDefault="00EA2048" w:rsidP="0003552F">
            <w:pPr>
              <w:jc w:val="right"/>
              <w:rPr>
                <w:rFonts w:cs="Calibri"/>
                <w:b/>
                <w:bCs/>
                <w:color w:val="000000"/>
                <w:lang w:eastAsia="en-GB"/>
              </w:rPr>
            </w:pPr>
            <w:r>
              <w:rPr>
                <w:rFonts w:cs="Calibri"/>
                <w:b/>
                <w:bCs/>
                <w:color w:val="000000"/>
              </w:rPr>
              <w:t>(497.1</w:t>
            </w:r>
            <w:r w:rsidR="0003552F">
              <w:rPr>
                <w:rFonts w:cs="Calibri"/>
                <w:b/>
                <w:bCs/>
                <w:color w:val="000000"/>
              </w:rPr>
              <w:t>)</w:t>
            </w:r>
          </w:p>
        </w:tc>
        <w:tc>
          <w:tcPr>
            <w:tcW w:w="1213" w:type="dxa"/>
            <w:gridSpan w:val="4"/>
            <w:tcBorders>
              <w:top w:val="nil"/>
              <w:left w:val="single" w:sz="4" w:space="0" w:color="auto"/>
              <w:bottom w:val="nil"/>
            </w:tcBorders>
            <w:noWrap/>
            <w:vAlign w:val="center"/>
          </w:tcPr>
          <w:p w:rsidR="0003552F" w:rsidRPr="00EB2995" w:rsidRDefault="0003552F" w:rsidP="0003552F">
            <w:pPr>
              <w:rPr>
                <w:rFonts w:cs="Calibri"/>
                <w:color w:val="000000"/>
                <w:lang w:eastAsia="en-GB"/>
              </w:rPr>
            </w:pPr>
          </w:p>
        </w:tc>
      </w:tr>
      <w:tr w:rsidR="0003552F" w:rsidRPr="00EB2995" w:rsidTr="0003552F">
        <w:trPr>
          <w:gridAfter w:val="1"/>
          <w:wAfter w:w="264" w:type="dxa"/>
          <w:trHeight w:hRule="exact" w:val="284"/>
        </w:trPr>
        <w:tc>
          <w:tcPr>
            <w:tcW w:w="1264" w:type="dxa"/>
            <w:tcBorders>
              <w:top w:val="nil"/>
            </w:tcBorders>
          </w:tcPr>
          <w:p w:rsidR="0003552F" w:rsidRPr="00EB2995" w:rsidRDefault="0003552F" w:rsidP="0003552F">
            <w:pPr>
              <w:ind w:left="-531"/>
              <w:jc w:val="right"/>
              <w:rPr>
                <w:rFonts w:cs="Calibri"/>
                <w:b/>
                <w:bCs/>
                <w:color w:val="000000"/>
                <w:lang w:eastAsia="en-GB"/>
              </w:rPr>
            </w:pPr>
          </w:p>
        </w:tc>
        <w:tc>
          <w:tcPr>
            <w:tcW w:w="897" w:type="dxa"/>
            <w:tcBorders>
              <w:top w:val="nil"/>
              <w:right w:val="single" w:sz="4" w:space="0" w:color="auto"/>
            </w:tcBorders>
          </w:tcPr>
          <w:p w:rsidR="0003552F" w:rsidRPr="00EB2995" w:rsidRDefault="0003552F" w:rsidP="0003552F">
            <w:pPr>
              <w:jc w:val="right"/>
              <w:rPr>
                <w:rFonts w:cs="Calibri"/>
                <w:b/>
                <w:bCs/>
                <w:color w:val="000000"/>
                <w:lang w:eastAsia="en-GB"/>
              </w:rPr>
            </w:pPr>
          </w:p>
        </w:tc>
        <w:tc>
          <w:tcPr>
            <w:tcW w:w="1660" w:type="dxa"/>
            <w:tcBorders>
              <w:top w:val="nil"/>
              <w:left w:val="single" w:sz="4" w:space="0" w:color="auto"/>
              <w:bottom w:val="single" w:sz="4" w:space="0" w:color="auto"/>
              <w:right w:val="single" w:sz="4" w:space="0" w:color="auto"/>
            </w:tcBorders>
            <w:noWrap/>
            <w:vAlign w:val="center"/>
          </w:tcPr>
          <w:p w:rsidR="0003552F" w:rsidRPr="00EB2995" w:rsidRDefault="0003552F" w:rsidP="0003552F">
            <w:pPr>
              <w:jc w:val="right"/>
              <w:rPr>
                <w:rFonts w:cs="Calibri"/>
                <w:b/>
                <w:bCs/>
                <w:color w:val="000000"/>
                <w:lang w:eastAsia="en-GB"/>
              </w:rPr>
            </w:pPr>
            <w:r w:rsidRPr="00EB2995">
              <w:rPr>
                <w:rFonts w:cs="Calibri"/>
                <w:b/>
                <w:bCs/>
                <w:color w:val="000000"/>
                <w:lang w:eastAsia="en-GB"/>
              </w:rPr>
              <w:t>12.4</w:t>
            </w:r>
          </w:p>
        </w:tc>
        <w:tc>
          <w:tcPr>
            <w:tcW w:w="5951" w:type="dxa"/>
            <w:gridSpan w:val="3"/>
            <w:tcBorders>
              <w:top w:val="nil"/>
              <w:left w:val="single" w:sz="4" w:space="0" w:color="auto"/>
              <w:bottom w:val="nil"/>
              <w:right w:val="nil"/>
            </w:tcBorders>
            <w:vAlign w:val="center"/>
          </w:tcPr>
          <w:p w:rsidR="0003552F" w:rsidRPr="00EB2995" w:rsidRDefault="0003552F" w:rsidP="0003552F">
            <w:pPr>
              <w:rPr>
                <w:rFonts w:cs="Calibri"/>
                <w:b/>
                <w:bCs/>
                <w:color w:val="000000"/>
                <w:lang w:eastAsia="en-GB"/>
              </w:rPr>
            </w:pPr>
            <w:r w:rsidRPr="00EB2995">
              <w:rPr>
                <w:rFonts w:cs="Calibri"/>
                <w:b/>
                <w:bCs/>
                <w:color w:val="000000"/>
                <w:lang w:eastAsia="en-GB"/>
              </w:rPr>
              <w:t>Total Comprehensive Income and Expenditure</w:t>
            </w:r>
          </w:p>
        </w:tc>
        <w:tc>
          <w:tcPr>
            <w:tcW w:w="2702" w:type="dxa"/>
            <w:gridSpan w:val="6"/>
            <w:tcBorders>
              <w:top w:val="nil"/>
              <w:left w:val="nil"/>
              <w:bottom w:val="nil"/>
              <w:right w:val="single" w:sz="8" w:space="0" w:color="000000"/>
            </w:tcBorders>
            <w:noWrap/>
            <w:vAlign w:val="center"/>
          </w:tcPr>
          <w:p w:rsidR="0003552F" w:rsidRPr="00EB2995" w:rsidRDefault="0003552F" w:rsidP="0003552F">
            <w:pPr>
              <w:rPr>
                <w:rFonts w:cs="Calibri"/>
                <w:b/>
                <w:bCs/>
                <w:color w:val="000000"/>
                <w:lang w:eastAsia="en-GB"/>
              </w:rPr>
            </w:pPr>
          </w:p>
        </w:tc>
        <w:tc>
          <w:tcPr>
            <w:tcW w:w="1417" w:type="dxa"/>
            <w:tcBorders>
              <w:top w:val="single" w:sz="4" w:space="0" w:color="auto"/>
              <w:left w:val="nil"/>
              <w:bottom w:val="single" w:sz="8" w:space="0" w:color="auto"/>
              <w:right w:val="single" w:sz="8" w:space="0" w:color="auto"/>
            </w:tcBorders>
            <w:noWrap/>
            <w:vAlign w:val="center"/>
          </w:tcPr>
          <w:p w:rsidR="0003552F" w:rsidRPr="00EB2995" w:rsidRDefault="00EA2048" w:rsidP="0003552F">
            <w:pPr>
              <w:jc w:val="right"/>
              <w:rPr>
                <w:rFonts w:cs="Calibri"/>
                <w:b/>
                <w:bCs/>
                <w:color w:val="000000"/>
                <w:lang w:eastAsia="en-GB"/>
              </w:rPr>
            </w:pPr>
            <w:r>
              <w:rPr>
                <w:rFonts w:cs="Calibri"/>
                <w:b/>
                <w:bCs/>
                <w:color w:val="000000"/>
              </w:rPr>
              <w:t>(506</w:t>
            </w:r>
            <w:r w:rsidR="0003552F">
              <w:rPr>
                <w:rFonts w:cs="Calibri"/>
                <w:b/>
                <w:bCs/>
                <w:color w:val="000000"/>
              </w:rPr>
              <w:t>.8)</w:t>
            </w:r>
          </w:p>
        </w:tc>
        <w:tc>
          <w:tcPr>
            <w:tcW w:w="1213" w:type="dxa"/>
            <w:gridSpan w:val="4"/>
            <w:tcBorders>
              <w:top w:val="nil"/>
              <w:left w:val="nil"/>
            </w:tcBorders>
            <w:noWrap/>
            <w:vAlign w:val="center"/>
          </w:tcPr>
          <w:p w:rsidR="0003552F" w:rsidRPr="00EB2995" w:rsidRDefault="0003552F" w:rsidP="0003552F">
            <w:pPr>
              <w:rPr>
                <w:rFonts w:cs="Calibri"/>
                <w:color w:val="000000"/>
                <w:lang w:eastAsia="en-GB"/>
              </w:rPr>
            </w:pPr>
          </w:p>
        </w:tc>
      </w:tr>
    </w:tbl>
    <w:p w:rsidR="00B64F8F" w:rsidRDefault="00B64F8F" w:rsidP="00F72906"/>
    <w:p w:rsidR="00B64F8F" w:rsidRPr="00EB2995" w:rsidRDefault="00B64F8F" w:rsidP="00B64F8F">
      <w:pPr>
        <w:rPr>
          <w:rFonts w:cs="Calibri"/>
          <w:iCs/>
          <w:color w:val="000000"/>
          <w:sz w:val="23"/>
          <w:szCs w:val="23"/>
        </w:rPr>
      </w:pPr>
      <w:r>
        <w:tab/>
      </w:r>
      <w:r>
        <w:rPr>
          <w:rFonts w:cs="Calibri"/>
          <w:iCs/>
          <w:color w:val="000000"/>
          <w:sz w:val="23"/>
          <w:szCs w:val="23"/>
        </w:rPr>
        <w:t>*The prior year figures has been restated for the 2019/20 Corporate Restructuring, whereby the Assistant Chief Executive, Chief Executive Department and Customer &amp; Digital Services Directorates has been created to replace the Resource Department and Performance, Policy &amp; Partnership Directorates.</w:t>
      </w:r>
    </w:p>
    <w:p w:rsidR="00B64F8F" w:rsidRDefault="00B64F8F" w:rsidP="00B64F8F">
      <w:pPr>
        <w:tabs>
          <w:tab w:val="left" w:pos="1076"/>
        </w:tabs>
      </w:pPr>
    </w:p>
    <w:p w:rsidR="0003552F" w:rsidRPr="00B64F8F" w:rsidRDefault="00B64F8F" w:rsidP="00B64F8F">
      <w:pPr>
        <w:tabs>
          <w:tab w:val="left" w:pos="1076"/>
        </w:tabs>
        <w:sectPr w:rsidR="0003552F" w:rsidRPr="00B64F8F" w:rsidSect="0003552F">
          <w:pgSz w:w="16838" w:h="11906" w:orient="landscape"/>
          <w:pgMar w:top="1440" w:right="1440" w:bottom="1440" w:left="1440" w:header="708" w:footer="708" w:gutter="0"/>
          <w:cols w:space="708"/>
          <w:docGrid w:linePitch="360"/>
        </w:sectPr>
      </w:pPr>
      <w:r>
        <w:lastRenderedPageBreak/>
        <w:tab/>
      </w:r>
    </w:p>
    <w:p w:rsidR="00F72906" w:rsidRDefault="00F72906" w:rsidP="0003552F">
      <w:pPr>
        <w:pStyle w:val="Heading2"/>
      </w:pPr>
      <w:bookmarkStart w:id="5" w:name="_Toc61870275"/>
      <w:r>
        <w:lastRenderedPageBreak/>
        <w:t>Cash Flow Statement</w:t>
      </w:r>
      <w:bookmarkEnd w:id="5"/>
    </w:p>
    <w:tbl>
      <w:tblPr>
        <w:tblW w:w="8722" w:type="dxa"/>
        <w:tblInd w:w="108" w:type="dxa"/>
        <w:tblLook w:val="00A0" w:firstRow="1" w:lastRow="0" w:firstColumn="1" w:lastColumn="0" w:noHBand="0" w:noVBand="0"/>
      </w:tblPr>
      <w:tblGrid>
        <w:gridCol w:w="1026"/>
        <w:gridCol w:w="5812"/>
        <w:gridCol w:w="851"/>
        <w:gridCol w:w="1033"/>
      </w:tblGrid>
      <w:tr w:rsidR="0003552F" w:rsidRPr="00EB2995" w:rsidTr="0003552F">
        <w:trPr>
          <w:trHeight w:val="300"/>
        </w:trPr>
        <w:tc>
          <w:tcPr>
            <w:tcW w:w="1026" w:type="dxa"/>
            <w:tcBorders>
              <w:top w:val="nil"/>
              <w:left w:val="nil"/>
              <w:bottom w:val="nil"/>
              <w:right w:val="nil"/>
            </w:tcBorders>
            <w:noWrap/>
            <w:vAlign w:val="bottom"/>
          </w:tcPr>
          <w:p w:rsidR="0003552F" w:rsidRPr="00EB2995" w:rsidRDefault="0003552F" w:rsidP="0003552F">
            <w:pPr>
              <w:jc w:val="right"/>
              <w:rPr>
                <w:rFonts w:cs="Calibri"/>
                <w:b/>
                <w:bCs/>
              </w:rPr>
            </w:pPr>
            <w:r w:rsidRPr="00EB2995">
              <w:rPr>
                <w:rFonts w:cs="Calibri"/>
                <w:b/>
                <w:bCs/>
              </w:rPr>
              <w:t>2018/19</w:t>
            </w:r>
          </w:p>
        </w:tc>
        <w:tc>
          <w:tcPr>
            <w:tcW w:w="5812" w:type="dxa"/>
            <w:tcBorders>
              <w:top w:val="nil"/>
              <w:left w:val="nil"/>
              <w:bottom w:val="nil"/>
              <w:right w:val="nil"/>
            </w:tcBorders>
            <w:vAlign w:val="bottom"/>
          </w:tcPr>
          <w:p w:rsidR="0003552F" w:rsidRPr="00EB2995" w:rsidRDefault="0003552F" w:rsidP="0003552F">
            <w:pPr>
              <w:jc w:val="right"/>
              <w:rPr>
                <w:rFonts w:cs="Calibri"/>
                <w:b/>
                <w:bCs/>
              </w:rPr>
            </w:pPr>
            <w:r w:rsidRPr="00EB2995">
              <w:rPr>
                <w:rFonts w:cs="Calibri"/>
                <w:b/>
                <w:bCs/>
              </w:rPr>
              <w:t> </w:t>
            </w:r>
          </w:p>
        </w:tc>
        <w:tc>
          <w:tcPr>
            <w:tcW w:w="851" w:type="dxa"/>
            <w:tcBorders>
              <w:top w:val="nil"/>
              <w:left w:val="nil"/>
              <w:bottom w:val="nil"/>
              <w:right w:val="nil"/>
            </w:tcBorders>
          </w:tcPr>
          <w:p w:rsidR="0003552F" w:rsidRPr="00EB2995" w:rsidRDefault="0003552F" w:rsidP="0003552F">
            <w:pPr>
              <w:jc w:val="right"/>
              <w:rPr>
                <w:rFonts w:cs="Calibri"/>
                <w:b/>
                <w:bCs/>
              </w:rPr>
            </w:pPr>
          </w:p>
        </w:tc>
        <w:tc>
          <w:tcPr>
            <w:tcW w:w="1033" w:type="dxa"/>
            <w:tcBorders>
              <w:top w:val="nil"/>
              <w:left w:val="nil"/>
              <w:bottom w:val="nil"/>
              <w:right w:val="nil"/>
            </w:tcBorders>
            <w:noWrap/>
            <w:vAlign w:val="bottom"/>
          </w:tcPr>
          <w:p w:rsidR="0003552F" w:rsidRPr="00EB2995" w:rsidRDefault="0003552F" w:rsidP="0003552F">
            <w:pPr>
              <w:jc w:val="right"/>
              <w:rPr>
                <w:rFonts w:cs="Calibri"/>
                <w:b/>
                <w:bCs/>
              </w:rPr>
            </w:pPr>
            <w:r w:rsidRPr="00EB2995">
              <w:rPr>
                <w:rFonts w:cs="Calibri"/>
                <w:b/>
                <w:bCs/>
              </w:rPr>
              <w:t>2019/20</w:t>
            </w:r>
          </w:p>
        </w:tc>
      </w:tr>
      <w:tr w:rsidR="0003552F" w:rsidRPr="00EB2995" w:rsidTr="0003552F">
        <w:trPr>
          <w:trHeight w:val="300"/>
        </w:trPr>
        <w:tc>
          <w:tcPr>
            <w:tcW w:w="1026" w:type="dxa"/>
            <w:tcBorders>
              <w:top w:val="nil"/>
              <w:left w:val="nil"/>
              <w:bottom w:val="nil"/>
              <w:right w:val="nil"/>
            </w:tcBorders>
            <w:noWrap/>
            <w:vAlign w:val="bottom"/>
          </w:tcPr>
          <w:p w:rsidR="0003552F" w:rsidRPr="00EB2995" w:rsidRDefault="0003552F" w:rsidP="0003552F">
            <w:pPr>
              <w:jc w:val="right"/>
              <w:rPr>
                <w:rFonts w:cs="Calibri"/>
                <w:b/>
                <w:bCs/>
              </w:rPr>
            </w:pPr>
            <w:r w:rsidRPr="00EB2995">
              <w:rPr>
                <w:rFonts w:cs="Calibri"/>
                <w:b/>
                <w:bCs/>
              </w:rPr>
              <w:t>£m</w:t>
            </w:r>
          </w:p>
        </w:tc>
        <w:tc>
          <w:tcPr>
            <w:tcW w:w="5812" w:type="dxa"/>
            <w:tcBorders>
              <w:top w:val="nil"/>
              <w:left w:val="nil"/>
              <w:bottom w:val="nil"/>
              <w:right w:val="nil"/>
            </w:tcBorders>
            <w:vAlign w:val="bottom"/>
          </w:tcPr>
          <w:p w:rsidR="0003552F" w:rsidRPr="00EB2995" w:rsidRDefault="0003552F" w:rsidP="0003552F">
            <w:pPr>
              <w:jc w:val="right"/>
              <w:rPr>
                <w:rFonts w:cs="Calibri"/>
                <w:b/>
                <w:bCs/>
              </w:rPr>
            </w:pPr>
            <w:r w:rsidRPr="00EB2995">
              <w:rPr>
                <w:rFonts w:cs="Calibri"/>
                <w:b/>
                <w:bCs/>
              </w:rPr>
              <w:t> </w:t>
            </w:r>
          </w:p>
        </w:tc>
        <w:tc>
          <w:tcPr>
            <w:tcW w:w="851" w:type="dxa"/>
            <w:tcBorders>
              <w:top w:val="nil"/>
              <w:left w:val="nil"/>
              <w:right w:val="nil"/>
            </w:tcBorders>
          </w:tcPr>
          <w:p w:rsidR="0003552F" w:rsidRPr="00EB2995" w:rsidRDefault="0003552F" w:rsidP="0003552F">
            <w:pPr>
              <w:jc w:val="right"/>
              <w:rPr>
                <w:rFonts w:cs="Calibri"/>
                <w:b/>
                <w:bCs/>
              </w:rPr>
            </w:pPr>
            <w:r w:rsidRPr="00EB2995">
              <w:rPr>
                <w:rFonts w:cs="Calibri"/>
                <w:b/>
                <w:bCs/>
              </w:rPr>
              <w:t>Notes</w:t>
            </w:r>
          </w:p>
        </w:tc>
        <w:tc>
          <w:tcPr>
            <w:tcW w:w="1033" w:type="dxa"/>
            <w:tcBorders>
              <w:top w:val="nil"/>
              <w:left w:val="nil"/>
              <w:bottom w:val="single" w:sz="4" w:space="0" w:color="auto"/>
              <w:right w:val="nil"/>
            </w:tcBorders>
            <w:noWrap/>
            <w:vAlign w:val="bottom"/>
          </w:tcPr>
          <w:p w:rsidR="0003552F" w:rsidRPr="00EB2995" w:rsidRDefault="0003552F" w:rsidP="0003552F">
            <w:pPr>
              <w:jc w:val="right"/>
              <w:rPr>
                <w:rFonts w:cs="Calibri"/>
                <w:b/>
                <w:bCs/>
              </w:rPr>
            </w:pPr>
            <w:r w:rsidRPr="00EB2995">
              <w:rPr>
                <w:rFonts w:cs="Calibri"/>
                <w:b/>
                <w:bCs/>
              </w:rPr>
              <w:t>£m</w:t>
            </w:r>
          </w:p>
        </w:tc>
      </w:tr>
      <w:tr w:rsidR="0003552F" w:rsidRPr="00EB2995" w:rsidTr="0003552F">
        <w:trPr>
          <w:trHeight w:val="300"/>
        </w:trPr>
        <w:tc>
          <w:tcPr>
            <w:tcW w:w="1026" w:type="dxa"/>
            <w:tcBorders>
              <w:top w:val="single" w:sz="4" w:space="0" w:color="auto"/>
              <w:left w:val="single" w:sz="4" w:space="0" w:color="auto"/>
              <w:bottom w:val="nil"/>
              <w:right w:val="single" w:sz="4" w:space="0" w:color="auto"/>
            </w:tcBorders>
            <w:noWrap/>
            <w:vAlign w:val="center"/>
          </w:tcPr>
          <w:p w:rsidR="0003552F" w:rsidRPr="00EB2995" w:rsidRDefault="0003552F" w:rsidP="0003552F">
            <w:pPr>
              <w:jc w:val="right"/>
              <w:rPr>
                <w:rFonts w:cs="Calibri"/>
              </w:rPr>
            </w:pPr>
            <w:r w:rsidRPr="00EB2995">
              <w:rPr>
                <w:rFonts w:cs="Calibri"/>
              </w:rPr>
              <w:t>(54.7)</w:t>
            </w:r>
          </w:p>
        </w:tc>
        <w:tc>
          <w:tcPr>
            <w:tcW w:w="5812" w:type="dxa"/>
            <w:tcBorders>
              <w:top w:val="nil"/>
              <w:left w:val="nil"/>
              <w:bottom w:val="nil"/>
            </w:tcBorders>
            <w:vAlign w:val="bottom"/>
          </w:tcPr>
          <w:p w:rsidR="0003552F" w:rsidRPr="00EB2995" w:rsidRDefault="0003552F" w:rsidP="0003552F">
            <w:pPr>
              <w:rPr>
                <w:rFonts w:cs="Calibri"/>
              </w:rPr>
            </w:pPr>
            <w:r w:rsidRPr="00EB2995">
              <w:rPr>
                <w:rFonts w:cs="Calibri"/>
              </w:rPr>
              <w:t>Net surplus or (deficit) on the provision of services</w:t>
            </w:r>
          </w:p>
        </w:tc>
        <w:tc>
          <w:tcPr>
            <w:tcW w:w="851" w:type="dxa"/>
            <w:tcBorders>
              <w:bottom w:val="nil"/>
              <w:right w:val="single" w:sz="4" w:space="0" w:color="auto"/>
            </w:tcBorders>
            <w:vAlign w:val="center"/>
          </w:tcPr>
          <w:p w:rsidR="0003552F" w:rsidRPr="00EB2995" w:rsidRDefault="0003552F" w:rsidP="0003552F">
            <w:pPr>
              <w:jc w:val="center"/>
              <w:rPr>
                <w:rFonts w:cs="Calibri"/>
              </w:rPr>
            </w:pPr>
          </w:p>
        </w:tc>
        <w:tc>
          <w:tcPr>
            <w:tcW w:w="1033" w:type="dxa"/>
            <w:tcBorders>
              <w:top w:val="nil"/>
              <w:left w:val="nil"/>
              <w:bottom w:val="nil"/>
              <w:right w:val="single" w:sz="8" w:space="0" w:color="auto"/>
            </w:tcBorders>
            <w:shd w:val="clear" w:color="auto" w:fill="auto"/>
            <w:noWrap/>
            <w:vAlign w:val="center"/>
          </w:tcPr>
          <w:p w:rsidR="0003552F" w:rsidRPr="00EB2995" w:rsidRDefault="00EA2048" w:rsidP="0003552F">
            <w:pPr>
              <w:jc w:val="right"/>
              <w:rPr>
                <w:rFonts w:cs="Calibri"/>
              </w:rPr>
            </w:pPr>
            <w:r>
              <w:rPr>
                <w:rFonts w:cs="Calibri"/>
              </w:rPr>
              <w:t>9.7</w:t>
            </w:r>
          </w:p>
        </w:tc>
      </w:tr>
      <w:tr w:rsidR="0003552F" w:rsidRPr="00EB2995" w:rsidTr="0003552F">
        <w:trPr>
          <w:trHeight w:val="300"/>
        </w:trPr>
        <w:tc>
          <w:tcPr>
            <w:tcW w:w="1026" w:type="dxa"/>
            <w:tcBorders>
              <w:top w:val="nil"/>
              <w:left w:val="single" w:sz="4" w:space="0" w:color="auto"/>
              <w:bottom w:val="nil"/>
              <w:right w:val="single" w:sz="4" w:space="0" w:color="auto"/>
            </w:tcBorders>
            <w:noWrap/>
            <w:vAlign w:val="center"/>
          </w:tcPr>
          <w:p w:rsidR="0003552F" w:rsidRPr="00EB2995" w:rsidRDefault="0003552F" w:rsidP="0003552F">
            <w:pPr>
              <w:jc w:val="right"/>
              <w:rPr>
                <w:rFonts w:cs="Calibri"/>
              </w:rPr>
            </w:pPr>
            <w:r w:rsidRPr="00EB2995">
              <w:rPr>
                <w:rFonts w:cs="Calibri"/>
              </w:rPr>
              <w:t>122.1</w:t>
            </w:r>
          </w:p>
        </w:tc>
        <w:tc>
          <w:tcPr>
            <w:tcW w:w="5812" w:type="dxa"/>
            <w:tcBorders>
              <w:top w:val="nil"/>
              <w:left w:val="nil"/>
              <w:bottom w:val="nil"/>
            </w:tcBorders>
            <w:vAlign w:val="bottom"/>
          </w:tcPr>
          <w:p w:rsidR="0003552F" w:rsidRPr="00EB2995" w:rsidRDefault="0003552F" w:rsidP="0003552F">
            <w:pPr>
              <w:rPr>
                <w:rFonts w:cs="Calibri"/>
              </w:rPr>
            </w:pPr>
            <w:r w:rsidRPr="00EB2995">
              <w:rPr>
                <w:rFonts w:cs="Calibri"/>
              </w:rPr>
              <w:t>Adjustment to surplus or deficit on the provision of services for noncash movements</w:t>
            </w:r>
          </w:p>
        </w:tc>
        <w:tc>
          <w:tcPr>
            <w:tcW w:w="851" w:type="dxa"/>
            <w:tcBorders>
              <w:top w:val="nil"/>
              <w:bottom w:val="nil"/>
              <w:right w:val="single" w:sz="4" w:space="0" w:color="auto"/>
            </w:tcBorders>
            <w:vAlign w:val="center"/>
          </w:tcPr>
          <w:p w:rsidR="0003552F" w:rsidRPr="00EB2995" w:rsidRDefault="0003552F" w:rsidP="0003552F">
            <w:pPr>
              <w:jc w:val="center"/>
              <w:rPr>
                <w:rFonts w:cs="Calibri"/>
              </w:rPr>
            </w:pPr>
            <w:r w:rsidRPr="00EB2995">
              <w:rPr>
                <w:rFonts w:cs="Calibri"/>
              </w:rPr>
              <w:t>4</w:t>
            </w:r>
          </w:p>
        </w:tc>
        <w:tc>
          <w:tcPr>
            <w:tcW w:w="1033" w:type="dxa"/>
            <w:tcBorders>
              <w:top w:val="nil"/>
              <w:left w:val="nil"/>
              <w:bottom w:val="nil"/>
              <w:right w:val="single" w:sz="8" w:space="0" w:color="auto"/>
            </w:tcBorders>
            <w:shd w:val="clear" w:color="auto" w:fill="auto"/>
            <w:noWrap/>
            <w:vAlign w:val="center"/>
          </w:tcPr>
          <w:p w:rsidR="0003552F" w:rsidRPr="00EB2995" w:rsidRDefault="00EA2048" w:rsidP="0003552F">
            <w:pPr>
              <w:jc w:val="right"/>
              <w:rPr>
                <w:rFonts w:cs="Calibri"/>
              </w:rPr>
            </w:pPr>
            <w:r>
              <w:rPr>
                <w:rFonts w:cs="Calibri"/>
              </w:rPr>
              <w:t>22.4</w:t>
            </w:r>
          </w:p>
        </w:tc>
      </w:tr>
      <w:tr w:rsidR="0003552F" w:rsidRPr="00EB2995" w:rsidTr="0003552F">
        <w:trPr>
          <w:trHeight w:val="300"/>
        </w:trPr>
        <w:tc>
          <w:tcPr>
            <w:tcW w:w="1026" w:type="dxa"/>
            <w:tcBorders>
              <w:top w:val="nil"/>
              <w:left w:val="single" w:sz="4" w:space="0" w:color="auto"/>
              <w:bottom w:val="single" w:sz="4" w:space="0" w:color="auto"/>
              <w:right w:val="single" w:sz="4" w:space="0" w:color="auto"/>
            </w:tcBorders>
            <w:noWrap/>
            <w:vAlign w:val="center"/>
          </w:tcPr>
          <w:p w:rsidR="0003552F" w:rsidRPr="00EB2995" w:rsidRDefault="0003552F" w:rsidP="0003552F">
            <w:pPr>
              <w:jc w:val="right"/>
              <w:rPr>
                <w:rFonts w:cs="Calibri"/>
              </w:rPr>
            </w:pPr>
            <w:r w:rsidRPr="00EB2995">
              <w:rPr>
                <w:rFonts w:cs="Calibri"/>
              </w:rPr>
              <w:t>71.9</w:t>
            </w:r>
          </w:p>
        </w:tc>
        <w:tc>
          <w:tcPr>
            <w:tcW w:w="5812" w:type="dxa"/>
            <w:tcBorders>
              <w:top w:val="nil"/>
              <w:left w:val="nil"/>
              <w:bottom w:val="nil"/>
            </w:tcBorders>
            <w:vAlign w:val="bottom"/>
          </w:tcPr>
          <w:p w:rsidR="0003552F" w:rsidRPr="00EB2995" w:rsidRDefault="0003552F" w:rsidP="0003552F">
            <w:pPr>
              <w:rPr>
                <w:rFonts w:cs="Calibri"/>
              </w:rPr>
            </w:pPr>
            <w:r w:rsidRPr="00EB2995">
              <w:rPr>
                <w:rFonts w:cs="Calibri"/>
              </w:rPr>
              <w:t>Adjust for items included in the net surplus or deficit on the provision of services that are investing and financing activities</w:t>
            </w:r>
          </w:p>
        </w:tc>
        <w:tc>
          <w:tcPr>
            <w:tcW w:w="851" w:type="dxa"/>
            <w:tcBorders>
              <w:top w:val="nil"/>
              <w:right w:val="single" w:sz="4" w:space="0" w:color="auto"/>
            </w:tcBorders>
            <w:vAlign w:val="center"/>
          </w:tcPr>
          <w:p w:rsidR="0003552F" w:rsidRPr="00EB2995" w:rsidRDefault="0003552F" w:rsidP="0003552F">
            <w:pPr>
              <w:jc w:val="center"/>
              <w:rPr>
                <w:rFonts w:cs="Calibri"/>
              </w:rPr>
            </w:pPr>
            <w:r w:rsidRPr="00EB2995">
              <w:rPr>
                <w:rFonts w:cs="Calibri"/>
              </w:rPr>
              <w:t>4</w:t>
            </w:r>
          </w:p>
        </w:tc>
        <w:tc>
          <w:tcPr>
            <w:tcW w:w="1033" w:type="dxa"/>
            <w:tcBorders>
              <w:top w:val="nil"/>
              <w:left w:val="single" w:sz="4" w:space="0" w:color="auto"/>
              <w:bottom w:val="single" w:sz="4" w:space="0" w:color="auto"/>
              <w:right w:val="single" w:sz="4" w:space="0" w:color="auto"/>
            </w:tcBorders>
            <w:noWrap/>
            <w:vAlign w:val="center"/>
          </w:tcPr>
          <w:p w:rsidR="0003552F" w:rsidRPr="00EB2995" w:rsidRDefault="0003552F" w:rsidP="0003552F">
            <w:pPr>
              <w:jc w:val="right"/>
              <w:rPr>
                <w:rFonts w:cs="Calibri"/>
              </w:rPr>
            </w:pPr>
            <w:r>
              <w:rPr>
                <w:rFonts w:cs="Calibri"/>
              </w:rPr>
              <w:t>(78.0</w:t>
            </w:r>
            <w:r w:rsidRPr="00EB2995">
              <w:rPr>
                <w:rFonts w:cs="Calibri"/>
              </w:rPr>
              <w:t>)</w:t>
            </w:r>
          </w:p>
        </w:tc>
      </w:tr>
      <w:tr w:rsidR="0003552F" w:rsidRPr="00EB2995" w:rsidTr="0003552F">
        <w:trPr>
          <w:trHeight w:val="300"/>
        </w:trPr>
        <w:tc>
          <w:tcPr>
            <w:tcW w:w="1026" w:type="dxa"/>
            <w:tcBorders>
              <w:top w:val="nil"/>
              <w:left w:val="single" w:sz="4" w:space="0" w:color="auto"/>
              <w:bottom w:val="nil"/>
              <w:right w:val="single" w:sz="4" w:space="0" w:color="auto"/>
            </w:tcBorders>
            <w:noWrap/>
            <w:vAlign w:val="center"/>
          </w:tcPr>
          <w:p w:rsidR="0003552F" w:rsidRPr="00EB2995" w:rsidRDefault="0003552F" w:rsidP="0003552F">
            <w:pPr>
              <w:jc w:val="right"/>
              <w:rPr>
                <w:rFonts w:cs="Calibri"/>
                <w:b/>
              </w:rPr>
            </w:pPr>
            <w:r w:rsidRPr="00EB2995">
              <w:rPr>
                <w:rFonts w:cs="Calibri"/>
                <w:b/>
              </w:rPr>
              <w:t>139.3</w:t>
            </w:r>
          </w:p>
        </w:tc>
        <w:tc>
          <w:tcPr>
            <w:tcW w:w="5812" w:type="dxa"/>
            <w:tcBorders>
              <w:top w:val="nil"/>
              <w:left w:val="nil"/>
              <w:bottom w:val="nil"/>
            </w:tcBorders>
            <w:vAlign w:val="bottom"/>
          </w:tcPr>
          <w:p w:rsidR="0003552F" w:rsidRPr="00EB2995" w:rsidRDefault="007B70DC" w:rsidP="0003552F">
            <w:pPr>
              <w:rPr>
                <w:rFonts w:cs="Calibri"/>
                <w:b/>
              </w:rPr>
            </w:pPr>
            <w:hyperlink r:id="rId10" w:anchor="'24.Note 25'!A1" w:history="1">
              <w:r w:rsidR="0003552F" w:rsidRPr="00EB2995">
                <w:rPr>
                  <w:rFonts w:cs="Calibri"/>
                  <w:b/>
                </w:rPr>
                <w:t xml:space="preserve">Net cash inflows/(outflows) from Operating Activities </w:t>
              </w:r>
            </w:hyperlink>
          </w:p>
        </w:tc>
        <w:tc>
          <w:tcPr>
            <w:tcW w:w="851" w:type="dxa"/>
            <w:tcBorders>
              <w:top w:val="nil"/>
              <w:bottom w:val="nil"/>
              <w:right w:val="single" w:sz="4" w:space="0" w:color="auto"/>
            </w:tcBorders>
            <w:vAlign w:val="center"/>
          </w:tcPr>
          <w:p w:rsidR="0003552F" w:rsidRPr="00EB2995" w:rsidRDefault="0003552F" w:rsidP="0003552F">
            <w:pPr>
              <w:jc w:val="center"/>
              <w:rPr>
                <w:rFonts w:cs="Calibri"/>
              </w:rPr>
            </w:pPr>
          </w:p>
        </w:tc>
        <w:tc>
          <w:tcPr>
            <w:tcW w:w="1033" w:type="dxa"/>
            <w:tcBorders>
              <w:top w:val="nil"/>
              <w:left w:val="single" w:sz="4" w:space="0" w:color="auto"/>
              <w:bottom w:val="nil"/>
              <w:right w:val="single" w:sz="4" w:space="0" w:color="auto"/>
            </w:tcBorders>
            <w:noWrap/>
            <w:vAlign w:val="center"/>
          </w:tcPr>
          <w:p w:rsidR="0003552F" w:rsidRPr="00EB2995" w:rsidRDefault="0003552F" w:rsidP="0003552F">
            <w:pPr>
              <w:jc w:val="right"/>
              <w:rPr>
                <w:rFonts w:cs="Calibri"/>
                <w:b/>
              </w:rPr>
            </w:pPr>
            <w:r w:rsidRPr="00EB2995">
              <w:rPr>
                <w:rFonts w:cs="Calibri"/>
                <w:b/>
              </w:rPr>
              <w:t>(45.9)</w:t>
            </w:r>
          </w:p>
        </w:tc>
      </w:tr>
      <w:tr w:rsidR="0003552F" w:rsidRPr="00EB2995" w:rsidTr="0003552F">
        <w:trPr>
          <w:trHeight w:val="300"/>
        </w:trPr>
        <w:tc>
          <w:tcPr>
            <w:tcW w:w="1026" w:type="dxa"/>
            <w:tcBorders>
              <w:top w:val="nil"/>
              <w:left w:val="single" w:sz="4" w:space="0" w:color="auto"/>
              <w:bottom w:val="nil"/>
              <w:right w:val="single" w:sz="4" w:space="0" w:color="auto"/>
            </w:tcBorders>
            <w:noWrap/>
            <w:vAlign w:val="center"/>
          </w:tcPr>
          <w:p w:rsidR="0003552F" w:rsidRPr="00EB2995" w:rsidRDefault="0003552F" w:rsidP="0003552F">
            <w:pPr>
              <w:jc w:val="right"/>
              <w:rPr>
                <w:rFonts w:cs="Calibri"/>
              </w:rPr>
            </w:pPr>
            <w:r w:rsidRPr="00EB2995">
              <w:rPr>
                <w:rFonts w:cs="Calibri"/>
              </w:rPr>
              <w:t>(97.3)</w:t>
            </w:r>
          </w:p>
        </w:tc>
        <w:tc>
          <w:tcPr>
            <w:tcW w:w="5812" w:type="dxa"/>
            <w:tcBorders>
              <w:top w:val="nil"/>
              <w:left w:val="nil"/>
              <w:bottom w:val="nil"/>
            </w:tcBorders>
            <w:vAlign w:val="bottom"/>
          </w:tcPr>
          <w:p w:rsidR="0003552F" w:rsidRPr="00EB2995" w:rsidRDefault="0003552F" w:rsidP="0003552F">
            <w:pPr>
              <w:rPr>
                <w:rFonts w:cs="Calibri"/>
              </w:rPr>
            </w:pPr>
            <w:r w:rsidRPr="00EB2995">
              <w:rPr>
                <w:rFonts w:cs="Calibri"/>
              </w:rPr>
              <w:t>Net cash inflows/(outflow) from Investing activities</w:t>
            </w:r>
          </w:p>
        </w:tc>
        <w:tc>
          <w:tcPr>
            <w:tcW w:w="851" w:type="dxa"/>
            <w:tcBorders>
              <w:top w:val="nil"/>
              <w:bottom w:val="nil"/>
              <w:right w:val="single" w:sz="4" w:space="0" w:color="auto"/>
            </w:tcBorders>
            <w:vAlign w:val="center"/>
          </w:tcPr>
          <w:p w:rsidR="0003552F" w:rsidRPr="00EB2995" w:rsidRDefault="0003552F" w:rsidP="0003552F">
            <w:pPr>
              <w:jc w:val="center"/>
              <w:rPr>
                <w:rFonts w:cs="Calibri"/>
              </w:rPr>
            </w:pPr>
            <w:r w:rsidRPr="00EB2995">
              <w:rPr>
                <w:rFonts w:cs="Calibri"/>
              </w:rPr>
              <w:t>5</w:t>
            </w:r>
          </w:p>
        </w:tc>
        <w:tc>
          <w:tcPr>
            <w:tcW w:w="1033" w:type="dxa"/>
            <w:tcBorders>
              <w:top w:val="nil"/>
              <w:left w:val="single" w:sz="4" w:space="0" w:color="auto"/>
              <w:bottom w:val="nil"/>
              <w:right w:val="single" w:sz="4" w:space="0" w:color="auto"/>
            </w:tcBorders>
            <w:noWrap/>
            <w:vAlign w:val="center"/>
          </w:tcPr>
          <w:p w:rsidR="0003552F" w:rsidRPr="00EB2995" w:rsidRDefault="0003552F" w:rsidP="0003552F">
            <w:pPr>
              <w:jc w:val="right"/>
              <w:rPr>
                <w:rFonts w:cs="Calibri"/>
              </w:rPr>
            </w:pPr>
            <w:r>
              <w:rPr>
                <w:rFonts w:cs="Calibri"/>
              </w:rPr>
              <w:t>(67.8</w:t>
            </w:r>
            <w:r w:rsidRPr="00EB2995">
              <w:rPr>
                <w:rFonts w:cs="Calibri"/>
              </w:rPr>
              <w:t>)</w:t>
            </w:r>
          </w:p>
        </w:tc>
      </w:tr>
      <w:tr w:rsidR="0003552F" w:rsidRPr="00EB2995" w:rsidTr="0003552F">
        <w:trPr>
          <w:trHeight w:val="300"/>
        </w:trPr>
        <w:tc>
          <w:tcPr>
            <w:tcW w:w="1026" w:type="dxa"/>
            <w:tcBorders>
              <w:top w:val="nil"/>
              <w:left w:val="single" w:sz="4" w:space="0" w:color="auto"/>
              <w:bottom w:val="single" w:sz="4" w:space="0" w:color="auto"/>
              <w:right w:val="single" w:sz="4" w:space="0" w:color="auto"/>
            </w:tcBorders>
            <w:noWrap/>
            <w:vAlign w:val="center"/>
          </w:tcPr>
          <w:p w:rsidR="0003552F" w:rsidRPr="00EB2995" w:rsidRDefault="0003552F" w:rsidP="0003552F">
            <w:pPr>
              <w:jc w:val="right"/>
              <w:rPr>
                <w:rFonts w:cs="Calibri"/>
              </w:rPr>
            </w:pPr>
            <w:r w:rsidRPr="00EB2995">
              <w:rPr>
                <w:rFonts w:cs="Calibri"/>
              </w:rPr>
              <w:t>(35.7)</w:t>
            </w:r>
          </w:p>
        </w:tc>
        <w:tc>
          <w:tcPr>
            <w:tcW w:w="5812" w:type="dxa"/>
            <w:tcBorders>
              <w:top w:val="nil"/>
              <w:left w:val="nil"/>
              <w:bottom w:val="nil"/>
            </w:tcBorders>
            <w:vAlign w:val="bottom"/>
          </w:tcPr>
          <w:p w:rsidR="0003552F" w:rsidRPr="00EB2995" w:rsidRDefault="0003552F" w:rsidP="0003552F">
            <w:pPr>
              <w:rPr>
                <w:rFonts w:cs="Calibri"/>
              </w:rPr>
            </w:pPr>
            <w:r w:rsidRPr="00EB2995">
              <w:rPr>
                <w:rFonts w:cs="Calibri"/>
              </w:rPr>
              <w:t xml:space="preserve">Net cash inflows/(outflow) from </w:t>
            </w:r>
            <w:hyperlink r:id="rId11" w:anchor="'26.Note 27'!A1" w:history="1">
              <w:r w:rsidRPr="00EB2995">
                <w:rPr>
                  <w:rFonts w:cs="Calibri"/>
                </w:rPr>
                <w:t>Financing activities</w:t>
              </w:r>
            </w:hyperlink>
          </w:p>
        </w:tc>
        <w:tc>
          <w:tcPr>
            <w:tcW w:w="851" w:type="dxa"/>
            <w:tcBorders>
              <w:top w:val="nil"/>
              <w:right w:val="single" w:sz="4" w:space="0" w:color="auto"/>
            </w:tcBorders>
            <w:vAlign w:val="center"/>
          </w:tcPr>
          <w:p w:rsidR="0003552F" w:rsidRPr="00EB2995" w:rsidRDefault="0003552F" w:rsidP="0003552F">
            <w:pPr>
              <w:jc w:val="center"/>
              <w:rPr>
                <w:rFonts w:cs="Calibri"/>
              </w:rPr>
            </w:pPr>
            <w:r w:rsidRPr="00EB2995">
              <w:rPr>
                <w:rFonts w:cs="Calibri"/>
              </w:rPr>
              <w:t>6</w:t>
            </w:r>
          </w:p>
        </w:tc>
        <w:tc>
          <w:tcPr>
            <w:tcW w:w="1033" w:type="dxa"/>
            <w:tcBorders>
              <w:top w:val="nil"/>
              <w:left w:val="single" w:sz="4" w:space="0" w:color="auto"/>
              <w:bottom w:val="single" w:sz="4" w:space="0" w:color="auto"/>
              <w:right w:val="single" w:sz="4" w:space="0" w:color="auto"/>
            </w:tcBorders>
            <w:noWrap/>
            <w:vAlign w:val="center"/>
          </w:tcPr>
          <w:p w:rsidR="0003552F" w:rsidRPr="00EB2995" w:rsidRDefault="0003552F" w:rsidP="0003552F">
            <w:pPr>
              <w:jc w:val="right"/>
              <w:rPr>
                <w:rFonts w:cs="Calibri"/>
              </w:rPr>
            </w:pPr>
            <w:r w:rsidRPr="00EB2995">
              <w:rPr>
                <w:rFonts w:cs="Calibri"/>
              </w:rPr>
              <w:t>195.6</w:t>
            </w:r>
          </w:p>
        </w:tc>
      </w:tr>
      <w:tr w:rsidR="0003552F" w:rsidRPr="00EB2995" w:rsidTr="0003552F">
        <w:trPr>
          <w:trHeight w:val="300"/>
        </w:trPr>
        <w:tc>
          <w:tcPr>
            <w:tcW w:w="1026" w:type="dxa"/>
            <w:tcBorders>
              <w:top w:val="nil"/>
              <w:left w:val="single" w:sz="4" w:space="0" w:color="auto"/>
              <w:bottom w:val="nil"/>
              <w:right w:val="single" w:sz="4" w:space="0" w:color="auto"/>
            </w:tcBorders>
            <w:noWrap/>
            <w:vAlign w:val="center"/>
          </w:tcPr>
          <w:p w:rsidR="0003552F" w:rsidRPr="00EB2995" w:rsidRDefault="0003552F" w:rsidP="0003552F">
            <w:pPr>
              <w:jc w:val="right"/>
              <w:rPr>
                <w:rFonts w:cs="Calibri"/>
                <w:b/>
              </w:rPr>
            </w:pPr>
            <w:r w:rsidRPr="00EB2995">
              <w:rPr>
                <w:rFonts w:cs="Calibri"/>
                <w:b/>
              </w:rPr>
              <w:t>6.3</w:t>
            </w:r>
          </w:p>
        </w:tc>
        <w:tc>
          <w:tcPr>
            <w:tcW w:w="5812" w:type="dxa"/>
            <w:tcBorders>
              <w:top w:val="nil"/>
              <w:left w:val="nil"/>
              <w:bottom w:val="nil"/>
            </w:tcBorders>
            <w:vAlign w:val="bottom"/>
          </w:tcPr>
          <w:p w:rsidR="0003552F" w:rsidRPr="00EB2995" w:rsidRDefault="0003552F" w:rsidP="0003552F">
            <w:pPr>
              <w:rPr>
                <w:rFonts w:cs="Calibri"/>
                <w:b/>
                <w:bCs/>
              </w:rPr>
            </w:pPr>
            <w:r w:rsidRPr="00EB2995">
              <w:rPr>
                <w:rFonts w:cs="Calibri"/>
                <w:b/>
                <w:bCs/>
              </w:rPr>
              <w:t>Net increase/(decrease) in cash and cash equivalents</w:t>
            </w:r>
          </w:p>
        </w:tc>
        <w:tc>
          <w:tcPr>
            <w:tcW w:w="851" w:type="dxa"/>
            <w:tcBorders>
              <w:top w:val="nil"/>
              <w:bottom w:val="nil"/>
              <w:right w:val="single" w:sz="4" w:space="0" w:color="auto"/>
            </w:tcBorders>
            <w:vAlign w:val="center"/>
          </w:tcPr>
          <w:p w:rsidR="0003552F" w:rsidRPr="00EB2995" w:rsidRDefault="0003552F" w:rsidP="0003552F">
            <w:pPr>
              <w:jc w:val="center"/>
              <w:rPr>
                <w:rFonts w:cs="Calibri"/>
                <w:b/>
              </w:rPr>
            </w:pPr>
          </w:p>
        </w:tc>
        <w:tc>
          <w:tcPr>
            <w:tcW w:w="1033" w:type="dxa"/>
            <w:tcBorders>
              <w:top w:val="nil"/>
              <w:left w:val="single" w:sz="4" w:space="0" w:color="auto"/>
              <w:bottom w:val="nil"/>
              <w:right w:val="single" w:sz="4" w:space="0" w:color="auto"/>
            </w:tcBorders>
            <w:noWrap/>
            <w:vAlign w:val="center"/>
          </w:tcPr>
          <w:p w:rsidR="0003552F" w:rsidRPr="00EB2995" w:rsidRDefault="0003552F" w:rsidP="0003552F">
            <w:pPr>
              <w:jc w:val="right"/>
              <w:rPr>
                <w:rFonts w:cs="Calibri"/>
                <w:b/>
              </w:rPr>
            </w:pPr>
            <w:r>
              <w:rPr>
                <w:rFonts w:cs="Calibri"/>
                <w:b/>
              </w:rPr>
              <w:t>81.9</w:t>
            </w:r>
          </w:p>
        </w:tc>
      </w:tr>
      <w:tr w:rsidR="0003552F" w:rsidRPr="00EB2995" w:rsidTr="0003552F">
        <w:trPr>
          <w:trHeight w:val="300"/>
        </w:trPr>
        <w:tc>
          <w:tcPr>
            <w:tcW w:w="1026" w:type="dxa"/>
            <w:tcBorders>
              <w:top w:val="nil"/>
              <w:left w:val="single" w:sz="4" w:space="0" w:color="auto"/>
              <w:bottom w:val="single" w:sz="4" w:space="0" w:color="auto"/>
              <w:right w:val="single" w:sz="4" w:space="0" w:color="auto"/>
            </w:tcBorders>
            <w:noWrap/>
            <w:vAlign w:val="center"/>
          </w:tcPr>
          <w:p w:rsidR="0003552F" w:rsidRPr="00EB2995" w:rsidRDefault="0003552F" w:rsidP="0003552F">
            <w:pPr>
              <w:jc w:val="right"/>
              <w:rPr>
                <w:rFonts w:cs="Calibri"/>
              </w:rPr>
            </w:pPr>
            <w:r w:rsidRPr="00EB2995">
              <w:rPr>
                <w:rFonts w:cs="Calibri"/>
              </w:rPr>
              <w:t>47.0</w:t>
            </w:r>
          </w:p>
        </w:tc>
        <w:tc>
          <w:tcPr>
            <w:tcW w:w="5812" w:type="dxa"/>
            <w:tcBorders>
              <w:top w:val="nil"/>
              <w:left w:val="nil"/>
              <w:bottom w:val="nil"/>
            </w:tcBorders>
            <w:vAlign w:val="bottom"/>
          </w:tcPr>
          <w:p w:rsidR="0003552F" w:rsidRPr="00EB2995" w:rsidRDefault="0003552F" w:rsidP="0003552F">
            <w:pPr>
              <w:rPr>
                <w:rFonts w:cs="Calibri"/>
              </w:rPr>
            </w:pPr>
            <w:r w:rsidRPr="00EB2995">
              <w:rPr>
                <w:rFonts w:cs="Calibri"/>
              </w:rPr>
              <w:t>Cash and cash equivalents at the beginning of the reporting period</w:t>
            </w:r>
          </w:p>
        </w:tc>
        <w:tc>
          <w:tcPr>
            <w:tcW w:w="851" w:type="dxa"/>
            <w:tcBorders>
              <w:top w:val="nil"/>
              <w:right w:val="single" w:sz="4" w:space="0" w:color="auto"/>
            </w:tcBorders>
            <w:vAlign w:val="center"/>
          </w:tcPr>
          <w:p w:rsidR="0003552F" w:rsidRPr="00EB2995" w:rsidRDefault="0003552F" w:rsidP="0003552F">
            <w:pPr>
              <w:jc w:val="center"/>
              <w:rPr>
                <w:rFonts w:cs="Calibri"/>
              </w:rPr>
            </w:pPr>
          </w:p>
        </w:tc>
        <w:tc>
          <w:tcPr>
            <w:tcW w:w="1033" w:type="dxa"/>
            <w:tcBorders>
              <w:top w:val="nil"/>
              <w:left w:val="single" w:sz="4" w:space="0" w:color="auto"/>
              <w:bottom w:val="single" w:sz="4" w:space="0" w:color="auto"/>
              <w:right w:val="single" w:sz="4" w:space="0" w:color="auto"/>
            </w:tcBorders>
            <w:noWrap/>
            <w:vAlign w:val="center"/>
          </w:tcPr>
          <w:p w:rsidR="0003552F" w:rsidRPr="00EB2995" w:rsidRDefault="0003552F" w:rsidP="0003552F">
            <w:pPr>
              <w:jc w:val="right"/>
              <w:rPr>
                <w:rFonts w:cs="Calibri"/>
              </w:rPr>
            </w:pPr>
            <w:r w:rsidRPr="00EB2995">
              <w:rPr>
                <w:rFonts w:cs="Calibri"/>
              </w:rPr>
              <w:t>53.3</w:t>
            </w:r>
          </w:p>
        </w:tc>
      </w:tr>
      <w:tr w:rsidR="0003552F" w:rsidRPr="00EB2995" w:rsidTr="0003552F">
        <w:trPr>
          <w:trHeight w:val="300"/>
        </w:trPr>
        <w:tc>
          <w:tcPr>
            <w:tcW w:w="1026" w:type="dxa"/>
            <w:tcBorders>
              <w:top w:val="single" w:sz="4" w:space="0" w:color="auto"/>
              <w:left w:val="single" w:sz="4" w:space="0" w:color="auto"/>
              <w:bottom w:val="single" w:sz="4" w:space="0" w:color="auto"/>
              <w:right w:val="single" w:sz="4" w:space="0" w:color="auto"/>
            </w:tcBorders>
            <w:noWrap/>
            <w:vAlign w:val="center"/>
          </w:tcPr>
          <w:p w:rsidR="0003552F" w:rsidRPr="00EB2995" w:rsidRDefault="0003552F" w:rsidP="0003552F">
            <w:pPr>
              <w:jc w:val="right"/>
              <w:rPr>
                <w:rFonts w:cs="Calibri"/>
                <w:b/>
              </w:rPr>
            </w:pPr>
            <w:r w:rsidRPr="00EB2995">
              <w:rPr>
                <w:rFonts w:cs="Calibri"/>
                <w:b/>
              </w:rPr>
              <w:t>53.3</w:t>
            </w:r>
          </w:p>
        </w:tc>
        <w:tc>
          <w:tcPr>
            <w:tcW w:w="5812" w:type="dxa"/>
            <w:tcBorders>
              <w:top w:val="nil"/>
              <w:left w:val="nil"/>
              <w:bottom w:val="nil"/>
            </w:tcBorders>
            <w:vAlign w:val="bottom"/>
          </w:tcPr>
          <w:p w:rsidR="0003552F" w:rsidRPr="00EB2995" w:rsidRDefault="0003552F" w:rsidP="0003552F">
            <w:pPr>
              <w:rPr>
                <w:rFonts w:cs="Calibri"/>
                <w:b/>
              </w:rPr>
            </w:pPr>
            <w:r w:rsidRPr="00EB2995">
              <w:rPr>
                <w:rFonts w:cs="Calibri"/>
                <w:b/>
              </w:rPr>
              <w:t>Cash and cash equivalents at the end of the reporting period</w:t>
            </w:r>
          </w:p>
        </w:tc>
        <w:tc>
          <w:tcPr>
            <w:tcW w:w="851" w:type="dxa"/>
            <w:tcBorders>
              <w:right w:val="single" w:sz="4" w:space="0" w:color="auto"/>
            </w:tcBorders>
            <w:vAlign w:val="center"/>
          </w:tcPr>
          <w:p w:rsidR="0003552F" w:rsidRPr="00EB2995" w:rsidRDefault="0003552F" w:rsidP="0003552F">
            <w:pPr>
              <w:jc w:val="center"/>
              <w:rPr>
                <w:rFonts w:cs="Calibri"/>
              </w:rPr>
            </w:pPr>
            <w:r w:rsidRPr="00EB2995">
              <w:rPr>
                <w:rFonts w:cs="Calibri"/>
              </w:rPr>
              <w:t>3</w:t>
            </w:r>
          </w:p>
        </w:tc>
        <w:tc>
          <w:tcPr>
            <w:tcW w:w="1033" w:type="dxa"/>
            <w:tcBorders>
              <w:top w:val="single" w:sz="4" w:space="0" w:color="auto"/>
              <w:left w:val="single" w:sz="4" w:space="0" w:color="auto"/>
              <w:bottom w:val="single" w:sz="4" w:space="0" w:color="auto"/>
              <w:right w:val="single" w:sz="4" w:space="0" w:color="auto"/>
            </w:tcBorders>
            <w:noWrap/>
            <w:vAlign w:val="center"/>
          </w:tcPr>
          <w:p w:rsidR="0003552F" w:rsidRPr="00EB2995" w:rsidRDefault="0003552F" w:rsidP="0003552F">
            <w:pPr>
              <w:jc w:val="right"/>
              <w:rPr>
                <w:rFonts w:cs="Calibri"/>
                <w:b/>
              </w:rPr>
            </w:pPr>
            <w:r>
              <w:rPr>
                <w:rFonts w:cs="Calibri"/>
                <w:b/>
              </w:rPr>
              <w:t>135.2</w:t>
            </w:r>
          </w:p>
        </w:tc>
      </w:tr>
    </w:tbl>
    <w:p w:rsidR="0003552F" w:rsidRDefault="0003552F" w:rsidP="00F72906">
      <w:pPr>
        <w:sectPr w:rsidR="0003552F" w:rsidSect="0003552F">
          <w:pgSz w:w="11906" w:h="16838"/>
          <w:pgMar w:top="1440" w:right="1440" w:bottom="1440" w:left="1440" w:header="708" w:footer="708" w:gutter="0"/>
          <w:cols w:space="708"/>
          <w:docGrid w:linePitch="360"/>
        </w:sectPr>
      </w:pPr>
    </w:p>
    <w:p w:rsidR="00F72906" w:rsidRDefault="00F72906" w:rsidP="00B43A2F">
      <w:pPr>
        <w:pStyle w:val="Heading1"/>
      </w:pPr>
      <w:bookmarkStart w:id="6" w:name="_Toc61870276"/>
      <w:r>
        <w:lastRenderedPageBreak/>
        <w:t>Notes and Disclosures to the Core Statements</w:t>
      </w:r>
      <w:bookmarkEnd w:id="6"/>
      <w:r>
        <w:t xml:space="preserve"> </w:t>
      </w:r>
    </w:p>
    <w:p w:rsidR="00F72906" w:rsidRDefault="00F72906" w:rsidP="00B43A2F">
      <w:pPr>
        <w:pStyle w:val="Heading2"/>
      </w:pPr>
      <w:bookmarkStart w:id="7" w:name="_Toc61870277"/>
      <w:r>
        <w:t>Physical Assets</w:t>
      </w:r>
      <w:bookmarkEnd w:id="7"/>
    </w:p>
    <w:p w:rsidR="00F72906" w:rsidRDefault="00F72906" w:rsidP="00B43A2F">
      <w:pPr>
        <w:pStyle w:val="Heading3"/>
      </w:pPr>
      <w:r>
        <w:t>Note 1 – Significant movements on balances of property, plant and equipment</w:t>
      </w:r>
    </w:p>
    <w:tbl>
      <w:tblPr>
        <w:tblW w:w="10639" w:type="dxa"/>
        <w:tblInd w:w="-577" w:type="dxa"/>
        <w:tblLayout w:type="fixed"/>
        <w:tblLook w:val="04A0" w:firstRow="1" w:lastRow="0" w:firstColumn="1" w:lastColumn="0" w:noHBand="0" w:noVBand="1"/>
      </w:tblPr>
      <w:tblGrid>
        <w:gridCol w:w="2835"/>
        <w:gridCol w:w="992"/>
        <w:gridCol w:w="8"/>
        <w:gridCol w:w="985"/>
        <w:gridCol w:w="8"/>
        <w:gridCol w:w="842"/>
        <w:gridCol w:w="8"/>
        <w:gridCol w:w="1126"/>
        <w:gridCol w:w="8"/>
        <w:gridCol w:w="843"/>
        <w:gridCol w:w="8"/>
        <w:gridCol w:w="1267"/>
        <w:gridCol w:w="8"/>
        <w:gridCol w:w="843"/>
        <w:gridCol w:w="8"/>
        <w:gridCol w:w="842"/>
        <w:gridCol w:w="8"/>
      </w:tblGrid>
      <w:tr w:rsidR="00B43A2F" w:rsidRPr="00EB2995" w:rsidTr="00B43A2F">
        <w:trPr>
          <w:gridAfter w:val="1"/>
          <w:wAfter w:w="8" w:type="dxa"/>
          <w:trHeight w:hRule="exact" w:val="775"/>
        </w:trPr>
        <w:tc>
          <w:tcPr>
            <w:tcW w:w="28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43A2F" w:rsidRPr="00EB2995" w:rsidRDefault="00B43A2F" w:rsidP="00B43A2F">
            <w:pPr>
              <w:rPr>
                <w:rFonts w:cs="Calibri"/>
                <w:b/>
                <w:bCs/>
                <w:color w:val="000000"/>
                <w:sz w:val="18"/>
                <w:szCs w:val="18"/>
                <w:lang w:eastAsia="en-GB"/>
              </w:rPr>
            </w:pPr>
            <w:r w:rsidRPr="00EB2995">
              <w:rPr>
                <w:rFonts w:cs="Calibri"/>
                <w:b/>
                <w:bCs/>
                <w:color w:val="000000"/>
                <w:sz w:val="18"/>
                <w:szCs w:val="18"/>
                <w:lang w:eastAsia="en-GB"/>
              </w:rPr>
              <w:t>Movements in 2019/20</w:t>
            </w:r>
          </w:p>
        </w:tc>
        <w:tc>
          <w:tcPr>
            <w:tcW w:w="992" w:type="dxa"/>
            <w:tcBorders>
              <w:top w:val="single" w:sz="8" w:space="0" w:color="auto"/>
              <w:left w:val="nil"/>
              <w:bottom w:val="single" w:sz="8" w:space="0" w:color="auto"/>
              <w:right w:val="single" w:sz="4" w:space="0" w:color="auto"/>
            </w:tcBorders>
            <w:shd w:val="clear" w:color="auto" w:fill="auto"/>
            <w:vAlign w:val="center"/>
            <w:hideMark/>
          </w:tcPr>
          <w:p w:rsidR="00B43A2F" w:rsidRPr="00EB2995" w:rsidRDefault="00B43A2F" w:rsidP="00B43A2F">
            <w:pPr>
              <w:jc w:val="center"/>
              <w:rPr>
                <w:rFonts w:cs="Calibri"/>
                <w:b/>
                <w:bCs/>
                <w:color w:val="000000"/>
                <w:sz w:val="18"/>
                <w:szCs w:val="18"/>
                <w:lang w:eastAsia="en-GB"/>
              </w:rPr>
            </w:pPr>
            <w:r w:rsidRPr="00EB2995">
              <w:rPr>
                <w:rFonts w:cs="Calibri"/>
                <w:b/>
                <w:bCs/>
                <w:color w:val="000000"/>
                <w:sz w:val="18"/>
                <w:szCs w:val="18"/>
                <w:lang w:eastAsia="en-GB"/>
              </w:rPr>
              <w:t>Council Dwellings</w:t>
            </w:r>
          </w:p>
        </w:tc>
        <w:tc>
          <w:tcPr>
            <w:tcW w:w="993" w:type="dxa"/>
            <w:gridSpan w:val="2"/>
            <w:tcBorders>
              <w:top w:val="single" w:sz="8" w:space="0" w:color="auto"/>
              <w:left w:val="single" w:sz="4" w:space="0" w:color="auto"/>
              <w:bottom w:val="single" w:sz="8" w:space="0" w:color="auto"/>
              <w:right w:val="single" w:sz="8" w:space="0" w:color="auto"/>
            </w:tcBorders>
            <w:shd w:val="clear" w:color="auto" w:fill="auto"/>
            <w:vAlign w:val="center"/>
            <w:hideMark/>
          </w:tcPr>
          <w:p w:rsidR="00B43A2F" w:rsidRPr="00EB2995" w:rsidRDefault="00B43A2F" w:rsidP="00B43A2F">
            <w:pPr>
              <w:jc w:val="center"/>
              <w:rPr>
                <w:rFonts w:cs="Calibri"/>
                <w:b/>
                <w:bCs/>
                <w:color w:val="000000"/>
                <w:sz w:val="18"/>
                <w:szCs w:val="18"/>
                <w:lang w:eastAsia="en-GB"/>
              </w:rPr>
            </w:pPr>
            <w:r w:rsidRPr="00EB2995">
              <w:rPr>
                <w:rFonts w:cs="Calibri"/>
                <w:b/>
                <w:bCs/>
                <w:color w:val="000000"/>
                <w:sz w:val="18"/>
                <w:szCs w:val="18"/>
                <w:lang w:eastAsia="en-GB"/>
              </w:rPr>
              <w:t>Land &amp; Buildings</w:t>
            </w:r>
          </w:p>
        </w:tc>
        <w:tc>
          <w:tcPr>
            <w:tcW w:w="850" w:type="dxa"/>
            <w:gridSpan w:val="2"/>
            <w:tcBorders>
              <w:top w:val="single" w:sz="8" w:space="0" w:color="auto"/>
              <w:left w:val="nil"/>
              <w:bottom w:val="single" w:sz="8" w:space="0" w:color="auto"/>
              <w:right w:val="single" w:sz="8" w:space="0" w:color="auto"/>
            </w:tcBorders>
            <w:shd w:val="clear" w:color="auto" w:fill="auto"/>
            <w:vAlign w:val="center"/>
            <w:hideMark/>
          </w:tcPr>
          <w:p w:rsidR="00B43A2F" w:rsidRPr="00EB2995" w:rsidRDefault="00B43A2F" w:rsidP="00B43A2F">
            <w:pPr>
              <w:jc w:val="center"/>
              <w:rPr>
                <w:rFonts w:cs="Calibri"/>
                <w:b/>
                <w:bCs/>
                <w:color w:val="000000"/>
                <w:sz w:val="18"/>
                <w:szCs w:val="18"/>
                <w:lang w:eastAsia="en-GB"/>
              </w:rPr>
            </w:pPr>
            <w:r w:rsidRPr="00EB2995">
              <w:rPr>
                <w:rFonts w:cs="Calibri"/>
                <w:b/>
                <w:bCs/>
                <w:color w:val="000000"/>
                <w:sz w:val="18"/>
                <w:szCs w:val="18"/>
                <w:lang w:eastAsia="en-GB"/>
              </w:rPr>
              <w:t>VPF&amp;E</w:t>
            </w:r>
          </w:p>
        </w:tc>
        <w:tc>
          <w:tcPr>
            <w:tcW w:w="1134" w:type="dxa"/>
            <w:gridSpan w:val="2"/>
            <w:tcBorders>
              <w:top w:val="single" w:sz="8" w:space="0" w:color="auto"/>
              <w:left w:val="nil"/>
              <w:bottom w:val="single" w:sz="8" w:space="0" w:color="auto"/>
              <w:right w:val="single" w:sz="8" w:space="0" w:color="auto"/>
            </w:tcBorders>
            <w:shd w:val="clear" w:color="auto" w:fill="auto"/>
            <w:vAlign w:val="center"/>
            <w:hideMark/>
          </w:tcPr>
          <w:p w:rsidR="00B43A2F" w:rsidRPr="00EB2995" w:rsidRDefault="00B43A2F" w:rsidP="00B43A2F">
            <w:pPr>
              <w:jc w:val="center"/>
              <w:rPr>
                <w:rFonts w:cs="Calibri"/>
                <w:b/>
                <w:bCs/>
                <w:color w:val="000000"/>
                <w:sz w:val="18"/>
                <w:szCs w:val="18"/>
                <w:lang w:eastAsia="en-GB"/>
              </w:rPr>
            </w:pPr>
            <w:r w:rsidRPr="00EB2995">
              <w:rPr>
                <w:rFonts w:cs="Calibri"/>
                <w:b/>
                <w:bCs/>
                <w:color w:val="000000"/>
                <w:sz w:val="18"/>
                <w:szCs w:val="18"/>
                <w:lang w:eastAsia="en-GB"/>
              </w:rPr>
              <w:t>Infra-structure</w:t>
            </w:r>
          </w:p>
        </w:tc>
        <w:tc>
          <w:tcPr>
            <w:tcW w:w="851" w:type="dxa"/>
            <w:gridSpan w:val="2"/>
            <w:tcBorders>
              <w:top w:val="single" w:sz="8" w:space="0" w:color="auto"/>
              <w:left w:val="nil"/>
              <w:bottom w:val="single" w:sz="8" w:space="0" w:color="auto"/>
              <w:right w:val="single" w:sz="8" w:space="0" w:color="auto"/>
            </w:tcBorders>
            <w:shd w:val="clear" w:color="auto" w:fill="auto"/>
            <w:vAlign w:val="center"/>
            <w:hideMark/>
          </w:tcPr>
          <w:p w:rsidR="00B43A2F" w:rsidRPr="00EB2995" w:rsidRDefault="00B43A2F" w:rsidP="00B43A2F">
            <w:pPr>
              <w:jc w:val="center"/>
              <w:rPr>
                <w:rFonts w:cs="Calibri"/>
                <w:b/>
                <w:bCs/>
                <w:color w:val="000000"/>
                <w:sz w:val="18"/>
                <w:szCs w:val="18"/>
                <w:lang w:eastAsia="en-GB"/>
              </w:rPr>
            </w:pPr>
            <w:r w:rsidRPr="00EB2995">
              <w:rPr>
                <w:rFonts w:cs="Calibri"/>
                <w:b/>
                <w:bCs/>
                <w:color w:val="000000"/>
                <w:sz w:val="18"/>
                <w:szCs w:val="18"/>
                <w:lang w:eastAsia="en-GB"/>
              </w:rPr>
              <w:t>Surplus Assets</w:t>
            </w:r>
          </w:p>
        </w:tc>
        <w:tc>
          <w:tcPr>
            <w:tcW w:w="1275" w:type="dxa"/>
            <w:gridSpan w:val="2"/>
            <w:tcBorders>
              <w:top w:val="single" w:sz="8" w:space="0" w:color="auto"/>
              <w:left w:val="nil"/>
              <w:bottom w:val="single" w:sz="8" w:space="0" w:color="auto"/>
              <w:right w:val="single" w:sz="8" w:space="0" w:color="auto"/>
            </w:tcBorders>
            <w:shd w:val="clear" w:color="auto" w:fill="auto"/>
            <w:vAlign w:val="center"/>
            <w:hideMark/>
          </w:tcPr>
          <w:p w:rsidR="00B43A2F" w:rsidRPr="00EB2995" w:rsidRDefault="00B43A2F" w:rsidP="00B43A2F">
            <w:pPr>
              <w:jc w:val="center"/>
              <w:rPr>
                <w:rFonts w:cs="Calibri"/>
                <w:b/>
                <w:bCs/>
                <w:color w:val="000000"/>
                <w:sz w:val="18"/>
                <w:szCs w:val="18"/>
                <w:lang w:eastAsia="en-GB"/>
              </w:rPr>
            </w:pPr>
            <w:r w:rsidRPr="00EB2995">
              <w:rPr>
                <w:rFonts w:cs="Calibri"/>
                <w:b/>
                <w:bCs/>
                <w:color w:val="000000"/>
                <w:sz w:val="18"/>
                <w:szCs w:val="18"/>
                <w:lang w:eastAsia="en-GB"/>
              </w:rPr>
              <w:t>Asset under Construction</w:t>
            </w:r>
          </w:p>
        </w:tc>
        <w:tc>
          <w:tcPr>
            <w:tcW w:w="851" w:type="dxa"/>
            <w:gridSpan w:val="2"/>
            <w:tcBorders>
              <w:top w:val="single" w:sz="8" w:space="0" w:color="auto"/>
              <w:left w:val="nil"/>
              <w:bottom w:val="single" w:sz="8" w:space="0" w:color="auto"/>
              <w:right w:val="single" w:sz="8" w:space="0" w:color="auto"/>
            </w:tcBorders>
            <w:shd w:val="clear" w:color="auto" w:fill="auto"/>
            <w:noWrap/>
            <w:vAlign w:val="center"/>
            <w:hideMark/>
          </w:tcPr>
          <w:p w:rsidR="00B43A2F" w:rsidRPr="00EB2995" w:rsidRDefault="00B43A2F" w:rsidP="00B43A2F">
            <w:pPr>
              <w:jc w:val="center"/>
              <w:rPr>
                <w:rFonts w:cs="Calibri"/>
                <w:b/>
                <w:bCs/>
                <w:color w:val="000000"/>
                <w:sz w:val="18"/>
                <w:szCs w:val="18"/>
                <w:lang w:eastAsia="en-GB"/>
              </w:rPr>
            </w:pPr>
            <w:r w:rsidRPr="00EB2995">
              <w:rPr>
                <w:rFonts w:cs="Calibri"/>
                <w:b/>
                <w:bCs/>
                <w:color w:val="000000"/>
                <w:sz w:val="18"/>
                <w:szCs w:val="18"/>
                <w:lang w:eastAsia="en-GB"/>
              </w:rPr>
              <w:t>Total</w:t>
            </w:r>
          </w:p>
        </w:tc>
        <w:tc>
          <w:tcPr>
            <w:tcW w:w="850" w:type="dxa"/>
            <w:gridSpan w:val="2"/>
            <w:tcBorders>
              <w:top w:val="single" w:sz="8" w:space="0" w:color="auto"/>
              <w:left w:val="nil"/>
              <w:bottom w:val="single" w:sz="8" w:space="0" w:color="auto"/>
              <w:right w:val="single" w:sz="8" w:space="0" w:color="auto"/>
            </w:tcBorders>
            <w:shd w:val="clear" w:color="auto" w:fill="auto"/>
            <w:vAlign w:val="center"/>
            <w:hideMark/>
          </w:tcPr>
          <w:p w:rsidR="00B43A2F" w:rsidRPr="00EB2995" w:rsidRDefault="00B43A2F" w:rsidP="00B43A2F">
            <w:pPr>
              <w:rPr>
                <w:rFonts w:cs="Calibri"/>
                <w:b/>
                <w:bCs/>
                <w:i/>
                <w:iCs/>
                <w:color w:val="000000"/>
                <w:sz w:val="18"/>
                <w:szCs w:val="18"/>
                <w:lang w:eastAsia="en-GB"/>
              </w:rPr>
            </w:pPr>
            <w:r w:rsidRPr="00EB2995">
              <w:rPr>
                <w:rFonts w:cs="Calibri"/>
                <w:b/>
                <w:bCs/>
                <w:i/>
                <w:iCs/>
                <w:color w:val="000000"/>
                <w:sz w:val="18"/>
                <w:szCs w:val="18"/>
                <w:lang w:eastAsia="en-GB"/>
              </w:rPr>
              <w:t>*PFI Assets</w:t>
            </w:r>
          </w:p>
        </w:tc>
      </w:tr>
      <w:tr w:rsidR="00B43A2F" w:rsidRPr="00EB2995" w:rsidTr="00B43A2F">
        <w:trPr>
          <w:gridAfter w:val="1"/>
          <w:wAfter w:w="8" w:type="dxa"/>
          <w:trHeight w:hRule="exact" w:val="397"/>
        </w:trPr>
        <w:tc>
          <w:tcPr>
            <w:tcW w:w="2835" w:type="dxa"/>
            <w:tcBorders>
              <w:top w:val="nil"/>
              <w:left w:val="single" w:sz="8" w:space="0" w:color="auto"/>
              <w:bottom w:val="single" w:sz="8" w:space="0" w:color="auto"/>
              <w:right w:val="single" w:sz="8" w:space="0" w:color="auto"/>
            </w:tcBorders>
            <w:shd w:val="clear" w:color="auto" w:fill="auto"/>
            <w:vAlign w:val="center"/>
            <w:hideMark/>
          </w:tcPr>
          <w:p w:rsidR="00B43A2F" w:rsidRPr="00EB2995" w:rsidRDefault="00B43A2F" w:rsidP="00B43A2F">
            <w:pPr>
              <w:rPr>
                <w:rFonts w:cs="Calibri"/>
                <w:color w:val="000000"/>
                <w:sz w:val="18"/>
                <w:szCs w:val="18"/>
                <w:lang w:eastAsia="en-GB"/>
              </w:rPr>
            </w:pPr>
            <w:r w:rsidRPr="00EB2995">
              <w:rPr>
                <w:rFonts w:cs="Calibri"/>
                <w:color w:val="000000"/>
                <w:sz w:val="18"/>
                <w:szCs w:val="18"/>
                <w:lang w:eastAsia="en-GB"/>
              </w:rPr>
              <w:t> </w:t>
            </w:r>
          </w:p>
        </w:tc>
        <w:tc>
          <w:tcPr>
            <w:tcW w:w="992" w:type="dxa"/>
            <w:tcBorders>
              <w:top w:val="nil"/>
              <w:left w:val="nil"/>
              <w:bottom w:val="single" w:sz="8" w:space="0" w:color="auto"/>
              <w:right w:val="single" w:sz="4" w:space="0" w:color="auto"/>
            </w:tcBorders>
            <w:shd w:val="clear" w:color="auto" w:fill="auto"/>
            <w:noWrap/>
            <w:vAlign w:val="center"/>
            <w:hideMark/>
          </w:tcPr>
          <w:p w:rsidR="00B43A2F" w:rsidRPr="00EB2995" w:rsidRDefault="00B43A2F" w:rsidP="00B43A2F">
            <w:pPr>
              <w:jc w:val="center"/>
              <w:rPr>
                <w:rFonts w:cs="Calibri"/>
                <w:b/>
                <w:bCs/>
                <w:color w:val="000000"/>
                <w:sz w:val="18"/>
                <w:szCs w:val="18"/>
                <w:lang w:eastAsia="en-GB"/>
              </w:rPr>
            </w:pPr>
            <w:r w:rsidRPr="00EB2995">
              <w:rPr>
                <w:rFonts w:cs="Calibri"/>
                <w:b/>
                <w:bCs/>
                <w:color w:val="000000"/>
                <w:sz w:val="18"/>
                <w:szCs w:val="18"/>
                <w:lang w:eastAsia="en-GB"/>
              </w:rPr>
              <w:t>£m</w:t>
            </w:r>
          </w:p>
        </w:tc>
        <w:tc>
          <w:tcPr>
            <w:tcW w:w="993" w:type="dxa"/>
            <w:gridSpan w:val="2"/>
            <w:tcBorders>
              <w:top w:val="nil"/>
              <w:left w:val="single" w:sz="4" w:space="0" w:color="auto"/>
              <w:bottom w:val="single" w:sz="8" w:space="0" w:color="auto"/>
              <w:right w:val="single" w:sz="8" w:space="0" w:color="auto"/>
            </w:tcBorders>
            <w:shd w:val="clear" w:color="auto" w:fill="auto"/>
            <w:noWrap/>
            <w:vAlign w:val="center"/>
            <w:hideMark/>
          </w:tcPr>
          <w:p w:rsidR="00B43A2F" w:rsidRPr="00EB2995" w:rsidRDefault="00B43A2F" w:rsidP="00B43A2F">
            <w:pPr>
              <w:jc w:val="center"/>
              <w:rPr>
                <w:rFonts w:cs="Calibri"/>
                <w:b/>
                <w:bCs/>
                <w:color w:val="000000"/>
                <w:sz w:val="18"/>
                <w:szCs w:val="18"/>
                <w:lang w:eastAsia="en-GB"/>
              </w:rPr>
            </w:pPr>
            <w:r w:rsidRPr="00EB2995">
              <w:rPr>
                <w:rFonts w:cs="Calibri"/>
                <w:b/>
                <w:bCs/>
                <w:color w:val="000000"/>
                <w:sz w:val="18"/>
                <w:szCs w:val="18"/>
                <w:lang w:eastAsia="en-GB"/>
              </w:rPr>
              <w:t>£m</w:t>
            </w:r>
          </w:p>
        </w:tc>
        <w:tc>
          <w:tcPr>
            <w:tcW w:w="850" w:type="dxa"/>
            <w:gridSpan w:val="2"/>
            <w:tcBorders>
              <w:top w:val="nil"/>
              <w:left w:val="nil"/>
              <w:bottom w:val="single" w:sz="8" w:space="0" w:color="auto"/>
              <w:right w:val="single" w:sz="8" w:space="0" w:color="auto"/>
            </w:tcBorders>
            <w:shd w:val="clear" w:color="auto" w:fill="auto"/>
            <w:noWrap/>
            <w:vAlign w:val="center"/>
            <w:hideMark/>
          </w:tcPr>
          <w:p w:rsidR="00B43A2F" w:rsidRPr="00EB2995" w:rsidRDefault="00B43A2F" w:rsidP="00B43A2F">
            <w:pPr>
              <w:jc w:val="center"/>
              <w:rPr>
                <w:rFonts w:cs="Calibri"/>
                <w:b/>
                <w:bCs/>
                <w:color w:val="000000"/>
                <w:sz w:val="18"/>
                <w:szCs w:val="18"/>
                <w:lang w:eastAsia="en-GB"/>
              </w:rPr>
            </w:pPr>
            <w:r w:rsidRPr="00EB2995">
              <w:rPr>
                <w:rFonts w:cs="Calibri"/>
                <w:b/>
                <w:bCs/>
                <w:color w:val="000000"/>
                <w:sz w:val="18"/>
                <w:szCs w:val="18"/>
                <w:lang w:eastAsia="en-GB"/>
              </w:rPr>
              <w:t>£m</w:t>
            </w:r>
          </w:p>
        </w:tc>
        <w:tc>
          <w:tcPr>
            <w:tcW w:w="1134" w:type="dxa"/>
            <w:gridSpan w:val="2"/>
            <w:tcBorders>
              <w:top w:val="nil"/>
              <w:left w:val="nil"/>
              <w:bottom w:val="single" w:sz="8" w:space="0" w:color="auto"/>
              <w:right w:val="single" w:sz="8" w:space="0" w:color="auto"/>
            </w:tcBorders>
            <w:shd w:val="clear" w:color="auto" w:fill="auto"/>
            <w:noWrap/>
            <w:vAlign w:val="center"/>
            <w:hideMark/>
          </w:tcPr>
          <w:p w:rsidR="00B43A2F" w:rsidRPr="00EB2995" w:rsidRDefault="00B43A2F" w:rsidP="00B43A2F">
            <w:pPr>
              <w:jc w:val="center"/>
              <w:rPr>
                <w:rFonts w:cs="Calibri"/>
                <w:b/>
                <w:bCs/>
                <w:color w:val="000000"/>
                <w:sz w:val="18"/>
                <w:szCs w:val="18"/>
                <w:lang w:eastAsia="en-GB"/>
              </w:rPr>
            </w:pPr>
            <w:r w:rsidRPr="00EB2995">
              <w:rPr>
                <w:rFonts w:cs="Calibri"/>
                <w:b/>
                <w:bCs/>
                <w:color w:val="000000"/>
                <w:sz w:val="18"/>
                <w:szCs w:val="18"/>
                <w:lang w:eastAsia="en-GB"/>
              </w:rPr>
              <w:t>£m</w:t>
            </w:r>
          </w:p>
        </w:tc>
        <w:tc>
          <w:tcPr>
            <w:tcW w:w="851" w:type="dxa"/>
            <w:gridSpan w:val="2"/>
            <w:tcBorders>
              <w:top w:val="nil"/>
              <w:left w:val="nil"/>
              <w:bottom w:val="single" w:sz="8" w:space="0" w:color="auto"/>
              <w:right w:val="single" w:sz="8" w:space="0" w:color="auto"/>
            </w:tcBorders>
            <w:shd w:val="clear" w:color="auto" w:fill="auto"/>
            <w:noWrap/>
            <w:vAlign w:val="center"/>
            <w:hideMark/>
          </w:tcPr>
          <w:p w:rsidR="00B43A2F" w:rsidRPr="00EB2995" w:rsidRDefault="00B43A2F" w:rsidP="00B43A2F">
            <w:pPr>
              <w:jc w:val="center"/>
              <w:rPr>
                <w:rFonts w:cs="Calibri"/>
                <w:b/>
                <w:bCs/>
                <w:color w:val="000000"/>
                <w:sz w:val="18"/>
                <w:szCs w:val="18"/>
                <w:lang w:eastAsia="en-GB"/>
              </w:rPr>
            </w:pPr>
            <w:r w:rsidRPr="00EB2995">
              <w:rPr>
                <w:rFonts w:cs="Calibri"/>
                <w:b/>
                <w:bCs/>
                <w:color w:val="000000"/>
                <w:sz w:val="18"/>
                <w:szCs w:val="18"/>
                <w:lang w:eastAsia="en-GB"/>
              </w:rPr>
              <w:t>£m</w:t>
            </w:r>
          </w:p>
        </w:tc>
        <w:tc>
          <w:tcPr>
            <w:tcW w:w="1275" w:type="dxa"/>
            <w:gridSpan w:val="2"/>
            <w:tcBorders>
              <w:top w:val="nil"/>
              <w:left w:val="nil"/>
              <w:bottom w:val="single" w:sz="8" w:space="0" w:color="auto"/>
              <w:right w:val="single" w:sz="8" w:space="0" w:color="auto"/>
            </w:tcBorders>
            <w:shd w:val="clear" w:color="auto" w:fill="auto"/>
            <w:noWrap/>
            <w:vAlign w:val="center"/>
            <w:hideMark/>
          </w:tcPr>
          <w:p w:rsidR="00B43A2F" w:rsidRPr="00EB2995" w:rsidRDefault="00B43A2F" w:rsidP="00B43A2F">
            <w:pPr>
              <w:jc w:val="center"/>
              <w:rPr>
                <w:rFonts w:cs="Calibri"/>
                <w:b/>
                <w:bCs/>
                <w:color w:val="000000"/>
                <w:sz w:val="18"/>
                <w:szCs w:val="18"/>
                <w:lang w:eastAsia="en-GB"/>
              </w:rPr>
            </w:pPr>
            <w:r w:rsidRPr="00EB2995">
              <w:rPr>
                <w:rFonts w:cs="Calibri"/>
                <w:b/>
                <w:bCs/>
                <w:color w:val="000000"/>
                <w:sz w:val="18"/>
                <w:szCs w:val="18"/>
                <w:lang w:eastAsia="en-GB"/>
              </w:rPr>
              <w:t>£m</w:t>
            </w:r>
          </w:p>
        </w:tc>
        <w:tc>
          <w:tcPr>
            <w:tcW w:w="851" w:type="dxa"/>
            <w:gridSpan w:val="2"/>
            <w:tcBorders>
              <w:top w:val="nil"/>
              <w:left w:val="nil"/>
              <w:bottom w:val="single" w:sz="8" w:space="0" w:color="auto"/>
              <w:right w:val="single" w:sz="8" w:space="0" w:color="auto"/>
            </w:tcBorders>
            <w:shd w:val="clear" w:color="auto" w:fill="auto"/>
            <w:noWrap/>
            <w:vAlign w:val="center"/>
            <w:hideMark/>
          </w:tcPr>
          <w:p w:rsidR="00B43A2F" w:rsidRPr="00EB2995" w:rsidRDefault="00B43A2F" w:rsidP="00B43A2F">
            <w:pPr>
              <w:jc w:val="center"/>
              <w:rPr>
                <w:rFonts w:cs="Calibri"/>
                <w:b/>
                <w:bCs/>
                <w:color w:val="000000"/>
                <w:sz w:val="18"/>
                <w:szCs w:val="18"/>
                <w:lang w:eastAsia="en-GB"/>
              </w:rPr>
            </w:pPr>
            <w:r w:rsidRPr="00EB2995">
              <w:rPr>
                <w:rFonts w:cs="Calibri"/>
                <w:b/>
                <w:bCs/>
                <w:color w:val="000000"/>
                <w:sz w:val="18"/>
                <w:szCs w:val="18"/>
                <w:lang w:eastAsia="en-GB"/>
              </w:rPr>
              <w:t>£m</w:t>
            </w:r>
          </w:p>
        </w:tc>
        <w:tc>
          <w:tcPr>
            <w:tcW w:w="850" w:type="dxa"/>
            <w:gridSpan w:val="2"/>
            <w:tcBorders>
              <w:top w:val="nil"/>
              <w:left w:val="nil"/>
              <w:bottom w:val="single" w:sz="8" w:space="0" w:color="auto"/>
              <w:right w:val="single" w:sz="8" w:space="0" w:color="auto"/>
            </w:tcBorders>
            <w:shd w:val="clear" w:color="auto" w:fill="auto"/>
            <w:noWrap/>
            <w:vAlign w:val="center"/>
            <w:hideMark/>
          </w:tcPr>
          <w:p w:rsidR="00B43A2F" w:rsidRPr="00EB2995" w:rsidRDefault="00B43A2F" w:rsidP="00B43A2F">
            <w:pPr>
              <w:jc w:val="center"/>
              <w:rPr>
                <w:rFonts w:cs="Calibri"/>
                <w:b/>
                <w:bCs/>
                <w:i/>
                <w:iCs/>
                <w:color w:val="000000"/>
                <w:sz w:val="18"/>
                <w:szCs w:val="18"/>
                <w:lang w:eastAsia="en-GB"/>
              </w:rPr>
            </w:pPr>
            <w:r w:rsidRPr="00EB2995">
              <w:rPr>
                <w:rFonts w:cs="Calibri"/>
                <w:b/>
                <w:bCs/>
                <w:i/>
                <w:iCs/>
                <w:color w:val="000000"/>
                <w:sz w:val="18"/>
                <w:szCs w:val="18"/>
                <w:lang w:eastAsia="en-GB"/>
              </w:rPr>
              <w:t>£m</w:t>
            </w:r>
          </w:p>
        </w:tc>
      </w:tr>
      <w:tr w:rsidR="00B43A2F" w:rsidRPr="00EB2995" w:rsidTr="00B43A2F">
        <w:trPr>
          <w:gridAfter w:val="1"/>
          <w:wAfter w:w="8" w:type="dxa"/>
          <w:trHeight w:hRule="exact" w:val="397"/>
        </w:trPr>
        <w:tc>
          <w:tcPr>
            <w:tcW w:w="2835" w:type="dxa"/>
            <w:tcBorders>
              <w:top w:val="nil"/>
              <w:left w:val="nil"/>
              <w:bottom w:val="single" w:sz="8" w:space="0" w:color="auto"/>
              <w:right w:val="nil"/>
            </w:tcBorders>
            <w:shd w:val="clear" w:color="auto" w:fill="auto"/>
            <w:vAlign w:val="center"/>
            <w:hideMark/>
          </w:tcPr>
          <w:p w:rsidR="00B43A2F" w:rsidRPr="00EB2995" w:rsidRDefault="00B43A2F" w:rsidP="00B43A2F">
            <w:pPr>
              <w:rPr>
                <w:rFonts w:cs="Calibri"/>
                <w:b/>
                <w:bCs/>
                <w:color w:val="000000"/>
                <w:sz w:val="18"/>
                <w:szCs w:val="18"/>
                <w:lang w:eastAsia="en-GB"/>
              </w:rPr>
            </w:pPr>
            <w:r w:rsidRPr="00EB2995">
              <w:rPr>
                <w:rFonts w:cs="Calibri"/>
                <w:b/>
                <w:bCs/>
                <w:color w:val="000000"/>
                <w:sz w:val="18"/>
                <w:szCs w:val="18"/>
                <w:lang w:eastAsia="en-GB"/>
              </w:rPr>
              <w:t>Cost or Valuation</w:t>
            </w:r>
          </w:p>
        </w:tc>
        <w:tc>
          <w:tcPr>
            <w:tcW w:w="992" w:type="dxa"/>
            <w:tcBorders>
              <w:top w:val="nil"/>
              <w:left w:val="nil"/>
              <w:bottom w:val="single" w:sz="8" w:space="0" w:color="auto"/>
              <w:right w:val="nil"/>
            </w:tcBorders>
            <w:shd w:val="clear" w:color="auto" w:fill="auto"/>
            <w:noWrap/>
            <w:vAlign w:val="center"/>
            <w:hideMark/>
          </w:tcPr>
          <w:p w:rsidR="00B43A2F" w:rsidRPr="00EB2995" w:rsidRDefault="00B43A2F" w:rsidP="00B43A2F">
            <w:pPr>
              <w:rPr>
                <w:rFonts w:cs="Calibri"/>
                <w:color w:val="000000"/>
                <w:sz w:val="18"/>
                <w:szCs w:val="18"/>
                <w:lang w:eastAsia="en-GB"/>
              </w:rPr>
            </w:pPr>
            <w:r w:rsidRPr="00EB2995">
              <w:rPr>
                <w:rFonts w:cs="Calibri"/>
                <w:color w:val="000000"/>
                <w:sz w:val="18"/>
                <w:szCs w:val="18"/>
                <w:lang w:eastAsia="en-GB"/>
              </w:rPr>
              <w:t> </w:t>
            </w:r>
          </w:p>
        </w:tc>
        <w:tc>
          <w:tcPr>
            <w:tcW w:w="993" w:type="dxa"/>
            <w:gridSpan w:val="2"/>
            <w:tcBorders>
              <w:top w:val="nil"/>
              <w:left w:val="nil"/>
              <w:bottom w:val="single" w:sz="8" w:space="0" w:color="auto"/>
              <w:right w:val="nil"/>
            </w:tcBorders>
            <w:shd w:val="clear" w:color="auto" w:fill="auto"/>
            <w:noWrap/>
            <w:vAlign w:val="center"/>
            <w:hideMark/>
          </w:tcPr>
          <w:p w:rsidR="00B43A2F" w:rsidRPr="00EB2995" w:rsidRDefault="00B43A2F" w:rsidP="00B43A2F">
            <w:pPr>
              <w:rPr>
                <w:rFonts w:cs="Calibri"/>
                <w:color w:val="000000"/>
                <w:sz w:val="18"/>
                <w:szCs w:val="18"/>
                <w:lang w:eastAsia="en-GB"/>
              </w:rPr>
            </w:pPr>
            <w:r w:rsidRPr="00EB2995">
              <w:rPr>
                <w:rFonts w:cs="Calibri"/>
                <w:color w:val="000000"/>
                <w:sz w:val="18"/>
                <w:szCs w:val="18"/>
                <w:lang w:eastAsia="en-GB"/>
              </w:rPr>
              <w:t> </w:t>
            </w:r>
          </w:p>
        </w:tc>
        <w:tc>
          <w:tcPr>
            <w:tcW w:w="850" w:type="dxa"/>
            <w:gridSpan w:val="2"/>
            <w:tcBorders>
              <w:top w:val="nil"/>
              <w:left w:val="nil"/>
              <w:bottom w:val="single" w:sz="8" w:space="0" w:color="auto"/>
              <w:right w:val="nil"/>
            </w:tcBorders>
            <w:shd w:val="clear" w:color="auto" w:fill="auto"/>
            <w:noWrap/>
            <w:vAlign w:val="center"/>
            <w:hideMark/>
          </w:tcPr>
          <w:p w:rsidR="00B43A2F" w:rsidRPr="00EB2995" w:rsidRDefault="00B43A2F" w:rsidP="00B43A2F">
            <w:pPr>
              <w:rPr>
                <w:rFonts w:cs="Calibri"/>
                <w:color w:val="000000"/>
                <w:sz w:val="18"/>
                <w:szCs w:val="18"/>
                <w:lang w:eastAsia="en-GB"/>
              </w:rPr>
            </w:pPr>
            <w:r w:rsidRPr="00EB2995">
              <w:rPr>
                <w:rFonts w:cs="Calibri"/>
                <w:color w:val="000000"/>
                <w:sz w:val="18"/>
                <w:szCs w:val="18"/>
                <w:lang w:eastAsia="en-GB"/>
              </w:rPr>
              <w:t> </w:t>
            </w:r>
          </w:p>
        </w:tc>
        <w:tc>
          <w:tcPr>
            <w:tcW w:w="1134" w:type="dxa"/>
            <w:gridSpan w:val="2"/>
            <w:tcBorders>
              <w:top w:val="nil"/>
              <w:left w:val="nil"/>
              <w:bottom w:val="single" w:sz="8" w:space="0" w:color="auto"/>
              <w:right w:val="nil"/>
            </w:tcBorders>
            <w:shd w:val="clear" w:color="auto" w:fill="auto"/>
            <w:noWrap/>
            <w:vAlign w:val="center"/>
            <w:hideMark/>
          </w:tcPr>
          <w:p w:rsidR="00B43A2F" w:rsidRPr="00EB2995" w:rsidRDefault="00B43A2F" w:rsidP="00B43A2F">
            <w:pPr>
              <w:rPr>
                <w:rFonts w:cs="Calibri"/>
                <w:color w:val="000000"/>
                <w:sz w:val="18"/>
                <w:szCs w:val="18"/>
                <w:lang w:eastAsia="en-GB"/>
              </w:rPr>
            </w:pPr>
            <w:r w:rsidRPr="00EB2995">
              <w:rPr>
                <w:rFonts w:cs="Calibri"/>
                <w:color w:val="000000"/>
                <w:sz w:val="18"/>
                <w:szCs w:val="18"/>
                <w:lang w:eastAsia="en-GB"/>
              </w:rPr>
              <w:t> </w:t>
            </w:r>
          </w:p>
        </w:tc>
        <w:tc>
          <w:tcPr>
            <w:tcW w:w="851" w:type="dxa"/>
            <w:gridSpan w:val="2"/>
            <w:tcBorders>
              <w:top w:val="nil"/>
              <w:left w:val="nil"/>
              <w:bottom w:val="single" w:sz="8" w:space="0" w:color="auto"/>
              <w:right w:val="nil"/>
            </w:tcBorders>
            <w:shd w:val="clear" w:color="auto" w:fill="auto"/>
            <w:noWrap/>
            <w:vAlign w:val="center"/>
            <w:hideMark/>
          </w:tcPr>
          <w:p w:rsidR="00B43A2F" w:rsidRPr="00EB2995" w:rsidRDefault="00B43A2F" w:rsidP="00B43A2F">
            <w:pPr>
              <w:rPr>
                <w:rFonts w:cs="Calibri"/>
                <w:color w:val="000000"/>
                <w:sz w:val="18"/>
                <w:szCs w:val="18"/>
                <w:lang w:eastAsia="en-GB"/>
              </w:rPr>
            </w:pPr>
            <w:r w:rsidRPr="00EB2995">
              <w:rPr>
                <w:rFonts w:cs="Calibri"/>
                <w:color w:val="000000"/>
                <w:sz w:val="18"/>
                <w:szCs w:val="18"/>
                <w:lang w:eastAsia="en-GB"/>
              </w:rPr>
              <w:t> </w:t>
            </w:r>
          </w:p>
        </w:tc>
        <w:tc>
          <w:tcPr>
            <w:tcW w:w="1275" w:type="dxa"/>
            <w:gridSpan w:val="2"/>
            <w:tcBorders>
              <w:top w:val="nil"/>
              <w:left w:val="nil"/>
              <w:bottom w:val="single" w:sz="8" w:space="0" w:color="auto"/>
              <w:right w:val="nil"/>
            </w:tcBorders>
            <w:shd w:val="clear" w:color="auto" w:fill="auto"/>
            <w:noWrap/>
            <w:vAlign w:val="center"/>
            <w:hideMark/>
          </w:tcPr>
          <w:p w:rsidR="00B43A2F" w:rsidRPr="00EB2995" w:rsidRDefault="00B43A2F" w:rsidP="00B43A2F">
            <w:pPr>
              <w:rPr>
                <w:rFonts w:cs="Calibri"/>
                <w:color w:val="000000"/>
                <w:sz w:val="18"/>
                <w:szCs w:val="18"/>
                <w:lang w:eastAsia="en-GB"/>
              </w:rPr>
            </w:pPr>
            <w:r w:rsidRPr="00EB2995">
              <w:rPr>
                <w:rFonts w:cs="Calibri"/>
                <w:color w:val="000000"/>
                <w:sz w:val="18"/>
                <w:szCs w:val="18"/>
                <w:lang w:eastAsia="en-GB"/>
              </w:rPr>
              <w:t> </w:t>
            </w:r>
          </w:p>
        </w:tc>
        <w:tc>
          <w:tcPr>
            <w:tcW w:w="851" w:type="dxa"/>
            <w:gridSpan w:val="2"/>
            <w:tcBorders>
              <w:top w:val="nil"/>
              <w:left w:val="nil"/>
              <w:bottom w:val="single" w:sz="8" w:space="0" w:color="auto"/>
              <w:right w:val="nil"/>
            </w:tcBorders>
            <w:shd w:val="clear" w:color="auto" w:fill="auto"/>
            <w:noWrap/>
            <w:vAlign w:val="center"/>
            <w:hideMark/>
          </w:tcPr>
          <w:p w:rsidR="00B43A2F" w:rsidRPr="00EB2995" w:rsidRDefault="00B43A2F" w:rsidP="00B43A2F">
            <w:pPr>
              <w:rPr>
                <w:rFonts w:cs="Calibri"/>
                <w:color w:val="000000"/>
                <w:sz w:val="18"/>
                <w:szCs w:val="18"/>
                <w:lang w:eastAsia="en-GB"/>
              </w:rPr>
            </w:pPr>
            <w:r w:rsidRPr="00EB2995">
              <w:rPr>
                <w:rFonts w:cs="Calibri"/>
                <w:color w:val="000000"/>
                <w:sz w:val="18"/>
                <w:szCs w:val="18"/>
                <w:lang w:eastAsia="en-GB"/>
              </w:rPr>
              <w:t> </w:t>
            </w:r>
          </w:p>
        </w:tc>
        <w:tc>
          <w:tcPr>
            <w:tcW w:w="850" w:type="dxa"/>
            <w:gridSpan w:val="2"/>
            <w:tcBorders>
              <w:top w:val="nil"/>
              <w:left w:val="nil"/>
              <w:bottom w:val="single" w:sz="8" w:space="0" w:color="auto"/>
              <w:right w:val="nil"/>
            </w:tcBorders>
            <w:shd w:val="clear" w:color="auto" w:fill="auto"/>
            <w:noWrap/>
            <w:vAlign w:val="center"/>
            <w:hideMark/>
          </w:tcPr>
          <w:p w:rsidR="00B43A2F" w:rsidRPr="00EB2995" w:rsidRDefault="00B43A2F" w:rsidP="00B43A2F">
            <w:pPr>
              <w:rPr>
                <w:rFonts w:cs="Calibri"/>
                <w:i/>
                <w:iCs/>
                <w:color w:val="000000"/>
                <w:sz w:val="18"/>
                <w:szCs w:val="18"/>
                <w:lang w:eastAsia="en-GB"/>
              </w:rPr>
            </w:pPr>
            <w:r w:rsidRPr="00EB2995">
              <w:rPr>
                <w:rFonts w:cs="Calibri"/>
                <w:i/>
                <w:iCs/>
                <w:color w:val="000000"/>
                <w:sz w:val="18"/>
                <w:szCs w:val="18"/>
                <w:lang w:eastAsia="en-GB"/>
              </w:rPr>
              <w:t> </w:t>
            </w:r>
          </w:p>
        </w:tc>
      </w:tr>
      <w:tr w:rsidR="00B43A2F" w:rsidRPr="00EB2995" w:rsidTr="00B43A2F">
        <w:trPr>
          <w:gridAfter w:val="1"/>
          <w:wAfter w:w="8" w:type="dxa"/>
          <w:trHeight w:hRule="exact" w:val="397"/>
        </w:trPr>
        <w:tc>
          <w:tcPr>
            <w:tcW w:w="2835" w:type="dxa"/>
            <w:tcBorders>
              <w:top w:val="nil"/>
              <w:left w:val="single" w:sz="8" w:space="0" w:color="auto"/>
              <w:bottom w:val="single" w:sz="8" w:space="0" w:color="auto"/>
              <w:right w:val="single" w:sz="8" w:space="0" w:color="auto"/>
            </w:tcBorders>
            <w:shd w:val="clear" w:color="auto" w:fill="auto"/>
            <w:vAlign w:val="center"/>
            <w:hideMark/>
          </w:tcPr>
          <w:p w:rsidR="00B43A2F" w:rsidRPr="00EB2995" w:rsidRDefault="00B43A2F" w:rsidP="00B43A2F">
            <w:pPr>
              <w:rPr>
                <w:rFonts w:cs="Calibri"/>
                <w:b/>
                <w:bCs/>
                <w:color w:val="000000"/>
                <w:sz w:val="18"/>
                <w:szCs w:val="18"/>
                <w:lang w:eastAsia="en-GB"/>
              </w:rPr>
            </w:pPr>
            <w:r w:rsidRPr="00EB2995">
              <w:rPr>
                <w:rFonts w:cs="Calibri"/>
                <w:b/>
                <w:bCs/>
                <w:color w:val="000000"/>
                <w:sz w:val="18"/>
                <w:szCs w:val="18"/>
                <w:lang w:eastAsia="en-GB"/>
              </w:rPr>
              <w:t>At 1 April 2019</w:t>
            </w:r>
          </w:p>
        </w:tc>
        <w:tc>
          <w:tcPr>
            <w:tcW w:w="992" w:type="dxa"/>
            <w:tcBorders>
              <w:top w:val="nil"/>
              <w:left w:val="nil"/>
              <w:bottom w:val="single" w:sz="8" w:space="0" w:color="auto"/>
              <w:right w:val="nil"/>
            </w:tcBorders>
            <w:shd w:val="clear" w:color="auto" w:fill="auto"/>
            <w:noWrap/>
            <w:vAlign w:val="center"/>
            <w:hideMark/>
          </w:tcPr>
          <w:p w:rsidR="00B43A2F" w:rsidRPr="00EB2995" w:rsidRDefault="00B43A2F" w:rsidP="00B43A2F">
            <w:pPr>
              <w:jc w:val="right"/>
              <w:rPr>
                <w:rFonts w:cs="Calibri"/>
                <w:b/>
                <w:bCs/>
                <w:color w:val="000000"/>
                <w:sz w:val="18"/>
                <w:szCs w:val="18"/>
                <w:lang w:eastAsia="en-GB"/>
              </w:rPr>
            </w:pPr>
            <w:r>
              <w:rPr>
                <w:rFonts w:cs="Calibri"/>
                <w:b/>
                <w:bCs/>
                <w:color w:val="000000"/>
                <w:sz w:val="18"/>
                <w:szCs w:val="18"/>
              </w:rPr>
              <w:t>609.3</w:t>
            </w:r>
          </w:p>
        </w:tc>
        <w:tc>
          <w:tcPr>
            <w:tcW w:w="993" w:type="dxa"/>
            <w:gridSpan w:val="2"/>
            <w:tcBorders>
              <w:top w:val="nil"/>
              <w:left w:val="single" w:sz="8" w:space="0" w:color="auto"/>
              <w:bottom w:val="single" w:sz="8" w:space="0" w:color="auto"/>
              <w:right w:val="single" w:sz="8" w:space="0" w:color="auto"/>
            </w:tcBorders>
            <w:shd w:val="clear" w:color="auto" w:fill="auto"/>
            <w:noWrap/>
            <w:vAlign w:val="center"/>
            <w:hideMark/>
          </w:tcPr>
          <w:p w:rsidR="00B43A2F" w:rsidRPr="00EB2995" w:rsidRDefault="00B43A2F" w:rsidP="00B43A2F">
            <w:pPr>
              <w:jc w:val="right"/>
              <w:rPr>
                <w:rFonts w:cs="Calibri"/>
                <w:b/>
                <w:bCs/>
                <w:color w:val="000000"/>
                <w:sz w:val="18"/>
                <w:szCs w:val="18"/>
                <w:lang w:eastAsia="en-GB"/>
              </w:rPr>
            </w:pPr>
            <w:r>
              <w:rPr>
                <w:rFonts w:cs="Calibri"/>
                <w:b/>
                <w:bCs/>
                <w:color w:val="000000"/>
                <w:sz w:val="18"/>
                <w:szCs w:val="18"/>
              </w:rPr>
              <w:t>824.4</w:t>
            </w:r>
          </w:p>
        </w:tc>
        <w:tc>
          <w:tcPr>
            <w:tcW w:w="850" w:type="dxa"/>
            <w:gridSpan w:val="2"/>
            <w:tcBorders>
              <w:top w:val="nil"/>
              <w:left w:val="nil"/>
              <w:bottom w:val="single" w:sz="8" w:space="0" w:color="auto"/>
              <w:right w:val="nil"/>
            </w:tcBorders>
            <w:shd w:val="clear" w:color="auto" w:fill="auto"/>
            <w:noWrap/>
            <w:vAlign w:val="center"/>
            <w:hideMark/>
          </w:tcPr>
          <w:p w:rsidR="00B43A2F" w:rsidRPr="00EB2995" w:rsidRDefault="00B43A2F" w:rsidP="00B43A2F">
            <w:pPr>
              <w:jc w:val="right"/>
              <w:rPr>
                <w:rFonts w:cs="Calibri"/>
                <w:b/>
                <w:bCs/>
                <w:color w:val="000000"/>
                <w:sz w:val="18"/>
                <w:szCs w:val="18"/>
                <w:lang w:eastAsia="en-GB"/>
              </w:rPr>
            </w:pPr>
            <w:r>
              <w:rPr>
                <w:rFonts w:cs="Calibri"/>
                <w:b/>
                <w:bCs/>
                <w:color w:val="000000"/>
                <w:sz w:val="18"/>
                <w:szCs w:val="18"/>
              </w:rPr>
              <w:t>54.1</w:t>
            </w:r>
          </w:p>
        </w:tc>
        <w:tc>
          <w:tcPr>
            <w:tcW w:w="1134" w:type="dxa"/>
            <w:gridSpan w:val="2"/>
            <w:tcBorders>
              <w:top w:val="nil"/>
              <w:left w:val="single" w:sz="8" w:space="0" w:color="auto"/>
              <w:bottom w:val="single" w:sz="8" w:space="0" w:color="auto"/>
              <w:right w:val="nil"/>
            </w:tcBorders>
            <w:shd w:val="clear" w:color="auto" w:fill="auto"/>
            <w:noWrap/>
            <w:vAlign w:val="center"/>
            <w:hideMark/>
          </w:tcPr>
          <w:p w:rsidR="00B43A2F" w:rsidRPr="00EB2995" w:rsidRDefault="00B43A2F" w:rsidP="00B43A2F">
            <w:pPr>
              <w:jc w:val="right"/>
              <w:rPr>
                <w:rFonts w:cs="Calibri"/>
                <w:b/>
                <w:bCs/>
                <w:color w:val="000000"/>
                <w:sz w:val="18"/>
                <w:szCs w:val="18"/>
                <w:lang w:eastAsia="en-GB"/>
              </w:rPr>
            </w:pPr>
            <w:r>
              <w:rPr>
                <w:rFonts w:cs="Calibri"/>
                <w:b/>
                <w:bCs/>
                <w:color w:val="000000"/>
                <w:sz w:val="18"/>
                <w:szCs w:val="18"/>
              </w:rPr>
              <w:t>273.4</w:t>
            </w:r>
          </w:p>
        </w:tc>
        <w:tc>
          <w:tcPr>
            <w:tcW w:w="851" w:type="dxa"/>
            <w:gridSpan w:val="2"/>
            <w:tcBorders>
              <w:top w:val="nil"/>
              <w:left w:val="single" w:sz="8" w:space="0" w:color="auto"/>
              <w:bottom w:val="single" w:sz="8" w:space="0" w:color="auto"/>
              <w:right w:val="nil"/>
            </w:tcBorders>
            <w:shd w:val="clear" w:color="auto" w:fill="auto"/>
            <w:noWrap/>
            <w:vAlign w:val="center"/>
            <w:hideMark/>
          </w:tcPr>
          <w:p w:rsidR="00B43A2F" w:rsidRPr="00EB2995" w:rsidRDefault="00B43A2F" w:rsidP="00B43A2F">
            <w:pPr>
              <w:jc w:val="right"/>
              <w:rPr>
                <w:rFonts w:cs="Calibri"/>
                <w:b/>
                <w:bCs/>
                <w:color w:val="000000"/>
                <w:sz w:val="18"/>
                <w:szCs w:val="18"/>
                <w:lang w:eastAsia="en-GB"/>
              </w:rPr>
            </w:pPr>
            <w:r>
              <w:rPr>
                <w:rFonts w:cs="Calibri"/>
                <w:b/>
                <w:bCs/>
                <w:color w:val="000000"/>
                <w:sz w:val="18"/>
                <w:szCs w:val="18"/>
              </w:rPr>
              <w:t>8.2</w:t>
            </w:r>
          </w:p>
        </w:tc>
        <w:tc>
          <w:tcPr>
            <w:tcW w:w="1275" w:type="dxa"/>
            <w:gridSpan w:val="2"/>
            <w:tcBorders>
              <w:top w:val="nil"/>
              <w:left w:val="single" w:sz="8" w:space="0" w:color="auto"/>
              <w:bottom w:val="single" w:sz="8" w:space="0" w:color="auto"/>
              <w:right w:val="nil"/>
            </w:tcBorders>
            <w:shd w:val="clear" w:color="auto" w:fill="auto"/>
            <w:noWrap/>
            <w:vAlign w:val="center"/>
            <w:hideMark/>
          </w:tcPr>
          <w:p w:rsidR="00B43A2F" w:rsidRPr="00EB2995" w:rsidRDefault="00B43A2F" w:rsidP="00B43A2F">
            <w:pPr>
              <w:jc w:val="right"/>
              <w:rPr>
                <w:rFonts w:cs="Calibri"/>
                <w:b/>
                <w:bCs/>
                <w:color w:val="000000"/>
                <w:sz w:val="18"/>
                <w:szCs w:val="18"/>
                <w:lang w:eastAsia="en-GB"/>
              </w:rPr>
            </w:pPr>
            <w:r>
              <w:rPr>
                <w:rFonts w:cs="Calibri"/>
                <w:b/>
                <w:bCs/>
                <w:color w:val="000000"/>
                <w:sz w:val="18"/>
                <w:szCs w:val="18"/>
              </w:rPr>
              <w:t>44.1</w:t>
            </w:r>
          </w:p>
        </w:tc>
        <w:tc>
          <w:tcPr>
            <w:tcW w:w="851" w:type="dxa"/>
            <w:gridSpan w:val="2"/>
            <w:tcBorders>
              <w:top w:val="nil"/>
              <w:left w:val="single" w:sz="8" w:space="0" w:color="auto"/>
              <w:bottom w:val="single" w:sz="8" w:space="0" w:color="auto"/>
              <w:right w:val="nil"/>
            </w:tcBorders>
            <w:shd w:val="clear" w:color="auto" w:fill="auto"/>
            <w:noWrap/>
            <w:vAlign w:val="center"/>
            <w:hideMark/>
          </w:tcPr>
          <w:p w:rsidR="00B43A2F" w:rsidRPr="00EB2995" w:rsidRDefault="00B43A2F" w:rsidP="00B43A2F">
            <w:pPr>
              <w:jc w:val="right"/>
              <w:rPr>
                <w:rFonts w:cs="Calibri"/>
                <w:b/>
                <w:bCs/>
                <w:color w:val="000000"/>
                <w:sz w:val="18"/>
                <w:szCs w:val="18"/>
                <w:lang w:eastAsia="en-GB"/>
              </w:rPr>
            </w:pPr>
            <w:r>
              <w:rPr>
                <w:rFonts w:cs="Calibri"/>
                <w:b/>
                <w:bCs/>
                <w:color w:val="000000"/>
                <w:sz w:val="18"/>
                <w:szCs w:val="18"/>
              </w:rPr>
              <w:t>1,813.5</w:t>
            </w:r>
          </w:p>
        </w:tc>
        <w:tc>
          <w:tcPr>
            <w:tcW w:w="850" w:type="dxa"/>
            <w:gridSpan w:val="2"/>
            <w:tcBorders>
              <w:top w:val="nil"/>
              <w:left w:val="single" w:sz="8" w:space="0" w:color="auto"/>
              <w:bottom w:val="single" w:sz="8" w:space="0" w:color="auto"/>
              <w:right w:val="single" w:sz="8" w:space="0" w:color="auto"/>
            </w:tcBorders>
            <w:shd w:val="clear" w:color="auto" w:fill="auto"/>
            <w:noWrap/>
            <w:vAlign w:val="center"/>
            <w:hideMark/>
          </w:tcPr>
          <w:p w:rsidR="00B43A2F" w:rsidRPr="00EB2995" w:rsidRDefault="00B43A2F" w:rsidP="00B43A2F">
            <w:pPr>
              <w:jc w:val="right"/>
              <w:rPr>
                <w:rFonts w:cs="Calibri"/>
                <w:b/>
                <w:bCs/>
                <w:i/>
                <w:iCs/>
                <w:color w:val="000000"/>
                <w:sz w:val="18"/>
                <w:szCs w:val="18"/>
                <w:lang w:eastAsia="en-GB"/>
              </w:rPr>
            </w:pPr>
            <w:r>
              <w:rPr>
                <w:rFonts w:cs="Calibri"/>
                <w:b/>
                <w:bCs/>
                <w:color w:val="000000"/>
                <w:sz w:val="18"/>
                <w:szCs w:val="18"/>
              </w:rPr>
              <w:t>128.5</w:t>
            </w:r>
          </w:p>
        </w:tc>
      </w:tr>
      <w:tr w:rsidR="00B43A2F" w:rsidRPr="00EB2995" w:rsidTr="00B43A2F">
        <w:trPr>
          <w:gridAfter w:val="1"/>
          <w:wAfter w:w="8" w:type="dxa"/>
          <w:trHeight w:hRule="exact" w:val="397"/>
        </w:trPr>
        <w:tc>
          <w:tcPr>
            <w:tcW w:w="2835" w:type="dxa"/>
            <w:tcBorders>
              <w:top w:val="nil"/>
              <w:left w:val="single" w:sz="8" w:space="0" w:color="auto"/>
              <w:bottom w:val="single" w:sz="8" w:space="0" w:color="auto"/>
              <w:right w:val="single" w:sz="8" w:space="0" w:color="auto"/>
            </w:tcBorders>
            <w:shd w:val="clear" w:color="auto" w:fill="auto"/>
            <w:vAlign w:val="center"/>
            <w:hideMark/>
          </w:tcPr>
          <w:p w:rsidR="00B43A2F" w:rsidRPr="00EB2995" w:rsidRDefault="00B43A2F" w:rsidP="00B43A2F">
            <w:pPr>
              <w:rPr>
                <w:rFonts w:cs="Calibri"/>
                <w:b/>
                <w:bCs/>
                <w:color w:val="000000"/>
                <w:sz w:val="18"/>
                <w:szCs w:val="18"/>
                <w:lang w:eastAsia="en-GB"/>
              </w:rPr>
            </w:pPr>
            <w:r w:rsidRPr="00EB2995">
              <w:rPr>
                <w:rFonts w:cs="Calibri"/>
                <w:b/>
                <w:bCs/>
                <w:color w:val="000000"/>
                <w:sz w:val="18"/>
                <w:szCs w:val="18"/>
                <w:lang w:eastAsia="en-GB"/>
              </w:rPr>
              <w:t>Additions</w:t>
            </w:r>
          </w:p>
        </w:tc>
        <w:tc>
          <w:tcPr>
            <w:tcW w:w="992" w:type="dxa"/>
            <w:tcBorders>
              <w:top w:val="nil"/>
              <w:left w:val="nil"/>
              <w:bottom w:val="single" w:sz="8" w:space="0" w:color="auto"/>
              <w:right w:val="nil"/>
            </w:tcBorders>
            <w:shd w:val="clear" w:color="auto" w:fill="auto"/>
            <w:noWrap/>
            <w:vAlign w:val="center"/>
          </w:tcPr>
          <w:p w:rsidR="00B43A2F" w:rsidRPr="00EB2995" w:rsidRDefault="00B43A2F" w:rsidP="00B43A2F">
            <w:pPr>
              <w:jc w:val="right"/>
              <w:rPr>
                <w:rFonts w:cs="Calibri"/>
                <w:color w:val="000000"/>
                <w:sz w:val="18"/>
                <w:szCs w:val="18"/>
                <w:lang w:eastAsia="en-GB"/>
              </w:rPr>
            </w:pPr>
            <w:r>
              <w:rPr>
                <w:rFonts w:cs="Calibri"/>
                <w:color w:val="000000"/>
                <w:sz w:val="18"/>
                <w:szCs w:val="18"/>
              </w:rPr>
              <w:t>33.7</w:t>
            </w:r>
          </w:p>
        </w:tc>
        <w:tc>
          <w:tcPr>
            <w:tcW w:w="993" w:type="dxa"/>
            <w:gridSpan w:val="2"/>
            <w:tcBorders>
              <w:top w:val="nil"/>
              <w:left w:val="single" w:sz="8" w:space="0" w:color="auto"/>
              <w:bottom w:val="single" w:sz="8" w:space="0" w:color="auto"/>
              <w:right w:val="single" w:sz="8" w:space="0" w:color="auto"/>
            </w:tcBorders>
            <w:shd w:val="clear" w:color="auto" w:fill="auto"/>
            <w:noWrap/>
            <w:vAlign w:val="center"/>
          </w:tcPr>
          <w:p w:rsidR="00B43A2F" w:rsidRPr="00EB2995" w:rsidRDefault="00B43A2F" w:rsidP="00B43A2F">
            <w:pPr>
              <w:jc w:val="right"/>
              <w:rPr>
                <w:rFonts w:cs="Calibri"/>
                <w:color w:val="000000"/>
                <w:sz w:val="18"/>
                <w:szCs w:val="18"/>
                <w:lang w:eastAsia="en-GB"/>
              </w:rPr>
            </w:pPr>
            <w:r>
              <w:rPr>
                <w:rFonts w:cs="Calibri"/>
                <w:color w:val="000000"/>
                <w:sz w:val="18"/>
                <w:szCs w:val="18"/>
              </w:rPr>
              <w:t>20.4</w:t>
            </w:r>
          </w:p>
        </w:tc>
        <w:tc>
          <w:tcPr>
            <w:tcW w:w="850" w:type="dxa"/>
            <w:gridSpan w:val="2"/>
            <w:tcBorders>
              <w:top w:val="nil"/>
              <w:left w:val="nil"/>
              <w:bottom w:val="single" w:sz="8" w:space="0" w:color="auto"/>
              <w:right w:val="single" w:sz="8" w:space="0" w:color="auto"/>
            </w:tcBorders>
            <w:shd w:val="clear" w:color="auto" w:fill="auto"/>
            <w:noWrap/>
            <w:vAlign w:val="center"/>
          </w:tcPr>
          <w:p w:rsidR="00B43A2F" w:rsidRPr="00EB2995" w:rsidRDefault="00B43A2F" w:rsidP="00B43A2F">
            <w:pPr>
              <w:jc w:val="right"/>
              <w:rPr>
                <w:rFonts w:cs="Calibri"/>
                <w:color w:val="000000"/>
                <w:sz w:val="18"/>
                <w:szCs w:val="18"/>
                <w:lang w:eastAsia="en-GB"/>
              </w:rPr>
            </w:pPr>
            <w:r>
              <w:rPr>
                <w:rFonts w:cs="Calibri"/>
                <w:color w:val="000000"/>
                <w:sz w:val="18"/>
                <w:szCs w:val="18"/>
              </w:rPr>
              <w:t>1.1</w:t>
            </w:r>
          </w:p>
        </w:tc>
        <w:tc>
          <w:tcPr>
            <w:tcW w:w="1134" w:type="dxa"/>
            <w:gridSpan w:val="2"/>
            <w:tcBorders>
              <w:top w:val="nil"/>
              <w:left w:val="nil"/>
              <w:bottom w:val="single" w:sz="8" w:space="0" w:color="auto"/>
              <w:right w:val="single" w:sz="8" w:space="0" w:color="auto"/>
            </w:tcBorders>
            <w:shd w:val="clear" w:color="auto" w:fill="auto"/>
            <w:noWrap/>
            <w:vAlign w:val="center"/>
          </w:tcPr>
          <w:p w:rsidR="00B43A2F" w:rsidRPr="00EB2995" w:rsidRDefault="00B43A2F" w:rsidP="00B43A2F">
            <w:pPr>
              <w:jc w:val="right"/>
              <w:rPr>
                <w:rFonts w:cs="Calibri"/>
                <w:color w:val="000000"/>
                <w:sz w:val="18"/>
                <w:szCs w:val="18"/>
                <w:lang w:eastAsia="en-GB"/>
              </w:rPr>
            </w:pPr>
            <w:r>
              <w:rPr>
                <w:rFonts w:cs="Calibri"/>
                <w:color w:val="000000"/>
                <w:sz w:val="18"/>
                <w:szCs w:val="18"/>
              </w:rPr>
              <w:t>18.1</w:t>
            </w:r>
          </w:p>
        </w:tc>
        <w:tc>
          <w:tcPr>
            <w:tcW w:w="851" w:type="dxa"/>
            <w:gridSpan w:val="2"/>
            <w:tcBorders>
              <w:top w:val="nil"/>
              <w:left w:val="nil"/>
              <w:bottom w:val="single" w:sz="8" w:space="0" w:color="auto"/>
              <w:right w:val="single" w:sz="8" w:space="0" w:color="auto"/>
            </w:tcBorders>
            <w:shd w:val="clear" w:color="auto" w:fill="auto"/>
            <w:noWrap/>
            <w:vAlign w:val="center"/>
          </w:tcPr>
          <w:p w:rsidR="00B43A2F" w:rsidRPr="00EB2995" w:rsidRDefault="00B43A2F" w:rsidP="00B43A2F">
            <w:pPr>
              <w:jc w:val="right"/>
              <w:rPr>
                <w:rFonts w:cs="Calibri"/>
                <w:color w:val="000000"/>
                <w:sz w:val="18"/>
                <w:szCs w:val="18"/>
                <w:lang w:eastAsia="en-GB"/>
              </w:rPr>
            </w:pPr>
            <w:r>
              <w:rPr>
                <w:rFonts w:cs="Calibri"/>
                <w:color w:val="000000"/>
                <w:sz w:val="18"/>
                <w:szCs w:val="18"/>
              </w:rPr>
              <w:t>0.1</w:t>
            </w:r>
          </w:p>
        </w:tc>
        <w:tc>
          <w:tcPr>
            <w:tcW w:w="1275" w:type="dxa"/>
            <w:gridSpan w:val="2"/>
            <w:tcBorders>
              <w:top w:val="nil"/>
              <w:left w:val="nil"/>
              <w:bottom w:val="single" w:sz="8" w:space="0" w:color="auto"/>
              <w:right w:val="single" w:sz="8" w:space="0" w:color="auto"/>
            </w:tcBorders>
            <w:shd w:val="clear" w:color="auto" w:fill="auto"/>
            <w:noWrap/>
            <w:vAlign w:val="center"/>
          </w:tcPr>
          <w:p w:rsidR="00B43A2F" w:rsidRPr="00EB2995" w:rsidRDefault="00B43A2F" w:rsidP="00B43A2F">
            <w:pPr>
              <w:jc w:val="right"/>
              <w:rPr>
                <w:rFonts w:cs="Calibri"/>
                <w:color w:val="000000"/>
                <w:sz w:val="18"/>
                <w:szCs w:val="18"/>
                <w:lang w:eastAsia="en-GB"/>
              </w:rPr>
            </w:pPr>
            <w:r>
              <w:rPr>
                <w:rFonts w:cs="Calibri"/>
                <w:color w:val="000000"/>
                <w:sz w:val="18"/>
                <w:szCs w:val="18"/>
              </w:rPr>
              <w:t>89.8</w:t>
            </w:r>
          </w:p>
        </w:tc>
        <w:tc>
          <w:tcPr>
            <w:tcW w:w="851" w:type="dxa"/>
            <w:gridSpan w:val="2"/>
            <w:tcBorders>
              <w:top w:val="nil"/>
              <w:left w:val="nil"/>
              <w:bottom w:val="single" w:sz="8" w:space="0" w:color="auto"/>
              <w:right w:val="single" w:sz="8" w:space="0" w:color="auto"/>
            </w:tcBorders>
            <w:shd w:val="clear" w:color="auto" w:fill="auto"/>
            <w:noWrap/>
            <w:vAlign w:val="center"/>
          </w:tcPr>
          <w:p w:rsidR="00B43A2F" w:rsidRPr="00EB2995" w:rsidRDefault="00B43A2F" w:rsidP="00B43A2F">
            <w:pPr>
              <w:jc w:val="right"/>
              <w:rPr>
                <w:rFonts w:cs="Calibri"/>
                <w:color w:val="000000"/>
                <w:sz w:val="18"/>
                <w:szCs w:val="18"/>
                <w:lang w:eastAsia="en-GB"/>
              </w:rPr>
            </w:pPr>
            <w:r>
              <w:rPr>
                <w:rFonts w:cs="Calibri"/>
                <w:color w:val="000000"/>
                <w:sz w:val="18"/>
                <w:szCs w:val="18"/>
              </w:rPr>
              <w:t>163.2</w:t>
            </w:r>
          </w:p>
        </w:tc>
        <w:tc>
          <w:tcPr>
            <w:tcW w:w="850" w:type="dxa"/>
            <w:gridSpan w:val="2"/>
            <w:tcBorders>
              <w:top w:val="nil"/>
              <w:left w:val="nil"/>
              <w:bottom w:val="single" w:sz="8" w:space="0" w:color="auto"/>
              <w:right w:val="single" w:sz="8" w:space="0" w:color="auto"/>
            </w:tcBorders>
            <w:shd w:val="clear" w:color="auto" w:fill="auto"/>
            <w:noWrap/>
            <w:vAlign w:val="center"/>
          </w:tcPr>
          <w:p w:rsidR="00B43A2F" w:rsidRPr="00EB2995" w:rsidRDefault="00B43A2F" w:rsidP="00B43A2F">
            <w:pPr>
              <w:jc w:val="right"/>
              <w:rPr>
                <w:rFonts w:cs="Calibri"/>
                <w:i/>
                <w:iCs/>
                <w:color w:val="000000"/>
                <w:sz w:val="18"/>
                <w:szCs w:val="18"/>
                <w:lang w:eastAsia="en-GB"/>
              </w:rPr>
            </w:pPr>
            <w:r>
              <w:rPr>
                <w:rFonts w:cs="Calibri"/>
                <w:i/>
                <w:iCs/>
                <w:color w:val="000000"/>
                <w:sz w:val="18"/>
                <w:szCs w:val="18"/>
              </w:rPr>
              <w:t>0.9</w:t>
            </w:r>
          </w:p>
        </w:tc>
      </w:tr>
      <w:tr w:rsidR="00B43A2F" w:rsidRPr="00EB2995" w:rsidTr="00B43A2F">
        <w:trPr>
          <w:gridAfter w:val="1"/>
          <w:wAfter w:w="8" w:type="dxa"/>
          <w:trHeight w:hRule="exact" w:val="397"/>
        </w:trPr>
        <w:tc>
          <w:tcPr>
            <w:tcW w:w="2835" w:type="dxa"/>
            <w:tcBorders>
              <w:top w:val="nil"/>
              <w:left w:val="single" w:sz="8" w:space="0" w:color="auto"/>
              <w:bottom w:val="single" w:sz="8" w:space="0" w:color="auto"/>
              <w:right w:val="single" w:sz="8" w:space="0" w:color="auto"/>
            </w:tcBorders>
            <w:shd w:val="clear" w:color="auto" w:fill="auto"/>
            <w:vAlign w:val="center"/>
            <w:hideMark/>
          </w:tcPr>
          <w:p w:rsidR="00B43A2F" w:rsidRPr="00EB2995" w:rsidRDefault="00B43A2F" w:rsidP="00B43A2F">
            <w:pPr>
              <w:rPr>
                <w:rFonts w:cs="Calibri"/>
                <w:color w:val="000000"/>
                <w:sz w:val="18"/>
                <w:szCs w:val="18"/>
                <w:lang w:eastAsia="en-GB"/>
              </w:rPr>
            </w:pPr>
            <w:r w:rsidRPr="00EB2995">
              <w:rPr>
                <w:rFonts w:cs="Calibri"/>
                <w:color w:val="000000"/>
                <w:sz w:val="18"/>
                <w:szCs w:val="18"/>
                <w:lang w:eastAsia="en-GB"/>
              </w:rPr>
              <w:t>Depreciation written out</w:t>
            </w:r>
          </w:p>
        </w:tc>
        <w:tc>
          <w:tcPr>
            <w:tcW w:w="992" w:type="dxa"/>
            <w:tcBorders>
              <w:top w:val="nil"/>
              <w:left w:val="nil"/>
              <w:bottom w:val="single" w:sz="8" w:space="0" w:color="auto"/>
              <w:right w:val="nil"/>
            </w:tcBorders>
            <w:shd w:val="clear" w:color="auto" w:fill="auto"/>
            <w:noWrap/>
            <w:vAlign w:val="center"/>
          </w:tcPr>
          <w:p w:rsidR="00B43A2F" w:rsidRPr="00EB2995" w:rsidRDefault="00B43A2F" w:rsidP="00B43A2F">
            <w:pPr>
              <w:jc w:val="right"/>
              <w:rPr>
                <w:rFonts w:cs="Calibri"/>
                <w:color w:val="000000"/>
                <w:sz w:val="18"/>
                <w:szCs w:val="18"/>
                <w:lang w:eastAsia="en-GB"/>
              </w:rPr>
            </w:pPr>
            <w:r>
              <w:rPr>
                <w:rFonts w:cs="Calibri"/>
                <w:color w:val="000000"/>
                <w:sz w:val="18"/>
                <w:szCs w:val="18"/>
              </w:rPr>
              <w:t>(7.5)</w:t>
            </w:r>
          </w:p>
        </w:tc>
        <w:tc>
          <w:tcPr>
            <w:tcW w:w="993" w:type="dxa"/>
            <w:gridSpan w:val="2"/>
            <w:tcBorders>
              <w:top w:val="nil"/>
              <w:left w:val="single" w:sz="8" w:space="0" w:color="auto"/>
              <w:bottom w:val="single" w:sz="8" w:space="0" w:color="auto"/>
              <w:right w:val="single" w:sz="8" w:space="0" w:color="auto"/>
            </w:tcBorders>
            <w:shd w:val="clear" w:color="auto" w:fill="auto"/>
            <w:noWrap/>
            <w:vAlign w:val="center"/>
          </w:tcPr>
          <w:p w:rsidR="00B43A2F" w:rsidRPr="00EB2995" w:rsidRDefault="00EA2048" w:rsidP="00B43A2F">
            <w:pPr>
              <w:jc w:val="right"/>
              <w:rPr>
                <w:rFonts w:cs="Calibri"/>
                <w:color w:val="000000"/>
                <w:sz w:val="18"/>
                <w:szCs w:val="18"/>
                <w:lang w:eastAsia="en-GB"/>
              </w:rPr>
            </w:pPr>
            <w:r>
              <w:rPr>
                <w:rFonts w:cs="Calibri"/>
                <w:color w:val="000000"/>
                <w:sz w:val="18"/>
                <w:szCs w:val="18"/>
              </w:rPr>
              <w:t>(23.6</w:t>
            </w:r>
            <w:r w:rsidR="00B43A2F">
              <w:rPr>
                <w:rFonts w:cs="Calibri"/>
                <w:color w:val="000000"/>
                <w:sz w:val="18"/>
                <w:szCs w:val="18"/>
              </w:rPr>
              <w:t>)</w:t>
            </w:r>
          </w:p>
        </w:tc>
        <w:tc>
          <w:tcPr>
            <w:tcW w:w="850" w:type="dxa"/>
            <w:gridSpan w:val="2"/>
            <w:tcBorders>
              <w:top w:val="nil"/>
              <w:left w:val="nil"/>
              <w:bottom w:val="single" w:sz="8" w:space="0" w:color="auto"/>
              <w:right w:val="single" w:sz="8" w:space="0" w:color="auto"/>
            </w:tcBorders>
            <w:shd w:val="clear" w:color="auto" w:fill="auto"/>
            <w:noWrap/>
            <w:vAlign w:val="center"/>
          </w:tcPr>
          <w:p w:rsidR="00B43A2F" w:rsidRPr="00EB2995" w:rsidRDefault="00B43A2F" w:rsidP="00B43A2F">
            <w:pPr>
              <w:jc w:val="right"/>
              <w:rPr>
                <w:rFonts w:cs="Calibri"/>
                <w:color w:val="000000"/>
                <w:sz w:val="18"/>
                <w:szCs w:val="18"/>
                <w:lang w:eastAsia="en-GB"/>
              </w:rPr>
            </w:pPr>
            <w:r>
              <w:rPr>
                <w:rFonts w:cs="Calibri"/>
                <w:color w:val="000000"/>
                <w:sz w:val="18"/>
                <w:szCs w:val="18"/>
              </w:rPr>
              <w:t>0.0</w:t>
            </w:r>
          </w:p>
        </w:tc>
        <w:tc>
          <w:tcPr>
            <w:tcW w:w="1134" w:type="dxa"/>
            <w:gridSpan w:val="2"/>
            <w:tcBorders>
              <w:top w:val="nil"/>
              <w:left w:val="nil"/>
              <w:bottom w:val="single" w:sz="8" w:space="0" w:color="auto"/>
              <w:right w:val="single" w:sz="8" w:space="0" w:color="auto"/>
            </w:tcBorders>
            <w:shd w:val="clear" w:color="auto" w:fill="auto"/>
            <w:noWrap/>
            <w:vAlign w:val="center"/>
          </w:tcPr>
          <w:p w:rsidR="00B43A2F" w:rsidRPr="00EB2995" w:rsidRDefault="00B43A2F" w:rsidP="00B43A2F">
            <w:pPr>
              <w:jc w:val="right"/>
              <w:rPr>
                <w:rFonts w:cs="Calibri"/>
                <w:color w:val="000000"/>
                <w:sz w:val="18"/>
                <w:szCs w:val="18"/>
                <w:lang w:eastAsia="en-GB"/>
              </w:rPr>
            </w:pPr>
            <w:r>
              <w:rPr>
                <w:rFonts w:cs="Calibri"/>
                <w:color w:val="000000"/>
                <w:sz w:val="18"/>
                <w:szCs w:val="18"/>
              </w:rPr>
              <w:t>0.0</w:t>
            </w:r>
          </w:p>
        </w:tc>
        <w:tc>
          <w:tcPr>
            <w:tcW w:w="851" w:type="dxa"/>
            <w:gridSpan w:val="2"/>
            <w:tcBorders>
              <w:top w:val="nil"/>
              <w:left w:val="nil"/>
              <w:bottom w:val="single" w:sz="8" w:space="0" w:color="auto"/>
              <w:right w:val="single" w:sz="8" w:space="0" w:color="auto"/>
            </w:tcBorders>
            <w:shd w:val="clear" w:color="auto" w:fill="auto"/>
            <w:noWrap/>
            <w:vAlign w:val="center"/>
          </w:tcPr>
          <w:p w:rsidR="00B43A2F" w:rsidRPr="00EB2995" w:rsidRDefault="00B43A2F" w:rsidP="00B43A2F">
            <w:pPr>
              <w:jc w:val="right"/>
              <w:rPr>
                <w:rFonts w:cs="Calibri"/>
                <w:color w:val="000000"/>
                <w:sz w:val="18"/>
                <w:szCs w:val="18"/>
                <w:lang w:eastAsia="en-GB"/>
              </w:rPr>
            </w:pPr>
            <w:r>
              <w:rPr>
                <w:rFonts w:cs="Calibri"/>
                <w:color w:val="000000"/>
                <w:sz w:val="18"/>
                <w:szCs w:val="18"/>
              </w:rPr>
              <w:t>0.0</w:t>
            </w:r>
          </w:p>
        </w:tc>
        <w:tc>
          <w:tcPr>
            <w:tcW w:w="1275" w:type="dxa"/>
            <w:gridSpan w:val="2"/>
            <w:tcBorders>
              <w:top w:val="nil"/>
              <w:left w:val="nil"/>
              <w:bottom w:val="single" w:sz="8" w:space="0" w:color="auto"/>
              <w:right w:val="single" w:sz="8" w:space="0" w:color="auto"/>
            </w:tcBorders>
            <w:shd w:val="clear" w:color="auto" w:fill="auto"/>
            <w:noWrap/>
            <w:vAlign w:val="center"/>
          </w:tcPr>
          <w:p w:rsidR="00B43A2F" w:rsidRPr="00EB2995" w:rsidRDefault="00B43A2F" w:rsidP="00B43A2F">
            <w:pPr>
              <w:jc w:val="right"/>
              <w:rPr>
                <w:rFonts w:cs="Calibri"/>
                <w:color w:val="000000"/>
                <w:sz w:val="18"/>
                <w:szCs w:val="18"/>
                <w:lang w:eastAsia="en-GB"/>
              </w:rPr>
            </w:pPr>
            <w:r>
              <w:rPr>
                <w:rFonts w:cs="Calibri"/>
                <w:color w:val="000000"/>
                <w:sz w:val="18"/>
                <w:szCs w:val="18"/>
              </w:rPr>
              <w:t>0.0</w:t>
            </w:r>
          </w:p>
        </w:tc>
        <w:tc>
          <w:tcPr>
            <w:tcW w:w="851" w:type="dxa"/>
            <w:gridSpan w:val="2"/>
            <w:tcBorders>
              <w:top w:val="nil"/>
              <w:left w:val="nil"/>
              <w:bottom w:val="single" w:sz="8" w:space="0" w:color="auto"/>
              <w:right w:val="single" w:sz="8" w:space="0" w:color="auto"/>
            </w:tcBorders>
            <w:shd w:val="clear" w:color="auto" w:fill="auto"/>
            <w:noWrap/>
            <w:vAlign w:val="center"/>
          </w:tcPr>
          <w:p w:rsidR="00B43A2F" w:rsidRPr="00EB2995" w:rsidRDefault="00B43A2F" w:rsidP="00B43A2F">
            <w:pPr>
              <w:jc w:val="right"/>
              <w:rPr>
                <w:rFonts w:cs="Calibri"/>
                <w:color w:val="000000"/>
                <w:sz w:val="18"/>
                <w:szCs w:val="18"/>
                <w:lang w:eastAsia="en-GB"/>
              </w:rPr>
            </w:pPr>
            <w:r>
              <w:rPr>
                <w:rFonts w:cs="Calibri"/>
                <w:color w:val="000000"/>
                <w:sz w:val="18"/>
                <w:szCs w:val="18"/>
              </w:rPr>
              <w:t>(28.4)</w:t>
            </w:r>
          </w:p>
        </w:tc>
        <w:tc>
          <w:tcPr>
            <w:tcW w:w="850" w:type="dxa"/>
            <w:gridSpan w:val="2"/>
            <w:tcBorders>
              <w:top w:val="nil"/>
              <w:left w:val="nil"/>
              <w:bottom w:val="single" w:sz="8" w:space="0" w:color="auto"/>
              <w:right w:val="single" w:sz="8" w:space="0" w:color="auto"/>
            </w:tcBorders>
            <w:shd w:val="clear" w:color="auto" w:fill="auto"/>
            <w:noWrap/>
            <w:vAlign w:val="center"/>
          </w:tcPr>
          <w:p w:rsidR="00B43A2F" w:rsidRPr="00EB2995" w:rsidRDefault="00B43A2F" w:rsidP="00B43A2F">
            <w:pPr>
              <w:jc w:val="right"/>
              <w:rPr>
                <w:rFonts w:cs="Calibri"/>
                <w:i/>
                <w:iCs/>
                <w:color w:val="000000"/>
                <w:sz w:val="18"/>
                <w:szCs w:val="18"/>
                <w:lang w:eastAsia="en-GB"/>
              </w:rPr>
            </w:pPr>
            <w:r>
              <w:rPr>
                <w:rFonts w:cs="Calibri"/>
                <w:i/>
                <w:iCs/>
                <w:color w:val="000000"/>
                <w:sz w:val="18"/>
                <w:szCs w:val="18"/>
              </w:rPr>
              <w:t>(5.3)</w:t>
            </w:r>
          </w:p>
        </w:tc>
      </w:tr>
      <w:tr w:rsidR="00B43A2F" w:rsidRPr="00EB2995" w:rsidTr="00B43A2F">
        <w:trPr>
          <w:gridAfter w:val="1"/>
          <w:wAfter w:w="8" w:type="dxa"/>
          <w:trHeight w:hRule="exact" w:val="652"/>
        </w:trPr>
        <w:tc>
          <w:tcPr>
            <w:tcW w:w="2835" w:type="dxa"/>
            <w:tcBorders>
              <w:top w:val="nil"/>
              <w:left w:val="single" w:sz="8" w:space="0" w:color="auto"/>
              <w:bottom w:val="single" w:sz="8" w:space="0" w:color="auto"/>
              <w:right w:val="single" w:sz="8" w:space="0" w:color="auto"/>
            </w:tcBorders>
            <w:shd w:val="clear" w:color="auto" w:fill="auto"/>
            <w:vAlign w:val="center"/>
            <w:hideMark/>
          </w:tcPr>
          <w:p w:rsidR="00B43A2F" w:rsidRPr="00EB2995" w:rsidRDefault="00B43A2F" w:rsidP="00B43A2F">
            <w:pPr>
              <w:rPr>
                <w:rFonts w:cs="Calibri"/>
                <w:color w:val="000000"/>
                <w:sz w:val="18"/>
                <w:szCs w:val="18"/>
                <w:lang w:eastAsia="en-GB"/>
              </w:rPr>
            </w:pPr>
            <w:r w:rsidRPr="00EB2995">
              <w:rPr>
                <w:rFonts w:cs="Calibri"/>
                <w:color w:val="000000"/>
                <w:sz w:val="18"/>
                <w:szCs w:val="18"/>
                <w:lang w:eastAsia="en-GB"/>
              </w:rPr>
              <w:t>Revaluation increases (decreases) in the Revaluation Reserve</w:t>
            </w:r>
          </w:p>
        </w:tc>
        <w:tc>
          <w:tcPr>
            <w:tcW w:w="992" w:type="dxa"/>
            <w:tcBorders>
              <w:top w:val="nil"/>
              <w:left w:val="nil"/>
              <w:bottom w:val="single" w:sz="8" w:space="0" w:color="auto"/>
              <w:right w:val="nil"/>
            </w:tcBorders>
            <w:shd w:val="clear" w:color="auto" w:fill="auto"/>
            <w:noWrap/>
            <w:vAlign w:val="center"/>
          </w:tcPr>
          <w:p w:rsidR="00B43A2F" w:rsidRPr="00EB2995" w:rsidRDefault="00B43A2F" w:rsidP="00B43A2F">
            <w:pPr>
              <w:jc w:val="right"/>
              <w:rPr>
                <w:rFonts w:cs="Calibri"/>
                <w:color w:val="000000"/>
                <w:sz w:val="18"/>
                <w:szCs w:val="18"/>
                <w:lang w:eastAsia="en-GB"/>
              </w:rPr>
            </w:pPr>
            <w:r>
              <w:rPr>
                <w:rFonts w:cs="Calibri"/>
                <w:color w:val="000000"/>
                <w:sz w:val="18"/>
                <w:szCs w:val="18"/>
              </w:rPr>
              <w:t>3.0</w:t>
            </w:r>
          </w:p>
        </w:tc>
        <w:tc>
          <w:tcPr>
            <w:tcW w:w="993" w:type="dxa"/>
            <w:gridSpan w:val="2"/>
            <w:tcBorders>
              <w:top w:val="nil"/>
              <w:left w:val="single" w:sz="8" w:space="0" w:color="auto"/>
              <w:bottom w:val="single" w:sz="8" w:space="0" w:color="auto"/>
              <w:right w:val="single" w:sz="8" w:space="0" w:color="auto"/>
            </w:tcBorders>
            <w:shd w:val="clear" w:color="auto" w:fill="auto"/>
            <w:noWrap/>
            <w:vAlign w:val="center"/>
          </w:tcPr>
          <w:p w:rsidR="00B43A2F" w:rsidRPr="00EB2995" w:rsidRDefault="00EA2048" w:rsidP="00B43A2F">
            <w:pPr>
              <w:jc w:val="right"/>
              <w:rPr>
                <w:rFonts w:cs="Calibri"/>
                <w:color w:val="000000"/>
                <w:sz w:val="18"/>
                <w:szCs w:val="18"/>
                <w:lang w:eastAsia="en-GB"/>
              </w:rPr>
            </w:pPr>
            <w:r>
              <w:rPr>
                <w:rFonts w:cs="Calibri"/>
                <w:color w:val="000000"/>
                <w:sz w:val="18"/>
                <w:szCs w:val="18"/>
              </w:rPr>
              <w:t>205.7</w:t>
            </w:r>
          </w:p>
        </w:tc>
        <w:tc>
          <w:tcPr>
            <w:tcW w:w="850" w:type="dxa"/>
            <w:gridSpan w:val="2"/>
            <w:tcBorders>
              <w:top w:val="nil"/>
              <w:left w:val="nil"/>
              <w:bottom w:val="single" w:sz="8" w:space="0" w:color="auto"/>
              <w:right w:val="single" w:sz="8" w:space="0" w:color="auto"/>
            </w:tcBorders>
            <w:shd w:val="clear" w:color="auto" w:fill="auto"/>
            <w:noWrap/>
            <w:vAlign w:val="center"/>
          </w:tcPr>
          <w:p w:rsidR="00B43A2F" w:rsidRPr="00EB2995" w:rsidRDefault="00B43A2F" w:rsidP="00B43A2F">
            <w:pPr>
              <w:jc w:val="right"/>
              <w:rPr>
                <w:rFonts w:cs="Calibri"/>
                <w:color w:val="000000"/>
                <w:sz w:val="18"/>
                <w:szCs w:val="18"/>
                <w:lang w:eastAsia="en-GB"/>
              </w:rPr>
            </w:pPr>
            <w:r>
              <w:rPr>
                <w:rFonts w:cs="Calibri"/>
                <w:color w:val="000000"/>
                <w:sz w:val="18"/>
                <w:szCs w:val="18"/>
              </w:rPr>
              <w:t>0.0</w:t>
            </w:r>
          </w:p>
        </w:tc>
        <w:tc>
          <w:tcPr>
            <w:tcW w:w="1134" w:type="dxa"/>
            <w:gridSpan w:val="2"/>
            <w:tcBorders>
              <w:top w:val="nil"/>
              <w:left w:val="nil"/>
              <w:bottom w:val="single" w:sz="8" w:space="0" w:color="auto"/>
              <w:right w:val="single" w:sz="8" w:space="0" w:color="auto"/>
            </w:tcBorders>
            <w:shd w:val="clear" w:color="auto" w:fill="auto"/>
            <w:noWrap/>
            <w:vAlign w:val="center"/>
          </w:tcPr>
          <w:p w:rsidR="00B43A2F" w:rsidRPr="00EB2995" w:rsidRDefault="00B43A2F" w:rsidP="00B43A2F">
            <w:pPr>
              <w:jc w:val="right"/>
              <w:rPr>
                <w:rFonts w:cs="Calibri"/>
                <w:color w:val="000000"/>
                <w:sz w:val="18"/>
                <w:szCs w:val="18"/>
                <w:lang w:eastAsia="en-GB"/>
              </w:rPr>
            </w:pPr>
            <w:r>
              <w:rPr>
                <w:rFonts w:cs="Calibri"/>
                <w:color w:val="000000"/>
                <w:sz w:val="18"/>
                <w:szCs w:val="18"/>
              </w:rPr>
              <w:t>0.0</w:t>
            </w:r>
          </w:p>
        </w:tc>
        <w:tc>
          <w:tcPr>
            <w:tcW w:w="851" w:type="dxa"/>
            <w:gridSpan w:val="2"/>
            <w:tcBorders>
              <w:top w:val="nil"/>
              <w:left w:val="nil"/>
              <w:bottom w:val="single" w:sz="8" w:space="0" w:color="auto"/>
              <w:right w:val="single" w:sz="8" w:space="0" w:color="auto"/>
            </w:tcBorders>
            <w:shd w:val="clear" w:color="auto" w:fill="auto"/>
            <w:noWrap/>
            <w:vAlign w:val="center"/>
          </w:tcPr>
          <w:p w:rsidR="00B43A2F" w:rsidRPr="00EB2995" w:rsidRDefault="00B43A2F" w:rsidP="00B43A2F">
            <w:pPr>
              <w:jc w:val="right"/>
              <w:rPr>
                <w:rFonts w:cs="Calibri"/>
                <w:color w:val="000000"/>
                <w:sz w:val="18"/>
                <w:szCs w:val="18"/>
                <w:lang w:eastAsia="en-GB"/>
              </w:rPr>
            </w:pPr>
            <w:r>
              <w:rPr>
                <w:rFonts w:cs="Calibri"/>
                <w:color w:val="000000"/>
                <w:sz w:val="18"/>
                <w:szCs w:val="18"/>
              </w:rPr>
              <w:t>(0.1)</w:t>
            </w:r>
          </w:p>
        </w:tc>
        <w:tc>
          <w:tcPr>
            <w:tcW w:w="1275" w:type="dxa"/>
            <w:gridSpan w:val="2"/>
            <w:tcBorders>
              <w:top w:val="nil"/>
              <w:left w:val="nil"/>
              <w:bottom w:val="single" w:sz="8" w:space="0" w:color="auto"/>
              <w:right w:val="single" w:sz="8" w:space="0" w:color="auto"/>
            </w:tcBorders>
            <w:shd w:val="clear" w:color="auto" w:fill="auto"/>
            <w:noWrap/>
            <w:vAlign w:val="center"/>
          </w:tcPr>
          <w:p w:rsidR="00B43A2F" w:rsidRPr="00EB2995" w:rsidRDefault="00B43A2F" w:rsidP="00B43A2F">
            <w:pPr>
              <w:jc w:val="right"/>
              <w:rPr>
                <w:rFonts w:cs="Calibri"/>
                <w:color w:val="000000"/>
                <w:sz w:val="18"/>
                <w:szCs w:val="18"/>
                <w:lang w:eastAsia="en-GB"/>
              </w:rPr>
            </w:pPr>
            <w:r>
              <w:rPr>
                <w:rFonts w:cs="Calibri"/>
                <w:color w:val="000000"/>
                <w:sz w:val="18"/>
                <w:szCs w:val="18"/>
              </w:rPr>
              <w:t>0.0</w:t>
            </w:r>
          </w:p>
        </w:tc>
        <w:tc>
          <w:tcPr>
            <w:tcW w:w="851" w:type="dxa"/>
            <w:gridSpan w:val="2"/>
            <w:tcBorders>
              <w:top w:val="nil"/>
              <w:left w:val="nil"/>
              <w:bottom w:val="single" w:sz="8" w:space="0" w:color="auto"/>
              <w:right w:val="single" w:sz="8" w:space="0" w:color="auto"/>
            </w:tcBorders>
            <w:shd w:val="clear" w:color="auto" w:fill="auto"/>
            <w:noWrap/>
            <w:vAlign w:val="center"/>
          </w:tcPr>
          <w:p w:rsidR="00B43A2F" w:rsidRPr="00EB2995" w:rsidRDefault="00B43A2F" w:rsidP="00B43A2F">
            <w:pPr>
              <w:jc w:val="right"/>
              <w:rPr>
                <w:rFonts w:cs="Calibri"/>
                <w:color w:val="000000"/>
                <w:sz w:val="18"/>
                <w:szCs w:val="18"/>
                <w:lang w:eastAsia="en-GB"/>
              </w:rPr>
            </w:pPr>
            <w:r>
              <w:rPr>
                <w:rFonts w:cs="Calibri"/>
                <w:color w:val="000000"/>
                <w:sz w:val="18"/>
                <w:szCs w:val="18"/>
              </w:rPr>
              <w:t>207.0</w:t>
            </w:r>
          </w:p>
        </w:tc>
        <w:tc>
          <w:tcPr>
            <w:tcW w:w="850" w:type="dxa"/>
            <w:gridSpan w:val="2"/>
            <w:tcBorders>
              <w:top w:val="nil"/>
              <w:left w:val="nil"/>
              <w:bottom w:val="single" w:sz="8" w:space="0" w:color="auto"/>
              <w:right w:val="single" w:sz="8" w:space="0" w:color="auto"/>
            </w:tcBorders>
            <w:shd w:val="clear" w:color="auto" w:fill="auto"/>
            <w:noWrap/>
            <w:vAlign w:val="center"/>
          </w:tcPr>
          <w:p w:rsidR="00B43A2F" w:rsidRPr="00EB2995" w:rsidRDefault="00B43A2F" w:rsidP="00B43A2F">
            <w:pPr>
              <w:jc w:val="right"/>
              <w:rPr>
                <w:rFonts w:cs="Calibri"/>
                <w:i/>
                <w:iCs/>
                <w:color w:val="000000"/>
                <w:sz w:val="18"/>
                <w:szCs w:val="18"/>
                <w:lang w:eastAsia="en-GB"/>
              </w:rPr>
            </w:pPr>
            <w:r>
              <w:rPr>
                <w:rFonts w:cs="Calibri"/>
                <w:i/>
                <w:iCs/>
                <w:color w:val="000000"/>
                <w:sz w:val="18"/>
                <w:szCs w:val="18"/>
              </w:rPr>
              <w:t>2.8</w:t>
            </w:r>
          </w:p>
        </w:tc>
      </w:tr>
      <w:tr w:rsidR="00B43A2F" w:rsidRPr="00EB2995" w:rsidTr="00B43A2F">
        <w:trPr>
          <w:gridAfter w:val="1"/>
          <w:wAfter w:w="8" w:type="dxa"/>
          <w:trHeight w:hRule="exact" w:val="718"/>
        </w:trPr>
        <w:tc>
          <w:tcPr>
            <w:tcW w:w="2835" w:type="dxa"/>
            <w:tcBorders>
              <w:top w:val="nil"/>
              <w:left w:val="single" w:sz="8" w:space="0" w:color="auto"/>
              <w:bottom w:val="single" w:sz="8" w:space="0" w:color="auto"/>
              <w:right w:val="single" w:sz="8" w:space="0" w:color="auto"/>
            </w:tcBorders>
            <w:shd w:val="clear" w:color="auto" w:fill="auto"/>
            <w:vAlign w:val="center"/>
            <w:hideMark/>
          </w:tcPr>
          <w:p w:rsidR="00B43A2F" w:rsidRPr="00EB2995" w:rsidRDefault="00B43A2F" w:rsidP="00B43A2F">
            <w:pPr>
              <w:rPr>
                <w:rFonts w:cs="Calibri"/>
                <w:color w:val="000000"/>
                <w:sz w:val="18"/>
                <w:szCs w:val="18"/>
                <w:lang w:eastAsia="en-GB"/>
              </w:rPr>
            </w:pPr>
            <w:r w:rsidRPr="00EB2995">
              <w:rPr>
                <w:rFonts w:cs="Calibri"/>
                <w:color w:val="000000"/>
                <w:sz w:val="18"/>
                <w:szCs w:val="18"/>
                <w:lang w:eastAsia="en-GB"/>
              </w:rPr>
              <w:t>Revaluation increases (decreases) in the Surplus / Deficit on the Provision of Services</w:t>
            </w:r>
          </w:p>
        </w:tc>
        <w:tc>
          <w:tcPr>
            <w:tcW w:w="992" w:type="dxa"/>
            <w:tcBorders>
              <w:top w:val="nil"/>
              <w:left w:val="nil"/>
              <w:bottom w:val="single" w:sz="8" w:space="0" w:color="auto"/>
              <w:right w:val="nil"/>
            </w:tcBorders>
            <w:shd w:val="clear" w:color="auto" w:fill="auto"/>
            <w:noWrap/>
            <w:vAlign w:val="center"/>
          </w:tcPr>
          <w:p w:rsidR="00B43A2F" w:rsidRPr="00EB2995" w:rsidRDefault="00B43A2F" w:rsidP="00B43A2F">
            <w:pPr>
              <w:jc w:val="right"/>
              <w:rPr>
                <w:rFonts w:cs="Calibri"/>
                <w:color w:val="000000"/>
                <w:sz w:val="18"/>
                <w:szCs w:val="18"/>
                <w:lang w:eastAsia="en-GB"/>
              </w:rPr>
            </w:pPr>
            <w:r>
              <w:rPr>
                <w:rFonts w:cs="Calibri"/>
                <w:color w:val="000000"/>
                <w:sz w:val="18"/>
                <w:szCs w:val="18"/>
              </w:rPr>
              <w:t>(20.8)</w:t>
            </w:r>
          </w:p>
        </w:tc>
        <w:tc>
          <w:tcPr>
            <w:tcW w:w="993" w:type="dxa"/>
            <w:gridSpan w:val="2"/>
            <w:tcBorders>
              <w:top w:val="nil"/>
              <w:left w:val="single" w:sz="8" w:space="0" w:color="auto"/>
              <w:bottom w:val="single" w:sz="8" w:space="0" w:color="auto"/>
              <w:right w:val="single" w:sz="8" w:space="0" w:color="auto"/>
            </w:tcBorders>
            <w:shd w:val="clear" w:color="auto" w:fill="auto"/>
            <w:noWrap/>
            <w:vAlign w:val="center"/>
          </w:tcPr>
          <w:p w:rsidR="00B43A2F" w:rsidRPr="00EB2995" w:rsidRDefault="00EA2048" w:rsidP="00B43A2F">
            <w:pPr>
              <w:jc w:val="right"/>
              <w:rPr>
                <w:rFonts w:cs="Calibri"/>
                <w:color w:val="000000"/>
                <w:sz w:val="18"/>
                <w:szCs w:val="18"/>
                <w:lang w:eastAsia="en-GB"/>
              </w:rPr>
            </w:pPr>
            <w:r>
              <w:rPr>
                <w:rFonts w:cs="Calibri"/>
                <w:color w:val="000000"/>
                <w:sz w:val="18"/>
                <w:szCs w:val="18"/>
              </w:rPr>
              <w:t>(20.8</w:t>
            </w:r>
            <w:r w:rsidR="00B43A2F">
              <w:rPr>
                <w:rFonts w:cs="Calibri"/>
                <w:color w:val="000000"/>
                <w:sz w:val="18"/>
                <w:szCs w:val="18"/>
              </w:rPr>
              <w:t>)</w:t>
            </w:r>
          </w:p>
        </w:tc>
        <w:tc>
          <w:tcPr>
            <w:tcW w:w="850" w:type="dxa"/>
            <w:gridSpan w:val="2"/>
            <w:tcBorders>
              <w:top w:val="nil"/>
              <w:left w:val="nil"/>
              <w:bottom w:val="single" w:sz="8" w:space="0" w:color="auto"/>
              <w:right w:val="single" w:sz="8" w:space="0" w:color="auto"/>
            </w:tcBorders>
            <w:shd w:val="clear" w:color="auto" w:fill="auto"/>
            <w:noWrap/>
            <w:vAlign w:val="center"/>
          </w:tcPr>
          <w:p w:rsidR="00B43A2F" w:rsidRPr="00EB2995" w:rsidRDefault="00B43A2F" w:rsidP="00B43A2F">
            <w:pPr>
              <w:jc w:val="right"/>
              <w:rPr>
                <w:rFonts w:cs="Calibri"/>
                <w:color w:val="000000"/>
                <w:sz w:val="18"/>
                <w:szCs w:val="18"/>
                <w:lang w:eastAsia="en-GB"/>
              </w:rPr>
            </w:pPr>
            <w:r>
              <w:rPr>
                <w:rFonts w:cs="Calibri"/>
                <w:color w:val="000000"/>
                <w:sz w:val="18"/>
                <w:szCs w:val="18"/>
              </w:rPr>
              <w:t>0.0</w:t>
            </w:r>
          </w:p>
        </w:tc>
        <w:tc>
          <w:tcPr>
            <w:tcW w:w="1134" w:type="dxa"/>
            <w:gridSpan w:val="2"/>
            <w:tcBorders>
              <w:top w:val="nil"/>
              <w:left w:val="nil"/>
              <w:bottom w:val="single" w:sz="8" w:space="0" w:color="auto"/>
              <w:right w:val="single" w:sz="8" w:space="0" w:color="auto"/>
            </w:tcBorders>
            <w:shd w:val="clear" w:color="auto" w:fill="auto"/>
            <w:noWrap/>
            <w:vAlign w:val="center"/>
          </w:tcPr>
          <w:p w:rsidR="00B43A2F" w:rsidRPr="00EB2995" w:rsidRDefault="00B43A2F" w:rsidP="00B43A2F">
            <w:pPr>
              <w:jc w:val="right"/>
              <w:rPr>
                <w:rFonts w:cs="Calibri"/>
                <w:color w:val="000000"/>
                <w:sz w:val="18"/>
                <w:szCs w:val="18"/>
                <w:lang w:eastAsia="en-GB"/>
              </w:rPr>
            </w:pPr>
            <w:r>
              <w:rPr>
                <w:rFonts w:cs="Calibri"/>
                <w:color w:val="000000"/>
                <w:sz w:val="18"/>
                <w:szCs w:val="18"/>
              </w:rPr>
              <w:t>0.0</w:t>
            </w:r>
          </w:p>
        </w:tc>
        <w:tc>
          <w:tcPr>
            <w:tcW w:w="851" w:type="dxa"/>
            <w:gridSpan w:val="2"/>
            <w:tcBorders>
              <w:top w:val="nil"/>
              <w:left w:val="nil"/>
              <w:bottom w:val="single" w:sz="8" w:space="0" w:color="auto"/>
              <w:right w:val="single" w:sz="8" w:space="0" w:color="auto"/>
            </w:tcBorders>
            <w:shd w:val="clear" w:color="auto" w:fill="auto"/>
            <w:noWrap/>
            <w:vAlign w:val="center"/>
          </w:tcPr>
          <w:p w:rsidR="00B43A2F" w:rsidRPr="00EB2995" w:rsidRDefault="00B43A2F" w:rsidP="00B43A2F">
            <w:pPr>
              <w:jc w:val="right"/>
              <w:rPr>
                <w:rFonts w:cs="Calibri"/>
                <w:color w:val="000000"/>
                <w:sz w:val="18"/>
                <w:szCs w:val="18"/>
                <w:lang w:eastAsia="en-GB"/>
              </w:rPr>
            </w:pPr>
            <w:r>
              <w:rPr>
                <w:rFonts w:cs="Calibri"/>
                <w:color w:val="000000"/>
                <w:sz w:val="18"/>
                <w:szCs w:val="18"/>
              </w:rPr>
              <w:t>0.0</w:t>
            </w:r>
          </w:p>
        </w:tc>
        <w:tc>
          <w:tcPr>
            <w:tcW w:w="1275" w:type="dxa"/>
            <w:gridSpan w:val="2"/>
            <w:tcBorders>
              <w:top w:val="nil"/>
              <w:left w:val="nil"/>
              <w:bottom w:val="single" w:sz="8" w:space="0" w:color="auto"/>
              <w:right w:val="single" w:sz="8" w:space="0" w:color="auto"/>
            </w:tcBorders>
            <w:shd w:val="clear" w:color="auto" w:fill="auto"/>
            <w:noWrap/>
            <w:vAlign w:val="center"/>
          </w:tcPr>
          <w:p w:rsidR="00B43A2F" w:rsidRPr="00EB2995" w:rsidRDefault="00B43A2F" w:rsidP="00B43A2F">
            <w:pPr>
              <w:jc w:val="right"/>
              <w:rPr>
                <w:rFonts w:cs="Calibri"/>
                <w:color w:val="000000"/>
                <w:sz w:val="18"/>
                <w:szCs w:val="18"/>
                <w:lang w:eastAsia="en-GB"/>
              </w:rPr>
            </w:pPr>
            <w:r>
              <w:rPr>
                <w:rFonts w:cs="Calibri"/>
                <w:color w:val="000000"/>
                <w:sz w:val="18"/>
                <w:szCs w:val="18"/>
              </w:rPr>
              <w:t>0.0</w:t>
            </w:r>
          </w:p>
        </w:tc>
        <w:tc>
          <w:tcPr>
            <w:tcW w:w="851" w:type="dxa"/>
            <w:gridSpan w:val="2"/>
            <w:tcBorders>
              <w:top w:val="nil"/>
              <w:left w:val="nil"/>
              <w:bottom w:val="single" w:sz="8" w:space="0" w:color="auto"/>
              <w:right w:val="single" w:sz="8" w:space="0" w:color="auto"/>
            </w:tcBorders>
            <w:shd w:val="clear" w:color="auto" w:fill="auto"/>
            <w:noWrap/>
            <w:vAlign w:val="center"/>
          </w:tcPr>
          <w:p w:rsidR="00B43A2F" w:rsidRPr="00EB2995" w:rsidRDefault="00B43A2F" w:rsidP="00B43A2F">
            <w:pPr>
              <w:jc w:val="right"/>
              <w:rPr>
                <w:rFonts w:cs="Calibri"/>
                <w:color w:val="000000"/>
                <w:sz w:val="18"/>
                <w:szCs w:val="18"/>
                <w:lang w:eastAsia="en-GB"/>
              </w:rPr>
            </w:pPr>
            <w:r>
              <w:rPr>
                <w:rFonts w:cs="Calibri"/>
                <w:color w:val="000000"/>
                <w:sz w:val="18"/>
                <w:szCs w:val="18"/>
              </w:rPr>
              <w:t>(38.0)</w:t>
            </w:r>
          </w:p>
        </w:tc>
        <w:tc>
          <w:tcPr>
            <w:tcW w:w="850" w:type="dxa"/>
            <w:gridSpan w:val="2"/>
            <w:tcBorders>
              <w:top w:val="nil"/>
              <w:left w:val="nil"/>
              <w:bottom w:val="single" w:sz="8" w:space="0" w:color="auto"/>
              <w:right w:val="single" w:sz="8" w:space="0" w:color="auto"/>
            </w:tcBorders>
            <w:shd w:val="clear" w:color="auto" w:fill="auto"/>
            <w:noWrap/>
            <w:vAlign w:val="center"/>
          </w:tcPr>
          <w:p w:rsidR="00B43A2F" w:rsidRPr="00EB2995" w:rsidRDefault="00B43A2F" w:rsidP="00B43A2F">
            <w:pPr>
              <w:jc w:val="right"/>
              <w:rPr>
                <w:rFonts w:cs="Calibri"/>
                <w:i/>
                <w:iCs/>
                <w:color w:val="000000"/>
                <w:sz w:val="18"/>
                <w:szCs w:val="18"/>
                <w:lang w:eastAsia="en-GB"/>
              </w:rPr>
            </w:pPr>
            <w:r>
              <w:rPr>
                <w:rFonts w:cs="Calibri"/>
                <w:i/>
                <w:iCs/>
                <w:color w:val="000000"/>
                <w:sz w:val="18"/>
                <w:szCs w:val="18"/>
              </w:rPr>
              <w:t>0.0</w:t>
            </w:r>
          </w:p>
        </w:tc>
      </w:tr>
      <w:tr w:rsidR="00B43A2F" w:rsidRPr="00EB2995" w:rsidTr="00B43A2F">
        <w:trPr>
          <w:gridAfter w:val="1"/>
          <w:wAfter w:w="8" w:type="dxa"/>
          <w:trHeight w:hRule="exact" w:val="397"/>
        </w:trPr>
        <w:tc>
          <w:tcPr>
            <w:tcW w:w="2835" w:type="dxa"/>
            <w:tcBorders>
              <w:top w:val="nil"/>
              <w:left w:val="single" w:sz="8" w:space="0" w:color="auto"/>
              <w:bottom w:val="single" w:sz="8" w:space="0" w:color="auto"/>
              <w:right w:val="single" w:sz="8" w:space="0" w:color="auto"/>
            </w:tcBorders>
            <w:shd w:val="clear" w:color="auto" w:fill="auto"/>
            <w:vAlign w:val="center"/>
            <w:hideMark/>
          </w:tcPr>
          <w:p w:rsidR="00B43A2F" w:rsidRPr="00EB2995" w:rsidRDefault="00B43A2F" w:rsidP="00B43A2F">
            <w:pPr>
              <w:rPr>
                <w:rFonts w:cs="Calibri"/>
                <w:color w:val="000000"/>
                <w:sz w:val="18"/>
                <w:szCs w:val="18"/>
                <w:lang w:eastAsia="en-GB"/>
              </w:rPr>
            </w:pPr>
            <w:r w:rsidRPr="00EB2995">
              <w:rPr>
                <w:rFonts w:cs="Calibri"/>
                <w:color w:val="000000"/>
                <w:sz w:val="18"/>
                <w:szCs w:val="18"/>
                <w:lang w:eastAsia="en-GB"/>
              </w:rPr>
              <w:t>Derecognition - Disposals</w:t>
            </w:r>
          </w:p>
        </w:tc>
        <w:tc>
          <w:tcPr>
            <w:tcW w:w="992" w:type="dxa"/>
            <w:tcBorders>
              <w:top w:val="nil"/>
              <w:left w:val="nil"/>
              <w:bottom w:val="single" w:sz="8" w:space="0" w:color="auto"/>
              <w:right w:val="nil"/>
            </w:tcBorders>
            <w:shd w:val="clear" w:color="auto" w:fill="auto"/>
            <w:noWrap/>
            <w:vAlign w:val="center"/>
          </w:tcPr>
          <w:p w:rsidR="00B43A2F" w:rsidRPr="00EB2995" w:rsidRDefault="00B43A2F" w:rsidP="00B43A2F">
            <w:pPr>
              <w:jc w:val="right"/>
              <w:rPr>
                <w:rFonts w:cs="Calibri"/>
                <w:color w:val="000000"/>
                <w:sz w:val="18"/>
                <w:szCs w:val="18"/>
                <w:lang w:eastAsia="en-GB"/>
              </w:rPr>
            </w:pPr>
            <w:r>
              <w:rPr>
                <w:rFonts w:cs="Calibri"/>
                <w:color w:val="000000"/>
                <w:sz w:val="18"/>
                <w:szCs w:val="18"/>
              </w:rPr>
              <w:t>(1.7)</w:t>
            </w:r>
          </w:p>
        </w:tc>
        <w:tc>
          <w:tcPr>
            <w:tcW w:w="993" w:type="dxa"/>
            <w:gridSpan w:val="2"/>
            <w:tcBorders>
              <w:top w:val="nil"/>
              <w:left w:val="single" w:sz="8" w:space="0" w:color="auto"/>
              <w:bottom w:val="single" w:sz="8" w:space="0" w:color="auto"/>
              <w:right w:val="single" w:sz="8" w:space="0" w:color="auto"/>
            </w:tcBorders>
            <w:shd w:val="clear" w:color="auto" w:fill="auto"/>
            <w:noWrap/>
            <w:vAlign w:val="center"/>
          </w:tcPr>
          <w:p w:rsidR="00B43A2F" w:rsidRPr="00EB2995" w:rsidRDefault="00B43A2F" w:rsidP="00B43A2F">
            <w:pPr>
              <w:jc w:val="right"/>
              <w:rPr>
                <w:rFonts w:cs="Calibri"/>
                <w:color w:val="000000"/>
                <w:sz w:val="18"/>
                <w:szCs w:val="18"/>
                <w:lang w:eastAsia="en-GB"/>
              </w:rPr>
            </w:pPr>
            <w:r>
              <w:rPr>
                <w:rFonts w:cs="Calibri"/>
                <w:color w:val="000000"/>
                <w:sz w:val="18"/>
                <w:szCs w:val="18"/>
              </w:rPr>
              <w:t>(0.3)</w:t>
            </w:r>
          </w:p>
        </w:tc>
        <w:tc>
          <w:tcPr>
            <w:tcW w:w="850" w:type="dxa"/>
            <w:gridSpan w:val="2"/>
            <w:tcBorders>
              <w:top w:val="nil"/>
              <w:left w:val="nil"/>
              <w:bottom w:val="single" w:sz="8" w:space="0" w:color="auto"/>
              <w:right w:val="single" w:sz="8" w:space="0" w:color="auto"/>
            </w:tcBorders>
            <w:shd w:val="clear" w:color="auto" w:fill="auto"/>
            <w:noWrap/>
            <w:vAlign w:val="center"/>
          </w:tcPr>
          <w:p w:rsidR="00B43A2F" w:rsidRPr="00EB2995" w:rsidRDefault="00B43A2F" w:rsidP="00B43A2F">
            <w:pPr>
              <w:jc w:val="right"/>
              <w:rPr>
                <w:rFonts w:cs="Calibri"/>
                <w:color w:val="000000"/>
                <w:sz w:val="18"/>
                <w:szCs w:val="18"/>
                <w:lang w:eastAsia="en-GB"/>
              </w:rPr>
            </w:pPr>
            <w:r>
              <w:rPr>
                <w:rFonts w:cs="Calibri"/>
                <w:color w:val="000000"/>
                <w:sz w:val="18"/>
                <w:szCs w:val="18"/>
              </w:rPr>
              <w:t>0.0</w:t>
            </w:r>
          </w:p>
        </w:tc>
        <w:tc>
          <w:tcPr>
            <w:tcW w:w="1134" w:type="dxa"/>
            <w:gridSpan w:val="2"/>
            <w:tcBorders>
              <w:top w:val="nil"/>
              <w:left w:val="nil"/>
              <w:bottom w:val="single" w:sz="8" w:space="0" w:color="auto"/>
              <w:right w:val="single" w:sz="8" w:space="0" w:color="auto"/>
            </w:tcBorders>
            <w:shd w:val="clear" w:color="auto" w:fill="auto"/>
            <w:noWrap/>
            <w:vAlign w:val="center"/>
          </w:tcPr>
          <w:p w:rsidR="00B43A2F" w:rsidRPr="00EB2995" w:rsidRDefault="00B43A2F" w:rsidP="00B43A2F">
            <w:pPr>
              <w:jc w:val="right"/>
              <w:rPr>
                <w:rFonts w:cs="Calibri"/>
                <w:color w:val="000000"/>
                <w:sz w:val="18"/>
                <w:szCs w:val="18"/>
                <w:lang w:eastAsia="en-GB"/>
              </w:rPr>
            </w:pPr>
            <w:r>
              <w:rPr>
                <w:rFonts w:cs="Calibri"/>
                <w:color w:val="000000"/>
                <w:sz w:val="18"/>
                <w:szCs w:val="18"/>
              </w:rPr>
              <w:t>0.0</w:t>
            </w:r>
          </w:p>
        </w:tc>
        <w:tc>
          <w:tcPr>
            <w:tcW w:w="851" w:type="dxa"/>
            <w:gridSpan w:val="2"/>
            <w:tcBorders>
              <w:top w:val="nil"/>
              <w:left w:val="nil"/>
              <w:bottom w:val="single" w:sz="8" w:space="0" w:color="auto"/>
              <w:right w:val="single" w:sz="8" w:space="0" w:color="auto"/>
            </w:tcBorders>
            <w:shd w:val="clear" w:color="auto" w:fill="auto"/>
            <w:noWrap/>
            <w:vAlign w:val="center"/>
          </w:tcPr>
          <w:p w:rsidR="00B43A2F" w:rsidRPr="00EB2995" w:rsidRDefault="00B43A2F" w:rsidP="00B43A2F">
            <w:pPr>
              <w:jc w:val="right"/>
              <w:rPr>
                <w:rFonts w:cs="Calibri"/>
                <w:color w:val="000000"/>
                <w:sz w:val="18"/>
                <w:szCs w:val="18"/>
                <w:lang w:eastAsia="en-GB"/>
              </w:rPr>
            </w:pPr>
            <w:r>
              <w:rPr>
                <w:rFonts w:cs="Calibri"/>
                <w:color w:val="000000"/>
                <w:sz w:val="18"/>
                <w:szCs w:val="18"/>
              </w:rPr>
              <w:t>0.0</w:t>
            </w:r>
          </w:p>
        </w:tc>
        <w:tc>
          <w:tcPr>
            <w:tcW w:w="1275" w:type="dxa"/>
            <w:gridSpan w:val="2"/>
            <w:tcBorders>
              <w:top w:val="nil"/>
              <w:left w:val="nil"/>
              <w:bottom w:val="single" w:sz="8" w:space="0" w:color="auto"/>
              <w:right w:val="single" w:sz="8" w:space="0" w:color="auto"/>
            </w:tcBorders>
            <w:shd w:val="clear" w:color="auto" w:fill="auto"/>
            <w:noWrap/>
            <w:vAlign w:val="center"/>
          </w:tcPr>
          <w:p w:rsidR="00B43A2F" w:rsidRPr="00EB2995" w:rsidRDefault="00B43A2F" w:rsidP="00B43A2F">
            <w:pPr>
              <w:jc w:val="right"/>
              <w:rPr>
                <w:rFonts w:cs="Calibri"/>
                <w:color w:val="000000"/>
                <w:sz w:val="18"/>
                <w:szCs w:val="18"/>
                <w:lang w:eastAsia="en-GB"/>
              </w:rPr>
            </w:pPr>
            <w:r>
              <w:rPr>
                <w:rFonts w:cs="Calibri"/>
                <w:color w:val="000000"/>
                <w:sz w:val="18"/>
                <w:szCs w:val="18"/>
              </w:rPr>
              <w:t>(0.1)</w:t>
            </w:r>
          </w:p>
        </w:tc>
        <w:tc>
          <w:tcPr>
            <w:tcW w:w="851" w:type="dxa"/>
            <w:gridSpan w:val="2"/>
            <w:tcBorders>
              <w:top w:val="nil"/>
              <w:left w:val="nil"/>
              <w:bottom w:val="single" w:sz="8" w:space="0" w:color="auto"/>
              <w:right w:val="single" w:sz="8" w:space="0" w:color="auto"/>
            </w:tcBorders>
            <w:shd w:val="clear" w:color="auto" w:fill="auto"/>
            <w:noWrap/>
            <w:vAlign w:val="center"/>
          </w:tcPr>
          <w:p w:rsidR="00B43A2F" w:rsidRPr="00EB2995" w:rsidRDefault="00B43A2F" w:rsidP="00B43A2F">
            <w:pPr>
              <w:jc w:val="right"/>
              <w:rPr>
                <w:rFonts w:cs="Calibri"/>
                <w:color w:val="000000"/>
                <w:sz w:val="18"/>
                <w:szCs w:val="18"/>
                <w:lang w:eastAsia="en-GB"/>
              </w:rPr>
            </w:pPr>
            <w:r>
              <w:rPr>
                <w:rFonts w:cs="Calibri"/>
                <w:color w:val="000000"/>
                <w:sz w:val="18"/>
                <w:szCs w:val="18"/>
              </w:rPr>
              <w:t>(2.1)</w:t>
            </w:r>
          </w:p>
        </w:tc>
        <w:tc>
          <w:tcPr>
            <w:tcW w:w="850" w:type="dxa"/>
            <w:gridSpan w:val="2"/>
            <w:tcBorders>
              <w:top w:val="nil"/>
              <w:left w:val="nil"/>
              <w:bottom w:val="single" w:sz="8" w:space="0" w:color="auto"/>
              <w:right w:val="single" w:sz="8" w:space="0" w:color="auto"/>
            </w:tcBorders>
            <w:shd w:val="clear" w:color="auto" w:fill="auto"/>
            <w:noWrap/>
            <w:vAlign w:val="center"/>
          </w:tcPr>
          <w:p w:rsidR="00B43A2F" w:rsidRPr="00EB2995" w:rsidRDefault="00B43A2F" w:rsidP="00B43A2F">
            <w:pPr>
              <w:jc w:val="right"/>
              <w:rPr>
                <w:rFonts w:cs="Calibri"/>
                <w:i/>
                <w:iCs/>
                <w:color w:val="000000"/>
                <w:sz w:val="18"/>
                <w:szCs w:val="18"/>
                <w:lang w:eastAsia="en-GB"/>
              </w:rPr>
            </w:pPr>
            <w:r>
              <w:rPr>
                <w:rFonts w:cs="Calibri"/>
                <w:i/>
                <w:iCs/>
                <w:color w:val="000000"/>
                <w:sz w:val="18"/>
                <w:szCs w:val="18"/>
              </w:rPr>
              <w:t>0.0</w:t>
            </w:r>
          </w:p>
        </w:tc>
      </w:tr>
      <w:tr w:rsidR="00B43A2F" w:rsidRPr="00EB2995" w:rsidTr="00B43A2F">
        <w:trPr>
          <w:gridAfter w:val="1"/>
          <w:wAfter w:w="8" w:type="dxa"/>
          <w:trHeight w:hRule="exact" w:val="592"/>
        </w:trPr>
        <w:tc>
          <w:tcPr>
            <w:tcW w:w="2835" w:type="dxa"/>
            <w:tcBorders>
              <w:top w:val="nil"/>
              <w:left w:val="single" w:sz="8" w:space="0" w:color="auto"/>
              <w:bottom w:val="single" w:sz="8" w:space="0" w:color="auto"/>
              <w:right w:val="single" w:sz="8" w:space="0" w:color="auto"/>
            </w:tcBorders>
            <w:shd w:val="clear" w:color="auto" w:fill="auto"/>
            <w:vAlign w:val="center"/>
            <w:hideMark/>
          </w:tcPr>
          <w:p w:rsidR="00B43A2F" w:rsidRPr="00EB2995" w:rsidRDefault="00B43A2F" w:rsidP="00B43A2F">
            <w:pPr>
              <w:rPr>
                <w:rFonts w:cs="Calibri"/>
                <w:color w:val="000000"/>
                <w:sz w:val="18"/>
                <w:szCs w:val="18"/>
                <w:lang w:eastAsia="en-GB"/>
              </w:rPr>
            </w:pPr>
            <w:r w:rsidRPr="00EB2995">
              <w:rPr>
                <w:rFonts w:cs="Calibri"/>
                <w:color w:val="000000"/>
                <w:sz w:val="18"/>
                <w:szCs w:val="18"/>
                <w:lang w:eastAsia="en-GB"/>
              </w:rPr>
              <w:t>Reclassifications (to/from Assets Held for Sale)</w:t>
            </w:r>
          </w:p>
        </w:tc>
        <w:tc>
          <w:tcPr>
            <w:tcW w:w="992" w:type="dxa"/>
            <w:tcBorders>
              <w:top w:val="nil"/>
              <w:left w:val="nil"/>
              <w:bottom w:val="single" w:sz="8" w:space="0" w:color="auto"/>
              <w:right w:val="nil"/>
            </w:tcBorders>
            <w:shd w:val="clear" w:color="auto" w:fill="auto"/>
            <w:noWrap/>
            <w:vAlign w:val="center"/>
          </w:tcPr>
          <w:p w:rsidR="00B43A2F" w:rsidRPr="00EB2995" w:rsidRDefault="00B43A2F" w:rsidP="00B43A2F">
            <w:pPr>
              <w:jc w:val="right"/>
              <w:rPr>
                <w:rFonts w:cs="Calibri"/>
                <w:color w:val="000000"/>
                <w:sz w:val="18"/>
                <w:szCs w:val="18"/>
                <w:lang w:eastAsia="en-GB"/>
              </w:rPr>
            </w:pPr>
            <w:r>
              <w:rPr>
                <w:rFonts w:cs="Calibri"/>
                <w:color w:val="000000"/>
                <w:sz w:val="18"/>
                <w:szCs w:val="18"/>
              </w:rPr>
              <w:t>0.0</w:t>
            </w:r>
          </w:p>
        </w:tc>
        <w:tc>
          <w:tcPr>
            <w:tcW w:w="993" w:type="dxa"/>
            <w:gridSpan w:val="2"/>
            <w:tcBorders>
              <w:top w:val="nil"/>
              <w:left w:val="single" w:sz="8" w:space="0" w:color="auto"/>
              <w:bottom w:val="single" w:sz="8" w:space="0" w:color="auto"/>
              <w:right w:val="single" w:sz="8" w:space="0" w:color="auto"/>
            </w:tcBorders>
            <w:shd w:val="clear" w:color="auto" w:fill="auto"/>
            <w:noWrap/>
            <w:vAlign w:val="center"/>
          </w:tcPr>
          <w:p w:rsidR="00B43A2F" w:rsidRPr="00EB2995" w:rsidRDefault="00B43A2F" w:rsidP="00B43A2F">
            <w:pPr>
              <w:jc w:val="right"/>
              <w:rPr>
                <w:rFonts w:cs="Calibri"/>
                <w:color w:val="000000"/>
                <w:sz w:val="18"/>
                <w:szCs w:val="18"/>
                <w:lang w:eastAsia="en-GB"/>
              </w:rPr>
            </w:pPr>
            <w:r>
              <w:rPr>
                <w:rFonts w:cs="Calibri"/>
                <w:color w:val="000000"/>
                <w:sz w:val="18"/>
                <w:szCs w:val="18"/>
              </w:rPr>
              <w:t>0.0</w:t>
            </w:r>
          </w:p>
        </w:tc>
        <w:tc>
          <w:tcPr>
            <w:tcW w:w="850" w:type="dxa"/>
            <w:gridSpan w:val="2"/>
            <w:tcBorders>
              <w:top w:val="nil"/>
              <w:left w:val="nil"/>
              <w:bottom w:val="single" w:sz="8" w:space="0" w:color="auto"/>
              <w:right w:val="single" w:sz="8" w:space="0" w:color="auto"/>
            </w:tcBorders>
            <w:shd w:val="clear" w:color="auto" w:fill="auto"/>
            <w:noWrap/>
            <w:vAlign w:val="center"/>
          </w:tcPr>
          <w:p w:rsidR="00B43A2F" w:rsidRPr="00EB2995" w:rsidRDefault="00B43A2F" w:rsidP="00B43A2F">
            <w:pPr>
              <w:jc w:val="right"/>
              <w:rPr>
                <w:rFonts w:cs="Calibri"/>
                <w:color w:val="000000"/>
                <w:sz w:val="18"/>
                <w:szCs w:val="18"/>
                <w:lang w:eastAsia="en-GB"/>
              </w:rPr>
            </w:pPr>
            <w:r>
              <w:rPr>
                <w:rFonts w:cs="Calibri"/>
                <w:color w:val="000000"/>
                <w:sz w:val="18"/>
                <w:szCs w:val="18"/>
              </w:rPr>
              <w:t>0.0</w:t>
            </w:r>
          </w:p>
        </w:tc>
        <w:tc>
          <w:tcPr>
            <w:tcW w:w="1134" w:type="dxa"/>
            <w:gridSpan w:val="2"/>
            <w:tcBorders>
              <w:top w:val="nil"/>
              <w:left w:val="nil"/>
              <w:bottom w:val="single" w:sz="8" w:space="0" w:color="auto"/>
              <w:right w:val="single" w:sz="8" w:space="0" w:color="auto"/>
            </w:tcBorders>
            <w:shd w:val="clear" w:color="auto" w:fill="auto"/>
            <w:noWrap/>
            <w:vAlign w:val="center"/>
          </w:tcPr>
          <w:p w:rsidR="00B43A2F" w:rsidRPr="00EB2995" w:rsidRDefault="00B43A2F" w:rsidP="00B43A2F">
            <w:pPr>
              <w:jc w:val="right"/>
              <w:rPr>
                <w:rFonts w:cs="Calibri"/>
                <w:color w:val="000000"/>
                <w:sz w:val="18"/>
                <w:szCs w:val="18"/>
                <w:lang w:eastAsia="en-GB"/>
              </w:rPr>
            </w:pPr>
            <w:r>
              <w:rPr>
                <w:rFonts w:cs="Calibri"/>
                <w:color w:val="000000"/>
                <w:sz w:val="18"/>
                <w:szCs w:val="18"/>
              </w:rPr>
              <w:t>0.0</w:t>
            </w:r>
          </w:p>
        </w:tc>
        <w:tc>
          <w:tcPr>
            <w:tcW w:w="851" w:type="dxa"/>
            <w:gridSpan w:val="2"/>
            <w:tcBorders>
              <w:top w:val="nil"/>
              <w:left w:val="nil"/>
              <w:bottom w:val="single" w:sz="8" w:space="0" w:color="auto"/>
              <w:right w:val="single" w:sz="8" w:space="0" w:color="auto"/>
            </w:tcBorders>
            <w:shd w:val="clear" w:color="auto" w:fill="auto"/>
            <w:noWrap/>
            <w:vAlign w:val="center"/>
          </w:tcPr>
          <w:p w:rsidR="00B43A2F" w:rsidRPr="00EB2995" w:rsidRDefault="00B43A2F" w:rsidP="00B43A2F">
            <w:pPr>
              <w:jc w:val="right"/>
              <w:rPr>
                <w:rFonts w:cs="Calibri"/>
                <w:color w:val="000000"/>
                <w:sz w:val="18"/>
                <w:szCs w:val="18"/>
                <w:lang w:eastAsia="en-GB"/>
              </w:rPr>
            </w:pPr>
            <w:r>
              <w:rPr>
                <w:rFonts w:cs="Calibri"/>
                <w:color w:val="000000"/>
                <w:sz w:val="18"/>
                <w:szCs w:val="18"/>
              </w:rPr>
              <w:t>0.0</w:t>
            </w:r>
          </w:p>
        </w:tc>
        <w:tc>
          <w:tcPr>
            <w:tcW w:w="1275" w:type="dxa"/>
            <w:gridSpan w:val="2"/>
            <w:tcBorders>
              <w:top w:val="nil"/>
              <w:left w:val="nil"/>
              <w:bottom w:val="single" w:sz="8" w:space="0" w:color="auto"/>
              <w:right w:val="single" w:sz="8" w:space="0" w:color="auto"/>
            </w:tcBorders>
            <w:shd w:val="clear" w:color="auto" w:fill="auto"/>
            <w:noWrap/>
            <w:vAlign w:val="center"/>
          </w:tcPr>
          <w:p w:rsidR="00B43A2F" w:rsidRPr="00EB2995" w:rsidRDefault="00B43A2F" w:rsidP="00B43A2F">
            <w:pPr>
              <w:jc w:val="right"/>
              <w:rPr>
                <w:rFonts w:cs="Calibri"/>
                <w:color w:val="000000"/>
                <w:sz w:val="18"/>
                <w:szCs w:val="18"/>
                <w:lang w:eastAsia="en-GB"/>
              </w:rPr>
            </w:pPr>
            <w:r>
              <w:rPr>
                <w:rFonts w:cs="Calibri"/>
                <w:color w:val="000000"/>
                <w:sz w:val="18"/>
                <w:szCs w:val="18"/>
              </w:rPr>
              <w:t>0.0</w:t>
            </w:r>
          </w:p>
        </w:tc>
        <w:tc>
          <w:tcPr>
            <w:tcW w:w="851" w:type="dxa"/>
            <w:gridSpan w:val="2"/>
            <w:tcBorders>
              <w:top w:val="nil"/>
              <w:left w:val="nil"/>
              <w:bottom w:val="single" w:sz="8" w:space="0" w:color="auto"/>
              <w:right w:val="single" w:sz="8" w:space="0" w:color="auto"/>
            </w:tcBorders>
            <w:shd w:val="clear" w:color="auto" w:fill="auto"/>
            <w:noWrap/>
            <w:vAlign w:val="center"/>
          </w:tcPr>
          <w:p w:rsidR="00B43A2F" w:rsidRPr="00EB2995" w:rsidRDefault="00B43A2F" w:rsidP="00B43A2F">
            <w:pPr>
              <w:jc w:val="right"/>
              <w:rPr>
                <w:rFonts w:cs="Calibri"/>
                <w:color w:val="000000"/>
                <w:sz w:val="18"/>
                <w:szCs w:val="18"/>
                <w:lang w:eastAsia="en-GB"/>
              </w:rPr>
            </w:pPr>
            <w:r>
              <w:rPr>
                <w:rFonts w:cs="Calibri"/>
                <w:color w:val="000000"/>
                <w:sz w:val="18"/>
                <w:szCs w:val="18"/>
              </w:rPr>
              <w:t>0.0</w:t>
            </w:r>
          </w:p>
        </w:tc>
        <w:tc>
          <w:tcPr>
            <w:tcW w:w="850" w:type="dxa"/>
            <w:gridSpan w:val="2"/>
            <w:tcBorders>
              <w:top w:val="nil"/>
              <w:left w:val="nil"/>
              <w:bottom w:val="single" w:sz="8" w:space="0" w:color="auto"/>
              <w:right w:val="single" w:sz="8" w:space="0" w:color="auto"/>
            </w:tcBorders>
            <w:shd w:val="clear" w:color="auto" w:fill="auto"/>
            <w:noWrap/>
            <w:vAlign w:val="center"/>
          </w:tcPr>
          <w:p w:rsidR="00B43A2F" w:rsidRPr="00EB2995" w:rsidRDefault="00B43A2F" w:rsidP="00B43A2F">
            <w:pPr>
              <w:jc w:val="right"/>
              <w:rPr>
                <w:rFonts w:cs="Calibri"/>
                <w:i/>
                <w:iCs/>
                <w:color w:val="000000"/>
                <w:sz w:val="18"/>
                <w:szCs w:val="18"/>
                <w:lang w:eastAsia="en-GB"/>
              </w:rPr>
            </w:pPr>
            <w:r>
              <w:rPr>
                <w:rFonts w:cs="Calibri"/>
                <w:i/>
                <w:iCs/>
                <w:color w:val="000000"/>
                <w:sz w:val="18"/>
                <w:szCs w:val="18"/>
              </w:rPr>
              <w:t>0.0</w:t>
            </w:r>
          </w:p>
        </w:tc>
      </w:tr>
      <w:tr w:rsidR="00B43A2F" w:rsidRPr="00EB2995" w:rsidTr="00B43A2F">
        <w:trPr>
          <w:gridAfter w:val="1"/>
          <w:wAfter w:w="8" w:type="dxa"/>
          <w:trHeight w:hRule="exact" w:val="559"/>
        </w:trPr>
        <w:tc>
          <w:tcPr>
            <w:tcW w:w="2835" w:type="dxa"/>
            <w:tcBorders>
              <w:top w:val="nil"/>
              <w:left w:val="single" w:sz="8" w:space="0" w:color="auto"/>
              <w:bottom w:val="single" w:sz="8" w:space="0" w:color="auto"/>
              <w:right w:val="single" w:sz="8" w:space="0" w:color="auto"/>
            </w:tcBorders>
            <w:shd w:val="clear" w:color="auto" w:fill="auto"/>
            <w:vAlign w:val="center"/>
            <w:hideMark/>
          </w:tcPr>
          <w:p w:rsidR="00B43A2F" w:rsidRPr="00EB2995" w:rsidRDefault="00B43A2F" w:rsidP="00B43A2F">
            <w:pPr>
              <w:rPr>
                <w:rFonts w:cs="Calibri"/>
                <w:color w:val="000000"/>
                <w:sz w:val="18"/>
                <w:szCs w:val="18"/>
                <w:lang w:eastAsia="en-GB"/>
              </w:rPr>
            </w:pPr>
            <w:r w:rsidRPr="00EB2995">
              <w:rPr>
                <w:rFonts w:cs="Calibri"/>
                <w:color w:val="000000"/>
                <w:sz w:val="18"/>
                <w:szCs w:val="18"/>
                <w:lang w:eastAsia="en-GB"/>
              </w:rPr>
              <w:t>Other movements in Cost or Valuations</w:t>
            </w:r>
          </w:p>
        </w:tc>
        <w:tc>
          <w:tcPr>
            <w:tcW w:w="992" w:type="dxa"/>
            <w:tcBorders>
              <w:top w:val="nil"/>
              <w:left w:val="nil"/>
              <w:bottom w:val="single" w:sz="8" w:space="0" w:color="auto"/>
              <w:right w:val="nil"/>
            </w:tcBorders>
            <w:shd w:val="clear" w:color="auto" w:fill="auto"/>
            <w:noWrap/>
            <w:vAlign w:val="center"/>
          </w:tcPr>
          <w:p w:rsidR="00B43A2F" w:rsidRPr="00EB2995" w:rsidRDefault="00B43A2F" w:rsidP="00B43A2F">
            <w:pPr>
              <w:jc w:val="right"/>
              <w:rPr>
                <w:rFonts w:cs="Calibri"/>
                <w:color w:val="000000"/>
                <w:sz w:val="18"/>
                <w:szCs w:val="18"/>
                <w:lang w:eastAsia="en-GB"/>
              </w:rPr>
            </w:pPr>
            <w:r>
              <w:rPr>
                <w:rFonts w:cs="Calibri"/>
                <w:color w:val="000000"/>
                <w:sz w:val="18"/>
                <w:szCs w:val="18"/>
              </w:rPr>
              <w:t>10.0</w:t>
            </w:r>
          </w:p>
        </w:tc>
        <w:tc>
          <w:tcPr>
            <w:tcW w:w="993" w:type="dxa"/>
            <w:gridSpan w:val="2"/>
            <w:tcBorders>
              <w:top w:val="nil"/>
              <w:left w:val="single" w:sz="8" w:space="0" w:color="auto"/>
              <w:bottom w:val="single" w:sz="8" w:space="0" w:color="auto"/>
              <w:right w:val="single" w:sz="8" w:space="0" w:color="auto"/>
            </w:tcBorders>
            <w:shd w:val="clear" w:color="auto" w:fill="auto"/>
            <w:noWrap/>
            <w:vAlign w:val="center"/>
          </w:tcPr>
          <w:p w:rsidR="00B43A2F" w:rsidRPr="00EB2995" w:rsidRDefault="00B43A2F" w:rsidP="00B43A2F">
            <w:pPr>
              <w:jc w:val="right"/>
              <w:rPr>
                <w:rFonts w:cs="Calibri"/>
                <w:color w:val="000000"/>
                <w:sz w:val="18"/>
                <w:szCs w:val="18"/>
                <w:lang w:eastAsia="en-GB"/>
              </w:rPr>
            </w:pPr>
            <w:r>
              <w:rPr>
                <w:rFonts w:cs="Calibri"/>
                <w:color w:val="000000"/>
                <w:sz w:val="18"/>
                <w:szCs w:val="18"/>
              </w:rPr>
              <w:t>1.9</w:t>
            </w:r>
          </w:p>
        </w:tc>
        <w:tc>
          <w:tcPr>
            <w:tcW w:w="850" w:type="dxa"/>
            <w:gridSpan w:val="2"/>
            <w:tcBorders>
              <w:top w:val="nil"/>
              <w:left w:val="nil"/>
              <w:bottom w:val="single" w:sz="8" w:space="0" w:color="auto"/>
              <w:right w:val="single" w:sz="8" w:space="0" w:color="auto"/>
            </w:tcBorders>
            <w:shd w:val="clear" w:color="auto" w:fill="auto"/>
            <w:noWrap/>
            <w:vAlign w:val="center"/>
          </w:tcPr>
          <w:p w:rsidR="00B43A2F" w:rsidRPr="00EB2995" w:rsidRDefault="00B43A2F" w:rsidP="00B43A2F">
            <w:pPr>
              <w:jc w:val="right"/>
              <w:rPr>
                <w:rFonts w:cs="Calibri"/>
                <w:color w:val="000000"/>
                <w:sz w:val="18"/>
                <w:szCs w:val="18"/>
                <w:lang w:eastAsia="en-GB"/>
              </w:rPr>
            </w:pPr>
            <w:r>
              <w:rPr>
                <w:rFonts w:cs="Calibri"/>
                <w:color w:val="000000"/>
                <w:sz w:val="18"/>
                <w:szCs w:val="18"/>
              </w:rPr>
              <w:t>0.0</w:t>
            </w:r>
          </w:p>
        </w:tc>
        <w:tc>
          <w:tcPr>
            <w:tcW w:w="1134" w:type="dxa"/>
            <w:gridSpan w:val="2"/>
            <w:tcBorders>
              <w:top w:val="nil"/>
              <w:left w:val="nil"/>
              <w:bottom w:val="single" w:sz="8" w:space="0" w:color="auto"/>
              <w:right w:val="single" w:sz="8" w:space="0" w:color="auto"/>
            </w:tcBorders>
            <w:shd w:val="clear" w:color="auto" w:fill="auto"/>
            <w:noWrap/>
            <w:vAlign w:val="center"/>
          </w:tcPr>
          <w:p w:rsidR="00B43A2F" w:rsidRPr="00EB2995" w:rsidRDefault="00B43A2F" w:rsidP="00B43A2F">
            <w:pPr>
              <w:jc w:val="right"/>
              <w:rPr>
                <w:rFonts w:cs="Calibri"/>
                <w:color w:val="000000"/>
                <w:sz w:val="18"/>
                <w:szCs w:val="18"/>
                <w:lang w:eastAsia="en-GB"/>
              </w:rPr>
            </w:pPr>
            <w:r>
              <w:rPr>
                <w:rFonts w:cs="Calibri"/>
                <w:color w:val="000000"/>
                <w:sz w:val="18"/>
                <w:szCs w:val="18"/>
              </w:rPr>
              <w:t>0.0</w:t>
            </w:r>
          </w:p>
        </w:tc>
        <w:tc>
          <w:tcPr>
            <w:tcW w:w="851" w:type="dxa"/>
            <w:gridSpan w:val="2"/>
            <w:tcBorders>
              <w:top w:val="nil"/>
              <w:left w:val="nil"/>
              <w:bottom w:val="single" w:sz="8" w:space="0" w:color="auto"/>
              <w:right w:val="single" w:sz="8" w:space="0" w:color="auto"/>
            </w:tcBorders>
            <w:shd w:val="clear" w:color="auto" w:fill="auto"/>
            <w:noWrap/>
            <w:vAlign w:val="center"/>
          </w:tcPr>
          <w:p w:rsidR="00B43A2F" w:rsidRPr="00EB2995" w:rsidRDefault="00B43A2F" w:rsidP="00B43A2F">
            <w:pPr>
              <w:jc w:val="right"/>
              <w:rPr>
                <w:rFonts w:cs="Calibri"/>
                <w:color w:val="000000"/>
                <w:sz w:val="18"/>
                <w:szCs w:val="18"/>
                <w:lang w:eastAsia="en-GB"/>
              </w:rPr>
            </w:pPr>
            <w:r>
              <w:rPr>
                <w:rFonts w:cs="Calibri"/>
                <w:color w:val="000000"/>
                <w:sz w:val="18"/>
                <w:szCs w:val="18"/>
              </w:rPr>
              <w:t>0.0</w:t>
            </w:r>
          </w:p>
        </w:tc>
        <w:tc>
          <w:tcPr>
            <w:tcW w:w="1275" w:type="dxa"/>
            <w:gridSpan w:val="2"/>
            <w:tcBorders>
              <w:top w:val="nil"/>
              <w:left w:val="nil"/>
              <w:bottom w:val="single" w:sz="8" w:space="0" w:color="auto"/>
              <w:right w:val="single" w:sz="8" w:space="0" w:color="auto"/>
            </w:tcBorders>
            <w:shd w:val="clear" w:color="auto" w:fill="auto"/>
            <w:noWrap/>
            <w:vAlign w:val="center"/>
          </w:tcPr>
          <w:p w:rsidR="00B43A2F" w:rsidRPr="00EB2995" w:rsidRDefault="00B43A2F" w:rsidP="00B43A2F">
            <w:pPr>
              <w:jc w:val="right"/>
              <w:rPr>
                <w:rFonts w:cs="Calibri"/>
                <w:color w:val="000000"/>
                <w:sz w:val="18"/>
                <w:szCs w:val="18"/>
                <w:lang w:eastAsia="en-GB"/>
              </w:rPr>
            </w:pPr>
            <w:r>
              <w:rPr>
                <w:rFonts w:cs="Calibri"/>
                <w:color w:val="000000"/>
                <w:sz w:val="18"/>
                <w:szCs w:val="18"/>
              </w:rPr>
              <w:t>(11.9)</w:t>
            </w:r>
          </w:p>
        </w:tc>
        <w:tc>
          <w:tcPr>
            <w:tcW w:w="851" w:type="dxa"/>
            <w:gridSpan w:val="2"/>
            <w:tcBorders>
              <w:top w:val="nil"/>
              <w:left w:val="nil"/>
              <w:bottom w:val="single" w:sz="8" w:space="0" w:color="auto"/>
              <w:right w:val="single" w:sz="8" w:space="0" w:color="auto"/>
            </w:tcBorders>
            <w:shd w:val="clear" w:color="auto" w:fill="auto"/>
            <w:noWrap/>
            <w:vAlign w:val="center"/>
          </w:tcPr>
          <w:p w:rsidR="00B43A2F" w:rsidRPr="00EB2995" w:rsidRDefault="00B43A2F" w:rsidP="00B43A2F">
            <w:pPr>
              <w:jc w:val="right"/>
              <w:rPr>
                <w:rFonts w:cs="Calibri"/>
                <w:color w:val="000000"/>
                <w:sz w:val="18"/>
                <w:szCs w:val="18"/>
                <w:lang w:eastAsia="en-GB"/>
              </w:rPr>
            </w:pPr>
            <w:r>
              <w:rPr>
                <w:rFonts w:cs="Calibri"/>
                <w:color w:val="000000"/>
                <w:sz w:val="18"/>
                <w:szCs w:val="18"/>
              </w:rPr>
              <w:t>0.0</w:t>
            </w:r>
          </w:p>
        </w:tc>
        <w:tc>
          <w:tcPr>
            <w:tcW w:w="850" w:type="dxa"/>
            <w:gridSpan w:val="2"/>
            <w:tcBorders>
              <w:top w:val="nil"/>
              <w:left w:val="nil"/>
              <w:bottom w:val="single" w:sz="8" w:space="0" w:color="auto"/>
              <w:right w:val="single" w:sz="8" w:space="0" w:color="auto"/>
            </w:tcBorders>
            <w:shd w:val="clear" w:color="auto" w:fill="auto"/>
            <w:noWrap/>
            <w:vAlign w:val="center"/>
          </w:tcPr>
          <w:p w:rsidR="00B43A2F" w:rsidRPr="00EB2995" w:rsidRDefault="00B43A2F" w:rsidP="00B43A2F">
            <w:pPr>
              <w:jc w:val="right"/>
              <w:rPr>
                <w:rFonts w:cs="Calibri"/>
                <w:i/>
                <w:iCs/>
                <w:color w:val="000000"/>
                <w:sz w:val="18"/>
                <w:szCs w:val="18"/>
                <w:lang w:eastAsia="en-GB"/>
              </w:rPr>
            </w:pPr>
            <w:r>
              <w:rPr>
                <w:rFonts w:cs="Calibri"/>
                <w:i/>
                <w:iCs/>
                <w:color w:val="000000"/>
                <w:sz w:val="18"/>
                <w:szCs w:val="18"/>
              </w:rPr>
              <w:t>0.0</w:t>
            </w:r>
          </w:p>
        </w:tc>
      </w:tr>
      <w:tr w:rsidR="00B43A2F" w:rsidRPr="00EB2995" w:rsidTr="00B43A2F">
        <w:trPr>
          <w:gridAfter w:val="1"/>
          <w:wAfter w:w="8" w:type="dxa"/>
          <w:trHeight w:hRule="exact" w:val="397"/>
        </w:trPr>
        <w:tc>
          <w:tcPr>
            <w:tcW w:w="2835" w:type="dxa"/>
            <w:tcBorders>
              <w:top w:val="nil"/>
              <w:left w:val="single" w:sz="8" w:space="0" w:color="auto"/>
              <w:bottom w:val="single" w:sz="8" w:space="0" w:color="auto"/>
              <w:right w:val="single" w:sz="8" w:space="0" w:color="auto"/>
            </w:tcBorders>
            <w:shd w:val="clear" w:color="auto" w:fill="auto"/>
            <w:vAlign w:val="center"/>
            <w:hideMark/>
          </w:tcPr>
          <w:p w:rsidR="00B43A2F" w:rsidRPr="00EB2995" w:rsidRDefault="00B43A2F" w:rsidP="00B43A2F">
            <w:pPr>
              <w:rPr>
                <w:rFonts w:cs="Calibri"/>
                <w:b/>
                <w:bCs/>
                <w:color w:val="000000"/>
                <w:sz w:val="18"/>
                <w:szCs w:val="18"/>
                <w:lang w:eastAsia="en-GB"/>
              </w:rPr>
            </w:pPr>
            <w:r w:rsidRPr="00EB2995">
              <w:rPr>
                <w:rFonts w:cs="Calibri"/>
                <w:b/>
                <w:bCs/>
                <w:color w:val="000000"/>
                <w:sz w:val="18"/>
                <w:szCs w:val="18"/>
                <w:lang w:eastAsia="en-GB"/>
              </w:rPr>
              <w:t>At 31 March 2020</w:t>
            </w:r>
          </w:p>
        </w:tc>
        <w:tc>
          <w:tcPr>
            <w:tcW w:w="992" w:type="dxa"/>
            <w:tcBorders>
              <w:top w:val="nil"/>
              <w:left w:val="nil"/>
              <w:bottom w:val="single" w:sz="8" w:space="0" w:color="auto"/>
              <w:right w:val="nil"/>
            </w:tcBorders>
            <w:shd w:val="clear" w:color="auto" w:fill="auto"/>
            <w:noWrap/>
            <w:vAlign w:val="center"/>
          </w:tcPr>
          <w:p w:rsidR="00B43A2F" w:rsidRPr="00EB2995" w:rsidRDefault="00B43A2F" w:rsidP="00B43A2F">
            <w:pPr>
              <w:jc w:val="right"/>
              <w:rPr>
                <w:rFonts w:cs="Calibri"/>
                <w:b/>
                <w:bCs/>
                <w:color w:val="000000"/>
                <w:sz w:val="18"/>
                <w:szCs w:val="18"/>
                <w:lang w:eastAsia="en-GB"/>
              </w:rPr>
            </w:pPr>
            <w:r>
              <w:rPr>
                <w:rFonts w:cs="Calibri"/>
                <w:b/>
                <w:bCs/>
                <w:color w:val="000000"/>
                <w:sz w:val="18"/>
                <w:szCs w:val="18"/>
              </w:rPr>
              <w:t>626.0</w:t>
            </w:r>
          </w:p>
        </w:tc>
        <w:tc>
          <w:tcPr>
            <w:tcW w:w="993" w:type="dxa"/>
            <w:gridSpan w:val="2"/>
            <w:tcBorders>
              <w:top w:val="nil"/>
              <w:left w:val="single" w:sz="8" w:space="0" w:color="auto"/>
              <w:bottom w:val="single" w:sz="8" w:space="0" w:color="auto"/>
              <w:right w:val="single" w:sz="8" w:space="0" w:color="auto"/>
            </w:tcBorders>
            <w:shd w:val="clear" w:color="auto" w:fill="auto"/>
            <w:noWrap/>
            <w:vAlign w:val="center"/>
          </w:tcPr>
          <w:p w:rsidR="00B43A2F" w:rsidRPr="00EB2995" w:rsidRDefault="00EA2048" w:rsidP="00B43A2F">
            <w:pPr>
              <w:jc w:val="right"/>
              <w:rPr>
                <w:rFonts w:cs="Calibri"/>
                <w:b/>
                <w:bCs/>
                <w:color w:val="000000"/>
                <w:sz w:val="18"/>
                <w:szCs w:val="18"/>
                <w:lang w:eastAsia="en-GB"/>
              </w:rPr>
            </w:pPr>
            <w:r>
              <w:rPr>
                <w:rFonts w:cs="Calibri"/>
                <w:b/>
                <w:bCs/>
                <w:color w:val="000000"/>
                <w:sz w:val="18"/>
                <w:szCs w:val="18"/>
              </w:rPr>
              <w:t>1,007.7</w:t>
            </w:r>
          </w:p>
        </w:tc>
        <w:tc>
          <w:tcPr>
            <w:tcW w:w="850" w:type="dxa"/>
            <w:gridSpan w:val="2"/>
            <w:tcBorders>
              <w:top w:val="nil"/>
              <w:left w:val="nil"/>
              <w:bottom w:val="single" w:sz="8" w:space="0" w:color="auto"/>
              <w:right w:val="single" w:sz="8" w:space="0" w:color="auto"/>
            </w:tcBorders>
            <w:shd w:val="clear" w:color="auto" w:fill="auto"/>
            <w:noWrap/>
            <w:vAlign w:val="center"/>
          </w:tcPr>
          <w:p w:rsidR="00B43A2F" w:rsidRPr="00EB2995" w:rsidRDefault="00B43A2F" w:rsidP="00B43A2F">
            <w:pPr>
              <w:jc w:val="right"/>
              <w:rPr>
                <w:rFonts w:cs="Calibri"/>
                <w:b/>
                <w:bCs/>
                <w:color w:val="000000"/>
                <w:sz w:val="18"/>
                <w:szCs w:val="18"/>
                <w:lang w:eastAsia="en-GB"/>
              </w:rPr>
            </w:pPr>
            <w:r>
              <w:rPr>
                <w:rFonts w:cs="Calibri"/>
                <w:b/>
                <w:bCs/>
                <w:color w:val="000000"/>
                <w:sz w:val="18"/>
                <w:szCs w:val="18"/>
              </w:rPr>
              <w:t>55.2</w:t>
            </w:r>
          </w:p>
        </w:tc>
        <w:tc>
          <w:tcPr>
            <w:tcW w:w="1134" w:type="dxa"/>
            <w:gridSpan w:val="2"/>
            <w:tcBorders>
              <w:top w:val="nil"/>
              <w:left w:val="nil"/>
              <w:bottom w:val="single" w:sz="8" w:space="0" w:color="auto"/>
              <w:right w:val="single" w:sz="8" w:space="0" w:color="auto"/>
            </w:tcBorders>
            <w:shd w:val="clear" w:color="auto" w:fill="auto"/>
            <w:noWrap/>
            <w:vAlign w:val="center"/>
          </w:tcPr>
          <w:p w:rsidR="00B43A2F" w:rsidRPr="00EB2995" w:rsidRDefault="00B43A2F" w:rsidP="00B43A2F">
            <w:pPr>
              <w:jc w:val="right"/>
              <w:rPr>
                <w:rFonts w:cs="Calibri"/>
                <w:b/>
                <w:bCs/>
                <w:color w:val="000000"/>
                <w:sz w:val="18"/>
                <w:szCs w:val="18"/>
                <w:lang w:eastAsia="en-GB"/>
              </w:rPr>
            </w:pPr>
            <w:r>
              <w:rPr>
                <w:rFonts w:cs="Calibri"/>
                <w:b/>
                <w:bCs/>
                <w:color w:val="000000"/>
                <w:sz w:val="18"/>
                <w:szCs w:val="18"/>
              </w:rPr>
              <w:t>291.5</w:t>
            </w:r>
          </w:p>
        </w:tc>
        <w:tc>
          <w:tcPr>
            <w:tcW w:w="851" w:type="dxa"/>
            <w:gridSpan w:val="2"/>
            <w:tcBorders>
              <w:top w:val="nil"/>
              <w:left w:val="nil"/>
              <w:bottom w:val="single" w:sz="8" w:space="0" w:color="auto"/>
              <w:right w:val="single" w:sz="8" w:space="0" w:color="auto"/>
            </w:tcBorders>
            <w:shd w:val="clear" w:color="auto" w:fill="auto"/>
            <w:noWrap/>
            <w:vAlign w:val="center"/>
          </w:tcPr>
          <w:p w:rsidR="00B43A2F" w:rsidRPr="00EB2995" w:rsidRDefault="00B43A2F" w:rsidP="00B43A2F">
            <w:pPr>
              <w:jc w:val="right"/>
              <w:rPr>
                <w:rFonts w:cs="Calibri"/>
                <w:b/>
                <w:bCs/>
                <w:color w:val="000000"/>
                <w:sz w:val="18"/>
                <w:szCs w:val="18"/>
                <w:lang w:eastAsia="en-GB"/>
              </w:rPr>
            </w:pPr>
            <w:r>
              <w:rPr>
                <w:rFonts w:cs="Calibri"/>
                <w:b/>
                <w:bCs/>
                <w:color w:val="000000"/>
                <w:sz w:val="18"/>
                <w:szCs w:val="18"/>
              </w:rPr>
              <w:t>8.2</w:t>
            </w:r>
          </w:p>
        </w:tc>
        <w:tc>
          <w:tcPr>
            <w:tcW w:w="1275" w:type="dxa"/>
            <w:gridSpan w:val="2"/>
            <w:tcBorders>
              <w:top w:val="nil"/>
              <w:left w:val="nil"/>
              <w:bottom w:val="single" w:sz="8" w:space="0" w:color="auto"/>
              <w:right w:val="single" w:sz="8" w:space="0" w:color="auto"/>
            </w:tcBorders>
            <w:shd w:val="clear" w:color="auto" w:fill="auto"/>
            <w:noWrap/>
            <w:vAlign w:val="center"/>
          </w:tcPr>
          <w:p w:rsidR="00B43A2F" w:rsidRPr="00EB2995" w:rsidRDefault="00B43A2F" w:rsidP="00B43A2F">
            <w:pPr>
              <w:jc w:val="right"/>
              <w:rPr>
                <w:rFonts w:cs="Calibri"/>
                <w:b/>
                <w:bCs/>
                <w:color w:val="000000"/>
                <w:sz w:val="18"/>
                <w:szCs w:val="18"/>
                <w:lang w:eastAsia="en-GB"/>
              </w:rPr>
            </w:pPr>
            <w:r>
              <w:rPr>
                <w:rFonts w:cs="Calibri"/>
                <w:b/>
                <w:bCs/>
                <w:color w:val="000000"/>
                <w:sz w:val="18"/>
                <w:szCs w:val="18"/>
              </w:rPr>
              <w:t>121.9</w:t>
            </w:r>
          </w:p>
        </w:tc>
        <w:tc>
          <w:tcPr>
            <w:tcW w:w="851" w:type="dxa"/>
            <w:gridSpan w:val="2"/>
            <w:tcBorders>
              <w:top w:val="nil"/>
              <w:left w:val="nil"/>
              <w:bottom w:val="single" w:sz="8" w:space="0" w:color="auto"/>
              <w:right w:val="single" w:sz="8" w:space="0" w:color="auto"/>
            </w:tcBorders>
            <w:shd w:val="clear" w:color="auto" w:fill="auto"/>
            <w:noWrap/>
            <w:vAlign w:val="center"/>
          </w:tcPr>
          <w:p w:rsidR="00B43A2F" w:rsidRPr="00EB2995" w:rsidRDefault="00EA2048" w:rsidP="00B43A2F">
            <w:pPr>
              <w:jc w:val="right"/>
              <w:rPr>
                <w:rFonts w:cs="Calibri"/>
                <w:b/>
                <w:bCs/>
                <w:color w:val="000000"/>
                <w:sz w:val="18"/>
                <w:szCs w:val="18"/>
                <w:lang w:eastAsia="en-GB"/>
              </w:rPr>
            </w:pPr>
            <w:r>
              <w:rPr>
                <w:rFonts w:cs="Calibri"/>
                <w:b/>
                <w:bCs/>
                <w:color w:val="000000"/>
                <w:sz w:val="18"/>
                <w:szCs w:val="18"/>
              </w:rPr>
              <w:t>2,110.5</w:t>
            </w:r>
          </w:p>
        </w:tc>
        <w:tc>
          <w:tcPr>
            <w:tcW w:w="850" w:type="dxa"/>
            <w:gridSpan w:val="2"/>
            <w:tcBorders>
              <w:top w:val="nil"/>
              <w:left w:val="nil"/>
              <w:bottom w:val="single" w:sz="8" w:space="0" w:color="auto"/>
              <w:right w:val="single" w:sz="8" w:space="0" w:color="auto"/>
            </w:tcBorders>
            <w:shd w:val="clear" w:color="auto" w:fill="auto"/>
            <w:noWrap/>
            <w:vAlign w:val="center"/>
          </w:tcPr>
          <w:p w:rsidR="00B43A2F" w:rsidRPr="00EB2995" w:rsidRDefault="00B43A2F" w:rsidP="00B43A2F">
            <w:pPr>
              <w:jc w:val="right"/>
              <w:rPr>
                <w:rFonts w:cs="Calibri"/>
                <w:b/>
                <w:bCs/>
                <w:color w:val="000000"/>
                <w:sz w:val="18"/>
                <w:szCs w:val="18"/>
                <w:lang w:eastAsia="en-GB"/>
              </w:rPr>
            </w:pPr>
            <w:r>
              <w:rPr>
                <w:rFonts w:cs="Calibri"/>
                <w:b/>
                <w:bCs/>
                <w:i/>
                <w:iCs/>
                <w:color w:val="000000"/>
                <w:sz w:val="18"/>
                <w:szCs w:val="18"/>
              </w:rPr>
              <w:t>126.9</w:t>
            </w:r>
          </w:p>
        </w:tc>
      </w:tr>
      <w:tr w:rsidR="00B43A2F" w:rsidRPr="00EB2995" w:rsidTr="00B43A2F">
        <w:trPr>
          <w:trHeight w:hRule="exact" w:val="397"/>
        </w:trPr>
        <w:tc>
          <w:tcPr>
            <w:tcW w:w="3835" w:type="dxa"/>
            <w:gridSpan w:val="3"/>
            <w:tcBorders>
              <w:top w:val="single" w:sz="8" w:space="0" w:color="auto"/>
              <w:left w:val="nil"/>
              <w:bottom w:val="single" w:sz="8" w:space="0" w:color="auto"/>
              <w:right w:val="nil"/>
            </w:tcBorders>
            <w:shd w:val="clear" w:color="auto" w:fill="auto"/>
            <w:noWrap/>
            <w:vAlign w:val="center"/>
            <w:hideMark/>
          </w:tcPr>
          <w:p w:rsidR="00B43A2F" w:rsidRPr="00EB2995" w:rsidRDefault="00B43A2F" w:rsidP="00B43A2F">
            <w:pPr>
              <w:jc w:val="both"/>
              <w:rPr>
                <w:rFonts w:cs="Calibri"/>
                <w:b/>
                <w:bCs/>
                <w:color w:val="000000"/>
                <w:sz w:val="18"/>
                <w:szCs w:val="18"/>
                <w:lang w:eastAsia="en-GB"/>
              </w:rPr>
            </w:pPr>
            <w:r w:rsidRPr="00EB2995">
              <w:rPr>
                <w:rFonts w:cs="Calibri"/>
                <w:b/>
                <w:bCs/>
                <w:color w:val="000000"/>
                <w:sz w:val="18"/>
                <w:szCs w:val="18"/>
                <w:lang w:eastAsia="en-GB"/>
              </w:rPr>
              <w:t> </w:t>
            </w:r>
            <w:r w:rsidRPr="00EB2995">
              <w:rPr>
                <w:rFonts w:cs="Calibri"/>
                <w:color w:val="000000"/>
                <w:lang w:eastAsia="en-GB"/>
              </w:rPr>
              <w:t xml:space="preserve"> </w:t>
            </w:r>
            <w:r w:rsidRPr="00EB2995">
              <w:rPr>
                <w:rFonts w:cs="Calibri"/>
                <w:b/>
                <w:bCs/>
                <w:color w:val="000000"/>
                <w:sz w:val="18"/>
                <w:szCs w:val="18"/>
                <w:lang w:eastAsia="en-GB"/>
              </w:rPr>
              <w:t>Depreciation and Impairments</w:t>
            </w:r>
          </w:p>
        </w:tc>
        <w:tc>
          <w:tcPr>
            <w:tcW w:w="993" w:type="dxa"/>
            <w:gridSpan w:val="2"/>
            <w:tcBorders>
              <w:top w:val="nil"/>
              <w:left w:val="nil"/>
              <w:bottom w:val="single" w:sz="8" w:space="0" w:color="auto"/>
              <w:right w:val="nil"/>
            </w:tcBorders>
            <w:shd w:val="clear" w:color="auto" w:fill="auto"/>
            <w:noWrap/>
            <w:vAlign w:val="center"/>
            <w:hideMark/>
          </w:tcPr>
          <w:p w:rsidR="00B43A2F" w:rsidRPr="00EB2995" w:rsidRDefault="00B43A2F" w:rsidP="00B43A2F">
            <w:pPr>
              <w:rPr>
                <w:rFonts w:cs="Calibri"/>
                <w:b/>
                <w:bCs/>
                <w:color w:val="000000"/>
                <w:sz w:val="18"/>
                <w:szCs w:val="18"/>
                <w:lang w:eastAsia="en-GB"/>
              </w:rPr>
            </w:pPr>
            <w:r w:rsidRPr="00EB2995">
              <w:rPr>
                <w:rFonts w:cs="Calibri"/>
                <w:b/>
                <w:bCs/>
                <w:color w:val="000000"/>
                <w:sz w:val="18"/>
                <w:szCs w:val="18"/>
                <w:lang w:eastAsia="en-GB"/>
              </w:rPr>
              <w:t> </w:t>
            </w:r>
          </w:p>
        </w:tc>
        <w:tc>
          <w:tcPr>
            <w:tcW w:w="850" w:type="dxa"/>
            <w:gridSpan w:val="2"/>
            <w:tcBorders>
              <w:top w:val="nil"/>
              <w:left w:val="nil"/>
              <w:bottom w:val="single" w:sz="8" w:space="0" w:color="auto"/>
              <w:right w:val="nil"/>
            </w:tcBorders>
            <w:shd w:val="clear" w:color="auto" w:fill="auto"/>
            <w:noWrap/>
            <w:vAlign w:val="center"/>
            <w:hideMark/>
          </w:tcPr>
          <w:p w:rsidR="00B43A2F" w:rsidRPr="00EB2995" w:rsidRDefault="00B43A2F" w:rsidP="00B43A2F">
            <w:pPr>
              <w:rPr>
                <w:rFonts w:cs="Calibri"/>
                <w:b/>
                <w:bCs/>
                <w:color w:val="000000"/>
                <w:sz w:val="18"/>
                <w:szCs w:val="18"/>
                <w:lang w:eastAsia="en-GB"/>
              </w:rPr>
            </w:pPr>
            <w:r w:rsidRPr="00EB2995">
              <w:rPr>
                <w:rFonts w:cs="Calibri"/>
                <w:b/>
                <w:bCs/>
                <w:color w:val="000000"/>
                <w:sz w:val="18"/>
                <w:szCs w:val="18"/>
                <w:lang w:eastAsia="en-GB"/>
              </w:rPr>
              <w:t> </w:t>
            </w:r>
          </w:p>
        </w:tc>
        <w:tc>
          <w:tcPr>
            <w:tcW w:w="1134" w:type="dxa"/>
            <w:gridSpan w:val="2"/>
            <w:tcBorders>
              <w:top w:val="nil"/>
              <w:left w:val="nil"/>
              <w:bottom w:val="single" w:sz="8" w:space="0" w:color="auto"/>
              <w:right w:val="nil"/>
            </w:tcBorders>
            <w:shd w:val="clear" w:color="auto" w:fill="auto"/>
            <w:noWrap/>
            <w:vAlign w:val="center"/>
            <w:hideMark/>
          </w:tcPr>
          <w:p w:rsidR="00B43A2F" w:rsidRPr="00EB2995" w:rsidRDefault="00B43A2F" w:rsidP="00B43A2F">
            <w:pPr>
              <w:rPr>
                <w:rFonts w:cs="Calibri"/>
                <w:b/>
                <w:bCs/>
                <w:color w:val="000000"/>
                <w:sz w:val="18"/>
                <w:szCs w:val="18"/>
                <w:lang w:eastAsia="en-GB"/>
              </w:rPr>
            </w:pPr>
            <w:r w:rsidRPr="00EB2995">
              <w:rPr>
                <w:rFonts w:cs="Calibri"/>
                <w:b/>
                <w:bCs/>
                <w:color w:val="000000"/>
                <w:sz w:val="18"/>
                <w:szCs w:val="18"/>
                <w:lang w:eastAsia="en-GB"/>
              </w:rPr>
              <w:t> </w:t>
            </w:r>
          </w:p>
        </w:tc>
        <w:tc>
          <w:tcPr>
            <w:tcW w:w="851" w:type="dxa"/>
            <w:gridSpan w:val="2"/>
            <w:tcBorders>
              <w:top w:val="nil"/>
              <w:left w:val="nil"/>
              <w:bottom w:val="single" w:sz="8" w:space="0" w:color="auto"/>
              <w:right w:val="nil"/>
            </w:tcBorders>
            <w:shd w:val="clear" w:color="auto" w:fill="auto"/>
            <w:noWrap/>
            <w:vAlign w:val="center"/>
            <w:hideMark/>
          </w:tcPr>
          <w:p w:rsidR="00B43A2F" w:rsidRPr="00EB2995" w:rsidRDefault="00B43A2F" w:rsidP="00B43A2F">
            <w:pPr>
              <w:rPr>
                <w:rFonts w:cs="Calibri"/>
                <w:color w:val="000000"/>
                <w:sz w:val="18"/>
                <w:szCs w:val="18"/>
                <w:lang w:eastAsia="en-GB"/>
              </w:rPr>
            </w:pPr>
            <w:r w:rsidRPr="00EB2995">
              <w:rPr>
                <w:rFonts w:cs="Calibri"/>
                <w:color w:val="000000"/>
                <w:sz w:val="18"/>
                <w:szCs w:val="18"/>
                <w:lang w:eastAsia="en-GB"/>
              </w:rPr>
              <w:t> </w:t>
            </w:r>
          </w:p>
        </w:tc>
        <w:tc>
          <w:tcPr>
            <w:tcW w:w="1275" w:type="dxa"/>
            <w:gridSpan w:val="2"/>
            <w:tcBorders>
              <w:top w:val="nil"/>
              <w:left w:val="nil"/>
              <w:bottom w:val="single" w:sz="8" w:space="0" w:color="auto"/>
              <w:right w:val="nil"/>
            </w:tcBorders>
            <w:shd w:val="clear" w:color="auto" w:fill="auto"/>
            <w:noWrap/>
            <w:vAlign w:val="center"/>
            <w:hideMark/>
          </w:tcPr>
          <w:p w:rsidR="00B43A2F" w:rsidRPr="00EB2995" w:rsidRDefault="00B43A2F" w:rsidP="00B43A2F">
            <w:pPr>
              <w:rPr>
                <w:rFonts w:cs="Calibri"/>
                <w:color w:val="000000"/>
                <w:sz w:val="18"/>
                <w:szCs w:val="18"/>
                <w:lang w:eastAsia="en-GB"/>
              </w:rPr>
            </w:pPr>
            <w:r w:rsidRPr="00EB2995">
              <w:rPr>
                <w:rFonts w:cs="Calibri"/>
                <w:color w:val="000000"/>
                <w:sz w:val="18"/>
                <w:szCs w:val="18"/>
                <w:lang w:eastAsia="en-GB"/>
              </w:rPr>
              <w:t> </w:t>
            </w:r>
          </w:p>
        </w:tc>
        <w:tc>
          <w:tcPr>
            <w:tcW w:w="851" w:type="dxa"/>
            <w:gridSpan w:val="2"/>
            <w:tcBorders>
              <w:top w:val="nil"/>
              <w:left w:val="nil"/>
              <w:bottom w:val="single" w:sz="8" w:space="0" w:color="auto"/>
              <w:right w:val="nil"/>
            </w:tcBorders>
            <w:shd w:val="clear" w:color="auto" w:fill="auto"/>
            <w:noWrap/>
            <w:vAlign w:val="center"/>
            <w:hideMark/>
          </w:tcPr>
          <w:p w:rsidR="00B43A2F" w:rsidRPr="00EB2995" w:rsidRDefault="00B43A2F" w:rsidP="00B43A2F">
            <w:pPr>
              <w:rPr>
                <w:rFonts w:cs="Calibri"/>
                <w:color w:val="000000"/>
                <w:sz w:val="18"/>
                <w:szCs w:val="18"/>
                <w:lang w:eastAsia="en-GB"/>
              </w:rPr>
            </w:pPr>
            <w:r w:rsidRPr="00EB2995">
              <w:rPr>
                <w:rFonts w:cs="Calibri"/>
                <w:color w:val="000000"/>
                <w:sz w:val="18"/>
                <w:szCs w:val="18"/>
                <w:lang w:eastAsia="en-GB"/>
              </w:rPr>
              <w:t> </w:t>
            </w:r>
          </w:p>
        </w:tc>
        <w:tc>
          <w:tcPr>
            <w:tcW w:w="850" w:type="dxa"/>
            <w:gridSpan w:val="2"/>
            <w:tcBorders>
              <w:top w:val="nil"/>
              <w:left w:val="nil"/>
              <w:bottom w:val="single" w:sz="8" w:space="0" w:color="auto"/>
              <w:right w:val="nil"/>
            </w:tcBorders>
            <w:shd w:val="clear" w:color="auto" w:fill="auto"/>
            <w:noWrap/>
            <w:vAlign w:val="center"/>
            <w:hideMark/>
          </w:tcPr>
          <w:p w:rsidR="00B43A2F" w:rsidRPr="00EB2995" w:rsidRDefault="00B43A2F" w:rsidP="00B43A2F">
            <w:pPr>
              <w:rPr>
                <w:rFonts w:cs="Calibri"/>
                <w:i/>
                <w:iCs/>
                <w:color w:val="000000"/>
                <w:sz w:val="18"/>
                <w:szCs w:val="18"/>
                <w:lang w:eastAsia="en-GB"/>
              </w:rPr>
            </w:pPr>
            <w:r w:rsidRPr="00EB2995">
              <w:rPr>
                <w:rFonts w:cs="Calibri"/>
                <w:i/>
                <w:iCs/>
                <w:color w:val="000000"/>
                <w:sz w:val="18"/>
                <w:szCs w:val="18"/>
                <w:lang w:eastAsia="en-GB"/>
              </w:rPr>
              <w:t> </w:t>
            </w:r>
          </w:p>
        </w:tc>
      </w:tr>
      <w:tr w:rsidR="00B43A2F" w:rsidRPr="00EB2995" w:rsidTr="00B43A2F">
        <w:trPr>
          <w:gridAfter w:val="1"/>
          <w:wAfter w:w="8" w:type="dxa"/>
          <w:trHeight w:hRule="exact" w:val="397"/>
        </w:trPr>
        <w:tc>
          <w:tcPr>
            <w:tcW w:w="2835" w:type="dxa"/>
            <w:tcBorders>
              <w:top w:val="nil"/>
              <w:left w:val="single" w:sz="8" w:space="0" w:color="auto"/>
              <w:bottom w:val="single" w:sz="8" w:space="0" w:color="auto"/>
              <w:right w:val="single" w:sz="8" w:space="0" w:color="auto"/>
            </w:tcBorders>
            <w:shd w:val="clear" w:color="auto" w:fill="auto"/>
            <w:vAlign w:val="center"/>
            <w:hideMark/>
          </w:tcPr>
          <w:p w:rsidR="00B43A2F" w:rsidRPr="00EB2995" w:rsidRDefault="00B43A2F" w:rsidP="00B43A2F">
            <w:pPr>
              <w:rPr>
                <w:rFonts w:cs="Calibri"/>
                <w:b/>
                <w:bCs/>
                <w:color w:val="000000"/>
                <w:sz w:val="18"/>
                <w:szCs w:val="18"/>
                <w:lang w:eastAsia="en-GB"/>
              </w:rPr>
            </w:pPr>
            <w:r w:rsidRPr="00EB2995">
              <w:rPr>
                <w:rFonts w:cs="Calibri"/>
                <w:b/>
                <w:bCs/>
                <w:color w:val="000000"/>
                <w:sz w:val="18"/>
                <w:szCs w:val="18"/>
                <w:lang w:eastAsia="en-GB"/>
              </w:rPr>
              <w:t>At 1 April 2019</w:t>
            </w:r>
          </w:p>
        </w:tc>
        <w:tc>
          <w:tcPr>
            <w:tcW w:w="992" w:type="dxa"/>
            <w:tcBorders>
              <w:top w:val="nil"/>
              <w:left w:val="nil"/>
              <w:bottom w:val="single" w:sz="8" w:space="0" w:color="auto"/>
              <w:right w:val="nil"/>
            </w:tcBorders>
            <w:shd w:val="clear" w:color="auto" w:fill="auto"/>
            <w:noWrap/>
            <w:vAlign w:val="center"/>
            <w:hideMark/>
          </w:tcPr>
          <w:p w:rsidR="00B43A2F" w:rsidRPr="00EB2995" w:rsidRDefault="00B43A2F" w:rsidP="00B43A2F">
            <w:pPr>
              <w:jc w:val="right"/>
              <w:rPr>
                <w:rFonts w:cs="Calibri"/>
                <w:b/>
                <w:bCs/>
                <w:color w:val="000000"/>
                <w:sz w:val="18"/>
                <w:szCs w:val="18"/>
                <w:lang w:eastAsia="en-GB"/>
              </w:rPr>
            </w:pPr>
            <w:r>
              <w:rPr>
                <w:rFonts w:cs="Calibri"/>
                <w:b/>
                <w:bCs/>
                <w:color w:val="000000"/>
                <w:sz w:val="18"/>
                <w:szCs w:val="18"/>
              </w:rPr>
              <w:t>(7.1)</w:t>
            </w:r>
          </w:p>
        </w:tc>
        <w:tc>
          <w:tcPr>
            <w:tcW w:w="993" w:type="dxa"/>
            <w:gridSpan w:val="2"/>
            <w:tcBorders>
              <w:top w:val="nil"/>
              <w:left w:val="single" w:sz="8" w:space="0" w:color="auto"/>
              <w:bottom w:val="single" w:sz="8" w:space="0" w:color="auto"/>
              <w:right w:val="nil"/>
            </w:tcBorders>
            <w:shd w:val="clear" w:color="auto" w:fill="auto"/>
            <w:noWrap/>
            <w:vAlign w:val="center"/>
            <w:hideMark/>
          </w:tcPr>
          <w:p w:rsidR="00B43A2F" w:rsidRPr="00EB2995" w:rsidRDefault="00B43A2F" w:rsidP="00B43A2F">
            <w:pPr>
              <w:jc w:val="right"/>
              <w:rPr>
                <w:rFonts w:cs="Calibri"/>
                <w:b/>
                <w:bCs/>
                <w:color w:val="000000"/>
                <w:sz w:val="18"/>
                <w:szCs w:val="18"/>
                <w:lang w:eastAsia="en-GB"/>
              </w:rPr>
            </w:pPr>
            <w:r>
              <w:rPr>
                <w:rFonts w:cs="Calibri"/>
                <w:b/>
                <w:bCs/>
                <w:color w:val="000000"/>
                <w:sz w:val="18"/>
                <w:szCs w:val="18"/>
              </w:rPr>
              <w:t>(25.8)</w:t>
            </w:r>
          </w:p>
        </w:tc>
        <w:tc>
          <w:tcPr>
            <w:tcW w:w="850" w:type="dxa"/>
            <w:gridSpan w:val="2"/>
            <w:tcBorders>
              <w:top w:val="nil"/>
              <w:left w:val="single" w:sz="8" w:space="0" w:color="auto"/>
              <w:bottom w:val="single" w:sz="8" w:space="0" w:color="auto"/>
              <w:right w:val="nil"/>
            </w:tcBorders>
            <w:shd w:val="clear" w:color="auto" w:fill="auto"/>
            <w:noWrap/>
            <w:vAlign w:val="center"/>
            <w:hideMark/>
          </w:tcPr>
          <w:p w:rsidR="00B43A2F" w:rsidRPr="00EB2995" w:rsidRDefault="00B43A2F" w:rsidP="00B43A2F">
            <w:pPr>
              <w:jc w:val="right"/>
              <w:rPr>
                <w:rFonts w:cs="Calibri"/>
                <w:b/>
                <w:bCs/>
                <w:color w:val="000000"/>
                <w:sz w:val="18"/>
                <w:szCs w:val="18"/>
                <w:lang w:eastAsia="en-GB"/>
              </w:rPr>
            </w:pPr>
            <w:r>
              <w:rPr>
                <w:rFonts w:cs="Calibri"/>
                <w:b/>
                <w:bCs/>
                <w:color w:val="000000"/>
                <w:sz w:val="18"/>
                <w:szCs w:val="18"/>
              </w:rPr>
              <w:t>(32.6)</w:t>
            </w:r>
          </w:p>
        </w:tc>
        <w:tc>
          <w:tcPr>
            <w:tcW w:w="1134" w:type="dxa"/>
            <w:gridSpan w:val="2"/>
            <w:tcBorders>
              <w:top w:val="nil"/>
              <w:left w:val="single" w:sz="8" w:space="0" w:color="auto"/>
              <w:bottom w:val="single" w:sz="8" w:space="0" w:color="auto"/>
              <w:right w:val="nil"/>
            </w:tcBorders>
            <w:shd w:val="clear" w:color="auto" w:fill="auto"/>
            <w:noWrap/>
            <w:vAlign w:val="center"/>
            <w:hideMark/>
          </w:tcPr>
          <w:p w:rsidR="00B43A2F" w:rsidRPr="00EB2995" w:rsidRDefault="00B43A2F" w:rsidP="00B43A2F">
            <w:pPr>
              <w:jc w:val="right"/>
              <w:rPr>
                <w:rFonts w:cs="Calibri"/>
                <w:b/>
                <w:bCs/>
                <w:color w:val="000000"/>
                <w:sz w:val="18"/>
                <w:szCs w:val="18"/>
                <w:lang w:eastAsia="en-GB"/>
              </w:rPr>
            </w:pPr>
            <w:r>
              <w:rPr>
                <w:rFonts w:cs="Calibri"/>
                <w:b/>
                <w:bCs/>
                <w:color w:val="000000"/>
                <w:sz w:val="18"/>
                <w:szCs w:val="18"/>
              </w:rPr>
              <w:t>(77.9)</w:t>
            </w:r>
          </w:p>
        </w:tc>
        <w:tc>
          <w:tcPr>
            <w:tcW w:w="851" w:type="dxa"/>
            <w:gridSpan w:val="2"/>
            <w:tcBorders>
              <w:top w:val="nil"/>
              <w:left w:val="single" w:sz="8" w:space="0" w:color="auto"/>
              <w:bottom w:val="single" w:sz="8" w:space="0" w:color="auto"/>
              <w:right w:val="nil"/>
            </w:tcBorders>
            <w:shd w:val="clear" w:color="auto" w:fill="auto"/>
            <w:noWrap/>
            <w:vAlign w:val="center"/>
            <w:hideMark/>
          </w:tcPr>
          <w:p w:rsidR="00B43A2F" w:rsidRPr="00EB2995" w:rsidRDefault="00B43A2F" w:rsidP="00B43A2F">
            <w:pPr>
              <w:jc w:val="right"/>
              <w:rPr>
                <w:rFonts w:cs="Calibri"/>
                <w:b/>
                <w:bCs/>
                <w:color w:val="000000"/>
                <w:sz w:val="18"/>
                <w:szCs w:val="18"/>
                <w:lang w:eastAsia="en-GB"/>
              </w:rPr>
            </w:pPr>
            <w:r>
              <w:rPr>
                <w:rFonts w:cs="Calibri"/>
                <w:b/>
                <w:bCs/>
                <w:color w:val="000000"/>
                <w:sz w:val="18"/>
                <w:szCs w:val="18"/>
              </w:rPr>
              <w:t>0.0</w:t>
            </w:r>
          </w:p>
        </w:tc>
        <w:tc>
          <w:tcPr>
            <w:tcW w:w="1275" w:type="dxa"/>
            <w:gridSpan w:val="2"/>
            <w:tcBorders>
              <w:top w:val="nil"/>
              <w:left w:val="single" w:sz="8" w:space="0" w:color="auto"/>
              <w:bottom w:val="single" w:sz="8" w:space="0" w:color="auto"/>
              <w:right w:val="nil"/>
            </w:tcBorders>
            <w:shd w:val="clear" w:color="auto" w:fill="auto"/>
            <w:noWrap/>
            <w:vAlign w:val="center"/>
            <w:hideMark/>
          </w:tcPr>
          <w:p w:rsidR="00B43A2F" w:rsidRPr="00EB2995" w:rsidRDefault="00B43A2F" w:rsidP="00B43A2F">
            <w:pPr>
              <w:jc w:val="right"/>
              <w:rPr>
                <w:rFonts w:cs="Calibri"/>
                <w:b/>
                <w:bCs/>
                <w:color w:val="000000"/>
                <w:sz w:val="18"/>
                <w:szCs w:val="18"/>
                <w:lang w:eastAsia="en-GB"/>
              </w:rPr>
            </w:pPr>
            <w:r>
              <w:rPr>
                <w:rFonts w:cs="Calibri"/>
                <w:b/>
                <w:bCs/>
                <w:color w:val="000000"/>
                <w:sz w:val="18"/>
                <w:szCs w:val="18"/>
              </w:rPr>
              <w:t>0.0</w:t>
            </w:r>
          </w:p>
        </w:tc>
        <w:tc>
          <w:tcPr>
            <w:tcW w:w="851" w:type="dxa"/>
            <w:gridSpan w:val="2"/>
            <w:tcBorders>
              <w:top w:val="nil"/>
              <w:left w:val="single" w:sz="8" w:space="0" w:color="auto"/>
              <w:bottom w:val="single" w:sz="8" w:space="0" w:color="auto"/>
              <w:right w:val="nil"/>
            </w:tcBorders>
            <w:shd w:val="clear" w:color="auto" w:fill="auto"/>
            <w:noWrap/>
            <w:vAlign w:val="center"/>
            <w:hideMark/>
          </w:tcPr>
          <w:p w:rsidR="00B43A2F" w:rsidRPr="00EB2995" w:rsidRDefault="00B43A2F" w:rsidP="00B43A2F">
            <w:pPr>
              <w:jc w:val="right"/>
              <w:rPr>
                <w:rFonts w:cs="Calibri"/>
                <w:b/>
                <w:bCs/>
                <w:color w:val="000000"/>
                <w:sz w:val="18"/>
                <w:szCs w:val="18"/>
                <w:lang w:eastAsia="en-GB"/>
              </w:rPr>
            </w:pPr>
            <w:r>
              <w:rPr>
                <w:rFonts w:cs="Calibri"/>
                <w:b/>
                <w:bCs/>
                <w:color w:val="000000"/>
                <w:sz w:val="18"/>
                <w:szCs w:val="18"/>
              </w:rPr>
              <w:t>(143.4)</w:t>
            </w:r>
          </w:p>
        </w:tc>
        <w:tc>
          <w:tcPr>
            <w:tcW w:w="850" w:type="dxa"/>
            <w:gridSpan w:val="2"/>
            <w:tcBorders>
              <w:top w:val="nil"/>
              <w:left w:val="single" w:sz="8" w:space="0" w:color="auto"/>
              <w:bottom w:val="single" w:sz="8" w:space="0" w:color="auto"/>
              <w:right w:val="single" w:sz="8" w:space="0" w:color="auto"/>
            </w:tcBorders>
            <w:shd w:val="clear" w:color="auto" w:fill="auto"/>
            <w:noWrap/>
            <w:vAlign w:val="center"/>
            <w:hideMark/>
          </w:tcPr>
          <w:p w:rsidR="00B43A2F" w:rsidRPr="00EB2995" w:rsidRDefault="00B43A2F" w:rsidP="00B43A2F">
            <w:pPr>
              <w:jc w:val="right"/>
              <w:rPr>
                <w:rFonts w:cs="Calibri"/>
                <w:b/>
                <w:bCs/>
                <w:color w:val="000000"/>
                <w:sz w:val="18"/>
                <w:szCs w:val="18"/>
                <w:lang w:eastAsia="en-GB"/>
              </w:rPr>
            </w:pPr>
            <w:r>
              <w:rPr>
                <w:rFonts w:cs="Calibri"/>
                <w:b/>
                <w:bCs/>
                <w:color w:val="000000"/>
                <w:sz w:val="18"/>
                <w:szCs w:val="18"/>
              </w:rPr>
              <w:t>(14.1)</w:t>
            </w:r>
          </w:p>
        </w:tc>
      </w:tr>
      <w:tr w:rsidR="00B43A2F" w:rsidRPr="00EB2995" w:rsidTr="00B43A2F">
        <w:trPr>
          <w:gridAfter w:val="1"/>
          <w:wAfter w:w="8" w:type="dxa"/>
          <w:trHeight w:hRule="exact" w:val="397"/>
        </w:trPr>
        <w:tc>
          <w:tcPr>
            <w:tcW w:w="2835" w:type="dxa"/>
            <w:tcBorders>
              <w:top w:val="nil"/>
              <w:left w:val="single" w:sz="8" w:space="0" w:color="auto"/>
              <w:bottom w:val="single" w:sz="8" w:space="0" w:color="auto"/>
              <w:right w:val="single" w:sz="8" w:space="0" w:color="auto"/>
            </w:tcBorders>
            <w:shd w:val="clear" w:color="auto" w:fill="auto"/>
            <w:vAlign w:val="center"/>
            <w:hideMark/>
          </w:tcPr>
          <w:p w:rsidR="00B43A2F" w:rsidRPr="00EB2995" w:rsidRDefault="00B43A2F" w:rsidP="00B43A2F">
            <w:pPr>
              <w:rPr>
                <w:rFonts w:cs="Calibri"/>
                <w:color w:val="000000"/>
                <w:sz w:val="18"/>
                <w:szCs w:val="18"/>
                <w:lang w:eastAsia="en-GB"/>
              </w:rPr>
            </w:pPr>
            <w:r w:rsidRPr="00EB2995">
              <w:rPr>
                <w:rFonts w:cs="Calibri"/>
                <w:color w:val="000000"/>
                <w:sz w:val="18"/>
                <w:szCs w:val="18"/>
                <w:lang w:eastAsia="en-GB"/>
              </w:rPr>
              <w:t>Charge for 2019/20</w:t>
            </w:r>
          </w:p>
        </w:tc>
        <w:tc>
          <w:tcPr>
            <w:tcW w:w="992" w:type="dxa"/>
            <w:tcBorders>
              <w:top w:val="nil"/>
              <w:left w:val="nil"/>
              <w:bottom w:val="single" w:sz="8" w:space="0" w:color="auto"/>
              <w:right w:val="nil"/>
            </w:tcBorders>
            <w:shd w:val="clear" w:color="auto" w:fill="auto"/>
            <w:noWrap/>
            <w:vAlign w:val="center"/>
          </w:tcPr>
          <w:p w:rsidR="00B43A2F" w:rsidRPr="00EB2995" w:rsidRDefault="00B43A2F" w:rsidP="00B43A2F">
            <w:pPr>
              <w:jc w:val="right"/>
              <w:rPr>
                <w:rFonts w:cs="Calibri"/>
                <w:color w:val="000000"/>
                <w:sz w:val="18"/>
                <w:szCs w:val="18"/>
                <w:lang w:eastAsia="en-GB"/>
              </w:rPr>
            </w:pPr>
            <w:r>
              <w:rPr>
                <w:rFonts w:cs="Calibri"/>
                <w:color w:val="000000"/>
                <w:sz w:val="18"/>
                <w:szCs w:val="18"/>
              </w:rPr>
              <w:t>(7.6)</w:t>
            </w:r>
          </w:p>
        </w:tc>
        <w:tc>
          <w:tcPr>
            <w:tcW w:w="993" w:type="dxa"/>
            <w:gridSpan w:val="2"/>
            <w:tcBorders>
              <w:top w:val="nil"/>
              <w:left w:val="single" w:sz="8" w:space="0" w:color="auto"/>
              <w:bottom w:val="single" w:sz="8" w:space="0" w:color="auto"/>
              <w:right w:val="single" w:sz="8" w:space="0" w:color="auto"/>
            </w:tcBorders>
            <w:shd w:val="clear" w:color="auto" w:fill="auto"/>
            <w:noWrap/>
            <w:vAlign w:val="center"/>
          </w:tcPr>
          <w:p w:rsidR="00B43A2F" w:rsidRPr="00EB2995" w:rsidRDefault="00EA2048" w:rsidP="00B43A2F">
            <w:pPr>
              <w:jc w:val="right"/>
              <w:rPr>
                <w:rFonts w:cs="Calibri"/>
                <w:color w:val="000000"/>
                <w:sz w:val="18"/>
                <w:szCs w:val="18"/>
                <w:lang w:eastAsia="en-GB"/>
              </w:rPr>
            </w:pPr>
            <w:r>
              <w:rPr>
                <w:rFonts w:cs="Calibri"/>
                <w:color w:val="000000"/>
                <w:sz w:val="18"/>
                <w:szCs w:val="18"/>
              </w:rPr>
              <w:t>(16.2</w:t>
            </w:r>
            <w:r w:rsidR="00B43A2F">
              <w:rPr>
                <w:rFonts w:cs="Calibri"/>
                <w:color w:val="000000"/>
                <w:sz w:val="18"/>
                <w:szCs w:val="18"/>
              </w:rPr>
              <w:t>)</w:t>
            </w:r>
          </w:p>
        </w:tc>
        <w:tc>
          <w:tcPr>
            <w:tcW w:w="850" w:type="dxa"/>
            <w:gridSpan w:val="2"/>
            <w:tcBorders>
              <w:top w:val="nil"/>
              <w:left w:val="nil"/>
              <w:bottom w:val="single" w:sz="8" w:space="0" w:color="auto"/>
              <w:right w:val="single" w:sz="8" w:space="0" w:color="auto"/>
            </w:tcBorders>
            <w:shd w:val="clear" w:color="auto" w:fill="auto"/>
            <w:noWrap/>
            <w:vAlign w:val="center"/>
          </w:tcPr>
          <w:p w:rsidR="00B43A2F" w:rsidRPr="00EB2995" w:rsidRDefault="00B43A2F" w:rsidP="00B43A2F">
            <w:pPr>
              <w:jc w:val="right"/>
              <w:rPr>
                <w:rFonts w:cs="Calibri"/>
                <w:color w:val="000000"/>
                <w:sz w:val="18"/>
                <w:szCs w:val="18"/>
                <w:lang w:eastAsia="en-GB"/>
              </w:rPr>
            </w:pPr>
            <w:r>
              <w:rPr>
                <w:rFonts w:cs="Calibri"/>
                <w:color w:val="000000"/>
                <w:sz w:val="18"/>
                <w:szCs w:val="18"/>
              </w:rPr>
              <w:t>(3.5)</w:t>
            </w:r>
          </w:p>
        </w:tc>
        <w:tc>
          <w:tcPr>
            <w:tcW w:w="1134" w:type="dxa"/>
            <w:gridSpan w:val="2"/>
            <w:tcBorders>
              <w:top w:val="nil"/>
              <w:left w:val="nil"/>
              <w:bottom w:val="single" w:sz="8" w:space="0" w:color="auto"/>
              <w:right w:val="single" w:sz="8" w:space="0" w:color="auto"/>
            </w:tcBorders>
            <w:shd w:val="clear" w:color="auto" w:fill="auto"/>
            <w:noWrap/>
            <w:vAlign w:val="center"/>
          </w:tcPr>
          <w:p w:rsidR="00B43A2F" w:rsidRPr="00EB2995" w:rsidRDefault="00B43A2F" w:rsidP="00B43A2F">
            <w:pPr>
              <w:jc w:val="right"/>
              <w:rPr>
                <w:rFonts w:cs="Calibri"/>
                <w:color w:val="000000"/>
                <w:sz w:val="18"/>
                <w:szCs w:val="18"/>
                <w:lang w:eastAsia="en-GB"/>
              </w:rPr>
            </w:pPr>
            <w:r>
              <w:rPr>
                <w:rFonts w:cs="Calibri"/>
                <w:color w:val="000000"/>
                <w:sz w:val="18"/>
                <w:szCs w:val="18"/>
              </w:rPr>
              <w:t>(6.8)</w:t>
            </w:r>
          </w:p>
        </w:tc>
        <w:tc>
          <w:tcPr>
            <w:tcW w:w="851" w:type="dxa"/>
            <w:gridSpan w:val="2"/>
            <w:tcBorders>
              <w:top w:val="nil"/>
              <w:left w:val="nil"/>
              <w:bottom w:val="single" w:sz="8" w:space="0" w:color="auto"/>
              <w:right w:val="single" w:sz="8" w:space="0" w:color="auto"/>
            </w:tcBorders>
            <w:shd w:val="clear" w:color="auto" w:fill="auto"/>
            <w:noWrap/>
            <w:vAlign w:val="center"/>
          </w:tcPr>
          <w:p w:rsidR="00B43A2F" w:rsidRPr="00EB2995" w:rsidRDefault="00B43A2F" w:rsidP="00B43A2F">
            <w:pPr>
              <w:jc w:val="right"/>
              <w:rPr>
                <w:rFonts w:cs="Calibri"/>
                <w:color w:val="000000"/>
                <w:sz w:val="18"/>
                <w:szCs w:val="18"/>
                <w:lang w:eastAsia="en-GB"/>
              </w:rPr>
            </w:pPr>
            <w:r>
              <w:rPr>
                <w:rFonts w:cs="Calibri"/>
                <w:color w:val="000000"/>
                <w:sz w:val="18"/>
                <w:szCs w:val="18"/>
              </w:rPr>
              <w:t>0.0</w:t>
            </w:r>
          </w:p>
        </w:tc>
        <w:tc>
          <w:tcPr>
            <w:tcW w:w="1275" w:type="dxa"/>
            <w:gridSpan w:val="2"/>
            <w:tcBorders>
              <w:top w:val="nil"/>
              <w:left w:val="nil"/>
              <w:bottom w:val="single" w:sz="8" w:space="0" w:color="auto"/>
              <w:right w:val="single" w:sz="8" w:space="0" w:color="auto"/>
            </w:tcBorders>
            <w:shd w:val="clear" w:color="auto" w:fill="auto"/>
            <w:noWrap/>
            <w:vAlign w:val="center"/>
          </w:tcPr>
          <w:p w:rsidR="00B43A2F" w:rsidRPr="00EB2995" w:rsidRDefault="00B43A2F" w:rsidP="00B43A2F">
            <w:pPr>
              <w:jc w:val="right"/>
              <w:rPr>
                <w:rFonts w:cs="Calibri"/>
                <w:color w:val="000000"/>
                <w:sz w:val="18"/>
                <w:szCs w:val="18"/>
                <w:lang w:eastAsia="en-GB"/>
              </w:rPr>
            </w:pPr>
            <w:r>
              <w:rPr>
                <w:rFonts w:cs="Calibri"/>
                <w:color w:val="000000"/>
                <w:sz w:val="18"/>
                <w:szCs w:val="18"/>
              </w:rPr>
              <w:t>0.0</w:t>
            </w:r>
          </w:p>
        </w:tc>
        <w:tc>
          <w:tcPr>
            <w:tcW w:w="851" w:type="dxa"/>
            <w:gridSpan w:val="2"/>
            <w:tcBorders>
              <w:top w:val="nil"/>
              <w:left w:val="nil"/>
              <w:bottom w:val="single" w:sz="8" w:space="0" w:color="auto"/>
              <w:right w:val="single" w:sz="8" w:space="0" w:color="auto"/>
            </w:tcBorders>
            <w:shd w:val="clear" w:color="auto" w:fill="auto"/>
            <w:noWrap/>
            <w:vAlign w:val="center"/>
          </w:tcPr>
          <w:p w:rsidR="00B43A2F" w:rsidRPr="00EB2995" w:rsidRDefault="00B43A2F" w:rsidP="00B43A2F">
            <w:pPr>
              <w:jc w:val="right"/>
              <w:rPr>
                <w:rFonts w:cs="Calibri"/>
                <w:color w:val="000000"/>
                <w:sz w:val="18"/>
                <w:szCs w:val="18"/>
                <w:lang w:eastAsia="en-GB"/>
              </w:rPr>
            </w:pPr>
            <w:r>
              <w:rPr>
                <w:rFonts w:cs="Calibri"/>
                <w:color w:val="000000"/>
                <w:sz w:val="18"/>
                <w:szCs w:val="18"/>
              </w:rPr>
              <w:t>(31.7)</w:t>
            </w:r>
          </w:p>
        </w:tc>
        <w:tc>
          <w:tcPr>
            <w:tcW w:w="850" w:type="dxa"/>
            <w:gridSpan w:val="2"/>
            <w:tcBorders>
              <w:top w:val="nil"/>
              <w:left w:val="nil"/>
              <w:bottom w:val="single" w:sz="8" w:space="0" w:color="auto"/>
              <w:right w:val="single" w:sz="8" w:space="0" w:color="auto"/>
            </w:tcBorders>
            <w:shd w:val="clear" w:color="auto" w:fill="auto"/>
            <w:noWrap/>
            <w:vAlign w:val="center"/>
          </w:tcPr>
          <w:p w:rsidR="00B43A2F" w:rsidRPr="00EB2995" w:rsidRDefault="00B43A2F" w:rsidP="00B43A2F">
            <w:pPr>
              <w:jc w:val="right"/>
              <w:rPr>
                <w:rFonts w:cs="Calibri"/>
                <w:i/>
                <w:iCs/>
                <w:color w:val="000000"/>
                <w:sz w:val="18"/>
                <w:szCs w:val="18"/>
                <w:lang w:eastAsia="en-GB"/>
              </w:rPr>
            </w:pPr>
            <w:r>
              <w:rPr>
                <w:rFonts w:cs="Calibri"/>
                <w:i/>
                <w:iCs/>
                <w:color w:val="000000"/>
                <w:sz w:val="18"/>
                <w:szCs w:val="18"/>
              </w:rPr>
              <w:t>(2.4)</w:t>
            </w:r>
          </w:p>
        </w:tc>
      </w:tr>
      <w:tr w:rsidR="00B43A2F" w:rsidRPr="00EB2995" w:rsidTr="00B43A2F">
        <w:trPr>
          <w:gridAfter w:val="1"/>
          <w:wAfter w:w="8" w:type="dxa"/>
          <w:trHeight w:hRule="exact" w:val="397"/>
        </w:trPr>
        <w:tc>
          <w:tcPr>
            <w:tcW w:w="2835" w:type="dxa"/>
            <w:tcBorders>
              <w:top w:val="nil"/>
              <w:left w:val="single" w:sz="8" w:space="0" w:color="auto"/>
              <w:bottom w:val="single" w:sz="8" w:space="0" w:color="auto"/>
              <w:right w:val="single" w:sz="8" w:space="0" w:color="auto"/>
            </w:tcBorders>
            <w:shd w:val="clear" w:color="auto" w:fill="auto"/>
            <w:vAlign w:val="center"/>
            <w:hideMark/>
          </w:tcPr>
          <w:p w:rsidR="00B43A2F" w:rsidRPr="00EB2995" w:rsidRDefault="00B43A2F" w:rsidP="00B43A2F">
            <w:pPr>
              <w:rPr>
                <w:rFonts w:cs="Calibri"/>
                <w:color w:val="000000"/>
                <w:sz w:val="18"/>
                <w:szCs w:val="18"/>
                <w:lang w:eastAsia="en-GB"/>
              </w:rPr>
            </w:pPr>
            <w:r w:rsidRPr="00EB2995">
              <w:rPr>
                <w:rFonts w:cs="Calibri"/>
                <w:color w:val="000000"/>
                <w:sz w:val="18"/>
                <w:szCs w:val="18"/>
                <w:lang w:eastAsia="en-GB"/>
              </w:rPr>
              <w:t>Depreciation written out</w:t>
            </w:r>
          </w:p>
        </w:tc>
        <w:tc>
          <w:tcPr>
            <w:tcW w:w="992" w:type="dxa"/>
            <w:tcBorders>
              <w:top w:val="nil"/>
              <w:left w:val="nil"/>
              <w:bottom w:val="single" w:sz="8" w:space="0" w:color="auto"/>
              <w:right w:val="nil"/>
            </w:tcBorders>
            <w:shd w:val="clear" w:color="auto" w:fill="auto"/>
            <w:noWrap/>
            <w:vAlign w:val="center"/>
          </w:tcPr>
          <w:p w:rsidR="00B43A2F" w:rsidRPr="00EB2995" w:rsidRDefault="00B43A2F" w:rsidP="00B43A2F">
            <w:pPr>
              <w:jc w:val="right"/>
              <w:rPr>
                <w:rFonts w:cs="Calibri"/>
                <w:color w:val="000000"/>
                <w:sz w:val="18"/>
                <w:szCs w:val="18"/>
                <w:lang w:eastAsia="en-GB"/>
              </w:rPr>
            </w:pPr>
            <w:r>
              <w:rPr>
                <w:rFonts w:cs="Calibri"/>
                <w:color w:val="000000"/>
                <w:sz w:val="18"/>
                <w:szCs w:val="18"/>
              </w:rPr>
              <w:t>7.4</w:t>
            </w:r>
          </w:p>
        </w:tc>
        <w:tc>
          <w:tcPr>
            <w:tcW w:w="993" w:type="dxa"/>
            <w:gridSpan w:val="2"/>
            <w:tcBorders>
              <w:top w:val="nil"/>
              <w:left w:val="single" w:sz="8" w:space="0" w:color="auto"/>
              <w:bottom w:val="single" w:sz="8" w:space="0" w:color="auto"/>
              <w:right w:val="single" w:sz="8" w:space="0" w:color="auto"/>
            </w:tcBorders>
            <w:shd w:val="clear" w:color="auto" w:fill="auto"/>
            <w:noWrap/>
            <w:vAlign w:val="center"/>
          </w:tcPr>
          <w:p w:rsidR="00B43A2F" w:rsidRPr="00EB2995" w:rsidRDefault="00EA2048" w:rsidP="00B43A2F">
            <w:pPr>
              <w:jc w:val="right"/>
              <w:rPr>
                <w:rFonts w:cs="Calibri"/>
                <w:color w:val="000000"/>
                <w:sz w:val="18"/>
                <w:szCs w:val="18"/>
                <w:lang w:eastAsia="en-GB"/>
              </w:rPr>
            </w:pPr>
            <w:r>
              <w:rPr>
                <w:rFonts w:cs="Calibri"/>
                <w:color w:val="000000"/>
                <w:sz w:val="18"/>
                <w:szCs w:val="18"/>
              </w:rPr>
              <w:t>23.4</w:t>
            </w:r>
          </w:p>
        </w:tc>
        <w:tc>
          <w:tcPr>
            <w:tcW w:w="850" w:type="dxa"/>
            <w:gridSpan w:val="2"/>
            <w:tcBorders>
              <w:top w:val="nil"/>
              <w:left w:val="nil"/>
              <w:bottom w:val="single" w:sz="8" w:space="0" w:color="auto"/>
              <w:right w:val="single" w:sz="8" w:space="0" w:color="auto"/>
            </w:tcBorders>
            <w:shd w:val="clear" w:color="auto" w:fill="auto"/>
            <w:noWrap/>
            <w:vAlign w:val="center"/>
          </w:tcPr>
          <w:p w:rsidR="00B43A2F" w:rsidRPr="00EB2995" w:rsidRDefault="00B43A2F" w:rsidP="00B43A2F">
            <w:pPr>
              <w:jc w:val="right"/>
              <w:rPr>
                <w:rFonts w:cs="Calibri"/>
                <w:color w:val="000000"/>
                <w:sz w:val="18"/>
                <w:szCs w:val="18"/>
                <w:lang w:eastAsia="en-GB"/>
              </w:rPr>
            </w:pPr>
            <w:r>
              <w:rPr>
                <w:rFonts w:cs="Calibri"/>
                <w:color w:val="000000"/>
                <w:sz w:val="18"/>
                <w:szCs w:val="18"/>
              </w:rPr>
              <w:t>0.1</w:t>
            </w:r>
          </w:p>
        </w:tc>
        <w:tc>
          <w:tcPr>
            <w:tcW w:w="1134" w:type="dxa"/>
            <w:gridSpan w:val="2"/>
            <w:tcBorders>
              <w:top w:val="nil"/>
              <w:left w:val="nil"/>
              <w:bottom w:val="single" w:sz="8" w:space="0" w:color="auto"/>
              <w:right w:val="single" w:sz="8" w:space="0" w:color="auto"/>
            </w:tcBorders>
            <w:shd w:val="clear" w:color="auto" w:fill="auto"/>
            <w:noWrap/>
            <w:vAlign w:val="center"/>
          </w:tcPr>
          <w:p w:rsidR="00B43A2F" w:rsidRPr="00EB2995" w:rsidRDefault="00B43A2F" w:rsidP="00B43A2F">
            <w:pPr>
              <w:jc w:val="right"/>
              <w:rPr>
                <w:rFonts w:cs="Calibri"/>
                <w:color w:val="000000"/>
                <w:sz w:val="18"/>
                <w:szCs w:val="18"/>
                <w:lang w:eastAsia="en-GB"/>
              </w:rPr>
            </w:pPr>
            <w:r>
              <w:rPr>
                <w:rFonts w:cs="Calibri"/>
                <w:color w:val="000000"/>
                <w:sz w:val="18"/>
                <w:szCs w:val="18"/>
              </w:rPr>
              <w:t>0.1</w:t>
            </w:r>
          </w:p>
        </w:tc>
        <w:tc>
          <w:tcPr>
            <w:tcW w:w="851" w:type="dxa"/>
            <w:gridSpan w:val="2"/>
            <w:tcBorders>
              <w:top w:val="nil"/>
              <w:left w:val="nil"/>
              <w:bottom w:val="single" w:sz="8" w:space="0" w:color="auto"/>
              <w:right w:val="single" w:sz="8" w:space="0" w:color="auto"/>
            </w:tcBorders>
            <w:shd w:val="clear" w:color="auto" w:fill="auto"/>
            <w:noWrap/>
            <w:vAlign w:val="center"/>
          </w:tcPr>
          <w:p w:rsidR="00B43A2F" w:rsidRPr="00EB2995" w:rsidRDefault="00B43A2F" w:rsidP="00B43A2F">
            <w:pPr>
              <w:jc w:val="right"/>
              <w:rPr>
                <w:rFonts w:cs="Calibri"/>
                <w:color w:val="000000"/>
                <w:sz w:val="18"/>
                <w:szCs w:val="18"/>
                <w:lang w:eastAsia="en-GB"/>
              </w:rPr>
            </w:pPr>
            <w:r>
              <w:rPr>
                <w:rFonts w:cs="Calibri"/>
                <w:color w:val="000000"/>
                <w:sz w:val="18"/>
                <w:szCs w:val="18"/>
              </w:rPr>
              <w:t>0.0</w:t>
            </w:r>
          </w:p>
        </w:tc>
        <w:tc>
          <w:tcPr>
            <w:tcW w:w="1275" w:type="dxa"/>
            <w:gridSpan w:val="2"/>
            <w:tcBorders>
              <w:top w:val="nil"/>
              <w:left w:val="nil"/>
              <w:bottom w:val="single" w:sz="8" w:space="0" w:color="auto"/>
              <w:right w:val="single" w:sz="8" w:space="0" w:color="auto"/>
            </w:tcBorders>
            <w:shd w:val="clear" w:color="auto" w:fill="auto"/>
            <w:noWrap/>
            <w:vAlign w:val="center"/>
          </w:tcPr>
          <w:p w:rsidR="00B43A2F" w:rsidRPr="00EB2995" w:rsidRDefault="00B43A2F" w:rsidP="00B43A2F">
            <w:pPr>
              <w:jc w:val="right"/>
              <w:rPr>
                <w:rFonts w:cs="Calibri"/>
                <w:color w:val="000000"/>
                <w:sz w:val="18"/>
                <w:szCs w:val="18"/>
                <w:lang w:eastAsia="en-GB"/>
              </w:rPr>
            </w:pPr>
            <w:r>
              <w:rPr>
                <w:rFonts w:cs="Calibri"/>
                <w:color w:val="000000"/>
                <w:sz w:val="18"/>
                <w:szCs w:val="18"/>
              </w:rPr>
              <w:t>0.0</w:t>
            </w:r>
          </w:p>
        </w:tc>
        <w:tc>
          <w:tcPr>
            <w:tcW w:w="851" w:type="dxa"/>
            <w:gridSpan w:val="2"/>
            <w:tcBorders>
              <w:top w:val="nil"/>
              <w:left w:val="nil"/>
              <w:bottom w:val="single" w:sz="8" w:space="0" w:color="auto"/>
              <w:right w:val="single" w:sz="8" w:space="0" w:color="auto"/>
            </w:tcBorders>
            <w:shd w:val="clear" w:color="auto" w:fill="auto"/>
            <w:noWrap/>
            <w:vAlign w:val="center"/>
          </w:tcPr>
          <w:p w:rsidR="00B43A2F" w:rsidRPr="00EB2995" w:rsidRDefault="00B43A2F" w:rsidP="00B43A2F">
            <w:pPr>
              <w:jc w:val="right"/>
              <w:rPr>
                <w:rFonts w:cs="Calibri"/>
                <w:color w:val="000000"/>
                <w:sz w:val="18"/>
                <w:szCs w:val="18"/>
                <w:lang w:eastAsia="en-GB"/>
              </w:rPr>
            </w:pPr>
            <w:r>
              <w:rPr>
                <w:rFonts w:cs="Calibri"/>
                <w:color w:val="000000"/>
                <w:sz w:val="18"/>
                <w:szCs w:val="18"/>
              </w:rPr>
              <w:t>28.3</w:t>
            </w:r>
          </w:p>
        </w:tc>
        <w:tc>
          <w:tcPr>
            <w:tcW w:w="850" w:type="dxa"/>
            <w:gridSpan w:val="2"/>
            <w:tcBorders>
              <w:top w:val="nil"/>
              <w:left w:val="nil"/>
              <w:bottom w:val="single" w:sz="8" w:space="0" w:color="auto"/>
              <w:right w:val="single" w:sz="8" w:space="0" w:color="auto"/>
            </w:tcBorders>
            <w:shd w:val="clear" w:color="auto" w:fill="auto"/>
            <w:noWrap/>
            <w:vAlign w:val="center"/>
          </w:tcPr>
          <w:p w:rsidR="00B43A2F" w:rsidRPr="00EB2995" w:rsidRDefault="00B43A2F" w:rsidP="00B43A2F">
            <w:pPr>
              <w:jc w:val="right"/>
              <w:rPr>
                <w:rFonts w:cs="Calibri"/>
                <w:i/>
                <w:iCs/>
                <w:color w:val="000000"/>
                <w:sz w:val="18"/>
                <w:szCs w:val="18"/>
                <w:lang w:eastAsia="en-GB"/>
              </w:rPr>
            </w:pPr>
            <w:r>
              <w:rPr>
                <w:rFonts w:cs="Calibri"/>
                <w:i/>
                <w:iCs/>
                <w:color w:val="000000"/>
                <w:sz w:val="18"/>
                <w:szCs w:val="18"/>
              </w:rPr>
              <w:t>5.3</w:t>
            </w:r>
          </w:p>
        </w:tc>
      </w:tr>
      <w:tr w:rsidR="00B43A2F" w:rsidRPr="00EB2995" w:rsidTr="00B43A2F">
        <w:trPr>
          <w:gridAfter w:val="1"/>
          <w:wAfter w:w="8" w:type="dxa"/>
          <w:trHeight w:hRule="exact" w:val="722"/>
        </w:trPr>
        <w:tc>
          <w:tcPr>
            <w:tcW w:w="2835" w:type="dxa"/>
            <w:tcBorders>
              <w:top w:val="nil"/>
              <w:left w:val="single" w:sz="8" w:space="0" w:color="auto"/>
              <w:bottom w:val="single" w:sz="8" w:space="0" w:color="auto"/>
              <w:right w:val="single" w:sz="8" w:space="0" w:color="auto"/>
            </w:tcBorders>
            <w:shd w:val="clear" w:color="auto" w:fill="auto"/>
            <w:vAlign w:val="center"/>
            <w:hideMark/>
          </w:tcPr>
          <w:p w:rsidR="00B43A2F" w:rsidRPr="00EB2995" w:rsidRDefault="00B43A2F" w:rsidP="00B43A2F">
            <w:pPr>
              <w:rPr>
                <w:rFonts w:cs="Calibri"/>
                <w:color w:val="000000"/>
                <w:sz w:val="18"/>
                <w:szCs w:val="18"/>
                <w:lang w:eastAsia="en-GB"/>
              </w:rPr>
            </w:pPr>
            <w:r w:rsidRPr="00EB2995">
              <w:rPr>
                <w:rFonts w:cs="Calibri"/>
                <w:color w:val="000000"/>
                <w:sz w:val="18"/>
                <w:szCs w:val="18"/>
                <w:lang w:eastAsia="en-GB"/>
              </w:rPr>
              <w:t>Impairment losses (reversals) recognised in the Revaluation Reserve</w:t>
            </w:r>
          </w:p>
        </w:tc>
        <w:tc>
          <w:tcPr>
            <w:tcW w:w="992" w:type="dxa"/>
            <w:tcBorders>
              <w:top w:val="nil"/>
              <w:left w:val="nil"/>
              <w:bottom w:val="single" w:sz="8" w:space="0" w:color="auto"/>
              <w:right w:val="nil"/>
            </w:tcBorders>
            <w:shd w:val="clear" w:color="auto" w:fill="auto"/>
            <w:noWrap/>
            <w:vAlign w:val="center"/>
          </w:tcPr>
          <w:p w:rsidR="00B43A2F" w:rsidRPr="00EB2995" w:rsidRDefault="00B43A2F" w:rsidP="00B43A2F">
            <w:pPr>
              <w:jc w:val="right"/>
              <w:rPr>
                <w:rFonts w:cs="Calibri"/>
                <w:color w:val="000000"/>
                <w:sz w:val="18"/>
                <w:szCs w:val="18"/>
                <w:lang w:eastAsia="en-GB"/>
              </w:rPr>
            </w:pPr>
            <w:r>
              <w:rPr>
                <w:rFonts w:cs="Calibri"/>
                <w:color w:val="000000"/>
                <w:sz w:val="18"/>
                <w:szCs w:val="18"/>
              </w:rPr>
              <w:t>0.0</w:t>
            </w:r>
          </w:p>
        </w:tc>
        <w:tc>
          <w:tcPr>
            <w:tcW w:w="993" w:type="dxa"/>
            <w:gridSpan w:val="2"/>
            <w:tcBorders>
              <w:top w:val="nil"/>
              <w:left w:val="single" w:sz="8" w:space="0" w:color="auto"/>
              <w:bottom w:val="single" w:sz="8" w:space="0" w:color="auto"/>
              <w:right w:val="single" w:sz="8" w:space="0" w:color="auto"/>
            </w:tcBorders>
            <w:shd w:val="clear" w:color="auto" w:fill="auto"/>
            <w:noWrap/>
            <w:vAlign w:val="center"/>
          </w:tcPr>
          <w:p w:rsidR="00B43A2F" w:rsidRPr="00EB2995" w:rsidRDefault="00B43A2F" w:rsidP="00B43A2F">
            <w:pPr>
              <w:jc w:val="right"/>
              <w:rPr>
                <w:rFonts w:cs="Calibri"/>
                <w:color w:val="000000"/>
                <w:sz w:val="18"/>
                <w:szCs w:val="18"/>
                <w:lang w:eastAsia="en-GB"/>
              </w:rPr>
            </w:pPr>
            <w:r>
              <w:rPr>
                <w:rFonts w:cs="Calibri"/>
                <w:color w:val="000000"/>
                <w:sz w:val="18"/>
                <w:szCs w:val="18"/>
              </w:rPr>
              <w:t>(0.1)</w:t>
            </w:r>
          </w:p>
        </w:tc>
        <w:tc>
          <w:tcPr>
            <w:tcW w:w="850" w:type="dxa"/>
            <w:gridSpan w:val="2"/>
            <w:tcBorders>
              <w:top w:val="nil"/>
              <w:left w:val="nil"/>
              <w:bottom w:val="single" w:sz="8" w:space="0" w:color="auto"/>
              <w:right w:val="single" w:sz="8" w:space="0" w:color="auto"/>
            </w:tcBorders>
            <w:shd w:val="clear" w:color="auto" w:fill="auto"/>
            <w:noWrap/>
            <w:vAlign w:val="center"/>
          </w:tcPr>
          <w:p w:rsidR="00B43A2F" w:rsidRPr="00EB2995" w:rsidRDefault="00B43A2F" w:rsidP="00B43A2F">
            <w:pPr>
              <w:jc w:val="right"/>
              <w:rPr>
                <w:rFonts w:cs="Calibri"/>
                <w:color w:val="000000"/>
                <w:sz w:val="18"/>
                <w:szCs w:val="18"/>
                <w:lang w:eastAsia="en-GB"/>
              </w:rPr>
            </w:pPr>
            <w:r>
              <w:rPr>
                <w:rFonts w:cs="Calibri"/>
                <w:color w:val="000000"/>
                <w:sz w:val="18"/>
                <w:szCs w:val="18"/>
              </w:rPr>
              <w:t>0.0</w:t>
            </w:r>
          </w:p>
        </w:tc>
        <w:tc>
          <w:tcPr>
            <w:tcW w:w="1134" w:type="dxa"/>
            <w:gridSpan w:val="2"/>
            <w:tcBorders>
              <w:top w:val="nil"/>
              <w:left w:val="nil"/>
              <w:bottom w:val="single" w:sz="8" w:space="0" w:color="auto"/>
              <w:right w:val="single" w:sz="8" w:space="0" w:color="auto"/>
            </w:tcBorders>
            <w:shd w:val="clear" w:color="auto" w:fill="auto"/>
            <w:noWrap/>
            <w:vAlign w:val="center"/>
          </w:tcPr>
          <w:p w:rsidR="00B43A2F" w:rsidRPr="00EB2995" w:rsidRDefault="00B43A2F" w:rsidP="00B43A2F">
            <w:pPr>
              <w:jc w:val="right"/>
              <w:rPr>
                <w:rFonts w:cs="Calibri"/>
                <w:color w:val="000000"/>
                <w:sz w:val="18"/>
                <w:szCs w:val="18"/>
                <w:lang w:eastAsia="en-GB"/>
              </w:rPr>
            </w:pPr>
            <w:r>
              <w:rPr>
                <w:rFonts w:cs="Calibri"/>
                <w:color w:val="000000"/>
                <w:sz w:val="18"/>
                <w:szCs w:val="18"/>
              </w:rPr>
              <w:t>0.0</w:t>
            </w:r>
          </w:p>
        </w:tc>
        <w:tc>
          <w:tcPr>
            <w:tcW w:w="851" w:type="dxa"/>
            <w:gridSpan w:val="2"/>
            <w:tcBorders>
              <w:top w:val="nil"/>
              <w:left w:val="nil"/>
              <w:bottom w:val="single" w:sz="8" w:space="0" w:color="auto"/>
              <w:right w:val="single" w:sz="8" w:space="0" w:color="auto"/>
            </w:tcBorders>
            <w:shd w:val="clear" w:color="auto" w:fill="auto"/>
            <w:noWrap/>
            <w:vAlign w:val="center"/>
          </w:tcPr>
          <w:p w:rsidR="00B43A2F" w:rsidRPr="00EB2995" w:rsidRDefault="00B43A2F" w:rsidP="00B43A2F">
            <w:pPr>
              <w:jc w:val="right"/>
              <w:rPr>
                <w:rFonts w:cs="Calibri"/>
                <w:color w:val="000000"/>
                <w:sz w:val="18"/>
                <w:szCs w:val="18"/>
                <w:lang w:eastAsia="en-GB"/>
              </w:rPr>
            </w:pPr>
            <w:r>
              <w:rPr>
                <w:rFonts w:cs="Calibri"/>
                <w:color w:val="000000"/>
                <w:sz w:val="18"/>
                <w:szCs w:val="18"/>
              </w:rPr>
              <w:t>0.0</w:t>
            </w:r>
          </w:p>
        </w:tc>
        <w:tc>
          <w:tcPr>
            <w:tcW w:w="1275" w:type="dxa"/>
            <w:gridSpan w:val="2"/>
            <w:tcBorders>
              <w:top w:val="nil"/>
              <w:left w:val="nil"/>
              <w:bottom w:val="single" w:sz="8" w:space="0" w:color="auto"/>
              <w:right w:val="single" w:sz="8" w:space="0" w:color="auto"/>
            </w:tcBorders>
            <w:shd w:val="clear" w:color="auto" w:fill="auto"/>
            <w:noWrap/>
            <w:vAlign w:val="center"/>
          </w:tcPr>
          <w:p w:rsidR="00B43A2F" w:rsidRPr="00EB2995" w:rsidRDefault="00B43A2F" w:rsidP="00B43A2F">
            <w:pPr>
              <w:jc w:val="right"/>
              <w:rPr>
                <w:rFonts w:cs="Calibri"/>
                <w:color w:val="000000"/>
                <w:sz w:val="18"/>
                <w:szCs w:val="18"/>
                <w:lang w:eastAsia="en-GB"/>
              </w:rPr>
            </w:pPr>
            <w:r>
              <w:rPr>
                <w:rFonts w:cs="Calibri"/>
                <w:color w:val="000000"/>
                <w:sz w:val="18"/>
                <w:szCs w:val="18"/>
              </w:rPr>
              <w:t>0.0</w:t>
            </w:r>
          </w:p>
        </w:tc>
        <w:tc>
          <w:tcPr>
            <w:tcW w:w="851" w:type="dxa"/>
            <w:gridSpan w:val="2"/>
            <w:tcBorders>
              <w:top w:val="nil"/>
              <w:left w:val="nil"/>
              <w:bottom w:val="single" w:sz="8" w:space="0" w:color="auto"/>
              <w:right w:val="single" w:sz="8" w:space="0" w:color="auto"/>
            </w:tcBorders>
            <w:shd w:val="clear" w:color="auto" w:fill="auto"/>
            <w:noWrap/>
            <w:vAlign w:val="center"/>
          </w:tcPr>
          <w:p w:rsidR="00B43A2F" w:rsidRPr="00EB2995" w:rsidRDefault="00B43A2F" w:rsidP="00B43A2F">
            <w:pPr>
              <w:jc w:val="right"/>
              <w:rPr>
                <w:rFonts w:cs="Calibri"/>
                <w:color w:val="000000"/>
                <w:sz w:val="18"/>
                <w:szCs w:val="18"/>
                <w:lang w:eastAsia="en-GB"/>
              </w:rPr>
            </w:pPr>
            <w:r>
              <w:rPr>
                <w:rFonts w:cs="Calibri"/>
                <w:color w:val="000000"/>
                <w:sz w:val="18"/>
                <w:szCs w:val="18"/>
              </w:rPr>
              <w:t>(0.1)</w:t>
            </w:r>
          </w:p>
        </w:tc>
        <w:tc>
          <w:tcPr>
            <w:tcW w:w="850" w:type="dxa"/>
            <w:gridSpan w:val="2"/>
            <w:tcBorders>
              <w:top w:val="nil"/>
              <w:left w:val="nil"/>
              <w:bottom w:val="single" w:sz="8" w:space="0" w:color="auto"/>
              <w:right w:val="single" w:sz="8" w:space="0" w:color="auto"/>
            </w:tcBorders>
            <w:shd w:val="clear" w:color="auto" w:fill="auto"/>
            <w:noWrap/>
            <w:vAlign w:val="center"/>
          </w:tcPr>
          <w:p w:rsidR="00B43A2F" w:rsidRPr="00EB2995" w:rsidRDefault="00B43A2F" w:rsidP="00B43A2F">
            <w:pPr>
              <w:jc w:val="right"/>
              <w:rPr>
                <w:rFonts w:cs="Calibri"/>
                <w:i/>
                <w:iCs/>
                <w:color w:val="000000"/>
                <w:sz w:val="18"/>
                <w:szCs w:val="18"/>
                <w:lang w:eastAsia="en-GB"/>
              </w:rPr>
            </w:pPr>
            <w:r>
              <w:rPr>
                <w:rFonts w:cs="Calibri"/>
                <w:i/>
                <w:iCs/>
                <w:color w:val="000000"/>
                <w:sz w:val="18"/>
                <w:szCs w:val="18"/>
              </w:rPr>
              <w:t>0.0</w:t>
            </w:r>
          </w:p>
        </w:tc>
      </w:tr>
      <w:tr w:rsidR="00B43A2F" w:rsidRPr="00EB2995" w:rsidTr="00B43A2F">
        <w:trPr>
          <w:gridAfter w:val="1"/>
          <w:wAfter w:w="8" w:type="dxa"/>
          <w:trHeight w:hRule="exact" w:val="704"/>
        </w:trPr>
        <w:tc>
          <w:tcPr>
            <w:tcW w:w="2835" w:type="dxa"/>
            <w:tcBorders>
              <w:top w:val="nil"/>
              <w:left w:val="single" w:sz="8" w:space="0" w:color="auto"/>
              <w:bottom w:val="single" w:sz="8" w:space="0" w:color="auto"/>
              <w:right w:val="single" w:sz="8" w:space="0" w:color="auto"/>
            </w:tcBorders>
            <w:shd w:val="clear" w:color="auto" w:fill="auto"/>
            <w:vAlign w:val="center"/>
            <w:hideMark/>
          </w:tcPr>
          <w:p w:rsidR="00B43A2F" w:rsidRPr="00EB2995" w:rsidRDefault="00B43A2F" w:rsidP="00B43A2F">
            <w:pPr>
              <w:rPr>
                <w:rFonts w:cs="Calibri"/>
                <w:color w:val="000000"/>
                <w:sz w:val="18"/>
                <w:szCs w:val="18"/>
                <w:lang w:eastAsia="en-GB"/>
              </w:rPr>
            </w:pPr>
            <w:r w:rsidRPr="00EB2995">
              <w:rPr>
                <w:rFonts w:cs="Calibri"/>
                <w:color w:val="000000"/>
                <w:sz w:val="18"/>
                <w:szCs w:val="18"/>
                <w:lang w:eastAsia="en-GB"/>
              </w:rPr>
              <w:t>Impairment Losses/(Reversals) recognised in the Surplus/Deficit on the Provision of Services</w:t>
            </w:r>
          </w:p>
        </w:tc>
        <w:tc>
          <w:tcPr>
            <w:tcW w:w="992" w:type="dxa"/>
            <w:tcBorders>
              <w:top w:val="nil"/>
              <w:left w:val="nil"/>
              <w:bottom w:val="single" w:sz="8" w:space="0" w:color="auto"/>
              <w:right w:val="nil"/>
            </w:tcBorders>
            <w:shd w:val="clear" w:color="auto" w:fill="auto"/>
            <w:noWrap/>
            <w:vAlign w:val="center"/>
          </w:tcPr>
          <w:p w:rsidR="00B43A2F" w:rsidRPr="00EB2995" w:rsidRDefault="00B43A2F" w:rsidP="00B43A2F">
            <w:pPr>
              <w:jc w:val="right"/>
              <w:rPr>
                <w:rFonts w:cs="Calibri"/>
                <w:color w:val="000000"/>
                <w:sz w:val="18"/>
                <w:szCs w:val="18"/>
                <w:lang w:eastAsia="en-GB"/>
              </w:rPr>
            </w:pPr>
            <w:r>
              <w:rPr>
                <w:rFonts w:cs="Calibri"/>
                <w:color w:val="000000"/>
                <w:sz w:val="18"/>
                <w:szCs w:val="18"/>
              </w:rPr>
              <w:t>(0.1)</w:t>
            </w:r>
          </w:p>
        </w:tc>
        <w:tc>
          <w:tcPr>
            <w:tcW w:w="993" w:type="dxa"/>
            <w:gridSpan w:val="2"/>
            <w:tcBorders>
              <w:top w:val="nil"/>
              <w:left w:val="single" w:sz="8" w:space="0" w:color="auto"/>
              <w:bottom w:val="single" w:sz="8" w:space="0" w:color="auto"/>
              <w:right w:val="single" w:sz="8" w:space="0" w:color="auto"/>
            </w:tcBorders>
            <w:shd w:val="clear" w:color="auto" w:fill="auto"/>
            <w:noWrap/>
            <w:vAlign w:val="center"/>
          </w:tcPr>
          <w:p w:rsidR="00B43A2F" w:rsidRPr="00EB2995" w:rsidRDefault="00B43A2F" w:rsidP="00B43A2F">
            <w:pPr>
              <w:jc w:val="right"/>
              <w:rPr>
                <w:rFonts w:cs="Calibri"/>
                <w:color w:val="000000"/>
                <w:sz w:val="18"/>
                <w:szCs w:val="18"/>
                <w:lang w:eastAsia="en-GB"/>
              </w:rPr>
            </w:pPr>
            <w:r>
              <w:rPr>
                <w:rFonts w:cs="Calibri"/>
                <w:color w:val="000000"/>
                <w:sz w:val="18"/>
                <w:szCs w:val="18"/>
              </w:rPr>
              <w:t>0.0</w:t>
            </w:r>
          </w:p>
        </w:tc>
        <w:tc>
          <w:tcPr>
            <w:tcW w:w="850" w:type="dxa"/>
            <w:gridSpan w:val="2"/>
            <w:tcBorders>
              <w:top w:val="nil"/>
              <w:left w:val="nil"/>
              <w:bottom w:val="single" w:sz="8" w:space="0" w:color="auto"/>
              <w:right w:val="single" w:sz="8" w:space="0" w:color="auto"/>
            </w:tcBorders>
            <w:shd w:val="clear" w:color="auto" w:fill="auto"/>
            <w:noWrap/>
            <w:vAlign w:val="center"/>
          </w:tcPr>
          <w:p w:rsidR="00B43A2F" w:rsidRPr="00EB2995" w:rsidRDefault="00B43A2F" w:rsidP="00B43A2F">
            <w:pPr>
              <w:jc w:val="right"/>
              <w:rPr>
                <w:rFonts w:cs="Calibri"/>
                <w:color w:val="000000"/>
                <w:sz w:val="18"/>
                <w:szCs w:val="18"/>
                <w:lang w:eastAsia="en-GB"/>
              </w:rPr>
            </w:pPr>
            <w:r>
              <w:rPr>
                <w:rFonts w:cs="Calibri"/>
                <w:color w:val="000000"/>
                <w:sz w:val="18"/>
                <w:szCs w:val="18"/>
              </w:rPr>
              <w:t>0.0</w:t>
            </w:r>
          </w:p>
        </w:tc>
        <w:tc>
          <w:tcPr>
            <w:tcW w:w="1134" w:type="dxa"/>
            <w:gridSpan w:val="2"/>
            <w:tcBorders>
              <w:top w:val="nil"/>
              <w:left w:val="nil"/>
              <w:bottom w:val="single" w:sz="8" w:space="0" w:color="auto"/>
              <w:right w:val="single" w:sz="8" w:space="0" w:color="auto"/>
            </w:tcBorders>
            <w:shd w:val="clear" w:color="auto" w:fill="auto"/>
            <w:noWrap/>
            <w:vAlign w:val="center"/>
          </w:tcPr>
          <w:p w:rsidR="00B43A2F" w:rsidRPr="00EB2995" w:rsidRDefault="00B43A2F" w:rsidP="00B43A2F">
            <w:pPr>
              <w:jc w:val="right"/>
              <w:rPr>
                <w:rFonts w:cs="Calibri"/>
                <w:color w:val="000000"/>
                <w:sz w:val="18"/>
                <w:szCs w:val="18"/>
                <w:lang w:eastAsia="en-GB"/>
              </w:rPr>
            </w:pPr>
            <w:r>
              <w:rPr>
                <w:rFonts w:cs="Calibri"/>
                <w:color w:val="000000"/>
                <w:sz w:val="18"/>
                <w:szCs w:val="18"/>
              </w:rPr>
              <w:t>0.0</w:t>
            </w:r>
          </w:p>
        </w:tc>
        <w:tc>
          <w:tcPr>
            <w:tcW w:w="851" w:type="dxa"/>
            <w:gridSpan w:val="2"/>
            <w:tcBorders>
              <w:top w:val="nil"/>
              <w:left w:val="nil"/>
              <w:bottom w:val="single" w:sz="8" w:space="0" w:color="auto"/>
              <w:right w:val="single" w:sz="8" w:space="0" w:color="auto"/>
            </w:tcBorders>
            <w:shd w:val="clear" w:color="auto" w:fill="auto"/>
            <w:noWrap/>
            <w:vAlign w:val="center"/>
          </w:tcPr>
          <w:p w:rsidR="00B43A2F" w:rsidRPr="00EB2995" w:rsidRDefault="00B43A2F" w:rsidP="00B43A2F">
            <w:pPr>
              <w:jc w:val="right"/>
              <w:rPr>
                <w:rFonts w:cs="Calibri"/>
                <w:color w:val="000000"/>
                <w:sz w:val="18"/>
                <w:szCs w:val="18"/>
                <w:lang w:eastAsia="en-GB"/>
              </w:rPr>
            </w:pPr>
            <w:r>
              <w:rPr>
                <w:rFonts w:cs="Calibri"/>
                <w:color w:val="000000"/>
                <w:sz w:val="18"/>
                <w:szCs w:val="18"/>
              </w:rPr>
              <w:t>0.0</w:t>
            </w:r>
          </w:p>
        </w:tc>
        <w:tc>
          <w:tcPr>
            <w:tcW w:w="1275" w:type="dxa"/>
            <w:gridSpan w:val="2"/>
            <w:tcBorders>
              <w:top w:val="nil"/>
              <w:left w:val="nil"/>
              <w:bottom w:val="single" w:sz="8" w:space="0" w:color="auto"/>
              <w:right w:val="single" w:sz="8" w:space="0" w:color="auto"/>
            </w:tcBorders>
            <w:shd w:val="clear" w:color="auto" w:fill="auto"/>
            <w:noWrap/>
            <w:vAlign w:val="center"/>
          </w:tcPr>
          <w:p w:rsidR="00B43A2F" w:rsidRPr="00EB2995" w:rsidRDefault="00B43A2F" w:rsidP="00B43A2F">
            <w:pPr>
              <w:jc w:val="right"/>
              <w:rPr>
                <w:rFonts w:cs="Calibri"/>
                <w:color w:val="000000"/>
                <w:sz w:val="18"/>
                <w:szCs w:val="18"/>
                <w:lang w:eastAsia="en-GB"/>
              </w:rPr>
            </w:pPr>
            <w:r>
              <w:rPr>
                <w:rFonts w:cs="Calibri"/>
                <w:color w:val="000000"/>
                <w:sz w:val="18"/>
                <w:szCs w:val="18"/>
              </w:rPr>
              <w:t>0.0</w:t>
            </w:r>
          </w:p>
        </w:tc>
        <w:tc>
          <w:tcPr>
            <w:tcW w:w="851" w:type="dxa"/>
            <w:gridSpan w:val="2"/>
            <w:tcBorders>
              <w:top w:val="nil"/>
              <w:left w:val="nil"/>
              <w:bottom w:val="single" w:sz="8" w:space="0" w:color="auto"/>
              <w:right w:val="single" w:sz="8" w:space="0" w:color="auto"/>
            </w:tcBorders>
            <w:shd w:val="clear" w:color="auto" w:fill="auto"/>
            <w:noWrap/>
            <w:vAlign w:val="center"/>
          </w:tcPr>
          <w:p w:rsidR="00B43A2F" w:rsidRPr="00EB2995" w:rsidRDefault="00B43A2F" w:rsidP="00B43A2F">
            <w:pPr>
              <w:jc w:val="right"/>
              <w:rPr>
                <w:rFonts w:cs="Calibri"/>
                <w:color w:val="000000"/>
                <w:sz w:val="18"/>
                <w:szCs w:val="18"/>
                <w:lang w:eastAsia="en-GB"/>
              </w:rPr>
            </w:pPr>
            <w:r>
              <w:rPr>
                <w:rFonts w:cs="Calibri"/>
                <w:color w:val="000000"/>
                <w:sz w:val="18"/>
                <w:szCs w:val="18"/>
              </w:rPr>
              <w:t>(0.1)</w:t>
            </w:r>
          </w:p>
        </w:tc>
        <w:tc>
          <w:tcPr>
            <w:tcW w:w="850" w:type="dxa"/>
            <w:gridSpan w:val="2"/>
            <w:tcBorders>
              <w:top w:val="nil"/>
              <w:left w:val="nil"/>
              <w:bottom w:val="single" w:sz="8" w:space="0" w:color="auto"/>
              <w:right w:val="single" w:sz="8" w:space="0" w:color="auto"/>
            </w:tcBorders>
            <w:shd w:val="clear" w:color="auto" w:fill="auto"/>
            <w:noWrap/>
            <w:vAlign w:val="center"/>
          </w:tcPr>
          <w:p w:rsidR="00B43A2F" w:rsidRPr="00EB2995" w:rsidRDefault="00B43A2F" w:rsidP="00B43A2F">
            <w:pPr>
              <w:jc w:val="right"/>
              <w:rPr>
                <w:rFonts w:cs="Calibri"/>
                <w:i/>
                <w:iCs/>
                <w:color w:val="000000"/>
                <w:sz w:val="18"/>
                <w:szCs w:val="18"/>
                <w:lang w:eastAsia="en-GB"/>
              </w:rPr>
            </w:pPr>
            <w:r>
              <w:rPr>
                <w:rFonts w:cs="Calibri"/>
                <w:i/>
                <w:iCs/>
                <w:color w:val="000000"/>
                <w:sz w:val="18"/>
                <w:szCs w:val="18"/>
              </w:rPr>
              <w:t>0.0</w:t>
            </w:r>
          </w:p>
        </w:tc>
      </w:tr>
      <w:tr w:rsidR="00B43A2F" w:rsidRPr="00EB2995" w:rsidTr="00B43A2F">
        <w:trPr>
          <w:gridAfter w:val="1"/>
          <w:wAfter w:w="8" w:type="dxa"/>
          <w:trHeight w:hRule="exact" w:val="397"/>
        </w:trPr>
        <w:tc>
          <w:tcPr>
            <w:tcW w:w="2835" w:type="dxa"/>
            <w:tcBorders>
              <w:top w:val="nil"/>
              <w:left w:val="single" w:sz="8" w:space="0" w:color="auto"/>
              <w:bottom w:val="single" w:sz="8" w:space="0" w:color="auto"/>
              <w:right w:val="single" w:sz="8" w:space="0" w:color="auto"/>
            </w:tcBorders>
            <w:shd w:val="clear" w:color="auto" w:fill="auto"/>
            <w:vAlign w:val="center"/>
            <w:hideMark/>
          </w:tcPr>
          <w:p w:rsidR="00B43A2F" w:rsidRPr="00EB2995" w:rsidRDefault="00B43A2F" w:rsidP="00B43A2F">
            <w:pPr>
              <w:rPr>
                <w:rFonts w:cs="Calibri"/>
                <w:color w:val="000000"/>
                <w:sz w:val="18"/>
                <w:szCs w:val="18"/>
                <w:lang w:eastAsia="en-GB"/>
              </w:rPr>
            </w:pPr>
            <w:r w:rsidRPr="00EB2995">
              <w:rPr>
                <w:rFonts w:cs="Calibri"/>
                <w:color w:val="000000"/>
                <w:sz w:val="18"/>
                <w:szCs w:val="18"/>
                <w:lang w:eastAsia="en-GB"/>
              </w:rPr>
              <w:t xml:space="preserve">Derecognition </w:t>
            </w:r>
            <w:r>
              <w:rPr>
                <w:rFonts w:cs="Calibri"/>
                <w:color w:val="000000"/>
                <w:sz w:val="18"/>
                <w:szCs w:val="18"/>
                <w:lang w:eastAsia="en-GB"/>
              </w:rPr>
              <w:t>–</w:t>
            </w:r>
            <w:r w:rsidRPr="00EB2995">
              <w:rPr>
                <w:rFonts w:cs="Calibri"/>
                <w:color w:val="000000"/>
                <w:sz w:val="18"/>
                <w:szCs w:val="18"/>
                <w:lang w:eastAsia="en-GB"/>
              </w:rPr>
              <w:t xml:space="preserve"> Disposals</w:t>
            </w:r>
          </w:p>
        </w:tc>
        <w:tc>
          <w:tcPr>
            <w:tcW w:w="992" w:type="dxa"/>
            <w:tcBorders>
              <w:top w:val="nil"/>
              <w:left w:val="nil"/>
              <w:bottom w:val="single" w:sz="8" w:space="0" w:color="auto"/>
              <w:right w:val="nil"/>
            </w:tcBorders>
            <w:shd w:val="clear" w:color="auto" w:fill="auto"/>
            <w:noWrap/>
            <w:vAlign w:val="center"/>
          </w:tcPr>
          <w:p w:rsidR="00B43A2F" w:rsidRPr="00EB2995" w:rsidRDefault="00B43A2F" w:rsidP="00B43A2F">
            <w:pPr>
              <w:jc w:val="right"/>
              <w:rPr>
                <w:rFonts w:cs="Calibri"/>
                <w:color w:val="000000"/>
                <w:sz w:val="18"/>
                <w:szCs w:val="18"/>
                <w:lang w:eastAsia="en-GB"/>
              </w:rPr>
            </w:pPr>
            <w:r>
              <w:rPr>
                <w:rFonts w:cs="Calibri"/>
                <w:color w:val="000000"/>
                <w:sz w:val="18"/>
                <w:szCs w:val="18"/>
              </w:rPr>
              <w:t>0.0</w:t>
            </w:r>
          </w:p>
        </w:tc>
        <w:tc>
          <w:tcPr>
            <w:tcW w:w="993" w:type="dxa"/>
            <w:gridSpan w:val="2"/>
            <w:tcBorders>
              <w:top w:val="nil"/>
              <w:left w:val="single" w:sz="8" w:space="0" w:color="auto"/>
              <w:bottom w:val="single" w:sz="8" w:space="0" w:color="auto"/>
              <w:right w:val="single" w:sz="8" w:space="0" w:color="auto"/>
            </w:tcBorders>
            <w:shd w:val="clear" w:color="auto" w:fill="auto"/>
            <w:noWrap/>
            <w:vAlign w:val="center"/>
          </w:tcPr>
          <w:p w:rsidR="00B43A2F" w:rsidRPr="00EB2995" w:rsidRDefault="00B43A2F" w:rsidP="00B43A2F">
            <w:pPr>
              <w:jc w:val="right"/>
              <w:rPr>
                <w:rFonts w:cs="Calibri"/>
                <w:color w:val="000000"/>
                <w:sz w:val="18"/>
                <w:szCs w:val="18"/>
                <w:lang w:eastAsia="en-GB"/>
              </w:rPr>
            </w:pPr>
            <w:r>
              <w:rPr>
                <w:rFonts w:cs="Calibri"/>
                <w:color w:val="000000"/>
                <w:sz w:val="18"/>
                <w:szCs w:val="18"/>
              </w:rPr>
              <w:t>0.0</w:t>
            </w:r>
          </w:p>
        </w:tc>
        <w:tc>
          <w:tcPr>
            <w:tcW w:w="850" w:type="dxa"/>
            <w:gridSpan w:val="2"/>
            <w:tcBorders>
              <w:top w:val="nil"/>
              <w:left w:val="nil"/>
              <w:bottom w:val="single" w:sz="8" w:space="0" w:color="auto"/>
              <w:right w:val="single" w:sz="8" w:space="0" w:color="auto"/>
            </w:tcBorders>
            <w:shd w:val="clear" w:color="auto" w:fill="auto"/>
            <w:noWrap/>
            <w:vAlign w:val="center"/>
          </w:tcPr>
          <w:p w:rsidR="00B43A2F" w:rsidRPr="00EB2995" w:rsidRDefault="00B43A2F" w:rsidP="00B43A2F">
            <w:pPr>
              <w:jc w:val="right"/>
              <w:rPr>
                <w:rFonts w:cs="Calibri"/>
                <w:color w:val="000000"/>
                <w:sz w:val="18"/>
                <w:szCs w:val="18"/>
                <w:lang w:eastAsia="en-GB"/>
              </w:rPr>
            </w:pPr>
            <w:r>
              <w:rPr>
                <w:rFonts w:cs="Calibri"/>
                <w:color w:val="000000"/>
                <w:sz w:val="18"/>
                <w:szCs w:val="18"/>
              </w:rPr>
              <w:t>0.0</w:t>
            </w:r>
          </w:p>
        </w:tc>
        <w:tc>
          <w:tcPr>
            <w:tcW w:w="1134" w:type="dxa"/>
            <w:gridSpan w:val="2"/>
            <w:tcBorders>
              <w:top w:val="nil"/>
              <w:left w:val="nil"/>
              <w:bottom w:val="single" w:sz="8" w:space="0" w:color="auto"/>
              <w:right w:val="single" w:sz="8" w:space="0" w:color="auto"/>
            </w:tcBorders>
            <w:shd w:val="clear" w:color="auto" w:fill="auto"/>
            <w:noWrap/>
            <w:vAlign w:val="center"/>
          </w:tcPr>
          <w:p w:rsidR="00B43A2F" w:rsidRPr="00EB2995" w:rsidRDefault="00B43A2F" w:rsidP="00B43A2F">
            <w:pPr>
              <w:jc w:val="right"/>
              <w:rPr>
                <w:rFonts w:cs="Calibri"/>
                <w:color w:val="000000"/>
                <w:sz w:val="18"/>
                <w:szCs w:val="18"/>
                <w:lang w:eastAsia="en-GB"/>
              </w:rPr>
            </w:pPr>
            <w:r>
              <w:rPr>
                <w:rFonts w:cs="Calibri"/>
                <w:color w:val="000000"/>
                <w:sz w:val="18"/>
                <w:szCs w:val="18"/>
              </w:rPr>
              <w:t>0.0</w:t>
            </w:r>
          </w:p>
        </w:tc>
        <w:tc>
          <w:tcPr>
            <w:tcW w:w="851" w:type="dxa"/>
            <w:gridSpan w:val="2"/>
            <w:tcBorders>
              <w:top w:val="nil"/>
              <w:left w:val="nil"/>
              <w:bottom w:val="single" w:sz="8" w:space="0" w:color="auto"/>
              <w:right w:val="single" w:sz="8" w:space="0" w:color="auto"/>
            </w:tcBorders>
            <w:shd w:val="clear" w:color="auto" w:fill="auto"/>
            <w:noWrap/>
            <w:vAlign w:val="center"/>
          </w:tcPr>
          <w:p w:rsidR="00B43A2F" w:rsidRPr="00EB2995" w:rsidRDefault="00B43A2F" w:rsidP="00B43A2F">
            <w:pPr>
              <w:jc w:val="right"/>
              <w:rPr>
                <w:rFonts w:cs="Calibri"/>
                <w:color w:val="000000"/>
                <w:sz w:val="18"/>
                <w:szCs w:val="18"/>
                <w:lang w:eastAsia="en-GB"/>
              </w:rPr>
            </w:pPr>
            <w:r>
              <w:rPr>
                <w:rFonts w:cs="Calibri"/>
                <w:color w:val="000000"/>
                <w:sz w:val="18"/>
                <w:szCs w:val="18"/>
              </w:rPr>
              <w:t>0.0</w:t>
            </w:r>
          </w:p>
        </w:tc>
        <w:tc>
          <w:tcPr>
            <w:tcW w:w="1275" w:type="dxa"/>
            <w:gridSpan w:val="2"/>
            <w:tcBorders>
              <w:top w:val="nil"/>
              <w:left w:val="nil"/>
              <w:bottom w:val="single" w:sz="8" w:space="0" w:color="auto"/>
              <w:right w:val="single" w:sz="8" w:space="0" w:color="auto"/>
            </w:tcBorders>
            <w:shd w:val="clear" w:color="auto" w:fill="auto"/>
            <w:noWrap/>
            <w:vAlign w:val="center"/>
          </w:tcPr>
          <w:p w:rsidR="00B43A2F" w:rsidRPr="00EB2995" w:rsidRDefault="00B43A2F" w:rsidP="00B43A2F">
            <w:pPr>
              <w:jc w:val="right"/>
              <w:rPr>
                <w:rFonts w:cs="Calibri"/>
                <w:color w:val="000000"/>
                <w:sz w:val="18"/>
                <w:szCs w:val="18"/>
                <w:lang w:eastAsia="en-GB"/>
              </w:rPr>
            </w:pPr>
            <w:r>
              <w:rPr>
                <w:rFonts w:cs="Calibri"/>
                <w:color w:val="000000"/>
                <w:sz w:val="18"/>
                <w:szCs w:val="18"/>
              </w:rPr>
              <w:t>0.0</w:t>
            </w:r>
          </w:p>
        </w:tc>
        <w:tc>
          <w:tcPr>
            <w:tcW w:w="851" w:type="dxa"/>
            <w:gridSpan w:val="2"/>
            <w:tcBorders>
              <w:top w:val="nil"/>
              <w:left w:val="nil"/>
              <w:bottom w:val="single" w:sz="8" w:space="0" w:color="auto"/>
              <w:right w:val="single" w:sz="8" w:space="0" w:color="auto"/>
            </w:tcBorders>
            <w:shd w:val="clear" w:color="auto" w:fill="auto"/>
            <w:noWrap/>
            <w:vAlign w:val="center"/>
          </w:tcPr>
          <w:p w:rsidR="00B43A2F" w:rsidRPr="00EB2995" w:rsidRDefault="00B43A2F" w:rsidP="00B43A2F">
            <w:pPr>
              <w:jc w:val="right"/>
              <w:rPr>
                <w:rFonts w:cs="Calibri"/>
                <w:color w:val="000000"/>
                <w:sz w:val="18"/>
                <w:szCs w:val="18"/>
                <w:lang w:eastAsia="en-GB"/>
              </w:rPr>
            </w:pPr>
            <w:r>
              <w:rPr>
                <w:rFonts w:cs="Calibri"/>
                <w:color w:val="000000"/>
                <w:sz w:val="18"/>
                <w:szCs w:val="18"/>
              </w:rPr>
              <w:t>0.0</w:t>
            </w:r>
          </w:p>
        </w:tc>
        <w:tc>
          <w:tcPr>
            <w:tcW w:w="850" w:type="dxa"/>
            <w:gridSpan w:val="2"/>
            <w:tcBorders>
              <w:top w:val="nil"/>
              <w:left w:val="nil"/>
              <w:bottom w:val="single" w:sz="8" w:space="0" w:color="auto"/>
              <w:right w:val="single" w:sz="8" w:space="0" w:color="auto"/>
            </w:tcBorders>
            <w:shd w:val="clear" w:color="auto" w:fill="auto"/>
            <w:noWrap/>
            <w:vAlign w:val="center"/>
          </w:tcPr>
          <w:p w:rsidR="00B43A2F" w:rsidRPr="00EB2995" w:rsidRDefault="00B43A2F" w:rsidP="00B43A2F">
            <w:pPr>
              <w:jc w:val="right"/>
              <w:rPr>
                <w:rFonts w:cs="Calibri"/>
                <w:i/>
                <w:iCs/>
                <w:color w:val="000000"/>
                <w:sz w:val="18"/>
                <w:szCs w:val="18"/>
                <w:lang w:eastAsia="en-GB"/>
              </w:rPr>
            </w:pPr>
            <w:r>
              <w:rPr>
                <w:rFonts w:cs="Calibri"/>
                <w:i/>
                <w:iCs/>
                <w:color w:val="000000"/>
                <w:sz w:val="18"/>
                <w:szCs w:val="18"/>
              </w:rPr>
              <w:t>0.0</w:t>
            </w:r>
          </w:p>
        </w:tc>
      </w:tr>
      <w:tr w:rsidR="00B43A2F" w:rsidRPr="00EB2995" w:rsidTr="00B43A2F">
        <w:trPr>
          <w:gridAfter w:val="1"/>
          <w:wAfter w:w="8" w:type="dxa"/>
          <w:trHeight w:hRule="exact" w:val="592"/>
        </w:trPr>
        <w:tc>
          <w:tcPr>
            <w:tcW w:w="2835" w:type="dxa"/>
            <w:tcBorders>
              <w:top w:val="nil"/>
              <w:left w:val="single" w:sz="8" w:space="0" w:color="auto"/>
              <w:bottom w:val="single" w:sz="8" w:space="0" w:color="auto"/>
              <w:right w:val="single" w:sz="8" w:space="0" w:color="auto"/>
            </w:tcBorders>
            <w:shd w:val="clear" w:color="auto" w:fill="auto"/>
            <w:vAlign w:val="center"/>
            <w:hideMark/>
          </w:tcPr>
          <w:p w:rsidR="00B43A2F" w:rsidRPr="00EB2995" w:rsidRDefault="00B43A2F" w:rsidP="00B43A2F">
            <w:pPr>
              <w:rPr>
                <w:rFonts w:cs="Calibri"/>
                <w:color w:val="000000"/>
                <w:sz w:val="18"/>
                <w:szCs w:val="18"/>
                <w:lang w:eastAsia="en-GB"/>
              </w:rPr>
            </w:pPr>
            <w:r w:rsidRPr="00EB2995">
              <w:rPr>
                <w:rFonts w:cs="Calibri"/>
                <w:color w:val="000000"/>
                <w:sz w:val="18"/>
                <w:szCs w:val="18"/>
                <w:lang w:eastAsia="en-GB"/>
              </w:rPr>
              <w:t>Reclassifications (to/from Assets Held for Sale)</w:t>
            </w:r>
          </w:p>
        </w:tc>
        <w:tc>
          <w:tcPr>
            <w:tcW w:w="992" w:type="dxa"/>
            <w:tcBorders>
              <w:top w:val="nil"/>
              <w:left w:val="nil"/>
              <w:bottom w:val="single" w:sz="8" w:space="0" w:color="auto"/>
              <w:right w:val="nil"/>
            </w:tcBorders>
            <w:shd w:val="clear" w:color="auto" w:fill="auto"/>
            <w:noWrap/>
            <w:vAlign w:val="center"/>
          </w:tcPr>
          <w:p w:rsidR="00B43A2F" w:rsidRPr="00EB2995" w:rsidRDefault="00B43A2F" w:rsidP="00B43A2F">
            <w:pPr>
              <w:jc w:val="right"/>
              <w:rPr>
                <w:rFonts w:cs="Calibri"/>
                <w:color w:val="000000"/>
                <w:sz w:val="18"/>
                <w:szCs w:val="18"/>
                <w:lang w:eastAsia="en-GB"/>
              </w:rPr>
            </w:pPr>
            <w:r>
              <w:rPr>
                <w:rFonts w:cs="Calibri"/>
                <w:color w:val="000000"/>
                <w:sz w:val="18"/>
                <w:szCs w:val="18"/>
              </w:rPr>
              <w:t>0.0</w:t>
            </w:r>
          </w:p>
        </w:tc>
        <w:tc>
          <w:tcPr>
            <w:tcW w:w="993" w:type="dxa"/>
            <w:gridSpan w:val="2"/>
            <w:tcBorders>
              <w:top w:val="nil"/>
              <w:left w:val="single" w:sz="8" w:space="0" w:color="auto"/>
              <w:bottom w:val="single" w:sz="8" w:space="0" w:color="auto"/>
              <w:right w:val="single" w:sz="8" w:space="0" w:color="auto"/>
            </w:tcBorders>
            <w:shd w:val="clear" w:color="auto" w:fill="auto"/>
            <w:noWrap/>
            <w:vAlign w:val="center"/>
          </w:tcPr>
          <w:p w:rsidR="00B43A2F" w:rsidRPr="00EB2995" w:rsidRDefault="00B43A2F" w:rsidP="00B43A2F">
            <w:pPr>
              <w:jc w:val="right"/>
              <w:rPr>
                <w:rFonts w:cs="Calibri"/>
                <w:color w:val="000000"/>
                <w:sz w:val="18"/>
                <w:szCs w:val="18"/>
                <w:lang w:eastAsia="en-GB"/>
              </w:rPr>
            </w:pPr>
            <w:r>
              <w:rPr>
                <w:rFonts w:cs="Calibri"/>
                <w:color w:val="000000"/>
                <w:sz w:val="18"/>
                <w:szCs w:val="18"/>
              </w:rPr>
              <w:t>0.0</w:t>
            </w:r>
          </w:p>
        </w:tc>
        <w:tc>
          <w:tcPr>
            <w:tcW w:w="850" w:type="dxa"/>
            <w:gridSpan w:val="2"/>
            <w:tcBorders>
              <w:top w:val="nil"/>
              <w:left w:val="nil"/>
              <w:bottom w:val="single" w:sz="8" w:space="0" w:color="auto"/>
              <w:right w:val="single" w:sz="8" w:space="0" w:color="auto"/>
            </w:tcBorders>
            <w:shd w:val="clear" w:color="auto" w:fill="auto"/>
            <w:noWrap/>
            <w:vAlign w:val="center"/>
          </w:tcPr>
          <w:p w:rsidR="00B43A2F" w:rsidRPr="00EB2995" w:rsidRDefault="00B43A2F" w:rsidP="00B43A2F">
            <w:pPr>
              <w:jc w:val="right"/>
              <w:rPr>
                <w:rFonts w:cs="Calibri"/>
                <w:color w:val="000000"/>
                <w:sz w:val="18"/>
                <w:szCs w:val="18"/>
                <w:lang w:eastAsia="en-GB"/>
              </w:rPr>
            </w:pPr>
            <w:r>
              <w:rPr>
                <w:rFonts w:cs="Calibri"/>
                <w:color w:val="000000"/>
                <w:sz w:val="18"/>
                <w:szCs w:val="18"/>
              </w:rPr>
              <w:t>0.0</w:t>
            </w:r>
          </w:p>
        </w:tc>
        <w:tc>
          <w:tcPr>
            <w:tcW w:w="1134" w:type="dxa"/>
            <w:gridSpan w:val="2"/>
            <w:tcBorders>
              <w:top w:val="nil"/>
              <w:left w:val="nil"/>
              <w:bottom w:val="single" w:sz="8" w:space="0" w:color="auto"/>
              <w:right w:val="single" w:sz="8" w:space="0" w:color="auto"/>
            </w:tcBorders>
            <w:shd w:val="clear" w:color="auto" w:fill="auto"/>
            <w:noWrap/>
            <w:vAlign w:val="center"/>
          </w:tcPr>
          <w:p w:rsidR="00B43A2F" w:rsidRPr="00EB2995" w:rsidRDefault="00B43A2F" w:rsidP="00B43A2F">
            <w:pPr>
              <w:jc w:val="right"/>
              <w:rPr>
                <w:rFonts w:cs="Calibri"/>
                <w:color w:val="000000"/>
                <w:sz w:val="18"/>
                <w:szCs w:val="18"/>
                <w:lang w:eastAsia="en-GB"/>
              </w:rPr>
            </w:pPr>
            <w:r>
              <w:rPr>
                <w:rFonts w:cs="Calibri"/>
                <w:color w:val="000000"/>
                <w:sz w:val="18"/>
                <w:szCs w:val="18"/>
              </w:rPr>
              <w:t>0.0</w:t>
            </w:r>
          </w:p>
        </w:tc>
        <w:tc>
          <w:tcPr>
            <w:tcW w:w="851" w:type="dxa"/>
            <w:gridSpan w:val="2"/>
            <w:tcBorders>
              <w:top w:val="nil"/>
              <w:left w:val="nil"/>
              <w:bottom w:val="single" w:sz="8" w:space="0" w:color="auto"/>
              <w:right w:val="single" w:sz="8" w:space="0" w:color="auto"/>
            </w:tcBorders>
            <w:shd w:val="clear" w:color="auto" w:fill="auto"/>
            <w:noWrap/>
            <w:vAlign w:val="center"/>
          </w:tcPr>
          <w:p w:rsidR="00B43A2F" w:rsidRPr="00EB2995" w:rsidRDefault="00B43A2F" w:rsidP="00B43A2F">
            <w:pPr>
              <w:jc w:val="right"/>
              <w:rPr>
                <w:rFonts w:cs="Calibri"/>
                <w:color w:val="000000"/>
                <w:sz w:val="18"/>
                <w:szCs w:val="18"/>
                <w:lang w:eastAsia="en-GB"/>
              </w:rPr>
            </w:pPr>
            <w:r>
              <w:rPr>
                <w:rFonts w:cs="Calibri"/>
                <w:color w:val="000000"/>
                <w:sz w:val="18"/>
                <w:szCs w:val="18"/>
              </w:rPr>
              <w:t>0.0</w:t>
            </w:r>
          </w:p>
        </w:tc>
        <w:tc>
          <w:tcPr>
            <w:tcW w:w="1275" w:type="dxa"/>
            <w:gridSpan w:val="2"/>
            <w:tcBorders>
              <w:top w:val="nil"/>
              <w:left w:val="nil"/>
              <w:bottom w:val="single" w:sz="8" w:space="0" w:color="auto"/>
              <w:right w:val="single" w:sz="8" w:space="0" w:color="auto"/>
            </w:tcBorders>
            <w:shd w:val="clear" w:color="auto" w:fill="auto"/>
            <w:noWrap/>
            <w:vAlign w:val="center"/>
          </w:tcPr>
          <w:p w:rsidR="00B43A2F" w:rsidRPr="00EB2995" w:rsidRDefault="00B43A2F" w:rsidP="00B43A2F">
            <w:pPr>
              <w:jc w:val="right"/>
              <w:rPr>
                <w:rFonts w:cs="Calibri"/>
                <w:color w:val="000000"/>
                <w:sz w:val="18"/>
                <w:szCs w:val="18"/>
                <w:lang w:eastAsia="en-GB"/>
              </w:rPr>
            </w:pPr>
            <w:r>
              <w:rPr>
                <w:rFonts w:cs="Calibri"/>
                <w:color w:val="000000"/>
                <w:sz w:val="18"/>
                <w:szCs w:val="18"/>
              </w:rPr>
              <w:t>0.0</w:t>
            </w:r>
          </w:p>
        </w:tc>
        <w:tc>
          <w:tcPr>
            <w:tcW w:w="851" w:type="dxa"/>
            <w:gridSpan w:val="2"/>
            <w:tcBorders>
              <w:top w:val="nil"/>
              <w:left w:val="nil"/>
              <w:bottom w:val="single" w:sz="8" w:space="0" w:color="auto"/>
              <w:right w:val="single" w:sz="8" w:space="0" w:color="auto"/>
            </w:tcBorders>
            <w:shd w:val="clear" w:color="auto" w:fill="auto"/>
            <w:noWrap/>
            <w:vAlign w:val="center"/>
          </w:tcPr>
          <w:p w:rsidR="00B43A2F" w:rsidRPr="00EB2995" w:rsidRDefault="00B43A2F" w:rsidP="00B43A2F">
            <w:pPr>
              <w:jc w:val="right"/>
              <w:rPr>
                <w:rFonts w:cs="Calibri"/>
                <w:color w:val="000000"/>
                <w:sz w:val="18"/>
                <w:szCs w:val="18"/>
                <w:lang w:eastAsia="en-GB"/>
              </w:rPr>
            </w:pPr>
            <w:r>
              <w:rPr>
                <w:rFonts w:cs="Calibri"/>
                <w:color w:val="000000"/>
                <w:sz w:val="18"/>
                <w:szCs w:val="18"/>
              </w:rPr>
              <w:t>0.0</w:t>
            </w:r>
          </w:p>
        </w:tc>
        <w:tc>
          <w:tcPr>
            <w:tcW w:w="850" w:type="dxa"/>
            <w:gridSpan w:val="2"/>
            <w:tcBorders>
              <w:top w:val="nil"/>
              <w:left w:val="nil"/>
              <w:bottom w:val="single" w:sz="8" w:space="0" w:color="auto"/>
              <w:right w:val="single" w:sz="8" w:space="0" w:color="auto"/>
            </w:tcBorders>
            <w:shd w:val="clear" w:color="auto" w:fill="auto"/>
            <w:noWrap/>
            <w:vAlign w:val="center"/>
          </w:tcPr>
          <w:p w:rsidR="00B43A2F" w:rsidRPr="00EB2995" w:rsidRDefault="00B43A2F" w:rsidP="00B43A2F">
            <w:pPr>
              <w:jc w:val="right"/>
              <w:rPr>
                <w:rFonts w:cs="Calibri"/>
                <w:i/>
                <w:iCs/>
                <w:color w:val="000000"/>
                <w:sz w:val="18"/>
                <w:szCs w:val="18"/>
                <w:lang w:eastAsia="en-GB"/>
              </w:rPr>
            </w:pPr>
            <w:r>
              <w:rPr>
                <w:rFonts w:cs="Calibri"/>
                <w:i/>
                <w:iCs/>
                <w:color w:val="000000"/>
                <w:sz w:val="18"/>
                <w:szCs w:val="18"/>
              </w:rPr>
              <w:t>0.0</w:t>
            </w:r>
          </w:p>
        </w:tc>
      </w:tr>
      <w:tr w:rsidR="00B43A2F" w:rsidRPr="00EB2995" w:rsidTr="00B43A2F">
        <w:trPr>
          <w:gridAfter w:val="1"/>
          <w:wAfter w:w="8" w:type="dxa"/>
          <w:trHeight w:hRule="exact" w:val="714"/>
        </w:trPr>
        <w:tc>
          <w:tcPr>
            <w:tcW w:w="2835" w:type="dxa"/>
            <w:tcBorders>
              <w:top w:val="nil"/>
              <w:left w:val="single" w:sz="8" w:space="0" w:color="auto"/>
              <w:bottom w:val="single" w:sz="8" w:space="0" w:color="auto"/>
              <w:right w:val="single" w:sz="8" w:space="0" w:color="auto"/>
            </w:tcBorders>
            <w:shd w:val="clear" w:color="auto" w:fill="auto"/>
            <w:vAlign w:val="center"/>
            <w:hideMark/>
          </w:tcPr>
          <w:p w:rsidR="00B43A2F" w:rsidRPr="00EB2995" w:rsidRDefault="00B43A2F" w:rsidP="00B43A2F">
            <w:pPr>
              <w:rPr>
                <w:rFonts w:cs="Calibri"/>
                <w:color w:val="000000"/>
                <w:sz w:val="18"/>
                <w:szCs w:val="18"/>
                <w:lang w:eastAsia="en-GB"/>
              </w:rPr>
            </w:pPr>
            <w:r w:rsidRPr="00EB2995">
              <w:rPr>
                <w:rFonts w:cs="Calibri"/>
                <w:color w:val="000000"/>
                <w:sz w:val="18"/>
                <w:szCs w:val="18"/>
                <w:lang w:eastAsia="en-GB"/>
              </w:rPr>
              <w:t>Other Movements in Depreciation &amp; Impairments</w:t>
            </w:r>
          </w:p>
        </w:tc>
        <w:tc>
          <w:tcPr>
            <w:tcW w:w="992" w:type="dxa"/>
            <w:tcBorders>
              <w:top w:val="nil"/>
              <w:left w:val="nil"/>
              <w:bottom w:val="single" w:sz="8" w:space="0" w:color="auto"/>
              <w:right w:val="nil"/>
            </w:tcBorders>
            <w:shd w:val="clear" w:color="auto" w:fill="auto"/>
            <w:noWrap/>
            <w:vAlign w:val="center"/>
          </w:tcPr>
          <w:p w:rsidR="00B43A2F" w:rsidRPr="00EB2995" w:rsidRDefault="00B43A2F" w:rsidP="00B43A2F">
            <w:pPr>
              <w:jc w:val="right"/>
              <w:rPr>
                <w:rFonts w:cs="Calibri"/>
                <w:color w:val="000000"/>
                <w:sz w:val="18"/>
                <w:szCs w:val="18"/>
                <w:lang w:eastAsia="en-GB"/>
              </w:rPr>
            </w:pPr>
            <w:r>
              <w:rPr>
                <w:rFonts w:cs="Calibri"/>
                <w:color w:val="000000"/>
                <w:sz w:val="18"/>
                <w:szCs w:val="18"/>
              </w:rPr>
              <w:t>(0.1)</w:t>
            </w:r>
          </w:p>
        </w:tc>
        <w:tc>
          <w:tcPr>
            <w:tcW w:w="993" w:type="dxa"/>
            <w:gridSpan w:val="2"/>
            <w:tcBorders>
              <w:top w:val="nil"/>
              <w:left w:val="single" w:sz="8" w:space="0" w:color="auto"/>
              <w:bottom w:val="single" w:sz="8" w:space="0" w:color="auto"/>
              <w:right w:val="single" w:sz="8" w:space="0" w:color="auto"/>
            </w:tcBorders>
            <w:shd w:val="clear" w:color="auto" w:fill="auto"/>
            <w:noWrap/>
            <w:vAlign w:val="center"/>
          </w:tcPr>
          <w:p w:rsidR="00B43A2F" w:rsidRPr="00EB2995" w:rsidRDefault="00B43A2F" w:rsidP="00B43A2F">
            <w:pPr>
              <w:jc w:val="right"/>
              <w:rPr>
                <w:rFonts w:cs="Calibri"/>
                <w:color w:val="000000"/>
                <w:sz w:val="18"/>
                <w:szCs w:val="18"/>
                <w:lang w:eastAsia="en-GB"/>
              </w:rPr>
            </w:pPr>
            <w:r>
              <w:rPr>
                <w:rFonts w:cs="Calibri"/>
                <w:color w:val="000000"/>
                <w:sz w:val="18"/>
                <w:szCs w:val="18"/>
              </w:rPr>
              <w:t>0.1</w:t>
            </w:r>
          </w:p>
        </w:tc>
        <w:tc>
          <w:tcPr>
            <w:tcW w:w="850" w:type="dxa"/>
            <w:gridSpan w:val="2"/>
            <w:tcBorders>
              <w:top w:val="nil"/>
              <w:left w:val="nil"/>
              <w:bottom w:val="single" w:sz="8" w:space="0" w:color="auto"/>
              <w:right w:val="single" w:sz="8" w:space="0" w:color="auto"/>
            </w:tcBorders>
            <w:shd w:val="clear" w:color="auto" w:fill="auto"/>
            <w:noWrap/>
            <w:vAlign w:val="center"/>
          </w:tcPr>
          <w:p w:rsidR="00B43A2F" w:rsidRPr="00EB2995" w:rsidRDefault="00B43A2F" w:rsidP="00B43A2F">
            <w:pPr>
              <w:jc w:val="right"/>
              <w:rPr>
                <w:rFonts w:cs="Calibri"/>
                <w:color w:val="000000"/>
                <w:sz w:val="18"/>
                <w:szCs w:val="18"/>
                <w:lang w:eastAsia="en-GB"/>
              </w:rPr>
            </w:pPr>
            <w:r>
              <w:rPr>
                <w:rFonts w:cs="Calibri"/>
                <w:color w:val="000000"/>
                <w:sz w:val="18"/>
                <w:szCs w:val="18"/>
              </w:rPr>
              <w:t>0.0</w:t>
            </w:r>
          </w:p>
        </w:tc>
        <w:tc>
          <w:tcPr>
            <w:tcW w:w="1134" w:type="dxa"/>
            <w:gridSpan w:val="2"/>
            <w:tcBorders>
              <w:top w:val="nil"/>
              <w:left w:val="nil"/>
              <w:bottom w:val="single" w:sz="8" w:space="0" w:color="auto"/>
              <w:right w:val="single" w:sz="8" w:space="0" w:color="auto"/>
            </w:tcBorders>
            <w:shd w:val="clear" w:color="auto" w:fill="auto"/>
            <w:noWrap/>
            <w:vAlign w:val="center"/>
          </w:tcPr>
          <w:p w:rsidR="00B43A2F" w:rsidRPr="00EB2995" w:rsidRDefault="00B43A2F" w:rsidP="00B43A2F">
            <w:pPr>
              <w:jc w:val="right"/>
              <w:rPr>
                <w:rFonts w:cs="Calibri"/>
                <w:color w:val="000000"/>
                <w:sz w:val="18"/>
                <w:szCs w:val="18"/>
                <w:lang w:eastAsia="en-GB"/>
              </w:rPr>
            </w:pPr>
            <w:r>
              <w:rPr>
                <w:rFonts w:cs="Calibri"/>
                <w:color w:val="000000"/>
                <w:sz w:val="18"/>
                <w:szCs w:val="18"/>
              </w:rPr>
              <w:t>0.0</w:t>
            </w:r>
          </w:p>
        </w:tc>
        <w:tc>
          <w:tcPr>
            <w:tcW w:w="851" w:type="dxa"/>
            <w:gridSpan w:val="2"/>
            <w:tcBorders>
              <w:top w:val="nil"/>
              <w:left w:val="nil"/>
              <w:bottom w:val="single" w:sz="8" w:space="0" w:color="auto"/>
              <w:right w:val="single" w:sz="8" w:space="0" w:color="auto"/>
            </w:tcBorders>
            <w:shd w:val="clear" w:color="auto" w:fill="auto"/>
            <w:noWrap/>
            <w:vAlign w:val="center"/>
          </w:tcPr>
          <w:p w:rsidR="00B43A2F" w:rsidRPr="00EB2995" w:rsidRDefault="00B43A2F" w:rsidP="00B43A2F">
            <w:pPr>
              <w:jc w:val="right"/>
              <w:rPr>
                <w:rFonts w:cs="Calibri"/>
                <w:color w:val="000000"/>
                <w:sz w:val="18"/>
                <w:szCs w:val="18"/>
                <w:lang w:eastAsia="en-GB"/>
              </w:rPr>
            </w:pPr>
            <w:r>
              <w:rPr>
                <w:rFonts w:cs="Calibri"/>
                <w:color w:val="000000"/>
                <w:sz w:val="18"/>
                <w:szCs w:val="18"/>
              </w:rPr>
              <w:t>0.0</w:t>
            </w:r>
          </w:p>
        </w:tc>
        <w:tc>
          <w:tcPr>
            <w:tcW w:w="1275" w:type="dxa"/>
            <w:gridSpan w:val="2"/>
            <w:tcBorders>
              <w:top w:val="nil"/>
              <w:left w:val="nil"/>
              <w:bottom w:val="single" w:sz="8" w:space="0" w:color="auto"/>
              <w:right w:val="single" w:sz="8" w:space="0" w:color="auto"/>
            </w:tcBorders>
            <w:shd w:val="clear" w:color="auto" w:fill="auto"/>
            <w:noWrap/>
            <w:vAlign w:val="center"/>
          </w:tcPr>
          <w:p w:rsidR="00B43A2F" w:rsidRPr="00EB2995" w:rsidRDefault="00B43A2F" w:rsidP="00B43A2F">
            <w:pPr>
              <w:jc w:val="right"/>
              <w:rPr>
                <w:rFonts w:cs="Calibri"/>
                <w:color w:val="000000"/>
                <w:sz w:val="18"/>
                <w:szCs w:val="18"/>
                <w:lang w:eastAsia="en-GB"/>
              </w:rPr>
            </w:pPr>
            <w:r>
              <w:rPr>
                <w:rFonts w:cs="Calibri"/>
                <w:color w:val="000000"/>
                <w:sz w:val="18"/>
                <w:szCs w:val="18"/>
              </w:rPr>
              <w:t>0.0</w:t>
            </w:r>
          </w:p>
        </w:tc>
        <w:tc>
          <w:tcPr>
            <w:tcW w:w="851" w:type="dxa"/>
            <w:gridSpan w:val="2"/>
            <w:tcBorders>
              <w:top w:val="nil"/>
              <w:left w:val="nil"/>
              <w:bottom w:val="single" w:sz="8" w:space="0" w:color="auto"/>
              <w:right w:val="single" w:sz="8" w:space="0" w:color="auto"/>
            </w:tcBorders>
            <w:shd w:val="clear" w:color="auto" w:fill="auto"/>
            <w:noWrap/>
            <w:vAlign w:val="center"/>
          </w:tcPr>
          <w:p w:rsidR="00B43A2F" w:rsidRPr="00EB2995" w:rsidRDefault="00B43A2F" w:rsidP="00B43A2F">
            <w:pPr>
              <w:jc w:val="right"/>
              <w:rPr>
                <w:rFonts w:cs="Calibri"/>
                <w:color w:val="000000"/>
                <w:sz w:val="18"/>
                <w:szCs w:val="18"/>
                <w:lang w:eastAsia="en-GB"/>
              </w:rPr>
            </w:pPr>
            <w:r>
              <w:rPr>
                <w:rFonts w:cs="Calibri"/>
                <w:color w:val="000000"/>
                <w:sz w:val="18"/>
                <w:szCs w:val="18"/>
              </w:rPr>
              <w:t>0.0</w:t>
            </w:r>
          </w:p>
        </w:tc>
        <w:tc>
          <w:tcPr>
            <w:tcW w:w="850" w:type="dxa"/>
            <w:gridSpan w:val="2"/>
            <w:tcBorders>
              <w:top w:val="nil"/>
              <w:left w:val="nil"/>
              <w:bottom w:val="single" w:sz="8" w:space="0" w:color="auto"/>
              <w:right w:val="single" w:sz="8" w:space="0" w:color="auto"/>
            </w:tcBorders>
            <w:shd w:val="clear" w:color="auto" w:fill="auto"/>
            <w:noWrap/>
            <w:vAlign w:val="center"/>
          </w:tcPr>
          <w:p w:rsidR="00B43A2F" w:rsidRPr="00EB2995" w:rsidRDefault="00B43A2F" w:rsidP="00B43A2F">
            <w:pPr>
              <w:jc w:val="right"/>
              <w:rPr>
                <w:rFonts w:cs="Calibri"/>
                <w:i/>
                <w:iCs/>
                <w:color w:val="000000"/>
                <w:sz w:val="18"/>
                <w:szCs w:val="18"/>
                <w:lang w:eastAsia="en-GB"/>
              </w:rPr>
            </w:pPr>
            <w:r>
              <w:rPr>
                <w:rFonts w:cs="Calibri"/>
                <w:i/>
                <w:iCs/>
                <w:color w:val="000000"/>
                <w:sz w:val="18"/>
                <w:szCs w:val="18"/>
              </w:rPr>
              <w:t>0.0</w:t>
            </w:r>
          </w:p>
        </w:tc>
      </w:tr>
      <w:tr w:rsidR="00B43A2F" w:rsidRPr="00EB2995" w:rsidTr="00B43A2F">
        <w:trPr>
          <w:gridAfter w:val="1"/>
          <w:wAfter w:w="8" w:type="dxa"/>
          <w:trHeight w:hRule="exact" w:val="397"/>
        </w:trPr>
        <w:tc>
          <w:tcPr>
            <w:tcW w:w="2835" w:type="dxa"/>
            <w:tcBorders>
              <w:top w:val="nil"/>
              <w:left w:val="single" w:sz="8" w:space="0" w:color="auto"/>
              <w:bottom w:val="single" w:sz="8" w:space="0" w:color="auto"/>
              <w:right w:val="single" w:sz="8" w:space="0" w:color="auto"/>
            </w:tcBorders>
            <w:shd w:val="clear" w:color="auto" w:fill="auto"/>
            <w:vAlign w:val="center"/>
            <w:hideMark/>
          </w:tcPr>
          <w:p w:rsidR="00B43A2F" w:rsidRPr="00EB2995" w:rsidRDefault="00B43A2F" w:rsidP="00B43A2F">
            <w:pPr>
              <w:rPr>
                <w:rFonts w:cs="Calibri"/>
                <w:b/>
                <w:bCs/>
                <w:color w:val="000000"/>
                <w:sz w:val="18"/>
                <w:szCs w:val="18"/>
                <w:lang w:eastAsia="en-GB"/>
              </w:rPr>
            </w:pPr>
            <w:r w:rsidRPr="00EB2995">
              <w:rPr>
                <w:rFonts w:cs="Calibri"/>
                <w:b/>
                <w:bCs/>
                <w:color w:val="000000"/>
                <w:sz w:val="18"/>
                <w:szCs w:val="18"/>
                <w:lang w:eastAsia="en-GB"/>
              </w:rPr>
              <w:t>At 31 March 2020</w:t>
            </w:r>
          </w:p>
        </w:tc>
        <w:tc>
          <w:tcPr>
            <w:tcW w:w="992" w:type="dxa"/>
            <w:tcBorders>
              <w:top w:val="nil"/>
              <w:left w:val="nil"/>
              <w:bottom w:val="single" w:sz="8" w:space="0" w:color="auto"/>
              <w:right w:val="nil"/>
            </w:tcBorders>
            <w:shd w:val="clear" w:color="auto" w:fill="auto"/>
            <w:noWrap/>
            <w:vAlign w:val="center"/>
          </w:tcPr>
          <w:p w:rsidR="00B43A2F" w:rsidRPr="00EB2995" w:rsidRDefault="00B43A2F" w:rsidP="00B43A2F">
            <w:pPr>
              <w:jc w:val="right"/>
              <w:rPr>
                <w:rFonts w:cs="Calibri"/>
                <w:b/>
                <w:bCs/>
                <w:color w:val="000000"/>
                <w:sz w:val="18"/>
                <w:szCs w:val="18"/>
                <w:lang w:eastAsia="en-GB"/>
              </w:rPr>
            </w:pPr>
            <w:r>
              <w:rPr>
                <w:rFonts w:cs="Calibri"/>
                <w:b/>
                <w:bCs/>
                <w:color w:val="000000"/>
                <w:sz w:val="18"/>
                <w:szCs w:val="18"/>
              </w:rPr>
              <w:t>(7.5)</w:t>
            </w:r>
          </w:p>
        </w:tc>
        <w:tc>
          <w:tcPr>
            <w:tcW w:w="993" w:type="dxa"/>
            <w:gridSpan w:val="2"/>
            <w:tcBorders>
              <w:top w:val="nil"/>
              <w:left w:val="single" w:sz="8" w:space="0" w:color="auto"/>
              <w:bottom w:val="single" w:sz="8" w:space="0" w:color="auto"/>
              <w:right w:val="nil"/>
            </w:tcBorders>
            <w:shd w:val="clear" w:color="auto" w:fill="auto"/>
            <w:noWrap/>
            <w:vAlign w:val="center"/>
          </w:tcPr>
          <w:p w:rsidR="00B43A2F" w:rsidRPr="00EB2995" w:rsidRDefault="00EA2048" w:rsidP="00B43A2F">
            <w:pPr>
              <w:jc w:val="right"/>
              <w:rPr>
                <w:rFonts w:cs="Calibri"/>
                <w:b/>
                <w:bCs/>
                <w:color w:val="000000"/>
                <w:sz w:val="18"/>
                <w:szCs w:val="18"/>
                <w:lang w:eastAsia="en-GB"/>
              </w:rPr>
            </w:pPr>
            <w:r>
              <w:rPr>
                <w:rFonts w:cs="Calibri"/>
                <w:b/>
                <w:bCs/>
                <w:color w:val="000000"/>
                <w:sz w:val="18"/>
                <w:szCs w:val="18"/>
              </w:rPr>
              <w:t>(18.6</w:t>
            </w:r>
            <w:r w:rsidR="00B43A2F">
              <w:rPr>
                <w:rFonts w:cs="Calibri"/>
                <w:b/>
                <w:bCs/>
                <w:color w:val="000000"/>
                <w:sz w:val="18"/>
                <w:szCs w:val="18"/>
              </w:rPr>
              <w:t>)</w:t>
            </w:r>
          </w:p>
        </w:tc>
        <w:tc>
          <w:tcPr>
            <w:tcW w:w="850" w:type="dxa"/>
            <w:gridSpan w:val="2"/>
            <w:tcBorders>
              <w:top w:val="nil"/>
              <w:left w:val="single" w:sz="8" w:space="0" w:color="auto"/>
              <w:bottom w:val="single" w:sz="8" w:space="0" w:color="auto"/>
              <w:right w:val="nil"/>
            </w:tcBorders>
            <w:shd w:val="clear" w:color="auto" w:fill="auto"/>
            <w:noWrap/>
            <w:vAlign w:val="center"/>
          </w:tcPr>
          <w:p w:rsidR="00B43A2F" w:rsidRPr="00EB2995" w:rsidRDefault="00B43A2F" w:rsidP="00B43A2F">
            <w:pPr>
              <w:jc w:val="right"/>
              <w:rPr>
                <w:rFonts w:cs="Calibri"/>
                <w:b/>
                <w:bCs/>
                <w:color w:val="000000"/>
                <w:sz w:val="18"/>
                <w:szCs w:val="18"/>
                <w:lang w:eastAsia="en-GB"/>
              </w:rPr>
            </w:pPr>
            <w:r>
              <w:rPr>
                <w:rFonts w:cs="Calibri"/>
                <w:b/>
                <w:bCs/>
                <w:color w:val="000000"/>
                <w:sz w:val="18"/>
                <w:szCs w:val="18"/>
              </w:rPr>
              <w:t>(36.0)</w:t>
            </w:r>
          </w:p>
        </w:tc>
        <w:tc>
          <w:tcPr>
            <w:tcW w:w="1134" w:type="dxa"/>
            <w:gridSpan w:val="2"/>
            <w:tcBorders>
              <w:top w:val="nil"/>
              <w:left w:val="single" w:sz="8" w:space="0" w:color="auto"/>
              <w:bottom w:val="single" w:sz="8" w:space="0" w:color="auto"/>
              <w:right w:val="nil"/>
            </w:tcBorders>
            <w:shd w:val="clear" w:color="auto" w:fill="auto"/>
            <w:noWrap/>
            <w:vAlign w:val="center"/>
          </w:tcPr>
          <w:p w:rsidR="00B43A2F" w:rsidRPr="00EB2995" w:rsidRDefault="00B43A2F" w:rsidP="00B43A2F">
            <w:pPr>
              <w:jc w:val="right"/>
              <w:rPr>
                <w:rFonts w:cs="Calibri"/>
                <w:b/>
                <w:bCs/>
                <w:color w:val="000000"/>
                <w:sz w:val="18"/>
                <w:szCs w:val="18"/>
                <w:lang w:eastAsia="en-GB"/>
              </w:rPr>
            </w:pPr>
            <w:r>
              <w:rPr>
                <w:rFonts w:cs="Calibri"/>
                <w:b/>
                <w:bCs/>
                <w:color w:val="000000"/>
                <w:sz w:val="18"/>
                <w:szCs w:val="18"/>
              </w:rPr>
              <w:t>(84.6)</w:t>
            </w:r>
          </w:p>
        </w:tc>
        <w:tc>
          <w:tcPr>
            <w:tcW w:w="851" w:type="dxa"/>
            <w:gridSpan w:val="2"/>
            <w:tcBorders>
              <w:top w:val="nil"/>
              <w:left w:val="single" w:sz="8" w:space="0" w:color="auto"/>
              <w:bottom w:val="single" w:sz="8" w:space="0" w:color="auto"/>
              <w:right w:val="nil"/>
            </w:tcBorders>
            <w:shd w:val="clear" w:color="auto" w:fill="auto"/>
            <w:noWrap/>
            <w:vAlign w:val="center"/>
          </w:tcPr>
          <w:p w:rsidR="00B43A2F" w:rsidRPr="00EB2995" w:rsidRDefault="00B43A2F" w:rsidP="00B43A2F">
            <w:pPr>
              <w:jc w:val="right"/>
              <w:rPr>
                <w:rFonts w:cs="Calibri"/>
                <w:b/>
                <w:bCs/>
                <w:color w:val="000000"/>
                <w:sz w:val="18"/>
                <w:szCs w:val="18"/>
                <w:lang w:eastAsia="en-GB"/>
              </w:rPr>
            </w:pPr>
            <w:r>
              <w:rPr>
                <w:rFonts w:cs="Calibri"/>
                <w:b/>
                <w:bCs/>
                <w:color w:val="000000"/>
                <w:sz w:val="18"/>
                <w:szCs w:val="18"/>
              </w:rPr>
              <w:t>0.0</w:t>
            </w:r>
          </w:p>
        </w:tc>
        <w:tc>
          <w:tcPr>
            <w:tcW w:w="1275" w:type="dxa"/>
            <w:gridSpan w:val="2"/>
            <w:tcBorders>
              <w:top w:val="nil"/>
              <w:left w:val="single" w:sz="8" w:space="0" w:color="auto"/>
              <w:bottom w:val="single" w:sz="8" w:space="0" w:color="auto"/>
              <w:right w:val="nil"/>
            </w:tcBorders>
            <w:shd w:val="clear" w:color="auto" w:fill="auto"/>
            <w:noWrap/>
            <w:vAlign w:val="center"/>
          </w:tcPr>
          <w:p w:rsidR="00B43A2F" w:rsidRPr="00EB2995" w:rsidRDefault="00B43A2F" w:rsidP="00B43A2F">
            <w:pPr>
              <w:jc w:val="right"/>
              <w:rPr>
                <w:rFonts w:cs="Calibri"/>
                <w:b/>
                <w:bCs/>
                <w:color w:val="000000"/>
                <w:sz w:val="18"/>
                <w:szCs w:val="18"/>
                <w:lang w:eastAsia="en-GB"/>
              </w:rPr>
            </w:pPr>
            <w:r>
              <w:rPr>
                <w:rFonts w:cs="Calibri"/>
                <w:b/>
                <w:bCs/>
                <w:color w:val="000000"/>
                <w:sz w:val="18"/>
                <w:szCs w:val="18"/>
              </w:rPr>
              <w:t>0.0</w:t>
            </w:r>
          </w:p>
        </w:tc>
        <w:tc>
          <w:tcPr>
            <w:tcW w:w="851" w:type="dxa"/>
            <w:gridSpan w:val="2"/>
            <w:tcBorders>
              <w:top w:val="nil"/>
              <w:left w:val="single" w:sz="8" w:space="0" w:color="auto"/>
              <w:bottom w:val="single" w:sz="8" w:space="0" w:color="auto"/>
              <w:right w:val="nil"/>
            </w:tcBorders>
            <w:shd w:val="clear" w:color="auto" w:fill="auto"/>
            <w:noWrap/>
            <w:vAlign w:val="center"/>
          </w:tcPr>
          <w:p w:rsidR="00B43A2F" w:rsidRPr="00EB2995" w:rsidRDefault="00EA2048" w:rsidP="00B43A2F">
            <w:pPr>
              <w:jc w:val="right"/>
              <w:rPr>
                <w:rFonts w:cs="Calibri"/>
                <w:b/>
                <w:bCs/>
                <w:color w:val="000000"/>
                <w:sz w:val="18"/>
                <w:szCs w:val="18"/>
                <w:lang w:eastAsia="en-GB"/>
              </w:rPr>
            </w:pPr>
            <w:r>
              <w:rPr>
                <w:rFonts w:cs="Calibri"/>
                <w:b/>
                <w:bCs/>
                <w:color w:val="000000"/>
                <w:sz w:val="18"/>
                <w:szCs w:val="18"/>
              </w:rPr>
              <w:t>(146.7</w:t>
            </w:r>
            <w:r w:rsidR="00B43A2F">
              <w:rPr>
                <w:rFonts w:cs="Calibri"/>
                <w:b/>
                <w:bCs/>
                <w:color w:val="000000"/>
                <w:sz w:val="18"/>
                <w:szCs w:val="18"/>
              </w:rPr>
              <w:t>)</w:t>
            </w:r>
          </w:p>
        </w:tc>
        <w:tc>
          <w:tcPr>
            <w:tcW w:w="850" w:type="dxa"/>
            <w:gridSpan w:val="2"/>
            <w:tcBorders>
              <w:top w:val="nil"/>
              <w:left w:val="single" w:sz="8" w:space="0" w:color="auto"/>
              <w:bottom w:val="single" w:sz="8" w:space="0" w:color="auto"/>
              <w:right w:val="single" w:sz="8" w:space="0" w:color="auto"/>
            </w:tcBorders>
            <w:shd w:val="clear" w:color="auto" w:fill="auto"/>
            <w:noWrap/>
            <w:vAlign w:val="center"/>
          </w:tcPr>
          <w:p w:rsidR="00B43A2F" w:rsidRPr="00EB2995" w:rsidRDefault="00B43A2F" w:rsidP="00B43A2F">
            <w:pPr>
              <w:jc w:val="right"/>
              <w:rPr>
                <w:rFonts w:cs="Calibri"/>
                <w:b/>
                <w:bCs/>
                <w:color w:val="000000"/>
                <w:sz w:val="18"/>
                <w:szCs w:val="18"/>
                <w:lang w:eastAsia="en-GB"/>
              </w:rPr>
            </w:pPr>
            <w:r>
              <w:rPr>
                <w:rFonts w:cs="Calibri"/>
                <w:b/>
                <w:bCs/>
                <w:color w:val="000000"/>
                <w:sz w:val="18"/>
                <w:szCs w:val="18"/>
              </w:rPr>
              <w:t>(11.2)</w:t>
            </w:r>
          </w:p>
        </w:tc>
      </w:tr>
      <w:tr w:rsidR="00B43A2F" w:rsidRPr="00EB2995" w:rsidTr="00B43A2F">
        <w:trPr>
          <w:trHeight w:hRule="exact" w:val="397"/>
        </w:trPr>
        <w:tc>
          <w:tcPr>
            <w:tcW w:w="4828" w:type="dxa"/>
            <w:gridSpan w:val="5"/>
            <w:tcBorders>
              <w:top w:val="single" w:sz="8" w:space="0" w:color="auto"/>
              <w:left w:val="nil"/>
              <w:bottom w:val="single" w:sz="8" w:space="0" w:color="auto"/>
              <w:right w:val="nil"/>
            </w:tcBorders>
            <w:shd w:val="clear" w:color="auto" w:fill="auto"/>
            <w:vAlign w:val="center"/>
            <w:hideMark/>
          </w:tcPr>
          <w:p w:rsidR="00B43A2F" w:rsidRPr="00EB2995" w:rsidRDefault="00B43A2F" w:rsidP="00B43A2F">
            <w:pPr>
              <w:rPr>
                <w:rFonts w:cs="Calibri"/>
                <w:b/>
                <w:bCs/>
                <w:color w:val="000000"/>
                <w:sz w:val="18"/>
                <w:szCs w:val="18"/>
                <w:lang w:eastAsia="en-GB"/>
              </w:rPr>
            </w:pPr>
            <w:r w:rsidRPr="00EB2995">
              <w:rPr>
                <w:rFonts w:cs="Calibri"/>
                <w:b/>
                <w:bCs/>
                <w:color w:val="000000"/>
                <w:sz w:val="18"/>
                <w:szCs w:val="18"/>
                <w:lang w:eastAsia="en-GB"/>
              </w:rPr>
              <w:t>Balance Sheet  Net Book Values (NBV)</w:t>
            </w:r>
          </w:p>
        </w:tc>
        <w:tc>
          <w:tcPr>
            <w:tcW w:w="850" w:type="dxa"/>
            <w:gridSpan w:val="2"/>
            <w:tcBorders>
              <w:top w:val="nil"/>
              <w:left w:val="nil"/>
              <w:bottom w:val="single" w:sz="8" w:space="0" w:color="auto"/>
              <w:right w:val="nil"/>
            </w:tcBorders>
            <w:shd w:val="clear" w:color="auto" w:fill="auto"/>
            <w:noWrap/>
            <w:vAlign w:val="center"/>
            <w:hideMark/>
          </w:tcPr>
          <w:p w:rsidR="00B43A2F" w:rsidRPr="00EB2995" w:rsidRDefault="00B43A2F" w:rsidP="00B43A2F">
            <w:pPr>
              <w:rPr>
                <w:rFonts w:cs="Calibri"/>
                <w:b/>
                <w:bCs/>
                <w:color w:val="000000"/>
                <w:sz w:val="18"/>
                <w:szCs w:val="18"/>
                <w:lang w:eastAsia="en-GB"/>
              </w:rPr>
            </w:pPr>
            <w:r w:rsidRPr="00EB2995">
              <w:rPr>
                <w:rFonts w:cs="Calibri"/>
                <w:b/>
                <w:bCs/>
                <w:color w:val="000000"/>
                <w:sz w:val="18"/>
                <w:szCs w:val="18"/>
                <w:lang w:eastAsia="en-GB"/>
              </w:rPr>
              <w:t> </w:t>
            </w:r>
          </w:p>
        </w:tc>
        <w:tc>
          <w:tcPr>
            <w:tcW w:w="1134" w:type="dxa"/>
            <w:gridSpan w:val="2"/>
            <w:tcBorders>
              <w:top w:val="nil"/>
              <w:left w:val="nil"/>
              <w:bottom w:val="single" w:sz="8" w:space="0" w:color="auto"/>
              <w:right w:val="nil"/>
            </w:tcBorders>
            <w:shd w:val="clear" w:color="auto" w:fill="auto"/>
            <w:noWrap/>
            <w:vAlign w:val="center"/>
            <w:hideMark/>
          </w:tcPr>
          <w:p w:rsidR="00B43A2F" w:rsidRPr="00EB2995" w:rsidRDefault="00B43A2F" w:rsidP="00B43A2F">
            <w:pPr>
              <w:rPr>
                <w:rFonts w:cs="Calibri"/>
                <w:b/>
                <w:bCs/>
                <w:color w:val="000000"/>
                <w:sz w:val="18"/>
                <w:szCs w:val="18"/>
                <w:lang w:eastAsia="en-GB"/>
              </w:rPr>
            </w:pPr>
            <w:r w:rsidRPr="00EB2995">
              <w:rPr>
                <w:rFonts w:cs="Calibri"/>
                <w:b/>
                <w:bCs/>
                <w:color w:val="000000"/>
                <w:sz w:val="18"/>
                <w:szCs w:val="18"/>
                <w:lang w:eastAsia="en-GB"/>
              </w:rPr>
              <w:t> </w:t>
            </w:r>
          </w:p>
        </w:tc>
        <w:tc>
          <w:tcPr>
            <w:tcW w:w="851" w:type="dxa"/>
            <w:gridSpan w:val="2"/>
            <w:tcBorders>
              <w:top w:val="nil"/>
              <w:left w:val="nil"/>
              <w:bottom w:val="single" w:sz="8" w:space="0" w:color="auto"/>
              <w:right w:val="nil"/>
            </w:tcBorders>
            <w:shd w:val="clear" w:color="auto" w:fill="auto"/>
            <w:noWrap/>
            <w:vAlign w:val="center"/>
            <w:hideMark/>
          </w:tcPr>
          <w:p w:rsidR="00B43A2F" w:rsidRPr="00EB2995" w:rsidRDefault="00B43A2F" w:rsidP="00B43A2F">
            <w:pPr>
              <w:rPr>
                <w:rFonts w:cs="Calibri"/>
                <w:b/>
                <w:bCs/>
                <w:color w:val="000000"/>
                <w:sz w:val="18"/>
                <w:szCs w:val="18"/>
                <w:lang w:eastAsia="en-GB"/>
              </w:rPr>
            </w:pPr>
            <w:r w:rsidRPr="00EB2995">
              <w:rPr>
                <w:rFonts w:cs="Calibri"/>
                <w:b/>
                <w:bCs/>
                <w:color w:val="000000"/>
                <w:sz w:val="18"/>
                <w:szCs w:val="18"/>
                <w:lang w:eastAsia="en-GB"/>
              </w:rPr>
              <w:t> </w:t>
            </w:r>
          </w:p>
        </w:tc>
        <w:tc>
          <w:tcPr>
            <w:tcW w:w="1275" w:type="dxa"/>
            <w:gridSpan w:val="2"/>
            <w:tcBorders>
              <w:top w:val="nil"/>
              <w:left w:val="nil"/>
              <w:bottom w:val="single" w:sz="8" w:space="0" w:color="auto"/>
              <w:right w:val="nil"/>
            </w:tcBorders>
            <w:shd w:val="clear" w:color="auto" w:fill="auto"/>
            <w:noWrap/>
            <w:vAlign w:val="center"/>
            <w:hideMark/>
          </w:tcPr>
          <w:p w:rsidR="00B43A2F" w:rsidRPr="00EB2995" w:rsidRDefault="00B43A2F" w:rsidP="00B43A2F">
            <w:pPr>
              <w:rPr>
                <w:rFonts w:cs="Calibri"/>
                <w:b/>
                <w:bCs/>
                <w:color w:val="000000"/>
                <w:sz w:val="18"/>
                <w:szCs w:val="18"/>
                <w:lang w:eastAsia="en-GB"/>
              </w:rPr>
            </w:pPr>
            <w:r w:rsidRPr="00EB2995">
              <w:rPr>
                <w:rFonts w:cs="Calibri"/>
                <w:b/>
                <w:bCs/>
                <w:color w:val="000000"/>
                <w:sz w:val="18"/>
                <w:szCs w:val="18"/>
                <w:lang w:eastAsia="en-GB"/>
              </w:rPr>
              <w:t> </w:t>
            </w:r>
          </w:p>
        </w:tc>
        <w:tc>
          <w:tcPr>
            <w:tcW w:w="851" w:type="dxa"/>
            <w:gridSpan w:val="2"/>
            <w:tcBorders>
              <w:top w:val="nil"/>
              <w:left w:val="nil"/>
              <w:bottom w:val="single" w:sz="8" w:space="0" w:color="auto"/>
              <w:right w:val="nil"/>
            </w:tcBorders>
            <w:shd w:val="clear" w:color="auto" w:fill="auto"/>
            <w:noWrap/>
            <w:vAlign w:val="center"/>
            <w:hideMark/>
          </w:tcPr>
          <w:p w:rsidR="00B43A2F" w:rsidRPr="00EB2995" w:rsidRDefault="00B43A2F" w:rsidP="00B43A2F">
            <w:pPr>
              <w:rPr>
                <w:rFonts w:cs="Calibri"/>
                <w:b/>
                <w:bCs/>
                <w:color w:val="000000"/>
                <w:sz w:val="18"/>
                <w:szCs w:val="18"/>
                <w:lang w:eastAsia="en-GB"/>
              </w:rPr>
            </w:pPr>
            <w:r w:rsidRPr="00EB2995">
              <w:rPr>
                <w:rFonts w:cs="Calibri"/>
                <w:b/>
                <w:bCs/>
                <w:color w:val="000000"/>
                <w:sz w:val="18"/>
                <w:szCs w:val="18"/>
                <w:lang w:eastAsia="en-GB"/>
              </w:rPr>
              <w:t> </w:t>
            </w:r>
          </w:p>
        </w:tc>
        <w:tc>
          <w:tcPr>
            <w:tcW w:w="850" w:type="dxa"/>
            <w:gridSpan w:val="2"/>
            <w:tcBorders>
              <w:top w:val="nil"/>
              <w:left w:val="nil"/>
              <w:bottom w:val="single" w:sz="8" w:space="0" w:color="auto"/>
              <w:right w:val="nil"/>
            </w:tcBorders>
            <w:shd w:val="clear" w:color="auto" w:fill="auto"/>
            <w:noWrap/>
            <w:vAlign w:val="center"/>
            <w:hideMark/>
          </w:tcPr>
          <w:p w:rsidR="00B43A2F" w:rsidRPr="00EB2995" w:rsidRDefault="00B43A2F" w:rsidP="00B43A2F">
            <w:pPr>
              <w:rPr>
                <w:rFonts w:cs="Calibri"/>
                <w:b/>
                <w:bCs/>
                <w:i/>
                <w:iCs/>
                <w:color w:val="000000"/>
                <w:sz w:val="18"/>
                <w:szCs w:val="18"/>
                <w:lang w:eastAsia="en-GB"/>
              </w:rPr>
            </w:pPr>
            <w:r w:rsidRPr="00EB2995">
              <w:rPr>
                <w:rFonts w:cs="Calibri"/>
                <w:b/>
                <w:bCs/>
                <w:i/>
                <w:iCs/>
                <w:color w:val="000000"/>
                <w:sz w:val="18"/>
                <w:szCs w:val="18"/>
                <w:lang w:eastAsia="en-GB"/>
              </w:rPr>
              <w:t> </w:t>
            </w:r>
          </w:p>
        </w:tc>
      </w:tr>
      <w:tr w:rsidR="00B43A2F" w:rsidRPr="00EB2995" w:rsidTr="00B43A2F">
        <w:trPr>
          <w:gridAfter w:val="1"/>
          <w:wAfter w:w="8" w:type="dxa"/>
          <w:trHeight w:hRule="exact" w:val="657"/>
        </w:trPr>
        <w:tc>
          <w:tcPr>
            <w:tcW w:w="2835" w:type="dxa"/>
            <w:tcBorders>
              <w:top w:val="nil"/>
              <w:left w:val="single" w:sz="8" w:space="0" w:color="auto"/>
              <w:bottom w:val="single" w:sz="8" w:space="0" w:color="auto"/>
              <w:right w:val="single" w:sz="8" w:space="0" w:color="auto"/>
            </w:tcBorders>
            <w:shd w:val="clear" w:color="auto" w:fill="auto"/>
            <w:vAlign w:val="center"/>
            <w:hideMark/>
          </w:tcPr>
          <w:p w:rsidR="00B43A2F" w:rsidRPr="00EB2995" w:rsidRDefault="00B43A2F" w:rsidP="00B43A2F">
            <w:pPr>
              <w:rPr>
                <w:rFonts w:cs="Calibri"/>
                <w:b/>
                <w:bCs/>
                <w:color w:val="000000"/>
                <w:sz w:val="18"/>
                <w:szCs w:val="18"/>
                <w:lang w:eastAsia="en-GB"/>
              </w:rPr>
            </w:pPr>
            <w:r w:rsidRPr="00EB2995">
              <w:rPr>
                <w:rFonts w:cs="Calibri"/>
                <w:b/>
                <w:bCs/>
                <w:color w:val="000000"/>
                <w:sz w:val="18"/>
                <w:szCs w:val="18"/>
                <w:lang w:eastAsia="en-GB"/>
              </w:rPr>
              <w:t>Balance Sheet NBV at 31 March 2020</w:t>
            </w:r>
          </w:p>
        </w:tc>
        <w:tc>
          <w:tcPr>
            <w:tcW w:w="992" w:type="dxa"/>
            <w:tcBorders>
              <w:top w:val="nil"/>
              <w:left w:val="nil"/>
              <w:bottom w:val="single" w:sz="8" w:space="0" w:color="auto"/>
              <w:right w:val="single" w:sz="8" w:space="0" w:color="auto"/>
            </w:tcBorders>
            <w:shd w:val="clear" w:color="auto" w:fill="auto"/>
            <w:noWrap/>
            <w:vAlign w:val="center"/>
          </w:tcPr>
          <w:p w:rsidR="00B43A2F" w:rsidRPr="00EB2995" w:rsidRDefault="00B43A2F" w:rsidP="00B43A2F">
            <w:pPr>
              <w:jc w:val="right"/>
              <w:rPr>
                <w:rFonts w:cs="Calibri"/>
                <w:b/>
                <w:bCs/>
                <w:color w:val="000000"/>
                <w:sz w:val="18"/>
                <w:szCs w:val="18"/>
                <w:lang w:eastAsia="en-GB"/>
              </w:rPr>
            </w:pPr>
            <w:r>
              <w:rPr>
                <w:rFonts w:cs="Calibri"/>
                <w:b/>
                <w:bCs/>
                <w:color w:val="000000"/>
                <w:sz w:val="18"/>
                <w:szCs w:val="18"/>
              </w:rPr>
              <w:t>618.5</w:t>
            </w:r>
          </w:p>
        </w:tc>
        <w:tc>
          <w:tcPr>
            <w:tcW w:w="993" w:type="dxa"/>
            <w:gridSpan w:val="2"/>
            <w:tcBorders>
              <w:top w:val="nil"/>
              <w:left w:val="nil"/>
              <w:bottom w:val="single" w:sz="8" w:space="0" w:color="auto"/>
              <w:right w:val="single" w:sz="8" w:space="0" w:color="auto"/>
            </w:tcBorders>
            <w:shd w:val="clear" w:color="auto" w:fill="auto"/>
            <w:noWrap/>
            <w:vAlign w:val="center"/>
          </w:tcPr>
          <w:p w:rsidR="00B43A2F" w:rsidRPr="00EB2995" w:rsidRDefault="00EA2048" w:rsidP="00B43A2F">
            <w:pPr>
              <w:jc w:val="right"/>
              <w:rPr>
                <w:rFonts w:cs="Calibri"/>
                <w:b/>
                <w:bCs/>
                <w:color w:val="000000"/>
                <w:sz w:val="18"/>
                <w:szCs w:val="18"/>
                <w:lang w:eastAsia="en-GB"/>
              </w:rPr>
            </w:pPr>
            <w:r>
              <w:rPr>
                <w:rFonts w:cs="Calibri"/>
                <w:b/>
                <w:bCs/>
                <w:color w:val="000000"/>
                <w:sz w:val="18"/>
                <w:szCs w:val="18"/>
              </w:rPr>
              <w:t>989.1</w:t>
            </w:r>
          </w:p>
        </w:tc>
        <w:tc>
          <w:tcPr>
            <w:tcW w:w="850" w:type="dxa"/>
            <w:gridSpan w:val="2"/>
            <w:tcBorders>
              <w:top w:val="nil"/>
              <w:left w:val="nil"/>
              <w:bottom w:val="single" w:sz="8" w:space="0" w:color="auto"/>
              <w:right w:val="single" w:sz="8" w:space="0" w:color="auto"/>
            </w:tcBorders>
            <w:shd w:val="clear" w:color="auto" w:fill="auto"/>
            <w:noWrap/>
            <w:vAlign w:val="center"/>
          </w:tcPr>
          <w:p w:rsidR="00B43A2F" w:rsidRPr="00EB2995" w:rsidRDefault="00B43A2F" w:rsidP="00B43A2F">
            <w:pPr>
              <w:jc w:val="right"/>
              <w:rPr>
                <w:rFonts w:cs="Calibri"/>
                <w:b/>
                <w:bCs/>
                <w:color w:val="000000"/>
                <w:sz w:val="18"/>
                <w:szCs w:val="18"/>
                <w:lang w:eastAsia="en-GB"/>
              </w:rPr>
            </w:pPr>
            <w:r>
              <w:rPr>
                <w:rFonts w:cs="Calibri"/>
                <w:b/>
                <w:bCs/>
                <w:color w:val="000000"/>
                <w:sz w:val="18"/>
                <w:szCs w:val="18"/>
              </w:rPr>
              <w:t>19.2</w:t>
            </w:r>
          </w:p>
        </w:tc>
        <w:tc>
          <w:tcPr>
            <w:tcW w:w="1134" w:type="dxa"/>
            <w:gridSpan w:val="2"/>
            <w:tcBorders>
              <w:top w:val="nil"/>
              <w:left w:val="nil"/>
              <w:bottom w:val="single" w:sz="8" w:space="0" w:color="auto"/>
              <w:right w:val="single" w:sz="8" w:space="0" w:color="auto"/>
            </w:tcBorders>
            <w:shd w:val="clear" w:color="auto" w:fill="auto"/>
            <w:noWrap/>
            <w:vAlign w:val="center"/>
          </w:tcPr>
          <w:p w:rsidR="00B43A2F" w:rsidRPr="00EB2995" w:rsidRDefault="00B43A2F" w:rsidP="00B43A2F">
            <w:pPr>
              <w:jc w:val="right"/>
              <w:rPr>
                <w:rFonts w:cs="Calibri"/>
                <w:b/>
                <w:bCs/>
                <w:color w:val="000000"/>
                <w:sz w:val="18"/>
                <w:szCs w:val="18"/>
                <w:lang w:eastAsia="en-GB"/>
              </w:rPr>
            </w:pPr>
            <w:r>
              <w:rPr>
                <w:rFonts w:cs="Calibri"/>
                <w:b/>
                <w:bCs/>
                <w:color w:val="000000"/>
                <w:sz w:val="18"/>
                <w:szCs w:val="18"/>
              </w:rPr>
              <w:t>206.9</w:t>
            </w:r>
          </w:p>
        </w:tc>
        <w:tc>
          <w:tcPr>
            <w:tcW w:w="851" w:type="dxa"/>
            <w:gridSpan w:val="2"/>
            <w:tcBorders>
              <w:top w:val="nil"/>
              <w:left w:val="nil"/>
              <w:bottom w:val="single" w:sz="8" w:space="0" w:color="auto"/>
              <w:right w:val="single" w:sz="8" w:space="0" w:color="auto"/>
            </w:tcBorders>
            <w:shd w:val="clear" w:color="auto" w:fill="auto"/>
            <w:noWrap/>
            <w:vAlign w:val="center"/>
          </w:tcPr>
          <w:p w:rsidR="00B43A2F" w:rsidRPr="00EB2995" w:rsidRDefault="00B43A2F" w:rsidP="00B43A2F">
            <w:pPr>
              <w:jc w:val="right"/>
              <w:rPr>
                <w:rFonts w:cs="Calibri"/>
                <w:b/>
                <w:bCs/>
                <w:color w:val="000000"/>
                <w:sz w:val="18"/>
                <w:szCs w:val="18"/>
                <w:lang w:eastAsia="en-GB"/>
              </w:rPr>
            </w:pPr>
            <w:r>
              <w:rPr>
                <w:rFonts w:cs="Calibri"/>
                <w:b/>
                <w:bCs/>
                <w:color w:val="000000"/>
                <w:sz w:val="18"/>
                <w:szCs w:val="18"/>
              </w:rPr>
              <w:t>8.2</w:t>
            </w:r>
          </w:p>
        </w:tc>
        <w:tc>
          <w:tcPr>
            <w:tcW w:w="1275" w:type="dxa"/>
            <w:gridSpan w:val="2"/>
            <w:tcBorders>
              <w:top w:val="nil"/>
              <w:left w:val="nil"/>
              <w:bottom w:val="single" w:sz="8" w:space="0" w:color="auto"/>
              <w:right w:val="single" w:sz="8" w:space="0" w:color="auto"/>
            </w:tcBorders>
            <w:shd w:val="clear" w:color="auto" w:fill="auto"/>
            <w:noWrap/>
            <w:vAlign w:val="center"/>
          </w:tcPr>
          <w:p w:rsidR="00B43A2F" w:rsidRPr="00EB2995" w:rsidRDefault="00B43A2F" w:rsidP="00B43A2F">
            <w:pPr>
              <w:jc w:val="right"/>
              <w:rPr>
                <w:rFonts w:cs="Calibri"/>
                <w:b/>
                <w:bCs/>
                <w:color w:val="000000"/>
                <w:sz w:val="18"/>
                <w:szCs w:val="18"/>
                <w:lang w:eastAsia="en-GB"/>
              </w:rPr>
            </w:pPr>
            <w:r>
              <w:rPr>
                <w:rFonts w:cs="Calibri"/>
                <w:b/>
                <w:bCs/>
                <w:color w:val="000000"/>
                <w:sz w:val="18"/>
                <w:szCs w:val="18"/>
              </w:rPr>
              <w:t>121.9</w:t>
            </w:r>
          </w:p>
        </w:tc>
        <w:tc>
          <w:tcPr>
            <w:tcW w:w="851" w:type="dxa"/>
            <w:gridSpan w:val="2"/>
            <w:tcBorders>
              <w:top w:val="nil"/>
              <w:left w:val="nil"/>
              <w:bottom w:val="single" w:sz="8" w:space="0" w:color="auto"/>
              <w:right w:val="single" w:sz="8" w:space="0" w:color="auto"/>
            </w:tcBorders>
            <w:shd w:val="clear" w:color="auto" w:fill="auto"/>
            <w:noWrap/>
            <w:vAlign w:val="center"/>
          </w:tcPr>
          <w:p w:rsidR="00B43A2F" w:rsidRPr="00EB2995" w:rsidRDefault="00EA2048" w:rsidP="00B43A2F">
            <w:pPr>
              <w:jc w:val="right"/>
              <w:rPr>
                <w:rFonts w:cs="Calibri"/>
                <w:b/>
                <w:bCs/>
                <w:color w:val="000000"/>
                <w:sz w:val="18"/>
                <w:szCs w:val="18"/>
                <w:lang w:eastAsia="en-GB"/>
              </w:rPr>
            </w:pPr>
            <w:r>
              <w:rPr>
                <w:rFonts w:cs="Calibri"/>
                <w:b/>
                <w:bCs/>
                <w:color w:val="000000"/>
                <w:sz w:val="18"/>
                <w:szCs w:val="18"/>
              </w:rPr>
              <w:t>1,963.8</w:t>
            </w:r>
          </w:p>
        </w:tc>
        <w:tc>
          <w:tcPr>
            <w:tcW w:w="850" w:type="dxa"/>
            <w:gridSpan w:val="2"/>
            <w:tcBorders>
              <w:top w:val="nil"/>
              <w:left w:val="nil"/>
              <w:bottom w:val="single" w:sz="8" w:space="0" w:color="auto"/>
              <w:right w:val="single" w:sz="8" w:space="0" w:color="auto"/>
            </w:tcBorders>
            <w:shd w:val="clear" w:color="auto" w:fill="auto"/>
            <w:noWrap/>
            <w:vAlign w:val="center"/>
          </w:tcPr>
          <w:p w:rsidR="00B43A2F" w:rsidRPr="00EB2995" w:rsidRDefault="00B43A2F" w:rsidP="00B43A2F">
            <w:pPr>
              <w:jc w:val="right"/>
              <w:rPr>
                <w:rFonts w:cs="Calibri"/>
                <w:b/>
                <w:bCs/>
                <w:color w:val="000000"/>
                <w:sz w:val="18"/>
                <w:szCs w:val="18"/>
                <w:lang w:eastAsia="en-GB"/>
              </w:rPr>
            </w:pPr>
            <w:r>
              <w:rPr>
                <w:rFonts w:cs="Calibri"/>
                <w:b/>
                <w:bCs/>
                <w:color w:val="000000"/>
                <w:sz w:val="18"/>
                <w:szCs w:val="18"/>
              </w:rPr>
              <w:t>115.7</w:t>
            </w:r>
          </w:p>
        </w:tc>
      </w:tr>
      <w:tr w:rsidR="00B43A2F" w:rsidRPr="00EB2995" w:rsidTr="00B43A2F">
        <w:trPr>
          <w:gridAfter w:val="1"/>
          <w:wAfter w:w="8" w:type="dxa"/>
          <w:trHeight w:hRule="exact" w:val="397"/>
        </w:trPr>
        <w:tc>
          <w:tcPr>
            <w:tcW w:w="2835" w:type="dxa"/>
            <w:tcBorders>
              <w:top w:val="nil"/>
              <w:left w:val="single" w:sz="8" w:space="0" w:color="auto"/>
              <w:bottom w:val="single" w:sz="8" w:space="0" w:color="auto"/>
              <w:right w:val="single" w:sz="8" w:space="0" w:color="auto"/>
            </w:tcBorders>
            <w:shd w:val="clear" w:color="auto" w:fill="auto"/>
            <w:vAlign w:val="center"/>
            <w:hideMark/>
          </w:tcPr>
          <w:p w:rsidR="00B43A2F" w:rsidRPr="00EB2995" w:rsidRDefault="00B43A2F" w:rsidP="00B43A2F">
            <w:pPr>
              <w:rPr>
                <w:rFonts w:cs="Calibri"/>
                <w:b/>
                <w:bCs/>
                <w:color w:val="000000"/>
                <w:sz w:val="18"/>
                <w:szCs w:val="18"/>
                <w:lang w:eastAsia="en-GB"/>
              </w:rPr>
            </w:pPr>
            <w:r w:rsidRPr="00EB2995">
              <w:rPr>
                <w:rFonts w:cs="Calibri"/>
                <w:b/>
                <w:bCs/>
                <w:color w:val="000000"/>
                <w:sz w:val="18"/>
                <w:szCs w:val="18"/>
                <w:lang w:eastAsia="en-GB"/>
              </w:rPr>
              <w:t>Balance Sheet NBV at 1 April  2019</w:t>
            </w:r>
          </w:p>
        </w:tc>
        <w:tc>
          <w:tcPr>
            <w:tcW w:w="992" w:type="dxa"/>
            <w:tcBorders>
              <w:top w:val="nil"/>
              <w:left w:val="nil"/>
              <w:bottom w:val="single" w:sz="8" w:space="0" w:color="auto"/>
              <w:right w:val="single" w:sz="8" w:space="0" w:color="auto"/>
            </w:tcBorders>
            <w:shd w:val="clear" w:color="auto" w:fill="auto"/>
            <w:noWrap/>
            <w:vAlign w:val="center"/>
            <w:hideMark/>
          </w:tcPr>
          <w:p w:rsidR="00B43A2F" w:rsidRPr="00EB2995" w:rsidRDefault="00B43A2F" w:rsidP="00B43A2F">
            <w:pPr>
              <w:jc w:val="right"/>
              <w:rPr>
                <w:rFonts w:cs="Calibri"/>
                <w:b/>
                <w:bCs/>
                <w:color w:val="000000"/>
                <w:sz w:val="18"/>
                <w:szCs w:val="18"/>
                <w:lang w:eastAsia="en-GB"/>
              </w:rPr>
            </w:pPr>
            <w:r>
              <w:rPr>
                <w:rFonts w:cs="Calibri"/>
                <w:b/>
                <w:bCs/>
                <w:color w:val="000000"/>
                <w:sz w:val="18"/>
                <w:szCs w:val="18"/>
              </w:rPr>
              <w:t>602.2</w:t>
            </w:r>
          </w:p>
        </w:tc>
        <w:tc>
          <w:tcPr>
            <w:tcW w:w="993" w:type="dxa"/>
            <w:gridSpan w:val="2"/>
            <w:tcBorders>
              <w:top w:val="nil"/>
              <w:left w:val="nil"/>
              <w:bottom w:val="single" w:sz="8" w:space="0" w:color="auto"/>
              <w:right w:val="single" w:sz="8" w:space="0" w:color="auto"/>
            </w:tcBorders>
            <w:shd w:val="clear" w:color="auto" w:fill="auto"/>
            <w:noWrap/>
            <w:vAlign w:val="center"/>
            <w:hideMark/>
          </w:tcPr>
          <w:p w:rsidR="00B43A2F" w:rsidRPr="00EB2995" w:rsidRDefault="00B43A2F" w:rsidP="00B43A2F">
            <w:pPr>
              <w:jc w:val="right"/>
              <w:rPr>
                <w:rFonts w:cs="Calibri"/>
                <w:b/>
                <w:bCs/>
                <w:color w:val="000000"/>
                <w:sz w:val="18"/>
                <w:szCs w:val="18"/>
                <w:lang w:eastAsia="en-GB"/>
              </w:rPr>
            </w:pPr>
            <w:r>
              <w:rPr>
                <w:rFonts w:cs="Calibri"/>
                <w:b/>
                <w:bCs/>
                <w:color w:val="000000"/>
                <w:sz w:val="18"/>
                <w:szCs w:val="18"/>
              </w:rPr>
              <w:t>798.6</w:t>
            </w:r>
          </w:p>
        </w:tc>
        <w:tc>
          <w:tcPr>
            <w:tcW w:w="850" w:type="dxa"/>
            <w:gridSpan w:val="2"/>
            <w:tcBorders>
              <w:top w:val="nil"/>
              <w:left w:val="nil"/>
              <w:bottom w:val="single" w:sz="8" w:space="0" w:color="auto"/>
              <w:right w:val="single" w:sz="8" w:space="0" w:color="auto"/>
            </w:tcBorders>
            <w:shd w:val="clear" w:color="auto" w:fill="auto"/>
            <w:noWrap/>
            <w:vAlign w:val="center"/>
            <w:hideMark/>
          </w:tcPr>
          <w:p w:rsidR="00B43A2F" w:rsidRPr="00EB2995" w:rsidRDefault="00B43A2F" w:rsidP="00B43A2F">
            <w:pPr>
              <w:jc w:val="right"/>
              <w:rPr>
                <w:rFonts w:cs="Calibri"/>
                <w:b/>
                <w:bCs/>
                <w:color w:val="000000"/>
                <w:sz w:val="18"/>
                <w:szCs w:val="18"/>
                <w:lang w:eastAsia="en-GB"/>
              </w:rPr>
            </w:pPr>
            <w:r>
              <w:rPr>
                <w:rFonts w:cs="Calibri"/>
                <w:b/>
                <w:bCs/>
                <w:color w:val="000000"/>
                <w:sz w:val="18"/>
                <w:szCs w:val="18"/>
              </w:rPr>
              <w:t>21.5</w:t>
            </w:r>
          </w:p>
        </w:tc>
        <w:tc>
          <w:tcPr>
            <w:tcW w:w="1134" w:type="dxa"/>
            <w:gridSpan w:val="2"/>
            <w:tcBorders>
              <w:top w:val="nil"/>
              <w:left w:val="nil"/>
              <w:bottom w:val="single" w:sz="8" w:space="0" w:color="auto"/>
              <w:right w:val="single" w:sz="8" w:space="0" w:color="auto"/>
            </w:tcBorders>
            <w:shd w:val="clear" w:color="auto" w:fill="auto"/>
            <w:noWrap/>
            <w:vAlign w:val="center"/>
            <w:hideMark/>
          </w:tcPr>
          <w:p w:rsidR="00B43A2F" w:rsidRPr="00EB2995" w:rsidRDefault="00B43A2F" w:rsidP="00B43A2F">
            <w:pPr>
              <w:jc w:val="right"/>
              <w:rPr>
                <w:rFonts w:cs="Calibri"/>
                <w:b/>
                <w:bCs/>
                <w:color w:val="000000"/>
                <w:sz w:val="18"/>
                <w:szCs w:val="18"/>
                <w:lang w:eastAsia="en-GB"/>
              </w:rPr>
            </w:pPr>
            <w:r>
              <w:rPr>
                <w:rFonts w:cs="Calibri"/>
                <w:b/>
                <w:bCs/>
                <w:color w:val="000000"/>
                <w:sz w:val="18"/>
                <w:szCs w:val="18"/>
              </w:rPr>
              <w:t>195.5</w:t>
            </w:r>
          </w:p>
        </w:tc>
        <w:tc>
          <w:tcPr>
            <w:tcW w:w="851" w:type="dxa"/>
            <w:gridSpan w:val="2"/>
            <w:tcBorders>
              <w:top w:val="nil"/>
              <w:left w:val="nil"/>
              <w:bottom w:val="single" w:sz="8" w:space="0" w:color="auto"/>
              <w:right w:val="single" w:sz="8" w:space="0" w:color="auto"/>
            </w:tcBorders>
            <w:shd w:val="clear" w:color="auto" w:fill="auto"/>
            <w:noWrap/>
            <w:vAlign w:val="center"/>
            <w:hideMark/>
          </w:tcPr>
          <w:p w:rsidR="00B43A2F" w:rsidRPr="00EB2995" w:rsidRDefault="00B43A2F" w:rsidP="00B43A2F">
            <w:pPr>
              <w:jc w:val="right"/>
              <w:rPr>
                <w:rFonts w:cs="Calibri"/>
                <w:b/>
                <w:bCs/>
                <w:color w:val="000000"/>
                <w:sz w:val="18"/>
                <w:szCs w:val="18"/>
                <w:lang w:eastAsia="en-GB"/>
              </w:rPr>
            </w:pPr>
            <w:r>
              <w:rPr>
                <w:rFonts w:cs="Calibri"/>
                <w:b/>
                <w:bCs/>
                <w:color w:val="000000"/>
                <w:sz w:val="18"/>
                <w:szCs w:val="18"/>
              </w:rPr>
              <w:t>8.2</w:t>
            </w:r>
          </w:p>
        </w:tc>
        <w:tc>
          <w:tcPr>
            <w:tcW w:w="1275" w:type="dxa"/>
            <w:gridSpan w:val="2"/>
            <w:tcBorders>
              <w:top w:val="nil"/>
              <w:left w:val="nil"/>
              <w:bottom w:val="single" w:sz="8" w:space="0" w:color="auto"/>
              <w:right w:val="single" w:sz="8" w:space="0" w:color="auto"/>
            </w:tcBorders>
            <w:shd w:val="clear" w:color="auto" w:fill="auto"/>
            <w:noWrap/>
            <w:vAlign w:val="center"/>
            <w:hideMark/>
          </w:tcPr>
          <w:p w:rsidR="00B43A2F" w:rsidRPr="00EB2995" w:rsidRDefault="00B43A2F" w:rsidP="00B43A2F">
            <w:pPr>
              <w:jc w:val="right"/>
              <w:rPr>
                <w:rFonts w:cs="Calibri"/>
                <w:b/>
                <w:bCs/>
                <w:color w:val="000000"/>
                <w:sz w:val="18"/>
                <w:szCs w:val="18"/>
                <w:lang w:eastAsia="en-GB"/>
              </w:rPr>
            </w:pPr>
            <w:r>
              <w:rPr>
                <w:rFonts w:cs="Calibri"/>
                <w:b/>
                <w:bCs/>
                <w:color w:val="000000"/>
                <w:sz w:val="18"/>
                <w:szCs w:val="18"/>
              </w:rPr>
              <w:t>44.1</w:t>
            </w:r>
          </w:p>
        </w:tc>
        <w:tc>
          <w:tcPr>
            <w:tcW w:w="851" w:type="dxa"/>
            <w:gridSpan w:val="2"/>
            <w:tcBorders>
              <w:top w:val="nil"/>
              <w:left w:val="nil"/>
              <w:bottom w:val="single" w:sz="8" w:space="0" w:color="auto"/>
              <w:right w:val="single" w:sz="8" w:space="0" w:color="auto"/>
            </w:tcBorders>
            <w:shd w:val="clear" w:color="auto" w:fill="auto"/>
            <w:noWrap/>
            <w:vAlign w:val="center"/>
            <w:hideMark/>
          </w:tcPr>
          <w:p w:rsidR="00B43A2F" w:rsidRPr="00EB2995" w:rsidRDefault="00B43A2F" w:rsidP="00B43A2F">
            <w:pPr>
              <w:jc w:val="right"/>
              <w:rPr>
                <w:rFonts w:cs="Calibri"/>
                <w:b/>
                <w:bCs/>
                <w:color w:val="000000"/>
                <w:sz w:val="18"/>
                <w:szCs w:val="18"/>
                <w:lang w:eastAsia="en-GB"/>
              </w:rPr>
            </w:pPr>
            <w:r>
              <w:rPr>
                <w:rFonts w:cs="Calibri"/>
                <w:b/>
                <w:bCs/>
                <w:color w:val="000000"/>
                <w:sz w:val="18"/>
                <w:szCs w:val="18"/>
              </w:rPr>
              <w:t>1,670.1</w:t>
            </w:r>
          </w:p>
        </w:tc>
        <w:tc>
          <w:tcPr>
            <w:tcW w:w="850" w:type="dxa"/>
            <w:gridSpan w:val="2"/>
            <w:tcBorders>
              <w:top w:val="nil"/>
              <w:left w:val="nil"/>
              <w:bottom w:val="single" w:sz="8" w:space="0" w:color="auto"/>
              <w:right w:val="single" w:sz="8" w:space="0" w:color="auto"/>
            </w:tcBorders>
            <w:shd w:val="clear" w:color="auto" w:fill="auto"/>
            <w:noWrap/>
            <w:vAlign w:val="center"/>
            <w:hideMark/>
          </w:tcPr>
          <w:p w:rsidR="00B43A2F" w:rsidRPr="00EB2995" w:rsidRDefault="00B43A2F" w:rsidP="00B43A2F">
            <w:pPr>
              <w:jc w:val="right"/>
              <w:rPr>
                <w:rFonts w:cs="Calibri"/>
                <w:b/>
                <w:bCs/>
                <w:color w:val="000000"/>
                <w:sz w:val="18"/>
                <w:szCs w:val="18"/>
                <w:lang w:eastAsia="en-GB"/>
              </w:rPr>
            </w:pPr>
            <w:r>
              <w:rPr>
                <w:rFonts w:cs="Calibri"/>
                <w:b/>
                <w:bCs/>
                <w:color w:val="000000"/>
                <w:sz w:val="18"/>
                <w:szCs w:val="18"/>
              </w:rPr>
              <w:t>114.4</w:t>
            </w:r>
          </w:p>
        </w:tc>
      </w:tr>
    </w:tbl>
    <w:p w:rsidR="00B43A2F" w:rsidRDefault="00B43A2F" w:rsidP="00F72906"/>
    <w:tbl>
      <w:tblPr>
        <w:tblW w:w="10639" w:type="dxa"/>
        <w:tblInd w:w="-577" w:type="dxa"/>
        <w:tblLayout w:type="fixed"/>
        <w:tblLook w:val="04A0" w:firstRow="1" w:lastRow="0" w:firstColumn="1" w:lastColumn="0" w:noHBand="0" w:noVBand="1"/>
      </w:tblPr>
      <w:tblGrid>
        <w:gridCol w:w="2835"/>
        <w:gridCol w:w="992"/>
        <w:gridCol w:w="8"/>
        <w:gridCol w:w="985"/>
        <w:gridCol w:w="8"/>
        <w:gridCol w:w="842"/>
        <w:gridCol w:w="8"/>
        <w:gridCol w:w="1126"/>
        <w:gridCol w:w="8"/>
        <w:gridCol w:w="843"/>
        <w:gridCol w:w="8"/>
        <w:gridCol w:w="1267"/>
        <w:gridCol w:w="8"/>
        <w:gridCol w:w="843"/>
        <w:gridCol w:w="8"/>
        <w:gridCol w:w="842"/>
        <w:gridCol w:w="8"/>
      </w:tblGrid>
      <w:tr w:rsidR="00B43A2F" w:rsidRPr="00EB2995" w:rsidTr="00B43A2F">
        <w:trPr>
          <w:gridAfter w:val="1"/>
          <w:wAfter w:w="8" w:type="dxa"/>
          <w:trHeight w:hRule="exact" w:val="729"/>
        </w:trPr>
        <w:tc>
          <w:tcPr>
            <w:tcW w:w="28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43A2F" w:rsidRPr="00EB2995" w:rsidRDefault="00B43A2F" w:rsidP="00B43A2F">
            <w:pPr>
              <w:rPr>
                <w:rFonts w:cs="Calibri"/>
                <w:b/>
                <w:bCs/>
                <w:color w:val="000000"/>
                <w:sz w:val="18"/>
                <w:szCs w:val="18"/>
                <w:lang w:eastAsia="en-GB"/>
              </w:rPr>
            </w:pPr>
            <w:r w:rsidRPr="00EB2995">
              <w:rPr>
                <w:rFonts w:cs="Calibri"/>
                <w:b/>
                <w:bCs/>
                <w:color w:val="000000"/>
                <w:sz w:val="18"/>
                <w:szCs w:val="18"/>
                <w:lang w:eastAsia="en-GB"/>
              </w:rPr>
              <w:t>Movements in 2018/19</w:t>
            </w:r>
          </w:p>
        </w:tc>
        <w:tc>
          <w:tcPr>
            <w:tcW w:w="992" w:type="dxa"/>
            <w:tcBorders>
              <w:top w:val="single" w:sz="8" w:space="0" w:color="auto"/>
              <w:left w:val="nil"/>
              <w:bottom w:val="single" w:sz="8" w:space="0" w:color="auto"/>
              <w:right w:val="single" w:sz="4" w:space="0" w:color="auto"/>
            </w:tcBorders>
            <w:shd w:val="clear" w:color="auto" w:fill="auto"/>
            <w:vAlign w:val="center"/>
            <w:hideMark/>
          </w:tcPr>
          <w:p w:rsidR="00B43A2F" w:rsidRPr="00EB2995" w:rsidRDefault="00B43A2F" w:rsidP="00B43A2F">
            <w:pPr>
              <w:jc w:val="center"/>
              <w:rPr>
                <w:rFonts w:cs="Calibri"/>
                <w:b/>
                <w:bCs/>
                <w:color w:val="000000"/>
                <w:sz w:val="18"/>
                <w:szCs w:val="18"/>
                <w:lang w:eastAsia="en-GB"/>
              </w:rPr>
            </w:pPr>
            <w:r w:rsidRPr="00EB2995">
              <w:rPr>
                <w:rFonts w:cs="Calibri"/>
                <w:b/>
                <w:bCs/>
                <w:color w:val="000000"/>
                <w:sz w:val="18"/>
                <w:szCs w:val="18"/>
                <w:lang w:eastAsia="en-GB"/>
              </w:rPr>
              <w:t>Council Dwellings</w:t>
            </w:r>
          </w:p>
        </w:tc>
        <w:tc>
          <w:tcPr>
            <w:tcW w:w="993" w:type="dxa"/>
            <w:gridSpan w:val="2"/>
            <w:tcBorders>
              <w:top w:val="single" w:sz="8" w:space="0" w:color="auto"/>
              <w:left w:val="single" w:sz="4" w:space="0" w:color="auto"/>
              <w:bottom w:val="single" w:sz="8" w:space="0" w:color="auto"/>
              <w:right w:val="single" w:sz="8" w:space="0" w:color="auto"/>
            </w:tcBorders>
            <w:shd w:val="clear" w:color="auto" w:fill="auto"/>
            <w:vAlign w:val="center"/>
            <w:hideMark/>
          </w:tcPr>
          <w:p w:rsidR="00B43A2F" w:rsidRPr="00EB2995" w:rsidRDefault="00B43A2F" w:rsidP="00B43A2F">
            <w:pPr>
              <w:jc w:val="center"/>
              <w:rPr>
                <w:rFonts w:cs="Calibri"/>
                <w:b/>
                <w:bCs/>
                <w:color w:val="000000"/>
                <w:sz w:val="18"/>
                <w:szCs w:val="18"/>
                <w:lang w:eastAsia="en-GB"/>
              </w:rPr>
            </w:pPr>
            <w:r w:rsidRPr="00EB2995">
              <w:rPr>
                <w:rFonts w:cs="Calibri"/>
                <w:b/>
                <w:bCs/>
                <w:color w:val="000000"/>
                <w:sz w:val="18"/>
                <w:szCs w:val="18"/>
                <w:lang w:eastAsia="en-GB"/>
              </w:rPr>
              <w:t>Land &amp; Buildings</w:t>
            </w:r>
          </w:p>
        </w:tc>
        <w:tc>
          <w:tcPr>
            <w:tcW w:w="850" w:type="dxa"/>
            <w:gridSpan w:val="2"/>
            <w:tcBorders>
              <w:top w:val="single" w:sz="8" w:space="0" w:color="auto"/>
              <w:left w:val="nil"/>
              <w:bottom w:val="single" w:sz="8" w:space="0" w:color="auto"/>
              <w:right w:val="single" w:sz="8" w:space="0" w:color="auto"/>
            </w:tcBorders>
            <w:shd w:val="clear" w:color="auto" w:fill="auto"/>
            <w:vAlign w:val="center"/>
            <w:hideMark/>
          </w:tcPr>
          <w:p w:rsidR="00B43A2F" w:rsidRPr="00EB2995" w:rsidRDefault="00B43A2F" w:rsidP="00B43A2F">
            <w:pPr>
              <w:jc w:val="center"/>
              <w:rPr>
                <w:rFonts w:cs="Calibri"/>
                <w:b/>
                <w:bCs/>
                <w:color w:val="000000"/>
                <w:sz w:val="18"/>
                <w:szCs w:val="18"/>
                <w:lang w:eastAsia="en-GB"/>
              </w:rPr>
            </w:pPr>
            <w:r w:rsidRPr="00EB2995">
              <w:rPr>
                <w:rFonts w:cs="Calibri"/>
                <w:b/>
                <w:bCs/>
                <w:color w:val="000000"/>
                <w:sz w:val="18"/>
                <w:szCs w:val="18"/>
                <w:lang w:eastAsia="en-GB"/>
              </w:rPr>
              <w:t>VPF&amp;E</w:t>
            </w:r>
          </w:p>
        </w:tc>
        <w:tc>
          <w:tcPr>
            <w:tcW w:w="1134" w:type="dxa"/>
            <w:gridSpan w:val="2"/>
            <w:tcBorders>
              <w:top w:val="single" w:sz="8" w:space="0" w:color="auto"/>
              <w:left w:val="nil"/>
              <w:bottom w:val="single" w:sz="8" w:space="0" w:color="auto"/>
              <w:right w:val="single" w:sz="8" w:space="0" w:color="auto"/>
            </w:tcBorders>
            <w:shd w:val="clear" w:color="auto" w:fill="auto"/>
            <w:vAlign w:val="center"/>
            <w:hideMark/>
          </w:tcPr>
          <w:p w:rsidR="00B43A2F" w:rsidRPr="00EB2995" w:rsidRDefault="00B43A2F" w:rsidP="00B43A2F">
            <w:pPr>
              <w:jc w:val="center"/>
              <w:rPr>
                <w:rFonts w:cs="Calibri"/>
                <w:b/>
                <w:bCs/>
                <w:color w:val="000000"/>
                <w:sz w:val="18"/>
                <w:szCs w:val="18"/>
                <w:lang w:eastAsia="en-GB"/>
              </w:rPr>
            </w:pPr>
            <w:r w:rsidRPr="00EB2995">
              <w:rPr>
                <w:rFonts w:cs="Calibri"/>
                <w:b/>
                <w:bCs/>
                <w:color w:val="000000"/>
                <w:sz w:val="18"/>
                <w:szCs w:val="18"/>
                <w:lang w:eastAsia="en-GB"/>
              </w:rPr>
              <w:t>Infra-structure</w:t>
            </w:r>
          </w:p>
        </w:tc>
        <w:tc>
          <w:tcPr>
            <w:tcW w:w="851" w:type="dxa"/>
            <w:gridSpan w:val="2"/>
            <w:tcBorders>
              <w:top w:val="single" w:sz="8" w:space="0" w:color="auto"/>
              <w:left w:val="nil"/>
              <w:bottom w:val="single" w:sz="8" w:space="0" w:color="auto"/>
              <w:right w:val="single" w:sz="8" w:space="0" w:color="auto"/>
            </w:tcBorders>
            <w:shd w:val="clear" w:color="auto" w:fill="auto"/>
            <w:vAlign w:val="center"/>
            <w:hideMark/>
          </w:tcPr>
          <w:p w:rsidR="00B43A2F" w:rsidRPr="00EB2995" w:rsidRDefault="00B43A2F" w:rsidP="00B43A2F">
            <w:pPr>
              <w:jc w:val="center"/>
              <w:rPr>
                <w:rFonts w:cs="Calibri"/>
                <w:b/>
                <w:bCs/>
                <w:color w:val="000000"/>
                <w:sz w:val="18"/>
                <w:szCs w:val="18"/>
                <w:lang w:eastAsia="en-GB"/>
              </w:rPr>
            </w:pPr>
            <w:r w:rsidRPr="00EB2995">
              <w:rPr>
                <w:rFonts w:cs="Calibri"/>
                <w:b/>
                <w:bCs/>
                <w:color w:val="000000"/>
                <w:sz w:val="18"/>
                <w:szCs w:val="18"/>
                <w:lang w:eastAsia="en-GB"/>
              </w:rPr>
              <w:t>Surplus Assets</w:t>
            </w:r>
          </w:p>
        </w:tc>
        <w:tc>
          <w:tcPr>
            <w:tcW w:w="1275" w:type="dxa"/>
            <w:gridSpan w:val="2"/>
            <w:tcBorders>
              <w:top w:val="single" w:sz="8" w:space="0" w:color="auto"/>
              <w:left w:val="nil"/>
              <w:bottom w:val="single" w:sz="8" w:space="0" w:color="auto"/>
              <w:right w:val="single" w:sz="8" w:space="0" w:color="auto"/>
            </w:tcBorders>
            <w:shd w:val="clear" w:color="auto" w:fill="auto"/>
            <w:vAlign w:val="center"/>
            <w:hideMark/>
          </w:tcPr>
          <w:p w:rsidR="00B43A2F" w:rsidRPr="00EB2995" w:rsidRDefault="00B43A2F" w:rsidP="00B43A2F">
            <w:pPr>
              <w:jc w:val="center"/>
              <w:rPr>
                <w:rFonts w:cs="Calibri"/>
                <w:b/>
                <w:bCs/>
                <w:color w:val="000000"/>
                <w:sz w:val="18"/>
                <w:szCs w:val="18"/>
                <w:lang w:eastAsia="en-GB"/>
              </w:rPr>
            </w:pPr>
            <w:r w:rsidRPr="00EB2995">
              <w:rPr>
                <w:rFonts w:cs="Calibri"/>
                <w:b/>
                <w:bCs/>
                <w:color w:val="000000"/>
                <w:sz w:val="18"/>
                <w:szCs w:val="18"/>
                <w:lang w:eastAsia="en-GB"/>
              </w:rPr>
              <w:t>Asset under Construction</w:t>
            </w:r>
          </w:p>
        </w:tc>
        <w:tc>
          <w:tcPr>
            <w:tcW w:w="851" w:type="dxa"/>
            <w:gridSpan w:val="2"/>
            <w:tcBorders>
              <w:top w:val="single" w:sz="8" w:space="0" w:color="auto"/>
              <w:left w:val="nil"/>
              <w:bottom w:val="single" w:sz="8" w:space="0" w:color="auto"/>
              <w:right w:val="single" w:sz="8" w:space="0" w:color="auto"/>
            </w:tcBorders>
            <w:shd w:val="clear" w:color="auto" w:fill="auto"/>
            <w:noWrap/>
            <w:vAlign w:val="center"/>
            <w:hideMark/>
          </w:tcPr>
          <w:p w:rsidR="00B43A2F" w:rsidRPr="00EB2995" w:rsidRDefault="00B43A2F" w:rsidP="00B43A2F">
            <w:pPr>
              <w:jc w:val="center"/>
              <w:rPr>
                <w:rFonts w:cs="Calibri"/>
                <w:b/>
                <w:bCs/>
                <w:color w:val="000000"/>
                <w:sz w:val="18"/>
                <w:szCs w:val="18"/>
                <w:lang w:eastAsia="en-GB"/>
              </w:rPr>
            </w:pPr>
            <w:r w:rsidRPr="00EB2995">
              <w:rPr>
                <w:rFonts w:cs="Calibri"/>
                <w:b/>
                <w:bCs/>
                <w:color w:val="000000"/>
                <w:sz w:val="18"/>
                <w:szCs w:val="18"/>
                <w:lang w:eastAsia="en-GB"/>
              </w:rPr>
              <w:t>Total</w:t>
            </w:r>
          </w:p>
        </w:tc>
        <w:tc>
          <w:tcPr>
            <w:tcW w:w="850" w:type="dxa"/>
            <w:gridSpan w:val="2"/>
            <w:tcBorders>
              <w:top w:val="single" w:sz="8" w:space="0" w:color="auto"/>
              <w:left w:val="nil"/>
              <w:bottom w:val="single" w:sz="8" w:space="0" w:color="auto"/>
              <w:right w:val="single" w:sz="8" w:space="0" w:color="auto"/>
            </w:tcBorders>
            <w:shd w:val="clear" w:color="auto" w:fill="auto"/>
            <w:vAlign w:val="center"/>
            <w:hideMark/>
          </w:tcPr>
          <w:p w:rsidR="00B43A2F" w:rsidRPr="00EB2995" w:rsidRDefault="00B43A2F" w:rsidP="00B43A2F">
            <w:pPr>
              <w:rPr>
                <w:rFonts w:cs="Calibri"/>
                <w:b/>
                <w:bCs/>
                <w:i/>
                <w:iCs/>
                <w:color w:val="000000"/>
                <w:sz w:val="18"/>
                <w:szCs w:val="18"/>
                <w:lang w:eastAsia="en-GB"/>
              </w:rPr>
            </w:pPr>
            <w:r w:rsidRPr="00EB2995">
              <w:rPr>
                <w:rFonts w:cs="Calibri"/>
                <w:b/>
                <w:bCs/>
                <w:i/>
                <w:iCs/>
                <w:color w:val="000000"/>
                <w:sz w:val="18"/>
                <w:szCs w:val="18"/>
                <w:lang w:eastAsia="en-GB"/>
              </w:rPr>
              <w:t>*PFI Assets</w:t>
            </w:r>
          </w:p>
        </w:tc>
      </w:tr>
      <w:tr w:rsidR="00B43A2F" w:rsidRPr="00EB2995" w:rsidTr="00B43A2F">
        <w:trPr>
          <w:gridAfter w:val="1"/>
          <w:wAfter w:w="8" w:type="dxa"/>
          <w:trHeight w:hRule="exact" w:val="397"/>
        </w:trPr>
        <w:tc>
          <w:tcPr>
            <w:tcW w:w="2835" w:type="dxa"/>
            <w:tcBorders>
              <w:top w:val="nil"/>
              <w:left w:val="single" w:sz="8" w:space="0" w:color="auto"/>
              <w:bottom w:val="single" w:sz="8" w:space="0" w:color="auto"/>
              <w:right w:val="single" w:sz="8" w:space="0" w:color="auto"/>
            </w:tcBorders>
            <w:shd w:val="clear" w:color="auto" w:fill="auto"/>
            <w:vAlign w:val="center"/>
            <w:hideMark/>
          </w:tcPr>
          <w:p w:rsidR="00B43A2F" w:rsidRPr="00EB2995" w:rsidRDefault="00B43A2F" w:rsidP="00B43A2F">
            <w:pPr>
              <w:rPr>
                <w:rFonts w:cs="Calibri"/>
                <w:color w:val="000000"/>
                <w:sz w:val="18"/>
                <w:szCs w:val="18"/>
                <w:lang w:eastAsia="en-GB"/>
              </w:rPr>
            </w:pPr>
            <w:r w:rsidRPr="00EB2995">
              <w:rPr>
                <w:rFonts w:cs="Calibri"/>
                <w:color w:val="000000"/>
                <w:sz w:val="18"/>
                <w:szCs w:val="18"/>
                <w:lang w:eastAsia="en-GB"/>
              </w:rPr>
              <w:t> </w:t>
            </w:r>
          </w:p>
        </w:tc>
        <w:tc>
          <w:tcPr>
            <w:tcW w:w="992" w:type="dxa"/>
            <w:tcBorders>
              <w:top w:val="nil"/>
              <w:left w:val="nil"/>
              <w:bottom w:val="single" w:sz="8" w:space="0" w:color="auto"/>
              <w:right w:val="single" w:sz="4" w:space="0" w:color="auto"/>
            </w:tcBorders>
            <w:shd w:val="clear" w:color="auto" w:fill="auto"/>
            <w:noWrap/>
            <w:vAlign w:val="center"/>
            <w:hideMark/>
          </w:tcPr>
          <w:p w:rsidR="00B43A2F" w:rsidRPr="00EB2995" w:rsidRDefault="00B43A2F" w:rsidP="00B43A2F">
            <w:pPr>
              <w:jc w:val="center"/>
              <w:rPr>
                <w:rFonts w:cs="Calibri"/>
                <w:b/>
                <w:bCs/>
                <w:color w:val="000000"/>
                <w:sz w:val="18"/>
                <w:szCs w:val="18"/>
                <w:lang w:eastAsia="en-GB"/>
              </w:rPr>
            </w:pPr>
            <w:r w:rsidRPr="00EB2995">
              <w:rPr>
                <w:rFonts w:cs="Calibri"/>
                <w:b/>
                <w:bCs/>
                <w:color w:val="000000"/>
                <w:sz w:val="18"/>
                <w:szCs w:val="18"/>
                <w:lang w:eastAsia="en-GB"/>
              </w:rPr>
              <w:t>£m</w:t>
            </w:r>
          </w:p>
        </w:tc>
        <w:tc>
          <w:tcPr>
            <w:tcW w:w="993" w:type="dxa"/>
            <w:gridSpan w:val="2"/>
            <w:tcBorders>
              <w:top w:val="nil"/>
              <w:left w:val="single" w:sz="4" w:space="0" w:color="auto"/>
              <w:bottom w:val="single" w:sz="8" w:space="0" w:color="auto"/>
              <w:right w:val="single" w:sz="8" w:space="0" w:color="auto"/>
            </w:tcBorders>
            <w:shd w:val="clear" w:color="auto" w:fill="auto"/>
            <w:noWrap/>
            <w:vAlign w:val="center"/>
            <w:hideMark/>
          </w:tcPr>
          <w:p w:rsidR="00B43A2F" w:rsidRPr="00EB2995" w:rsidRDefault="00B43A2F" w:rsidP="00B43A2F">
            <w:pPr>
              <w:jc w:val="center"/>
              <w:rPr>
                <w:rFonts w:cs="Calibri"/>
                <w:b/>
                <w:bCs/>
                <w:color w:val="000000"/>
                <w:sz w:val="18"/>
                <w:szCs w:val="18"/>
                <w:lang w:eastAsia="en-GB"/>
              </w:rPr>
            </w:pPr>
            <w:r w:rsidRPr="00EB2995">
              <w:rPr>
                <w:rFonts w:cs="Calibri"/>
                <w:b/>
                <w:bCs/>
                <w:color w:val="000000"/>
                <w:sz w:val="18"/>
                <w:szCs w:val="18"/>
                <w:lang w:eastAsia="en-GB"/>
              </w:rPr>
              <w:t>£m</w:t>
            </w:r>
          </w:p>
        </w:tc>
        <w:tc>
          <w:tcPr>
            <w:tcW w:w="850" w:type="dxa"/>
            <w:gridSpan w:val="2"/>
            <w:tcBorders>
              <w:top w:val="nil"/>
              <w:left w:val="nil"/>
              <w:bottom w:val="single" w:sz="8" w:space="0" w:color="auto"/>
              <w:right w:val="single" w:sz="8" w:space="0" w:color="auto"/>
            </w:tcBorders>
            <w:shd w:val="clear" w:color="auto" w:fill="auto"/>
            <w:noWrap/>
            <w:vAlign w:val="center"/>
            <w:hideMark/>
          </w:tcPr>
          <w:p w:rsidR="00B43A2F" w:rsidRPr="00EB2995" w:rsidRDefault="00B43A2F" w:rsidP="00B43A2F">
            <w:pPr>
              <w:jc w:val="center"/>
              <w:rPr>
                <w:rFonts w:cs="Calibri"/>
                <w:b/>
                <w:bCs/>
                <w:color w:val="000000"/>
                <w:sz w:val="18"/>
                <w:szCs w:val="18"/>
                <w:lang w:eastAsia="en-GB"/>
              </w:rPr>
            </w:pPr>
            <w:r w:rsidRPr="00EB2995">
              <w:rPr>
                <w:rFonts w:cs="Calibri"/>
                <w:b/>
                <w:bCs/>
                <w:color w:val="000000"/>
                <w:sz w:val="18"/>
                <w:szCs w:val="18"/>
                <w:lang w:eastAsia="en-GB"/>
              </w:rPr>
              <w:t>£m</w:t>
            </w:r>
          </w:p>
        </w:tc>
        <w:tc>
          <w:tcPr>
            <w:tcW w:w="1134" w:type="dxa"/>
            <w:gridSpan w:val="2"/>
            <w:tcBorders>
              <w:top w:val="nil"/>
              <w:left w:val="nil"/>
              <w:bottom w:val="single" w:sz="8" w:space="0" w:color="auto"/>
              <w:right w:val="single" w:sz="8" w:space="0" w:color="auto"/>
            </w:tcBorders>
            <w:shd w:val="clear" w:color="auto" w:fill="auto"/>
            <w:noWrap/>
            <w:vAlign w:val="center"/>
            <w:hideMark/>
          </w:tcPr>
          <w:p w:rsidR="00B43A2F" w:rsidRPr="00EB2995" w:rsidRDefault="00B43A2F" w:rsidP="00B43A2F">
            <w:pPr>
              <w:jc w:val="center"/>
              <w:rPr>
                <w:rFonts w:cs="Calibri"/>
                <w:b/>
                <w:bCs/>
                <w:color w:val="000000"/>
                <w:sz w:val="18"/>
                <w:szCs w:val="18"/>
                <w:lang w:eastAsia="en-GB"/>
              </w:rPr>
            </w:pPr>
            <w:r w:rsidRPr="00EB2995">
              <w:rPr>
                <w:rFonts w:cs="Calibri"/>
                <w:b/>
                <w:bCs/>
                <w:color w:val="000000"/>
                <w:sz w:val="18"/>
                <w:szCs w:val="18"/>
                <w:lang w:eastAsia="en-GB"/>
              </w:rPr>
              <w:t>£m</w:t>
            </w:r>
          </w:p>
        </w:tc>
        <w:tc>
          <w:tcPr>
            <w:tcW w:w="851" w:type="dxa"/>
            <w:gridSpan w:val="2"/>
            <w:tcBorders>
              <w:top w:val="nil"/>
              <w:left w:val="nil"/>
              <w:bottom w:val="single" w:sz="8" w:space="0" w:color="auto"/>
              <w:right w:val="single" w:sz="8" w:space="0" w:color="auto"/>
            </w:tcBorders>
            <w:shd w:val="clear" w:color="auto" w:fill="auto"/>
            <w:noWrap/>
            <w:vAlign w:val="center"/>
            <w:hideMark/>
          </w:tcPr>
          <w:p w:rsidR="00B43A2F" w:rsidRPr="00EB2995" w:rsidRDefault="00B43A2F" w:rsidP="00B43A2F">
            <w:pPr>
              <w:jc w:val="center"/>
              <w:rPr>
                <w:rFonts w:cs="Calibri"/>
                <w:b/>
                <w:bCs/>
                <w:color w:val="000000"/>
                <w:sz w:val="18"/>
                <w:szCs w:val="18"/>
                <w:lang w:eastAsia="en-GB"/>
              </w:rPr>
            </w:pPr>
            <w:r w:rsidRPr="00EB2995">
              <w:rPr>
                <w:rFonts w:cs="Calibri"/>
                <w:b/>
                <w:bCs/>
                <w:color w:val="000000"/>
                <w:sz w:val="18"/>
                <w:szCs w:val="18"/>
                <w:lang w:eastAsia="en-GB"/>
              </w:rPr>
              <w:t>£m</w:t>
            </w:r>
          </w:p>
        </w:tc>
        <w:tc>
          <w:tcPr>
            <w:tcW w:w="1275" w:type="dxa"/>
            <w:gridSpan w:val="2"/>
            <w:tcBorders>
              <w:top w:val="nil"/>
              <w:left w:val="nil"/>
              <w:bottom w:val="single" w:sz="8" w:space="0" w:color="auto"/>
              <w:right w:val="single" w:sz="8" w:space="0" w:color="auto"/>
            </w:tcBorders>
            <w:shd w:val="clear" w:color="auto" w:fill="auto"/>
            <w:noWrap/>
            <w:vAlign w:val="center"/>
            <w:hideMark/>
          </w:tcPr>
          <w:p w:rsidR="00B43A2F" w:rsidRPr="00EB2995" w:rsidRDefault="00B43A2F" w:rsidP="00B43A2F">
            <w:pPr>
              <w:jc w:val="center"/>
              <w:rPr>
                <w:rFonts w:cs="Calibri"/>
                <w:b/>
                <w:bCs/>
                <w:color w:val="000000"/>
                <w:sz w:val="18"/>
                <w:szCs w:val="18"/>
                <w:lang w:eastAsia="en-GB"/>
              </w:rPr>
            </w:pPr>
            <w:r w:rsidRPr="00EB2995">
              <w:rPr>
                <w:rFonts w:cs="Calibri"/>
                <w:b/>
                <w:bCs/>
                <w:color w:val="000000"/>
                <w:sz w:val="18"/>
                <w:szCs w:val="18"/>
                <w:lang w:eastAsia="en-GB"/>
              </w:rPr>
              <w:t>£m</w:t>
            </w:r>
          </w:p>
        </w:tc>
        <w:tc>
          <w:tcPr>
            <w:tcW w:w="851" w:type="dxa"/>
            <w:gridSpan w:val="2"/>
            <w:tcBorders>
              <w:top w:val="nil"/>
              <w:left w:val="nil"/>
              <w:bottom w:val="single" w:sz="8" w:space="0" w:color="auto"/>
              <w:right w:val="single" w:sz="8" w:space="0" w:color="auto"/>
            </w:tcBorders>
            <w:shd w:val="clear" w:color="auto" w:fill="auto"/>
            <w:noWrap/>
            <w:vAlign w:val="center"/>
            <w:hideMark/>
          </w:tcPr>
          <w:p w:rsidR="00B43A2F" w:rsidRPr="00EB2995" w:rsidRDefault="00B43A2F" w:rsidP="00B43A2F">
            <w:pPr>
              <w:jc w:val="center"/>
              <w:rPr>
                <w:rFonts w:cs="Calibri"/>
                <w:b/>
                <w:bCs/>
                <w:color w:val="000000"/>
                <w:sz w:val="18"/>
                <w:szCs w:val="18"/>
                <w:lang w:eastAsia="en-GB"/>
              </w:rPr>
            </w:pPr>
            <w:r w:rsidRPr="00EB2995">
              <w:rPr>
                <w:rFonts w:cs="Calibri"/>
                <w:b/>
                <w:bCs/>
                <w:color w:val="000000"/>
                <w:sz w:val="18"/>
                <w:szCs w:val="18"/>
                <w:lang w:eastAsia="en-GB"/>
              </w:rPr>
              <w:t>£m</w:t>
            </w:r>
          </w:p>
        </w:tc>
        <w:tc>
          <w:tcPr>
            <w:tcW w:w="850" w:type="dxa"/>
            <w:gridSpan w:val="2"/>
            <w:tcBorders>
              <w:top w:val="nil"/>
              <w:left w:val="nil"/>
              <w:bottom w:val="single" w:sz="8" w:space="0" w:color="auto"/>
              <w:right w:val="single" w:sz="8" w:space="0" w:color="auto"/>
            </w:tcBorders>
            <w:shd w:val="clear" w:color="auto" w:fill="auto"/>
            <w:noWrap/>
            <w:vAlign w:val="center"/>
            <w:hideMark/>
          </w:tcPr>
          <w:p w:rsidR="00B43A2F" w:rsidRPr="00EB2995" w:rsidRDefault="00B43A2F" w:rsidP="00B43A2F">
            <w:pPr>
              <w:jc w:val="center"/>
              <w:rPr>
                <w:rFonts w:cs="Calibri"/>
                <w:b/>
                <w:bCs/>
                <w:i/>
                <w:iCs/>
                <w:color w:val="000000"/>
                <w:sz w:val="18"/>
                <w:szCs w:val="18"/>
                <w:lang w:eastAsia="en-GB"/>
              </w:rPr>
            </w:pPr>
            <w:r w:rsidRPr="00EB2995">
              <w:rPr>
                <w:rFonts w:cs="Calibri"/>
                <w:b/>
                <w:bCs/>
                <w:i/>
                <w:iCs/>
                <w:color w:val="000000"/>
                <w:sz w:val="18"/>
                <w:szCs w:val="18"/>
                <w:lang w:eastAsia="en-GB"/>
              </w:rPr>
              <w:t>£m</w:t>
            </w:r>
          </w:p>
        </w:tc>
      </w:tr>
      <w:tr w:rsidR="00B43A2F" w:rsidRPr="00EB2995" w:rsidTr="00B43A2F">
        <w:trPr>
          <w:gridAfter w:val="1"/>
          <w:wAfter w:w="8" w:type="dxa"/>
          <w:trHeight w:hRule="exact" w:val="397"/>
        </w:trPr>
        <w:tc>
          <w:tcPr>
            <w:tcW w:w="2835" w:type="dxa"/>
            <w:tcBorders>
              <w:top w:val="nil"/>
              <w:left w:val="nil"/>
              <w:bottom w:val="single" w:sz="8" w:space="0" w:color="auto"/>
              <w:right w:val="nil"/>
            </w:tcBorders>
            <w:shd w:val="clear" w:color="auto" w:fill="auto"/>
            <w:vAlign w:val="center"/>
            <w:hideMark/>
          </w:tcPr>
          <w:p w:rsidR="00B43A2F" w:rsidRPr="00EB2995" w:rsidRDefault="00B43A2F" w:rsidP="00B43A2F">
            <w:pPr>
              <w:rPr>
                <w:rFonts w:cs="Calibri"/>
                <w:b/>
                <w:bCs/>
                <w:color w:val="000000"/>
                <w:sz w:val="18"/>
                <w:szCs w:val="18"/>
                <w:lang w:eastAsia="en-GB"/>
              </w:rPr>
            </w:pPr>
            <w:r w:rsidRPr="00EB2995">
              <w:rPr>
                <w:rFonts w:cs="Calibri"/>
                <w:b/>
                <w:bCs/>
                <w:color w:val="000000"/>
                <w:sz w:val="18"/>
                <w:szCs w:val="18"/>
                <w:lang w:eastAsia="en-GB"/>
              </w:rPr>
              <w:t>Cost or Valuation</w:t>
            </w:r>
          </w:p>
        </w:tc>
        <w:tc>
          <w:tcPr>
            <w:tcW w:w="992" w:type="dxa"/>
            <w:tcBorders>
              <w:top w:val="nil"/>
              <w:left w:val="nil"/>
              <w:bottom w:val="single" w:sz="8" w:space="0" w:color="auto"/>
              <w:right w:val="nil"/>
            </w:tcBorders>
            <w:shd w:val="clear" w:color="auto" w:fill="auto"/>
            <w:noWrap/>
            <w:vAlign w:val="center"/>
            <w:hideMark/>
          </w:tcPr>
          <w:p w:rsidR="00B43A2F" w:rsidRPr="00EB2995" w:rsidRDefault="00B43A2F" w:rsidP="00B43A2F">
            <w:pPr>
              <w:rPr>
                <w:rFonts w:cs="Calibri"/>
                <w:color w:val="000000"/>
                <w:sz w:val="18"/>
                <w:szCs w:val="18"/>
                <w:lang w:eastAsia="en-GB"/>
              </w:rPr>
            </w:pPr>
            <w:r w:rsidRPr="00EB2995">
              <w:rPr>
                <w:rFonts w:cs="Calibri"/>
                <w:color w:val="000000"/>
                <w:sz w:val="18"/>
                <w:szCs w:val="18"/>
                <w:lang w:eastAsia="en-GB"/>
              </w:rPr>
              <w:t> </w:t>
            </w:r>
          </w:p>
        </w:tc>
        <w:tc>
          <w:tcPr>
            <w:tcW w:w="993" w:type="dxa"/>
            <w:gridSpan w:val="2"/>
            <w:tcBorders>
              <w:top w:val="nil"/>
              <w:left w:val="nil"/>
              <w:bottom w:val="single" w:sz="8" w:space="0" w:color="auto"/>
              <w:right w:val="nil"/>
            </w:tcBorders>
            <w:shd w:val="clear" w:color="auto" w:fill="auto"/>
            <w:noWrap/>
            <w:vAlign w:val="center"/>
            <w:hideMark/>
          </w:tcPr>
          <w:p w:rsidR="00B43A2F" w:rsidRPr="00EB2995" w:rsidRDefault="00B43A2F" w:rsidP="00B43A2F">
            <w:pPr>
              <w:rPr>
                <w:rFonts w:cs="Calibri"/>
                <w:color w:val="000000"/>
                <w:sz w:val="18"/>
                <w:szCs w:val="18"/>
                <w:lang w:eastAsia="en-GB"/>
              </w:rPr>
            </w:pPr>
            <w:r w:rsidRPr="00EB2995">
              <w:rPr>
                <w:rFonts w:cs="Calibri"/>
                <w:color w:val="000000"/>
                <w:sz w:val="18"/>
                <w:szCs w:val="18"/>
                <w:lang w:eastAsia="en-GB"/>
              </w:rPr>
              <w:t> </w:t>
            </w:r>
          </w:p>
        </w:tc>
        <w:tc>
          <w:tcPr>
            <w:tcW w:w="850" w:type="dxa"/>
            <w:gridSpan w:val="2"/>
            <w:tcBorders>
              <w:top w:val="nil"/>
              <w:left w:val="nil"/>
              <w:bottom w:val="single" w:sz="8" w:space="0" w:color="auto"/>
              <w:right w:val="nil"/>
            </w:tcBorders>
            <w:shd w:val="clear" w:color="auto" w:fill="auto"/>
            <w:noWrap/>
            <w:vAlign w:val="center"/>
            <w:hideMark/>
          </w:tcPr>
          <w:p w:rsidR="00B43A2F" w:rsidRPr="00EB2995" w:rsidRDefault="00B43A2F" w:rsidP="00B43A2F">
            <w:pPr>
              <w:rPr>
                <w:rFonts w:cs="Calibri"/>
                <w:color w:val="000000"/>
                <w:sz w:val="18"/>
                <w:szCs w:val="18"/>
                <w:lang w:eastAsia="en-GB"/>
              </w:rPr>
            </w:pPr>
            <w:r w:rsidRPr="00EB2995">
              <w:rPr>
                <w:rFonts w:cs="Calibri"/>
                <w:color w:val="000000"/>
                <w:sz w:val="18"/>
                <w:szCs w:val="18"/>
                <w:lang w:eastAsia="en-GB"/>
              </w:rPr>
              <w:t> </w:t>
            </w:r>
          </w:p>
        </w:tc>
        <w:tc>
          <w:tcPr>
            <w:tcW w:w="1134" w:type="dxa"/>
            <w:gridSpan w:val="2"/>
            <w:tcBorders>
              <w:top w:val="nil"/>
              <w:left w:val="nil"/>
              <w:bottom w:val="single" w:sz="8" w:space="0" w:color="auto"/>
              <w:right w:val="nil"/>
            </w:tcBorders>
            <w:shd w:val="clear" w:color="auto" w:fill="auto"/>
            <w:noWrap/>
            <w:vAlign w:val="center"/>
            <w:hideMark/>
          </w:tcPr>
          <w:p w:rsidR="00B43A2F" w:rsidRPr="00EB2995" w:rsidRDefault="00B43A2F" w:rsidP="00B43A2F">
            <w:pPr>
              <w:rPr>
                <w:rFonts w:cs="Calibri"/>
                <w:color w:val="000000"/>
                <w:sz w:val="18"/>
                <w:szCs w:val="18"/>
                <w:lang w:eastAsia="en-GB"/>
              </w:rPr>
            </w:pPr>
            <w:r w:rsidRPr="00EB2995">
              <w:rPr>
                <w:rFonts w:cs="Calibri"/>
                <w:color w:val="000000"/>
                <w:sz w:val="18"/>
                <w:szCs w:val="18"/>
                <w:lang w:eastAsia="en-GB"/>
              </w:rPr>
              <w:t> </w:t>
            </w:r>
          </w:p>
        </w:tc>
        <w:tc>
          <w:tcPr>
            <w:tcW w:w="851" w:type="dxa"/>
            <w:gridSpan w:val="2"/>
            <w:tcBorders>
              <w:top w:val="nil"/>
              <w:left w:val="nil"/>
              <w:bottom w:val="single" w:sz="8" w:space="0" w:color="auto"/>
              <w:right w:val="nil"/>
            </w:tcBorders>
            <w:shd w:val="clear" w:color="auto" w:fill="auto"/>
            <w:noWrap/>
            <w:vAlign w:val="center"/>
            <w:hideMark/>
          </w:tcPr>
          <w:p w:rsidR="00B43A2F" w:rsidRPr="00EB2995" w:rsidRDefault="00B43A2F" w:rsidP="00B43A2F">
            <w:pPr>
              <w:rPr>
                <w:rFonts w:cs="Calibri"/>
                <w:color w:val="000000"/>
                <w:sz w:val="18"/>
                <w:szCs w:val="18"/>
                <w:lang w:eastAsia="en-GB"/>
              </w:rPr>
            </w:pPr>
            <w:r w:rsidRPr="00EB2995">
              <w:rPr>
                <w:rFonts w:cs="Calibri"/>
                <w:color w:val="000000"/>
                <w:sz w:val="18"/>
                <w:szCs w:val="18"/>
                <w:lang w:eastAsia="en-GB"/>
              </w:rPr>
              <w:t> </w:t>
            </w:r>
          </w:p>
        </w:tc>
        <w:tc>
          <w:tcPr>
            <w:tcW w:w="1275" w:type="dxa"/>
            <w:gridSpan w:val="2"/>
            <w:tcBorders>
              <w:top w:val="nil"/>
              <w:left w:val="nil"/>
              <w:bottom w:val="single" w:sz="8" w:space="0" w:color="auto"/>
              <w:right w:val="nil"/>
            </w:tcBorders>
            <w:shd w:val="clear" w:color="auto" w:fill="auto"/>
            <w:noWrap/>
            <w:vAlign w:val="center"/>
            <w:hideMark/>
          </w:tcPr>
          <w:p w:rsidR="00B43A2F" w:rsidRPr="00EB2995" w:rsidRDefault="00B43A2F" w:rsidP="00B43A2F">
            <w:pPr>
              <w:rPr>
                <w:rFonts w:cs="Calibri"/>
                <w:color w:val="000000"/>
                <w:sz w:val="18"/>
                <w:szCs w:val="18"/>
                <w:lang w:eastAsia="en-GB"/>
              </w:rPr>
            </w:pPr>
            <w:r w:rsidRPr="00EB2995">
              <w:rPr>
                <w:rFonts w:cs="Calibri"/>
                <w:color w:val="000000"/>
                <w:sz w:val="18"/>
                <w:szCs w:val="18"/>
                <w:lang w:eastAsia="en-GB"/>
              </w:rPr>
              <w:t> </w:t>
            </w:r>
          </w:p>
        </w:tc>
        <w:tc>
          <w:tcPr>
            <w:tcW w:w="851" w:type="dxa"/>
            <w:gridSpan w:val="2"/>
            <w:tcBorders>
              <w:top w:val="nil"/>
              <w:left w:val="nil"/>
              <w:bottom w:val="single" w:sz="8" w:space="0" w:color="auto"/>
              <w:right w:val="nil"/>
            </w:tcBorders>
            <w:shd w:val="clear" w:color="auto" w:fill="auto"/>
            <w:noWrap/>
            <w:vAlign w:val="center"/>
            <w:hideMark/>
          </w:tcPr>
          <w:p w:rsidR="00B43A2F" w:rsidRPr="00EB2995" w:rsidRDefault="00B43A2F" w:rsidP="00B43A2F">
            <w:pPr>
              <w:rPr>
                <w:rFonts w:cs="Calibri"/>
                <w:color w:val="000000"/>
                <w:sz w:val="18"/>
                <w:szCs w:val="18"/>
                <w:lang w:eastAsia="en-GB"/>
              </w:rPr>
            </w:pPr>
            <w:r w:rsidRPr="00EB2995">
              <w:rPr>
                <w:rFonts w:cs="Calibri"/>
                <w:color w:val="000000"/>
                <w:sz w:val="18"/>
                <w:szCs w:val="18"/>
                <w:lang w:eastAsia="en-GB"/>
              </w:rPr>
              <w:t> </w:t>
            </w:r>
          </w:p>
        </w:tc>
        <w:tc>
          <w:tcPr>
            <w:tcW w:w="850" w:type="dxa"/>
            <w:gridSpan w:val="2"/>
            <w:tcBorders>
              <w:top w:val="nil"/>
              <w:left w:val="nil"/>
              <w:bottom w:val="single" w:sz="8" w:space="0" w:color="auto"/>
              <w:right w:val="nil"/>
            </w:tcBorders>
            <w:shd w:val="clear" w:color="auto" w:fill="auto"/>
            <w:noWrap/>
            <w:vAlign w:val="center"/>
            <w:hideMark/>
          </w:tcPr>
          <w:p w:rsidR="00B43A2F" w:rsidRPr="00EB2995" w:rsidRDefault="00B43A2F" w:rsidP="00B43A2F">
            <w:pPr>
              <w:rPr>
                <w:rFonts w:cs="Calibri"/>
                <w:i/>
                <w:iCs/>
                <w:color w:val="000000"/>
                <w:sz w:val="18"/>
                <w:szCs w:val="18"/>
                <w:lang w:eastAsia="en-GB"/>
              </w:rPr>
            </w:pPr>
            <w:r w:rsidRPr="00EB2995">
              <w:rPr>
                <w:rFonts w:cs="Calibri"/>
                <w:i/>
                <w:iCs/>
                <w:color w:val="000000"/>
                <w:sz w:val="18"/>
                <w:szCs w:val="18"/>
                <w:lang w:eastAsia="en-GB"/>
              </w:rPr>
              <w:t> </w:t>
            </w:r>
          </w:p>
        </w:tc>
      </w:tr>
      <w:tr w:rsidR="00B43A2F" w:rsidRPr="00EB2995" w:rsidTr="00B43A2F">
        <w:trPr>
          <w:gridAfter w:val="1"/>
          <w:wAfter w:w="8" w:type="dxa"/>
          <w:trHeight w:hRule="exact" w:val="397"/>
        </w:trPr>
        <w:tc>
          <w:tcPr>
            <w:tcW w:w="2835" w:type="dxa"/>
            <w:tcBorders>
              <w:top w:val="nil"/>
              <w:left w:val="single" w:sz="8" w:space="0" w:color="auto"/>
              <w:bottom w:val="single" w:sz="8" w:space="0" w:color="auto"/>
              <w:right w:val="single" w:sz="8" w:space="0" w:color="auto"/>
            </w:tcBorders>
            <w:shd w:val="clear" w:color="auto" w:fill="auto"/>
            <w:vAlign w:val="center"/>
            <w:hideMark/>
          </w:tcPr>
          <w:p w:rsidR="00B43A2F" w:rsidRPr="00EB2995" w:rsidRDefault="00B43A2F" w:rsidP="00B43A2F">
            <w:pPr>
              <w:rPr>
                <w:rFonts w:cs="Calibri"/>
                <w:b/>
                <w:bCs/>
                <w:color w:val="000000"/>
                <w:sz w:val="18"/>
                <w:szCs w:val="18"/>
                <w:lang w:eastAsia="en-GB"/>
              </w:rPr>
            </w:pPr>
            <w:r w:rsidRPr="00EB2995">
              <w:rPr>
                <w:rFonts w:cs="Calibri"/>
                <w:b/>
                <w:bCs/>
                <w:color w:val="000000"/>
                <w:sz w:val="18"/>
                <w:szCs w:val="18"/>
                <w:lang w:eastAsia="en-GB"/>
              </w:rPr>
              <w:t>At 1 April 2018</w:t>
            </w:r>
          </w:p>
        </w:tc>
        <w:tc>
          <w:tcPr>
            <w:tcW w:w="992" w:type="dxa"/>
            <w:tcBorders>
              <w:top w:val="nil"/>
              <w:left w:val="nil"/>
              <w:bottom w:val="single" w:sz="8" w:space="0" w:color="auto"/>
              <w:right w:val="nil"/>
            </w:tcBorders>
            <w:shd w:val="clear" w:color="auto" w:fill="auto"/>
            <w:noWrap/>
            <w:vAlign w:val="center"/>
            <w:hideMark/>
          </w:tcPr>
          <w:p w:rsidR="00B43A2F" w:rsidRPr="00EB2995" w:rsidRDefault="00B43A2F" w:rsidP="00B43A2F">
            <w:pPr>
              <w:jc w:val="right"/>
              <w:rPr>
                <w:rFonts w:cs="Calibri"/>
                <w:b/>
                <w:bCs/>
                <w:color w:val="000000"/>
                <w:sz w:val="18"/>
                <w:szCs w:val="18"/>
                <w:lang w:eastAsia="en-GB"/>
              </w:rPr>
            </w:pPr>
            <w:r w:rsidRPr="00EB2995">
              <w:rPr>
                <w:rFonts w:cs="Calibri"/>
                <w:b/>
                <w:bCs/>
                <w:color w:val="000000"/>
                <w:sz w:val="18"/>
                <w:szCs w:val="18"/>
              </w:rPr>
              <w:t>664.3</w:t>
            </w:r>
          </w:p>
        </w:tc>
        <w:tc>
          <w:tcPr>
            <w:tcW w:w="993" w:type="dxa"/>
            <w:gridSpan w:val="2"/>
            <w:tcBorders>
              <w:top w:val="nil"/>
              <w:left w:val="single" w:sz="8" w:space="0" w:color="auto"/>
              <w:bottom w:val="single" w:sz="8" w:space="0" w:color="auto"/>
              <w:right w:val="single" w:sz="8" w:space="0" w:color="auto"/>
            </w:tcBorders>
            <w:shd w:val="clear" w:color="auto" w:fill="auto"/>
            <w:noWrap/>
            <w:vAlign w:val="center"/>
            <w:hideMark/>
          </w:tcPr>
          <w:p w:rsidR="00B43A2F" w:rsidRPr="00EB2995" w:rsidRDefault="00B43A2F" w:rsidP="00B43A2F">
            <w:pPr>
              <w:jc w:val="right"/>
              <w:rPr>
                <w:rFonts w:cs="Calibri"/>
                <w:b/>
                <w:bCs/>
                <w:color w:val="000000"/>
                <w:sz w:val="18"/>
                <w:szCs w:val="18"/>
                <w:lang w:eastAsia="en-GB"/>
              </w:rPr>
            </w:pPr>
            <w:r w:rsidRPr="00EB2995">
              <w:rPr>
                <w:rFonts w:cs="Calibri"/>
                <w:b/>
                <w:bCs/>
                <w:color w:val="000000"/>
                <w:sz w:val="18"/>
                <w:szCs w:val="18"/>
              </w:rPr>
              <w:t>722.2</w:t>
            </w:r>
          </w:p>
        </w:tc>
        <w:tc>
          <w:tcPr>
            <w:tcW w:w="850" w:type="dxa"/>
            <w:gridSpan w:val="2"/>
            <w:tcBorders>
              <w:top w:val="nil"/>
              <w:left w:val="nil"/>
              <w:bottom w:val="single" w:sz="8" w:space="0" w:color="auto"/>
              <w:right w:val="nil"/>
            </w:tcBorders>
            <w:shd w:val="clear" w:color="auto" w:fill="auto"/>
            <w:noWrap/>
            <w:vAlign w:val="center"/>
            <w:hideMark/>
          </w:tcPr>
          <w:p w:rsidR="00B43A2F" w:rsidRPr="00EB2995" w:rsidRDefault="00B43A2F" w:rsidP="00B43A2F">
            <w:pPr>
              <w:jc w:val="right"/>
              <w:rPr>
                <w:rFonts w:cs="Calibri"/>
                <w:b/>
                <w:bCs/>
                <w:color w:val="000000"/>
                <w:sz w:val="18"/>
                <w:szCs w:val="18"/>
                <w:lang w:eastAsia="en-GB"/>
              </w:rPr>
            </w:pPr>
            <w:r w:rsidRPr="00EB2995">
              <w:rPr>
                <w:rFonts w:cs="Calibri"/>
                <w:b/>
                <w:bCs/>
                <w:color w:val="000000"/>
                <w:sz w:val="18"/>
                <w:szCs w:val="18"/>
              </w:rPr>
              <w:t>41.3</w:t>
            </w:r>
          </w:p>
        </w:tc>
        <w:tc>
          <w:tcPr>
            <w:tcW w:w="1134" w:type="dxa"/>
            <w:gridSpan w:val="2"/>
            <w:tcBorders>
              <w:top w:val="nil"/>
              <w:left w:val="single" w:sz="8" w:space="0" w:color="auto"/>
              <w:bottom w:val="single" w:sz="8" w:space="0" w:color="auto"/>
              <w:right w:val="nil"/>
            </w:tcBorders>
            <w:shd w:val="clear" w:color="auto" w:fill="auto"/>
            <w:noWrap/>
            <w:vAlign w:val="center"/>
            <w:hideMark/>
          </w:tcPr>
          <w:p w:rsidR="00B43A2F" w:rsidRPr="00EB2995" w:rsidRDefault="00B43A2F" w:rsidP="00B43A2F">
            <w:pPr>
              <w:jc w:val="right"/>
              <w:rPr>
                <w:rFonts w:cs="Calibri"/>
                <w:b/>
                <w:bCs/>
                <w:color w:val="000000"/>
                <w:sz w:val="18"/>
                <w:szCs w:val="18"/>
                <w:lang w:eastAsia="en-GB"/>
              </w:rPr>
            </w:pPr>
            <w:r w:rsidRPr="00EB2995">
              <w:rPr>
                <w:rFonts w:cs="Calibri"/>
                <w:b/>
                <w:bCs/>
                <w:color w:val="000000"/>
                <w:sz w:val="18"/>
                <w:szCs w:val="18"/>
              </w:rPr>
              <w:t>258.2</w:t>
            </w:r>
          </w:p>
        </w:tc>
        <w:tc>
          <w:tcPr>
            <w:tcW w:w="851" w:type="dxa"/>
            <w:gridSpan w:val="2"/>
            <w:tcBorders>
              <w:top w:val="nil"/>
              <w:left w:val="single" w:sz="8" w:space="0" w:color="auto"/>
              <w:bottom w:val="single" w:sz="8" w:space="0" w:color="auto"/>
              <w:right w:val="nil"/>
            </w:tcBorders>
            <w:shd w:val="clear" w:color="auto" w:fill="auto"/>
            <w:noWrap/>
            <w:vAlign w:val="center"/>
            <w:hideMark/>
          </w:tcPr>
          <w:p w:rsidR="00B43A2F" w:rsidRPr="00EB2995" w:rsidRDefault="00B43A2F" w:rsidP="00B43A2F">
            <w:pPr>
              <w:jc w:val="right"/>
              <w:rPr>
                <w:rFonts w:cs="Calibri"/>
                <w:b/>
                <w:bCs/>
                <w:color w:val="000000"/>
                <w:sz w:val="18"/>
                <w:szCs w:val="18"/>
                <w:lang w:eastAsia="en-GB"/>
              </w:rPr>
            </w:pPr>
            <w:r w:rsidRPr="00EB2995">
              <w:rPr>
                <w:rFonts w:cs="Calibri"/>
                <w:b/>
                <w:bCs/>
                <w:color w:val="000000"/>
                <w:sz w:val="18"/>
                <w:szCs w:val="18"/>
              </w:rPr>
              <w:t>3.9</w:t>
            </w:r>
          </w:p>
        </w:tc>
        <w:tc>
          <w:tcPr>
            <w:tcW w:w="1275" w:type="dxa"/>
            <w:gridSpan w:val="2"/>
            <w:tcBorders>
              <w:top w:val="nil"/>
              <w:left w:val="single" w:sz="8" w:space="0" w:color="auto"/>
              <w:bottom w:val="single" w:sz="8" w:space="0" w:color="auto"/>
              <w:right w:val="nil"/>
            </w:tcBorders>
            <w:shd w:val="clear" w:color="auto" w:fill="auto"/>
            <w:noWrap/>
            <w:vAlign w:val="center"/>
            <w:hideMark/>
          </w:tcPr>
          <w:p w:rsidR="00B43A2F" w:rsidRPr="00EB2995" w:rsidRDefault="00B43A2F" w:rsidP="00B43A2F">
            <w:pPr>
              <w:jc w:val="right"/>
              <w:rPr>
                <w:rFonts w:cs="Calibri"/>
                <w:b/>
                <w:bCs/>
                <w:color w:val="000000"/>
                <w:sz w:val="18"/>
                <w:szCs w:val="18"/>
                <w:lang w:eastAsia="en-GB"/>
              </w:rPr>
            </w:pPr>
            <w:r w:rsidRPr="00EB2995">
              <w:rPr>
                <w:rFonts w:cs="Calibri"/>
                <w:b/>
                <w:bCs/>
                <w:color w:val="000000"/>
                <w:sz w:val="18"/>
                <w:szCs w:val="18"/>
              </w:rPr>
              <w:t>63.7</w:t>
            </w:r>
          </w:p>
        </w:tc>
        <w:tc>
          <w:tcPr>
            <w:tcW w:w="851" w:type="dxa"/>
            <w:gridSpan w:val="2"/>
            <w:tcBorders>
              <w:top w:val="nil"/>
              <w:left w:val="single" w:sz="8" w:space="0" w:color="auto"/>
              <w:bottom w:val="single" w:sz="8" w:space="0" w:color="auto"/>
              <w:right w:val="nil"/>
            </w:tcBorders>
            <w:shd w:val="clear" w:color="auto" w:fill="auto"/>
            <w:noWrap/>
            <w:vAlign w:val="center"/>
            <w:hideMark/>
          </w:tcPr>
          <w:p w:rsidR="00B43A2F" w:rsidRPr="00EB2995" w:rsidRDefault="00B43A2F" w:rsidP="00B43A2F">
            <w:pPr>
              <w:jc w:val="right"/>
              <w:rPr>
                <w:rFonts w:cs="Calibri"/>
                <w:b/>
                <w:bCs/>
                <w:color w:val="000000"/>
                <w:sz w:val="18"/>
                <w:szCs w:val="18"/>
                <w:lang w:eastAsia="en-GB"/>
              </w:rPr>
            </w:pPr>
            <w:r w:rsidRPr="00EB2995">
              <w:rPr>
                <w:rFonts w:cs="Calibri"/>
                <w:b/>
                <w:bCs/>
                <w:color w:val="000000"/>
                <w:sz w:val="18"/>
                <w:szCs w:val="18"/>
              </w:rPr>
              <w:t>1,753.6</w:t>
            </w:r>
          </w:p>
        </w:tc>
        <w:tc>
          <w:tcPr>
            <w:tcW w:w="850" w:type="dxa"/>
            <w:gridSpan w:val="2"/>
            <w:tcBorders>
              <w:top w:val="nil"/>
              <w:left w:val="single" w:sz="8" w:space="0" w:color="auto"/>
              <w:bottom w:val="single" w:sz="8" w:space="0" w:color="auto"/>
              <w:right w:val="single" w:sz="8" w:space="0" w:color="auto"/>
            </w:tcBorders>
            <w:shd w:val="clear" w:color="auto" w:fill="auto"/>
            <w:noWrap/>
            <w:vAlign w:val="center"/>
            <w:hideMark/>
          </w:tcPr>
          <w:p w:rsidR="00B43A2F" w:rsidRPr="00EB2995" w:rsidRDefault="00B43A2F" w:rsidP="00B43A2F">
            <w:pPr>
              <w:jc w:val="right"/>
              <w:rPr>
                <w:rFonts w:cs="Calibri"/>
                <w:b/>
                <w:bCs/>
                <w:i/>
                <w:iCs/>
                <w:color w:val="000000"/>
                <w:sz w:val="18"/>
                <w:szCs w:val="18"/>
                <w:lang w:eastAsia="en-GB"/>
              </w:rPr>
            </w:pPr>
            <w:r w:rsidRPr="00EB2995">
              <w:rPr>
                <w:rFonts w:cs="Calibri"/>
                <w:b/>
                <w:bCs/>
                <w:i/>
                <w:iCs/>
                <w:color w:val="000000"/>
                <w:sz w:val="18"/>
                <w:szCs w:val="18"/>
              </w:rPr>
              <w:t>112.4</w:t>
            </w:r>
          </w:p>
        </w:tc>
      </w:tr>
      <w:tr w:rsidR="00B43A2F" w:rsidRPr="00EB2995" w:rsidTr="00B43A2F">
        <w:trPr>
          <w:gridAfter w:val="1"/>
          <w:wAfter w:w="8" w:type="dxa"/>
          <w:trHeight w:hRule="exact" w:val="397"/>
        </w:trPr>
        <w:tc>
          <w:tcPr>
            <w:tcW w:w="2835" w:type="dxa"/>
            <w:tcBorders>
              <w:top w:val="nil"/>
              <w:left w:val="single" w:sz="8" w:space="0" w:color="auto"/>
              <w:bottom w:val="single" w:sz="8" w:space="0" w:color="auto"/>
              <w:right w:val="single" w:sz="8" w:space="0" w:color="auto"/>
            </w:tcBorders>
            <w:shd w:val="clear" w:color="auto" w:fill="auto"/>
            <w:vAlign w:val="center"/>
            <w:hideMark/>
          </w:tcPr>
          <w:p w:rsidR="00B43A2F" w:rsidRPr="00EB2995" w:rsidRDefault="00B43A2F" w:rsidP="00B43A2F">
            <w:pPr>
              <w:rPr>
                <w:rFonts w:cs="Calibri"/>
                <w:b/>
                <w:bCs/>
                <w:color w:val="000000"/>
                <w:sz w:val="18"/>
                <w:szCs w:val="18"/>
                <w:lang w:eastAsia="en-GB"/>
              </w:rPr>
            </w:pPr>
            <w:r w:rsidRPr="00EB2995">
              <w:rPr>
                <w:rFonts w:cs="Calibri"/>
                <w:b/>
                <w:bCs/>
                <w:color w:val="000000"/>
                <w:sz w:val="18"/>
                <w:szCs w:val="18"/>
                <w:lang w:eastAsia="en-GB"/>
              </w:rPr>
              <w:t>Additions</w:t>
            </w:r>
          </w:p>
        </w:tc>
        <w:tc>
          <w:tcPr>
            <w:tcW w:w="992" w:type="dxa"/>
            <w:tcBorders>
              <w:top w:val="nil"/>
              <w:left w:val="nil"/>
              <w:bottom w:val="single" w:sz="8" w:space="0" w:color="auto"/>
              <w:right w:val="nil"/>
            </w:tcBorders>
            <w:shd w:val="clear" w:color="auto" w:fill="auto"/>
            <w:noWrap/>
            <w:vAlign w:val="center"/>
            <w:hideMark/>
          </w:tcPr>
          <w:p w:rsidR="00B43A2F" w:rsidRPr="00EB2995" w:rsidRDefault="00B43A2F" w:rsidP="00B43A2F">
            <w:pPr>
              <w:jc w:val="right"/>
              <w:rPr>
                <w:rFonts w:cs="Calibri"/>
                <w:color w:val="000000"/>
                <w:sz w:val="18"/>
                <w:szCs w:val="18"/>
                <w:lang w:eastAsia="en-GB"/>
              </w:rPr>
            </w:pPr>
            <w:r w:rsidRPr="00EB2995">
              <w:rPr>
                <w:rFonts w:cs="Calibri"/>
                <w:color w:val="000000"/>
                <w:sz w:val="18"/>
                <w:szCs w:val="18"/>
              </w:rPr>
              <w:t>26.2</w:t>
            </w:r>
          </w:p>
        </w:tc>
        <w:tc>
          <w:tcPr>
            <w:tcW w:w="993" w:type="dxa"/>
            <w:gridSpan w:val="2"/>
            <w:tcBorders>
              <w:top w:val="nil"/>
              <w:left w:val="single" w:sz="8" w:space="0" w:color="auto"/>
              <w:bottom w:val="single" w:sz="8" w:space="0" w:color="auto"/>
              <w:right w:val="single" w:sz="8" w:space="0" w:color="auto"/>
            </w:tcBorders>
            <w:shd w:val="clear" w:color="auto" w:fill="auto"/>
            <w:noWrap/>
            <w:vAlign w:val="center"/>
            <w:hideMark/>
          </w:tcPr>
          <w:p w:rsidR="00B43A2F" w:rsidRPr="00EB2995" w:rsidRDefault="00B43A2F" w:rsidP="00B43A2F">
            <w:pPr>
              <w:jc w:val="right"/>
              <w:rPr>
                <w:rFonts w:cs="Calibri"/>
                <w:color w:val="000000"/>
                <w:sz w:val="18"/>
                <w:szCs w:val="18"/>
                <w:lang w:eastAsia="en-GB"/>
              </w:rPr>
            </w:pPr>
            <w:r w:rsidRPr="00EB2995">
              <w:rPr>
                <w:rFonts w:cs="Calibri"/>
                <w:color w:val="000000"/>
                <w:sz w:val="18"/>
                <w:szCs w:val="18"/>
              </w:rPr>
              <w:t>25.4</w:t>
            </w:r>
          </w:p>
        </w:tc>
        <w:tc>
          <w:tcPr>
            <w:tcW w:w="850" w:type="dxa"/>
            <w:gridSpan w:val="2"/>
            <w:tcBorders>
              <w:top w:val="nil"/>
              <w:left w:val="nil"/>
              <w:bottom w:val="single" w:sz="8" w:space="0" w:color="auto"/>
              <w:right w:val="single" w:sz="8" w:space="0" w:color="auto"/>
            </w:tcBorders>
            <w:shd w:val="clear" w:color="auto" w:fill="auto"/>
            <w:noWrap/>
            <w:vAlign w:val="center"/>
            <w:hideMark/>
          </w:tcPr>
          <w:p w:rsidR="00B43A2F" w:rsidRPr="00EB2995" w:rsidRDefault="00B43A2F" w:rsidP="00B43A2F">
            <w:pPr>
              <w:jc w:val="right"/>
              <w:rPr>
                <w:rFonts w:cs="Calibri"/>
                <w:color w:val="000000"/>
                <w:sz w:val="18"/>
                <w:szCs w:val="18"/>
                <w:lang w:eastAsia="en-GB"/>
              </w:rPr>
            </w:pPr>
            <w:r w:rsidRPr="00EB2995">
              <w:rPr>
                <w:rFonts w:cs="Calibri"/>
                <w:color w:val="000000"/>
                <w:sz w:val="18"/>
                <w:szCs w:val="18"/>
              </w:rPr>
              <w:t>15.3</w:t>
            </w:r>
          </w:p>
        </w:tc>
        <w:tc>
          <w:tcPr>
            <w:tcW w:w="1134" w:type="dxa"/>
            <w:gridSpan w:val="2"/>
            <w:tcBorders>
              <w:top w:val="nil"/>
              <w:left w:val="nil"/>
              <w:bottom w:val="single" w:sz="8" w:space="0" w:color="auto"/>
              <w:right w:val="single" w:sz="8" w:space="0" w:color="auto"/>
            </w:tcBorders>
            <w:shd w:val="clear" w:color="auto" w:fill="auto"/>
            <w:noWrap/>
            <w:vAlign w:val="center"/>
            <w:hideMark/>
          </w:tcPr>
          <w:p w:rsidR="00B43A2F" w:rsidRPr="00EB2995" w:rsidRDefault="00B43A2F" w:rsidP="00B43A2F">
            <w:pPr>
              <w:jc w:val="right"/>
              <w:rPr>
                <w:rFonts w:cs="Calibri"/>
                <w:color w:val="000000"/>
                <w:sz w:val="18"/>
                <w:szCs w:val="18"/>
                <w:lang w:eastAsia="en-GB"/>
              </w:rPr>
            </w:pPr>
            <w:r w:rsidRPr="00EB2995">
              <w:rPr>
                <w:rFonts w:cs="Calibri"/>
                <w:color w:val="000000"/>
                <w:sz w:val="18"/>
                <w:szCs w:val="18"/>
              </w:rPr>
              <w:t>15.2</w:t>
            </w:r>
          </w:p>
        </w:tc>
        <w:tc>
          <w:tcPr>
            <w:tcW w:w="851" w:type="dxa"/>
            <w:gridSpan w:val="2"/>
            <w:tcBorders>
              <w:top w:val="nil"/>
              <w:left w:val="nil"/>
              <w:bottom w:val="single" w:sz="8" w:space="0" w:color="auto"/>
              <w:right w:val="single" w:sz="8" w:space="0" w:color="auto"/>
            </w:tcBorders>
            <w:shd w:val="clear" w:color="auto" w:fill="auto"/>
            <w:noWrap/>
            <w:vAlign w:val="center"/>
            <w:hideMark/>
          </w:tcPr>
          <w:p w:rsidR="00B43A2F" w:rsidRPr="00EB2995" w:rsidRDefault="00B43A2F" w:rsidP="00B43A2F">
            <w:pPr>
              <w:jc w:val="right"/>
              <w:rPr>
                <w:rFonts w:cs="Calibri"/>
                <w:color w:val="000000"/>
                <w:sz w:val="18"/>
                <w:szCs w:val="18"/>
                <w:lang w:eastAsia="en-GB"/>
              </w:rPr>
            </w:pPr>
            <w:r w:rsidRPr="00EB2995">
              <w:rPr>
                <w:rFonts w:cs="Calibri"/>
                <w:color w:val="000000"/>
                <w:sz w:val="18"/>
                <w:szCs w:val="18"/>
              </w:rPr>
              <w:t>0.7</w:t>
            </w:r>
          </w:p>
        </w:tc>
        <w:tc>
          <w:tcPr>
            <w:tcW w:w="1275" w:type="dxa"/>
            <w:gridSpan w:val="2"/>
            <w:tcBorders>
              <w:top w:val="nil"/>
              <w:left w:val="nil"/>
              <w:bottom w:val="single" w:sz="8" w:space="0" w:color="auto"/>
              <w:right w:val="single" w:sz="8" w:space="0" w:color="auto"/>
            </w:tcBorders>
            <w:shd w:val="clear" w:color="auto" w:fill="auto"/>
            <w:noWrap/>
            <w:vAlign w:val="center"/>
            <w:hideMark/>
          </w:tcPr>
          <w:p w:rsidR="00B43A2F" w:rsidRPr="00EB2995" w:rsidRDefault="00B43A2F" w:rsidP="00B43A2F">
            <w:pPr>
              <w:jc w:val="right"/>
              <w:rPr>
                <w:rFonts w:cs="Calibri"/>
                <w:color w:val="000000"/>
                <w:sz w:val="18"/>
                <w:szCs w:val="18"/>
                <w:lang w:eastAsia="en-GB"/>
              </w:rPr>
            </w:pPr>
            <w:r w:rsidRPr="00EB2995">
              <w:rPr>
                <w:rFonts w:cs="Calibri"/>
                <w:color w:val="000000"/>
                <w:sz w:val="18"/>
                <w:szCs w:val="18"/>
              </w:rPr>
              <w:t>30.6</w:t>
            </w:r>
          </w:p>
        </w:tc>
        <w:tc>
          <w:tcPr>
            <w:tcW w:w="851" w:type="dxa"/>
            <w:gridSpan w:val="2"/>
            <w:tcBorders>
              <w:top w:val="nil"/>
              <w:left w:val="nil"/>
              <w:bottom w:val="single" w:sz="8" w:space="0" w:color="auto"/>
              <w:right w:val="single" w:sz="8" w:space="0" w:color="auto"/>
            </w:tcBorders>
            <w:shd w:val="clear" w:color="auto" w:fill="auto"/>
            <w:noWrap/>
            <w:vAlign w:val="center"/>
            <w:hideMark/>
          </w:tcPr>
          <w:p w:rsidR="00B43A2F" w:rsidRPr="00EB2995" w:rsidRDefault="00B43A2F" w:rsidP="00B43A2F">
            <w:pPr>
              <w:jc w:val="right"/>
              <w:rPr>
                <w:rFonts w:cs="Calibri"/>
                <w:color w:val="000000"/>
                <w:sz w:val="18"/>
                <w:szCs w:val="18"/>
                <w:lang w:eastAsia="en-GB"/>
              </w:rPr>
            </w:pPr>
            <w:r w:rsidRPr="00EB2995">
              <w:rPr>
                <w:rFonts w:cs="Calibri"/>
                <w:color w:val="000000"/>
                <w:sz w:val="18"/>
                <w:szCs w:val="18"/>
              </w:rPr>
              <w:t>113.4</w:t>
            </w:r>
          </w:p>
        </w:tc>
        <w:tc>
          <w:tcPr>
            <w:tcW w:w="850" w:type="dxa"/>
            <w:gridSpan w:val="2"/>
            <w:tcBorders>
              <w:top w:val="nil"/>
              <w:left w:val="nil"/>
              <w:bottom w:val="single" w:sz="8" w:space="0" w:color="auto"/>
              <w:right w:val="single" w:sz="8" w:space="0" w:color="auto"/>
            </w:tcBorders>
            <w:shd w:val="clear" w:color="auto" w:fill="auto"/>
            <w:noWrap/>
            <w:vAlign w:val="center"/>
            <w:hideMark/>
          </w:tcPr>
          <w:p w:rsidR="00B43A2F" w:rsidRPr="00EB2995" w:rsidRDefault="00B43A2F" w:rsidP="00B43A2F">
            <w:pPr>
              <w:jc w:val="right"/>
              <w:rPr>
                <w:rFonts w:cs="Calibri"/>
                <w:i/>
                <w:iCs/>
                <w:color w:val="000000"/>
                <w:sz w:val="18"/>
                <w:szCs w:val="18"/>
                <w:lang w:eastAsia="en-GB"/>
              </w:rPr>
            </w:pPr>
            <w:r w:rsidRPr="00EB2995">
              <w:rPr>
                <w:rFonts w:cs="Calibri"/>
                <w:i/>
                <w:iCs/>
                <w:color w:val="000000"/>
                <w:sz w:val="18"/>
                <w:szCs w:val="18"/>
              </w:rPr>
              <w:t>3.0</w:t>
            </w:r>
          </w:p>
        </w:tc>
      </w:tr>
      <w:tr w:rsidR="00B43A2F" w:rsidRPr="00EB2995" w:rsidTr="00B43A2F">
        <w:trPr>
          <w:gridAfter w:val="1"/>
          <w:wAfter w:w="8" w:type="dxa"/>
          <w:trHeight w:hRule="exact" w:val="397"/>
        </w:trPr>
        <w:tc>
          <w:tcPr>
            <w:tcW w:w="2835" w:type="dxa"/>
            <w:tcBorders>
              <w:top w:val="nil"/>
              <w:left w:val="single" w:sz="8" w:space="0" w:color="auto"/>
              <w:bottom w:val="single" w:sz="8" w:space="0" w:color="auto"/>
              <w:right w:val="single" w:sz="8" w:space="0" w:color="auto"/>
            </w:tcBorders>
            <w:shd w:val="clear" w:color="auto" w:fill="auto"/>
            <w:vAlign w:val="center"/>
            <w:hideMark/>
          </w:tcPr>
          <w:p w:rsidR="00B43A2F" w:rsidRPr="00EB2995" w:rsidRDefault="00B43A2F" w:rsidP="00B43A2F">
            <w:pPr>
              <w:rPr>
                <w:rFonts w:cs="Calibri"/>
                <w:color w:val="000000"/>
                <w:sz w:val="18"/>
                <w:szCs w:val="18"/>
                <w:lang w:eastAsia="en-GB"/>
              </w:rPr>
            </w:pPr>
            <w:r w:rsidRPr="00EB2995">
              <w:rPr>
                <w:rFonts w:cs="Calibri"/>
                <w:color w:val="000000"/>
                <w:sz w:val="18"/>
                <w:szCs w:val="18"/>
                <w:lang w:eastAsia="en-GB"/>
              </w:rPr>
              <w:t>Depreciation written out</w:t>
            </w:r>
          </w:p>
        </w:tc>
        <w:tc>
          <w:tcPr>
            <w:tcW w:w="992" w:type="dxa"/>
            <w:tcBorders>
              <w:top w:val="nil"/>
              <w:left w:val="nil"/>
              <w:bottom w:val="single" w:sz="8" w:space="0" w:color="auto"/>
              <w:right w:val="nil"/>
            </w:tcBorders>
            <w:shd w:val="clear" w:color="auto" w:fill="auto"/>
            <w:noWrap/>
            <w:vAlign w:val="center"/>
            <w:hideMark/>
          </w:tcPr>
          <w:p w:rsidR="00B43A2F" w:rsidRPr="00EB2995" w:rsidRDefault="00B43A2F" w:rsidP="00B43A2F">
            <w:pPr>
              <w:jc w:val="right"/>
              <w:rPr>
                <w:rFonts w:cs="Calibri"/>
                <w:color w:val="000000"/>
                <w:sz w:val="18"/>
                <w:szCs w:val="18"/>
                <w:lang w:eastAsia="en-GB"/>
              </w:rPr>
            </w:pPr>
            <w:r w:rsidRPr="00EB2995">
              <w:rPr>
                <w:rFonts w:cs="Calibri"/>
                <w:color w:val="000000"/>
                <w:sz w:val="18"/>
                <w:szCs w:val="18"/>
              </w:rPr>
              <w:t>(25.4)</w:t>
            </w:r>
          </w:p>
        </w:tc>
        <w:tc>
          <w:tcPr>
            <w:tcW w:w="993" w:type="dxa"/>
            <w:gridSpan w:val="2"/>
            <w:tcBorders>
              <w:top w:val="nil"/>
              <w:left w:val="single" w:sz="8" w:space="0" w:color="auto"/>
              <w:bottom w:val="single" w:sz="8" w:space="0" w:color="auto"/>
              <w:right w:val="single" w:sz="8" w:space="0" w:color="auto"/>
            </w:tcBorders>
            <w:shd w:val="clear" w:color="auto" w:fill="auto"/>
            <w:noWrap/>
            <w:vAlign w:val="center"/>
            <w:hideMark/>
          </w:tcPr>
          <w:p w:rsidR="00B43A2F" w:rsidRPr="00EB2995" w:rsidRDefault="00B43A2F" w:rsidP="00B43A2F">
            <w:pPr>
              <w:jc w:val="right"/>
              <w:rPr>
                <w:rFonts w:cs="Calibri"/>
                <w:color w:val="000000"/>
                <w:sz w:val="18"/>
                <w:szCs w:val="18"/>
                <w:lang w:eastAsia="en-GB"/>
              </w:rPr>
            </w:pPr>
            <w:r w:rsidRPr="00EB2995">
              <w:rPr>
                <w:rFonts w:cs="Calibri"/>
                <w:color w:val="000000"/>
                <w:sz w:val="18"/>
                <w:szCs w:val="18"/>
              </w:rPr>
              <w:t>(7.1)</w:t>
            </w:r>
          </w:p>
        </w:tc>
        <w:tc>
          <w:tcPr>
            <w:tcW w:w="850" w:type="dxa"/>
            <w:gridSpan w:val="2"/>
            <w:tcBorders>
              <w:top w:val="nil"/>
              <w:left w:val="nil"/>
              <w:bottom w:val="single" w:sz="8" w:space="0" w:color="auto"/>
              <w:right w:val="single" w:sz="8" w:space="0" w:color="auto"/>
            </w:tcBorders>
            <w:shd w:val="clear" w:color="auto" w:fill="auto"/>
            <w:noWrap/>
            <w:vAlign w:val="center"/>
            <w:hideMark/>
          </w:tcPr>
          <w:p w:rsidR="00B43A2F" w:rsidRPr="00EB2995" w:rsidRDefault="00B43A2F" w:rsidP="00B43A2F">
            <w:pPr>
              <w:jc w:val="right"/>
              <w:rPr>
                <w:rFonts w:cs="Calibri"/>
                <w:color w:val="000000"/>
                <w:sz w:val="18"/>
                <w:szCs w:val="18"/>
                <w:lang w:eastAsia="en-GB"/>
              </w:rPr>
            </w:pPr>
            <w:r w:rsidRPr="00EB2995">
              <w:rPr>
                <w:rFonts w:cs="Calibri"/>
                <w:color w:val="000000"/>
                <w:sz w:val="18"/>
                <w:szCs w:val="18"/>
              </w:rPr>
              <w:t>0.0</w:t>
            </w:r>
          </w:p>
        </w:tc>
        <w:tc>
          <w:tcPr>
            <w:tcW w:w="1134" w:type="dxa"/>
            <w:gridSpan w:val="2"/>
            <w:tcBorders>
              <w:top w:val="nil"/>
              <w:left w:val="nil"/>
              <w:bottom w:val="single" w:sz="8" w:space="0" w:color="auto"/>
              <w:right w:val="single" w:sz="8" w:space="0" w:color="auto"/>
            </w:tcBorders>
            <w:shd w:val="clear" w:color="auto" w:fill="auto"/>
            <w:noWrap/>
            <w:vAlign w:val="center"/>
            <w:hideMark/>
          </w:tcPr>
          <w:p w:rsidR="00B43A2F" w:rsidRPr="00EB2995" w:rsidRDefault="00B43A2F" w:rsidP="00B43A2F">
            <w:pPr>
              <w:jc w:val="right"/>
              <w:rPr>
                <w:rFonts w:cs="Calibri"/>
                <w:color w:val="000000"/>
                <w:sz w:val="18"/>
                <w:szCs w:val="18"/>
                <w:lang w:eastAsia="en-GB"/>
              </w:rPr>
            </w:pPr>
            <w:r w:rsidRPr="00EB2995">
              <w:rPr>
                <w:rFonts w:cs="Calibri"/>
                <w:color w:val="000000"/>
                <w:sz w:val="18"/>
                <w:szCs w:val="18"/>
              </w:rPr>
              <w:t>0.0</w:t>
            </w:r>
          </w:p>
        </w:tc>
        <w:tc>
          <w:tcPr>
            <w:tcW w:w="851" w:type="dxa"/>
            <w:gridSpan w:val="2"/>
            <w:tcBorders>
              <w:top w:val="nil"/>
              <w:left w:val="nil"/>
              <w:bottom w:val="single" w:sz="8" w:space="0" w:color="auto"/>
              <w:right w:val="single" w:sz="8" w:space="0" w:color="auto"/>
            </w:tcBorders>
            <w:shd w:val="clear" w:color="auto" w:fill="auto"/>
            <w:noWrap/>
            <w:vAlign w:val="center"/>
            <w:hideMark/>
          </w:tcPr>
          <w:p w:rsidR="00B43A2F" w:rsidRPr="00EB2995" w:rsidRDefault="00B43A2F" w:rsidP="00B43A2F">
            <w:pPr>
              <w:jc w:val="right"/>
              <w:rPr>
                <w:rFonts w:cs="Calibri"/>
                <w:color w:val="000000"/>
                <w:sz w:val="18"/>
                <w:szCs w:val="18"/>
                <w:lang w:eastAsia="en-GB"/>
              </w:rPr>
            </w:pPr>
            <w:r w:rsidRPr="00EB2995">
              <w:rPr>
                <w:rFonts w:cs="Calibri"/>
                <w:color w:val="000000"/>
                <w:sz w:val="18"/>
                <w:szCs w:val="18"/>
              </w:rPr>
              <w:t>0.0</w:t>
            </w:r>
          </w:p>
        </w:tc>
        <w:tc>
          <w:tcPr>
            <w:tcW w:w="1275" w:type="dxa"/>
            <w:gridSpan w:val="2"/>
            <w:tcBorders>
              <w:top w:val="nil"/>
              <w:left w:val="nil"/>
              <w:bottom w:val="single" w:sz="8" w:space="0" w:color="auto"/>
              <w:right w:val="single" w:sz="8" w:space="0" w:color="auto"/>
            </w:tcBorders>
            <w:shd w:val="clear" w:color="auto" w:fill="auto"/>
            <w:noWrap/>
            <w:vAlign w:val="center"/>
            <w:hideMark/>
          </w:tcPr>
          <w:p w:rsidR="00B43A2F" w:rsidRPr="00EB2995" w:rsidRDefault="00B43A2F" w:rsidP="00B43A2F">
            <w:pPr>
              <w:jc w:val="right"/>
              <w:rPr>
                <w:rFonts w:cs="Calibri"/>
                <w:color w:val="000000"/>
                <w:sz w:val="18"/>
                <w:szCs w:val="18"/>
                <w:lang w:eastAsia="en-GB"/>
              </w:rPr>
            </w:pPr>
            <w:r w:rsidRPr="00EB2995">
              <w:rPr>
                <w:rFonts w:cs="Calibri"/>
                <w:color w:val="000000"/>
                <w:sz w:val="18"/>
                <w:szCs w:val="18"/>
              </w:rPr>
              <w:t>0.0</w:t>
            </w:r>
          </w:p>
        </w:tc>
        <w:tc>
          <w:tcPr>
            <w:tcW w:w="851" w:type="dxa"/>
            <w:gridSpan w:val="2"/>
            <w:tcBorders>
              <w:top w:val="nil"/>
              <w:left w:val="nil"/>
              <w:bottom w:val="single" w:sz="8" w:space="0" w:color="auto"/>
              <w:right w:val="single" w:sz="8" w:space="0" w:color="auto"/>
            </w:tcBorders>
            <w:shd w:val="clear" w:color="auto" w:fill="auto"/>
            <w:noWrap/>
            <w:vAlign w:val="center"/>
            <w:hideMark/>
          </w:tcPr>
          <w:p w:rsidR="00B43A2F" w:rsidRPr="00EB2995" w:rsidRDefault="00B43A2F" w:rsidP="00B43A2F">
            <w:pPr>
              <w:jc w:val="right"/>
              <w:rPr>
                <w:rFonts w:cs="Calibri"/>
                <w:color w:val="000000"/>
                <w:sz w:val="18"/>
                <w:szCs w:val="18"/>
                <w:lang w:eastAsia="en-GB"/>
              </w:rPr>
            </w:pPr>
            <w:r w:rsidRPr="00EB2995">
              <w:rPr>
                <w:rFonts w:cs="Calibri"/>
                <w:color w:val="000000"/>
                <w:sz w:val="18"/>
                <w:szCs w:val="18"/>
              </w:rPr>
              <w:t>(32.5)</w:t>
            </w:r>
          </w:p>
        </w:tc>
        <w:tc>
          <w:tcPr>
            <w:tcW w:w="850" w:type="dxa"/>
            <w:gridSpan w:val="2"/>
            <w:tcBorders>
              <w:top w:val="nil"/>
              <w:left w:val="nil"/>
              <w:bottom w:val="single" w:sz="8" w:space="0" w:color="auto"/>
              <w:right w:val="single" w:sz="8" w:space="0" w:color="auto"/>
            </w:tcBorders>
            <w:shd w:val="clear" w:color="auto" w:fill="auto"/>
            <w:noWrap/>
            <w:vAlign w:val="center"/>
            <w:hideMark/>
          </w:tcPr>
          <w:p w:rsidR="00B43A2F" w:rsidRPr="00EB2995" w:rsidRDefault="00B43A2F" w:rsidP="00B43A2F">
            <w:pPr>
              <w:jc w:val="right"/>
              <w:rPr>
                <w:rFonts w:cs="Calibri"/>
                <w:i/>
                <w:iCs/>
                <w:color w:val="000000"/>
                <w:sz w:val="18"/>
                <w:szCs w:val="18"/>
                <w:lang w:eastAsia="en-GB"/>
              </w:rPr>
            </w:pPr>
            <w:r w:rsidRPr="00EB2995">
              <w:rPr>
                <w:rFonts w:cs="Calibri"/>
                <w:i/>
                <w:iCs/>
                <w:color w:val="000000"/>
                <w:sz w:val="18"/>
                <w:szCs w:val="18"/>
              </w:rPr>
              <w:t>(0.3)</w:t>
            </w:r>
          </w:p>
        </w:tc>
      </w:tr>
      <w:tr w:rsidR="00B43A2F" w:rsidRPr="00EB2995" w:rsidTr="00B43A2F">
        <w:trPr>
          <w:gridAfter w:val="1"/>
          <w:wAfter w:w="8" w:type="dxa"/>
          <w:trHeight w:hRule="exact" w:val="569"/>
        </w:trPr>
        <w:tc>
          <w:tcPr>
            <w:tcW w:w="2835" w:type="dxa"/>
            <w:tcBorders>
              <w:top w:val="nil"/>
              <w:left w:val="single" w:sz="8" w:space="0" w:color="auto"/>
              <w:bottom w:val="single" w:sz="8" w:space="0" w:color="auto"/>
              <w:right w:val="single" w:sz="8" w:space="0" w:color="auto"/>
            </w:tcBorders>
            <w:shd w:val="clear" w:color="auto" w:fill="auto"/>
            <w:vAlign w:val="center"/>
            <w:hideMark/>
          </w:tcPr>
          <w:p w:rsidR="00B43A2F" w:rsidRPr="00EB2995" w:rsidRDefault="00B43A2F" w:rsidP="00B43A2F">
            <w:pPr>
              <w:rPr>
                <w:rFonts w:cs="Calibri"/>
                <w:color w:val="000000"/>
                <w:sz w:val="18"/>
                <w:szCs w:val="18"/>
                <w:lang w:eastAsia="en-GB"/>
              </w:rPr>
            </w:pPr>
            <w:r w:rsidRPr="00EB2995">
              <w:rPr>
                <w:rFonts w:cs="Calibri"/>
                <w:color w:val="000000"/>
                <w:sz w:val="18"/>
                <w:szCs w:val="18"/>
                <w:lang w:eastAsia="en-GB"/>
              </w:rPr>
              <w:t>Revaluation increases (decreases) in the Revaluation Reserve</w:t>
            </w:r>
          </w:p>
        </w:tc>
        <w:tc>
          <w:tcPr>
            <w:tcW w:w="992" w:type="dxa"/>
            <w:tcBorders>
              <w:top w:val="nil"/>
              <w:left w:val="nil"/>
              <w:bottom w:val="single" w:sz="8" w:space="0" w:color="auto"/>
              <w:right w:val="nil"/>
            </w:tcBorders>
            <w:shd w:val="clear" w:color="auto" w:fill="auto"/>
            <w:noWrap/>
            <w:vAlign w:val="center"/>
            <w:hideMark/>
          </w:tcPr>
          <w:p w:rsidR="00B43A2F" w:rsidRPr="00EB2995" w:rsidRDefault="00B43A2F" w:rsidP="00B43A2F">
            <w:pPr>
              <w:jc w:val="right"/>
              <w:rPr>
                <w:rFonts w:cs="Calibri"/>
                <w:color w:val="000000"/>
                <w:sz w:val="18"/>
                <w:szCs w:val="18"/>
                <w:lang w:eastAsia="en-GB"/>
              </w:rPr>
            </w:pPr>
            <w:r w:rsidRPr="00EB2995">
              <w:rPr>
                <w:rFonts w:cs="Calibri"/>
                <w:color w:val="000000"/>
                <w:sz w:val="18"/>
                <w:szCs w:val="18"/>
              </w:rPr>
              <w:t>5.9</w:t>
            </w:r>
          </w:p>
        </w:tc>
        <w:tc>
          <w:tcPr>
            <w:tcW w:w="993" w:type="dxa"/>
            <w:gridSpan w:val="2"/>
            <w:tcBorders>
              <w:top w:val="nil"/>
              <w:left w:val="single" w:sz="8" w:space="0" w:color="auto"/>
              <w:bottom w:val="single" w:sz="8" w:space="0" w:color="auto"/>
              <w:right w:val="single" w:sz="8" w:space="0" w:color="auto"/>
            </w:tcBorders>
            <w:shd w:val="clear" w:color="auto" w:fill="auto"/>
            <w:noWrap/>
            <w:vAlign w:val="center"/>
            <w:hideMark/>
          </w:tcPr>
          <w:p w:rsidR="00B43A2F" w:rsidRPr="00EB2995" w:rsidRDefault="00B43A2F" w:rsidP="00B43A2F">
            <w:pPr>
              <w:jc w:val="right"/>
              <w:rPr>
                <w:rFonts w:cs="Calibri"/>
                <w:color w:val="000000"/>
                <w:sz w:val="18"/>
                <w:szCs w:val="18"/>
                <w:lang w:eastAsia="en-GB"/>
              </w:rPr>
            </w:pPr>
            <w:r w:rsidRPr="00EB2995">
              <w:rPr>
                <w:rFonts w:cs="Calibri"/>
                <w:color w:val="000000"/>
                <w:sz w:val="18"/>
                <w:szCs w:val="18"/>
              </w:rPr>
              <w:t>93.1</w:t>
            </w:r>
          </w:p>
        </w:tc>
        <w:tc>
          <w:tcPr>
            <w:tcW w:w="850" w:type="dxa"/>
            <w:gridSpan w:val="2"/>
            <w:tcBorders>
              <w:top w:val="nil"/>
              <w:left w:val="nil"/>
              <w:bottom w:val="single" w:sz="8" w:space="0" w:color="auto"/>
              <w:right w:val="single" w:sz="8" w:space="0" w:color="auto"/>
            </w:tcBorders>
            <w:shd w:val="clear" w:color="auto" w:fill="auto"/>
            <w:noWrap/>
            <w:vAlign w:val="center"/>
            <w:hideMark/>
          </w:tcPr>
          <w:p w:rsidR="00B43A2F" w:rsidRPr="00EB2995" w:rsidRDefault="00B43A2F" w:rsidP="00B43A2F">
            <w:pPr>
              <w:jc w:val="right"/>
              <w:rPr>
                <w:rFonts w:cs="Calibri"/>
                <w:color w:val="000000"/>
                <w:sz w:val="18"/>
                <w:szCs w:val="18"/>
                <w:lang w:eastAsia="en-GB"/>
              </w:rPr>
            </w:pPr>
            <w:r w:rsidRPr="00EB2995">
              <w:rPr>
                <w:rFonts w:cs="Calibri"/>
                <w:color w:val="000000"/>
                <w:sz w:val="18"/>
                <w:szCs w:val="18"/>
              </w:rPr>
              <w:t>0.0</w:t>
            </w:r>
          </w:p>
        </w:tc>
        <w:tc>
          <w:tcPr>
            <w:tcW w:w="1134" w:type="dxa"/>
            <w:gridSpan w:val="2"/>
            <w:tcBorders>
              <w:top w:val="nil"/>
              <w:left w:val="nil"/>
              <w:bottom w:val="single" w:sz="8" w:space="0" w:color="auto"/>
              <w:right w:val="single" w:sz="8" w:space="0" w:color="auto"/>
            </w:tcBorders>
            <w:shd w:val="clear" w:color="auto" w:fill="auto"/>
            <w:noWrap/>
            <w:vAlign w:val="center"/>
            <w:hideMark/>
          </w:tcPr>
          <w:p w:rsidR="00B43A2F" w:rsidRPr="00EB2995" w:rsidRDefault="00B43A2F" w:rsidP="00B43A2F">
            <w:pPr>
              <w:jc w:val="right"/>
              <w:rPr>
                <w:rFonts w:cs="Calibri"/>
                <w:color w:val="000000"/>
                <w:sz w:val="18"/>
                <w:szCs w:val="18"/>
                <w:lang w:eastAsia="en-GB"/>
              </w:rPr>
            </w:pPr>
            <w:r w:rsidRPr="00EB2995">
              <w:rPr>
                <w:rFonts w:cs="Calibri"/>
                <w:color w:val="000000"/>
                <w:sz w:val="18"/>
                <w:szCs w:val="18"/>
              </w:rPr>
              <w:t>0.0</w:t>
            </w:r>
          </w:p>
        </w:tc>
        <w:tc>
          <w:tcPr>
            <w:tcW w:w="851" w:type="dxa"/>
            <w:gridSpan w:val="2"/>
            <w:tcBorders>
              <w:top w:val="nil"/>
              <w:left w:val="nil"/>
              <w:bottom w:val="single" w:sz="8" w:space="0" w:color="auto"/>
              <w:right w:val="single" w:sz="8" w:space="0" w:color="auto"/>
            </w:tcBorders>
            <w:shd w:val="clear" w:color="auto" w:fill="auto"/>
            <w:noWrap/>
            <w:vAlign w:val="center"/>
            <w:hideMark/>
          </w:tcPr>
          <w:p w:rsidR="00B43A2F" w:rsidRPr="00EB2995" w:rsidRDefault="00B43A2F" w:rsidP="00B43A2F">
            <w:pPr>
              <w:jc w:val="right"/>
              <w:rPr>
                <w:rFonts w:cs="Calibri"/>
                <w:color w:val="000000"/>
                <w:sz w:val="18"/>
                <w:szCs w:val="18"/>
                <w:lang w:eastAsia="en-GB"/>
              </w:rPr>
            </w:pPr>
            <w:r w:rsidRPr="00EB2995">
              <w:rPr>
                <w:rFonts w:cs="Calibri"/>
                <w:color w:val="000000"/>
                <w:sz w:val="18"/>
                <w:szCs w:val="18"/>
              </w:rPr>
              <w:t>(0.1)</w:t>
            </w:r>
          </w:p>
        </w:tc>
        <w:tc>
          <w:tcPr>
            <w:tcW w:w="1275" w:type="dxa"/>
            <w:gridSpan w:val="2"/>
            <w:tcBorders>
              <w:top w:val="nil"/>
              <w:left w:val="nil"/>
              <w:bottom w:val="single" w:sz="8" w:space="0" w:color="auto"/>
              <w:right w:val="single" w:sz="8" w:space="0" w:color="auto"/>
            </w:tcBorders>
            <w:shd w:val="clear" w:color="auto" w:fill="auto"/>
            <w:noWrap/>
            <w:vAlign w:val="center"/>
            <w:hideMark/>
          </w:tcPr>
          <w:p w:rsidR="00B43A2F" w:rsidRPr="00EB2995" w:rsidRDefault="00B43A2F" w:rsidP="00B43A2F">
            <w:pPr>
              <w:jc w:val="right"/>
              <w:rPr>
                <w:rFonts w:cs="Calibri"/>
                <w:color w:val="000000"/>
                <w:sz w:val="18"/>
                <w:szCs w:val="18"/>
                <w:lang w:eastAsia="en-GB"/>
              </w:rPr>
            </w:pPr>
            <w:r w:rsidRPr="00EB2995">
              <w:rPr>
                <w:rFonts w:cs="Calibri"/>
                <w:color w:val="000000"/>
                <w:sz w:val="18"/>
                <w:szCs w:val="18"/>
              </w:rPr>
              <w:t>0.0</w:t>
            </w:r>
          </w:p>
        </w:tc>
        <w:tc>
          <w:tcPr>
            <w:tcW w:w="851" w:type="dxa"/>
            <w:gridSpan w:val="2"/>
            <w:tcBorders>
              <w:top w:val="nil"/>
              <w:left w:val="nil"/>
              <w:bottom w:val="single" w:sz="8" w:space="0" w:color="auto"/>
              <w:right w:val="single" w:sz="8" w:space="0" w:color="auto"/>
            </w:tcBorders>
            <w:shd w:val="clear" w:color="auto" w:fill="auto"/>
            <w:noWrap/>
            <w:vAlign w:val="center"/>
            <w:hideMark/>
          </w:tcPr>
          <w:p w:rsidR="00B43A2F" w:rsidRPr="00EB2995" w:rsidRDefault="00B43A2F" w:rsidP="00B43A2F">
            <w:pPr>
              <w:jc w:val="right"/>
              <w:rPr>
                <w:rFonts w:cs="Calibri"/>
                <w:color w:val="000000"/>
                <w:sz w:val="18"/>
                <w:szCs w:val="18"/>
                <w:lang w:eastAsia="en-GB"/>
              </w:rPr>
            </w:pPr>
            <w:r w:rsidRPr="00EB2995">
              <w:rPr>
                <w:rFonts w:cs="Calibri"/>
                <w:color w:val="000000"/>
                <w:sz w:val="18"/>
                <w:szCs w:val="18"/>
              </w:rPr>
              <w:t>98.9</w:t>
            </w:r>
          </w:p>
        </w:tc>
        <w:tc>
          <w:tcPr>
            <w:tcW w:w="850" w:type="dxa"/>
            <w:gridSpan w:val="2"/>
            <w:tcBorders>
              <w:top w:val="nil"/>
              <w:left w:val="nil"/>
              <w:bottom w:val="single" w:sz="8" w:space="0" w:color="auto"/>
              <w:right w:val="single" w:sz="8" w:space="0" w:color="auto"/>
            </w:tcBorders>
            <w:shd w:val="clear" w:color="auto" w:fill="auto"/>
            <w:noWrap/>
            <w:vAlign w:val="center"/>
            <w:hideMark/>
          </w:tcPr>
          <w:p w:rsidR="00B43A2F" w:rsidRPr="00EB2995" w:rsidRDefault="00B43A2F" w:rsidP="00B43A2F">
            <w:pPr>
              <w:jc w:val="right"/>
              <w:rPr>
                <w:rFonts w:cs="Calibri"/>
                <w:i/>
                <w:iCs/>
                <w:color w:val="000000"/>
                <w:sz w:val="18"/>
                <w:szCs w:val="18"/>
                <w:lang w:eastAsia="en-GB"/>
              </w:rPr>
            </w:pPr>
            <w:r w:rsidRPr="00EB2995">
              <w:rPr>
                <w:rFonts w:cs="Calibri"/>
                <w:i/>
                <w:iCs/>
                <w:color w:val="000000"/>
                <w:sz w:val="18"/>
                <w:szCs w:val="18"/>
              </w:rPr>
              <w:t>13.4</w:t>
            </w:r>
          </w:p>
        </w:tc>
      </w:tr>
      <w:tr w:rsidR="00B43A2F" w:rsidRPr="00EB2995" w:rsidTr="00B43A2F">
        <w:trPr>
          <w:gridAfter w:val="1"/>
          <w:wAfter w:w="8" w:type="dxa"/>
          <w:trHeight w:hRule="exact" w:val="705"/>
        </w:trPr>
        <w:tc>
          <w:tcPr>
            <w:tcW w:w="2835" w:type="dxa"/>
            <w:tcBorders>
              <w:top w:val="nil"/>
              <w:left w:val="single" w:sz="8" w:space="0" w:color="auto"/>
              <w:bottom w:val="single" w:sz="8" w:space="0" w:color="auto"/>
              <w:right w:val="single" w:sz="8" w:space="0" w:color="auto"/>
            </w:tcBorders>
            <w:shd w:val="clear" w:color="auto" w:fill="auto"/>
            <w:vAlign w:val="center"/>
            <w:hideMark/>
          </w:tcPr>
          <w:p w:rsidR="00B43A2F" w:rsidRPr="00EB2995" w:rsidRDefault="00B43A2F" w:rsidP="00B43A2F">
            <w:pPr>
              <w:rPr>
                <w:rFonts w:cs="Calibri"/>
                <w:color w:val="000000"/>
                <w:sz w:val="18"/>
                <w:szCs w:val="18"/>
                <w:lang w:eastAsia="en-GB"/>
              </w:rPr>
            </w:pPr>
            <w:r w:rsidRPr="00EB2995">
              <w:rPr>
                <w:rFonts w:cs="Calibri"/>
                <w:color w:val="000000"/>
                <w:sz w:val="18"/>
                <w:szCs w:val="18"/>
                <w:lang w:eastAsia="en-GB"/>
              </w:rPr>
              <w:t>Revaluation increases (decreases) in the Surplus / Deficit on the Provision of Services</w:t>
            </w:r>
          </w:p>
        </w:tc>
        <w:tc>
          <w:tcPr>
            <w:tcW w:w="992" w:type="dxa"/>
            <w:tcBorders>
              <w:top w:val="nil"/>
              <w:left w:val="nil"/>
              <w:bottom w:val="single" w:sz="8" w:space="0" w:color="auto"/>
              <w:right w:val="nil"/>
            </w:tcBorders>
            <w:shd w:val="clear" w:color="auto" w:fill="auto"/>
            <w:noWrap/>
            <w:vAlign w:val="center"/>
            <w:hideMark/>
          </w:tcPr>
          <w:p w:rsidR="00B43A2F" w:rsidRPr="00EB2995" w:rsidRDefault="00B43A2F" w:rsidP="00B43A2F">
            <w:pPr>
              <w:jc w:val="right"/>
              <w:rPr>
                <w:rFonts w:cs="Calibri"/>
                <w:color w:val="000000"/>
                <w:sz w:val="18"/>
                <w:szCs w:val="18"/>
                <w:lang w:eastAsia="en-GB"/>
              </w:rPr>
            </w:pPr>
            <w:r w:rsidRPr="00EB2995">
              <w:rPr>
                <w:rFonts w:cs="Calibri"/>
                <w:color w:val="000000"/>
                <w:sz w:val="18"/>
                <w:szCs w:val="18"/>
              </w:rPr>
              <w:t>(32.3)</w:t>
            </w:r>
          </w:p>
        </w:tc>
        <w:tc>
          <w:tcPr>
            <w:tcW w:w="993" w:type="dxa"/>
            <w:gridSpan w:val="2"/>
            <w:tcBorders>
              <w:top w:val="nil"/>
              <w:left w:val="single" w:sz="8" w:space="0" w:color="auto"/>
              <w:bottom w:val="single" w:sz="8" w:space="0" w:color="auto"/>
              <w:right w:val="single" w:sz="8" w:space="0" w:color="auto"/>
            </w:tcBorders>
            <w:shd w:val="clear" w:color="auto" w:fill="auto"/>
            <w:noWrap/>
            <w:vAlign w:val="center"/>
            <w:hideMark/>
          </w:tcPr>
          <w:p w:rsidR="00B43A2F" w:rsidRPr="00EB2995" w:rsidRDefault="00B43A2F" w:rsidP="00B43A2F">
            <w:pPr>
              <w:jc w:val="right"/>
              <w:rPr>
                <w:rFonts w:cs="Calibri"/>
                <w:color w:val="000000"/>
                <w:sz w:val="18"/>
                <w:szCs w:val="18"/>
                <w:lang w:eastAsia="en-GB"/>
              </w:rPr>
            </w:pPr>
            <w:r w:rsidRPr="00EB2995">
              <w:rPr>
                <w:rFonts w:cs="Calibri"/>
                <w:color w:val="000000"/>
                <w:sz w:val="18"/>
                <w:szCs w:val="18"/>
              </w:rPr>
              <w:t>(14.5)</w:t>
            </w:r>
          </w:p>
        </w:tc>
        <w:tc>
          <w:tcPr>
            <w:tcW w:w="850" w:type="dxa"/>
            <w:gridSpan w:val="2"/>
            <w:tcBorders>
              <w:top w:val="nil"/>
              <w:left w:val="nil"/>
              <w:bottom w:val="single" w:sz="8" w:space="0" w:color="auto"/>
              <w:right w:val="single" w:sz="8" w:space="0" w:color="auto"/>
            </w:tcBorders>
            <w:shd w:val="clear" w:color="auto" w:fill="auto"/>
            <w:noWrap/>
            <w:vAlign w:val="center"/>
            <w:hideMark/>
          </w:tcPr>
          <w:p w:rsidR="00B43A2F" w:rsidRPr="00EB2995" w:rsidRDefault="00B43A2F" w:rsidP="00B43A2F">
            <w:pPr>
              <w:jc w:val="right"/>
              <w:rPr>
                <w:rFonts w:cs="Calibri"/>
                <w:color w:val="000000"/>
                <w:sz w:val="18"/>
                <w:szCs w:val="18"/>
                <w:lang w:eastAsia="en-GB"/>
              </w:rPr>
            </w:pPr>
            <w:r w:rsidRPr="00EB2995">
              <w:rPr>
                <w:rFonts w:cs="Calibri"/>
                <w:color w:val="000000"/>
                <w:sz w:val="18"/>
                <w:szCs w:val="18"/>
              </w:rPr>
              <w:t>0.0</w:t>
            </w:r>
          </w:p>
        </w:tc>
        <w:tc>
          <w:tcPr>
            <w:tcW w:w="1134" w:type="dxa"/>
            <w:gridSpan w:val="2"/>
            <w:tcBorders>
              <w:top w:val="nil"/>
              <w:left w:val="nil"/>
              <w:bottom w:val="single" w:sz="8" w:space="0" w:color="auto"/>
              <w:right w:val="single" w:sz="8" w:space="0" w:color="auto"/>
            </w:tcBorders>
            <w:shd w:val="clear" w:color="auto" w:fill="auto"/>
            <w:noWrap/>
            <w:vAlign w:val="center"/>
            <w:hideMark/>
          </w:tcPr>
          <w:p w:rsidR="00B43A2F" w:rsidRPr="00EB2995" w:rsidRDefault="00B43A2F" w:rsidP="00B43A2F">
            <w:pPr>
              <w:jc w:val="right"/>
              <w:rPr>
                <w:rFonts w:cs="Calibri"/>
                <w:color w:val="000000"/>
                <w:sz w:val="18"/>
                <w:szCs w:val="18"/>
                <w:lang w:eastAsia="en-GB"/>
              </w:rPr>
            </w:pPr>
            <w:r w:rsidRPr="00EB2995">
              <w:rPr>
                <w:rFonts w:cs="Calibri"/>
                <w:color w:val="000000"/>
                <w:sz w:val="18"/>
                <w:szCs w:val="18"/>
              </w:rPr>
              <w:t>0.0</w:t>
            </w:r>
          </w:p>
        </w:tc>
        <w:tc>
          <w:tcPr>
            <w:tcW w:w="851" w:type="dxa"/>
            <w:gridSpan w:val="2"/>
            <w:tcBorders>
              <w:top w:val="nil"/>
              <w:left w:val="nil"/>
              <w:bottom w:val="single" w:sz="8" w:space="0" w:color="auto"/>
              <w:right w:val="single" w:sz="8" w:space="0" w:color="auto"/>
            </w:tcBorders>
            <w:shd w:val="clear" w:color="auto" w:fill="auto"/>
            <w:noWrap/>
            <w:vAlign w:val="center"/>
            <w:hideMark/>
          </w:tcPr>
          <w:p w:rsidR="00B43A2F" w:rsidRPr="00EB2995" w:rsidRDefault="00B43A2F" w:rsidP="00B43A2F">
            <w:pPr>
              <w:jc w:val="right"/>
              <w:rPr>
                <w:rFonts w:cs="Calibri"/>
                <w:color w:val="000000"/>
                <w:sz w:val="18"/>
                <w:szCs w:val="18"/>
                <w:lang w:eastAsia="en-GB"/>
              </w:rPr>
            </w:pPr>
            <w:r w:rsidRPr="00EB2995">
              <w:rPr>
                <w:rFonts w:cs="Calibri"/>
                <w:color w:val="000000"/>
                <w:sz w:val="18"/>
                <w:szCs w:val="18"/>
              </w:rPr>
              <w:t>0.0</w:t>
            </w:r>
          </w:p>
        </w:tc>
        <w:tc>
          <w:tcPr>
            <w:tcW w:w="1275" w:type="dxa"/>
            <w:gridSpan w:val="2"/>
            <w:tcBorders>
              <w:top w:val="nil"/>
              <w:left w:val="nil"/>
              <w:bottom w:val="single" w:sz="8" w:space="0" w:color="auto"/>
              <w:right w:val="single" w:sz="8" w:space="0" w:color="auto"/>
            </w:tcBorders>
            <w:shd w:val="clear" w:color="auto" w:fill="auto"/>
            <w:noWrap/>
            <w:vAlign w:val="center"/>
            <w:hideMark/>
          </w:tcPr>
          <w:p w:rsidR="00B43A2F" w:rsidRPr="00EB2995" w:rsidRDefault="00B43A2F" w:rsidP="00B43A2F">
            <w:pPr>
              <w:jc w:val="right"/>
              <w:rPr>
                <w:rFonts w:cs="Calibri"/>
                <w:color w:val="000000"/>
                <w:sz w:val="18"/>
                <w:szCs w:val="18"/>
                <w:lang w:eastAsia="en-GB"/>
              </w:rPr>
            </w:pPr>
            <w:r w:rsidRPr="00EB2995">
              <w:rPr>
                <w:rFonts w:cs="Calibri"/>
                <w:color w:val="000000"/>
                <w:sz w:val="18"/>
                <w:szCs w:val="18"/>
              </w:rPr>
              <w:t>0.0</w:t>
            </w:r>
          </w:p>
        </w:tc>
        <w:tc>
          <w:tcPr>
            <w:tcW w:w="851" w:type="dxa"/>
            <w:gridSpan w:val="2"/>
            <w:tcBorders>
              <w:top w:val="nil"/>
              <w:left w:val="nil"/>
              <w:bottom w:val="single" w:sz="8" w:space="0" w:color="auto"/>
              <w:right w:val="single" w:sz="8" w:space="0" w:color="auto"/>
            </w:tcBorders>
            <w:shd w:val="clear" w:color="auto" w:fill="auto"/>
            <w:noWrap/>
            <w:vAlign w:val="center"/>
            <w:hideMark/>
          </w:tcPr>
          <w:p w:rsidR="00B43A2F" w:rsidRPr="00EB2995" w:rsidRDefault="00B43A2F" w:rsidP="00B43A2F">
            <w:pPr>
              <w:jc w:val="right"/>
              <w:rPr>
                <w:rFonts w:cs="Calibri"/>
                <w:color w:val="000000"/>
                <w:sz w:val="18"/>
                <w:szCs w:val="18"/>
                <w:lang w:eastAsia="en-GB"/>
              </w:rPr>
            </w:pPr>
            <w:r w:rsidRPr="00EB2995">
              <w:rPr>
                <w:rFonts w:cs="Calibri"/>
                <w:color w:val="000000"/>
                <w:sz w:val="18"/>
                <w:szCs w:val="18"/>
              </w:rPr>
              <w:t>(46.8)</w:t>
            </w:r>
          </w:p>
        </w:tc>
        <w:tc>
          <w:tcPr>
            <w:tcW w:w="850" w:type="dxa"/>
            <w:gridSpan w:val="2"/>
            <w:tcBorders>
              <w:top w:val="nil"/>
              <w:left w:val="nil"/>
              <w:bottom w:val="single" w:sz="8" w:space="0" w:color="auto"/>
              <w:right w:val="single" w:sz="8" w:space="0" w:color="auto"/>
            </w:tcBorders>
            <w:shd w:val="clear" w:color="auto" w:fill="auto"/>
            <w:noWrap/>
            <w:vAlign w:val="center"/>
            <w:hideMark/>
          </w:tcPr>
          <w:p w:rsidR="00B43A2F" w:rsidRPr="00EB2995" w:rsidRDefault="00B43A2F" w:rsidP="00B43A2F">
            <w:pPr>
              <w:jc w:val="right"/>
              <w:rPr>
                <w:rFonts w:cs="Calibri"/>
                <w:i/>
                <w:iCs/>
                <w:color w:val="000000"/>
                <w:sz w:val="18"/>
                <w:szCs w:val="18"/>
                <w:lang w:eastAsia="en-GB"/>
              </w:rPr>
            </w:pPr>
            <w:r w:rsidRPr="00EB2995">
              <w:rPr>
                <w:rFonts w:cs="Calibri"/>
                <w:i/>
                <w:iCs/>
                <w:color w:val="000000"/>
                <w:sz w:val="18"/>
                <w:szCs w:val="18"/>
              </w:rPr>
              <w:t>0.0</w:t>
            </w:r>
          </w:p>
        </w:tc>
      </w:tr>
      <w:tr w:rsidR="00B43A2F" w:rsidRPr="00EB2995" w:rsidTr="00B43A2F">
        <w:trPr>
          <w:gridAfter w:val="1"/>
          <w:wAfter w:w="8" w:type="dxa"/>
          <w:trHeight w:hRule="exact" w:val="397"/>
        </w:trPr>
        <w:tc>
          <w:tcPr>
            <w:tcW w:w="2835" w:type="dxa"/>
            <w:tcBorders>
              <w:top w:val="nil"/>
              <w:left w:val="single" w:sz="8" w:space="0" w:color="auto"/>
              <w:bottom w:val="single" w:sz="8" w:space="0" w:color="auto"/>
              <w:right w:val="single" w:sz="8" w:space="0" w:color="auto"/>
            </w:tcBorders>
            <w:shd w:val="clear" w:color="auto" w:fill="auto"/>
            <w:vAlign w:val="center"/>
            <w:hideMark/>
          </w:tcPr>
          <w:p w:rsidR="00B43A2F" w:rsidRPr="00EB2995" w:rsidRDefault="00B43A2F" w:rsidP="00B43A2F">
            <w:pPr>
              <w:rPr>
                <w:rFonts w:cs="Calibri"/>
                <w:color w:val="000000"/>
                <w:sz w:val="18"/>
                <w:szCs w:val="18"/>
                <w:lang w:eastAsia="en-GB"/>
              </w:rPr>
            </w:pPr>
            <w:r w:rsidRPr="00EB2995">
              <w:rPr>
                <w:rFonts w:cs="Calibri"/>
                <w:color w:val="000000"/>
                <w:sz w:val="18"/>
                <w:szCs w:val="18"/>
                <w:lang w:eastAsia="en-GB"/>
              </w:rPr>
              <w:t>Derecognition - Disposals</w:t>
            </w:r>
          </w:p>
        </w:tc>
        <w:tc>
          <w:tcPr>
            <w:tcW w:w="992" w:type="dxa"/>
            <w:tcBorders>
              <w:top w:val="nil"/>
              <w:left w:val="nil"/>
              <w:bottom w:val="single" w:sz="8" w:space="0" w:color="auto"/>
              <w:right w:val="nil"/>
            </w:tcBorders>
            <w:shd w:val="clear" w:color="auto" w:fill="auto"/>
            <w:noWrap/>
            <w:vAlign w:val="center"/>
            <w:hideMark/>
          </w:tcPr>
          <w:p w:rsidR="00B43A2F" w:rsidRPr="00EB2995" w:rsidRDefault="00B43A2F" w:rsidP="00B43A2F">
            <w:pPr>
              <w:jc w:val="right"/>
              <w:rPr>
                <w:rFonts w:cs="Calibri"/>
                <w:color w:val="000000"/>
                <w:sz w:val="18"/>
                <w:szCs w:val="18"/>
                <w:lang w:eastAsia="en-GB"/>
              </w:rPr>
            </w:pPr>
            <w:r w:rsidRPr="00EB2995">
              <w:rPr>
                <w:rFonts w:cs="Calibri"/>
                <w:color w:val="000000"/>
                <w:sz w:val="18"/>
                <w:szCs w:val="18"/>
              </w:rPr>
              <w:t>(1.5)</w:t>
            </w:r>
          </w:p>
        </w:tc>
        <w:tc>
          <w:tcPr>
            <w:tcW w:w="993" w:type="dxa"/>
            <w:gridSpan w:val="2"/>
            <w:tcBorders>
              <w:top w:val="nil"/>
              <w:left w:val="single" w:sz="8" w:space="0" w:color="auto"/>
              <w:bottom w:val="single" w:sz="8" w:space="0" w:color="auto"/>
              <w:right w:val="single" w:sz="8" w:space="0" w:color="auto"/>
            </w:tcBorders>
            <w:shd w:val="clear" w:color="auto" w:fill="auto"/>
            <w:noWrap/>
            <w:vAlign w:val="center"/>
            <w:hideMark/>
          </w:tcPr>
          <w:p w:rsidR="00B43A2F" w:rsidRPr="00EB2995" w:rsidRDefault="00B43A2F" w:rsidP="00B43A2F">
            <w:pPr>
              <w:jc w:val="right"/>
              <w:rPr>
                <w:rFonts w:cs="Calibri"/>
                <w:color w:val="000000"/>
                <w:sz w:val="18"/>
                <w:szCs w:val="18"/>
                <w:lang w:eastAsia="en-GB"/>
              </w:rPr>
            </w:pPr>
            <w:r w:rsidRPr="00EB2995">
              <w:rPr>
                <w:rFonts w:cs="Calibri"/>
                <w:color w:val="000000"/>
                <w:sz w:val="18"/>
                <w:szCs w:val="18"/>
              </w:rPr>
              <w:t>(61.7)</w:t>
            </w:r>
          </w:p>
        </w:tc>
        <w:tc>
          <w:tcPr>
            <w:tcW w:w="850" w:type="dxa"/>
            <w:gridSpan w:val="2"/>
            <w:tcBorders>
              <w:top w:val="nil"/>
              <w:left w:val="nil"/>
              <w:bottom w:val="single" w:sz="8" w:space="0" w:color="auto"/>
              <w:right w:val="single" w:sz="8" w:space="0" w:color="auto"/>
            </w:tcBorders>
            <w:shd w:val="clear" w:color="auto" w:fill="auto"/>
            <w:noWrap/>
            <w:vAlign w:val="center"/>
            <w:hideMark/>
          </w:tcPr>
          <w:p w:rsidR="00B43A2F" w:rsidRPr="00EB2995" w:rsidRDefault="00B43A2F" w:rsidP="00B43A2F">
            <w:pPr>
              <w:jc w:val="right"/>
              <w:rPr>
                <w:rFonts w:cs="Calibri"/>
                <w:color w:val="000000"/>
                <w:sz w:val="18"/>
                <w:szCs w:val="18"/>
                <w:lang w:eastAsia="en-GB"/>
              </w:rPr>
            </w:pPr>
            <w:r w:rsidRPr="00EB2995">
              <w:rPr>
                <w:rFonts w:cs="Calibri"/>
                <w:color w:val="000000"/>
                <w:sz w:val="18"/>
                <w:szCs w:val="18"/>
              </w:rPr>
              <w:t>(2.5)</w:t>
            </w:r>
          </w:p>
        </w:tc>
        <w:tc>
          <w:tcPr>
            <w:tcW w:w="1134" w:type="dxa"/>
            <w:gridSpan w:val="2"/>
            <w:tcBorders>
              <w:top w:val="nil"/>
              <w:left w:val="nil"/>
              <w:bottom w:val="single" w:sz="8" w:space="0" w:color="auto"/>
              <w:right w:val="single" w:sz="8" w:space="0" w:color="auto"/>
            </w:tcBorders>
            <w:shd w:val="clear" w:color="auto" w:fill="auto"/>
            <w:noWrap/>
            <w:vAlign w:val="center"/>
            <w:hideMark/>
          </w:tcPr>
          <w:p w:rsidR="00B43A2F" w:rsidRPr="00EB2995" w:rsidRDefault="00B43A2F" w:rsidP="00B43A2F">
            <w:pPr>
              <w:jc w:val="right"/>
              <w:rPr>
                <w:rFonts w:cs="Calibri"/>
                <w:color w:val="000000"/>
                <w:sz w:val="18"/>
                <w:szCs w:val="18"/>
                <w:lang w:eastAsia="en-GB"/>
              </w:rPr>
            </w:pPr>
            <w:r w:rsidRPr="00EB2995">
              <w:rPr>
                <w:rFonts w:cs="Calibri"/>
                <w:color w:val="000000"/>
                <w:sz w:val="18"/>
                <w:szCs w:val="18"/>
              </w:rPr>
              <w:t>0.0</w:t>
            </w:r>
          </w:p>
        </w:tc>
        <w:tc>
          <w:tcPr>
            <w:tcW w:w="851" w:type="dxa"/>
            <w:gridSpan w:val="2"/>
            <w:tcBorders>
              <w:top w:val="nil"/>
              <w:left w:val="nil"/>
              <w:bottom w:val="single" w:sz="8" w:space="0" w:color="auto"/>
              <w:right w:val="single" w:sz="8" w:space="0" w:color="auto"/>
            </w:tcBorders>
            <w:shd w:val="clear" w:color="auto" w:fill="auto"/>
            <w:noWrap/>
            <w:vAlign w:val="center"/>
            <w:hideMark/>
          </w:tcPr>
          <w:p w:rsidR="00B43A2F" w:rsidRPr="00EB2995" w:rsidRDefault="00B43A2F" w:rsidP="00B43A2F">
            <w:pPr>
              <w:jc w:val="right"/>
              <w:rPr>
                <w:rFonts w:cs="Calibri"/>
                <w:color w:val="000000"/>
                <w:sz w:val="18"/>
                <w:szCs w:val="18"/>
                <w:lang w:eastAsia="en-GB"/>
              </w:rPr>
            </w:pPr>
            <w:r w:rsidRPr="00EB2995">
              <w:rPr>
                <w:rFonts w:cs="Calibri"/>
                <w:color w:val="000000"/>
                <w:sz w:val="18"/>
                <w:szCs w:val="18"/>
              </w:rPr>
              <w:t>0.0</w:t>
            </w:r>
          </w:p>
        </w:tc>
        <w:tc>
          <w:tcPr>
            <w:tcW w:w="1275" w:type="dxa"/>
            <w:gridSpan w:val="2"/>
            <w:tcBorders>
              <w:top w:val="nil"/>
              <w:left w:val="nil"/>
              <w:bottom w:val="single" w:sz="8" w:space="0" w:color="auto"/>
              <w:right w:val="single" w:sz="8" w:space="0" w:color="auto"/>
            </w:tcBorders>
            <w:shd w:val="clear" w:color="auto" w:fill="auto"/>
            <w:noWrap/>
            <w:vAlign w:val="center"/>
            <w:hideMark/>
          </w:tcPr>
          <w:p w:rsidR="00B43A2F" w:rsidRPr="00EB2995" w:rsidRDefault="00B43A2F" w:rsidP="00B43A2F">
            <w:pPr>
              <w:jc w:val="right"/>
              <w:rPr>
                <w:rFonts w:cs="Calibri"/>
                <w:color w:val="000000"/>
                <w:sz w:val="18"/>
                <w:szCs w:val="18"/>
                <w:lang w:eastAsia="en-GB"/>
              </w:rPr>
            </w:pPr>
            <w:r w:rsidRPr="00EB2995">
              <w:rPr>
                <w:rFonts w:cs="Calibri"/>
                <w:color w:val="000000"/>
                <w:sz w:val="18"/>
                <w:szCs w:val="18"/>
              </w:rPr>
              <w:t>(7.4)</w:t>
            </w:r>
          </w:p>
        </w:tc>
        <w:tc>
          <w:tcPr>
            <w:tcW w:w="851" w:type="dxa"/>
            <w:gridSpan w:val="2"/>
            <w:tcBorders>
              <w:top w:val="nil"/>
              <w:left w:val="nil"/>
              <w:bottom w:val="single" w:sz="8" w:space="0" w:color="auto"/>
              <w:right w:val="single" w:sz="8" w:space="0" w:color="auto"/>
            </w:tcBorders>
            <w:shd w:val="clear" w:color="auto" w:fill="auto"/>
            <w:noWrap/>
            <w:vAlign w:val="center"/>
            <w:hideMark/>
          </w:tcPr>
          <w:p w:rsidR="00B43A2F" w:rsidRPr="00EB2995" w:rsidRDefault="00B43A2F" w:rsidP="00B43A2F">
            <w:pPr>
              <w:jc w:val="right"/>
              <w:rPr>
                <w:rFonts w:cs="Calibri"/>
                <w:color w:val="000000"/>
                <w:sz w:val="18"/>
                <w:szCs w:val="18"/>
                <w:lang w:eastAsia="en-GB"/>
              </w:rPr>
            </w:pPr>
            <w:r w:rsidRPr="00EB2995">
              <w:rPr>
                <w:rFonts w:cs="Calibri"/>
                <w:color w:val="000000"/>
                <w:sz w:val="18"/>
                <w:szCs w:val="18"/>
              </w:rPr>
              <w:t>(73.1)</w:t>
            </w:r>
          </w:p>
        </w:tc>
        <w:tc>
          <w:tcPr>
            <w:tcW w:w="850" w:type="dxa"/>
            <w:gridSpan w:val="2"/>
            <w:tcBorders>
              <w:top w:val="nil"/>
              <w:left w:val="nil"/>
              <w:bottom w:val="single" w:sz="8" w:space="0" w:color="auto"/>
              <w:right w:val="single" w:sz="8" w:space="0" w:color="auto"/>
            </w:tcBorders>
            <w:shd w:val="clear" w:color="auto" w:fill="auto"/>
            <w:noWrap/>
            <w:vAlign w:val="center"/>
            <w:hideMark/>
          </w:tcPr>
          <w:p w:rsidR="00B43A2F" w:rsidRPr="00EB2995" w:rsidRDefault="00B43A2F" w:rsidP="00B43A2F">
            <w:pPr>
              <w:jc w:val="right"/>
              <w:rPr>
                <w:rFonts w:cs="Calibri"/>
                <w:i/>
                <w:iCs/>
                <w:color w:val="000000"/>
                <w:sz w:val="18"/>
                <w:szCs w:val="18"/>
                <w:lang w:eastAsia="en-GB"/>
              </w:rPr>
            </w:pPr>
            <w:r w:rsidRPr="00EB2995">
              <w:rPr>
                <w:rFonts w:cs="Calibri"/>
                <w:i/>
                <w:iCs/>
                <w:color w:val="000000"/>
                <w:sz w:val="18"/>
                <w:szCs w:val="18"/>
              </w:rPr>
              <w:t>0.0</w:t>
            </w:r>
          </w:p>
        </w:tc>
      </w:tr>
      <w:tr w:rsidR="00B43A2F" w:rsidRPr="00EB2995" w:rsidTr="00B43A2F">
        <w:trPr>
          <w:gridAfter w:val="1"/>
          <w:wAfter w:w="8" w:type="dxa"/>
          <w:trHeight w:hRule="exact" w:val="593"/>
        </w:trPr>
        <w:tc>
          <w:tcPr>
            <w:tcW w:w="2835" w:type="dxa"/>
            <w:tcBorders>
              <w:top w:val="nil"/>
              <w:left w:val="single" w:sz="8" w:space="0" w:color="auto"/>
              <w:bottom w:val="single" w:sz="8" w:space="0" w:color="auto"/>
              <w:right w:val="single" w:sz="8" w:space="0" w:color="auto"/>
            </w:tcBorders>
            <w:shd w:val="clear" w:color="auto" w:fill="auto"/>
            <w:vAlign w:val="center"/>
            <w:hideMark/>
          </w:tcPr>
          <w:p w:rsidR="00B43A2F" w:rsidRPr="00EB2995" w:rsidRDefault="00B43A2F" w:rsidP="00B43A2F">
            <w:pPr>
              <w:rPr>
                <w:rFonts w:cs="Calibri"/>
                <w:color w:val="000000"/>
                <w:sz w:val="18"/>
                <w:szCs w:val="18"/>
                <w:lang w:eastAsia="en-GB"/>
              </w:rPr>
            </w:pPr>
            <w:r w:rsidRPr="00EB2995">
              <w:rPr>
                <w:rFonts w:cs="Calibri"/>
                <w:color w:val="000000"/>
                <w:sz w:val="18"/>
                <w:szCs w:val="18"/>
                <w:lang w:eastAsia="en-GB"/>
              </w:rPr>
              <w:t>Reclassifications (to/from Assets Held for Sale)</w:t>
            </w:r>
          </w:p>
        </w:tc>
        <w:tc>
          <w:tcPr>
            <w:tcW w:w="992" w:type="dxa"/>
            <w:tcBorders>
              <w:top w:val="nil"/>
              <w:left w:val="nil"/>
              <w:bottom w:val="single" w:sz="8" w:space="0" w:color="auto"/>
              <w:right w:val="nil"/>
            </w:tcBorders>
            <w:shd w:val="clear" w:color="auto" w:fill="auto"/>
            <w:noWrap/>
            <w:vAlign w:val="center"/>
            <w:hideMark/>
          </w:tcPr>
          <w:p w:rsidR="00B43A2F" w:rsidRPr="00EB2995" w:rsidRDefault="00B43A2F" w:rsidP="00B43A2F">
            <w:pPr>
              <w:jc w:val="right"/>
              <w:rPr>
                <w:rFonts w:cs="Calibri"/>
                <w:color w:val="000000"/>
                <w:sz w:val="18"/>
                <w:szCs w:val="18"/>
                <w:lang w:eastAsia="en-GB"/>
              </w:rPr>
            </w:pPr>
            <w:r w:rsidRPr="00EB2995">
              <w:rPr>
                <w:rFonts w:cs="Calibri"/>
                <w:color w:val="000000"/>
                <w:sz w:val="18"/>
                <w:szCs w:val="18"/>
              </w:rPr>
              <w:t>0.0</w:t>
            </w:r>
          </w:p>
        </w:tc>
        <w:tc>
          <w:tcPr>
            <w:tcW w:w="993" w:type="dxa"/>
            <w:gridSpan w:val="2"/>
            <w:tcBorders>
              <w:top w:val="nil"/>
              <w:left w:val="single" w:sz="8" w:space="0" w:color="auto"/>
              <w:bottom w:val="single" w:sz="8" w:space="0" w:color="auto"/>
              <w:right w:val="single" w:sz="8" w:space="0" w:color="auto"/>
            </w:tcBorders>
            <w:shd w:val="clear" w:color="auto" w:fill="auto"/>
            <w:noWrap/>
            <w:vAlign w:val="center"/>
            <w:hideMark/>
          </w:tcPr>
          <w:p w:rsidR="00B43A2F" w:rsidRPr="00EB2995" w:rsidRDefault="00B43A2F" w:rsidP="00B43A2F">
            <w:pPr>
              <w:jc w:val="right"/>
              <w:rPr>
                <w:rFonts w:cs="Calibri"/>
                <w:color w:val="000000"/>
                <w:sz w:val="18"/>
                <w:szCs w:val="18"/>
                <w:lang w:eastAsia="en-GB"/>
              </w:rPr>
            </w:pPr>
            <w:r w:rsidRPr="00EB2995">
              <w:rPr>
                <w:rFonts w:cs="Calibri"/>
                <w:color w:val="000000"/>
                <w:sz w:val="18"/>
                <w:szCs w:val="18"/>
              </w:rPr>
              <w:t>0.0</w:t>
            </w:r>
          </w:p>
        </w:tc>
        <w:tc>
          <w:tcPr>
            <w:tcW w:w="850" w:type="dxa"/>
            <w:gridSpan w:val="2"/>
            <w:tcBorders>
              <w:top w:val="nil"/>
              <w:left w:val="nil"/>
              <w:bottom w:val="single" w:sz="8" w:space="0" w:color="auto"/>
              <w:right w:val="single" w:sz="8" w:space="0" w:color="auto"/>
            </w:tcBorders>
            <w:shd w:val="clear" w:color="auto" w:fill="auto"/>
            <w:noWrap/>
            <w:vAlign w:val="center"/>
            <w:hideMark/>
          </w:tcPr>
          <w:p w:rsidR="00B43A2F" w:rsidRPr="00EB2995" w:rsidRDefault="00B43A2F" w:rsidP="00B43A2F">
            <w:pPr>
              <w:jc w:val="right"/>
              <w:rPr>
                <w:rFonts w:cs="Calibri"/>
                <w:color w:val="000000"/>
                <w:sz w:val="18"/>
                <w:szCs w:val="18"/>
                <w:lang w:eastAsia="en-GB"/>
              </w:rPr>
            </w:pPr>
            <w:r w:rsidRPr="00EB2995">
              <w:rPr>
                <w:rFonts w:cs="Calibri"/>
                <w:color w:val="000000"/>
                <w:sz w:val="18"/>
                <w:szCs w:val="18"/>
              </w:rPr>
              <w:t>0.0</w:t>
            </w:r>
          </w:p>
        </w:tc>
        <w:tc>
          <w:tcPr>
            <w:tcW w:w="1134" w:type="dxa"/>
            <w:gridSpan w:val="2"/>
            <w:tcBorders>
              <w:top w:val="nil"/>
              <w:left w:val="nil"/>
              <w:bottom w:val="single" w:sz="8" w:space="0" w:color="auto"/>
              <w:right w:val="single" w:sz="8" w:space="0" w:color="auto"/>
            </w:tcBorders>
            <w:shd w:val="clear" w:color="auto" w:fill="auto"/>
            <w:noWrap/>
            <w:vAlign w:val="center"/>
            <w:hideMark/>
          </w:tcPr>
          <w:p w:rsidR="00B43A2F" w:rsidRPr="00EB2995" w:rsidRDefault="00B43A2F" w:rsidP="00B43A2F">
            <w:pPr>
              <w:jc w:val="right"/>
              <w:rPr>
                <w:rFonts w:cs="Calibri"/>
                <w:color w:val="000000"/>
                <w:sz w:val="18"/>
                <w:szCs w:val="18"/>
                <w:lang w:eastAsia="en-GB"/>
              </w:rPr>
            </w:pPr>
            <w:r w:rsidRPr="00EB2995">
              <w:rPr>
                <w:rFonts w:cs="Calibri"/>
                <w:color w:val="000000"/>
                <w:sz w:val="18"/>
                <w:szCs w:val="18"/>
              </w:rPr>
              <w:t>0.0</w:t>
            </w:r>
          </w:p>
        </w:tc>
        <w:tc>
          <w:tcPr>
            <w:tcW w:w="851" w:type="dxa"/>
            <w:gridSpan w:val="2"/>
            <w:tcBorders>
              <w:top w:val="nil"/>
              <w:left w:val="nil"/>
              <w:bottom w:val="single" w:sz="8" w:space="0" w:color="auto"/>
              <w:right w:val="single" w:sz="8" w:space="0" w:color="auto"/>
            </w:tcBorders>
            <w:shd w:val="clear" w:color="auto" w:fill="auto"/>
            <w:noWrap/>
            <w:vAlign w:val="center"/>
            <w:hideMark/>
          </w:tcPr>
          <w:p w:rsidR="00B43A2F" w:rsidRPr="00EB2995" w:rsidRDefault="00B43A2F" w:rsidP="00B43A2F">
            <w:pPr>
              <w:jc w:val="right"/>
              <w:rPr>
                <w:rFonts w:cs="Calibri"/>
                <w:color w:val="000000"/>
                <w:sz w:val="18"/>
                <w:szCs w:val="18"/>
                <w:lang w:eastAsia="en-GB"/>
              </w:rPr>
            </w:pPr>
            <w:r w:rsidRPr="00EB2995">
              <w:rPr>
                <w:rFonts w:cs="Calibri"/>
                <w:color w:val="000000"/>
                <w:sz w:val="18"/>
                <w:szCs w:val="18"/>
              </w:rPr>
              <w:t>0.0</w:t>
            </w:r>
          </w:p>
        </w:tc>
        <w:tc>
          <w:tcPr>
            <w:tcW w:w="1275" w:type="dxa"/>
            <w:gridSpan w:val="2"/>
            <w:tcBorders>
              <w:top w:val="nil"/>
              <w:left w:val="nil"/>
              <w:bottom w:val="single" w:sz="8" w:space="0" w:color="auto"/>
              <w:right w:val="single" w:sz="8" w:space="0" w:color="auto"/>
            </w:tcBorders>
            <w:shd w:val="clear" w:color="auto" w:fill="auto"/>
            <w:noWrap/>
            <w:vAlign w:val="center"/>
            <w:hideMark/>
          </w:tcPr>
          <w:p w:rsidR="00B43A2F" w:rsidRPr="00EB2995" w:rsidRDefault="00B43A2F" w:rsidP="00B43A2F">
            <w:pPr>
              <w:jc w:val="right"/>
              <w:rPr>
                <w:rFonts w:cs="Calibri"/>
                <w:color w:val="000000"/>
                <w:sz w:val="18"/>
                <w:szCs w:val="18"/>
                <w:lang w:eastAsia="en-GB"/>
              </w:rPr>
            </w:pPr>
            <w:r w:rsidRPr="00EB2995">
              <w:rPr>
                <w:rFonts w:cs="Calibri"/>
                <w:color w:val="000000"/>
                <w:sz w:val="18"/>
                <w:szCs w:val="18"/>
              </w:rPr>
              <w:t>0.0</w:t>
            </w:r>
          </w:p>
        </w:tc>
        <w:tc>
          <w:tcPr>
            <w:tcW w:w="851" w:type="dxa"/>
            <w:gridSpan w:val="2"/>
            <w:tcBorders>
              <w:top w:val="nil"/>
              <w:left w:val="nil"/>
              <w:bottom w:val="single" w:sz="8" w:space="0" w:color="auto"/>
              <w:right w:val="single" w:sz="8" w:space="0" w:color="auto"/>
            </w:tcBorders>
            <w:shd w:val="clear" w:color="auto" w:fill="auto"/>
            <w:noWrap/>
            <w:vAlign w:val="center"/>
            <w:hideMark/>
          </w:tcPr>
          <w:p w:rsidR="00B43A2F" w:rsidRPr="00EB2995" w:rsidRDefault="00B43A2F" w:rsidP="00B43A2F">
            <w:pPr>
              <w:jc w:val="right"/>
              <w:rPr>
                <w:rFonts w:cs="Calibri"/>
                <w:color w:val="000000"/>
                <w:sz w:val="18"/>
                <w:szCs w:val="18"/>
                <w:lang w:eastAsia="en-GB"/>
              </w:rPr>
            </w:pPr>
            <w:r w:rsidRPr="00EB2995">
              <w:rPr>
                <w:rFonts w:cs="Calibri"/>
                <w:color w:val="000000"/>
                <w:sz w:val="18"/>
                <w:szCs w:val="18"/>
              </w:rPr>
              <w:t>0.0</w:t>
            </w:r>
          </w:p>
        </w:tc>
        <w:tc>
          <w:tcPr>
            <w:tcW w:w="850" w:type="dxa"/>
            <w:gridSpan w:val="2"/>
            <w:tcBorders>
              <w:top w:val="nil"/>
              <w:left w:val="nil"/>
              <w:bottom w:val="single" w:sz="8" w:space="0" w:color="auto"/>
              <w:right w:val="single" w:sz="8" w:space="0" w:color="auto"/>
            </w:tcBorders>
            <w:shd w:val="clear" w:color="auto" w:fill="auto"/>
            <w:noWrap/>
            <w:vAlign w:val="center"/>
            <w:hideMark/>
          </w:tcPr>
          <w:p w:rsidR="00B43A2F" w:rsidRPr="00EB2995" w:rsidRDefault="00B43A2F" w:rsidP="00B43A2F">
            <w:pPr>
              <w:jc w:val="right"/>
              <w:rPr>
                <w:rFonts w:cs="Calibri"/>
                <w:i/>
                <w:iCs/>
                <w:color w:val="000000"/>
                <w:sz w:val="18"/>
                <w:szCs w:val="18"/>
                <w:lang w:eastAsia="en-GB"/>
              </w:rPr>
            </w:pPr>
            <w:r w:rsidRPr="00EB2995">
              <w:rPr>
                <w:rFonts w:cs="Calibri"/>
                <w:i/>
                <w:iCs/>
                <w:color w:val="000000"/>
                <w:sz w:val="18"/>
                <w:szCs w:val="18"/>
              </w:rPr>
              <w:t>0.0</w:t>
            </w:r>
          </w:p>
        </w:tc>
      </w:tr>
      <w:tr w:rsidR="00B43A2F" w:rsidRPr="00EB2995" w:rsidTr="00B43A2F">
        <w:trPr>
          <w:gridAfter w:val="1"/>
          <w:wAfter w:w="8" w:type="dxa"/>
          <w:trHeight w:hRule="exact" w:val="573"/>
        </w:trPr>
        <w:tc>
          <w:tcPr>
            <w:tcW w:w="2835" w:type="dxa"/>
            <w:tcBorders>
              <w:top w:val="nil"/>
              <w:left w:val="single" w:sz="8" w:space="0" w:color="auto"/>
              <w:bottom w:val="single" w:sz="8" w:space="0" w:color="auto"/>
              <w:right w:val="single" w:sz="8" w:space="0" w:color="auto"/>
            </w:tcBorders>
            <w:shd w:val="clear" w:color="auto" w:fill="auto"/>
            <w:vAlign w:val="center"/>
            <w:hideMark/>
          </w:tcPr>
          <w:p w:rsidR="00B43A2F" w:rsidRPr="00EB2995" w:rsidRDefault="00B43A2F" w:rsidP="00B43A2F">
            <w:pPr>
              <w:rPr>
                <w:rFonts w:cs="Calibri"/>
                <w:color w:val="000000"/>
                <w:sz w:val="18"/>
                <w:szCs w:val="18"/>
                <w:lang w:eastAsia="en-GB"/>
              </w:rPr>
            </w:pPr>
            <w:r w:rsidRPr="00EB2995">
              <w:rPr>
                <w:rFonts w:cs="Calibri"/>
                <w:color w:val="000000"/>
                <w:sz w:val="18"/>
                <w:szCs w:val="18"/>
                <w:lang w:eastAsia="en-GB"/>
              </w:rPr>
              <w:t>Other movements in Cost or Valuations</w:t>
            </w:r>
          </w:p>
        </w:tc>
        <w:tc>
          <w:tcPr>
            <w:tcW w:w="992" w:type="dxa"/>
            <w:tcBorders>
              <w:top w:val="nil"/>
              <w:left w:val="nil"/>
              <w:bottom w:val="single" w:sz="8" w:space="0" w:color="auto"/>
              <w:right w:val="nil"/>
            </w:tcBorders>
            <w:shd w:val="clear" w:color="auto" w:fill="auto"/>
            <w:noWrap/>
            <w:vAlign w:val="center"/>
            <w:hideMark/>
          </w:tcPr>
          <w:p w:rsidR="00B43A2F" w:rsidRPr="00EB2995" w:rsidRDefault="00B43A2F" w:rsidP="00B43A2F">
            <w:pPr>
              <w:jc w:val="right"/>
              <w:rPr>
                <w:rFonts w:cs="Calibri"/>
                <w:color w:val="000000"/>
                <w:sz w:val="18"/>
                <w:szCs w:val="18"/>
                <w:lang w:eastAsia="en-GB"/>
              </w:rPr>
            </w:pPr>
            <w:r w:rsidRPr="00EB2995">
              <w:rPr>
                <w:rFonts w:cs="Calibri"/>
                <w:color w:val="000000"/>
                <w:sz w:val="18"/>
                <w:szCs w:val="18"/>
              </w:rPr>
              <w:t>(27.9)</w:t>
            </w:r>
          </w:p>
        </w:tc>
        <w:tc>
          <w:tcPr>
            <w:tcW w:w="993" w:type="dxa"/>
            <w:gridSpan w:val="2"/>
            <w:tcBorders>
              <w:top w:val="nil"/>
              <w:left w:val="single" w:sz="8" w:space="0" w:color="auto"/>
              <w:bottom w:val="single" w:sz="8" w:space="0" w:color="auto"/>
              <w:right w:val="single" w:sz="8" w:space="0" w:color="auto"/>
            </w:tcBorders>
            <w:shd w:val="clear" w:color="auto" w:fill="auto"/>
            <w:noWrap/>
            <w:vAlign w:val="center"/>
            <w:hideMark/>
          </w:tcPr>
          <w:p w:rsidR="00B43A2F" w:rsidRPr="00EB2995" w:rsidRDefault="00B43A2F" w:rsidP="00B43A2F">
            <w:pPr>
              <w:jc w:val="right"/>
              <w:rPr>
                <w:rFonts w:cs="Calibri"/>
                <w:color w:val="000000"/>
                <w:sz w:val="18"/>
                <w:szCs w:val="18"/>
                <w:lang w:eastAsia="en-GB"/>
              </w:rPr>
            </w:pPr>
            <w:r w:rsidRPr="00EB2995">
              <w:rPr>
                <w:rFonts w:cs="Calibri"/>
                <w:color w:val="000000"/>
                <w:sz w:val="18"/>
                <w:szCs w:val="18"/>
              </w:rPr>
              <w:t>67.0</w:t>
            </w:r>
          </w:p>
        </w:tc>
        <w:tc>
          <w:tcPr>
            <w:tcW w:w="850" w:type="dxa"/>
            <w:gridSpan w:val="2"/>
            <w:tcBorders>
              <w:top w:val="nil"/>
              <w:left w:val="nil"/>
              <w:bottom w:val="single" w:sz="8" w:space="0" w:color="auto"/>
              <w:right w:val="single" w:sz="8" w:space="0" w:color="auto"/>
            </w:tcBorders>
            <w:shd w:val="clear" w:color="auto" w:fill="auto"/>
            <w:noWrap/>
            <w:vAlign w:val="center"/>
            <w:hideMark/>
          </w:tcPr>
          <w:p w:rsidR="00B43A2F" w:rsidRPr="00EB2995" w:rsidRDefault="00B43A2F" w:rsidP="00B43A2F">
            <w:pPr>
              <w:jc w:val="right"/>
              <w:rPr>
                <w:rFonts w:cs="Calibri"/>
                <w:color w:val="000000"/>
                <w:sz w:val="18"/>
                <w:szCs w:val="18"/>
                <w:lang w:eastAsia="en-GB"/>
              </w:rPr>
            </w:pPr>
            <w:r w:rsidRPr="00EB2995">
              <w:rPr>
                <w:rFonts w:cs="Calibri"/>
                <w:color w:val="000000"/>
                <w:sz w:val="18"/>
                <w:szCs w:val="18"/>
              </w:rPr>
              <w:t>0.0</w:t>
            </w:r>
          </w:p>
        </w:tc>
        <w:tc>
          <w:tcPr>
            <w:tcW w:w="1134" w:type="dxa"/>
            <w:gridSpan w:val="2"/>
            <w:tcBorders>
              <w:top w:val="nil"/>
              <w:left w:val="nil"/>
              <w:bottom w:val="single" w:sz="8" w:space="0" w:color="auto"/>
              <w:right w:val="single" w:sz="8" w:space="0" w:color="auto"/>
            </w:tcBorders>
            <w:shd w:val="clear" w:color="auto" w:fill="auto"/>
            <w:noWrap/>
            <w:vAlign w:val="center"/>
            <w:hideMark/>
          </w:tcPr>
          <w:p w:rsidR="00B43A2F" w:rsidRPr="00EB2995" w:rsidRDefault="00B43A2F" w:rsidP="00B43A2F">
            <w:pPr>
              <w:jc w:val="right"/>
              <w:rPr>
                <w:rFonts w:cs="Calibri"/>
                <w:color w:val="000000"/>
                <w:sz w:val="18"/>
                <w:szCs w:val="18"/>
                <w:lang w:eastAsia="en-GB"/>
              </w:rPr>
            </w:pPr>
            <w:r w:rsidRPr="00EB2995">
              <w:rPr>
                <w:rFonts w:cs="Calibri"/>
                <w:color w:val="000000"/>
                <w:sz w:val="18"/>
                <w:szCs w:val="18"/>
              </w:rPr>
              <w:t>0.0</w:t>
            </w:r>
          </w:p>
        </w:tc>
        <w:tc>
          <w:tcPr>
            <w:tcW w:w="851" w:type="dxa"/>
            <w:gridSpan w:val="2"/>
            <w:tcBorders>
              <w:top w:val="nil"/>
              <w:left w:val="nil"/>
              <w:bottom w:val="single" w:sz="8" w:space="0" w:color="auto"/>
              <w:right w:val="single" w:sz="8" w:space="0" w:color="auto"/>
            </w:tcBorders>
            <w:shd w:val="clear" w:color="auto" w:fill="auto"/>
            <w:noWrap/>
            <w:vAlign w:val="center"/>
            <w:hideMark/>
          </w:tcPr>
          <w:p w:rsidR="00B43A2F" w:rsidRPr="00EB2995" w:rsidRDefault="00B43A2F" w:rsidP="00B43A2F">
            <w:pPr>
              <w:jc w:val="right"/>
              <w:rPr>
                <w:rFonts w:cs="Calibri"/>
                <w:color w:val="000000"/>
                <w:sz w:val="18"/>
                <w:szCs w:val="18"/>
                <w:lang w:eastAsia="en-GB"/>
              </w:rPr>
            </w:pPr>
            <w:r w:rsidRPr="00EB2995">
              <w:rPr>
                <w:rFonts w:cs="Calibri"/>
                <w:color w:val="000000"/>
                <w:sz w:val="18"/>
                <w:szCs w:val="18"/>
              </w:rPr>
              <w:t>3.7</w:t>
            </w:r>
          </w:p>
        </w:tc>
        <w:tc>
          <w:tcPr>
            <w:tcW w:w="1275" w:type="dxa"/>
            <w:gridSpan w:val="2"/>
            <w:tcBorders>
              <w:top w:val="nil"/>
              <w:left w:val="nil"/>
              <w:bottom w:val="single" w:sz="8" w:space="0" w:color="auto"/>
              <w:right w:val="single" w:sz="8" w:space="0" w:color="auto"/>
            </w:tcBorders>
            <w:shd w:val="clear" w:color="auto" w:fill="auto"/>
            <w:noWrap/>
            <w:vAlign w:val="center"/>
            <w:hideMark/>
          </w:tcPr>
          <w:p w:rsidR="00B43A2F" w:rsidRPr="00EB2995" w:rsidRDefault="00B43A2F" w:rsidP="00B43A2F">
            <w:pPr>
              <w:jc w:val="right"/>
              <w:rPr>
                <w:rFonts w:cs="Calibri"/>
                <w:color w:val="000000"/>
                <w:sz w:val="18"/>
                <w:szCs w:val="18"/>
                <w:lang w:eastAsia="en-GB"/>
              </w:rPr>
            </w:pPr>
            <w:r w:rsidRPr="00EB2995">
              <w:rPr>
                <w:rFonts w:cs="Calibri"/>
                <w:color w:val="000000"/>
                <w:sz w:val="18"/>
                <w:szCs w:val="18"/>
              </w:rPr>
              <w:t>(42.8)</w:t>
            </w:r>
          </w:p>
        </w:tc>
        <w:tc>
          <w:tcPr>
            <w:tcW w:w="851" w:type="dxa"/>
            <w:gridSpan w:val="2"/>
            <w:tcBorders>
              <w:top w:val="nil"/>
              <w:left w:val="nil"/>
              <w:bottom w:val="single" w:sz="8" w:space="0" w:color="auto"/>
              <w:right w:val="single" w:sz="8" w:space="0" w:color="auto"/>
            </w:tcBorders>
            <w:shd w:val="clear" w:color="auto" w:fill="auto"/>
            <w:noWrap/>
            <w:vAlign w:val="center"/>
            <w:hideMark/>
          </w:tcPr>
          <w:p w:rsidR="00B43A2F" w:rsidRPr="00EB2995" w:rsidRDefault="00B43A2F" w:rsidP="00B43A2F">
            <w:pPr>
              <w:jc w:val="right"/>
              <w:rPr>
                <w:rFonts w:cs="Calibri"/>
                <w:color w:val="000000"/>
                <w:sz w:val="18"/>
                <w:szCs w:val="18"/>
                <w:lang w:eastAsia="en-GB"/>
              </w:rPr>
            </w:pPr>
            <w:r w:rsidRPr="00EB2995">
              <w:rPr>
                <w:rFonts w:cs="Calibri"/>
                <w:color w:val="000000"/>
                <w:sz w:val="18"/>
                <w:szCs w:val="18"/>
              </w:rPr>
              <w:t>0.0</w:t>
            </w:r>
          </w:p>
        </w:tc>
        <w:tc>
          <w:tcPr>
            <w:tcW w:w="850" w:type="dxa"/>
            <w:gridSpan w:val="2"/>
            <w:tcBorders>
              <w:top w:val="nil"/>
              <w:left w:val="nil"/>
              <w:bottom w:val="single" w:sz="8" w:space="0" w:color="auto"/>
              <w:right w:val="single" w:sz="8" w:space="0" w:color="auto"/>
            </w:tcBorders>
            <w:shd w:val="clear" w:color="auto" w:fill="auto"/>
            <w:noWrap/>
            <w:vAlign w:val="center"/>
            <w:hideMark/>
          </w:tcPr>
          <w:p w:rsidR="00B43A2F" w:rsidRPr="00EB2995" w:rsidRDefault="00B43A2F" w:rsidP="00B43A2F">
            <w:pPr>
              <w:jc w:val="right"/>
              <w:rPr>
                <w:rFonts w:cs="Calibri"/>
                <w:i/>
                <w:iCs/>
                <w:color w:val="000000"/>
                <w:sz w:val="18"/>
                <w:szCs w:val="18"/>
                <w:lang w:eastAsia="en-GB"/>
              </w:rPr>
            </w:pPr>
            <w:r w:rsidRPr="00EB2995">
              <w:rPr>
                <w:rFonts w:cs="Calibri"/>
                <w:i/>
                <w:iCs/>
                <w:color w:val="000000"/>
                <w:sz w:val="18"/>
                <w:szCs w:val="18"/>
              </w:rPr>
              <w:t>0.0</w:t>
            </w:r>
          </w:p>
        </w:tc>
      </w:tr>
      <w:tr w:rsidR="00B43A2F" w:rsidRPr="00EB2995" w:rsidTr="00B43A2F">
        <w:trPr>
          <w:gridAfter w:val="1"/>
          <w:wAfter w:w="8" w:type="dxa"/>
          <w:trHeight w:hRule="exact" w:val="397"/>
        </w:trPr>
        <w:tc>
          <w:tcPr>
            <w:tcW w:w="2835" w:type="dxa"/>
            <w:tcBorders>
              <w:top w:val="nil"/>
              <w:left w:val="single" w:sz="8" w:space="0" w:color="auto"/>
              <w:bottom w:val="single" w:sz="8" w:space="0" w:color="auto"/>
              <w:right w:val="single" w:sz="8" w:space="0" w:color="auto"/>
            </w:tcBorders>
            <w:shd w:val="clear" w:color="auto" w:fill="auto"/>
            <w:vAlign w:val="center"/>
            <w:hideMark/>
          </w:tcPr>
          <w:p w:rsidR="00B43A2F" w:rsidRPr="00EB2995" w:rsidRDefault="00B43A2F" w:rsidP="00B43A2F">
            <w:pPr>
              <w:rPr>
                <w:rFonts w:cs="Calibri"/>
                <w:b/>
                <w:bCs/>
                <w:color w:val="000000"/>
                <w:sz w:val="18"/>
                <w:szCs w:val="18"/>
                <w:lang w:eastAsia="en-GB"/>
              </w:rPr>
            </w:pPr>
            <w:r w:rsidRPr="00EB2995">
              <w:rPr>
                <w:rFonts w:cs="Calibri"/>
                <w:b/>
                <w:bCs/>
                <w:color w:val="000000"/>
                <w:sz w:val="18"/>
                <w:szCs w:val="18"/>
                <w:lang w:eastAsia="en-GB"/>
              </w:rPr>
              <w:t>At 31 March 2019</w:t>
            </w:r>
          </w:p>
        </w:tc>
        <w:tc>
          <w:tcPr>
            <w:tcW w:w="992" w:type="dxa"/>
            <w:tcBorders>
              <w:top w:val="nil"/>
              <w:left w:val="nil"/>
              <w:bottom w:val="single" w:sz="8" w:space="0" w:color="auto"/>
              <w:right w:val="nil"/>
            </w:tcBorders>
            <w:shd w:val="clear" w:color="auto" w:fill="auto"/>
            <w:noWrap/>
            <w:vAlign w:val="center"/>
            <w:hideMark/>
          </w:tcPr>
          <w:p w:rsidR="00B43A2F" w:rsidRPr="00EB2995" w:rsidRDefault="00B43A2F" w:rsidP="00B43A2F">
            <w:pPr>
              <w:jc w:val="right"/>
              <w:rPr>
                <w:rFonts w:cs="Calibri"/>
                <w:b/>
                <w:bCs/>
                <w:color w:val="000000"/>
                <w:sz w:val="18"/>
                <w:szCs w:val="18"/>
                <w:lang w:eastAsia="en-GB"/>
              </w:rPr>
            </w:pPr>
            <w:r w:rsidRPr="00EB2995">
              <w:rPr>
                <w:rFonts w:cs="Calibri"/>
                <w:b/>
                <w:bCs/>
                <w:color w:val="000000"/>
                <w:sz w:val="18"/>
                <w:szCs w:val="18"/>
              </w:rPr>
              <w:t>609.3</w:t>
            </w:r>
          </w:p>
        </w:tc>
        <w:tc>
          <w:tcPr>
            <w:tcW w:w="993" w:type="dxa"/>
            <w:gridSpan w:val="2"/>
            <w:tcBorders>
              <w:top w:val="nil"/>
              <w:left w:val="single" w:sz="8" w:space="0" w:color="auto"/>
              <w:bottom w:val="single" w:sz="8" w:space="0" w:color="auto"/>
              <w:right w:val="single" w:sz="8" w:space="0" w:color="auto"/>
            </w:tcBorders>
            <w:shd w:val="clear" w:color="auto" w:fill="auto"/>
            <w:noWrap/>
            <w:vAlign w:val="center"/>
            <w:hideMark/>
          </w:tcPr>
          <w:p w:rsidR="00B43A2F" w:rsidRPr="00EB2995" w:rsidRDefault="00B43A2F" w:rsidP="00B43A2F">
            <w:pPr>
              <w:jc w:val="right"/>
              <w:rPr>
                <w:rFonts w:cs="Calibri"/>
                <w:b/>
                <w:bCs/>
                <w:color w:val="000000"/>
                <w:sz w:val="18"/>
                <w:szCs w:val="18"/>
                <w:lang w:eastAsia="en-GB"/>
              </w:rPr>
            </w:pPr>
            <w:r w:rsidRPr="00EB2995">
              <w:rPr>
                <w:rFonts w:cs="Calibri"/>
                <w:b/>
                <w:bCs/>
                <w:color w:val="000000"/>
                <w:sz w:val="18"/>
                <w:szCs w:val="18"/>
              </w:rPr>
              <w:t>824.4</w:t>
            </w:r>
          </w:p>
        </w:tc>
        <w:tc>
          <w:tcPr>
            <w:tcW w:w="850" w:type="dxa"/>
            <w:gridSpan w:val="2"/>
            <w:tcBorders>
              <w:top w:val="nil"/>
              <w:left w:val="nil"/>
              <w:bottom w:val="single" w:sz="8" w:space="0" w:color="auto"/>
              <w:right w:val="single" w:sz="8" w:space="0" w:color="auto"/>
            </w:tcBorders>
            <w:shd w:val="clear" w:color="auto" w:fill="auto"/>
            <w:noWrap/>
            <w:vAlign w:val="center"/>
            <w:hideMark/>
          </w:tcPr>
          <w:p w:rsidR="00B43A2F" w:rsidRPr="00EB2995" w:rsidRDefault="00B43A2F" w:rsidP="00B43A2F">
            <w:pPr>
              <w:jc w:val="right"/>
              <w:rPr>
                <w:rFonts w:cs="Calibri"/>
                <w:b/>
                <w:bCs/>
                <w:color w:val="000000"/>
                <w:sz w:val="18"/>
                <w:szCs w:val="18"/>
                <w:lang w:eastAsia="en-GB"/>
              </w:rPr>
            </w:pPr>
            <w:r w:rsidRPr="00EB2995">
              <w:rPr>
                <w:rFonts w:cs="Calibri"/>
                <w:b/>
                <w:bCs/>
                <w:color w:val="000000"/>
                <w:sz w:val="18"/>
                <w:szCs w:val="18"/>
              </w:rPr>
              <w:t>54.1</w:t>
            </w:r>
          </w:p>
        </w:tc>
        <w:tc>
          <w:tcPr>
            <w:tcW w:w="1134" w:type="dxa"/>
            <w:gridSpan w:val="2"/>
            <w:tcBorders>
              <w:top w:val="nil"/>
              <w:left w:val="nil"/>
              <w:bottom w:val="single" w:sz="8" w:space="0" w:color="auto"/>
              <w:right w:val="single" w:sz="8" w:space="0" w:color="auto"/>
            </w:tcBorders>
            <w:shd w:val="clear" w:color="auto" w:fill="auto"/>
            <w:noWrap/>
            <w:vAlign w:val="center"/>
            <w:hideMark/>
          </w:tcPr>
          <w:p w:rsidR="00B43A2F" w:rsidRPr="00EB2995" w:rsidRDefault="00B43A2F" w:rsidP="00B43A2F">
            <w:pPr>
              <w:jc w:val="right"/>
              <w:rPr>
                <w:rFonts w:cs="Calibri"/>
                <w:b/>
                <w:bCs/>
                <w:color w:val="000000"/>
                <w:sz w:val="18"/>
                <w:szCs w:val="18"/>
                <w:lang w:eastAsia="en-GB"/>
              </w:rPr>
            </w:pPr>
            <w:r w:rsidRPr="00EB2995">
              <w:rPr>
                <w:rFonts w:cs="Calibri"/>
                <w:b/>
                <w:bCs/>
                <w:color w:val="000000"/>
                <w:sz w:val="18"/>
                <w:szCs w:val="18"/>
              </w:rPr>
              <w:t>273.4</w:t>
            </w:r>
          </w:p>
        </w:tc>
        <w:tc>
          <w:tcPr>
            <w:tcW w:w="851" w:type="dxa"/>
            <w:gridSpan w:val="2"/>
            <w:tcBorders>
              <w:top w:val="nil"/>
              <w:left w:val="nil"/>
              <w:bottom w:val="single" w:sz="8" w:space="0" w:color="auto"/>
              <w:right w:val="single" w:sz="8" w:space="0" w:color="auto"/>
            </w:tcBorders>
            <w:shd w:val="clear" w:color="auto" w:fill="auto"/>
            <w:noWrap/>
            <w:vAlign w:val="center"/>
            <w:hideMark/>
          </w:tcPr>
          <w:p w:rsidR="00B43A2F" w:rsidRPr="00EB2995" w:rsidRDefault="00B43A2F" w:rsidP="00B43A2F">
            <w:pPr>
              <w:jc w:val="right"/>
              <w:rPr>
                <w:rFonts w:cs="Calibri"/>
                <w:b/>
                <w:bCs/>
                <w:color w:val="000000"/>
                <w:sz w:val="18"/>
                <w:szCs w:val="18"/>
                <w:lang w:eastAsia="en-GB"/>
              </w:rPr>
            </w:pPr>
            <w:r w:rsidRPr="00EB2995">
              <w:rPr>
                <w:rFonts w:cs="Calibri"/>
                <w:b/>
                <w:bCs/>
                <w:color w:val="000000"/>
                <w:sz w:val="18"/>
                <w:szCs w:val="18"/>
              </w:rPr>
              <w:t>8.2</w:t>
            </w:r>
          </w:p>
        </w:tc>
        <w:tc>
          <w:tcPr>
            <w:tcW w:w="1275" w:type="dxa"/>
            <w:gridSpan w:val="2"/>
            <w:tcBorders>
              <w:top w:val="nil"/>
              <w:left w:val="nil"/>
              <w:bottom w:val="single" w:sz="8" w:space="0" w:color="auto"/>
              <w:right w:val="single" w:sz="8" w:space="0" w:color="auto"/>
            </w:tcBorders>
            <w:shd w:val="clear" w:color="auto" w:fill="auto"/>
            <w:noWrap/>
            <w:vAlign w:val="center"/>
            <w:hideMark/>
          </w:tcPr>
          <w:p w:rsidR="00B43A2F" w:rsidRPr="00EB2995" w:rsidRDefault="00B43A2F" w:rsidP="00B43A2F">
            <w:pPr>
              <w:jc w:val="right"/>
              <w:rPr>
                <w:rFonts w:cs="Calibri"/>
                <w:b/>
                <w:bCs/>
                <w:color w:val="000000"/>
                <w:sz w:val="18"/>
                <w:szCs w:val="18"/>
                <w:lang w:eastAsia="en-GB"/>
              </w:rPr>
            </w:pPr>
            <w:r w:rsidRPr="00EB2995">
              <w:rPr>
                <w:rFonts w:cs="Calibri"/>
                <w:b/>
                <w:bCs/>
                <w:color w:val="000000"/>
                <w:sz w:val="18"/>
                <w:szCs w:val="18"/>
              </w:rPr>
              <w:t>44.1</w:t>
            </w:r>
          </w:p>
        </w:tc>
        <w:tc>
          <w:tcPr>
            <w:tcW w:w="851" w:type="dxa"/>
            <w:gridSpan w:val="2"/>
            <w:tcBorders>
              <w:top w:val="nil"/>
              <w:left w:val="nil"/>
              <w:bottom w:val="single" w:sz="8" w:space="0" w:color="auto"/>
              <w:right w:val="single" w:sz="8" w:space="0" w:color="auto"/>
            </w:tcBorders>
            <w:shd w:val="clear" w:color="auto" w:fill="auto"/>
            <w:noWrap/>
            <w:vAlign w:val="center"/>
            <w:hideMark/>
          </w:tcPr>
          <w:p w:rsidR="00B43A2F" w:rsidRPr="00EB2995" w:rsidRDefault="00B43A2F" w:rsidP="00B43A2F">
            <w:pPr>
              <w:jc w:val="right"/>
              <w:rPr>
                <w:rFonts w:cs="Calibri"/>
                <w:b/>
                <w:bCs/>
                <w:color w:val="000000"/>
                <w:sz w:val="18"/>
                <w:szCs w:val="18"/>
                <w:lang w:eastAsia="en-GB"/>
              </w:rPr>
            </w:pPr>
            <w:r w:rsidRPr="00EB2995">
              <w:rPr>
                <w:rFonts w:cs="Calibri"/>
                <w:b/>
                <w:bCs/>
                <w:color w:val="000000"/>
                <w:sz w:val="18"/>
                <w:szCs w:val="18"/>
              </w:rPr>
              <w:t>1,813.5</w:t>
            </w:r>
          </w:p>
        </w:tc>
        <w:tc>
          <w:tcPr>
            <w:tcW w:w="850" w:type="dxa"/>
            <w:gridSpan w:val="2"/>
            <w:tcBorders>
              <w:top w:val="nil"/>
              <w:left w:val="nil"/>
              <w:bottom w:val="single" w:sz="8" w:space="0" w:color="auto"/>
              <w:right w:val="single" w:sz="8" w:space="0" w:color="auto"/>
            </w:tcBorders>
            <w:shd w:val="clear" w:color="auto" w:fill="auto"/>
            <w:noWrap/>
            <w:vAlign w:val="center"/>
            <w:hideMark/>
          </w:tcPr>
          <w:p w:rsidR="00B43A2F" w:rsidRPr="00EB2995" w:rsidRDefault="00B43A2F" w:rsidP="00B43A2F">
            <w:pPr>
              <w:jc w:val="right"/>
              <w:rPr>
                <w:rFonts w:cs="Calibri"/>
                <w:b/>
                <w:bCs/>
                <w:i/>
                <w:color w:val="000000"/>
                <w:sz w:val="18"/>
                <w:szCs w:val="18"/>
                <w:lang w:eastAsia="en-GB"/>
              </w:rPr>
            </w:pPr>
            <w:r w:rsidRPr="00EB2995">
              <w:rPr>
                <w:rFonts w:cs="Calibri"/>
                <w:b/>
                <w:bCs/>
                <w:i/>
                <w:color w:val="000000"/>
                <w:sz w:val="18"/>
                <w:szCs w:val="18"/>
              </w:rPr>
              <w:t>128.5</w:t>
            </w:r>
          </w:p>
        </w:tc>
      </w:tr>
      <w:tr w:rsidR="00B43A2F" w:rsidRPr="00EB2995" w:rsidTr="00B43A2F">
        <w:trPr>
          <w:trHeight w:hRule="exact" w:val="397"/>
        </w:trPr>
        <w:tc>
          <w:tcPr>
            <w:tcW w:w="3835" w:type="dxa"/>
            <w:gridSpan w:val="3"/>
            <w:tcBorders>
              <w:top w:val="single" w:sz="8" w:space="0" w:color="auto"/>
              <w:left w:val="nil"/>
              <w:bottom w:val="single" w:sz="8" w:space="0" w:color="auto"/>
              <w:right w:val="nil"/>
            </w:tcBorders>
            <w:shd w:val="clear" w:color="auto" w:fill="auto"/>
            <w:noWrap/>
            <w:vAlign w:val="center"/>
            <w:hideMark/>
          </w:tcPr>
          <w:p w:rsidR="00B43A2F" w:rsidRPr="00EB2995" w:rsidRDefault="00B43A2F" w:rsidP="00B43A2F">
            <w:pPr>
              <w:jc w:val="both"/>
              <w:rPr>
                <w:rFonts w:cs="Calibri"/>
                <w:b/>
                <w:bCs/>
                <w:color w:val="000000"/>
                <w:sz w:val="18"/>
                <w:szCs w:val="18"/>
                <w:lang w:eastAsia="en-GB"/>
              </w:rPr>
            </w:pPr>
            <w:r w:rsidRPr="00EB2995">
              <w:rPr>
                <w:rFonts w:cs="Calibri"/>
                <w:b/>
                <w:bCs/>
                <w:color w:val="000000"/>
                <w:sz w:val="18"/>
                <w:szCs w:val="18"/>
                <w:lang w:eastAsia="en-GB"/>
              </w:rPr>
              <w:t> </w:t>
            </w:r>
            <w:r w:rsidRPr="00EB2995">
              <w:rPr>
                <w:rFonts w:cs="Calibri"/>
                <w:color w:val="000000"/>
                <w:lang w:eastAsia="en-GB"/>
              </w:rPr>
              <w:t xml:space="preserve"> </w:t>
            </w:r>
            <w:r w:rsidRPr="00EB2995">
              <w:rPr>
                <w:rFonts w:cs="Calibri"/>
                <w:b/>
                <w:bCs/>
                <w:color w:val="000000"/>
                <w:sz w:val="18"/>
                <w:szCs w:val="18"/>
                <w:lang w:eastAsia="en-GB"/>
              </w:rPr>
              <w:t>Depreciation and Impairments</w:t>
            </w:r>
          </w:p>
        </w:tc>
        <w:tc>
          <w:tcPr>
            <w:tcW w:w="993" w:type="dxa"/>
            <w:gridSpan w:val="2"/>
            <w:tcBorders>
              <w:top w:val="nil"/>
              <w:left w:val="nil"/>
              <w:bottom w:val="single" w:sz="8" w:space="0" w:color="auto"/>
              <w:right w:val="nil"/>
            </w:tcBorders>
            <w:shd w:val="clear" w:color="auto" w:fill="auto"/>
            <w:noWrap/>
            <w:vAlign w:val="center"/>
            <w:hideMark/>
          </w:tcPr>
          <w:p w:rsidR="00B43A2F" w:rsidRPr="00EB2995" w:rsidRDefault="00B43A2F" w:rsidP="00B43A2F">
            <w:pPr>
              <w:rPr>
                <w:rFonts w:cs="Calibri"/>
                <w:b/>
                <w:bCs/>
                <w:color w:val="000000"/>
                <w:sz w:val="18"/>
                <w:szCs w:val="18"/>
                <w:lang w:eastAsia="en-GB"/>
              </w:rPr>
            </w:pPr>
            <w:r w:rsidRPr="00EB2995">
              <w:rPr>
                <w:rFonts w:cs="Calibri"/>
                <w:b/>
                <w:bCs/>
                <w:color w:val="000000"/>
                <w:sz w:val="18"/>
                <w:szCs w:val="18"/>
                <w:lang w:eastAsia="en-GB"/>
              </w:rPr>
              <w:t> </w:t>
            </w:r>
          </w:p>
        </w:tc>
        <w:tc>
          <w:tcPr>
            <w:tcW w:w="850" w:type="dxa"/>
            <w:gridSpan w:val="2"/>
            <w:tcBorders>
              <w:top w:val="nil"/>
              <w:left w:val="nil"/>
              <w:bottom w:val="single" w:sz="8" w:space="0" w:color="auto"/>
              <w:right w:val="nil"/>
            </w:tcBorders>
            <w:shd w:val="clear" w:color="auto" w:fill="auto"/>
            <w:noWrap/>
            <w:vAlign w:val="center"/>
            <w:hideMark/>
          </w:tcPr>
          <w:p w:rsidR="00B43A2F" w:rsidRPr="00EB2995" w:rsidRDefault="00B43A2F" w:rsidP="00B43A2F">
            <w:pPr>
              <w:rPr>
                <w:rFonts w:cs="Calibri"/>
                <w:b/>
                <w:bCs/>
                <w:color w:val="000000"/>
                <w:sz w:val="18"/>
                <w:szCs w:val="18"/>
                <w:lang w:eastAsia="en-GB"/>
              </w:rPr>
            </w:pPr>
            <w:r w:rsidRPr="00EB2995">
              <w:rPr>
                <w:rFonts w:cs="Calibri"/>
                <w:b/>
                <w:bCs/>
                <w:color w:val="000000"/>
                <w:sz w:val="18"/>
                <w:szCs w:val="18"/>
                <w:lang w:eastAsia="en-GB"/>
              </w:rPr>
              <w:t> </w:t>
            </w:r>
          </w:p>
        </w:tc>
        <w:tc>
          <w:tcPr>
            <w:tcW w:w="1134" w:type="dxa"/>
            <w:gridSpan w:val="2"/>
            <w:tcBorders>
              <w:top w:val="nil"/>
              <w:left w:val="nil"/>
              <w:bottom w:val="single" w:sz="8" w:space="0" w:color="auto"/>
              <w:right w:val="nil"/>
            </w:tcBorders>
            <w:shd w:val="clear" w:color="auto" w:fill="auto"/>
            <w:noWrap/>
            <w:vAlign w:val="center"/>
            <w:hideMark/>
          </w:tcPr>
          <w:p w:rsidR="00B43A2F" w:rsidRPr="00EB2995" w:rsidRDefault="00B43A2F" w:rsidP="00B43A2F">
            <w:pPr>
              <w:rPr>
                <w:rFonts w:cs="Calibri"/>
                <w:b/>
                <w:bCs/>
                <w:color w:val="000000"/>
                <w:sz w:val="18"/>
                <w:szCs w:val="18"/>
                <w:lang w:eastAsia="en-GB"/>
              </w:rPr>
            </w:pPr>
            <w:r w:rsidRPr="00EB2995">
              <w:rPr>
                <w:rFonts w:cs="Calibri"/>
                <w:b/>
                <w:bCs/>
                <w:color w:val="000000"/>
                <w:sz w:val="18"/>
                <w:szCs w:val="18"/>
                <w:lang w:eastAsia="en-GB"/>
              </w:rPr>
              <w:t> </w:t>
            </w:r>
          </w:p>
        </w:tc>
        <w:tc>
          <w:tcPr>
            <w:tcW w:w="851" w:type="dxa"/>
            <w:gridSpan w:val="2"/>
            <w:tcBorders>
              <w:top w:val="nil"/>
              <w:left w:val="nil"/>
              <w:bottom w:val="single" w:sz="8" w:space="0" w:color="auto"/>
              <w:right w:val="nil"/>
            </w:tcBorders>
            <w:shd w:val="clear" w:color="auto" w:fill="auto"/>
            <w:noWrap/>
            <w:vAlign w:val="center"/>
            <w:hideMark/>
          </w:tcPr>
          <w:p w:rsidR="00B43A2F" w:rsidRPr="00EB2995" w:rsidRDefault="00B43A2F" w:rsidP="00B43A2F">
            <w:pPr>
              <w:rPr>
                <w:rFonts w:cs="Calibri"/>
                <w:color w:val="000000"/>
                <w:sz w:val="18"/>
                <w:szCs w:val="18"/>
                <w:lang w:eastAsia="en-GB"/>
              </w:rPr>
            </w:pPr>
            <w:r w:rsidRPr="00EB2995">
              <w:rPr>
                <w:rFonts w:cs="Calibri"/>
                <w:color w:val="000000"/>
                <w:sz w:val="18"/>
                <w:szCs w:val="18"/>
                <w:lang w:eastAsia="en-GB"/>
              </w:rPr>
              <w:t> </w:t>
            </w:r>
          </w:p>
        </w:tc>
        <w:tc>
          <w:tcPr>
            <w:tcW w:w="1275" w:type="dxa"/>
            <w:gridSpan w:val="2"/>
            <w:tcBorders>
              <w:top w:val="nil"/>
              <w:left w:val="nil"/>
              <w:bottom w:val="single" w:sz="8" w:space="0" w:color="auto"/>
              <w:right w:val="nil"/>
            </w:tcBorders>
            <w:shd w:val="clear" w:color="auto" w:fill="auto"/>
            <w:noWrap/>
            <w:vAlign w:val="center"/>
            <w:hideMark/>
          </w:tcPr>
          <w:p w:rsidR="00B43A2F" w:rsidRPr="00EB2995" w:rsidRDefault="00B43A2F" w:rsidP="00B43A2F">
            <w:pPr>
              <w:rPr>
                <w:rFonts w:cs="Calibri"/>
                <w:color w:val="000000"/>
                <w:sz w:val="18"/>
                <w:szCs w:val="18"/>
                <w:lang w:eastAsia="en-GB"/>
              </w:rPr>
            </w:pPr>
            <w:r w:rsidRPr="00EB2995">
              <w:rPr>
                <w:rFonts w:cs="Calibri"/>
                <w:color w:val="000000"/>
                <w:sz w:val="18"/>
                <w:szCs w:val="18"/>
                <w:lang w:eastAsia="en-GB"/>
              </w:rPr>
              <w:t> </w:t>
            </w:r>
          </w:p>
        </w:tc>
        <w:tc>
          <w:tcPr>
            <w:tcW w:w="851" w:type="dxa"/>
            <w:gridSpan w:val="2"/>
            <w:tcBorders>
              <w:top w:val="nil"/>
              <w:left w:val="nil"/>
              <w:bottom w:val="single" w:sz="8" w:space="0" w:color="auto"/>
              <w:right w:val="nil"/>
            </w:tcBorders>
            <w:shd w:val="clear" w:color="auto" w:fill="auto"/>
            <w:noWrap/>
            <w:vAlign w:val="center"/>
            <w:hideMark/>
          </w:tcPr>
          <w:p w:rsidR="00B43A2F" w:rsidRPr="00EB2995" w:rsidRDefault="00B43A2F" w:rsidP="00B43A2F">
            <w:pPr>
              <w:rPr>
                <w:rFonts w:cs="Calibri"/>
                <w:color w:val="000000"/>
                <w:sz w:val="18"/>
                <w:szCs w:val="18"/>
                <w:lang w:eastAsia="en-GB"/>
              </w:rPr>
            </w:pPr>
            <w:r w:rsidRPr="00EB2995">
              <w:rPr>
                <w:rFonts w:cs="Calibri"/>
                <w:color w:val="000000"/>
                <w:sz w:val="18"/>
                <w:szCs w:val="18"/>
                <w:lang w:eastAsia="en-GB"/>
              </w:rPr>
              <w:t> </w:t>
            </w:r>
          </w:p>
        </w:tc>
        <w:tc>
          <w:tcPr>
            <w:tcW w:w="850" w:type="dxa"/>
            <w:gridSpan w:val="2"/>
            <w:tcBorders>
              <w:top w:val="nil"/>
              <w:left w:val="nil"/>
              <w:bottom w:val="single" w:sz="8" w:space="0" w:color="auto"/>
              <w:right w:val="nil"/>
            </w:tcBorders>
            <w:shd w:val="clear" w:color="auto" w:fill="auto"/>
            <w:noWrap/>
            <w:vAlign w:val="center"/>
            <w:hideMark/>
          </w:tcPr>
          <w:p w:rsidR="00B43A2F" w:rsidRPr="00EB2995" w:rsidRDefault="00B43A2F" w:rsidP="00B43A2F">
            <w:pPr>
              <w:rPr>
                <w:rFonts w:cs="Calibri"/>
                <w:i/>
                <w:iCs/>
                <w:color w:val="000000"/>
                <w:sz w:val="18"/>
                <w:szCs w:val="18"/>
                <w:lang w:eastAsia="en-GB"/>
              </w:rPr>
            </w:pPr>
            <w:r w:rsidRPr="00EB2995">
              <w:rPr>
                <w:rFonts w:cs="Calibri"/>
                <w:i/>
                <w:iCs/>
                <w:color w:val="000000"/>
                <w:sz w:val="18"/>
                <w:szCs w:val="18"/>
                <w:lang w:eastAsia="en-GB"/>
              </w:rPr>
              <w:t> </w:t>
            </w:r>
          </w:p>
        </w:tc>
      </w:tr>
      <w:tr w:rsidR="00B43A2F" w:rsidRPr="00EB2995" w:rsidTr="00B43A2F">
        <w:trPr>
          <w:gridAfter w:val="1"/>
          <w:wAfter w:w="8" w:type="dxa"/>
          <w:trHeight w:hRule="exact" w:val="397"/>
        </w:trPr>
        <w:tc>
          <w:tcPr>
            <w:tcW w:w="2835" w:type="dxa"/>
            <w:tcBorders>
              <w:top w:val="nil"/>
              <w:left w:val="single" w:sz="8" w:space="0" w:color="auto"/>
              <w:bottom w:val="single" w:sz="8" w:space="0" w:color="auto"/>
              <w:right w:val="single" w:sz="8" w:space="0" w:color="auto"/>
            </w:tcBorders>
            <w:shd w:val="clear" w:color="auto" w:fill="auto"/>
            <w:vAlign w:val="center"/>
            <w:hideMark/>
          </w:tcPr>
          <w:p w:rsidR="00B43A2F" w:rsidRPr="00EB2995" w:rsidRDefault="00B43A2F" w:rsidP="00B43A2F">
            <w:pPr>
              <w:rPr>
                <w:rFonts w:cs="Calibri"/>
                <w:b/>
                <w:bCs/>
                <w:color w:val="000000"/>
                <w:sz w:val="18"/>
                <w:szCs w:val="18"/>
                <w:lang w:eastAsia="en-GB"/>
              </w:rPr>
            </w:pPr>
            <w:r w:rsidRPr="00EB2995">
              <w:rPr>
                <w:rFonts w:cs="Calibri"/>
                <w:b/>
                <w:bCs/>
                <w:color w:val="000000"/>
                <w:sz w:val="18"/>
                <w:szCs w:val="18"/>
                <w:lang w:eastAsia="en-GB"/>
              </w:rPr>
              <w:t>At 1 April 2018</w:t>
            </w:r>
          </w:p>
        </w:tc>
        <w:tc>
          <w:tcPr>
            <w:tcW w:w="992" w:type="dxa"/>
            <w:tcBorders>
              <w:top w:val="nil"/>
              <w:left w:val="nil"/>
              <w:bottom w:val="single" w:sz="8" w:space="0" w:color="auto"/>
              <w:right w:val="nil"/>
            </w:tcBorders>
            <w:shd w:val="clear" w:color="auto" w:fill="auto"/>
            <w:noWrap/>
            <w:vAlign w:val="center"/>
            <w:hideMark/>
          </w:tcPr>
          <w:p w:rsidR="00B43A2F" w:rsidRPr="00EB2995" w:rsidRDefault="00B43A2F" w:rsidP="00B43A2F">
            <w:pPr>
              <w:jc w:val="right"/>
              <w:rPr>
                <w:rFonts w:cs="Calibri"/>
                <w:b/>
                <w:bCs/>
                <w:color w:val="000000"/>
                <w:sz w:val="18"/>
                <w:szCs w:val="18"/>
                <w:lang w:eastAsia="en-GB"/>
              </w:rPr>
            </w:pPr>
            <w:r w:rsidRPr="00EB2995">
              <w:rPr>
                <w:rFonts w:cs="Calibri"/>
                <w:b/>
                <w:bCs/>
                <w:color w:val="000000"/>
                <w:sz w:val="18"/>
                <w:szCs w:val="18"/>
              </w:rPr>
              <w:t>(26.5)</w:t>
            </w:r>
          </w:p>
        </w:tc>
        <w:tc>
          <w:tcPr>
            <w:tcW w:w="993" w:type="dxa"/>
            <w:gridSpan w:val="2"/>
            <w:tcBorders>
              <w:top w:val="nil"/>
              <w:left w:val="single" w:sz="8" w:space="0" w:color="auto"/>
              <w:bottom w:val="single" w:sz="8" w:space="0" w:color="auto"/>
              <w:right w:val="nil"/>
            </w:tcBorders>
            <w:shd w:val="clear" w:color="auto" w:fill="auto"/>
            <w:noWrap/>
            <w:vAlign w:val="center"/>
            <w:hideMark/>
          </w:tcPr>
          <w:p w:rsidR="00B43A2F" w:rsidRPr="00EB2995" w:rsidRDefault="00B43A2F" w:rsidP="00B43A2F">
            <w:pPr>
              <w:jc w:val="right"/>
              <w:rPr>
                <w:rFonts w:cs="Calibri"/>
                <w:b/>
                <w:bCs/>
                <w:color w:val="000000"/>
                <w:sz w:val="18"/>
                <w:szCs w:val="18"/>
                <w:lang w:eastAsia="en-GB"/>
              </w:rPr>
            </w:pPr>
            <w:r w:rsidRPr="00EB2995">
              <w:rPr>
                <w:rFonts w:cs="Calibri"/>
                <w:b/>
                <w:bCs/>
                <w:color w:val="000000"/>
                <w:sz w:val="18"/>
                <w:szCs w:val="18"/>
              </w:rPr>
              <w:t>(20.0)</w:t>
            </w:r>
          </w:p>
        </w:tc>
        <w:tc>
          <w:tcPr>
            <w:tcW w:w="850" w:type="dxa"/>
            <w:gridSpan w:val="2"/>
            <w:tcBorders>
              <w:top w:val="nil"/>
              <w:left w:val="single" w:sz="8" w:space="0" w:color="auto"/>
              <w:bottom w:val="single" w:sz="8" w:space="0" w:color="auto"/>
              <w:right w:val="nil"/>
            </w:tcBorders>
            <w:shd w:val="clear" w:color="auto" w:fill="auto"/>
            <w:noWrap/>
            <w:vAlign w:val="center"/>
            <w:hideMark/>
          </w:tcPr>
          <w:p w:rsidR="00B43A2F" w:rsidRPr="00EB2995" w:rsidRDefault="00B43A2F" w:rsidP="00B43A2F">
            <w:pPr>
              <w:jc w:val="right"/>
              <w:rPr>
                <w:rFonts w:cs="Calibri"/>
                <w:b/>
                <w:bCs/>
                <w:color w:val="000000"/>
                <w:sz w:val="18"/>
                <w:szCs w:val="18"/>
                <w:lang w:eastAsia="en-GB"/>
              </w:rPr>
            </w:pPr>
            <w:r w:rsidRPr="00EB2995">
              <w:rPr>
                <w:rFonts w:cs="Calibri"/>
                <w:b/>
                <w:bCs/>
                <w:color w:val="000000"/>
                <w:sz w:val="18"/>
                <w:szCs w:val="18"/>
              </w:rPr>
              <w:t>(29.2)</w:t>
            </w:r>
          </w:p>
        </w:tc>
        <w:tc>
          <w:tcPr>
            <w:tcW w:w="1134" w:type="dxa"/>
            <w:gridSpan w:val="2"/>
            <w:tcBorders>
              <w:top w:val="nil"/>
              <w:left w:val="single" w:sz="8" w:space="0" w:color="auto"/>
              <w:bottom w:val="single" w:sz="8" w:space="0" w:color="auto"/>
              <w:right w:val="nil"/>
            </w:tcBorders>
            <w:shd w:val="clear" w:color="auto" w:fill="auto"/>
            <w:noWrap/>
            <w:vAlign w:val="center"/>
            <w:hideMark/>
          </w:tcPr>
          <w:p w:rsidR="00B43A2F" w:rsidRPr="00EB2995" w:rsidRDefault="00B43A2F" w:rsidP="00B43A2F">
            <w:pPr>
              <w:jc w:val="right"/>
              <w:rPr>
                <w:rFonts w:cs="Calibri"/>
                <w:b/>
                <w:bCs/>
                <w:color w:val="000000"/>
                <w:sz w:val="18"/>
                <w:szCs w:val="18"/>
                <w:lang w:eastAsia="en-GB"/>
              </w:rPr>
            </w:pPr>
            <w:r w:rsidRPr="00EB2995">
              <w:rPr>
                <w:rFonts w:cs="Calibri"/>
                <w:b/>
                <w:bCs/>
                <w:color w:val="000000"/>
                <w:sz w:val="18"/>
                <w:szCs w:val="18"/>
              </w:rPr>
              <w:t>(71.1)</w:t>
            </w:r>
          </w:p>
        </w:tc>
        <w:tc>
          <w:tcPr>
            <w:tcW w:w="851" w:type="dxa"/>
            <w:gridSpan w:val="2"/>
            <w:tcBorders>
              <w:top w:val="nil"/>
              <w:left w:val="single" w:sz="8" w:space="0" w:color="auto"/>
              <w:bottom w:val="single" w:sz="8" w:space="0" w:color="auto"/>
              <w:right w:val="nil"/>
            </w:tcBorders>
            <w:shd w:val="clear" w:color="auto" w:fill="auto"/>
            <w:noWrap/>
            <w:vAlign w:val="center"/>
            <w:hideMark/>
          </w:tcPr>
          <w:p w:rsidR="00B43A2F" w:rsidRPr="00EB2995" w:rsidRDefault="00B43A2F" w:rsidP="00B43A2F">
            <w:pPr>
              <w:jc w:val="right"/>
              <w:rPr>
                <w:rFonts w:cs="Calibri"/>
                <w:b/>
                <w:bCs/>
                <w:color w:val="000000"/>
                <w:sz w:val="18"/>
                <w:szCs w:val="18"/>
                <w:lang w:eastAsia="en-GB"/>
              </w:rPr>
            </w:pPr>
            <w:r w:rsidRPr="00EB2995">
              <w:rPr>
                <w:rFonts w:cs="Calibri"/>
                <w:b/>
                <w:bCs/>
                <w:color w:val="000000"/>
                <w:sz w:val="18"/>
                <w:szCs w:val="18"/>
              </w:rPr>
              <w:t>0.0</w:t>
            </w:r>
          </w:p>
        </w:tc>
        <w:tc>
          <w:tcPr>
            <w:tcW w:w="1275" w:type="dxa"/>
            <w:gridSpan w:val="2"/>
            <w:tcBorders>
              <w:top w:val="nil"/>
              <w:left w:val="single" w:sz="8" w:space="0" w:color="auto"/>
              <w:bottom w:val="single" w:sz="8" w:space="0" w:color="auto"/>
              <w:right w:val="nil"/>
            </w:tcBorders>
            <w:shd w:val="clear" w:color="auto" w:fill="auto"/>
            <w:noWrap/>
            <w:vAlign w:val="center"/>
            <w:hideMark/>
          </w:tcPr>
          <w:p w:rsidR="00B43A2F" w:rsidRPr="00EB2995" w:rsidRDefault="00B43A2F" w:rsidP="00B43A2F">
            <w:pPr>
              <w:jc w:val="right"/>
              <w:rPr>
                <w:rFonts w:cs="Calibri"/>
                <w:b/>
                <w:bCs/>
                <w:color w:val="000000"/>
                <w:sz w:val="18"/>
                <w:szCs w:val="18"/>
                <w:lang w:eastAsia="en-GB"/>
              </w:rPr>
            </w:pPr>
            <w:r w:rsidRPr="00EB2995">
              <w:rPr>
                <w:rFonts w:cs="Calibri"/>
                <w:b/>
                <w:bCs/>
                <w:color w:val="000000"/>
                <w:sz w:val="18"/>
                <w:szCs w:val="18"/>
              </w:rPr>
              <w:t>0.0</w:t>
            </w:r>
          </w:p>
        </w:tc>
        <w:tc>
          <w:tcPr>
            <w:tcW w:w="851" w:type="dxa"/>
            <w:gridSpan w:val="2"/>
            <w:tcBorders>
              <w:top w:val="nil"/>
              <w:left w:val="single" w:sz="8" w:space="0" w:color="auto"/>
              <w:bottom w:val="single" w:sz="8" w:space="0" w:color="auto"/>
              <w:right w:val="nil"/>
            </w:tcBorders>
            <w:shd w:val="clear" w:color="auto" w:fill="auto"/>
            <w:noWrap/>
            <w:vAlign w:val="center"/>
            <w:hideMark/>
          </w:tcPr>
          <w:p w:rsidR="00B43A2F" w:rsidRPr="00EB2995" w:rsidRDefault="00B43A2F" w:rsidP="00B43A2F">
            <w:pPr>
              <w:jc w:val="right"/>
              <w:rPr>
                <w:rFonts w:cs="Calibri"/>
                <w:b/>
                <w:bCs/>
                <w:color w:val="000000"/>
                <w:sz w:val="18"/>
                <w:szCs w:val="18"/>
                <w:lang w:eastAsia="en-GB"/>
              </w:rPr>
            </w:pPr>
            <w:r w:rsidRPr="00EB2995">
              <w:rPr>
                <w:rFonts w:cs="Calibri"/>
                <w:b/>
                <w:bCs/>
                <w:color w:val="000000"/>
                <w:sz w:val="18"/>
                <w:szCs w:val="18"/>
              </w:rPr>
              <w:t>(146.8)</w:t>
            </w:r>
          </w:p>
        </w:tc>
        <w:tc>
          <w:tcPr>
            <w:tcW w:w="850" w:type="dxa"/>
            <w:gridSpan w:val="2"/>
            <w:tcBorders>
              <w:top w:val="nil"/>
              <w:left w:val="single" w:sz="8" w:space="0" w:color="auto"/>
              <w:bottom w:val="single" w:sz="8" w:space="0" w:color="auto"/>
              <w:right w:val="single" w:sz="8" w:space="0" w:color="auto"/>
            </w:tcBorders>
            <w:shd w:val="clear" w:color="auto" w:fill="auto"/>
            <w:noWrap/>
            <w:vAlign w:val="center"/>
            <w:hideMark/>
          </w:tcPr>
          <w:p w:rsidR="00B43A2F" w:rsidRPr="00EB2995" w:rsidRDefault="00B43A2F" w:rsidP="00B43A2F">
            <w:pPr>
              <w:jc w:val="right"/>
              <w:rPr>
                <w:rFonts w:cs="Calibri"/>
                <w:b/>
                <w:bCs/>
                <w:color w:val="000000"/>
                <w:sz w:val="18"/>
                <w:szCs w:val="18"/>
                <w:lang w:eastAsia="en-GB"/>
              </w:rPr>
            </w:pPr>
            <w:r w:rsidRPr="00EB2995">
              <w:rPr>
                <w:rFonts w:cs="Calibri"/>
                <w:b/>
                <w:bCs/>
                <w:i/>
                <w:iCs/>
                <w:color w:val="000000"/>
                <w:sz w:val="18"/>
                <w:szCs w:val="18"/>
              </w:rPr>
              <w:t>(11.9)</w:t>
            </w:r>
          </w:p>
        </w:tc>
      </w:tr>
      <w:tr w:rsidR="00B43A2F" w:rsidRPr="00EB2995" w:rsidTr="00B43A2F">
        <w:trPr>
          <w:gridAfter w:val="1"/>
          <w:wAfter w:w="8" w:type="dxa"/>
          <w:trHeight w:hRule="exact" w:val="397"/>
        </w:trPr>
        <w:tc>
          <w:tcPr>
            <w:tcW w:w="2835" w:type="dxa"/>
            <w:tcBorders>
              <w:top w:val="nil"/>
              <w:left w:val="single" w:sz="8" w:space="0" w:color="auto"/>
              <w:bottom w:val="single" w:sz="8" w:space="0" w:color="auto"/>
              <w:right w:val="single" w:sz="8" w:space="0" w:color="auto"/>
            </w:tcBorders>
            <w:shd w:val="clear" w:color="auto" w:fill="auto"/>
            <w:vAlign w:val="center"/>
            <w:hideMark/>
          </w:tcPr>
          <w:p w:rsidR="00B43A2F" w:rsidRPr="00EB2995" w:rsidRDefault="00B43A2F" w:rsidP="00B43A2F">
            <w:pPr>
              <w:rPr>
                <w:rFonts w:cs="Calibri"/>
                <w:color w:val="000000"/>
                <w:sz w:val="18"/>
                <w:szCs w:val="18"/>
                <w:lang w:eastAsia="en-GB"/>
              </w:rPr>
            </w:pPr>
            <w:r w:rsidRPr="00EB2995">
              <w:rPr>
                <w:rFonts w:cs="Calibri"/>
                <w:color w:val="000000"/>
                <w:sz w:val="18"/>
                <w:szCs w:val="18"/>
                <w:lang w:eastAsia="en-GB"/>
              </w:rPr>
              <w:t>Charge for 2018/19</w:t>
            </w:r>
          </w:p>
        </w:tc>
        <w:tc>
          <w:tcPr>
            <w:tcW w:w="992" w:type="dxa"/>
            <w:tcBorders>
              <w:top w:val="nil"/>
              <w:left w:val="nil"/>
              <w:bottom w:val="single" w:sz="8" w:space="0" w:color="auto"/>
              <w:right w:val="nil"/>
            </w:tcBorders>
            <w:shd w:val="clear" w:color="auto" w:fill="auto"/>
            <w:noWrap/>
            <w:vAlign w:val="center"/>
            <w:hideMark/>
          </w:tcPr>
          <w:p w:rsidR="00B43A2F" w:rsidRPr="00EB2995" w:rsidRDefault="00B43A2F" w:rsidP="00B43A2F">
            <w:pPr>
              <w:jc w:val="right"/>
              <w:rPr>
                <w:rFonts w:cs="Calibri"/>
                <w:color w:val="000000"/>
                <w:sz w:val="18"/>
                <w:szCs w:val="18"/>
                <w:lang w:eastAsia="en-GB"/>
              </w:rPr>
            </w:pPr>
            <w:r w:rsidRPr="00EB2995">
              <w:rPr>
                <w:rFonts w:cs="Calibri"/>
                <w:color w:val="000000"/>
                <w:sz w:val="18"/>
                <w:szCs w:val="18"/>
              </w:rPr>
              <w:t>(7.1)</w:t>
            </w:r>
          </w:p>
        </w:tc>
        <w:tc>
          <w:tcPr>
            <w:tcW w:w="993" w:type="dxa"/>
            <w:gridSpan w:val="2"/>
            <w:tcBorders>
              <w:top w:val="nil"/>
              <w:left w:val="single" w:sz="8" w:space="0" w:color="auto"/>
              <w:bottom w:val="single" w:sz="8" w:space="0" w:color="auto"/>
              <w:right w:val="single" w:sz="8" w:space="0" w:color="auto"/>
            </w:tcBorders>
            <w:shd w:val="clear" w:color="auto" w:fill="auto"/>
            <w:noWrap/>
            <w:vAlign w:val="center"/>
            <w:hideMark/>
          </w:tcPr>
          <w:p w:rsidR="00B43A2F" w:rsidRPr="00EB2995" w:rsidRDefault="00B43A2F" w:rsidP="00B43A2F">
            <w:pPr>
              <w:jc w:val="right"/>
              <w:rPr>
                <w:rFonts w:cs="Calibri"/>
                <w:color w:val="000000"/>
                <w:sz w:val="18"/>
                <w:szCs w:val="18"/>
                <w:lang w:eastAsia="en-GB"/>
              </w:rPr>
            </w:pPr>
            <w:r w:rsidRPr="00EB2995">
              <w:rPr>
                <w:rFonts w:cs="Calibri"/>
                <w:color w:val="000000"/>
                <w:sz w:val="18"/>
                <w:szCs w:val="18"/>
              </w:rPr>
              <w:t>(12.8)</w:t>
            </w:r>
          </w:p>
        </w:tc>
        <w:tc>
          <w:tcPr>
            <w:tcW w:w="850" w:type="dxa"/>
            <w:gridSpan w:val="2"/>
            <w:tcBorders>
              <w:top w:val="nil"/>
              <w:left w:val="nil"/>
              <w:bottom w:val="single" w:sz="8" w:space="0" w:color="auto"/>
              <w:right w:val="single" w:sz="8" w:space="0" w:color="auto"/>
            </w:tcBorders>
            <w:shd w:val="clear" w:color="auto" w:fill="auto"/>
            <w:noWrap/>
            <w:vAlign w:val="center"/>
            <w:hideMark/>
          </w:tcPr>
          <w:p w:rsidR="00B43A2F" w:rsidRPr="00EB2995" w:rsidRDefault="00B43A2F" w:rsidP="00B43A2F">
            <w:pPr>
              <w:jc w:val="right"/>
              <w:rPr>
                <w:rFonts w:cs="Calibri"/>
                <w:color w:val="000000"/>
                <w:sz w:val="18"/>
                <w:szCs w:val="18"/>
                <w:lang w:eastAsia="en-GB"/>
              </w:rPr>
            </w:pPr>
            <w:r w:rsidRPr="00EB2995">
              <w:rPr>
                <w:rFonts w:cs="Calibri"/>
                <w:color w:val="000000"/>
                <w:sz w:val="18"/>
                <w:szCs w:val="18"/>
              </w:rPr>
              <w:t>(4.5)</w:t>
            </w:r>
          </w:p>
        </w:tc>
        <w:tc>
          <w:tcPr>
            <w:tcW w:w="1134" w:type="dxa"/>
            <w:gridSpan w:val="2"/>
            <w:tcBorders>
              <w:top w:val="nil"/>
              <w:left w:val="nil"/>
              <w:bottom w:val="single" w:sz="8" w:space="0" w:color="auto"/>
              <w:right w:val="single" w:sz="8" w:space="0" w:color="auto"/>
            </w:tcBorders>
            <w:shd w:val="clear" w:color="auto" w:fill="auto"/>
            <w:noWrap/>
            <w:vAlign w:val="center"/>
            <w:hideMark/>
          </w:tcPr>
          <w:p w:rsidR="00B43A2F" w:rsidRPr="00EB2995" w:rsidRDefault="00B43A2F" w:rsidP="00B43A2F">
            <w:pPr>
              <w:jc w:val="right"/>
              <w:rPr>
                <w:rFonts w:cs="Calibri"/>
                <w:color w:val="000000"/>
                <w:sz w:val="18"/>
                <w:szCs w:val="18"/>
                <w:lang w:eastAsia="en-GB"/>
              </w:rPr>
            </w:pPr>
            <w:r w:rsidRPr="00EB2995">
              <w:rPr>
                <w:rFonts w:cs="Calibri"/>
                <w:color w:val="000000"/>
                <w:sz w:val="18"/>
                <w:szCs w:val="18"/>
              </w:rPr>
              <w:t>(6.8)</w:t>
            </w:r>
          </w:p>
        </w:tc>
        <w:tc>
          <w:tcPr>
            <w:tcW w:w="851" w:type="dxa"/>
            <w:gridSpan w:val="2"/>
            <w:tcBorders>
              <w:top w:val="nil"/>
              <w:left w:val="nil"/>
              <w:bottom w:val="single" w:sz="8" w:space="0" w:color="auto"/>
              <w:right w:val="single" w:sz="8" w:space="0" w:color="auto"/>
            </w:tcBorders>
            <w:shd w:val="clear" w:color="auto" w:fill="auto"/>
            <w:noWrap/>
            <w:vAlign w:val="center"/>
            <w:hideMark/>
          </w:tcPr>
          <w:p w:rsidR="00B43A2F" w:rsidRPr="00EB2995" w:rsidRDefault="00B43A2F" w:rsidP="00B43A2F">
            <w:pPr>
              <w:jc w:val="right"/>
              <w:rPr>
                <w:rFonts w:cs="Calibri"/>
                <w:color w:val="000000"/>
                <w:sz w:val="18"/>
                <w:szCs w:val="18"/>
                <w:lang w:eastAsia="en-GB"/>
              </w:rPr>
            </w:pPr>
            <w:r w:rsidRPr="00EB2995">
              <w:rPr>
                <w:rFonts w:cs="Calibri"/>
                <w:color w:val="000000"/>
                <w:sz w:val="18"/>
                <w:szCs w:val="18"/>
              </w:rPr>
              <w:t>0.0</w:t>
            </w:r>
          </w:p>
        </w:tc>
        <w:tc>
          <w:tcPr>
            <w:tcW w:w="1275" w:type="dxa"/>
            <w:gridSpan w:val="2"/>
            <w:tcBorders>
              <w:top w:val="nil"/>
              <w:left w:val="nil"/>
              <w:bottom w:val="single" w:sz="8" w:space="0" w:color="auto"/>
              <w:right w:val="single" w:sz="8" w:space="0" w:color="auto"/>
            </w:tcBorders>
            <w:shd w:val="clear" w:color="auto" w:fill="auto"/>
            <w:noWrap/>
            <w:vAlign w:val="center"/>
            <w:hideMark/>
          </w:tcPr>
          <w:p w:rsidR="00B43A2F" w:rsidRPr="00EB2995" w:rsidRDefault="00B43A2F" w:rsidP="00B43A2F">
            <w:pPr>
              <w:jc w:val="right"/>
              <w:rPr>
                <w:rFonts w:cs="Calibri"/>
                <w:color w:val="000000"/>
                <w:sz w:val="18"/>
                <w:szCs w:val="18"/>
                <w:lang w:eastAsia="en-GB"/>
              </w:rPr>
            </w:pPr>
            <w:r w:rsidRPr="00EB2995">
              <w:rPr>
                <w:rFonts w:cs="Calibri"/>
                <w:color w:val="000000"/>
                <w:sz w:val="18"/>
                <w:szCs w:val="18"/>
              </w:rPr>
              <w:t>0.0</w:t>
            </w:r>
          </w:p>
        </w:tc>
        <w:tc>
          <w:tcPr>
            <w:tcW w:w="851" w:type="dxa"/>
            <w:gridSpan w:val="2"/>
            <w:tcBorders>
              <w:top w:val="nil"/>
              <w:left w:val="nil"/>
              <w:bottom w:val="single" w:sz="8" w:space="0" w:color="auto"/>
              <w:right w:val="single" w:sz="8" w:space="0" w:color="auto"/>
            </w:tcBorders>
            <w:shd w:val="clear" w:color="auto" w:fill="auto"/>
            <w:noWrap/>
            <w:vAlign w:val="center"/>
            <w:hideMark/>
          </w:tcPr>
          <w:p w:rsidR="00B43A2F" w:rsidRPr="00EB2995" w:rsidRDefault="00B43A2F" w:rsidP="00B43A2F">
            <w:pPr>
              <w:jc w:val="right"/>
              <w:rPr>
                <w:rFonts w:cs="Calibri"/>
                <w:color w:val="000000"/>
                <w:sz w:val="18"/>
                <w:szCs w:val="18"/>
                <w:lang w:eastAsia="en-GB"/>
              </w:rPr>
            </w:pPr>
            <w:r w:rsidRPr="00EB2995">
              <w:rPr>
                <w:rFonts w:cs="Calibri"/>
                <w:color w:val="000000"/>
                <w:sz w:val="18"/>
                <w:szCs w:val="18"/>
              </w:rPr>
              <w:t>(31.2)</w:t>
            </w:r>
          </w:p>
        </w:tc>
        <w:tc>
          <w:tcPr>
            <w:tcW w:w="850" w:type="dxa"/>
            <w:gridSpan w:val="2"/>
            <w:tcBorders>
              <w:top w:val="nil"/>
              <w:left w:val="nil"/>
              <w:bottom w:val="single" w:sz="8" w:space="0" w:color="auto"/>
              <w:right w:val="single" w:sz="8" w:space="0" w:color="auto"/>
            </w:tcBorders>
            <w:shd w:val="clear" w:color="auto" w:fill="auto"/>
            <w:noWrap/>
            <w:vAlign w:val="center"/>
            <w:hideMark/>
          </w:tcPr>
          <w:p w:rsidR="00B43A2F" w:rsidRPr="00EB2995" w:rsidRDefault="00B43A2F" w:rsidP="00B43A2F">
            <w:pPr>
              <w:jc w:val="right"/>
              <w:rPr>
                <w:rFonts w:cs="Calibri"/>
                <w:i/>
                <w:iCs/>
                <w:color w:val="000000"/>
                <w:sz w:val="18"/>
                <w:szCs w:val="18"/>
                <w:lang w:eastAsia="en-GB"/>
              </w:rPr>
            </w:pPr>
            <w:r w:rsidRPr="00EB2995">
              <w:rPr>
                <w:rFonts w:cs="Calibri"/>
                <w:i/>
                <w:iCs/>
                <w:color w:val="000000"/>
                <w:sz w:val="18"/>
                <w:szCs w:val="18"/>
              </w:rPr>
              <w:t>(2.5)</w:t>
            </w:r>
          </w:p>
        </w:tc>
      </w:tr>
      <w:tr w:rsidR="00B43A2F" w:rsidRPr="00EB2995" w:rsidTr="00B43A2F">
        <w:trPr>
          <w:gridAfter w:val="1"/>
          <w:wAfter w:w="8" w:type="dxa"/>
          <w:trHeight w:hRule="exact" w:val="397"/>
        </w:trPr>
        <w:tc>
          <w:tcPr>
            <w:tcW w:w="2835" w:type="dxa"/>
            <w:tcBorders>
              <w:top w:val="nil"/>
              <w:left w:val="single" w:sz="8" w:space="0" w:color="auto"/>
              <w:bottom w:val="single" w:sz="8" w:space="0" w:color="auto"/>
              <w:right w:val="single" w:sz="8" w:space="0" w:color="auto"/>
            </w:tcBorders>
            <w:shd w:val="clear" w:color="auto" w:fill="auto"/>
            <w:vAlign w:val="center"/>
            <w:hideMark/>
          </w:tcPr>
          <w:p w:rsidR="00B43A2F" w:rsidRPr="00EB2995" w:rsidRDefault="00B43A2F" w:rsidP="00B43A2F">
            <w:pPr>
              <w:rPr>
                <w:rFonts w:cs="Calibri"/>
                <w:color w:val="000000"/>
                <w:sz w:val="18"/>
                <w:szCs w:val="18"/>
                <w:lang w:eastAsia="en-GB"/>
              </w:rPr>
            </w:pPr>
            <w:r w:rsidRPr="00EB2995">
              <w:rPr>
                <w:rFonts w:cs="Calibri"/>
                <w:color w:val="000000"/>
                <w:sz w:val="18"/>
                <w:szCs w:val="18"/>
                <w:lang w:eastAsia="en-GB"/>
              </w:rPr>
              <w:t>Depreciation written out</w:t>
            </w:r>
          </w:p>
        </w:tc>
        <w:tc>
          <w:tcPr>
            <w:tcW w:w="992" w:type="dxa"/>
            <w:tcBorders>
              <w:top w:val="nil"/>
              <w:left w:val="nil"/>
              <w:bottom w:val="single" w:sz="8" w:space="0" w:color="auto"/>
              <w:right w:val="nil"/>
            </w:tcBorders>
            <w:shd w:val="clear" w:color="auto" w:fill="auto"/>
            <w:noWrap/>
            <w:vAlign w:val="center"/>
            <w:hideMark/>
          </w:tcPr>
          <w:p w:rsidR="00B43A2F" w:rsidRPr="00EB2995" w:rsidRDefault="00B43A2F" w:rsidP="00B43A2F">
            <w:pPr>
              <w:jc w:val="right"/>
              <w:rPr>
                <w:rFonts w:cs="Calibri"/>
                <w:color w:val="000000"/>
                <w:sz w:val="18"/>
                <w:szCs w:val="18"/>
                <w:lang w:eastAsia="en-GB"/>
              </w:rPr>
            </w:pPr>
            <w:r w:rsidRPr="00EB2995">
              <w:rPr>
                <w:rFonts w:cs="Calibri"/>
                <w:color w:val="000000"/>
                <w:sz w:val="18"/>
                <w:szCs w:val="18"/>
              </w:rPr>
              <w:t>25.4</w:t>
            </w:r>
          </w:p>
        </w:tc>
        <w:tc>
          <w:tcPr>
            <w:tcW w:w="993" w:type="dxa"/>
            <w:gridSpan w:val="2"/>
            <w:tcBorders>
              <w:top w:val="nil"/>
              <w:left w:val="single" w:sz="8" w:space="0" w:color="auto"/>
              <w:bottom w:val="single" w:sz="8" w:space="0" w:color="auto"/>
              <w:right w:val="single" w:sz="8" w:space="0" w:color="auto"/>
            </w:tcBorders>
            <w:shd w:val="clear" w:color="auto" w:fill="auto"/>
            <w:noWrap/>
            <w:vAlign w:val="center"/>
            <w:hideMark/>
          </w:tcPr>
          <w:p w:rsidR="00B43A2F" w:rsidRPr="00EB2995" w:rsidRDefault="00B43A2F" w:rsidP="00B43A2F">
            <w:pPr>
              <w:jc w:val="right"/>
              <w:rPr>
                <w:rFonts w:cs="Calibri"/>
                <w:color w:val="000000"/>
                <w:sz w:val="18"/>
                <w:szCs w:val="18"/>
                <w:lang w:eastAsia="en-GB"/>
              </w:rPr>
            </w:pPr>
            <w:r w:rsidRPr="00EB2995">
              <w:rPr>
                <w:rFonts w:cs="Calibri"/>
                <w:color w:val="000000"/>
                <w:sz w:val="18"/>
                <w:szCs w:val="18"/>
              </w:rPr>
              <w:t>7.1</w:t>
            </w:r>
          </w:p>
        </w:tc>
        <w:tc>
          <w:tcPr>
            <w:tcW w:w="850" w:type="dxa"/>
            <w:gridSpan w:val="2"/>
            <w:tcBorders>
              <w:top w:val="nil"/>
              <w:left w:val="nil"/>
              <w:bottom w:val="single" w:sz="8" w:space="0" w:color="auto"/>
              <w:right w:val="single" w:sz="8" w:space="0" w:color="auto"/>
            </w:tcBorders>
            <w:shd w:val="clear" w:color="auto" w:fill="auto"/>
            <w:noWrap/>
            <w:vAlign w:val="center"/>
            <w:hideMark/>
          </w:tcPr>
          <w:p w:rsidR="00B43A2F" w:rsidRPr="00EB2995" w:rsidRDefault="00B43A2F" w:rsidP="00B43A2F">
            <w:pPr>
              <w:jc w:val="right"/>
              <w:rPr>
                <w:rFonts w:cs="Calibri"/>
                <w:color w:val="000000"/>
                <w:sz w:val="18"/>
                <w:szCs w:val="18"/>
                <w:lang w:eastAsia="en-GB"/>
              </w:rPr>
            </w:pPr>
            <w:r w:rsidRPr="00EB2995">
              <w:rPr>
                <w:rFonts w:cs="Calibri"/>
                <w:color w:val="000000"/>
                <w:sz w:val="18"/>
                <w:szCs w:val="18"/>
              </w:rPr>
              <w:t>0.0</w:t>
            </w:r>
          </w:p>
        </w:tc>
        <w:tc>
          <w:tcPr>
            <w:tcW w:w="1134" w:type="dxa"/>
            <w:gridSpan w:val="2"/>
            <w:tcBorders>
              <w:top w:val="nil"/>
              <w:left w:val="nil"/>
              <w:bottom w:val="single" w:sz="8" w:space="0" w:color="auto"/>
              <w:right w:val="single" w:sz="8" w:space="0" w:color="auto"/>
            </w:tcBorders>
            <w:shd w:val="clear" w:color="auto" w:fill="auto"/>
            <w:noWrap/>
            <w:vAlign w:val="center"/>
            <w:hideMark/>
          </w:tcPr>
          <w:p w:rsidR="00B43A2F" w:rsidRPr="00EB2995" w:rsidRDefault="00B43A2F" w:rsidP="00B43A2F">
            <w:pPr>
              <w:jc w:val="right"/>
              <w:rPr>
                <w:rFonts w:cs="Calibri"/>
                <w:color w:val="000000"/>
                <w:sz w:val="18"/>
                <w:szCs w:val="18"/>
                <w:lang w:eastAsia="en-GB"/>
              </w:rPr>
            </w:pPr>
            <w:r w:rsidRPr="00EB2995">
              <w:rPr>
                <w:rFonts w:cs="Calibri"/>
                <w:color w:val="000000"/>
                <w:sz w:val="18"/>
                <w:szCs w:val="18"/>
              </w:rPr>
              <w:t>0.0</w:t>
            </w:r>
          </w:p>
        </w:tc>
        <w:tc>
          <w:tcPr>
            <w:tcW w:w="851" w:type="dxa"/>
            <w:gridSpan w:val="2"/>
            <w:tcBorders>
              <w:top w:val="nil"/>
              <w:left w:val="nil"/>
              <w:bottom w:val="single" w:sz="8" w:space="0" w:color="auto"/>
              <w:right w:val="single" w:sz="8" w:space="0" w:color="auto"/>
            </w:tcBorders>
            <w:shd w:val="clear" w:color="auto" w:fill="auto"/>
            <w:noWrap/>
            <w:vAlign w:val="center"/>
            <w:hideMark/>
          </w:tcPr>
          <w:p w:rsidR="00B43A2F" w:rsidRPr="00EB2995" w:rsidRDefault="00B43A2F" w:rsidP="00B43A2F">
            <w:pPr>
              <w:jc w:val="right"/>
              <w:rPr>
                <w:rFonts w:cs="Calibri"/>
                <w:color w:val="000000"/>
                <w:sz w:val="18"/>
                <w:szCs w:val="18"/>
                <w:lang w:eastAsia="en-GB"/>
              </w:rPr>
            </w:pPr>
            <w:r w:rsidRPr="00EB2995">
              <w:rPr>
                <w:rFonts w:cs="Calibri"/>
                <w:color w:val="000000"/>
                <w:sz w:val="18"/>
                <w:szCs w:val="18"/>
              </w:rPr>
              <w:t>0.0</w:t>
            </w:r>
          </w:p>
        </w:tc>
        <w:tc>
          <w:tcPr>
            <w:tcW w:w="1275" w:type="dxa"/>
            <w:gridSpan w:val="2"/>
            <w:tcBorders>
              <w:top w:val="nil"/>
              <w:left w:val="nil"/>
              <w:bottom w:val="single" w:sz="8" w:space="0" w:color="auto"/>
              <w:right w:val="single" w:sz="8" w:space="0" w:color="auto"/>
            </w:tcBorders>
            <w:shd w:val="clear" w:color="auto" w:fill="auto"/>
            <w:noWrap/>
            <w:vAlign w:val="center"/>
            <w:hideMark/>
          </w:tcPr>
          <w:p w:rsidR="00B43A2F" w:rsidRPr="00EB2995" w:rsidRDefault="00B43A2F" w:rsidP="00B43A2F">
            <w:pPr>
              <w:jc w:val="right"/>
              <w:rPr>
                <w:rFonts w:cs="Calibri"/>
                <w:color w:val="000000"/>
                <w:sz w:val="18"/>
                <w:szCs w:val="18"/>
                <w:lang w:eastAsia="en-GB"/>
              </w:rPr>
            </w:pPr>
            <w:r w:rsidRPr="00EB2995">
              <w:rPr>
                <w:rFonts w:cs="Calibri"/>
                <w:color w:val="000000"/>
                <w:sz w:val="18"/>
                <w:szCs w:val="18"/>
              </w:rPr>
              <w:t>0.0</w:t>
            </w:r>
          </w:p>
        </w:tc>
        <w:tc>
          <w:tcPr>
            <w:tcW w:w="851" w:type="dxa"/>
            <w:gridSpan w:val="2"/>
            <w:tcBorders>
              <w:top w:val="nil"/>
              <w:left w:val="nil"/>
              <w:bottom w:val="single" w:sz="8" w:space="0" w:color="auto"/>
              <w:right w:val="single" w:sz="8" w:space="0" w:color="auto"/>
            </w:tcBorders>
            <w:shd w:val="clear" w:color="auto" w:fill="auto"/>
            <w:noWrap/>
            <w:vAlign w:val="center"/>
            <w:hideMark/>
          </w:tcPr>
          <w:p w:rsidR="00B43A2F" w:rsidRPr="00EB2995" w:rsidRDefault="00B43A2F" w:rsidP="00B43A2F">
            <w:pPr>
              <w:jc w:val="right"/>
              <w:rPr>
                <w:rFonts w:cs="Calibri"/>
                <w:color w:val="000000"/>
                <w:sz w:val="18"/>
                <w:szCs w:val="18"/>
                <w:lang w:eastAsia="en-GB"/>
              </w:rPr>
            </w:pPr>
            <w:r w:rsidRPr="00EB2995">
              <w:rPr>
                <w:rFonts w:cs="Calibri"/>
                <w:color w:val="000000"/>
                <w:sz w:val="18"/>
                <w:szCs w:val="18"/>
              </w:rPr>
              <w:t>32.5</w:t>
            </w:r>
          </w:p>
        </w:tc>
        <w:tc>
          <w:tcPr>
            <w:tcW w:w="850" w:type="dxa"/>
            <w:gridSpan w:val="2"/>
            <w:tcBorders>
              <w:top w:val="nil"/>
              <w:left w:val="nil"/>
              <w:bottom w:val="single" w:sz="8" w:space="0" w:color="auto"/>
              <w:right w:val="single" w:sz="8" w:space="0" w:color="auto"/>
            </w:tcBorders>
            <w:shd w:val="clear" w:color="auto" w:fill="auto"/>
            <w:noWrap/>
            <w:vAlign w:val="center"/>
            <w:hideMark/>
          </w:tcPr>
          <w:p w:rsidR="00B43A2F" w:rsidRPr="00EB2995" w:rsidRDefault="00B43A2F" w:rsidP="00B43A2F">
            <w:pPr>
              <w:jc w:val="right"/>
              <w:rPr>
                <w:rFonts w:cs="Calibri"/>
                <w:i/>
                <w:iCs/>
                <w:color w:val="000000"/>
                <w:sz w:val="18"/>
                <w:szCs w:val="18"/>
                <w:lang w:eastAsia="en-GB"/>
              </w:rPr>
            </w:pPr>
            <w:r w:rsidRPr="00EB2995">
              <w:rPr>
                <w:rFonts w:cs="Calibri"/>
                <w:i/>
                <w:iCs/>
                <w:color w:val="000000"/>
                <w:sz w:val="18"/>
                <w:szCs w:val="18"/>
              </w:rPr>
              <w:t>0.3</w:t>
            </w:r>
          </w:p>
        </w:tc>
      </w:tr>
      <w:tr w:rsidR="00B43A2F" w:rsidRPr="00EB2995" w:rsidTr="00B43A2F">
        <w:trPr>
          <w:gridAfter w:val="1"/>
          <w:wAfter w:w="8" w:type="dxa"/>
          <w:trHeight w:hRule="exact" w:val="672"/>
        </w:trPr>
        <w:tc>
          <w:tcPr>
            <w:tcW w:w="2835" w:type="dxa"/>
            <w:tcBorders>
              <w:top w:val="nil"/>
              <w:left w:val="single" w:sz="8" w:space="0" w:color="auto"/>
              <w:bottom w:val="single" w:sz="8" w:space="0" w:color="auto"/>
              <w:right w:val="single" w:sz="8" w:space="0" w:color="auto"/>
            </w:tcBorders>
            <w:shd w:val="clear" w:color="auto" w:fill="auto"/>
            <w:vAlign w:val="center"/>
            <w:hideMark/>
          </w:tcPr>
          <w:p w:rsidR="00B43A2F" w:rsidRPr="00EB2995" w:rsidRDefault="00B43A2F" w:rsidP="00B43A2F">
            <w:pPr>
              <w:rPr>
                <w:rFonts w:cs="Calibri"/>
                <w:color w:val="000000"/>
                <w:sz w:val="18"/>
                <w:szCs w:val="18"/>
                <w:lang w:eastAsia="en-GB"/>
              </w:rPr>
            </w:pPr>
            <w:r w:rsidRPr="00EB2995">
              <w:rPr>
                <w:rFonts w:cs="Calibri"/>
                <w:color w:val="000000"/>
                <w:sz w:val="18"/>
                <w:szCs w:val="18"/>
                <w:lang w:eastAsia="en-GB"/>
              </w:rPr>
              <w:t>Impairment losses (reversals) recognised in the Revaluation Reserve</w:t>
            </w:r>
          </w:p>
        </w:tc>
        <w:tc>
          <w:tcPr>
            <w:tcW w:w="992" w:type="dxa"/>
            <w:tcBorders>
              <w:top w:val="nil"/>
              <w:left w:val="nil"/>
              <w:bottom w:val="single" w:sz="8" w:space="0" w:color="auto"/>
              <w:right w:val="nil"/>
            </w:tcBorders>
            <w:shd w:val="clear" w:color="auto" w:fill="auto"/>
            <w:noWrap/>
            <w:vAlign w:val="center"/>
            <w:hideMark/>
          </w:tcPr>
          <w:p w:rsidR="00B43A2F" w:rsidRPr="00EB2995" w:rsidRDefault="00B43A2F" w:rsidP="00B43A2F">
            <w:pPr>
              <w:jc w:val="right"/>
              <w:rPr>
                <w:rFonts w:cs="Calibri"/>
                <w:color w:val="000000"/>
                <w:sz w:val="18"/>
                <w:szCs w:val="18"/>
                <w:lang w:eastAsia="en-GB"/>
              </w:rPr>
            </w:pPr>
            <w:r w:rsidRPr="00EB2995">
              <w:rPr>
                <w:rFonts w:cs="Calibri"/>
                <w:color w:val="000000"/>
                <w:sz w:val="18"/>
                <w:szCs w:val="18"/>
              </w:rPr>
              <w:t>0.0</w:t>
            </w:r>
          </w:p>
        </w:tc>
        <w:tc>
          <w:tcPr>
            <w:tcW w:w="993" w:type="dxa"/>
            <w:gridSpan w:val="2"/>
            <w:tcBorders>
              <w:top w:val="nil"/>
              <w:left w:val="single" w:sz="8" w:space="0" w:color="auto"/>
              <w:bottom w:val="single" w:sz="8" w:space="0" w:color="auto"/>
              <w:right w:val="single" w:sz="8" w:space="0" w:color="auto"/>
            </w:tcBorders>
            <w:shd w:val="clear" w:color="auto" w:fill="auto"/>
            <w:noWrap/>
            <w:vAlign w:val="center"/>
            <w:hideMark/>
          </w:tcPr>
          <w:p w:rsidR="00B43A2F" w:rsidRPr="00EB2995" w:rsidRDefault="00B43A2F" w:rsidP="00B43A2F">
            <w:pPr>
              <w:jc w:val="right"/>
              <w:rPr>
                <w:rFonts w:cs="Calibri"/>
                <w:color w:val="000000"/>
                <w:sz w:val="18"/>
                <w:szCs w:val="18"/>
                <w:lang w:eastAsia="en-GB"/>
              </w:rPr>
            </w:pPr>
            <w:r w:rsidRPr="00EB2995">
              <w:rPr>
                <w:rFonts w:cs="Calibri"/>
                <w:color w:val="000000"/>
                <w:sz w:val="18"/>
                <w:szCs w:val="18"/>
              </w:rPr>
              <w:t>0.0</w:t>
            </w:r>
          </w:p>
        </w:tc>
        <w:tc>
          <w:tcPr>
            <w:tcW w:w="850" w:type="dxa"/>
            <w:gridSpan w:val="2"/>
            <w:tcBorders>
              <w:top w:val="nil"/>
              <w:left w:val="nil"/>
              <w:bottom w:val="single" w:sz="8" w:space="0" w:color="auto"/>
              <w:right w:val="single" w:sz="8" w:space="0" w:color="auto"/>
            </w:tcBorders>
            <w:shd w:val="clear" w:color="auto" w:fill="auto"/>
            <w:noWrap/>
            <w:vAlign w:val="center"/>
            <w:hideMark/>
          </w:tcPr>
          <w:p w:rsidR="00B43A2F" w:rsidRPr="00EB2995" w:rsidRDefault="00B43A2F" w:rsidP="00B43A2F">
            <w:pPr>
              <w:jc w:val="right"/>
              <w:rPr>
                <w:rFonts w:cs="Calibri"/>
                <w:color w:val="000000"/>
                <w:sz w:val="18"/>
                <w:szCs w:val="18"/>
                <w:lang w:eastAsia="en-GB"/>
              </w:rPr>
            </w:pPr>
            <w:r w:rsidRPr="00EB2995">
              <w:rPr>
                <w:rFonts w:cs="Calibri"/>
                <w:color w:val="000000"/>
                <w:sz w:val="18"/>
                <w:szCs w:val="18"/>
              </w:rPr>
              <w:t>0.0</w:t>
            </w:r>
          </w:p>
        </w:tc>
        <w:tc>
          <w:tcPr>
            <w:tcW w:w="1134" w:type="dxa"/>
            <w:gridSpan w:val="2"/>
            <w:tcBorders>
              <w:top w:val="nil"/>
              <w:left w:val="nil"/>
              <w:bottom w:val="single" w:sz="8" w:space="0" w:color="auto"/>
              <w:right w:val="single" w:sz="8" w:space="0" w:color="auto"/>
            </w:tcBorders>
            <w:shd w:val="clear" w:color="auto" w:fill="auto"/>
            <w:noWrap/>
            <w:vAlign w:val="center"/>
            <w:hideMark/>
          </w:tcPr>
          <w:p w:rsidR="00B43A2F" w:rsidRPr="00EB2995" w:rsidRDefault="00B43A2F" w:rsidP="00B43A2F">
            <w:pPr>
              <w:jc w:val="right"/>
              <w:rPr>
                <w:rFonts w:cs="Calibri"/>
                <w:color w:val="000000"/>
                <w:sz w:val="18"/>
                <w:szCs w:val="18"/>
                <w:lang w:eastAsia="en-GB"/>
              </w:rPr>
            </w:pPr>
            <w:r w:rsidRPr="00EB2995">
              <w:rPr>
                <w:rFonts w:cs="Calibri"/>
                <w:color w:val="000000"/>
                <w:sz w:val="18"/>
                <w:szCs w:val="18"/>
              </w:rPr>
              <w:t>0.0</w:t>
            </w:r>
          </w:p>
        </w:tc>
        <w:tc>
          <w:tcPr>
            <w:tcW w:w="851" w:type="dxa"/>
            <w:gridSpan w:val="2"/>
            <w:tcBorders>
              <w:top w:val="nil"/>
              <w:left w:val="nil"/>
              <w:bottom w:val="single" w:sz="8" w:space="0" w:color="auto"/>
              <w:right w:val="single" w:sz="8" w:space="0" w:color="auto"/>
            </w:tcBorders>
            <w:shd w:val="clear" w:color="auto" w:fill="auto"/>
            <w:noWrap/>
            <w:vAlign w:val="center"/>
            <w:hideMark/>
          </w:tcPr>
          <w:p w:rsidR="00B43A2F" w:rsidRPr="00EB2995" w:rsidRDefault="00B43A2F" w:rsidP="00B43A2F">
            <w:pPr>
              <w:jc w:val="right"/>
              <w:rPr>
                <w:rFonts w:cs="Calibri"/>
                <w:color w:val="000000"/>
                <w:sz w:val="18"/>
                <w:szCs w:val="18"/>
                <w:lang w:eastAsia="en-GB"/>
              </w:rPr>
            </w:pPr>
            <w:r w:rsidRPr="00EB2995">
              <w:rPr>
                <w:rFonts w:cs="Calibri"/>
                <w:color w:val="000000"/>
                <w:sz w:val="18"/>
                <w:szCs w:val="18"/>
              </w:rPr>
              <w:t>0.0</w:t>
            </w:r>
          </w:p>
        </w:tc>
        <w:tc>
          <w:tcPr>
            <w:tcW w:w="1275" w:type="dxa"/>
            <w:gridSpan w:val="2"/>
            <w:tcBorders>
              <w:top w:val="nil"/>
              <w:left w:val="nil"/>
              <w:bottom w:val="single" w:sz="8" w:space="0" w:color="auto"/>
              <w:right w:val="single" w:sz="8" w:space="0" w:color="auto"/>
            </w:tcBorders>
            <w:shd w:val="clear" w:color="auto" w:fill="auto"/>
            <w:noWrap/>
            <w:vAlign w:val="center"/>
            <w:hideMark/>
          </w:tcPr>
          <w:p w:rsidR="00B43A2F" w:rsidRPr="00EB2995" w:rsidRDefault="00B43A2F" w:rsidP="00B43A2F">
            <w:pPr>
              <w:jc w:val="right"/>
              <w:rPr>
                <w:rFonts w:cs="Calibri"/>
                <w:color w:val="000000"/>
                <w:sz w:val="18"/>
                <w:szCs w:val="18"/>
                <w:lang w:eastAsia="en-GB"/>
              </w:rPr>
            </w:pPr>
            <w:r w:rsidRPr="00EB2995">
              <w:rPr>
                <w:rFonts w:cs="Calibri"/>
                <w:color w:val="000000"/>
                <w:sz w:val="18"/>
                <w:szCs w:val="18"/>
              </w:rPr>
              <w:t>0.0</w:t>
            </w:r>
          </w:p>
        </w:tc>
        <w:tc>
          <w:tcPr>
            <w:tcW w:w="851" w:type="dxa"/>
            <w:gridSpan w:val="2"/>
            <w:tcBorders>
              <w:top w:val="nil"/>
              <w:left w:val="nil"/>
              <w:bottom w:val="single" w:sz="8" w:space="0" w:color="auto"/>
              <w:right w:val="single" w:sz="8" w:space="0" w:color="auto"/>
            </w:tcBorders>
            <w:shd w:val="clear" w:color="auto" w:fill="auto"/>
            <w:noWrap/>
            <w:vAlign w:val="center"/>
            <w:hideMark/>
          </w:tcPr>
          <w:p w:rsidR="00B43A2F" w:rsidRPr="00EB2995" w:rsidRDefault="00B43A2F" w:rsidP="00B43A2F">
            <w:pPr>
              <w:jc w:val="right"/>
              <w:rPr>
                <w:rFonts w:cs="Calibri"/>
                <w:color w:val="000000"/>
                <w:sz w:val="18"/>
                <w:szCs w:val="18"/>
                <w:lang w:eastAsia="en-GB"/>
              </w:rPr>
            </w:pPr>
            <w:r w:rsidRPr="00EB2995">
              <w:rPr>
                <w:rFonts w:cs="Calibri"/>
                <w:color w:val="000000"/>
                <w:sz w:val="18"/>
                <w:szCs w:val="18"/>
              </w:rPr>
              <w:t>0.0</w:t>
            </w:r>
          </w:p>
        </w:tc>
        <w:tc>
          <w:tcPr>
            <w:tcW w:w="850" w:type="dxa"/>
            <w:gridSpan w:val="2"/>
            <w:tcBorders>
              <w:top w:val="nil"/>
              <w:left w:val="nil"/>
              <w:bottom w:val="single" w:sz="8" w:space="0" w:color="auto"/>
              <w:right w:val="single" w:sz="8" w:space="0" w:color="auto"/>
            </w:tcBorders>
            <w:shd w:val="clear" w:color="auto" w:fill="auto"/>
            <w:noWrap/>
            <w:vAlign w:val="center"/>
            <w:hideMark/>
          </w:tcPr>
          <w:p w:rsidR="00B43A2F" w:rsidRPr="00EB2995" w:rsidRDefault="00B43A2F" w:rsidP="00B43A2F">
            <w:pPr>
              <w:jc w:val="right"/>
              <w:rPr>
                <w:rFonts w:cs="Calibri"/>
                <w:i/>
                <w:iCs/>
                <w:color w:val="000000"/>
                <w:sz w:val="18"/>
                <w:szCs w:val="18"/>
                <w:lang w:eastAsia="en-GB"/>
              </w:rPr>
            </w:pPr>
            <w:r w:rsidRPr="00EB2995">
              <w:rPr>
                <w:rFonts w:cs="Calibri"/>
                <w:i/>
                <w:iCs/>
                <w:color w:val="000000"/>
                <w:sz w:val="18"/>
                <w:szCs w:val="18"/>
              </w:rPr>
              <w:t>0.0</w:t>
            </w:r>
          </w:p>
        </w:tc>
      </w:tr>
      <w:tr w:rsidR="00B43A2F" w:rsidRPr="00EB2995" w:rsidTr="00B43A2F">
        <w:trPr>
          <w:gridAfter w:val="1"/>
          <w:wAfter w:w="8" w:type="dxa"/>
          <w:trHeight w:hRule="exact" w:val="724"/>
        </w:trPr>
        <w:tc>
          <w:tcPr>
            <w:tcW w:w="2835" w:type="dxa"/>
            <w:tcBorders>
              <w:top w:val="nil"/>
              <w:left w:val="single" w:sz="8" w:space="0" w:color="auto"/>
              <w:bottom w:val="single" w:sz="8" w:space="0" w:color="auto"/>
              <w:right w:val="single" w:sz="8" w:space="0" w:color="auto"/>
            </w:tcBorders>
            <w:shd w:val="clear" w:color="auto" w:fill="auto"/>
            <w:vAlign w:val="center"/>
            <w:hideMark/>
          </w:tcPr>
          <w:p w:rsidR="00B43A2F" w:rsidRPr="00EB2995" w:rsidRDefault="00B43A2F" w:rsidP="00B43A2F">
            <w:pPr>
              <w:rPr>
                <w:rFonts w:cs="Calibri"/>
                <w:color w:val="000000"/>
                <w:sz w:val="18"/>
                <w:szCs w:val="18"/>
                <w:lang w:eastAsia="en-GB"/>
              </w:rPr>
            </w:pPr>
            <w:r w:rsidRPr="00EB2995">
              <w:rPr>
                <w:rFonts w:cs="Calibri"/>
                <w:color w:val="000000"/>
                <w:sz w:val="18"/>
                <w:szCs w:val="18"/>
                <w:lang w:eastAsia="en-GB"/>
              </w:rPr>
              <w:t>Impairment Losses/(Reversals) recognised in the Surplus/Deficit on the Provision of Services</w:t>
            </w:r>
          </w:p>
        </w:tc>
        <w:tc>
          <w:tcPr>
            <w:tcW w:w="992" w:type="dxa"/>
            <w:tcBorders>
              <w:top w:val="nil"/>
              <w:left w:val="nil"/>
              <w:bottom w:val="single" w:sz="8" w:space="0" w:color="auto"/>
              <w:right w:val="nil"/>
            </w:tcBorders>
            <w:shd w:val="clear" w:color="auto" w:fill="auto"/>
            <w:noWrap/>
            <w:vAlign w:val="center"/>
            <w:hideMark/>
          </w:tcPr>
          <w:p w:rsidR="00B43A2F" w:rsidRPr="00EB2995" w:rsidRDefault="00B43A2F" w:rsidP="00B43A2F">
            <w:pPr>
              <w:jc w:val="right"/>
              <w:rPr>
                <w:rFonts w:cs="Calibri"/>
                <w:color w:val="000000"/>
                <w:sz w:val="18"/>
                <w:szCs w:val="18"/>
                <w:lang w:eastAsia="en-GB"/>
              </w:rPr>
            </w:pPr>
            <w:r w:rsidRPr="00EB2995">
              <w:rPr>
                <w:rFonts w:cs="Calibri"/>
                <w:color w:val="000000"/>
                <w:sz w:val="18"/>
                <w:szCs w:val="18"/>
              </w:rPr>
              <w:t>(0.1)</w:t>
            </w:r>
          </w:p>
        </w:tc>
        <w:tc>
          <w:tcPr>
            <w:tcW w:w="993" w:type="dxa"/>
            <w:gridSpan w:val="2"/>
            <w:tcBorders>
              <w:top w:val="nil"/>
              <w:left w:val="single" w:sz="8" w:space="0" w:color="auto"/>
              <w:bottom w:val="single" w:sz="8" w:space="0" w:color="auto"/>
              <w:right w:val="single" w:sz="8" w:space="0" w:color="auto"/>
            </w:tcBorders>
            <w:shd w:val="clear" w:color="auto" w:fill="auto"/>
            <w:noWrap/>
            <w:vAlign w:val="center"/>
            <w:hideMark/>
          </w:tcPr>
          <w:p w:rsidR="00B43A2F" w:rsidRPr="00EB2995" w:rsidRDefault="00B43A2F" w:rsidP="00B43A2F">
            <w:pPr>
              <w:jc w:val="right"/>
              <w:rPr>
                <w:rFonts w:cs="Calibri"/>
                <w:color w:val="000000"/>
                <w:sz w:val="18"/>
                <w:szCs w:val="18"/>
                <w:lang w:eastAsia="en-GB"/>
              </w:rPr>
            </w:pPr>
            <w:r w:rsidRPr="00EB2995">
              <w:rPr>
                <w:rFonts w:cs="Calibri"/>
                <w:color w:val="000000"/>
                <w:sz w:val="18"/>
                <w:szCs w:val="18"/>
              </w:rPr>
              <w:t>0.0</w:t>
            </w:r>
          </w:p>
        </w:tc>
        <w:tc>
          <w:tcPr>
            <w:tcW w:w="850" w:type="dxa"/>
            <w:gridSpan w:val="2"/>
            <w:tcBorders>
              <w:top w:val="nil"/>
              <w:left w:val="nil"/>
              <w:bottom w:val="single" w:sz="8" w:space="0" w:color="auto"/>
              <w:right w:val="single" w:sz="8" w:space="0" w:color="auto"/>
            </w:tcBorders>
            <w:shd w:val="clear" w:color="auto" w:fill="auto"/>
            <w:noWrap/>
            <w:vAlign w:val="center"/>
            <w:hideMark/>
          </w:tcPr>
          <w:p w:rsidR="00B43A2F" w:rsidRPr="00EB2995" w:rsidRDefault="00B43A2F" w:rsidP="00B43A2F">
            <w:pPr>
              <w:jc w:val="right"/>
              <w:rPr>
                <w:rFonts w:cs="Calibri"/>
                <w:color w:val="000000"/>
                <w:sz w:val="18"/>
                <w:szCs w:val="18"/>
                <w:lang w:eastAsia="en-GB"/>
              </w:rPr>
            </w:pPr>
            <w:r w:rsidRPr="00EB2995">
              <w:rPr>
                <w:rFonts w:cs="Calibri"/>
                <w:color w:val="000000"/>
                <w:sz w:val="18"/>
                <w:szCs w:val="18"/>
              </w:rPr>
              <w:t>0.0</w:t>
            </w:r>
          </w:p>
        </w:tc>
        <w:tc>
          <w:tcPr>
            <w:tcW w:w="1134" w:type="dxa"/>
            <w:gridSpan w:val="2"/>
            <w:tcBorders>
              <w:top w:val="nil"/>
              <w:left w:val="nil"/>
              <w:bottom w:val="single" w:sz="8" w:space="0" w:color="auto"/>
              <w:right w:val="single" w:sz="8" w:space="0" w:color="auto"/>
            </w:tcBorders>
            <w:shd w:val="clear" w:color="auto" w:fill="auto"/>
            <w:noWrap/>
            <w:vAlign w:val="center"/>
            <w:hideMark/>
          </w:tcPr>
          <w:p w:rsidR="00B43A2F" w:rsidRPr="00EB2995" w:rsidRDefault="00B43A2F" w:rsidP="00B43A2F">
            <w:pPr>
              <w:jc w:val="right"/>
              <w:rPr>
                <w:rFonts w:cs="Calibri"/>
                <w:color w:val="000000"/>
                <w:sz w:val="18"/>
                <w:szCs w:val="18"/>
                <w:lang w:eastAsia="en-GB"/>
              </w:rPr>
            </w:pPr>
            <w:r w:rsidRPr="00EB2995">
              <w:rPr>
                <w:rFonts w:cs="Calibri"/>
                <w:color w:val="000000"/>
                <w:sz w:val="18"/>
                <w:szCs w:val="18"/>
              </w:rPr>
              <w:t>0.0</w:t>
            </w:r>
          </w:p>
        </w:tc>
        <w:tc>
          <w:tcPr>
            <w:tcW w:w="851" w:type="dxa"/>
            <w:gridSpan w:val="2"/>
            <w:tcBorders>
              <w:top w:val="nil"/>
              <w:left w:val="nil"/>
              <w:bottom w:val="single" w:sz="8" w:space="0" w:color="auto"/>
              <w:right w:val="single" w:sz="8" w:space="0" w:color="auto"/>
            </w:tcBorders>
            <w:shd w:val="clear" w:color="auto" w:fill="auto"/>
            <w:noWrap/>
            <w:vAlign w:val="center"/>
            <w:hideMark/>
          </w:tcPr>
          <w:p w:rsidR="00B43A2F" w:rsidRPr="00EB2995" w:rsidRDefault="00B43A2F" w:rsidP="00B43A2F">
            <w:pPr>
              <w:jc w:val="right"/>
              <w:rPr>
                <w:rFonts w:cs="Calibri"/>
                <w:color w:val="000000"/>
                <w:sz w:val="18"/>
                <w:szCs w:val="18"/>
                <w:lang w:eastAsia="en-GB"/>
              </w:rPr>
            </w:pPr>
            <w:r w:rsidRPr="00EB2995">
              <w:rPr>
                <w:rFonts w:cs="Calibri"/>
                <w:color w:val="000000"/>
                <w:sz w:val="18"/>
                <w:szCs w:val="18"/>
              </w:rPr>
              <w:t>0.0</w:t>
            </w:r>
          </w:p>
        </w:tc>
        <w:tc>
          <w:tcPr>
            <w:tcW w:w="1275" w:type="dxa"/>
            <w:gridSpan w:val="2"/>
            <w:tcBorders>
              <w:top w:val="nil"/>
              <w:left w:val="nil"/>
              <w:bottom w:val="single" w:sz="8" w:space="0" w:color="auto"/>
              <w:right w:val="single" w:sz="8" w:space="0" w:color="auto"/>
            </w:tcBorders>
            <w:shd w:val="clear" w:color="auto" w:fill="auto"/>
            <w:noWrap/>
            <w:vAlign w:val="center"/>
            <w:hideMark/>
          </w:tcPr>
          <w:p w:rsidR="00B43A2F" w:rsidRPr="00EB2995" w:rsidRDefault="00B43A2F" w:rsidP="00B43A2F">
            <w:pPr>
              <w:jc w:val="right"/>
              <w:rPr>
                <w:rFonts w:cs="Calibri"/>
                <w:color w:val="000000"/>
                <w:sz w:val="18"/>
                <w:szCs w:val="18"/>
                <w:lang w:eastAsia="en-GB"/>
              </w:rPr>
            </w:pPr>
            <w:r w:rsidRPr="00EB2995">
              <w:rPr>
                <w:rFonts w:cs="Calibri"/>
                <w:color w:val="000000"/>
                <w:sz w:val="18"/>
                <w:szCs w:val="18"/>
              </w:rPr>
              <w:t>0.0</w:t>
            </w:r>
          </w:p>
        </w:tc>
        <w:tc>
          <w:tcPr>
            <w:tcW w:w="851" w:type="dxa"/>
            <w:gridSpan w:val="2"/>
            <w:tcBorders>
              <w:top w:val="nil"/>
              <w:left w:val="nil"/>
              <w:bottom w:val="single" w:sz="8" w:space="0" w:color="auto"/>
              <w:right w:val="single" w:sz="8" w:space="0" w:color="auto"/>
            </w:tcBorders>
            <w:shd w:val="clear" w:color="auto" w:fill="auto"/>
            <w:noWrap/>
            <w:vAlign w:val="center"/>
            <w:hideMark/>
          </w:tcPr>
          <w:p w:rsidR="00B43A2F" w:rsidRPr="00EB2995" w:rsidRDefault="00B43A2F" w:rsidP="00B43A2F">
            <w:pPr>
              <w:jc w:val="right"/>
              <w:rPr>
                <w:rFonts w:cs="Calibri"/>
                <w:color w:val="000000"/>
                <w:sz w:val="18"/>
                <w:szCs w:val="18"/>
                <w:lang w:eastAsia="en-GB"/>
              </w:rPr>
            </w:pPr>
            <w:r w:rsidRPr="00EB2995">
              <w:rPr>
                <w:rFonts w:cs="Calibri"/>
                <w:color w:val="000000"/>
                <w:sz w:val="18"/>
                <w:szCs w:val="18"/>
              </w:rPr>
              <w:t>(0.1)</w:t>
            </w:r>
          </w:p>
        </w:tc>
        <w:tc>
          <w:tcPr>
            <w:tcW w:w="850" w:type="dxa"/>
            <w:gridSpan w:val="2"/>
            <w:tcBorders>
              <w:top w:val="nil"/>
              <w:left w:val="nil"/>
              <w:bottom w:val="single" w:sz="8" w:space="0" w:color="auto"/>
              <w:right w:val="single" w:sz="8" w:space="0" w:color="auto"/>
            </w:tcBorders>
            <w:shd w:val="clear" w:color="auto" w:fill="auto"/>
            <w:noWrap/>
            <w:vAlign w:val="center"/>
            <w:hideMark/>
          </w:tcPr>
          <w:p w:rsidR="00B43A2F" w:rsidRPr="00EB2995" w:rsidRDefault="00B43A2F" w:rsidP="00B43A2F">
            <w:pPr>
              <w:jc w:val="right"/>
              <w:rPr>
                <w:rFonts w:cs="Calibri"/>
                <w:i/>
                <w:iCs/>
                <w:color w:val="000000"/>
                <w:sz w:val="18"/>
                <w:szCs w:val="18"/>
                <w:lang w:eastAsia="en-GB"/>
              </w:rPr>
            </w:pPr>
            <w:r w:rsidRPr="00EB2995">
              <w:rPr>
                <w:rFonts w:cs="Calibri"/>
                <w:i/>
                <w:iCs/>
                <w:color w:val="000000"/>
                <w:sz w:val="18"/>
                <w:szCs w:val="18"/>
              </w:rPr>
              <w:t>0.0</w:t>
            </w:r>
          </w:p>
        </w:tc>
      </w:tr>
      <w:tr w:rsidR="00B43A2F" w:rsidRPr="00EB2995" w:rsidTr="00B43A2F">
        <w:trPr>
          <w:gridAfter w:val="1"/>
          <w:wAfter w:w="8" w:type="dxa"/>
          <w:trHeight w:hRule="exact" w:val="397"/>
        </w:trPr>
        <w:tc>
          <w:tcPr>
            <w:tcW w:w="2835" w:type="dxa"/>
            <w:tcBorders>
              <w:top w:val="nil"/>
              <w:left w:val="single" w:sz="8" w:space="0" w:color="auto"/>
              <w:bottom w:val="single" w:sz="8" w:space="0" w:color="auto"/>
              <w:right w:val="single" w:sz="8" w:space="0" w:color="auto"/>
            </w:tcBorders>
            <w:shd w:val="clear" w:color="auto" w:fill="auto"/>
            <w:vAlign w:val="center"/>
            <w:hideMark/>
          </w:tcPr>
          <w:p w:rsidR="00B43A2F" w:rsidRPr="00EB2995" w:rsidRDefault="00B43A2F" w:rsidP="00B43A2F">
            <w:pPr>
              <w:rPr>
                <w:rFonts w:cs="Calibri"/>
                <w:color w:val="000000"/>
                <w:sz w:val="18"/>
                <w:szCs w:val="18"/>
                <w:lang w:eastAsia="en-GB"/>
              </w:rPr>
            </w:pPr>
            <w:r w:rsidRPr="00EB2995">
              <w:rPr>
                <w:rFonts w:cs="Calibri"/>
                <w:color w:val="000000"/>
                <w:sz w:val="18"/>
                <w:szCs w:val="18"/>
                <w:lang w:eastAsia="en-GB"/>
              </w:rPr>
              <w:t>Derecognition - Disposals</w:t>
            </w:r>
          </w:p>
        </w:tc>
        <w:tc>
          <w:tcPr>
            <w:tcW w:w="992" w:type="dxa"/>
            <w:tcBorders>
              <w:top w:val="nil"/>
              <w:left w:val="nil"/>
              <w:bottom w:val="single" w:sz="8" w:space="0" w:color="auto"/>
              <w:right w:val="nil"/>
            </w:tcBorders>
            <w:shd w:val="clear" w:color="auto" w:fill="auto"/>
            <w:noWrap/>
            <w:vAlign w:val="center"/>
            <w:hideMark/>
          </w:tcPr>
          <w:p w:rsidR="00B43A2F" w:rsidRPr="00EB2995" w:rsidRDefault="00B43A2F" w:rsidP="00B43A2F">
            <w:pPr>
              <w:jc w:val="right"/>
              <w:rPr>
                <w:rFonts w:cs="Calibri"/>
                <w:color w:val="000000"/>
                <w:sz w:val="18"/>
                <w:szCs w:val="18"/>
                <w:lang w:eastAsia="en-GB"/>
              </w:rPr>
            </w:pPr>
            <w:r w:rsidRPr="00EB2995">
              <w:rPr>
                <w:rFonts w:cs="Calibri"/>
                <w:color w:val="000000"/>
                <w:sz w:val="18"/>
                <w:szCs w:val="18"/>
              </w:rPr>
              <w:t>0.1</w:t>
            </w:r>
          </w:p>
        </w:tc>
        <w:tc>
          <w:tcPr>
            <w:tcW w:w="993" w:type="dxa"/>
            <w:gridSpan w:val="2"/>
            <w:tcBorders>
              <w:top w:val="nil"/>
              <w:left w:val="single" w:sz="8" w:space="0" w:color="auto"/>
              <w:bottom w:val="single" w:sz="8" w:space="0" w:color="auto"/>
              <w:right w:val="single" w:sz="8" w:space="0" w:color="auto"/>
            </w:tcBorders>
            <w:shd w:val="clear" w:color="auto" w:fill="auto"/>
            <w:noWrap/>
            <w:vAlign w:val="center"/>
            <w:hideMark/>
          </w:tcPr>
          <w:p w:rsidR="00B43A2F" w:rsidRPr="00EB2995" w:rsidRDefault="00B43A2F" w:rsidP="00B43A2F">
            <w:pPr>
              <w:jc w:val="right"/>
              <w:rPr>
                <w:rFonts w:cs="Calibri"/>
                <w:color w:val="000000"/>
                <w:sz w:val="18"/>
                <w:szCs w:val="18"/>
                <w:lang w:eastAsia="en-GB"/>
              </w:rPr>
            </w:pPr>
            <w:r w:rsidRPr="00EB2995">
              <w:rPr>
                <w:rFonts w:cs="Calibri"/>
                <w:color w:val="000000"/>
                <w:sz w:val="18"/>
                <w:szCs w:val="18"/>
              </w:rPr>
              <w:t>1.0</w:t>
            </w:r>
          </w:p>
        </w:tc>
        <w:tc>
          <w:tcPr>
            <w:tcW w:w="850" w:type="dxa"/>
            <w:gridSpan w:val="2"/>
            <w:tcBorders>
              <w:top w:val="nil"/>
              <w:left w:val="nil"/>
              <w:bottom w:val="single" w:sz="8" w:space="0" w:color="auto"/>
              <w:right w:val="single" w:sz="8" w:space="0" w:color="auto"/>
            </w:tcBorders>
            <w:shd w:val="clear" w:color="auto" w:fill="auto"/>
            <w:noWrap/>
            <w:vAlign w:val="center"/>
            <w:hideMark/>
          </w:tcPr>
          <w:p w:rsidR="00B43A2F" w:rsidRPr="00EB2995" w:rsidRDefault="00B43A2F" w:rsidP="00B43A2F">
            <w:pPr>
              <w:jc w:val="right"/>
              <w:rPr>
                <w:rFonts w:cs="Calibri"/>
                <w:color w:val="000000"/>
                <w:sz w:val="18"/>
                <w:szCs w:val="18"/>
                <w:lang w:eastAsia="en-GB"/>
              </w:rPr>
            </w:pPr>
            <w:r w:rsidRPr="00EB2995">
              <w:rPr>
                <w:rFonts w:cs="Calibri"/>
                <w:color w:val="000000"/>
                <w:sz w:val="18"/>
                <w:szCs w:val="18"/>
              </w:rPr>
              <w:t>1.1</w:t>
            </w:r>
          </w:p>
        </w:tc>
        <w:tc>
          <w:tcPr>
            <w:tcW w:w="1134" w:type="dxa"/>
            <w:gridSpan w:val="2"/>
            <w:tcBorders>
              <w:top w:val="nil"/>
              <w:left w:val="nil"/>
              <w:bottom w:val="single" w:sz="8" w:space="0" w:color="auto"/>
              <w:right w:val="single" w:sz="8" w:space="0" w:color="auto"/>
            </w:tcBorders>
            <w:shd w:val="clear" w:color="auto" w:fill="auto"/>
            <w:noWrap/>
            <w:vAlign w:val="center"/>
            <w:hideMark/>
          </w:tcPr>
          <w:p w:rsidR="00B43A2F" w:rsidRPr="00EB2995" w:rsidRDefault="00B43A2F" w:rsidP="00B43A2F">
            <w:pPr>
              <w:jc w:val="right"/>
              <w:rPr>
                <w:rFonts w:cs="Calibri"/>
                <w:color w:val="000000"/>
                <w:sz w:val="18"/>
                <w:szCs w:val="18"/>
                <w:lang w:eastAsia="en-GB"/>
              </w:rPr>
            </w:pPr>
            <w:r w:rsidRPr="00EB2995">
              <w:rPr>
                <w:rFonts w:cs="Calibri"/>
                <w:color w:val="000000"/>
                <w:sz w:val="18"/>
                <w:szCs w:val="18"/>
              </w:rPr>
              <w:t>0.0</w:t>
            </w:r>
          </w:p>
        </w:tc>
        <w:tc>
          <w:tcPr>
            <w:tcW w:w="851" w:type="dxa"/>
            <w:gridSpan w:val="2"/>
            <w:tcBorders>
              <w:top w:val="nil"/>
              <w:left w:val="nil"/>
              <w:bottom w:val="single" w:sz="8" w:space="0" w:color="auto"/>
              <w:right w:val="single" w:sz="8" w:space="0" w:color="auto"/>
            </w:tcBorders>
            <w:shd w:val="clear" w:color="auto" w:fill="auto"/>
            <w:noWrap/>
            <w:vAlign w:val="center"/>
            <w:hideMark/>
          </w:tcPr>
          <w:p w:rsidR="00B43A2F" w:rsidRPr="00EB2995" w:rsidRDefault="00B43A2F" w:rsidP="00B43A2F">
            <w:pPr>
              <w:jc w:val="right"/>
              <w:rPr>
                <w:rFonts w:cs="Calibri"/>
                <w:color w:val="000000"/>
                <w:sz w:val="18"/>
                <w:szCs w:val="18"/>
                <w:lang w:eastAsia="en-GB"/>
              </w:rPr>
            </w:pPr>
            <w:r w:rsidRPr="00EB2995">
              <w:rPr>
                <w:rFonts w:cs="Calibri"/>
                <w:color w:val="000000"/>
                <w:sz w:val="18"/>
                <w:szCs w:val="18"/>
              </w:rPr>
              <w:t>0.0</w:t>
            </w:r>
          </w:p>
        </w:tc>
        <w:tc>
          <w:tcPr>
            <w:tcW w:w="1275" w:type="dxa"/>
            <w:gridSpan w:val="2"/>
            <w:tcBorders>
              <w:top w:val="nil"/>
              <w:left w:val="nil"/>
              <w:bottom w:val="single" w:sz="8" w:space="0" w:color="auto"/>
              <w:right w:val="single" w:sz="8" w:space="0" w:color="auto"/>
            </w:tcBorders>
            <w:shd w:val="clear" w:color="auto" w:fill="auto"/>
            <w:noWrap/>
            <w:vAlign w:val="center"/>
            <w:hideMark/>
          </w:tcPr>
          <w:p w:rsidR="00B43A2F" w:rsidRPr="00EB2995" w:rsidRDefault="00B43A2F" w:rsidP="00B43A2F">
            <w:pPr>
              <w:jc w:val="right"/>
              <w:rPr>
                <w:rFonts w:cs="Calibri"/>
                <w:color w:val="000000"/>
                <w:sz w:val="18"/>
                <w:szCs w:val="18"/>
                <w:lang w:eastAsia="en-GB"/>
              </w:rPr>
            </w:pPr>
            <w:r w:rsidRPr="00EB2995">
              <w:rPr>
                <w:rFonts w:cs="Calibri"/>
                <w:color w:val="000000"/>
                <w:sz w:val="18"/>
                <w:szCs w:val="18"/>
              </w:rPr>
              <w:t>0.0</w:t>
            </w:r>
          </w:p>
        </w:tc>
        <w:tc>
          <w:tcPr>
            <w:tcW w:w="851" w:type="dxa"/>
            <w:gridSpan w:val="2"/>
            <w:tcBorders>
              <w:top w:val="nil"/>
              <w:left w:val="nil"/>
              <w:bottom w:val="single" w:sz="8" w:space="0" w:color="auto"/>
              <w:right w:val="single" w:sz="8" w:space="0" w:color="auto"/>
            </w:tcBorders>
            <w:shd w:val="clear" w:color="auto" w:fill="auto"/>
            <w:noWrap/>
            <w:vAlign w:val="center"/>
            <w:hideMark/>
          </w:tcPr>
          <w:p w:rsidR="00B43A2F" w:rsidRPr="00EB2995" w:rsidRDefault="00B43A2F" w:rsidP="00B43A2F">
            <w:pPr>
              <w:jc w:val="right"/>
              <w:rPr>
                <w:rFonts w:cs="Calibri"/>
                <w:color w:val="000000"/>
                <w:sz w:val="18"/>
                <w:szCs w:val="18"/>
                <w:lang w:eastAsia="en-GB"/>
              </w:rPr>
            </w:pPr>
            <w:r w:rsidRPr="00EB2995">
              <w:rPr>
                <w:rFonts w:cs="Calibri"/>
                <w:color w:val="000000"/>
                <w:sz w:val="18"/>
                <w:szCs w:val="18"/>
              </w:rPr>
              <w:t>2.2</w:t>
            </w:r>
          </w:p>
        </w:tc>
        <w:tc>
          <w:tcPr>
            <w:tcW w:w="850" w:type="dxa"/>
            <w:gridSpan w:val="2"/>
            <w:tcBorders>
              <w:top w:val="nil"/>
              <w:left w:val="nil"/>
              <w:bottom w:val="single" w:sz="8" w:space="0" w:color="auto"/>
              <w:right w:val="single" w:sz="8" w:space="0" w:color="auto"/>
            </w:tcBorders>
            <w:shd w:val="clear" w:color="auto" w:fill="auto"/>
            <w:noWrap/>
            <w:vAlign w:val="center"/>
            <w:hideMark/>
          </w:tcPr>
          <w:p w:rsidR="00B43A2F" w:rsidRPr="00EB2995" w:rsidRDefault="00B43A2F" w:rsidP="00B43A2F">
            <w:pPr>
              <w:jc w:val="right"/>
              <w:rPr>
                <w:rFonts w:cs="Calibri"/>
                <w:i/>
                <w:iCs/>
                <w:color w:val="000000"/>
                <w:sz w:val="18"/>
                <w:szCs w:val="18"/>
                <w:lang w:eastAsia="en-GB"/>
              </w:rPr>
            </w:pPr>
            <w:r w:rsidRPr="00EB2995">
              <w:rPr>
                <w:rFonts w:cs="Calibri"/>
                <w:i/>
                <w:iCs/>
                <w:color w:val="000000"/>
                <w:sz w:val="18"/>
                <w:szCs w:val="18"/>
              </w:rPr>
              <w:t>0.0</w:t>
            </w:r>
          </w:p>
        </w:tc>
      </w:tr>
      <w:tr w:rsidR="00B43A2F" w:rsidRPr="00EB2995" w:rsidTr="00B43A2F">
        <w:trPr>
          <w:gridAfter w:val="1"/>
          <w:wAfter w:w="8" w:type="dxa"/>
          <w:trHeight w:hRule="exact" w:val="584"/>
        </w:trPr>
        <w:tc>
          <w:tcPr>
            <w:tcW w:w="2835" w:type="dxa"/>
            <w:tcBorders>
              <w:top w:val="nil"/>
              <w:left w:val="single" w:sz="8" w:space="0" w:color="auto"/>
              <w:bottom w:val="single" w:sz="8" w:space="0" w:color="auto"/>
              <w:right w:val="single" w:sz="8" w:space="0" w:color="auto"/>
            </w:tcBorders>
            <w:shd w:val="clear" w:color="auto" w:fill="auto"/>
            <w:vAlign w:val="center"/>
            <w:hideMark/>
          </w:tcPr>
          <w:p w:rsidR="00B43A2F" w:rsidRPr="00EB2995" w:rsidRDefault="00B43A2F" w:rsidP="00B43A2F">
            <w:pPr>
              <w:rPr>
                <w:rFonts w:cs="Calibri"/>
                <w:color w:val="000000"/>
                <w:sz w:val="18"/>
                <w:szCs w:val="18"/>
                <w:lang w:eastAsia="en-GB"/>
              </w:rPr>
            </w:pPr>
            <w:r w:rsidRPr="00EB2995">
              <w:rPr>
                <w:rFonts w:cs="Calibri"/>
                <w:color w:val="000000"/>
                <w:sz w:val="18"/>
                <w:szCs w:val="18"/>
                <w:lang w:eastAsia="en-GB"/>
              </w:rPr>
              <w:t>Reclassifications (to/from Assets Held for Sale)</w:t>
            </w:r>
          </w:p>
        </w:tc>
        <w:tc>
          <w:tcPr>
            <w:tcW w:w="992" w:type="dxa"/>
            <w:tcBorders>
              <w:top w:val="nil"/>
              <w:left w:val="nil"/>
              <w:bottom w:val="single" w:sz="8" w:space="0" w:color="auto"/>
              <w:right w:val="nil"/>
            </w:tcBorders>
            <w:shd w:val="clear" w:color="auto" w:fill="auto"/>
            <w:noWrap/>
            <w:vAlign w:val="center"/>
            <w:hideMark/>
          </w:tcPr>
          <w:p w:rsidR="00B43A2F" w:rsidRPr="00EB2995" w:rsidRDefault="00B43A2F" w:rsidP="00B43A2F">
            <w:pPr>
              <w:jc w:val="right"/>
              <w:rPr>
                <w:rFonts w:cs="Calibri"/>
                <w:color w:val="000000"/>
                <w:sz w:val="18"/>
                <w:szCs w:val="18"/>
                <w:lang w:eastAsia="en-GB"/>
              </w:rPr>
            </w:pPr>
            <w:r w:rsidRPr="00EB2995">
              <w:rPr>
                <w:rFonts w:cs="Calibri"/>
                <w:color w:val="000000"/>
                <w:sz w:val="18"/>
                <w:szCs w:val="18"/>
              </w:rPr>
              <w:t>0.0</w:t>
            </w:r>
          </w:p>
        </w:tc>
        <w:tc>
          <w:tcPr>
            <w:tcW w:w="993" w:type="dxa"/>
            <w:gridSpan w:val="2"/>
            <w:tcBorders>
              <w:top w:val="nil"/>
              <w:left w:val="single" w:sz="8" w:space="0" w:color="auto"/>
              <w:bottom w:val="single" w:sz="8" w:space="0" w:color="auto"/>
              <w:right w:val="single" w:sz="8" w:space="0" w:color="auto"/>
            </w:tcBorders>
            <w:shd w:val="clear" w:color="auto" w:fill="auto"/>
            <w:noWrap/>
            <w:vAlign w:val="center"/>
            <w:hideMark/>
          </w:tcPr>
          <w:p w:rsidR="00B43A2F" w:rsidRPr="00EB2995" w:rsidRDefault="00B43A2F" w:rsidP="00B43A2F">
            <w:pPr>
              <w:jc w:val="right"/>
              <w:rPr>
                <w:rFonts w:cs="Calibri"/>
                <w:color w:val="000000"/>
                <w:sz w:val="18"/>
                <w:szCs w:val="18"/>
                <w:lang w:eastAsia="en-GB"/>
              </w:rPr>
            </w:pPr>
            <w:r w:rsidRPr="00EB2995">
              <w:rPr>
                <w:rFonts w:cs="Calibri"/>
                <w:color w:val="000000"/>
                <w:sz w:val="18"/>
                <w:szCs w:val="18"/>
              </w:rPr>
              <w:t>0.0</w:t>
            </w:r>
          </w:p>
        </w:tc>
        <w:tc>
          <w:tcPr>
            <w:tcW w:w="850" w:type="dxa"/>
            <w:gridSpan w:val="2"/>
            <w:tcBorders>
              <w:top w:val="nil"/>
              <w:left w:val="nil"/>
              <w:bottom w:val="single" w:sz="8" w:space="0" w:color="auto"/>
              <w:right w:val="single" w:sz="8" w:space="0" w:color="auto"/>
            </w:tcBorders>
            <w:shd w:val="clear" w:color="auto" w:fill="auto"/>
            <w:noWrap/>
            <w:vAlign w:val="center"/>
            <w:hideMark/>
          </w:tcPr>
          <w:p w:rsidR="00B43A2F" w:rsidRPr="00EB2995" w:rsidRDefault="00B43A2F" w:rsidP="00B43A2F">
            <w:pPr>
              <w:jc w:val="right"/>
              <w:rPr>
                <w:rFonts w:cs="Calibri"/>
                <w:color w:val="000000"/>
                <w:sz w:val="18"/>
                <w:szCs w:val="18"/>
                <w:lang w:eastAsia="en-GB"/>
              </w:rPr>
            </w:pPr>
            <w:r w:rsidRPr="00EB2995">
              <w:rPr>
                <w:rFonts w:cs="Calibri"/>
                <w:color w:val="000000"/>
                <w:sz w:val="18"/>
                <w:szCs w:val="18"/>
              </w:rPr>
              <w:t>0.0</w:t>
            </w:r>
          </w:p>
        </w:tc>
        <w:tc>
          <w:tcPr>
            <w:tcW w:w="1134" w:type="dxa"/>
            <w:gridSpan w:val="2"/>
            <w:tcBorders>
              <w:top w:val="nil"/>
              <w:left w:val="nil"/>
              <w:bottom w:val="single" w:sz="8" w:space="0" w:color="auto"/>
              <w:right w:val="single" w:sz="8" w:space="0" w:color="auto"/>
            </w:tcBorders>
            <w:shd w:val="clear" w:color="auto" w:fill="auto"/>
            <w:noWrap/>
            <w:vAlign w:val="center"/>
            <w:hideMark/>
          </w:tcPr>
          <w:p w:rsidR="00B43A2F" w:rsidRPr="00EB2995" w:rsidRDefault="00B43A2F" w:rsidP="00B43A2F">
            <w:pPr>
              <w:jc w:val="right"/>
              <w:rPr>
                <w:rFonts w:cs="Calibri"/>
                <w:color w:val="000000"/>
                <w:sz w:val="18"/>
                <w:szCs w:val="18"/>
                <w:lang w:eastAsia="en-GB"/>
              </w:rPr>
            </w:pPr>
            <w:r w:rsidRPr="00EB2995">
              <w:rPr>
                <w:rFonts w:cs="Calibri"/>
                <w:color w:val="000000"/>
                <w:sz w:val="18"/>
                <w:szCs w:val="18"/>
              </w:rPr>
              <w:t>0.0</w:t>
            </w:r>
          </w:p>
        </w:tc>
        <w:tc>
          <w:tcPr>
            <w:tcW w:w="851" w:type="dxa"/>
            <w:gridSpan w:val="2"/>
            <w:tcBorders>
              <w:top w:val="nil"/>
              <w:left w:val="nil"/>
              <w:bottom w:val="single" w:sz="8" w:space="0" w:color="auto"/>
              <w:right w:val="single" w:sz="8" w:space="0" w:color="auto"/>
            </w:tcBorders>
            <w:shd w:val="clear" w:color="auto" w:fill="auto"/>
            <w:noWrap/>
            <w:vAlign w:val="center"/>
            <w:hideMark/>
          </w:tcPr>
          <w:p w:rsidR="00B43A2F" w:rsidRPr="00EB2995" w:rsidRDefault="00B43A2F" w:rsidP="00B43A2F">
            <w:pPr>
              <w:jc w:val="right"/>
              <w:rPr>
                <w:rFonts w:cs="Calibri"/>
                <w:color w:val="000000"/>
                <w:sz w:val="18"/>
                <w:szCs w:val="18"/>
                <w:lang w:eastAsia="en-GB"/>
              </w:rPr>
            </w:pPr>
            <w:r w:rsidRPr="00EB2995">
              <w:rPr>
                <w:rFonts w:cs="Calibri"/>
                <w:color w:val="000000"/>
                <w:sz w:val="18"/>
                <w:szCs w:val="18"/>
              </w:rPr>
              <w:t>0.0</w:t>
            </w:r>
          </w:p>
        </w:tc>
        <w:tc>
          <w:tcPr>
            <w:tcW w:w="1275" w:type="dxa"/>
            <w:gridSpan w:val="2"/>
            <w:tcBorders>
              <w:top w:val="nil"/>
              <w:left w:val="nil"/>
              <w:bottom w:val="single" w:sz="8" w:space="0" w:color="auto"/>
              <w:right w:val="single" w:sz="8" w:space="0" w:color="auto"/>
            </w:tcBorders>
            <w:shd w:val="clear" w:color="auto" w:fill="auto"/>
            <w:noWrap/>
            <w:vAlign w:val="center"/>
            <w:hideMark/>
          </w:tcPr>
          <w:p w:rsidR="00B43A2F" w:rsidRPr="00EB2995" w:rsidRDefault="00B43A2F" w:rsidP="00B43A2F">
            <w:pPr>
              <w:jc w:val="right"/>
              <w:rPr>
                <w:rFonts w:cs="Calibri"/>
                <w:color w:val="000000"/>
                <w:sz w:val="18"/>
                <w:szCs w:val="18"/>
                <w:lang w:eastAsia="en-GB"/>
              </w:rPr>
            </w:pPr>
            <w:r w:rsidRPr="00EB2995">
              <w:rPr>
                <w:rFonts w:cs="Calibri"/>
                <w:color w:val="000000"/>
                <w:sz w:val="18"/>
                <w:szCs w:val="18"/>
              </w:rPr>
              <w:t>0.0</w:t>
            </w:r>
          </w:p>
        </w:tc>
        <w:tc>
          <w:tcPr>
            <w:tcW w:w="851" w:type="dxa"/>
            <w:gridSpan w:val="2"/>
            <w:tcBorders>
              <w:top w:val="nil"/>
              <w:left w:val="nil"/>
              <w:bottom w:val="single" w:sz="8" w:space="0" w:color="auto"/>
              <w:right w:val="single" w:sz="8" w:space="0" w:color="auto"/>
            </w:tcBorders>
            <w:shd w:val="clear" w:color="auto" w:fill="auto"/>
            <w:noWrap/>
            <w:vAlign w:val="center"/>
            <w:hideMark/>
          </w:tcPr>
          <w:p w:rsidR="00B43A2F" w:rsidRPr="00EB2995" w:rsidRDefault="00B43A2F" w:rsidP="00B43A2F">
            <w:pPr>
              <w:jc w:val="right"/>
              <w:rPr>
                <w:rFonts w:cs="Calibri"/>
                <w:color w:val="000000"/>
                <w:sz w:val="18"/>
                <w:szCs w:val="18"/>
                <w:lang w:eastAsia="en-GB"/>
              </w:rPr>
            </w:pPr>
            <w:r w:rsidRPr="00EB2995">
              <w:rPr>
                <w:rFonts w:cs="Calibri"/>
                <w:color w:val="000000"/>
                <w:sz w:val="18"/>
                <w:szCs w:val="18"/>
              </w:rPr>
              <w:t>0.0</w:t>
            </w:r>
          </w:p>
        </w:tc>
        <w:tc>
          <w:tcPr>
            <w:tcW w:w="850" w:type="dxa"/>
            <w:gridSpan w:val="2"/>
            <w:tcBorders>
              <w:top w:val="nil"/>
              <w:left w:val="nil"/>
              <w:bottom w:val="single" w:sz="8" w:space="0" w:color="auto"/>
              <w:right w:val="single" w:sz="8" w:space="0" w:color="auto"/>
            </w:tcBorders>
            <w:shd w:val="clear" w:color="auto" w:fill="auto"/>
            <w:noWrap/>
            <w:vAlign w:val="center"/>
            <w:hideMark/>
          </w:tcPr>
          <w:p w:rsidR="00B43A2F" w:rsidRPr="00EB2995" w:rsidRDefault="00B43A2F" w:rsidP="00B43A2F">
            <w:pPr>
              <w:jc w:val="right"/>
              <w:rPr>
                <w:rFonts w:cs="Calibri"/>
                <w:i/>
                <w:iCs/>
                <w:color w:val="000000"/>
                <w:sz w:val="18"/>
                <w:szCs w:val="18"/>
                <w:lang w:eastAsia="en-GB"/>
              </w:rPr>
            </w:pPr>
            <w:r w:rsidRPr="00EB2995">
              <w:rPr>
                <w:rFonts w:cs="Calibri"/>
                <w:i/>
                <w:iCs/>
                <w:color w:val="000000"/>
                <w:sz w:val="18"/>
                <w:szCs w:val="18"/>
              </w:rPr>
              <w:t>0.0</w:t>
            </w:r>
          </w:p>
        </w:tc>
      </w:tr>
      <w:tr w:rsidR="00B43A2F" w:rsidRPr="00EB2995" w:rsidTr="00B43A2F">
        <w:trPr>
          <w:gridAfter w:val="1"/>
          <w:wAfter w:w="8" w:type="dxa"/>
          <w:trHeight w:hRule="exact" w:val="706"/>
        </w:trPr>
        <w:tc>
          <w:tcPr>
            <w:tcW w:w="2835" w:type="dxa"/>
            <w:tcBorders>
              <w:top w:val="nil"/>
              <w:left w:val="single" w:sz="8" w:space="0" w:color="auto"/>
              <w:bottom w:val="single" w:sz="8" w:space="0" w:color="auto"/>
              <w:right w:val="single" w:sz="8" w:space="0" w:color="auto"/>
            </w:tcBorders>
            <w:shd w:val="clear" w:color="auto" w:fill="auto"/>
            <w:vAlign w:val="center"/>
            <w:hideMark/>
          </w:tcPr>
          <w:p w:rsidR="00B43A2F" w:rsidRPr="00EB2995" w:rsidRDefault="00B43A2F" w:rsidP="00B43A2F">
            <w:pPr>
              <w:rPr>
                <w:rFonts w:cs="Calibri"/>
                <w:color w:val="000000"/>
                <w:sz w:val="18"/>
                <w:szCs w:val="18"/>
                <w:lang w:eastAsia="en-GB"/>
              </w:rPr>
            </w:pPr>
            <w:r w:rsidRPr="00EB2995">
              <w:rPr>
                <w:rFonts w:cs="Calibri"/>
                <w:color w:val="000000"/>
                <w:sz w:val="18"/>
                <w:szCs w:val="18"/>
                <w:lang w:eastAsia="en-GB"/>
              </w:rPr>
              <w:t>Other Movements in Depreciation &amp; Impairments</w:t>
            </w:r>
          </w:p>
        </w:tc>
        <w:tc>
          <w:tcPr>
            <w:tcW w:w="992" w:type="dxa"/>
            <w:tcBorders>
              <w:top w:val="nil"/>
              <w:left w:val="nil"/>
              <w:bottom w:val="single" w:sz="8" w:space="0" w:color="auto"/>
              <w:right w:val="nil"/>
            </w:tcBorders>
            <w:shd w:val="clear" w:color="auto" w:fill="auto"/>
            <w:noWrap/>
            <w:vAlign w:val="center"/>
            <w:hideMark/>
          </w:tcPr>
          <w:p w:rsidR="00B43A2F" w:rsidRPr="00EB2995" w:rsidRDefault="00B43A2F" w:rsidP="00B43A2F">
            <w:pPr>
              <w:jc w:val="right"/>
              <w:rPr>
                <w:rFonts w:cs="Calibri"/>
                <w:color w:val="000000"/>
                <w:sz w:val="18"/>
                <w:szCs w:val="18"/>
                <w:lang w:eastAsia="en-GB"/>
              </w:rPr>
            </w:pPr>
            <w:r w:rsidRPr="00EB2995">
              <w:rPr>
                <w:rFonts w:cs="Calibri"/>
                <w:color w:val="000000"/>
                <w:sz w:val="18"/>
                <w:szCs w:val="18"/>
              </w:rPr>
              <w:t>1.1</w:t>
            </w:r>
          </w:p>
        </w:tc>
        <w:tc>
          <w:tcPr>
            <w:tcW w:w="993" w:type="dxa"/>
            <w:gridSpan w:val="2"/>
            <w:tcBorders>
              <w:top w:val="nil"/>
              <w:left w:val="single" w:sz="8" w:space="0" w:color="auto"/>
              <w:bottom w:val="single" w:sz="8" w:space="0" w:color="auto"/>
              <w:right w:val="single" w:sz="8" w:space="0" w:color="auto"/>
            </w:tcBorders>
            <w:shd w:val="clear" w:color="auto" w:fill="auto"/>
            <w:noWrap/>
            <w:vAlign w:val="center"/>
            <w:hideMark/>
          </w:tcPr>
          <w:p w:rsidR="00B43A2F" w:rsidRPr="00EB2995" w:rsidRDefault="00B43A2F" w:rsidP="00B43A2F">
            <w:pPr>
              <w:jc w:val="right"/>
              <w:rPr>
                <w:rFonts w:cs="Calibri"/>
                <w:color w:val="000000"/>
                <w:sz w:val="18"/>
                <w:szCs w:val="18"/>
                <w:lang w:eastAsia="en-GB"/>
              </w:rPr>
            </w:pPr>
            <w:r w:rsidRPr="00EB2995">
              <w:rPr>
                <w:rFonts w:cs="Calibri"/>
                <w:color w:val="000000"/>
                <w:sz w:val="18"/>
                <w:szCs w:val="18"/>
              </w:rPr>
              <w:t>(1.1)</w:t>
            </w:r>
          </w:p>
        </w:tc>
        <w:tc>
          <w:tcPr>
            <w:tcW w:w="850" w:type="dxa"/>
            <w:gridSpan w:val="2"/>
            <w:tcBorders>
              <w:top w:val="nil"/>
              <w:left w:val="nil"/>
              <w:bottom w:val="single" w:sz="8" w:space="0" w:color="auto"/>
              <w:right w:val="single" w:sz="8" w:space="0" w:color="auto"/>
            </w:tcBorders>
            <w:shd w:val="clear" w:color="auto" w:fill="auto"/>
            <w:noWrap/>
            <w:vAlign w:val="center"/>
            <w:hideMark/>
          </w:tcPr>
          <w:p w:rsidR="00B43A2F" w:rsidRPr="00EB2995" w:rsidRDefault="00B43A2F" w:rsidP="00B43A2F">
            <w:pPr>
              <w:jc w:val="right"/>
              <w:rPr>
                <w:rFonts w:cs="Calibri"/>
                <w:color w:val="000000"/>
                <w:sz w:val="18"/>
                <w:szCs w:val="18"/>
                <w:lang w:eastAsia="en-GB"/>
              </w:rPr>
            </w:pPr>
            <w:r w:rsidRPr="00EB2995">
              <w:rPr>
                <w:rFonts w:cs="Calibri"/>
                <w:color w:val="000000"/>
                <w:sz w:val="18"/>
                <w:szCs w:val="18"/>
              </w:rPr>
              <w:t>0.0</w:t>
            </w:r>
          </w:p>
        </w:tc>
        <w:tc>
          <w:tcPr>
            <w:tcW w:w="1134" w:type="dxa"/>
            <w:gridSpan w:val="2"/>
            <w:tcBorders>
              <w:top w:val="nil"/>
              <w:left w:val="nil"/>
              <w:bottom w:val="single" w:sz="8" w:space="0" w:color="auto"/>
              <w:right w:val="single" w:sz="8" w:space="0" w:color="auto"/>
            </w:tcBorders>
            <w:shd w:val="clear" w:color="auto" w:fill="auto"/>
            <w:noWrap/>
            <w:vAlign w:val="center"/>
            <w:hideMark/>
          </w:tcPr>
          <w:p w:rsidR="00B43A2F" w:rsidRPr="00EB2995" w:rsidRDefault="00B43A2F" w:rsidP="00B43A2F">
            <w:pPr>
              <w:jc w:val="right"/>
              <w:rPr>
                <w:rFonts w:cs="Calibri"/>
                <w:color w:val="000000"/>
                <w:sz w:val="18"/>
                <w:szCs w:val="18"/>
                <w:lang w:eastAsia="en-GB"/>
              </w:rPr>
            </w:pPr>
            <w:r w:rsidRPr="00EB2995">
              <w:rPr>
                <w:rFonts w:cs="Calibri"/>
                <w:color w:val="000000"/>
                <w:sz w:val="18"/>
                <w:szCs w:val="18"/>
              </w:rPr>
              <w:t>0.0</w:t>
            </w:r>
          </w:p>
        </w:tc>
        <w:tc>
          <w:tcPr>
            <w:tcW w:w="851" w:type="dxa"/>
            <w:gridSpan w:val="2"/>
            <w:tcBorders>
              <w:top w:val="nil"/>
              <w:left w:val="nil"/>
              <w:bottom w:val="single" w:sz="8" w:space="0" w:color="auto"/>
              <w:right w:val="single" w:sz="8" w:space="0" w:color="auto"/>
            </w:tcBorders>
            <w:shd w:val="clear" w:color="auto" w:fill="auto"/>
            <w:noWrap/>
            <w:vAlign w:val="center"/>
            <w:hideMark/>
          </w:tcPr>
          <w:p w:rsidR="00B43A2F" w:rsidRPr="00EB2995" w:rsidRDefault="00B43A2F" w:rsidP="00B43A2F">
            <w:pPr>
              <w:jc w:val="right"/>
              <w:rPr>
                <w:rFonts w:cs="Calibri"/>
                <w:color w:val="000000"/>
                <w:sz w:val="18"/>
                <w:szCs w:val="18"/>
                <w:lang w:eastAsia="en-GB"/>
              </w:rPr>
            </w:pPr>
            <w:r w:rsidRPr="00EB2995">
              <w:rPr>
                <w:rFonts w:cs="Calibri"/>
                <w:color w:val="000000"/>
                <w:sz w:val="18"/>
                <w:szCs w:val="18"/>
              </w:rPr>
              <w:t>0.0</w:t>
            </w:r>
          </w:p>
        </w:tc>
        <w:tc>
          <w:tcPr>
            <w:tcW w:w="1275" w:type="dxa"/>
            <w:gridSpan w:val="2"/>
            <w:tcBorders>
              <w:top w:val="nil"/>
              <w:left w:val="nil"/>
              <w:bottom w:val="single" w:sz="8" w:space="0" w:color="auto"/>
              <w:right w:val="single" w:sz="8" w:space="0" w:color="auto"/>
            </w:tcBorders>
            <w:shd w:val="clear" w:color="auto" w:fill="auto"/>
            <w:noWrap/>
            <w:vAlign w:val="center"/>
            <w:hideMark/>
          </w:tcPr>
          <w:p w:rsidR="00B43A2F" w:rsidRPr="00EB2995" w:rsidRDefault="00B43A2F" w:rsidP="00B43A2F">
            <w:pPr>
              <w:jc w:val="right"/>
              <w:rPr>
                <w:rFonts w:cs="Calibri"/>
                <w:color w:val="000000"/>
                <w:sz w:val="18"/>
                <w:szCs w:val="18"/>
                <w:lang w:eastAsia="en-GB"/>
              </w:rPr>
            </w:pPr>
            <w:r w:rsidRPr="00EB2995">
              <w:rPr>
                <w:rFonts w:cs="Calibri"/>
                <w:color w:val="000000"/>
                <w:sz w:val="18"/>
                <w:szCs w:val="18"/>
              </w:rPr>
              <w:t>0.0</w:t>
            </w:r>
          </w:p>
        </w:tc>
        <w:tc>
          <w:tcPr>
            <w:tcW w:w="851" w:type="dxa"/>
            <w:gridSpan w:val="2"/>
            <w:tcBorders>
              <w:top w:val="nil"/>
              <w:left w:val="nil"/>
              <w:bottom w:val="single" w:sz="8" w:space="0" w:color="auto"/>
              <w:right w:val="single" w:sz="8" w:space="0" w:color="auto"/>
            </w:tcBorders>
            <w:shd w:val="clear" w:color="auto" w:fill="auto"/>
            <w:noWrap/>
            <w:vAlign w:val="center"/>
            <w:hideMark/>
          </w:tcPr>
          <w:p w:rsidR="00B43A2F" w:rsidRPr="00EB2995" w:rsidRDefault="00B43A2F" w:rsidP="00B43A2F">
            <w:pPr>
              <w:jc w:val="right"/>
              <w:rPr>
                <w:rFonts w:cs="Calibri"/>
                <w:color w:val="000000"/>
                <w:sz w:val="18"/>
                <w:szCs w:val="18"/>
                <w:lang w:eastAsia="en-GB"/>
              </w:rPr>
            </w:pPr>
            <w:r w:rsidRPr="00EB2995">
              <w:rPr>
                <w:rFonts w:cs="Calibri"/>
                <w:color w:val="000000"/>
                <w:sz w:val="18"/>
                <w:szCs w:val="18"/>
              </w:rPr>
              <w:t>0.0</w:t>
            </w:r>
          </w:p>
        </w:tc>
        <w:tc>
          <w:tcPr>
            <w:tcW w:w="850" w:type="dxa"/>
            <w:gridSpan w:val="2"/>
            <w:tcBorders>
              <w:top w:val="nil"/>
              <w:left w:val="nil"/>
              <w:bottom w:val="single" w:sz="8" w:space="0" w:color="auto"/>
              <w:right w:val="single" w:sz="8" w:space="0" w:color="auto"/>
            </w:tcBorders>
            <w:shd w:val="clear" w:color="auto" w:fill="auto"/>
            <w:noWrap/>
            <w:vAlign w:val="center"/>
            <w:hideMark/>
          </w:tcPr>
          <w:p w:rsidR="00B43A2F" w:rsidRPr="00EB2995" w:rsidRDefault="00B43A2F" w:rsidP="00B43A2F">
            <w:pPr>
              <w:jc w:val="right"/>
              <w:rPr>
                <w:rFonts w:cs="Calibri"/>
                <w:i/>
                <w:iCs/>
                <w:color w:val="000000"/>
                <w:sz w:val="18"/>
                <w:szCs w:val="18"/>
                <w:lang w:eastAsia="en-GB"/>
              </w:rPr>
            </w:pPr>
            <w:r w:rsidRPr="00EB2995">
              <w:rPr>
                <w:rFonts w:cs="Calibri"/>
                <w:i/>
                <w:iCs/>
                <w:color w:val="000000"/>
                <w:sz w:val="18"/>
                <w:szCs w:val="18"/>
              </w:rPr>
              <w:t>0.0</w:t>
            </w:r>
          </w:p>
        </w:tc>
      </w:tr>
      <w:tr w:rsidR="00B43A2F" w:rsidRPr="00EB2995" w:rsidTr="00B43A2F">
        <w:trPr>
          <w:gridAfter w:val="1"/>
          <w:wAfter w:w="8" w:type="dxa"/>
          <w:trHeight w:hRule="exact" w:val="397"/>
        </w:trPr>
        <w:tc>
          <w:tcPr>
            <w:tcW w:w="2835" w:type="dxa"/>
            <w:tcBorders>
              <w:top w:val="nil"/>
              <w:left w:val="single" w:sz="8" w:space="0" w:color="auto"/>
              <w:bottom w:val="single" w:sz="8" w:space="0" w:color="auto"/>
              <w:right w:val="single" w:sz="8" w:space="0" w:color="auto"/>
            </w:tcBorders>
            <w:shd w:val="clear" w:color="auto" w:fill="auto"/>
            <w:vAlign w:val="center"/>
            <w:hideMark/>
          </w:tcPr>
          <w:p w:rsidR="00B43A2F" w:rsidRPr="00EB2995" w:rsidRDefault="00B43A2F" w:rsidP="00B43A2F">
            <w:pPr>
              <w:rPr>
                <w:rFonts w:cs="Calibri"/>
                <w:b/>
                <w:bCs/>
                <w:color w:val="000000"/>
                <w:sz w:val="18"/>
                <w:szCs w:val="18"/>
                <w:lang w:eastAsia="en-GB"/>
              </w:rPr>
            </w:pPr>
            <w:r w:rsidRPr="00EB2995">
              <w:rPr>
                <w:rFonts w:cs="Calibri"/>
                <w:b/>
                <w:bCs/>
                <w:color w:val="000000"/>
                <w:sz w:val="18"/>
                <w:szCs w:val="18"/>
                <w:lang w:eastAsia="en-GB"/>
              </w:rPr>
              <w:t>At 31 March 2019</w:t>
            </w:r>
          </w:p>
        </w:tc>
        <w:tc>
          <w:tcPr>
            <w:tcW w:w="992" w:type="dxa"/>
            <w:tcBorders>
              <w:top w:val="nil"/>
              <w:left w:val="nil"/>
              <w:bottom w:val="single" w:sz="8" w:space="0" w:color="auto"/>
              <w:right w:val="nil"/>
            </w:tcBorders>
            <w:shd w:val="clear" w:color="auto" w:fill="auto"/>
            <w:noWrap/>
            <w:vAlign w:val="center"/>
            <w:hideMark/>
          </w:tcPr>
          <w:p w:rsidR="00B43A2F" w:rsidRPr="00EB2995" w:rsidRDefault="00B43A2F" w:rsidP="00B43A2F">
            <w:pPr>
              <w:jc w:val="right"/>
              <w:rPr>
                <w:rFonts w:cs="Calibri"/>
                <w:b/>
                <w:bCs/>
                <w:color w:val="000000"/>
                <w:sz w:val="18"/>
                <w:szCs w:val="18"/>
                <w:lang w:eastAsia="en-GB"/>
              </w:rPr>
            </w:pPr>
            <w:r w:rsidRPr="00EB2995">
              <w:rPr>
                <w:rFonts w:cs="Calibri"/>
                <w:b/>
                <w:bCs/>
                <w:color w:val="000000"/>
                <w:sz w:val="18"/>
                <w:szCs w:val="18"/>
              </w:rPr>
              <w:t>(7.1)</w:t>
            </w:r>
          </w:p>
        </w:tc>
        <w:tc>
          <w:tcPr>
            <w:tcW w:w="993" w:type="dxa"/>
            <w:gridSpan w:val="2"/>
            <w:tcBorders>
              <w:top w:val="nil"/>
              <w:left w:val="single" w:sz="8" w:space="0" w:color="auto"/>
              <w:bottom w:val="single" w:sz="8" w:space="0" w:color="auto"/>
              <w:right w:val="nil"/>
            </w:tcBorders>
            <w:shd w:val="clear" w:color="auto" w:fill="auto"/>
            <w:noWrap/>
            <w:vAlign w:val="center"/>
            <w:hideMark/>
          </w:tcPr>
          <w:p w:rsidR="00B43A2F" w:rsidRPr="00EB2995" w:rsidRDefault="00B43A2F" w:rsidP="00B43A2F">
            <w:pPr>
              <w:jc w:val="right"/>
              <w:rPr>
                <w:rFonts w:cs="Calibri"/>
                <w:b/>
                <w:bCs/>
                <w:color w:val="000000"/>
                <w:sz w:val="18"/>
                <w:szCs w:val="18"/>
                <w:lang w:eastAsia="en-GB"/>
              </w:rPr>
            </w:pPr>
            <w:r w:rsidRPr="00EB2995">
              <w:rPr>
                <w:rFonts w:cs="Calibri"/>
                <w:b/>
                <w:bCs/>
                <w:color w:val="000000"/>
                <w:sz w:val="18"/>
                <w:szCs w:val="18"/>
              </w:rPr>
              <w:t>(25.8)</w:t>
            </w:r>
          </w:p>
        </w:tc>
        <w:tc>
          <w:tcPr>
            <w:tcW w:w="850" w:type="dxa"/>
            <w:gridSpan w:val="2"/>
            <w:tcBorders>
              <w:top w:val="nil"/>
              <w:left w:val="single" w:sz="8" w:space="0" w:color="auto"/>
              <w:bottom w:val="single" w:sz="8" w:space="0" w:color="auto"/>
              <w:right w:val="nil"/>
            </w:tcBorders>
            <w:shd w:val="clear" w:color="auto" w:fill="auto"/>
            <w:noWrap/>
            <w:vAlign w:val="center"/>
            <w:hideMark/>
          </w:tcPr>
          <w:p w:rsidR="00B43A2F" w:rsidRPr="00EB2995" w:rsidRDefault="00B43A2F" w:rsidP="00B43A2F">
            <w:pPr>
              <w:jc w:val="right"/>
              <w:rPr>
                <w:rFonts w:cs="Calibri"/>
                <w:b/>
                <w:bCs/>
                <w:color w:val="000000"/>
                <w:sz w:val="18"/>
                <w:szCs w:val="18"/>
                <w:lang w:eastAsia="en-GB"/>
              </w:rPr>
            </w:pPr>
            <w:r w:rsidRPr="00EB2995">
              <w:rPr>
                <w:rFonts w:cs="Calibri"/>
                <w:b/>
                <w:bCs/>
                <w:color w:val="000000"/>
                <w:sz w:val="18"/>
                <w:szCs w:val="18"/>
              </w:rPr>
              <w:t>(32.6)</w:t>
            </w:r>
          </w:p>
        </w:tc>
        <w:tc>
          <w:tcPr>
            <w:tcW w:w="1134" w:type="dxa"/>
            <w:gridSpan w:val="2"/>
            <w:tcBorders>
              <w:top w:val="nil"/>
              <w:left w:val="single" w:sz="8" w:space="0" w:color="auto"/>
              <w:bottom w:val="single" w:sz="8" w:space="0" w:color="auto"/>
              <w:right w:val="nil"/>
            </w:tcBorders>
            <w:shd w:val="clear" w:color="auto" w:fill="auto"/>
            <w:noWrap/>
            <w:vAlign w:val="center"/>
            <w:hideMark/>
          </w:tcPr>
          <w:p w:rsidR="00B43A2F" w:rsidRPr="00EB2995" w:rsidRDefault="00B43A2F" w:rsidP="00B43A2F">
            <w:pPr>
              <w:jc w:val="right"/>
              <w:rPr>
                <w:rFonts w:cs="Calibri"/>
                <w:b/>
                <w:bCs/>
                <w:color w:val="000000"/>
                <w:sz w:val="18"/>
                <w:szCs w:val="18"/>
                <w:lang w:eastAsia="en-GB"/>
              </w:rPr>
            </w:pPr>
            <w:r w:rsidRPr="00EB2995">
              <w:rPr>
                <w:rFonts w:cs="Calibri"/>
                <w:b/>
                <w:bCs/>
                <w:color w:val="000000"/>
                <w:sz w:val="18"/>
                <w:szCs w:val="18"/>
              </w:rPr>
              <w:t>(77.9)</w:t>
            </w:r>
          </w:p>
        </w:tc>
        <w:tc>
          <w:tcPr>
            <w:tcW w:w="851" w:type="dxa"/>
            <w:gridSpan w:val="2"/>
            <w:tcBorders>
              <w:top w:val="nil"/>
              <w:left w:val="single" w:sz="8" w:space="0" w:color="auto"/>
              <w:bottom w:val="single" w:sz="8" w:space="0" w:color="auto"/>
              <w:right w:val="nil"/>
            </w:tcBorders>
            <w:shd w:val="clear" w:color="auto" w:fill="auto"/>
            <w:noWrap/>
            <w:vAlign w:val="center"/>
            <w:hideMark/>
          </w:tcPr>
          <w:p w:rsidR="00B43A2F" w:rsidRPr="00EB2995" w:rsidRDefault="00B43A2F" w:rsidP="00B43A2F">
            <w:pPr>
              <w:jc w:val="right"/>
              <w:rPr>
                <w:rFonts w:cs="Calibri"/>
                <w:b/>
                <w:bCs/>
                <w:color w:val="000000"/>
                <w:sz w:val="18"/>
                <w:szCs w:val="18"/>
                <w:lang w:eastAsia="en-GB"/>
              </w:rPr>
            </w:pPr>
            <w:r w:rsidRPr="00EB2995">
              <w:rPr>
                <w:rFonts w:cs="Calibri"/>
                <w:b/>
                <w:bCs/>
                <w:color w:val="000000"/>
                <w:sz w:val="18"/>
                <w:szCs w:val="18"/>
              </w:rPr>
              <w:t>0.0</w:t>
            </w:r>
          </w:p>
        </w:tc>
        <w:tc>
          <w:tcPr>
            <w:tcW w:w="1275" w:type="dxa"/>
            <w:gridSpan w:val="2"/>
            <w:tcBorders>
              <w:top w:val="nil"/>
              <w:left w:val="single" w:sz="8" w:space="0" w:color="auto"/>
              <w:bottom w:val="single" w:sz="8" w:space="0" w:color="auto"/>
              <w:right w:val="nil"/>
            </w:tcBorders>
            <w:shd w:val="clear" w:color="auto" w:fill="auto"/>
            <w:noWrap/>
            <w:vAlign w:val="center"/>
            <w:hideMark/>
          </w:tcPr>
          <w:p w:rsidR="00B43A2F" w:rsidRPr="00EB2995" w:rsidRDefault="00B43A2F" w:rsidP="00B43A2F">
            <w:pPr>
              <w:jc w:val="right"/>
              <w:rPr>
                <w:rFonts w:cs="Calibri"/>
                <w:b/>
                <w:bCs/>
                <w:color w:val="000000"/>
                <w:sz w:val="18"/>
                <w:szCs w:val="18"/>
                <w:lang w:eastAsia="en-GB"/>
              </w:rPr>
            </w:pPr>
            <w:r w:rsidRPr="00EB2995">
              <w:rPr>
                <w:rFonts w:cs="Calibri"/>
                <w:b/>
                <w:bCs/>
                <w:color w:val="000000"/>
                <w:sz w:val="18"/>
                <w:szCs w:val="18"/>
              </w:rPr>
              <w:t>0.0</w:t>
            </w:r>
          </w:p>
        </w:tc>
        <w:tc>
          <w:tcPr>
            <w:tcW w:w="851" w:type="dxa"/>
            <w:gridSpan w:val="2"/>
            <w:tcBorders>
              <w:top w:val="nil"/>
              <w:left w:val="single" w:sz="8" w:space="0" w:color="auto"/>
              <w:bottom w:val="single" w:sz="8" w:space="0" w:color="auto"/>
              <w:right w:val="nil"/>
            </w:tcBorders>
            <w:shd w:val="clear" w:color="auto" w:fill="auto"/>
            <w:noWrap/>
            <w:vAlign w:val="center"/>
            <w:hideMark/>
          </w:tcPr>
          <w:p w:rsidR="00B43A2F" w:rsidRPr="00EB2995" w:rsidRDefault="00B43A2F" w:rsidP="00B43A2F">
            <w:pPr>
              <w:jc w:val="right"/>
              <w:rPr>
                <w:rFonts w:cs="Calibri"/>
                <w:b/>
                <w:bCs/>
                <w:color w:val="000000"/>
                <w:sz w:val="18"/>
                <w:szCs w:val="18"/>
                <w:lang w:eastAsia="en-GB"/>
              </w:rPr>
            </w:pPr>
            <w:r w:rsidRPr="00EB2995">
              <w:rPr>
                <w:rFonts w:cs="Calibri"/>
                <w:b/>
                <w:bCs/>
                <w:color w:val="000000"/>
                <w:sz w:val="18"/>
                <w:szCs w:val="18"/>
              </w:rPr>
              <w:t>(143.4)</w:t>
            </w:r>
          </w:p>
        </w:tc>
        <w:tc>
          <w:tcPr>
            <w:tcW w:w="850" w:type="dxa"/>
            <w:gridSpan w:val="2"/>
            <w:tcBorders>
              <w:top w:val="nil"/>
              <w:left w:val="single" w:sz="8" w:space="0" w:color="auto"/>
              <w:bottom w:val="single" w:sz="8" w:space="0" w:color="auto"/>
              <w:right w:val="single" w:sz="8" w:space="0" w:color="auto"/>
            </w:tcBorders>
            <w:shd w:val="clear" w:color="auto" w:fill="auto"/>
            <w:noWrap/>
            <w:vAlign w:val="center"/>
            <w:hideMark/>
          </w:tcPr>
          <w:p w:rsidR="00B43A2F" w:rsidRPr="00EB2995" w:rsidRDefault="00B43A2F" w:rsidP="00B43A2F">
            <w:pPr>
              <w:jc w:val="right"/>
              <w:rPr>
                <w:rFonts w:cs="Calibri"/>
                <w:b/>
                <w:bCs/>
                <w:color w:val="000000"/>
                <w:sz w:val="18"/>
                <w:szCs w:val="18"/>
                <w:lang w:eastAsia="en-GB"/>
              </w:rPr>
            </w:pPr>
            <w:r w:rsidRPr="00EB2995">
              <w:rPr>
                <w:rFonts w:cs="Calibri"/>
                <w:b/>
                <w:bCs/>
                <w:i/>
                <w:iCs/>
                <w:color w:val="000000"/>
                <w:sz w:val="18"/>
                <w:szCs w:val="18"/>
              </w:rPr>
              <w:t>(14.1)</w:t>
            </w:r>
          </w:p>
        </w:tc>
      </w:tr>
      <w:tr w:rsidR="00B43A2F" w:rsidRPr="00EB2995" w:rsidTr="00B43A2F">
        <w:trPr>
          <w:trHeight w:hRule="exact" w:val="397"/>
        </w:trPr>
        <w:tc>
          <w:tcPr>
            <w:tcW w:w="4828" w:type="dxa"/>
            <w:gridSpan w:val="5"/>
            <w:tcBorders>
              <w:top w:val="single" w:sz="8" w:space="0" w:color="auto"/>
              <w:left w:val="nil"/>
              <w:bottom w:val="single" w:sz="8" w:space="0" w:color="auto"/>
              <w:right w:val="nil"/>
            </w:tcBorders>
            <w:shd w:val="clear" w:color="auto" w:fill="auto"/>
            <w:vAlign w:val="center"/>
            <w:hideMark/>
          </w:tcPr>
          <w:p w:rsidR="00B43A2F" w:rsidRPr="00EB2995" w:rsidRDefault="00B43A2F" w:rsidP="00B43A2F">
            <w:pPr>
              <w:rPr>
                <w:rFonts w:cs="Calibri"/>
                <w:b/>
                <w:bCs/>
                <w:color w:val="000000"/>
                <w:sz w:val="18"/>
                <w:szCs w:val="18"/>
                <w:lang w:eastAsia="en-GB"/>
              </w:rPr>
            </w:pPr>
            <w:r w:rsidRPr="00EB2995">
              <w:rPr>
                <w:rFonts w:cs="Calibri"/>
                <w:b/>
                <w:bCs/>
                <w:color w:val="000000"/>
                <w:sz w:val="18"/>
                <w:szCs w:val="18"/>
                <w:lang w:eastAsia="en-GB"/>
              </w:rPr>
              <w:t>Balance Sheet  Net Book Values (NBV)</w:t>
            </w:r>
          </w:p>
        </w:tc>
        <w:tc>
          <w:tcPr>
            <w:tcW w:w="850" w:type="dxa"/>
            <w:gridSpan w:val="2"/>
            <w:tcBorders>
              <w:top w:val="nil"/>
              <w:left w:val="nil"/>
              <w:bottom w:val="single" w:sz="8" w:space="0" w:color="auto"/>
              <w:right w:val="nil"/>
            </w:tcBorders>
            <w:shd w:val="clear" w:color="auto" w:fill="auto"/>
            <w:noWrap/>
            <w:vAlign w:val="center"/>
            <w:hideMark/>
          </w:tcPr>
          <w:p w:rsidR="00B43A2F" w:rsidRPr="00EB2995" w:rsidRDefault="00B43A2F" w:rsidP="00B43A2F">
            <w:pPr>
              <w:rPr>
                <w:rFonts w:cs="Calibri"/>
                <w:b/>
                <w:bCs/>
                <w:color w:val="000000"/>
                <w:sz w:val="18"/>
                <w:szCs w:val="18"/>
                <w:lang w:eastAsia="en-GB"/>
              </w:rPr>
            </w:pPr>
            <w:r w:rsidRPr="00EB2995">
              <w:rPr>
                <w:rFonts w:cs="Calibri"/>
                <w:b/>
                <w:bCs/>
                <w:color w:val="000000"/>
                <w:sz w:val="18"/>
                <w:szCs w:val="18"/>
                <w:lang w:eastAsia="en-GB"/>
              </w:rPr>
              <w:t> </w:t>
            </w:r>
          </w:p>
        </w:tc>
        <w:tc>
          <w:tcPr>
            <w:tcW w:w="1134" w:type="dxa"/>
            <w:gridSpan w:val="2"/>
            <w:tcBorders>
              <w:top w:val="nil"/>
              <w:left w:val="nil"/>
              <w:bottom w:val="single" w:sz="8" w:space="0" w:color="auto"/>
              <w:right w:val="nil"/>
            </w:tcBorders>
            <w:shd w:val="clear" w:color="auto" w:fill="auto"/>
            <w:noWrap/>
            <w:vAlign w:val="center"/>
            <w:hideMark/>
          </w:tcPr>
          <w:p w:rsidR="00B43A2F" w:rsidRPr="00EB2995" w:rsidRDefault="00B43A2F" w:rsidP="00B43A2F">
            <w:pPr>
              <w:rPr>
                <w:rFonts w:cs="Calibri"/>
                <w:b/>
                <w:bCs/>
                <w:color w:val="000000"/>
                <w:sz w:val="18"/>
                <w:szCs w:val="18"/>
                <w:lang w:eastAsia="en-GB"/>
              </w:rPr>
            </w:pPr>
            <w:r w:rsidRPr="00EB2995">
              <w:rPr>
                <w:rFonts w:cs="Calibri"/>
                <w:b/>
                <w:bCs/>
                <w:color w:val="000000"/>
                <w:sz w:val="18"/>
                <w:szCs w:val="18"/>
                <w:lang w:eastAsia="en-GB"/>
              </w:rPr>
              <w:t> </w:t>
            </w:r>
          </w:p>
        </w:tc>
        <w:tc>
          <w:tcPr>
            <w:tcW w:w="851" w:type="dxa"/>
            <w:gridSpan w:val="2"/>
            <w:tcBorders>
              <w:top w:val="nil"/>
              <w:left w:val="nil"/>
              <w:bottom w:val="single" w:sz="8" w:space="0" w:color="auto"/>
              <w:right w:val="nil"/>
            </w:tcBorders>
            <w:shd w:val="clear" w:color="auto" w:fill="auto"/>
            <w:noWrap/>
            <w:vAlign w:val="center"/>
            <w:hideMark/>
          </w:tcPr>
          <w:p w:rsidR="00B43A2F" w:rsidRPr="00EB2995" w:rsidRDefault="00B43A2F" w:rsidP="00B43A2F">
            <w:pPr>
              <w:rPr>
                <w:rFonts w:cs="Calibri"/>
                <w:b/>
                <w:bCs/>
                <w:color w:val="000000"/>
                <w:sz w:val="18"/>
                <w:szCs w:val="18"/>
                <w:lang w:eastAsia="en-GB"/>
              </w:rPr>
            </w:pPr>
            <w:r w:rsidRPr="00EB2995">
              <w:rPr>
                <w:rFonts w:cs="Calibri"/>
                <w:b/>
                <w:bCs/>
                <w:color w:val="000000"/>
                <w:sz w:val="18"/>
                <w:szCs w:val="18"/>
                <w:lang w:eastAsia="en-GB"/>
              </w:rPr>
              <w:t> </w:t>
            </w:r>
          </w:p>
        </w:tc>
        <w:tc>
          <w:tcPr>
            <w:tcW w:w="1275" w:type="dxa"/>
            <w:gridSpan w:val="2"/>
            <w:tcBorders>
              <w:top w:val="nil"/>
              <w:left w:val="nil"/>
              <w:bottom w:val="single" w:sz="8" w:space="0" w:color="auto"/>
              <w:right w:val="nil"/>
            </w:tcBorders>
            <w:shd w:val="clear" w:color="auto" w:fill="auto"/>
            <w:noWrap/>
            <w:vAlign w:val="center"/>
            <w:hideMark/>
          </w:tcPr>
          <w:p w:rsidR="00B43A2F" w:rsidRPr="00EB2995" w:rsidRDefault="00B43A2F" w:rsidP="00B43A2F">
            <w:pPr>
              <w:rPr>
                <w:rFonts w:cs="Calibri"/>
                <w:b/>
                <w:bCs/>
                <w:color w:val="000000"/>
                <w:sz w:val="18"/>
                <w:szCs w:val="18"/>
                <w:lang w:eastAsia="en-GB"/>
              </w:rPr>
            </w:pPr>
            <w:r w:rsidRPr="00EB2995">
              <w:rPr>
                <w:rFonts w:cs="Calibri"/>
                <w:b/>
                <w:bCs/>
                <w:color w:val="000000"/>
                <w:sz w:val="18"/>
                <w:szCs w:val="18"/>
                <w:lang w:eastAsia="en-GB"/>
              </w:rPr>
              <w:t> </w:t>
            </w:r>
          </w:p>
        </w:tc>
        <w:tc>
          <w:tcPr>
            <w:tcW w:w="851" w:type="dxa"/>
            <w:gridSpan w:val="2"/>
            <w:tcBorders>
              <w:top w:val="nil"/>
              <w:left w:val="nil"/>
              <w:bottom w:val="single" w:sz="8" w:space="0" w:color="auto"/>
              <w:right w:val="nil"/>
            </w:tcBorders>
            <w:shd w:val="clear" w:color="auto" w:fill="auto"/>
            <w:noWrap/>
            <w:vAlign w:val="center"/>
            <w:hideMark/>
          </w:tcPr>
          <w:p w:rsidR="00B43A2F" w:rsidRPr="00EB2995" w:rsidRDefault="00B43A2F" w:rsidP="00B43A2F">
            <w:pPr>
              <w:rPr>
                <w:rFonts w:cs="Calibri"/>
                <w:b/>
                <w:bCs/>
                <w:color w:val="000000"/>
                <w:sz w:val="18"/>
                <w:szCs w:val="18"/>
                <w:lang w:eastAsia="en-GB"/>
              </w:rPr>
            </w:pPr>
            <w:r w:rsidRPr="00EB2995">
              <w:rPr>
                <w:rFonts w:cs="Calibri"/>
                <w:b/>
                <w:bCs/>
                <w:color w:val="000000"/>
                <w:sz w:val="18"/>
                <w:szCs w:val="18"/>
                <w:lang w:eastAsia="en-GB"/>
              </w:rPr>
              <w:t> </w:t>
            </w:r>
          </w:p>
        </w:tc>
        <w:tc>
          <w:tcPr>
            <w:tcW w:w="850" w:type="dxa"/>
            <w:gridSpan w:val="2"/>
            <w:tcBorders>
              <w:top w:val="nil"/>
              <w:left w:val="nil"/>
              <w:bottom w:val="single" w:sz="8" w:space="0" w:color="auto"/>
              <w:right w:val="nil"/>
            </w:tcBorders>
            <w:shd w:val="clear" w:color="auto" w:fill="auto"/>
            <w:noWrap/>
            <w:vAlign w:val="center"/>
            <w:hideMark/>
          </w:tcPr>
          <w:p w:rsidR="00B43A2F" w:rsidRPr="00EB2995" w:rsidRDefault="00B43A2F" w:rsidP="00B43A2F">
            <w:pPr>
              <w:rPr>
                <w:rFonts w:cs="Calibri"/>
                <w:b/>
                <w:bCs/>
                <w:i/>
                <w:iCs/>
                <w:color w:val="000000"/>
                <w:sz w:val="18"/>
                <w:szCs w:val="18"/>
                <w:lang w:eastAsia="en-GB"/>
              </w:rPr>
            </w:pPr>
            <w:r w:rsidRPr="00EB2995">
              <w:rPr>
                <w:rFonts w:cs="Calibri"/>
                <w:b/>
                <w:bCs/>
                <w:i/>
                <w:iCs/>
                <w:color w:val="000000"/>
                <w:sz w:val="18"/>
                <w:szCs w:val="18"/>
                <w:lang w:eastAsia="en-GB"/>
              </w:rPr>
              <w:t> </w:t>
            </w:r>
          </w:p>
        </w:tc>
      </w:tr>
      <w:tr w:rsidR="00B43A2F" w:rsidRPr="00EB2995" w:rsidTr="00B43A2F">
        <w:trPr>
          <w:gridAfter w:val="1"/>
          <w:wAfter w:w="8" w:type="dxa"/>
          <w:trHeight w:hRule="exact" w:val="628"/>
        </w:trPr>
        <w:tc>
          <w:tcPr>
            <w:tcW w:w="2835" w:type="dxa"/>
            <w:tcBorders>
              <w:top w:val="nil"/>
              <w:left w:val="single" w:sz="8" w:space="0" w:color="auto"/>
              <w:bottom w:val="single" w:sz="8" w:space="0" w:color="auto"/>
              <w:right w:val="single" w:sz="8" w:space="0" w:color="auto"/>
            </w:tcBorders>
            <w:shd w:val="clear" w:color="auto" w:fill="auto"/>
            <w:vAlign w:val="center"/>
            <w:hideMark/>
          </w:tcPr>
          <w:p w:rsidR="00B43A2F" w:rsidRPr="00EB2995" w:rsidRDefault="00B43A2F" w:rsidP="00B43A2F">
            <w:pPr>
              <w:rPr>
                <w:rFonts w:cs="Calibri"/>
                <w:b/>
                <w:bCs/>
                <w:color w:val="000000"/>
                <w:sz w:val="18"/>
                <w:szCs w:val="18"/>
                <w:lang w:eastAsia="en-GB"/>
              </w:rPr>
            </w:pPr>
            <w:r w:rsidRPr="00EB2995">
              <w:rPr>
                <w:rFonts w:cs="Calibri"/>
                <w:b/>
                <w:bCs/>
                <w:color w:val="000000"/>
                <w:sz w:val="18"/>
                <w:szCs w:val="18"/>
                <w:lang w:eastAsia="en-GB"/>
              </w:rPr>
              <w:t>Balance Sheet NBV at 31 March 2019</w:t>
            </w:r>
          </w:p>
        </w:tc>
        <w:tc>
          <w:tcPr>
            <w:tcW w:w="992" w:type="dxa"/>
            <w:tcBorders>
              <w:top w:val="nil"/>
              <w:left w:val="nil"/>
              <w:bottom w:val="single" w:sz="8" w:space="0" w:color="auto"/>
              <w:right w:val="single" w:sz="8" w:space="0" w:color="auto"/>
            </w:tcBorders>
            <w:shd w:val="clear" w:color="auto" w:fill="auto"/>
            <w:noWrap/>
            <w:vAlign w:val="center"/>
            <w:hideMark/>
          </w:tcPr>
          <w:p w:rsidR="00B43A2F" w:rsidRPr="00EB2995" w:rsidRDefault="00B43A2F" w:rsidP="00B43A2F">
            <w:pPr>
              <w:jc w:val="right"/>
              <w:rPr>
                <w:rFonts w:cs="Calibri"/>
                <w:b/>
                <w:bCs/>
                <w:color w:val="000000"/>
                <w:sz w:val="18"/>
                <w:szCs w:val="18"/>
                <w:lang w:eastAsia="en-GB"/>
              </w:rPr>
            </w:pPr>
            <w:r w:rsidRPr="00EB2995">
              <w:rPr>
                <w:rFonts w:cs="Calibri"/>
                <w:b/>
                <w:bCs/>
                <w:color w:val="000000"/>
                <w:sz w:val="18"/>
                <w:szCs w:val="18"/>
              </w:rPr>
              <w:t>602.2</w:t>
            </w:r>
          </w:p>
        </w:tc>
        <w:tc>
          <w:tcPr>
            <w:tcW w:w="993" w:type="dxa"/>
            <w:gridSpan w:val="2"/>
            <w:tcBorders>
              <w:top w:val="nil"/>
              <w:left w:val="nil"/>
              <w:bottom w:val="single" w:sz="8" w:space="0" w:color="auto"/>
              <w:right w:val="single" w:sz="8" w:space="0" w:color="auto"/>
            </w:tcBorders>
            <w:shd w:val="clear" w:color="auto" w:fill="auto"/>
            <w:noWrap/>
            <w:vAlign w:val="center"/>
            <w:hideMark/>
          </w:tcPr>
          <w:p w:rsidR="00B43A2F" w:rsidRPr="00EB2995" w:rsidRDefault="00B43A2F" w:rsidP="00B43A2F">
            <w:pPr>
              <w:jc w:val="right"/>
              <w:rPr>
                <w:rFonts w:cs="Calibri"/>
                <w:b/>
                <w:bCs/>
                <w:color w:val="000000"/>
                <w:sz w:val="18"/>
                <w:szCs w:val="18"/>
                <w:lang w:eastAsia="en-GB"/>
              </w:rPr>
            </w:pPr>
            <w:r w:rsidRPr="00EB2995">
              <w:rPr>
                <w:rFonts w:cs="Calibri"/>
                <w:b/>
                <w:bCs/>
                <w:color w:val="000000"/>
                <w:sz w:val="18"/>
                <w:szCs w:val="18"/>
              </w:rPr>
              <w:t>798.6</w:t>
            </w:r>
          </w:p>
        </w:tc>
        <w:tc>
          <w:tcPr>
            <w:tcW w:w="850" w:type="dxa"/>
            <w:gridSpan w:val="2"/>
            <w:tcBorders>
              <w:top w:val="nil"/>
              <w:left w:val="nil"/>
              <w:bottom w:val="single" w:sz="8" w:space="0" w:color="auto"/>
              <w:right w:val="single" w:sz="8" w:space="0" w:color="auto"/>
            </w:tcBorders>
            <w:shd w:val="clear" w:color="auto" w:fill="auto"/>
            <w:noWrap/>
            <w:vAlign w:val="center"/>
            <w:hideMark/>
          </w:tcPr>
          <w:p w:rsidR="00B43A2F" w:rsidRPr="00EB2995" w:rsidRDefault="00B43A2F" w:rsidP="00B43A2F">
            <w:pPr>
              <w:jc w:val="right"/>
              <w:rPr>
                <w:rFonts w:cs="Calibri"/>
                <w:b/>
                <w:bCs/>
                <w:color w:val="000000"/>
                <w:sz w:val="18"/>
                <w:szCs w:val="18"/>
                <w:lang w:eastAsia="en-GB"/>
              </w:rPr>
            </w:pPr>
            <w:r w:rsidRPr="00EB2995">
              <w:rPr>
                <w:rFonts w:cs="Calibri"/>
                <w:b/>
                <w:bCs/>
                <w:color w:val="000000"/>
                <w:sz w:val="18"/>
                <w:szCs w:val="18"/>
              </w:rPr>
              <w:t>21.5</w:t>
            </w:r>
          </w:p>
        </w:tc>
        <w:tc>
          <w:tcPr>
            <w:tcW w:w="1134" w:type="dxa"/>
            <w:gridSpan w:val="2"/>
            <w:tcBorders>
              <w:top w:val="nil"/>
              <w:left w:val="nil"/>
              <w:bottom w:val="single" w:sz="8" w:space="0" w:color="auto"/>
              <w:right w:val="single" w:sz="8" w:space="0" w:color="auto"/>
            </w:tcBorders>
            <w:shd w:val="clear" w:color="auto" w:fill="auto"/>
            <w:noWrap/>
            <w:vAlign w:val="center"/>
            <w:hideMark/>
          </w:tcPr>
          <w:p w:rsidR="00B43A2F" w:rsidRPr="00EB2995" w:rsidRDefault="00B43A2F" w:rsidP="00B43A2F">
            <w:pPr>
              <w:jc w:val="right"/>
              <w:rPr>
                <w:rFonts w:cs="Calibri"/>
                <w:b/>
                <w:bCs/>
                <w:color w:val="000000"/>
                <w:sz w:val="18"/>
                <w:szCs w:val="18"/>
                <w:lang w:eastAsia="en-GB"/>
              </w:rPr>
            </w:pPr>
            <w:r w:rsidRPr="00EB2995">
              <w:rPr>
                <w:rFonts w:cs="Calibri"/>
                <w:b/>
                <w:bCs/>
                <w:color w:val="000000"/>
                <w:sz w:val="18"/>
                <w:szCs w:val="18"/>
              </w:rPr>
              <w:t>195.5</w:t>
            </w:r>
          </w:p>
        </w:tc>
        <w:tc>
          <w:tcPr>
            <w:tcW w:w="851" w:type="dxa"/>
            <w:gridSpan w:val="2"/>
            <w:tcBorders>
              <w:top w:val="nil"/>
              <w:left w:val="nil"/>
              <w:bottom w:val="single" w:sz="8" w:space="0" w:color="auto"/>
              <w:right w:val="single" w:sz="8" w:space="0" w:color="auto"/>
            </w:tcBorders>
            <w:shd w:val="clear" w:color="auto" w:fill="auto"/>
            <w:noWrap/>
            <w:vAlign w:val="center"/>
            <w:hideMark/>
          </w:tcPr>
          <w:p w:rsidR="00B43A2F" w:rsidRPr="00EB2995" w:rsidRDefault="00B43A2F" w:rsidP="00B43A2F">
            <w:pPr>
              <w:jc w:val="right"/>
              <w:rPr>
                <w:rFonts w:cs="Calibri"/>
                <w:b/>
                <w:bCs/>
                <w:color w:val="000000"/>
                <w:sz w:val="18"/>
                <w:szCs w:val="18"/>
                <w:lang w:eastAsia="en-GB"/>
              </w:rPr>
            </w:pPr>
            <w:r w:rsidRPr="00EB2995">
              <w:rPr>
                <w:rFonts w:cs="Calibri"/>
                <w:b/>
                <w:bCs/>
                <w:color w:val="000000"/>
                <w:sz w:val="18"/>
                <w:szCs w:val="18"/>
              </w:rPr>
              <w:t>8.2</w:t>
            </w:r>
          </w:p>
        </w:tc>
        <w:tc>
          <w:tcPr>
            <w:tcW w:w="1275" w:type="dxa"/>
            <w:gridSpan w:val="2"/>
            <w:tcBorders>
              <w:top w:val="nil"/>
              <w:left w:val="nil"/>
              <w:bottom w:val="single" w:sz="8" w:space="0" w:color="auto"/>
              <w:right w:val="single" w:sz="8" w:space="0" w:color="auto"/>
            </w:tcBorders>
            <w:shd w:val="clear" w:color="auto" w:fill="auto"/>
            <w:noWrap/>
            <w:vAlign w:val="center"/>
            <w:hideMark/>
          </w:tcPr>
          <w:p w:rsidR="00B43A2F" w:rsidRPr="00EB2995" w:rsidRDefault="00B43A2F" w:rsidP="00B43A2F">
            <w:pPr>
              <w:jc w:val="right"/>
              <w:rPr>
                <w:rFonts w:cs="Calibri"/>
                <w:b/>
                <w:bCs/>
                <w:color w:val="000000"/>
                <w:sz w:val="18"/>
                <w:szCs w:val="18"/>
                <w:lang w:eastAsia="en-GB"/>
              </w:rPr>
            </w:pPr>
            <w:r w:rsidRPr="00EB2995">
              <w:rPr>
                <w:rFonts w:cs="Calibri"/>
                <w:b/>
                <w:bCs/>
                <w:color w:val="000000"/>
                <w:sz w:val="18"/>
                <w:szCs w:val="18"/>
              </w:rPr>
              <w:t>44.1</w:t>
            </w:r>
          </w:p>
        </w:tc>
        <w:tc>
          <w:tcPr>
            <w:tcW w:w="851" w:type="dxa"/>
            <w:gridSpan w:val="2"/>
            <w:tcBorders>
              <w:top w:val="nil"/>
              <w:left w:val="nil"/>
              <w:bottom w:val="single" w:sz="8" w:space="0" w:color="auto"/>
              <w:right w:val="single" w:sz="8" w:space="0" w:color="auto"/>
            </w:tcBorders>
            <w:shd w:val="clear" w:color="auto" w:fill="auto"/>
            <w:noWrap/>
            <w:vAlign w:val="center"/>
            <w:hideMark/>
          </w:tcPr>
          <w:p w:rsidR="00B43A2F" w:rsidRPr="00EB2995" w:rsidRDefault="00B43A2F" w:rsidP="00B43A2F">
            <w:pPr>
              <w:jc w:val="right"/>
              <w:rPr>
                <w:rFonts w:cs="Calibri"/>
                <w:b/>
                <w:bCs/>
                <w:color w:val="000000"/>
                <w:sz w:val="18"/>
                <w:szCs w:val="18"/>
                <w:lang w:eastAsia="en-GB"/>
              </w:rPr>
            </w:pPr>
            <w:r w:rsidRPr="00EB2995">
              <w:rPr>
                <w:rFonts w:cs="Calibri"/>
                <w:b/>
                <w:bCs/>
                <w:color w:val="000000"/>
                <w:sz w:val="18"/>
                <w:szCs w:val="18"/>
              </w:rPr>
              <w:t>1,670.1</w:t>
            </w:r>
          </w:p>
        </w:tc>
        <w:tc>
          <w:tcPr>
            <w:tcW w:w="850" w:type="dxa"/>
            <w:gridSpan w:val="2"/>
            <w:tcBorders>
              <w:top w:val="nil"/>
              <w:left w:val="nil"/>
              <w:bottom w:val="single" w:sz="8" w:space="0" w:color="auto"/>
              <w:right w:val="single" w:sz="8" w:space="0" w:color="auto"/>
            </w:tcBorders>
            <w:shd w:val="clear" w:color="auto" w:fill="auto"/>
            <w:noWrap/>
            <w:vAlign w:val="center"/>
            <w:hideMark/>
          </w:tcPr>
          <w:p w:rsidR="00B43A2F" w:rsidRPr="00EB2995" w:rsidRDefault="00B43A2F" w:rsidP="00B43A2F">
            <w:pPr>
              <w:jc w:val="right"/>
              <w:rPr>
                <w:rFonts w:cs="Calibri"/>
                <w:b/>
                <w:bCs/>
                <w:color w:val="000000"/>
                <w:sz w:val="18"/>
                <w:szCs w:val="18"/>
                <w:lang w:eastAsia="en-GB"/>
              </w:rPr>
            </w:pPr>
            <w:r w:rsidRPr="00EB2995">
              <w:rPr>
                <w:rFonts w:cs="Calibri"/>
                <w:b/>
                <w:bCs/>
                <w:i/>
                <w:iCs/>
                <w:color w:val="000000"/>
                <w:sz w:val="18"/>
                <w:szCs w:val="18"/>
              </w:rPr>
              <w:t>114.4</w:t>
            </w:r>
          </w:p>
        </w:tc>
      </w:tr>
      <w:tr w:rsidR="00B43A2F" w:rsidRPr="00EB2995" w:rsidTr="00B43A2F">
        <w:trPr>
          <w:gridAfter w:val="1"/>
          <w:wAfter w:w="8" w:type="dxa"/>
          <w:trHeight w:hRule="exact" w:val="397"/>
        </w:trPr>
        <w:tc>
          <w:tcPr>
            <w:tcW w:w="2835" w:type="dxa"/>
            <w:tcBorders>
              <w:top w:val="nil"/>
              <w:left w:val="single" w:sz="8" w:space="0" w:color="auto"/>
              <w:bottom w:val="single" w:sz="8" w:space="0" w:color="auto"/>
              <w:right w:val="single" w:sz="8" w:space="0" w:color="auto"/>
            </w:tcBorders>
            <w:shd w:val="clear" w:color="auto" w:fill="auto"/>
            <w:vAlign w:val="center"/>
            <w:hideMark/>
          </w:tcPr>
          <w:p w:rsidR="00B43A2F" w:rsidRPr="00EB2995" w:rsidRDefault="00B43A2F" w:rsidP="00B43A2F">
            <w:pPr>
              <w:rPr>
                <w:rFonts w:cs="Calibri"/>
                <w:b/>
                <w:bCs/>
                <w:color w:val="000000"/>
                <w:sz w:val="18"/>
                <w:szCs w:val="18"/>
                <w:lang w:eastAsia="en-GB"/>
              </w:rPr>
            </w:pPr>
            <w:r w:rsidRPr="00EB2995">
              <w:rPr>
                <w:rFonts w:cs="Calibri"/>
                <w:b/>
                <w:bCs/>
                <w:color w:val="000000"/>
                <w:sz w:val="18"/>
                <w:szCs w:val="18"/>
                <w:lang w:eastAsia="en-GB"/>
              </w:rPr>
              <w:t>Balance Sheet NBV at 1 April  2018</w:t>
            </w:r>
          </w:p>
        </w:tc>
        <w:tc>
          <w:tcPr>
            <w:tcW w:w="992" w:type="dxa"/>
            <w:tcBorders>
              <w:top w:val="nil"/>
              <w:left w:val="nil"/>
              <w:bottom w:val="single" w:sz="8" w:space="0" w:color="auto"/>
              <w:right w:val="single" w:sz="8" w:space="0" w:color="auto"/>
            </w:tcBorders>
            <w:shd w:val="clear" w:color="auto" w:fill="auto"/>
            <w:noWrap/>
            <w:vAlign w:val="center"/>
            <w:hideMark/>
          </w:tcPr>
          <w:p w:rsidR="00B43A2F" w:rsidRPr="00EB2995" w:rsidRDefault="00B43A2F" w:rsidP="00B43A2F">
            <w:pPr>
              <w:jc w:val="right"/>
              <w:rPr>
                <w:rFonts w:cs="Calibri"/>
                <w:b/>
                <w:bCs/>
                <w:color w:val="000000"/>
                <w:sz w:val="18"/>
                <w:szCs w:val="18"/>
                <w:lang w:eastAsia="en-GB"/>
              </w:rPr>
            </w:pPr>
            <w:r w:rsidRPr="00EB2995">
              <w:rPr>
                <w:rFonts w:cs="Calibri"/>
                <w:b/>
                <w:bCs/>
                <w:color w:val="000000"/>
                <w:sz w:val="18"/>
                <w:szCs w:val="18"/>
              </w:rPr>
              <w:t>637.8</w:t>
            </w:r>
          </w:p>
        </w:tc>
        <w:tc>
          <w:tcPr>
            <w:tcW w:w="993" w:type="dxa"/>
            <w:gridSpan w:val="2"/>
            <w:tcBorders>
              <w:top w:val="nil"/>
              <w:left w:val="nil"/>
              <w:bottom w:val="single" w:sz="8" w:space="0" w:color="auto"/>
              <w:right w:val="single" w:sz="8" w:space="0" w:color="auto"/>
            </w:tcBorders>
            <w:shd w:val="clear" w:color="auto" w:fill="auto"/>
            <w:noWrap/>
            <w:vAlign w:val="center"/>
            <w:hideMark/>
          </w:tcPr>
          <w:p w:rsidR="00B43A2F" w:rsidRPr="00EB2995" w:rsidRDefault="00B43A2F" w:rsidP="00B43A2F">
            <w:pPr>
              <w:jc w:val="right"/>
              <w:rPr>
                <w:rFonts w:cs="Calibri"/>
                <w:b/>
                <w:bCs/>
                <w:color w:val="000000"/>
                <w:sz w:val="18"/>
                <w:szCs w:val="18"/>
                <w:lang w:eastAsia="en-GB"/>
              </w:rPr>
            </w:pPr>
            <w:r w:rsidRPr="00EB2995">
              <w:rPr>
                <w:rFonts w:cs="Calibri"/>
                <w:b/>
                <w:bCs/>
                <w:color w:val="000000"/>
                <w:sz w:val="18"/>
                <w:szCs w:val="18"/>
              </w:rPr>
              <w:t>702.2</w:t>
            </w:r>
          </w:p>
        </w:tc>
        <w:tc>
          <w:tcPr>
            <w:tcW w:w="850" w:type="dxa"/>
            <w:gridSpan w:val="2"/>
            <w:tcBorders>
              <w:top w:val="nil"/>
              <w:left w:val="nil"/>
              <w:bottom w:val="single" w:sz="8" w:space="0" w:color="auto"/>
              <w:right w:val="single" w:sz="8" w:space="0" w:color="auto"/>
            </w:tcBorders>
            <w:shd w:val="clear" w:color="auto" w:fill="auto"/>
            <w:noWrap/>
            <w:vAlign w:val="center"/>
            <w:hideMark/>
          </w:tcPr>
          <w:p w:rsidR="00B43A2F" w:rsidRPr="00EB2995" w:rsidRDefault="00B43A2F" w:rsidP="00B43A2F">
            <w:pPr>
              <w:jc w:val="right"/>
              <w:rPr>
                <w:rFonts w:cs="Calibri"/>
                <w:b/>
                <w:bCs/>
                <w:color w:val="000000"/>
                <w:sz w:val="18"/>
                <w:szCs w:val="18"/>
                <w:lang w:eastAsia="en-GB"/>
              </w:rPr>
            </w:pPr>
            <w:r w:rsidRPr="00EB2995">
              <w:rPr>
                <w:rFonts w:cs="Calibri"/>
                <w:b/>
                <w:bCs/>
                <w:color w:val="000000"/>
                <w:sz w:val="18"/>
                <w:szCs w:val="18"/>
              </w:rPr>
              <w:t>12.1</w:t>
            </w:r>
          </w:p>
        </w:tc>
        <w:tc>
          <w:tcPr>
            <w:tcW w:w="1134" w:type="dxa"/>
            <w:gridSpan w:val="2"/>
            <w:tcBorders>
              <w:top w:val="nil"/>
              <w:left w:val="nil"/>
              <w:bottom w:val="single" w:sz="8" w:space="0" w:color="auto"/>
              <w:right w:val="single" w:sz="8" w:space="0" w:color="auto"/>
            </w:tcBorders>
            <w:shd w:val="clear" w:color="auto" w:fill="auto"/>
            <w:noWrap/>
            <w:vAlign w:val="center"/>
            <w:hideMark/>
          </w:tcPr>
          <w:p w:rsidR="00B43A2F" w:rsidRPr="00EB2995" w:rsidRDefault="00B43A2F" w:rsidP="00B43A2F">
            <w:pPr>
              <w:jc w:val="right"/>
              <w:rPr>
                <w:rFonts w:cs="Calibri"/>
                <w:b/>
                <w:bCs/>
                <w:color w:val="000000"/>
                <w:sz w:val="18"/>
                <w:szCs w:val="18"/>
                <w:lang w:eastAsia="en-GB"/>
              </w:rPr>
            </w:pPr>
            <w:r w:rsidRPr="00EB2995">
              <w:rPr>
                <w:rFonts w:cs="Calibri"/>
                <w:b/>
                <w:bCs/>
                <w:color w:val="000000"/>
                <w:sz w:val="18"/>
                <w:szCs w:val="18"/>
              </w:rPr>
              <w:t>187.1</w:t>
            </w:r>
          </w:p>
        </w:tc>
        <w:tc>
          <w:tcPr>
            <w:tcW w:w="851" w:type="dxa"/>
            <w:gridSpan w:val="2"/>
            <w:tcBorders>
              <w:top w:val="nil"/>
              <w:left w:val="nil"/>
              <w:bottom w:val="single" w:sz="8" w:space="0" w:color="auto"/>
              <w:right w:val="single" w:sz="8" w:space="0" w:color="auto"/>
            </w:tcBorders>
            <w:shd w:val="clear" w:color="auto" w:fill="auto"/>
            <w:noWrap/>
            <w:vAlign w:val="center"/>
            <w:hideMark/>
          </w:tcPr>
          <w:p w:rsidR="00B43A2F" w:rsidRPr="00EB2995" w:rsidRDefault="00B43A2F" w:rsidP="00B43A2F">
            <w:pPr>
              <w:jc w:val="right"/>
              <w:rPr>
                <w:rFonts w:cs="Calibri"/>
                <w:b/>
                <w:bCs/>
                <w:color w:val="000000"/>
                <w:sz w:val="18"/>
                <w:szCs w:val="18"/>
                <w:lang w:eastAsia="en-GB"/>
              </w:rPr>
            </w:pPr>
            <w:r w:rsidRPr="00EB2995">
              <w:rPr>
                <w:rFonts w:cs="Calibri"/>
                <w:b/>
                <w:bCs/>
                <w:color w:val="000000"/>
                <w:sz w:val="18"/>
                <w:szCs w:val="18"/>
              </w:rPr>
              <w:t>3.9</w:t>
            </w:r>
          </w:p>
        </w:tc>
        <w:tc>
          <w:tcPr>
            <w:tcW w:w="1275" w:type="dxa"/>
            <w:gridSpan w:val="2"/>
            <w:tcBorders>
              <w:top w:val="nil"/>
              <w:left w:val="nil"/>
              <w:bottom w:val="single" w:sz="8" w:space="0" w:color="auto"/>
              <w:right w:val="single" w:sz="8" w:space="0" w:color="auto"/>
            </w:tcBorders>
            <w:shd w:val="clear" w:color="auto" w:fill="auto"/>
            <w:noWrap/>
            <w:vAlign w:val="center"/>
            <w:hideMark/>
          </w:tcPr>
          <w:p w:rsidR="00B43A2F" w:rsidRPr="00EB2995" w:rsidRDefault="00B43A2F" w:rsidP="00B43A2F">
            <w:pPr>
              <w:jc w:val="right"/>
              <w:rPr>
                <w:rFonts w:cs="Calibri"/>
                <w:b/>
                <w:bCs/>
                <w:color w:val="000000"/>
                <w:sz w:val="18"/>
                <w:szCs w:val="18"/>
                <w:lang w:eastAsia="en-GB"/>
              </w:rPr>
            </w:pPr>
            <w:r w:rsidRPr="00EB2995">
              <w:rPr>
                <w:rFonts w:cs="Calibri"/>
                <w:b/>
                <w:bCs/>
                <w:color w:val="000000"/>
                <w:sz w:val="18"/>
                <w:szCs w:val="18"/>
              </w:rPr>
              <w:t>63.7</w:t>
            </w:r>
          </w:p>
        </w:tc>
        <w:tc>
          <w:tcPr>
            <w:tcW w:w="851" w:type="dxa"/>
            <w:gridSpan w:val="2"/>
            <w:tcBorders>
              <w:top w:val="nil"/>
              <w:left w:val="nil"/>
              <w:bottom w:val="single" w:sz="8" w:space="0" w:color="auto"/>
              <w:right w:val="single" w:sz="8" w:space="0" w:color="auto"/>
            </w:tcBorders>
            <w:shd w:val="clear" w:color="auto" w:fill="auto"/>
            <w:noWrap/>
            <w:vAlign w:val="center"/>
            <w:hideMark/>
          </w:tcPr>
          <w:p w:rsidR="00B43A2F" w:rsidRPr="00EB2995" w:rsidRDefault="00B43A2F" w:rsidP="00B43A2F">
            <w:pPr>
              <w:jc w:val="right"/>
              <w:rPr>
                <w:rFonts w:cs="Calibri"/>
                <w:b/>
                <w:bCs/>
                <w:color w:val="000000"/>
                <w:sz w:val="18"/>
                <w:szCs w:val="18"/>
                <w:lang w:eastAsia="en-GB"/>
              </w:rPr>
            </w:pPr>
            <w:r w:rsidRPr="00EB2995">
              <w:rPr>
                <w:rFonts w:cs="Calibri"/>
                <w:b/>
                <w:bCs/>
                <w:color w:val="000000"/>
                <w:sz w:val="18"/>
                <w:szCs w:val="18"/>
              </w:rPr>
              <w:t>1,606.8</w:t>
            </w:r>
          </w:p>
        </w:tc>
        <w:tc>
          <w:tcPr>
            <w:tcW w:w="850" w:type="dxa"/>
            <w:gridSpan w:val="2"/>
            <w:tcBorders>
              <w:top w:val="nil"/>
              <w:left w:val="nil"/>
              <w:bottom w:val="single" w:sz="8" w:space="0" w:color="auto"/>
              <w:right w:val="single" w:sz="8" w:space="0" w:color="auto"/>
            </w:tcBorders>
            <w:shd w:val="clear" w:color="auto" w:fill="auto"/>
            <w:noWrap/>
            <w:vAlign w:val="center"/>
            <w:hideMark/>
          </w:tcPr>
          <w:p w:rsidR="00B43A2F" w:rsidRPr="00EB2995" w:rsidRDefault="00B43A2F" w:rsidP="00B43A2F">
            <w:pPr>
              <w:jc w:val="right"/>
              <w:rPr>
                <w:rFonts w:cs="Calibri"/>
                <w:b/>
                <w:bCs/>
                <w:color w:val="000000"/>
                <w:sz w:val="18"/>
                <w:szCs w:val="18"/>
                <w:lang w:eastAsia="en-GB"/>
              </w:rPr>
            </w:pPr>
            <w:r w:rsidRPr="00EB2995">
              <w:rPr>
                <w:rFonts w:cs="Calibri"/>
                <w:b/>
                <w:bCs/>
                <w:i/>
                <w:iCs/>
                <w:color w:val="000000"/>
                <w:sz w:val="18"/>
                <w:szCs w:val="18"/>
              </w:rPr>
              <w:t>100.5</w:t>
            </w:r>
          </w:p>
        </w:tc>
      </w:tr>
    </w:tbl>
    <w:p w:rsidR="00F72906" w:rsidRDefault="00F72906" w:rsidP="00F72906">
      <w:r>
        <w:t xml:space="preserve">*Note: PFI Assets included within Land &amp; Buildings, VP&amp;E and infrastructure are also presented in a separate memorandum column to show their total value within the Council’s overall PP&amp;E. Intangible assets are shown in a separate asset classification within the Council’s Balance Sheet </w:t>
      </w:r>
    </w:p>
    <w:p w:rsidR="00F72906" w:rsidRDefault="00F72906" w:rsidP="00B43A2F">
      <w:pPr>
        <w:pStyle w:val="Heading4"/>
      </w:pPr>
      <w:r>
        <w:lastRenderedPageBreak/>
        <w:t>Capital Commitment</w:t>
      </w:r>
    </w:p>
    <w:p w:rsidR="00F72906" w:rsidRDefault="00F72906" w:rsidP="00F72906"/>
    <w:p w:rsidR="00F72906" w:rsidRDefault="00F72906" w:rsidP="00F72906">
      <w:r>
        <w:t>At 31 March 2020, the authority has entered into a number of contracts for the construction or enhancement of property, plant and equipment. The major commitments are:</w:t>
      </w:r>
    </w:p>
    <w:p w:rsidR="00F72906" w:rsidRDefault="00F72906" w:rsidP="00F72906">
      <w:r>
        <w:t>•</w:t>
      </w:r>
      <w:r>
        <w:tab/>
        <w:t>Knowles House- £18.3m</w:t>
      </w:r>
    </w:p>
    <w:p w:rsidR="00F72906" w:rsidRDefault="00F72906" w:rsidP="00F72906">
      <w:r>
        <w:t>•</w:t>
      </w:r>
      <w:r>
        <w:tab/>
        <w:t>Gloucester &amp; Durham- £21.4m</w:t>
      </w:r>
    </w:p>
    <w:p w:rsidR="00EA2048" w:rsidRPr="00EA2048" w:rsidRDefault="00EA2048" w:rsidP="00EA2048">
      <w:pPr>
        <w:pStyle w:val="Heading4"/>
      </w:pPr>
      <w:r w:rsidRPr="00EA2048">
        <w:t>Valuation breakdown</w:t>
      </w:r>
    </w:p>
    <w:p w:rsidR="00EA2048" w:rsidRDefault="00EA2048" w:rsidP="00EA2048">
      <w:pPr>
        <w:jc w:val="both"/>
        <w:rPr>
          <w:rFonts w:cs="Calibri"/>
          <w:b/>
        </w:rPr>
      </w:pPr>
    </w:p>
    <w:tbl>
      <w:tblPr>
        <w:tblW w:w="9386" w:type="dxa"/>
        <w:tblLook w:val="04A0" w:firstRow="1" w:lastRow="0" w:firstColumn="1" w:lastColumn="0" w:noHBand="0" w:noVBand="1"/>
      </w:tblPr>
      <w:tblGrid>
        <w:gridCol w:w="2912"/>
        <w:gridCol w:w="2285"/>
        <w:gridCol w:w="2260"/>
        <w:gridCol w:w="1929"/>
      </w:tblGrid>
      <w:tr w:rsidR="00EA2048" w:rsidRPr="00A96D68" w:rsidTr="001822CA">
        <w:trPr>
          <w:trHeight w:val="403"/>
          <w:tblHeader/>
        </w:trPr>
        <w:tc>
          <w:tcPr>
            <w:tcW w:w="2912" w:type="dxa"/>
            <w:tcBorders>
              <w:top w:val="nil"/>
              <w:left w:val="nil"/>
              <w:bottom w:val="nil"/>
              <w:right w:val="nil"/>
            </w:tcBorders>
            <w:shd w:val="clear" w:color="auto" w:fill="auto"/>
            <w:noWrap/>
            <w:vAlign w:val="bottom"/>
            <w:hideMark/>
          </w:tcPr>
          <w:p w:rsidR="00EA2048" w:rsidRPr="00A96D68" w:rsidRDefault="00EA2048" w:rsidP="00891A96">
            <w:pPr>
              <w:rPr>
                <w:lang w:eastAsia="en-GB"/>
              </w:rPr>
            </w:pPr>
          </w:p>
        </w:tc>
        <w:tc>
          <w:tcPr>
            <w:tcW w:w="2285" w:type="dxa"/>
            <w:tcBorders>
              <w:top w:val="nil"/>
              <w:left w:val="nil"/>
              <w:bottom w:val="nil"/>
              <w:right w:val="nil"/>
            </w:tcBorders>
            <w:shd w:val="clear" w:color="auto" w:fill="auto"/>
            <w:noWrap/>
            <w:vAlign w:val="bottom"/>
            <w:hideMark/>
          </w:tcPr>
          <w:p w:rsidR="00EA2048" w:rsidRPr="00A96D68" w:rsidRDefault="00EA2048" w:rsidP="00891A96">
            <w:pPr>
              <w:rPr>
                <w:rFonts w:cs="Calibri"/>
                <w:color w:val="000000"/>
              </w:rPr>
            </w:pPr>
            <w:r w:rsidRPr="00A96D68">
              <w:rPr>
                <w:rFonts w:cs="Calibri"/>
                <w:color w:val="000000"/>
              </w:rPr>
              <w:t>Council Dwellings</w:t>
            </w:r>
          </w:p>
        </w:tc>
        <w:tc>
          <w:tcPr>
            <w:tcW w:w="2260" w:type="dxa"/>
            <w:tcBorders>
              <w:top w:val="nil"/>
              <w:left w:val="nil"/>
              <w:bottom w:val="nil"/>
              <w:right w:val="nil"/>
            </w:tcBorders>
            <w:shd w:val="clear" w:color="auto" w:fill="auto"/>
            <w:noWrap/>
            <w:vAlign w:val="bottom"/>
            <w:hideMark/>
          </w:tcPr>
          <w:p w:rsidR="00EA2048" w:rsidRPr="00A96D68" w:rsidRDefault="00EA2048" w:rsidP="00891A96">
            <w:pPr>
              <w:rPr>
                <w:rFonts w:cs="Calibri"/>
                <w:color w:val="000000"/>
              </w:rPr>
            </w:pPr>
            <w:r w:rsidRPr="00A96D68">
              <w:rPr>
                <w:rFonts w:cs="Calibri"/>
                <w:color w:val="000000"/>
              </w:rPr>
              <w:t>Land and Building*</w:t>
            </w:r>
          </w:p>
        </w:tc>
        <w:tc>
          <w:tcPr>
            <w:tcW w:w="1929" w:type="dxa"/>
            <w:tcBorders>
              <w:top w:val="nil"/>
              <w:left w:val="nil"/>
              <w:bottom w:val="nil"/>
              <w:right w:val="nil"/>
            </w:tcBorders>
            <w:shd w:val="clear" w:color="auto" w:fill="auto"/>
            <w:noWrap/>
            <w:vAlign w:val="bottom"/>
            <w:hideMark/>
          </w:tcPr>
          <w:p w:rsidR="00EA2048" w:rsidRPr="00A96D68" w:rsidRDefault="00EA2048" w:rsidP="00891A96">
            <w:pPr>
              <w:rPr>
                <w:rFonts w:cs="Calibri"/>
                <w:color w:val="000000"/>
              </w:rPr>
            </w:pPr>
            <w:r w:rsidRPr="00A96D68">
              <w:rPr>
                <w:rFonts w:cs="Calibri"/>
                <w:color w:val="000000"/>
              </w:rPr>
              <w:t xml:space="preserve">Surplus Assets </w:t>
            </w:r>
          </w:p>
        </w:tc>
      </w:tr>
      <w:tr w:rsidR="00EA2048" w:rsidRPr="00A96D68" w:rsidTr="00891A96">
        <w:trPr>
          <w:trHeight w:val="403"/>
        </w:trPr>
        <w:tc>
          <w:tcPr>
            <w:tcW w:w="2912" w:type="dxa"/>
            <w:tcBorders>
              <w:top w:val="nil"/>
              <w:left w:val="nil"/>
              <w:bottom w:val="nil"/>
              <w:right w:val="nil"/>
            </w:tcBorders>
            <w:shd w:val="clear" w:color="auto" w:fill="auto"/>
            <w:noWrap/>
            <w:vAlign w:val="bottom"/>
            <w:hideMark/>
          </w:tcPr>
          <w:p w:rsidR="00EA2048" w:rsidRPr="00A96D68" w:rsidRDefault="00EA2048" w:rsidP="00891A96">
            <w:pPr>
              <w:rPr>
                <w:rFonts w:cs="Calibri"/>
                <w:color w:val="000000"/>
              </w:rPr>
            </w:pPr>
            <w:r w:rsidRPr="00A96D68">
              <w:rPr>
                <w:rFonts w:cs="Calibri"/>
                <w:color w:val="000000"/>
              </w:rPr>
              <w:t>Valuation in 2019/20</w:t>
            </w:r>
          </w:p>
        </w:tc>
        <w:tc>
          <w:tcPr>
            <w:tcW w:w="2285" w:type="dxa"/>
            <w:tcBorders>
              <w:top w:val="nil"/>
              <w:left w:val="nil"/>
              <w:bottom w:val="nil"/>
              <w:right w:val="nil"/>
            </w:tcBorders>
            <w:shd w:val="clear" w:color="auto" w:fill="auto"/>
            <w:noWrap/>
            <w:vAlign w:val="bottom"/>
            <w:hideMark/>
          </w:tcPr>
          <w:p w:rsidR="00EA2048" w:rsidRPr="00A96D68" w:rsidRDefault="00EA2048" w:rsidP="00891A96">
            <w:pPr>
              <w:jc w:val="right"/>
              <w:rPr>
                <w:rFonts w:cs="Calibri"/>
                <w:color w:val="000000"/>
              </w:rPr>
            </w:pPr>
            <w:r w:rsidRPr="00A96D68">
              <w:rPr>
                <w:rFonts w:cs="Calibri"/>
                <w:color w:val="000000"/>
              </w:rPr>
              <w:t>5.9</w:t>
            </w:r>
          </w:p>
        </w:tc>
        <w:tc>
          <w:tcPr>
            <w:tcW w:w="2260" w:type="dxa"/>
            <w:tcBorders>
              <w:top w:val="nil"/>
              <w:left w:val="nil"/>
              <w:bottom w:val="nil"/>
              <w:right w:val="nil"/>
            </w:tcBorders>
            <w:shd w:val="clear" w:color="auto" w:fill="auto"/>
            <w:noWrap/>
            <w:vAlign w:val="bottom"/>
            <w:hideMark/>
          </w:tcPr>
          <w:p w:rsidR="00EA2048" w:rsidRPr="00A96D68" w:rsidRDefault="00EA2048" w:rsidP="00891A96">
            <w:pPr>
              <w:jc w:val="right"/>
              <w:rPr>
                <w:rFonts w:cs="Calibri"/>
                <w:color w:val="000000"/>
              </w:rPr>
            </w:pPr>
            <w:r w:rsidRPr="00A96D68">
              <w:rPr>
                <w:rFonts w:cs="Calibri"/>
                <w:color w:val="000000"/>
              </w:rPr>
              <w:t>520.1</w:t>
            </w:r>
          </w:p>
        </w:tc>
        <w:tc>
          <w:tcPr>
            <w:tcW w:w="1929" w:type="dxa"/>
            <w:tcBorders>
              <w:top w:val="nil"/>
              <w:left w:val="nil"/>
              <w:bottom w:val="nil"/>
              <w:right w:val="nil"/>
            </w:tcBorders>
            <w:shd w:val="clear" w:color="auto" w:fill="auto"/>
            <w:noWrap/>
            <w:vAlign w:val="bottom"/>
            <w:hideMark/>
          </w:tcPr>
          <w:p w:rsidR="00EA2048" w:rsidRPr="00A96D68" w:rsidRDefault="00EA2048" w:rsidP="00891A96">
            <w:pPr>
              <w:jc w:val="right"/>
              <w:rPr>
                <w:rFonts w:cs="Calibri"/>
                <w:color w:val="000000"/>
              </w:rPr>
            </w:pPr>
            <w:r w:rsidRPr="00A96D68">
              <w:rPr>
                <w:rFonts w:cs="Calibri"/>
                <w:color w:val="000000"/>
              </w:rPr>
              <w:t>1.4</w:t>
            </w:r>
          </w:p>
        </w:tc>
      </w:tr>
      <w:tr w:rsidR="00EA2048" w:rsidRPr="00A96D68" w:rsidTr="00891A96">
        <w:trPr>
          <w:trHeight w:val="403"/>
        </w:trPr>
        <w:tc>
          <w:tcPr>
            <w:tcW w:w="2912" w:type="dxa"/>
            <w:tcBorders>
              <w:top w:val="nil"/>
              <w:left w:val="nil"/>
              <w:bottom w:val="nil"/>
              <w:right w:val="nil"/>
            </w:tcBorders>
            <w:shd w:val="clear" w:color="auto" w:fill="auto"/>
            <w:noWrap/>
            <w:vAlign w:val="bottom"/>
            <w:hideMark/>
          </w:tcPr>
          <w:p w:rsidR="00EA2048" w:rsidRPr="00A96D68" w:rsidRDefault="00EA2048" w:rsidP="00891A96">
            <w:pPr>
              <w:rPr>
                <w:rFonts w:cs="Calibri"/>
                <w:color w:val="000000"/>
              </w:rPr>
            </w:pPr>
            <w:r w:rsidRPr="00A96D68">
              <w:rPr>
                <w:rFonts w:cs="Calibri"/>
                <w:color w:val="000000"/>
              </w:rPr>
              <w:t>Valuation in 2018/19</w:t>
            </w:r>
          </w:p>
        </w:tc>
        <w:tc>
          <w:tcPr>
            <w:tcW w:w="2285" w:type="dxa"/>
            <w:tcBorders>
              <w:top w:val="nil"/>
              <w:left w:val="nil"/>
              <w:bottom w:val="nil"/>
              <w:right w:val="nil"/>
            </w:tcBorders>
            <w:shd w:val="clear" w:color="auto" w:fill="auto"/>
            <w:noWrap/>
            <w:vAlign w:val="bottom"/>
            <w:hideMark/>
          </w:tcPr>
          <w:p w:rsidR="00EA2048" w:rsidRPr="00A96D68" w:rsidRDefault="00EA2048" w:rsidP="00891A96">
            <w:pPr>
              <w:jc w:val="right"/>
              <w:rPr>
                <w:rFonts w:cs="Calibri"/>
                <w:color w:val="000000"/>
              </w:rPr>
            </w:pPr>
            <w:r w:rsidRPr="00A96D68">
              <w:rPr>
                <w:rFonts w:cs="Calibri"/>
                <w:color w:val="000000"/>
              </w:rPr>
              <w:t>3.6</w:t>
            </w:r>
          </w:p>
        </w:tc>
        <w:tc>
          <w:tcPr>
            <w:tcW w:w="2260" w:type="dxa"/>
            <w:tcBorders>
              <w:top w:val="nil"/>
              <w:left w:val="nil"/>
              <w:bottom w:val="nil"/>
              <w:right w:val="nil"/>
            </w:tcBorders>
            <w:shd w:val="clear" w:color="auto" w:fill="auto"/>
            <w:noWrap/>
            <w:vAlign w:val="bottom"/>
            <w:hideMark/>
          </w:tcPr>
          <w:p w:rsidR="00EA2048" w:rsidRPr="00A96D68" w:rsidRDefault="00EA2048" w:rsidP="00891A96">
            <w:pPr>
              <w:jc w:val="right"/>
              <w:rPr>
                <w:rFonts w:cs="Calibri"/>
                <w:color w:val="000000"/>
              </w:rPr>
            </w:pPr>
            <w:r w:rsidRPr="00A96D68">
              <w:rPr>
                <w:rFonts w:cs="Calibri"/>
                <w:color w:val="000000"/>
              </w:rPr>
              <w:t>141.1</w:t>
            </w:r>
          </w:p>
        </w:tc>
        <w:tc>
          <w:tcPr>
            <w:tcW w:w="1929" w:type="dxa"/>
            <w:tcBorders>
              <w:top w:val="nil"/>
              <w:left w:val="nil"/>
              <w:bottom w:val="nil"/>
              <w:right w:val="nil"/>
            </w:tcBorders>
            <w:shd w:val="clear" w:color="auto" w:fill="auto"/>
            <w:noWrap/>
            <w:vAlign w:val="bottom"/>
            <w:hideMark/>
          </w:tcPr>
          <w:p w:rsidR="00EA2048" w:rsidRPr="00A96D68" w:rsidRDefault="00EA2048" w:rsidP="00891A96">
            <w:pPr>
              <w:jc w:val="right"/>
              <w:rPr>
                <w:rFonts w:cs="Calibri"/>
                <w:color w:val="000000"/>
              </w:rPr>
            </w:pPr>
            <w:r w:rsidRPr="00A96D68">
              <w:rPr>
                <w:rFonts w:cs="Calibri"/>
                <w:color w:val="000000"/>
              </w:rPr>
              <w:t>0.5</w:t>
            </w:r>
          </w:p>
        </w:tc>
      </w:tr>
      <w:tr w:rsidR="00EA2048" w:rsidRPr="00A96D68" w:rsidTr="00891A96">
        <w:trPr>
          <w:trHeight w:val="403"/>
        </w:trPr>
        <w:tc>
          <w:tcPr>
            <w:tcW w:w="2912" w:type="dxa"/>
            <w:tcBorders>
              <w:top w:val="nil"/>
              <w:left w:val="nil"/>
              <w:bottom w:val="nil"/>
              <w:right w:val="nil"/>
            </w:tcBorders>
            <w:shd w:val="clear" w:color="auto" w:fill="auto"/>
            <w:noWrap/>
            <w:vAlign w:val="bottom"/>
            <w:hideMark/>
          </w:tcPr>
          <w:p w:rsidR="00EA2048" w:rsidRPr="00A96D68" w:rsidRDefault="00EA2048" w:rsidP="00891A96">
            <w:pPr>
              <w:rPr>
                <w:rFonts w:cs="Calibri"/>
                <w:color w:val="000000"/>
              </w:rPr>
            </w:pPr>
            <w:r w:rsidRPr="00A96D68">
              <w:rPr>
                <w:rFonts w:cs="Calibri"/>
                <w:color w:val="000000"/>
              </w:rPr>
              <w:t>Valuation in 2017/18</w:t>
            </w:r>
          </w:p>
        </w:tc>
        <w:tc>
          <w:tcPr>
            <w:tcW w:w="2285" w:type="dxa"/>
            <w:tcBorders>
              <w:top w:val="nil"/>
              <w:left w:val="nil"/>
              <w:bottom w:val="nil"/>
              <w:right w:val="nil"/>
            </w:tcBorders>
            <w:shd w:val="clear" w:color="auto" w:fill="auto"/>
            <w:noWrap/>
            <w:vAlign w:val="bottom"/>
            <w:hideMark/>
          </w:tcPr>
          <w:p w:rsidR="00EA2048" w:rsidRPr="00A96D68" w:rsidRDefault="00EA2048" w:rsidP="00891A96">
            <w:pPr>
              <w:jc w:val="right"/>
              <w:rPr>
                <w:rFonts w:cs="Calibri"/>
                <w:color w:val="000000"/>
              </w:rPr>
            </w:pPr>
            <w:r w:rsidRPr="00A96D68">
              <w:rPr>
                <w:rFonts w:cs="Calibri"/>
                <w:color w:val="000000"/>
              </w:rPr>
              <w:t>4.2</w:t>
            </w:r>
          </w:p>
        </w:tc>
        <w:tc>
          <w:tcPr>
            <w:tcW w:w="2260" w:type="dxa"/>
            <w:tcBorders>
              <w:top w:val="nil"/>
              <w:left w:val="nil"/>
              <w:bottom w:val="nil"/>
              <w:right w:val="nil"/>
            </w:tcBorders>
            <w:shd w:val="clear" w:color="auto" w:fill="auto"/>
            <w:noWrap/>
            <w:vAlign w:val="bottom"/>
            <w:hideMark/>
          </w:tcPr>
          <w:p w:rsidR="00EA2048" w:rsidRPr="00A96D68" w:rsidRDefault="00EA2048" w:rsidP="00891A96">
            <w:pPr>
              <w:jc w:val="right"/>
              <w:rPr>
                <w:rFonts w:cs="Calibri"/>
                <w:color w:val="000000"/>
              </w:rPr>
            </w:pPr>
            <w:r w:rsidRPr="00A96D68">
              <w:rPr>
                <w:rFonts w:cs="Calibri"/>
                <w:color w:val="000000"/>
              </w:rPr>
              <w:t>66.8</w:t>
            </w:r>
          </w:p>
        </w:tc>
        <w:tc>
          <w:tcPr>
            <w:tcW w:w="1929" w:type="dxa"/>
            <w:tcBorders>
              <w:top w:val="nil"/>
              <w:left w:val="nil"/>
              <w:bottom w:val="nil"/>
              <w:right w:val="nil"/>
            </w:tcBorders>
            <w:shd w:val="clear" w:color="auto" w:fill="auto"/>
            <w:noWrap/>
            <w:vAlign w:val="bottom"/>
            <w:hideMark/>
          </w:tcPr>
          <w:p w:rsidR="00EA2048" w:rsidRPr="00A96D68" w:rsidRDefault="00EA2048" w:rsidP="00891A96">
            <w:pPr>
              <w:jc w:val="right"/>
              <w:rPr>
                <w:rFonts w:cs="Calibri"/>
                <w:color w:val="000000"/>
              </w:rPr>
            </w:pPr>
            <w:r w:rsidRPr="00A96D68">
              <w:rPr>
                <w:rFonts w:cs="Calibri"/>
                <w:color w:val="000000"/>
              </w:rPr>
              <w:t>5.6</w:t>
            </w:r>
          </w:p>
        </w:tc>
      </w:tr>
      <w:tr w:rsidR="00EA2048" w:rsidRPr="00A96D68" w:rsidTr="00891A96">
        <w:trPr>
          <w:trHeight w:val="403"/>
        </w:trPr>
        <w:tc>
          <w:tcPr>
            <w:tcW w:w="2912" w:type="dxa"/>
            <w:tcBorders>
              <w:top w:val="nil"/>
              <w:left w:val="nil"/>
              <w:bottom w:val="nil"/>
              <w:right w:val="nil"/>
            </w:tcBorders>
            <w:shd w:val="clear" w:color="auto" w:fill="auto"/>
            <w:noWrap/>
            <w:vAlign w:val="bottom"/>
            <w:hideMark/>
          </w:tcPr>
          <w:p w:rsidR="00EA2048" w:rsidRPr="00A96D68" w:rsidRDefault="00EA2048" w:rsidP="00891A96">
            <w:pPr>
              <w:rPr>
                <w:rFonts w:cs="Calibri"/>
                <w:color w:val="000000"/>
              </w:rPr>
            </w:pPr>
            <w:r w:rsidRPr="00A96D68">
              <w:rPr>
                <w:rFonts w:cs="Calibri"/>
                <w:color w:val="000000"/>
              </w:rPr>
              <w:t>Valuation in 2016/17</w:t>
            </w:r>
          </w:p>
        </w:tc>
        <w:tc>
          <w:tcPr>
            <w:tcW w:w="2285" w:type="dxa"/>
            <w:tcBorders>
              <w:top w:val="nil"/>
              <w:left w:val="nil"/>
              <w:bottom w:val="nil"/>
              <w:right w:val="nil"/>
            </w:tcBorders>
            <w:shd w:val="clear" w:color="auto" w:fill="auto"/>
            <w:noWrap/>
            <w:vAlign w:val="bottom"/>
            <w:hideMark/>
          </w:tcPr>
          <w:p w:rsidR="00EA2048" w:rsidRPr="00A96D68" w:rsidRDefault="00EA2048" w:rsidP="00891A96">
            <w:pPr>
              <w:jc w:val="right"/>
              <w:rPr>
                <w:rFonts w:cs="Calibri"/>
                <w:color w:val="000000"/>
              </w:rPr>
            </w:pPr>
            <w:r w:rsidRPr="00A96D68">
              <w:rPr>
                <w:rFonts w:cs="Calibri"/>
                <w:color w:val="000000"/>
              </w:rPr>
              <w:t>604.8</w:t>
            </w:r>
          </w:p>
        </w:tc>
        <w:tc>
          <w:tcPr>
            <w:tcW w:w="2260" w:type="dxa"/>
            <w:tcBorders>
              <w:top w:val="nil"/>
              <w:left w:val="nil"/>
              <w:bottom w:val="nil"/>
              <w:right w:val="nil"/>
            </w:tcBorders>
            <w:shd w:val="clear" w:color="auto" w:fill="auto"/>
            <w:noWrap/>
            <w:vAlign w:val="bottom"/>
            <w:hideMark/>
          </w:tcPr>
          <w:p w:rsidR="00EA2048" w:rsidRPr="00A96D68" w:rsidRDefault="00EA2048" w:rsidP="00891A96">
            <w:pPr>
              <w:jc w:val="right"/>
              <w:rPr>
                <w:rFonts w:cs="Calibri"/>
                <w:color w:val="000000"/>
              </w:rPr>
            </w:pPr>
            <w:r w:rsidRPr="00A96D68">
              <w:rPr>
                <w:rFonts w:cs="Calibri"/>
                <w:color w:val="000000"/>
              </w:rPr>
              <w:t>203.9</w:t>
            </w:r>
          </w:p>
        </w:tc>
        <w:tc>
          <w:tcPr>
            <w:tcW w:w="1929" w:type="dxa"/>
            <w:tcBorders>
              <w:top w:val="nil"/>
              <w:left w:val="nil"/>
              <w:bottom w:val="nil"/>
              <w:right w:val="nil"/>
            </w:tcBorders>
            <w:shd w:val="clear" w:color="auto" w:fill="auto"/>
            <w:noWrap/>
            <w:vAlign w:val="bottom"/>
            <w:hideMark/>
          </w:tcPr>
          <w:p w:rsidR="00EA2048" w:rsidRPr="00A96D68" w:rsidRDefault="00EA2048" w:rsidP="00891A96">
            <w:pPr>
              <w:jc w:val="right"/>
              <w:rPr>
                <w:rFonts w:cs="Calibri"/>
                <w:color w:val="000000"/>
              </w:rPr>
            </w:pPr>
            <w:r w:rsidRPr="00A96D68">
              <w:rPr>
                <w:rFonts w:cs="Calibri"/>
                <w:color w:val="000000"/>
              </w:rPr>
              <w:t>0.7</w:t>
            </w:r>
          </w:p>
        </w:tc>
      </w:tr>
      <w:tr w:rsidR="00EA2048" w:rsidRPr="00A96D68" w:rsidTr="00891A96">
        <w:trPr>
          <w:trHeight w:val="403"/>
        </w:trPr>
        <w:tc>
          <w:tcPr>
            <w:tcW w:w="2912" w:type="dxa"/>
            <w:tcBorders>
              <w:top w:val="nil"/>
              <w:left w:val="nil"/>
              <w:bottom w:val="nil"/>
              <w:right w:val="nil"/>
            </w:tcBorders>
            <w:shd w:val="clear" w:color="auto" w:fill="auto"/>
            <w:noWrap/>
            <w:vAlign w:val="bottom"/>
            <w:hideMark/>
          </w:tcPr>
          <w:p w:rsidR="00EA2048" w:rsidRPr="00A96D68" w:rsidRDefault="00EA2048" w:rsidP="00891A96">
            <w:pPr>
              <w:rPr>
                <w:rFonts w:cs="Calibri"/>
                <w:color w:val="000000"/>
              </w:rPr>
            </w:pPr>
            <w:r w:rsidRPr="00A96D68">
              <w:rPr>
                <w:rFonts w:cs="Calibri"/>
                <w:color w:val="000000"/>
              </w:rPr>
              <w:t>Valuation in 2015/16</w:t>
            </w:r>
          </w:p>
        </w:tc>
        <w:tc>
          <w:tcPr>
            <w:tcW w:w="2285" w:type="dxa"/>
            <w:tcBorders>
              <w:top w:val="nil"/>
              <w:left w:val="nil"/>
              <w:bottom w:val="single" w:sz="4" w:space="0" w:color="auto"/>
              <w:right w:val="nil"/>
            </w:tcBorders>
            <w:shd w:val="clear" w:color="auto" w:fill="auto"/>
            <w:noWrap/>
            <w:vAlign w:val="bottom"/>
            <w:hideMark/>
          </w:tcPr>
          <w:p w:rsidR="00EA2048" w:rsidRPr="00A96D68" w:rsidRDefault="00EA2048" w:rsidP="00891A96">
            <w:pPr>
              <w:jc w:val="right"/>
              <w:rPr>
                <w:rFonts w:cs="Calibri"/>
                <w:color w:val="000000"/>
              </w:rPr>
            </w:pPr>
            <w:r w:rsidRPr="00A96D68">
              <w:rPr>
                <w:rFonts w:cs="Calibri"/>
                <w:color w:val="000000"/>
              </w:rPr>
              <w:t>0</w:t>
            </w:r>
            <w:r>
              <w:rPr>
                <w:rFonts w:cs="Calibri"/>
                <w:color w:val="000000"/>
              </w:rPr>
              <w:t>.0</w:t>
            </w:r>
          </w:p>
        </w:tc>
        <w:tc>
          <w:tcPr>
            <w:tcW w:w="2260" w:type="dxa"/>
            <w:tcBorders>
              <w:top w:val="nil"/>
              <w:left w:val="nil"/>
              <w:bottom w:val="single" w:sz="4" w:space="0" w:color="auto"/>
              <w:right w:val="nil"/>
            </w:tcBorders>
            <w:shd w:val="clear" w:color="auto" w:fill="auto"/>
            <w:noWrap/>
            <w:vAlign w:val="bottom"/>
            <w:hideMark/>
          </w:tcPr>
          <w:p w:rsidR="00EA2048" w:rsidRPr="00A96D68" w:rsidRDefault="00EA2048" w:rsidP="00891A96">
            <w:pPr>
              <w:jc w:val="right"/>
              <w:rPr>
                <w:rFonts w:cs="Calibri"/>
                <w:color w:val="000000"/>
              </w:rPr>
            </w:pPr>
            <w:r w:rsidRPr="00A96D68">
              <w:rPr>
                <w:rFonts w:cs="Calibri"/>
                <w:color w:val="000000"/>
              </w:rPr>
              <w:t>56.6</w:t>
            </w:r>
          </w:p>
        </w:tc>
        <w:tc>
          <w:tcPr>
            <w:tcW w:w="1929" w:type="dxa"/>
            <w:tcBorders>
              <w:top w:val="nil"/>
              <w:left w:val="nil"/>
              <w:bottom w:val="single" w:sz="4" w:space="0" w:color="auto"/>
              <w:right w:val="nil"/>
            </w:tcBorders>
            <w:shd w:val="clear" w:color="auto" w:fill="auto"/>
            <w:noWrap/>
            <w:vAlign w:val="bottom"/>
            <w:hideMark/>
          </w:tcPr>
          <w:p w:rsidR="00EA2048" w:rsidRPr="00A96D68" w:rsidRDefault="00EA2048" w:rsidP="00891A96">
            <w:pPr>
              <w:jc w:val="right"/>
              <w:rPr>
                <w:rFonts w:cs="Calibri"/>
                <w:color w:val="000000"/>
              </w:rPr>
            </w:pPr>
            <w:r w:rsidRPr="00A96D68">
              <w:rPr>
                <w:rFonts w:cs="Calibri"/>
                <w:color w:val="000000"/>
              </w:rPr>
              <w:t>0</w:t>
            </w:r>
            <w:r>
              <w:rPr>
                <w:rFonts w:cs="Calibri"/>
                <w:color w:val="000000"/>
              </w:rPr>
              <w:t>.0</w:t>
            </w:r>
          </w:p>
        </w:tc>
      </w:tr>
      <w:tr w:rsidR="00EA2048" w:rsidRPr="00A96D68" w:rsidTr="00891A96">
        <w:trPr>
          <w:trHeight w:val="403"/>
        </w:trPr>
        <w:tc>
          <w:tcPr>
            <w:tcW w:w="2912" w:type="dxa"/>
            <w:tcBorders>
              <w:top w:val="nil"/>
              <w:left w:val="nil"/>
              <w:bottom w:val="nil"/>
              <w:right w:val="nil"/>
            </w:tcBorders>
            <w:shd w:val="clear" w:color="auto" w:fill="auto"/>
            <w:noWrap/>
            <w:vAlign w:val="bottom"/>
            <w:hideMark/>
          </w:tcPr>
          <w:p w:rsidR="00EA2048" w:rsidRPr="00A96D68" w:rsidRDefault="00EA2048" w:rsidP="00891A96">
            <w:pPr>
              <w:jc w:val="right"/>
              <w:rPr>
                <w:rFonts w:cs="Calibri"/>
                <w:color w:val="000000"/>
              </w:rPr>
            </w:pPr>
          </w:p>
        </w:tc>
        <w:tc>
          <w:tcPr>
            <w:tcW w:w="2285" w:type="dxa"/>
            <w:tcBorders>
              <w:top w:val="nil"/>
              <w:left w:val="nil"/>
              <w:bottom w:val="nil"/>
              <w:right w:val="nil"/>
            </w:tcBorders>
            <w:shd w:val="clear" w:color="auto" w:fill="auto"/>
            <w:noWrap/>
            <w:vAlign w:val="bottom"/>
            <w:hideMark/>
          </w:tcPr>
          <w:p w:rsidR="00EA2048" w:rsidRPr="00A96D68" w:rsidRDefault="00EA2048" w:rsidP="00891A96">
            <w:pPr>
              <w:jc w:val="right"/>
              <w:rPr>
                <w:rFonts w:cs="Calibri"/>
                <w:color w:val="000000"/>
              </w:rPr>
            </w:pPr>
            <w:r w:rsidRPr="00A96D68">
              <w:rPr>
                <w:rFonts w:cs="Calibri"/>
                <w:color w:val="000000"/>
              </w:rPr>
              <w:t>618.5</w:t>
            </w:r>
          </w:p>
        </w:tc>
        <w:tc>
          <w:tcPr>
            <w:tcW w:w="2260" w:type="dxa"/>
            <w:tcBorders>
              <w:top w:val="nil"/>
              <w:left w:val="nil"/>
              <w:bottom w:val="nil"/>
              <w:right w:val="nil"/>
            </w:tcBorders>
            <w:shd w:val="clear" w:color="auto" w:fill="auto"/>
            <w:noWrap/>
            <w:vAlign w:val="bottom"/>
            <w:hideMark/>
          </w:tcPr>
          <w:p w:rsidR="00EA2048" w:rsidRPr="00A96D68" w:rsidRDefault="00EA2048" w:rsidP="00891A96">
            <w:pPr>
              <w:jc w:val="right"/>
              <w:rPr>
                <w:rFonts w:cs="Calibri"/>
                <w:color w:val="000000"/>
              </w:rPr>
            </w:pPr>
            <w:r w:rsidRPr="00A96D68">
              <w:rPr>
                <w:rFonts w:cs="Calibri"/>
                <w:color w:val="000000"/>
              </w:rPr>
              <w:t>988.5</w:t>
            </w:r>
          </w:p>
        </w:tc>
        <w:tc>
          <w:tcPr>
            <w:tcW w:w="1929" w:type="dxa"/>
            <w:tcBorders>
              <w:top w:val="nil"/>
              <w:left w:val="nil"/>
              <w:bottom w:val="nil"/>
              <w:right w:val="nil"/>
            </w:tcBorders>
            <w:shd w:val="clear" w:color="auto" w:fill="auto"/>
            <w:noWrap/>
            <w:vAlign w:val="bottom"/>
            <w:hideMark/>
          </w:tcPr>
          <w:p w:rsidR="00EA2048" w:rsidRPr="00A96D68" w:rsidRDefault="00EA2048" w:rsidP="00891A96">
            <w:pPr>
              <w:jc w:val="right"/>
              <w:rPr>
                <w:rFonts w:cs="Calibri"/>
                <w:color w:val="000000"/>
              </w:rPr>
            </w:pPr>
            <w:r w:rsidRPr="00A96D68">
              <w:rPr>
                <w:rFonts w:cs="Calibri"/>
                <w:color w:val="000000"/>
              </w:rPr>
              <w:t>8.2</w:t>
            </w:r>
          </w:p>
        </w:tc>
      </w:tr>
    </w:tbl>
    <w:p w:rsidR="00EA2048" w:rsidRPr="007C6352" w:rsidRDefault="00EA2048" w:rsidP="00EA2048">
      <w:pPr>
        <w:jc w:val="both"/>
        <w:rPr>
          <w:rFonts w:cs="Calibri"/>
          <w:b/>
        </w:rPr>
      </w:pPr>
    </w:p>
    <w:p w:rsidR="00EA2048" w:rsidRDefault="00EA2048" w:rsidP="00EA2048">
      <w:pPr>
        <w:rPr>
          <w:rFonts w:cs="Calibri"/>
        </w:rPr>
      </w:pPr>
      <w:r w:rsidRPr="007C6352">
        <w:rPr>
          <w:rFonts w:cs="Calibri"/>
        </w:rPr>
        <w:t>*Land and building under Note 1- significant movements on balances of property, plant and equipment contains £0.6m of Community assets which is excluded from this table as Community assets are held at depreciated historical cost.</w:t>
      </w:r>
    </w:p>
    <w:p w:rsidR="00F72906" w:rsidRDefault="00F72906" w:rsidP="00F72906"/>
    <w:p w:rsidR="00F72906" w:rsidRDefault="00F72906" w:rsidP="00B43A2F">
      <w:pPr>
        <w:pStyle w:val="Heading2"/>
      </w:pPr>
      <w:bookmarkStart w:id="8" w:name="_Toc61870278"/>
      <w:r>
        <w:t>Current Assets</w:t>
      </w:r>
      <w:bookmarkEnd w:id="8"/>
    </w:p>
    <w:p w:rsidR="00F72906" w:rsidRDefault="00F72906" w:rsidP="00B43A2F">
      <w:pPr>
        <w:pStyle w:val="Heading3"/>
      </w:pPr>
      <w:r>
        <w:t>Note 2 – Debtors</w:t>
      </w:r>
    </w:p>
    <w:tbl>
      <w:tblPr>
        <w:tblW w:w="9214" w:type="dxa"/>
        <w:tblLook w:val="04A0" w:firstRow="1" w:lastRow="0" w:firstColumn="1" w:lastColumn="0" w:noHBand="0" w:noVBand="1"/>
      </w:tblPr>
      <w:tblGrid>
        <w:gridCol w:w="1985"/>
        <w:gridCol w:w="5386"/>
        <w:gridCol w:w="1843"/>
      </w:tblGrid>
      <w:tr w:rsidR="00B43A2F" w:rsidRPr="001E3529" w:rsidTr="00B43A2F">
        <w:trPr>
          <w:trHeight w:val="300"/>
        </w:trPr>
        <w:tc>
          <w:tcPr>
            <w:tcW w:w="1985" w:type="dxa"/>
            <w:tcBorders>
              <w:top w:val="nil"/>
              <w:left w:val="nil"/>
              <w:bottom w:val="nil"/>
              <w:right w:val="nil"/>
            </w:tcBorders>
            <w:shd w:val="clear" w:color="auto" w:fill="auto"/>
            <w:noWrap/>
            <w:vAlign w:val="center"/>
            <w:hideMark/>
          </w:tcPr>
          <w:p w:rsidR="00B43A2F" w:rsidRPr="001E3529" w:rsidRDefault="00B43A2F" w:rsidP="00B43A2F">
            <w:pPr>
              <w:jc w:val="right"/>
              <w:rPr>
                <w:rFonts w:cs="Calibri"/>
                <w:b/>
                <w:bCs/>
                <w:color w:val="000000"/>
                <w:lang w:eastAsia="en-GB"/>
              </w:rPr>
            </w:pPr>
            <w:r w:rsidRPr="001E3529">
              <w:rPr>
                <w:rFonts w:cs="Calibri"/>
                <w:b/>
                <w:bCs/>
                <w:color w:val="000000"/>
                <w:lang w:eastAsia="en-GB"/>
              </w:rPr>
              <w:t>31-Mar-2019</w:t>
            </w:r>
          </w:p>
        </w:tc>
        <w:tc>
          <w:tcPr>
            <w:tcW w:w="5386" w:type="dxa"/>
            <w:tcBorders>
              <w:top w:val="nil"/>
              <w:left w:val="nil"/>
              <w:bottom w:val="nil"/>
              <w:right w:val="nil"/>
            </w:tcBorders>
            <w:shd w:val="clear" w:color="auto" w:fill="auto"/>
            <w:noWrap/>
            <w:vAlign w:val="center"/>
            <w:hideMark/>
          </w:tcPr>
          <w:p w:rsidR="00B43A2F" w:rsidRPr="001E3529" w:rsidRDefault="00B43A2F" w:rsidP="00B43A2F">
            <w:pPr>
              <w:jc w:val="right"/>
              <w:rPr>
                <w:rFonts w:cs="Calibri"/>
                <w:b/>
                <w:bCs/>
                <w:color w:val="000000"/>
                <w:lang w:eastAsia="en-GB"/>
              </w:rPr>
            </w:pPr>
          </w:p>
        </w:tc>
        <w:tc>
          <w:tcPr>
            <w:tcW w:w="1843" w:type="dxa"/>
            <w:tcBorders>
              <w:top w:val="nil"/>
              <w:left w:val="nil"/>
              <w:bottom w:val="nil"/>
              <w:right w:val="nil"/>
            </w:tcBorders>
            <w:shd w:val="clear" w:color="auto" w:fill="auto"/>
            <w:noWrap/>
            <w:vAlign w:val="center"/>
            <w:hideMark/>
          </w:tcPr>
          <w:p w:rsidR="00B43A2F" w:rsidRPr="001E3529" w:rsidRDefault="00B43A2F" w:rsidP="00B43A2F">
            <w:pPr>
              <w:jc w:val="right"/>
              <w:rPr>
                <w:rFonts w:cs="Calibri"/>
                <w:b/>
                <w:bCs/>
                <w:color w:val="000000"/>
                <w:lang w:eastAsia="en-GB"/>
              </w:rPr>
            </w:pPr>
            <w:r w:rsidRPr="001E3529">
              <w:rPr>
                <w:rFonts w:cs="Calibri"/>
                <w:b/>
                <w:bCs/>
                <w:color w:val="000000"/>
                <w:lang w:eastAsia="en-GB"/>
              </w:rPr>
              <w:t>31-Mar-2020</w:t>
            </w:r>
          </w:p>
        </w:tc>
      </w:tr>
      <w:tr w:rsidR="00B43A2F" w:rsidRPr="001E3529" w:rsidTr="00B43A2F">
        <w:trPr>
          <w:trHeight w:val="315"/>
        </w:trPr>
        <w:tc>
          <w:tcPr>
            <w:tcW w:w="1985" w:type="dxa"/>
            <w:tcBorders>
              <w:top w:val="nil"/>
              <w:left w:val="nil"/>
              <w:bottom w:val="nil"/>
              <w:right w:val="nil"/>
            </w:tcBorders>
            <w:shd w:val="clear" w:color="auto" w:fill="auto"/>
            <w:noWrap/>
            <w:vAlign w:val="center"/>
            <w:hideMark/>
          </w:tcPr>
          <w:p w:rsidR="00B43A2F" w:rsidRPr="001E3529" w:rsidRDefault="00B43A2F" w:rsidP="00B43A2F">
            <w:pPr>
              <w:jc w:val="right"/>
              <w:rPr>
                <w:rFonts w:cs="Calibri"/>
                <w:b/>
                <w:bCs/>
                <w:color w:val="000000"/>
                <w:lang w:eastAsia="en-GB"/>
              </w:rPr>
            </w:pPr>
            <w:r w:rsidRPr="001E3529">
              <w:rPr>
                <w:rFonts w:cs="Calibri"/>
                <w:b/>
                <w:bCs/>
                <w:color w:val="000000"/>
                <w:lang w:eastAsia="en-GB"/>
              </w:rPr>
              <w:t>£m</w:t>
            </w:r>
          </w:p>
        </w:tc>
        <w:tc>
          <w:tcPr>
            <w:tcW w:w="5386" w:type="dxa"/>
            <w:tcBorders>
              <w:top w:val="nil"/>
              <w:left w:val="nil"/>
              <w:bottom w:val="nil"/>
              <w:right w:val="nil"/>
            </w:tcBorders>
            <w:shd w:val="clear" w:color="auto" w:fill="auto"/>
            <w:noWrap/>
            <w:vAlign w:val="center"/>
            <w:hideMark/>
          </w:tcPr>
          <w:p w:rsidR="00B43A2F" w:rsidRPr="001E3529" w:rsidRDefault="00B43A2F" w:rsidP="00B43A2F">
            <w:pPr>
              <w:jc w:val="right"/>
              <w:rPr>
                <w:rFonts w:cs="Calibri"/>
                <w:b/>
                <w:bCs/>
                <w:color w:val="000000"/>
                <w:lang w:eastAsia="en-GB"/>
              </w:rPr>
            </w:pPr>
          </w:p>
        </w:tc>
        <w:tc>
          <w:tcPr>
            <w:tcW w:w="1843" w:type="dxa"/>
            <w:tcBorders>
              <w:top w:val="nil"/>
              <w:left w:val="nil"/>
              <w:bottom w:val="nil"/>
              <w:right w:val="nil"/>
            </w:tcBorders>
            <w:shd w:val="clear" w:color="auto" w:fill="auto"/>
            <w:noWrap/>
            <w:vAlign w:val="center"/>
            <w:hideMark/>
          </w:tcPr>
          <w:p w:rsidR="00B43A2F" w:rsidRPr="001E3529" w:rsidRDefault="00B43A2F" w:rsidP="00B43A2F">
            <w:pPr>
              <w:jc w:val="right"/>
              <w:rPr>
                <w:rFonts w:cs="Calibri"/>
                <w:b/>
                <w:bCs/>
                <w:color w:val="000000"/>
                <w:lang w:eastAsia="en-GB"/>
              </w:rPr>
            </w:pPr>
            <w:r w:rsidRPr="001E3529">
              <w:rPr>
                <w:rFonts w:cs="Calibri"/>
                <w:b/>
                <w:bCs/>
                <w:color w:val="000000"/>
                <w:lang w:eastAsia="en-GB"/>
              </w:rPr>
              <w:t>£m</w:t>
            </w:r>
          </w:p>
        </w:tc>
      </w:tr>
      <w:tr w:rsidR="00B43A2F" w:rsidRPr="001E3529" w:rsidTr="00B43A2F">
        <w:trPr>
          <w:trHeight w:val="300"/>
        </w:trPr>
        <w:tc>
          <w:tcPr>
            <w:tcW w:w="1985" w:type="dxa"/>
            <w:tcBorders>
              <w:top w:val="single" w:sz="8" w:space="0" w:color="auto"/>
              <w:left w:val="single" w:sz="8" w:space="0" w:color="auto"/>
              <w:bottom w:val="nil"/>
              <w:right w:val="single" w:sz="8" w:space="0" w:color="auto"/>
            </w:tcBorders>
            <w:shd w:val="clear" w:color="auto" w:fill="auto"/>
            <w:noWrap/>
            <w:vAlign w:val="center"/>
            <w:hideMark/>
          </w:tcPr>
          <w:p w:rsidR="00B43A2F" w:rsidRPr="001E3529" w:rsidRDefault="00B43A2F" w:rsidP="00B43A2F">
            <w:pPr>
              <w:jc w:val="right"/>
              <w:rPr>
                <w:rFonts w:cs="Calibri"/>
                <w:color w:val="000000"/>
                <w:lang w:eastAsia="en-GB"/>
              </w:rPr>
            </w:pPr>
            <w:r w:rsidRPr="001E3529">
              <w:rPr>
                <w:rFonts w:cs="Calibri"/>
                <w:color w:val="000000"/>
                <w:lang w:eastAsia="en-GB"/>
              </w:rPr>
              <w:t>55.8</w:t>
            </w:r>
          </w:p>
        </w:tc>
        <w:tc>
          <w:tcPr>
            <w:tcW w:w="5386" w:type="dxa"/>
            <w:tcBorders>
              <w:top w:val="nil"/>
              <w:left w:val="nil"/>
              <w:bottom w:val="nil"/>
              <w:right w:val="nil"/>
            </w:tcBorders>
            <w:shd w:val="clear" w:color="auto" w:fill="auto"/>
            <w:noWrap/>
            <w:vAlign w:val="center"/>
            <w:hideMark/>
          </w:tcPr>
          <w:p w:rsidR="00B43A2F" w:rsidRPr="001E3529" w:rsidRDefault="00B43A2F" w:rsidP="00B43A2F">
            <w:pPr>
              <w:rPr>
                <w:rFonts w:cs="Calibri"/>
                <w:color w:val="000000"/>
                <w:lang w:eastAsia="en-GB"/>
              </w:rPr>
            </w:pPr>
            <w:r w:rsidRPr="001E3529">
              <w:rPr>
                <w:rFonts w:cs="Calibri"/>
                <w:color w:val="000000"/>
                <w:lang w:eastAsia="en-GB"/>
              </w:rPr>
              <w:t>Trade receivables Outstanding</w:t>
            </w:r>
          </w:p>
        </w:tc>
        <w:tc>
          <w:tcPr>
            <w:tcW w:w="1843" w:type="dxa"/>
            <w:tcBorders>
              <w:top w:val="single" w:sz="8" w:space="0" w:color="auto"/>
              <w:left w:val="single" w:sz="8" w:space="0" w:color="auto"/>
              <w:bottom w:val="nil"/>
              <w:right w:val="single" w:sz="8" w:space="0" w:color="auto"/>
            </w:tcBorders>
            <w:shd w:val="clear" w:color="auto" w:fill="auto"/>
            <w:noWrap/>
            <w:vAlign w:val="center"/>
          </w:tcPr>
          <w:p w:rsidR="00B43A2F" w:rsidRPr="001E3529" w:rsidRDefault="00B43A2F" w:rsidP="00B43A2F">
            <w:pPr>
              <w:jc w:val="right"/>
              <w:rPr>
                <w:rFonts w:cs="Calibri"/>
                <w:color w:val="000000"/>
                <w:lang w:eastAsia="en-GB"/>
              </w:rPr>
            </w:pPr>
            <w:r w:rsidRPr="001E3529">
              <w:rPr>
                <w:rFonts w:cs="Calibri"/>
                <w:color w:val="000000"/>
              </w:rPr>
              <w:t>67.7</w:t>
            </w:r>
          </w:p>
        </w:tc>
      </w:tr>
      <w:tr w:rsidR="00B43A2F" w:rsidRPr="001E3529" w:rsidTr="00B43A2F">
        <w:trPr>
          <w:trHeight w:val="300"/>
        </w:trPr>
        <w:tc>
          <w:tcPr>
            <w:tcW w:w="1985" w:type="dxa"/>
            <w:tcBorders>
              <w:top w:val="nil"/>
              <w:left w:val="single" w:sz="8" w:space="0" w:color="auto"/>
              <w:bottom w:val="nil"/>
              <w:right w:val="single" w:sz="8" w:space="0" w:color="auto"/>
            </w:tcBorders>
            <w:shd w:val="clear" w:color="auto" w:fill="auto"/>
            <w:noWrap/>
            <w:vAlign w:val="center"/>
            <w:hideMark/>
          </w:tcPr>
          <w:p w:rsidR="00B43A2F" w:rsidRPr="001E3529" w:rsidRDefault="00B43A2F" w:rsidP="00B43A2F">
            <w:pPr>
              <w:jc w:val="right"/>
              <w:rPr>
                <w:rFonts w:cs="Calibri"/>
                <w:color w:val="000000"/>
                <w:lang w:eastAsia="en-GB"/>
              </w:rPr>
            </w:pPr>
            <w:r w:rsidRPr="001E3529">
              <w:rPr>
                <w:rFonts w:cs="Calibri"/>
                <w:color w:val="000000"/>
                <w:lang w:eastAsia="en-GB"/>
              </w:rPr>
              <w:t>(15.0)</w:t>
            </w:r>
          </w:p>
        </w:tc>
        <w:tc>
          <w:tcPr>
            <w:tcW w:w="5386" w:type="dxa"/>
            <w:tcBorders>
              <w:top w:val="nil"/>
              <w:left w:val="nil"/>
              <w:bottom w:val="nil"/>
              <w:right w:val="nil"/>
            </w:tcBorders>
            <w:shd w:val="clear" w:color="auto" w:fill="auto"/>
            <w:noWrap/>
            <w:vAlign w:val="center"/>
            <w:hideMark/>
          </w:tcPr>
          <w:p w:rsidR="00B43A2F" w:rsidRPr="001E3529" w:rsidRDefault="00B43A2F" w:rsidP="00B43A2F">
            <w:pPr>
              <w:rPr>
                <w:rFonts w:cs="Calibri"/>
                <w:color w:val="000000"/>
                <w:lang w:eastAsia="en-GB"/>
              </w:rPr>
            </w:pPr>
            <w:r w:rsidRPr="001E3529">
              <w:rPr>
                <w:rFonts w:cs="Calibri"/>
                <w:color w:val="000000"/>
                <w:lang w:eastAsia="en-GB"/>
              </w:rPr>
              <w:t>Less impairments</w:t>
            </w:r>
          </w:p>
        </w:tc>
        <w:tc>
          <w:tcPr>
            <w:tcW w:w="1843" w:type="dxa"/>
            <w:tcBorders>
              <w:top w:val="nil"/>
              <w:left w:val="single" w:sz="8" w:space="0" w:color="auto"/>
              <w:bottom w:val="nil"/>
              <w:right w:val="single" w:sz="8" w:space="0" w:color="auto"/>
            </w:tcBorders>
            <w:shd w:val="clear" w:color="auto" w:fill="auto"/>
            <w:noWrap/>
            <w:vAlign w:val="center"/>
          </w:tcPr>
          <w:p w:rsidR="00B43A2F" w:rsidRPr="001E3529" w:rsidRDefault="00B43A2F" w:rsidP="00B43A2F">
            <w:pPr>
              <w:jc w:val="right"/>
              <w:rPr>
                <w:rFonts w:cs="Calibri"/>
                <w:color w:val="000000"/>
                <w:lang w:eastAsia="en-GB"/>
              </w:rPr>
            </w:pPr>
            <w:r w:rsidRPr="001E3529">
              <w:rPr>
                <w:rFonts w:cs="Calibri"/>
                <w:color w:val="000000"/>
              </w:rPr>
              <w:t>(19.5)</w:t>
            </w:r>
          </w:p>
        </w:tc>
      </w:tr>
      <w:tr w:rsidR="00B43A2F" w:rsidRPr="001E3529" w:rsidTr="00B43A2F">
        <w:trPr>
          <w:trHeight w:val="315"/>
        </w:trPr>
        <w:tc>
          <w:tcPr>
            <w:tcW w:w="1985" w:type="dxa"/>
            <w:tcBorders>
              <w:top w:val="nil"/>
              <w:left w:val="single" w:sz="8" w:space="0" w:color="auto"/>
              <w:bottom w:val="single" w:sz="8" w:space="0" w:color="auto"/>
              <w:right w:val="single" w:sz="8" w:space="0" w:color="auto"/>
            </w:tcBorders>
            <w:shd w:val="clear" w:color="auto" w:fill="auto"/>
            <w:noWrap/>
            <w:vAlign w:val="center"/>
            <w:hideMark/>
          </w:tcPr>
          <w:p w:rsidR="00B43A2F" w:rsidRPr="001E3529" w:rsidRDefault="00B43A2F" w:rsidP="00B43A2F">
            <w:pPr>
              <w:jc w:val="right"/>
              <w:rPr>
                <w:rFonts w:cs="Calibri"/>
                <w:b/>
                <w:color w:val="000000"/>
                <w:lang w:eastAsia="en-GB"/>
              </w:rPr>
            </w:pPr>
            <w:r w:rsidRPr="001E3529">
              <w:rPr>
                <w:rFonts w:cs="Calibri"/>
                <w:b/>
                <w:color w:val="000000"/>
                <w:lang w:eastAsia="en-GB"/>
              </w:rPr>
              <w:t>40.8</w:t>
            </w:r>
          </w:p>
        </w:tc>
        <w:tc>
          <w:tcPr>
            <w:tcW w:w="5386" w:type="dxa"/>
            <w:tcBorders>
              <w:top w:val="nil"/>
              <w:left w:val="nil"/>
              <w:bottom w:val="nil"/>
              <w:right w:val="nil"/>
            </w:tcBorders>
            <w:shd w:val="clear" w:color="auto" w:fill="auto"/>
            <w:noWrap/>
            <w:vAlign w:val="center"/>
            <w:hideMark/>
          </w:tcPr>
          <w:p w:rsidR="00B43A2F" w:rsidRPr="001E3529" w:rsidRDefault="00B43A2F" w:rsidP="00B43A2F">
            <w:pPr>
              <w:rPr>
                <w:rFonts w:cs="Calibri"/>
                <w:b/>
                <w:color w:val="000000"/>
                <w:lang w:eastAsia="en-GB"/>
              </w:rPr>
            </w:pPr>
            <w:r w:rsidRPr="001E3529">
              <w:rPr>
                <w:rFonts w:cs="Calibri"/>
                <w:b/>
                <w:color w:val="000000"/>
                <w:lang w:eastAsia="en-GB"/>
              </w:rPr>
              <w:t xml:space="preserve">Net Trade receivables </w:t>
            </w:r>
          </w:p>
        </w:tc>
        <w:tc>
          <w:tcPr>
            <w:tcW w:w="1843" w:type="dxa"/>
            <w:tcBorders>
              <w:top w:val="nil"/>
              <w:left w:val="single" w:sz="8" w:space="0" w:color="auto"/>
              <w:bottom w:val="single" w:sz="8" w:space="0" w:color="auto"/>
              <w:right w:val="single" w:sz="8" w:space="0" w:color="auto"/>
            </w:tcBorders>
            <w:shd w:val="clear" w:color="auto" w:fill="auto"/>
            <w:noWrap/>
            <w:vAlign w:val="center"/>
          </w:tcPr>
          <w:p w:rsidR="00B43A2F" w:rsidRPr="001E3529" w:rsidRDefault="00B43A2F" w:rsidP="00B43A2F">
            <w:pPr>
              <w:jc w:val="right"/>
              <w:rPr>
                <w:rFonts w:cs="Calibri"/>
                <w:b/>
                <w:color w:val="000000"/>
                <w:lang w:eastAsia="en-GB"/>
              </w:rPr>
            </w:pPr>
            <w:r w:rsidRPr="001E3529">
              <w:rPr>
                <w:rFonts w:cs="Calibri"/>
                <w:b/>
                <w:color w:val="000000"/>
              </w:rPr>
              <w:t>48.2</w:t>
            </w:r>
          </w:p>
        </w:tc>
      </w:tr>
      <w:tr w:rsidR="00B43A2F" w:rsidRPr="001E3529" w:rsidTr="00B43A2F">
        <w:trPr>
          <w:trHeight w:val="382"/>
        </w:trPr>
        <w:tc>
          <w:tcPr>
            <w:tcW w:w="1985" w:type="dxa"/>
            <w:tcBorders>
              <w:top w:val="nil"/>
              <w:left w:val="single" w:sz="8" w:space="0" w:color="auto"/>
              <w:bottom w:val="nil"/>
              <w:right w:val="single" w:sz="8" w:space="0" w:color="auto"/>
            </w:tcBorders>
            <w:shd w:val="clear" w:color="auto" w:fill="auto"/>
            <w:noWrap/>
            <w:vAlign w:val="center"/>
            <w:hideMark/>
          </w:tcPr>
          <w:p w:rsidR="00B43A2F" w:rsidRPr="001E3529" w:rsidRDefault="00B43A2F" w:rsidP="00B43A2F">
            <w:pPr>
              <w:jc w:val="right"/>
              <w:rPr>
                <w:rFonts w:cs="Calibri"/>
                <w:color w:val="000000"/>
                <w:lang w:eastAsia="en-GB"/>
              </w:rPr>
            </w:pPr>
            <w:r w:rsidRPr="001E3529">
              <w:rPr>
                <w:rFonts w:cs="Calibri"/>
                <w:color w:val="000000"/>
                <w:lang w:eastAsia="en-GB"/>
              </w:rPr>
              <w:t> </w:t>
            </w:r>
          </w:p>
        </w:tc>
        <w:tc>
          <w:tcPr>
            <w:tcW w:w="5386" w:type="dxa"/>
            <w:tcBorders>
              <w:top w:val="nil"/>
              <w:left w:val="nil"/>
              <w:bottom w:val="nil"/>
              <w:right w:val="nil"/>
            </w:tcBorders>
            <w:shd w:val="clear" w:color="auto" w:fill="auto"/>
            <w:noWrap/>
            <w:vAlign w:val="center"/>
            <w:hideMark/>
          </w:tcPr>
          <w:p w:rsidR="00B43A2F" w:rsidRPr="001E3529" w:rsidRDefault="00B43A2F" w:rsidP="00B43A2F">
            <w:pPr>
              <w:rPr>
                <w:rFonts w:cs="Calibri"/>
                <w:color w:val="000000"/>
                <w:lang w:eastAsia="en-GB"/>
              </w:rPr>
            </w:pPr>
            <w:r w:rsidRPr="001E3529">
              <w:rPr>
                <w:rFonts w:cs="Calibri"/>
                <w:color w:val="000000"/>
                <w:lang w:eastAsia="en-GB"/>
              </w:rPr>
              <w:t> </w:t>
            </w:r>
          </w:p>
        </w:tc>
        <w:tc>
          <w:tcPr>
            <w:tcW w:w="1843" w:type="dxa"/>
            <w:tcBorders>
              <w:top w:val="nil"/>
              <w:left w:val="single" w:sz="8" w:space="0" w:color="auto"/>
              <w:bottom w:val="nil"/>
              <w:right w:val="single" w:sz="8" w:space="0" w:color="auto"/>
            </w:tcBorders>
            <w:shd w:val="clear" w:color="auto" w:fill="auto"/>
            <w:noWrap/>
            <w:vAlign w:val="center"/>
          </w:tcPr>
          <w:p w:rsidR="00B43A2F" w:rsidRPr="001E3529" w:rsidRDefault="00B43A2F" w:rsidP="00B43A2F">
            <w:pPr>
              <w:jc w:val="right"/>
              <w:rPr>
                <w:rFonts w:cs="Calibri"/>
                <w:color w:val="000000"/>
                <w:lang w:eastAsia="en-GB"/>
              </w:rPr>
            </w:pPr>
            <w:r w:rsidRPr="001E3529">
              <w:rPr>
                <w:rFonts w:cs="Calibri"/>
                <w:color w:val="000000"/>
              </w:rPr>
              <w:t> </w:t>
            </w:r>
          </w:p>
        </w:tc>
      </w:tr>
      <w:tr w:rsidR="00B43A2F" w:rsidRPr="001E3529" w:rsidTr="00B43A2F">
        <w:trPr>
          <w:trHeight w:val="300"/>
        </w:trPr>
        <w:tc>
          <w:tcPr>
            <w:tcW w:w="1985" w:type="dxa"/>
            <w:tcBorders>
              <w:top w:val="nil"/>
              <w:left w:val="single" w:sz="8" w:space="0" w:color="auto"/>
              <w:bottom w:val="nil"/>
              <w:right w:val="single" w:sz="8" w:space="0" w:color="auto"/>
            </w:tcBorders>
            <w:shd w:val="clear" w:color="auto" w:fill="auto"/>
            <w:noWrap/>
            <w:vAlign w:val="center"/>
            <w:hideMark/>
          </w:tcPr>
          <w:p w:rsidR="00B43A2F" w:rsidRPr="001E3529" w:rsidRDefault="00B43A2F" w:rsidP="00B43A2F">
            <w:pPr>
              <w:jc w:val="right"/>
              <w:rPr>
                <w:rFonts w:cs="Calibri"/>
                <w:b/>
                <w:color w:val="000000"/>
                <w:lang w:eastAsia="en-GB"/>
              </w:rPr>
            </w:pPr>
            <w:r w:rsidRPr="001E3529">
              <w:rPr>
                <w:rFonts w:cs="Calibri"/>
                <w:b/>
                <w:color w:val="000000"/>
                <w:lang w:eastAsia="en-GB"/>
              </w:rPr>
              <w:t>2.8</w:t>
            </w:r>
          </w:p>
        </w:tc>
        <w:tc>
          <w:tcPr>
            <w:tcW w:w="5386" w:type="dxa"/>
            <w:tcBorders>
              <w:top w:val="nil"/>
              <w:left w:val="nil"/>
              <w:bottom w:val="nil"/>
              <w:right w:val="nil"/>
            </w:tcBorders>
            <w:shd w:val="clear" w:color="auto" w:fill="auto"/>
            <w:noWrap/>
            <w:vAlign w:val="center"/>
            <w:hideMark/>
          </w:tcPr>
          <w:p w:rsidR="00B43A2F" w:rsidRPr="001E3529" w:rsidRDefault="00B43A2F" w:rsidP="00B43A2F">
            <w:pPr>
              <w:rPr>
                <w:rFonts w:cs="Calibri"/>
                <w:b/>
                <w:color w:val="000000"/>
                <w:lang w:eastAsia="en-GB"/>
              </w:rPr>
            </w:pPr>
            <w:r w:rsidRPr="001E3529">
              <w:rPr>
                <w:rFonts w:cs="Calibri"/>
                <w:b/>
                <w:color w:val="000000"/>
                <w:lang w:eastAsia="en-GB"/>
              </w:rPr>
              <w:t>Prepayments</w:t>
            </w:r>
          </w:p>
        </w:tc>
        <w:tc>
          <w:tcPr>
            <w:tcW w:w="1843" w:type="dxa"/>
            <w:tcBorders>
              <w:top w:val="nil"/>
              <w:left w:val="single" w:sz="8" w:space="0" w:color="auto"/>
              <w:bottom w:val="nil"/>
              <w:right w:val="single" w:sz="8" w:space="0" w:color="auto"/>
            </w:tcBorders>
            <w:shd w:val="clear" w:color="auto" w:fill="auto"/>
            <w:noWrap/>
            <w:vAlign w:val="center"/>
          </w:tcPr>
          <w:p w:rsidR="00B43A2F" w:rsidRPr="001E3529" w:rsidRDefault="00B43A2F" w:rsidP="00B43A2F">
            <w:pPr>
              <w:jc w:val="right"/>
              <w:rPr>
                <w:rFonts w:cs="Calibri"/>
                <w:b/>
                <w:color w:val="000000"/>
                <w:lang w:eastAsia="en-GB"/>
              </w:rPr>
            </w:pPr>
            <w:r w:rsidRPr="001E3529">
              <w:rPr>
                <w:rFonts w:cs="Calibri"/>
                <w:b/>
                <w:color w:val="000000"/>
              </w:rPr>
              <w:t>6.4</w:t>
            </w:r>
          </w:p>
        </w:tc>
      </w:tr>
      <w:tr w:rsidR="00B43A2F" w:rsidRPr="001E3529" w:rsidTr="00B43A2F">
        <w:trPr>
          <w:trHeight w:val="600"/>
        </w:trPr>
        <w:tc>
          <w:tcPr>
            <w:tcW w:w="1985" w:type="dxa"/>
            <w:tcBorders>
              <w:top w:val="nil"/>
              <w:left w:val="single" w:sz="8" w:space="0" w:color="auto"/>
              <w:bottom w:val="nil"/>
              <w:right w:val="single" w:sz="8" w:space="0" w:color="auto"/>
            </w:tcBorders>
            <w:shd w:val="clear" w:color="auto" w:fill="auto"/>
            <w:noWrap/>
            <w:vAlign w:val="center"/>
            <w:hideMark/>
          </w:tcPr>
          <w:p w:rsidR="00B43A2F" w:rsidRPr="001E3529" w:rsidRDefault="00B43A2F" w:rsidP="00B43A2F">
            <w:pPr>
              <w:jc w:val="right"/>
              <w:rPr>
                <w:rFonts w:cs="Calibri"/>
                <w:color w:val="000000"/>
                <w:lang w:eastAsia="en-GB"/>
              </w:rPr>
            </w:pPr>
            <w:r w:rsidRPr="001E3529">
              <w:rPr>
                <w:rFonts w:cs="Calibri"/>
                <w:color w:val="000000"/>
                <w:lang w:eastAsia="en-GB"/>
              </w:rPr>
              <w:t>51.0</w:t>
            </w:r>
          </w:p>
        </w:tc>
        <w:tc>
          <w:tcPr>
            <w:tcW w:w="5386" w:type="dxa"/>
            <w:tcBorders>
              <w:top w:val="nil"/>
              <w:left w:val="nil"/>
              <w:bottom w:val="nil"/>
              <w:right w:val="nil"/>
            </w:tcBorders>
            <w:shd w:val="clear" w:color="auto" w:fill="auto"/>
            <w:noWrap/>
            <w:vAlign w:val="center"/>
            <w:hideMark/>
          </w:tcPr>
          <w:p w:rsidR="00B43A2F" w:rsidRPr="001E3529" w:rsidRDefault="00B43A2F" w:rsidP="00B43A2F">
            <w:pPr>
              <w:jc w:val="both"/>
              <w:rPr>
                <w:rFonts w:cs="Calibri"/>
                <w:color w:val="000000"/>
                <w:lang w:eastAsia="en-GB"/>
              </w:rPr>
            </w:pPr>
            <w:r w:rsidRPr="001E3529">
              <w:rPr>
                <w:rFonts w:cs="Calibri"/>
                <w:color w:val="000000"/>
                <w:lang w:eastAsia="en-GB"/>
              </w:rPr>
              <w:t>Local Taxation receivables Outstanding</w:t>
            </w:r>
          </w:p>
        </w:tc>
        <w:tc>
          <w:tcPr>
            <w:tcW w:w="1843" w:type="dxa"/>
            <w:tcBorders>
              <w:top w:val="nil"/>
              <w:left w:val="single" w:sz="8" w:space="0" w:color="auto"/>
              <w:bottom w:val="nil"/>
              <w:right w:val="single" w:sz="8" w:space="0" w:color="auto"/>
            </w:tcBorders>
            <w:shd w:val="clear" w:color="auto" w:fill="auto"/>
            <w:noWrap/>
            <w:vAlign w:val="center"/>
          </w:tcPr>
          <w:p w:rsidR="00B43A2F" w:rsidRPr="001E3529" w:rsidRDefault="00B43A2F" w:rsidP="00B43A2F">
            <w:pPr>
              <w:jc w:val="right"/>
              <w:rPr>
                <w:rFonts w:cs="Calibri"/>
                <w:color w:val="000000"/>
                <w:lang w:eastAsia="en-GB"/>
              </w:rPr>
            </w:pPr>
            <w:r w:rsidRPr="001E3529">
              <w:rPr>
                <w:rFonts w:cs="Calibri"/>
                <w:color w:val="000000"/>
              </w:rPr>
              <w:t>48.5</w:t>
            </w:r>
          </w:p>
        </w:tc>
      </w:tr>
      <w:tr w:rsidR="00B43A2F" w:rsidRPr="001E3529" w:rsidTr="00B43A2F">
        <w:trPr>
          <w:trHeight w:val="300"/>
        </w:trPr>
        <w:tc>
          <w:tcPr>
            <w:tcW w:w="1985" w:type="dxa"/>
            <w:tcBorders>
              <w:top w:val="nil"/>
              <w:left w:val="single" w:sz="8" w:space="0" w:color="auto"/>
              <w:bottom w:val="nil"/>
              <w:right w:val="single" w:sz="8" w:space="0" w:color="auto"/>
            </w:tcBorders>
            <w:shd w:val="clear" w:color="auto" w:fill="auto"/>
            <w:noWrap/>
            <w:vAlign w:val="center"/>
            <w:hideMark/>
          </w:tcPr>
          <w:p w:rsidR="00B43A2F" w:rsidRPr="001E3529" w:rsidRDefault="00B43A2F" w:rsidP="00B43A2F">
            <w:pPr>
              <w:jc w:val="right"/>
              <w:rPr>
                <w:rFonts w:cs="Calibri"/>
                <w:color w:val="000000"/>
                <w:lang w:eastAsia="en-GB"/>
              </w:rPr>
            </w:pPr>
            <w:r w:rsidRPr="001E3529">
              <w:rPr>
                <w:rFonts w:cs="Calibri"/>
                <w:color w:val="000000"/>
                <w:lang w:eastAsia="en-GB"/>
              </w:rPr>
              <w:t>(25.0)</w:t>
            </w:r>
          </w:p>
        </w:tc>
        <w:tc>
          <w:tcPr>
            <w:tcW w:w="5386" w:type="dxa"/>
            <w:tcBorders>
              <w:top w:val="nil"/>
              <w:left w:val="nil"/>
              <w:bottom w:val="nil"/>
              <w:right w:val="nil"/>
            </w:tcBorders>
            <w:shd w:val="clear" w:color="auto" w:fill="auto"/>
            <w:noWrap/>
            <w:vAlign w:val="center"/>
            <w:hideMark/>
          </w:tcPr>
          <w:p w:rsidR="00B43A2F" w:rsidRPr="001E3529" w:rsidRDefault="00B43A2F" w:rsidP="00B43A2F">
            <w:pPr>
              <w:rPr>
                <w:rFonts w:cs="Calibri"/>
                <w:color w:val="000000"/>
                <w:lang w:eastAsia="en-GB"/>
              </w:rPr>
            </w:pPr>
            <w:r w:rsidRPr="001E3529">
              <w:rPr>
                <w:rFonts w:cs="Calibri"/>
                <w:color w:val="000000"/>
                <w:lang w:eastAsia="en-GB"/>
              </w:rPr>
              <w:t>Less impairments</w:t>
            </w:r>
          </w:p>
        </w:tc>
        <w:tc>
          <w:tcPr>
            <w:tcW w:w="1843" w:type="dxa"/>
            <w:tcBorders>
              <w:top w:val="nil"/>
              <w:left w:val="single" w:sz="8" w:space="0" w:color="auto"/>
              <w:bottom w:val="nil"/>
              <w:right w:val="single" w:sz="8" w:space="0" w:color="auto"/>
            </w:tcBorders>
            <w:shd w:val="clear" w:color="auto" w:fill="auto"/>
            <w:noWrap/>
            <w:vAlign w:val="center"/>
          </w:tcPr>
          <w:p w:rsidR="00B43A2F" w:rsidRPr="001E3529" w:rsidRDefault="00B43A2F" w:rsidP="00B43A2F">
            <w:pPr>
              <w:jc w:val="right"/>
              <w:rPr>
                <w:rFonts w:cs="Calibri"/>
                <w:color w:val="000000"/>
                <w:lang w:eastAsia="en-GB"/>
              </w:rPr>
            </w:pPr>
            <w:r w:rsidRPr="001E3529">
              <w:rPr>
                <w:rFonts w:cs="Calibri"/>
                <w:color w:val="000000"/>
              </w:rPr>
              <w:t>(19.7)</w:t>
            </w:r>
          </w:p>
        </w:tc>
      </w:tr>
      <w:tr w:rsidR="00B43A2F" w:rsidRPr="001E3529" w:rsidTr="00B43A2F">
        <w:trPr>
          <w:trHeight w:val="300"/>
        </w:trPr>
        <w:tc>
          <w:tcPr>
            <w:tcW w:w="1985" w:type="dxa"/>
            <w:tcBorders>
              <w:top w:val="nil"/>
              <w:left w:val="single" w:sz="8" w:space="0" w:color="auto"/>
              <w:bottom w:val="nil"/>
              <w:right w:val="single" w:sz="8" w:space="0" w:color="auto"/>
            </w:tcBorders>
            <w:shd w:val="clear" w:color="auto" w:fill="auto"/>
            <w:noWrap/>
            <w:vAlign w:val="center"/>
            <w:hideMark/>
          </w:tcPr>
          <w:p w:rsidR="00B43A2F" w:rsidRPr="001E3529" w:rsidRDefault="00B43A2F" w:rsidP="00B43A2F">
            <w:pPr>
              <w:jc w:val="right"/>
              <w:rPr>
                <w:rFonts w:cs="Calibri"/>
                <w:b/>
                <w:color w:val="000000"/>
                <w:lang w:eastAsia="en-GB"/>
              </w:rPr>
            </w:pPr>
            <w:r w:rsidRPr="001E3529">
              <w:rPr>
                <w:rFonts w:cs="Calibri"/>
                <w:b/>
                <w:color w:val="000000"/>
                <w:lang w:eastAsia="en-GB"/>
              </w:rPr>
              <w:t>26.0</w:t>
            </w:r>
          </w:p>
        </w:tc>
        <w:tc>
          <w:tcPr>
            <w:tcW w:w="5386" w:type="dxa"/>
            <w:tcBorders>
              <w:top w:val="nil"/>
              <w:left w:val="nil"/>
              <w:bottom w:val="nil"/>
              <w:right w:val="nil"/>
            </w:tcBorders>
            <w:shd w:val="clear" w:color="auto" w:fill="auto"/>
            <w:noWrap/>
            <w:vAlign w:val="center"/>
            <w:hideMark/>
          </w:tcPr>
          <w:p w:rsidR="00B43A2F" w:rsidRPr="001E3529" w:rsidRDefault="00B43A2F" w:rsidP="00B43A2F">
            <w:pPr>
              <w:rPr>
                <w:rFonts w:cs="Calibri"/>
                <w:b/>
                <w:color w:val="000000"/>
                <w:lang w:eastAsia="en-GB"/>
              </w:rPr>
            </w:pPr>
            <w:r w:rsidRPr="001E3529">
              <w:rPr>
                <w:rFonts w:cs="Calibri"/>
                <w:b/>
                <w:color w:val="000000"/>
                <w:lang w:eastAsia="en-GB"/>
              </w:rPr>
              <w:t>Net Local Taxation receivables</w:t>
            </w:r>
          </w:p>
        </w:tc>
        <w:tc>
          <w:tcPr>
            <w:tcW w:w="1843" w:type="dxa"/>
            <w:tcBorders>
              <w:top w:val="nil"/>
              <w:left w:val="single" w:sz="8" w:space="0" w:color="auto"/>
              <w:bottom w:val="nil"/>
              <w:right w:val="single" w:sz="8" w:space="0" w:color="auto"/>
            </w:tcBorders>
            <w:shd w:val="clear" w:color="auto" w:fill="auto"/>
            <w:noWrap/>
            <w:vAlign w:val="center"/>
          </w:tcPr>
          <w:p w:rsidR="00B43A2F" w:rsidRPr="001E3529" w:rsidRDefault="00B43A2F" w:rsidP="00B43A2F">
            <w:pPr>
              <w:jc w:val="right"/>
              <w:rPr>
                <w:rFonts w:cs="Calibri"/>
                <w:b/>
                <w:color w:val="000000"/>
                <w:lang w:eastAsia="en-GB"/>
              </w:rPr>
            </w:pPr>
            <w:r w:rsidRPr="001E3529">
              <w:rPr>
                <w:rFonts w:cs="Calibri"/>
                <w:b/>
                <w:color w:val="000000"/>
              </w:rPr>
              <w:t>28.8</w:t>
            </w:r>
          </w:p>
        </w:tc>
      </w:tr>
      <w:tr w:rsidR="00B43A2F" w:rsidRPr="001E3529" w:rsidTr="00B43A2F">
        <w:trPr>
          <w:trHeight w:val="300"/>
        </w:trPr>
        <w:tc>
          <w:tcPr>
            <w:tcW w:w="1985" w:type="dxa"/>
            <w:tcBorders>
              <w:top w:val="nil"/>
              <w:left w:val="single" w:sz="8" w:space="0" w:color="auto"/>
              <w:bottom w:val="nil"/>
              <w:right w:val="single" w:sz="8" w:space="0" w:color="auto"/>
            </w:tcBorders>
            <w:shd w:val="clear" w:color="auto" w:fill="auto"/>
            <w:noWrap/>
            <w:vAlign w:val="center"/>
            <w:hideMark/>
          </w:tcPr>
          <w:p w:rsidR="00B43A2F" w:rsidRPr="001E3529" w:rsidRDefault="00B43A2F" w:rsidP="00B43A2F">
            <w:pPr>
              <w:jc w:val="right"/>
              <w:rPr>
                <w:rFonts w:cs="Calibri"/>
                <w:color w:val="000000"/>
                <w:lang w:eastAsia="en-GB"/>
              </w:rPr>
            </w:pPr>
            <w:r w:rsidRPr="001E3529">
              <w:rPr>
                <w:rFonts w:cs="Calibri"/>
                <w:color w:val="000000"/>
                <w:lang w:eastAsia="en-GB"/>
              </w:rPr>
              <w:lastRenderedPageBreak/>
              <w:t> </w:t>
            </w:r>
          </w:p>
        </w:tc>
        <w:tc>
          <w:tcPr>
            <w:tcW w:w="5386" w:type="dxa"/>
            <w:tcBorders>
              <w:top w:val="nil"/>
              <w:left w:val="nil"/>
              <w:bottom w:val="nil"/>
              <w:right w:val="nil"/>
            </w:tcBorders>
            <w:shd w:val="clear" w:color="auto" w:fill="auto"/>
            <w:noWrap/>
            <w:vAlign w:val="center"/>
            <w:hideMark/>
          </w:tcPr>
          <w:p w:rsidR="00B43A2F" w:rsidRPr="001E3529" w:rsidRDefault="00B43A2F" w:rsidP="00B43A2F">
            <w:pPr>
              <w:jc w:val="right"/>
              <w:rPr>
                <w:rFonts w:cs="Calibri"/>
                <w:color w:val="000000"/>
                <w:lang w:eastAsia="en-GB"/>
              </w:rPr>
            </w:pPr>
          </w:p>
        </w:tc>
        <w:tc>
          <w:tcPr>
            <w:tcW w:w="1843" w:type="dxa"/>
            <w:tcBorders>
              <w:top w:val="nil"/>
              <w:left w:val="single" w:sz="8" w:space="0" w:color="auto"/>
              <w:bottom w:val="nil"/>
              <w:right w:val="single" w:sz="8" w:space="0" w:color="auto"/>
            </w:tcBorders>
            <w:shd w:val="clear" w:color="auto" w:fill="auto"/>
            <w:noWrap/>
            <w:vAlign w:val="center"/>
          </w:tcPr>
          <w:p w:rsidR="00B43A2F" w:rsidRPr="001E3529" w:rsidRDefault="00B43A2F" w:rsidP="00B43A2F">
            <w:pPr>
              <w:jc w:val="right"/>
              <w:rPr>
                <w:rFonts w:cs="Calibri"/>
                <w:color w:val="000000"/>
                <w:lang w:eastAsia="en-GB"/>
              </w:rPr>
            </w:pPr>
            <w:r w:rsidRPr="001E3529">
              <w:rPr>
                <w:rFonts w:cs="Calibri"/>
                <w:color w:val="000000"/>
              </w:rPr>
              <w:t> </w:t>
            </w:r>
          </w:p>
        </w:tc>
      </w:tr>
      <w:tr w:rsidR="00B43A2F" w:rsidRPr="001E3529" w:rsidTr="00B43A2F">
        <w:trPr>
          <w:trHeight w:val="300"/>
        </w:trPr>
        <w:tc>
          <w:tcPr>
            <w:tcW w:w="1985" w:type="dxa"/>
            <w:tcBorders>
              <w:top w:val="nil"/>
              <w:left w:val="single" w:sz="8" w:space="0" w:color="auto"/>
              <w:bottom w:val="nil"/>
              <w:right w:val="single" w:sz="8" w:space="0" w:color="auto"/>
            </w:tcBorders>
            <w:shd w:val="clear" w:color="auto" w:fill="auto"/>
            <w:noWrap/>
            <w:vAlign w:val="center"/>
            <w:hideMark/>
          </w:tcPr>
          <w:p w:rsidR="00B43A2F" w:rsidRPr="001E3529" w:rsidRDefault="00B43A2F" w:rsidP="00B43A2F">
            <w:pPr>
              <w:jc w:val="right"/>
              <w:rPr>
                <w:rFonts w:cs="Calibri"/>
                <w:color w:val="000000"/>
                <w:lang w:eastAsia="en-GB"/>
              </w:rPr>
            </w:pPr>
            <w:r w:rsidRPr="001E3529">
              <w:rPr>
                <w:rFonts w:cs="Calibri"/>
                <w:color w:val="000000"/>
                <w:lang w:eastAsia="en-GB"/>
              </w:rPr>
              <w:t>62.4</w:t>
            </w:r>
          </w:p>
        </w:tc>
        <w:tc>
          <w:tcPr>
            <w:tcW w:w="5386" w:type="dxa"/>
            <w:tcBorders>
              <w:top w:val="nil"/>
              <w:left w:val="nil"/>
              <w:bottom w:val="nil"/>
              <w:right w:val="nil"/>
            </w:tcBorders>
            <w:shd w:val="clear" w:color="auto" w:fill="auto"/>
            <w:noWrap/>
            <w:vAlign w:val="center"/>
            <w:hideMark/>
          </w:tcPr>
          <w:p w:rsidR="00B43A2F" w:rsidRPr="001E3529" w:rsidRDefault="00B43A2F" w:rsidP="00B43A2F">
            <w:pPr>
              <w:rPr>
                <w:rFonts w:cs="Calibri"/>
                <w:color w:val="000000"/>
                <w:lang w:eastAsia="en-GB"/>
              </w:rPr>
            </w:pPr>
            <w:r w:rsidRPr="001E3529">
              <w:rPr>
                <w:rFonts w:cs="Calibri"/>
                <w:color w:val="000000"/>
                <w:lang w:eastAsia="en-GB"/>
              </w:rPr>
              <w:t>Other receivables amounts Outstanding</w:t>
            </w:r>
          </w:p>
        </w:tc>
        <w:tc>
          <w:tcPr>
            <w:tcW w:w="1843" w:type="dxa"/>
            <w:tcBorders>
              <w:top w:val="nil"/>
              <w:left w:val="single" w:sz="8" w:space="0" w:color="auto"/>
              <w:bottom w:val="nil"/>
              <w:right w:val="single" w:sz="8" w:space="0" w:color="auto"/>
            </w:tcBorders>
            <w:shd w:val="clear" w:color="auto" w:fill="auto"/>
            <w:noWrap/>
            <w:vAlign w:val="center"/>
          </w:tcPr>
          <w:p w:rsidR="00B43A2F" w:rsidRPr="001E3529" w:rsidRDefault="00B43A2F" w:rsidP="00B43A2F">
            <w:pPr>
              <w:jc w:val="right"/>
              <w:rPr>
                <w:rFonts w:cs="Calibri"/>
                <w:color w:val="000000"/>
                <w:lang w:eastAsia="en-GB"/>
              </w:rPr>
            </w:pPr>
            <w:r w:rsidRPr="001E3529">
              <w:rPr>
                <w:rFonts w:cs="Calibri"/>
                <w:color w:val="000000"/>
              </w:rPr>
              <w:t>110.9</w:t>
            </w:r>
          </w:p>
        </w:tc>
      </w:tr>
      <w:tr w:rsidR="00B43A2F" w:rsidRPr="001E3529" w:rsidTr="00B43A2F">
        <w:trPr>
          <w:trHeight w:val="315"/>
        </w:trPr>
        <w:tc>
          <w:tcPr>
            <w:tcW w:w="1985" w:type="dxa"/>
            <w:tcBorders>
              <w:top w:val="nil"/>
              <w:left w:val="single" w:sz="8" w:space="0" w:color="auto"/>
              <w:bottom w:val="nil"/>
              <w:right w:val="single" w:sz="8" w:space="0" w:color="auto"/>
            </w:tcBorders>
            <w:shd w:val="clear" w:color="auto" w:fill="auto"/>
            <w:noWrap/>
            <w:vAlign w:val="center"/>
            <w:hideMark/>
          </w:tcPr>
          <w:p w:rsidR="00B43A2F" w:rsidRPr="001E3529" w:rsidRDefault="00B43A2F" w:rsidP="00B43A2F">
            <w:pPr>
              <w:jc w:val="right"/>
              <w:rPr>
                <w:rFonts w:cs="Calibri"/>
                <w:color w:val="000000"/>
                <w:lang w:eastAsia="en-GB"/>
              </w:rPr>
            </w:pPr>
            <w:r w:rsidRPr="001E3529">
              <w:rPr>
                <w:rFonts w:cs="Calibri"/>
                <w:color w:val="000000"/>
                <w:lang w:eastAsia="en-GB"/>
              </w:rPr>
              <w:t>(24.7) </w:t>
            </w:r>
          </w:p>
        </w:tc>
        <w:tc>
          <w:tcPr>
            <w:tcW w:w="5386" w:type="dxa"/>
            <w:tcBorders>
              <w:top w:val="nil"/>
              <w:left w:val="nil"/>
              <w:bottom w:val="nil"/>
              <w:right w:val="nil"/>
            </w:tcBorders>
            <w:shd w:val="clear" w:color="auto" w:fill="auto"/>
            <w:noWrap/>
            <w:vAlign w:val="center"/>
            <w:hideMark/>
          </w:tcPr>
          <w:p w:rsidR="00B43A2F" w:rsidRPr="001E3529" w:rsidRDefault="00B43A2F" w:rsidP="00B43A2F">
            <w:pPr>
              <w:rPr>
                <w:rFonts w:cs="Calibri"/>
                <w:color w:val="000000"/>
                <w:lang w:eastAsia="en-GB"/>
              </w:rPr>
            </w:pPr>
            <w:r w:rsidRPr="001E3529">
              <w:rPr>
                <w:rFonts w:cs="Calibri"/>
                <w:color w:val="000000"/>
                <w:lang w:eastAsia="en-GB"/>
              </w:rPr>
              <w:t>Less impairments</w:t>
            </w:r>
          </w:p>
        </w:tc>
        <w:tc>
          <w:tcPr>
            <w:tcW w:w="1843" w:type="dxa"/>
            <w:tcBorders>
              <w:top w:val="nil"/>
              <w:left w:val="single" w:sz="8" w:space="0" w:color="auto"/>
              <w:bottom w:val="nil"/>
              <w:right w:val="single" w:sz="8" w:space="0" w:color="auto"/>
            </w:tcBorders>
            <w:shd w:val="clear" w:color="auto" w:fill="auto"/>
            <w:noWrap/>
            <w:vAlign w:val="center"/>
          </w:tcPr>
          <w:p w:rsidR="00B43A2F" w:rsidRPr="001E3529" w:rsidRDefault="00E72CAE" w:rsidP="00B43A2F">
            <w:pPr>
              <w:jc w:val="right"/>
              <w:rPr>
                <w:rFonts w:cs="Calibri"/>
                <w:color w:val="000000"/>
                <w:lang w:eastAsia="en-GB"/>
              </w:rPr>
            </w:pPr>
            <w:r>
              <w:rPr>
                <w:rFonts w:cs="Calibri"/>
                <w:color w:val="000000"/>
              </w:rPr>
              <w:t>(37.5</w:t>
            </w:r>
            <w:r w:rsidR="00B43A2F" w:rsidRPr="001E3529">
              <w:rPr>
                <w:rFonts w:cs="Calibri"/>
                <w:color w:val="000000"/>
              </w:rPr>
              <w:t>)</w:t>
            </w:r>
          </w:p>
        </w:tc>
      </w:tr>
      <w:tr w:rsidR="00B43A2F" w:rsidRPr="001E3529" w:rsidTr="00B43A2F">
        <w:trPr>
          <w:trHeight w:val="315"/>
        </w:trPr>
        <w:tc>
          <w:tcPr>
            <w:tcW w:w="198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43A2F" w:rsidRPr="001E3529" w:rsidRDefault="00B43A2F" w:rsidP="00B43A2F">
            <w:pPr>
              <w:jc w:val="right"/>
              <w:rPr>
                <w:rFonts w:cs="Calibri"/>
                <w:b/>
                <w:color w:val="000000"/>
                <w:lang w:eastAsia="en-GB"/>
              </w:rPr>
            </w:pPr>
            <w:r w:rsidRPr="001E3529">
              <w:rPr>
                <w:rFonts w:cs="Calibri"/>
                <w:b/>
                <w:color w:val="000000"/>
                <w:lang w:eastAsia="en-GB"/>
              </w:rPr>
              <w:t>37.7</w:t>
            </w:r>
          </w:p>
        </w:tc>
        <w:tc>
          <w:tcPr>
            <w:tcW w:w="5386" w:type="dxa"/>
            <w:tcBorders>
              <w:top w:val="nil"/>
              <w:left w:val="nil"/>
              <w:bottom w:val="nil"/>
              <w:right w:val="nil"/>
            </w:tcBorders>
            <w:shd w:val="clear" w:color="auto" w:fill="auto"/>
            <w:noWrap/>
            <w:vAlign w:val="center"/>
            <w:hideMark/>
          </w:tcPr>
          <w:p w:rsidR="00B43A2F" w:rsidRPr="001E3529" w:rsidRDefault="00B43A2F" w:rsidP="00B43A2F">
            <w:pPr>
              <w:rPr>
                <w:rFonts w:cs="Calibri"/>
                <w:b/>
                <w:color w:val="000000"/>
                <w:lang w:eastAsia="en-GB"/>
              </w:rPr>
            </w:pPr>
            <w:r w:rsidRPr="001E3529">
              <w:rPr>
                <w:rFonts w:cs="Calibri"/>
                <w:b/>
                <w:color w:val="000000"/>
                <w:lang w:eastAsia="en-GB"/>
              </w:rPr>
              <w:t>Net Other receivable amounts</w:t>
            </w:r>
          </w:p>
        </w:tc>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tcPr>
          <w:p w:rsidR="00B43A2F" w:rsidRPr="001E3529" w:rsidRDefault="00E72CAE" w:rsidP="00B43A2F">
            <w:pPr>
              <w:jc w:val="right"/>
              <w:rPr>
                <w:rFonts w:cs="Calibri"/>
                <w:b/>
                <w:color w:val="000000"/>
                <w:lang w:eastAsia="en-GB"/>
              </w:rPr>
            </w:pPr>
            <w:r>
              <w:rPr>
                <w:rFonts w:cs="Calibri"/>
                <w:b/>
                <w:color w:val="000000"/>
              </w:rPr>
              <w:t>73.4</w:t>
            </w:r>
          </w:p>
        </w:tc>
      </w:tr>
      <w:tr w:rsidR="00B43A2F" w:rsidRPr="001E3529" w:rsidTr="00B43A2F">
        <w:trPr>
          <w:trHeight w:val="315"/>
        </w:trPr>
        <w:tc>
          <w:tcPr>
            <w:tcW w:w="1985" w:type="dxa"/>
            <w:tcBorders>
              <w:top w:val="nil"/>
              <w:left w:val="single" w:sz="8" w:space="0" w:color="auto"/>
              <w:bottom w:val="single" w:sz="8" w:space="0" w:color="auto"/>
              <w:right w:val="single" w:sz="8" w:space="0" w:color="auto"/>
            </w:tcBorders>
            <w:shd w:val="clear" w:color="auto" w:fill="auto"/>
            <w:noWrap/>
            <w:vAlign w:val="center"/>
            <w:hideMark/>
          </w:tcPr>
          <w:p w:rsidR="00B43A2F" w:rsidRPr="001E3529" w:rsidRDefault="00B43A2F" w:rsidP="00B43A2F">
            <w:pPr>
              <w:jc w:val="right"/>
              <w:rPr>
                <w:rFonts w:cs="Calibri"/>
                <w:b/>
                <w:bCs/>
                <w:color w:val="000000"/>
                <w:lang w:eastAsia="en-GB"/>
              </w:rPr>
            </w:pPr>
            <w:r w:rsidRPr="001E3529">
              <w:rPr>
                <w:rFonts w:cs="Calibri"/>
                <w:b/>
                <w:bCs/>
                <w:color w:val="000000"/>
                <w:lang w:eastAsia="en-GB"/>
              </w:rPr>
              <w:t>107.3</w:t>
            </w:r>
          </w:p>
        </w:tc>
        <w:tc>
          <w:tcPr>
            <w:tcW w:w="5386" w:type="dxa"/>
            <w:tcBorders>
              <w:top w:val="nil"/>
              <w:left w:val="nil"/>
              <w:bottom w:val="nil"/>
              <w:right w:val="nil"/>
            </w:tcBorders>
            <w:shd w:val="clear" w:color="auto" w:fill="auto"/>
            <w:noWrap/>
            <w:vAlign w:val="center"/>
            <w:hideMark/>
          </w:tcPr>
          <w:p w:rsidR="00B43A2F" w:rsidRPr="001E3529" w:rsidRDefault="00B43A2F" w:rsidP="00B43A2F">
            <w:pPr>
              <w:rPr>
                <w:rFonts w:cs="Calibri"/>
                <w:b/>
                <w:bCs/>
                <w:color w:val="000000"/>
                <w:lang w:eastAsia="en-GB"/>
              </w:rPr>
            </w:pPr>
            <w:r w:rsidRPr="001E3529">
              <w:rPr>
                <w:rFonts w:cs="Calibri"/>
                <w:b/>
                <w:bCs/>
                <w:color w:val="000000"/>
                <w:lang w:eastAsia="en-GB"/>
              </w:rPr>
              <w:t>Total</w:t>
            </w:r>
          </w:p>
        </w:tc>
        <w:tc>
          <w:tcPr>
            <w:tcW w:w="1843" w:type="dxa"/>
            <w:tcBorders>
              <w:top w:val="nil"/>
              <w:left w:val="single" w:sz="8" w:space="0" w:color="auto"/>
              <w:bottom w:val="single" w:sz="8" w:space="0" w:color="auto"/>
              <w:right w:val="single" w:sz="8" w:space="0" w:color="auto"/>
            </w:tcBorders>
            <w:shd w:val="clear" w:color="auto" w:fill="auto"/>
            <w:noWrap/>
            <w:vAlign w:val="center"/>
          </w:tcPr>
          <w:p w:rsidR="00B43A2F" w:rsidRPr="001E3529" w:rsidRDefault="00E72CAE" w:rsidP="00B43A2F">
            <w:pPr>
              <w:jc w:val="right"/>
              <w:rPr>
                <w:rFonts w:cs="Calibri"/>
                <w:b/>
                <w:bCs/>
                <w:color w:val="000000"/>
                <w:lang w:eastAsia="en-GB"/>
              </w:rPr>
            </w:pPr>
            <w:r>
              <w:rPr>
                <w:rFonts w:cs="Calibri"/>
                <w:b/>
                <w:bCs/>
                <w:color w:val="000000"/>
              </w:rPr>
              <w:t>156.8</w:t>
            </w:r>
          </w:p>
        </w:tc>
      </w:tr>
    </w:tbl>
    <w:p w:rsidR="00F72906" w:rsidRDefault="00F72906" w:rsidP="00F72906"/>
    <w:p w:rsidR="00F72906" w:rsidRDefault="00F72906" w:rsidP="00B43A2F">
      <w:pPr>
        <w:pStyle w:val="Heading4"/>
      </w:pPr>
      <w:r>
        <w:t>Breakdown of non-impaired Local Taxation Debtors</w:t>
      </w:r>
    </w:p>
    <w:tbl>
      <w:tblPr>
        <w:tblpPr w:leftFromText="180" w:rightFromText="180" w:vertAnchor="text" w:horzAnchor="page" w:tblpX="1242" w:tblpY="21"/>
        <w:tblW w:w="8804" w:type="dxa"/>
        <w:tblLook w:val="04A0" w:firstRow="1" w:lastRow="0" w:firstColumn="1" w:lastColumn="0" w:noHBand="0" w:noVBand="1"/>
      </w:tblPr>
      <w:tblGrid>
        <w:gridCol w:w="1560"/>
        <w:gridCol w:w="1043"/>
        <w:gridCol w:w="4344"/>
        <w:gridCol w:w="1857"/>
      </w:tblGrid>
      <w:tr w:rsidR="00B43A2F" w:rsidRPr="001E3529" w:rsidTr="00B43A2F">
        <w:trPr>
          <w:trHeight w:hRule="exact" w:val="284"/>
        </w:trPr>
        <w:tc>
          <w:tcPr>
            <w:tcW w:w="1560" w:type="dxa"/>
            <w:tcBorders>
              <w:top w:val="nil"/>
              <w:left w:val="nil"/>
              <w:right w:val="nil"/>
            </w:tcBorders>
            <w:vAlign w:val="bottom"/>
          </w:tcPr>
          <w:p w:rsidR="00B43A2F" w:rsidRPr="001E3529" w:rsidRDefault="00B43A2F" w:rsidP="00B43A2F">
            <w:pPr>
              <w:ind w:left="-817"/>
              <w:jc w:val="right"/>
              <w:rPr>
                <w:rFonts w:cs="Calibri"/>
                <w:b/>
                <w:bCs/>
                <w:color w:val="000000"/>
                <w:lang w:eastAsia="en-GB"/>
              </w:rPr>
            </w:pPr>
            <w:r w:rsidRPr="001E3529">
              <w:rPr>
                <w:rFonts w:cs="Calibri"/>
                <w:b/>
                <w:bCs/>
                <w:color w:val="000000"/>
                <w:lang w:eastAsia="en-GB"/>
              </w:rPr>
              <w:t>31-Mar-2019</w:t>
            </w:r>
          </w:p>
        </w:tc>
        <w:tc>
          <w:tcPr>
            <w:tcW w:w="1043" w:type="dxa"/>
            <w:tcBorders>
              <w:top w:val="nil"/>
              <w:left w:val="nil"/>
              <w:bottom w:val="nil"/>
              <w:right w:val="nil"/>
            </w:tcBorders>
            <w:shd w:val="clear" w:color="auto" w:fill="auto"/>
            <w:noWrap/>
            <w:vAlign w:val="center"/>
          </w:tcPr>
          <w:p w:rsidR="00B43A2F" w:rsidRPr="001E3529" w:rsidRDefault="00B43A2F" w:rsidP="00B43A2F">
            <w:pPr>
              <w:jc w:val="right"/>
              <w:rPr>
                <w:rFonts w:cs="Calibri"/>
                <w:b/>
                <w:bCs/>
                <w:color w:val="000000"/>
                <w:lang w:eastAsia="en-GB"/>
              </w:rPr>
            </w:pPr>
          </w:p>
        </w:tc>
        <w:tc>
          <w:tcPr>
            <w:tcW w:w="4344" w:type="dxa"/>
            <w:tcBorders>
              <w:top w:val="nil"/>
              <w:left w:val="nil"/>
              <w:bottom w:val="nil"/>
              <w:right w:val="nil"/>
            </w:tcBorders>
            <w:shd w:val="clear" w:color="auto" w:fill="auto"/>
            <w:noWrap/>
            <w:vAlign w:val="bottom"/>
          </w:tcPr>
          <w:p w:rsidR="00B43A2F" w:rsidRPr="001E3529" w:rsidRDefault="00B43A2F" w:rsidP="00B43A2F">
            <w:pPr>
              <w:rPr>
                <w:rFonts w:cs="Calibri"/>
                <w:lang w:eastAsia="en-GB"/>
              </w:rPr>
            </w:pPr>
          </w:p>
        </w:tc>
        <w:tc>
          <w:tcPr>
            <w:tcW w:w="1857" w:type="dxa"/>
            <w:tcBorders>
              <w:top w:val="nil"/>
              <w:left w:val="nil"/>
              <w:bottom w:val="nil"/>
              <w:right w:val="nil"/>
            </w:tcBorders>
            <w:shd w:val="clear" w:color="auto" w:fill="auto"/>
            <w:noWrap/>
            <w:vAlign w:val="bottom"/>
          </w:tcPr>
          <w:p w:rsidR="00B43A2F" w:rsidRPr="001E3529" w:rsidRDefault="00B43A2F" w:rsidP="00B43A2F">
            <w:pPr>
              <w:jc w:val="right"/>
              <w:rPr>
                <w:rFonts w:cs="Calibri"/>
                <w:b/>
                <w:bCs/>
                <w:color w:val="000000"/>
                <w:lang w:eastAsia="en-GB"/>
              </w:rPr>
            </w:pPr>
            <w:r w:rsidRPr="001E3529">
              <w:rPr>
                <w:rFonts w:cs="Calibri"/>
                <w:b/>
                <w:bCs/>
                <w:color w:val="000000"/>
                <w:lang w:eastAsia="en-GB"/>
              </w:rPr>
              <w:t>31-Mar-2020</w:t>
            </w:r>
          </w:p>
        </w:tc>
      </w:tr>
      <w:tr w:rsidR="00B43A2F" w:rsidRPr="001E3529" w:rsidTr="00B43A2F">
        <w:trPr>
          <w:trHeight w:hRule="exact" w:val="284"/>
        </w:trPr>
        <w:tc>
          <w:tcPr>
            <w:tcW w:w="1560" w:type="dxa"/>
            <w:tcBorders>
              <w:left w:val="nil"/>
              <w:bottom w:val="single" w:sz="4" w:space="0" w:color="auto"/>
              <w:right w:val="nil"/>
            </w:tcBorders>
            <w:vAlign w:val="bottom"/>
          </w:tcPr>
          <w:p w:rsidR="00B43A2F" w:rsidRPr="001E3529" w:rsidRDefault="00B43A2F" w:rsidP="00B43A2F">
            <w:pPr>
              <w:ind w:left="-817"/>
              <w:jc w:val="right"/>
              <w:rPr>
                <w:rFonts w:cs="Calibri"/>
                <w:b/>
                <w:bCs/>
                <w:color w:val="000000"/>
                <w:lang w:eastAsia="en-GB"/>
              </w:rPr>
            </w:pPr>
            <w:r w:rsidRPr="001E3529">
              <w:rPr>
                <w:rFonts w:cs="Calibri"/>
                <w:b/>
                <w:bCs/>
                <w:color w:val="000000"/>
                <w:lang w:eastAsia="en-GB"/>
              </w:rPr>
              <w:t>£m</w:t>
            </w:r>
          </w:p>
        </w:tc>
        <w:tc>
          <w:tcPr>
            <w:tcW w:w="1043" w:type="dxa"/>
            <w:tcBorders>
              <w:top w:val="nil"/>
              <w:left w:val="nil"/>
              <w:bottom w:val="nil"/>
              <w:right w:val="nil"/>
            </w:tcBorders>
            <w:shd w:val="clear" w:color="auto" w:fill="auto"/>
            <w:noWrap/>
            <w:vAlign w:val="center"/>
            <w:hideMark/>
          </w:tcPr>
          <w:p w:rsidR="00B43A2F" w:rsidRPr="001E3529" w:rsidRDefault="00B43A2F" w:rsidP="00B43A2F">
            <w:pPr>
              <w:jc w:val="right"/>
              <w:rPr>
                <w:rFonts w:cs="Calibri"/>
                <w:b/>
                <w:bCs/>
                <w:color w:val="000000"/>
                <w:lang w:eastAsia="en-GB"/>
              </w:rPr>
            </w:pPr>
          </w:p>
        </w:tc>
        <w:tc>
          <w:tcPr>
            <w:tcW w:w="4344" w:type="dxa"/>
            <w:tcBorders>
              <w:top w:val="nil"/>
              <w:left w:val="nil"/>
              <w:bottom w:val="nil"/>
              <w:right w:val="nil"/>
            </w:tcBorders>
            <w:shd w:val="clear" w:color="auto" w:fill="auto"/>
            <w:noWrap/>
            <w:vAlign w:val="bottom"/>
            <w:hideMark/>
          </w:tcPr>
          <w:p w:rsidR="00B43A2F" w:rsidRPr="001E3529" w:rsidRDefault="00B43A2F" w:rsidP="00B43A2F">
            <w:pPr>
              <w:rPr>
                <w:rFonts w:cs="Calibri"/>
                <w:lang w:eastAsia="en-GB"/>
              </w:rPr>
            </w:pPr>
          </w:p>
        </w:tc>
        <w:tc>
          <w:tcPr>
            <w:tcW w:w="1857" w:type="dxa"/>
            <w:tcBorders>
              <w:top w:val="nil"/>
              <w:left w:val="nil"/>
              <w:bottom w:val="nil"/>
              <w:right w:val="nil"/>
            </w:tcBorders>
            <w:shd w:val="clear" w:color="auto" w:fill="auto"/>
            <w:noWrap/>
            <w:vAlign w:val="bottom"/>
            <w:hideMark/>
          </w:tcPr>
          <w:p w:rsidR="00B43A2F" w:rsidRPr="001E3529" w:rsidRDefault="00B43A2F" w:rsidP="00B43A2F">
            <w:pPr>
              <w:jc w:val="right"/>
              <w:rPr>
                <w:rFonts w:cs="Calibri"/>
                <w:b/>
                <w:bCs/>
                <w:color w:val="000000"/>
                <w:lang w:eastAsia="en-GB"/>
              </w:rPr>
            </w:pPr>
            <w:r w:rsidRPr="001E3529">
              <w:rPr>
                <w:rFonts w:cs="Calibri"/>
                <w:b/>
                <w:bCs/>
                <w:color w:val="000000"/>
                <w:lang w:eastAsia="en-GB"/>
              </w:rPr>
              <w:t>£m</w:t>
            </w:r>
          </w:p>
        </w:tc>
      </w:tr>
      <w:tr w:rsidR="00B43A2F" w:rsidRPr="001E3529" w:rsidTr="00B43A2F">
        <w:trPr>
          <w:trHeight w:hRule="exact" w:val="284"/>
        </w:trPr>
        <w:tc>
          <w:tcPr>
            <w:tcW w:w="1560" w:type="dxa"/>
            <w:tcBorders>
              <w:top w:val="single" w:sz="4" w:space="0" w:color="auto"/>
              <w:left w:val="single" w:sz="4" w:space="0" w:color="auto"/>
              <w:bottom w:val="nil"/>
              <w:right w:val="single" w:sz="4" w:space="0" w:color="auto"/>
            </w:tcBorders>
            <w:vAlign w:val="bottom"/>
          </w:tcPr>
          <w:p w:rsidR="00B43A2F" w:rsidRPr="001E3529" w:rsidRDefault="00B43A2F" w:rsidP="00B43A2F">
            <w:pPr>
              <w:rPr>
                <w:rFonts w:cs="Calibri"/>
                <w:color w:val="000000"/>
                <w:lang w:eastAsia="en-GB"/>
              </w:rPr>
            </w:pPr>
            <w:r w:rsidRPr="001E3529">
              <w:rPr>
                <w:rFonts w:cs="Calibri"/>
                <w:color w:val="000000"/>
                <w:lang w:eastAsia="en-GB"/>
              </w:rPr>
              <w:t> </w:t>
            </w:r>
          </w:p>
        </w:tc>
        <w:tc>
          <w:tcPr>
            <w:tcW w:w="5387" w:type="dxa"/>
            <w:gridSpan w:val="2"/>
            <w:tcBorders>
              <w:top w:val="nil"/>
              <w:left w:val="single" w:sz="4" w:space="0" w:color="auto"/>
              <w:bottom w:val="nil"/>
              <w:right w:val="nil"/>
            </w:tcBorders>
            <w:shd w:val="clear" w:color="auto" w:fill="auto"/>
            <w:noWrap/>
            <w:vAlign w:val="center"/>
            <w:hideMark/>
          </w:tcPr>
          <w:p w:rsidR="00B43A2F" w:rsidRPr="001E3529" w:rsidRDefault="00B43A2F" w:rsidP="00B43A2F">
            <w:pPr>
              <w:rPr>
                <w:rFonts w:cs="Calibri"/>
                <w:color w:val="000000"/>
                <w:lang w:eastAsia="en-GB"/>
              </w:rPr>
            </w:pPr>
            <w:r w:rsidRPr="001E3529">
              <w:rPr>
                <w:rFonts w:cs="Calibri"/>
                <w:color w:val="000000"/>
                <w:lang w:eastAsia="en-GB"/>
              </w:rPr>
              <w:t>Local Taxation receivable amounts Outstanding</w:t>
            </w:r>
          </w:p>
        </w:tc>
        <w:tc>
          <w:tcPr>
            <w:tcW w:w="1857" w:type="dxa"/>
            <w:tcBorders>
              <w:top w:val="single" w:sz="4" w:space="0" w:color="auto"/>
              <w:left w:val="single" w:sz="4" w:space="0" w:color="auto"/>
              <w:bottom w:val="nil"/>
              <w:right w:val="single" w:sz="4" w:space="0" w:color="auto"/>
            </w:tcBorders>
            <w:shd w:val="clear" w:color="auto" w:fill="auto"/>
            <w:noWrap/>
            <w:vAlign w:val="bottom"/>
            <w:hideMark/>
          </w:tcPr>
          <w:p w:rsidR="00B43A2F" w:rsidRPr="001E3529" w:rsidRDefault="00B43A2F" w:rsidP="00B43A2F">
            <w:pPr>
              <w:rPr>
                <w:rFonts w:cs="Calibri"/>
                <w:color w:val="000000"/>
                <w:lang w:eastAsia="en-GB"/>
              </w:rPr>
            </w:pPr>
            <w:r w:rsidRPr="001E3529">
              <w:rPr>
                <w:rFonts w:cs="Calibri"/>
                <w:color w:val="000000"/>
                <w:lang w:eastAsia="en-GB"/>
              </w:rPr>
              <w:t> </w:t>
            </w:r>
          </w:p>
        </w:tc>
      </w:tr>
      <w:tr w:rsidR="00B43A2F" w:rsidRPr="001E3529" w:rsidTr="00B43A2F">
        <w:trPr>
          <w:trHeight w:hRule="exact" w:val="284"/>
        </w:trPr>
        <w:tc>
          <w:tcPr>
            <w:tcW w:w="1560" w:type="dxa"/>
            <w:tcBorders>
              <w:top w:val="nil"/>
              <w:left w:val="single" w:sz="4" w:space="0" w:color="auto"/>
              <w:bottom w:val="nil"/>
              <w:right w:val="single" w:sz="4" w:space="0" w:color="auto"/>
            </w:tcBorders>
            <w:vAlign w:val="bottom"/>
          </w:tcPr>
          <w:p w:rsidR="00B43A2F" w:rsidRPr="001E3529" w:rsidRDefault="00B43A2F" w:rsidP="00B43A2F">
            <w:pPr>
              <w:jc w:val="right"/>
              <w:rPr>
                <w:rFonts w:cs="Calibri"/>
                <w:color w:val="000000"/>
                <w:lang w:eastAsia="en-GB"/>
              </w:rPr>
            </w:pPr>
            <w:r w:rsidRPr="001E3529">
              <w:rPr>
                <w:rFonts w:cs="Calibri"/>
                <w:color w:val="000000"/>
                <w:lang w:eastAsia="en-GB"/>
              </w:rPr>
              <w:t>1.0</w:t>
            </w:r>
          </w:p>
        </w:tc>
        <w:tc>
          <w:tcPr>
            <w:tcW w:w="1043" w:type="dxa"/>
            <w:tcBorders>
              <w:top w:val="nil"/>
              <w:left w:val="single" w:sz="4" w:space="0" w:color="auto"/>
              <w:bottom w:val="nil"/>
              <w:right w:val="nil"/>
            </w:tcBorders>
            <w:shd w:val="clear" w:color="auto" w:fill="auto"/>
            <w:noWrap/>
            <w:vAlign w:val="center"/>
            <w:hideMark/>
          </w:tcPr>
          <w:p w:rsidR="00B43A2F" w:rsidRPr="001E3529" w:rsidRDefault="00B43A2F" w:rsidP="00B43A2F">
            <w:pPr>
              <w:rPr>
                <w:rFonts w:cs="Calibri"/>
                <w:color w:val="000000"/>
                <w:lang w:eastAsia="en-GB"/>
              </w:rPr>
            </w:pPr>
          </w:p>
        </w:tc>
        <w:tc>
          <w:tcPr>
            <w:tcW w:w="4344" w:type="dxa"/>
            <w:tcBorders>
              <w:top w:val="nil"/>
              <w:left w:val="nil"/>
              <w:bottom w:val="nil"/>
              <w:right w:val="nil"/>
            </w:tcBorders>
            <w:shd w:val="clear" w:color="auto" w:fill="auto"/>
            <w:noWrap/>
            <w:vAlign w:val="bottom"/>
            <w:hideMark/>
          </w:tcPr>
          <w:p w:rsidR="00B43A2F" w:rsidRPr="001E3529" w:rsidRDefault="00B43A2F" w:rsidP="00B43A2F">
            <w:pPr>
              <w:rPr>
                <w:rFonts w:cs="Calibri"/>
                <w:color w:val="000000"/>
                <w:lang w:eastAsia="en-GB"/>
              </w:rPr>
            </w:pPr>
            <w:r w:rsidRPr="001E3529">
              <w:rPr>
                <w:rFonts w:cs="Calibri"/>
                <w:color w:val="000000"/>
                <w:lang w:eastAsia="en-GB"/>
              </w:rPr>
              <w:t>Due in less than three months</w:t>
            </w:r>
          </w:p>
        </w:tc>
        <w:tc>
          <w:tcPr>
            <w:tcW w:w="1857" w:type="dxa"/>
            <w:tcBorders>
              <w:top w:val="nil"/>
              <w:left w:val="single" w:sz="4" w:space="0" w:color="auto"/>
              <w:bottom w:val="nil"/>
              <w:right w:val="single" w:sz="4" w:space="0" w:color="auto"/>
            </w:tcBorders>
            <w:shd w:val="clear" w:color="auto" w:fill="auto"/>
            <w:noWrap/>
            <w:vAlign w:val="bottom"/>
          </w:tcPr>
          <w:p w:rsidR="00B43A2F" w:rsidRPr="001E3529" w:rsidRDefault="00B43A2F" w:rsidP="00B43A2F">
            <w:pPr>
              <w:jc w:val="right"/>
              <w:rPr>
                <w:rFonts w:cs="Calibri"/>
                <w:color w:val="000000"/>
                <w:lang w:eastAsia="en-GB"/>
              </w:rPr>
            </w:pPr>
            <w:r w:rsidRPr="001E3529">
              <w:rPr>
                <w:rFonts w:cs="Calibri"/>
                <w:color w:val="000000"/>
                <w:lang w:eastAsia="en-GB"/>
              </w:rPr>
              <w:t>1.1</w:t>
            </w:r>
          </w:p>
        </w:tc>
      </w:tr>
      <w:tr w:rsidR="00B43A2F" w:rsidRPr="001E3529" w:rsidTr="00B43A2F">
        <w:trPr>
          <w:trHeight w:hRule="exact" w:val="284"/>
        </w:trPr>
        <w:tc>
          <w:tcPr>
            <w:tcW w:w="1560" w:type="dxa"/>
            <w:tcBorders>
              <w:top w:val="nil"/>
              <w:left w:val="single" w:sz="4" w:space="0" w:color="auto"/>
              <w:bottom w:val="nil"/>
              <w:right w:val="single" w:sz="4" w:space="0" w:color="auto"/>
            </w:tcBorders>
            <w:vAlign w:val="bottom"/>
          </w:tcPr>
          <w:p w:rsidR="00B43A2F" w:rsidRPr="001E3529" w:rsidRDefault="00B43A2F" w:rsidP="00B43A2F">
            <w:pPr>
              <w:jc w:val="right"/>
              <w:rPr>
                <w:rFonts w:cs="Calibri"/>
                <w:color w:val="000000"/>
                <w:lang w:eastAsia="en-GB"/>
              </w:rPr>
            </w:pPr>
            <w:r w:rsidRPr="001E3529">
              <w:rPr>
                <w:rFonts w:cs="Calibri"/>
                <w:color w:val="000000"/>
                <w:lang w:eastAsia="en-GB"/>
              </w:rPr>
              <w:t>1.2</w:t>
            </w:r>
          </w:p>
        </w:tc>
        <w:tc>
          <w:tcPr>
            <w:tcW w:w="1043" w:type="dxa"/>
            <w:tcBorders>
              <w:top w:val="nil"/>
              <w:left w:val="single" w:sz="4" w:space="0" w:color="auto"/>
              <w:bottom w:val="nil"/>
              <w:right w:val="nil"/>
            </w:tcBorders>
            <w:shd w:val="clear" w:color="auto" w:fill="auto"/>
            <w:noWrap/>
            <w:vAlign w:val="center"/>
            <w:hideMark/>
          </w:tcPr>
          <w:p w:rsidR="00B43A2F" w:rsidRPr="001E3529" w:rsidRDefault="00B43A2F" w:rsidP="00B43A2F">
            <w:pPr>
              <w:rPr>
                <w:rFonts w:cs="Calibri"/>
                <w:color w:val="000000"/>
                <w:lang w:eastAsia="en-GB"/>
              </w:rPr>
            </w:pPr>
          </w:p>
        </w:tc>
        <w:tc>
          <w:tcPr>
            <w:tcW w:w="4344" w:type="dxa"/>
            <w:tcBorders>
              <w:top w:val="nil"/>
              <w:left w:val="nil"/>
              <w:bottom w:val="nil"/>
              <w:right w:val="nil"/>
            </w:tcBorders>
            <w:shd w:val="clear" w:color="auto" w:fill="auto"/>
            <w:noWrap/>
            <w:vAlign w:val="bottom"/>
            <w:hideMark/>
          </w:tcPr>
          <w:p w:rsidR="00B43A2F" w:rsidRPr="001E3529" w:rsidRDefault="00B43A2F" w:rsidP="00B43A2F">
            <w:pPr>
              <w:rPr>
                <w:rFonts w:cs="Calibri"/>
                <w:color w:val="000000"/>
                <w:lang w:eastAsia="en-GB"/>
              </w:rPr>
            </w:pPr>
            <w:r w:rsidRPr="001E3529">
              <w:rPr>
                <w:rFonts w:cs="Calibri"/>
                <w:color w:val="000000"/>
                <w:lang w:eastAsia="en-GB"/>
              </w:rPr>
              <w:t>Three to six months</w:t>
            </w:r>
          </w:p>
        </w:tc>
        <w:tc>
          <w:tcPr>
            <w:tcW w:w="1857" w:type="dxa"/>
            <w:tcBorders>
              <w:top w:val="nil"/>
              <w:left w:val="single" w:sz="4" w:space="0" w:color="auto"/>
              <w:bottom w:val="nil"/>
              <w:right w:val="single" w:sz="4" w:space="0" w:color="auto"/>
            </w:tcBorders>
            <w:shd w:val="clear" w:color="auto" w:fill="auto"/>
            <w:noWrap/>
            <w:vAlign w:val="bottom"/>
          </w:tcPr>
          <w:p w:rsidR="00B43A2F" w:rsidRPr="001E3529" w:rsidRDefault="00B43A2F" w:rsidP="00B43A2F">
            <w:pPr>
              <w:jc w:val="right"/>
              <w:rPr>
                <w:rFonts w:cs="Calibri"/>
                <w:color w:val="000000"/>
                <w:lang w:eastAsia="en-GB"/>
              </w:rPr>
            </w:pPr>
            <w:r w:rsidRPr="001E3529">
              <w:rPr>
                <w:rFonts w:cs="Calibri"/>
                <w:color w:val="000000"/>
                <w:lang w:eastAsia="en-GB"/>
              </w:rPr>
              <w:t>1.3</w:t>
            </w:r>
          </w:p>
        </w:tc>
      </w:tr>
      <w:tr w:rsidR="00B43A2F" w:rsidRPr="001E3529" w:rsidTr="00B43A2F">
        <w:trPr>
          <w:trHeight w:hRule="exact" w:val="284"/>
        </w:trPr>
        <w:tc>
          <w:tcPr>
            <w:tcW w:w="1560" w:type="dxa"/>
            <w:tcBorders>
              <w:top w:val="nil"/>
              <w:left w:val="single" w:sz="4" w:space="0" w:color="auto"/>
              <w:bottom w:val="nil"/>
              <w:right w:val="single" w:sz="4" w:space="0" w:color="auto"/>
            </w:tcBorders>
            <w:vAlign w:val="bottom"/>
          </w:tcPr>
          <w:p w:rsidR="00B43A2F" w:rsidRPr="001E3529" w:rsidRDefault="00B43A2F" w:rsidP="00B43A2F">
            <w:pPr>
              <w:jc w:val="right"/>
              <w:rPr>
                <w:rFonts w:cs="Calibri"/>
                <w:color w:val="000000"/>
                <w:lang w:eastAsia="en-GB"/>
              </w:rPr>
            </w:pPr>
            <w:r w:rsidRPr="001E3529">
              <w:rPr>
                <w:rFonts w:cs="Calibri"/>
                <w:color w:val="000000"/>
                <w:lang w:eastAsia="en-GB"/>
              </w:rPr>
              <w:t>2.7</w:t>
            </w:r>
          </w:p>
        </w:tc>
        <w:tc>
          <w:tcPr>
            <w:tcW w:w="1043" w:type="dxa"/>
            <w:tcBorders>
              <w:top w:val="nil"/>
              <w:left w:val="single" w:sz="4" w:space="0" w:color="auto"/>
              <w:bottom w:val="nil"/>
              <w:right w:val="nil"/>
            </w:tcBorders>
            <w:shd w:val="clear" w:color="auto" w:fill="auto"/>
            <w:noWrap/>
            <w:vAlign w:val="center"/>
            <w:hideMark/>
          </w:tcPr>
          <w:p w:rsidR="00B43A2F" w:rsidRPr="001E3529" w:rsidRDefault="00B43A2F" w:rsidP="00B43A2F">
            <w:pPr>
              <w:rPr>
                <w:rFonts w:cs="Calibri"/>
                <w:color w:val="000000"/>
                <w:lang w:eastAsia="en-GB"/>
              </w:rPr>
            </w:pPr>
          </w:p>
        </w:tc>
        <w:tc>
          <w:tcPr>
            <w:tcW w:w="4344" w:type="dxa"/>
            <w:tcBorders>
              <w:top w:val="nil"/>
              <w:left w:val="nil"/>
              <w:bottom w:val="nil"/>
              <w:right w:val="nil"/>
            </w:tcBorders>
            <w:shd w:val="clear" w:color="auto" w:fill="auto"/>
            <w:noWrap/>
            <w:vAlign w:val="bottom"/>
            <w:hideMark/>
          </w:tcPr>
          <w:p w:rsidR="00B43A2F" w:rsidRPr="001E3529" w:rsidRDefault="00B43A2F" w:rsidP="00B43A2F">
            <w:pPr>
              <w:rPr>
                <w:rFonts w:cs="Calibri"/>
                <w:color w:val="000000"/>
                <w:lang w:eastAsia="en-GB"/>
              </w:rPr>
            </w:pPr>
            <w:r w:rsidRPr="001E3529">
              <w:rPr>
                <w:rFonts w:cs="Calibri"/>
                <w:color w:val="000000"/>
                <w:lang w:eastAsia="en-GB"/>
              </w:rPr>
              <w:t>Six months to one year</w:t>
            </w:r>
          </w:p>
        </w:tc>
        <w:tc>
          <w:tcPr>
            <w:tcW w:w="1857" w:type="dxa"/>
            <w:tcBorders>
              <w:top w:val="nil"/>
              <w:left w:val="single" w:sz="4" w:space="0" w:color="auto"/>
              <w:bottom w:val="nil"/>
              <w:right w:val="single" w:sz="4" w:space="0" w:color="auto"/>
            </w:tcBorders>
            <w:shd w:val="clear" w:color="auto" w:fill="auto"/>
            <w:noWrap/>
            <w:vAlign w:val="bottom"/>
          </w:tcPr>
          <w:p w:rsidR="00B43A2F" w:rsidRPr="001E3529" w:rsidRDefault="00B43A2F" w:rsidP="00B43A2F">
            <w:pPr>
              <w:jc w:val="right"/>
              <w:rPr>
                <w:rFonts w:cs="Calibri"/>
                <w:color w:val="000000"/>
                <w:lang w:eastAsia="en-GB"/>
              </w:rPr>
            </w:pPr>
            <w:r w:rsidRPr="001E3529">
              <w:rPr>
                <w:rFonts w:cs="Calibri"/>
                <w:color w:val="000000"/>
                <w:lang w:eastAsia="en-GB"/>
              </w:rPr>
              <w:t>3.0</w:t>
            </w:r>
          </w:p>
        </w:tc>
      </w:tr>
      <w:tr w:rsidR="00B43A2F" w:rsidRPr="001E3529" w:rsidTr="00B43A2F">
        <w:trPr>
          <w:trHeight w:hRule="exact" w:val="284"/>
        </w:trPr>
        <w:tc>
          <w:tcPr>
            <w:tcW w:w="1560" w:type="dxa"/>
            <w:tcBorders>
              <w:top w:val="nil"/>
              <w:left w:val="single" w:sz="4" w:space="0" w:color="auto"/>
              <w:bottom w:val="single" w:sz="4" w:space="0" w:color="auto"/>
              <w:right w:val="single" w:sz="4" w:space="0" w:color="auto"/>
            </w:tcBorders>
            <w:vAlign w:val="bottom"/>
          </w:tcPr>
          <w:p w:rsidR="00B43A2F" w:rsidRPr="001E3529" w:rsidRDefault="00B43A2F" w:rsidP="00B43A2F">
            <w:pPr>
              <w:jc w:val="right"/>
              <w:rPr>
                <w:rFonts w:cs="Calibri"/>
                <w:color w:val="000000"/>
                <w:lang w:eastAsia="en-GB"/>
              </w:rPr>
            </w:pPr>
            <w:r w:rsidRPr="001E3529">
              <w:rPr>
                <w:rFonts w:cs="Calibri"/>
                <w:color w:val="000000"/>
                <w:lang w:eastAsia="en-GB"/>
              </w:rPr>
              <w:t>21.1</w:t>
            </w:r>
          </w:p>
        </w:tc>
        <w:tc>
          <w:tcPr>
            <w:tcW w:w="1043" w:type="dxa"/>
            <w:tcBorders>
              <w:top w:val="nil"/>
              <w:left w:val="single" w:sz="4" w:space="0" w:color="auto"/>
              <w:bottom w:val="nil"/>
              <w:right w:val="nil"/>
            </w:tcBorders>
            <w:shd w:val="clear" w:color="auto" w:fill="auto"/>
            <w:noWrap/>
            <w:vAlign w:val="center"/>
            <w:hideMark/>
          </w:tcPr>
          <w:p w:rsidR="00B43A2F" w:rsidRPr="001E3529" w:rsidRDefault="00B43A2F" w:rsidP="00B43A2F">
            <w:pPr>
              <w:rPr>
                <w:rFonts w:cs="Calibri"/>
                <w:color w:val="000000"/>
                <w:lang w:eastAsia="en-GB"/>
              </w:rPr>
            </w:pPr>
          </w:p>
        </w:tc>
        <w:tc>
          <w:tcPr>
            <w:tcW w:w="4344" w:type="dxa"/>
            <w:tcBorders>
              <w:top w:val="nil"/>
              <w:left w:val="nil"/>
              <w:bottom w:val="nil"/>
              <w:right w:val="nil"/>
            </w:tcBorders>
            <w:shd w:val="clear" w:color="auto" w:fill="auto"/>
            <w:noWrap/>
            <w:vAlign w:val="bottom"/>
            <w:hideMark/>
          </w:tcPr>
          <w:p w:rsidR="00B43A2F" w:rsidRPr="001E3529" w:rsidRDefault="00B43A2F" w:rsidP="00B43A2F">
            <w:pPr>
              <w:rPr>
                <w:rFonts w:cs="Calibri"/>
                <w:color w:val="000000"/>
                <w:lang w:eastAsia="en-GB"/>
              </w:rPr>
            </w:pPr>
            <w:r w:rsidRPr="001E3529">
              <w:rPr>
                <w:rFonts w:cs="Calibri"/>
                <w:color w:val="000000"/>
                <w:lang w:eastAsia="en-GB"/>
              </w:rPr>
              <w:t>More than one year</w:t>
            </w:r>
          </w:p>
        </w:tc>
        <w:tc>
          <w:tcPr>
            <w:tcW w:w="1857" w:type="dxa"/>
            <w:tcBorders>
              <w:top w:val="nil"/>
              <w:left w:val="single" w:sz="4" w:space="0" w:color="auto"/>
              <w:bottom w:val="nil"/>
              <w:right w:val="single" w:sz="4" w:space="0" w:color="auto"/>
            </w:tcBorders>
            <w:shd w:val="clear" w:color="auto" w:fill="auto"/>
            <w:noWrap/>
            <w:vAlign w:val="bottom"/>
          </w:tcPr>
          <w:p w:rsidR="00B43A2F" w:rsidRPr="001E3529" w:rsidRDefault="00B43A2F" w:rsidP="00B43A2F">
            <w:pPr>
              <w:jc w:val="right"/>
              <w:rPr>
                <w:rFonts w:cs="Calibri"/>
                <w:color w:val="000000"/>
                <w:lang w:eastAsia="en-GB"/>
              </w:rPr>
            </w:pPr>
            <w:r w:rsidRPr="001E3529">
              <w:rPr>
                <w:rFonts w:cs="Calibri"/>
                <w:color w:val="000000"/>
                <w:lang w:eastAsia="en-GB"/>
              </w:rPr>
              <w:t>23.4</w:t>
            </w:r>
          </w:p>
        </w:tc>
      </w:tr>
      <w:tr w:rsidR="00B43A2F" w:rsidRPr="001E3529" w:rsidTr="00B43A2F">
        <w:trPr>
          <w:trHeight w:hRule="exact" w:val="284"/>
        </w:trPr>
        <w:tc>
          <w:tcPr>
            <w:tcW w:w="1560" w:type="dxa"/>
            <w:tcBorders>
              <w:top w:val="single" w:sz="4" w:space="0" w:color="auto"/>
              <w:left w:val="single" w:sz="4" w:space="0" w:color="auto"/>
              <w:bottom w:val="single" w:sz="4" w:space="0" w:color="auto"/>
              <w:right w:val="single" w:sz="4" w:space="0" w:color="auto"/>
            </w:tcBorders>
            <w:vAlign w:val="bottom"/>
          </w:tcPr>
          <w:p w:rsidR="00B43A2F" w:rsidRPr="001E3529" w:rsidRDefault="00B43A2F" w:rsidP="00B43A2F">
            <w:pPr>
              <w:jc w:val="right"/>
              <w:rPr>
                <w:rFonts w:cs="Calibri"/>
                <w:color w:val="000000"/>
                <w:lang w:eastAsia="en-GB"/>
              </w:rPr>
            </w:pPr>
            <w:r w:rsidRPr="001E3529">
              <w:rPr>
                <w:rFonts w:cs="Calibri"/>
                <w:b/>
                <w:color w:val="000000"/>
                <w:lang w:eastAsia="en-GB"/>
              </w:rPr>
              <w:t xml:space="preserve">   26.0</w:t>
            </w:r>
          </w:p>
        </w:tc>
        <w:tc>
          <w:tcPr>
            <w:tcW w:w="1043" w:type="dxa"/>
            <w:tcBorders>
              <w:top w:val="nil"/>
              <w:left w:val="single" w:sz="4" w:space="0" w:color="auto"/>
              <w:bottom w:val="nil"/>
              <w:right w:val="nil"/>
            </w:tcBorders>
            <w:shd w:val="clear" w:color="auto" w:fill="auto"/>
            <w:noWrap/>
            <w:vAlign w:val="center"/>
            <w:hideMark/>
          </w:tcPr>
          <w:p w:rsidR="00B43A2F" w:rsidRPr="001E3529" w:rsidRDefault="00B43A2F" w:rsidP="00B43A2F">
            <w:pPr>
              <w:rPr>
                <w:rFonts w:cs="Calibri"/>
                <w:color w:val="000000"/>
                <w:lang w:eastAsia="en-GB"/>
              </w:rPr>
            </w:pPr>
          </w:p>
        </w:tc>
        <w:tc>
          <w:tcPr>
            <w:tcW w:w="4344" w:type="dxa"/>
            <w:tcBorders>
              <w:top w:val="nil"/>
              <w:left w:val="nil"/>
              <w:bottom w:val="nil"/>
              <w:right w:val="nil"/>
            </w:tcBorders>
            <w:shd w:val="clear" w:color="auto" w:fill="auto"/>
            <w:noWrap/>
            <w:vAlign w:val="bottom"/>
            <w:hideMark/>
          </w:tcPr>
          <w:p w:rsidR="00B43A2F" w:rsidRPr="001E3529" w:rsidRDefault="00B43A2F" w:rsidP="00B43A2F">
            <w:pPr>
              <w:rPr>
                <w:rFonts w:cs="Calibri"/>
                <w:lang w:eastAsia="en-GB"/>
              </w:rPr>
            </w:pPr>
          </w:p>
        </w:tc>
        <w:tc>
          <w:tcPr>
            <w:tcW w:w="18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2F" w:rsidRPr="001E3529" w:rsidRDefault="00B43A2F" w:rsidP="00B43A2F">
            <w:pPr>
              <w:jc w:val="right"/>
              <w:rPr>
                <w:rFonts w:cs="Calibri"/>
                <w:b/>
                <w:color w:val="000000"/>
                <w:lang w:eastAsia="en-GB"/>
              </w:rPr>
            </w:pPr>
            <w:r w:rsidRPr="001E3529">
              <w:rPr>
                <w:rFonts w:cs="Calibri"/>
                <w:b/>
                <w:color w:val="000000"/>
                <w:lang w:eastAsia="en-GB"/>
              </w:rPr>
              <w:t>28.8</w:t>
            </w:r>
          </w:p>
        </w:tc>
      </w:tr>
    </w:tbl>
    <w:p w:rsidR="00F72906" w:rsidRDefault="00F72906" w:rsidP="00F72906"/>
    <w:p w:rsidR="00F72906" w:rsidRDefault="00F72906" w:rsidP="00B43A2F">
      <w:pPr>
        <w:pStyle w:val="Heading3"/>
      </w:pPr>
      <w:r>
        <w:t>Note 3 – Cash and Cash Equivalents</w:t>
      </w:r>
    </w:p>
    <w:tbl>
      <w:tblPr>
        <w:tblW w:w="8789" w:type="dxa"/>
        <w:tblInd w:w="142" w:type="dxa"/>
        <w:tblLook w:val="00A0" w:firstRow="1" w:lastRow="0" w:firstColumn="1" w:lastColumn="0" w:noHBand="0" w:noVBand="0"/>
      </w:tblPr>
      <w:tblGrid>
        <w:gridCol w:w="1559"/>
        <w:gridCol w:w="5670"/>
        <w:gridCol w:w="1560"/>
      </w:tblGrid>
      <w:tr w:rsidR="001449FD" w:rsidRPr="001E3529" w:rsidTr="001449FD">
        <w:trPr>
          <w:trHeight w:val="465"/>
        </w:trPr>
        <w:tc>
          <w:tcPr>
            <w:tcW w:w="1559" w:type="dxa"/>
            <w:tcBorders>
              <w:top w:val="nil"/>
              <w:left w:val="nil"/>
              <w:bottom w:val="nil"/>
              <w:right w:val="nil"/>
            </w:tcBorders>
            <w:vAlign w:val="center"/>
          </w:tcPr>
          <w:p w:rsidR="001449FD" w:rsidRPr="001E3529" w:rsidRDefault="001449FD" w:rsidP="001449FD">
            <w:pPr>
              <w:jc w:val="right"/>
              <w:rPr>
                <w:rFonts w:cs="Calibri"/>
                <w:b/>
                <w:bCs/>
                <w:color w:val="000000"/>
                <w:lang w:eastAsia="en-GB"/>
              </w:rPr>
            </w:pPr>
            <w:r w:rsidRPr="001E3529">
              <w:rPr>
                <w:rFonts w:cs="Calibri"/>
                <w:b/>
                <w:bCs/>
                <w:color w:val="000000"/>
                <w:lang w:eastAsia="en-GB"/>
              </w:rPr>
              <w:t>31-Mar-2019</w:t>
            </w:r>
          </w:p>
        </w:tc>
        <w:tc>
          <w:tcPr>
            <w:tcW w:w="5670" w:type="dxa"/>
            <w:tcBorders>
              <w:top w:val="nil"/>
              <w:left w:val="nil"/>
              <w:bottom w:val="nil"/>
              <w:right w:val="nil"/>
            </w:tcBorders>
            <w:vAlign w:val="center"/>
          </w:tcPr>
          <w:p w:rsidR="001449FD" w:rsidRPr="001E3529" w:rsidRDefault="001449FD" w:rsidP="001449FD">
            <w:pPr>
              <w:jc w:val="right"/>
              <w:rPr>
                <w:rFonts w:cs="Calibri"/>
                <w:b/>
                <w:bCs/>
                <w:color w:val="000000"/>
                <w:lang w:eastAsia="en-GB"/>
              </w:rPr>
            </w:pPr>
            <w:r w:rsidRPr="001E3529">
              <w:rPr>
                <w:rFonts w:cs="Calibri"/>
                <w:b/>
                <w:bCs/>
                <w:color w:val="000000"/>
                <w:lang w:eastAsia="en-GB"/>
              </w:rPr>
              <w:t xml:space="preserve"> </w:t>
            </w:r>
          </w:p>
        </w:tc>
        <w:tc>
          <w:tcPr>
            <w:tcW w:w="1560" w:type="dxa"/>
            <w:tcBorders>
              <w:top w:val="nil"/>
              <w:left w:val="nil"/>
              <w:bottom w:val="nil"/>
              <w:right w:val="nil"/>
            </w:tcBorders>
            <w:vAlign w:val="center"/>
          </w:tcPr>
          <w:p w:rsidR="001449FD" w:rsidRPr="001E3529" w:rsidRDefault="001449FD" w:rsidP="001449FD">
            <w:pPr>
              <w:jc w:val="right"/>
              <w:rPr>
                <w:rFonts w:cs="Calibri"/>
                <w:b/>
                <w:bCs/>
                <w:color w:val="000000"/>
                <w:lang w:eastAsia="en-GB"/>
              </w:rPr>
            </w:pPr>
            <w:r w:rsidRPr="001E3529">
              <w:rPr>
                <w:rFonts w:cs="Calibri"/>
                <w:b/>
                <w:bCs/>
                <w:color w:val="000000"/>
                <w:lang w:eastAsia="en-GB"/>
              </w:rPr>
              <w:t>31-Mar-2020</w:t>
            </w:r>
          </w:p>
        </w:tc>
      </w:tr>
      <w:tr w:rsidR="001449FD" w:rsidRPr="001E3529" w:rsidTr="001449FD">
        <w:trPr>
          <w:trHeight w:val="315"/>
        </w:trPr>
        <w:tc>
          <w:tcPr>
            <w:tcW w:w="1559" w:type="dxa"/>
            <w:tcBorders>
              <w:top w:val="nil"/>
              <w:left w:val="nil"/>
              <w:bottom w:val="single" w:sz="8" w:space="0" w:color="auto"/>
              <w:right w:val="nil"/>
            </w:tcBorders>
            <w:vAlign w:val="center"/>
          </w:tcPr>
          <w:p w:rsidR="001449FD" w:rsidRPr="001E3529" w:rsidRDefault="001449FD" w:rsidP="001449FD">
            <w:pPr>
              <w:jc w:val="right"/>
              <w:rPr>
                <w:rFonts w:cs="Calibri"/>
                <w:b/>
                <w:bCs/>
                <w:color w:val="000000"/>
                <w:lang w:eastAsia="en-GB"/>
              </w:rPr>
            </w:pPr>
            <w:r w:rsidRPr="001E3529">
              <w:rPr>
                <w:rFonts w:cs="Calibri"/>
                <w:b/>
                <w:bCs/>
                <w:color w:val="000000"/>
                <w:lang w:eastAsia="en-GB"/>
              </w:rPr>
              <w:t>£m</w:t>
            </w:r>
          </w:p>
        </w:tc>
        <w:tc>
          <w:tcPr>
            <w:tcW w:w="5670" w:type="dxa"/>
            <w:tcBorders>
              <w:top w:val="nil"/>
              <w:left w:val="nil"/>
              <w:bottom w:val="nil"/>
              <w:right w:val="nil"/>
            </w:tcBorders>
          </w:tcPr>
          <w:p w:rsidR="001449FD" w:rsidRPr="001E3529" w:rsidRDefault="001449FD" w:rsidP="001449FD">
            <w:pPr>
              <w:jc w:val="right"/>
              <w:rPr>
                <w:rFonts w:cs="Calibri"/>
                <w:b/>
                <w:bCs/>
                <w:color w:val="000000"/>
                <w:lang w:eastAsia="en-GB"/>
              </w:rPr>
            </w:pPr>
          </w:p>
        </w:tc>
        <w:tc>
          <w:tcPr>
            <w:tcW w:w="1560" w:type="dxa"/>
            <w:tcBorders>
              <w:top w:val="nil"/>
              <w:left w:val="nil"/>
              <w:bottom w:val="single" w:sz="8" w:space="0" w:color="auto"/>
              <w:right w:val="nil"/>
            </w:tcBorders>
            <w:noWrap/>
            <w:vAlign w:val="center"/>
          </w:tcPr>
          <w:p w:rsidR="001449FD" w:rsidRPr="001E3529" w:rsidRDefault="001449FD" w:rsidP="001449FD">
            <w:pPr>
              <w:jc w:val="right"/>
              <w:rPr>
                <w:rFonts w:cs="Calibri"/>
                <w:b/>
                <w:bCs/>
                <w:color w:val="000000"/>
                <w:lang w:eastAsia="en-GB"/>
              </w:rPr>
            </w:pPr>
            <w:r w:rsidRPr="001E3529">
              <w:rPr>
                <w:rFonts w:cs="Calibri"/>
                <w:b/>
                <w:bCs/>
                <w:color w:val="000000"/>
                <w:lang w:eastAsia="en-GB"/>
              </w:rPr>
              <w:t>£m</w:t>
            </w:r>
          </w:p>
        </w:tc>
      </w:tr>
      <w:tr w:rsidR="001449FD" w:rsidRPr="001E3529" w:rsidTr="001449FD">
        <w:trPr>
          <w:trHeight w:val="315"/>
        </w:trPr>
        <w:tc>
          <w:tcPr>
            <w:tcW w:w="1559" w:type="dxa"/>
            <w:tcBorders>
              <w:top w:val="nil"/>
              <w:left w:val="single" w:sz="8" w:space="0" w:color="auto"/>
              <w:bottom w:val="nil"/>
              <w:right w:val="single" w:sz="8" w:space="0" w:color="auto"/>
            </w:tcBorders>
            <w:noWrap/>
            <w:vAlign w:val="center"/>
          </w:tcPr>
          <w:p w:rsidR="001449FD" w:rsidRPr="001E3529" w:rsidRDefault="001449FD" w:rsidP="001449FD">
            <w:pPr>
              <w:jc w:val="right"/>
              <w:rPr>
                <w:rFonts w:cs="Calibri"/>
                <w:color w:val="000000"/>
                <w:lang w:eastAsia="en-GB"/>
              </w:rPr>
            </w:pPr>
            <w:r w:rsidRPr="001E3529">
              <w:rPr>
                <w:rFonts w:cs="Calibri"/>
                <w:color w:val="000000"/>
                <w:lang w:eastAsia="en-GB"/>
              </w:rPr>
              <w:t>(9.0)</w:t>
            </w:r>
          </w:p>
        </w:tc>
        <w:tc>
          <w:tcPr>
            <w:tcW w:w="5670" w:type="dxa"/>
            <w:tcBorders>
              <w:top w:val="nil"/>
              <w:left w:val="nil"/>
              <w:bottom w:val="nil"/>
              <w:right w:val="single" w:sz="8" w:space="0" w:color="auto"/>
            </w:tcBorders>
            <w:vAlign w:val="center"/>
          </w:tcPr>
          <w:p w:rsidR="001449FD" w:rsidRPr="001E3529" w:rsidRDefault="001449FD" w:rsidP="001449FD">
            <w:pPr>
              <w:rPr>
                <w:rFonts w:cs="Calibri"/>
                <w:color w:val="000000"/>
                <w:lang w:eastAsia="en-GB"/>
              </w:rPr>
            </w:pPr>
            <w:r w:rsidRPr="001E3529">
              <w:rPr>
                <w:rFonts w:cs="Calibri"/>
                <w:color w:val="000000"/>
                <w:lang w:eastAsia="en-GB"/>
              </w:rPr>
              <w:t>Bank current accounts</w:t>
            </w:r>
          </w:p>
        </w:tc>
        <w:tc>
          <w:tcPr>
            <w:tcW w:w="1560" w:type="dxa"/>
            <w:tcBorders>
              <w:top w:val="nil"/>
              <w:left w:val="nil"/>
              <w:bottom w:val="nil"/>
              <w:right w:val="single" w:sz="8" w:space="0" w:color="auto"/>
            </w:tcBorders>
            <w:noWrap/>
            <w:vAlign w:val="center"/>
          </w:tcPr>
          <w:p w:rsidR="001449FD" w:rsidRPr="001E3529" w:rsidRDefault="001449FD" w:rsidP="001449FD">
            <w:pPr>
              <w:jc w:val="right"/>
              <w:rPr>
                <w:rFonts w:cs="Calibri"/>
                <w:color w:val="000000"/>
                <w:lang w:eastAsia="en-GB"/>
              </w:rPr>
            </w:pPr>
            <w:r w:rsidRPr="001E3529">
              <w:rPr>
                <w:rFonts w:cs="Calibri"/>
                <w:color w:val="000000"/>
              </w:rPr>
              <w:t>14.2</w:t>
            </w:r>
          </w:p>
        </w:tc>
      </w:tr>
      <w:tr w:rsidR="001449FD" w:rsidRPr="001E3529" w:rsidTr="001449FD">
        <w:trPr>
          <w:trHeight w:val="315"/>
        </w:trPr>
        <w:tc>
          <w:tcPr>
            <w:tcW w:w="1559" w:type="dxa"/>
            <w:tcBorders>
              <w:top w:val="nil"/>
              <w:left w:val="single" w:sz="8" w:space="0" w:color="auto"/>
              <w:bottom w:val="nil"/>
              <w:right w:val="single" w:sz="8" w:space="0" w:color="auto"/>
            </w:tcBorders>
            <w:noWrap/>
            <w:vAlign w:val="center"/>
          </w:tcPr>
          <w:p w:rsidR="001449FD" w:rsidRPr="001E3529" w:rsidRDefault="001449FD" w:rsidP="001449FD">
            <w:pPr>
              <w:jc w:val="right"/>
              <w:rPr>
                <w:rFonts w:cs="Calibri"/>
                <w:color w:val="000000"/>
                <w:lang w:eastAsia="en-GB"/>
              </w:rPr>
            </w:pPr>
            <w:r w:rsidRPr="001E3529">
              <w:rPr>
                <w:rFonts w:cs="Calibri"/>
                <w:color w:val="000000"/>
                <w:lang w:eastAsia="en-GB"/>
              </w:rPr>
              <w:t>20.2</w:t>
            </w:r>
          </w:p>
        </w:tc>
        <w:tc>
          <w:tcPr>
            <w:tcW w:w="5670" w:type="dxa"/>
            <w:tcBorders>
              <w:top w:val="nil"/>
              <w:left w:val="nil"/>
              <w:bottom w:val="nil"/>
              <w:right w:val="single" w:sz="8" w:space="0" w:color="auto"/>
            </w:tcBorders>
            <w:vAlign w:val="center"/>
          </w:tcPr>
          <w:p w:rsidR="001449FD" w:rsidRPr="001E3529" w:rsidRDefault="001449FD" w:rsidP="001449FD">
            <w:pPr>
              <w:rPr>
                <w:rFonts w:cs="Calibri"/>
                <w:color w:val="000000"/>
                <w:lang w:eastAsia="en-GB"/>
              </w:rPr>
            </w:pPr>
            <w:r w:rsidRPr="001E3529">
              <w:rPr>
                <w:rFonts w:cs="Calibri"/>
                <w:color w:val="000000"/>
                <w:lang w:eastAsia="en-GB"/>
              </w:rPr>
              <w:t>School bank accounts</w:t>
            </w:r>
          </w:p>
        </w:tc>
        <w:tc>
          <w:tcPr>
            <w:tcW w:w="1560" w:type="dxa"/>
            <w:tcBorders>
              <w:top w:val="nil"/>
              <w:left w:val="nil"/>
              <w:bottom w:val="nil"/>
              <w:right w:val="single" w:sz="8" w:space="0" w:color="auto"/>
            </w:tcBorders>
            <w:noWrap/>
            <w:vAlign w:val="center"/>
          </w:tcPr>
          <w:p w:rsidR="001449FD" w:rsidRPr="001E3529" w:rsidRDefault="001449FD" w:rsidP="001449FD">
            <w:pPr>
              <w:jc w:val="right"/>
              <w:rPr>
                <w:rFonts w:cs="Calibri"/>
                <w:color w:val="000000"/>
                <w:lang w:eastAsia="en-GB"/>
              </w:rPr>
            </w:pPr>
            <w:r w:rsidRPr="001E3529">
              <w:rPr>
                <w:rFonts w:cs="Calibri"/>
                <w:color w:val="000000"/>
              </w:rPr>
              <w:t>11.3</w:t>
            </w:r>
          </w:p>
        </w:tc>
      </w:tr>
      <w:tr w:rsidR="001449FD" w:rsidRPr="001E3529" w:rsidTr="001449FD">
        <w:trPr>
          <w:trHeight w:val="315"/>
        </w:trPr>
        <w:tc>
          <w:tcPr>
            <w:tcW w:w="1559" w:type="dxa"/>
            <w:tcBorders>
              <w:top w:val="nil"/>
              <w:left w:val="single" w:sz="8" w:space="0" w:color="auto"/>
              <w:bottom w:val="single" w:sz="8" w:space="0" w:color="auto"/>
              <w:right w:val="single" w:sz="8" w:space="0" w:color="auto"/>
            </w:tcBorders>
            <w:noWrap/>
            <w:vAlign w:val="center"/>
          </w:tcPr>
          <w:p w:rsidR="001449FD" w:rsidRPr="001E3529" w:rsidRDefault="001449FD" w:rsidP="001449FD">
            <w:pPr>
              <w:jc w:val="right"/>
              <w:rPr>
                <w:rFonts w:cs="Calibri"/>
                <w:color w:val="000000"/>
                <w:lang w:eastAsia="en-GB"/>
              </w:rPr>
            </w:pPr>
            <w:r w:rsidRPr="001E3529">
              <w:rPr>
                <w:rFonts w:cs="Calibri"/>
                <w:color w:val="000000"/>
                <w:lang w:eastAsia="en-GB"/>
              </w:rPr>
              <w:t>42.0</w:t>
            </w:r>
          </w:p>
        </w:tc>
        <w:tc>
          <w:tcPr>
            <w:tcW w:w="5670" w:type="dxa"/>
            <w:tcBorders>
              <w:top w:val="nil"/>
              <w:left w:val="nil"/>
              <w:bottom w:val="nil"/>
              <w:right w:val="single" w:sz="8" w:space="0" w:color="auto"/>
            </w:tcBorders>
            <w:vAlign w:val="center"/>
          </w:tcPr>
          <w:p w:rsidR="001449FD" w:rsidRPr="001E3529" w:rsidRDefault="001449FD" w:rsidP="001449FD">
            <w:pPr>
              <w:rPr>
                <w:rFonts w:cs="Calibri"/>
                <w:color w:val="000000"/>
                <w:lang w:eastAsia="en-GB"/>
              </w:rPr>
            </w:pPr>
            <w:r w:rsidRPr="001E3529">
              <w:rPr>
                <w:rFonts w:cs="Calibri"/>
                <w:color w:val="000000"/>
                <w:lang w:eastAsia="en-GB"/>
              </w:rPr>
              <w:t xml:space="preserve">Short-term deposits </w:t>
            </w:r>
          </w:p>
        </w:tc>
        <w:tc>
          <w:tcPr>
            <w:tcW w:w="1560" w:type="dxa"/>
            <w:tcBorders>
              <w:top w:val="nil"/>
              <w:left w:val="nil"/>
              <w:bottom w:val="single" w:sz="8" w:space="0" w:color="auto"/>
              <w:right w:val="single" w:sz="8" w:space="0" w:color="auto"/>
            </w:tcBorders>
            <w:noWrap/>
            <w:vAlign w:val="center"/>
          </w:tcPr>
          <w:p w:rsidR="001449FD" w:rsidRPr="001E3529" w:rsidRDefault="001449FD" w:rsidP="001449FD">
            <w:pPr>
              <w:jc w:val="right"/>
              <w:rPr>
                <w:rFonts w:cs="Calibri"/>
                <w:color w:val="000000"/>
                <w:lang w:eastAsia="en-GB"/>
              </w:rPr>
            </w:pPr>
            <w:r>
              <w:rPr>
                <w:rFonts w:cs="Calibri"/>
                <w:color w:val="000000"/>
              </w:rPr>
              <w:t>109.7</w:t>
            </w:r>
          </w:p>
        </w:tc>
      </w:tr>
      <w:tr w:rsidR="001449FD" w:rsidRPr="001E3529" w:rsidTr="001449FD">
        <w:trPr>
          <w:trHeight w:val="315"/>
        </w:trPr>
        <w:tc>
          <w:tcPr>
            <w:tcW w:w="1559" w:type="dxa"/>
            <w:tcBorders>
              <w:top w:val="nil"/>
              <w:left w:val="single" w:sz="8" w:space="0" w:color="auto"/>
              <w:bottom w:val="single" w:sz="8" w:space="0" w:color="auto"/>
              <w:right w:val="single" w:sz="8" w:space="0" w:color="auto"/>
            </w:tcBorders>
            <w:noWrap/>
            <w:vAlign w:val="center"/>
          </w:tcPr>
          <w:p w:rsidR="001449FD" w:rsidRPr="001E3529" w:rsidRDefault="001449FD" w:rsidP="001449FD">
            <w:pPr>
              <w:jc w:val="right"/>
              <w:rPr>
                <w:rFonts w:cs="Calibri"/>
                <w:b/>
                <w:bCs/>
                <w:color w:val="000000"/>
                <w:lang w:eastAsia="en-GB"/>
              </w:rPr>
            </w:pPr>
            <w:r w:rsidRPr="001E3529">
              <w:rPr>
                <w:rFonts w:cs="Calibri"/>
                <w:b/>
                <w:bCs/>
                <w:color w:val="000000"/>
                <w:lang w:eastAsia="en-GB"/>
              </w:rPr>
              <w:t>53.2</w:t>
            </w:r>
          </w:p>
        </w:tc>
        <w:tc>
          <w:tcPr>
            <w:tcW w:w="5670" w:type="dxa"/>
            <w:tcBorders>
              <w:top w:val="nil"/>
              <w:left w:val="nil"/>
              <w:bottom w:val="nil"/>
              <w:right w:val="single" w:sz="8" w:space="0" w:color="auto"/>
            </w:tcBorders>
            <w:vAlign w:val="center"/>
          </w:tcPr>
          <w:p w:rsidR="001449FD" w:rsidRPr="001E3529" w:rsidRDefault="001449FD" w:rsidP="001449FD">
            <w:pPr>
              <w:rPr>
                <w:rFonts w:cs="Calibri"/>
                <w:b/>
                <w:bCs/>
                <w:color w:val="000000"/>
                <w:lang w:eastAsia="en-GB"/>
              </w:rPr>
            </w:pPr>
            <w:r w:rsidRPr="001E3529">
              <w:rPr>
                <w:rFonts w:cs="Calibri"/>
                <w:b/>
                <w:bCs/>
                <w:color w:val="000000"/>
                <w:lang w:eastAsia="en-GB"/>
              </w:rPr>
              <w:t>Total</w:t>
            </w:r>
          </w:p>
        </w:tc>
        <w:tc>
          <w:tcPr>
            <w:tcW w:w="1560" w:type="dxa"/>
            <w:tcBorders>
              <w:top w:val="nil"/>
              <w:left w:val="nil"/>
              <w:bottom w:val="single" w:sz="8" w:space="0" w:color="auto"/>
              <w:right w:val="single" w:sz="8" w:space="0" w:color="auto"/>
            </w:tcBorders>
            <w:noWrap/>
            <w:vAlign w:val="center"/>
          </w:tcPr>
          <w:p w:rsidR="001449FD" w:rsidRPr="001E3529" w:rsidRDefault="001449FD" w:rsidP="001449FD">
            <w:pPr>
              <w:jc w:val="right"/>
              <w:rPr>
                <w:rFonts w:cs="Calibri"/>
                <w:b/>
                <w:bCs/>
                <w:color w:val="000000"/>
                <w:lang w:eastAsia="en-GB"/>
              </w:rPr>
            </w:pPr>
            <w:r>
              <w:rPr>
                <w:rFonts w:cs="Calibri"/>
                <w:b/>
                <w:bCs/>
                <w:color w:val="000000"/>
              </w:rPr>
              <w:t>135.2</w:t>
            </w:r>
          </w:p>
        </w:tc>
      </w:tr>
    </w:tbl>
    <w:p w:rsidR="00F72906" w:rsidRDefault="00F72906" w:rsidP="00F72906"/>
    <w:p w:rsidR="00F72906" w:rsidRDefault="00F72906" w:rsidP="00F72906"/>
    <w:p w:rsidR="00F72906" w:rsidRDefault="00F72906" w:rsidP="00B43A2F">
      <w:pPr>
        <w:pStyle w:val="Heading2"/>
      </w:pPr>
      <w:bookmarkStart w:id="9" w:name="_Toc61870279"/>
      <w:r>
        <w:t>Cash Flow Notes</w:t>
      </w:r>
      <w:bookmarkEnd w:id="9"/>
    </w:p>
    <w:p w:rsidR="00F72906" w:rsidRDefault="00F72906" w:rsidP="001449FD">
      <w:pPr>
        <w:pStyle w:val="Heading3"/>
      </w:pPr>
      <w:r>
        <w:t>Note 4 – Cash Flow Statement - Operating Activities</w:t>
      </w:r>
    </w:p>
    <w:p w:rsidR="00F72906" w:rsidRDefault="00F72906" w:rsidP="00F72906"/>
    <w:p w:rsidR="00F72906" w:rsidRDefault="00F72906" w:rsidP="00F72906">
      <w:r>
        <w:t>The cash flows for operating activities include the following items:</w:t>
      </w:r>
    </w:p>
    <w:tbl>
      <w:tblPr>
        <w:tblW w:w="9039" w:type="dxa"/>
        <w:tblLook w:val="00A0" w:firstRow="1" w:lastRow="0" w:firstColumn="1" w:lastColumn="0" w:noHBand="0" w:noVBand="0"/>
      </w:tblPr>
      <w:tblGrid>
        <w:gridCol w:w="1417"/>
        <w:gridCol w:w="6096"/>
        <w:gridCol w:w="1526"/>
      </w:tblGrid>
      <w:tr w:rsidR="001449FD" w:rsidRPr="001E3529" w:rsidTr="001449FD">
        <w:trPr>
          <w:trHeight w:val="300"/>
        </w:trPr>
        <w:tc>
          <w:tcPr>
            <w:tcW w:w="1417" w:type="dxa"/>
            <w:tcBorders>
              <w:top w:val="nil"/>
              <w:left w:val="nil"/>
              <w:bottom w:val="nil"/>
              <w:right w:val="nil"/>
            </w:tcBorders>
            <w:noWrap/>
          </w:tcPr>
          <w:p w:rsidR="001449FD" w:rsidRPr="001E3529" w:rsidRDefault="001449FD" w:rsidP="001449FD">
            <w:pPr>
              <w:jc w:val="center"/>
              <w:rPr>
                <w:rFonts w:cs="Calibri"/>
                <w:b/>
                <w:bCs/>
              </w:rPr>
            </w:pPr>
            <w:r w:rsidRPr="001E3529">
              <w:rPr>
                <w:rFonts w:cs="Calibri"/>
                <w:b/>
                <w:bCs/>
                <w:color w:val="000000"/>
                <w:lang w:eastAsia="en-GB"/>
              </w:rPr>
              <w:t>2018/19</w:t>
            </w:r>
          </w:p>
        </w:tc>
        <w:tc>
          <w:tcPr>
            <w:tcW w:w="6096" w:type="dxa"/>
            <w:tcBorders>
              <w:top w:val="nil"/>
              <w:left w:val="nil"/>
              <w:bottom w:val="nil"/>
              <w:right w:val="nil"/>
            </w:tcBorders>
            <w:noWrap/>
          </w:tcPr>
          <w:p w:rsidR="001449FD" w:rsidRPr="001E3529" w:rsidRDefault="001449FD" w:rsidP="001449FD">
            <w:pPr>
              <w:jc w:val="right"/>
              <w:rPr>
                <w:rFonts w:cs="Calibri"/>
              </w:rPr>
            </w:pPr>
          </w:p>
        </w:tc>
        <w:tc>
          <w:tcPr>
            <w:tcW w:w="1526" w:type="dxa"/>
            <w:tcBorders>
              <w:top w:val="nil"/>
              <w:left w:val="nil"/>
              <w:bottom w:val="nil"/>
              <w:right w:val="nil"/>
            </w:tcBorders>
            <w:noWrap/>
          </w:tcPr>
          <w:p w:rsidR="001449FD" w:rsidRPr="001E3529" w:rsidRDefault="001449FD" w:rsidP="001449FD">
            <w:pPr>
              <w:jc w:val="center"/>
              <w:rPr>
                <w:rFonts w:cs="Calibri"/>
                <w:b/>
                <w:bCs/>
              </w:rPr>
            </w:pPr>
            <w:r w:rsidRPr="001E3529">
              <w:rPr>
                <w:rFonts w:cs="Calibri"/>
                <w:b/>
                <w:bCs/>
              </w:rPr>
              <w:t>2019/20</w:t>
            </w:r>
          </w:p>
        </w:tc>
      </w:tr>
      <w:tr w:rsidR="001449FD" w:rsidRPr="001E3529" w:rsidTr="001449FD">
        <w:trPr>
          <w:trHeight w:val="300"/>
        </w:trPr>
        <w:tc>
          <w:tcPr>
            <w:tcW w:w="1417" w:type="dxa"/>
            <w:tcBorders>
              <w:top w:val="nil"/>
              <w:left w:val="nil"/>
              <w:bottom w:val="nil"/>
              <w:right w:val="nil"/>
            </w:tcBorders>
            <w:noWrap/>
          </w:tcPr>
          <w:p w:rsidR="001449FD" w:rsidRPr="001E3529" w:rsidRDefault="001449FD" w:rsidP="001449FD">
            <w:pPr>
              <w:jc w:val="center"/>
              <w:rPr>
                <w:rFonts w:cs="Calibri"/>
                <w:b/>
                <w:bCs/>
              </w:rPr>
            </w:pPr>
            <w:r w:rsidRPr="001E3529">
              <w:rPr>
                <w:rFonts w:cs="Calibri"/>
                <w:b/>
                <w:bCs/>
              </w:rPr>
              <w:t>£m</w:t>
            </w:r>
          </w:p>
        </w:tc>
        <w:tc>
          <w:tcPr>
            <w:tcW w:w="6096" w:type="dxa"/>
            <w:tcBorders>
              <w:top w:val="nil"/>
              <w:left w:val="nil"/>
              <w:bottom w:val="nil"/>
              <w:right w:val="nil"/>
            </w:tcBorders>
            <w:noWrap/>
          </w:tcPr>
          <w:p w:rsidR="001449FD" w:rsidRPr="001E3529" w:rsidRDefault="001449FD" w:rsidP="001449FD">
            <w:pPr>
              <w:jc w:val="right"/>
              <w:rPr>
                <w:rFonts w:cs="Calibri"/>
              </w:rPr>
            </w:pPr>
          </w:p>
        </w:tc>
        <w:tc>
          <w:tcPr>
            <w:tcW w:w="1526" w:type="dxa"/>
            <w:tcBorders>
              <w:top w:val="nil"/>
              <w:left w:val="nil"/>
              <w:bottom w:val="nil"/>
              <w:right w:val="nil"/>
            </w:tcBorders>
            <w:noWrap/>
          </w:tcPr>
          <w:p w:rsidR="001449FD" w:rsidRPr="001E3529" w:rsidRDefault="001449FD" w:rsidP="001449FD">
            <w:pPr>
              <w:jc w:val="center"/>
              <w:rPr>
                <w:rFonts w:cs="Calibri"/>
                <w:b/>
                <w:bCs/>
              </w:rPr>
            </w:pPr>
            <w:r w:rsidRPr="001E3529">
              <w:rPr>
                <w:rFonts w:cs="Calibri"/>
                <w:b/>
                <w:bCs/>
              </w:rPr>
              <w:t>£m</w:t>
            </w:r>
          </w:p>
        </w:tc>
      </w:tr>
      <w:tr w:rsidR="001449FD" w:rsidRPr="001E3529" w:rsidTr="001449FD">
        <w:trPr>
          <w:trHeight w:val="300"/>
        </w:trPr>
        <w:tc>
          <w:tcPr>
            <w:tcW w:w="1417" w:type="dxa"/>
            <w:tcBorders>
              <w:top w:val="single" w:sz="4" w:space="0" w:color="auto"/>
              <w:left w:val="single" w:sz="4" w:space="0" w:color="auto"/>
              <w:bottom w:val="nil"/>
              <w:right w:val="single" w:sz="4" w:space="0" w:color="auto"/>
            </w:tcBorders>
            <w:noWrap/>
            <w:vAlign w:val="center"/>
          </w:tcPr>
          <w:p w:rsidR="001449FD" w:rsidRPr="001E3529" w:rsidRDefault="001449FD" w:rsidP="001449FD">
            <w:pPr>
              <w:jc w:val="right"/>
              <w:rPr>
                <w:rFonts w:cs="Calibri"/>
              </w:rPr>
            </w:pPr>
            <w:r w:rsidRPr="001E3529">
              <w:rPr>
                <w:rFonts w:cs="Calibri"/>
              </w:rPr>
              <w:t>4.3</w:t>
            </w:r>
          </w:p>
        </w:tc>
        <w:tc>
          <w:tcPr>
            <w:tcW w:w="6096" w:type="dxa"/>
            <w:tcBorders>
              <w:top w:val="nil"/>
              <w:left w:val="nil"/>
              <w:bottom w:val="nil"/>
              <w:right w:val="nil"/>
            </w:tcBorders>
            <w:noWrap/>
          </w:tcPr>
          <w:p w:rsidR="001449FD" w:rsidRPr="001E3529" w:rsidRDefault="001449FD" w:rsidP="001449FD">
            <w:pPr>
              <w:rPr>
                <w:rFonts w:cs="Calibri"/>
              </w:rPr>
            </w:pPr>
            <w:r w:rsidRPr="001E3529">
              <w:rPr>
                <w:rFonts w:cs="Calibri"/>
              </w:rPr>
              <w:t>Interest received-cash inflow</w:t>
            </w:r>
          </w:p>
        </w:tc>
        <w:tc>
          <w:tcPr>
            <w:tcW w:w="1526" w:type="dxa"/>
            <w:tcBorders>
              <w:top w:val="single" w:sz="4" w:space="0" w:color="auto"/>
              <w:left w:val="single" w:sz="4" w:space="0" w:color="auto"/>
              <w:bottom w:val="nil"/>
              <w:right w:val="single" w:sz="4" w:space="0" w:color="auto"/>
            </w:tcBorders>
            <w:noWrap/>
            <w:vAlign w:val="center"/>
          </w:tcPr>
          <w:p w:rsidR="001449FD" w:rsidRPr="001E3529" w:rsidRDefault="001449FD" w:rsidP="001449FD">
            <w:pPr>
              <w:jc w:val="right"/>
              <w:rPr>
                <w:rFonts w:cs="Calibri"/>
              </w:rPr>
            </w:pPr>
            <w:r w:rsidRPr="001E3529">
              <w:rPr>
                <w:rFonts w:cs="Calibri"/>
              </w:rPr>
              <w:t>7.0</w:t>
            </w:r>
          </w:p>
        </w:tc>
      </w:tr>
      <w:tr w:rsidR="001449FD" w:rsidRPr="001E3529" w:rsidTr="001449FD">
        <w:trPr>
          <w:trHeight w:val="300"/>
        </w:trPr>
        <w:tc>
          <w:tcPr>
            <w:tcW w:w="1417" w:type="dxa"/>
            <w:tcBorders>
              <w:top w:val="nil"/>
              <w:left w:val="single" w:sz="4" w:space="0" w:color="auto"/>
              <w:bottom w:val="single" w:sz="4" w:space="0" w:color="auto"/>
              <w:right w:val="single" w:sz="4" w:space="0" w:color="auto"/>
            </w:tcBorders>
            <w:noWrap/>
            <w:vAlign w:val="center"/>
          </w:tcPr>
          <w:p w:rsidR="001449FD" w:rsidRPr="001E3529" w:rsidRDefault="001449FD" w:rsidP="001449FD">
            <w:pPr>
              <w:jc w:val="right"/>
              <w:rPr>
                <w:rFonts w:cs="Calibri"/>
              </w:rPr>
            </w:pPr>
            <w:r w:rsidRPr="001E3529">
              <w:rPr>
                <w:rFonts w:cs="Calibri"/>
              </w:rPr>
              <w:t>(43.2)</w:t>
            </w:r>
          </w:p>
        </w:tc>
        <w:tc>
          <w:tcPr>
            <w:tcW w:w="6096" w:type="dxa"/>
            <w:tcBorders>
              <w:top w:val="nil"/>
              <w:left w:val="nil"/>
              <w:bottom w:val="nil"/>
              <w:right w:val="nil"/>
            </w:tcBorders>
            <w:noWrap/>
          </w:tcPr>
          <w:p w:rsidR="001449FD" w:rsidRPr="001E3529" w:rsidRDefault="001449FD" w:rsidP="001449FD">
            <w:pPr>
              <w:rPr>
                <w:rFonts w:cs="Calibri"/>
              </w:rPr>
            </w:pPr>
            <w:r w:rsidRPr="001E3529">
              <w:rPr>
                <w:rFonts w:cs="Calibri"/>
              </w:rPr>
              <w:t>Interest paid-cash (outflow)</w:t>
            </w:r>
          </w:p>
        </w:tc>
        <w:tc>
          <w:tcPr>
            <w:tcW w:w="1526" w:type="dxa"/>
            <w:tcBorders>
              <w:top w:val="nil"/>
              <w:left w:val="single" w:sz="4" w:space="0" w:color="auto"/>
              <w:bottom w:val="single" w:sz="4" w:space="0" w:color="auto"/>
              <w:right w:val="single" w:sz="4" w:space="0" w:color="auto"/>
            </w:tcBorders>
            <w:noWrap/>
            <w:vAlign w:val="center"/>
          </w:tcPr>
          <w:p w:rsidR="001449FD" w:rsidRPr="001E3529" w:rsidRDefault="001449FD" w:rsidP="001449FD">
            <w:pPr>
              <w:jc w:val="right"/>
              <w:rPr>
                <w:rFonts w:cs="Calibri"/>
              </w:rPr>
            </w:pPr>
            <w:r w:rsidRPr="001E3529">
              <w:rPr>
                <w:rFonts w:cs="Calibri"/>
              </w:rPr>
              <w:t>(23.0)</w:t>
            </w:r>
          </w:p>
        </w:tc>
      </w:tr>
    </w:tbl>
    <w:p w:rsidR="00F72906" w:rsidRDefault="00F72906" w:rsidP="00F72906"/>
    <w:p w:rsidR="00F72906" w:rsidRDefault="00F72906" w:rsidP="00F72906"/>
    <w:p w:rsidR="00F72906" w:rsidRDefault="00F72906" w:rsidP="00F72906">
      <w:r>
        <w:lastRenderedPageBreak/>
        <w:t>The surplus or deficit on the provision of services has been adjusted for the following non-cash movements:</w:t>
      </w:r>
    </w:p>
    <w:tbl>
      <w:tblPr>
        <w:tblW w:w="9030" w:type="dxa"/>
        <w:tblLook w:val="04A0" w:firstRow="1" w:lastRow="0" w:firstColumn="1" w:lastColumn="0" w:noHBand="0" w:noVBand="1"/>
      </w:tblPr>
      <w:tblGrid>
        <w:gridCol w:w="1415"/>
        <w:gridCol w:w="6200"/>
        <w:gridCol w:w="1415"/>
      </w:tblGrid>
      <w:tr w:rsidR="001449FD" w:rsidRPr="001E3529" w:rsidTr="001449FD">
        <w:trPr>
          <w:trHeight w:hRule="exact" w:val="284"/>
        </w:trPr>
        <w:tc>
          <w:tcPr>
            <w:tcW w:w="1415" w:type="dxa"/>
            <w:tcBorders>
              <w:bottom w:val="nil"/>
            </w:tcBorders>
            <w:shd w:val="clear" w:color="auto" w:fill="auto"/>
            <w:noWrap/>
            <w:vAlign w:val="bottom"/>
          </w:tcPr>
          <w:p w:rsidR="001449FD" w:rsidRPr="001E3529" w:rsidRDefault="001449FD" w:rsidP="001449FD">
            <w:pPr>
              <w:jc w:val="right"/>
              <w:rPr>
                <w:rFonts w:cs="Calibri"/>
                <w:lang w:eastAsia="en-GB"/>
              </w:rPr>
            </w:pPr>
          </w:p>
        </w:tc>
        <w:tc>
          <w:tcPr>
            <w:tcW w:w="6200" w:type="dxa"/>
            <w:tcBorders>
              <w:bottom w:val="nil"/>
            </w:tcBorders>
            <w:shd w:val="clear" w:color="auto" w:fill="auto"/>
            <w:noWrap/>
            <w:vAlign w:val="bottom"/>
          </w:tcPr>
          <w:p w:rsidR="001449FD" w:rsidRPr="001E3529" w:rsidRDefault="001449FD" w:rsidP="001449FD">
            <w:pPr>
              <w:rPr>
                <w:rFonts w:cs="Calibri"/>
                <w:lang w:eastAsia="en-GB"/>
              </w:rPr>
            </w:pPr>
          </w:p>
        </w:tc>
        <w:tc>
          <w:tcPr>
            <w:tcW w:w="1415" w:type="dxa"/>
            <w:tcBorders>
              <w:bottom w:val="nil"/>
            </w:tcBorders>
            <w:shd w:val="clear" w:color="auto" w:fill="auto"/>
            <w:noWrap/>
            <w:vAlign w:val="bottom"/>
          </w:tcPr>
          <w:p w:rsidR="001449FD" w:rsidRPr="001E3529" w:rsidRDefault="001449FD" w:rsidP="001449FD">
            <w:pPr>
              <w:jc w:val="right"/>
              <w:rPr>
                <w:rFonts w:cs="Calibri"/>
                <w:lang w:eastAsia="en-GB"/>
              </w:rPr>
            </w:pPr>
          </w:p>
        </w:tc>
      </w:tr>
      <w:tr w:rsidR="001449FD" w:rsidRPr="001E3529" w:rsidTr="001449FD">
        <w:trPr>
          <w:trHeight w:hRule="exact" w:val="284"/>
        </w:trPr>
        <w:tc>
          <w:tcPr>
            <w:tcW w:w="1415" w:type="dxa"/>
            <w:tcBorders>
              <w:top w:val="nil"/>
              <w:bottom w:val="nil"/>
            </w:tcBorders>
            <w:shd w:val="clear" w:color="auto" w:fill="auto"/>
            <w:noWrap/>
            <w:vAlign w:val="bottom"/>
            <w:hideMark/>
          </w:tcPr>
          <w:p w:rsidR="001449FD" w:rsidRPr="001E3529" w:rsidRDefault="001449FD" w:rsidP="001449FD">
            <w:pPr>
              <w:jc w:val="center"/>
              <w:rPr>
                <w:rFonts w:cs="Calibri"/>
                <w:lang w:eastAsia="en-GB"/>
              </w:rPr>
            </w:pPr>
            <w:r w:rsidRPr="001E3529">
              <w:rPr>
                <w:rFonts w:cs="Calibri"/>
                <w:b/>
                <w:bCs/>
                <w:color w:val="000000"/>
                <w:lang w:eastAsia="en-GB"/>
              </w:rPr>
              <w:t>2018/19</w:t>
            </w:r>
          </w:p>
        </w:tc>
        <w:tc>
          <w:tcPr>
            <w:tcW w:w="6200" w:type="dxa"/>
            <w:tcBorders>
              <w:top w:val="nil"/>
              <w:bottom w:val="nil"/>
            </w:tcBorders>
            <w:shd w:val="clear" w:color="auto" w:fill="auto"/>
            <w:noWrap/>
            <w:vAlign w:val="bottom"/>
            <w:hideMark/>
          </w:tcPr>
          <w:p w:rsidR="001449FD" w:rsidRPr="001E3529" w:rsidRDefault="001449FD" w:rsidP="001449FD">
            <w:pPr>
              <w:rPr>
                <w:rFonts w:cs="Calibri"/>
                <w:lang w:eastAsia="en-GB"/>
              </w:rPr>
            </w:pPr>
            <w:r w:rsidRPr="001E3529">
              <w:rPr>
                <w:rFonts w:cs="Calibri"/>
                <w:lang w:eastAsia="en-GB"/>
              </w:rPr>
              <w:t> </w:t>
            </w:r>
          </w:p>
        </w:tc>
        <w:tc>
          <w:tcPr>
            <w:tcW w:w="1415" w:type="dxa"/>
            <w:tcBorders>
              <w:top w:val="nil"/>
              <w:bottom w:val="nil"/>
            </w:tcBorders>
            <w:shd w:val="clear" w:color="auto" w:fill="auto"/>
            <w:noWrap/>
            <w:vAlign w:val="bottom"/>
            <w:hideMark/>
          </w:tcPr>
          <w:p w:rsidR="001449FD" w:rsidRPr="001E3529" w:rsidRDefault="001449FD" w:rsidP="001449FD">
            <w:pPr>
              <w:jc w:val="center"/>
              <w:rPr>
                <w:rFonts w:cs="Calibri"/>
                <w:lang w:eastAsia="en-GB"/>
              </w:rPr>
            </w:pPr>
            <w:r w:rsidRPr="001E3529">
              <w:rPr>
                <w:rFonts w:cs="Calibri"/>
                <w:b/>
                <w:bCs/>
              </w:rPr>
              <w:t>2019/20</w:t>
            </w:r>
          </w:p>
        </w:tc>
      </w:tr>
      <w:tr w:rsidR="001449FD" w:rsidRPr="001E3529" w:rsidTr="001449FD">
        <w:trPr>
          <w:trHeight w:hRule="exact" w:val="284"/>
        </w:trPr>
        <w:tc>
          <w:tcPr>
            <w:tcW w:w="1415" w:type="dxa"/>
            <w:tcBorders>
              <w:top w:val="nil"/>
            </w:tcBorders>
            <w:shd w:val="clear" w:color="auto" w:fill="auto"/>
            <w:noWrap/>
            <w:vAlign w:val="bottom"/>
            <w:hideMark/>
          </w:tcPr>
          <w:p w:rsidR="001449FD" w:rsidRPr="001E3529" w:rsidRDefault="001449FD" w:rsidP="001449FD">
            <w:pPr>
              <w:jc w:val="center"/>
              <w:rPr>
                <w:rFonts w:cs="Calibri"/>
                <w:lang w:eastAsia="en-GB"/>
              </w:rPr>
            </w:pPr>
            <w:r w:rsidRPr="001E3529">
              <w:rPr>
                <w:rFonts w:cs="Calibri"/>
                <w:b/>
                <w:bCs/>
              </w:rPr>
              <w:t>£m</w:t>
            </w:r>
          </w:p>
        </w:tc>
        <w:tc>
          <w:tcPr>
            <w:tcW w:w="6200" w:type="dxa"/>
            <w:tcBorders>
              <w:top w:val="nil"/>
            </w:tcBorders>
            <w:shd w:val="clear" w:color="auto" w:fill="auto"/>
            <w:noWrap/>
            <w:vAlign w:val="bottom"/>
            <w:hideMark/>
          </w:tcPr>
          <w:p w:rsidR="001449FD" w:rsidRPr="001E3529" w:rsidRDefault="001449FD" w:rsidP="001449FD">
            <w:pPr>
              <w:rPr>
                <w:rFonts w:cs="Calibri"/>
                <w:lang w:eastAsia="en-GB"/>
              </w:rPr>
            </w:pPr>
            <w:r w:rsidRPr="001E3529">
              <w:rPr>
                <w:rFonts w:cs="Calibri"/>
                <w:lang w:eastAsia="en-GB"/>
              </w:rPr>
              <w:t> </w:t>
            </w:r>
          </w:p>
        </w:tc>
        <w:tc>
          <w:tcPr>
            <w:tcW w:w="1415" w:type="dxa"/>
            <w:tcBorders>
              <w:top w:val="nil"/>
            </w:tcBorders>
            <w:shd w:val="clear" w:color="auto" w:fill="auto"/>
            <w:noWrap/>
            <w:vAlign w:val="bottom"/>
            <w:hideMark/>
          </w:tcPr>
          <w:p w:rsidR="001449FD" w:rsidRPr="001E3529" w:rsidRDefault="001449FD" w:rsidP="001449FD">
            <w:pPr>
              <w:jc w:val="center"/>
              <w:rPr>
                <w:rFonts w:cs="Calibri"/>
                <w:lang w:eastAsia="en-GB"/>
              </w:rPr>
            </w:pPr>
            <w:r w:rsidRPr="001E3529">
              <w:rPr>
                <w:rFonts w:cs="Calibri"/>
                <w:b/>
                <w:bCs/>
              </w:rPr>
              <w:t>£m</w:t>
            </w:r>
          </w:p>
        </w:tc>
      </w:tr>
      <w:tr w:rsidR="001449FD" w:rsidRPr="001E3529" w:rsidTr="001449FD">
        <w:trPr>
          <w:trHeight w:hRule="exact" w:val="284"/>
        </w:trPr>
        <w:tc>
          <w:tcPr>
            <w:tcW w:w="1415" w:type="dxa"/>
            <w:tcBorders>
              <w:left w:val="nil"/>
              <w:bottom w:val="single" w:sz="4" w:space="0" w:color="auto"/>
              <w:right w:val="nil"/>
            </w:tcBorders>
            <w:shd w:val="clear" w:color="auto" w:fill="auto"/>
            <w:noWrap/>
            <w:vAlign w:val="bottom"/>
            <w:hideMark/>
          </w:tcPr>
          <w:p w:rsidR="001449FD" w:rsidRPr="001E3529" w:rsidRDefault="001449FD" w:rsidP="001449FD">
            <w:pPr>
              <w:jc w:val="center"/>
              <w:rPr>
                <w:rFonts w:cs="Calibri"/>
                <w:color w:val="FFFFFF"/>
                <w:lang w:eastAsia="en-GB"/>
              </w:rPr>
            </w:pPr>
          </w:p>
        </w:tc>
        <w:tc>
          <w:tcPr>
            <w:tcW w:w="6200" w:type="dxa"/>
            <w:tcBorders>
              <w:left w:val="nil"/>
              <w:bottom w:val="nil"/>
              <w:right w:val="nil"/>
            </w:tcBorders>
            <w:shd w:val="clear" w:color="auto" w:fill="auto"/>
            <w:noWrap/>
            <w:vAlign w:val="bottom"/>
            <w:hideMark/>
          </w:tcPr>
          <w:p w:rsidR="001449FD" w:rsidRPr="001E3529" w:rsidRDefault="001449FD" w:rsidP="001449FD">
            <w:pPr>
              <w:rPr>
                <w:rFonts w:cs="Calibri"/>
                <w:lang w:eastAsia="en-GB"/>
              </w:rPr>
            </w:pPr>
          </w:p>
        </w:tc>
        <w:tc>
          <w:tcPr>
            <w:tcW w:w="1415" w:type="dxa"/>
            <w:tcBorders>
              <w:left w:val="nil"/>
              <w:bottom w:val="single" w:sz="4" w:space="0" w:color="auto"/>
              <w:right w:val="nil"/>
            </w:tcBorders>
            <w:shd w:val="clear" w:color="auto" w:fill="auto"/>
            <w:noWrap/>
            <w:vAlign w:val="bottom"/>
            <w:hideMark/>
          </w:tcPr>
          <w:p w:rsidR="001449FD" w:rsidRPr="001E3529" w:rsidRDefault="001449FD" w:rsidP="001449FD">
            <w:pPr>
              <w:rPr>
                <w:rFonts w:cs="Calibri"/>
                <w:lang w:eastAsia="en-GB"/>
              </w:rPr>
            </w:pPr>
          </w:p>
        </w:tc>
      </w:tr>
      <w:tr w:rsidR="001449FD" w:rsidRPr="001E3529" w:rsidTr="001449FD">
        <w:trPr>
          <w:trHeight w:hRule="exact" w:val="284"/>
        </w:trPr>
        <w:tc>
          <w:tcPr>
            <w:tcW w:w="1415" w:type="dxa"/>
            <w:tcBorders>
              <w:top w:val="single" w:sz="4" w:space="0" w:color="auto"/>
              <w:left w:val="single" w:sz="4" w:space="0" w:color="auto"/>
              <w:bottom w:val="nil"/>
              <w:right w:val="single" w:sz="4" w:space="0" w:color="auto"/>
            </w:tcBorders>
            <w:shd w:val="clear" w:color="auto" w:fill="auto"/>
            <w:noWrap/>
            <w:vAlign w:val="bottom"/>
            <w:hideMark/>
          </w:tcPr>
          <w:p w:rsidR="001449FD" w:rsidRPr="001E3529" w:rsidRDefault="001449FD" w:rsidP="001449FD">
            <w:pPr>
              <w:jc w:val="right"/>
              <w:rPr>
                <w:rFonts w:cs="Calibri"/>
              </w:rPr>
            </w:pPr>
            <w:r w:rsidRPr="001E3529">
              <w:rPr>
                <w:rFonts w:cs="Calibri"/>
              </w:rPr>
              <w:t>31.0</w:t>
            </w:r>
          </w:p>
        </w:tc>
        <w:tc>
          <w:tcPr>
            <w:tcW w:w="6200" w:type="dxa"/>
            <w:tcBorders>
              <w:top w:val="nil"/>
              <w:left w:val="single" w:sz="4" w:space="0" w:color="auto"/>
              <w:bottom w:val="nil"/>
              <w:right w:val="single" w:sz="4" w:space="0" w:color="auto"/>
            </w:tcBorders>
            <w:shd w:val="clear" w:color="auto" w:fill="auto"/>
            <w:noWrap/>
            <w:vAlign w:val="bottom"/>
            <w:hideMark/>
          </w:tcPr>
          <w:p w:rsidR="001449FD" w:rsidRPr="001E3529" w:rsidRDefault="001449FD" w:rsidP="001449FD">
            <w:pPr>
              <w:rPr>
                <w:rFonts w:cs="Calibri"/>
                <w:lang w:eastAsia="en-GB"/>
              </w:rPr>
            </w:pPr>
            <w:r w:rsidRPr="001E3529">
              <w:rPr>
                <w:rFonts w:cs="Calibri"/>
                <w:lang w:eastAsia="en-GB"/>
              </w:rPr>
              <w:t>Depreciation</w:t>
            </w:r>
          </w:p>
        </w:tc>
        <w:tc>
          <w:tcPr>
            <w:tcW w:w="1415" w:type="dxa"/>
            <w:tcBorders>
              <w:top w:val="single" w:sz="4" w:space="0" w:color="auto"/>
              <w:left w:val="single" w:sz="4" w:space="0" w:color="auto"/>
              <w:bottom w:val="nil"/>
              <w:right w:val="single" w:sz="4" w:space="0" w:color="auto"/>
            </w:tcBorders>
            <w:shd w:val="clear" w:color="auto" w:fill="auto"/>
            <w:noWrap/>
            <w:vAlign w:val="bottom"/>
          </w:tcPr>
          <w:p w:rsidR="001449FD" w:rsidRPr="001E3529" w:rsidRDefault="00D33F11" w:rsidP="001449FD">
            <w:pPr>
              <w:jc w:val="right"/>
              <w:rPr>
                <w:rFonts w:cs="Calibri"/>
              </w:rPr>
            </w:pPr>
            <w:r>
              <w:rPr>
                <w:rFonts w:cs="Calibri"/>
              </w:rPr>
              <w:t>34.3</w:t>
            </w:r>
          </w:p>
        </w:tc>
      </w:tr>
      <w:tr w:rsidR="001449FD" w:rsidRPr="001E3529" w:rsidTr="001449FD">
        <w:trPr>
          <w:trHeight w:hRule="exact" w:val="284"/>
        </w:trPr>
        <w:tc>
          <w:tcPr>
            <w:tcW w:w="1415" w:type="dxa"/>
            <w:tcBorders>
              <w:top w:val="nil"/>
              <w:left w:val="single" w:sz="4" w:space="0" w:color="auto"/>
              <w:bottom w:val="nil"/>
              <w:right w:val="single" w:sz="4" w:space="0" w:color="auto"/>
            </w:tcBorders>
            <w:shd w:val="clear" w:color="auto" w:fill="auto"/>
            <w:noWrap/>
            <w:vAlign w:val="bottom"/>
            <w:hideMark/>
          </w:tcPr>
          <w:p w:rsidR="001449FD" w:rsidRPr="001E3529" w:rsidRDefault="001449FD" w:rsidP="001449FD">
            <w:pPr>
              <w:jc w:val="right"/>
              <w:rPr>
                <w:rFonts w:cs="Calibri"/>
              </w:rPr>
            </w:pPr>
            <w:r w:rsidRPr="001E3529">
              <w:rPr>
                <w:rFonts w:cs="Calibri"/>
              </w:rPr>
              <w:t>46.8</w:t>
            </w:r>
          </w:p>
        </w:tc>
        <w:tc>
          <w:tcPr>
            <w:tcW w:w="6200" w:type="dxa"/>
            <w:tcBorders>
              <w:top w:val="nil"/>
              <w:left w:val="single" w:sz="4" w:space="0" w:color="auto"/>
              <w:bottom w:val="nil"/>
              <w:right w:val="single" w:sz="4" w:space="0" w:color="auto"/>
            </w:tcBorders>
            <w:shd w:val="clear" w:color="auto" w:fill="auto"/>
            <w:noWrap/>
            <w:vAlign w:val="bottom"/>
            <w:hideMark/>
          </w:tcPr>
          <w:p w:rsidR="001449FD" w:rsidRPr="001E3529" w:rsidRDefault="001449FD" w:rsidP="001449FD">
            <w:pPr>
              <w:rPr>
                <w:rFonts w:cs="Calibri"/>
                <w:lang w:eastAsia="en-GB"/>
              </w:rPr>
            </w:pPr>
            <w:r w:rsidRPr="001E3529">
              <w:rPr>
                <w:rFonts w:cs="Calibri"/>
                <w:lang w:eastAsia="en-GB"/>
              </w:rPr>
              <w:t>Impairment and downward valuations</w:t>
            </w:r>
          </w:p>
        </w:tc>
        <w:tc>
          <w:tcPr>
            <w:tcW w:w="1415" w:type="dxa"/>
            <w:tcBorders>
              <w:top w:val="nil"/>
              <w:left w:val="single" w:sz="4" w:space="0" w:color="auto"/>
              <w:bottom w:val="nil"/>
              <w:right w:val="single" w:sz="4" w:space="0" w:color="auto"/>
            </w:tcBorders>
            <w:shd w:val="clear" w:color="auto" w:fill="auto"/>
            <w:noWrap/>
            <w:vAlign w:val="bottom"/>
          </w:tcPr>
          <w:p w:rsidR="001449FD" w:rsidRPr="001E3529" w:rsidRDefault="00D33F11" w:rsidP="001449FD">
            <w:pPr>
              <w:jc w:val="right"/>
              <w:rPr>
                <w:rFonts w:cs="Calibri"/>
              </w:rPr>
            </w:pPr>
            <w:r>
              <w:rPr>
                <w:rFonts w:cs="Calibri"/>
              </w:rPr>
              <w:t>41</w:t>
            </w:r>
            <w:r w:rsidR="001449FD" w:rsidRPr="001E3529">
              <w:rPr>
                <w:rFonts w:cs="Calibri"/>
              </w:rPr>
              <w:t>.</w:t>
            </w:r>
            <w:r>
              <w:rPr>
                <w:rFonts w:cs="Calibri"/>
              </w:rPr>
              <w:t>6</w:t>
            </w:r>
          </w:p>
        </w:tc>
      </w:tr>
      <w:tr w:rsidR="001449FD" w:rsidRPr="001E3529" w:rsidTr="001449FD">
        <w:trPr>
          <w:trHeight w:hRule="exact" w:val="284"/>
        </w:trPr>
        <w:tc>
          <w:tcPr>
            <w:tcW w:w="1415" w:type="dxa"/>
            <w:tcBorders>
              <w:top w:val="nil"/>
              <w:left w:val="single" w:sz="4" w:space="0" w:color="auto"/>
              <w:bottom w:val="nil"/>
              <w:right w:val="single" w:sz="4" w:space="0" w:color="auto"/>
            </w:tcBorders>
            <w:shd w:val="clear" w:color="auto" w:fill="auto"/>
            <w:noWrap/>
            <w:vAlign w:val="bottom"/>
            <w:hideMark/>
          </w:tcPr>
          <w:p w:rsidR="001449FD" w:rsidRPr="001E3529" w:rsidRDefault="001449FD" w:rsidP="001449FD">
            <w:pPr>
              <w:jc w:val="right"/>
              <w:rPr>
                <w:rFonts w:cs="Calibri"/>
              </w:rPr>
            </w:pPr>
            <w:r w:rsidRPr="001E3529">
              <w:rPr>
                <w:rFonts w:cs="Calibri"/>
              </w:rPr>
              <w:t>0.9</w:t>
            </w:r>
          </w:p>
        </w:tc>
        <w:tc>
          <w:tcPr>
            <w:tcW w:w="6200" w:type="dxa"/>
            <w:tcBorders>
              <w:top w:val="nil"/>
              <w:left w:val="single" w:sz="4" w:space="0" w:color="auto"/>
              <w:bottom w:val="nil"/>
              <w:right w:val="single" w:sz="4" w:space="0" w:color="auto"/>
            </w:tcBorders>
            <w:shd w:val="clear" w:color="auto" w:fill="auto"/>
            <w:noWrap/>
            <w:vAlign w:val="bottom"/>
            <w:hideMark/>
          </w:tcPr>
          <w:p w:rsidR="001449FD" w:rsidRPr="001E3529" w:rsidRDefault="001449FD" w:rsidP="001449FD">
            <w:pPr>
              <w:rPr>
                <w:rFonts w:cs="Calibri"/>
                <w:lang w:eastAsia="en-GB"/>
              </w:rPr>
            </w:pPr>
            <w:r w:rsidRPr="001E3529">
              <w:rPr>
                <w:rFonts w:cs="Calibri"/>
                <w:lang w:eastAsia="en-GB"/>
              </w:rPr>
              <w:t>Amortisation</w:t>
            </w:r>
          </w:p>
        </w:tc>
        <w:tc>
          <w:tcPr>
            <w:tcW w:w="1415" w:type="dxa"/>
            <w:tcBorders>
              <w:top w:val="nil"/>
              <w:left w:val="single" w:sz="4" w:space="0" w:color="auto"/>
              <w:bottom w:val="nil"/>
              <w:right w:val="single" w:sz="4" w:space="0" w:color="auto"/>
            </w:tcBorders>
            <w:shd w:val="clear" w:color="auto" w:fill="auto"/>
            <w:noWrap/>
            <w:vAlign w:val="bottom"/>
          </w:tcPr>
          <w:p w:rsidR="001449FD" w:rsidRPr="001E3529" w:rsidRDefault="001449FD" w:rsidP="001449FD">
            <w:pPr>
              <w:jc w:val="right"/>
              <w:rPr>
                <w:rFonts w:cs="Calibri"/>
              </w:rPr>
            </w:pPr>
            <w:r w:rsidRPr="001E3529">
              <w:rPr>
                <w:rFonts w:cs="Calibri"/>
              </w:rPr>
              <w:t>0.7</w:t>
            </w:r>
          </w:p>
        </w:tc>
      </w:tr>
      <w:tr w:rsidR="001449FD" w:rsidRPr="001E3529" w:rsidTr="001449FD">
        <w:trPr>
          <w:trHeight w:hRule="exact" w:val="284"/>
        </w:trPr>
        <w:tc>
          <w:tcPr>
            <w:tcW w:w="1415" w:type="dxa"/>
            <w:tcBorders>
              <w:top w:val="nil"/>
              <w:left w:val="single" w:sz="4" w:space="0" w:color="auto"/>
              <w:bottom w:val="nil"/>
              <w:right w:val="single" w:sz="4" w:space="0" w:color="auto"/>
            </w:tcBorders>
            <w:shd w:val="clear" w:color="auto" w:fill="auto"/>
            <w:noWrap/>
            <w:vAlign w:val="bottom"/>
            <w:hideMark/>
          </w:tcPr>
          <w:p w:rsidR="001449FD" w:rsidRPr="001E3529" w:rsidRDefault="001449FD" w:rsidP="001449FD">
            <w:pPr>
              <w:jc w:val="right"/>
              <w:rPr>
                <w:rFonts w:cs="Calibri"/>
              </w:rPr>
            </w:pPr>
            <w:r w:rsidRPr="001E3529">
              <w:rPr>
                <w:rFonts w:cs="Calibri"/>
              </w:rPr>
              <w:t>(50.3)</w:t>
            </w:r>
          </w:p>
        </w:tc>
        <w:tc>
          <w:tcPr>
            <w:tcW w:w="6200" w:type="dxa"/>
            <w:tcBorders>
              <w:top w:val="nil"/>
              <w:left w:val="single" w:sz="4" w:space="0" w:color="auto"/>
              <w:bottom w:val="nil"/>
              <w:right w:val="single" w:sz="4" w:space="0" w:color="auto"/>
            </w:tcBorders>
            <w:shd w:val="clear" w:color="auto" w:fill="auto"/>
            <w:noWrap/>
            <w:vAlign w:val="bottom"/>
            <w:hideMark/>
          </w:tcPr>
          <w:p w:rsidR="001449FD" w:rsidRPr="001E3529" w:rsidRDefault="001449FD" w:rsidP="001449FD">
            <w:pPr>
              <w:rPr>
                <w:rFonts w:cs="Calibri"/>
                <w:lang w:eastAsia="en-GB"/>
              </w:rPr>
            </w:pPr>
            <w:r w:rsidRPr="001E3529">
              <w:rPr>
                <w:rFonts w:cs="Calibri"/>
                <w:lang w:eastAsia="en-GB"/>
              </w:rPr>
              <w:t>Increase/(decrease) in creditors</w:t>
            </w:r>
          </w:p>
        </w:tc>
        <w:tc>
          <w:tcPr>
            <w:tcW w:w="1415" w:type="dxa"/>
            <w:tcBorders>
              <w:top w:val="nil"/>
              <w:left w:val="single" w:sz="4" w:space="0" w:color="auto"/>
              <w:bottom w:val="nil"/>
              <w:right w:val="single" w:sz="4" w:space="0" w:color="auto"/>
            </w:tcBorders>
            <w:shd w:val="clear" w:color="auto" w:fill="auto"/>
            <w:noWrap/>
            <w:vAlign w:val="bottom"/>
          </w:tcPr>
          <w:p w:rsidR="001449FD" w:rsidRPr="001E3529" w:rsidRDefault="001449FD" w:rsidP="001449FD">
            <w:pPr>
              <w:jc w:val="right"/>
              <w:rPr>
                <w:rFonts w:cs="Calibri"/>
              </w:rPr>
            </w:pPr>
            <w:r w:rsidRPr="001E3529">
              <w:rPr>
                <w:rFonts w:cs="Calibri"/>
              </w:rPr>
              <w:t>(8.6)</w:t>
            </w:r>
          </w:p>
        </w:tc>
      </w:tr>
      <w:tr w:rsidR="001449FD" w:rsidRPr="001E3529" w:rsidTr="001449FD">
        <w:trPr>
          <w:trHeight w:hRule="exact" w:val="284"/>
        </w:trPr>
        <w:tc>
          <w:tcPr>
            <w:tcW w:w="1415" w:type="dxa"/>
            <w:tcBorders>
              <w:top w:val="nil"/>
              <w:left w:val="single" w:sz="4" w:space="0" w:color="auto"/>
              <w:bottom w:val="nil"/>
              <w:right w:val="single" w:sz="4" w:space="0" w:color="auto"/>
            </w:tcBorders>
            <w:shd w:val="clear" w:color="auto" w:fill="auto"/>
            <w:noWrap/>
            <w:vAlign w:val="bottom"/>
            <w:hideMark/>
          </w:tcPr>
          <w:p w:rsidR="001449FD" w:rsidRPr="001E3529" w:rsidRDefault="001449FD" w:rsidP="001449FD">
            <w:pPr>
              <w:jc w:val="right"/>
              <w:rPr>
                <w:rFonts w:cs="Calibri"/>
              </w:rPr>
            </w:pPr>
            <w:r w:rsidRPr="001E3529">
              <w:rPr>
                <w:rFonts w:cs="Calibri"/>
              </w:rPr>
              <w:t>1.2</w:t>
            </w:r>
          </w:p>
        </w:tc>
        <w:tc>
          <w:tcPr>
            <w:tcW w:w="6200" w:type="dxa"/>
            <w:tcBorders>
              <w:top w:val="nil"/>
              <w:left w:val="single" w:sz="4" w:space="0" w:color="auto"/>
              <w:bottom w:val="nil"/>
              <w:right w:val="single" w:sz="4" w:space="0" w:color="auto"/>
            </w:tcBorders>
            <w:shd w:val="clear" w:color="auto" w:fill="auto"/>
            <w:noWrap/>
            <w:vAlign w:val="bottom"/>
            <w:hideMark/>
          </w:tcPr>
          <w:p w:rsidR="001449FD" w:rsidRPr="001E3529" w:rsidRDefault="001449FD" w:rsidP="001449FD">
            <w:pPr>
              <w:rPr>
                <w:rFonts w:cs="Calibri"/>
                <w:lang w:eastAsia="en-GB"/>
              </w:rPr>
            </w:pPr>
            <w:r w:rsidRPr="001E3529">
              <w:rPr>
                <w:rFonts w:cs="Calibri"/>
                <w:lang w:eastAsia="en-GB"/>
              </w:rPr>
              <w:t>(Increase)/decrease in debtors</w:t>
            </w:r>
          </w:p>
        </w:tc>
        <w:tc>
          <w:tcPr>
            <w:tcW w:w="1415" w:type="dxa"/>
            <w:tcBorders>
              <w:top w:val="nil"/>
              <w:left w:val="single" w:sz="4" w:space="0" w:color="auto"/>
              <w:bottom w:val="nil"/>
              <w:right w:val="single" w:sz="4" w:space="0" w:color="auto"/>
            </w:tcBorders>
            <w:shd w:val="clear" w:color="auto" w:fill="auto"/>
            <w:noWrap/>
            <w:vAlign w:val="bottom"/>
          </w:tcPr>
          <w:p w:rsidR="001449FD" w:rsidRPr="001E3529" w:rsidRDefault="00D33F11" w:rsidP="001449FD">
            <w:pPr>
              <w:jc w:val="right"/>
              <w:rPr>
                <w:rFonts w:cs="Calibri"/>
              </w:rPr>
            </w:pPr>
            <w:r>
              <w:rPr>
                <w:rFonts w:cs="Calibri"/>
              </w:rPr>
              <w:t>(75.3</w:t>
            </w:r>
            <w:r w:rsidR="001449FD" w:rsidRPr="001E3529">
              <w:rPr>
                <w:rFonts w:cs="Calibri"/>
              </w:rPr>
              <w:t>)</w:t>
            </w:r>
          </w:p>
        </w:tc>
      </w:tr>
      <w:tr w:rsidR="001449FD" w:rsidRPr="001E3529" w:rsidTr="001449FD">
        <w:trPr>
          <w:trHeight w:hRule="exact" w:val="284"/>
        </w:trPr>
        <w:tc>
          <w:tcPr>
            <w:tcW w:w="1415" w:type="dxa"/>
            <w:tcBorders>
              <w:top w:val="nil"/>
              <w:left w:val="single" w:sz="4" w:space="0" w:color="auto"/>
              <w:bottom w:val="nil"/>
              <w:right w:val="single" w:sz="4" w:space="0" w:color="auto"/>
            </w:tcBorders>
            <w:shd w:val="clear" w:color="auto" w:fill="auto"/>
            <w:noWrap/>
            <w:vAlign w:val="bottom"/>
            <w:hideMark/>
          </w:tcPr>
          <w:p w:rsidR="001449FD" w:rsidRPr="001E3529" w:rsidRDefault="001449FD" w:rsidP="001449FD">
            <w:pPr>
              <w:jc w:val="right"/>
              <w:rPr>
                <w:rFonts w:cs="Calibri"/>
              </w:rPr>
            </w:pPr>
            <w:r w:rsidRPr="001E3529">
              <w:rPr>
                <w:rFonts w:cs="Calibri"/>
              </w:rPr>
              <w:t>27.8</w:t>
            </w:r>
          </w:p>
        </w:tc>
        <w:tc>
          <w:tcPr>
            <w:tcW w:w="6200" w:type="dxa"/>
            <w:tcBorders>
              <w:top w:val="nil"/>
              <w:left w:val="single" w:sz="4" w:space="0" w:color="auto"/>
              <w:bottom w:val="nil"/>
              <w:right w:val="single" w:sz="4" w:space="0" w:color="auto"/>
            </w:tcBorders>
            <w:shd w:val="clear" w:color="auto" w:fill="auto"/>
            <w:noWrap/>
            <w:vAlign w:val="bottom"/>
            <w:hideMark/>
          </w:tcPr>
          <w:p w:rsidR="001449FD" w:rsidRPr="001E3529" w:rsidRDefault="001449FD" w:rsidP="001449FD">
            <w:pPr>
              <w:rPr>
                <w:rFonts w:cs="Calibri"/>
                <w:lang w:eastAsia="en-GB"/>
              </w:rPr>
            </w:pPr>
            <w:r w:rsidRPr="001E3529">
              <w:rPr>
                <w:rFonts w:cs="Calibri"/>
                <w:lang w:eastAsia="en-GB"/>
              </w:rPr>
              <w:t>Movement in pension liability</w:t>
            </w:r>
          </w:p>
        </w:tc>
        <w:tc>
          <w:tcPr>
            <w:tcW w:w="1415" w:type="dxa"/>
            <w:tcBorders>
              <w:top w:val="nil"/>
              <w:left w:val="single" w:sz="4" w:space="0" w:color="auto"/>
              <w:bottom w:val="nil"/>
              <w:right w:val="single" w:sz="4" w:space="0" w:color="auto"/>
            </w:tcBorders>
            <w:shd w:val="clear" w:color="auto" w:fill="auto"/>
            <w:noWrap/>
            <w:vAlign w:val="bottom"/>
          </w:tcPr>
          <w:p w:rsidR="001449FD" w:rsidRPr="001E3529" w:rsidRDefault="001449FD" w:rsidP="001449FD">
            <w:pPr>
              <w:jc w:val="right"/>
              <w:rPr>
                <w:rFonts w:cs="Calibri"/>
              </w:rPr>
            </w:pPr>
            <w:r w:rsidRPr="001E3529">
              <w:rPr>
                <w:rFonts w:cs="Calibri"/>
              </w:rPr>
              <w:t>23.1</w:t>
            </w:r>
          </w:p>
        </w:tc>
      </w:tr>
      <w:tr w:rsidR="001449FD" w:rsidRPr="001E3529" w:rsidTr="001449FD">
        <w:trPr>
          <w:trHeight w:hRule="exact" w:val="284"/>
        </w:trPr>
        <w:tc>
          <w:tcPr>
            <w:tcW w:w="1415" w:type="dxa"/>
            <w:tcBorders>
              <w:top w:val="nil"/>
              <w:left w:val="single" w:sz="4" w:space="0" w:color="auto"/>
              <w:bottom w:val="nil"/>
              <w:right w:val="single" w:sz="4" w:space="0" w:color="auto"/>
            </w:tcBorders>
            <w:shd w:val="clear" w:color="auto" w:fill="auto"/>
            <w:noWrap/>
            <w:vAlign w:val="bottom"/>
            <w:hideMark/>
          </w:tcPr>
          <w:p w:rsidR="001449FD" w:rsidRPr="001E3529" w:rsidRDefault="001449FD" w:rsidP="001449FD">
            <w:pPr>
              <w:jc w:val="right"/>
              <w:rPr>
                <w:rFonts w:cs="Calibri"/>
              </w:rPr>
            </w:pPr>
            <w:r w:rsidRPr="001E3529">
              <w:rPr>
                <w:rFonts w:cs="Calibri"/>
              </w:rPr>
              <w:t>73.0</w:t>
            </w:r>
          </w:p>
        </w:tc>
        <w:tc>
          <w:tcPr>
            <w:tcW w:w="6200" w:type="dxa"/>
            <w:tcBorders>
              <w:top w:val="nil"/>
              <w:left w:val="single" w:sz="4" w:space="0" w:color="auto"/>
              <w:bottom w:val="nil"/>
              <w:right w:val="single" w:sz="4" w:space="0" w:color="auto"/>
            </w:tcBorders>
            <w:shd w:val="clear" w:color="auto" w:fill="auto"/>
            <w:vAlign w:val="bottom"/>
            <w:hideMark/>
          </w:tcPr>
          <w:p w:rsidR="001449FD" w:rsidRPr="001E3529" w:rsidRDefault="001449FD" w:rsidP="001449FD">
            <w:pPr>
              <w:rPr>
                <w:rFonts w:cs="Calibri"/>
                <w:lang w:eastAsia="en-GB"/>
              </w:rPr>
            </w:pPr>
            <w:r w:rsidRPr="001E3529">
              <w:rPr>
                <w:rFonts w:cs="Calibri"/>
                <w:lang w:eastAsia="en-GB"/>
              </w:rPr>
              <w:t>Carrying amount of non-current assets and non-current assets held for sale, sold or derecognised</w:t>
            </w:r>
          </w:p>
        </w:tc>
        <w:tc>
          <w:tcPr>
            <w:tcW w:w="1415" w:type="dxa"/>
            <w:tcBorders>
              <w:top w:val="nil"/>
              <w:left w:val="single" w:sz="4" w:space="0" w:color="auto"/>
              <w:bottom w:val="nil"/>
              <w:right w:val="single" w:sz="4" w:space="0" w:color="auto"/>
            </w:tcBorders>
            <w:shd w:val="clear" w:color="auto" w:fill="auto"/>
            <w:noWrap/>
            <w:vAlign w:val="bottom"/>
          </w:tcPr>
          <w:p w:rsidR="001449FD" w:rsidRPr="001E3529" w:rsidRDefault="001449FD" w:rsidP="001449FD">
            <w:pPr>
              <w:jc w:val="right"/>
              <w:rPr>
                <w:rFonts w:cs="Calibri"/>
              </w:rPr>
            </w:pPr>
            <w:r w:rsidRPr="001E3529">
              <w:rPr>
                <w:rFonts w:cs="Calibri"/>
              </w:rPr>
              <w:t>2.1</w:t>
            </w:r>
          </w:p>
        </w:tc>
      </w:tr>
      <w:tr w:rsidR="001449FD" w:rsidRPr="001E3529" w:rsidTr="001449FD">
        <w:trPr>
          <w:trHeight w:hRule="exact" w:val="726"/>
        </w:trPr>
        <w:tc>
          <w:tcPr>
            <w:tcW w:w="1415" w:type="dxa"/>
            <w:tcBorders>
              <w:top w:val="nil"/>
              <w:left w:val="single" w:sz="4" w:space="0" w:color="auto"/>
              <w:bottom w:val="nil"/>
              <w:right w:val="single" w:sz="4" w:space="0" w:color="auto"/>
            </w:tcBorders>
            <w:shd w:val="clear" w:color="auto" w:fill="auto"/>
            <w:noWrap/>
            <w:vAlign w:val="bottom"/>
            <w:hideMark/>
          </w:tcPr>
          <w:p w:rsidR="001449FD" w:rsidRPr="001E3529" w:rsidRDefault="001449FD" w:rsidP="001449FD">
            <w:pPr>
              <w:jc w:val="right"/>
              <w:rPr>
                <w:rFonts w:cs="Calibri"/>
              </w:rPr>
            </w:pPr>
            <w:r w:rsidRPr="001E3529">
              <w:rPr>
                <w:rFonts w:cs="Calibri"/>
              </w:rPr>
              <w:t>(7.7)</w:t>
            </w:r>
          </w:p>
        </w:tc>
        <w:tc>
          <w:tcPr>
            <w:tcW w:w="6200" w:type="dxa"/>
            <w:tcBorders>
              <w:top w:val="nil"/>
              <w:left w:val="single" w:sz="4" w:space="0" w:color="auto"/>
              <w:bottom w:val="nil"/>
              <w:right w:val="single" w:sz="4" w:space="0" w:color="auto"/>
            </w:tcBorders>
            <w:shd w:val="clear" w:color="auto" w:fill="auto"/>
            <w:vAlign w:val="bottom"/>
            <w:hideMark/>
          </w:tcPr>
          <w:p w:rsidR="001449FD" w:rsidRPr="001E3529" w:rsidRDefault="001449FD" w:rsidP="001449FD">
            <w:pPr>
              <w:rPr>
                <w:rFonts w:cs="Calibri"/>
                <w:lang w:eastAsia="en-GB"/>
              </w:rPr>
            </w:pPr>
            <w:r w:rsidRPr="001E3529">
              <w:rPr>
                <w:rFonts w:cs="Calibri"/>
                <w:lang w:eastAsia="en-GB"/>
              </w:rPr>
              <w:t>Other non-cash items charged to the net surplus or deficit on the provision of services</w:t>
            </w:r>
          </w:p>
        </w:tc>
        <w:tc>
          <w:tcPr>
            <w:tcW w:w="1415" w:type="dxa"/>
            <w:tcBorders>
              <w:top w:val="nil"/>
              <w:left w:val="single" w:sz="4" w:space="0" w:color="auto"/>
              <w:bottom w:val="nil"/>
              <w:right w:val="single" w:sz="4" w:space="0" w:color="auto"/>
            </w:tcBorders>
            <w:shd w:val="clear" w:color="auto" w:fill="auto"/>
            <w:noWrap/>
            <w:vAlign w:val="bottom"/>
          </w:tcPr>
          <w:p w:rsidR="001449FD" w:rsidRPr="001E3529" w:rsidRDefault="001449FD" w:rsidP="001449FD">
            <w:pPr>
              <w:jc w:val="right"/>
              <w:rPr>
                <w:rFonts w:cs="Calibri"/>
              </w:rPr>
            </w:pPr>
            <w:r w:rsidRPr="001E3529">
              <w:rPr>
                <w:rFonts w:cs="Calibri"/>
              </w:rPr>
              <w:t>4.5</w:t>
            </w:r>
          </w:p>
        </w:tc>
      </w:tr>
      <w:tr w:rsidR="001449FD" w:rsidRPr="001E3529" w:rsidTr="001449FD">
        <w:trPr>
          <w:trHeight w:hRule="exact" w:val="284"/>
        </w:trPr>
        <w:tc>
          <w:tcPr>
            <w:tcW w:w="1415" w:type="dxa"/>
            <w:tcBorders>
              <w:top w:val="nil"/>
              <w:left w:val="single" w:sz="4" w:space="0" w:color="auto"/>
              <w:bottom w:val="nil"/>
              <w:right w:val="single" w:sz="4" w:space="0" w:color="auto"/>
            </w:tcBorders>
            <w:shd w:val="clear" w:color="auto" w:fill="auto"/>
            <w:noWrap/>
            <w:vAlign w:val="bottom"/>
            <w:hideMark/>
          </w:tcPr>
          <w:p w:rsidR="001449FD" w:rsidRPr="001E3529" w:rsidRDefault="001449FD" w:rsidP="001449FD">
            <w:pPr>
              <w:jc w:val="right"/>
              <w:rPr>
                <w:rFonts w:cs="Calibri"/>
              </w:rPr>
            </w:pPr>
          </w:p>
        </w:tc>
        <w:tc>
          <w:tcPr>
            <w:tcW w:w="6200" w:type="dxa"/>
            <w:tcBorders>
              <w:top w:val="nil"/>
              <w:left w:val="single" w:sz="4" w:space="0" w:color="auto"/>
              <w:bottom w:val="nil"/>
              <w:right w:val="single" w:sz="4" w:space="0" w:color="auto"/>
            </w:tcBorders>
            <w:shd w:val="clear" w:color="auto" w:fill="auto"/>
            <w:noWrap/>
            <w:vAlign w:val="bottom"/>
            <w:hideMark/>
          </w:tcPr>
          <w:p w:rsidR="001449FD" w:rsidRPr="001E3529" w:rsidRDefault="001449FD" w:rsidP="001449FD">
            <w:pPr>
              <w:rPr>
                <w:rFonts w:cs="Calibri"/>
                <w:lang w:eastAsia="en-GB"/>
              </w:rPr>
            </w:pPr>
          </w:p>
        </w:tc>
        <w:tc>
          <w:tcPr>
            <w:tcW w:w="1415" w:type="dxa"/>
            <w:tcBorders>
              <w:top w:val="nil"/>
              <w:left w:val="single" w:sz="4" w:space="0" w:color="auto"/>
              <w:bottom w:val="nil"/>
              <w:right w:val="single" w:sz="4" w:space="0" w:color="auto"/>
            </w:tcBorders>
            <w:shd w:val="clear" w:color="auto" w:fill="auto"/>
            <w:noWrap/>
            <w:vAlign w:val="bottom"/>
          </w:tcPr>
          <w:p w:rsidR="001449FD" w:rsidRPr="001E3529" w:rsidRDefault="001449FD" w:rsidP="001449FD">
            <w:pPr>
              <w:jc w:val="right"/>
              <w:rPr>
                <w:rFonts w:cs="Calibri"/>
              </w:rPr>
            </w:pPr>
          </w:p>
        </w:tc>
      </w:tr>
      <w:tr w:rsidR="001449FD" w:rsidRPr="001E3529" w:rsidTr="001449FD">
        <w:trPr>
          <w:trHeight w:hRule="exact" w:val="284"/>
        </w:trPr>
        <w:tc>
          <w:tcPr>
            <w:tcW w:w="14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49FD" w:rsidRPr="001E3529" w:rsidRDefault="001449FD" w:rsidP="001449FD">
            <w:pPr>
              <w:jc w:val="right"/>
              <w:rPr>
                <w:rFonts w:cs="Calibri"/>
                <w:b/>
              </w:rPr>
            </w:pPr>
            <w:r w:rsidRPr="001E3529">
              <w:rPr>
                <w:rFonts w:cs="Calibri"/>
                <w:b/>
              </w:rPr>
              <w:t>122.7</w:t>
            </w:r>
          </w:p>
        </w:tc>
        <w:tc>
          <w:tcPr>
            <w:tcW w:w="6200" w:type="dxa"/>
            <w:tcBorders>
              <w:top w:val="nil"/>
              <w:left w:val="single" w:sz="4" w:space="0" w:color="auto"/>
              <w:bottom w:val="nil"/>
              <w:right w:val="single" w:sz="4" w:space="0" w:color="auto"/>
            </w:tcBorders>
            <w:shd w:val="clear" w:color="auto" w:fill="auto"/>
            <w:noWrap/>
            <w:vAlign w:val="bottom"/>
            <w:hideMark/>
          </w:tcPr>
          <w:p w:rsidR="001449FD" w:rsidRPr="001E3529" w:rsidRDefault="001449FD" w:rsidP="001449FD">
            <w:pPr>
              <w:jc w:val="right"/>
              <w:rPr>
                <w:rFonts w:cs="Calibri"/>
                <w:b/>
                <w:lang w:eastAsia="en-GB"/>
              </w:rPr>
            </w:pPr>
          </w:p>
        </w:tc>
        <w:tc>
          <w:tcPr>
            <w:tcW w:w="141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449FD" w:rsidRPr="001E3529" w:rsidRDefault="00D33F11" w:rsidP="001449FD">
            <w:pPr>
              <w:jc w:val="right"/>
              <w:rPr>
                <w:rFonts w:cs="Calibri"/>
                <w:b/>
              </w:rPr>
            </w:pPr>
            <w:r>
              <w:rPr>
                <w:rFonts w:cs="Calibri"/>
                <w:b/>
              </w:rPr>
              <w:t>22.4</w:t>
            </w:r>
          </w:p>
        </w:tc>
      </w:tr>
    </w:tbl>
    <w:p w:rsidR="001449FD" w:rsidRDefault="001449FD" w:rsidP="00F72906"/>
    <w:p w:rsidR="00F72906" w:rsidRDefault="00F72906" w:rsidP="00F72906">
      <w:r>
        <w:t>The surplus or deficit on the provision of services has been adjusted for the following items that are investing and financing activities:</w:t>
      </w:r>
    </w:p>
    <w:tbl>
      <w:tblPr>
        <w:tblW w:w="8594" w:type="dxa"/>
        <w:tblInd w:w="142" w:type="dxa"/>
        <w:tblLook w:val="04A0" w:firstRow="1" w:lastRow="0" w:firstColumn="1" w:lastColumn="0" w:noHBand="0" w:noVBand="1"/>
      </w:tblPr>
      <w:tblGrid>
        <w:gridCol w:w="1418"/>
        <w:gridCol w:w="5670"/>
        <w:gridCol w:w="141"/>
        <w:gridCol w:w="1276"/>
        <w:gridCol w:w="89"/>
      </w:tblGrid>
      <w:tr w:rsidR="001449FD" w:rsidRPr="001E3529" w:rsidTr="001449FD">
        <w:trPr>
          <w:trHeight w:hRule="exact" w:val="284"/>
        </w:trPr>
        <w:tc>
          <w:tcPr>
            <w:tcW w:w="1418" w:type="dxa"/>
            <w:shd w:val="clear" w:color="auto" w:fill="auto"/>
            <w:noWrap/>
            <w:vAlign w:val="bottom"/>
            <w:hideMark/>
          </w:tcPr>
          <w:p w:rsidR="001449FD" w:rsidRPr="001E3529" w:rsidRDefault="001449FD" w:rsidP="001449FD">
            <w:pPr>
              <w:jc w:val="center"/>
              <w:rPr>
                <w:rFonts w:cs="Calibri"/>
                <w:lang w:eastAsia="en-GB"/>
              </w:rPr>
            </w:pPr>
            <w:r w:rsidRPr="001E3529">
              <w:rPr>
                <w:rFonts w:cs="Calibri"/>
                <w:b/>
                <w:bCs/>
                <w:color w:val="000000"/>
                <w:lang w:eastAsia="en-GB"/>
              </w:rPr>
              <w:t>2018/19</w:t>
            </w:r>
          </w:p>
        </w:tc>
        <w:tc>
          <w:tcPr>
            <w:tcW w:w="5811" w:type="dxa"/>
            <w:gridSpan w:val="2"/>
            <w:shd w:val="clear" w:color="auto" w:fill="auto"/>
            <w:noWrap/>
            <w:vAlign w:val="bottom"/>
            <w:hideMark/>
          </w:tcPr>
          <w:p w:rsidR="001449FD" w:rsidRPr="001E3529" w:rsidRDefault="001449FD" w:rsidP="001449FD">
            <w:pPr>
              <w:jc w:val="right"/>
              <w:rPr>
                <w:rFonts w:cs="Calibri"/>
                <w:lang w:eastAsia="en-GB"/>
              </w:rPr>
            </w:pPr>
            <w:r w:rsidRPr="001E3529">
              <w:rPr>
                <w:rFonts w:cs="Calibri"/>
                <w:lang w:eastAsia="en-GB"/>
              </w:rPr>
              <w:t> </w:t>
            </w:r>
          </w:p>
        </w:tc>
        <w:tc>
          <w:tcPr>
            <w:tcW w:w="1365" w:type="dxa"/>
            <w:gridSpan w:val="2"/>
            <w:shd w:val="clear" w:color="auto" w:fill="auto"/>
            <w:noWrap/>
            <w:vAlign w:val="bottom"/>
            <w:hideMark/>
          </w:tcPr>
          <w:p w:rsidR="001449FD" w:rsidRPr="001E3529" w:rsidRDefault="001449FD" w:rsidP="001449FD">
            <w:pPr>
              <w:jc w:val="center"/>
              <w:rPr>
                <w:rFonts w:cs="Calibri"/>
                <w:lang w:eastAsia="en-GB"/>
              </w:rPr>
            </w:pPr>
            <w:r w:rsidRPr="001E3529">
              <w:rPr>
                <w:rFonts w:cs="Calibri"/>
                <w:b/>
                <w:bCs/>
              </w:rPr>
              <w:t>2019/20</w:t>
            </w:r>
          </w:p>
        </w:tc>
      </w:tr>
      <w:tr w:rsidR="001449FD" w:rsidRPr="001E3529" w:rsidTr="001449FD">
        <w:trPr>
          <w:gridAfter w:val="1"/>
          <w:wAfter w:w="89" w:type="dxa"/>
          <w:trHeight w:hRule="exact" w:val="284"/>
        </w:trPr>
        <w:tc>
          <w:tcPr>
            <w:tcW w:w="1418" w:type="dxa"/>
            <w:shd w:val="clear" w:color="auto" w:fill="auto"/>
            <w:noWrap/>
            <w:vAlign w:val="bottom"/>
            <w:hideMark/>
          </w:tcPr>
          <w:p w:rsidR="001449FD" w:rsidRPr="001E3529" w:rsidRDefault="001449FD" w:rsidP="001449FD">
            <w:pPr>
              <w:jc w:val="center"/>
              <w:rPr>
                <w:rFonts w:cs="Calibri"/>
                <w:b/>
                <w:lang w:eastAsia="en-GB"/>
              </w:rPr>
            </w:pPr>
            <w:r w:rsidRPr="001E3529">
              <w:rPr>
                <w:rFonts w:cs="Calibri"/>
                <w:b/>
                <w:lang w:eastAsia="en-GB"/>
              </w:rPr>
              <w:t>£m</w:t>
            </w:r>
          </w:p>
        </w:tc>
        <w:tc>
          <w:tcPr>
            <w:tcW w:w="5670" w:type="dxa"/>
            <w:shd w:val="clear" w:color="auto" w:fill="auto"/>
            <w:noWrap/>
            <w:vAlign w:val="bottom"/>
            <w:hideMark/>
          </w:tcPr>
          <w:p w:rsidR="001449FD" w:rsidRPr="001E3529" w:rsidRDefault="001449FD" w:rsidP="001449FD">
            <w:pPr>
              <w:jc w:val="right"/>
              <w:rPr>
                <w:rFonts w:cs="Calibri"/>
                <w:b/>
                <w:lang w:eastAsia="en-GB"/>
              </w:rPr>
            </w:pPr>
            <w:r w:rsidRPr="001E3529">
              <w:rPr>
                <w:rFonts w:cs="Calibri"/>
                <w:b/>
                <w:lang w:eastAsia="en-GB"/>
              </w:rPr>
              <w:t> </w:t>
            </w:r>
          </w:p>
        </w:tc>
        <w:tc>
          <w:tcPr>
            <w:tcW w:w="1417" w:type="dxa"/>
            <w:gridSpan w:val="2"/>
            <w:shd w:val="clear" w:color="auto" w:fill="auto"/>
            <w:noWrap/>
            <w:vAlign w:val="bottom"/>
            <w:hideMark/>
          </w:tcPr>
          <w:p w:rsidR="001449FD" w:rsidRPr="001E3529" w:rsidRDefault="001449FD" w:rsidP="001449FD">
            <w:pPr>
              <w:jc w:val="center"/>
              <w:rPr>
                <w:rFonts w:cs="Calibri"/>
                <w:b/>
                <w:lang w:eastAsia="en-GB"/>
              </w:rPr>
            </w:pPr>
            <w:r w:rsidRPr="001E3529">
              <w:rPr>
                <w:rFonts w:cs="Calibri"/>
                <w:b/>
                <w:lang w:eastAsia="en-GB"/>
              </w:rPr>
              <w:t>£m</w:t>
            </w:r>
          </w:p>
        </w:tc>
      </w:tr>
      <w:tr w:rsidR="001449FD" w:rsidRPr="001E3529" w:rsidTr="001449FD">
        <w:trPr>
          <w:gridAfter w:val="1"/>
          <w:wAfter w:w="89" w:type="dxa"/>
          <w:trHeight w:hRule="exact" w:val="284"/>
        </w:trPr>
        <w:tc>
          <w:tcPr>
            <w:tcW w:w="1418" w:type="dxa"/>
            <w:tcBorders>
              <w:bottom w:val="single" w:sz="4" w:space="0" w:color="auto"/>
            </w:tcBorders>
            <w:shd w:val="clear" w:color="auto" w:fill="auto"/>
            <w:noWrap/>
            <w:vAlign w:val="bottom"/>
            <w:hideMark/>
          </w:tcPr>
          <w:p w:rsidR="001449FD" w:rsidRPr="001E3529" w:rsidRDefault="001449FD" w:rsidP="001449FD">
            <w:pPr>
              <w:jc w:val="right"/>
              <w:rPr>
                <w:rFonts w:cs="Calibri"/>
                <w:lang w:eastAsia="en-GB"/>
              </w:rPr>
            </w:pPr>
          </w:p>
        </w:tc>
        <w:tc>
          <w:tcPr>
            <w:tcW w:w="5670" w:type="dxa"/>
            <w:shd w:val="clear" w:color="auto" w:fill="auto"/>
            <w:noWrap/>
            <w:vAlign w:val="bottom"/>
            <w:hideMark/>
          </w:tcPr>
          <w:p w:rsidR="001449FD" w:rsidRPr="001E3529" w:rsidRDefault="001449FD" w:rsidP="001449FD">
            <w:pPr>
              <w:jc w:val="right"/>
              <w:rPr>
                <w:rFonts w:cs="Calibri"/>
                <w:lang w:eastAsia="en-GB"/>
              </w:rPr>
            </w:pPr>
          </w:p>
        </w:tc>
        <w:tc>
          <w:tcPr>
            <w:tcW w:w="1417" w:type="dxa"/>
            <w:gridSpan w:val="2"/>
            <w:tcBorders>
              <w:bottom w:val="single" w:sz="4" w:space="0" w:color="auto"/>
            </w:tcBorders>
            <w:shd w:val="clear" w:color="auto" w:fill="auto"/>
            <w:noWrap/>
            <w:vAlign w:val="bottom"/>
            <w:hideMark/>
          </w:tcPr>
          <w:p w:rsidR="001449FD" w:rsidRPr="001E3529" w:rsidRDefault="001449FD" w:rsidP="001449FD">
            <w:pPr>
              <w:jc w:val="right"/>
              <w:rPr>
                <w:rFonts w:cs="Calibri"/>
                <w:lang w:eastAsia="en-GB"/>
              </w:rPr>
            </w:pPr>
          </w:p>
        </w:tc>
      </w:tr>
      <w:tr w:rsidR="001449FD" w:rsidRPr="001E3529" w:rsidTr="001449FD">
        <w:trPr>
          <w:gridAfter w:val="1"/>
          <w:wAfter w:w="89" w:type="dxa"/>
          <w:trHeight w:hRule="exact" w:val="968"/>
        </w:trPr>
        <w:tc>
          <w:tcPr>
            <w:tcW w:w="1418" w:type="dxa"/>
            <w:tcBorders>
              <w:top w:val="single" w:sz="4" w:space="0" w:color="auto"/>
              <w:left w:val="single" w:sz="4" w:space="0" w:color="auto"/>
              <w:right w:val="single" w:sz="4" w:space="0" w:color="auto"/>
            </w:tcBorders>
            <w:shd w:val="clear" w:color="auto" w:fill="auto"/>
            <w:noWrap/>
            <w:vAlign w:val="bottom"/>
            <w:hideMark/>
          </w:tcPr>
          <w:p w:rsidR="001449FD" w:rsidRPr="001E3529" w:rsidRDefault="001449FD" w:rsidP="001449FD">
            <w:pPr>
              <w:jc w:val="right"/>
              <w:rPr>
                <w:rFonts w:cs="Calibri"/>
                <w:lang w:eastAsia="en-GB"/>
              </w:rPr>
            </w:pPr>
            <w:r w:rsidRPr="001E3529">
              <w:rPr>
                <w:rFonts w:cs="Calibri"/>
                <w:lang w:eastAsia="en-GB"/>
              </w:rPr>
              <w:t>105.3</w:t>
            </w:r>
          </w:p>
        </w:tc>
        <w:tc>
          <w:tcPr>
            <w:tcW w:w="5670" w:type="dxa"/>
            <w:tcBorders>
              <w:left w:val="single" w:sz="4" w:space="0" w:color="auto"/>
              <w:right w:val="single" w:sz="4" w:space="0" w:color="auto"/>
            </w:tcBorders>
            <w:shd w:val="clear" w:color="auto" w:fill="auto"/>
            <w:vAlign w:val="bottom"/>
            <w:hideMark/>
          </w:tcPr>
          <w:p w:rsidR="001449FD" w:rsidRPr="001E3529" w:rsidRDefault="001449FD" w:rsidP="001449FD">
            <w:pPr>
              <w:rPr>
                <w:rFonts w:cs="Calibri"/>
                <w:lang w:eastAsia="en-GB"/>
              </w:rPr>
            </w:pPr>
            <w:r w:rsidRPr="001E3529">
              <w:rPr>
                <w:rFonts w:cs="Calibri"/>
                <w:lang w:eastAsia="en-GB"/>
              </w:rPr>
              <w:t>Proceeds from short-term (not considered to be cash equivalents) and long-term investments (includes investments in associates, joint ventures and subsidiaries)</w:t>
            </w:r>
          </w:p>
        </w:tc>
        <w:tc>
          <w:tcPr>
            <w:tcW w:w="1417" w:type="dxa"/>
            <w:gridSpan w:val="2"/>
            <w:tcBorders>
              <w:top w:val="single" w:sz="4" w:space="0" w:color="auto"/>
              <w:left w:val="single" w:sz="4" w:space="0" w:color="auto"/>
              <w:right w:val="single" w:sz="4" w:space="0" w:color="auto"/>
            </w:tcBorders>
            <w:shd w:val="clear" w:color="auto" w:fill="auto"/>
            <w:noWrap/>
            <w:vAlign w:val="bottom"/>
          </w:tcPr>
          <w:p w:rsidR="001449FD" w:rsidRPr="001E3529" w:rsidRDefault="001449FD" w:rsidP="001449FD">
            <w:pPr>
              <w:jc w:val="right"/>
              <w:rPr>
                <w:rFonts w:cs="Calibri"/>
                <w:lang w:eastAsia="en-GB"/>
              </w:rPr>
            </w:pPr>
            <w:r w:rsidRPr="001E3529">
              <w:rPr>
                <w:rFonts w:cs="Calibri"/>
                <w:lang w:eastAsia="en-GB"/>
              </w:rPr>
              <w:t>0.0</w:t>
            </w:r>
          </w:p>
        </w:tc>
      </w:tr>
      <w:tr w:rsidR="001449FD" w:rsidRPr="001E3529" w:rsidTr="001449FD">
        <w:trPr>
          <w:gridAfter w:val="1"/>
          <w:wAfter w:w="89" w:type="dxa"/>
          <w:trHeight w:hRule="exact" w:val="284"/>
        </w:trPr>
        <w:tc>
          <w:tcPr>
            <w:tcW w:w="1418" w:type="dxa"/>
            <w:tcBorders>
              <w:left w:val="single" w:sz="4" w:space="0" w:color="auto"/>
              <w:right w:val="single" w:sz="4" w:space="0" w:color="auto"/>
            </w:tcBorders>
            <w:shd w:val="clear" w:color="auto" w:fill="auto"/>
            <w:noWrap/>
            <w:vAlign w:val="bottom"/>
            <w:hideMark/>
          </w:tcPr>
          <w:p w:rsidR="001449FD" w:rsidRPr="001E3529" w:rsidRDefault="001449FD" w:rsidP="001449FD">
            <w:pPr>
              <w:jc w:val="right"/>
              <w:rPr>
                <w:rFonts w:cs="Calibri"/>
                <w:lang w:eastAsia="en-GB"/>
              </w:rPr>
            </w:pPr>
          </w:p>
        </w:tc>
        <w:tc>
          <w:tcPr>
            <w:tcW w:w="5670" w:type="dxa"/>
            <w:tcBorders>
              <w:left w:val="single" w:sz="4" w:space="0" w:color="auto"/>
              <w:right w:val="single" w:sz="4" w:space="0" w:color="auto"/>
            </w:tcBorders>
            <w:shd w:val="clear" w:color="auto" w:fill="auto"/>
            <w:noWrap/>
            <w:vAlign w:val="bottom"/>
            <w:hideMark/>
          </w:tcPr>
          <w:p w:rsidR="001449FD" w:rsidRPr="001E3529" w:rsidRDefault="001449FD" w:rsidP="001449FD">
            <w:pPr>
              <w:rPr>
                <w:rFonts w:cs="Calibri"/>
                <w:lang w:eastAsia="en-GB"/>
              </w:rPr>
            </w:pPr>
          </w:p>
        </w:tc>
        <w:tc>
          <w:tcPr>
            <w:tcW w:w="1417" w:type="dxa"/>
            <w:gridSpan w:val="2"/>
            <w:tcBorders>
              <w:left w:val="single" w:sz="4" w:space="0" w:color="auto"/>
              <w:right w:val="single" w:sz="4" w:space="0" w:color="auto"/>
            </w:tcBorders>
            <w:shd w:val="clear" w:color="auto" w:fill="auto"/>
            <w:noWrap/>
            <w:vAlign w:val="bottom"/>
          </w:tcPr>
          <w:p w:rsidR="001449FD" w:rsidRPr="001E3529" w:rsidRDefault="001449FD" w:rsidP="001449FD">
            <w:pPr>
              <w:rPr>
                <w:rFonts w:cs="Calibri"/>
                <w:lang w:eastAsia="en-GB"/>
              </w:rPr>
            </w:pPr>
          </w:p>
        </w:tc>
      </w:tr>
      <w:tr w:rsidR="001449FD" w:rsidRPr="001E3529" w:rsidTr="001449FD">
        <w:trPr>
          <w:gridAfter w:val="1"/>
          <w:wAfter w:w="89" w:type="dxa"/>
          <w:trHeight w:hRule="exact" w:val="706"/>
        </w:trPr>
        <w:tc>
          <w:tcPr>
            <w:tcW w:w="1418" w:type="dxa"/>
            <w:tcBorders>
              <w:left w:val="single" w:sz="4" w:space="0" w:color="auto"/>
              <w:right w:val="single" w:sz="4" w:space="0" w:color="auto"/>
            </w:tcBorders>
            <w:shd w:val="clear" w:color="auto" w:fill="auto"/>
            <w:noWrap/>
            <w:vAlign w:val="bottom"/>
            <w:hideMark/>
          </w:tcPr>
          <w:p w:rsidR="001449FD" w:rsidRPr="001E3529" w:rsidRDefault="001449FD" w:rsidP="001449FD">
            <w:pPr>
              <w:jc w:val="right"/>
              <w:rPr>
                <w:rFonts w:cs="Calibri"/>
                <w:lang w:eastAsia="en-GB"/>
              </w:rPr>
            </w:pPr>
            <w:r w:rsidRPr="001E3529">
              <w:rPr>
                <w:rFonts w:cs="Calibri"/>
                <w:lang w:eastAsia="en-GB"/>
              </w:rPr>
              <w:t>(12.0)</w:t>
            </w:r>
          </w:p>
        </w:tc>
        <w:tc>
          <w:tcPr>
            <w:tcW w:w="5670" w:type="dxa"/>
            <w:tcBorders>
              <w:left w:val="single" w:sz="4" w:space="0" w:color="auto"/>
              <w:right w:val="single" w:sz="4" w:space="0" w:color="auto"/>
            </w:tcBorders>
            <w:shd w:val="clear" w:color="auto" w:fill="auto"/>
            <w:vAlign w:val="bottom"/>
            <w:hideMark/>
          </w:tcPr>
          <w:p w:rsidR="001449FD" w:rsidRPr="001E3529" w:rsidRDefault="001449FD" w:rsidP="001449FD">
            <w:pPr>
              <w:rPr>
                <w:rFonts w:cs="Calibri"/>
                <w:lang w:eastAsia="en-GB"/>
              </w:rPr>
            </w:pPr>
            <w:r w:rsidRPr="001E3529">
              <w:rPr>
                <w:rFonts w:cs="Calibri"/>
                <w:lang w:eastAsia="en-GB"/>
              </w:rPr>
              <w:t>Proceeds from the sale of property, plant and equipment, investment property and intangible assets</w:t>
            </w:r>
          </w:p>
        </w:tc>
        <w:tc>
          <w:tcPr>
            <w:tcW w:w="1417" w:type="dxa"/>
            <w:gridSpan w:val="2"/>
            <w:tcBorders>
              <w:left w:val="single" w:sz="4" w:space="0" w:color="auto"/>
              <w:right w:val="single" w:sz="4" w:space="0" w:color="auto"/>
            </w:tcBorders>
            <w:shd w:val="clear" w:color="auto" w:fill="auto"/>
            <w:noWrap/>
            <w:vAlign w:val="bottom"/>
          </w:tcPr>
          <w:p w:rsidR="001449FD" w:rsidRPr="001E3529" w:rsidRDefault="001449FD" w:rsidP="001449FD">
            <w:pPr>
              <w:jc w:val="right"/>
              <w:rPr>
                <w:rFonts w:cs="Calibri"/>
                <w:lang w:eastAsia="en-GB"/>
              </w:rPr>
            </w:pPr>
            <w:r w:rsidRPr="001E3529">
              <w:rPr>
                <w:rFonts w:cs="Calibri"/>
                <w:lang w:eastAsia="en-GB"/>
              </w:rPr>
              <w:t>(6.0)</w:t>
            </w:r>
          </w:p>
        </w:tc>
      </w:tr>
      <w:tr w:rsidR="001449FD" w:rsidRPr="001E3529" w:rsidTr="001449FD">
        <w:trPr>
          <w:gridAfter w:val="1"/>
          <w:wAfter w:w="89" w:type="dxa"/>
          <w:trHeight w:hRule="exact" w:val="284"/>
        </w:trPr>
        <w:tc>
          <w:tcPr>
            <w:tcW w:w="1418" w:type="dxa"/>
            <w:tcBorders>
              <w:left w:val="single" w:sz="4" w:space="0" w:color="auto"/>
              <w:right w:val="single" w:sz="4" w:space="0" w:color="auto"/>
            </w:tcBorders>
            <w:shd w:val="clear" w:color="auto" w:fill="auto"/>
            <w:noWrap/>
            <w:vAlign w:val="bottom"/>
            <w:hideMark/>
          </w:tcPr>
          <w:p w:rsidR="001449FD" w:rsidRPr="001E3529" w:rsidRDefault="001449FD" w:rsidP="001449FD">
            <w:pPr>
              <w:jc w:val="right"/>
              <w:rPr>
                <w:rFonts w:cs="Calibri"/>
                <w:lang w:eastAsia="en-GB"/>
              </w:rPr>
            </w:pPr>
          </w:p>
        </w:tc>
        <w:tc>
          <w:tcPr>
            <w:tcW w:w="5670" w:type="dxa"/>
            <w:tcBorders>
              <w:left w:val="single" w:sz="4" w:space="0" w:color="auto"/>
              <w:right w:val="single" w:sz="4" w:space="0" w:color="auto"/>
            </w:tcBorders>
            <w:shd w:val="clear" w:color="auto" w:fill="auto"/>
            <w:noWrap/>
            <w:vAlign w:val="bottom"/>
            <w:hideMark/>
          </w:tcPr>
          <w:p w:rsidR="001449FD" w:rsidRPr="001E3529" w:rsidRDefault="001449FD" w:rsidP="001449FD">
            <w:pPr>
              <w:rPr>
                <w:rFonts w:cs="Calibri"/>
                <w:lang w:eastAsia="en-GB"/>
              </w:rPr>
            </w:pPr>
          </w:p>
        </w:tc>
        <w:tc>
          <w:tcPr>
            <w:tcW w:w="1417" w:type="dxa"/>
            <w:gridSpan w:val="2"/>
            <w:tcBorders>
              <w:left w:val="single" w:sz="4" w:space="0" w:color="auto"/>
              <w:right w:val="single" w:sz="4" w:space="0" w:color="auto"/>
            </w:tcBorders>
            <w:shd w:val="clear" w:color="auto" w:fill="auto"/>
            <w:noWrap/>
            <w:vAlign w:val="bottom"/>
          </w:tcPr>
          <w:p w:rsidR="001449FD" w:rsidRPr="001E3529" w:rsidRDefault="001449FD" w:rsidP="001449FD">
            <w:pPr>
              <w:rPr>
                <w:rFonts w:cs="Calibri"/>
                <w:lang w:eastAsia="en-GB"/>
              </w:rPr>
            </w:pPr>
          </w:p>
        </w:tc>
      </w:tr>
      <w:tr w:rsidR="001449FD" w:rsidRPr="001E3529" w:rsidTr="001449FD">
        <w:trPr>
          <w:gridAfter w:val="1"/>
          <w:wAfter w:w="89" w:type="dxa"/>
          <w:trHeight w:hRule="exact" w:val="707"/>
        </w:trPr>
        <w:tc>
          <w:tcPr>
            <w:tcW w:w="1418" w:type="dxa"/>
            <w:tcBorders>
              <w:left w:val="single" w:sz="4" w:space="0" w:color="auto"/>
              <w:right w:val="single" w:sz="4" w:space="0" w:color="auto"/>
            </w:tcBorders>
            <w:shd w:val="clear" w:color="auto" w:fill="auto"/>
            <w:noWrap/>
            <w:vAlign w:val="bottom"/>
            <w:hideMark/>
          </w:tcPr>
          <w:p w:rsidR="001449FD" w:rsidRPr="001E3529" w:rsidRDefault="001449FD" w:rsidP="001449FD">
            <w:pPr>
              <w:jc w:val="right"/>
              <w:rPr>
                <w:rFonts w:cs="Calibri"/>
                <w:lang w:eastAsia="en-GB"/>
              </w:rPr>
            </w:pPr>
            <w:r w:rsidRPr="001E3529">
              <w:rPr>
                <w:rFonts w:cs="Calibri"/>
                <w:lang w:eastAsia="en-GB"/>
              </w:rPr>
              <w:t>(21.5)</w:t>
            </w:r>
          </w:p>
        </w:tc>
        <w:tc>
          <w:tcPr>
            <w:tcW w:w="5670" w:type="dxa"/>
            <w:tcBorders>
              <w:left w:val="single" w:sz="4" w:space="0" w:color="auto"/>
              <w:right w:val="single" w:sz="4" w:space="0" w:color="auto"/>
            </w:tcBorders>
            <w:shd w:val="clear" w:color="auto" w:fill="auto"/>
            <w:vAlign w:val="bottom"/>
            <w:hideMark/>
          </w:tcPr>
          <w:p w:rsidR="001449FD" w:rsidRPr="001E3529" w:rsidRDefault="001449FD" w:rsidP="001449FD">
            <w:pPr>
              <w:rPr>
                <w:rFonts w:cs="Calibri"/>
                <w:lang w:eastAsia="en-GB"/>
              </w:rPr>
            </w:pPr>
            <w:r w:rsidRPr="001E3529">
              <w:rPr>
                <w:rFonts w:cs="Calibri"/>
                <w:lang w:eastAsia="en-GB"/>
              </w:rPr>
              <w:t>Any other items for which the cash effects are investing or financing cash flows</w:t>
            </w:r>
          </w:p>
        </w:tc>
        <w:tc>
          <w:tcPr>
            <w:tcW w:w="1417" w:type="dxa"/>
            <w:gridSpan w:val="2"/>
            <w:tcBorders>
              <w:left w:val="single" w:sz="4" w:space="0" w:color="auto"/>
              <w:right w:val="single" w:sz="4" w:space="0" w:color="auto"/>
            </w:tcBorders>
            <w:shd w:val="clear" w:color="auto" w:fill="auto"/>
            <w:noWrap/>
            <w:vAlign w:val="bottom"/>
          </w:tcPr>
          <w:p w:rsidR="001449FD" w:rsidRPr="001E3529" w:rsidRDefault="001449FD" w:rsidP="001449FD">
            <w:pPr>
              <w:jc w:val="right"/>
              <w:rPr>
                <w:rFonts w:cs="Calibri"/>
                <w:lang w:eastAsia="en-GB"/>
              </w:rPr>
            </w:pPr>
            <w:r w:rsidRPr="001E3529">
              <w:rPr>
                <w:rFonts w:cs="Calibri"/>
                <w:lang w:eastAsia="en-GB"/>
              </w:rPr>
              <w:t>(72.0)</w:t>
            </w:r>
          </w:p>
        </w:tc>
      </w:tr>
      <w:tr w:rsidR="001449FD" w:rsidRPr="001E3529" w:rsidTr="001449FD">
        <w:trPr>
          <w:gridAfter w:val="1"/>
          <w:wAfter w:w="89" w:type="dxa"/>
          <w:trHeight w:hRule="exact" w:val="284"/>
        </w:trPr>
        <w:tc>
          <w:tcPr>
            <w:tcW w:w="1418" w:type="dxa"/>
            <w:tcBorders>
              <w:left w:val="single" w:sz="4" w:space="0" w:color="auto"/>
              <w:bottom w:val="single" w:sz="4" w:space="0" w:color="auto"/>
              <w:right w:val="single" w:sz="4" w:space="0" w:color="auto"/>
            </w:tcBorders>
            <w:shd w:val="clear" w:color="auto" w:fill="auto"/>
            <w:noWrap/>
            <w:vAlign w:val="bottom"/>
            <w:hideMark/>
          </w:tcPr>
          <w:p w:rsidR="001449FD" w:rsidRPr="001E3529" w:rsidRDefault="001449FD" w:rsidP="001449FD">
            <w:pPr>
              <w:jc w:val="right"/>
              <w:rPr>
                <w:rFonts w:cs="Calibri"/>
                <w:lang w:eastAsia="en-GB"/>
              </w:rPr>
            </w:pPr>
          </w:p>
        </w:tc>
        <w:tc>
          <w:tcPr>
            <w:tcW w:w="5670" w:type="dxa"/>
            <w:tcBorders>
              <w:left w:val="single" w:sz="4" w:space="0" w:color="auto"/>
              <w:right w:val="single" w:sz="4" w:space="0" w:color="auto"/>
            </w:tcBorders>
            <w:shd w:val="clear" w:color="auto" w:fill="auto"/>
            <w:noWrap/>
            <w:vAlign w:val="bottom"/>
            <w:hideMark/>
          </w:tcPr>
          <w:p w:rsidR="001449FD" w:rsidRPr="001E3529" w:rsidRDefault="001449FD" w:rsidP="001449FD">
            <w:pPr>
              <w:rPr>
                <w:rFonts w:cs="Calibri"/>
                <w:lang w:eastAsia="en-GB"/>
              </w:rPr>
            </w:pPr>
          </w:p>
        </w:tc>
        <w:tc>
          <w:tcPr>
            <w:tcW w:w="1417" w:type="dxa"/>
            <w:gridSpan w:val="2"/>
            <w:tcBorders>
              <w:left w:val="single" w:sz="4" w:space="0" w:color="auto"/>
              <w:bottom w:val="single" w:sz="4" w:space="0" w:color="auto"/>
              <w:right w:val="single" w:sz="4" w:space="0" w:color="auto"/>
            </w:tcBorders>
            <w:shd w:val="clear" w:color="auto" w:fill="auto"/>
            <w:noWrap/>
            <w:vAlign w:val="bottom"/>
          </w:tcPr>
          <w:p w:rsidR="001449FD" w:rsidRPr="001E3529" w:rsidRDefault="001449FD" w:rsidP="001449FD">
            <w:pPr>
              <w:rPr>
                <w:rFonts w:cs="Calibri"/>
                <w:lang w:eastAsia="en-GB"/>
              </w:rPr>
            </w:pPr>
          </w:p>
        </w:tc>
      </w:tr>
      <w:tr w:rsidR="001449FD" w:rsidRPr="001E3529" w:rsidTr="001449FD">
        <w:trPr>
          <w:gridAfter w:val="1"/>
          <w:wAfter w:w="89" w:type="dxa"/>
          <w:trHeight w:hRule="exact" w:val="284"/>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49FD" w:rsidRPr="001E3529" w:rsidRDefault="001449FD" w:rsidP="001449FD">
            <w:pPr>
              <w:jc w:val="right"/>
              <w:rPr>
                <w:rFonts w:cs="Calibri"/>
                <w:b/>
                <w:lang w:eastAsia="en-GB"/>
              </w:rPr>
            </w:pPr>
            <w:r w:rsidRPr="001E3529">
              <w:rPr>
                <w:rFonts w:cs="Calibri"/>
                <w:b/>
                <w:lang w:eastAsia="en-GB"/>
              </w:rPr>
              <w:t>71.9</w:t>
            </w:r>
          </w:p>
        </w:tc>
        <w:tc>
          <w:tcPr>
            <w:tcW w:w="5670" w:type="dxa"/>
            <w:tcBorders>
              <w:left w:val="single" w:sz="4" w:space="0" w:color="auto"/>
              <w:right w:val="single" w:sz="4" w:space="0" w:color="auto"/>
            </w:tcBorders>
            <w:shd w:val="clear" w:color="auto" w:fill="auto"/>
            <w:noWrap/>
            <w:vAlign w:val="bottom"/>
            <w:hideMark/>
          </w:tcPr>
          <w:p w:rsidR="001449FD" w:rsidRPr="001E3529" w:rsidRDefault="001449FD" w:rsidP="001449FD">
            <w:pPr>
              <w:jc w:val="right"/>
              <w:rPr>
                <w:rFonts w:cs="Calibri"/>
                <w:b/>
                <w:lang w:eastAsia="en-GB"/>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1449FD" w:rsidRPr="001E3529" w:rsidRDefault="001449FD" w:rsidP="001449FD">
            <w:pPr>
              <w:jc w:val="right"/>
              <w:rPr>
                <w:rFonts w:cs="Calibri"/>
                <w:b/>
                <w:lang w:eastAsia="en-GB"/>
              </w:rPr>
            </w:pPr>
            <w:r w:rsidRPr="001E3529">
              <w:rPr>
                <w:rFonts w:cs="Calibri"/>
                <w:b/>
                <w:lang w:eastAsia="en-GB"/>
              </w:rPr>
              <w:t>(78.0)</w:t>
            </w:r>
          </w:p>
        </w:tc>
      </w:tr>
    </w:tbl>
    <w:p w:rsidR="00F72906" w:rsidRDefault="00F72906" w:rsidP="00F72906"/>
    <w:p w:rsidR="00F72906" w:rsidRDefault="00F72906" w:rsidP="001449FD">
      <w:r>
        <w:t> </w:t>
      </w:r>
    </w:p>
    <w:p w:rsidR="00F72906" w:rsidRDefault="00F72906" w:rsidP="001449FD">
      <w:pPr>
        <w:pStyle w:val="Heading3"/>
      </w:pPr>
      <w:r>
        <w:t>Note 5 – Cash Flow Statement - Investing Activities</w:t>
      </w:r>
    </w:p>
    <w:tbl>
      <w:tblPr>
        <w:tblW w:w="8503" w:type="dxa"/>
        <w:tblInd w:w="108" w:type="dxa"/>
        <w:tblLook w:val="00A0" w:firstRow="1" w:lastRow="0" w:firstColumn="1" w:lastColumn="0" w:noHBand="0" w:noVBand="0"/>
      </w:tblPr>
      <w:tblGrid>
        <w:gridCol w:w="1417"/>
        <w:gridCol w:w="5669"/>
        <w:gridCol w:w="1417"/>
      </w:tblGrid>
      <w:tr w:rsidR="001449FD" w:rsidRPr="001E3529" w:rsidTr="001449FD">
        <w:trPr>
          <w:trHeight w:val="300"/>
        </w:trPr>
        <w:tc>
          <w:tcPr>
            <w:tcW w:w="1417" w:type="dxa"/>
            <w:tcBorders>
              <w:top w:val="nil"/>
              <w:left w:val="nil"/>
              <w:bottom w:val="nil"/>
              <w:right w:val="nil"/>
            </w:tcBorders>
            <w:noWrap/>
          </w:tcPr>
          <w:p w:rsidR="001449FD" w:rsidRPr="001E3529" w:rsidRDefault="001449FD" w:rsidP="001449FD">
            <w:pPr>
              <w:jc w:val="center"/>
              <w:rPr>
                <w:rFonts w:cs="Calibri"/>
                <w:b/>
                <w:bCs/>
              </w:rPr>
            </w:pPr>
            <w:r w:rsidRPr="001E3529">
              <w:rPr>
                <w:rFonts w:cs="Calibri"/>
                <w:b/>
                <w:bCs/>
              </w:rPr>
              <w:t>2018/19</w:t>
            </w:r>
          </w:p>
        </w:tc>
        <w:tc>
          <w:tcPr>
            <w:tcW w:w="5669" w:type="dxa"/>
            <w:tcBorders>
              <w:top w:val="nil"/>
              <w:left w:val="nil"/>
              <w:bottom w:val="nil"/>
              <w:right w:val="nil"/>
            </w:tcBorders>
            <w:vAlign w:val="bottom"/>
          </w:tcPr>
          <w:p w:rsidR="001449FD" w:rsidRPr="001E3529" w:rsidRDefault="001449FD" w:rsidP="001449FD">
            <w:pPr>
              <w:jc w:val="right"/>
              <w:rPr>
                <w:rFonts w:cs="Calibri"/>
                <w:b/>
                <w:bCs/>
              </w:rPr>
            </w:pPr>
          </w:p>
        </w:tc>
        <w:tc>
          <w:tcPr>
            <w:tcW w:w="1417" w:type="dxa"/>
            <w:tcBorders>
              <w:top w:val="nil"/>
              <w:left w:val="nil"/>
              <w:bottom w:val="nil"/>
              <w:right w:val="nil"/>
            </w:tcBorders>
            <w:noWrap/>
            <w:vAlign w:val="bottom"/>
          </w:tcPr>
          <w:p w:rsidR="001449FD" w:rsidRPr="001E3529" w:rsidRDefault="001449FD" w:rsidP="001449FD">
            <w:pPr>
              <w:jc w:val="center"/>
              <w:rPr>
                <w:rFonts w:cs="Calibri"/>
                <w:b/>
                <w:bCs/>
              </w:rPr>
            </w:pPr>
            <w:r w:rsidRPr="001E3529">
              <w:rPr>
                <w:rFonts w:cs="Calibri"/>
                <w:b/>
                <w:bCs/>
              </w:rPr>
              <w:t>2019/20</w:t>
            </w:r>
          </w:p>
        </w:tc>
      </w:tr>
      <w:tr w:rsidR="001449FD" w:rsidRPr="001E3529" w:rsidTr="001449FD">
        <w:trPr>
          <w:trHeight w:val="300"/>
        </w:trPr>
        <w:tc>
          <w:tcPr>
            <w:tcW w:w="1417" w:type="dxa"/>
            <w:tcBorders>
              <w:top w:val="nil"/>
              <w:left w:val="nil"/>
              <w:bottom w:val="single" w:sz="4" w:space="0" w:color="auto"/>
              <w:right w:val="nil"/>
            </w:tcBorders>
            <w:noWrap/>
          </w:tcPr>
          <w:p w:rsidR="001449FD" w:rsidRPr="001E3529" w:rsidRDefault="001449FD" w:rsidP="001449FD">
            <w:pPr>
              <w:jc w:val="center"/>
              <w:rPr>
                <w:rFonts w:cs="Calibri"/>
                <w:b/>
                <w:bCs/>
              </w:rPr>
            </w:pPr>
            <w:r w:rsidRPr="001E3529">
              <w:rPr>
                <w:rFonts w:cs="Calibri"/>
                <w:b/>
                <w:bCs/>
              </w:rPr>
              <w:t>£m</w:t>
            </w:r>
          </w:p>
        </w:tc>
        <w:tc>
          <w:tcPr>
            <w:tcW w:w="5669" w:type="dxa"/>
            <w:tcBorders>
              <w:top w:val="nil"/>
              <w:left w:val="nil"/>
              <w:bottom w:val="nil"/>
              <w:right w:val="nil"/>
            </w:tcBorders>
            <w:vAlign w:val="bottom"/>
          </w:tcPr>
          <w:p w:rsidR="001449FD" w:rsidRPr="001E3529" w:rsidRDefault="001449FD" w:rsidP="001449FD">
            <w:pPr>
              <w:jc w:val="right"/>
              <w:rPr>
                <w:rFonts w:cs="Calibri"/>
                <w:b/>
                <w:bCs/>
              </w:rPr>
            </w:pPr>
          </w:p>
        </w:tc>
        <w:tc>
          <w:tcPr>
            <w:tcW w:w="1417" w:type="dxa"/>
            <w:tcBorders>
              <w:top w:val="nil"/>
              <w:left w:val="nil"/>
              <w:bottom w:val="single" w:sz="4" w:space="0" w:color="auto"/>
              <w:right w:val="nil"/>
            </w:tcBorders>
            <w:noWrap/>
            <w:vAlign w:val="bottom"/>
          </w:tcPr>
          <w:p w:rsidR="001449FD" w:rsidRPr="001E3529" w:rsidRDefault="001449FD" w:rsidP="001449FD">
            <w:pPr>
              <w:jc w:val="center"/>
              <w:rPr>
                <w:rFonts w:cs="Calibri"/>
                <w:b/>
                <w:bCs/>
              </w:rPr>
            </w:pPr>
            <w:r w:rsidRPr="001E3529">
              <w:rPr>
                <w:rFonts w:cs="Calibri"/>
                <w:b/>
                <w:bCs/>
              </w:rPr>
              <w:t>£m</w:t>
            </w:r>
          </w:p>
        </w:tc>
      </w:tr>
      <w:tr w:rsidR="001449FD" w:rsidRPr="001E3529" w:rsidTr="001449FD">
        <w:trPr>
          <w:trHeight w:val="301"/>
        </w:trPr>
        <w:tc>
          <w:tcPr>
            <w:tcW w:w="1417" w:type="dxa"/>
            <w:tcBorders>
              <w:top w:val="single" w:sz="4" w:space="0" w:color="auto"/>
              <w:left w:val="single" w:sz="4" w:space="0" w:color="auto"/>
              <w:bottom w:val="nil"/>
              <w:right w:val="single" w:sz="4" w:space="0" w:color="auto"/>
            </w:tcBorders>
            <w:noWrap/>
          </w:tcPr>
          <w:p w:rsidR="001449FD" w:rsidRPr="001E3529" w:rsidRDefault="001449FD" w:rsidP="001449FD">
            <w:pPr>
              <w:jc w:val="right"/>
              <w:rPr>
                <w:rFonts w:cs="Calibri"/>
                <w:bCs/>
              </w:rPr>
            </w:pPr>
            <w:r w:rsidRPr="001E3529">
              <w:rPr>
                <w:rFonts w:cs="Calibri"/>
                <w:bCs/>
              </w:rPr>
              <w:t>(101.6)</w:t>
            </w:r>
          </w:p>
        </w:tc>
        <w:tc>
          <w:tcPr>
            <w:tcW w:w="5669" w:type="dxa"/>
            <w:tcBorders>
              <w:top w:val="nil"/>
              <w:left w:val="nil"/>
              <w:bottom w:val="nil"/>
              <w:right w:val="nil"/>
            </w:tcBorders>
            <w:vAlign w:val="bottom"/>
          </w:tcPr>
          <w:p w:rsidR="001449FD" w:rsidRPr="001E3529" w:rsidRDefault="001449FD" w:rsidP="001449FD">
            <w:pPr>
              <w:rPr>
                <w:rFonts w:cs="Calibri"/>
              </w:rPr>
            </w:pPr>
            <w:r w:rsidRPr="001E3529">
              <w:rPr>
                <w:rFonts w:cs="Calibri"/>
              </w:rPr>
              <w:t>Purchase of property, plant and equipment, investment property and intangible assets</w:t>
            </w:r>
          </w:p>
        </w:tc>
        <w:tc>
          <w:tcPr>
            <w:tcW w:w="1417" w:type="dxa"/>
            <w:tcBorders>
              <w:top w:val="single" w:sz="4" w:space="0" w:color="auto"/>
              <w:left w:val="single" w:sz="4" w:space="0" w:color="auto"/>
              <w:bottom w:val="nil"/>
              <w:right w:val="single" w:sz="4" w:space="0" w:color="auto"/>
            </w:tcBorders>
            <w:noWrap/>
          </w:tcPr>
          <w:p w:rsidR="001449FD" w:rsidRPr="001E3529" w:rsidRDefault="001449FD" w:rsidP="001449FD">
            <w:pPr>
              <w:jc w:val="right"/>
              <w:rPr>
                <w:rFonts w:cs="Calibri"/>
              </w:rPr>
            </w:pPr>
            <w:r w:rsidRPr="001E3529">
              <w:rPr>
                <w:rFonts w:cs="Calibri"/>
              </w:rPr>
              <w:t>(166.7)</w:t>
            </w:r>
          </w:p>
        </w:tc>
      </w:tr>
      <w:tr w:rsidR="001449FD" w:rsidRPr="001E3529" w:rsidTr="001449FD">
        <w:trPr>
          <w:trHeight w:val="319"/>
        </w:trPr>
        <w:tc>
          <w:tcPr>
            <w:tcW w:w="1417" w:type="dxa"/>
            <w:tcBorders>
              <w:top w:val="nil"/>
              <w:left w:val="single" w:sz="4" w:space="0" w:color="auto"/>
              <w:bottom w:val="nil"/>
              <w:right w:val="single" w:sz="4" w:space="0" w:color="auto"/>
            </w:tcBorders>
            <w:noWrap/>
          </w:tcPr>
          <w:p w:rsidR="001449FD" w:rsidRPr="001E3529" w:rsidRDefault="001449FD" w:rsidP="001449FD">
            <w:pPr>
              <w:jc w:val="right"/>
              <w:rPr>
                <w:rFonts w:cs="Calibri"/>
                <w:bCs/>
              </w:rPr>
            </w:pPr>
            <w:r w:rsidRPr="001E3529">
              <w:rPr>
                <w:rFonts w:cs="Calibri"/>
                <w:bCs/>
              </w:rPr>
              <w:lastRenderedPageBreak/>
              <w:t>(0.0)</w:t>
            </w:r>
          </w:p>
        </w:tc>
        <w:tc>
          <w:tcPr>
            <w:tcW w:w="5669" w:type="dxa"/>
            <w:tcBorders>
              <w:top w:val="nil"/>
              <w:left w:val="nil"/>
              <w:bottom w:val="nil"/>
              <w:right w:val="nil"/>
            </w:tcBorders>
            <w:vAlign w:val="bottom"/>
          </w:tcPr>
          <w:p w:rsidR="001449FD" w:rsidRPr="001E3529" w:rsidRDefault="001449FD" w:rsidP="001449FD">
            <w:pPr>
              <w:rPr>
                <w:rFonts w:cs="Calibri"/>
              </w:rPr>
            </w:pPr>
            <w:r w:rsidRPr="001E3529">
              <w:rPr>
                <w:rFonts w:cs="Calibri"/>
              </w:rPr>
              <w:t>Purchase of short-term and long-term investments</w:t>
            </w:r>
          </w:p>
        </w:tc>
        <w:tc>
          <w:tcPr>
            <w:tcW w:w="1417" w:type="dxa"/>
            <w:tcBorders>
              <w:top w:val="nil"/>
              <w:left w:val="single" w:sz="4" w:space="0" w:color="auto"/>
              <w:bottom w:val="nil"/>
              <w:right w:val="single" w:sz="4" w:space="0" w:color="auto"/>
            </w:tcBorders>
            <w:noWrap/>
          </w:tcPr>
          <w:p w:rsidR="001449FD" w:rsidRPr="001E3529" w:rsidRDefault="001449FD" w:rsidP="001449FD">
            <w:pPr>
              <w:jc w:val="right"/>
              <w:rPr>
                <w:rFonts w:cs="Calibri"/>
              </w:rPr>
            </w:pPr>
            <w:r>
              <w:rPr>
                <w:rFonts w:cs="Calibri"/>
              </w:rPr>
              <w:t>(40.1</w:t>
            </w:r>
            <w:r w:rsidRPr="001E3529">
              <w:rPr>
                <w:rFonts w:cs="Calibri"/>
              </w:rPr>
              <w:t>)</w:t>
            </w:r>
          </w:p>
        </w:tc>
      </w:tr>
      <w:tr w:rsidR="001449FD" w:rsidRPr="001E3529" w:rsidTr="001449FD">
        <w:trPr>
          <w:trHeight w:val="319"/>
        </w:trPr>
        <w:tc>
          <w:tcPr>
            <w:tcW w:w="1417" w:type="dxa"/>
            <w:tcBorders>
              <w:top w:val="nil"/>
              <w:left w:val="single" w:sz="4" w:space="0" w:color="auto"/>
              <w:bottom w:val="nil"/>
              <w:right w:val="single" w:sz="4" w:space="0" w:color="auto"/>
            </w:tcBorders>
            <w:noWrap/>
          </w:tcPr>
          <w:p w:rsidR="001449FD" w:rsidRPr="001E3529" w:rsidRDefault="001449FD" w:rsidP="001449FD">
            <w:pPr>
              <w:jc w:val="right"/>
              <w:rPr>
                <w:rFonts w:cs="Calibri"/>
                <w:bCs/>
              </w:rPr>
            </w:pPr>
            <w:r w:rsidRPr="001E3529">
              <w:rPr>
                <w:rFonts w:cs="Calibri"/>
                <w:bCs/>
              </w:rPr>
              <w:t>(32.7)</w:t>
            </w:r>
          </w:p>
        </w:tc>
        <w:tc>
          <w:tcPr>
            <w:tcW w:w="5669" w:type="dxa"/>
            <w:tcBorders>
              <w:top w:val="nil"/>
              <w:left w:val="nil"/>
              <w:bottom w:val="nil"/>
              <w:right w:val="nil"/>
            </w:tcBorders>
            <w:vAlign w:val="bottom"/>
          </w:tcPr>
          <w:p w:rsidR="001449FD" w:rsidRPr="001E3529" w:rsidRDefault="001449FD" w:rsidP="001449FD">
            <w:pPr>
              <w:rPr>
                <w:rFonts w:cs="Calibri"/>
              </w:rPr>
            </w:pPr>
            <w:r w:rsidRPr="001E3529">
              <w:rPr>
                <w:rFonts w:cs="Calibri"/>
              </w:rPr>
              <w:t>Other payments for investing activities</w:t>
            </w:r>
          </w:p>
        </w:tc>
        <w:tc>
          <w:tcPr>
            <w:tcW w:w="1417" w:type="dxa"/>
            <w:tcBorders>
              <w:top w:val="nil"/>
              <w:left w:val="single" w:sz="4" w:space="0" w:color="auto"/>
              <w:bottom w:val="nil"/>
              <w:right w:val="single" w:sz="4" w:space="0" w:color="auto"/>
            </w:tcBorders>
            <w:noWrap/>
          </w:tcPr>
          <w:p w:rsidR="001449FD" w:rsidRPr="001E3529" w:rsidRDefault="001449FD" w:rsidP="001449FD">
            <w:pPr>
              <w:jc w:val="right"/>
              <w:rPr>
                <w:rFonts w:cs="Calibri"/>
              </w:rPr>
            </w:pPr>
            <w:r w:rsidRPr="001E3529">
              <w:rPr>
                <w:rFonts w:cs="Calibri"/>
              </w:rPr>
              <w:t>0.0</w:t>
            </w:r>
          </w:p>
        </w:tc>
      </w:tr>
      <w:tr w:rsidR="001449FD" w:rsidRPr="001E3529" w:rsidTr="001449FD">
        <w:trPr>
          <w:trHeight w:val="355"/>
        </w:trPr>
        <w:tc>
          <w:tcPr>
            <w:tcW w:w="1417" w:type="dxa"/>
            <w:tcBorders>
              <w:top w:val="nil"/>
              <w:left w:val="single" w:sz="4" w:space="0" w:color="auto"/>
              <w:right w:val="single" w:sz="4" w:space="0" w:color="auto"/>
            </w:tcBorders>
            <w:noWrap/>
          </w:tcPr>
          <w:p w:rsidR="001449FD" w:rsidRPr="001E3529" w:rsidRDefault="001449FD" w:rsidP="001449FD">
            <w:pPr>
              <w:jc w:val="right"/>
              <w:rPr>
                <w:rFonts w:cs="Calibri"/>
                <w:bCs/>
              </w:rPr>
            </w:pPr>
            <w:r w:rsidRPr="001E3529">
              <w:rPr>
                <w:rFonts w:cs="Calibri"/>
                <w:bCs/>
              </w:rPr>
              <w:t>12.0</w:t>
            </w:r>
          </w:p>
        </w:tc>
        <w:tc>
          <w:tcPr>
            <w:tcW w:w="5669" w:type="dxa"/>
            <w:tcBorders>
              <w:top w:val="nil"/>
              <w:left w:val="nil"/>
              <w:bottom w:val="nil"/>
              <w:right w:val="nil"/>
            </w:tcBorders>
            <w:vAlign w:val="bottom"/>
          </w:tcPr>
          <w:p w:rsidR="001449FD" w:rsidRPr="001E3529" w:rsidRDefault="001449FD" w:rsidP="001449FD">
            <w:pPr>
              <w:rPr>
                <w:rFonts w:cs="Calibri"/>
              </w:rPr>
            </w:pPr>
            <w:r w:rsidRPr="001E3529">
              <w:rPr>
                <w:rFonts w:cs="Calibri"/>
              </w:rPr>
              <w:t>Proceeds from the sale of property, plant and equipment, investment property and intangible assets</w:t>
            </w:r>
          </w:p>
        </w:tc>
        <w:tc>
          <w:tcPr>
            <w:tcW w:w="1417" w:type="dxa"/>
            <w:tcBorders>
              <w:top w:val="nil"/>
              <w:left w:val="single" w:sz="4" w:space="0" w:color="auto"/>
              <w:right w:val="single" w:sz="4" w:space="0" w:color="auto"/>
            </w:tcBorders>
            <w:noWrap/>
          </w:tcPr>
          <w:p w:rsidR="001449FD" w:rsidRPr="001E3529" w:rsidRDefault="001449FD" w:rsidP="001449FD">
            <w:pPr>
              <w:jc w:val="right"/>
              <w:rPr>
                <w:rFonts w:cs="Calibri"/>
              </w:rPr>
            </w:pPr>
            <w:r w:rsidRPr="001E3529">
              <w:rPr>
                <w:rFonts w:cs="Calibri"/>
              </w:rPr>
              <w:t>6.0</w:t>
            </w:r>
          </w:p>
        </w:tc>
      </w:tr>
      <w:tr w:rsidR="001449FD" w:rsidRPr="001E3529" w:rsidTr="001449FD">
        <w:trPr>
          <w:trHeight w:val="300"/>
        </w:trPr>
        <w:tc>
          <w:tcPr>
            <w:tcW w:w="1417" w:type="dxa"/>
            <w:tcBorders>
              <w:top w:val="nil"/>
              <w:left w:val="single" w:sz="4" w:space="0" w:color="auto"/>
              <w:right w:val="single" w:sz="4" w:space="0" w:color="auto"/>
            </w:tcBorders>
            <w:noWrap/>
            <w:vAlign w:val="bottom"/>
          </w:tcPr>
          <w:p w:rsidR="001449FD" w:rsidRPr="001E3529" w:rsidRDefault="001449FD" w:rsidP="001449FD">
            <w:pPr>
              <w:jc w:val="right"/>
              <w:rPr>
                <w:rFonts w:cs="Calibri"/>
                <w:bCs/>
              </w:rPr>
            </w:pPr>
            <w:r>
              <w:rPr>
                <w:rFonts w:cs="Calibri"/>
                <w:bCs/>
              </w:rPr>
              <w:t>0.0</w:t>
            </w:r>
          </w:p>
        </w:tc>
        <w:tc>
          <w:tcPr>
            <w:tcW w:w="5669" w:type="dxa"/>
            <w:tcBorders>
              <w:top w:val="nil"/>
              <w:left w:val="single" w:sz="4" w:space="0" w:color="auto"/>
              <w:bottom w:val="nil"/>
              <w:right w:val="single" w:sz="4" w:space="0" w:color="auto"/>
            </w:tcBorders>
            <w:vAlign w:val="bottom"/>
          </w:tcPr>
          <w:p w:rsidR="001449FD" w:rsidRPr="001E3529" w:rsidRDefault="001449FD" w:rsidP="001449FD">
            <w:pPr>
              <w:rPr>
                <w:rFonts w:cs="Calibri"/>
              </w:rPr>
            </w:pPr>
            <w:r>
              <w:rPr>
                <w:rFonts w:cs="Calibri"/>
              </w:rPr>
              <w:t>Proceeds of sale of short and long term investments</w:t>
            </w:r>
          </w:p>
        </w:tc>
        <w:tc>
          <w:tcPr>
            <w:tcW w:w="1417" w:type="dxa"/>
            <w:tcBorders>
              <w:top w:val="nil"/>
              <w:left w:val="single" w:sz="4" w:space="0" w:color="auto"/>
              <w:right w:val="single" w:sz="4" w:space="0" w:color="auto"/>
            </w:tcBorders>
            <w:noWrap/>
            <w:vAlign w:val="bottom"/>
          </w:tcPr>
          <w:p w:rsidR="001449FD" w:rsidRDefault="001449FD" w:rsidP="001449FD">
            <w:pPr>
              <w:jc w:val="right"/>
              <w:rPr>
                <w:rFonts w:cs="Calibri"/>
              </w:rPr>
            </w:pPr>
            <w:r>
              <w:rPr>
                <w:rFonts w:cs="Calibri"/>
              </w:rPr>
              <w:t>61.0</w:t>
            </w:r>
          </w:p>
        </w:tc>
      </w:tr>
      <w:tr w:rsidR="001449FD" w:rsidRPr="001E3529" w:rsidTr="001449FD">
        <w:trPr>
          <w:trHeight w:val="300"/>
        </w:trPr>
        <w:tc>
          <w:tcPr>
            <w:tcW w:w="1417" w:type="dxa"/>
            <w:tcBorders>
              <w:left w:val="single" w:sz="4" w:space="0" w:color="auto"/>
              <w:bottom w:val="single" w:sz="4" w:space="0" w:color="auto"/>
              <w:right w:val="single" w:sz="4" w:space="0" w:color="auto"/>
            </w:tcBorders>
            <w:noWrap/>
            <w:vAlign w:val="bottom"/>
          </w:tcPr>
          <w:p w:rsidR="001449FD" w:rsidRPr="001E3529" w:rsidRDefault="001449FD" w:rsidP="001449FD">
            <w:pPr>
              <w:jc w:val="right"/>
              <w:rPr>
                <w:rFonts w:cs="Calibri"/>
                <w:bCs/>
              </w:rPr>
            </w:pPr>
            <w:r w:rsidRPr="001E3529">
              <w:rPr>
                <w:rFonts w:cs="Calibri"/>
                <w:bCs/>
              </w:rPr>
              <w:t>25.0</w:t>
            </w:r>
          </w:p>
        </w:tc>
        <w:tc>
          <w:tcPr>
            <w:tcW w:w="5669" w:type="dxa"/>
            <w:tcBorders>
              <w:top w:val="nil"/>
              <w:left w:val="nil"/>
              <w:bottom w:val="nil"/>
              <w:right w:val="nil"/>
            </w:tcBorders>
            <w:vAlign w:val="bottom"/>
          </w:tcPr>
          <w:p w:rsidR="001449FD" w:rsidRPr="001E3529" w:rsidRDefault="001449FD" w:rsidP="001449FD">
            <w:pPr>
              <w:rPr>
                <w:rFonts w:cs="Calibri"/>
              </w:rPr>
            </w:pPr>
            <w:r w:rsidRPr="001E3529">
              <w:rPr>
                <w:rFonts w:cs="Calibri"/>
              </w:rPr>
              <w:t>Other receipts from investing activities</w:t>
            </w:r>
          </w:p>
        </w:tc>
        <w:tc>
          <w:tcPr>
            <w:tcW w:w="1417" w:type="dxa"/>
            <w:tcBorders>
              <w:left w:val="single" w:sz="4" w:space="0" w:color="auto"/>
              <w:bottom w:val="single" w:sz="4" w:space="0" w:color="auto"/>
              <w:right w:val="single" w:sz="4" w:space="0" w:color="auto"/>
            </w:tcBorders>
            <w:noWrap/>
            <w:vAlign w:val="bottom"/>
          </w:tcPr>
          <w:p w:rsidR="001449FD" w:rsidRPr="001E3529" w:rsidRDefault="001449FD" w:rsidP="001449FD">
            <w:pPr>
              <w:jc w:val="right"/>
              <w:rPr>
                <w:rFonts w:cs="Calibri"/>
              </w:rPr>
            </w:pPr>
            <w:r>
              <w:rPr>
                <w:rFonts w:cs="Calibri"/>
              </w:rPr>
              <w:t>72</w:t>
            </w:r>
            <w:r w:rsidRPr="001E3529">
              <w:rPr>
                <w:rFonts w:cs="Calibri"/>
              </w:rPr>
              <w:t>.0</w:t>
            </w:r>
          </w:p>
        </w:tc>
      </w:tr>
      <w:tr w:rsidR="001449FD" w:rsidRPr="001E3529" w:rsidTr="001449FD">
        <w:trPr>
          <w:trHeight w:val="315"/>
        </w:trPr>
        <w:tc>
          <w:tcPr>
            <w:tcW w:w="1417" w:type="dxa"/>
            <w:tcBorders>
              <w:top w:val="single" w:sz="4" w:space="0" w:color="auto"/>
              <w:left w:val="single" w:sz="4" w:space="0" w:color="auto"/>
              <w:bottom w:val="single" w:sz="4" w:space="0" w:color="auto"/>
              <w:right w:val="single" w:sz="4" w:space="0" w:color="auto"/>
            </w:tcBorders>
            <w:noWrap/>
            <w:vAlign w:val="bottom"/>
          </w:tcPr>
          <w:p w:rsidR="001449FD" w:rsidRPr="001E3529" w:rsidRDefault="001449FD" w:rsidP="001449FD">
            <w:pPr>
              <w:jc w:val="right"/>
              <w:rPr>
                <w:rFonts w:cs="Calibri"/>
                <w:b/>
                <w:bCs/>
              </w:rPr>
            </w:pPr>
            <w:r w:rsidRPr="001E3529">
              <w:rPr>
                <w:rFonts w:cs="Calibri"/>
                <w:b/>
                <w:bCs/>
              </w:rPr>
              <w:t>(97.3)</w:t>
            </w:r>
          </w:p>
        </w:tc>
        <w:tc>
          <w:tcPr>
            <w:tcW w:w="5669" w:type="dxa"/>
            <w:tcBorders>
              <w:top w:val="nil"/>
              <w:left w:val="nil"/>
              <w:bottom w:val="nil"/>
              <w:right w:val="nil"/>
            </w:tcBorders>
            <w:vAlign w:val="bottom"/>
          </w:tcPr>
          <w:p w:rsidR="001449FD" w:rsidRPr="001E3529" w:rsidRDefault="001449FD" w:rsidP="001449FD">
            <w:pPr>
              <w:rPr>
                <w:rFonts w:cs="Calibri"/>
                <w:b/>
                <w:bCs/>
              </w:rPr>
            </w:pPr>
            <w:r w:rsidRPr="001E3529">
              <w:rPr>
                <w:rFonts w:cs="Calibri"/>
                <w:b/>
                <w:bCs/>
              </w:rPr>
              <w:t>Net cash flows from investing activities</w:t>
            </w:r>
          </w:p>
        </w:tc>
        <w:tc>
          <w:tcPr>
            <w:tcW w:w="1417" w:type="dxa"/>
            <w:tcBorders>
              <w:top w:val="single" w:sz="4" w:space="0" w:color="auto"/>
              <w:left w:val="single" w:sz="4" w:space="0" w:color="auto"/>
              <w:bottom w:val="single" w:sz="4" w:space="0" w:color="auto"/>
              <w:right w:val="single" w:sz="4" w:space="0" w:color="auto"/>
            </w:tcBorders>
            <w:noWrap/>
            <w:vAlign w:val="bottom"/>
          </w:tcPr>
          <w:p w:rsidR="001449FD" w:rsidRPr="001E3529" w:rsidRDefault="001449FD" w:rsidP="001449FD">
            <w:pPr>
              <w:jc w:val="right"/>
              <w:rPr>
                <w:rFonts w:cs="Calibri"/>
                <w:b/>
                <w:bCs/>
              </w:rPr>
            </w:pPr>
            <w:r>
              <w:rPr>
                <w:rFonts w:cs="Calibri"/>
                <w:b/>
                <w:bCs/>
              </w:rPr>
              <w:t>(67.8</w:t>
            </w:r>
            <w:r w:rsidRPr="001E3529">
              <w:rPr>
                <w:rFonts w:cs="Calibri"/>
                <w:b/>
                <w:bCs/>
              </w:rPr>
              <w:t>)</w:t>
            </w:r>
          </w:p>
        </w:tc>
      </w:tr>
    </w:tbl>
    <w:p w:rsidR="001449FD" w:rsidRDefault="001449FD" w:rsidP="001449FD">
      <w:pPr>
        <w:pStyle w:val="Heading3"/>
      </w:pPr>
    </w:p>
    <w:p w:rsidR="001449FD" w:rsidRDefault="001449FD">
      <w:pPr>
        <w:rPr>
          <w:rFonts w:asciiTheme="majorHAnsi" w:eastAsiaTheme="majorEastAsia" w:hAnsiTheme="majorHAnsi" w:cstheme="majorBidi"/>
          <w:color w:val="1F4D78" w:themeColor="accent1" w:themeShade="7F"/>
          <w:sz w:val="24"/>
          <w:szCs w:val="24"/>
        </w:rPr>
      </w:pPr>
      <w:r>
        <w:br w:type="page"/>
      </w:r>
    </w:p>
    <w:p w:rsidR="001449FD" w:rsidRPr="001E3529" w:rsidRDefault="001449FD" w:rsidP="001449FD">
      <w:pPr>
        <w:pStyle w:val="Heading3"/>
      </w:pPr>
      <w:r w:rsidRPr="001E3529">
        <w:lastRenderedPageBreak/>
        <w:t>Note 6 – Cash Flow Statement - Financing Activities</w:t>
      </w:r>
    </w:p>
    <w:p w:rsidR="001449FD" w:rsidRPr="001E3529" w:rsidRDefault="001449FD" w:rsidP="001449FD">
      <w:pPr>
        <w:rPr>
          <w:rFonts w:cs="Calibri"/>
        </w:rPr>
      </w:pPr>
    </w:p>
    <w:tbl>
      <w:tblPr>
        <w:tblW w:w="8503" w:type="dxa"/>
        <w:tblInd w:w="108" w:type="dxa"/>
        <w:tblLook w:val="00A0" w:firstRow="1" w:lastRow="0" w:firstColumn="1" w:lastColumn="0" w:noHBand="0" w:noVBand="0"/>
      </w:tblPr>
      <w:tblGrid>
        <w:gridCol w:w="1417"/>
        <w:gridCol w:w="5669"/>
        <w:gridCol w:w="1417"/>
      </w:tblGrid>
      <w:tr w:rsidR="001449FD" w:rsidRPr="001E3529" w:rsidTr="001449FD">
        <w:trPr>
          <w:trHeight w:val="300"/>
        </w:trPr>
        <w:tc>
          <w:tcPr>
            <w:tcW w:w="1417" w:type="dxa"/>
            <w:tcBorders>
              <w:top w:val="nil"/>
              <w:left w:val="nil"/>
              <w:bottom w:val="nil"/>
              <w:right w:val="nil"/>
            </w:tcBorders>
            <w:shd w:val="clear" w:color="000000" w:fill="FFFFFF"/>
          </w:tcPr>
          <w:p w:rsidR="001449FD" w:rsidRPr="001E3529" w:rsidRDefault="001449FD" w:rsidP="001449FD">
            <w:pPr>
              <w:jc w:val="center"/>
              <w:rPr>
                <w:rFonts w:cs="Calibri"/>
                <w:b/>
                <w:bCs/>
              </w:rPr>
            </w:pPr>
            <w:r w:rsidRPr="001E3529">
              <w:rPr>
                <w:rFonts w:cs="Calibri"/>
                <w:b/>
                <w:bCs/>
              </w:rPr>
              <w:t>2018/19</w:t>
            </w:r>
          </w:p>
        </w:tc>
        <w:tc>
          <w:tcPr>
            <w:tcW w:w="5669" w:type="dxa"/>
            <w:tcBorders>
              <w:top w:val="nil"/>
              <w:left w:val="nil"/>
              <w:bottom w:val="nil"/>
              <w:right w:val="nil"/>
            </w:tcBorders>
            <w:shd w:val="clear" w:color="000000" w:fill="FFFFFF"/>
            <w:vAlign w:val="bottom"/>
          </w:tcPr>
          <w:p w:rsidR="001449FD" w:rsidRPr="001E3529" w:rsidRDefault="001449FD" w:rsidP="001449FD">
            <w:pPr>
              <w:jc w:val="right"/>
              <w:rPr>
                <w:rFonts w:cs="Calibri"/>
                <w:b/>
                <w:bCs/>
              </w:rPr>
            </w:pPr>
          </w:p>
        </w:tc>
        <w:tc>
          <w:tcPr>
            <w:tcW w:w="1417" w:type="dxa"/>
            <w:tcBorders>
              <w:top w:val="nil"/>
              <w:left w:val="nil"/>
              <w:bottom w:val="nil"/>
              <w:right w:val="nil"/>
            </w:tcBorders>
            <w:shd w:val="clear" w:color="000000" w:fill="FFFFFF"/>
            <w:noWrap/>
            <w:vAlign w:val="bottom"/>
          </w:tcPr>
          <w:p w:rsidR="001449FD" w:rsidRPr="001E3529" w:rsidRDefault="001449FD" w:rsidP="001449FD">
            <w:pPr>
              <w:jc w:val="center"/>
              <w:rPr>
                <w:rFonts w:cs="Calibri"/>
                <w:b/>
                <w:bCs/>
              </w:rPr>
            </w:pPr>
            <w:r w:rsidRPr="001E3529">
              <w:rPr>
                <w:rFonts w:cs="Calibri"/>
                <w:b/>
                <w:bCs/>
              </w:rPr>
              <w:t>2019/20</w:t>
            </w:r>
          </w:p>
        </w:tc>
      </w:tr>
      <w:tr w:rsidR="001449FD" w:rsidRPr="001E3529" w:rsidTr="001449FD">
        <w:trPr>
          <w:trHeight w:val="300"/>
        </w:trPr>
        <w:tc>
          <w:tcPr>
            <w:tcW w:w="1417" w:type="dxa"/>
            <w:tcBorders>
              <w:top w:val="nil"/>
              <w:left w:val="nil"/>
              <w:bottom w:val="nil"/>
              <w:right w:val="nil"/>
            </w:tcBorders>
            <w:shd w:val="clear" w:color="000000" w:fill="FFFFFF"/>
          </w:tcPr>
          <w:p w:rsidR="001449FD" w:rsidRPr="001E3529" w:rsidRDefault="001449FD" w:rsidP="001449FD">
            <w:pPr>
              <w:jc w:val="center"/>
              <w:rPr>
                <w:rFonts w:cs="Calibri"/>
                <w:b/>
                <w:bCs/>
              </w:rPr>
            </w:pPr>
            <w:r w:rsidRPr="001E3529">
              <w:rPr>
                <w:rFonts w:cs="Calibri"/>
                <w:b/>
                <w:bCs/>
              </w:rPr>
              <w:t>£m</w:t>
            </w:r>
          </w:p>
        </w:tc>
        <w:tc>
          <w:tcPr>
            <w:tcW w:w="5669" w:type="dxa"/>
            <w:tcBorders>
              <w:top w:val="nil"/>
              <w:left w:val="nil"/>
              <w:bottom w:val="nil"/>
              <w:right w:val="nil"/>
            </w:tcBorders>
            <w:shd w:val="clear" w:color="000000" w:fill="FFFFFF"/>
            <w:vAlign w:val="bottom"/>
          </w:tcPr>
          <w:p w:rsidR="001449FD" w:rsidRPr="001E3529" w:rsidRDefault="001449FD" w:rsidP="001449FD">
            <w:pPr>
              <w:jc w:val="right"/>
              <w:rPr>
                <w:rFonts w:cs="Calibri"/>
                <w:b/>
                <w:bCs/>
              </w:rPr>
            </w:pPr>
          </w:p>
        </w:tc>
        <w:tc>
          <w:tcPr>
            <w:tcW w:w="1417" w:type="dxa"/>
            <w:tcBorders>
              <w:top w:val="nil"/>
              <w:left w:val="nil"/>
              <w:bottom w:val="nil"/>
              <w:right w:val="nil"/>
            </w:tcBorders>
            <w:shd w:val="clear" w:color="000000" w:fill="FFFFFF"/>
            <w:noWrap/>
            <w:vAlign w:val="bottom"/>
          </w:tcPr>
          <w:p w:rsidR="001449FD" w:rsidRPr="001E3529" w:rsidRDefault="001449FD" w:rsidP="001449FD">
            <w:pPr>
              <w:jc w:val="center"/>
              <w:rPr>
                <w:rFonts w:cs="Calibri"/>
                <w:b/>
                <w:bCs/>
              </w:rPr>
            </w:pPr>
            <w:r w:rsidRPr="001E3529">
              <w:rPr>
                <w:rFonts w:cs="Calibri"/>
                <w:b/>
                <w:bCs/>
              </w:rPr>
              <w:t>£m</w:t>
            </w:r>
          </w:p>
        </w:tc>
      </w:tr>
      <w:tr w:rsidR="001449FD" w:rsidRPr="001E3529" w:rsidTr="001449FD">
        <w:trPr>
          <w:trHeight w:val="300"/>
        </w:trPr>
        <w:tc>
          <w:tcPr>
            <w:tcW w:w="1417" w:type="dxa"/>
            <w:tcBorders>
              <w:top w:val="single" w:sz="4" w:space="0" w:color="auto"/>
              <w:left w:val="single" w:sz="4" w:space="0" w:color="auto"/>
              <w:bottom w:val="nil"/>
              <w:right w:val="single" w:sz="4" w:space="0" w:color="auto"/>
            </w:tcBorders>
            <w:shd w:val="clear" w:color="000000" w:fill="FFFFFF"/>
            <w:vAlign w:val="bottom"/>
          </w:tcPr>
          <w:p w:rsidR="001449FD" w:rsidRPr="001E3529" w:rsidRDefault="001449FD" w:rsidP="001449FD">
            <w:pPr>
              <w:jc w:val="right"/>
              <w:rPr>
                <w:rFonts w:cs="Calibri"/>
                <w:bCs/>
              </w:rPr>
            </w:pPr>
            <w:r w:rsidRPr="001E3529">
              <w:rPr>
                <w:rFonts w:cs="Calibri"/>
                <w:bCs/>
              </w:rPr>
              <w:t>(0.0)</w:t>
            </w:r>
          </w:p>
        </w:tc>
        <w:tc>
          <w:tcPr>
            <w:tcW w:w="5669" w:type="dxa"/>
            <w:tcBorders>
              <w:top w:val="nil"/>
              <w:left w:val="nil"/>
              <w:bottom w:val="nil"/>
              <w:right w:val="nil"/>
            </w:tcBorders>
            <w:shd w:val="clear" w:color="000000" w:fill="FFFFFF"/>
            <w:vAlign w:val="bottom"/>
          </w:tcPr>
          <w:p w:rsidR="001449FD" w:rsidRPr="001E3529" w:rsidRDefault="001449FD" w:rsidP="001449FD">
            <w:pPr>
              <w:rPr>
                <w:rFonts w:cs="Calibri"/>
              </w:rPr>
            </w:pPr>
            <w:r w:rsidRPr="001E3529">
              <w:rPr>
                <w:rFonts w:cs="Calibri"/>
              </w:rPr>
              <w:t>Cash receipts of short and long term borrowing</w:t>
            </w:r>
          </w:p>
        </w:tc>
        <w:tc>
          <w:tcPr>
            <w:tcW w:w="1417" w:type="dxa"/>
            <w:tcBorders>
              <w:top w:val="single" w:sz="4" w:space="0" w:color="auto"/>
              <w:left w:val="single" w:sz="4" w:space="0" w:color="auto"/>
              <w:bottom w:val="nil"/>
              <w:right w:val="single" w:sz="4" w:space="0" w:color="auto"/>
            </w:tcBorders>
            <w:noWrap/>
            <w:vAlign w:val="bottom"/>
          </w:tcPr>
          <w:p w:rsidR="001449FD" w:rsidRPr="001E3529" w:rsidRDefault="001449FD" w:rsidP="001449FD">
            <w:pPr>
              <w:jc w:val="right"/>
              <w:rPr>
                <w:rFonts w:cs="Calibri"/>
              </w:rPr>
            </w:pPr>
            <w:r w:rsidRPr="001E3529">
              <w:rPr>
                <w:rFonts w:cs="Calibri"/>
              </w:rPr>
              <w:t>213.0</w:t>
            </w:r>
          </w:p>
        </w:tc>
      </w:tr>
      <w:tr w:rsidR="001449FD" w:rsidRPr="001E3529" w:rsidTr="001449FD">
        <w:trPr>
          <w:trHeight w:val="300"/>
        </w:trPr>
        <w:tc>
          <w:tcPr>
            <w:tcW w:w="1417" w:type="dxa"/>
            <w:tcBorders>
              <w:top w:val="nil"/>
              <w:left w:val="single" w:sz="4" w:space="0" w:color="auto"/>
              <w:bottom w:val="nil"/>
              <w:right w:val="single" w:sz="4" w:space="0" w:color="auto"/>
            </w:tcBorders>
            <w:shd w:val="clear" w:color="000000" w:fill="FFFFFF"/>
            <w:vAlign w:val="bottom"/>
          </w:tcPr>
          <w:p w:rsidR="001449FD" w:rsidRPr="001E3529" w:rsidRDefault="001449FD" w:rsidP="001449FD">
            <w:pPr>
              <w:jc w:val="right"/>
              <w:rPr>
                <w:rFonts w:cs="Calibri"/>
                <w:bCs/>
              </w:rPr>
            </w:pPr>
            <w:r w:rsidRPr="001E3529">
              <w:rPr>
                <w:rFonts w:cs="Calibri"/>
                <w:bCs/>
              </w:rPr>
              <w:t>(4.2)</w:t>
            </w:r>
          </w:p>
        </w:tc>
        <w:tc>
          <w:tcPr>
            <w:tcW w:w="5669" w:type="dxa"/>
            <w:tcBorders>
              <w:top w:val="nil"/>
              <w:left w:val="nil"/>
              <w:bottom w:val="nil"/>
              <w:right w:val="nil"/>
            </w:tcBorders>
            <w:shd w:val="clear" w:color="000000" w:fill="FFFFFF"/>
            <w:vAlign w:val="bottom"/>
          </w:tcPr>
          <w:p w:rsidR="001449FD" w:rsidRPr="001E3529" w:rsidRDefault="001449FD" w:rsidP="001449FD">
            <w:pPr>
              <w:rPr>
                <w:rFonts w:cs="Calibri"/>
              </w:rPr>
            </w:pPr>
            <w:r w:rsidRPr="001E3529">
              <w:rPr>
                <w:rFonts w:cs="Calibri"/>
              </w:rPr>
              <w:t>Cash inflow/(outflow) relating to Private Finance Initiative schemes</w:t>
            </w:r>
          </w:p>
        </w:tc>
        <w:tc>
          <w:tcPr>
            <w:tcW w:w="1417" w:type="dxa"/>
            <w:tcBorders>
              <w:top w:val="nil"/>
              <w:left w:val="single" w:sz="4" w:space="0" w:color="auto"/>
              <w:bottom w:val="nil"/>
              <w:right w:val="single" w:sz="4" w:space="0" w:color="auto"/>
            </w:tcBorders>
            <w:noWrap/>
            <w:vAlign w:val="bottom"/>
          </w:tcPr>
          <w:p w:rsidR="001449FD" w:rsidRPr="001E3529" w:rsidRDefault="001449FD" w:rsidP="001449FD">
            <w:pPr>
              <w:jc w:val="right"/>
              <w:rPr>
                <w:rFonts w:cs="Calibri"/>
              </w:rPr>
            </w:pPr>
            <w:r w:rsidRPr="001E3529">
              <w:rPr>
                <w:rFonts w:cs="Calibri"/>
              </w:rPr>
              <w:t>(2.9)</w:t>
            </w:r>
          </w:p>
        </w:tc>
      </w:tr>
      <w:tr w:rsidR="001449FD" w:rsidRPr="001E3529" w:rsidTr="001449FD">
        <w:trPr>
          <w:trHeight w:val="300"/>
        </w:trPr>
        <w:tc>
          <w:tcPr>
            <w:tcW w:w="1417" w:type="dxa"/>
            <w:tcBorders>
              <w:top w:val="nil"/>
              <w:left w:val="single" w:sz="4" w:space="0" w:color="auto"/>
              <w:bottom w:val="nil"/>
              <w:right w:val="single" w:sz="4" w:space="0" w:color="auto"/>
            </w:tcBorders>
            <w:shd w:val="clear" w:color="000000" w:fill="FFFFFF"/>
            <w:vAlign w:val="bottom"/>
          </w:tcPr>
          <w:p w:rsidR="001449FD" w:rsidRPr="001E3529" w:rsidRDefault="001449FD" w:rsidP="001449FD">
            <w:pPr>
              <w:jc w:val="right"/>
              <w:rPr>
                <w:rFonts w:cs="Calibri"/>
                <w:bCs/>
              </w:rPr>
            </w:pPr>
            <w:r w:rsidRPr="001E3529">
              <w:rPr>
                <w:rFonts w:cs="Calibri"/>
                <w:bCs/>
              </w:rPr>
              <w:t>(35.3)</w:t>
            </w:r>
          </w:p>
        </w:tc>
        <w:tc>
          <w:tcPr>
            <w:tcW w:w="5669" w:type="dxa"/>
            <w:tcBorders>
              <w:top w:val="nil"/>
              <w:left w:val="nil"/>
              <w:bottom w:val="nil"/>
              <w:right w:val="nil"/>
            </w:tcBorders>
            <w:shd w:val="clear" w:color="000000" w:fill="FFFFFF"/>
            <w:vAlign w:val="bottom"/>
          </w:tcPr>
          <w:p w:rsidR="001449FD" w:rsidRPr="001E3529" w:rsidRDefault="001449FD" w:rsidP="001449FD">
            <w:pPr>
              <w:rPr>
                <w:rFonts w:cs="Calibri"/>
              </w:rPr>
            </w:pPr>
            <w:r w:rsidRPr="001E3529">
              <w:rPr>
                <w:rFonts w:cs="Calibri"/>
              </w:rPr>
              <w:t>Repayments of short and long term borrowing</w:t>
            </w:r>
          </w:p>
        </w:tc>
        <w:tc>
          <w:tcPr>
            <w:tcW w:w="1417" w:type="dxa"/>
            <w:tcBorders>
              <w:top w:val="nil"/>
              <w:left w:val="single" w:sz="4" w:space="0" w:color="auto"/>
              <w:bottom w:val="nil"/>
              <w:right w:val="single" w:sz="4" w:space="0" w:color="auto"/>
            </w:tcBorders>
            <w:noWrap/>
            <w:vAlign w:val="bottom"/>
          </w:tcPr>
          <w:p w:rsidR="001449FD" w:rsidRPr="001E3529" w:rsidRDefault="001449FD" w:rsidP="001449FD">
            <w:pPr>
              <w:jc w:val="right"/>
              <w:rPr>
                <w:rFonts w:cs="Calibri"/>
              </w:rPr>
            </w:pPr>
            <w:r w:rsidRPr="001E3529">
              <w:rPr>
                <w:rFonts w:cs="Calibri"/>
              </w:rPr>
              <w:t>(14.4)</w:t>
            </w:r>
          </w:p>
        </w:tc>
      </w:tr>
      <w:tr w:rsidR="001449FD" w:rsidRPr="001E3529" w:rsidTr="001449FD">
        <w:trPr>
          <w:trHeight w:val="300"/>
        </w:trPr>
        <w:tc>
          <w:tcPr>
            <w:tcW w:w="1417" w:type="dxa"/>
            <w:tcBorders>
              <w:top w:val="nil"/>
              <w:left w:val="single" w:sz="4" w:space="0" w:color="auto"/>
              <w:bottom w:val="nil"/>
              <w:right w:val="single" w:sz="4" w:space="0" w:color="auto"/>
            </w:tcBorders>
            <w:shd w:val="clear" w:color="000000" w:fill="FFFFFF"/>
            <w:vAlign w:val="bottom"/>
          </w:tcPr>
          <w:p w:rsidR="001449FD" w:rsidRPr="001E3529" w:rsidRDefault="001449FD" w:rsidP="001449FD">
            <w:pPr>
              <w:jc w:val="right"/>
              <w:rPr>
                <w:rFonts w:cs="Calibri"/>
                <w:bCs/>
              </w:rPr>
            </w:pPr>
            <w:r w:rsidRPr="001E3529">
              <w:rPr>
                <w:rFonts w:cs="Calibri"/>
                <w:bCs/>
              </w:rPr>
              <w:t>4.0</w:t>
            </w:r>
          </w:p>
        </w:tc>
        <w:tc>
          <w:tcPr>
            <w:tcW w:w="5669" w:type="dxa"/>
            <w:tcBorders>
              <w:top w:val="nil"/>
              <w:left w:val="nil"/>
              <w:bottom w:val="nil"/>
              <w:right w:val="nil"/>
            </w:tcBorders>
            <w:shd w:val="clear" w:color="000000" w:fill="FFFFFF"/>
            <w:vAlign w:val="bottom"/>
          </w:tcPr>
          <w:p w:rsidR="001449FD" w:rsidRPr="001E3529" w:rsidRDefault="001449FD" w:rsidP="001449FD">
            <w:pPr>
              <w:rPr>
                <w:rFonts w:cs="Calibri"/>
              </w:rPr>
            </w:pPr>
            <w:r w:rsidRPr="001E3529">
              <w:rPr>
                <w:rFonts w:cs="Calibri"/>
              </w:rPr>
              <w:t>Other payments for financing activities</w:t>
            </w:r>
          </w:p>
        </w:tc>
        <w:tc>
          <w:tcPr>
            <w:tcW w:w="1417" w:type="dxa"/>
            <w:tcBorders>
              <w:top w:val="nil"/>
              <w:left w:val="single" w:sz="4" w:space="0" w:color="auto"/>
              <w:bottom w:val="nil"/>
              <w:right w:val="single" w:sz="4" w:space="0" w:color="auto"/>
            </w:tcBorders>
            <w:noWrap/>
            <w:vAlign w:val="bottom"/>
          </w:tcPr>
          <w:p w:rsidR="001449FD" w:rsidRPr="001E3529" w:rsidRDefault="001449FD" w:rsidP="001449FD">
            <w:pPr>
              <w:jc w:val="right"/>
              <w:rPr>
                <w:rFonts w:cs="Calibri"/>
              </w:rPr>
            </w:pPr>
            <w:r w:rsidRPr="001E3529">
              <w:rPr>
                <w:rFonts w:cs="Calibri"/>
              </w:rPr>
              <w:t>0.0</w:t>
            </w:r>
          </w:p>
        </w:tc>
      </w:tr>
      <w:tr w:rsidR="001449FD" w:rsidRPr="001E3529" w:rsidTr="001449FD">
        <w:trPr>
          <w:trHeight w:val="315"/>
        </w:trPr>
        <w:tc>
          <w:tcPr>
            <w:tcW w:w="1417" w:type="dxa"/>
            <w:tcBorders>
              <w:top w:val="single" w:sz="4" w:space="0" w:color="auto"/>
              <w:left w:val="single" w:sz="4" w:space="0" w:color="auto"/>
              <w:bottom w:val="single" w:sz="4" w:space="0" w:color="auto"/>
              <w:right w:val="single" w:sz="4" w:space="0" w:color="auto"/>
            </w:tcBorders>
            <w:shd w:val="clear" w:color="000000" w:fill="FFFFFF"/>
            <w:vAlign w:val="bottom"/>
          </w:tcPr>
          <w:p w:rsidR="001449FD" w:rsidRPr="001E3529" w:rsidRDefault="001449FD" w:rsidP="001449FD">
            <w:pPr>
              <w:jc w:val="right"/>
              <w:rPr>
                <w:rFonts w:cs="Calibri"/>
                <w:b/>
                <w:bCs/>
              </w:rPr>
            </w:pPr>
            <w:r w:rsidRPr="001E3529">
              <w:rPr>
                <w:rFonts w:cs="Calibri"/>
                <w:b/>
                <w:bCs/>
              </w:rPr>
              <w:t>(35.5)</w:t>
            </w:r>
          </w:p>
        </w:tc>
        <w:tc>
          <w:tcPr>
            <w:tcW w:w="5669" w:type="dxa"/>
            <w:tcBorders>
              <w:top w:val="nil"/>
              <w:left w:val="nil"/>
              <w:bottom w:val="nil"/>
              <w:right w:val="nil"/>
            </w:tcBorders>
            <w:shd w:val="clear" w:color="000000" w:fill="FFFFFF"/>
            <w:vAlign w:val="bottom"/>
          </w:tcPr>
          <w:p w:rsidR="001449FD" w:rsidRPr="001E3529" w:rsidRDefault="001449FD" w:rsidP="001449FD">
            <w:pPr>
              <w:jc w:val="center"/>
              <w:rPr>
                <w:rFonts w:cs="Calibri"/>
                <w:b/>
                <w:bCs/>
              </w:rPr>
            </w:pPr>
            <w:r w:rsidRPr="001E3529">
              <w:rPr>
                <w:rFonts w:cs="Calibri"/>
                <w:b/>
                <w:bCs/>
              </w:rPr>
              <w:t>Total</w:t>
            </w:r>
          </w:p>
        </w:tc>
        <w:tc>
          <w:tcPr>
            <w:tcW w:w="1417" w:type="dxa"/>
            <w:tcBorders>
              <w:top w:val="single" w:sz="4" w:space="0" w:color="auto"/>
              <w:left w:val="single" w:sz="4" w:space="0" w:color="auto"/>
              <w:bottom w:val="single" w:sz="4" w:space="0" w:color="auto"/>
              <w:right w:val="single" w:sz="4" w:space="0" w:color="auto"/>
            </w:tcBorders>
            <w:noWrap/>
            <w:vAlign w:val="bottom"/>
          </w:tcPr>
          <w:p w:rsidR="001449FD" w:rsidRPr="001E3529" w:rsidRDefault="001449FD" w:rsidP="001449FD">
            <w:pPr>
              <w:jc w:val="right"/>
              <w:rPr>
                <w:rFonts w:cs="Calibri"/>
                <w:b/>
                <w:bCs/>
              </w:rPr>
            </w:pPr>
            <w:r w:rsidRPr="001E3529">
              <w:rPr>
                <w:rFonts w:cs="Calibri"/>
                <w:b/>
                <w:bCs/>
              </w:rPr>
              <w:t>195.7</w:t>
            </w:r>
          </w:p>
        </w:tc>
      </w:tr>
    </w:tbl>
    <w:p w:rsidR="00F72906" w:rsidRDefault="00F72906" w:rsidP="00F72906">
      <w:r>
        <w:t> </w:t>
      </w:r>
    </w:p>
    <w:p w:rsidR="00F72906" w:rsidRDefault="00F72906" w:rsidP="001449FD">
      <w:pPr>
        <w:pStyle w:val="Heading2"/>
      </w:pPr>
      <w:bookmarkStart w:id="10" w:name="_Toc61870280"/>
      <w:r>
        <w:t>Liabilities</w:t>
      </w:r>
      <w:bookmarkEnd w:id="10"/>
    </w:p>
    <w:p w:rsidR="00F72906" w:rsidRDefault="00F72906" w:rsidP="001449FD">
      <w:pPr>
        <w:pStyle w:val="Heading3"/>
      </w:pPr>
      <w:r>
        <w:t>Note 7 – Short Term Creditors</w:t>
      </w:r>
    </w:p>
    <w:tbl>
      <w:tblPr>
        <w:tblW w:w="8539" w:type="dxa"/>
        <w:tblInd w:w="108" w:type="dxa"/>
        <w:tblLook w:val="00A0" w:firstRow="1" w:lastRow="0" w:firstColumn="1" w:lastColumn="0" w:noHBand="0" w:noVBand="0"/>
      </w:tblPr>
      <w:tblGrid>
        <w:gridCol w:w="1735"/>
        <w:gridCol w:w="5245"/>
        <w:gridCol w:w="1559"/>
      </w:tblGrid>
      <w:tr w:rsidR="001449FD" w:rsidRPr="001E3529" w:rsidTr="001449FD">
        <w:trPr>
          <w:trHeight w:val="300"/>
        </w:trPr>
        <w:tc>
          <w:tcPr>
            <w:tcW w:w="1735" w:type="dxa"/>
          </w:tcPr>
          <w:p w:rsidR="001449FD" w:rsidRPr="001E3529" w:rsidRDefault="001449FD" w:rsidP="001449FD">
            <w:pPr>
              <w:jc w:val="right"/>
              <w:rPr>
                <w:rFonts w:cs="Calibri"/>
                <w:b/>
                <w:bCs/>
              </w:rPr>
            </w:pPr>
            <w:r w:rsidRPr="001E3529">
              <w:rPr>
                <w:rFonts w:cs="Calibri"/>
                <w:b/>
                <w:bCs/>
              </w:rPr>
              <w:t>31-Mar-2019</w:t>
            </w:r>
          </w:p>
        </w:tc>
        <w:tc>
          <w:tcPr>
            <w:tcW w:w="5245" w:type="dxa"/>
          </w:tcPr>
          <w:p w:rsidR="001449FD" w:rsidRPr="001E3529" w:rsidRDefault="001449FD" w:rsidP="001449FD">
            <w:pPr>
              <w:jc w:val="right"/>
              <w:rPr>
                <w:rFonts w:cs="Calibri"/>
              </w:rPr>
            </w:pPr>
          </w:p>
        </w:tc>
        <w:tc>
          <w:tcPr>
            <w:tcW w:w="1559" w:type="dxa"/>
          </w:tcPr>
          <w:p w:rsidR="001449FD" w:rsidRPr="001E3529" w:rsidRDefault="001449FD" w:rsidP="001449FD">
            <w:pPr>
              <w:jc w:val="right"/>
              <w:rPr>
                <w:rFonts w:cs="Calibri"/>
                <w:b/>
                <w:bCs/>
              </w:rPr>
            </w:pPr>
            <w:r w:rsidRPr="001E3529">
              <w:rPr>
                <w:rFonts w:cs="Calibri"/>
                <w:b/>
                <w:bCs/>
              </w:rPr>
              <w:t>31-Mar-2020</w:t>
            </w:r>
          </w:p>
        </w:tc>
      </w:tr>
      <w:tr w:rsidR="001449FD" w:rsidRPr="001E3529" w:rsidTr="001449FD">
        <w:trPr>
          <w:trHeight w:val="315"/>
        </w:trPr>
        <w:tc>
          <w:tcPr>
            <w:tcW w:w="1735" w:type="dxa"/>
            <w:tcBorders>
              <w:bottom w:val="single" w:sz="4" w:space="0" w:color="auto"/>
            </w:tcBorders>
          </w:tcPr>
          <w:p w:rsidR="001449FD" w:rsidRPr="001E3529" w:rsidRDefault="001449FD" w:rsidP="001449FD">
            <w:pPr>
              <w:jc w:val="right"/>
              <w:rPr>
                <w:rFonts w:cs="Calibri"/>
                <w:b/>
                <w:bCs/>
              </w:rPr>
            </w:pPr>
            <w:r w:rsidRPr="001E3529">
              <w:rPr>
                <w:rFonts w:cs="Calibri"/>
                <w:b/>
                <w:bCs/>
              </w:rPr>
              <w:t>£m</w:t>
            </w:r>
          </w:p>
        </w:tc>
        <w:tc>
          <w:tcPr>
            <w:tcW w:w="5245" w:type="dxa"/>
          </w:tcPr>
          <w:p w:rsidR="001449FD" w:rsidRPr="001E3529" w:rsidRDefault="001449FD" w:rsidP="001449FD">
            <w:pPr>
              <w:jc w:val="right"/>
              <w:rPr>
                <w:rFonts w:cs="Calibri"/>
              </w:rPr>
            </w:pPr>
          </w:p>
        </w:tc>
        <w:tc>
          <w:tcPr>
            <w:tcW w:w="1559" w:type="dxa"/>
            <w:tcBorders>
              <w:bottom w:val="single" w:sz="4" w:space="0" w:color="auto"/>
            </w:tcBorders>
            <w:noWrap/>
          </w:tcPr>
          <w:p w:rsidR="001449FD" w:rsidRPr="001E3529" w:rsidRDefault="001449FD" w:rsidP="001449FD">
            <w:pPr>
              <w:jc w:val="right"/>
              <w:rPr>
                <w:rFonts w:cs="Calibri"/>
                <w:b/>
                <w:bCs/>
              </w:rPr>
            </w:pPr>
            <w:r w:rsidRPr="001E3529">
              <w:rPr>
                <w:rFonts w:cs="Calibri"/>
                <w:b/>
                <w:bCs/>
              </w:rPr>
              <w:t>£m</w:t>
            </w:r>
          </w:p>
        </w:tc>
      </w:tr>
      <w:tr w:rsidR="001449FD" w:rsidRPr="001E3529" w:rsidTr="001449FD">
        <w:trPr>
          <w:trHeight w:val="300"/>
        </w:trPr>
        <w:tc>
          <w:tcPr>
            <w:tcW w:w="1735" w:type="dxa"/>
            <w:tcBorders>
              <w:top w:val="single" w:sz="4" w:space="0" w:color="auto"/>
              <w:left w:val="single" w:sz="4" w:space="0" w:color="auto"/>
              <w:right w:val="single" w:sz="4" w:space="0" w:color="auto"/>
            </w:tcBorders>
            <w:vAlign w:val="center"/>
          </w:tcPr>
          <w:p w:rsidR="001449FD" w:rsidRPr="001E3529" w:rsidRDefault="001449FD" w:rsidP="001449FD">
            <w:pPr>
              <w:jc w:val="right"/>
              <w:rPr>
                <w:rFonts w:cs="Calibri"/>
                <w:color w:val="000000"/>
              </w:rPr>
            </w:pPr>
            <w:r w:rsidRPr="001E3529">
              <w:rPr>
                <w:rFonts w:cs="Calibri"/>
                <w:color w:val="000000"/>
              </w:rPr>
              <w:t>(89.0)</w:t>
            </w:r>
          </w:p>
        </w:tc>
        <w:tc>
          <w:tcPr>
            <w:tcW w:w="5245" w:type="dxa"/>
            <w:tcBorders>
              <w:left w:val="single" w:sz="4" w:space="0" w:color="auto"/>
              <w:right w:val="single" w:sz="4" w:space="0" w:color="auto"/>
            </w:tcBorders>
          </w:tcPr>
          <w:p w:rsidR="001449FD" w:rsidRPr="001E3529" w:rsidRDefault="001449FD" w:rsidP="001449FD">
            <w:pPr>
              <w:rPr>
                <w:rFonts w:cs="Calibri"/>
              </w:rPr>
            </w:pPr>
            <w:r w:rsidRPr="001E3529">
              <w:rPr>
                <w:rFonts w:cs="Calibri"/>
              </w:rPr>
              <w:t>Trade payables</w:t>
            </w:r>
          </w:p>
        </w:tc>
        <w:tc>
          <w:tcPr>
            <w:tcW w:w="1559" w:type="dxa"/>
            <w:tcBorders>
              <w:top w:val="single" w:sz="4" w:space="0" w:color="auto"/>
              <w:left w:val="single" w:sz="4" w:space="0" w:color="auto"/>
              <w:right w:val="single" w:sz="4" w:space="0" w:color="auto"/>
            </w:tcBorders>
            <w:noWrap/>
            <w:vAlign w:val="center"/>
          </w:tcPr>
          <w:p w:rsidR="001449FD" w:rsidRPr="001E3529" w:rsidRDefault="001449FD" w:rsidP="001449FD">
            <w:pPr>
              <w:jc w:val="right"/>
              <w:rPr>
                <w:rFonts w:cs="Calibri"/>
                <w:color w:val="000000"/>
              </w:rPr>
            </w:pPr>
            <w:r w:rsidRPr="001E3529">
              <w:rPr>
                <w:rFonts w:cs="Calibri"/>
                <w:color w:val="000000"/>
              </w:rPr>
              <w:t>(78.0)</w:t>
            </w:r>
          </w:p>
        </w:tc>
      </w:tr>
      <w:tr w:rsidR="001449FD" w:rsidRPr="001E3529" w:rsidTr="001449FD">
        <w:trPr>
          <w:trHeight w:val="300"/>
        </w:trPr>
        <w:tc>
          <w:tcPr>
            <w:tcW w:w="1735" w:type="dxa"/>
            <w:tcBorders>
              <w:left w:val="single" w:sz="4" w:space="0" w:color="auto"/>
              <w:right w:val="single" w:sz="4" w:space="0" w:color="auto"/>
            </w:tcBorders>
            <w:vAlign w:val="center"/>
          </w:tcPr>
          <w:p w:rsidR="001449FD" w:rsidRPr="001E3529" w:rsidRDefault="001449FD" w:rsidP="001449FD">
            <w:pPr>
              <w:jc w:val="right"/>
              <w:rPr>
                <w:rFonts w:cs="Calibri"/>
                <w:color w:val="000000"/>
              </w:rPr>
            </w:pPr>
            <w:r w:rsidRPr="001E3529">
              <w:rPr>
                <w:rFonts w:cs="Calibri"/>
                <w:color w:val="000000"/>
              </w:rPr>
              <w:t>(54.8)</w:t>
            </w:r>
          </w:p>
        </w:tc>
        <w:tc>
          <w:tcPr>
            <w:tcW w:w="5245" w:type="dxa"/>
            <w:tcBorders>
              <w:left w:val="single" w:sz="4" w:space="0" w:color="auto"/>
              <w:right w:val="single" w:sz="4" w:space="0" w:color="auto"/>
            </w:tcBorders>
          </w:tcPr>
          <w:p w:rsidR="001449FD" w:rsidRPr="001E3529" w:rsidRDefault="001449FD" w:rsidP="001449FD">
            <w:pPr>
              <w:rPr>
                <w:rFonts w:cs="Calibri"/>
              </w:rPr>
            </w:pPr>
            <w:r w:rsidRPr="001E3529">
              <w:rPr>
                <w:rFonts w:cs="Calibri"/>
              </w:rPr>
              <w:t>Other payables</w:t>
            </w:r>
          </w:p>
        </w:tc>
        <w:tc>
          <w:tcPr>
            <w:tcW w:w="1559" w:type="dxa"/>
            <w:tcBorders>
              <w:left w:val="single" w:sz="4" w:space="0" w:color="auto"/>
              <w:right w:val="single" w:sz="4" w:space="0" w:color="auto"/>
            </w:tcBorders>
            <w:noWrap/>
            <w:vAlign w:val="center"/>
          </w:tcPr>
          <w:p w:rsidR="001449FD" w:rsidRPr="001E3529" w:rsidRDefault="001449FD" w:rsidP="001449FD">
            <w:pPr>
              <w:jc w:val="right"/>
              <w:rPr>
                <w:rFonts w:cs="Calibri"/>
                <w:color w:val="000000"/>
              </w:rPr>
            </w:pPr>
            <w:r w:rsidRPr="001E3529">
              <w:rPr>
                <w:rFonts w:cs="Calibri"/>
                <w:color w:val="000000"/>
              </w:rPr>
              <w:t>(47.0)</w:t>
            </w:r>
          </w:p>
        </w:tc>
      </w:tr>
      <w:tr w:rsidR="001449FD" w:rsidRPr="001E3529" w:rsidTr="001449FD">
        <w:trPr>
          <w:trHeight w:val="315"/>
        </w:trPr>
        <w:tc>
          <w:tcPr>
            <w:tcW w:w="1735" w:type="dxa"/>
            <w:tcBorders>
              <w:top w:val="single" w:sz="4" w:space="0" w:color="auto"/>
              <w:left w:val="single" w:sz="4" w:space="0" w:color="auto"/>
              <w:bottom w:val="single" w:sz="4" w:space="0" w:color="auto"/>
              <w:right w:val="single" w:sz="4" w:space="0" w:color="auto"/>
            </w:tcBorders>
            <w:vAlign w:val="center"/>
          </w:tcPr>
          <w:p w:rsidR="001449FD" w:rsidRPr="001E3529" w:rsidRDefault="001449FD" w:rsidP="001449FD">
            <w:pPr>
              <w:jc w:val="right"/>
              <w:rPr>
                <w:rFonts w:cs="Calibri"/>
                <w:b/>
                <w:bCs/>
                <w:color w:val="000000"/>
              </w:rPr>
            </w:pPr>
            <w:r w:rsidRPr="001E3529">
              <w:rPr>
                <w:rFonts w:cs="Calibri"/>
                <w:b/>
                <w:bCs/>
                <w:color w:val="000000"/>
              </w:rPr>
              <w:t>(143.8)</w:t>
            </w:r>
          </w:p>
        </w:tc>
        <w:tc>
          <w:tcPr>
            <w:tcW w:w="5245" w:type="dxa"/>
            <w:tcBorders>
              <w:left w:val="single" w:sz="4" w:space="0" w:color="auto"/>
              <w:right w:val="single" w:sz="4" w:space="0" w:color="auto"/>
            </w:tcBorders>
          </w:tcPr>
          <w:p w:rsidR="001449FD" w:rsidRPr="001E3529" w:rsidRDefault="001449FD" w:rsidP="001449FD">
            <w:pPr>
              <w:rPr>
                <w:rFonts w:cs="Calibri"/>
                <w:b/>
              </w:rPr>
            </w:pPr>
            <w:r w:rsidRPr="001E3529">
              <w:rPr>
                <w:rFonts w:cs="Calibri"/>
                <w:b/>
              </w:rPr>
              <w:t>Total</w:t>
            </w:r>
          </w:p>
        </w:tc>
        <w:tc>
          <w:tcPr>
            <w:tcW w:w="1559" w:type="dxa"/>
            <w:tcBorders>
              <w:top w:val="single" w:sz="4" w:space="0" w:color="auto"/>
              <w:left w:val="single" w:sz="4" w:space="0" w:color="auto"/>
              <w:bottom w:val="single" w:sz="4" w:space="0" w:color="auto"/>
              <w:right w:val="single" w:sz="4" w:space="0" w:color="auto"/>
            </w:tcBorders>
            <w:noWrap/>
            <w:vAlign w:val="center"/>
          </w:tcPr>
          <w:p w:rsidR="001449FD" w:rsidRPr="001E3529" w:rsidRDefault="001449FD" w:rsidP="001449FD">
            <w:pPr>
              <w:jc w:val="right"/>
              <w:rPr>
                <w:rFonts w:cs="Calibri"/>
                <w:b/>
                <w:bCs/>
                <w:color w:val="000000"/>
              </w:rPr>
            </w:pPr>
            <w:r w:rsidRPr="001E3529">
              <w:rPr>
                <w:rFonts w:cs="Calibri"/>
                <w:b/>
                <w:bCs/>
                <w:color w:val="000000"/>
              </w:rPr>
              <w:t>(125.0)</w:t>
            </w:r>
          </w:p>
        </w:tc>
      </w:tr>
    </w:tbl>
    <w:p w:rsidR="00F72906" w:rsidRDefault="00F72906" w:rsidP="00F72906"/>
    <w:p w:rsidR="00F72906" w:rsidRDefault="00F72906" w:rsidP="001449FD">
      <w:pPr>
        <w:pStyle w:val="Heading3"/>
      </w:pPr>
      <w:r>
        <w:t>Note 8 – Long-Term Liabilities</w:t>
      </w:r>
    </w:p>
    <w:tbl>
      <w:tblPr>
        <w:tblW w:w="8539" w:type="dxa"/>
        <w:tblInd w:w="108" w:type="dxa"/>
        <w:tblLook w:val="00A0" w:firstRow="1" w:lastRow="0" w:firstColumn="1" w:lastColumn="0" w:noHBand="0" w:noVBand="0"/>
      </w:tblPr>
      <w:tblGrid>
        <w:gridCol w:w="1735"/>
        <w:gridCol w:w="5245"/>
        <w:gridCol w:w="1559"/>
      </w:tblGrid>
      <w:tr w:rsidR="001449FD" w:rsidRPr="001E3529" w:rsidTr="001449FD">
        <w:trPr>
          <w:trHeight w:val="300"/>
        </w:trPr>
        <w:tc>
          <w:tcPr>
            <w:tcW w:w="1735" w:type="dxa"/>
            <w:vAlign w:val="bottom"/>
          </w:tcPr>
          <w:p w:rsidR="001449FD" w:rsidRPr="001E3529" w:rsidRDefault="001449FD" w:rsidP="001449FD">
            <w:pPr>
              <w:jc w:val="right"/>
              <w:rPr>
                <w:rFonts w:cs="Calibri"/>
                <w:b/>
                <w:bCs/>
              </w:rPr>
            </w:pPr>
            <w:r w:rsidRPr="001E3529">
              <w:rPr>
                <w:rFonts w:cs="Calibri"/>
                <w:b/>
                <w:bCs/>
              </w:rPr>
              <w:t>31-Mar-2019</w:t>
            </w:r>
          </w:p>
        </w:tc>
        <w:tc>
          <w:tcPr>
            <w:tcW w:w="5245" w:type="dxa"/>
            <w:noWrap/>
            <w:vAlign w:val="bottom"/>
          </w:tcPr>
          <w:p w:rsidR="001449FD" w:rsidRPr="001E3529" w:rsidRDefault="001449FD" w:rsidP="001449FD">
            <w:pPr>
              <w:jc w:val="right"/>
              <w:rPr>
                <w:rFonts w:cs="Calibri"/>
                <w:b/>
                <w:bCs/>
              </w:rPr>
            </w:pPr>
          </w:p>
        </w:tc>
        <w:tc>
          <w:tcPr>
            <w:tcW w:w="1559" w:type="dxa"/>
            <w:vAlign w:val="bottom"/>
          </w:tcPr>
          <w:p w:rsidR="001449FD" w:rsidRPr="001E3529" w:rsidRDefault="001449FD" w:rsidP="001449FD">
            <w:pPr>
              <w:jc w:val="right"/>
              <w:rPr>
                <w:rFonts w:cs="Calibri"/>
                <w:b/>
                <w:bCs/>
              </w:rPr>
            </w:pPr>
            <w:r w:rsidRPr="001E3529">
              <w:rPr>
                <w:rFonts w:cs="Calibri"/>
                <w:b/>
                <w:bCs/>
              </w:rPr>
              <w:t>31-Mar-2020</w:t>
            </w:r>
          </w:p>
        </w:tc>
      </w:tr>
      <w:tr w:rsidR="001449FD" w:rsidRPr="001E3529" w:rsidTr="001449FD">
        <w:trPr>
          <w:trHeight w:val="300"/>
        </w:trPr>
        <w:tc>
          <w:tcPr>
            <w:tcW w:w="1735" w:type="dxa"/>
            <w:tcBorders>
              <w:bottom w:val="single" w:sz="4" w:space="0" w:color="auto"/>
            </w:tcBorders>
            <w:vAlign w:val="bottom"/>
          </w:tcPr>
          <w:p w:rsidR="001449FD" w:rsidRPr="001E3529" w:rsidRDefault="001449FD" w:rsidP="001449FD">
            <w:pPr>
              <w:jc w:val="right"/>
              <w:rPr>
                <w:rFonts w:cs="Calibri"/>
                <w:b/>
                <w:bCs/>
              </w:rPr>
            </w:pPr>
            <w:r w:rsidRPr="001E3529">
              <w:rPr>
                <w:rFonts w:cs="Calibri"/>
                <w:b/>
                <w:bCs/>
              </w:rPr>
              <w:t>£m</w:t>
            </w:r>
          </w:p>
        </w:tc>
        <w:tc>
          <w:tcPr>
            <w:tcW w:w="5245" w:type="dxa"/>
            <w:noWrap/>
            <w:vAlign w:val="bottom"/>
          </w:tcPr>
          <w:p w:rsidR="001449FD" w:rsidRPr="001E3529" w:rsidRDefault="001449FD" w:rsidP="001449FD">
            <w:pPr>
              <w:jc w:val="right"/>
              <w:rPr>
                <w:rFonts w:cs="Calibri"/>
                <w:b/>
                <w:bCs/>
              </w:rPr>
            </w:pPr>
          </w:p>
        </w:tc>
        <w:tc>
          <w:tcPr>
            <w:tcW w:w="1559" w:type="dxa"/>
            <w:tcBorders>
              <w:bottom w:val="single" w:sz="4" w:space="0" w:color="auto"/>
            </w:tcBorders>
            <w:noWrap/>
            <w:vAlign w:val="bottom"/>
          </w:tcPr>
          <w:p w:rsidR="001449FD" w:rsidRPr="001E3529" w:rsidRDefault="001449FD" w:rsidP="001449FD">
            <w:pPr>
              <w:jc w:val="right"/>
              <w:rPr>
                <w:rFonts w:cs="Calibri"/>
                <w:b/>
                <w:bCs/>
              </w:rPr>
            </w:pPr>
            <w:r w:rsidRPr="001E3529">
              <w:rPr>
                <w:rFonts w:cs="Calibri"/>
                <w:b/>
                <w:bCs/>
              </w:rPr>
              <w:t>£m</w:t>
            </w:r>
          </w:p>
        </w:tc>
      </w:tr>
      <w:tr w:rsidR="001449FD" w:rsidRPr="001E3529" w:rsidTr="001449FD">
        <w:trPr>
          <w:trHeight w:val="300"/>
        </w:trPr>
        <w:tc>
          <w:tcPr>
            <w:tcW w:w="1735" w:type="dxa"/>
            <w:tcBorders>
              <w:top w:val="single" w:sz="4" w:space="0" w:color="auto"/>
              <w:left w:val="single" w:sz="4" w:space="0" w:color="auto"/>
              <w:right w:val="single" w:sz="4" w:space="0" w:color="auto"/>
            </w:tcBorders>
            <w:vAlign w:val="center"/>
          </w:tcPr>
          <w:p w:rsidR="001449FD" w:rsidRPr="001E3529" w:rsidRDefault="001449FD" w:rsidP="001449FD">
            <w:pPr>
              <w:jc w:val="right"/>
              <w:rPr>
                <w:rFonts w:cs="Calibri"/>
              </w:rPr>
            </w:pPr>
            <w:r w:rsidRPr="001E3529">
              <w:rPr>
                <w:rFonts w:cs="Calibri"/>
              </w:rPr>
              <w:t>(925.7)</w:t>
            </w:r>
          </w:p>
        </w:tc>
        <w:tc>
          <w:tcPr>
            <w:tcW w:w="5245" w:type="dxa"/>
            <w:tcBorders>
              <w:left w:val="single" w:sz="4" w:space="0" w:color="auto"/>
              <w:right w:val="single" w:sz="4" w:space="0" w:color="auto"/>
            </w:tcBorders>
            <w:noWrap/>
            <w:vAlign w:val="bottom"/>
          </w:tcPr>
          <w:p w:rsidR="001449FD" w:rsidRPr="001E3529" w:rsidRDefault="001449FD" w:rsidP="001449FD">
            <w:pPr>
              <w:rPr>
                <w:rFonts w:cs="Calibri"/>
                <w:b/>
                <w:bCs/>
              </w:rPr>
            </w:pPr>
            <w:r w:rsidRPr="001E3529">
              <w:rPr>
                <w:rFonts w:cs="Calibri"/>
                <w:bCs/>
              </w:rPr>
              <w:t>Pension Fund Liability</w:t>
            </w:r>
          </w:p>
        </w:tc>
        <w:tc>
          <w:tcPr>
            <w:tcW w:w="1559" w:type="dxa"/>
            <w:tcBorders>
              <w:top w:val="single" w:sz="4" w:space="0" w:color="auto"/>
              <w:left w:val="single" w:sz="4" w:space="0" w:color="auto"/>
              <w:right w:val="single" w:sz="4" w:space="0" w:color="auto"/>
            </w:tcBorders>
            <w:noWrap/>
            <w:vAlign w:val="center"/>
          </w:tcPr>
          <w:p w:rsidR="001449FD" w:rsidRPr="001E3529" w:rsidRDefault="001449FD" w:rsidP="001449FD">
            <w:pPr>
              <w:jc w:val="right"/>
              <w:rPr>
                <w:rFonts w:cs="Calibri"/>
              </w:rPr>
            </w:pPr>
            <w:r w:rsidRPr="001E3529">
              <w:rPr>
                <w:rFonts w:cs="Calibri"/>
                <w:color w:val="000000"/>
              </w:rPr>
              <w:t>(660.2)</w:t>
            </w:r>
          </w:p>
        </w:tc>
      </w:tr>
      <w:tr w:rsidR="001449FD" w:rsidRPr="001E3529" w:rsidTr="001449FD">
        <w:trPr>
          <w:trHeight w:val="300"/>
        </w:trPr>
        <w:tc>
          <w:tcPr>
            <w:tcW w:w="1735" w:type="dxa"/>
            <w:tcBorders>
              <w:left w:val="single" w:sz="4" w:space="0" w:color="auto"/>
              <w:bottom w:val="single" w:sz="4" w:space="0" w:color="auto"/>
              <w:right w:val="single" w:sz="4" w:space="0" w:color="auto"/>
            </w:tcBorders>
            <w:vAlign w:val="center"/>
          </w:tcPr>
          <w:p w:rsidR="001449FD" w:rsidRPr="001E3529" w:rsidRDefault="001449FD" w:rsidP="001449FD">
            <w:pPr>
              <w:jc w:val="right"/>
              <w:rPr>
                <w:rFonts w:cs="Calibri"/>
              </w:rPr>
            </w:pPr>
            <w:r w:rsidRPr="001E3529">
              <w:rPr>
                <w:rFonts w:cs="Calibri"/>
              </w:rPr>
              <w:t>(16.1)</w:t>
            </w:r>
          </w:p>
        </w:tc>
        <w:tc>
          <w:tcPr>
            <w:tcW w:w="5245" w:type="dxa"/>
            <w:tcBorders>
              <w:left w:val="single" w:sz="4" w:space="0" w:color="auto"/>
              <w:right w:val="single" w:sz="4" w:space="0" w:color="auto"/>
            </w:tcBorders>
            <w:noWrap/>
            <w:vAlign w:val="bottom"/>
          </w:tcPr>
          <w:p w:rsidR="001449FD" w:rsidRPr="001E3529" w:rsidRDefault="001449FD" w:rsidP="001449FD">
            <w:pPr>
              <w:rPr>
                <w:rFonts w:cs="Calibri"/>
              </w:rPr>
            </w:pPr>
            <w:r w:rsidRPr="001E3529">
              <w:rPr>
                <w:rFonts w:cs="Calibri"/>
              </w:rPr>
              <w:t>Deferred Income </w:t>
            </w:r>
          </w:p>
        </w:tc>
        <w:tc>
          <w:tcPr>
            <w:tcW w:w="1559" w:type="dxa"/>
            <w:tcBorders>
              <w:left w:val="single" w:sz="4" w:space="0" w:color="auto"/>
              <w:bottom w:val="single" w:sz="4" w:space="0" w:color="auto"/>
              <w:right w:val="single" w:sz="4" w:space="0" w:color="auto"/>
            </w:tcBorders>
            <w:noWrap/>
            <w:vAlign w:val="center"/>
          </w:tcPr>
          <w:p w:rsidR="001449FD" w:rsidRPr="001E3529" w:rsidRDefault="001449FD" w:rsidP="001449FD">
            <w:pPr>
              <w:jc w:val="right"/>
              <w:rPr>
                <w:rFonts w:cs="Calibri"/>
              </w:rPr>
            </w:pPr>
            <w:r w:rsidRPr="001E3529">
              <w:rPr>
                <w:rFonts w:cs="Calibri"/>
                <w:color w:val="000000"/>
              </w:rPr>
              <w:t>(14.1)</w:t>
            </w:r>
          </w:p>
        </w:tc>
      </w:tr>
      <w:tr w:rsidR="001449FD" w:rsidRPr="001E3529" w:rsidTr="001449FD">
        <w:trPr>
          <w:trHeight w:val="315"/>
        </w:trPr>
        <w:tc>
          <w:tcPr>
            <w:tcW w:w="1735" w:type="dxa"/>
            <w:tcBorders>
              <w:top w:val="single" w:sz="4" w:space="0" w:color="auto"/>
              <w:left w:val="single" w:sz="4" w:space="0" w:color="auto"/>
              <w:bottom w:val="single" w:sz="4" w:space="0" w:color="auto"/>
              <w:right w:val="single" w:sz="4" w:space="0" w:color="auto"/>
            </w:tcBorders>
            <w:vAlign w:val="center"/>
          </w:tcPr>
          <w:p w:rsidR="001449FD" w:rsidRPr="001E3529" w:rsidRDefault="001449FD" w:rsidP="001449FD">
            <w:pPr>
              <w:jc w:val="right"/>
              <w:rPr>
                <w:rFonts w:cs="Calibri"/>
                <w:b/>
                <w:bCs/>
              </w:rPr>
            </w:pPr>
            <w:r w:rsidRPr="001E3529">
              <w:rPr>
                <w:rFonts w:cs="Calibri"/>
                <w:b/>
                <w:bCs/>
              </w:rPr>
              <w:t>(941.8)</w:t>
            </w:r>
          </w:p>
        </w:tc>
        <w:tc>
          <w:tcPr>
            <w:tcW w:w="5245" w:type="dxa"/>
            <w:tcBorders>
              <w:left w:val="single" w:sz="4" w:space="0" w:color="auto"/>
              <w:right w:val="single" w:sz="4" w:space="0" w:color="auto"/>
            </w:tcBorders>
            <w:noWrap/>
            <w:vAlign w:val="bottom"/>
          </w:tcPr>
          <w:p w:rsidR="001449FD" w:rsidRPr="001E3529" w:rsidRDefault="001449FD" w:rsidP="001449FD">
            <w:pPr>
              <w:rPr>
                <w:rFonts w:cs="Calibri"/>
                <w:b/>
                <w:bCs/>
              </w:rPr>
            </w:pPr>
            <w:r w:rsidRPr="001E3529">
              <w:rPr>
                <w:rFonts w:cs="Calibri"/>
                <w:b/>
                <w:bCs/>
              </w:rPr>
              <w:t>Total</w:t>
            </w:r>
          </w:p>
        </w:tc>
        <w:tc>
          <w:tcPr>
            <w:tcW w:w="1559" w:type="dxa"/>
            <w:tcBorders>
              <w:top w:val="single" w:sz="4" w:space="0" w:color="auto"/>
              <w:left w:val="single" w:sz="4" w:space="0" w:color="auto"/>
              <w:bottom w:val="single" w:sz="4" w:space="0" w:color="auto"/>
              <w:right w:val="single" w:sz="4" w:space="0" w:color="auto"/>
            </w:tcBorders>
            <w:noWrap/>
            <w:vAlign w:val="center"/>
          </w:tcPr>
          <w:p w:rsidR="001449FD" w:rsidRPr="001E3529" w:rsidRDefault="001449FD" w:rsidP="001449FD">
            <w:pPr>
              <w:jc w:val="right"/>
              <w:rPr>
                <w:rFonts w:cs="Calibri"/>
                <w:b/>
                <w:bCs/>
              </w:rPr>
            </w:pPr>
            <w:r w:rsidRPr="001E3529">
              <w:rPr>
                <w:rFonts w:cs="Calibri"/>
                <w:b/>
                <w:bCs/>
                <w:color w:val="000000"/>
              </w:rPr>
              <w:t>(674.3)</w:t>
            </w:r>
          </w:p>
        </w:tc>
      </w:tr>
    </w:tbl>
    <w:p w:rsidR="00F72906" w:rsidRDefault="00F72906" w:rsidP="00F72906"/>
    <w:p w:rsidR="00F72906" w:rsidRDefault="00F72906" w:rsidP="001449FD">
      <w:pPr>
        <w:pStyle w:val="Heading3"/>
      </w:pPr>
      <w:r>
        <w:t>Note 9 – Provisions</w:t>
      </w:r>
    </w:p>
    <w:p w:rsidR="001449FD" w:rsidRDefault="00F72906" w:rsidP="001449FD">
      <w:r>
        <w:t xml:space="preserve"> </w:t>
      </w:r>
    </w:p>
    <w:tbl>
      <w:tblPr>
        <w:tblW w:w="8600" w:type="dxa"/>
        <w:tblInd w:w="108" w:type="dxa"/>
        <w:tblLook w:val="00A0" w:firstRow="1" w:lastRow="0" w:firstColumn="1" w:lastColumn="0" w:noHBand="0" w:noVBand="0"/>
      </w:tblPr>
      <w:tblGrid>
        <w:gridCol w:w="3436"/>
        <w:gridCol w:w="1396"/>
        <w:gridCol w:w="1596"/>
        <w:gridCol w:w="1196"/>
        <w:gridCol w:w="976"/>
      </w:tblGrid>
      <w:tr w:rsidR="001449FD" w:rsidRPr="00EB2995" w:rsidTr="001449FD">
        <w:trPr>
          <w:trHeight w:val="229"/>
        </w:trPr>
        <w:tc>
          <w:tcPr>
            <w:tcW w:w="3436" w:type="dxa"/>
            <w:tcBorders>
              <w:top w:val="nil"/>
              <w:left w:val="nil"/>
              <w:bottom w:val="nil"/>
              <w:right w:val="nil"/>
            </w:tcBorders>
            <w:vAlign w:val="bottom"/>
          </w:tcPr>
          <w:p w:rsidR="001449FD" w:rsidRPr="00EB2995" w:rsidRDefault="001449FD" w:rsidP="001449FD">
            <w:pPr>
              <w:rPr>
                <w:rFonts w:cs="Calibri"/>
                <w:b/>
                <w:bCs/>
              </w:rPr>
            </w:pPr>
            <w:r w:rsidRPr="00EB2995">
              <w:rPr>
                <w:rFonts w:cs="Calibri"/>
                <w:b/>
                <w:bCs/>
              </w:rPr>
              <w:t> </w:t>
            </w:r>
          </w:p>
        </w:tc>
        <w:tc>
          <w:tcPr>
            <w:tcW w:w="1396" w:type="dxa"/>
            <w:tcBorders>
              <w:top w:val="nil"/>
              <w:left w:val="nil"/>
              <w:right w:val="nil"/>
            </w:tcBorders>
            <w:noWrap/>
            <w:vAlign w:val="bottom"/>
          </w:tcPr>
          <w:p w:rsidR="001449FD" w:rsidRPr="00EB2995" w:rsidRDefault="001449FD" w:rsidP="001449FD">
            <w:pPr>
              <w:jc w:val="right"/>
              <w:rPr>
                <w:rFonts w:cs="Calibri"/>
                <w:b/>
                <w:bCs/>
              </w:rPr>
            </w:pPr>
            <w:r w:rsidRPr="00EB2995">
              <w:rPr>
                <w:rFonts w:cs="Calibri"/>
                <w:b/>
                <w:bCs/>
              </w:rPr>
              <w:t>Outstanding Legal Cases</w:t>
            </w:r>
          </w:p>
        </w:tc>
        <w:tc>
          <w:tcPr>
            <w:tcW w:w="1596" w:type="dxa"/>
            <w:tcBorders>
              <w:top w:val="nil"/>
              <w:left w:val="nil"/>
              <w:right w:val="nil"/>
            </w:tcBorders>
            <w:noWrap/>
            <w:vAlign w:val="bottom"/>
          </w:tcPr>
          <w:p w:rsidR="001449FD" w:rsidRPr="00EB2995" w:rsidRDefault="001449FD" w:rsidP="001449FD">
            <w:pPr>
              <w:jc w:val="right"/>
              <w:rPr>
                <w:rFonts w:cs="Calibri"/>
                <w:b/>
                <w:bCs/>
              </w:rPr>
            </w:pPr>
            <w:r w:rsidRPr="00EB2995">
              <w:rPr>
                <w:rFonts w:cs="Calibri"/>
                <w:b/>
                <w:bCs/>
              </w:rPr>
              <w:t>Compensation Claims</w:t>
            </w:r>
          </w:p>
        </w:tc>
        <w:tc>
          <w:tcPr>
            <w:tcW w:w="1196" w:type="dxa"/>
            <w:tcBorders>
              <w:top w:val="nil"/>
              <w:left w:val="nil"/>
              <w:right w:val="nil"/>
            </w:tcBorders>
            <w:noWrap/>
            <w:vAlign w:val="bottom"/>
          </w:tcPr>
          <w:p w:rsidR="001449FD" w:rsidRPr="00EB2995" w:rsidRDefault="001449FD" w:rsidP="001449FD">
            <w:pPr>
              <w:jc w:val="right"/>
              <w:rPr>
                <w:rFonts w:cs="Calibri"/>
                <w:b/>
                <w:bCs/>
              </w:rPr>
            </w:pPr>
            <w:r w:rsidRPr="00EB2995">
              <w:rPr>
                <w:rFonts w:cs="Calibri"/>
                <w:b/>
                <w:bCs/>
              </w:rPr>
              <w:t>Other Provisions</w:t>
            </w:r>
          </w:p>
        </w:tc>
        <w:tc>
          <w:tcPr>
            <w:tcW w:w="976" w:type="dxa"/>
            <w:tcBorders>
              <w:top w:val="nil"/>
              <w:left w:val="nil"/>
              <w:right w:val="nil"/>
            </w:tcBorders>
            <w:noWrap/>
            <w:vAlign w:val="bottom"/>
          </w:tcPr>
          <w:p w:rsidR="001449FD" w:rsidRPr="00EB2995" w:rsidRDefault="001449FD" w:rsidP="001449FD">
            <w:pPr>
              <w:jc w:val="right"/>
              <w:rPr>
                <w:rFonts w:cs="Calibri"/>
                <w:b/>
                <w:bCs/>
              </w:rPr>
            </w:pPr>
            <w:r w:rsidRPr="00EB2995">
              <w:rPr>
                <w:rFonts w:cs="Calibri"/>
                <w:b/>
                <w:bCs/>
              </w:rPr>
              <w:t>Total</w:t>
            </w:r>
          </w:p>
        </w:tc>
      </w:tr>
      <w:tr w:rsidR="001449FD" w:rsidRPr="00EB2995" w:rsidTr="001449FD">
        <w:trPr>
          <w:trHeight w:val="300"/>
        </w:trPr>
        <w:tc>
          <w:tcPr>
            <w:tcW w:w="3436" w:type="dxa"/>
            <w:tcBorders>
              <w:top w:val="nil"/>
              <w:left w:val="nil"/>
              <w:bottom w:val="nil"/>
              <w:right w:val="nil"/>
            </w:tcBorders>
            <w:vAlign w:val="bottom"/>
          </w:tcPr>
          <w:p w:rsidR="001449FD" w:rsidRPr="00EB2995" w:rsidRDefault="001449FD" w:rsidP="001449FD">
            <w:pPr>
              <w:rPr>
                <w:rFonts w:cs="Calibri"/>
                <w:b/>
                <w:bCs/>
              </w:rPr>
            </w:pPr>
          </w:p>
        </w:tc>
        <w:tc>
          <w:tcPr>
            <w:tcW w:w="1396" w:type="dxa"/>
            <w:tcBorders>
              <w:top w:val="nil"/>
              <w:left w:val="nil"/>
              <w:bottom w:val="single" w:sz="4" w:space="0" w:color="auto"/>
              <w:right w:val="nil"/>
            </w:tcBorders>
            <w:noWrap/>
            <w:vAlign w:val="bottom"/>
          </w:tcPr>
          <w:p w:rsidR="001449FD" w:rsidRPr="00EB2995" w:rsidRDefault="001449FD" w:rsidP="001449FD">
            <w:pPr>
              <w:jc w:val="right"/>
              <w:rPr>
                <w:rFonts w:cs="Calibri"/>
                <w:b/>
                <w:bCs/>
              </w:rPr>
            </w:pPr>
            <w:r w:rsidRPr="00EB2995">
              <w:rPr>
                <w:rFonts w:cs="Calibri"/>
                <w:b/>
                <w:bCs/>
              </w:rPr>
              <w:t>£m</w:t>
            </w:r>
          </w:p>
        </w:tc>
        <w:tc>
          <w:tcPr>
            <w:tcW w:w="1596" w:type="dxa"/>
            <w:tcBorders>
              <w:top w:val="nil"/>
              <w:left w:val="nil"/>
              <w:bottom w:val="single" w:sz="4" w:space="0" w:color="auto"/>
              <w:right w:val="nil"/>
            </w:tcBorders>
            <w:noWrap/>
            <w:vAlign w:val="bottom"/>
          </w:tcPr>
          <w:p w:rsidR="001449FD" w:rsidRPr="00EB2995" w:rsidRDefault="001449FD" w:rsidP="001449FD">
            <w:pPr>
              <w:jc w:val="right"/>
              <w:rPr>
                <w:rFonts w:cs="Calibri"/>
                <w:b/>
                <w:bCs/>
              </w:rPr>
            </w:pPr>
            <w:r w:rsidRPr="00EB2995">
              <w:rPr>
                <w:rFonts w:cs="Calibri"/>
                <w:b/>
                <w:bCs/>
              </w:rPr>
              <w:t>£m</w:t>
            </w:r>
          </w:p>
        </w:tc>
        <w:tc>
          <w:tcPr>
            <w:tcW w:w="1196" w:type="dxa"/>
            <w:tcBorders>
              <w:top w:val="nil"/>
              <w:left w:val="nil"/>
              <w:bottom w:val="single" w:sz="4" w:space="0" w:color="auto"/>
              <w:right w:val="nil"/>
            </w:tcBorders>
            <w:noWrap/>
            <w:vAlign w:val="bottom"/>
          </w:tcPr>
          <w:p w:rsidR="001449FD" w:rsidRPr="00EB2995" w:rsidRDefault="001449FD" w:rsidP="001449FD">
            <w:pPr>
              <w:jc w:val="right"/>
              <w:rPr>
                <w:rFonts w:cs="Calibri"/>
                <w:b/>
                <w:bCs/>
              </w:rPr>
            </w:pPr>
            <w:r w:rsidRPr="00EB2995">
              <w:rPr>
                <w:rFonts w:cs="Calibri"/>
                <w:b/>
                <w:bCs/>
              </w:rPr>
              <w:t>£m</w:t>
            </w:r>
          </w:p>
        </w:tc>
        <w:tc>
          <w:tcPr>
            <w:tcW w:w="976" w:type="dxa"/>
            <w:tcBorders>
              <w:top w:val="nil"/>
              <w:left w:val="nil"/>
              <w:bottom w:val="single" w:sz="4" w:space="0" w:color="auto"/>
              <w:right w:val="nil"/>
            </w:tcBorders>
            <w:noWrap/>
            <w:vAlign w:val="bottom"/>
          </w:tcPr>
          <w:p w:rsidR="001449FD" w:rsidRPr="00EB2995" w:rsidRDefault="001449FD" w:rsidP="001449FD">
            <w:pPr>
              <w:jc w:val="right"/>
              <w:rPr>
                <w:rFonts w:cs="Calibri"/>
                <w:b/>
                <w:bCs/>
              </w:rPr>
            </w:pPr>
            <w:r w:rsidRPr="00EB2995">
              <w:rPr>
                <w:rFonts w:cs="Calibri"/>
                <w:b/>
                <w:bCs/>
              </w:rPr>
              <w:t>£m</w:t>
            </w:r>
          </w:p>
        </w:tc>
      </w:tr>
      <w:tr w:rsidR="001449FD" w:rsidRPr="00EB2995" w:rsidTr="001449FD">
        <w:trPr>
          <w:trHeight w:val="300"/>
        </w:trPr>
        <w:tc>
          <w:tcPr>
            <w:tcW w:w="3436" w:type="dxa"/>
            <w:tcBorders>
              <w:top w:val="nil"/>
              <w:left w:val="nil"/>
              <w:bottom w:val="nil"/>
              <w:right w:val="single" w:sz="4" w:space="0" w:color="auto"/>
            </w:tcBorders>
            <w:vAlign w:val="center"/>
          </w:tcPr>
          <w:p w:rsidR="001449FD" w:rsidRPr="00EB2995" w:rsidRDefault="001449FD" w:rsidP="001449FD">
            <w:pPr>
              <w:rPr>
                <w:rFonts w:cs="Calibri"/>
                <w:b/>
                <w:bCs/>
                <w:u w:val="single"/>
              </w:rPr>
            </w:pPr>
            <w:r w:rsidRPr="00EB2995">
              <w:rPr>
                <w:rFonts w:cs="Calibri"/>
                <w:b/>
                <w:bCs/>
                <w:u w:val="single"/>
              </w:rPr>
              <w:t>Short Term Provisions</w:t>
            </w:r>
          </w:p>
        </w:tc>
        <w:tc>
          <w:tcPr>
            <w:tcW w:w="1396" w:type="dxa"/>
            <w:tcBorders>
              <w:top w:val="single" w:sz="4" w:space="0" w:color="auto"/>
              <w:left w:val="single" w:sz="4" w:space="0" w:color="auto"/>
              <w:bottom w:val="single" w:sz="4" w:space="0" w:color="auto"/>
              <w:right w:val="nil"/>
            </w:tcBorders>
            <w:noWrap/>
            <w:vAlign w:val="center"/>
          </w:tcPr>
          <w:p w:rsidR="001449FD" w:rsidRPr="00EB2995" w:rsidRDefault="001449FD" w:rsidP="001449FD">
            <w:pPr>
              <w:jc w:val="right"/>
              <w:rPr>
                <w:rFonts w:cs="Calibri"/>
                <w:b/>
                <w:bCs/>
              </w:rPr>
            </w:pPr>
            <w:r w:rsidRPr="00EB2995">
              <w:rPr>
                <w:rFonts w:cs="Calibri"/>
                <w:b/>
                <w:bCs/>
                <w:color w:val="000000"/>
              </w:rPr>
              <w:t> </w:t>
            </w:r>
          </w:p>
        </w:tc>
        <w:tc>
          <w:tcPr>
            <w:tcW w:w="1596" w:type="dxa"/>
            <w:tcBorders>
              <w:top w:val="single" w:sz="4" w:space="0" w:color="auto"/>
              <w:left w:val="nil"/>
              <w:bottom w:val="nil"/>
              <w:right w:val="nil"/>
            </w:tcBorders>
            <w:noWrap/>
            <w:vAlign w:val="center"/>
          </w:tcPr>
          <w:p w:rsidR="001449FD" w:rsidRPr="00EB2995" w:rsidRDefault="001449FD" w:rsidP="001449FD">
            <w:pPr>
              <w:jc w:val="right"/>
              <w:rPr>
                <w:rFonts w:cs="Calibri"/>
                <w:b/>
                <w:bCs/>
              </w:rPr>
            </w:pPr>
          </w:p>
        </w:tc>
        <w:tc>
          <w:tcPr>
            <w:tcW w:w="1196" w:type="dxa"/>
            <w:tcBorders>
              <w:top w:val="single" w:sz="4" w:space="0" w:color="auto"/>
              <w:left w:val="nil"/>
              <w:bottom w:val="nil"/>
              <w:right w:val="nil"/>
            </w:tcBorders>
            <w:noWrap/>
            <w:vAlign w:val="center"/>
          </w:tcPr>
          <w:p w:rsidR="001449FD" w:rsidRPr="00EB2995" w:rsidRDefault="001449FD" w:rsidP="001449FD">
            <w:pPr>
              <w:jc w:val="right"/>
              <w:rPr>
                <w:rFonts w:cs="Calibri"/>
                <w:b/>
                <w:bCs/>
              </w:rPr>
            </w:pPr>
          </w:p>
        </w:tc>
        <w:tc>
          <w:tcPr>
            <w:tcW w:w="976" w:type="dxa"/>
            <w:tcBorders>
              <w:top w:val="single" w:sz="4" w:space="0" w:color="auto"/>
              <w:left w:val="nil"/>
              <w:bottom w:val="nil"/>
              <w:right w:val="single" w:sz="4" w:space="0" w:color="auto"/>
            </w:tcBorders>
            <w:noWrap/>
            <w:vAlign w:val="center"/>
          </w:tcPr>
          <w:p w:rsidR="001449FD" w:rsidRPr="00EB2995" w:rsidRDefault="001449FD" w:rsidP="001449FD">
            <w:pPr>
              <w:jc w:val="right"/>
              <w:rPr>
                <w:rFonts w:cs="Calibri"/>
                <w:b/>
                <w:bCs/>
              </w:rPr>
            </w:pPr>
            <w:r w:rsidRPr="00EB2995">
              <w:rPr>
                <w:rFonts w:cs="Calibri"/>
                <w:b/>
                <w:bCs/>
                <w:color w:val="000000"/>
              </w:rPr>
              <w:t> </w:t>
            </w:r>
          </w:p>
        </w:tc>
      </w:tr>
      <w:tr w:rsidR="001449FD" w:rsidRPr="00EB2995" w:rsidTr="001449FD">
        <w:trPr>
          <w:trHeight w:val="300"/>
        </w:trPr>
        <w:tc>
          <w:tcPr>
            <w:tcW w:w="3436" w:type="dxa"/>
            <w:tcBorders>
              <w:top w:val="nil"/>
              <w:left w:val="nil"/>
              <w:bottom w:val="nil"/>
              <w:right w:val="single" w:sz="4" w:space="0" w:color="auto"/>
            </w:tcBorders>
            <w:vAlign w:val="center"/>
          </w:tcPr>
          <w:p w:rsidR="001449FD" w:rsidRPr="00EB2995" w:rsidRDefault="001449FD" w:rsidP="001449FD">
            <w:pPr>
              <w:rPr>
                <w:rFonts w:cs="Calibri"/>
                <w:b/>
                <w:bCs/>
              </w:rPr>
            </w:pPr>
            <w:r w:rsidRPr="00EB2995">
              <w:rPr>
                <w:rFonts w:cs="Calibri"/>
                <w:b/>
                <w:bCs/>
              </w:rPr>
              <w:lastRenderedPageBreak/>
              <w:t>Balance at 1 April 2019</w:t>
            </w:r>
          </w:p>
        </w:tc>
        <w:tc>
          <w:tcPr>
            <w:tcW w:w="1396" w:type="dxa"/>
            <w:tcBorders>
              <w:top w:val="single" w:sz="4" w:space="0" w:color="auto"/>
              <w:left w:val="single" w:sz="4" w:space="0" w:color="auto"/>
              <w:bottom w:val="single" w:sz="4" w:space="0" w:color="auto"/>
              <w:right w:val="nil"/>
            </w:tcBorders>
            <w:noWrap/>
            <w:vAlign w:val="center"/>
          </w:tcPr>
          <w:p w:rsidR="001449FD" w:rsidRPr="00EB2995" w:rsidRDefault="001449FD" w:rsidP="001449FD">
            <w:pPr>
              <w:jc w:val="right"/>
              <w:rPr>
                <w:rFonts w:cs="Calibri"/>
                <w:b/>
                <w:bCs/>
              </w:rPr>
            </w:pPr>
            <w:r w:rsidRPr="00EB2995">
              <w:rPr>
                <w:rFonts w:cs="Calibri"/>
                <w:b/>
                <w:bCs/>
                <w:color w:val="000000"/>
              </w:rPr>
              <w:t>0.0</w:t>
            </w:r>
          </w:p>
        </w:tc>
        <w:tc>
          <w:tcPr>
            <w:tcW w:w="1596" w:type="dxa"/>
            <w:tcBorders>
              <w:top w:val="single" w:sz="4" w:space="0" w:color="auto"/>
              <w:left w:val="nil"/>
              <w:bottom w:val="single" w:sz="4" w:space="0" w:color="auto"/>
              <w:right w:val="nil"/>
            </w:tcBorders>
            <w:noWrap/>
            <w:vAlign w:val="center"/>
          </w:tcPr>
          <w:p w:rsidR="001449FD" w:rsidRPr="00EB2995" w:rsidRDefault="001449FD" w:rsidP="001449FD">
            <w:pPr>
              <w:jc w:val="right"/>
              <w:rPr>
                <w:rFonts w:cs="Calibri"/>
                <w:b/>
                <w:bCs/>
              </w:rPr>
            </w:pPr>
            <w:r w:rsidRPr="00EB2995">
              <w:rPr>
                <w:rFonts w:cs="Calibri"/>
                <w:b/>
                <w:bCs/>
                <w:color w:val="000000"/>
              </w:rPr>
              <w:t>(2.2)</w:t>
            </w:r>
          </w:p>
        </w:tc>
        <w:tc>
          <w:tcPr>
            <w:tcW w:w="1196" w:type="dxa"/>
            <w:tcBorders>
              <w:top w:val="single" w:sz="4" w:space="0" w:color="auto"/>
              <w:left w:val="nil"/>
              <w:bottom w:val="single" w:sz="4" w:space="0" w:color="auto"/>
              <w:right w:val="nil"/>
            </w:tcBorders>
            <w:noWrap/>
            <w:vAlign w:val="center"/>
          </w:tcPr>
          <w:p w:rsidR="001449FD" w:rsidRPr="00EB2995" w:rsidRDefault="001449FD" w:rsidP="001449FD">
            <w:pPr>
              <w:ind w:left="864" w:hanging="864"/>
              <w:jc w:val="right"/>
              <w:rPr>
                <w:rFonts w:cs="Calibri"/>
                <w:b/>
                <w:bCs/>
              </w:rPr>
            </w:pPr>
            <w:r w:rsidRPr="00EB2995">
              <w:rPr>
                <w:rFonts w:cs="Calibri"/>
                <w:b/>
                <w:bCs/>
                <w:color w:val="000000"/>
              </w:rPr>
              <w:t>(0.4)</w:t>
            </w:r>
          </w:p>
        </w:tc>
        <w:tc>
          <w:tcPr>
            <w:tcW w:w="976" w:type="dxa"/>
            <w:tcBorders>
              <w:top w:val="single" w:sz="4" w:space="0" w:color="auto"/>
              <w:left w:val="nil"/>
              <w:bottom w:val="single" w:sz="4" w:space="0" w:color="auto"/>
              <w:right w:val="single" w:sz="4" w:space="0" w:color="auto"/>
            </w:tcBorders>
            <w:noWrap/>
            <w:vAlign w:val="center"/>
          </w:tcPr>
          <w:p w:rsidR="001449FD" w:rsidRPr="00EB2995" w:rsidRDefault="001449FD" w:rsidP="001449FD">
            <w:pPr>
              <w:ind w:left="864" w:hanging="864"/>
              <w:jc w:val="right"/>
              <w:rPr>
                <w:rFonts w:cs="Calibri"/>
                <w:b/>
                <w:bCs/>
              </w:rPr>
            </w:pPr>
            <w:r w:rsidRPr="00EB2995">
              <w:rPr>
                <w:rFonts w:cs="Calibri"/>
                <w:b/>
                <w:bCs/>
                <w:color w:val="000000"/>
              </w:rPr>
              <w:t>(2.6)</w:t>
            </w:r>
          </w:p>
        </w:tc>
      </w:tr>
      <w:tr w:rsidR="001449FD" w:rsidRPr="00EB2995" w:rsidTr="001449FD">
        <w:trPr>
          <w:trHeight w:val="300"/>
        </w:trPr>
        <w:tc>
          <w:tcPr>
            <w:tcW w:w="3436" w:type="dxa"/>
            <w:tcBorders>
              <w:top w:val="nil"/>
              <w:left w:val="nil"/>
              <w:bottom w:val="nil"/>
              <w:right w:val="single" w:sz="4" w:space="0" w:color="auto"/>
            </w:tcBorders>
            <w:vAlign w:val="center"/>
          </w:tcPr>
          <w:p w:rsidR="001449FD" w:rsidRPr="00EB2995" w:rsidRDefault="001449FD" w:rsidP="001449FD">
            <w:pPr>
              <w:rPr>
                <w:rFonts w:cs="Calibri"/>
                <w:bCs/>
              </w:rPr>
            </w:pPr>
            <w:r w:rsidRPr="00EB2995">
              <w:rPr>
                <w:rFonts w:cs="Calibri"/>
                <w:bCs/>
              </w:rPr>
              <w:t>Net (additions) reductions to provisions made in 2019/20</w:t>
            </w:r>
          </w:p>
        </w:tc>
        <w:tc>
          <w:tcPr>
            <w:tcW w:w="1396" w:type="dxa"/>
            <w:tcBorders>
              <w:top w:val="single" w:sz="4" w:space="0" w:color="auto"/>
              <w:left w:val="single" w:sz="4" w:space="0" w:color="auto"/>
              <w:bottom w:val="nil"/>
              <w:right w:val="nil"/>
            </w:tcBorders>
            <w:noWrap/>
            <w:vAlign w:val="center"/>
          </w:tcPr>
          <w:p w:rsidR="001449FD" w:rsidRPr="00EB2995" w:rsidRDefault="001449FD" w:rsidP="001449FD">
            <w:pPr>
              <w:jc w:val="right"/>
              <w:rPr>
                <w:rFonts w:cs="Calibri"/>
              </w:rPr>
            </w:pPr>
            <w:r w:rsidRPr="00EB2995">
              <w:rPr>
                <w:rFonts w:cs="Calibri"/>
                <w:color w:val="000000"/>
              </w:rPr>
              <w:t>0.0</w:t>
            </w:r>
          </w:p>
        </w:tc>
        <w:tc>
          <w:tcPr>
            <w:tcW w:w="1596" w:type="dxa"/>
            <w:tcBorders>
              <w:top w:val="nil"/>
              <w:left w:val="nil"/>
              <w:bottom w:val="nil"/>
              <w:right w:val="nil"/>
            </w:tcBorders>
            <w:noWrap/>
            <w:vAlign w:val="center"/>
          </w:tcPr>
          <w:p w:rsidR="001449FD" w:rsidRPr="00EB2995" w:rsidRDefault="001449FD" w:rsidP="001449FD">
            <w:pPr>
              <w:jc w:val="right"/>
              <w:rPr>
                <w:rFonts w:cs="Calibri"/>
              </w:rPr>
            </w:pPr>
            <w:r w:rsidRPr="00EB2995">
              <w:rPr>
                <w:rFonts w:cs="Calibri"/>
                <w:color w:val="000000"/>
              </w:rPr>
              <w:t>0.0</w:t>
            </w:r>
          </w:p>
        </w:tc>
        <w:tc>
          <w:tcPr>
            <w:tcW w:w="1196" w:type="dxa"/>
            <w:tcBorders>
              <w:top w:val="nil"/>
              <w:left w:val="nil"/>
              <w:bottom w:val="nil"/>
              <w:right w:val="nil"/>
            </w:tcBorders>
            <w:noWrap/>
            <w:vAlign w:val="center"/>
          </w:tcPr>
          <w:p w:rsidR="001449FD" w:rsidRPr="00EB2995" w:rsidRDefault="001449FD" w:rsidP="001449FD">
            <w:pPr>
              <w:jc w:val="right"/>
              <w:rPr>
                <w:rFonts w:cs="Calibri"/>
              </w:rPr>
            </w:pPr>
            <w:r w:rsidRPr="00EB2995">
              <w:rPr>
                <w:rFonts w:cs="Calibri"/>
                <w:color w:val="000000"/>
              </w:rPr>
              <w:t>0.4</w:t>
            </w:r>
          </w:p>
        </w:tc>
        <w:tc>
          <w:tcPr>
            <w:tcW w:w="976" w:type="dxa"/>
            <w:tcBorders>
              <w:top w:val="nil"/>
              <w:left w:val="nil"/>
              <w:bottom w:val="nil"/>
              <w:right w:val="single" w:sz="4" w:space="0" w:color="auto"/>
            </w:tcBorders>
            <w:noWrap/>
            <w:vAlign w:val="center"/>
          </w:tcPr>
          <w:p w:rsidR="001449FD" w:rsidRPr="00EB2995" w:rsidRDefault="001449FD" w:rsidP="001449FD">
            <w:pPr>
              <w:ind w:left="864" w:hanging="864"/>
              <w:jc w:val="right"/>
              <w:rPr>
                <w:rFonts w:cs="Calibri"/>
                <w:b/>
              </w:rPr>
            </w:pPr>
            <w:r w:rsidRPr="00EB2995">
              <w:rPr>
                <w:rFonts w:cs="Calibri"/>
                <w:b/>
                <w:bCs/>
                <w:color w:val="000000"/>
              </w:rPr>
              <w:t>0.4</w:t>
            </w:r>
          </w:p>
        </w:tc>
      </w:tr>
      <w:tr w:rsidR="001449FD" w:rsidRPr="00EB2995" w:rsidTr="001449FD">
        <w:trPr>
          <w:trHeight w:val="300"/>
        </w:trPr>
        <w:tc>
          <w:tcPr>
            <w:tcW w:w="3436" w:type="dxa"/>
            <w:tcBorders>
              <w:top w:val="nil"/>
              <w:left w:val="nil"/>
              <w:bottom w:val="nil"/>
              <w:right w:val="single" w:sz="4" w:space="0" w:color="auto"/>
            </w:tcBorders>
            <w:vAlign w:val="center"/>
          </w:tcPr>
          <w:p w:rsidR="001449FD" w:rsidRPr="00EB2995" w:rsidRDefault="001449FD" w:rsidP="001449FD">
            <w:pPr>
              <w:rPr>
                <w:rFonts w:cs="Calibri"/>
                <w:b/>
                <w:bCs/>
              </w:rPr>
            </w:pPr>
            <w:r w:rsidRPr="00EB2995">
              <w:rPr>
                <w:rFonts w:cs="Calibri"/>
                <w:b/>
                <w:bCs/>
              </w:rPr>
              <w:t>Balance at 31 March 2020</w:t>
            </w:r>
          </w:p>
        </w:tc>
        <w:tc>
          <w:tcPr>
            <w:tcW w:w="1396" w:type="dxa"/>
            <w:tcBorders>
              <w:top w:val="single" w:sz="4" w:space="0" w:color="auto"/>
              <w:left w:val="single" w:sz="4" w:space="0" w:color="auto"/>
              <w:bottom w:val="single" w:sz="4" w:space="0" w:color="auto"/>
              <w:right w:val="nil"/>
            </w:tcBorders>
            <w:noWrap/>
            <w:vAlign w:val="center"/>
          </w:tcPr>
          <w:p w:rsidR="001449FD" w:rsidRPr="00EB2995" w:rsidRDefault="001449FD" w:rsidP="001449FD">
            <w:pPr>
              <w:jc w:val="right"/>
              <w:rPr>
                <w:rFonts w:cs="Calibri"/>
                <w:b/>
                <w:bCs/>
              </w:rPr>
            </w:pPr>
            <w:r w:rsidRPr="00EB2995">
              <w:rPr>
                <w:rFonts w:cs="Calibri"/>
                <w:b/>
                <w:bCs/>
                <w:color w:val="000000"/>
              </w:rPr>
              <w:t>0.0</w:t>
            </w:r>
          </w:p>
        </w:tc>
        <w:tc>
          <w:tcPr>
            <w:tcW w:w="1596" w:type="dxa"/>
            <w:tcBorders>
              <w:top w:val="single" w:sz="4" w:space="0" w:color="auto"/>
              <w:left w:val="nil"/>
              <w:bottom w:val="single" w:sz="4" w:space="0" w:color="auto"/>
              <w:right w:val="nil"/>
            </w:tcBorders>
            <w:noWrap/>
            <w:vAlign w:val="center"/>
          </w:tcPr>
          <w:p w:rsidR="001449FD" w:rsidRPr="00EB2995" w:rsidRDefault="001449FD" w:rsidP="001449FD">
            <w:pPr>
              <w:jc w:val="right"/>
              <w:rPr>
                <w:rFonts w:cs="Calibri"/>
                <w:b/>
                <w:bCs/>
              </w:rPr>
            </w:pPr>
            <w:r w:rsidRPr="00EB2995">
              <w:rPr>
                <w:rFonts w:cs="Calibri"/>
                <w:b/>
                <w:bCs/>
                <w:color w:val="000000"/>
              </w:rPr>
              <w:t>(2.2)</w:t>
            </w:r>
          </w:p>
        </w:tc>
        <w:tc>
          <w:tcPr>
            <w:tcW w:w="1196" w:type="dxa"/>
            <w:tcBorders>
              <w:top w:val="single" w:sz="4" w:space="0" w:color="auto"/>
              <w:left w:val="nil"/>
              <w:bottom w:val="single" w:sz="4" w:space="0" w:color="auto"/>
              <w:right w:val="nil"/>
            </w:tcBorders>
            <w:noWrap/>
            <w:vAlign w:val="center"/>
          </w:tcPr>
          <w:p w:rsidR="001449FD" w:rsidRPr="00EB2995" w:rsidRDefault="001449FD" w:rsidP="001449FD">
            <w:pPr>
              <w:ind w:left="864" w:hanging="864"/>
              <w:jc w:val="right"/>
              <w:rPr>
                <w:rFonts w:cs="Calibri"/>
                <w:b/>
                <w:bCs/>
              </w:rPr>
            </w:pPr>
            <w:r w:rsidRPr="00EB2995">
              <w:rPr>
                <w:rFonts w:cs="Calibri"/>
                <w:b/>
                <w:bCs/>
                <w:color w:val="000000"/>
              </w:rPr>
              <w:t>0.0</w:t>
            </w:r>
          </w:p>
        </w:tc>
        <w:tc>
          <w:tcPr>
            <w:tcW w:w="976" w:type="dxa"/>
            <w:tcBorders>
              <w:top w:val="single" w:sz="4" w:space="0" w:color="auto"/>
              <w:left w:val="nil"/>
              <w:bottom w:val="single" w:sz="4" w:space="0" w:color="auto"/>
              <w:right w:val="single" w:sz="4" w:space="0" w:color="auto"/>
            </w:tcBorders>
            <w:noWrap/>
            <w:vAlign w:val="center"/>
          </w:tcPr>
          <w:p w:rsidR="001449FD" w:rsidRPr="00EB2995" w:rsidRDefault="001449FD" w:rsidP="001449FD">
            <w:pPr>
              <w:ind w:left="864" w:hanging="864"/>
              <w:jc w:val="right"/>
              <w:rPr>
                <w:rFonts w:cs="Calibri"/>
                <w:b/>
                <w:bCs/>
              </w:rPr>
            </w:pPr>
            <w:r w:rsidRPr="00EB2995">
              <w:rPr>
                <w:rFonts w:cs="Calibri"/>
                <w:b/>
                <w:bCs/>
                <w:color w:val="000000"/>
              </w:rPr>
              <w:t>(2.2)</w:t>
            </w:r>
          </w:p>
        </w:tc>
      </w:tr>
      <w:tr w:rsidR="001449FD" w:rsidRPr="00EB2995" w:rsidTr="001449FD">
        <w:trPr>
          <w:trHeight w:val="64"/>
        </w:trPr>
        <w:tc>
          <w:tcPr>
            <w:tcW w:w="3436" w:type="dxa"/>
            <w:tcBorders>
              <w:top w:val="nil"/>
              <w:left w:val="nil"/>
              <w:bottom w:val="nil"/>
              <w:right w:val="single" w:sz="4" w:space="0" w:color="auto"/>
            </w:tcBorders>
            <w:vAlign w:val="center"/>
          </w:tcPr>
          <w:p w:rsidR="001449FD" w:rsidRPr="00EB2995" w:rsidRDefault="001449FD" w:rsidP="001449FD">
            <w:pPr>
              <w:rPr>
                <w:rFonts w:cs="Calibri"/>
                <w:b/>
                <w:bCs/>
              </w:rPr>
            </w:pPr>
          </w:p>
        </w:tc>
        <w:tc>
          <w:tcPr>
            <w:tcW w:w="1396" w:type="dxa"/>
            <w:tcBorders>
              <w:top w:val="single" w:sz="4" w:space="0" w:color="auto"/>
              <w:left w:val="single" w:sz="4" w:space="0" w:color="auto"/>
              <w:bottom w:val="nil"/>
              <w:right w:val="nil"/>
            </w:tcBorders>
            <w:noWrap/>
            <w:vAlign w:val="center"/>
          </w:tcPr>
          <w:p w:rsidR="001449FD" w:rsidRPr="00EB2995" w:rsidRDefault="001449FD" w:rsidP="001449FD">
            <w:pPr>
              <w:jc w:val="right"/>
              <w:rPr>
                <w:rFonts w:cs="Calibri"/>
                <w:b/>
                <w:bCs/>
              </w:rPr>
            </w:pPr>
          </w:p>
        </w:tc>
        <w:tc>
          <w:tcPr>
            <w:tcW w:w="1596" w:type="dxa"/>
            <w:tcBorders>
              <w:top w:val="single" w:sz="4" w:space="0" w:color="auto"/>
              <w:left w:val="nil"/>
              <w:bottom w:val="nil"/>
              <w:right w:val="nil"/>
            </w:tcBorders>
            <w:noWrap/>
            <w:vAlign w:val="center"/>
          </w:tcPr>
          <w:p w:rsidR="001449FD" w:rsidRPr="00EB2995" w:rsidRDefault="001449FD" w:rsidP="001449FD">
            <w:pPr>
              <w:jc w:val="right"/>
              <w:rPr>
                <w:rFonts w:cs="Calibri"/>
              </w:rPr>
            </w:pPr>
          </w:p>
        </w:tc>
        <w:tc>
          <w:tcPr>
            <w:tcW w:w="1196" w:type="dxa"/>
            <w:tcBorders>
              <w:top w:val="single" w:sz="4" w:space="0" w:color="auto"/>
              <w:left w:val="nil"/>
              <w:bottom w:val="nil"/>
              <w:right w:val="nil"/>
            </w:tcBorders>
            <w:noWrap/>
            <w:vAlign w:val="center"/>
          </w:tcPr>
          <w:p w:rsidR="001449FD" w:rsidRPr="00EB2995" w:rsidRDefault="001449FD" w:rsidP="001449FD">
            <w:pPr>
              <w:jc w:val="right"/>
              <w:rPr>
                <w:rFonts w:cs="Calibri"/>
              </w:rPr>
            </w:pPr>
          </w:p>
        </w:tc>
        <w:tc>
          <w:tcPr>
            <w:tcW w:w="976" w:type="dxa"/>
            <w:tcBorders>
              <w:top w:val="single" w:sz="4" w:space="0" w:color="auto"/>
              <w:left w:val="nil"/>
              <w:bottom w:val="nil"/>
              <w:right w:val="single" w:sz="4" w:space="0" w:color="auto"/>
            </w:tcBorders>
            <w:noWrap/>
            <w:vAlign w:val="center"/>
          </w:tcPr>
          <w:p w:rsidR="001449FD" w:rsidRPr="00EB2995" w:rsidRDefault="001449FD" w:rsidP="001449FD">
            <w:pPr>
              <w:jc w:val="right"/>
              <w:rPr>
                <w:rFonts w:cs="Calibri"/>
              </w:rPr>
            </w:pPr>
            <w:r w:rsidRPr="00EB2995">
              <w:rPr>
                <w:rFonts w:cs="Calibri"/>
                <w:color w:val="000000"/>
              </w:rPr>
              <w:t> </w:t>
            </w:r>
          </w:p>
        </w:tc>
      </w:tr>
      <w:tr w:rsidR="001449FD" w:rsidRPr="00EB2995" w:rsidTr="001449FD">
        <w:trPr>
          <w:trHeight w:val="300"/>
        </w:trPr>
        <w:tc>
          <w:tcPr>
            <w:tcW w:w="3436" w:type="dxa"/>
            <w:tcBorders>
              <w:top w:val="nil"/>
              <w:left w:val="nil"/>
              <w:bottom w:val="nil"/>
              <w:right w:val="single" w:sz="4" w:space="0" w:color="auto"/>
            </w:tcBorders>
            <w:vAlign w:val="center"/>
          </w:tcPr>
          <w:p w:rsidR="001449FD" w:rsidRPr="00EB2995" w:rsidRDefault="001449FD" w:rsidP="001449FD">
            <w:pPr>
              <w:rPr>
                <w:rFonts w:cs="Calibri"/>
                <w:b/>
                <w:bCs/>
                <w:u w:val="single"/>
              </w:rPr>
            </w:pPr>
            <w:r w:rsidRPr="00EB2995">
              <w:rPr>
                <w:rFonts w:cs="Calibri"/>
                <w:b/>
                <w:bCs/>
                <w:u w:val="single"/>
              </w:rPr>
              <w:t>Long Term Provisions</w:t>
            </w:r>
          </w:p>
        </w:tc>
        <w:tc>
          <w:tcPr>
            <w:tcW w:w="1396" w:type="dxa"/>
            <w:tcBorders>
              <w:top w:val="nil"/>
              <w:left w:val="single" w:sz="4" w:space="0" w:color="auto"/>
              <w:bottom w:val="nil"/>
              <w:right w:val="nil"/>
            </w:tcBorders>
            <w:noWrap/>
            <w:vAlign w:val="center"/>
          </w:tcPr>
          <w:p w:rsidR="001449FD" w:rsidRPr="00EB2995" w:rsidRDefault="001449FD" w:rsidP="001449FD">
            <w:pPr>
              <w:jc w:val="right"/>
              <w:rPr>
                <w:rFonts w:cs="Calibri"/>
              </w:rPr>
            </w:pPr>
          </w:p>
        </w:tc>
        <w:tc>
          <w:tcPr>
            <w:tcW w:w="1596" w:type="dxa"/>
            <w:tcBorders>
              <w:top w:val="nil"/>
              <w:left w:val="nil"/>
              <w:bottom w:val="nil"/>
              <w:right w:val="nil"/>
            </w:tcBorders>
            <w:noWrap/>
            <w:vAlign w:val="center"/>
          </w:tcPr>
          <w:p w:rsidR="001449FD" w:rsidRPr="00EB2995" w:rsidRDefault="001449FD" w:rsidP="001449FD">
            <w:pPr>
              <w:jc w:val="right"/>
              <w:rPr>
                <w:rFonts w:cs="Calibri"/>
              </w:rPr>
            </w:pPr>
          </w:p>
        </w:tc>
        <w:tc>
          <w:tcPr>
            <w:tcW w:w="1196" w:type="dxa"/>
            <w:tcBorders>
              <w:top w:val="nil"/>
              <w:left w:val="nil"/>
              <w:bottom w:val="nil"/>
              <w:right w:val="nil"/>
            </w:tcBorders>
            <w:noWrap/>
            <w:vAlign w:val="center"/>
          </w:tcPr>
          <w:p w:rsidR="001449FD" w:rsidRPr="00EB2995" w:rsidRDefault="001449FD" w:rsidP="001449FD">
            <w:pPr>
              <w:jc w:val="right"/>
              <w:rPr>
                <w:rFonts w:cs="Calibri"/>
              </w:rPr>
            </w:pPr>
          </w:p>
        </w:tc>
        <w:tc>
          <w:tcPr>
            <w:tcW w:w="976" w:type="dxa"/>
            <w:tcBorders>
              <w:top w:val="nil"/>
              <w:left w:val="nil"/>
              <w:bottom w:val="nil"/>
              <w:right w:val="single" w:sz="4" w:space="0" w:color="auto"/>
            </w:tcBorders>
            <w:noWrap/>
            <w:vAlign w:val="center"/>
          </w:tcPr>
          <w:p w:rsidR="001449FD" w:rsidRPr="00EB2995" w:rsidRDefault="001449FD" w:rsidP="001449FD">
            <w:pPr>
              <w:jc w:val="right"/>
              <w:rPr>
                <w:rFonts w:cs="Calibri"/>
              </w:rPr>
            </w:pPr>
            <w:r w:rsidRPr="00EB2995">
              <w:rPr>
                <w:rFonts w:cs="Calibri"/>
                <w:color w:val="000000"/>
              </w:rPr>
              <w:t> </w:t>
            </w:r>
          </w:p>
        </w:tc>
      </w:tr>
      <w:tr w:rsidR="001449FD" w:rsidRPr="00EB2995" w:rsidTr="001449FD">
        <w:trPr>
          <w:trHeight w:val="300"/>
        </w:trPr>
        <w:tc>
          <w:tcPr>
            <w:tcW w:w="3436" w:type="dxa"/>
            <w:tcBorders>
              <w:top w:val="nil"/>
              <w:left w:val="nil"/>
              <w:bottom w:val="nil"/>
              <w:right w:val="single" w:sz="4" w:space="0" w:color="auto"/>
            </w:tcBorders>
            <w:vAlign w:val="center"/>
          </w:tcPr>
          <w:p w:rsidR="001449FD" w:rsidRPr="00EB2995" w:rsidRDefault="001449FD" w:rsidP="001449FD">
            <w:pPr>
              <w:rPr>
                <w:rFonts w:cs="Calibri"/>
                <w:b/>
                <w:bCs/>
              </w:rPr>
            </w:pPr>
            <w:r w:rsidRPr="00EB2995">
              <w:rPr>
                <w:rFonts w:cs="Calibri"/>
                <w:b/>
                <w:bCs/>
              </w:rPr>
              <w:t>Balance at 1 April 2019</w:t>
            </w:r>
          </w:p>
        </w:tc>
        <w:tc>
          <w:tcPr>
            <w:tcW w:w="1396" w:type="dxa"/>
            <w:tcBorders>
              <w:top w:val="single" w:sz="4" w:space="0" w:color="auto"/>
              <w:left w:val="single" w:sz="4" w:space="0" w:color="auto"/>
              <w:bottom w:val="single" w:sz="4" w:space="0" w:color="auto"/>
              <w:right w:val="nil"/>
            </w:tcBorders>
            <w:noWrap/>
            <w:vAlign w:val="center"/>
          </w:tcPr>
          <w:p w:rsidR="001449FD" w:rsidRPr="00EB2995" w:rsidRDefault="001449FD" w:rsidP="001449FD">
            <w:pPr>
              <w:jc w:val="right"/>
              <w:rPr>
                <w:rFonts w:cs="Calibri"/>
                <w:b/>
                <w:bCs/>
              </w:rPr>
            </w:pPr>
            <w:r w:rsidRPr="00EB2995">
              <w:rPr>
                <w:rFonts w:cs="Calibri"/>
                <w:b/>
                <w:bCs/>
                <w:color w:val="000000"/>
              </w:rPr>
              <w:t>(2.3)</w:t>
            </w:r>
          </w:p>
        </w:tc>
        <w:tc>
          <w:tcPr>
            <w:tcW w:w="1596" w:type="dxa"/>
            <w:tcBorders>
              <w:top w:val="single" w:sz="4" w:space="0" w:color="auto"/>
              <w:left w:val="nil"/>
              <w:bottom w:val="single" w:sz="4" w:space="0" w:color="auto"/>
              <w:right w:val="nil"/>
            </w:tcBorders>
            <w:noWrap/>
            <w:vAlign w:val="center"/>
          </w:tcPr>
          <w:p w:rsidR="001449FD" w:rsidRPr="00EB2995" w:rsidRDefault="001449FD" w:rsidP="001449FD">
            <w:pPr>
              <w:jc w:val="right"/>
              <w:rPr>
                <w:rFonts w:cs="Calibri"/>
                <w:b/>
                <w:bCs/>
              </w:rPr>
            </w:pPr>
            <w:r w:rsidRPr="00EB2995">
              <w:rPr>
                <w:rFonts w:cs="Calibri"/>
                <w:b/>
                <w:bCs/>
                <w:color w:val="000000"/>
              </w:rPr>
              <w:t>(3.7)</w:t>
            </w:r>
          </w:p>
        </w:tc>
        <w:tc>
          <w:tcPr>
            <w:tcW w:w="1196" w:type="dxa"/>
            <w:tcBorders>
              <w:top w:val="single" w:sz="4" w:space="0" w:color="auto"/>
              <w:left w:val="nil"/>
              <w:bottom w:val="single" w:sz="4" w:space="0" w:color="auto"/>
              <w:right w:val="nil"/>
            </w:tcBorders>
            <w:noWrap/>
            <w:vAlign w:val="center"/>
          </w:tcPr>
          <w:p w:rsidR="001449FD" w:rsidRPr="00EB2995" w:rsidRDefault="001449FD" w:rsidP="001449FD">
            <w:pPr>
              <w:jc w:val="right"/>
              <w:rPr>
                <w:rFonts w:cs="Calibri"/>
                <w:b/>
                <w:bCs/>
              </w:rPr>
            </w:pPr>
            <w:r w:rsidRPr="00EB2995">
              <w:rPr>
                <w:rFonts w:cs="Calibri"/>
                <w:b/>
                <w:bCs/>
                <w:color w:val="000000"/>
              </w:rPr>
              <w:t>(13.8)</w:t>
            </w:r>
          </w:p>
        </w:tc>
        <w:tc>
          <w:tcPr>
            <w:tcW w:w="976" w:type="dxa"/>
            <w:tcBorders>
              <w:top w:val="single" w:sz="4" w:space="0" w:color="auto"/>
              <w:left w:val="nil"/>
              <w:bottom w:val="single" w:sz="4" w:space="0" w:color="auto"/>
              <w:right w:val="single" w:sz="4" w:space="0" w:color="auto"/>
            </w:tcBorders>
            <w:noWrap/>
            <w:vAlign w:val="center"/>
          </w:tcPr>
          <w:p w:rsidR="001449FD" w:rsidRPr="00EB2995" w:rsidRDefault="001449FD" w:rsidP="001449FD">
            <w:pPr>
              <w:jc w:val="right"/>
              <w:rPr>
                <w:rFonts w:cs="Calibri"/>
                <w:b/>
                <w:bCs/>
              </w:rPr>
            </w:pPr>
            <w:r w:rsidRPr="00EB2995">
              <w:rPr>
                <w:rFonts w:cs="Calibri"/>
                <w:b/>
                <w:bCs/>
                <w:color w:val="000000"/>
              </w:rPr>
              <w:t>(19.8)</w:t>
            </w:r>
          </w:p>
        </w:tc>
      </w:tr>
      <w:tr w:rsidR="001449FD" w:rsidRPr="00EB2995" w:rsidTr="001449FD">
        <w:trPr>
          <w:trHeight w:val="300"/>
        </w:trPr>
        <w:tc>
          <w:tcPr>
            <w:tcW w:w="3436" w:type="dxa"/>
            <w:tcBorders>
              <w:top w:val="nil"/>
              <w:left w:val="nil"/>
              <w:bottom w:val="nil"/>
              <w:right w:val="single" w:sz="4" w:space="0" w:color="auto"/>
            </w:tcBorders>
            <w:vAlign w:val="center"/>
          </w:tcPr>
          <w:p w:rsidR="001449FD" w:rsidRPr="00EB2995" w:rsidRDefault="001449FD" w:rsidP="001449FD">
            <w:pPr>
              <w:rPr>
                <w:rFonts w:cs="Calibri"/>
              </w:rPr>
            </w:pPr>
            <w:r w:rsidRPr="00EB2995">
              <w:rPr>
                <w:rFonts w:cs="Calibri"/>
                <w:bCs/>
              </w:rPr>
              <w:t>Net (additions) reductions to provisions made in 2019/20</w:t>
            </w:r>
          </w:p>
        </w:tc>
        <w:tc>
          <w:tcPr>
            <w:tcW w:w="1396" w:type="dxa"/>
            <w:tcBorders>
              <w:top w:val="nil"/>
              <w:left w:val="single" w:sz="4" w:space="0" w:color="auto"/>
              <w:bottom w:val="nil"/>
              <w:right w:val="nil"/>
            </w:tcBorders>
            <w:noWrap/>
            <w:vAlign w:val="center"/>
          </w:tcPr>
          <w:p w:rsidR="001449FD" w:rsidRPr="00EB2995" w:rsidRDefault="001449FD" w:rsidP="001449FD">
            <w:pPr>
              <w:jc w:val="right"/>
              <w:rPr>
                <w:rFonts w:cs="Calibri"/>
              </w:rPr>
            </w:pPr>
            <w:r w:rsidRPr="00EB2995">
              <w:rPr>
                <w:rFonts w:cs="Calibri"/>
                <w:color w:val="000000"/>
              </w:rPr>
              <w:t>1.4</w:t>
            </w:r>
          </w:p>
        </w:tc>
        <w:tc>
          <w:tcPr>
            <w:tcW w:w="1596" w:type="dxa"/>
            <w:tcBorders>
              <w:top w:val="nil"/>
              <w:left w:val="nil"/>
              <w:bottom w:val="nil"/>
              <w:right w:val="nil"/>
            </w:tcBorders>
            <w:noWrap/>
            <w:vAlign w:val="center"/>
          </w:tcPr>
          <w:p w:rsidR="001449FD" w:rsidRPr="00EB2995" w:rsidRDefault="001449FD" w:rsidP="001449FD">
            <w:pPr>
              <w:jc w:val="right"/>
              <w:rPr>
                <w:rFonts w:cs="Calibri"/>
              </w:rPr>
            </w:pPr>
            <w:r w:rsidRPr="00EB2995">
              <w:rPr>
                <w:rFonts w:cs="Calibri"/>
                <w:color w:val="000000"/>
              </w:rPr>
              <w:t>0.0</w:t>
            </w:r>
          </w:p>
        </w:tc>
        <w:tc>
          <w:tcPr>
            <w:tcW w:w="1196" w:type="dxa"/>
            <w:tcBorders>
              <w:top w:val="nil"/>
              <w:left w:val="nil"/>
              <w:bottom w:val="nil"/>
              <w:right w:val="nil"/>
            </w:tcBorders>
            <w:noWrap/>
            <w:vAlign w:val="center"/>
          </w:tcPr>
          <w:p w:rsidR="001449FD" w:rsidRPr="00EB2995" w:rsidRDefault="001449FD" w:rsidP="001449FD">
            <w:pPr>
              <w:jc w:val="right"/>
              <w:rPr>
                <w:rFonts w:cs="Calibri"/>
              </w:rPr>
            </w:pPr>
            <w:r w:rsidRPr="00EB2995">
              <w:rPr>
                <w:rFonts w:cs="Calibri"/>
                <w:color w:val="000000"/>
              </w:rPr>
              <w:t>4.0</w:t>
            </w:r>
          </w:p>
        </w:tc>
        <w:tc>
          <w:tcPr>
            <w:tcW w:w="976" w:type="dxa"/>
            <w:tcBorders>
              <w:top w:val="nil"/>
              <w:left w:val="nil"/>
              <w:bottom w:val="nil"/>
              <w:right w:val="single" w:sz="4" w:space="0" w:color="auto"/>
            </w:tcBorders>
            <w:noWrap/>
            <w:vAlign w:val="center"/>
          </w:tcPr>
          <w:p w:rsidR="001449FD" w:rsidRPr="00EB2995" w:rsidRDefault="001449FD" w:rsidP="001449FD">
            <w:pPr>
              <w:jc w:val="center"/>
              <w:rPr>
                <w:rFonts w:cs="Calibri"/>
                <w:b/>
              </w:rPr>
            </w:pPr>
            <w:r w:rsidRPr="00EB2995">
              <w:rPr>
                <w:rFonts w:cs="Calibri"/>
                <w:b/>
                <w:bCs/>
                <w:color w:val="000000"/>
              </w:rPr>
              <w:t>5.4</w:t>
            </w:r>
          </w:p>
        </w:tc>
      </w:tr>
      <w:tr w:rsidR="001449FD" w:rsidRPr="00EB2995" w:rsidTr="001449FD">
        <w:trPr>
          <w:trHeight w:val="300"/>
        </w:trPr>
        <w:tc>
          <w:tcPr>
            <w:tcW w:w="3436" w:type="dxa"/>
            <w:tcBorders>
              <w:top w:val="nil"/>
              <w:left w:val="nil"/>
              <w:bottom w:val="nil"/>
              <w:right w:val="single" w:sz="4" w:space="0" w:color="auto"/>
            </w:tcBorders>
            <w:vAlign w:val="center"/>
          </w:tcPr>
          <w:p w:rsidR="001449FD" w:rsidRPr="00EB2995" w:rsidRDefault="001449FD" w:rsidP="001449FD">
            <w:pPr>
              <w:rPr>
                <w:rFonts w:cs="Calibri"/>
                <w:b/>
                <w:bCs/>
              </w:rPr>
            </w:pPr>
            <w:r w:rsidRPr="00EB2995">
              <w:rPr>
                <w:rFonts w:cs="Calibri"/>
                <w:b/>
                <w:bCs/>
              </w:rPr>
              <w:t>Balance at 31 March 2020</w:t>
            </w:r>
          </w:p>
        </w:tc>
        <w:tc>
          <w:tcPr>
            <w:tcW w:w="1396" w:type="dxa"/>
            <w:tcBorders>
              <w:top w:val="single" w:sz="4" w:space="0" w:color="auto"/>
              <w:left w:val="single" w:sz="4" w:space="0" w:color="auto"/>
              <w:bottom w:val="single" w:sz="4" w:space="0" w:color="auto"/>
              <w:right w:val="nil"/>
            </w:tcBorders>
            <w:noWrap/>
            <w:vAlign w:val="center"/>
          </w:tcPr>
          <w:p w:rsidR="001449FD" w:rsidRPr="00EB2995" w:rsidRDefault="001449FD" w:rsidP="001449FD">
            <w:pPr>
              <w:jc w:val="right"/>
              <w:rPr>
                <w:rFonts w:cs="Calibri"/>
                <w:b/>
                <w:bCs/>
              </w:rPr>
            </w:pPr>
            <w:r w:rsidRPr="00EB2995">
              <w:rPr>
                <w:rFonts w:cs="Calibri"/>
                <w:b/>
                <w:bCs/>
                <w:color w:val="000000"/>
              </w:rPr>
              <w:t>(1.0)</w:t>
            </w:r>
          </w:p>
        </w:tc>
        <w:tc>
          <w:tcPr>
            <w:tcW w:w="1596" w:type="dxa"/>
            <w:tcBorders>
              <w:top w:val="single" w:sz="4" w:space="0" w:color="auto"/>
              <w:left w:val="nil"/>
              <w:bottom w:val="single" w:sz="4" w:space="0" w:color="auto"/>
              <w:right w:val="nil"/>
            </w:tcBorders>
            <w:noWrap/>
            <w:vAlign w:val="center"/>
          </w:tcPr>
          <w:p w:rsidR="001449FD" w:rsidRPr="00EB2995" w:rsidRDefault="001449FD" w:rsidP="001449FD">
            <w:pPr>
              <w:jc w:val="right"/>
              <w:rPr>
                <w:rFonts w:cs="Calibri"/>
                <w:b/>
                <w:bCs/>
              </w:rPr>
            </w:pPr>
            <w:r w:rsidRPr="00EB2995">
              <w:rPr>
                <w:rFonts w:cs="Calibri"/>
                <w:b/>
                <w:bCs/>
                <w:color w:val="000000"/>
              </w:rPr>
              <w:t>(3.7)</w:t>
            </w:r>
          </w:p>
        </w:tc>
        <w:tc>
          <w:tcPr>
            <w:tcW w:w="1196" w:type="dxa"/>
            <w:tcBorders>
              <w:top w:val="single" w:sz="4" w:space="0" w:color="auto"/>
              <w:left w:val="nil"/>
              <w:bottom w:val="single" w:sz="4" w:space="0" w:color="auto"/>
              <w:right w:val="nil"/>
            </w:tcBorders>
            <w:noWrap/>
            <w:vAlign w:val="center"/>
          </w:tcPr>
          <w:p w:rsidR="001449FD" w:rsidRPr="00EB2995" w:rsidRDefault="001449FD" w:rsidP="001449FD">
            <w:pPr>
              <w:jc w:val="right"/>
              <w:rPr>
                <w:rFonts w:cs="Calibri"/>
                <w:b/>
                <w:bCs/>
              </w:rPr>
            </w:pPr>
            <w:r w:rsidRPr="00EB2995">
              <w:rPr>
                <w:rFonts w:cs="Calibri"/>
                <w:b/>
                <w:bCs/>
                <w:color w:val="000000"/>
              </w:rPr>
              <w:t>(9.8)</w:t>
            </w:r>
          </w:p>
        </w:tc>
        <w:tc>
          <w:tcPr>
            <w:tcW w:w="976" w:type="dxa"/>
            <w:tcBorders>
              <w:top w:val="single" w:sz="4" w:space="0" w:color="auto"/>
              <w:left w:val="nil"/>
              <w:bottom w:val="single" w:sz="4" w:space="0" w:color="auto"/>
              <w:right w:val="single" w:sz="4" w:space="0" w:color="auto"/>
            </w:tcBorders>
            <w:noWrap/>
            <w:vAlign w:val="center"/>
          </w:tcPr>
          <w:p w:rsidR="001449FD" w:rsidRPr="00EB2995" w:rsidRDefault="001449FD" w:rsidP="001449FD">
            <w:pPr>
              <w:jc w:val="right"/>
              <w:rPr>
                <w:rFonts w:cs="Calibri"/>
                <w:b/>
                <w:bCs/>
              </w:rPr>
            </w:pPr>
            <w:r w:rsidRPr="00EB2995">
              <w:rPr>
                <w:rFonts w:cs="Calibri"/>
                <w:b/>
                <w:bCs/>
                <w:color w:val="000000"/>
              </w:rPr>
              <w:t>(14.5)</w:t>
            </w:r>
          </w:p>
        </w:tc>
      </w:tr>
    </w:tbl>
    <w:p w:rsidR="00F72906" w:rsidRDefault="00F72906" w:rsidP="00F72906"/>
    <w:p w:rsidR="00F72906" w:rsidRDefault="00F72906" w:rsidP="00F72906">
      <w:r>
        <w:t>Provisions over both short and long term have been made based on estimations for</w:t>
      </w:r>
      <w:r w:rsidR="001449FD">
        <w:t>:</w:t>
      </w:r>
    </w:p>
    <w:p w:rsidR="00F72906" w:rsidRDefault="00F72906" w:rsidP="00F72906">
      <w:r>
        <w:t>•</w:t>
      </w:r>
      <w:r>
        <w:tab/>
        <w:t>Outstanding legal claims such as disrepair cases for Council tenants and leased properties.</w:t>
      </w:r>
    </w:p>
    <w:p w:rsidR="00F72906" w:rsidRDefault="00F72906" w:rsidP="00F72906">
      <w:r>
        <w:t>•</w:t>
      </w:r>
      <w:r>
        <w:tab/>
        <w:t>Compensation claims for uninsured losses that are reviewed annually, and,</w:t>
      </w:r>
    </w:p>
    <w:p w:rsidR="00F72906" w:rsidRDefault="00F72906" w:rsidP="00F72906">
      <w:r>
        <w:t>•</w:t>
      </w:r>
      <w:r>
        <w:tab/>
        <w:t>Other provisions for items such as leased equipment, NDR appeals and Income short</w:t>
      </w:r>
      <w:r w:rsidR="001449FD">
        <w:t>falls on PFI contracts.</w:t>
      </w:r>
    </w:p>
    <w:p w:rsidR="00F72906" w:rsidRDefault="00F72906" w:rsidP="00F72906">
      <w:r>
        <w:t xml:space="preserve">The £4m reduction on other provisions relates to NDR appeals to cover potential risk on the current level of active cases. The amount of provision required has reduced and re-distributed between each of the precepting authorities to include Central Government; in 2018/19 Central Government did not have a share in the provision as 100% rates were retained between the Council and GLA. </w:t>
      </w:r>
    </w:p>
    <w:p w:rsidR="00F72906" w:rsidRDefault="00F72906" w:rsidP="00F72906"/>
    <w:p w:rsidR="00F72906" w:rsidRDefault="00F72906" w:rsidP="001449FD">
      <w:pPr>
        <w:pStyle w:val="Heading2"/>
      </w:pPr>
      <w:bookmarkStart w:id="11" w:name="_Toc61870281"/>
      <w:r>
        <w:t>Earmarked Reserves</w:t>
      </w:r>
      <w:bookmarkEnd w:id="11"/>
    </w:p>
    <w:p w:rsidR="00F72906" w:rsidRDefault="00F72906" w:rsidP="001449FD">
      <w:pPr>
        <w:pStyle w:val="Heading3"/>
      </w:pPr>
      <w:r>
        <w:t>Note 10 – Transfers (to)/from Earmarked Reserves</w:t>
      </w:r>
    </w:p>
    <w:p w:rsidR="001449FD" w:rsidRDefault="00F72906" w:rsidP="001449FD">
      <w:r>
        <w:tab/>
      </w:r>
    </w:p>
    <w:tbl>
      <w:tblPr>
        <w:tblW w:w="9366" w:type="dxa"/>
        <w:tblLook w:val="04A0" w:firstRow="1" w:lastRow="0" w:firstColumn="1" w:lastColumn="0" w:noHBand="0" w:noVBand="1"/>
      </w:tblPr>
      <w:tblGrid>
        <w:gridCol w:w="2100"/>
        <w:gridCol w:w="71"/>
        <w:gridCol w:w="2791"/>
        <w:gridCol w:w="40"/>
        <w:gridCol w:w="1275"/>
        <w:gridCol w:w="1503"/>
        <w:gridCol w:w="57"/>
        <w:gridCol w:w="1559"/>
        <w:gridCol w:w="10"/>
      </w:tblGrid>
      <w:tr w:rsidR="001449FD" w:rsidRPr="00EB2995" w:rsidTr="001449FD">
        <w:trPr>
          <w:gridAfter w:val="1"/>
          <w:wAfter w:w="10" w:type="dxa"/>
          <w:trHeight w:val="945"/>
        </w:trPr>
        <w:tc>
          <w:tcPr>
            <w:tcW w:w="2100" w:type="dxa"/>
            <w:tcBorders>
              <w:top w:val="nil"/>
              <w:left w:val="nil"/>
              <w:bottom w:val="nil"/>
              <w:right w:val="nil"/>
            </w:tcBorders>
            <w:shd w:val="clear" w:color="auto" w:fill="auto"/>
            <w:vAlign w:val="center"/>
            <w:hideMark/>
          </w:tcPr>
          <w:p w:rsidR="001449FD" w:rsidRPr="00EB2995" w:rsidRDefault="001449FD" w:rsidP="001449FD">
            <w:pPr>
              <w:rPr>
                <w:rFonts w:cs="Calibri"/>
                <w:sz w:val="20"/>
                <w:szCs w:val="20"/>
                <w:lang w:eastAsia="en-GB"/>
              </w:rPr>
            </w:pPr>
          </w:p>
        </w:tc>
        <w:tc>
          <w:tcPr>
            <w:tcW w:w="2862" w:type="dxa"/>
            <w:gridSpan w:val="2"/>
            <w:tcBorders>
              <w:top w:val="nil"/>
              <w:left w:val="nil"/>
              <w:bottom w:val="nil"/>
              <w:right w:val="nil"/>
            </w:tcBorders>
            <w:shd w:val="clear" w:color="auto" w:fill="auto"/>
            <w:vAlign w:val="center"/>
            <w:hideMark/>
          </w:tcPr>
          <w:p w:rsidR="001449FD" w:rsidRPr="00EB2995" w:rsidRDefault="001449FD" w:rsidP="001449FD">
            <w:pPr>
              <w:rPr>
                <w:rFonts w:cs="Calibri"/>
                <w:sz w:val="20"/>
                <w:szCs w:val="20"/>
                <w:lang w:eastAsia="en-GB"/>
              </w:rPr>
            </w:pPr>
          </w:p>
        </w:tc>
        <w:tc>
          <w:tcPr>
            <w:tcW w:w="1275" w:type="dxa"/>
            <w:gridSpan w:val="2"/>
            <w:tcBorders>
              <w:top w:val="single" w:sz="4" w:space="0" w:color="auto"/>
              <w:left w:val="single" w:sz="4" w:space="0" w:color="auto"/>
              <w:bottom w:val="nil"/>
              <w:right w:val="single" w:sz="4" w:space="0" w:color="auto"/>
            </w:tcBorders>
            <w:shd w:val="clear" w:color="auto" w:fill="auto"/>
            <w:vAlign w:val="center"/>
            <w:hideMark/>
          </w:tcPr>
          <w:p w:rsidR="001449FD" w:rsidRPr="00F415F4" w:rsidRDefault="001449FD" w:rsidP="001449FD">
            <w:pPr>
              <w:jc w:val="right"/>
              <w:rPr>
                <w:rFonts w:cs="Calibri"/>
                <w:b/>
                <w:bCs/>
                <w:lang w:eastAsia="en-GB"/>
              </w:rPr>
            </w:pPr>
            <w:r w:rsidRPr="00F415F4">
              <w:rPr>
                <w:rFonts w:cs="Calibri"/>
                <w:b/>
                <w:bCs/>
                <w:lang w:eastAsia="en-GB"/>
              </w:rPr>
              <w:t xml:space="preserve">Balance at </w:t>
            </w:r>
            <w:r w:rsidRPr="00F415F4">
              <w:rPr>
                <w:rFonts w:cs="Calibri"/>
                <w:b/>
                <w:bCs/>
                <w:lang w:eastAsia="en-GB"/>
              </w:rPr>
              <w:br/>
              <w:t>31/03/2019</w:t>
            </w:r>
            <w:r w:rsidRPr="00F415F4">
              <w:rPr>
                <w:rFonts w:cs="Calibri"/>
                <w:b/>
                <w:bCs/>
                <w:lang w:eastAsia="en-GB"/>
              </w:rPr>
              <w:br/>
              <w:t>£m</w:t>
            </w:r>
          </w:p>
        </w:tc>
        <w:tc>
          <w:tcPr>
            <w:tcW w:w="1503" w:type="dxa"/>
            <w:tcBorders>
              <w:top w:val="single" w:sz="4" w:space="0" w:color="auto"/>
              <w:left w:val="nil"/>
              <w:bottom w:val="nil"/>
              <w:right w:val="single" w:sz="4" w:space="0" w:color="auto"/>
            </w:tcBorders>
            <w:shd w:val="clear" w:color="auto" w:fill="auto"/>
            <w:vAlign w:val="center"/>
            <w:hideMark/>
          </w:tcPr>
          <w:p w:rsidR="001449FD" w:rsidRPr="00F415F4" w:rsidRDefault="001449FD" w:rsidP="001449FD">
            <w:pPr>
              <w:jc w:val="right"/>
              <w:rPr>
                <w:rFonts w:cs="Calibri"/>
                <w:b/>
                <w:bCs/>
                <w:lang w:eastAsia="en-GB"/>
              </w:rPr>
            </w:pPr>
            <w:r w:rsidRPr="00F415F4">
              <w:rPr>
                <w:rFonts w:cs="Calibri"/>
                <w:b/>
                <w:bCs/>
                <w:lang w:eastAsia="en-GB"/>
              </w:rPr>
              <w:t>Transfer to/from reserves</w:t>
            </w:r>
            <w:r w:rsidRPr="00F415F4">
              <w:rPr>
                <w:rFonts w:cs="Calibri"/>
                <w:b/>
                <w:bCs/>
                <w:lang w:eastAsia="en-GB"/>
              </w:rPr>
              <w:br/>
              <w:t>£m</w:t>
            </w:r>
          </w:p>
        </w:tc>
        <w:tc>
          <w:tcPr>
            <w:tcW w:w="1616" w:type="dxa"/>
            <w:gridSpan w:val="2"/>
            <w:tcBorders>
              <w:top w:val="single" w:sz="4" w:space="0" w:color="auto"/>
              <w:left w:val="nil"/>
              <w:bottom w:val="nil"/>
              <w:right w:val="single" w:sz="4" w:space="0" w:color="auto"/>
            </w:tcBorders>
            <w:shd w:val="clear" w:color="auto" w:fill="auto"/>
            <w:vAlign w:val="center"/>
            <w:hideMark/>
          </w:tcPr>
          <w:p w:rsidR="001449FD" w:rsidRPr="00F415F4" w:rsidRDefault="001449FD" w:rsidP="001449FD">
            <w:pPr>
              <w:jc w:val="right"/>
              <w:rPr>
                <w:rFonts w:cs="Calibri"/>
                <w:b/>
                <w:bCs/>
                <w:lang w:eastAsia="en-GB"/>
              </w:rPr>
            </w:pPr>
            <w:r w:rsidRPr="00F415F4">
              <w:rPr>
                <w:rFonts w:cs="Calibri"/>
                <w:b/>
                <w:bCs/>
                <w:lang w:eastAsia="en-GB"/>
              </w:rPr>
              <w:t xml:space="preserve">Balance at </w:t>
            </w:r>
            <w:r w:rsidRPr="00F415F4">
              <w:rPr>
                <w:rFonts w:cs="Calibri"/>
                <w:b/>
                <w:bCs/>
                <w:lang w:eastAsia="en-GB"/>
              </w:rPr>
              <w:br/>
              <w:t>31/03/2020</w:t>
            </w:r>
            <w:r w:rsidRPr="00F415F4">
              <w:rPr>
                <w:rFonts w:cs="Calibri"/>
                <w:b/>
                <w:bCs/>
                <w:lang w:eastAsia="en-GB"/>
              </w:rPr>
              <w:br/>
              <w:t>£m</w:t>
            </w:r>
          </w:p>
        </w:tc>
      </w:tr>
      <w:tr w:rsidR="001449FD" w:rsidRPr="00EB2995" w:rsidTr="001449FD">
        <w:trPr>
          <w:gridAfter w:val="1"/>
          <w:wAfter w:w="10" w:type="dxa"/>
          <w:trHeight w:val="74"/>
        </w:trPr>
        <w:tc>
          <w:tcPr>
            <w:tcW w:w="4962" w:type="dxa"/>
            <w:gridSpan w:val="3"/>
            <w:tcBorders>
              <w:top w:val="nil"/>
              <w:left w:val="nil"/>
              <w:bottom w:val="nil"/>
              <w:right w:val="nil"/>
            </w:tcBorders>
            <w:shd w:val="clear" w:color="auto" w:fill="auto"/>
            <w:noWrap/>
            <w:vAlign w:val="bottom"/>
            <w:hideMark/>
          </w:tcPr>
          <w:p w:rsidR="001449FD" w:rsidRPr="00EB2995" w:rsidRDefault="001449FD" w:rsidP="001449FD">
            <w:pPr>
              <w:rPr>
                <w:rFonts w:cs="Calibri"/>
                <w:b/>
                <w:bCs/>
                <w:color w:val="000000"/>
                <w:lang w:eastAsia="en-GB"/>
              </w:rPr>
            </w:pPr>
            <w:r w:rsidRPr="00EB2995">
              <w:rPr>
                <w:rFonts w:cs="Calibri"/>
                <w:b/>
                <w:bCs/>
                <w:color w:val="000000"/>
                <w:lang w:eastAsia="en-GB"/>
              </w:rPr>
              <w:t>Capital and other statutorily ring-fenced reserves</w:t>
            </w:r>
          </w:p>
        </w:tc>
        <w:tc>
          <w:tcPr>
            <w:tcW w:w="1275" w:type="dxa"/>
            <w:gridSpan w:val="2"/>
            <w:tcBorders>
              <w:top w:val="nil"/>
              <w:left w:val="single" w:sz="4" w:space="0" w:color="auto"/>
              <w:bottom w:val="nil"/>
              <w:right w:val="single" w:sz="4" w:space="0" w:color="auto"/>
            </w:tcBorders>
            <w:shd w:val="clear" w:color="auto" w:fill="auto"/>
            <w:vAlign w:val="center"/>
            <w:hideMark/>
          </w:tcPr>
          <w:p w:rsidR="001449FD" w:rsidRPr="00EB2995" w:rsidRDefault="001449FD" w:rsidP="001449FD">
            <w:pPr>
              <w:jc w:val="center"/>
              <w:rPr>
                <w:rFonts w:cs="Calibri"/>
                <w:b/>
                <w:bCs/>
                <w:sz w:val="20"/>
                <w:szCs w:val="20"/>
                <w:lang w:eastAsia="en-GB"/>
              </w:rPr>
            </w:pPr>
            <w:r w:rsidRPr="00EB2995">
              <w:rPr>
                <w:rFonts w:cs="Calibri"/>
                <w:b/>
                <w:bCs/>
                <w:sz w:val="20"/>
                <w:szCs w:val="20"/>
                <w:lang w:eastAsia="en-GB"/>
              </w:rPr>
              <w:t> </w:t>
            </w:r>
          </w:p>
        </w:tc>
        <w:tc>
          <w:tcPr>
            <w:tcW w:w="1503" w:type="dxa"/>
            <w:tcBorders>
              <w:top w:val="nil"/>
              <w:left w:val="nil"/>
              <w:bottom w:val="nil"/>
              <w:right w:val="single" w:sz="4" w:space="0" w:color="auto"/>
            </w:tcBorders>
            <w:shd w:val="clear" w:color="auto" w:fill="auto"/>
            <w:vAlign w:val="center"/>
            <w:hideMark/>
          </w:tcPr>
          <w:p w:rsidR="001449FD" w:rsidRPr="00EB2995" w:rsidRDefault="001449FD" w:rsidP="001449FD">
            <w:pPr>
              <w:jc w:val="center"/>
              <w:rPr>
                <w:rFonts w:cs="Calibri"/>
                <w:b/>
                <w:bCs/>
                <w:sz w:val="20"/>
                <w:szCs w:val="20"/>
                <w:lang w:eastAsia="en-GB"/>
              </w:rPr>
            </w:pPr>
            <w:r w:rsidRPr="00EB2995">
              <w:rPr>
                <w:rFonts w:cs="Calibri"/>
                <w:b/>
                <w:bCs/>
                <w:sz w:val="20"/>
                <w:szCs w:val="20"/>
                <w:lang w:eastAsia="en-GB"/>
              </w:rPr>
              <w:t> </w:t>
            </w:r>
          </w:p>
        </w:tc>
        <w:tc>
          <w:tcPr>
            <w:tcW w:w="1616" w:type="dxa"/>
            <w:gridSpan w:val="2"/>
            <w:tcBorders>
              <w:top w:val="nil"/>
              <w:left w:val="nil"/>
              <w:bottom w:val="nil"/>
              <w:right w:val="single" w:sz="4" w:space="0" w:color="auto"/>
            </w:tcBorders>
            <w:shd w:val="clear" w:color="auto" w:fill="auto"/>
            <w:vAlign w:val="center"/>
            <w:hideMark/>
          </w:tcPr>
          <w:p w:rsidR="001449FD" w:rsidRPr="00EB2995" w:rsidRDefault="001449FD" w:rsidP="001449FD">
            <w:pPr>
              <w:jc w:val="center"/>
              <w:rPr>
                <w:rFonts w:cs="Calibri"/>
                <w:b/>
                <w:bCs/>
                <w:sz w:val="20"/>
                <w:szCs w:val="20"/>
                <w:lang w:eastAsia="en-GB"/>
              </w:rPr>
            </w:pPr>
            <w:r w:rsidRPr="00EB2995">
              <w:rPr>
                <w:rFonts w:cs="Calibri"/>
                <w:b/>
                <w:bCs/>
                <w:sz w:val="20"/>
                <w:szCs w:val="20"/>
                <w:lang w:eastAsia="en-GB"/>
              </w:rPr>
              <w:t> </w:t>
            </w:r>
          </w:p>
        </w:tc>
      </w:tr>
      <w:tr w:rsidR="001449FD" w:rsidRPr="00EB2995" w:rsidTr="001449FD">
        <w:trPr>
          <w:gridAfter w:val="1"/>
          <w:wAfter w:w="10" w:type="dxa"/>
          <w:trHeight w:val="330"/>
        </w:trPr>
        <w:tc>
          <w:tcPr>
            <w:tcW w:w="2100" w:type="dxa"/>
            <w:tcBorders>
              <w:top w:val="single" w:sz="4" w:space="0" w:color="auto"/>
              <w:left w:val="single" w:sz="4" w:space="0" w:color="auto"/>
              <w:bottom w:val="single" w:sz="4" w:space="0" w:color="auto"/>
              <w:right w:val="nil"/>
            </w:tcBorders>
            <w:shd w:val="clear" w:color="auto" w:fill="auto"/>
            <w:noWrap/>
            <w:vAlign w:val="bottom"/>
            <w:hideMark/>
          </w:tcPr>
          <w:p w:rsidR="001449FD" w:rsidRPr="00EB2995" w:rsidRDefault="001449FD" w:rsidP="001449FD">
            <w:pPr>
              <w:rPr>
                <w:rFonts w:cs="Calibri"/>
                <w:color w:val="000000"/>
                <w:lang w:eastAsia="en-GB"/>
              </w:rPr>
            </w:pPr>
            <w:r w:rsidRPr="00EB2995">
              <w:rPr>
                <w:rFonts w:cs="Calibri"/>
                <w:color w:val="000000"/>
                <w:lang w:eastAsia="en-GB"/>
              </w:rPr>
              <w:t>S106/CIL</w:t>
            </w:r>
          </w:p>
        </w:tc>
        <w:tc>
          <w:tcPr>
            <w:tcW w:w="2862" w:type="dxa"/>
            <w:gridSpan w:val="2"/>
            <w:tcBorders>
              <w:top w:val="single" w:sz="4" w:space="0" w:color="auto"/>
              <w:left w:val="nil"/>
              <w:bottom w:val="single" w:sz="4" w:space="0" w:color="auto"/>
              <w:right w:val="nil"/>
            </w:tcBorders>
            <w:shd w:val="clear" w:color="auto" w:fill="auto"/>
            <w:noWrap/>
            <w:vAlign w:val="bottom"/>
            <w:hideMark/>
          </w:tcPr>
          <w:p w:rsidR="001449FD" w:rsidRPr="00EB2995" w:rsidRDefault="001449FD" w:rsidP="001449FD">
            <w:pPr>
              <w:rPr>
                <w:rFonts w:cs="Calibri"/>
                <w:color w:val="000000"/>
                <w:lang w:eastAsia="en-GB"/>
              </w:rPr>
            </w:pPr>
            <w:r w:rsidRPr="00EB2995">
              <w:rPr>
                <w:rFonts w:cs="Calibri"/>
                <w:color w:val="000000"/>
                <w:lang w:eastAsia="en-GB"/>
              </w:rPr>
              <w:t> </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49FD" w:rsidRPr="00EB2995" w:rsidRDefault="001449FD" w:rsidP="001449FD">
            <w:pPr>
              <w:jc w:val="right"/>
              <w:rPr>
                <w:rFonts w:cs="Calibri"/>
                <w:b/>
                <w:bCs/>
                <w:color w:val="000000"/>
                <w:lang w:eastAsia="en-GB"/>
              </w:rPr>
            </w:pPr>
            <w:r w:rsidRPr="00EB2995">
              <w:rPr>
                <w:rFonts w:cs="Calibri"/>
                <w:b/>
                <w:bCs/>
                <w:color w:val="000000"/>
                <w:lang w:eastAsia="en-GB"/>
              </w:rPr>
              <w:t>(106.0)</w:t>
            </w:r>
          </w:p>
        </w:tc>
        <w:tc>
          <w:tcPr>
            <w:tcW w:w="1503" w:type="dxa"/>
            <w:tcBorders>
              <w:top w:val="single" w:sz="4" w:space="0" w:color="auto"/>
              <w:left w:val="nil"/>
              <w:bottom w:val="single" w:sz="4" w:space="0" w:color="auto"/>
              <w:right w:val="single" w:sz="4" w:space="0" w:color="auto"/>
            </w:tcBorders>
            <w:shd w:val="clear" w:color="auto" w:fill="auto"/>
            <w:noWrap/>
            <w:vAlign w:val="center"/>
            <w:hideMark/>
          </w:tcPr>
          <w:p w:rsidR="001449FD" w:rsidRPr="00EB2995" w:rsidRDefault="001449FD" w:rsidP="001449FD">
            <w:pPr>
              <w:jc w:val="right"/>
              <w:rPr>
                <w:rFonts w:cs="Calibri"/>
                <w:b/>
                <w:bCs/>
                <w:color w:val="000000"/>
                <w:lang w:eastAsia="en-GB"/>
              </w:rPr>
            </w:pPr>
            <w:r w:rsidRPr="00EB2995">
              <w:rPr>
                <w:rFonts w:cs="Calibri"/>
                <w:b/>
                <w:bCs/>
                <w:color w:val="000000"/>
                <w:lang w:eastAsia="en-GB"/>
              </w:rPr>
              <w:t>(22.5)</w:t>
            </w:r>
          </w:p>
        </w:tc>
        <w:tc>
          <w:tcPr>
            <w:tcW w:w="1616" w:type="dxa"/>
            <w:gridSpan w:val="2"/>
            <w:tcBorders>
              <w:top w:val="single" w:sz="4" w:space="0" w:color="auto"/>
              <w:left w:val="nil"/>
              <w:bottom w:val="single" w:sz="4" w:space="0" w:color="auto"/>
              <w:right w:val="single" w:sz="4" w:space="0" w:color="auto"/>
            </w:tcBorders>
            <w:shd w:val="clear" w:color="auto" w:fill="auto"/>
            <w:noWrap/>
            <w:vAlign w:val="center"/>
            <w:hideMark/>
          </w:tcPr>
          <w:p w:rsidR="001449FD" w:rsidRPr="00EB2995" w:rsidRDefault="001449FD" w:rsidP="001449FD">
            <w:pPr>
              <w:jc w:val="right"/>
              <w:rPr>
                <w:rFonts w:cs="Calibri"/>
                <w:b/>
                <w:bCs/>
                <w:color w:val="000000"/>
                <w:lang w:eastAsia="en-GB"/>
              </w:rPr>
            </w:pPr>
            <w:r w:rsidRPr="00EB2995">
              <w:rPr>
                <w:rFonts w:cs="Calibri"/>
                <w:b/>
                <w:bCs/>
                <w:color w:val="000000"/>
                <w:lang w:eastAsia="en-GB"/>
              </w:rPr>
              <w:t>(128.5)</w:t>
            </w:r>
          </w:p>
        </w:tc>
      </w:tr>
      <w:tr w:rsidR="001449FD" w:rsidRPr="00EB2995" w:rsidTr="001449FD">
        <w:trPr>
          <w:gridAfter w:val="1"/>
          <w:wAfter w:w="10" w:type="dxa"/>
          <w:trHeight w:val="300"/>
        </w:trPr>
        <w:tc>
          <w:tcPr>
            <w:tcW w:w="2100" w:type="dxa"/>
            <w:tcBorders>
              <w:top w:val="nil"/>
              <w:left w:val="single" w:sz="4" w:space="0" w:color="auto"/>
              <w:bottom w:val="nil"/>
              <w:right w:val="nil"/>
            </w:tcBorders>
            <w:shd w:val="clear" w:color="auto" w:fill="auto"/>
            <w:noWrap/>
            <w:vAlign w:val="bottom"/>
            <w:hideMark/>
          </w:tcPr>
          <w:p w:rsidR="001449FD" w:rsidRPr="00EB2995" w:rsidRDefault="001449FD" w:rsidP="001449FD">
            <w:pPr>
              <w:rPr>
                <w:rFonts w:cs="Calibri"/>
                <w:color w:val="000000"/>
                <w:lang w:eastAsia="en-GB"/>
              </w:rPr>
            </w:pPr>
            <w:r w:rsidRPr="00EB2995">
              <w:rPr>
                <w:rFonts w:cs="Calibri"/>
                <w:color w:val="000000"/>
                <w:lang w:eastAsia="en-GB"/>
              </w:rPr>
              <w:t>Ring-fenced</w:t>
            </w:r>
          </w:p>
        </w:tc>
        <w:tc>
          <w:tcPr>
            <w:tcW w:w="2862" w:type="dxa"/>
            <w:gridSpan w:val="2"/>
            <w:tcBorders>
              <w:top w:val="nil"/>
              <w:left w:val="nil"/>
              <w:bottom w:val="nil"/>
              <w:right w:val="nil"/>
            </w:tcBorders>
            <w:shd w:val="clear" w:color="auto" w:fill="auto"/>
            <w:noWrap/>
            <w:vAlign w:val="bottom"/>
            <w:hideMark/>
          </w:tcPr>
          <w:p w:rsidR="001449FD" w:rsidRPr="00EB2995" w:rsidRDefault="001449FD" w:rsidP="001449FD">
            <w:pPr>
              <w:rPr>
                <w:rFonts w:cs="Calibri"/>
                <w:color w:val="000000"/>
                <w:lang w:eastAsia="en-GB"/>
              </w:rPr>
            </w:pPr>
            <w:r w:rsidRPr="00EB2995">
              <w:rPr>
                <w:rFonts w:cs="Calibri"/>
                <w:color w:val="000000"/>
                <w:lang w:eastAsia="en-GB"/>
              </w:rPr>
              <w:t>HMO Licensing</w:t>
            </w:r>
          </w:p>
        </w:tc>
        <w:tc>
          <w:tcPr>
            <w:tcW w:w="1275" w:type="dxa"/>
            <w:gridSpan w:val="2"/>
            <w:tcBorders>
              <w:top w:val="nil"/>
              <w:left w:val="single" w:sz="4" w:space="0" w:color="auto"/>
              <w:bottom w:val="nil"/>
              <w:right w:val="single" w:sz="4" w:space="0" w:color="auto"/>
            </w:tcBorders>
            <w:shd w:val="clear" w:color="auto" w:fill="auto"/>
            <w:noWrap/>
            <w:vAlign w:val="center"/>
            <w:hideMark/>
          </w:tcPr>
          <w:p w:rsidR="001449FD" w:rsidRPr="00EB2995" w:rsidRDefault="001449FD" w:rsidP="001449FD">
            <w:pPr>
              <w:jc w:val="right"/>
              <w:rPr>
                <w:rFonts w:cs="Calibri"/>
                <w:color w:val="000000"/>
                <w:lang w:eastAsia="en-GB"/>
              </w:rPr>
            </w:pPr>
            <w:r w:rsidRPr="00EB2995">
              <w:rPr>
                <w:rFonts w:cs="Calibri"/>
                <w:color w:val="000000"/>
                <w:lang w:eastAsia="en-GB"/>
              </w:rPr>
              <w:t>(1.7)</w:t>
            </w:r>
          </w:p>
        </w:tc>
        <w:tc>
          <w:tcPr>
            <w:tcW w:w="1503" w:type="dxa"/>
            <w:tcBorders>
              <w:top w:val="nil"/>
              <w:left w:val="nil"/>
              <w:bottom w:val="nil"/>
              <w:right w:val="single" w:sz="4" w:space="0" w:color="auto"/>
            </w:tcBorders>
            <w:shd w:val="clear" w:color="auto" w:fill="auto"/>
            <w:noWrap/>
            <w:vAlign w:val="center"/>
            <w:hideMark/>
          </w:tcPr>
          <w:p w:rsidR="001449FD" w:rsidRPr="00EB2995" w:rsidRDefault="001449FD" w:rsidP="001449FD">
            <w:pPr>
              <w:jc w:val="right"/>
              <w:rPr>
                <w:rFonts w:cs="Calibri"/>
                <w:color w:val="000000"/>
                <w:lang w:eastAsia="en-GB"/>
              </w:rPr>
            </w:pPr>
            <w:r w:rsidRPr="00EB2995">
              <w:rPr>
                <w:rFonts w:cs="Calibri"/>
                <w:color w:val="000000"/>
                <w:lang w:eastAsia="en-GB"/>
              </w:rPr>
              <w:t>(2.0)</w:t>
            </w:r>
          </w:p>
        </w:tc>
        <w:tc>
          <w:tcPr>
            <w:tcW w:w="1616" w:type="dxa"/>
            <w:gridSpan w:val="2"/>
            <w:tcBorders>
              <w:top w:val="nil"/>
              <w:left w:val="nil"/>
              <w:bottom w:val="nil"/>
              <w:right w:val="single" w:sz="4" w:space="0" w:color="auto"/>
            </w:tcBorders>
            <w:shd w:val="clear" w:color="auto" w:fill="auto"/>
            <w:noWrap/>
            <w:vAlign w:val="center"/>
            <w:hideMark/>
          </w:tcPr>
          <w:p w:rsidR="001449FD" w:rsidRPr="00EB2995" w:rsidRDefault="001449FD" w:rsidP="001449FD">
            <w:pPr>
              <w:jc w:val="right"/>
              <w:rPr>
                <w:rFonts w:cs="Calibri"/>
                <w:color w:val="000000"/>
                <w:lang w:eastAsia="en-GB"/>
              </w:rPr>
            </w:pPr>
            <w:r w:rsidRPr="00EB2995">
              <w:rPr>
                <w:rFonts w:cs="Calibri"/>
                <w:color w:val="000000"/>
                <w:lang w:eastAsia="en-GB"/>
              </w:rPr>
              <w:t>(3.7)</w:t>
            </w:r>
          </w:p>
        </w:tc>
      </w:tr>
      <w:tr w:rsidR="001449FD" w:rsidRPr="00EB2995" w:rsidTr="001449FD">
        <w:trPr>
          <w:gridAfter w:val="1"/>
          <w:wAfter w:w="10" w:type="dxa"/>
          <w:trHeight w:val="300"/>
        </w:trPr>
        <w:tc>
          <w:tcPr>
            <w:tcW w:w="2100" w:type="dxa"/>
            <w:tcBorders>
              <w:top w:val="nil"/>
              <w:left w:val="single" w:sz="4" w:space="0" w:color="auto"/>
              <w:bottom w:val="nil"/>
              <w:right w:val="nil"/>
            </w:tcBorders>
            <w:shd w:val="clear" w:color="auto" w:fill="auto"/>
            <w:noWrap/>
            <w:vAlign w:val="bottom"/>
            <w:hideMark/>
          </w:tcPr>
          <w:p w:rsidR="001449FD" w:rsidRPr="00EB2995" w:rsidRDefault="001449FD" w:rsidP="001449FD">
            <w:pPr>
              <w:rPr>
                <w:rFonts w:cs="Calibri"/>
                <w:color w:val="000000"/>
                <w:lang w:eastAsia="en-GB"/>
              </w:rPr>
            </w:pPr>
            <w:r w:rsidRPr="00EB2995">
              <w:rPr>
                <w:rFonts w:cs="Calibri"/>
                <w:color w:val="000000"/>
                <w:lang w:eastAsia="en-GB"/>
              </w:rPr>
              <w:t> </w:t>
            </w:r>
          </w:p>
        </w:tc>
        <w:tc>
          <w:tcPr>
            <w:tcW w:w="2862" w:type="dxa"/>
            <w:gridSpan w:val="2"/>
            <w:tcBorders>
              <w:top w:val="nil"/>
              <w:left w:val="nil"/>
              <w:bottom w:val="nil"/>
              <w:right w:val="nil"/>
            </w:tcBorders>
            <w:shd w:val="clear" w:color="auto" w:fill="auto"/>
            <w:noWrap/>
            <w:vAlign w:val="bottom"/>
            <w:hideMark/>
          </w:tcPr>
          <w:p w:rsidR="001449FD" w:rsidRPr="00EB2995" w:rsidRDefault="001449FD" w:rsidP="001449FD">
            <w:pPr>
              <w:rPr>
                <w:rFonts w:cs="Calibri"/>
                <w:color w:val="000000"/>
                <w:lang w:eastAsia="en-GB"/>
              </w:rPr>
            </w:pPr>
            <w:r w:rsidRPr="00EB2995">
              <w:rPr>
                <w:rFonts w:cs="Calibri"/>
                <w:color w:val="000000"/>
                <w:lang w:eastAsia="en-GB"/>
              </w:rPr>
              <w:t>HRA</w:t>
            </w:r>
          </w:p>
        </w:tc>
        <w:tc>
          <w:tcPr>
            <w:tcW w:w="1275" w:type="dxa"/>
            <w:gridSpan w:val="2"/>
            <w:tcBorders>
              <w:top w:val="nil"/>
              <w:left w:val="single" w:sz="4" w:space="0" w:color="auto"/>
              <w:bottom w:val="nil"/>
              <w:right w:val="single" w:sz="4" w:space="0" w:color="auto"/>
            </w:tcBorders>
            <w:shd w:val="clear" w:color="auto" w:fill="auto"/>
            <w:noWrap/>
            <w:vAlign w:val="center"/>
            <w:hideMark/>
          </w:tcPr>
          <w:p w:rsidR="001449FD" w:rsidRPr="00EB2995" w:rsidRDefault="001449FD" w:rsidP="001449FD">
            <w:pPr>
              <w:jc w:val="right"/>
              <w:rPr>
                <w:rFonts w:cs="Calibri"/>
                <w:color w:val="000000"/>
                <w:lang w:eastAsia="en-GB"/>
              </w:rPr>
            </w:pPr>
            <w:r w:rsidRPr="00EB2995">
              <w:rPr>
                <w:rFonts w:cs="Calibri"/>
                <w:color w:val="000000"/>
                <w:lang w:eastAsia="en-GB"/>
              </w:rPr>
              <w:t>(1.7)</w:t>
            </w:r>
          </w:p>
        </w:tc>
        <w:tc>
          <w:tcPr>
            <w:tcW w:w="1503" w:type="dxa"/>
            <w:tcBorders>
              <w:top w:val="nil"/>
              <w:left w:val="nil"/>
              <w:bottom w:val="nil"/>
              <w:right w:val="single" w:sz="4" w:space="0" w:color="auto"/>
            </w:tcBorders>
            <w:shd w:val="clear" w:color="auto" w:fill="auto"/>
            <w:noWrap/>
            <w:vAlign w:val="center"/>
            <w:hideMark/>
          </w:tcPr>
          <w:p w:rsidR="001449FD" w:rsidRPr="00EB2995" w:rsidRDefault="001449FD" w:rsidP="001449FD">
            <w:pPr>
              <w:jc w:val="right"/>
              <w:rPr>
                <w:rFonts w:cs="Calibri"/>
                <w:color w:val="000000"/>
                <w:lang w:eastAsia="en-GB"/>
              </w:rPr>
            </w:pPr>
            <w:r w:rsidRPr="00EB2995">
              <w:rPr>
                <w:rFonts w:cs="Calibri"/>
                <w:color w:val="000000"/>
                <w:lang w:eastAsia="en-GB"/>
              </w:rPr>
              <w:t>(2.7)</w:t>
            </w:r>
          </w:p>
        </w:tc>
        <w:tc>
          <w:tcPr>
            <w:tcW w:w="1616" w:type="dxa"/>
            <w:gridSpan w:val="2"/>
            <w:tcBorders>
              <w:top w:val="nil"/>
              <w:left w:val="nil"/>
              <w:bottom w:val="nil"/>
              <w:right w:val="single" w:sz="4" w:space="0" w:color="auto"/>
            </w:tcBorders>
            <w:shd w:val="clear" w:color="auto" w:fill="auto"/>
            <w:noWrap/>
            <w:vAlign w:val="center"/>
            <w:hideMark/>
          </w:tcPr>
          <w:p w:rsidR="001449FD" w:rsidRPr="00EB2995" w:rsidRDefault="001449FD" w:rsidP="001449FD">
            <w:pPr>
              <w:jc w:val="right"/>
              <w:rPr>
                <w:rFonts w:cs="Calibri"/>
                <w:color w:val="000000"/>
                <w:lang w:eastAsia="en-GB"/>
              </w:rPr>
            </w:pPr>
            <w:r w:rsidRPr="00EB2995">
              <w:rPr>
                <w:rFonts w:cs="Calibri"/>
                <w:color w:val="000000"/>
                <w:lang w:eastAsia="en-GB"/>
              </w:rPr>
              <w:t>(4.4)</w:t>
            </w:r>
          </w:p>
        </w:tc>
      </w:tr>
      <w:tr w:rsidR="001449FD" w:rsidRPr="00EB2995" w:rsidTr="001449FD">
        <w:trPr>
          <w:gridAfter w:val="1"/>
          <w:wAfter w:w="10" w:type="dxa"/>
          <w:trHeight w:val="300"/>
        </w:trPr>
        <w:tc>
          <w:tcPr>
            <w:tcW w:w="2100" w:type="dxa"/>
            <w:tcBorders>
              <w:top w:val="nil"/>
              <w:left w:val="single" w:sz="4" w:space="0" w:color="auto"/>
              <w:bottom w:val="nil"/>
              <w:right w:val="nil"/>
            </w:tcBorders>
            <w:shd w:val="clear" w:color="auto" w:fill="auto"/>
            <w:noWrap/>
            <w:vAlign w:val="bottom"/>
            <w:hideMark/>
          </w:tcPr>
          <w:p w:rsidR="001449FD" w:rsidRPr="00EB2995" w:rsidRDefault="001449FD" w:rsidP="001449FD">
            <w:pPr>
              <w:rPr>
                <w:rFonts w:cs="Calibri"/>
                <w:color w:val="000000"/>
                <w:lang w:eastAsia="en-GB"/>
              </w:rPr>
            </w:pPr>
            <w:r w:rsidRPr="00EB2995">
              <w:rPr>
                <w:rFonts w:cs="Calibri"/>
                <w:color w:val="000000"/>
                <w:lang w:eastAsia="en-GB"/>
              </w:rPr>
              <w:t> </w:t>
            </w:r>
          </w:p>
        </w:tc>
        <w:tc>
          <w:tcPr>
            <w:tcW w:w="2862" w:type="dxa"/>
            <w:gridSpan w:val="2"/>
            <w:tcBorders>
              <w:top w:val="nil"/>
              <w:left w:val="nil"/>
              <w:bottom w:val="nil"/>
              <w:right w:val="nil"/>
            </w:tcBorders>
            <w:shd w:val="clear" w:color="auto" w:fill="auto"/>
            <w:noWrap/>
            <w:vAlign w:val="bottom"/>
            <w:hideMark/>
          </w:tcPr>
          <w:p w:rsidR="001449FD" w:rsidRPr="00EB2995" w:rsidRDefault="001449FD" w:rsidP="001449FD">
            <w:pPr>
              <w:rPr>
                <w:rFonts w:cs="Calibri"/>
                <w:color w:val="000000"/>
                <w:lang w:eastAsia="en-GB"/>
              </w:rPr>
            </w:pPr>
            <w:r w:rsidRPr="00EB2995">
              <w:rPr>
                <w:rFonts w:cs="Calibri"/>
                <w:color w:val="000000"/>
                <w:lang w:eastAsia="en-GB"/>
              </w:rPr>
              <w:t>Public Health</w:t>
            </w:r>
          </w:p>
        </w:tc>
        <w:tc>
          <w:tcPr>
            <w:tcW w:w="1275" w:type="dxa"/>
            <w:gridSpan w:val="2"/>
            <w:tcBorders>
              <w:top w:val="nil"/>
              <w:left w:val="single" w:sz="4" w:space="0" w:color="auto"/>
              <w:bottom w:val="nil"/>
              <w:right w:val="single" w:sz="4" w:space="0" w:color="auto"/>
            </w:tcBorders>
            <w:shd w:val="clear" w:color="auto" w:fill="auto"/>
            <w:noWrap/>
            <w:vAlign w:val="center"/>
            <w:hideMark/>
          </w:tcPr>
          <w:p w:rsidR="001449FD" w:rsidRPr="00EB2995" w:rsidRDefault="001449FD" w:rsidP="001449FD">
            <w:pPr>
              <w:jc w:val="right"/>
              <w:rPr>
                <w:rFonts w:cs="Calibri"/>
                <w:color w:val="000000"/>
                <w:lang w:eastAsia="en-GB"/>
              </w:rPr>
            </w:pPr>
            <w:r w:rsidRPr="00EB2995">
              <w:rPr>
                <w:rFonts w:cs="Calibri"/>
                <w:color w:val="000000"/>
                <w:lang w:eastAsia="en-GB"/>
              </w:rPr>
              <w:t>(2.5)</w:t>
            </w:r>
          </w:p>
        </w:tc>
        <w:tc>
          <w:tcPr>
            <w:tcW w:w="1503" w:type="dxa"/>
            <w:tcBorders>
              <w:top w:val="nil"/>
              <w:left w:val="nil"/>
              <w:bottom w:val="nil"/>
              <w:right w:val="single" w:sz="4" w:space="0" w:color="auto"/>
            </w:tcBorders>
            <w:shd w:val="clear" w:color="auto" w:fill="auto"/>
            <w:noWrap/>
            <w:vAlign w:val="center"/>
            <w:hideMark/>
          </w:tcPr>
          <w:p w:rsidR="001449FD" w:rsidRPr="00EB2995" w:rsidRDefault="001449FD" w:rsidP="001449FD">
            <w:pPr>
              <w:jc w:val="right"/>
              <w:rPr>
                <w:rFonts w:cs="Calibri"/>
                <w:color w:val="000000"/>
                <w:lang w:eastAsia="en-GB"/>
              </w:rPr>
            </w:pPr>
            <w:r w:rsidRPr="00EB2995">
              <w:rPr>
                <w:rFonts w:cs="Calibri"/>
                <w:color w:val="000000"/>
                <w:lang w:eastAsia="en-GB"/>
              </w:rPr>
              <w:t>(0.5)</w:t>
            </w:r>
          </w:p>
        </w:tc>
        <w:tc>
          <w:tcPr>
            <w:tcW w:w="1616" w:type="dxa"/>
            <w:gridSpan w:val="2"/>
            <w:tcBorders>
              <w:top w:val="nil"/>
              <w:left w:val="nil"/>
              <w:bottom w:val="nil"/>
              <w:right w:val="single" w:sz="4" w:space="0" w:color="auto"/>
            </w:tcBorders>
            <w:shd w:val="clear" w:color="auto" w:fill="auto"/>
            <w:noWrap/>
            <w:vAlign w:val="center"/>
            <w:hideMark/>
          </w:tcPr>
          <w:p w:rsidR="001449FD" w:rsidRPr="00EB2995" w:rsidRDefault="001449FD" w:rsidP="001449FD">
            <w:pPr>
              <w:jc w:val="right"/>
              <w:rPr>
                <w:rFonts w:cs="Calibri"/>
                <w:color w:val="000000"/>
                <w:lang w:eastAsia="en-GB"/>
              </w:rPr>
            </w:pPr>
            <w:r w:rsidRPr="00EB2995">
              <w:rPr>
                <w:rFonts w:cs="Calibri"/>
                <w:color w:val="000000"/>
                <w:lang w:eastAsia="en-GB"/>
              </w:rPr>
              <w:t>(3.0)</w:t>
            </w:r>
          </w:p>
        </w:tc>
      </w:tr>
      <w:tr w:rsidR="001449FD" w:rsidRPr="00EB2995" w:rsidTr="001449FD">
        <w:trPr>
          <w:gridAfter w:val="1"/>
          <w:wAfter w:w="10" w:type="dxa"/>
          <w:trHeight w:val="300"/>
        </w:trPr>
        <w:tc>
          <w:tcPr>
            <w:tcW w:w="2100" w:type="dxa"/>
            <w:tcBorders>
              <w:top w:val="nil"/>
              <w:left w:val="single" w:sz="4" w:space="0" w:color="auto"/>
              <w:bottom w:val="nil"/>
              <w:right w:val="nil"/>
            </w:tcBorders>
            <w:shd w:val="clear" w:color="auto" w:fill="auto"/>
            <w:noWrap/>
            <w:vAlign w:val="bottom"/>
            <w:hideMark/>
          </w:tcPr>
          <w:p w:rsidR="001449FD" w:rsidRPr="00EB2995" w:rsidRDefault="001449FD" w:rsidP="001449FD">
            <w:pPr>
              <w:rPr>
                <w:rFonts w:cs="Calibri"/>
                <w:color w:val="000000"/>
                <w:lang w:eastAsia="en-GB"/>
              </w:rPr>
            </w:pPr>
            <w:r w:rsidRPr="00EB2995">
              <w:rPr>
                <w:rFonts w:cs="Calibri"/>
                <w:color w:val="000000"/>
                <w:lang w:eastAsia="en-GB"/>
              </w:rPr>
              <w:t> </w:t>
            </w:r>
          </w:p>
        </w:tc>
        <w:tc>
          <w:tcPr>
            <w:tcW w:w="2862" w:type="dxa"/>
            <w:gridSpan w:val="2"/>
            <w:tcBorders>
              <w:top w:val="nil"/>
              <w:left w:val="nil"/>
              <w:bottom w:val="nil"/>
              <w:right w:val="nil"/>
            </w:tcBorders>
            <w:shd w:val="clear" w:color="auto" w:fill="auto"/>
            <w:noWrap/>
            <w:vAlign w:val="bottom"/>
            <w:hideMark/>
          </w:tcPr>
          <w:p w:rsidR="001449FD" w:rsidRPr="00EB2995" w:rsidRDefault="001449FD" w:rsidP="001449FD">
            <w:pPr>
              <w:rPr>
                <w:rFonts w:cs="Calibri"/>
                <w:color w:val="000000"/>
                <w:lang w:eastAsia="en-GB"/>
              </w:rPr>
            </w:pPr>
            <w:r w:rsidRPr="00EB2995">
              <w:rPr>
                <w:rFonts w:cs="Calibri"/>
                <w:color w:val="000000"/>
                <w:lang w:eastAsia="en-GB"/>
              </w:rPr>
              <w:t>Schools and other DSG</w:t>
            </w:r>
          </w:p>
        </w:tc>
        <w:tc>
          <w:tcPr>
            <w:tcW w:w="1275" w:type="dxa"/>
            <w:gridSpan w:val="2"/>
            <w:tcBorders>
              <w:top w:val="nil"/>
              <w:left w:val="single" w:sz="4" w:space="0" w:color="auto"/>
              <w:bottom w:val="nil"/>
              <w:right w:val="single" w:sz="4" w:space="0" w:color="auto"/>
            </w:tcBorders>
            <w:shd w:val="clear" w:color="auto" w:fill="auto"/>
            <w:noWrap/>
            <w:vAlign w:val="center"/>
            <w:hideMark/>
          </w:tcPr>
          <w:p w:rsidR="001449FD" w:rsidRPr="00EB2995" w:rsidRDefault="001449FD" w:rsidP="001449FD">
            <w:pPr>
              <w:jc w:val="right"/>
              <w:rPr>
                <w:rFonts w:cs="Calibri"/>
                <w:color w:val="000000"/>
                <w:lang w:eastAsia="en-GB"/>
              </w:rPr>
            </w:pPr>
            <w:r w:rsidRPr="00EB2995">
              <w:rPr>
                <w:rFonts w:cs="Calibri"/>
                <w:color w:val="000000"/>
                <w:lang w:eastAsia="en-GB"/>
              </w:rPr>
              <w:t>(18.6)</w:t>
            </w:r>
          </w:p>
        </w:tc>
        <w:tc>
          <w:tcPr>
            <w:tcW w:w="1503" w:type="dxa"/>
            <w:tcBorders>
              <w:top w:val="nil"/>
              <w:left w:val="nil"/>
              <w:bottom w:val="nil"/>
              <w:right w:val="single" w:sz="4" w:space="0" w:color="auto"/>
            </w:tcBorders>
            <w:shd w:val="clear" w:color="auto" w:fill="auto"/>
            <w:noWrap/>
            <w:vAlign w:val="center"/>
            <w:hideMark/>
          </w:tcPr>
          <w:p w:rsidR="001449FD" w:rsidRPr="00EB2995" w:rsidRDefault="001449FD" w:rsidP="001449FD">
            <w:pPr>
              <w:jc w:val="right"/>
              <w:rPr>
                <w:rFonts w:cs="Calibri"/>
                <w:color w:val="000000"/>
                <w:lang w:eastAsia="en-GB"/>
              </w:rPr>
            </w:pPr>
            <w:r w:rsidRPr="00EB2995">
              <w:rPr>
                <w:rFonts w:cs="Calibri"/>
                <w:color w:val="000000"/>
                <w:lang w:eastAsia="en-GB"/>
              </w:rPr>
              <w:t>10.1</w:t>
            </w:r>
          </w:p>
        </w:tc>
        <w:tc>
          <w:tcPr>
            <w:tcW w:w="1616" w:type="dxa"/>
            <w:gridSpan w:val="2"/>
            <w:tcBorders>
              <w:top w:val="nil"/>
              <w:left w:val="nil"/>
              <w:bottom w:val="nil"/>
              <w:right w:val="single" w:sz="4" w:space="0" w:color="auto"/>
            </w:tcBorders>
            <w:shd w:val="clear" w:color="auto" w:fill="auto"/>
            <w:noWrap/>
            <w:vAlign w:val="center"/>
            <w:hideMark/>
          </w:tcPr>
          <w:p w:rsidR="001449FD" w:rsidRPr="00EB2995" w:rsidRDefault="001449FD" w:rsidP="001449FD">
            <w:pPr>
              <w:jc w:val="right"/>
              <w:rPr>
                <w:rFonts w:cs="Calibri"/>
                <w:color w:val="000000"/>
                <w:lang w:eastAsia="en-GB"/>
              </w:rPr>
            </w:pPr>
            <w:r w:rsidRPr="00EB2995">
              <w:rPr>
                <w:rFonts w:cs="Calibri"/>
                <w:color w:val="000000"/>
                <w:lang w:eastAsia="en-GB"/>
              </w:rPr>
              <w:t>(8.5)</w:t>
            </w:r>
          </w:p>
        </w:tc>
      </w:tr>
      <w:tr w:rsidR="001449FD" w:rsidRPr="00EB2995" w:rsidTr="001449FD">
        <w:trPr>
          <w:gridAfter w:val="1"/>
          <w:wAfter w:w="10" w:type="dxa"/>
          <w:trHeight w:val="300"/>
        </w:trPr>
        <w:tc>
          <w:tcPr>
            <w:tcW w:w="2100" w:type="dxa"/>
            <w:tcBorders>
              <w:top w:val="nil"/>
              <w:left w:val="single" w:sz="4" w:space="0" w:color="auto"/>
              <w:bottom w:val="nil"/>
              <w:right w:val="nil"/>
            </w:tcBorders>
            <w:shd w:val="clear" w:color="auto" w:fill="auto"/>
            <w:noWrap/>
            <w:vAlign w:val="bottom"/>
            <w:hideMark/>
          </w:tcPr>
          <w:p w:rsidR="001449FD" w:rsidRPr="00EB2995" w:rsidRDefault="001449FD" w:rsidP="001449FD">
            <w:pPr>
              <w:rPr>
                <w:rFonts w:cs="Calibri"/>
                <w:color w:val="000000"/>
                <w:lang w:eastAsia="en-GB"/>
              </w:rPr>
            </w:pPr>
            <w:r w:rsidRPr="00EB2995">
              <w:rPr>
                <w:rFonts w:cs="Calibri"/>
                <w:color w:val="000000"/>
                <w:lang w:eastAsia="en-GB"/>
              </w:rPr>
              <w:lastRenderedPageBreak/>
              <w:t> </w:t>
            </w:r>
          </w:p>
        </w:tc>
        <w:tc>
          <w:tcPr>
            <w:tcW w:w="2862" w:type="dxa"/>
            <w:gridSpan w:val="2"/>
            <w:tcBorders>
              <w:top w:val="nil"/>
              <w:left w:val="nil"/>
              <w:bottom w:val="nil"/>
              <w:right w:val="nil"/>
            </w:tcBorders>
            <w:shd w:val="clear" w:color="auto" w:fill="auto"/>
            <w:noWrap/>
            <w:vAlign w:val="bottom"/>
            <w:hideMark/>
          </w:tcPr>
          <w:p w:rsidR="001449FD" w:rsidRPr="00EB2995" w:rsidRDefault="001449FD" w:rsidP="001449FD">
            <w:pPr>
              <w:rPr>
                <w:rFonts w:cs="Calibri"/>
                <w:color w:val="000000"/>
                <w:lang w:eastAsia="en-GB"/>
              </w:rPr>
            </w:pPr>
            <w:r w:rsidRPr="00EB2995">
              <w:rPr>
                <w:rFonts w:cs="Calibri"/>
                <w:color w:val="000000"/>
                <w:lang w:eastAsia="en-GB"/>
              </w:rPr>
              <w:t>CWB</w:t>
            </w:r>
          </w:p>
        </w:tc>
        <w:tc>
          <w:tcPr>
            <w:tcW w:w="1275" w:type="dxa"/>
            <w:gridSpan w:val="2"/>
            <w:tcBorders>
              <w:top w:val="nil"/>
              <w:left w:val="single" w:sz="4" w:space="0" w:color="auto"/>
              <w:bottom w:val="nil"/>
              <w:right w:val="single" w:sz="4" w:space="0" w:color="auto"/>
            </w:tcBorders>
            <w:shd w:val="clear" w:color="auto" w:fill="auto"/>
            <w:noWrap/>
            <w:vAlign w:val="center"/>
            <w:hideMark/>
          </w:tcPr>
          <w:p w:rsidR="001449FD" w:rsidRPr="00EB2995" w:rsidRDefault="001449FD" w:rsidP="001449FD">
            <w:pPr>
              <w:jc w:val="right"/>
              <w:rPr>
                <w:rFonts w:cs="Calibri"/>
                <w:color w:val="000000"/>
                <w:lang w:eastAsia="en-GB"/>
              </w:rPr>
            </w:pPr>
            <w:r w:rsidRPr="00EB2995">
              <w:rPr>
                <w:rFonts w:cs="Calibri"/>
                <w:color w:val="000000"/>
                <w:lang w:eastAsia="en-GB"/>
              </w:rPr>
              <w:t>(1.3)</w:t>
            </w:r>
          </w:p>
        </w:tc>
        <w:tc>
          <w:tcPr>
            <w:tcW w:w="1503" w:type="dxa"/>
            <w:tcBorders>
              <w:top w:val="nil"/>
              <w:left w:val="nil"/>
              <w:bottom w:val="nil"/>
              <w:right w:val="single" w:sz="4" w:space="0" w:color="auto"/>
            </w:tcBorders>
            <w:shd w:val="clear" w:color="auto" w:fill="auto"/>
            <w:noWrap/>
            <w:vAlign w:val="center"/>
            <w:hideMark/>
          </w:tcPr>
          <w:p w:rsidR="001449FD" w:rsidRPr="00EB2995" w:rsidRDefault="001449FD" w:rsidP="001449FD">
            <w:pPr>
              <w:jc w:val="right"/>
              <w:rPr>
                <w:rFonts w:cs="Calibri"/>
                <w:color w:val="000000"/>
                <w:lang w:eastAsia="en-GB"/>
              </w:rPr>
            </w:pPr>
            <w:r w:rsidRPr="00EB2995">
              <w:rPr>
                <w:rFonts w:cs="Calibri"/>
                <w:color w:val="000000"/>
                <w:lang w:eastAsia="en-GB"/>
              </w:rPr>
              <w:t>1.0</w:t>
            </w:r>
          </w:p>
        </w:tc>
        <w:tc>
          <w:tcPr>
            <w:tcW w:w="1616" w:type="dxa"/>
            <w:gridSpan w:val="2"/>
            <w:tcBorders>
              <w:top w:val="nil"/>
              <w:left w:val="nil"/>
              <w:bottom w:val="nil"/>
              <w:right w:val="single" w:sz="4" w:space="0" w:color="auto"/>
            </w:tcBorders>
            <w:shd w:val="clear" w:color="auto" w:fill="auto"/>
            <w:noWrap/>
            <w:vAlign w:val="center"/>
            <w:hideMark/>
          </w:tcPr>
          <w:p w:rsidR="001449FD" w:rsidRPr="00EB2995" w:rsidRDefault="001449FD" w:rsidP="001449FD">
            <w:pPr>
              <w:jc w:val="right"/>
              <w:rPr>
                <w:rFonts w:cs="Calibri"/>
                <w:color w:val="000000"/>
                <w:lang w:eastAsia="en-GB"/>
              </w:rPr>
            </w:pPr>
            <w:r w:rsidRPr="00EB2995">
              <w:rPr>
                <w:rFonts w:cs="Calibri"/>
                <w:color w:val="000000"/>
                <w:lang w:eastAsia="en-GB"/>
              </w:rPr>
              <w:t>(0.3)</w:t>
            </w:r>
          </w:p>
        </w:tc>
      </w:tr>
      <w:tr w:rsidR="001449FD" w:rsidRPr="00EB2995" w:rsidTr="001449FD">
        <w:trPr>
          <w:gridAfter w:val="1"/>
          <w:wAfter w:w="10" w:type="dxa"/>
          <w:trHeight w:val="300"/>
        </w:trPr>
        <w:tc>
          <w:tcPr>
            <w:tcW w:w="2100" w:type="dxa"/>
            <w:tcBorders>
              <w:top w:val="nil"/>
              <w:left w:val="single" w:sz="4" w:space="0" w:color="auto"/>
              <w:bottom w:val="nil"/>
              <w:right w:val="nil"/>
            </w:tcBorders>
            <w:shd w:val="clear" w:color="auto" w:fill="auto"/>
            <w:noWrap/>
            <w:vAlign w:val="bottom"/>
            <w:hideMark/>
          </w:tcPr>
          <w:p w:rsidR="001449FD" w:rsidRPr="00EB2995" w:rsidRDefault="001449FD" w:rsidP="001449FD">
            <w:pPr>
              <w:rPr>
                <w:rFonts w:cs="Calibri"/>
                <w:color w:val="000000"/>
                <w:lang w:eastAsia="en-GB"/>
              </w:rPr>
            </w:pPr>
            <w:r w:rsidRPr="00EB2995">
              <w:rPr>
                <w:rFonts w:cs="Calibri"/>
                <w:color w:val="000000"/>
                <w:lang w:eastAsia="en-GB"/>
              </w:rPr>
              <w:t> </w:t>
            </w:r>
          </w:p>
        </w:tc>
        <w:tc>
          <w:tcPr>
            <w:tcW w:w="2862" w:type="dxa"/>
            <w:gridSpan w:val="2"/>
            <w:tcBorders>
              <w:top w:val="nil"/>
              <w:left w:val="nil"/>
              <w:bottom w:val="nil"/>
              <w:right w:val="nil"/>
            </w:tcBorders>
            <w:shd w:val="clear" w:color="auto" w:fill="auto"/>
            <w:noWrap/>
            <w:vAlign w:val="bottom"/>
            <w:hideMark/>
          </w:tcPr>
          <w:p w:rsidR="001449FD" w:rsidRPr="00EB2995" w:rsidRDefault="001449FD" w:rsidP="001449FD">
            <w:pPr>
              <w:rPr>
                <w:rFonts w:cs="Calibri"/>
                <w:color w:val="000000"/>
                <w:lang w:eastAsia="en-GB"/>
              </w:rPr>
            </w:pPr>
            <w:r w:rsidRPr="00EB2995">
              <w:rPr>
                <w:rFonts w:cs="Calibri"/>
                <w:color w:val="000000"/>
                <w:lang w:eastAsia="en-GB"/>
              </w:rPr>
              <w:t>Migration related</w:t>
            </w:r>
          </w:p>
        </w:tc>
        <w:tc>
          <w:tcPr>
            <w:tcW w:w="1275" w:type="dxa"/>
            <w:gridSpan w:val="2"/>
            <w:tcBorders>
              <w:top w:val="nil"/>
              <w:left w:val="single" w:sz="4" w:space="0" w:color="auto"/>
              <w:bottom w:val="nil"/>
              <w:right w:val="single" w:sz="4" w:space="0" w:color="auto"/>
            </w:tcBorders>
            <w:shd w:val="clear" w:color="auto" w:fill="auto"/>
            <w:noWrap/>
            <w:vAlign w:val="center"/>
            <w:hideMark/>
          </w:tcPr>
          <w:p w:rsidR="001449FD" w:rsidRPr="00EB2995" w:rsidRDefault="001449FD" w:rsidP="001449FD">
            <w:pPr>
              <w:jc w:val="right"/>
              <w:rPr>
                <w:rFonts w:cs="Calibri"/>
                <w:color w:val="000000"/>
                <w:lang w:eastAsia="en-GB"/>
              </w:rPr>
            </w:pPr>
            <w:r w:rsidRPr="00EB2995">
              <w:rPr>
                <w:rFonts w:cs="Calibri"/>
                <w:color w:val="000000"/>
                <w:lang w:eastAsia="en-GB"/>
              </w:rPr>
              <w:t>(0.5)</w:t>
            </w:r>
          </w:p>
        </w:tc>
        <w:tc>
          <w:tcPr>
            <w:tcW w:w="1503" w:type="dxa"/>
            <w:tcBorders>
              <w:top w:val="nil"/>
              <w:left w:val="nil"/>
              <w:bottom w:val="nil"/>
              <w:right w:val="single" w:sz="4" w:space="0" w:color="auto"/>
            </w:tcBorders>
            <w:shd w:val="clear" w:color="auto" w:fill="auto"/>
            <w:noWrap/>
            <w:vAlign w:val="center"/>
            <w:hideMark/>
          </w:tcPr>
          <w:p w:rsidR="001449FD" w:rsidRPr="00EB2995" w:rsidRDefault="001449FD" w:rsidP="001449FD">
            <w:pPr>
              <w:jc w:val="right"/>
              <w:rPr>
                <w:rFonts w:cs="Calibri"/>
                <w:color w:val="000000"/>
                <w:lang w:eastAsia="en-GB"/>
              </w:rPr>
            </w:pPr>
            <w:r w:rsidRPr="00EB2995">
              <w:rPr>
                <w:rFonts w:cs="Calibri"/>
                <w:color w:val="000000"/>
                <w:lang w:eastAsia="en-GB"/>
              </w:rPr>
              <w:t>0.1</w:t>
            </w:r>
          </w:p>
        </w:tc>
        <w:tc>
          <w:tcPr>
            <w:tcW w:w="1616" w:type="dxa"/>
            <w:gridSpan w:val="2"/>
            <w:tcBorders>
              <w:top w:val="nil"/>
              <w:left w:val="nil"/>
              <w:bottom w:val="nil"/>
              <w:right w:val="single" w:sz="4" w:space="0" w:color="auto"/>
            </w:tcBorders>
            <w:shd w:val="clear" w:color="auto" w:fill="auto"/>
            <w:noWrap/>
            <w:vAlign w:val="center"/>
            <w:hideMark/>
          </w:tcPr>
          <w:p w:rsidR="001449FD" w:rsidRPr="00EB2995" w:rsidRDefault="001449FD" w:rsidP="001449FD">
            <w:pPr>
              <w:jc w:val="right"/>
              <w:rPr>
                <w:rFonts w:cs="Calibri"/>
                <w:color w:val="000000"/>
                <w:lang w:eastAsia="en-GB"/>
              </w:rPr>
            </w:pPr>
            <w:r w:rsidRPr="00EB2995">
              <w:rPr>
                <w:rFonts w:cs="Calibri"/>
                <w:color w:val="000000"/>
                <w:lang w:eastAsia="en-GB"/>
              </w:rPr>
              <w:t>(0.4)</w:t>
            </w:r>
          </w:p>
        </w:tc>
      </w:tr>
      <w:tr w:rsidR="001449FD" w:rsidRPr="00EB2995" w:rsidTr="001449FD">
        <w:trPr>
          <w:gridAfter w:val="1"/>
          <w:wAfter w:w="10" w:type="dxa"/>
          <w:trHeight w:val="300"/>
        </w:trPr>
        <w:tc>
          <w:tcPr>
            <w:tcW w:w="2100" w:type="dxa"/>
            <w:tcBorders>
              <w:top w:val="nil"/>
              <w:left w:val="single" w:sz="4" w:space="0" w:color="auto"/>
              <w:bottom w:val="nil"/>
              <w:right w:val="nil"/>
            </w:tcBorders>
            <w:shd w:val="clear" w:color="auto" w:fill="auto"/>
            <w:noWrap/>
            <w:vAlign w:val="bottom"/>
            <w:hideMark/>
          </w:tcPr>
          <w:p w:rsidR="001449FD" w:rsidRPr="00EB2995" w:rsidRDefault="001449FD" w:rsidP="001449FD">
            <w:pPr>
              <w:rPr>
                <w:rFonts w:cs="Calibri"/>
                <w:color w:val="000000"/>
                <w:lang w:eastAsia="en-GB"/>
              </w:rPr>
            </w:pPr>
            <w:r w:rsidRPr="00EB2995">
              <w:rPr>
                <w:rFonts w:cs="Calibri"/>
                <w:color w:val="000000"/>
                <w:lang w:eastAsia="en-GB"/>
              </w:rPr>
              <w:t> </w:t>
            </w:r>
          </w:p>
        </w:tc>
        <w:tc>
          <w:tcPr>
            <w:tcW w:w="2862" w:type="dxa"/>
            <w:gridSpan w:val="2"/>
            <w:tcBorders>
              <w:top w:val="nil"/>
              <w:left w:val="nil"/>
              <w:bottom w:val="nil"/>
              <w:right w:val="nil"/>
            </w:tcBorders>
            <w:shd w:val="clear" w:color="auto" w:fill="auto"/>
            <w:noWrap/>
            <w:vAlign w:val="bottom"/>
            <w:hideMark/>
          </w:tcPr>
          <w:p w:rsidR="001449FD" w:rsidRPr="00EB2995" w:rsidRDefault="001449FD" w:rsidP="001449FD">
            <w:pPr>
              <w:rPr>
                <w:rFonts w:cs="Calibri"/>
                <w:color w:val="000000"/>
                <w:lang w:eastAsia="en-GB"/>
              </w:rPr>
            </w:pPr>
            <w:r w:rsidRPr="00EB2995">
              <w:rPr>
                <w:rFonts w:cs="Calibri"/>
                <w:color w:val="000000"/>
                <w:lang w:eastAsia="en-GB"/>
              </w:rPr>
              <w:t>Edward Harvist Trust</w:t>
            </w:r>
          </w:p>
        </w:tc>
        <w:tc>
          <w:tcPr>
            <w:tcW w:w="1275" w:type="dxa"/>
            <w:gridSpan w:val="2"/>
            <w:tcBorders>
              <w:top w:val="nil"/>
              <w:left w:val="single" w:sz="4" w:space="0" w:color="auto"/>
              <w:bottom w:val="nil"/>
              <w:right w:val="single" w:sz="4" w:space="0" w:color="auto"/>
            </w:tcBorders>
            <w:shd w:val="clear" w:color="auto" w:fill="auto"/>
            <w:noWrap/>
            <w:vAlign w:val="center"/>
            <w:hideMark/>
          </w:tcPr>
          <w:p w:rsidR="001449FD" w:rsidRPr="00EB2995" w:rsidRDefault="001449FD" w:rsidP="001449FD">
            <w:pPr>
              <w:jc w:val="right"/>
              <w:rPr>
                <w:rFonts w:cs="Calibri"/>
                <w:color w:val="000000"/>
                <w:lang w:eastAsia="en-GB"/>
              </w:rPr>
            </w:pPr>
            <w:r w:rsidRPr="00EB2995">
              <w:rPr>
                <w:rFonts w:cs="Calibri"/>
                <w:color w:val="000000"/>
                <w:lang w:eastAsia="en-GB"/>
              </w:rPr>
              <w:t>(0.1)</w:t>
            </w:r>
          </w:p>
        </w:tc>
        <w:tc>
          <w:tcPr>
            <w:tcW w:w="1503" w:type="dxa"/>
            <w:tcBorders>
              <w:top w:val="nil"/>
              <w:left w:val="nil"/>
              <w:bottom w:val="nil"/>
              <w:right w:val="single" w:sz="4" w:space="0" w:color="auto"/>
            </w:tcBorders>
            <w:shd w:val="clear" w:color="auto" w:fill="auto"/>
            <w:noWrap/>
            <w:vAlign w:val="center"/>
            <w:hideMark/>
          </w:tcPr>
          <w:p w:rsidR="001449FD" w:rsidRPr="00EB2995" w:rsidRDefault="001449FD" w:rsidP="001449FD">
            <w:pPr>
              <w:jc w:val="right"/>
              <w:rPr>
                <w:rFonts w:cs="Calibri"/>
                <w:color w:val="000000"/>
                <w:lang w:eastAsia="en-GB"/>
              </w:rPr>
            </w:pPr>
            <w:r w:rsidRPr="00EB2995">
              <w:rPr>
                <w:rFonts w:cs="Calibri"/>
                <w:color w:val="000000"/>
                <w:lang w:eastAsia="en-GB"/>
              </w:rPr>
              <w:t>0.0</w:t>
            </w:r>
          </w:p>
        </w:tc>
        <w:tc>
          <w:tcPr>
            <w:tcW w:w="1616" w:type="dxa"/>
            <w:gridSpan w:val="2"/>
            <w:tcBorders>
              <w:top w:val="nil"/>
              <w:left w:val="nil"/>
              <w:bottom w:val="nil"/>
              <w:right w:val="single" w:sz="4" w:space="0" w:color="auto"/>
            </w:tcBorders>
            <w:shd w:val="clear" w:color="auto" w:fill="auto"/>
            <w:noWrap/>
            <w:vAlign w:val="center"/>
            <w:hideMark/>
          </w:tcPr>
          <w:p w:rsidR="001449FD" w:rsidRPr="00EB2995" w:rsidRDefault="001449FD" w:rsidP="001449FD">
            <w:pPr>
              <w:jc w:val="right"/>
              <w:rPr>
                <w:rFonts w:cs="Calibri"/>
                <w:color w:val="000000"/>
                <w:lang w:eastAsia="en-GB"/>
              </w:rPr>
            </w:pPr>
            <w:r w:rsidRPr="00EB2995">
              <w:rPr>
                <w:rFonts w:cs="Calibri"/>
                <w:color w:val="000000"/>
                <w:lang w:eastAsia="en-GB"/>
              </w:rPr>
              <w:t>(0.1)</w:t>
            </w:r>
          </w:p>
        </w:tc>
      </w:tr>
      <w:tr w:rsidR="001449FD" w:rsidRPr="00EB2995" w:rsidTr="001449FD">
        <w:trPr>
          <w:gridAfter w:val="1"/>
          <w:wAfter w:w="10" w:type="dxa"/>
          <w:trHeight w:val="300"/>
        </w:trPr>
        <w:tc>
          <w:tcPr>
            <w:tcW w:w="2100" w:type="dxa"/>
            <w:tcBorders>
              <w:top w:val="single" w:sz="4" w:space="0" w:color="auto"/>
              <w:left w:val="single" w:sz="4" w:space="0" w:color="auto"/>
              <w:bottom w:val="single" w:sz="4" w:space="0" w:color="auto"/>
              <w:right w:val="nil"/>
            </w:tcBorders>
            <w:shd w:val="clear" w:color="auto" w:fill="auto"/>
            <w:noWrap/>
            <w:vAlign w:val="bottom"/>
            <w:hideMark/>
          </w:tcPr>
          <w:p w:rsidR="001449FD" w:rsidRPr="00EB2995" w:rsidRDefault="001449FD" w:rsidP="001449FD">
            <w:pPr>
              <w:rPr>
                <w:rFonts w:cs="Calibri"/>
                <w:color w:val="000000"/>
                <w:lang w:eastAsia="en-GB"/>
              </w:rPr>
            </w:pPr>
            <w:r w:rsidRPr="00EB2995">
              <w:rPr>
                <w:rFonts w:cs="Calibri"/>
                <w:color w:val="000000"/>
                <w:lang w:eastAsia="en-GB"/>
              </w:rPr>
              <w:t> </w:t>
            </w:r>
          </w:p>
        </w:tc>
        <w:tc>
          <w:tcPr>
            <w:tcW w:w="2862" w:type="dxa"/>
            <w:gridSpan w:val="2"/>
            <w:tcBorders>
              <w:top w:val="single" w:sz="4" w:space="0" w:color="auto"/>
              <w:left w:val="nil"/>
              <w:bottom w:val="single" w:sz="4" w:space="0" w:color="auto"/>
              <w:right w:val="nil"/>
            </w:tcBorders>
            <w:shd w:val="clear" w:color="auto" w:fill="auto"/>
            <w:noWrap/>
            <w:vAlign w:val="bottom"/>
            <w:hideMark/>
          </w:tcPr>
          <w:p w:rsidR="001449FD" w:rsidRPr="00EB2995" w:rsidRDefault="001449FD" w:rsidP="001449FD">
            <w:pPr>
              <w:rPr>
                <w:rFonts w:cs="Calibri"/>
                <w:b/>
                <w:bCs/>
                <w:color w:val="000000"/>
                <w:lang w:eastAsia="en-GB"/>
              </w:rPr>
            </w:pPr>
            <w:r w:rsidRPr="00EB2995">
              <w:rPr>
                <w:rFonts w:cs="Calibri"/>
                <w:b/>
                <w:bCs/>
                <w:color w:val="000000"/>
                <w:lang w:eastAsia="en-GB"/>
              </w:rPr>
              <w:t>Total</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49FD" w:rsidRPr="00EB2995" w:rsidRDefault="001449FD" w:rsidP="001449FD">
            <w:pPr>
              <w:jc w:val="right"/>
              <w:rPr>
                <w:rFonts w:cs="Calibri"/>
                <w:b/>
                <w:bCs/>
                <w:color w:val="000000"/>
                <w:lang w:eastAsia="en-GB"/>
              </w:rPr>
            </w:pPr>
            <w:r w:rsidRPr="00EB2995">
              <w:rPr>
                <w:rFonts w:cs="Calibri"/>
                <w:b/>
                <w:bCs/>
                <w:color w:val="000000"/>
                <w:lang w:eastAsia="en-GB"/>
              </w:rPr>
              <w:t>(26.4)</w:t>
            </w:r>
          </w:p>
        </w:tc>
        <w:tc>
          <w:tcPr>
            <w:tcW w:w="1503" w:type="dxa"/>
            <w:tcBorders>
              <w:top w:val="single" w:sz="4" w:space="0" w:color="auto"/>
              <w:left w:val="nil"/>
              <w:bottom w:val="single" w:sz="4" w:space="0" w:color="auto"/>
              <w:right w:val="single" w:sz="4" w:space="0" w:color="auto"/>
            </w:tcBorders>
            <w:shd w:val="clear" w:color="auto" w:fill="auto"/>
            <w:noWrap/>
            <w:vAlign w:val="center"/>
            <w:hideMark/>
          </w:tcPr>
          <w:p w:rsidR="001449FD" w:rsidRPr="00EB2995" w:rsidRDefault="001449FD" w:rsidP="001449FD">
            <w:pPr>
              <w:jc w:val="right"/>
              <w:rPr>
                <w:rFonts w:cs="Calibri"/>
                <w:b/>
                <w:bCs/>
                <w:color w:val="000000"/>
                <w:lang w:eastAsia="en-GB"/>
              </w:rPr>
            </w:pPr>
            <w:r w:rsidRPr="00EB2995">
              <w:rPr>
                <w:rFonts w:cs="Calibri"/>
                <w:b/>
                <w:bCs/>
                <w:color w:val="000000"/>
                <w:lang w:eastAsia="en-GB"/>
              </w:rPr>
              <w:t>6.0</w:t>
            </w:r>
          </w:p>
        </w:tc>
        <w:tc>
          <w:tcPr>
            <w:tcW w:w="1616" w:type="dxa"/>
            <w:gridSpan w:val="2"/>
            <w:tcBorders>
              <w:top w:val="single" w:sz="4" w:space="0" w:color="auto"/>
              <w:left w:val="nil"/>
              <w:bottom w:val="single" w:sz="4" w:space="0" w:color="auto"/>
              <w:right w:val="single" w:sz="4" w:space="0" w:color="auto"/>
            </w:tcBorders>
            <w:shd w:val="clear" w:color="auto" w:fill="auto"/>
            <w:noWrap/>
            <w:vAlign w:val="center"/>
            <w:hideMark/>
          </w:tcPr>
          <w:p w:rsidR="001449FD" w:rsidRPr="00EB2995" w:rsidRDefault="001449FD" w:rsidP="001449FD">
            <w:pPr>
              <w:jc w:val="right"/>
              <w:rPr>
                <w:rFonts w:cs="Calibri"/>
                <w:b/>
                <w:bCs/>
                <w:color w:val="000000"/>
                <w:lang w:eastAsia="en-GB"/>
              </w:rPr>
            </w:pPr>
            <w:r w:rsidRPr="00EB2995">
              <w:rPr>
                <w:rFonts w:cs="Calibri"/>
                <w:b/>
                <w:bCs/>
                <w:color w:val="000000"/>
                <w:lang w:eastAsia="en-GB"/>
              </w:rPr>
              <w:t>(20.4)</w:t>
            </w:r>
          </w:p>
        </w:tc>
      </w:tr>
      <w:tr w:rsidR="001449FD" w:rsidRPr="00EB2995" w:rsidTr="001449FD">
        <w:trPr>
          <w:gridAfter w:val="1"/>
          <w:wAfter w:w="10" w:type="dxa"/>
          <w:trHeight w:val="300"/>
        </w:trPr>
        <w:tc>
          <w:tcPr>
            <w:tcW w:w="2100" w:type="dxa"/>
            <w:tcBorders>
              <w:top w:val="nil"/>
              <w:left w:val="single" w:sz="4" w:space="0" w:color="auto"/>
              <w:bottom w:val="nil"/>
              <w:right w:val="nil"/>
            </w:tcBorders>
            <w:shd w:val="clear" w:color="auto" w:fill="auto"/>
            <w:noWrap/>
            <w:vAlign w:val="bottom"/>
            <w:hideMark/>
          </w:tcPr>
          <w:p w:rsidR="001449FD" w:rsidRPr="00EB2995" w:rsidRDefault="001449FD" w:rsidP="001449FD">
            <w:pPr>
              <w:rPr>
                <w:rFonts w:cs="Calibri"/>
                <w:color w:val="000000"/>
                <w:lang w:eastAsia="en-GB"/>
              </w:rPr>
            </w:pPr>
            <w:r w:rsidRPr="00EB2995">
              <w:rPr>
                <w:rFonts w:cs="Calibri"/>
                <w:color w:val="000000"/>
                <w:lang w:eastAsia="en-GB"/>
              </w:rPr>
              <w:t>Capital Finance Related</w:t>
            </w:r>
          </w:p>
        </w:tc>
        <w:tc>
          <w:tcPr>
            <w:tcW w:w="2862" w:type="dxa"/>
            <w:gridSpan w:val="2"/>
            <w:tcBorders>
              <w:top w:val="nil"/>
              <w:left w:val="nil"/>
              <w:bottom w:val="nil"/>
              <w:right w:val="nil"/>
            </w:tcBorders>
            <w:shd w:val="clear" w:color="auto" w:fill="auto"/>
            <w:noWrap/>
            <w:vAlign w:val="bottom"/>
            <w:hideMark/>
          </w:tcPr>
          <w:p w:rsidR="001449FD" w:rsidRPr="00EB2995" w:rsidRDefault="001449FD" w:rsidP="001449FD">
            <w:pPr>
              <w:rPr>
                <w:rFonts w:cs="Calibri"/>
                <w:color w:val="000000"/>
                <w:lang w:eastAsia="en-GB"/>
              </w:rPr>
            </w:pPr>
            <w:r w:rsidRPr="00EB2995">
              <w:rPr>
                <w:rFonts w:cs="Calibri"/>
                <w:color w:val="000000"/>
                <w:lang w:eastAsia="en-GB"/>
              </w:rPr>
              <w:t>South Kilburn</w:t>
            </w:r>
          </w:p>
        </w:tc>
        <w:tc>
          <w:tcPr>
            <w:tcW w:w="1275" w:type="dxa"/>
            <w:gridSpan w:val="2"/>
            <w:tcBorders>
              <w:top w:val="nil"/>
              <w:left w:val="single" w:sz="4" w:space="0" w:color="auto"/>
              <w:bottom w:val="nil"/>
              <w:right w:val="single" w:sz="4" w:space="0" w:color="auto"/>
            </w:tcBorders>
            <w:shd w:val="clear" w:color="auto" w:fill="auto"/>
            <w:noWrap/>
            <w:vAlign w:val="center"/>
            <w:hideMark/>
          </w:tcPr>
          <w:p w:rsidR="001449FD" w:rsidRPr="00EB2995" w:rsidRDefault="001449FD" w:rsidP="001449FD">
            <w:pPr>
              <w:jc w:val="right"/>
              <w:rPr>
                <w:rFonts w:cs="Calibri"/>
                <w:color w:val="000000"/>
                <w:lang w:eastAsia="en-GB"/>
              </w:rPr>
            </w:pPr>
            <w:r w:rsidRPr="00EB2995">
              <w:rPr>
                <w:rFonts w:cs="Calibri"/>
                <w:color w:val="000000"/>
                <w:lang w:eastAsia="en-GB"/>
              </w:rPr>
              <w:t>(4.6)</w:t>
            </w:r>
          </w:p>
        </w:tc>
        <w:tc>
          <w:tcPr>
            <w:tcW w:w="1503" w:type="dxa"/>
            <w:tcBorders>
              <w:top w:val="nil"/>
              <w:left w:val="nil"/>
              <w:bottom w:val="nil"/>
              <w:right w:val="single" w:sz="4" w:space="0" w:color="auto"/>
            </w:tcBorders>
            <w:shd w:val="clear" w:color="auto" w:fill="auto"/>
            <w:noWrap/>
            <w:vAlign w:val="center"/>
            <w:hideMark/>
          </w:tcPr>
          <w:p w:rsidR="001449FD" w:rsidRPr="00EB2995" w:rsidRDefault="001449FD" w:rsidP="001449FD">
            <w:pPr>
              <w:jc w:val="right"/>
              <w:rPr>
                <w:rFonts w:cs="Calibri"/>
                <w:color w:val="000000"/>
                <w:lang w:eastAsia="en-GB"/>
              </w:rPr>
            </w:pPr>
            <w:r w:rsidRPr="00EB2995">
              <w:rPr>
                <w:rFonts w:cs="Calibri"/>
                <w:color w:val="000000"/>
                <w:lang w:eastAsia="en-GB"/>
              </w:rPr>
              <w:t>(0.7)</w:t>
            </w:r>
          </w:p>
        </w:tc>
        <w:tc>
          <w:tcPr>
            <w:tcW w:w="1616" w:type="dxa"/>
            <w:gridSpan w:val="2"/>
            <w:tcBorders>
              <w:top w:val="nil"/>
              <w:left w:val="nil"/>
              <w:bottom w:val="nil"/>
              <w:right w:val="single" w:sz="4" w:space="0" w:color="auto"/>
            </w:tcBorders>
            <w:shd w:val="clear" w:color="auto" w:fill="auto"/>
            <w:noWrap/>
            <w:vAlign w:val="center"/>
            <w:hideMark/>
          </w:tcPr>
          <w:p w:rsidR="001449FD" w:rsidRPr="00EB2995" w:rsidRDefault="001449FD" w:rsidP="001449FD">
            <w:pPr>
              <w:jc w:val="right"/>
              <w:rPr>
                <w:rFonts w:cs="Calibri"/>
                <w:color w:val="000000"/>
                <w:lang w:eastAsia="en-GB"/>
              </w:rPr>
            </w:pPr>
            <w:r w:rsidRPr="00EB2995">
              <w:rPr>
                <w:rFonts w:cs="Calibri"/>
                <w:color w:val="000000"/>
                <w:lang w:eastAsia="en-GB"/>
              </w:rPr>
              <w:t>(5.3)</w:t>
            </w:r>
          </w:p>
        </w:tc>
      </w:tr>
      <w:tr w:rsidR="001449FD" w:rsidRPr="00EB2995" w:rsidTr="001449FD">
        <w:trPr>
          <w:gridAfter w:val="1"/>
          <w:wAfter w:w="10" w:type="dxa"/>
          <w:trHeight w:val="300"/>
        </w:trPr>
        <w:tc>
          <w:tcPr>
            <w:tcW w:w="2100" w:type="dxa"/>
            <w:tcBorders>
              <w:top w:val="nil"/>
              <w:left w:val="single" w:sz="4" w:space="0" w:color="auto"/>
              <w:bottom w:val="nil"/>
              <w:right w:val="nil"/>
            </w:tcBorders>
            <w:shd w:val="clear" w:color="auto" w:fill="auto"/>
            <w:noWrap/>
            <w:vAlign w:val="bottom"/>
            <w:hideMark/>
          </w:tcPr>
          <w:p w:rsidR="001449FD" w:rsidRPr="00EB2995" w:rsidRDefault="001449FD" w:rsidP="001449FD">
            <w:pPr>
              <w:rPr>
                <w:rFonts w:cs="Calibri"/>
                <w:color w:val="000000"/>
                <w:lang w:eastAsia="en-GB"/>
              </w:rPr>
            </w:pPr>
            <w:r w:rsidRPr="00EB2995">
              <w:rPr>
                <w:rFonts w:cs="Calibri"/>
                <w:color w:val="000000"/>
                <w:lang w:eastAsia="en-GB"/>
              </w:rPr>
              <w:t> </w:t>
            </w:r>
          </w:p>
        </w:tc>
        <w:tc>
          <w:tcPr>
            <w:tcW w:w="2862" w:type="dxa"/>
            <w:gridSpan w:val="2"/>
            <w:tcBorders>
              <w:top w:val="nil"/>
              <w:left w:val="nil"/>
              <w:bottom w:val="nil"/>
              <w:right w:val="nil"/>
            </w:tcBorders>
            <w:shd w:val="clear" w:color="auto" w:fill="auto"/>
            <w:noWrap/>
            <w:vAlign w:val="bottom"/>
            <w:hideMark/>
          </w:tcPr>
          <w:p w:rsidR="001449FD" w:rsidRPr="00EB2995" w:rsidRDefault="001449FD" w:rsidP="001449FD">
            <w:pPr>
              <w:rPr>
                <w:rFonts w:cs="Calibri"/>
                <w:color w:val="000000"/>
                <w:lang w:eastAsia="en-GB"/>
              </w:rPr>
            </w:pPr>
            <w:r w:rsidRPr="00EB2995">
              <w:rPr>
                <w:rFonts w:cs="Calibri"/>
                <w:color w:val="000000"/>
                <w:lang w:eastAsia="en-GB"/>
              </w:rPr>
              <w:t>CWB</w:t>
            </w:r>
          </w:p>
        </w:tc>
        <w:tc>
          <w:tcPr>
            <w:tcW w:w="1275" w:type="dxa"/>
            <w:gridSpan w:val="2"/>
            <w:tcBorders>
              <w:top w:val="nil"/>
              <w:left w:val="single" w:sz="4" w:space="0" w:color="auto"/>
              <w:bottom w:val="nil"/>
              <w:right w:val="single" w:sz="4" w:space="0" w:color="auto"/>
            </w:tcBorders>
            <w:shd w:val="clear" w:color="auto" w:fill="auto"/>
            <w:noWrap/>
            <w:vAlign w:val="center"/>
            <w:hideMark/>
          </w:tcPr>
          <w:p w:rsidR="001449FD" w:rsidRPr="00EB2995" w:rsidRDefault="001449FD" w:rsidP="001449FD">
            <w:pPr>
              <w:jc w:val="right"/>
              <w:rPr>
                <w:rFonts w:cs="Calibri"/>
                <w:color w:val="000000"/>
                <w:lang w:eastAsia="en-GB"/>
              </w:rPr>
            </w:pPr>
            <w:r w:rsidRPr="00EB2995">
              <w:rPr>
                <w:rFonts w:cs="Calibri"/>
                <w:color w:val="000000"/>
                <w:lang w:eastAsia="en-GB"/>
              </w:rPr>
              <w:t>(0.1)</w:t>
            </w:r>
          </w:p>
        </w:tc>
        <w:tc>
          <w:tcPr>
            <w:tcW w:w="1503" w:type="dxa"/>
            <w:tcBorders>
              <w:top w:val="nil"/>
              <w:left w:val="nil"/>
              <w:bottom w:val="nil"/>
              <w:right w:val="single" w:sz="4" w:space="0" w:color="auto"/>
            </w:tcBorders>
            <w:shd w:val="clear" w:color="auto" w:fill="auto"/>
            <w:noWrap/>
            <w:vAlign w:val="center"/>
            <w:hideMark/>
          </w:tcPr>
          <w:p w:rsidR="001449FD" w:rsidRPr="00EB2995" w:rsidRDefault="001449FD" w:rsidP="001449FD">
            <w:pPr>
              <w:jc w:val="right"/>
              <w:rPr>
                <w:rFonts w:cs="Calibri"/>
                <w:color w:val="000000"/>
                <w:lang w:eastAsia="en-GB"/>
              </w:rPr>
            </w:pPr>
            <w:r w:rsidRPr="00EB2995">
              <w:rPr>
                <w:rFonts w:cs="Calibri"/>
                <w:color w:val="000000"/>
                <w:lang w:eastAsia="en-GB"/>
              </w:rPr>
              <w:t>0.1</w:t>
            </w:r>
          </w:p>
        </w:tc>
        <w:tc>
          <w:tcPr>
            <w:tcW w:w="1616" w:type="dxa"/>
            <w:gridSpan w:val="2"/>
            <w:tcBorders>
              <w:top w:val="nil"/>
              <w:left w:val="nil"/>
              <w:bottom w:val="nil"/>
              <w:right w:val="single" w:sz="4" w:space="0" w:color="auto"/>
            </w:tcBorders>
            <w:shd w:val="clear" w:color="auto" w:fill="auto"/>
            <w:noWrap/>
            <w:vAlign w:val="center"/>
            <w:hideMark/>
          </w:tcPr>
          <w:p w:rsidR="001449FD" w:rsidRPr="00EB2995" w:rsidRDefault="001449FD" w:rsidP="001449FD">
            <w:pPr>
              <w:jc w:val="right"/>
              <w:rPr>
                <w:rFonts w:cs="Calibri"/>
                <w:color w:val="000000"/>
                <w:lang w:eastAsia="en-GB"/>
              </w:rPr>
            </w:pPr>
            <w:r w:rsidRPr="00EB2995">
              <w:rPr>
                <w:rFonts w:cs="Calibri"/>
                <w:color w:val="000000"/>
                <w:lang w:eastAsia="en-GB"/>
              </w:rPr>
              <w:t>(0.0)</w:t>
            </w:r>
          </w:p>
        </w:tc>
      </w:tr>
      <w:tr w:rsidR="001449FD" w:rsidRPr="00EB2995" w:rsidTr="001449FD">
        <w:trPr>
          <w:gridAfter w:val="1"/>
          <w:wAfter w:w="10" w:type="dxa"/>
          <w:trHeight w:val="300"/>
        </w:trPr>
        <w:tc>
          <w:tcPr>
            <w:tcW w:w="2100" w:type="dxa"/>
            <w:tcBorders>
              <w:top w:val="nil"/>
              <w:left w:val="single" w:sz="4" w:space="0" w:color="auto"/>
              <w:bottom w:val="nil"/>
              <w:right w:val="nil"/>
            </w:tcBorders>
            <w:shd w:val="clear" w:color="auto" w:fill="auto"/>
            <w:noWrap/>
            <w:vAlign w:val="bottom"/>
            <w:hideMark/>
          </w:tcPr>
          <w:p w:rsidR="001449FD" w:rsidRPr="00EB2995" w:rsidRDefault="001449FD" w:rsidP="001449FD">
            <w:pPr>
              <w:rPr>
                <w:rFonts w:cs="Calibri"/>
                <w:color w:val="000000"/>
                <w:lang w:eastAsia="en-GB"/>
              </w:rPr>
            </w:pPr>
            <w:r w:rsidRPr="00EB2995">
              <w:rPr>
                <w:rFonts w:cs="Calibri"/>
                <w:color w:val="000000"/>
                <w:lang w:eastAsia="en-GB"/>
              </w:rPr>
              <w:t> </w:t>
            </w:r>
          </w:p>
        </w:tc>
        <w:tc>
          <w:tcPr>
            <w:tcW w:w="2862" w:type="dxa"/>
            <w:gridSpan w:val="2"/>
            <w:tcBorders>
              <w:top w:val="nil"/>
              <w:left w:val="nil"/>
              <w:bottom w:val="nil"/>
              <w:right w:val="nil"/>
            </w:tcBorders>
            <w:shd w:val="clear" w:color="auto" w:fill="auto"/>
            <w:noWrap/>
            <w:vAlign w:val="bottom"/>
            <w:hideMark/>
          </w:tcPr>
          <w:p w:rsidR="001449FD" w:rsidRPr="00EB2995" w:rsidRDefault="001449FD" w:rsidP="001449FD">
            <w:pPr>
              <w:rPr>
                <w:rFonts w:cs="Calibri"/>
                <w:color w:val="000000"/>
                <w:lang w:eastAsia="en-GB"/>
              </w:rPr>
            </w:pPr>
            <w:r w:rsidRPr="00EB2995">
              <w:rPr>
                <w:rFonts w:cs="Calibri"/>
                <w:color w:val="000000"/>
                <w:lang w:eastAsia="en-GB"/>
              </w:rPr>
              <w:t>General Fund Capital funding</w:t>
            </w:r>
          </w:p>
        </w:tc>
        <w:tc>
          <w:tcPr>
            <w:tcW w:w="1275" w:type="dxa"/>
            <w:gridSpan w:val="2"/>
            <w:tcBorders>
              <w:top w:val="nil"/>
              <w:left w:val="single" w:sz="4" w:space="0" w:color="auto"/>
              <w:bottom w:val="nil"/>
              <w:right w:val="single" w:sz="4" w:space="0" w:color="auto"/>
            </w:tcBorders>
            <w:shd w:val="clear" w:color="auto" w:fill="auto"/>
            <w:noWrap/>
            <w:vAlign w:val="center"/>
            <w:hideMark/>
          </w:tcPr>
          <w:p w:rsidR="001449FD" w:rsidRPr="00EB2995" w:rsidRDefault="001449FD" w:rsidP="001449FD">
            <w:pPr>
              <w:jc w:val="right"/>
              <w:rPr>
                <w:rFonts w:cs="Calibri"/>
                <w:color w:val="000000"/>
                <w:lang w:eastAsia="en-GB"/>
              </w:rPr>
            </w:pPr>
            <w:r w:rsidRPr="00EB2995">
              <w:rPr>
                <w:rFonts w:cs="Calibri"/>
                <w:color w:val="000000"/>
                <w:lang w:eastAsia="en-GB"/>
              </w:rPr>
              <w:t>(31.4)</w:t>
            </w:r>
          </w:p>
        </w:tc>
        <w:tc>
          <w:tcPr>
            <w:tcW w:w="1503" w:type="dxa"/>
            <w:tcBorders>
              <w:top w:val="nil"/>
              <w:left w:val="nil"/>
              <w:bottom w:val="nil"/>
              <w:right w:val="single" w:sz="4" w:space="0" w:color="auto"/>
            </w:tcBorders>
            <w:shd w:val="clear" w:color="auto" w:fill="auto"/>
            <w:noWrap/>
            <w:vAlign w:val="center"/>
            <w:hideMark/>
          </w:tcPr>
          <w:p w:rsidR="001449FD" w:rsidRPr="00EB2995" w:rsidRDefault="001449FD" w:rsidP="001449FD">
            <w:pPr>
              <w:jc w:val="right"/>
              <w:rPr>
                <w:rFonts w:cs="Calibri"/>
                <w:color w:val="000000"/>
                <w:lang w:eastAsia="en-GB"/>
              </w:rPr>
            </w:pPr>
            <w:r w:rsidRPr="00EB2995">
              <w:rPr>
                <w:rFonts w:cs="Calibri"/>
                <w:color w:val="000000"/>
                <w:lang w:eastAsia="en-GB"/>
              </w:rPr>
              <w:t>(10.1)</w:t>
            </w:r>
          </w:p>
        </w:tc>
        <w:tc>
          <w:tcPr>
            <w:tcW w:w="1616" w:type="dxa"/>
            <w:gridSpan w:val="2"/>
            <w:tcBorders>
              <w:top w:val="nil"/>
              <w:left w:val="nil"/>
              <w:bottom w:val="nil"/>
              <w:right w:val="single" w:sz="4" w:space="0" w:color="auto"/>
            </w:tcBorders>
            <w:shd w:val="clear" w:color="auto" w:fill="auto"/>
            <w:noWrap/>
            <w:vAlign w:val="center"/>
            <w:hideMark/>
          </w:tcPr>
          <w:p w:rsidR="001449FD" w:rsidRPr="00EB2995" w:rsidRDefault="001449FD" w:rsidP="001449FD">
            <w:pPr>
              <w:jc w:val="right"/>
              <w:rPr>
                <w:rFonts w:cs="Calibri"/>
                <w:color w:val="000000"/>
                <w:lang w:eastAsia="en-GB"/>
              </w:rPr>
            </w:pPr>
            <w:r w:rsidRPr="00EB2995">
              <w:rPr>
                <w:rFonts w:cs="Calibri"/>
                <w:color w:val="000000"/>
                <w:lang w:eastAsia="en-GB"/>
              </w:rPr>
              <w:t>(41.5)</w:t>
            </w:r>
          </w:p>
        </w:tc>
      </w:tr>
      <w:tr w:rsidR="001449FD" w:rsidRPr="00EB2995" w:rsidTr="001449FD">
        <w:trPr>
          <w:gridAfter w:val="1"/>
          <w:wAfter w:w="10" w:type="dxa"/>
          <w:trHeight w:val="315"/>
        </w:trPr>
        <w:tc>
          <w:tcPr>
            <w:tcW w:w="2100" w:type="dxa"/>
            <w:tcBorders>
              <w:top w:val="single" w:sz="4" w:space="0" w:color="auto"/>
              <w:left w:val="single" w:sz="4" w:space="0" w:color="auto"/>
              <w:bottom w:val="nil"/>
              <w:right w:val="nil"/>
            </w:tcBorders>
            <w:shd w:val="clear" w:color="auto" w:fill="auto"/>
            <w:noWrap/>
            <w:vAlign w:val="bottom"/>
            <w:hideMark/>
          </w:tcPr>
          <w:p w:rsidR="001449FD" w:rsidRPr="00EB2995" w:rsidRDefault="001449FD" w:rsidP="001449FD">
            <w:pPr>
              <w:rPr>
                <w:rFonts w:cs="Calibri"/>
                <w:color w:val="000000"/>
                <w:lang w:eastAsia="en-GB"/>
              </w:rPr>
            </w:pPr>
            <w:r w:rsidRPr="00EB2995">
              <w:rPr>
                <w:rFonts w:cs="Calibri"/>
                <w:color w:val="000000"/>
                <w:lang w:eastAsia="en-GB"/>
              </w:rPr>
              <w:t> </w:t>
            </w:r>
          </w:p>
        </w:tc>
        <w:tc>
          <w:tcPr>
            <w:tcW w:w="2862" w:type="dxa"/>
            <w:gridSpan w:val="2"/>
            <w:tcBorders>
              <w:top w:val="single" w:sz="4" w:space="0" w:color="auto"/>
              <w:left w:val="nil"/>
              <w:bottom w:val="nil"/>
              <w:right w:val="nil"/>
            </w:tcBorders>
            <w:shd w:val="clear" w:color="auto" w:fill="auto"/>
            <w:noWrap/>
            <w:vAlign w:val="bottom"/>
            <w:hideMark/>
          </w:tcPr>
          <w:p w:rsidR="001449FD" w:rsidRPr="00EB2995" w:rsidRDefault="001449FD" w:rsidP="001449FD">
            <w:pPr>
              <w:rPr>
                <w:rFonts w:cs="Calibri"/>
                <w:b/>
                <w:bCs/>
                <w:color w:val="000000"/>
                <w:lang w:eastAsia="en-GB"/>
              </w:rPr>
            </w:pPr>
            <w:r w:rsidRPr="00EB2995">
              <w:rPr>
                <w:rFonts w:cs="Calibri"/>
                <w:b/>
                <w:bCs/>
                <w:color w:val="000000"/>
                <w:lang w:eastAsia="en-GB"/>
              </w:rPr>
              <w:t>Total</w:t>
            </w:r>
          </w:p>
        </w:tc>
        <w:tc>
          <w:tcPr>
            <w:tcW w:w="1275" w:type="dxa"/>
            <w:gridSpan w:val="2"/>
            <w:tcBorders>
              <w:top w:val="single" w:sz="4" w:space="0" w:color="auto"/>
              <w:left w:val="single" w:sz="4" w:space="0" w:color="auto"/>
              <w:bottom w:val="nil"/>
              <w:right w:val="single" w:sz="4" w:space="0" w:color="auto"/>
            </w:tcBorders>
            <w:shd w:val="clear" w:color="auto" w:fill="auto"/>
            <w:noWrap/>
            <w:vAlign w:val="center"/>
            <w:hideMark/>
          </w:tcPr>
          <w:p w:rsidR="001449FD" w:rsidRPr="00EB2995" w:rsidRDefault="001449FD" w:rsidP="001449FD">
            <w:pPr>
              <w:jc w:val="right"/>
              <w:rPr>
                <w:rFonts w:cs="Calibri"/>
                <w:b/>
                <w:bCs/>
                <w:color w:val="000000"/>
                <w:lang w:eastAsia="en-GB"/>
              </w:rPr>
            </w:pPr>
            <w:r w:rsidRPr="00EB2995">
              <w:rPr>
                <w:rFonts w:cs="Calibri"/>
                <w:b/>
                <w:bCs/>
                <w:color w:val="000000"/>
                <w:lang w:eastAsia="en-GB"/>
              </w:rPr>
              <w:t>(36.1)</w:t>
            </w:r>
          </w:p>
        </w:tc>
        <w:tc>
          <w:tcPr>
            <w:tcW w:w="1503" w:type="dxa"/>
            <w:tcBorders>
              <w:top w:val="single" w:sz="4" w:space="0" w:color="auto"/>
              <w:left w:val="nil"/>
              <w:bottom w:val="nil"/>
              <w:right w:val="single" w:sz="4" w:space="0" w:color="auto"/>
            </w:tcBorders>
            <w:shd w:val="clear" w:color="auto" w:fill="auto"/>
            <w:noWrap/>
            <w:vAlign w:val="center"/>
            <w:hideMark/>
          </w:tcPr>
          <w:p w:rsidR="001449FD" w:rsidRPr="00EB2995" w:rsidRDefault="001449FD" w:rsidP="001449FD">
            <w:pPr>
              <w:jc w:val="right"/>
              <w:rPr>
                <w:rFonts w:cs="Calibri"/>
                <w:b/>
                <w:bCs/>
                <w:color w:val="000000"/>
                <w:lang w:eastAsia="en-GB"/>
              </w:rPr>
            </w:pPr>
            <w:r w:rsidRPr="00EB2995">
              <w:rPr>
                <w:rFonts w:cs="Calibri"/>
                <w:b/>
                <w:bCs/>
                <w:color w:val="000000"/>
                <w:lang w:eastAsia="en-GB"/>
              </w:rPr>
              <w:t>(10.7)</w:t>
            </w:r>
          </w:p>
        </w:tc>
        <w:tc>
          <w:tcPr>
            <w:tcW w:w="1616" w:type="dxa"/>
            <w:gridSpan w:val="2"/>
            <w:tcBorders>
              <w:top w:val="single" w:sz="4" w:space="0" w:color="auto"/>
              <w:left w:val="nil"/>
              <w:bottom w:val="nil"/>
              <w:right w:val="single" w:sz="4" w:space="0" w:color="auto"/>
            </w:tcBorders>
            <w:shd w:val="clear" w:color="auto" w:fill="auto"/>
            <w:noWrap/>
            <w:vAlign w:val="center"/>
            <w:hideMark/>
          </w:tcPr>
          <w:p w:rsidR="001449FD" w:rsidRPr="00EB2995" w:rsidRDefault="001449FD" w:rsidP="001449FD">
            <w:pPr>
              <w:jc w:val="right"/>
              <w:rPr>
                <w:rFonts w:cs="Calibri"/>
                <w:b/>
                <w:bCs/>
                <w:color w:val="000000"/>
                <w:lang w:eastAsia="en-GB"/>
              </w:rPr>
            </w:pPr>
            <w:r w:rsidRPr="00EB2995">
              <w:rPr>
                <w:rFonts w:cs="Calibri"/>
                <w:b/>
                <w:bCs/>
                <w:color w:val="000000"/>
                <w:lang w:eastAsia="en-GB"/>
              </w:rPr>
              <w:t>(46.8)</w:t>
            </w:r>
          </w:p>
        </w:tc>
      </w:tr>
      <w:tr w:rsidR="001449FD" w:rsidRPr="00EB2995" w:rsidTr="001449FD">
        <w:trPr>
          <w:gridAfter w:val="1"/>
          <w:wAfter w:w="10" w:type="dxa"/>
          <w:trHeight w:val="375"/>
        </w:trPr>
        <w:tc>
          <w:tcPr>
            <w:tcW w:w="2100" w:type="dxa"/>
            <w:tcBorders>
              <w:top w:val="single" w:sz="8" w:space="0" w:color="auto"/>
              <w:left w:val="single" w:sz="8" w:space="0" w:color="auto"/>
              <w:bottom w:val="single" w:sz="8" w:space="0" w:color="auto"/>
              <w:right w:val="nil"/>
            </w:tcBorders>
            <w:shd w:val="clear" w:color="auto" w:fill="auto"/>
            <w:noWrap/>
            <w:vAlign w:val="bottom"/>
            <w:hideMark/>
          </w:tcPr>
          <w:p w:rsidR="001449FD" w:rsidRPr="00EB2995" w:rsidRDefault="001449FD" w:rsidP="001449FD">
            <w:pPr>
              <w:rPr>
                <w:rFonts w:cs="Calibri"/>
                <w:b/>
                <w:bCs/>
                <w:i/>
                <w:iCs/>
                <w:color w:val="000000"/>
                <w:lang w:eastAsia="en-GB"/>
              </w:rPr>
            </w:pPr>
            <w:r w:rsidRPr="00EB2995">
              <w:rPr>
                <w:rFonts w:cs="Calibri"/>
                <w:b/>
                <w:bCs/>
                <w:i/>
                <w:iCs/>
                <w:color w:val="000000"/>
                <w:lang w:eastAsia="en-GB"/>
              </w:rPr>
              <w:t>Total</w:t>
            </w:r>
          </w:p>
        </w:tc>
        <w:tc>
          <w:tcPr>
            <w:tcW w:w="2862" w:type="dxa"/>
            <w:gridSpan w:val="2"/>
            <w:tcBorders>
              <w:top w:val="single" w:sz="8" w:space="0" w:color="auto"/>
              <w:left w:val="nil"/>
              <w:bottom w:val="single" w:sz="8" w:space="0" w:color="auto"/>
              <w:right w:val="nil"/>
            </w:tcBorders>
            <w:shd w:val="clear" w:color="auto" w:fill="auto"/>
            <w:noWrap/>
            <w:vAlign w:val="bottom"/>
            <w:hideMark/>
          </w:tcPr>
          <w:p w:rsidR="001449FD" w:rsidRPr="00EB2995" w:rsidRDefault="001449FD" w:rsidP="001449FD">
            <w:pPr>
              <w:rPr>
                <w:rFonts w:cs="Calibri"/>
                <w:b/>
                <w:bCs/>
                <w:i/>
                <w:iCs/>
                <w:color w:val="000000"/>
                <w:lang w:eastAsia="en-GB"/>
              </w:rPr>
            </w:pPr>
            <w:r w:rsidRPr="00EB2995">
              <w:rPr>
                <w:rFonts w:cs="Calibri"/>
                <w:b/>
                <w:bCs/>
                <w:i/>
                <w:iCs/>
                <w:color w:val="000000"/>
                <w:lang w:eastAsia="en-GB"/>
              </w:rPr>
              <w:t> </w:t>
            </w:r>
          </w:p>
        </w:tc>
        <w:tc>
          <w:tcPr>
            <w:tcW w:w="1275" w:type="dxa"/>
            <w:gridSpan w:val="2"/>
            <w:tcBorders>
              <w:top w:val="single" w:sz="8" w:space="0" w:color="auto"/>
              <w:left w:val="single" w:sz="4" w:space="0" w:color="auto"/>
              <w:bottom w:val="single" w:sz="8" w:space="0" w:color="auto"/>
              <w:right w:val="single" w:sz="4" w:space="0" w:color="auto"/>
            </w:tcBorders>
            <w:shd w:val="clear" w:color="auto" w:fill="auto"/>
            <w:noWrap/>
            <w:vAlign w:val="center"/>
            <w:hideMark/>
          </w:tcPr>
          <w:p w:rsidR="001449FD" w:rsidRPr="00EB2995" w:rsidRDefault="001449FD" w:rsidP="001449FD">
            <w:pPr>
              <w:jc w:val="right"/>
              <w:rPr>
                <w:rFonts w:cs="Calibri"/>
                <w:b/>
                <w:bCs/>
                <w:i/>
                <w:iCs/>
                <w:color w:val="000000"/>
                <w:lang w:eastAsia="en-GB"/>
              </w:rPr>
            </w:pPr>
            <w:r w:rsidRPr="00EB2995">
              <w:rPr>
                <w:rFonts w:cs="Calibri"/>
                <w:b/>
                <w:bCs/>
                <w:i/>
                <w:iCs/>
                <w:color w:val="000000"/>
                <w:lang w:eastAsia="en-GB"/>
              </w:rPr>
              <w:t>(168.5)</w:t>
            </w:r>
          </w:p>
        </w:tc>
        <w:tc>
          <w:tcPr>
            <w:tcW w:w="1503" w:type="dxa"/>
            <w:tcBorders>
              <w:top w:val="single" w:sz="8" w:space="0" w:color="auto"/>
              <w:left w:val="nil"/>
              <w:bottom w:val="single" w:sz="8" w:space="0" w:color="auto"/>
              <w:right w:val="single" w:sz="4" w:space="0" w:color="auto"/>
            </w:tcBorders>
            <w:shd w:val="clear" w:color="auto" w:fill="auto"/>
            <w:noWrap/>
            <w:vAlign w:val="center"/>
            <w:hideMark/>
          </w:tcPr>
          <w:p w:rsidR="001449FD" w:rsidRPr="00EB2995" w:rsidRDefault="001449FD" w:rsidP="001449FD">
            <w:pPr>
              <w:jc w:val="right"/>
              <w:rPr>
                <w:rFonts w:cs="Calibri"/>
                <w:b/>
                <w:bCs/>
                <w:i/>
                <w:iCs/>
                <w:color w:val="000000"/>
                <w:lang w:eastAsia="en-GB"/>
              </w:rPr>
            </w:pPr>
            <w:r w:rsidRPr="00EB2995">
              <w:rPr>
                <w:rFonts w:cs="Calibri"/>
                <w:b/>
                <w:bCs/>
                <w:i/>
                <w:iCs/>
                <w:color w:val="000000"/>
                <w:lang w:eastAsia="en-GB"/>
              </w:rPr>
              <w:t>(27.2)</w:t>
            </w:r>
          </w:p>
        </w:tc>
        <w:tc>
          <w:tcPr>
            <w:tcW w:w="1616" w:type="dxa"/>
            <w:gridSpan w:val="2"/>
            <w:tcBorders>
              <w:top w:val="single" w:sz="8" w:space="0" w:color="auto"/>
              <w:left w:val="nil"/>
              <w:bottom w:val="single" w:sz="8" w:space="0" w:color="auto"/>
              <w:right w:val="single" w:sz="8" w:space="0" w:color="auto"/>
            </w:tcBorders>
            <w:shd w:val="clear" w:color="auto" w:fill="auto"/>
            <w:noWrap/>
            <w:vAlign w:val="center"/>
            <w:hideMark/>
          </w:tcPr>
          <w:p w:rsidR="001449FD" w:rsidRPr="00EB2995" w:rsidRDefault="001449FD" w:rsidP="001449FD">
            <w:pPr>
              <w:jc w:val="right"/>
              <w:rPr>
                <w:rFonts w:cs="Calibri"/>
                <w:b/>
                <w:bCs/>
                <w:i/>
                <w:iCs/>
                <w:color w:val="000000"/>
                <w:lang w:eastAsia="en-GB"/>
              </w:rPr>
            </w:pPr>
            <w:r w:rsidRPr="00EB2995">
              <w:rPr>
                <w:rFonts w:cs="Calibri"/>
                <w:b/>
                <w:bCs/>
                <w:i/>
                <w:iCs/>
                <w:color w:val="000000"/>
                <w:lang w:eastAsia="en-GB"/>
              </w:rPr>
              <w:t>(195.7)</w:t>
            </w:r>
          </w:p>
        </w:tc>
      </w:tr>
      <w:tr w:rsidR="001449FD" w:rsidRPr="00EB2995" w:rsidTr="001449FD">
        <w:trPr>
          <w:trHeight w:val="375"/>
        </w:trPr>
        <w:tc>
          <w:tcPr>
            <w:tcW w:w="5002" w:type="dxa"/>
            <w:gridSpan w:val="4"/>
            <w:tcBorders>
              <w:top w:val="nil"/>
              <w:left w:val="nil"/>
              <w:bottom w:val="nil"/>
              <w:right w:val="nil"/>
            </w:tcBorders>
            <w:shd w:val="clear" w:color="auto" w:fill="auto"/>
            <w:noWrap/>
            <w:vAlign w:val="bottom"/>
            <w:hideMark/>
          </w:tcPr>
          <w:p w:rsidR="001449FD" w:rsidRPr="00EB2995" w:rsidRDefault="001449FD" w:rsidP="001449FD">
            <w:pPr>
              <w:rPr>
                <w:rFonts w:cs="Calibri"/>
                <w:b/>
                <w:bCs/>
                <w:color w:val="000000"/>
                <w:lang w:eastAsia="en-GB"/>
              </w:rPr>
            </w:pPr>
            <w:r w:rsidRPr="00EB2995">
              <w:rPr>
                <w:rFonts w:cs="Calibri"/>
                <w:b/>
                <w:bCs/>
                <w:color w:val="000000"/>
                <w:lang w:eastAsia="en-GB"/>
              </w:rPr>
              <w:t>General and other smoothing reserves</w:t>
            </w:r>
          </w:p>
        </w:tc>
        <w:tc>
          <w:tcPr>
            <w:tcW w:w="1235" w:type="dxa"/>
            <w:tcBorders>
              <w:top w:val="nil"/>
              <w:left w:val="nil"/>
              <w:bottom w:val="nil"/>
              <w:right w:val="nil"/>
            </w:tcBorders>
            <w:shd w:val="clear" w:color="auto" w:fill="auto"/>
            <w:noWrap/>
            <w:vAlign w:val="center"/>
            <w:hideMark/>
          </w:tcPr>
          <w:p w:rsidR="001449FD" w:rsidRPr="00EB2995" w:rsidRDefault="001449FD" w:rsidP="001449FD">
            <w:pPr>
              <w:rPr>
                <w:rFonts w:cs="Calibri"/>
                <w:b/>
                <w:bCs/>
                <w:color w:val="000000"/>
                <w:lang w:eastAsia="en-GB"/>
              </w:rPr>
            </w:pPr>
          </w:p>
        </w:tc>
        <w:tc>
          <w:tcPr>
            <w:tcW w:w="1560" w:type="dxa"/>
            <w:gridSpan w:val="2"/>
            <w:tcBorders>
              <w:top w:val="nil"/>
              <w:left w:val="nil"/>
              <w:bottom w:val="nil"/>
              <w:right w:val="nil"/>
            </w:tcBorders>
            <w:shd w:val="clear" w:color="auto" w:fill="auto"/>
            <w:noWrap/>
            <w:vAlign w:val="center"/>
            <w:hideMark/>
          </w:tcPr>
          <w:p w:rsidR="001449FD" w:rsidRPr="00EB2995" w:rsidRDefault="001449FD" w:rsidP="001449FD">
            <w:pPr>
              <w:rPr>
                <w:rFonts w:cs="Calibri"/>
                <w:sz w:val="20"/>
                <w:szCs w:val="20"/>
                <w:lang w:eastAsia="en-GB"/>
              </w:rPr>
            </w:pPr>
          </w:p>
        </w:tc>
        <w:tc>
          <w:tcPr>
            <w:tcW w:w="1569" w:type="dxa"/>
            <w:gridSpan w:val="2"/>
            <w:tcBorders>
              <w:top w:val="nil"/>
              <w:left w:val="nil"/>
              <w:bottom w:val="nil"/>
              <w:right w:val="nil"/>
            </w:tcBorders>
            <w:shd w:val="clear" w:color="auto" w:fill="auto"/>
            <w:noWrap/>
            <w:vAlign w:val="center"/>
            <w:hideMark/>
          </w:tcPr>
          <w:p w:rsidR="001449FD" w:rsidRPr="00EB2995" w:rsidRDefault="001449FD" w:rsidP="001449FD">
            <w:pPr>
              <w:rPr>
                <w:rFonts w:cs="Calibri"/>
                <w:sz w:val="20"/>
                <w:szCs w:val="20"/>
                <w:lang w:eastAsia="en-GB"/>
              </w:rPr>
            </w:pPr>
          </w:p>
        </w:tc>
      </w:tr>
      <w:tr w:rsidR="001449FD" w:rsidRPr="00EB2995" w:rsidTr="001449FD">
        <w:trPr>
          <w:trHeight w:val="360"/>
        </w:trPr>
        <w:tc>
          <w:tcPr>
            <w:tcW w:w="2171" w:type="dxa"/>
            <w:gridSpan w:val="2"/>
            <w:tcBorders>
              <w:top w:val="single" w:sz="4" w:space="0" w:color="auto"/>
              <w:left w:val="single" w:sz="4" w:space="0" w:color="auto"/>
              <w:bottom w:val="single" w:sz="4" w:space="0" w:color="auto"/>
              <w:right w:val="nil"/>
            </w:tcBorders>
            <w:shd w:val="clear" w:color="auto" w:fill="auto"/>
            <w:noWrap/>
            <w:vAlign w:val="bottom"/>
            <w:hideMark/>
          </w:tcPr>
          <w:p w:rsidR="001449FD" w:rsidRPr="00EB2995" w:rsidRDefault="001449FD" w:rsidP="001449FD">
            <w:pPr>
              <w:rPr>
                <w:rFonts w:cs="Calibri"/>
                <w:color w:val="000000"/>
                <w:lang w:eastAsia="en-GB"/>
              </w:rPr>
            </w:pPr>
            <w:r w:rsidRPr="00EB2995">
              <w:rPr>
                <w:rFonts w:cs="Calibri"/>
                <w:color w:val="000000"/>
                <w:lang w:eastAsia="en-GB"/>
              </w:rPr>
              <w:t>Investment reserve</w:t>
            </w:r>
          </w:p>
        </w:tc>
        <w:tc>
          <w:tcPr>
            <w:tcW w:w="2831" w:type="dxa"/>
            <w:gridSpan w:val="2"/>
            <w:tcBorders>
              <w:top w:val="single" w:sz="4" w:space="0" w:color="auto"/>
              <w:left w:val="nil"/>
              <w:bottom w:val="single" w:sz="4" w:space="0" w:color="auto"/>
              <w:right w:val="nil"/>
            </w:tcBorders>
            <w:shd w:val="clear" w:color="auto" w:fill="auto"/>
            <w:noWrap/>
            <w:vAlign w:val="bottom"/>
            <w:hideMark/>
          </w:tcPr>
          <w:p w:rsidR="001449FD" w:rsidRPr="00EB2995" w:rsidRDefault="001449FD" w:rsidP="001449FD">
            <w:pPr>
              <w:rPr>
                <w:rFonts w:cs="Calibri"/>
                <w:color w:val="000000"/>
                <w:lang w:eastAsia="en-GB"/>
              </w:rPr>
            </w:pPr>
            <w:r w:rsidRPr="00EB2995">
              <w:rPr>
                <w:rFonts w:cs="Calibri"/>
                <w:color w:val="000000"/>
                <w:lang w:eastAsia="en-GB"/>
              </w:rPr>
              <w:t> </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49FD" w:rsidRPr="00EB2995" w:rsidRDefault="001449FD" w:rsidP="001449FD">
            <w:pPr>
              <w:jc w:val="right"/>
              <w:rPr>
                <w:rFonts w:cs="Calibri"/>
                <w:b/>
                <w:bCs/>
                <w:color w:val="000000"/>
                <w:lang w:eastAsia="en-GB"/>
              </w:rPr>
            </w:pPr>
            <w:r w:rsidRPr="00EB2995">
              <w:rPr>
                <w:rFonts w:cs="Calibri"/>
                <w:b/>
                <w:bCs/>
                <w:color w:val="000000"/>
                <w:lang w:eastAsia="en-GB"/>
              </w:rPr>
              <w:t>(11.4)</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1449FD" w:rsidRPr="00EB2995" w:rsidRDefault="001449FD" w:rsidP="001449FD">
            <w:pPr>
              <w:jc w:val="right"/>
              <w:rPr>
                <w:rFonts w:cs="Calibri"/>
                <w:b/>
                <w:bCs/>
                <w:color w:val="000000"/>
                <w:lang w:eastAsia="en-GB"/>
              </w:rPr>
            </w:pPr>
            <w:r w:rsidRPr="00EB2995">
              <w:rPr>
                <w:rFonts w:cs="Calibri"/>
                <w:b/>
                <w:bCs/>
                <w:color w:val="000000"/>
                <w:lang w:eastAsia="en-GB"/>
              </w:rPr>
              <w:t>0.0</w:t>
            </w:r>
          </w:p>
        </w:tc>
        <w:tc>
          <w:tcPr>
            <w:tcW w:w="1569" w:type="dxa"/>
            <w:gridSpan w:val="2"/>
            <w:tcBorders>
              <w:top w:val="single" w:sz="4" w:space="0" w:color="auto"/>
              <w:left w:val="nil"/>
              <w:bottom w:val="single" w:sz="4" w:space="0" w:color="auto"/>
              <w:right w:val="single" w:sz="4" w:space="0" w:color="auto"/>
            </w:tcBorders>
            <w:shd w:val="clear" w:color="auto" w:fill="auto"/>
            <w:noWrap/>
            <w:vAlign w:val="center"/>
            <w:hideMark/>
          </w:tcPr>
          <w:p w:rsidR="001449FD" w:rsidRPr="00EB2995" w:rsidRDefault="001449FD" w:rsidP="001449FD">
            <w:pPr>
              <w:jc w:val="right"/>
              <w:rPr>
                <w:rFonts w:cs="Calibri"/>
                <w:b/>
                <w:bCs/>
                <w:color w:val="000000"/>
                <w:lang w:eastAsia="en-GB"/>
              </w:rPr>
            </w:pPr>
            <w:r w:rsidRPr="00EB2995">
              <w:rPr>
                <w:rFonts w:cs="Calibri"/>
                <w:b/>
                <w:bCs/>
                <w:color w:val="000000"/>
                <w:lang w:eastAsia="en-GB"/>
              </w:rPr>
              <w:t>(11.4)</w:t>
            </w:r>
          </w:p>
        </w:tc>
      </w:tr>
      <w:tr w:rsidR="001449FD" w:rsidRPr="00EB2995" w:rsidTr="001449FD">
        <w:trPr>
          <w:trHeight w:val="300"/>
        </w:trPr>
        <w:tc>
          <w:tcPr>
            <w:tcW w:w="2171" w:type="dxa"/>
            <w:gridSpan w:val="2"/>
            <w:vMerge w:val="restart"/>
            <w:tcBorders>
              <w:top w:val="nil"/>
              <w:left w:val="single" w:sz="4" w:space="0" w:color="auto"/>
              <w:bottom w:val="nil"/>
              <w:right w:val="nil"/>
            </w:tcBorders>
            <w:shd w:val="clear" w:color="auto" w:fill="auto"/>
            <w:vAlign w:val="bottom"/>
            <w:hideMark/>
          </w:tcPr>
          <w:p w:rsidR="001449FD" w:rsidRPr="00EB2995" w:rsidRDefault="001449FD" w:rsidP="001449FD">
            <w:pPr>
              <w:rPr>
                <w:rFonts w:cs="Calibri"/>
                <w:color w:val="000000"/>
                <w:lang w:eastAsia="en-GB"/>
              </w:rPr>
            </w:pPr>
            <w:r w:rsidRPr="00EB2995">
              <w:rPr>
                <w:rFonts w:cs="Calibri"/>
                <w:color w:val="000000"/>
                <w:lang w:eastAsia="en-GB"/>
              </w:rPr>
              <w:t>Sinking fund and other smoothing reserves</w:t>
            </w:r>
          </w:p>
        </w:tc>
        <w:tc>
          <w:tcPr>
            <w:tcW w:w="2831" w:type="dxa"/>
            <w:gridSpan w:val="2"/>
            <w:tcBorders>
              <w:top w:val="nil"/>
              <w:left w:val="nil"/>
              <w:bottom w:val="nil"/>
              <w:right w:val="nil"/>
            </w:tcBorders>
            <w:shd w:val="clear" w:color="auto" w:fill="auto"/>
            <w:noWrap/>
            <w:vAlign w:val="bottom"/>
            <w:hideMark/>
          </w:tcPr>
          <w:p w:rsidR="001449FD" w:rsidRPr="00EB2995" w:rsidRDefault="001449FD" w:rsidP="001449FD">
            <w:pPr>
              <w:rPr>
                <w:rFonts w:cs="Calibri"/>
                <w:color w:val="000000"/>
                <w:lang w:eastAsia="en-GB"/>
              </w:rPr>
            </w:pPr>
            <w:r w:rsidRPr="00EB2995">
              <w:rPr>
                <w:rFonts w:cs="Calibri"/>
                <w:color w:val="000000"/>
                <w:lang w:eastAsia="en-GB"/>
              </w:rPr>
              <w:t>PFI</w:t>
            </w:r>
          </w:p>
        </w:tc>
        <w:tc>
          <w:tcPr>
            <w:tcW w:w="1235" w:type="dxa"/>
            <w:tcBorders>
              <w:top w:val="nil"/>
              <w:left w:val="single" w:sz="4" w:space="0" w:color="auto"/>
              <w:bottom w:val="nil"/>
              <w:right w:val="single" w:sz="4" w:space="0" w:color="auto"/>
            </w:tcBorders>
            <w:shd w:val="clear" w:color="auto" w:fill="auto"/>
            <w:noWrap/>
            <w:vAlign w:val="center"/>
            <w:hideMark/>
          </w:tcPr>
          <w:p w:rsidR="001449FD" w:rsidRPr="00EB2995" w:rsidRDefault="001449FD" w:rsidP="001449FD">
            <w:pPr>
              <w:jc w:val="right"/>
              <w:rPr>
                <w:rFonts w:cs="Calibri"/>
                <w:color w:val="000000"/>
                <w:lang w:eastAsia="en-GB"/>
              </w:rPr>
            </w:pPr>
            <w:r w:rsidRPr="00EB2995">
              <w:rPr>
                <w:rFonts w:cs="Calibri"/>
                <w:color w:val="000000"/>
                <w:lang w:eastAsia="en-GB"/>
              </w:rPr>
              <w:t>(5.4)</w:t>
            </w:r>
          </w:p>
        </w:tc>
        <w:tc>
          <w:tcPr>
            <w:tcW w:w="1560" w:type="dxa"/>
            <w:gridSpan w:val="2"/>
            <w:tcBorders>
              <w:top w:val="nil"/>
              <w:left w:val="nil"/>
              <w:bottom w:val="nil"/>
              <w:right w:val="single" w:sz="4" w:space="0" w:color="auto"/>
            </w:tcBorders>
            <w:shd w:val="clear" w:color="auto" w:fill="auto"/>
            <w:noWrap/>
            <w:vAlign w:val="center"/>
            <w:hideMark/>
          </w:tcPr>
          <w:p w:rsidR="001449FD" w:rsidRPr="00EB2995" w:rsidRDefault="001449FD" w:rsidP="001449FD">
            <w:pPr>
              <w:jc w:val="right"/>
              <w:rPr>
                <w:rFonts w:cs="Calibri"/>
                <w:color w:val="000000"/>
                <w:lang w:eastAsia="en-GB"/>
              </w:rPr>
            </w:pPr>
            <w:r w:rsidRPr="00EB2995">
              <w:rPr>
                <w:rFonts w:cs="Calibri"/>
                <w:color w:val="000000"/>
                <w:lang w:eastAsia="en-GB"/>
              </w:rPr>
              <w:t>0.1</w:t>
            </w:r>
          </w:p>
        </w:tc>
        <w:tc>
          <w:tcPr>
            <w:tcW w:w="1569" w:type="dxa"/>
            <w:gridSpan w:val="2"/>
            <w:tcBorders>
              <w:top w:val="nil"/>
              <w:left w:val="nil"/>
              <w:bottom w:val="nil"/>
              <w:right w:val="single" w:sz="4" w:space="0" w:color="auto"/>
            </w:tcBorders>
            <w:shd w:val="clear" w:color="auto" w:fill="auto"/>
            <w:noWrap/>
            <w:vAlign w:val="center"/>
            <w:hideMark/>
          </w:tcPr>
          <w:p w:rsidR="001449FD" w:rsidRPr="00EB2995" w:rsidRDefault="001449FD" w:rsidP="001449FD">
            <w:pPr>
              <w:jc w:val="right"/>
              <w:rPr>
                <w:rFonts w:cs="Calibri"/>
                <w:color w:val="000000"/>
                <w:lang w:eastAsia="en-GB"/>
              </w:rPr>
            </w:pPr>
            <w:r w:rsidRPr="00EB2995">
              <w:rPr>
                <w:rFonts w:cs="Calibri"/>
                <w:color w:val="000000"/>
                <w:lang w:eastAsia="en-GB"/>
              </w:rPr>
              <w:t>(5.3)</w:t>
            </w:r>
          </w:p>
        </w:tc>
      </w:tr>
      <w:tr w:rsidR="001449FD" w:rsidRPr="00EB2995" w:rsidTr="001449FD">
        <w:trPr>
          <w:trHeight w:val="300"/>
        </w:trPr>
        <w:tc>
          <w:tcPr>
            <w:tcW w:w="2171" w:type="dxa"/>
            <w:gridSpan w:val="2"/>
            <w:vMerge/>
            <w:tcBorders>
              <w:top w:val="nil"/>
              <w:left w:val="single" w:sz="4" w:space="0" w:color="auto"/>
              <w:bottom w:val="nil"/>
              <w:right w:val="nil"/>
            </w:tcBorders>
            <w:vAlign w:val="center"/>
            <w:hideMark/>
          </w:tcPr>
          <w:p w:rsidR="001449FD" w:rsidRPr="00EB2995" w:rsidRDefault="001449FD" w:rsidP="001449FD">
            <w:pPr>
              <w:rPr>
                <w:rFonts w:cs="Calibri"/>
                <w:color w:val="000000"/>
                <w:lang w:eastAsia="en-GB"/>
              </w:rPr>
            </w:pPr>
          </w:p>
        </w:tc>
        <w:tc>
          <w:tcPr>
            <w:tcW w:w="2831" w:type="dxa"/>
            <w:gridSpan w:val="2"/>
            <w:tcBorders>
              <w:top w:val="nil"/>
              <w:left w:val="nil"/>
              <w:bottom w:val="nil"/>
              <w:right w:val="nil"/>
            </w:tcBorders>
            <w:shd w:val="clear" w:color="auto" w:fill="auto"/>
            <w:noWrap/>
            <w:vAlign w:val="bottom"/>
            <w:hideMark/>
          </w:tcPr>
          <w:p w:rsidR="001449FD" w:rsidRPr="00EB2995" w:rsidRDefault="001449FD" w:rsidP="001449FD">
            <w:pPr>
              <w:rPr>
                <w:rFonts w:cs="Calibri"/>
                <w:color w:val="000000"/>
                <w:lang w:eastAsia="en-GB"/>
              </w:rPr>
            </w:pPr>
            <w:r w:rsidRPr="00EB2995">
              <w:rPr>
                <w:rFonts w:cs="Calibri"/>
                <w:color w:val="000000"/>
                <w:lang w:eastAsia="en-GB"/>
              </w:rPr>
              <w:t>UC staffing</w:t>
            </w:r>
          </w:p>
        </w:tc>
        <w:tc>
          <w:tcPr>
            <w:tcW w:w="1235" w:type="dxa"/>
            <w:tcBorders>
              <w:top w:val="nil"/>
              <w:left w:val="single" w:sz="4" w:space="0" w:color="auto"/>
              <w:bottom w:val="nil"/>
              <w:right w:val="single" w:sz="4" w:space="0" w:color="auto"/>
            </w:tcBorders>
            <w:shd w:val="clear" w:color="auto" w:fill="auto"/>
            <w:noWrap/>
            <w:vAlign w:val="center"/>
            <w:hideMark/>
          </w:tcPr>
          <w:p w:rsidR="001449FD" w:rsidRPr="00EB2995" w:rsidRDefault="001449FD" w:rsidP="001449FD">
            <w:pPr>
              <w:jc w:val="right"/>
              <w:rPr>
                <w:rFonts w:cs="Calibri"/>
                <w:color w:val="000000"/>
                <w:lang w:eastAsia="en-GB"/>
              </w:rPr>
            </w:pPr>
            <w:r w:rsidRPr="00EB2995">
              <w:rPr>
                <w:rFonts w:cs="Calibri"/>
                <w:color w:val="000000"/>
                <w:lang w:eastAsia="en-GB"/>
              </w:rPr>
              <w:t>(2.7)</w:t>
            </w:r>
          </w:p>
        </w:tc>
        <w:tc>
          <w:tcPr>
            <w:tcW w:w="1560" w:type="dxa"/>
            <w:gridSpan w:val="2"/>
            <w:tcBorders>
              <w:top w:val="nil"/>
              <w:left w:val="nil"/>
              <w:bottom w:val="nil"/>
              <w:right w:val="single" w:sz="4" w:space="0" w:color="auto"/>
            </w:tcBorders>
            <w:shd w:val="clear" w:color="auto" w:fill="auto"/>
            <w:noWrap/>
            <w:vAlign w:val="center"/>
            <w:hideMark/>
          </w:tcPr>
          <w:p w:rsidR="001449FD" w:rsidRPr="00EB2995" w:rsidRDefault="001449FD" w:rsidP="001449FD">
            <w:pPr>
              <w:jc w:val="right"/>
              <w:rPr>
                <w:rFonts w:cs="Calibri"/>
                <w:color w:val="000000"/>
                <w:lang w:eastAsia="en-GB"/>
              </w:rPr>
            </w:pPr>
            <w:r w:rsidRPr="00EB2995">
              <w:rPr>
                <w:rFonts w:cs="Calibri"/>
                <w:color w:val="000000"/>
                <w:lang w:eastAsia="en-GB"/>
              </w:rPr>
              <w:t>0.7</w:t>
            </w:r>
          </w:p>
        </w:tc>
        <w:tc>
          <w:tcPr>
            <w:tcW w:w="1569" w:type="dxa"/>
            <w:gridSpan w:val="2"/>
            <w:tcBorders>
              <w:top w:val="nil"/>
              <w:left w:val="nil"/>
              <w:bottom w:val="nil"/>
              <w:right w:val="single" w:sz="4" w:space="0" w:color="auto"/>
            </w:tcBorders>
            <w:shd w:val="clear" w:color="auto" w:fill="auto"/>
            <w:noWrap/>
            <w:vAlign w:val="center"/>
            <w:hideMark/>
          </w:tcPr>
          <w:p w:rsidR="001449FD" w:rsidRPr="00EB2995" w:rsidRDefault="001449FD" w:rsidP="001449FD">
            <w:pPr>
              <w:jc w:val="right"/>
              <w:rPr>
                <w:rFonts w:cs="Calibri"/>
                <w:color w:val="000000"/>
                <w:lang w:eastAsia="en-GB"/>
              </w:rPr>
            </w:pPr>
            <w:r w:rsidRPr="00EB2995">
              <w:rPr>
                <w:rFonts w:cs="Calibri"/>
                <w:color w:val="000000"/>
                <w:lang w:eastAsia="en-GB"/>
              </w:rPr>
              <w:t>(2.1)</w:t>
            </w:r>
          </w:p>
        </w:tc>
      </w:tr>
      <w:tr w:rsidR="001449FD" w:rsidRPr="00EB2995" w:rsidTr="001449FD">
        <w:trPr>
          <w:trHeight w:val="300"/>
        </w:trPr>
        <w:tc>
          <w:tcPr>
            <w:tcW w:w="2171" w:type="dxa"/>
            <w:gridSpan w:val="2"/>
            <w:tcBorders>
              <w:top w:val="nil"/>
              <w:left w:val="single" w:sz="4" w:space="0" w:color="auto"/>
              <w:bottom w:val="nil"/>
              <w:right w:val="nil"/>
            </w:tcBorders>
            <w:shd w:val="clear" w:color="auto" w:fill="auto"/>
            <w:vAlign w:val="bottom"/>
            <w:hideMark/>
          </w:tcPr>
          <w:p w:rsidR="001449FD" w:rsidRPr="00EB2995" w:rsidRDefault="001449FD" w:rsidP="001449FD">
            <w:pPr>
              <w:rPr>
                <w:rFonts w:cs="Calibri"/>
                <w:color w:val="000000"/>
                <w:lang w:eastAsia="en-GB"/>
              </w:rPr>
            </w:pPr>
            <w:r w:rsidRPr="00EB2995">
              <w:rPr>
                <w:rFonts w:cs="Calibri"/>
                <w:color w:val="000000"/>
                <w:lang w:eastAsia="en-GB"/>
              </w:rPr>
              <w:t> </w:t>
            </w:r>
          </w:p>
        </w:tc>
        <w:tc>
          <w:tcPr>
            <w:tcW w:w="2831" w:type="dxa"/>
            <w:gridSpan w:val="2"/>
            <w:tcBorders>
              <w:top w:val="nil"/>
              <w:left w:val="nil"/>
              <w:bottom w:val="nil"/>
              <w:right w:val="nil"/>
            </w:tcBorders>
            <w:shd w:val="clear" w:color="auto" w:fill="auto"/>
            <w:noWrap/>
            <w:vAlign w:val="bottom"/>
            <w:hideMark/>
          </w:tcPr>
          <w:p w:rsidR="001449FD" w:rsidRPr="00EB2995" w:rsidRDefault="001449FD" w:rsidP="001449FD">
            <w:pPr>
              <w:rPr>
                <w:rFonts w:cs="Calibri"/>
                <w:color w:val="000000"/>
                <w:lang w:eastAsia="en-GB"/>
              </w:rPr>
            </w:pPr>
            <w:r w:rsidRPr="00EB2995">
              <w:rPr>
                <w:rFonts w:cs="Calibri"/>
                <w:color w:val="000000"/>
                <w:lang w:eastAsia="en-GB"/>
              </w:rPr>
              <w:t>Redundancy</w:t>
            </w:r>
          </w:p>
        </w:tc>
        <w:tc>
          <w:tcPr>
            <w:tcW w:w="1235" w:type="dxa"/>
            <w:tcBorders>
              <w:top w:val="nil"/>
              <w:left w:val="single" w:sz="4" w:space="0" w:color="auto"/>
              <w:bottom w:val="nil"/>
              <w:right w:val="single" w:sz="4" w:space="0" w:color="auto"/>
            </w:tcBorders>
            <w:shd w:val="clear" w:color="auto" w:fill="auto"/>
            <w:noWrap/>
            <w:vAlign w:val="center"/>
            <w:hideMark/>
          </w:tcPr>
          <w:p w:rsidR="001449FD" w:rsidRPr="00EB2995" w:rsidRDefault="001449FD" w:rsidP="001449FD">
            <w:pPr>
              <w:jc w:val="right"/>
              <w:rPr>
                <w:rFonts w:cs="Calibri"/>
                <w:color w:val="000000"/>
                <w:lang w:eastAsia="en-GB"/>
              </w:rPr>
            </w:pPr>
            <w:r w:rsidRPr="00EB2995">
              <w:rPr>
                <w:rFonts w:cs="Calibri"/>
                <w:color w:val="000000"/>
                <w:lang w:eastAsia="en-GB"/>
              </w:rPr>
              <w:t>(3.2)</w:t>
            </w:r>
          </w:p>
        </w:tc>
        <w:tc>
          <w:tcPr>
            <w:tcW w:w="1560" w:type="dxa"/>
            <w:gridSpan w:val="2"/>
            <w:tcBorders>
              <w:top w:val="nil"/>
              <w:left w:val="nil"/>
              <w:bottom w:val="nil"/>
              <w:right w:val="single" w:sz="4" w:space="0" w:color="auto"/>
            </w:tcBorders>
            <w:shd w:val="clear" w:color="auto" w:fill="auto"/>
            <w:noWrap/>
            <w:vAlign w:val="center"/>
            <w:hideMark/>
          </w:tcPr>
          <w:p w:rsidR="001449FD" w:rsidRPr="00EB2995" w:rsidRDefault="001449FD" w:rsidP="001449FD">
            <w:pPr>
              <w:jc w:val="right"/>
              <w:rPr>
                <w:rFonts w:cs="Calibri"/>
                <w:color w:val="000000"/>
                <w:lang w:eastAsia="en-GB"/>
              </w:rPr>
            </w:pPr>
            <w:r w:rsidRPr="00EB2995">
              <w:rPr>
                <w:rFonts w:cs="Calibri"/>
                <w:color w:val="000000"/>
                <w:lang w:eastAsia="en-GB"/>
              </w:rPr>
              <w:t>0.0</w:t>
            </w:r>
          </w:p>
        </w:tc>
        <w:tc>
          <w:tcPr>
            <w:tcW w:w="1569" w:type="dxa"/>
            <w:gridSpan w:val="2"/>
            <w:tcBorders>
              <w:top w:val="nil"/>
              <w:left w:val="nil"/>
              <w:bottom w:val="nil"/>
              <w:right w:val="single" w:sz="4" w:space="0" w:color="auto"/>
            </w:tcBorders>
            <w:shd w:val="clear" w:color="auto" w:fill="auto"/>
            <w:noWrap/>
            <w:vAlign w:val="center"/>
            <w:hideMark/>
          </w:tcPr>
          <w:p w:rsidR="001449FD" w:rsidRPr="00EB2995" w:rsidRDefault="001449FD" w:rsidP="001449FD">
            <w:pPr>
              <w:jc w:val="right"/>
              <w:rPr>
                <w:rFonts w:cs="Calibri"/>
                <w:color w:val="000000"/>
                <w:lang w:eastAsia="en-GB"/>
              </w:rPr>
            </w:pPr>
            <w:r w:rsidRPr="00EB2995">
              <w:rPr>
                <w:rFonts w:cs="Calibri"/>
                <w:color w:val="000000"/>
                <w:lang w:eastAsia="en-GB"/>
              </w:rPr>
              <w:t>(3.2)</w:t>
            </w:r>
          </w:p>
        </w:tc>
      </w:tr>
      <w:tr w:rsidR="001449FD" w:rsidRPr="00EB2995" w:rsidTr="001449FD">
        <w:trPr>
          <w:trHeight w:val="300"/>
        </w:trPr>
        <w:tc>
          <w:tcPr>
            <w:tcW w:w="2171" w:type="dxa"/>
            <w:gridSpan w:val="2"/>
            <w:tcBorders>
              <w:top w:val="nil"/>
              <w:left w:val="single" w:sz="4" w:space="0" w:color="auto"/>
              <w:bottom w:val="nil"/>
              <w:right w:val="nil"/>
            </w:tcBorders>
            <w:shd w:val="clear" w:color="auto" w:fill="auto"/>
            <w:noWrap/>
            <w:vAlign w:val="bottom"/>
            <w:hideMark/>
          </w:tcPr>
          <w:p w:rsidR="001449FD" w:rsidRPr="00EB2995" w:rsidRDefault="001449FD" w:rsidP="001449FD">
            <w:pPr>
              <w:rPr>
                <w:rFonts w:cs="Calibri"/>
                <w:color w:val="000000"/>
                <w:lang w:eastAsia="en-GB"/>
              </w:rPr>
            </w:pPr>
            <w:r w:rsidRPr="00EB2995">
              <w:rPr>
                <w:rFonts w:cs="Calibri"/>
                <w:color w:val="000000"/>
                <w:lang w:eastAsia="en-GB"/>
              </w:rPr>
              <w:t> </w:t>
            </w:r>
          </w:p>
        </w:tc>
        <w:tc>
          <w:tcPr>
            <w:tcW w:w="2831" w:type="dxa"/>
            <w:gridSpan w:val="2"/>
            <w:tcBorders>
              <w:top w:val="nil"/>
              <w:left w:val="nil"/>
              <w:bottom w:val="nil"/>
              <w:right w:val="nil"/>
            </w:tcBorders>
            <w:shd w:val="clear" w:color="auto" w:fill="auto"/>
            <w:noWrap/>
            <w:vAlign w:val="bottom"/>
            <w:hideMark/>
          </w:tcPr>
          <w:p w:rsidR="001449FD" w:rsidRPr="00EB2995" w:rsidRDefault="001449FD" w:rsidP="001449FD">
            <w:pPr>
              <w:rPr>
                <w:rFonts w:cs="Calibri"/>
                <w:color w:val="000000"/>
                <w:lang w:eastAsia="en-GB"/>
              </w:rPr>
            </w:pPr>
            <w:r w:rsidRPr="00EB2995">
              <w:rPr>
                <w:rFonts w:cs="Calibri"/>
                <w:color w:val="000000"/>
                <w:lang w:eastAsia="en-GB"/>
              </w:rPr>
              <w:t>Insurance</w:t>
            </w:r>
          </w:p>
        </w:tc>
        <w:tc>
          <w:tcPr>
            <w:tcW w:w="1235" w:type="dxa"/>
            <w:tcBorders>
              <w:top w:val="nil"/>
              <w:left w:val="single" w:sz="4" w:space="0" w:color="auto"/>
              <w:bottom w:val="nil"/>
              <w:right w:val="single" w:sz="4" w:space="0" w:color="auto"/>
            </w:tcBorders>
            <w:shd w:val="clear" w:color="auto" w:fill="auto"/>
            <w:noWrap/>
            <w:vAlign w:val="center"/>
            <w:hideMark/>
          </w:tcPr>
          <w:p w:rsidR="001449FD" w:rsidRPr="00EB2995" w:rsidRDefault="001449FD" w:rsidP="001449FD">
            <w:pPr>
              <w:jc w:val="right"/>
              <w:rPr>
                <w:rFonts w:cs="Calibri"/>
                <w:color w:val="000000"/>
                <w:lang w:eastAsia="en-GB"/>
              </w:rPr>
            </w:pPr>
            <w:r w:rsidRPr="00EB2995">
              <w:rPr>
                <w:rFonts w:cs="Calibri"/>
                <w:color w:val="000000"/>
                <w:lang w:eastAsia="en-GB"/>
              </w:rPr>
              <w:t>(4.9)</w:t>
            </w:r>
          </w:p>
        </w:tc>
        <w:tc>
          <w:tcPr>
            <w:tcW w:w="1560" w:type="dxa"/>
            <w:gridSpan w:val="2"/>
            <w:tcBorders>
              <w:top w:val="nil"/>
              <w:left w:val="nil"/>
              <w:bottom w:val="nil"/>
              <w:right w:val="single" w:sz="4" w:space="0" w:color="auto"/>
            </w:tcBorders>
            <w:shd w:val="clear" w:color="auto" w:fill="auto"/>
            <w:noWrap/>
            <w:vAlign w:val="center"/>
            <w:hideMark/>
          </w:tcPr>
          <w:p w:rsidR="001449FD" w:rsidRPr="00EB2995" w:rsidRDefault="001449FD" w:rsidP="001449FD">
            <w:pPr>
              <w:jc w:val="right"/>
              <w:rPr>
                <w:rFonts w:cs="Calibri"/>
                <w:color w:val="000000"/>
                <w:lang w:eastAsia="en-GB"/>
              </w:rPr>
            </w:pPr>
            <w:r w:rsidRPr="00EB2995">
              <w:rPr>
                <w:rFonts w:cs="Calibri"/>
                <w:color w:val="000000"/>
                <w:lang w:eastAsia="en-GB"/>
              </w:rPr>
              <w:t>0.0</w:t>
            </w:r>
          </w:p>
        </w:tc>
        <w:tc>
          <w:tcPr>
            <w:tcW w:w="1569" w:type="dxa"/>
            <w:gridSpan w:val="2"/>
            <w:tcBorders>
              <w:top w:val="nil"/>
              <w:left w:val="nil"/>
              <w:bottom w:val="nil"/>
              <w:right w:val="single" w:sz="4" w:space="0" w:color="auto"/>
            </w:tcBorders>
            <w:shd w:val="clear" w:color="auto" w:fill="auto"/>
            <w:noWrap/>
            <w:vAlign w:val="center"/>
            <w:hideMark/>
          </w:tcPr>
          <w:p w:rsidR="001449FD" w:rsidRPr="00EB2995" w:rsidRDefault="001449FD" w:rsidP="001449FD">
            <w:pPr>
              <w:jc w:val="right"/>
              <w:rPr>
                <w:rFonts w:cs="Calibri"/>
                <w:color w:val="000000"/>
                <w:lang w:eastAsia="en-GB"/>
              </w:rPr>
            </w:pPr>
            <w:r w:rsidRPr="00EB2995">
              <w:rPr>
                <w:rFonts w:cs="Calibri"/>
                <w:color w:val="000000"/>
                <w:lang w:eastAsia="en-GB"/>
              </w:rPr>
              <w:t>(4.9)</w:t>
            </w:r>
          </w:p>
        </w:tc>
      </w:tr>
      <w:tr w:rsidR="001449FD" w:rsidRPr="00EB2995" w:rsidTr="001449FD">
        <w:trPr>
          <w:trHeight w:val="300"/>
        </w:trPr>
        <w:tc>
          <w:tcPr>
            <w:tcW w:w="2171" w:type="dxa"/>
            <w:gridSpan w:val="2"/>
            <w:tcBorders>
              <w:top w:val="nil"/>
              <w:left w:val="single" w:sz="4" w:space="0" w:color="auto"/>
              <w:bottom w:val="nil"/>
              <w:right w:val="nil"/>
            </w:tcBorders>
            <w:shd w:val="clear" w:color="auto" w:fill="auto"/>
            <w:noWrap/>
            <w:vAlign w:val="bottom"/>
            <w:hideMark/>
          </w:tcPr>
          <w:p w:rsidR="001449FD" w:rsidRPr="00EB2995" w:rsidRDefault="001449FD" w:rsidP="001449FD">
            <w:pPr>
              <w:rPr>
                <w:rFonts w:cs="Calibri"/>
                <w:color w:val="000000"/>
                <w:lang w:eastAsia="en-GB"/>
              </w:rPr>
            </w:pPr>
            <w:r w:rsidRPr="00EB2995">
              <w:rPr>
                <w:rFonts w:cs="Calibri"/>
                <w:color w:val="000000"/>
                <w:lang w:eastAsia="en-GB"/>
              </w:rPr>
              <w:t> </w:t>
            </w:r>
          </w:p>
        </w:tc>
        <w:tc>
          <w:tcPr>
            <w:tcW w:w="2831" w:type="dxa"/>
            <w:gridSpan w:val="2"/>
            <w:tcBorders>
              <w:top w:val="nil"/>
              <w:left w:val="nil"/>
              <w:bottom w:val="nil"/>
              <w:right w:val="nil"/>
            </w:tcBorders>
            <w:shd w:val="clear" w:color="auto" w:fill="auto"/>
            <w:noWrap/>
            <w:vAlign w:val="bottom"/>
            <w:hideMark/>
          </w:tcPr>
          <w:p w:rsidR="001449FD" w:rsidRPr="00EB2995" w:rsidRDefault="001449FD" w:rsidP="001449FD">
            <w:pPr>
              <w:rPr>
                <w:rFonts w:cs="Calibri"/>
                <w:color w:val="000000"/>
                <w:lang w:eastAsia="en-GB"/>
              </w:rPr>
            </w:pPr>
            <w:r w:rsidRPr="00EB2995">
              <w:rPr>
                <w:rFonts w:cs="Calibri"/>
                <w:color w:val="000000"/>
                <w:lang w:eastAsia="en-GB"/>
              </w:rPr>
              <w:t>Welfare reform</w:t>
            </w:r>
          </w:p>
        </w:tc>
        <w:tc>
          <w:tcPr>
            <w:tcW w:w="1235" w:type="dxa"/>
            <w:tcBorders>
              <w:top w:val="nil"/>
              <w:left w:val="single" w:sz="4" w:space="0" w:color="auto"/>
              <w:bottom w:val="nil"/>
              <w:right w:val="single" w:sz="4" w:space="0" w:color="auto"/>
            </w:tcBorders>
            <w:shd w:val="clear" w:color="auto" w:fill="auto"/>
            <w:noWrap/>
            <w:vAlign w:val="center"/>
            <w:hideMark/>
          </w:tcPr>
          <w:p w:rsidR="001449FD" w:rsidRPr="00EB2995" w:rsidRDefault="001449FD" w:rsidP="001449FD">
            <w:pPr>
              <w:jc w:val="right"/>
              <w:rPr>
                <w:rFonts w:cs="Calibri"/>
                <w:color w:val="000000"/>
                <w:lang w:eastAsia="en-GB"/>
              </w:rPr>
            </w:pPr>
            <w:r w:rsidRPr="00EB2995">
              <w:rPr>
                <w:rFonts w:cs="Calibri"/>
                <w:color w:val="000000"/>
                <w:lang w:eastAsia="en-GB"/>
              </w:rPr>
              <w:t>(3.5)</w:t>
            </w:r>
          </w:p>
        </w:tc>
        <w:tc>
          <w:tcPr>
            <w:tcW w:w="1560" w:type="dxa"/>
            <w:gridSpan w:val="2"/>
            <w:tcBorders>
              <w:top w:val="nil"/>
              <w:left w:val="nil"/>
              <w:bottom w:val="nil"/>
              <w:right w:val="single" w:sz="4" w:space="0" w:color="auto"/>
            </w:tcBorders>
            <w:shd w:val="clear" w:color="auto" w:fill="auto"/>
            <w:noWrap/>
            <w:vAlign w:val="center"/>
            <w:hideMark/>
          </w:tcPr>
          <w:p w:rsidR="001449FD" w:rsidRPr="00EB2995" w:rsidRDefault="001449FD" w:rsidP="001449FD">
            <w:pPr>
              <w:jc w:val="right"/>
              <w:rPr>
                <w:rFonts w:cs="Calibri"/>
                <w:color w:val="000000"/>
                <w:lang w:eastAsia="en-GB"/>
              </w:rPr>
            </w:pPr>
            <w:r w:rsidRPr="00EB2995">
              <w:rPr>
                <w:rFonts w:cs="Calibri"/>
                <w:color w:val="000000"/>
                <w:lang w:eastAsia="en-GB"/>
              </w:rPr>
              <w:t>3.5</w:t>
            </w:r>
          </w:p>
        </w:tc>
        <w:tc>
          <w:tcPr>
            <w:tcW w:w="1569" w:type="dxa"/>
            <w:gridSpan w:val="2"/>
            <w:tcBorders>
              <w:top w:val="nil"/>
              <w:left w:val="nil"/>
              <w:bottom w:val="nil"/>
              <w:right w:val="single" w:sz="4" w:space="0" w:color="auto"/>
            </w:tcBorders>
            <w:shd w:val="clear" w:color="auto" w:fill="auto"/>
            <w:noWrap/>
            <w:vAlign w:val="center"/>
            <w:hideMark/>
          </w:tcPr>
          <w:p w:rsidR="001449FD" w:rsidRPr="00EB2995" w:rsidRDefault="001449FD" w:rsidP="001449FD">
            <w:pPr>
              <w:jc w:val="right"/>
              <w:rPr>
                <w:rFonts w:cs="Calibri"/>
                <w:color w:val="000000"/>
                <w:lang w:eastAsia="en-GB"/>
              </w:rPr>
            </w:pPr>
            <w:r w:rsidRPr="00EB2995">
              <w:rPr>
                <w:rFonts w:cs="Calibri"/>
                <w:color w:val="000000"/>
                <w:lang w:eastAsia="en-GB"/>
              </w:rPr>
              <w:t>0.0</w:t>
            </w:r>
          </w:p>
        </w:tc>
      </w:tr>
      <w:tr w:rsidR="001449FD" w:rsidRPr="00EB2995" w:rsidTr="001449FD">
        <w:trPr>
          <w:trHeight w:val="300"/>
        </w:trPr>
        <w:tc>
          <w:tcPr>
            <w:tcW w:w="2171" w:type="dxa"/>
            <w:gridSpan w:val="2"/>
            <w:tcBorders>
              <w:top w:val="nil"/>
              <w:left w:val="single" w:sz="4" w:space="0" w:color="auto"/>
              <w:bottom w:val="nil"/>
              <w:right w:val="nil"/>
            </w:tcBorders>
            <w:shd w:val="clear" w:color="auto" w:fill="auto"/>
            <w:noWrap/>
            <w:vAlign w:val="bottom"/>
            <w:hideMark/>
          </w:tcPr>
          <w:p w:rsidR="001449FD" w:rsidRPr="00EB2995" w:rsidRDefault="001449FD" w:rsidP="001449FD">
            <w:pPr>
              <w:rPr>
                <w:rFonts w:cs="Calibri"/>
                <w:color w:val="000000"/>
                <w:lang w:eastAsia="en-GB"/>
              </w:rPr>
            </w:pPr>
            <w:r w:rsidRPr="00EB2995">
              <w:rPr>
                <w:rFonts w:cs="Calibri"/>
                <w:color w:val="000000"/>
                <w:lang w:eastAsia="en-GB"/>
              </w:rPr>
              <w:t> </w:t>
            </w:r>
          </w:p>
        </w:tc>
        <w:tc>
          <w:tcPr>
            <w:tcW w:w="2831" w:type="dxa"/>
            <w:gridSpan w:val="2"/>
            <w:tcBorders>
              <w:top w:val="nil"/>
              <w:left w:val="nil"/>
              <w:bottom w:val="nil"/>
              <w:right w:val="nil"/>
            </w:tcBorders>
            <w:shd w:val="clear" w:color="auto" w:fill="auto"/>
            <w:noWrap/>
            <w:vAlign w:val="bottom"/>
            <w:hideMark/>
          </w:tcPr>
          <w:p w:rsidR="001449FD" w:rsidRPr="00EB2995" w:rsidRDefault="001449FD" w:rsidP="001449FD">
            <w:pPr>
              <w:rPr>
                <w:rFonts w:cs="Calibri"/>
                <w:color w:val="000000"/>
                <w:lang w:eastAsia="en-GB"/>
              </w:rPr>
            </w:pPr>
            <w:r w:rsidRPr="00EB2995">
              <w:rPr>
                <w:rFonts w:cs="Calibri"/>
                <w:color w:val="000000"/>
                <w:lang w:eastAsia="en-GB"/>
              </w:rPr>
              <w:t>Pensions</w:t>
            </w:r>
          </w:p>
        </w:tc>
        <w:tc>
          <w:tcPr>
            <w:tcW w:w="1235" w:type="dxa"/>
            <w:tcBorders>
              <w:top w:val="nil"/>
              <w:left w:val="single" w:sz="4" w:space="0" w:color="auto"/>
              <w:bottom w:val="nil"/>
              <w:right w:val="single" w:sz="4" w:space="0" w:color="auto"/>
            </w:tcBorders>
            <w:shd w:val="clear" w:color="auto" w:fill="auto"/>
            <w:noWrap/>
            <w:vAlign w:val="center"/>
            <w:hideMark/>
          </w:tcPr>
          <w:p w:rsidR="001449FD" w:rsidRPr="00EB2995" w:rsidRDefault="001449FD" w:rsidP="001449FD">
            <w:pPr>
              <w:jc w:val="right"/>
              <w:rPr>
                <w:rFonts w:cs="Calibri"/>
                <w:color w:val="000000"/>
                <w:lang w:eastAsia="en-GB"/>
              </w:rPr>
            </w:pPr>
            <w:r w:rsidRPr="00EB2995">
              <w:rPr>
                <w:rFonts w:cs="Calibri"/>
                <w:color w:val="000000"/>
                <w:lang w:eastAsia="en-GB"/>
              </w:rPr>
              <w:t>(6.5)</w:t>
            </w:r>
          </w:p>
        </w:tc>
        <w:tc>
          <w:tcPr>
            <w:tcW w:w="1560" w:type="dxa"/>
            <w:gridSpan w:val="2"/>
            <w:tcBorders>
              <w:top w:val="nil"/>
              <w:left w:val="nil"/>
              <w:bottom w:val="nil"/>
              <w:right w:val="single" w:sz="4" w:space="0" w:color="auto"/>
            </w:tcBorders>
            <w:shd w:val="clear" w:color="auto" w:fill="auto"/>
            <w:noWrap/>
            <w:vAlign w:val="center"/>
            <w:hideMark/>
          </w:tcPr>
          <w:p w:rsidR="001449FD" w:rsidRPr="00EB2995" w:rsidRDefault="001449FD" w:rsidP="001449FD">
            <w:pPr>
              <w:jc w:val="right"/>
              <w:rPr>
                <w:rFonts w:cs="Calibri"/>
                <w:color w:val="000000"/>
                <w:lang w:eastAsia="en-GB"/>
              </w:rPr>
            </w:pPr>
            <w:r w:rsidRPr="00EB2995">
              <w:rPr>
                <w:rFonts w:cs="Calibri"/>
                <w:color w:val="000000"/>
                <w:lang w:eastAsia="en-GB"/>
              </w:rPr>
              <w:t>(0.7)</w:t>
            </w:r>
          </w:p>
        </w:tc>
        <w:tc>
          <w:tcPr>
            <w:tcW w:w="1569" w:type="dxa"/>
            <w:gridSpan w:val="2"/>
            <w:tcBorders>
              <w:top w:val="nil"/>
              <w:left w:val="nil"/>
              <w:bottom w:val="nil"/>
              <w:right w:val="single" w:sz="4" w:space="0" w:color="auto"/>
            </w:tcBorders>
            <w:shd w:val="clear" w:color="auto" w:fill="auto"/>
            <w:noWrap/>
            <w:vAlign w:val="center"/>
            <w:hideMark/>
          </w:tcPr>
          <w:p w:rsidR="001449FD" w:rsidRPr="00EB2995" w:rsidRDefault="001449FD" w:rsidP="001449FD">
            <w:pPr>
              <w:jc w:val="right"/>
              <w:rPr>
                <w:rFonts w:cs="Calibri"/>
                <w:color w:val="000000"/>
                <w:lang w:eastAsia="en-GB"/>
              </w:rPr>
            </w:pPr>
            <w:r w:rsidRPr="00EB2995">
              <w:rPr>
                <w:rFonts w:cs="Calibri"/>
                <w:color w:val="000000"/>
                <w:lang w:eastAsia="en-GB"/>
              </w:rPr>
              <w:t>(7.2)</w:t>
            </w:r>
          </w:p>
        </w:tc>
      </w:tr>
      <w:tr w:rsidR="001449FD" w:rsidRPr="00EB2995" w:rsidTr="001449FD">
        <w:trPr>
          <w:trHeight w:val="300"/>
        </w:trPr>
        <w:tc>
          <w:tcPr>
            <w:tcW w:w="2171" w:type="dxa"/>
            <w:gridSpan w:val="2"/>
            <w:tcBorders>
              <w:top w:val="nil"/>
              <w:left w:val="single" w:sz="4" w:space="0" w:color="auto"/>
              <w:bottom w:val="nil"/>
              <w:right w:val="nil"/>
            </w:tcBorders>
            <w:shd w:val="clear" w:color="auto" w:fill="auto"/>
            <w:noWrap/>
            <w:vAlign w:val="bottom"/>
            <w:hideMark/>
          </w:tcPr>
          <w:p w:rsidR="001449FD" w:rsidRPr="00EB2995" w:rsidRDefault="001449FD" w:rsidP="001449FD">
            <w:pPr>
              <w:rPr>
                <w:rFonts w:cs="Calibri"/>
                <w:color w:val="000000"/>
                <w:lang w:eastAsia="en-GB"/>
              </w:rPr>
            </w:pPr>
            <w:r w:rsidRPr="00EB2995">
              <w:rPr>
                <w:rFonts w:cs="Calibri"/>
                <w:color w:val="000000"/>
                <w:lang w:eastAsia="en-GB"/>
              </w:rPr>
              <w:t> </w:t>
            </w:r>
          </w:p>
        </w:tc>
        <w:tc>
          <w:tcPr>
            <w:tcW w:w="2831" w:type="dxa"/>
            <w:gridSpan w:val="2"/>
            <w:tcBorders>
              <w:top w:val="nil"/>
              <w:left w:val="nil"/>
              <w:bottom w:val="nil"/>
              <w:right w:val="nil"/>
            </w:tcBorders>
            <w:shd w:val="clear" w:color="auto" w:fill="auto"/>
            <w:noWrap/>
            <w:vAlign w:val="bottom"/>
            <w:hideMark/>
          </w:tcPr>
          <w:p w:rsidR="001449FD" w:rsidRPr="00EB2995" w:rsidRDefault="001449FD" w:rsidP="001449FD">
            <w:pPr>
              <w:rPr>
                <w:rFonts w:cs="Calibri"/>
                <w:color w:val="000000"/>
                <w:lang w:eastAsia="en-GB"/>
              </w:rPr>
            </w:pPr>
            <w:r w:rsidRPr="00EB2995">
              <w:rPr>
                <w:rFonts w:cs="Calibri"/>
                <w:color w:val="000000"/>
                <w:lang w:eastAsia="en-GB"/>
              </w:rPr>
              <w:t>CYP</w:t>
            </w:r>
          </w:p>
        </w:tc>
        <w:tc>
          <w:tcPr>
            <w:tcW w:w="1235" w:type="dxa"/>
            <w:tcBorders>
              <w:top w:val="nil"/>
              <w:left w:val="single" w:sz="4" w:space="0" w:color="auto"/>
              <w:bottom w:val="nil"/>
              <w:right w:val="single" w:sz="4" w:space="0" w:color="auto"/>
            </w:tcBorders>
            <w:shd w:val="clear" w:color="auto" w:fill="auto"/>
            <w:noWrap/>
            <w:vAlign w:val="center"/>
            <w:hideMark/>
          </w:tcPr>
          <w:p w:rsidR="001449FD" w:rsidRPr="00EB2995" w:rsidRDefault="001449FD" w:rsidP="001449FD">
            <w:pPr>
              <w:jc w:val="right"/>
              <w:rPr>
                <w:rFonts w:cs="Calibri"/>
                <w:color w:val="000000"/>
                <w:lang w:eastAsia="en-GB"/>
              </w:rPr>
            </w:pPr>
            <w:r w:rsidRPr="00EB2995">
              <w:rPr>
                <w:rFonts w:cs="Calibri"/>
                <w:color w:val="000000"/>
                <w:lang w:eastAsia="en-GB"/>
              </w:rPr>
              <w:t>(0.0)</w:t>
            </w:r>
          </w:p>
        </w:tc>
        <w:tc>
          <w:tcPr>
            <w:tcW w:w="1560" w:type="dxa"/>
            <w:gridSpan w:val="2"/>
            <w:tcBorders>
              <w:top w:val="nil"/>
              <w:left w:val="nil"/>
              <w:bottom w:val="nil"/>
              <w:right w:val="single" w:sz="4" w:space="0" w:color="auto"/>
            </w:tcBorders>
            <w:shd w:val="clear" w:color="auto" w:fill="auto"/>
            <w:noWrap/>
            <w:vAlign w:val="center"/>
            <w:hideMark/>
          </w:tcPr>
          <w:p w:rsidR="001449FD" w:rsidRPr="00EB2995" w:rsidRDefault="001449FD" w:rsidP="001449FD">
            <w:pPr>
              <w:jc w:val="right"/>
              <w:rPr>
                <w:rFonts w:cs="Calibri"/>
                <w:color w:val="000000"/>
                <w:lang w:eastAsia="en-GB"/>
              </w:rPr>
            </w:pPr>
            <w:r w:rsidRPr="00EB2995">
              <w:rPr>
                <w:rFonts w:cs="Calibri"/>
                <w:color w:val="000000"/>
                <w:lang w:eastAsia="en-GB"/>
              </w:rPr>
              <w:t>(0.2)</w:t>
            </w:r>
          </w:p>
        </w:tc>
        <w:tc>
          <w:tcPr>
            <w:tcW w:w="1569" w:type="dxa"/>
            <w:gridSpan w:val="2"/>
            <w:tcBorders>
              <w:top w:val="nil"/>
              <w:left w:val="nil"/>
              <w:bottom w:val="nil"/>
              <w:right w:val="single" w:sz="4" w:space="0" w:color="auto"/>
            </w:tcBorders>
            <w:shd w:val="clear" w:color="auto" w:fill="auto"/>
            <w:noWrap/>
            <w:vAlign w:val="center"/>
            <w:hideMark/>
          </w:tcPr>
          <w:p w:rsidR="001449FD" w:rsidRPr="00EB2995" w:rsidRDefault="001449FD" w:rsidP="001449FD">
            <w:pPr>
              <w:jc w:val="right"/>
              <w:rPr>
                <w:rFonts w:cs="Calibri"/>
                <w:color w:val="000000"/>
                <w:lang w:eastAsia="en-GB"/>
              </w:rPr>
            </w:pPr>
            <w:r w:rsidRPr="00EB2995">
              <w:rPr>
                <w:rFonts w:cs="Calibri"/>
                <w:color w:val="000000"/>
                <w:lang w:eastAsia="en-GB"/>
              </w:rPr>
              <w:t>(0.2)</w:t>
            </w:r>
          </w:p>
        </w:tc>
      </w:tr>
      <w:tr w:rsidR="001449FD" w:rsidRPr="00EB2995" w:rsidTr="001449FD">
        <w:trPr>
          <w:trHeight w:val="300"/>
        </w:trPr>
        <w:tc>
          <w:tcPr>
            <w:tcW w:w="2171" w:type="dxa"/>
            <w:gridSpan w:val="2"/>
            <w:tcBorders>
              <w:top w:val="nil"/>
              <w:left w:val="single" w:sz="4" w:space="0" w:color="auto"/>
              <w:bottom w:val="nil"/>
              <w:right w:val="nil"/>
            </w:tcBorders>
            <w:shd w:val="clear" w:color="auto" w:fill="auto"/>
            <w:noWrap/>
            <w:vAlign w:val="bottom"/>
            <w:hideMark/>
          </w:tcPr>
          <w:p w:rsidR="001449FD" w:rsidRPr="00EB2995" w:rsidRDefault="001449FD" w:rsidP="001449FD">
            <w:pPr>
              <w:rPr>
                <w:rFonts w:cs="Calibri"/>
                <w:color w:val="000000"/>
                <w:lang w:eastAsia="en-GB"/>
              </w:rPr>
            </w:pPr>
            <w:r w:rsidRPr="00EB2995">
              <w:rPr>
                <w:rFonts w:cs="Calibri"/>
                <w:color w:val="000000"/>
                <w:lang w:eastAsia="en-GB"/>
              </w:rPr>
              <w:t> </w:t>
            </w:r>
          </w:p>
        </w:tc>
        <w:tc>
          <w:tcPr>
            <w:tcW w:w="2831" w:type="dxa"/>
            <w:gridSpan w:val="2"/>
            <w:tcBorders>
              <w:top w:val="nil"/>
              <w:left w:val="nil"/>
              <w:bottom w:val="nil"/>
              <w:right w:val="nil"/>
            </w:tcBorders>
            <w:shd w:val="clear" w:color="auto" w:fill="auto"/>
            <w:noWrap/>
            <w:vAlign w:val="bottom"/>
            <w:hideMark/>
          </w:tcPr>
          <w:p w:rsidR="001449FD" w:rsidRPr="00EB2995" w:rsidRDefault="001449FD" w:rsidP="001449FD">
            <w:pPr>
              <w:rPr>
                <w:rFonts w:cs="Calibri"/>
                <w:color w:val="000000"/>
                <w:lang w:eastAsia="en-GB"/>
              </w:rPr>
            </w:pPr>
            <w:r w:rsidRPr="00EB2995">
              <w:rPr>
                <w:rFonts w:cs="Calibri"/>
                <w:color w:val="000000"/>
                <w:lang w:eastAsia="en-GB"/>
              </w:rPr>
              <w:t>Other Central</w:t>
            </w:r>
          </w:p>
        </w:tc>
        <w:tc>
          <w:tcPr>
            <w:tcW w:w="1235" w:type="dxa"/>
            <w:tcBorders>
              <w:top w:val="nil"/>
              <w:left w:val="single" w:sz="4" w:space="0" w:color="auto"/>
              <w:bottom w:val="nil"/>
              <w:right w:val="single" w:sz="4" w:space="0" w:color="auto"/>
            </w:tcBorders>
            <w:shd w:val="clear" w:color="auto" w:fill="auto"/>
            <w:noWrap/>
            <w:vAlign w:val="center"/>
            <w:hideMark/>
          </w:tcPr>
          <w:p w:rsidR="001449FD" w:rsidRPr="00EB2995" w:rsidRDefault="001449FD" w:rsidP="001449FD">
            <w:pPr>
              <w:jc w:val="right"/>
              <w:rPr>
                <w:rFonts w:cs="Calibri"/>
                <w:color w:val="000000"/>
                <w:lang w:eastAsia="en-GB"/>
              </w:rPr>
            </w:pPr>
            <w:r w:rsidRPr="00EB2995">
              <w:rPr>
                <w:rFonts w:cs="Calibri"/>
                <w:color w:val="000000"/>
                <w:lang w:eastAsia="en-GB"/>
              </w:rPr>
              <w:t>(16.3)</w:t>
            </w:r>
          </w:p>
        </w:tc>
        <w:tc>
          <w:tcPr>
            <w:tcW w:w="1560" w:type="dxa"/>
            <w:gridSpan w:val="2"/>
            <w:tcBorders>
              <w:top w:val="nil"/>
              <w:left w:val="nil"/>
              <w:bottom w:val="nil"/>
              <w:right w:val="single" w:sz="4" w:space="0" w:color="auto"/>
            </w:tcBorders>
            <w:shd w:val="clear" w:color="auto" w:fill="auto"/>
            <w:noWrap/>
            <w:vAlign w:val="center"/>
            <w:hideMark/>
          </w:tcPr>
          <w:p w:rsidR="001449FD" w:rsidRPr="00EB2995" w:rsidRDefault="001449FD" w:rsidP="001449FD">
            <w:pPr>
              <w:jc w:val="right"/>
              <w:rPr>
                <w:rFonts w:cs="Calibri"/>
                <w:color w:val="000000"/>
                <w:lang w:eastAsia="en-GB"/>
              </w:rPr>
            </w:pPr>
            <w:r w:rsidRPr="00EB2995">
              <w:rPr>
                <w:rFonts w:cs="Calibri"/>
                <w:color w:val="000000"/>
                <w:lang w:eastAsia="en-GB"/>
              </w:rPr>
              <w:t>(9.1)</w:t>
            </w:r>
          </w:p>
        </w:tc>
        <w:tc>
          <w:tcPr>
            <w:tcW w:w="1569" w:type="dxa"/>
            <w:gridSpan w:val="2"/>
            <w:tcBorders>
              <w:top w:val="nil"/>
              <w:left w:val="nil"/>
              <w:bottom w:val="nil"/>
              <w:right w:val="single" w:sz="4" w:space="0" w:color="auto"/>
            </w:tcBorders>
            <w:shd w:val="clear" w:color="auto" w:fill="auto"/>
            <w:noWrap/>
            <w:vAlign w:val="center"/>
            <w:hideMark/>
          </w:tcPr>
          <w:p w:rsidR="001449FD" w:rsidRPr="00EB2995" w:rsidRDefault="001449FD" w:rsidP="001449FD">
            <w:pPr>
              <w:jc w:val="right"/>
              <w:rPr>
                <w:rFonts w:cs="Calibri"/>
                <w:color w:val="000000"/>
                <w:lang w:eastAsia="en-GB"/>
              </w:rPr>
            </w:pPr>
            <w:r w:rsidRPr="00EB2995">
              <w:rPr>
                <w:rFonts w:cs="Calibri"/>
                <w:color w:val="000000"/>
                <w:lang w:eastAsia="en-GB"/>
              </w:rPr>
              <w:t>(25.4)</w:t>
            </w:r>
          </w:p>
        </w:tc>
      </w:tr>
      <w:tr w:rsidR="001449FD" w:rsidRPr="00EB2995" w:rsidTr="001449FD">
        <w:trPr>
          <w:trHeight w:val="300"/>
        </w:trPr>
        <w:tc>
          <w:tcPr>
            <w:tcW w:w="2171" w:type="dxa"/>
            <w:gridSpan w:val="2"/>
            <w:tcBorders>
              <w:top w:val="nil"/>
              <w:left w:val="single" w:sz="4" w:space="0" w:color="auto"/>
              <w:bottom w:val="nil"/>
              <w:right w:val="nil"/>
            </w:tcBorders>
            <w:shd w:val="clear" w:color="auto" w:fill="auto"/>
            <w:noWrap/>
            <w:vAlign w:val="bottom"/>
            <w:hideMark/>
          </w:tcPr>
          <w:p w:rsidR="001449FD" w:rsidRPr="00EB2995" w:rsidRDefault="001449FD" w:rsidP="001449FD">
            <w:pPr>
              <w:rPr>
                <w:rFonts w:cs="Calibri"/>
                <w:b/>
                <w:bCs/>
                <w:i/>
                <w:iCs/>
                <w:color w:val="000000"/>
                <w:lang w:eastAsia="en-GB"/>
              </w:rPr>
            </w:pPr>
            <w:r w:rsidRPr="00EB2995">
              <w:rPr>
                <w:rFonts w:cs="Calibri"/>
                <w:b/>
                <w:bCs/>
                <w:i/>
                <w:iCs/>
                <w:color w:val="000000"/>
                <w:lang w:eastAsia="en-GB"/>
              </w:rPr>
              <w:t> </w:t>
            </w:r>
          </w:p>
        </w:tc>
        <w:tc>
          <w:tcPr>
            <w:tcW w:w="2831" w:type="dxa"/>
            <w:gridSpan w:val="2"/>
            <w:tcBorders>
              <w:top w:val="nil"/>
              <w:left w:val="nil"/>
              <w:bottom w:val="nil"/>
              <w:right w:val="nil"/>
            </w:tcBorders>
            <w:shd w:val="clear" w:color="auto" w:fill="auto"/>
            <w:noWrap/>
            <w:vAlign w:val="bottom"/>
            <w:hideMark/>
          </w:tcPr>
          <w:p w:rsidR="001449FD" w:rsidRPr="00EB2995" w:rsidRDefault="001449FD" w:rsidP="001449FD">
            <w:pPr>
              <w:rPr>
                <w:rFonts w:cs="Calibri"/>
                <w:color w:val="000000"/>
                <w:lang w:eastAsia="en-GB"/>
              </w:rPr>
            </w:pPr>
            <w:r w:rsidRPr="00EB2995">
              <w:rPr>
                <w:rFonts w:cs="Calibri"/>
                <w:color w:val="000000"/>
                <w:lang w:eastAsia="en-GB"/>
              </w:rPr>
              <w:t>Temporary Accommodation HB</w:t>
            </w:r>
          </w:p>
        </w:tc>
        <w:tc>
          <w:tcPr>
            <w:tcW w:w="1235" w:type="dxa"/>
            <w:tcBorders>
              <w:top w:val="nil"/>
              <w:left w:val="single" w:sz="4" w:space="0" w:color="auto"/>
              <w:bottom w:val="nil"/>
              <w:right w:val="single" w:sz="4" w:space="0" w:color="auto"/>
            </w:tcBorders>
            <w:shd w:val="clear" w:color="auto" w:fill="auto"/>
            <w:noWrap/>
            <w:vAlign w:val="center"/>
            <w:hideMark/>
          </w:tcPr>
          <w:p w:rsidR="001449FD" w:rsidRPr="00EB2995" w:rsidRDefault="001449FD" w:rsidP="001449FD">
            <w:pPr>
              <w:jc w:val="right"/>
              <w:rPr>
                <w:rFonts w:cs="Calibri"/>
                <w:color w:val="000000"/>
                <w:lang w:eastAsia="en-GB"/>
              </w:rPr>
            </w:pPr>
            <w:r w:rsidRPr="00EB2995">
              <w:rPr>
                <w:rFonts w:cs="Calibri"/>
                <w:color w:val="000000"/>
                <w:lang w:eastAsia="en-GB"/>
              </w:rPr>
              <w:t>(7.4)</w:t>
            </w:r>
          </w:p>
        </w:tc>
        <w:tc>
          <w:tcPr>
            <w:tcW w:w="1560" w:type="dxa"/>
            <w:gridSpan w:val="2"/>
            <w:tcBorders>
              <w:top w:val="nil"/>
              <w:left w:val="nil"/>
              <w:bottom w:val="nil"/>
              <w:right w:val="single" w:sz="4" w:space="0" w:color="auto"/>
            </w:tcBorders>
            <w:shd w:val="clear" w:color="auto" w:fill="auto"/>
            <w:noWrap/>
            <w:vAlign w:val="center"/>
            <w:hideMark/>
          </w:tcPr>
          <w:p w:rsidR="001449FD" w:rsidRPr="00EB2995" w:rsidRDefault="001449FD" w:rsidP="001449FD">
            <w:pPr>
              <w:jc w:val="right"/>
              <w:rPr>
                <w:rFonts w:cs="Calibri"/>
                <w:color w:val="000000"/>
                <w:lang w:eastAsia="en-GB"/>
              </w:rPr>
            </w:pPr>
            <w:r w:rsidRPr="00EB2995">
              <w:rPr>
                <w:rFonts w:cs="Calibri"/>
                <w:color w:val="000000"/>
                <w:lang w:eastAsia="en-GB"/>
              </w:rPr>
              <w:t>1.6</w:t>
            </w:r>
          </w:p>
        </w:tc>
        <w:tc>
          <w:tcPr>
            <w:tcW w:w="1569" w:type="dxa"/>
            <w:gridSpan w:val="2"/>
            <w:tcBorders>
              <w:top w:val="nil"/>
              <w:left w:val="nil"/>
              <w:bottom w:val="nil"/>
              <w:right w:val="single" w:sz="4" w:space="0" w:color="auto"/>
            </w:tcBorders>
            <w:shd w:val="clear" w:color="auto" w:fill="auto"/>
            <w:noWrap/>
            <w:vAlign w:val="center"/>
            <w:hideMark/>
          </w:tcPr>
          <w:p w:rsidR="001449FD" w:rsidRPr="00EB2995" w:rsidRDefault="001449FD" w:rsidP="001449FD">
            <w:pPr>
              <w:jc w:val="right"/>
              <w:rPr>
                <w:rFonts w:cs="Calibri"/>
                <w:color w:val="000000"/>
                <w:lang w:eastAsia="en-GB"/>
              </w:rPr>
            </w:pPr>
            <w:r w:rsidRPr="00EB2995">
              <w:rPr>
                <w:rFonts w:cs="Calibri"/>
                <w:color w:val="000000"/>
                <w:lang w:eastAsia="en-GB"/>
              </w:rPr>
              <w:t>(5.9)</w:t>
            </w:r>
          </w:p>
        </w:tc>
      </w:tr>
      <w:tr w:rsidR="001449FD" w:rsidRPr="00EB2995" w:rsidTr="001449FD">
        <w:trPr>
          <w:trHeight w:val="315"/>
        </w:trPr>
        <w:tc>
          <w:tcPr>
            <w:tcW w:w="2171" w:type="dxa"/>
            <w:gridSpan w:val="2"/>
            <w:tcBorders>
              <w:top w:val="single" w:sz="4" w:space="0" w:color="auto"/>
              <w:left w:val="single" w:sz="4" w:space="0" w:color="auto"/>
              <w:bottom w:val="single" w:sz="4" w:space="0" w:color="auto"/>
              <w:right w:val="nil"/>
            </w:tcBorders>
            <w:shd w:val="clear" w:color="auto" w:fill="auto"/>
            <w:noWrap/>
            <w:vAlign w:val="bottom"/>
            <w:hideMark/>
          </w:tcPr>
          <w:p w:rsidR="001449FD" w:rsidRPr="00EB2995" w:rsidRDefault="001449FD" w:rsidP="001449FD">
            <w:pPr>
              <w:rPr>
                <w:rFonts w:cs="Calibri"/>
                <w:color w:val="000000"/>
                <w:lang w:eastAsia="en-GB"/>
              </w:rPr>
            </w:pPr>
            <w:r w:rsidRPr="00EB2995">
              <w:rPr>
                <w:rFonts w:cs="Calibri"/>
                <w:color w:val="000000"/>
                <w:lang w:eastAsia="en-GB"/>
              </w:rPr>
              <w:t> </w:t>
            </w:r>
          </w:p>
        </w:tc>
        <w:tc>
          <w:tcPr>
            <w:tcW w:w="2831" w:type="dxa"/>
            <w:gridSpan w:val="2"/>
            <w:tcBorders>
              <w:top w:val="single" w:sz="4" w:space="0" w:color="auto"/>
              <w:left w:val="nil"/>
              <w:bottom w:val="single" w:sz="4" w:space="0" w:color="auto"/>
              <w:right w:val="nil"/>
            </w:tcBorders>
            <w:shd w:val="clear" w:color="auto" w:fill="auto"/>
            <w:noWrap/>
            <w:vAlign w:val="bottom"/>
            <w:hideMark/>
          </w:tcPr>
          <w:p w:rsidR="001449FD" w:rsidRPr="00EB2995" w:rsidRDefault="001449FD" w:rsidP="001449FD">
            <w:pPr>
              <w:rPr>
                <w:rFonts w:cs="Calibri"/>
                <w:b/>
                <w:bCs/>
                <w:color w:val="000000"/>
                <w:lang w:eastAsia="en-GB"/>
              </w:rPr>
            </w:pPr>
            <w:r w:rsidRPr="00EB2995">
              <w:rPr>
                <w:rFonts w:cs="Calibri"/>
                <w:b/>
                <w:bCs/>
                <w:color w:val="000000"/>
                <w:lang w:eastAsia="en-GB"/>
              </w:rPr>
              <w:t>Total</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49FD" w:rsidRPr="00EB2995" w:rsidRDefault="001449FD" w:rsidP="001449FD">
            <w:pPr>
              <w:jc w:val="right"/>
              <w:rPr>
                <w:rFonts w:cs="Calibri"/>
                <w:b/>
                <w:bCs/>
                <w:color w:val="000000"/>
                <w:lang w:eastAsia="en-GB"/>
              </w:rPr>
            </w:pPr>
            <w:r w:rsidRPr="00EB2995">
              <w:rPr>
                <w:rFonts w:cs="Calibri"/>
                <w:b/>
                <w:bCs/>
                <w:color w:val="000000"/>
                <w:lang w:eastAsia="en-GB"/>
              </w:rPr>
              <w:t>(49.9)</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1449FD" w:rsidRPr="00EB2995" w:rsidRDefault="001449FD" w:rsidP="001449FD">
            <w:pPr>
              <w:jc w:val="right"/>
              <w:rPr>
                <w:rFonts w:cs="Calibri"/>
                <w:b/>
                <w:bCs/>
                <w:color w:val="000000"/>
                <w:lang w:eastAsia="en-GB"/>
              </w:rPr>
            </w:pPr>
            <w:r w:rsidRPr="00EB2995">
              <w:rPr>
                <w:rFonts w:cs="Calibri"/>
                <w:b/>
                <w:bCs/>
                <w:color w:val="000000"/>
                <w:lang w:eastAsia="en-GB"/>
              </w:rPr>
              <w:t>(4.1)</w:t>
            </w:r>
          </w:p>
        </w:tc>
        <w:tc>
          <w:tcPr>
            <w:tcW w:w="1569" w:type="dxa"/>
            <w:gridSpan w:val="2"/>
            <w:tcBorders>
              <w:top w:val="single" w:sz="4" w:space="0" w:color="auto"/>
              <w:left w:val="nil"/>
              <w:bottom w:val="single" w:sz="4" w:space="0" w:color="auto"/>
              <w:right w:val="single" w:sz="4" w:space="0" w:color="auto"/>
            </w:tcBorders>
            <w:shd w:val="clear" w:color="auto" w:fill="auto"/>
            <w:noWrap/>
            <w:vAlign w:val="center"/>
            <w:hideMark/>
          </w:tcPr>
          <w:p w:rsidR="001449FD" w:rsidRPr="00EB2995" w:rsidRDefault="001449FD" w:rsidP="001449FD">
            <w:pPr>
              <w:jc w:val="right"/>
              <w:rPr>
                <w:rFonts w:cs="Calibri"/>
                <w:b/>
                <w:bCs/>
                <w:color w:val="000000"/>
                <w:lang w:eastAsia="en-GB"/>
              </w:rPr>
            </w:pPr>
            <w:r w:rsidRPr="00EB2995">
              <w:rPr>
                <w:rFonts w:cs="Calibri"/>
                <w:b/>
                <w:bCs/>
                <w:color w:val="000000"/>
                <w:lang w:eastAsia="en-GB"/>
              </w:rPr>
              <w:t>(54.2)</w:t>
            </w:r>
          </w:p>
        </w:tc>
      </w:tr>
      <w:tr w:rsidR="001449FD" w:rsidRPr="00EB2995" w:rsidTr="001449FD">
        <w:trPr>
          <w:trHeight w:val="375"/>
        </w:trPr>
        <w:tc>
          <w:tcPr>
            <w:tcW w:w="2171" w:type="dxa"/>
            <w:gridSpan w:val="2"/>
            <w:tcBorders>
              <w:top w:val="single" w:sz="4" w:space="0" w:color="auto"/>
              <w:left w:val="single" w:sz="4" w:space="0" w:color="auto"/>
              <w:bottom w:val="single" w:sz="4" w:space="0" w:color="auto"/>
              <w:right w:val="nil"/>
            </w:tcBorders>
            <w:shd w:val="clear" w:color="auto" w:fill="auto"/>
            <w:noWrap/>
            <w:vAlign w:val="bottom"/>
            <w:hideMark/>
          </w:tcPr>
          <w:p w:rsidR="001449FD" w:rsidRPr="00EB2995" w:rsidRDefault="001449FD" w:rsidP="001449FD">
            <w:pPr>
              <w:rPr>
                <w:rFonts w:cs="Calibri"/>
                <w:b/>
                <w:bCs/>
                <w:i/>
                <w:iCs/>
                <w:color w:val="000000"/>
                <w:lang w:eastAsia="en-GB"/>
              </w:rPr>
            </w:pPr>
            <w:r w:rsidRPr="00EB2995">
              <w:rPr>
                <w:rFonts w:cs="Calibri"/>
                <w:b/>
                <w:bCs/>
                <w:i/>
                <w:iCs/>
                <w:color w:val="000000"/>
                <w:lang w:eastAsia="en-GB"/>
              </w:rPr>
              <w:t>Total</w:t>
            </w:r>
          </w:p>
        </w:tc>
        <w:tc>
          <w:tcPr>
            <w:tcW w:w="2831" w:type="dxa"/>
            <w:gridSpan w:val="2"/>
            <w:tcBorders>
              <w:top w:val="single" w:sz="4" w:space="0" w:color="auto"/>
              <w:left w:val="nil"/>
              <w:bottom w:val="single" w:sz="4" w:space="0" w:color="auto"/>
              <w:right w:val="nil"/>
            </w:tcBorders>
            <w:shd w:val="clear" w:color="auto" w:fill="auto"/>
            <w:noWrap/>
            <w:vAlign w:val="bottom"/>
            <w:hideMark/>
          </w:tcPr>
          <w:p w:rsidR="001449FD" w:rsidRPr="00EB2995" w:rsidRDefault="001449FD" w:rsidP="001449FD">
            <w:pPr>
              <w:rPr>
                <w:rFonts w:cs="Calibri"/>
                <w:b/>
                <w:bCs/>
                <w:i/>
                <w:iCs/>
                <w:color w:val="000000"/>
                <w:lang w:eastAsia="en-GB"/>
              </w:rPr>
            </w:pPr>
            <w:r w:rsidRPr="00EB2995">
              <w:rPr>
                <w:rFonts w:cs="Calibri"/>
                <w:b/>
                <w:bCs/>
                <w:i/>
                <w:iCs/>
                <w:color w:val="000000"/>
                <w:lang w:eastAsia="en-GB"/>
              </w:rPr>
              <w:t> </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49FD" w:rsidRPr="00EB2995" w:rsidRDefault="001449FD" w:rsidP="001449FD">
            <w:pPr>
              <w:jc w:val="right"/>
              <w:rPr>
                <w:rFonts w:cs="Calibri"/>
                <w:b/>
                <w:bCs/>
                <w:i/>
                <w:iCs/>
                <w:color w:val="000000"/>
                <w:lang w:eastAsia="en-GB"/>
              </w:rPr>
            </w:pPr>
            <w:r w:rsidRPr="00EB2995">
              <w:rPr>
                <w:rFonts w:cs="Calibri"/>
                <w:b/>
                <w:bCs/>
                <w:i/>
                <w:iCs/>
                <w:color w:val="000000"/>
                <w:lang w:eastAsia="en-GB"/>
              </w:rPr>
              <w:t>(61.3)</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1449FD" w:rsidRPr="00EB2995" w:rsidRDefault="001449FD" w:rsidP="001449FD">
            <w:pPr>
              <w:jc w:val="right"/>
              <w:rPr>
                <w:rFonts w:cs="Calibri"/>
                <w:b/>
                <w:bCs/>
                <w:i/>
                <w:iCs/>
                <w:color w:val="000000"/>
                <w:lang w:eastAsia="en-GB"/>
              </w:rPr>
            </w:pPr>
            <w:r w:rsidRPr="00EB2995">
              <w:rPr>
                <w:rFonts w:cs="Calibri"/>
                <w:b/>
                <w:bCs/>
                <w:i/>
                <w:iCs/>
                <w:color w:val="000000"/>
                <w:lang w:eastAsia="en-GB"/>
              </w:rPr>
              <w:t>(4.1)</w:t>
            </w:r>
          </w:p>
        </w:tc>
        <w:tc>
          <w:tcPr>
            <w:tcW w:w="1569" w:type="dxa"/>
            <w:gridSpan w:val="2"/>
            <w:tcBorders>
              <w:top w:val="single" w:sz="4" w:space="0" w:color="auto"/>
              <w:left w:val="nil"/>
              <w:bottom w:val="single" w:sz="4" w:space="0" w:color="auto"/>
              <w:right w:val="single" w:sz="4" w:space="0" w:color="auto"/>
            </w:tcBorders>
            <w:shd w:val="clear" w:color="auto" w:fill="auto"/>
            <w:noWrap/>
            <w:vAlign w:val="center"/>
            <w:hideMark/>
          </w:tcPr>
          <w:p w:rsidR="001449FD" w:rsidRPr="00EB2995" w:rsidRDefault="001449FD" w:rsidP="001449FD">
            <w:pPr>
              <w:jc w:val="right"/>
              <w:rPr>
                <w:rFonts w:cs="Calibri"/>
                <w:b/>
                <w:bCs/>
                <w:i/>
                <w:iCs/>
                <w:color w:val="000000"/>
                <w:lang w:eastAsia="en-GB"/>
              </w:rPr>
            </w:pPr>
            <w:r w:rsidRPr="00EB2995">
              <w:rPr>
                <w:rFonts w:cs="Calibri"/>
                <w:b/>
                <w:bCs/>
                <w:i/>
                <w:iCs/>
                <w:color w:val="000000"/>
                <w:lang w:eastAsia="en-GB"/>
              </w:rPr>
              <w:t>(65.6)</w:t>
            </w:r>
          </w:p>
        </w:tc>
      </w:tr>
    </w:tbl>
    <w:tbl>
      <w:tblPr>
        <w:tblpPr w:leftFromText="180" w:rightFromText="180" w:horzAnchor="margin" w:tblpY="-600"/>
        <w:tblW w:w="9429" w:type="dxa"/>
        <w:tblLook w:val="04A0" w:firstRow="1" w:lastRow="0" w:firstColumn="1" w:lastColumn="0" w:noHBand="0" w:noVBand="1"/>
      </w:tblPr>
      <w:tblGrid>
        <w:gridCol w:w="2171"/>
        <w:gridCol w:w="143"/>
        <w:gridCol w:w="2688"/>
        <w:gridCol w:w="1298"/>
        <w:gridCol w:w="1560"/>
        <w:gridCol w:w="1569"/>
      </w:tblGrid>
      <w:tr w:rsidR="001449FD" w:rsidRPr="00EB2995" w:rsidTr="001449FD">
        <w:trPr>
          <w:trHeight w:val="375"/>
        </w:trPr>
        <w:tc>
          <w:tcPr>
            <w:tcW w:w="2171" w:type="dxa"/>
            <w:tcBorders>
              <w:right w:val="nil"/>
            </w:tcBorders>
            <w:shd w:val="clear" w:color="auto" w:fill="auto"/>
            <w:noWrap/>
            <w:vAlign w:val="bottom"/>
            <w:hideMark/>
          </w:tcPr>
          <w:p w:rsidR="001449FD" w:rsidRPr="00EB2995" w:rsidRDefault="001449FD" w:rsidP="001449FD">
            <w:pPr>
              <w:rPr>
                <w:rFonts w:cs="Calibri"/>
                <w:b/>
                <w:bCs/>
                <w:i/>
                <w:iCs/>
                <w:color w:val="000000"/>
                <w:lang w:eastAsia="en-GB"/>
              </w:rPr>
            </w:pPr>
          </w:p>
        </w:tc>
        <w:tc>
          <w:tcPr>
            <w:tcW w:w="2831" w:type="dxa"/>
            <w:gridSpan w:val="2"/>
            <w:tcBorders>
              <w:left w:val="nil"/>
              <w:right w:val="single" w:sz="4" w:space="0" w:color="auto"/>
            </w:tcBorders>
            <w:shd w:val="clear" w:color="auto" w:fill="auto"/>
            <w:noWrap/>
            <w:vAlign w:val="bottom"/>
            <w:hideMark/>
          </w:tcPr>
          <w:p w:rsidR="001449FD" w:rsidRPr="00EB2995" w:rsidRDefault="001449FD" w:rsidP="001449FD">
            <w:pPr>
              <w:rPr>
                <w:rFonts w:cs="Calibri"/>
                <w:b/>
                <w:bCs/>
                <w:i/>
                <w:iCs/>
                <w:color w:val="000000"/>
                <w:lang w:eastAsia="en-GB"/>
              </w:rPr>
            </w:pPr>
          </w:p>
        </w:tc>
        <w:tc>
          <w:tcPr>
            <w:tcW w:w="1298" w:type="dxa"/>
            <w:tcBorders>
              <w:top w:val="single" w:sz="4" w:space="0" w:color="auto"/>
              <w:left w:val="single" w:sz="4" w:space="0" w:color="auto"/>
              <w:right w:val="single" w:sz="4" w:space="0" w:color="auto"/>
            </w:tcBorders>
            <w:shd w:val="clear" w:color="auto" w:fill="auto"/>
            <w:noWrap/>
            <w:vAlign w:val="center"/>
            <w:hideMark/>
          </w:tcPr>
          <w:p w:rsidR="001449FD" w:rsidRPr="00F415F4" w:rsidRDefault="001449FD" w:rsidP="001449FD">
            <w:pPr>
              <w:jc w:val="right"/>
              <w:rPr>
                <w:rFonts w:cs="Calibri"/>
                <w:b/>
                <w:bCs/>
                <w:i/>
                <w:iCs/>
                <w:color w:val="000000"/>
                <w:lang w:eastAsia="en-GB"/>
              </w:rPr>
            </w:pPr>
            <w:r w:rsidRPr="00F415F4">
              <w:rPr>
                <w:rFonts w:cs="Calibri"/>
                <w:b/>
                <w:bCs/>
                <w:lang w:eastAsia="en-GB"/>
              </w:rPr>
              <w:t xml:space="preserve">Balance at </w:t>
            </w:r>
            <w:r w:rsidRPr="00F415F4">
              <w:rPr>
                <w:rFonts w:cs="Calibri"/>
                <w:b/>
                <w:bCs/>
                <w:lang w:eastAsia="en-GB"/>
              </w:rPr>
              <w:br/>
              <w:t>31/03/2019</w:t>
            </w:r>
            <w:r w:rsidRPr="00F415F4">
              <w:rPr>
                <w:rFonts w:cs="Calibri"/>
                <w:b/>
                <w:bCs/>
                <w:lang w:eastAsia="en-GB"/>
              </w:rPr>
              <w:br/>
              <w:t>£m</w:t>
            </w:r>
          </w:p>
        </w:tc>
        <w:tc>
          <w:tcPr>
            <w:tcW w:w="1560" w:type="dxa"/>
            <w:tcBorders>
              <w:top w:val="single" w:sz="4" w:space="0" w:color="auto"/>
              <w:left w:val="single" w:sz="4" w:space="0" w:color="auto"/>
              <w:right w:val="single" w:sz="4" w:space="0" w:color="auto"/>
            </w:tcBorders>
            <w:shd w:val="clear" w:color="auto" w:fill="auto"/>
            <w:noWrap/>
            <w:vAlign w:val="center"/>
            <w:hideMark/>
          </w:tcPr>
          <w:p w:rsidR="001449FD" w:rsidRPr="00F415F4" w:rsidRDefault="001449FD" w:rsidP="001449FD">
            <w:pPr>
              <w:jc w:val="right"/>
              <w:rPr>
                <w:rFonts w:cs="Calibri"/>
                <w:b/>
                <w:bCs/>
                <w:iCs/>
                <w:color w:val="000000"/>
                <w:lang w:eastAsia="en-GB"/>
              </w:rPr>
            </w:pPr>
            <w:r w:rsidRPr="00F415F4">
              <w:rPr>
                <w:rFonts w:cs="Calibri"/>
                <w:b/>
                <w:bCs/>
                <w:iCs/>
                <w:color w:val="000000"/>
                <w:lang w:eastAsia="en-GB"/>
              </w:rPr>
              <w:t>Transfer to/from reserves</w:t>
            </w:r>
            <w:r w:rsidRPr="00F415F4">
              <w:rPr>
                <w:rFonts w:cs="Calibri"/>
                <w:b/>
                <w:bCs/>
                <w:iCs/>
                <w:color w:val="000000"/>
                <w:lang w:eastAsia="en-GB"/>
              </w:rPr>
              <w:br/>
              <w:t>£m</w:t>
            </w:r>
          </w:p>
        </w:tc>
        <w:tc>
          <w:tcPr>
            <w:tcW w:w="1569" w:type="dxa"/>
            <w:tcBorders>
              <w:top w:val="single" w:sz="4" w:space="0" w:color="auto"/>
              <w:left w:val="single" w:sz="4" w:space="0" w:color="auto"/>
              <w:right w:val="single" w:sz="4" w:space="0" w:color="auto"/>
            </w:tcBorders>
            <w:shd w:val="clear" w:color="auto" w:fill="auto"/>
            <w:noWrap/>
            <w:vAlign w:val="center"/>
            <w:hideMark/>
          </w:tcPr>
          <w:p w:rsidR="001449FD" w:rsidRPr="00F415F4" w:rsidRDefault="001449FD" w:rsidP="001449FD">
            <w:pPr>
              <w:jc w:val="right"/>
              <w:rPr>
                <w:rFonts w:cs="Calibri"/>
                <w:b/>
                <w:bCs/>
                <w:iCs/>
                <w:color w:val="000000"/>
                <w:lang w:eastAsia="en-GB"/>
              </w:rPr>
            </w:pPr>
            <w:r w:rsidRPr="00F415F4">
              <w:rPr>
                <w:rFonts w:cs="Calibri"/>
                <w:b/>
                <w:bCs/>
                <w:iCs/>
                <w:color w:val="000000"/>
                <w:lang w:eastAsia="en-GB"/>
              </w:rPr>
              <w:t xml:space="preserve">Balance at </w:t>
            </w:r>
            <w:r w:rsidRPr="00F415F4">
              <w:rPr>
                <w:rFonts w:cs="Calibri"/>
                <w:b/>
                <w:bCs/>
                <w:iCs/>
                <w:color w:val="000000"/>
                <w:lang w:eastAsia="en-GB"/>
              </w:rPr>
              <w:br/>
              <w:t>31/03/2020</w:t>
            </w:r>
            <w:r w:rsidRPr="00F415F4">
              <w:rPr>
                <w:rFonts w:cs="Calibri"/>
                <w:b/>
                <w:bCs/>
                <w:iCs/>
                <w:color w:val="000000"/>
                <w:lang w:eastAsia="en-GB"/>
              </w:rPr>
              <w:br/>
              <w:t>£m</w:t>
            </w:r>
          </w:p>
        </w:tc>
      </w:tr>
      <w:tr w:rsidR="001449FD" w:rsidRPr="00EB2995" w:rsidTr="001449FD">
        <w:trPr>
          <w:trHeight w:val="74"/>
        </w:trPr>
        <w:tc>
          <w:tcPr>
            <w:tcW w:w="5002" w:type="dxa"/>
            <w:gridSpan w:val="3"/>
            <w:tcBorders>
              <w:top w:val="nil"/>
              <w:left w:val="nil"/>
              <w:bottom w:val="nil"/>
              <w:right w:val="single" w:sz="4" w:space="0" w:color="auto"/>
            </w:tcBorders>
            <w:shd w:val="clear" w:color="auto" w:fill="auto"/>
            <w:noWrap/>
            <w:vAlign w:val="bottom"/>
            <w:hideMark/>
          </w:tcPr>
          <w:p w:rsidR="001449FD" w:rsidRPr="00EB2995" w:rsidRDefault="001449FD" w:rsidP="001449FD">
            <w:pPr>
              <w:rPr>
                <w:rFonts w:cs="Calibri"/>
                <w:b/>
                <w:bCs/>
                <w:color w:val="000000"/>
                <w:lang w:eastAsia="en-GB"/>
              </w:rPr>
            </w:pPr>
            <w:r w:rsidRPr="00EB2995">
              <w:rPr>
                <w:rFonts w:cs="Calibri"/>
                <w:b/>
                <w:bCs/>
                <w:color w:val="000000"/>
                <w:lang w:eastAsia="en-GB"/>
              </w:rPr>
              <w:t>Other earmarked reserves</w:t>
            </w:r>
          </w:p>
        </w:tc>
        <w:tc>
          <w:tcPr>
            <w:tcW w:w="1298" w:type="dxa"/>
            <w:tcBorders>
              <w:top w:val="nil"/>
              <w:left w:val="single" w:sz="4" w:space="0" w:color="auto"/>
              <w:bottom w:val="single" w:sz="4" w:space="0" w:color="auto"/>
              <w:right w:val="single" w:sz="4" w:space="0" w:color="auto"/>
            </w:tcBorders>
            <w:shd w:val="clear" w:color="auto" w:fill="auto"/>
            <w:noWrap/>
            <w:vAlign w:val="center"/>
            <w:hideMark/>
          </w:tcPr>
          <w:p w:rsidR="001449FD" w:rsidRPr="00EB2995" w:rsidRDefault="001449FD" w:rsidP="001449FD">
            <w:pPr>
              <w:rPr>
                <w:rFonts w:cs="Calibri"/>
                <w:color w:val="000000"/>
                <w:lang w:eastAsia="en-GB"/>
              </w:rPr>
            </w:pPr>
            <w:r w:rsidRPr="00EB2995">
              <w:rPr>
                <w:rFonts w:cs="Calibri"/>
                <w:color w:val="000000"/>
                <w:lang w:eastAsia="en-GB"/>
              </w:rPr>
              <w:t> </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1449FD" w:rsidRPr="00EB2995" w:rsidRDefault="001449FD" w:rsidP="001449FD">
            <w:pPr>
              <w:rPr>
                <w:rFonts w:cs="Calibri"/>
                <w:color w:val="000000"/>
                <w:lang w:eastAsia="en-GB"/>
              </w:rPr>
            </w:pPr>
            <w:r w:rsidRPr="00EB2995">
              <w:rPr>
                <w:rFonts w:cs="Calibri"/>
                <w:color w:val="000000"/>
                <w:lang w:eastAsia="en-GB"/>
              </w:rPr>
              <w:t> </w:t>
            </w:r>
          </w:p>
        </w:tc>
        <w:tc>
          <w:tcPr>
            <w:tcW w:w="1569" w:type="dxa"/>
            <w:tcBorders>
              <w:top w:val="nil"/>
              <w:left w:val="single" w:sz="4" w:space="0" w:color="auto"/>
              <w:bottom w:val="single" w:sz="4" w:space="0" w:color="auto"/>
              <w:right w:val="single" w:sz="4" w:space="0" w:color="auto"/>
            </w:tcBorders>
            <w:shd w:val="clear" w:color="auto" w:fill="auto"/>
            <w:noWrap/>
            <w:vAlign w:val="center"/>
            <w:hideMark/>
          </w:tcPr>
          <w:p w:rsidR="001449FD" w:rsidRPr="00EB2995" w:rsidRDefault="001449FD" w:rsidP="001449FD">
            <w:pPr>
              <w:rPr>
                <w:rFonts w:cs="Calibri"/>
                <w:color w:val="000000"/>
                <w:lang w:eastAsia="en-GB"/>
              </w:rPr>
            </w:pPr>
            <w:r w:rsidRPr="00EB2995">
              <w:rPr>
                <w:rFonts w:cs="Calibri"/>
                <w:color w:val="000000"/>
                <w:lang w:eastAsia="en-GB"/>
              </w:rPr>
              <w:t> </w:t>
            </w:r>
          </w:p>
        </w:tc>
      </w:tr>
      <w:tr w:rsidR="001449FD" w:rsidRPr="00EB2995" w:rsidTr="001449FD">
        <w:trPr>
          <w:trHeight w:val="405"/>
        </w:trPr>
        <w:tc>
          <w:tcPr>
            <w:tcW w:w="2314" w:type="dxa"/>
            <w:gridSpan w:val="2"/>
            <w:tcBorders>
              <w:top w:val="single" w:sz="4" w:space="0" w:color="auto"/>
              <w:left w:val="single" w:sz="4" w:space="0" w:color="auto"/>
              <w:bottom w:val="nil"/>
              <w:right w:val="nil"/>
            </w:tcBorders>
            <w:shd w:val="clear" w:color="auto" w:fill="auto"/>
            <w:noWrap/>
            <w:vAlign w:val="bottom"/>
            <w:hideMark/>
          </w:tcPr>
          <w:p w:rsidR="001449FD" w:rsidRPr="00EB2995" w:rsidRDefault="001449FD" w:rsidP="001449FD">
            <w:pPr>
              <w:rPr>
                <w:rFonts w:cs="Calibri"/>
                <w:color w:val="000000"/>
                <w:lang w:eastAsia="en-GB"/>
              </w:rPr>
            </w:pPr>
            <w:r w:rsidRPr="00EB2995">
              <w:rPr>
                <w:rFonts w:cs="Calibri"/>
                <w:color w:val="000000"/>
                <w:lang w:eastAsia="en-GB"/>
              </w:rPr>
              <w:t>Service reserves</w:t>
            </w:r>
          </w:p>
        </w:tc>
        <w:tc>
          <w:tcPr>
            <w:tcW w:w="2688" w:type="dxa"/>
            <w:tcBorders>
              <w:top w:val="single" w:sz="4" w:space="0" w:color="auto"/>
              <w:left w:val="nil"/>
              <w:bottom w:val="nil"/>
              <w:right w:val="nil"/>
            </w:tcBorders>
            <w:shd w:val="clear" w:color="auto" w:fill="auto"/>
            <w:noWrap/>
            <w:vAlign w:val="bottom"/>
            <w:hideMark/>
          </w:tcPr>
          <w:p w:rsidR="001449FD" w:rsidRPr="00EB2995" w:rsidRDefault="001449FD" w:rsidP="001449FD">
            <w:pPr>
              <w:rPr>
                <w:rFonts w:cs="Calibri"/>
                <w:color w:val="000000"/>
                <w:lang w:eastAsia="en-GB"/>
              </w:rPr>
            </w:pPr>
            <w:r w:rsidRPr="00EB2995">
              <w:rPr>
                <w:rFonts w:cs="Calibri"/>
                <w:color w:val="000000"/>
                <w:lang w:eastAsia="en-GB"/>
              </w:rPr>
              <w:t>CWB</w:t>
            </w:r>
          </w:p>
        </w:tc>
        <w:tc>
          <w:tcPr>
            <w:tcW w:w="1298" w:type="dxa"/>
            <w:tcBorders>
              <w:top w:val="single" w:sz="4" w:space="0" w:color="auto"/>
              <w:left w:val="single" w:sz="4" w:space="0" w:color="auto"/>
              <w:bottom w:val="nil"/>
              <w:right w:val="single" w:sz="4" w:space="0" w:color="auto"/>
            </w:tcBorders>
            <w:shd w:val="clear" w:color="auto" w:fill="auto"/>
            <w:noWrap/>
            <w:vAlign w:val="center"/>
            <w:hideMark/>
          </w:tcPr>
          <w:p w:rsidR="001449FD" w:rsidRPr="00EB2995" w:rsidRDefault="001449FD" w:rsidP="001449FD">
            <w:pPr>
              <w:jc w:val="right"/>
              <w:rPr>
                <w:rFonts w:cs="Calibri"/>
                <w:color w:val="000000"/>
                <w:lang w:eastAsia="en-GB"/>
              </w:rPr>
            </w:pPr>
            <w:r w:rsidRPr="00EB2995">
              <w:rPr>
                <w:rFonts w:cs="Calibri"/>
                <w:color w:val="000000"/>
                <w:lang w:eastAsia="en-GB"/>
              </w:rPr>
              <w:t>(4.4)</w:t>
            </w:r>
          </w:p>
        </w:tc>
        <w:tc>
          <w:tcPr>
            <w:tcW w:w="1560" w:type="dxa"/>
            <w:tcBorders>
              <w:top w:val="single" w:sz="4" w:space="0" w:color="auto"/>
              <w:left w:val="nil"/>
              <w:bottom w:val="nil"/>
              <w:right w:val="single" w:sz="4" w:space="0" w:color="auto"/>
            </w:tcBorders>
            <w:shd w:val="clear" w:color="auto" w:fill="auto"/>
            <w:noWrap/>
            <w:vAlign w:val="center"/>
            <w:hideMark/>
          </w:tcPr>
          <w:p w:rsidR="001449FD" w:rsidRPr="00EB2995" w:rsidRDefault="001449FD" w:rsidP="001449FD">
            <w:pPr>
              <w:jc w:val="right"/>
              <w:rPr>
                <w:rFonts w:cs="Calibri"/>
                <w:color w:val="000000"/>
                <w:lang w:eastAsia="en-GB"/>
              </w:rPr>
            </w:pPr>
            <w:r w:rsidRPr="00EB2995">
              <w:rPr>
                <w:rFonts w:cs="Calibri"/>
                <w:color w:val="000000"/>
                <w:lang w:eastAsia="en-GB"/>
              </w:rPr>
              <w:t>1.7</w:t>
            </w:r>
          </w:p>
        </w:tc>
        <w:tc>
          <w:tcPr>
            <w:tcW w:w="1569" w:type="dxa"/>
            <w:tcBorders>
              <w:top w:val="single" w:sz="4" w:space="0" w:color="auto"/>
              <w:left w:val="nil"/>
              <w:bottom w:val="nil"/>
              <w:right w:val="single" w:sz="4" w:space="0" w:color="auto"/>
            </w:tcBorders>
            <w:shd w:val="clear" w:color="auto" w:fill="auto"/>
            <w:noWrap/>
            <w:vAlign w:val="center"/>
            <w:hideMark/>
          </w:tcPr>
          <w:p w:rsidR="001449FD" w:rsidRPr="00EB2995" w:rsidRDefault="001449FD" w:rsidP="001449FD">
            <w:pPr>
              <w:jc w:val="right"/>
              <w:rPr>
                <w:rFonts w:cs="Calibri"/>
                <w:color w:val="000000"/>
                <w:lang w:eastAsia="en-GB"/>
              </w:rPr>
            </w:pPr>
            <w:r w:rsidRPr="00EB2995">
              <w:rPr>
                <w:rFonts w:cs="Calibri"/>
                <w:color w:val="000000"/>
                <w:lang w:eastAsia="en-GB"/>
              </w:rPr>
              <w:t>(2.7)</w:t>
            </w:r>
          </w:p>
        </w:tc>
      </w:tr>
      <w:tr w:rsidR="001449FD" w:rsidRPr="00EB2995" w:rsidTr="001449FD">
        <w:trPr>
          <w:trHeight w:val="405"/>
        </w:trPr>
        <w:tc>
          <w:tcPr>
            <w:tcW w:w="2314" w:type="dxa"/>
            <w:gridSpan w:val="2"/>
            <w:tcBorders>
              <w:top w:val="nil"/>
              <w:left w:val="single" w:sz="4" w:space="0" w:color="auto"/>
              <w:bottom w:val="nil"/>
              <w:right w:val="nil"/>
            </w:tcBorders>
            <w:shd w:val="clear" w:color="auto" w:fill="auto"/>
            <w:noWrap/>
            <w:vAlign w:val="bottom"/>
            <w:hideMark/>
          </w:tcPr>
          <w:p w:rsidR="001449FD" w:rsidRPr="00EB2995" w:rsidRDefault="001449FD" w:rsidP="001449FD">
            <w:pPr>
              <w:rPr>
                <w:rFonts w:cs="Calibri"/>
                <w:color w:val="000000"/>
                <w:lang w:eastAsia="en-GB"/>
              </w:rPr>
            </w:pPr>
            <w:r w:rsidRPr="00EB2995">
              <w:rPr>
                <w:rFonts w:cs="Calibri"/>
                <w:color w:val="000000"/>
                <w:lang w:eastAsia="en-GB"/>
              </w:rPr>
              <w:t> </w:t>
            </w:r>
          </w:p>
        </w:tc>
        <w:tc>
          <w:tcPr>
            <w:tcW w:w="2688" w:type="dxa"/>
            <w:tcBorders>
              <w:top w:val="nil"/>
              <w:left w:val="nil"/>
              <w:bottom w:val="nil"/>
              <w:right w:val="nil"/>
            </w:tcBorders>
            <w:shd w:val="clear" w:color="auto" w:fill="auto"/>
            <w:noWrap/>
            <w:vAlign w:val="bottom"/>
            <w:hideMark/>
          </w:tcPr>
          <w:p w:rsidR="001449FD" w:rsidRPr="00EB2995" w:rsidRDefault="001449FD" w:rsidP="001449FD">
            <w:pPr>
              <w:rPr>
                <w:rFonts w:cs="Calibri"/>
                <w:color w:val="000000"/>
                <w:lang w:eastAsia="en-GB"/>
              </w:rPr>
            </w:pPr>
            <w:r w:rsidRPr="00EB2995">
              <w:rPr>
                <w:rFonts w:cs="Calibri"/>
                <w:color w:val="000000"/>
                <w:lang w:eastAsia="en-GB"/>
              </w:rPr>
              <w:t>CYP</w:t>
            </w:r>
          </w:p>
        </w:tc>
        <w:tc>
          <w:tcPr>
            <w:tcW w:w="1298" w:type="dxa"/>
            <w:tcBorders>
              <w:top w:val="nil"/>
              <w:left w:val="single" w:sz="4" w:space="0" w:color="auto"/>
              <w:bottom w:val="nil"/>
              <w:right w:val="single" w:sz="4" w:space="0" w:color="auto"/>
            </w:tcBorders>
            <w:shd w:val="clear" w:color="auto" w:fill="auto"/>
            <w:noWrap/>
            <w:vAlign w:val="center"/>
            <w:hideMark/>
          </w:tcPr>
          <w:p w:rsidR="001449FD" w:rsidRPr="00EB2995" w:rsidRDefault="001449FD" w:rsidP="001449FD">
            <w:pPr>
              <w:jc w:val="right"/>
              <w:rPr>
                <w:rFonts w:cs="Calibri"/>
                <w:color w:val="000000"/>
                <w:lang w:eastAsia="en-GB"/>
              </w:rPr>
            </w:pPr>
            <w:r w:rsidRPr="00EB2995">
              <w:rPr>
                <w:rFonts w:cs="Calibri"/>
                <w:color w:val="000000"/>
                <w:lang w:eastAsia="en-GB"/>
              </w:rPr>
              <w:t>(2.7)</w:t>
            </w:r>
          </w:p>
        </w:tc>
        <w:tc>
          <w:tcPr>
            <w:tcW w:w="1560" w:type="dxa"/>
            <w:tcBorders>
              <w:top w:val="nil"/>
              <w:left w:val="nil"/>
              <w:bottom w:val="nil"/>
              <w:right w:val="single" w:sz="4" w:space="0" w:color="auto"/>
            </w:tcBorders>
            <w:shd w:val="clear" w:color="auto" w:fill="auto"/>
            <w:noWrap/>
            <w:vAlign w:val="center"/>
            <w:hideMark/>
          </w:tcPr>
          <w:p w:rsidR="001449FD" w:rsidRPr="00EB2995" w:rsidRDefault="001449FD" w:rsidP="001449FD">
            <w:pPr>
              <w:jc w:val="right"/>
              <w:rPr>
                <w:rFonts w:cs="Calibri"/>
                <w:color w:val="000000"/>
                <w:lang w:eastAsia="en-GB"/>
              </w:rPr>
            </w:pPr>
            <w:r w:rsidRPr="00EB2995">
              <w:rPr>
                <w:rFonts w:cs="Calibri"/>
                <w:color w:val="000000"/>
                <w:lang w:eastAsia="en-GB"/>
              </w:rPr>
              <w:t>1.6</w:t>
            </w:r>
          </w:p>
        </w:tc>
        <w:tc>
          <w:tcPr>
            <w:tcW w:w="1569" w:type="dxa"/>
            <w:tcBorders>
              <w:top w:val="nil"/>
              <w:left w:val="nil"/>
              <w:bottom w:val="nil"/>
              <w:right w:val="single" w:sz="4" w:space="0" w:color="auto"/>
            </w:tcBorders>
            <w:shd w:val="clear" w:color="auto" w:fill="auto"/>
            <w:noWrap/>
            <w:vAlign w:val="center"/>
            <w:hideMark/>
          </w:tcPr>
          <w:p w:rsidR="001449FD" w:rsidRPr="00EB2995" w:rsidRDefault="001449FD" w:rsidP="001449FD">
            <w:pPr>
              <w:jc w:val="right"/>
              <w:rPr>
                <w:rFonts w:cs="Calibri"/>
                <w:color w:val="000000"/>
                <w:lang w:eastAsia="en-GB"/>
              </w:rPr>
            </w:pPr>
            <w:r w:rsidRPr="00EB2995">
              <w:rPr>
                <w:rFonts w:cs="Calibri"/>
                <w:color w:val="000000"/>
                <w:lang w:eastAsia="en-GB"/>
              </w:rPr>
              <w:t>(1.1)</w:t>
            </w:r>
          </w:p>
        </w:tc>
      </w:tr>
      <w:tr w:rsidR="001449FD" w:rsidRPr="00EB2995" w:rsidTr="001449FD">
        <w:trPr>
          <w:trHeight w:val="300"/>
        </w:trPr>
        <w:tc>
          <w:tcPr>
            <w:tcW w:w="2314" w:type="dxa"/>
            <w:gridSpan w:val="2"/>
            <w:tcBorders>
              <w:top w:val="nil"/>
              <w:left w:val="single" w:sz="4" w:space="0" w:color="auto"/>
              <w:bottom w:val="nil"/>
              <w:right w:val="nil"/>
            </w:tcBorders>
            <w:shd w:val="clear" w:color="auto" w:fill="auto"/>
            <w:noWrap/>
            <w:vAlign w:val="bottom"/>
            <w:hideMark/>
          </w:tcPr>
          <w:p w:rsidR="001449FD" w:rsidRPr="00EB2995" w:rsidRDefault="001449FD" w:rsidP="001449FD">
            <w:pPr>
              <w:rPr>
                <w:rFonts w:cs="Calibri"/>
                <w:color w:val="000000"/>
                <w:lang w:eastAsia="en-GB"/>
              </w:rPr>
            </w:pPr>
            <w:r w:rsidRPr="00EB2995">
              <w:rPr>
                <w:rFonts w:cs="Calibri"/>
                <w:color w:val="000000"/>
                <w:lang w:eastAsia="en-GB"/>
              </w:rPr>
              <w:t> </w:t>
            </w:r>
          </w:p>
        </w:tc>
        <w:tc>
          <w:tcPr>
            <w:tcW w:w="2688" w:type="dxa"/>
            <w:tcBorders>
              <w:top w:val="nil"/>
              <w:left w:val="nil"/>
              <w:bottom w:val="nil"/>
              <w:right w:val="nil"/>
            </w:tcBorders>
            <w:shd w:val="clear" w:color="auto" w:fill="auto"/>
            <w:noWrap/>
            <w:vAlign w:val="bottom"/>
            <w:hideMark/>
          </w:tcPr>
          <w:p w:rsidR="001449FD" w:rsidRPr="00EB2995" w:rsidRDefault="001449FD" w:rsidP="001449FD">
            <w:pPr>
              <w:rPr>
                <w:rFonts w:cs="Calibri"/>
                <w:color w:val="000000"/>
                <w:lang w:eastAsia="en-GB"/>
              </w:rPr>
            </w:pPr>
            <w:r w:rsidRPr="00EB2995">
              <w:rPr>
                <w:rFonts w:cs="Calibri"/>
                <w:color w:val="000000"/>
                <w:lang w:eastAsia="en-GB"/>
              </w:rPr>
              <w:t>R&amp;E</w:t>
            </w:r>
          </w:p>
        </w:tc>
        <w:tc>
          <w:tcPr>
            <w:tcW w:w="1298" w:type="dxa"/>
            <w:tcBorders>
              <w:top w:val="nil"/>
              <w:left w:val="single" w:sz="4" w:space="0" w:color="auto"/>
              <w:bottom w:val="nil"/>
              <w:right w:val="single" w:sz="4" w:space="0" w:color="auto"/>
            </w:tcBorders>
            <w:shd w:val="clear" w:color="auto" w:fill="auto"/>
            <w:noWrap/>
            <w:vAlign w:val="center"/>
            <w:hideMark/>
          </w:tcPr>
          <w:p w:rsidR="001449FD" w:rsidRPr="00EB2995" w:rsidRDefault="001449FD" w:rsidP="001449FD">
            <w:pPr>
              <w:jc w:val="right"/>
              <w:rPr>
                <w:rFonts w:cs="Calibri"/>
                <w:color w:val="000000"/>
                <w:lang w:eastAsia="en-GB"/>
              </w:rPr>
            </w:pPr>
            <w:r w:rsidRPr="00EB2995">
              <w:rPr>
                <w:rFonts w:cs="Calibri"/>
                <w:color w:val="000000"/>
                <w:lang w:eastAsia="en-GB"/>
              </w:rPr>
              <w:t>(6.3)</w:t>
            </w:r>
          </w:p>
        </w:tc>
        <w:tc>
          <w:tcPr>
            <w:tcW w:w="1560" w:type="dxa"/>
            <w:tcBorders>
              <w:top w:val="nil"/>
              <w:left w:val="nil"/>
              <w:bottom w:val="nil"/>
              <w:right w:val="single" w:sz="4" w:space="0" w:color="auto"/>
            </w:tcBorders>
            <w:shd w:val="clear" w:color="auto" w:fill="auto"/>
            <w:noWrap/>
            <w:vAlign w:val="center"/>
            <w:hideMark/>
          </w:tcPr>
          <w:p w:rsidR="001449FD" w:rsidRPr="00EB2995" w:rsidRDefault="001449FD" w:rsidP="001449FD">
            <w:pPr>
              <w:jc w:val="right"/>
              <w:rPr>
                <w:rFonts w:cs="Calibri"/>
                <w:color w:val="000000"/>
                <w:lang w:eastAsia="en-GB"/>
              </w:rPr>
            </w:pPr>
            <w:r w:rsidRPr="00EB2995">
              <w:rPr>
                <w:rFonts w:cs="Calibri"/>
                <w:color w:val="000000"/>
                <w:lang w:eastAsia="en-GB"/>
              </w:rPr>
              <w:t>(0.1)</w:t>
            </w:r>
          </w:p>
        </w:tc>
        <w:tc>
          <w:tcPr>
            <w:tcW w:w="1569" w:type="dxa"/>
            <w:tcBorders>
              <w:top w:val="nil"/>
              <w:left w:val="nil"/>
              <w:bottom w:val="nil"/>
              <w:right w:val="single" w:sz="4" w:space="0" w:color="auto"/>
            </w:tcBorders>
            <w:shd w:val="clear" w:color="auto" w:fill="auto"/>
            <w:noWrap/>
            <w:vAlign w:val="center"/>
            <w:hideMark/>
          </w:tcPr>
          <w:p w:rsidR="001449FD" w:rsidRPr="00EB2995" w:rsidRDefault="001449FD" w:rsidP="001449FD">
            <w:pPr>
              <w:jc w:val="right"/>
              <w:rPr>
                <w:rFonts w:cs="Calibri"/>
                <w:color w:val="000000"/>
                <w:lang w:eastAsia="en-GB"/>
              </w:rPr>
            </w:pPr>
            <w:r w:rsidRPr="00EB2995">
              <w:rPr>
                <w:rFonts w:cs="Calibri"/>
                <w:color w:val="000000"/>
                <w:lang w:eastAsia="en-GB"/>
              </w:rPr>
              <w:t>(6.4)</w:t>
            </w:r>
          </w:p>
        </w:tc>
      </w:tr>
      <w:tr w:rsidR="001449FD" w:rsidRPr="00EB2995" w:rsidTr="001449FD">
        <w:trPr>
          <w:trHeight w:val="300"/>
        </w:trPr>
        <w:tc>
          <w:tcPr>
            <w:tcW w:w="2314" w:type="dxa"/>
            <w:gridSpan w:val="2"/>
            <w:tcBorders>
              <w:top w:val="nil"/>
              <w:left w:val="single" w:sz="4" w:space="0" w:color="auto"/>
              <w:bottom w:val="nil"/>
              <w:right w:val="nil"/>
            </w:tcBorders>
            <w:shd w:val="clear" w:color="auto" w:fill="auto"/>
            <w:noWrap/>
            <w:vAlign w:val="bottom"/>
            <w:hideMark/>
          </w:tcPr>
          <w:p w:rsidR="001449FD" w:rsidRPr="00EB2995" w:rsidRDefault="001449FD" w:rsidP="001449FD">
            <w:pPr>
              <w:rPr>
                <w:rFonts w:cs="Calibri"/>
                <w:color w:val="000000"/>
                <w:lang w:eastAsia="en-GB"/>
              </w:rPr>
            </w:pPr>
            <w:r w:rsidRPr="00EB2995">
              <w:rPr>
                <w:rFonts w:cs="Calibri"/>
                <w:color w:val="000000"/>
                <w:lang w:eastAsia="en-GB"/>
              </w:rPr>
              <w:t> </w:t>
            </w:r>
          </w:p>
        </w:tc>
        <w:tc>
          <w:tcPr>
            <w:tcW w:w="2688" w:type="dxa"/>
            <w:tcBorders>
              <w:top w:val="nil"/>
              <w:left w:val="nil"/>
              <w:bottom w:val="nil"/>
              <w:right w:val="nil"/>
            </w:tcBorders>
            <w:shd w:val="clear" w:color="auto" w:fill="auto"/>
            <w:noWrap/>
            <w:vAlign w:val="bottom"/>
            <w:hideMark/>
          </w:tcPr>
          <w:p w:rsidR="001449FD" w:rsidRPr="00EB2995" w:rsidRDefault="001449FD" w:rsidP="001449FD">
            <w:pPr>
              <w:rPr>
                <w:rFonts w:cs="Calibri"/>
                <w:color w:val="000000"/>
                <w:lang w:eastAsia="en-GB"/>
              </w:rPr>
            </w:pPr>
            <w:r w:rsidRPr="00EB2995">
              <w:rPr>
                <w:rFonts w:cs="Calibri"/>
                <w:color w:val="000000"/>
                <w:lang w:eastAsia="en-GB"/>
              </w:rPr>
              <w:t>CDS</w:t>
            </w:r>
          </w:p>
        </w:tc>
        <w:tc>
          <w:tcPr>
            <w:tcW w:w="1298" w:type="dxa"/>
            <w:tcBorders>
              <w:top w:val="nil"/>
              <w:left w:val="single" w:sz="4" w:space="0" w:color="auto"/>
              <w:bottom w:val="nil"/>
              <w:right w:val="single" w:sz="4" w:space="0" w:color="auto"/>
            </w:tcBorders>
            <w:shd w:val="clear" w:color="auto" w:fill="auto"/>
            <w:noWrap/>
            <w:vAlign w:val="center"/>
            <w:hideMark/>
          </w:tcPr>
          <w:p w:rsidR="001449FD" w:rsidRPr="00EB2995" w:rsidRDefault="001449FD" w:rsidP="001449FD">
            <w:pPr>
              <w:jc w:val="right"/>
              <w:rPr>
                <w:rFonts w:cs="Calibri"/>
                <w:color w:val="000000"/>
                <w:lang w:eastAsia="en-GB"/>
              </w:rPr>
            </w:pPr>
            <w:r w:rsidRPr="00EB2995">
              <w:rPr>
                <w:rFonts w:cs="Calibri"/>
                <w:color w:val="000000"/>
                <w:lang w:eastAsia="en-GB"/>
              </w:rPr>
              <w:t>(1.2)</w:t>
            </w:r>
          </w:p>
        </w:tc>
        <w:tc>
          <w:tcPr>
            <w:tcW w:w="1560" w:type="dxa"/>
            <w:tcBorders>
              <w:top w:val="nil"/>
              <w:left w:val="nil"/>
              <w:bottom w:val="nil"/>
              <w:right w:val="single" w:sz="4" w:space="0" w:color="auto"/>
            </w:tcBorders>
            <w:shd w:val="clear" w:color="auto" w:fill="auto"/>
            <w:noWrap/>
            <w:vAlign w:val="center"/>
            <w:hideMark/>
          </w:tcPr>
          <w:p w:rsidR="001449FD" w:rsidRPr="00EB2995" w:rsidRDefault="001449FD" w:rsidP="001449FD">
            <w:pPr>
              <w:jc w:val="right"/>
              <w:rPr>
                <w:rFonts w:cs="Calibri"/>
                <w:color w:val="000000"/>
                <w:lang w:eastAsia="en-GB"/>
              </w:rPr>
            </w:pPr>
            <w:r w:rsidRPr="00EB2995">
              <w:rPr>
                <w:rFonts w:cs="Calibri"/>
                <w:color w:val="000000"/>
                <w:lang w:eastAsia="en-GB"/>
              </w:rPr>
              <w:t>(0.1)</w:t>
            </w:r>
          </w:p>
        </w:tc>
        <w:tc>
          <w:tcPr>
            <w:tcW w:w="1569" w:type="dxa"/>
            <w:tcBorders>
              <w:top w:val="nil"/>
              <w:left w:val="nil"/>
              <w:bottom w:val="nil"/>
              <w:right w:val="single" w:sz="4" w:space="0" w:color="auto"/>
            </w:tcBorders>
            <w:shd w:val="clear" w:color="auto" w:fill="auto"/>
            <w:noWrap/>
            <w:vAlign w:val="center"/>
            <w:hideMark/>
          </w:tcPr>
          <w:p w:rsidR="001449FD" w:rsidRPr="00EB2995" w:rsidRDefault="001449FD" w:rsidP="001449FD">
            <w:pPr>
              <w:jc w:val="right"/>
              <w:rPr>
                <w:rFonts w:cs="Calibri"/>
                <w:color w:val="000000"/>
                <w:lang w:eastAsia="en-GB"/>
              </w:rPr>
            </w:pPr>
            <w:r w:rsidRPr="00EB2995">
              <w:rPr>
                <w:rFonts w:cs="Calibri"/>
                <w:color w:val="000000"/>
                <w:lang w:eastAsia="en-GB"/>
              </w:rPr>
              <w:t>(1.3)</w:t>
            </w:r>
          </w:p>
        </w:tc>
      </w:tr>
      <w:tr w:rsidR="001449FD" w:rsidRPr="00EB2995" w:rsidTr="001449FD">
        <w:trPr>
          <w:trHeight w:val="300"/>
        </w:trPr>
        <w:tc>
          <w:tcPr>
            <w:tcW w:w="2314" w:type="dxa"/>
            <w:gridSpan w:val="2"/>
            <w:tcBorders>
              <w:top w:val="nil"/>
              <w:left w:val="single" w:sz="4" w:space="0" w:color="auto"/>
              <w:bottom w:val="nil"/>
              <w:right w:val="nil"/>
            </w:tcBorders>
            <w:shd w:val="clear" w:color="auto" w:fill="auto"/>
            <w:noWrap/>
            <w:vAlign w:val="bottom"/>
            <w:hideMark/>
          </w:tcPr>
          <w:p w:rsidR="001449FD" w:rsidRPr="00EB2995" w:rsidRDefault="001449FD" w:rsidP="001449FD">
            <w:pPr>
              <w:rPr>
                <w:rFonts w:cs="Calibri"/>
                <w:color w:val="000000"/>
                <w:lang w:eastAsia="en-GB"/>
              </w:rPr>
            </w:pPr>
            <w:r w:rsidRPr="00EB2995">
              <w:rPr>
                <w:rFonts w:cs="Calibri"/>
                <w:color w:val="000000"/>
                <w:lang w:eastAsia="en-GB"/>
              </w:rPr>
              <w:t> </w:t>
            </w:r>
          </w:p>
        </w:tc>
        <w:tc>
          <w:tcPr>
            <w:tcW w:w="2688" w:type="dxa"/>
            <w:tcBorders>
              <w:top w:val="nil"/>
              <w:left w:val="nil"/>
              <w:bottom w:val="nil"/>
              <w:right w:val="nil"/>
            </w:tcBorders>
            <w:shd w:val="clear" w:color="auto" w:fill="auto"/>
            <w:noWrap/>
            <w:vAlign w:val="bottom"/>
            <w:hideMark/>
          </w:tcPr>
          <w:p w:rsidR="001449FD" w:rsidRPr="00EB2995" w:rsidRDefault="001449FD" w:rsidP="001449FD">
            <w:pPr>
              <w:rPr>
                <w:rFonts w:cs="Calibri"/>
                <w:color w:val="000000"/>
                <w:lang w:eastAsia="en-GB"/>
              </w:rPr>
            </w:pPr>
            <w:r w:rsidRPr="00EB2995">
              <w:rPr>
                <w:rFonts w:cs="Calibri"/>
                <w:color w:val="000000"/>
                <w:lang w:eastAsia="en-GB"/>
              </w:rPr>
              <w:t>ACE</w:t>
            </w:r>
          </w:p>
        </w:tc>
        <w:tc>
          <w:tcPr>
            <w:tcW w:w="1298" w:type="dxa"/>
            <w:tcBorders>
              <w:top w:val="nil"/>
              <w:left w:val="single" w:sz="4" w:space="0" w:color="auto"/>
              <w:bottom w:val="nil"/>
              <w:right w:val="single" w:sz="4" w:space="0" w:color="auto"/>
            </w:tcBorders>
            <w:shd w:val="clear" w:color="auto" w:fill="auto"/>
            <w:noWrap/>
            <w:vAlign w:val="center"/>
            <w:hideMark/>
          </w:tcPr>
          <w:p w:rsidR="001449FD" w:rsidRPr="00EB2995" w:rsidRDefault="001449FD" w:rsidP="001449FD">
            <w:pPr>
              <w:jc w:val="right"/>
              <w:rPr>
                <w:rFonts w:cs="Calibri"/>
                <w:color w:val="000000"/>
                <w:lang w:eastAsia="en-GB"/>
              </w:rPr>
            </w:pPr>
            <w:r w:rsidRPr="00EB2995">
              <w:rPr>
                <w:rFonts w:cs="Calibri"/>
                <w:color w:val="000000"/>
                <w:lang w:eastAsia="en-GB"/>
              </w:rPr>
              <w:t>(0.6)</w:t>
            </w:r>
          </w:p>
        </w:tc>
        <w:tc>
          <w:tcPr>
            <w:tcW w:w="1560" w:type="dxa"/>
            <w:tcBorders>
              <w:top w:val="nil"/>
              <w:left w:val="nil"/>
              <w:bottom w:val="nil"/>
              <w:right w:val="single" w:sz="4" w:space="0" w:color="auto"/>
            </w:tcBorders>
            <w:shd w:val="clear" w:color="auto" w:fill="auto"/>
            <w:noWrap/>
            <w:vAlign w:val="center"/>
            <w:hideMark/>
          </w:tcPr>
          <w:p w:rsidR="001449FD" w:rsidRPr="00EB2995" w:rsidRDefault="001449FD" w:rsidP="001449FD">
            <w:pPr>
              <w:jc w:val="right"/>
              <w:rPr>
                <w:rFonts w:cs="Calibri"/>
                <w:color w:val="000000"/>
                <w:lang w:eastAsia="en-GB"/>
              </w:rPr>
            </w:pPr>
            <w:r w:rsidRPr="00EB2995">
              <w:rPr>
                <w:rFonts w:cs="Calibri"/>
                <w:color w:val="000000"/>
                <w:lang w:eastAsia="en-GB"/>
              </w:rPr>
              <w:t>0.0</w:t>
            </w:r>
          </w:p>
        </w:tc>
        <w:tc>
          <w:tcPr>
            <w:tcW w:w="1569" w:type="dxa"/>
            <w:tcBorders>
              <w:top w:val="nil"/>
              <w:left w:val="nil"/>
              <w:bottom w:val="nil"/>
              <w:right w:val="single" w:sz="4" w:space="0" w:color="auto"/>
            </w:tcBorders>
            <w:shd w:val="clear" w:color="auto" w:fill="auto"/>
            <w:noWrap/>
            <w:vAlign w:val="center"/>
            <w:hideMark/>
          </w:tcPr>
          <w:p w:rsidR="001449FD" w:rsidRPr="00EB2995" w:rsidRDefault="001449FD" w:rsidP="001449FD">
            <w:pPr>
              <w:jc w:val="right"/>
              <w:rPr>
                <w:rFonts w:cs="Calibri"/>
                <w:color w:val="000000"/>
                <w:lang w:eastAsia="en-GB"/>
              </w:rPr>
            </w:pPr>
            <w:r w:rsidRPr="00EB2995">
              <w:rPr>
                <w:rFonts w:cs="Calibri"/>
                <w:color w:val="000000"/>
                <w:lang w:eastAsia="en-GB"/>
              </w:rPr>
              <w:t>(0.6)</w:t>
            </w:r>
          </w:p>
        </w:tc>
      </w:tr>
      <w:tr w:rsidR="001449FD" w:rsidRPr="00EB2995" w:rsidTr="001449FD">
        <w:trPr>
          <w:trHeight w:val="300"/>
        </w:trPr>
        <w:tc>
          <w:tcPr>
            <w:tcW w:w="2314" w:type="dxa"/>
            <w:gridSpan w:val="2"/>
            <w:tcBorders>
              <w:top w:val="nil"/>
              <w:left w:val="single" w:sz="4" w:space="0" w:color="auto"/>
              <w:bottom w:val="single" w:sz="4" w:space="0" w:color="auto"/>
              <w:right w:val="nil"/>
            </w:tcBorders>
            <w:shd w:val="clear" w:color="auto" w:fill="auto"/>
            <w:noWrap/>
            <w:vAlign w:val="bottom"/>
            <w:hideMark/>
          </w:tcPr>
          <w:p w:rsidR="001449FD" w:rsidRPr="00EB2995" w:rsidRDefault="001449FD" w:rsidP="001449FD">
            <w:pPr>
              <w:rPr>
                <w:rFonts w:cs="Calibri"/>
                <w:i/>
                <w:iCs/>
                <w:color w:val="000000"/>
                <w:lang w:eastAsia="en-GB"/>
              </w:rPr>
            </w:pPr>
            <w:r w:rsidRPr="00EB2995">
              <w:rPr>
                <w:rFonts w:cs="Calibri"/>
                <w:i/>
                <w:iCs/>
                <w:color w:val="000000"/>
                <w:lang w:eastAsia="en-GB"/>
              </w:rPr>
              <w:t> </w:t>
            </w:r>
          </w:p>
        </w:tc>
        <w:tc>
          <w:tcPr>
            <w:tcW w:w="2688" w:type="dxa"/>
            <w:tcBorders>
              <w:top w:val="nil"/>
              <w:left w:val="nil"/>
              <w:bottom w:val="single" w:sz="4" w:space="0" w:color="auto"/>
              <w:right w:val="nil"/>
            </w:tcBorders>
            <w:shd w:val="clear" w:color="auto" w:fill="auto"/>
            <w:noWrap/>
            <w:vAlign w:val="bottom"/>
            <w:hideMark/>
          </w:tcPr>
          <w:p w:rsidR="001449FD" w:rsidRPr="00EB2995" w:rsidRDefault="001449FD" w:rsidP="001449FD">
            <w:pPr>
              <w:rPr>
                <w:rFonts w:cs="Calibri"/>
                <w:color w:val="000000"/>
                <w:lang w:eastAsia="en-GB"/>
              </w:rPr>
            </w:pPr>
            <w:r w:rsidRPr="00EB2995">
              <w:rPr>
                <w:rFonts w:cs="Calibri"/>
                <w:color w:val="000000"/>
                <w:lang w:eastAsia="en-GB"/>
              </w:rPr>
              <w:t>LHRAI</w:t>
            </w:r>
          </w:p>
        </w:tc>
        <w:tc>
          <w:tcPr>
            <w:tcW w:w="1298" w:type="dxa"/>
            <w:tcBorders>
              <w:top w:val="nil"/>
              <w:left w:val="single" w:sz="4" w:space="0" w:color="auto"/>
              <w:bottom w:val="single" w:sz="4" w:space="0" w:color="auto"/>
              <w:right w:val="single" w:sz="4" w:space="0" w:color="auto"/>
            </w:tcBorders>
            <w:shd w:val="clear" w:color="auto" w:fill="auto"/>
            <w:noWrap/>
            <w:vAlign w:val="center"/>
            <w:hideMark/>
          </w:tcPr>
          <w:p w:rsidR="001449FD" w:rsidRPr="00EB2995" w:rsidRDefault="001449FD" w:rsidP="001449FD">
            <w:pPr>
              <w:jc w:val="right"/>
              <w:rPr>
                <w:rFonts w:cs="Calibri"/>
                <w:color w:val="000000"/>
                <w:lang w:eastAsia="en-GB"/>
              </w:rPr>
            </w:pPr>
            <w:r w:rsidRPr="00EB2995">
              <w:rPr>
                <w:rFonts w:cs="Calibri"/>
                <w:color w:val="000000"/>
                <w:lang w:eastAsia="en-GB"/>
              </w:rPr>
              <w:t>(0.7)</w:t>
            </w:r>
          </w:p>
        </w:tc>
        <w:tc>
          <w:tcPr>
            <w:tcW w:w="1560" w:type="dxa"/>
            <w:tcBorders>
              <w:top w:val="nil"/>
              <w:left w:val="nil"/>
              <w:bottom w:val="single" w:sz="4" w:space="0" w:color="auto"/>
              <w:right w:val="single" w:sz="4" w:space="0" w:color="auto"/>
            </w:tcBorders>
            <w:shd w:val="clear" w:color="auto" w:fill="auto"/>
            <w:noWrap/>
            <w:vAlign w:val="center"/>
            <w:hideMark/>
          </w:tcPr>
          <w:p w:rsidR="001449FD" w:rsidRPr="00EB2995" w:rsidRDefault="001449FD" w:rsidP="001449FD">
            <w:pPr>
              <w:jc w:val="right"/>
              <w:rPr>
                <w:rFonts w:cs="Calibri"/>
                <w:color w:val="000000"/>
                <w:lang w:eastAsia="en-GB"/>
              </w:rPr>
            </w:pPr>
            <w:r w:rsidRPr="00EB2995">
              <w:rPr>
                <w:rFonts w:cs="Calibri"/>
                <w:color w:val="000000"/>
                <w:lang w:eastAsia="en-GB"/>
              </w:rPr>
              <w:t>(0.1)</w:t>
            </w:r>
          </w:p>
        </w:tc>
        <w:tc>
          <w:tcPr>
            <w:tcW w:w="1569" w:type="dxa"/>
            <w:tcBorders>
              <w:top w:val="nil"/>
              <w:left w:val="nil"/>
              <w:bottom w:val="single" w:sz="4" w:space="0" w:color="auto"/>
              <w:right w:val="single" w:sz="4" w:space="0" w:color="auto"/>
            </w:tcBorders>
            <w:shd w:val="clear" w:color="auto" w:fill="auto"/>
            <w:noWrap/>
            <w:vAlign w:val="center"/>
            <w:hideMark/>
          </w:tcPr>
          <w:p w:rsidR="001449FD" w:rsidRPr="00EB2995" w:rsidRDefault="001449FD" w:rsidP="001449FD">
            <w:pPr>
              <w:jc w:val="right"/>
              <w:rPr>
                <w:rFonts w:cs="Calibri"/>
                <w:color w:val="000000"/>
                <w:lang w:eastAsia="en-GB"/>
              </w:rPr>
            </w:pPr>
            <w:r w:rsidRPr="00EB2995">
              <w:rPr>
                <w:rFonts w:cs="Calibri"/>
                <w:color w:val="000000"/>
                <w:lang w:eastAsia="en-GB"/>
              </w:rPr>
              <w:t>(0.8)</w:t>
            </w:r>
          </w:p>
        </w:tc>
      </w:tr>
      <w:tr w:rsidR="001449FD" w:rsidRPr="00EB2995" w:rsidTr="001449FD">
        <w:trPr>
          <w:trHeight w:val="300"/>
        </w:trPr>
        <w:tc>
          <w:tcPr>
            <w:tcW w:w="2314" w:type="dxa"/>
            <w:gridSpan w:val="2"/>
            <w:tcBorders>
              <w:top w:val="nil"/>
              <w:left w:val="single" w:sz="4" w:space="0" w:color="auto"/>
              <w:bottom w:val="single" w:sz="4" w:space="0" w:color="auto"/>
              <w:right w:val="nil"/>
            </w:tcBorders>
            <w:shd w:val="clear" w:color="auto" w:fill="auto"/>
            <w:noWrap/>
            <w:vAlign w:val="bottom"/>
            <w:hideMark/>
          </w:tcPr>
          <w:p w:rsidR="001449FD" w:rsidRPr="00EB2995" w:rsidRDefault="001449FD" w:rsidP="001449FD">
            <w:pPr>
              <w:rPr>
                <w:rFonts w:cs="Calibri"/>
                <w:color w:val="000000"/>
                <w:lang w:eastAsia="en-GB"/>
              </w:rPr>
            </w:pPr>
            <w:r w:rsidRPr="00EB2995">
              <w:rPr>
                <w:rFonts w:cs="Calibri"/>
                <w:color w:val="000000"/>
                <w:lang w:eastAsia="en-GB"/>
              </w:rPr>
              <w:t> </w:t>
            </w:r>
          </w:p>
        </w:tc>
        <w:tc>
          <w:tcPr>
            <w:tcW w:w="2688" w:type="dxa"/>
            <w:tcBorders>
              <w:top w:val="nil"/>
              <w:left w:val="nil"/>
              <w:bottom w:val="single" w:sz="4" w:space="0" w:color="auto"/>
              <w:right w:val="nil"/>
            </w:tcBorders>
            <w:shd w:val="clear" w:color="auto" w:fill="auto"/>
            <w:noWrap/>
            <w:vAlign w:val="bottom"/>
            <w:hideMark/>
          </w:tcPr>
          <w:p w:rsidR="001449FD" w:rsidRPr="00EB2995" w:rsidRDefault="001449FD" w:rsidP="001449FD">
            <w:pPr>
              <w:rPr>
                <w:rFonts w:cs="Calibri"/>
                <w:b/>
                <w:bCs/>
                <w:color w:val="000000"/>
                <w:lang w:eastAsia="en-GB"/>
              </w:rPr>
            </w:pPr>
            <w:r w:rsidRPr="00EB2995">
              <w:rPr>
                <w:rFonts w:cs="Calibri"/>
                <w:b/>
                <w:bCs/>
                <w:color w:val="000000"/>
                <w:lang w:eastAsia="en-GB"/>
              </w:rPr>
              <w:t>Total</w:t>
            </w:r>
          </w:p>
        </w:tc>
        <w:tc>
          <w:tcPr>
            <w:tcW w:w="1298" w:type="dxa"/>
            <w:tcBorders>
              <w:top w:val="nil"/>
              <w:left w:val="single" w:sz="4" w:space="0" w:color="auto"/>
              <w:bottom w:val="single" w:sz="4" w:space="0" w:color="auto"/>
              <w:right w:val="single" w:sz="4" w:space="0" w:color="auto"/>
            </w:tcBorders>
            <w:shd w:val="clear" w:color="auto" w:fill="auto"/>
            <w:noWrap/>
            <w:vAlign w:val="center"/>
            <w:hideMark/>
          </w:tcPr>
          <w:p w:rsidR="001449FD" w:rsidRPr="00EB2995" w:rsidRDefault="001449FD" w:rsidP="001449FD">
            <w:pPr>
              <w:jc w:val="right"/>
              <w:rPr>
                <w:rFonts w:cs="Calibri"/>
                <w:b/>
                <w:bCs/>
                <w:color w:val="000000"/>
                <w:lang w:eastAsia="en-GB"/>
              </w:rPr>
            </w:pPr>
            <w:r w:rsidRPr="00EB2995">
              <w:rPr>
                <w:rFonts w:cs="Calibri"/>
                <w:b/>
                <w:bCs/>
                <w:color w:val="000000"/>
                <w:lang w:eastAsia="en-GB"/>
              </w:rPr>
              <w:t>(15.9)</w:t>
            </w:r>
          </w:p>
        </w:tc>
        <w:tc>
          <w:tcPr>
            <w:tcW w:w="1560" w:type="dxa"/>
            <w:tcBorders>
              <w:top w:val="nil"/>
              <w:left w:val="nil"/>
              <w:bottom w:val="single" w:sz="4" w:space="0" w:color="auto"/>
              <w:right w:val="single" w:sz="4" w:space="0" w:color="auto"/>
            </w:tcBorders>
            <w:shd w:val="clear" w:color="auto" w:fill="auto"/>
            <w:noWrap/>
            <w:vAlign w:val="center"/>
            <w:hideMark/>
          </w:tcPr>
          <w:p w:rsidR="001449FD" w:rsidRPr="00EB2995" w:rsidRDefault="001449FD" w:rsidP="001449FD">
            <w:pPr>
              <w:jc w:val="right"/>
              <w:rPr>
                <w:rFonts w:cs="Calibri"/>
                <w:b/>
                <w:bCs/>
                <w:color w:val="000000"/>
                <w:lang w:eastAsia="en-GB"/>
              </w:rPr>
            </w:pPr>
            <w:r w:rsidRPr="00EB2995">
              <w:rPr>
                <w:rFonts w:cs="Calibri"/>
                <w:b/>
                <w:bCs/>
                <w:color w:val="000000"/>
                <w:lang w:eastAsia="en-GB"/>
              </w:rPr>
              <w:t>3.0</w:t>
            </w:r>
          </w:p>
        </w:tc>
        <w:tc>
          <w:tcPr>
            <w:tcW w:w="1569" w:type="dxa"/>
            <w:tcBorders>
              <w:top w:val="nil"/>
              <w:left w:val="nil"/>
              <w:bottom w:val="single" w:sz="4" w:space="0" w:color="auto"/>
              <w:right w:val="single" w:sz="4" w:space="0" w:color="auto"/>
            </w:tcBorders>
            <w:shd w:val="clear" w:color="auto" w:fill="auto"/>
            <w:noWrap/>
            <w:vAlign w:val="center"/>
            <w:hideMark/>
          </w:tcPr>
          <w:p w:rsidR="001449FD" w:rsidRPr="00EB2995" w:rsidRDefault="001449FD" w:rsidP="001449FD">
            <w:pPr>
              <w:jc w:val="right"/>
              <w:rPr>
                <w:rFonts w:cs="Calibri"/>
                <w:b/>
                <w:bCs/>
                <w:color w:val="000000"/>
                <w:lang w:eastAsia="en-GB"/>
              </w:rPr>
            </w:pPr>
            <w:r w:rsidRPr="00EB2995">
              <w:rPr>
                <w:rFonts w:cs="Calibri"/>
                <w:b/>
                <w:bCs/>
                <w:color w:val="000000"/>
                <w:lang w:eastAsia="en-GB"/>
              </w:rPr>
              <w:t>(12.9)</w:t>
            </w:r>
          </w:p>
        </w:tc>
      </w:tr>
      <w:tr w:rsidR="001449FD" w:rsidRPr="00EB2995" w:rsidTr="001449FD">
        <w:trPr>
          <w:trHeight w:val="300"/>
        </w:trPr>
        <w:tc>
          <w:tcPr>
            <w:tcW w:w="2314" w:type="dxa"/>
            <w:gridSpan w:val="2"/>
            <w:vMerge w:val="restart"/>
            <w:tcBorders>
              <w:top w:val="nil"/>
              <w:left w:val="single" w:sz="4" w:space="0" w:color="auto"/>
              <w:bottom w:val="nil"/>
              <w:right w:val="nil"/>
            </w:tcBorders>
            <w:shd w:val="clear" w:color="auto" w:fill="auto"/>
            <w:vAlign w:val="bottom"/>
            <w:hideMark/>
          </w:tcPr>
          <w:p w:rsidR="001449FD" w:rsidRPr="00EB2995" w:rsidRDefault="001449FD" w:rsidP="001449FD">
            <w:pPr>
              <w:rPr>
                <w:rFonts w:cs="Calibri"/>
                <w:color w:val="000000"/>
                <w:lang w:eastAsia="en-GB"/>
              </w:rPr>
            </w:pPr>
            <w:r w:rsidRPr="00EB2995">
              <w:rPr>
                <w:rFonts w:cs="Calibri"/>
                <w:color w:val="000000"/>
                <w:lang w:eastAsia="en-GB"/>
              </w:rPr>
              <w:t>Transformation/service pressures reserves</w:t>
            </w:r>
          </w:p>
        </w:tc>
        <w:tc>
          <w:tcPr>
            <w:tcW w:w="2688" w:type="dxa"/>
            <w:tcBorders>
              <w:top w:val="nil"/>
              <w:left w:val="nil"/>
              <w:bottom w:val="nil"/>
              <w:right w:val="nil"/>
            </w:tcBorders>
            <w:shd w:val="clear" w:color="auto" w:fill="auto"/>
            <w:noWrap/>
            <w:vAlign w:val="bottom"/>
            <w:hideMark/>
          </w:tcPr>
          <w:p w:rsidR="001449FD" w:rsidRPr="00EB2995" w:rsidRDefault="001449FD" w:rsidP="001449FD">
            <w:pPr>
              <w:rPr>
                <w:rFonts w:cs="Calibri"/>
                <w:color w:val="000000"/>
                <w:lang w:eastAsia="en-GB"/>
              </w:rPr>
            </w:pPr>
            <w:r w:rsidRPr="00EB2995">
              <w:rPr>
                <w:rFonts w:cs="Calibri"/>
                <w:color w:val="000000"/>
                <w:lang w:eastAsia="en-GB"/>
              </w:rPr>
              <w:t>Service pressures</w:t>
            </w:r>
          </w:p>
        </w:tc>
        <w:tc>
          <w:tcPr>
            <w:tcW w:w="1298" w:type="dxa"/>
            <w:tcBorders>
              <w:top w:val="nil"/>
              <w:left w:val="single" w:sz="4" w:space="0" w:color="auto"/>
              <w:bottom w:val="nil"/>
              <w:right w:val="single" w:sz="4" w:space="0" w:color="auto"/>
            </w:tcBorders>
            <w:shd w:val="clear" w:color="auto" w:fill="auto"/>
            <w:noWrap/>
            <w:vAlign w:val="center"/>
            <w:hideMark/>
          </w:tcPr>
          <w:p w:rsidR="001449FD" w:rsidRPr="00EB2995" w:rsidRDefault="001449FD" w:rsidP="001449FD">
            <w:pPr>
              <w:jc w:val="right"/>
              <w:rPr>
                <w:rFonts w:cs="Calibri"/>
                <w:color w:val="000000"/>
                <w:lang w:eastAsia="en-GB"/>
              </w:rPr>
            </w:pPr>
            <w:r w:rsidRPr="00EB2995">
              <w:rPr>
                <w:rFonts w:cs="Calibri"/>
                <w:color w:val="000000"/>
                <w:lang w:eastAsia="en-GB"/>
              </w:rPr>
              <w:t>(2.0)</w:t>
            </w:r>
          </w:p>
        </w:tc>
        <w:tc>
          <w:tcPr>
            <w:tcW w:w="1560" w:type="dxa"/>
            <w:tcBorders>
              <w:top w:val="nil"/>
              <w:left w:val="nil"/>
              <w:bottom w:val="nil"/>
              <w:right w:val="single" w:sz="4" w:space="0" w:color="auto"/>
            </w:tcBorders>
            <w:shd w:val="clear" w:color="auto" w:fill="auto"/>
            <w:noWrap/>
            <w:vAlign w:val="center"/>
            <w:hideMark/>
          </w:tcPr>
          <w:p w:rsidR="001449FD" w:rsidRPr="00EB2995" w:rsidRDefault="001449FD" w:rsidP="001449FD">
            <w:pPr>
              <w:jc w:val="right"/>
              <w:rPr>
                <w:rFonts w:cs="Calibri"/>
                <w:color w:val="000000"/>
                <w:lang w:eastAsia="en-GB"/>
              </w:rPr>
            </w:pPr>
            <w:r w:rsidRPr="00EB2995">
              <w:rPr>
                <w:rFonts w:cs="Calibri"/>
                <w:color w:val="000000"/>
                <w:lang w:eastAsia="en-GB"/>
              </w:rPr>
              <w:t>0.0</w:t>
            </w:r>
          </w:p>
        </w:tc>
        <w:tc>
          <w:tcPr>
            <w:tcW w:w="1569" w:type="dxa"/>
            <w:tcBorders>
              <w:top w:val="nil"/>
              <w:left w:val="nil"/>
              <w:bottom w:val="nil"/>
              <w:right w:val="single" w:sz="4" w:space="0" w:color="auto"/>
            </w:tcBorders>
            <w:shd w:val="clear" w:color="auto" w:fill="auto"/>
            <w:noWrap/>
            <w:vAlign w:val="center"/>
            <w:hideMark/>
          </w:tcPr>
          <w:p w:rsidR="001449FD" w:rsidRPr="00EB2995" w:rsidRDefault="001449FD" w:rsidP="001449FD">
            <w:pPr>
              <w:jc w:val="right"/>
              <w:rPr>
                <w:rFonts w:cs="Calibri"/>
                <w:color w:val="000000"/>
                <w:lang w:eastAsia="en-GB"/>
              </w:rPr>
            </w:pPr>
            <w:r w:rsidRPr="00EB2995">
              <w:rPr>
                <w:rFonts w:cs="Calibri"/>
                <w:color w:val="000000"/>
                <w:lang w:eastAsia="en-GB"/>
              </w:rPr>
              <w:t>(2.0)</w:t>
            </w:r>
          </w:p>
        </w:tc>
      </w:tr>
      <w:tr w:rsidR="001449FD" w:rsidRPr="00EB2995" w:rsidTr="001449FD">
        <w:trPr>
          <w:trHeight w:val="300"/>
        </w:trPr>
        <w:tc>
          <w:tcPr>
            <w:tcW w:w="2314" w:type="dxa"/>
            <w:gridSpan w:val="2"/>
            <w:vMerge/>
            <w:tcBorders>
              <w:top w:val="nil"/>
              <w:left w:val="single" w:sz="4" w:space="0" w:color="auto"/>
              <w:bottom w:val="nil"/>
              <w:right w:val="nil"/>
            </w:tcBorders>
            <w:vAlign w:val="center"/>
            <w:hideMark/>
          </w:tcPr>
          <w:p w:rsidR="001449FD" w:rsidRPr="00EB2995" w:rsidRDefault="001449FD" w:rsidP="001449FD">
            <w:pPr>
              <w:rPr>
                <w:rFonts w:cs="Calibri"/>
                <w:color w:val="000000"/>
                <w:lang w:eastAsia="en-GB"/>
              </w:rPr>
            </w:pPr>
          </w:p>
        </w:tc>
        <w:tc>
          <w:tcPr>
            <w:tcW w:w="2688" w:type="dxa"/>
            <w:tcBorders>
              <w:top w:val="nil"/>
              <w:left w:val="nil"/>
              <w:bottom w:val="nil"/>
              <w:right w:val="nil"/>
            </w:tcBorders>
            <w:shd w:val="clear" w:color="auto" w:fill="auto"/>
            <w:noWrap/>
            <w:vAlign w:val="bottom"/>
            <w:hideMark/>
          </w:tcPr>
          <w:p w:rsidR="001449FD" w:rsidRPr="00EB2995" w:rsidRDefault="001449FD" w:rsidP="001449FD">
            <w:pPr>
              <w:rPr>
                <w:rFonts w:cs="Calibri"/>
                <w:color w:val="000000"/>
                <w:lang w:eastAsia="en-GB"/>
              </w:rPr>
            </w:pPr>
            <w:r w:rsidRPr="00EB2995">
              <w:rPr>
                <w:rFonts w:cs="Calibri"/>
                <w:color w:val="000000"/>
                <w:lang w:eastAsia="en-GB"/>
              </w:rPr>
              <w:t>Future funding risks</w:t>
            </w:r>
          </w:p>
        </w:tc>
        <w:tc>
          <w:tcPr>
            <w:tcW w:w="1298" w:type="dxa"/>
            <w:tcBorders>
              <w:top w:val="nil"/>
              <w:left w:val="single" w:sz="4" w:space="0" w:color="auto"/>
              <w:bottom w:val="nil"/>
              <w:right w:val="single" w:sz="4" w:space="0" w:color="auto"/>
            </w:tcBorders>
            <w:shd w:val="clear" w:color="auto" w:fill="auto"/>
            <w:noWrap/>
            <w:vAlign w:val="center"/>
            <w:hideMark/>
          </w:tcPr>
          <w:p w:rsidR="001449FD" w:rsidRPr="00EB2995" w:rsidRDefault="001449FD" w:rsidP="001449FD">
            <w:pPr>
              <w:jc w:val="right"/>
              <w:rPr>
                <w:rFonts w:cs="Calibri"/>
                <w:color w:val="000000"/>
                <w:lang w:eastAsia="en-GB"/>
              </w:rPr>
            </w:pPr>
            <w:r w:rsidRPr="00EB2995">
              <w:rPr>
                <w:rFonts w:cs="Calibri"/>
                <w:color w:val="000000"/>
                <w:lang w:eastAsia="en-GB"/>
              </w:rPr>
              <w:t>(5.1)</w:t>
            </w:r>
          </w:p>
        </w:tc>
        <w:tc>
          <w:tcPr>
            <w:tcW w:w="1560" w:type="dxa"/>
            <w:tcBorders>
              <w:top w:val="nil"/>
              <w:left w:val="nil"/>
              <w:bottom w:val="nil"/>
              <w:right w:val="single" w:sz="4" w:space="0" w:color="auto"/>
            </w:tcBorders>
            <w:shd w:val="clear" w:color="auto" w:fill="auto"/>
            <w:noWrap/>
            <w:vAlign w:val="center"/>
            <w:hideMark/>
          </w:tcPr>
          <w:p w:rsidR="001449FD" w:rsidRPr="00EB2995" w:rsidRDefault="001449FD" w:rsidP="001449FD">
            <w:pPr>
              <w:jc w:val="right"/>
              <w:rPr>
                <w:rFonts w:cs="Calibri"/>
                <w:color w:val="000000"/>
                <w:lang w:eastAsia="en-GB"/>
              </w:rPr>
            </w:pPr>
            <w:r w:rsidRPr="00EB2995">
              <w:rPr>
                <w:rFonts w:cs="Calibri"/>
                <w:color w:val="000000"/>
                <w:lang w:eastAsia="en-GB"/>
              </w:rPr>
              <w:t>(13.4)</w:t>
            </w:r>
          </w:p>
        </w:tc>
        <w:tc>
          <w:tcPr>
            <w:tcW w:w="1569" w:type="dxa"/>
            <w:tcBorders>
              <w:top w:val="nil"/>
              <w:left w:val="nil"/>
              <w:bottom w:val="nil"/>
              <w:right w:val="single" w:sz="4" w:space="0" w:color="auto"/>
            </w:tcBorders>
            <w:shd w:val="clear" w:color="auto" w:fill="auto"/>
            <w:noWrap/>
            <w:vAlign w:val="center"/>
            <w:hideMark/>
          </w:tcPr>
          <w:p w:rsidR="001449FD" w:rsidRPr="00EB2995" w:rsidRDefault="001449FD" w:rsidP="001449FD">
            <w:pPr>
              <w:jc w:val="right"/>
              <w:rPr>
                <w:rFonts w:cs="Calibri"/>
                <w:color w:val="000000"/>
                <w:lang w:eastAsia="en-GB"/>
              </w:rPr>
            </w:pPr>
            <w:r w:rsidRPr="00EB2995">
              <w:rPr>
                <w:rFonts w:cs="Calibri"/>
                <w:color w:val="000000"/>
                <w:lang w:eastAsia="en-GB"/>
              </w:rPr>
              <w:t>(18.5)</w:t>
            </w:r>
          </w:p>
        </w:tc>
      </w:tr>
      <w:tr w:rsidR="001449FD" w:rsidRPr="00EB2995" w:rsidTr="001449FD">
        <w:trPr>
          <w:trHeight w:val="300"/>
        </w:trPr>
        <w:tc>
          <w:tcPr>
            <w:tcW w:w="2314" w:type="dxa"/>
            <w:gridSpan w:val="2"/>
            <w:tcBorders>
              <w:top w:val="nil"/>
              <w:left w:val="single" w:sz="4" w:space="0" w:color="auto"/>
              <w:bottom w:val="nil"/>
              <w:right w:val="nil"/>
            </w:tcBorders>
            <w:shd w:val="clear" w:color="auto" w:fill="auto"/>
            <w:noWrap/>
            <w:vAlign w:val="bottom"/>
            <w:hideMark/>
          </w:tcPr>
          <w:p w:rsidR="001449FD" w:rsidRPr="00EB2995" w:rsidRDefault="001449FD" w:rsidP="001449FD">
            <w:pPr>
              <w:rPr>
                <w:rFonts w:cs="Calibri"/>
                <w:b/>
                <w:bCs/>
                <w:i/>
                <w:iCs/>
                <w:color w:val="000000"/>
                <w:lang w:eastAsia="en-GB"/>
              </w:rPr>
            </w:pPr>
            <w:r w:rsidRPr="00EB2995">
              <w:rPr>
                <w:rFonts w:cs="Calibri"/>
                <w:b/>
                <w:bCs/>
                <w:i/>
                <w:iCs/>
                <w:color w:val="000000"/>
                <w:lang w:eastAsia="en-GB"/>
              </w:rPr>
              <w:t> </w:t>
            </w:r>
          </w:p>
        </w:tc>
        <w:tc>
          <w:tcPr>
            <w:tcW w:w="2688" w:type="dxa"/>
            <w:tcBorders>
              <w:top w:val="nil"/>
              <w:left w:val="nil"/>
              <w:bottom w:val="nil"/>
              <w:right w:val="nil"/>
            </w:tcBorders>
            <w:shd w:val="clear" w:color="auto" w:fill="auto"/>
            <w:noWrap/>
            <w:vAlign w:val="bottom"/>
            <w:hideMark/>
          </w:tcPr>
          <w:p w:rsidR="001449FD" w:rsidRPr="00EB2995" w:rsidRDefault="001449FD" w:rsidP="001449FD">
            <w:pPr>
              <w:rPr>
                <w:rFonts w:cs="Calibri"/>
                <w:color w:val="000000"/>
                <w:lang w:eastAsia="en-GB"/>
              </w:rPr>
            </w:pPr>
            <w:r w:rsidRPr="00EB2995">
              <w:rPr>
                <w:rFonts w:cs="Calibri"/>
                <w:color w:val="000000"/>
                <w:lang w:eastAsia="en-GB"/>
              </w:rPr>
              <w:t>Transformation</w:t>
            </w:r>
          </w:p>
        </w:tc>
        <w:tc>
          <w:tcPr>
            <w:tcW w:w="1298" w:type="dxa"/>
            <w:tcBorders>
              <w:top w:val="nil"/>
              <w:left w:val="single" w:sz="4" w:space="0" w:color="auto"/>
              <w:bottom w:val="nil"/>
              <w:right w:val="single" w:sz="4" w:space="0" w:color="auto"/>
            </w:tcBorders>
            <w:shd w:val="clear" w:color="auto" w:fill="auto"/>
            <w:noWrap/>
            <w:vAlign w:val="center"/>
            <w:hideMark/>
          </w:tcPr>
          <w:p w:rsidR="001449FD" w:rsidRPr="00EB2995" w:rsidRDefault="001449FD" w:rsidP="001449FD">
            <w:pPr>
              <w:jc w:val="right"/>
              <w:rPr>
                <w:rFonts w:cs="Calibri"/>
                <w:color w:val="000000"/>
                <w:lang w:eastAsia="en-GB"/>
              </w:rPr>
            </w:pPr>
            <w:r w:rsidRPr="00EB2995">
              <w:rPr>
                <w:rFonts w:cs="Calibri"/>
                <w:color w:val="000000"/>
                <w:lang w:eastAsia="en-GB"/>
              </w:rPr>
              <w:t>(1.1)</w:t>
            </w:r>
          </w:p>
        </w:tc>
        <w:tc>
          <w:tcPr>
            <w:tcW w:w="1560" w:type="dxa"/>
            <w:tcBorders>
              <w:top w:val="nil"/>
              <w:left w:val="nil"/>
              <w:bottom w:val="nil"/>
              <w:right w:val="single" w:sz="4" w:space="0" w:color="auto"/>
            </w:tcBorders>
            <w:shd w:val="clear" w:color="auto" w:fill="auto"/>
            <w:noWrap/>
            <w:vAlign w:val="center"/>
            <w:hideMark/>
          </w:tcPr>
          <w:p w:rsidR="001449FD" w:rsidRPr="00EB2995" w:rsidRDefault="001449FD" w:rsidP="001449FD">
            <w:pPr>
              <w:jc w:val="right"/>
              <w:rPr>
                <w:rFonts w:cs="Calibri"/>
                <w:color w:val="000000"/>
                <w:lang w:eastAsia="en-GB"/>
              </w:rPr>
            </w:pPr>
            <w:r w:rsidRPr="00EB2995">
              <w:rPr>
                <w:rFonts w:cs="Calibri"/>
                <w:color w:val="000000"/>
                <w:lang w:eastAsia="en-GB"/>
              </w:rPr>
              <w:t>0.9</w:t>
            </w:r>
          </w:p>
        </w:tc>
        <w:tc>
          <w:tcPr>
            <w:tcW w:w="1569" w:type="dxa"/>
            <w:tcBorders>
              <w:top w:val="nil"/>
              <w:left w:val="nil"/>
              <w:bottom w:val="nil"/>
              <w:right w:val="single" w:sz="4" w:space="0" w:color="auto"/>
            </w:tcBorders>
            <w:shd w:val="clear" w:color="auto" w:fill="auto"/>
            <w:noWrap/>
            <w:vAlign w:val="center"/>
            <w:hideMark/>
          </w:tcPr>
          <w:p w:rsidR="001449FD" w:rsidRPr="00EB2995" w:rsidRDefault="001449FD" w:rsidP="001449FD">
            <w:pPr>
              <w:jc w:val="right"/>
              <w:rPr>
                <w:rFonts w:cs="Calibri"/>
                <w:color w:val="000000"/>
                <w:lang w:eastAsia="en-GB"/>
              </w:rPr>
            </w:pPr>
            <w:r w:rsidRPr="00EB2995">
              <w:rPr>
                <w:rFonts w:cs="Calibri"/>
                <w:color w:val="000000"/>
                <w:lang w:eastAsia="en-GB"/>
              </w:rPr>
              <w:t>(0.2)</w:t>
            </w:r>
          </w:p>
        </w:tc>
      </w:tr>
      <w:tr w:rsidR="001449FD" w:rsidRPr="00EB2995" w:rsidTr="001449FD">
        <w:trPr>
          <w:trHeight w:val="315"/>
        </w:trPr>
        <w:tc>
          <w:tcPr>
            <w:tcW w:w="2314" w:type="dxa"/>
            <w:gridSpan w:val="2"/>
            <w:tcBorders>
              <w:top w:val="single" w:sz="4" w:space="0" w:color="auto"/>
              <w:left w:val="single" w:sz="4" w:space="0" w:color="auto"/>
              <w:bottom w:val="single" w:sz="4" w:space="0" w:color="auto"/>
              <w:right w:val="nil"/>
            </w:tcBorders>
            <w:shd w:val="clear" w:color="auto" w:fill="auto"/>
            <w:noWrap/>
            <w:vAlign w:val="bottom"/>
            <w:hideMark/>
          </w:tcPr>
          <w:p w:rsidR="001449FD" w:rsidRPr="00EB2995" w:rsidRDefault="001449FD" w:rsidP="001449FD">
            <w:pPr>
              <w:rPr>
                <w:rFonts w:cs="Calibri"/>
                <w:b/>
                <w:bCs/>
                <w:color w:val="000000"/>
                <w:lang w:eastAsia="en-GB"/>
              </w:rPr>
            </w:pPr>
            <w:r w:rsidRPr="00EB2995">
              <w:rPr>
                <w:rFonts w:cs="Calibri"/>
                <w:b/>
                <w:bCs/>
                <w:color w:val="000000"/>
                <w:lang w:eastAsia="en-GB"/>
              </w:rPr>
              <w:t> </w:t>
            </w:r>
          </w:p>
        </w:tc>
        <w:tc>
          <w:tcPr>
            <w:tcW w:w="2688" w:type="dxa"/>
            <w:tcBorders>
              <w:top w:val="single" w:sz="4" w:space="0" w:color="auto"/>
              <w:left w:val="nil"/>
              <w:bottom w:val="single" w:sz="4" w:space="0" w:color="auto"/>
              <w:right w:val="nil"/>
            </w:tcBorders>
            <w:shd w:val="clear" w:color="auto" w:fill="auto"/>
            <w:noWrap/>
            <w:vAlign w:val="bottom"/>
            <w:hideMark/>
          </w:tcPr>
          <w:p w:rsidR="001449FD" w:rsidRPr="00EB2995" w:rsidRDefault="001449FD" w:rsidP="001449FD">
            <w:pPr>
              <w:rPr>
                <w:rFonts w:cs="Calibri"/>
                <w:b/>
                <w:bCs/>
                <w:color w:val="000000"/>
                <w:lang w:eastAsia="en-GB"/>
              </w:rPr>
            </w:pPr>
            <w:r w:rsidRPr="00EB2995">
              <w:rPr>
                <w:rFonts w:cs="Calibri"/>
                <w:b/>
                <w:bCs/>
                <w:color w:val="000000"/>
                <w:lang w:eastAsia="en-GB"/>
              </w:rPr>
              <w:t>Total</w:t>
            </w:r>
          </w:p>
        </w:tc>
        <w:tc>
          <w:tcPr>
            <w:tcW w:w="12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49FD" w:rsidRPr="00EB2995" w:rsidRDefault="001449FD" w:rsidP="001449FD">
            <w:pPr>
              <w:jc w:val="right"/>
              <w:rPr>
                <w:rFonts w:cs="Calibri"/>
                <w:b/>
                <w:bCs/>
                <w:color w:val="000000"/>
                <w:lang w:eastAsia="en-GB"/>
              </w:rPr>
            </w:pPr>
            <w:r w:rsidRPr="00EB2995">
              <w:rPr>
                <w:rFonts w:cs="Calibri"/>
                <w:b/>
                <w:bCs/>
                <w:color w:val="000000"/>
                <w:lang w:eastAsia="en-GB"/>
              </w:rPr>
              <w:t>(8.2)</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1449FD" w:rsidRPr="00EB2995" w:rsidRDefault="001449FD" w:rsidP="001449FD">
            <w:pPr>
              <w:jc w:val="right"/>
              <w:rPr>
                <w:rFonts w:cs="Calibri"/>
                <w:b/>
                <w:bCs/>
                <w:color w:val="000000"/>
                <w:lang w:eastAsia="en-GB"/>
              </w:rPr>
            </w:pPr>
            <w:r w:rsidRPr="00EB2995">
              <w:rPr>
                <w:rFonts w:cs="Calibri"/>
                <w:b/>
                <w:bCs/>
                <w:color w:val="000000"/>
                <w:lang w:eastAsia="en-GB"/>
              </w:rPr>
              <w:t>(12.6)</w:t>
            </w:r>
          </w:p>
        </w:tc>
        <w:tc>
          <w:tcPr>
            <w:tcW w:w="1569" w:type="dxa"/>
            <w:tcBorders>
              <w:top w:val="single" w:sz="4" w:space="0" w:color="auto"/>
              <w:left w:val="nil"/>
              <w:bottom w:val="single" w:sz="4" w:space="0" w:color="auto"/>
              <w:right w:val="single" w:sz="4" w:space="0" w:color="auto"/>
            </w:tcBorders>
            <w:shd w:val="clear" w:color="auto" w:fill="auto"/>
            <w:noWrap/>
            <w:vAlign w:val="center"/>
            <w:hideMark/>
          </w:tcPr>
          <w:p w:rsidR="001449FD" w:rsidRPr="00EB2995" w:rsidRDefault="001449FD" w:rsidP="001449FD">
            <w:pPr>
              <w:jc w:val="right"/>
              <w:rPr>
                <w:rFonts w:cs="Calibri"/>
                <w:b/>
                <w:bCs/>
                <w:color w:val="000000"/>
                <w:lang w:eastAsia="en-GB"/>
              </w:rPr>
            </w:pPr>
            <w:r w:rsidRPr="00EB2995">
              <w:rPr>
                <w:rFonts w:cs="Calibri"/>
                <w:b/>
                <w:bCs/>
                <w:color w:val="000000"/>
                <w:lang w:eastAsia="en-GB"/>
              </w:rPr>
              <w:t>(20.8)</w:t>
            </w:r>
          </w:p>
        </w:tc>
      </w:tr>
      <w:tr w:rsidR="001449FD" w:rsidRPr="00EB2995" w:rsidTr="001449FD">
        <w:trPr>
          <w:trHeight w:val="405"/>
        </w:trPr>
        <w:tc>
          <w:tcPr>
            <w:tcW w:w="2314" w:type="dxa"/>
            <w:gridSpan w:val="2"/>
            <w:tcBorders>
              <w:top w:val="single" w:sz="8" w:space="0" w:color="auto"/>
              <w:left w:val="single" w:sz="8" w:space="0" w:color="auto"/>
              <w:bottom w:val="single" w:sz="8" w:space="0" w:color="auto"/>
              <w:right w:val="nil"/>
            </w:tcBorders>
            <w:shd w:val="clear" w:color="auto" w:fill="auto"/>
            <w:noWrap/>
            <w:vAlign w:val="bottom"/>
            <w:hideMark/>
          </w:tcPr>
          <w:p w:rsidR="001449FD" w:rsidRPr="00EB2995" w:rsidRDefault="001449FD" w:rsidP="001449FD">
            <w:pPr>
              <w:rPr>
                <w:rFonts w:cs="Calibri"/>
                <w:b/>
                <w:bCs/>
                <w:i/>
                <w:iCs/>
                <w:color w:val="000000"/>
                <w:lang w:eastAsia="en-GB"/>
              </w:rPr>
            </w:pPr>
            <w:r w:rsidRPr="00EB2995">
              <w:rPr>
                <w:rFonts w:cs="Calibri"/>
                <w:b/>
                <w:bCs/>
                <w:i/>
                <w:iCs/>
                <w:color w:val="000000"/>
                <w:lang w:eastAsia="en-GB"/>
              </w:rPr>
              <w:t>Total</w:t>
            </w:r>
          </w:p>
        </w:tc>
        <w:tc>
          <w:tcPr>
            <w:tcW w:w="2688" w:type="dxa"/>
            <w:tcBorders>
              <w:top w:val="single" w:sz="8" w:space="0" w:color="auto"/>
              <w:left w:val="nil"/>
              <w:bottom w:val="single" w:sz="8" w:space="0" w:color="auto"/>
              <w:right w:val="nil"/>
            </w:tcBorders>
            <w:shd w:val="clear" w:color="auto" w:fill="auto"/>
            <w:noWrap/>
            <w:vAlign w:val="bottom"/>
            <w:hideMark/>
          </w:tcPr>
          <w:p w:rsidR="001449FD" w:rsidRPr="00EB2995" w:rsidRDefault="001449FD" w:rsidP="001449FD">
            <w:pPr>
              <w:rPr>
                <w:rFonts w:cs="Calibri"/>
                <w:b/>
                <w:bCs/>
                <w:i/>
                <w:iCs/>
                <w:color w:val="000000"/>
                <w:lang w:eastAsia="en-GB"/>
              </w:rPr>
            </w:pPr>
            <w:r w:rsidRPr="00EB2995">
              <w:rPr>
                <w:rFonts w:cs="Calibri"/>
                <w:b/>
                <w:bCs/>
                <w:i/>
                <w:iCs/>
                <w:color w:val="000000"/>
                <w:lang w:eastAsia="en-GB"/>
              </w:rPr>
              <w:t> </w:t>
            </w:r>
          </w:p>
        </w:tc>
        <w:tc>
          <w:tcPr>
            <w:tcW w:w="1298"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1449FD" w:rsidRPr="00EB2995" w:rsidRDefault="001449FD" w:rsidP="001449FD">
            <w:pPr>
              <w:jc w:val="right"/>
              <w:rPr>
                <w:rFonts w:cs="Calibri"/>
                <w:b/>
                <w:bCs/>
                <w:i/>
                <w:iCs/>
                <w:color w:val="000000"/>
                <w:lang w:eastAsia="en-GB"/>
              </w:rPr>
            </w:pPr>
            <w:r w:rsidRPr="00EB2995">
              <w:rPr>
                <w:rFonts w:cs="Calibri"/>
                <w:b/>
                <w:bCs/>
                <w:i/>
                <w:iCs/>
                <w:color w:val="000000"/>
                <w:lang w:eastAsia="en-GB"/>
              </w:rPr>
              <w:t>(24.1)</w:t>
            </w:r>
          </w:p>
        </w:tc>
        <w:tc>
          <w:tcPr>
            <w:tcW w:w="1560" w:type="dxa"/>
            <w:tcBorders>
              <w:top w:val="single" w:sz="8" w:space="0" w:color="auto"/>
              <w:left w:val="nil"/>
              <w:bottom w:val="single" w:sz="8" w:space="0" w:color="auto"/>
              <w:right w:val="single" w:sz="4" w:space="0" w:color="auto"/>
            </w:tcBorders>
            <w:shd w:val="clear" w:color="auto" w:fill="auto"/>
            <w:noWrap/>
            <w:vAlign w:val="center"/>
            <w:hideMark/>
          </w:tcPr>
          <w:p w:rsidR="001449FD" w:rsidRPr="00EB2995" w:rsidRDefault="001449FD" w:rsidP="001449FD">
            <w:pPr>
              <w:jc w:val="right"/>
              <w:rPr>
                <w:rFonts w:cs="Calibri"/>
                <w:b/>
                <w:bCs/>
                <w:i/>
                <w:iCs/>
                <w:color w:val="000000"/>
                <w:lang w:eastAsia="en-GB"/>
              </w:rPr>
            </w:pPr>
            <w:r w:rsidRPr="00EB2995">
              <w:rPr>
                <w:rFonts w:cs="Calibri"/>
                <w:b/>
                <w:bCs/>
                <w:i/>
                <w:iCs/>
                <w:color w:val="000000"/>
                <w:lang w:eastAsia="en-GB"/>
              </w:rPr>
              <w:t>(9.5)</w:t>
            </w:r>
          </w:p>
        </w:tc>
        <w:tc>
          <w:tcPr>
            <w:tcW w:w="1569" w:type="dxa"/>
            <w:tcBorders>
              <w:top w:val="single" w:sz="8" w:space="0" w:color="auto"/>
              <w:left w:val="nil"/>
              <w:bottom w:val="single" w:sz="8" w:space="0" w:color="auto"/>
              <w:right w:val="single" w:sz="8" w:space="0" w:color="auto"/>
            </w:tcBorders>
            <w:shd w:val="clear" w:color="auto" w:fill="auto"/>
            <w:noWrap/>
            <w:vAlign w:val="center"/>
            <w:hideMark/>
          </w:tcPr>
          <w:p w:rsidR="001449FD" w:rsidRPr="00EB2995" w:rsidRDefault="001449FD" w:rsidP="001449FD">
            <w:pPr>
              <w:jc w:val="right"/>
              <w:rPr>
                <w:rFonts w:cs="Calibri"/>
                <w:b/>
                <w:bCs/>
                <w:i/>
                <w:iCs/>
                <w:color w:val="000000"/>
                <w:lang w:eastAsia="en-GB"/>
              </w:rPr>
            </w:pPr>
            <w:r w:rsidRPr="00EB2995">
              <w:rPr>
                <w:rFonts w:cs="Calibri"/>
                <w:b/>
                <w:bCs/>
                <w:i/>
                <w:iCs/>
                <w:color w:val="000000"/>
                <w:lang w:eastAsia="en-GB"/>
              </w:rPr>
              <w:t>(33.6)</w:t>
            </w:r>
          </w:p>
        </w:tc>
      </w:tr>
      <w:tr w:rsidR="001449FD" w:rsidRPr="00EB2995" w:rsidTr="001449FD">
        <w:trPr>
          <w:trHeight w:val="405"/>
        </w:trPr>
        <w:tc>
          <w:tcPr>
            <w:tcW w:w="2314" w:type="dxa"/>
            <w:gridSpan w:val="2"/>
            <w:tcBorders>
              <w:top w:val="nil"/>
              <w:left w:val="nil"/>
              <w:bottom w:val="nil"/>
              <w:right w:val="nil"/>
            </w:tcBorders>
            <w:shd w:val="clear" w:color="auto" w:fill="auto"/>
            <w:vAlign w:val="bottom"/>
            <w:hideMark/>
          </w:tcPr>
          <w:p w:rsidR="001449FD" w:rsidRPr="00EB2995" w:rsidRDefault="001449FD" w:rsidP="001449FD">
            <w:pPr>
              <w:jc w:val="right"/>
              <w:rPr>
                <w:rFonts w:cs="Calibri"/>
                <w:b/>
                <w:bCs/>
                <w:i/>
                <w:iCs/>
                <w:color w:val="000000"/>
                <w:lang w:eastAsia="en-GB"/>
              </w:rPr>
            </w:pPr>
          </w:p>
        </w:tc>
        <w:tc>
          <w:tcPr>
            <w:tcW w:w="2688" w:type="dxa"/>
            <w:tcBorders>
              <w:top w:val="nil"/>
              <w:left w:val="nil"/>
              <w:bottom w:val="nil"/>
              <w:right w:val="nil"/>
            </w:tcBorders>
            <w:shd w:val="clear" w:color="auto" w:fill="auto"/>
            <w:noWrap/>
            <w:vAlign w:val="bottom"/>
            <w:hideMark/>
          </w:tcPr>
          <w:p w:rsidR="001449FD" w:rsidRPr="00EB2995" w:rsidRDefault="001449FD" w:rsidP="001449FD">
            <w:pPr>
              <w:rPr>
                <w:rFonts w:cs="Calibri"/>
                <w:sz w:val="20"/>
                <w:szCs w:val="20"/>
                <w:lang w:eastAsia="en-GB"/>
              </w:rPr>
            </w:pPr>
          </w:p>
        </w:tc>
        <w:tc>
          <w:tcPr>
            <w:tcW w:w="1298" w:type="dxa"/>
            <w:tcBorders>
              <w:top w:val="nil"/>
              <w:left w:val="nil"/>
              <w:bottom w:val="nil"/>
              <w:right w:val="nil"/>
            </w:tcBorders>
            <w:shd w:val="clear" w:color="auto" w:fill="auto"/>
            <w:noWrap/>
            <w:vAlign w:val="center"/>
            <w:hideMark/>
          </w:tcPr>
          <w:p w:rsidR="001449FD" w:rsidRPr="00EB2995" w:rsidRDefault="001449FD" w:rsidP="001449FD">
            <w:pPr>
              <w:rPr>
                <w:rFonts w:cs="Calibri"/>
                <w:sz w:val="20"/>
                <w:szCs w:val="20"/>
                <w:lang w:eastAsia="en-GB"/>
              </w:rPr>
            </w:pPr>
          </w:p>
        </w:tc>
        <w:tc>
          <w:tcPr>
            <w:tcW w:w="1560" w:type="dxa"/>
            <w:tcBorders>
              <w:top w:val="nil"/>
              <w:left w:val="nil"/>
              <w:bottom w:val="nil"/>
              <w:right w:val="nil"/>
            </w:tcBorders>
            <w:shd w:val="clear" w:color="auto" w:fill="auto"/>
            <w:noWrap/>
            <w:vAlign w:val="center"/>
            <w:hideMark/>
          </w:tcPr>
          <w:p w:rsidR="001449FD" w:rsidRPr="00EB2995" w:rsidRDefault="001449FD" w:rsidP="001449FD">
            <w:pPr>
              <w:rPr>
                <w:rFonts w:cs="Calibri"/>
                <w:sz w:val="20"/>
                <w:szCs w:val="20"/>
                <w:lang w:eastAsia="en-GB"/>
              </w:rPr>
            </w:pPr>
          </w:p>
        </w:tc>
        <w:tc>
          <w:tcPr>
            <w:tcW w:w="1569" w:type="dxa"/>
            <w:tcBorders>
              <w:top w:val="nil"/>
              <w:left w:val="nil"/>
              <w:bottom w:val="nil"/>
              <w:right w:val="nil"/>
            </w:tcBorders>
            <w:shd w:val="clear" w:color="auto" w:fill="auto"/>
            <w:noWrap/>
            <w:vAlign w:val="center"/>
            <w:hideMark/>
          </w:tcPr>
          <w:p w:rsidR="001449FD" w:rsidRPr="00EB2995" w:rsidRDefault="001449FD" w:rsidP="001449FD">
            <w:pPr>
              <w:rPr>
                <w:rFonts w:cs="Calibri"/>
                <w:sz w:val="20"/>
                <w:szCs w:val="20"/>
                <w:lang w:eastAsia="en-GB"/>
              </w:rPr>
            </w:pPr>
          </w:p>
        </w:tc>
      </w:tr>
      <w:tr w:rsidR="001449FD" w:rsidRPr="00EB2995" w:rsidTr="001449FD">
        <w:trPr>
          <w:trHeight w:val="330"/>
        </w:trPr>
        <w:tc>
          <w:tcPr>
            <w:tcW w:w="2314" w:type="dxa"/>
            <w:gridSpan w:val="2"/>
            <w:tcBorders>
              <w:top w:val="single" w:sz="4" w:space="0" w:color="auto"/>
              <w:left w:val="nil"/>
              <w:bottom w:val="double" w:sz="6" w:space="0" w:color="auto"/>
              <w:right w:val="nil"/>
            </w:tcBorders>
            <w:shd w:val="clear" w:color="auto" w:fill="auto"/>
            <w:noWrap/>
            <w:vAlign w:val="bottom"/>
            <w:hideMark/>
          </w:tcPr>
          <w:p w:rsidR="001449FD" w:rsidRPr="00EB2995" w:rsidRDefault="001449FD" w:rsidP="001449FD">
            <w:pPr>
              <w:rPr>
                <w:rFonts w:cs="Calibri"/>
                <w:b/>
                <w:bCs/>
                <w:i/>
                <w:iCs/>
                <w:color w:val="000000"/>
                <w:lang w:eastAsia="en-GB"/>
              </w:rPr>
            </w:pPr>
            <w:r w:rsidRPr="00EB2995">
              <w:rPr>
                <w:rFonts w:cs="Calibri"/>
                <w:b/>
                <w:bCs/>
                <w:i/>
                <w:iCs/>
                <w:color w:val="000000"/>
                <w:lang w:eastAsia="en-GB"/>
              </w:rPr>
              <w:t>Grand Total</w:t>
            </w:r>
          </w:p>
        </w:tc>
        <w:tc>
          <w:tcPr>
            <w:tcW w:w="2688" w:type="dxa"/>
            <w:tcBorders>
              <w:top w:val="single" w:sz="4" w:space="0" w:color="auto"/>
              <w:left w:val="nil"/>
              <w:bottom w:val="double" w:sz="6" w:space="0" w:color="auto"/>
              <w:right w:val="nil"/>
            </w:tcBorders>
            <w:shd w:val="clear" w:color="auto" w:fill="auto"/>
            <w:noWrap/>
            <w:vAlign w:val="bottom"/>
            <w:hideMark/>
          </w:tcPr>
          <w:p w:rsidR="001449FD" w:rsidRPr="00EB2995" w:rsidRDefault="001449FD" w:rsidP="001449FD">
            <w:pPr>
              <w:rPr>
                <w:rFonts w:cs="Calibri"/>
                <w:b/>
                <w:bCs/>
                <w:i/>
                <w:iCs/>
                <w:color w:val="000000"/>
                <w:lang w:eastAsia="en-GB"/>
              </w:rPr>
            </w:pPr>
            <w:r w:rsidRPr="00EB2995">
              <w:rPr>
                <w:rFonts w:cs="Calibri"/>
                <w:b/>
                <w:bCs/>
                <w:i/>
                <w:iCs/>
                <w:color w:val="000000"/>
                <w:lang w:eastAsia="en-GB"/>
              </w:rPr>
              <w:t> </w:t>
            </w:r>
          </w:p>
        </w:tc>
        <w:tc>
          <w:tcPr>
            <w:tcW w:w="1298" w:type="dxa"/>
            <w:tcBorders>
              <w:top w:val="single" w:sz="4" w:space="0" w:color="auto"/>
              <w:left w:val="single" w:sz="4" w:space="0" w:color="auto"/>
              <w:bottom w:val="double" w:sz="6" w:space="0" w:color="auto"/>
              <w:right w:val="single" w:sz="4" w:space="0" w:color="auto"/>
            </w:tcBorders>
            <w:shd w:val="clear" w:color="auto" w:fill="auto"/>
            <w:noWrap/>
            <w:vAlign w:val="center"/>
            <w:hideMark/>
          </w:tcPr>
          <w:p w:rsidR="001449FD" w:rsidRPr="00EB2995" w:rsidRDefault="001449FD" w:rsidP="001449FD">
            <w:pPr>
              <w:jc w:val="right"/>
              <w:rPr>
                <w:rFonts w:cs="Calibri"/>
                <w:b/>
                <w:bCs/>
                <w:i/>
                <w:iCs/>
                <w:color w:val="000000"/>
                <w:lang w:eastAsia="en-GB"/>
              </w:rPr>
            </w:pPr>
            <w:r w:rsidRPr="00EB2995">
              <w:rPr>
                <w:rFonts w:cs="Calibri"/>
                <w:b/>
                <w:bCs/>
                <w:i/>
                <w:iCs/>
                <w:color w:val="000000"/>
                <w:lang w:eastAsia="en-GB"/>
              </w:rPr>
              <w:t>(253.9)</w:t>
            </w:r>
          </w:p>
        </w:tc>
        <w:tc>
          <w:tcPr>
            <w:tcW w:w="1560" w:type="dxa"/>
            <w:tcBorders>
              <w:top w:val="single" w:sz="4" w:space="0" w:color="auto"/>
              <w:left w:val="nil"/>
              <w:bottom w:val="double" w:sz="6" w:space="0" w:color="auto"/>
              <w:right w:val="single" w:sz="4" w:space="0" w:color="auto"/>
            </w:tcBorders>
            <w:shd w:val="clear" w:color="auto" w:fill="auto"/>
            <w:noWrap/>
            <w:vAlign w:val="center"/>
            <w:hideMark/>
          </w:tcPr>
          <w:p w:rsidR="001449FD" w:rsidRPr="00EB2995" w:rsidRDefault="001449FD" w:rsidP="001449FD">
            <w:pPr>
              <w:jc w:val="right"/>
              <w:rPr>
                <w:rFonts w:cs="Calibri"/>
                <w:b/>
                <w:bCs/>
                <w:i/>
                <w:iCs/>
                <w:color w:val="000000"/>
                <w:lang w:eastAsia="en-GB"/>
              </w:rPr>
            </w:pPr>
            <w:r w:rsidRPr="00EB2995">
              <w:rPr>
                <w:rFonts w:cs="Calibri"/>
                <w:b/>
                <w:bCs/>
                <w:i/>
                <w:iCs/>
                <w:color w:val="000000"/>
                <w:lang w:eastAsia="en-GB"/>
              </w:rPr>
              <w:t>(40.9)</w:t>
            </w:r>
          </w:p>
        </w:tc>
        <w:tc>
          <w:tcPr>
            <w:tcW w:w="1569" w:type="dxa"/>
            <w:tcBorders>
              <w:top w:val="single" w:sz="4" w:space="0" w:color="auto"/>
              <w:left w:val="nil"/>
              <w:bottom w:val="double" w:sz="6" w:space="0" w:color="auto"/>
              <w:right w:val="nil"/>
            </w:tcBorders>
            <w:shd w:val="clear" w:color="auto" w:fill="auto"/>
            <w:noWrap/>
            <w:vAlign w:val="center"/>
            <w:hideMark/>
          </w:tcPr>
          <w:p w:rsidR="001449FD" w:rsidRPr="00EB2995" w:rsidRDefault="001449FD" w:rsidP="001449FD">
            <w:pPr>
              <w:jc w:val="right"/>
              <w:rPr>
                <w:rFonts w:cs="Calibri"/>
                <w:b/>
                <w:bCs/>
                <w:i/>
                <w:iCs/>
                <w:color w:val="000000"/>
                <w:lang w:eastAsia="en-GB"/>
              </w:rPr>
            </w:pPr>
            <w:r w:rsidRPr="00EB2995">
              <w:rPr>
                <w:rFonts w:cs="Calibri"/>
                <w:b/>
                <w:bCs/>
                <w:i/>
                <w:iCs/>
                <w:color w:val="000000"/>
                <w:lang w:eastAsia="en-GB"/>
              </w:rPr>
              <w:t>(294.9)</w:t>
            </w:r>
          </w:p>
        </w:tc>
      </w:tr>
    </w:tbl>
    <w:p w:rsidR="00F72906" w:rsidRDefault="00F72906" w:rsidP="00F72906">
      <w:r>
        <w:t xml:space="preserve">*This is the total of the Balance as at 31st March 2020 for School Balances, Earmarked General Fund Reserves and Earmarked HRA Reserves on The </w:t>
      </w:r>
      <w:r w:rsidR="001449FD">
        <w:t>Movement in Reserves Statement.</w:t>
      </w:r>
    </w:p>
    <w:p w:rsidR="00F72906" w:rsidRPr="001449FD" w:rsidRDefault="00F72906" w:rsidP="00F72906">
      <w:pPr>
        <w:rPr>
          <w:b/>
        </w:rPr>
      </w:pPr>
      <w:r w:rsidRPr="001449FD">
        <w:rPr>
          <w:b/>
        </w:rPr>
        <w:t>Descriptions</w:t>
      </w:r>
      <w:r w:rsidR="001449FD">
        <w:rPr>
          <w:b/>
        </w:rPr>
        <w:t xml:space="preserve"> of Earmarked Reserves </w:t>
      </w:r>
    </w:p>
    <w:p w:rsidR="00F72906" w:rsidRDefault="00F72906" w:rsidP="00F72906">
      <w:r>
        <w:t>•</w:t>
      </w:r>
      <w:r>
        <w:tab/>
        <w:t>Capital and other statutory ring-fenced reserves - These are monies received under specific powers, such as Section 106 of the Town and Country Planning Act 1990, for ring-fenced activities, such as Dedicated Schools Grant (DSG), or funds identified to smooth the impact of capital financing costs and represents revenue contributions set aside to meet commitments included in the Capital Programme.</w:t>
      </w:r>
      <w:r w:rsidR="001449FD">
        <w:t xml:space="preserve">  </w:t>
      </w:r>
    </w:p>
    <w:p w:rsidR="00F72906" w:rsidRDefault="00F72906" w:rsidP="00F72906">
      <w:r>
        <w:t>•</w:t>
      </w:r>
      <w:r>
        <w:tab/>
        <w:t>General and other smoothing reserves - These reserves are to provide funds to contain possible future price variations of investments activities included within the Capital Programme and contributions made to contain future impact of revenue activities such as the cost of Welfare Reform or the unrecoverable Housing benefit increases.</w:t>
      </w:r>
      <w:r w:rsidR="001449FD">
        <w:t xml:space="preserve"> </w:t>
      </w:r>
      <w:r>
        <w:tab/>
      </w:r>
    </w:p>
    <w:p w:rsidR="00F72906" w:rsidRDefault="00F72906" w:rsidP="00F72906">
      <w:r>
        <w:t>•</w:t>
      </w:r>
      <w:r>
        <w:tab/>
        <w:t>Other Earmarked Reserves   - Include centrally held funds created to meet potential service pressures and to contain the cost of transformational projects that the authority will carry out to modernise the delivery of its services as well as spend-to-save initiatives.</w:t>
      </w:r>
    </w:p>
    <w:p w:rsidR="00F72906" w:rsidRDefault="00F72906" w:rsidP="00F72906">
      <w:r>
        <w:t>Movement in the unusable reserves are detailed in the Additional Reconciliation section on pages 93-95.</w:t>
      </w:r>
    </w:p>
    <w:p w:rsidR="00F72906" w:rsidRDefault="00F72906" w:rsidP="00F72906"/>
    <w:p w:rsidR="00F72906" w:rsidRDefault="00F72906" w:rsidP="00DC2F2A">
      <w:pPr>
        <w:pStyle w:val="Heading2"/>
      </w:pPr>
      <w:bookmarkStart w:id="12" w:name="_Toc61870282"/>
      <w:r>
        <w:lastRenderedPageBreak/>
        <w:t>Comprehensive Income and Expenditure Notes</w:t>
      </w:r>
      <w:bookmarkEnd w:id="12"/>
    </w:p>
    <w:p w:rsidR="00F72906" w:rsidRDefault="00F72906" w:rsidP="00DC2F2A">
      <w:pPr>
        <w:pStyle w:val="Heading3"/>
      </w:pPr>
      <w:r>
        <w:t>Note 11 – Other Operating Expenditure</w:t>
      </w:r>
    </w:p>
    <w:tbl>
      <w:tblPr>
        <w:tblW w:w="9247" w:type="dxa"/>
        <w:tblInd w:w="108" w:type="dxa"/>
        <w:tblLook w:val="00A0" w:firstRow="1" w:lastRow="0" w:firstColumn="1" w:lastColumn="0" w:noHBand="0" w:noVBand="0"/>
      </w:tblPr>
      <w:tblGrid>
        <w:gridCol w:w="1417"/>
        <w:gridCol w:w="6413"/>
        <w:gridCol w:w="1417"/>
      </w:tblGrid>
      <w:tr w:rsidR="00DC2F2A" w:rsidRPr="001E3529" w:rsidTr="00DC2F2A">
        <w:trPr>
          <w:trHeight w:val="300"/>
        </w:trPr>
        <w:tc>
          <w:tcPr>
            <w:tcW w:w="1417" w:type="dxa"/>
            <w:tcBorders>
              <w:top w:val="nil"/>
              <w:left w:val="nil"/>
              <w:bottom w:val="nil"/>
              <w:right w:val="nil"/>
            </w:tcBorders>
            <w:shd w:val="clear" w:color="000000" w:fill="FFFFFF"/>
          </w:tcPr>
          <w:p w:rsidR="00DC2F2A" w:rsidRPr="001E3529" w:rsidRDefault="00DC2F2A" w:rsidP="00DC2F2A">
            <w:pPr>
              <w:jc w:val="right"/>
              <w:rPr>
                <w:rFonts w:cs="Calibri"/>
                <w:b/>
                <w:bCs/>
              </w:rPr>
            </w:pPr>
            <w:r w:rsidRPr="001E3529">
              <w:rPr>
                <w:rFonts w:cs="Calibri"/>
                <w:b/>
                <w:bCs/>
              </w:rPr>
              <w:t>2018/19</w:t>
            </w:r>
          </w:p>
        </w:tc>
        <w:tc>
          <w:tcPr>
            <w:tcW w:w="6413" w:type="dxa"/>
            <w:tcBorders>
              <w:top w:val="nil"/>
              <w:left w:val="nil"/>
              <w:bottom w:val="nil"/>
            </w:tcBorders>
            <w:shd w:val="clear" w:color="000000" w:fill="FFFFFF"/>
          </w:tcPr>
          <w:p w:rsidR="00DC2F2A" w:rsidRPr="001E3529" w:rsidRDefault="00DC2F2A" w:rsidP="00DC2F2A">
            <w:pPr>
              <w:jc w:val="right"/>
              <w:rPr>
                <w:rFonts w:cs="Calibri"/>
              </w:rPr>
            </w:pPr>
          </w:p>
        </w:tc>
        <w:tc>
          <w:tcPr>
            <w:tcW w:w="1417" w:type="dxa"/>
            <w:tcBorders>
              <w:bottom w:val="nil"/>
            </w:tcBorders>
            <w:shd w:val="clear" w:color="000000" w:fill="FFFFFF"/>
          </w:tcPr>
          <w:p w:rsidR="00DC2F2A" w:rsidRPr="001E3529" w:rsidRDefault="00DC2F2A" w:rsidP="00DC2F2A">
            <w:pPr>
              <w:jc w:val="right"/>
              <w:rPr>
                <w:rFonts w:cs="Calibri"/>
                <w:b/>
                <w:bCs/>
              </w:rPr>
            </w:pPr>
            <w:r w:rsidRPr="001E3529">
              <w:rPr>
                <w:rFonts w:cs="Calibri"/>
                <w:b/>
                <w:bCs/>
              </w:rPr>
              <w:t>2019/20</w:t>
            </w:r>
          </w:p>
        </w:tc>
      </w:tr>
      <w:tr w:rsidR="00DC2F2A" w:rsidRPr="001E3529" w:rsidTr="00DC2F2A">
        <w:trPr>
          <w:trHeight w:val="300"/>
        </w:trPr>
        <w:tc>
          <w:tcPr>
            <w:tcW w:w="1417" w:type="dxa"/>
            <w:tcBorders>
              <w:top w:val="nil"/>
              <w:left w:val="nil"/>
              <w:bottom w:val="single" w:sz="4" w:space="0" w:color="auto"/>
              <w:right w:val="nil"/>
            </w:tcBorders>
            <w:shd w:val="clear" w:color="000000" w:fill="FFFFFF"/>
          </w:tcPr>
          <w:p w:rsidR="00DC2F2A" w:rsidRPr="001E3529" w:rsidRDefault="00DC2F2A" w:rsidP="00DC2F2A">
            <w:pPr>
              <w:jc w:val="right"/>
              <w:rPr>
                <w:rFonts w:cs="Calibri"/>
                <w:b/>
                <w:bCs/>
              </w:rPr>
            </w:pPr>
            <w:r w:rsidRPr="001E3529">
              <w:rPr>
                <w:rFonts w:cs="Calibri"/>
                <w:b/>
                <w:bCs/>
              </w:rPr>
              <w:t>£m</w:t>
            </w:r>
          </w:p>
        </w:tc>
        <w:tc>
          <w:tcPr>
            <w:tcW w:w="6413" w:type="dxa"/>
            <w:tcBorders>
              <w:top w:val="nil"/>
              <w:left w:val="nil"/>
              <w:bottom w:val="nil"/>
            </w:tcBorders>
            <w:shd w:val="clear" w:color="000000" w:fill="FFFFFF"/>
          </w:tcPr>
          <w:p w:rsidR="00DC2F2A" w:rsidRPr="001E3529" w:rsidRDefault="00DC2F2A" w:rsidP="00DC2F2A">
            <w:pPr>
              <w:jc w:val="right"/>
              <w:rPr>
                <w:rFonts w:cs="Calibri"/>
              </w:rPr>
            </w:pPr>
          </w:p>
        </w:tc>
        <w:tc>
          <w:tcPr>
            <w:tcW w:w="1417" w:type="dxa"/>
            <w:tcBorders>
              <w:top w:val="nil"/>
              <w:bottom w:val="single" w:sz="4" w:space="0" w:color="auto"/>
            </w:tcBorders>
            <w:shd w:val="clear" w:color="000000" w:fill="FFFFFF"/>
            <w:noWrap/>
          </w:tcPr>
          <w:p w:rsidR="00DC2F2A" w:rsidRPr="001E3529" w:rsidRDefault="00DC2F2A" w:rsidP="00DC2F2A">
            <w:pPr>
              <w:jc w:val="right"/>
              <w:rPr>
                <w:rFonts w:cs="Calibri"/>
                <w:b/>
                <w:bCs/>
              </w:rPr>
            </w:pPr>
            <w:r w:rsidRPr="001E3529">
              <w:rPr>
                <w:rFonts w:cs="Calibri"/>
                <w:b/>
                <w:bCs/>
              </w:rPr>
              <w:t>£m</w:t>
            </w:r>
          </w:p>
        </w:tc>
      </w:tr>
      <w:tr w:rsidR="00DC2F2A" w:rsidRPr="001E3529" w:rsidTr="00DC2F2A">
        <w:trPr>
          <w:trHeight w:val="300"/>
        </w:trPr>
        <w:tc>
          <w:tcPr>
            <w:tcW w:w="1417" w:type="dxa"/>
            <w:tcBorders>
              <w:top w:val="single" w:sz="4" w:space="0" w:color="auto"/>
              <w:left w:val="single" w:sz="4" w:space="0" w:color="auto"/>
              <w:bottom w:val="nil"/>
              <w:right w:val="single" w:sz="4" w:space="0" w:color="auto"/>
            </w:tcBorders>
            <w:shd w:val="clear" w:color="000000" w:fill="FFFFFF"/>
            <w:vAlign w:val="center"/>
          </w:tcPr>
          <w:p w:rsidR="00DC2F2A" w:rsidRPr="001E3529" w:rsidRDefault="00DC2F2A" w:rsidP="00DC2F2A">
            <w:pPr>
              <w:jc w:val="right"/>
              <w:rPr>
                <w:rFonts w:cs="Calibri"/>
                <w:color w:val="000000"/>
              </w:rPr>
            </w:pPr>
            <w:r w:rsidRPr="001E3529">
              <w:rPr>
                <w:rFonts w:cs="Calibri"/>
                <w:color w:val="000000"/>
              </w:rPr>
              <w:t>2.8</w:t>
            </w:r>
          </w:p>
        </w:tc>
        <w:tc>
          <w:tcPr>
            <w:tcW w:w="6413" w:type="dxa"/>
            <w:tcBorders>
              <w:top w:val="nil"/>
              <w:left w:val="single" w:sz="4" w:space="0" w:color="auto"/>
              <w:bottom w:val="nil"/>
              <w:right w:val="single" w:sz="4" w:space="0" w:color="auto"/>
            </w:tcBorders>
            <w:shd w:val="clear" w:color="000000" w:fill="FFFFFF"/>
          </w:tcPr>
          <w:p w:rsidR="00DC2F2A" w:rsidRPr="001E3529" w:rsidRDefault="00DC2F2A" w:rsidP="00DC2F2A">
            <w:pPr>
              <w:rPr>
                <w:rFonts w:cs="Calibri"/>
              </w:rPr>
            </w:pPr>
            <w:r w:rsidRPr="001E3529">
              <w:rPr>
                <w:rFonts w:cs="Calibri"/>
              </w:rPr>
              <w:t>Levies</w:t>
            </w:r>
          </w:p>
        </w:tc>
        <w:tc>
          <w:tcPr>
            <w:tcW w:w="1417" w:type="dxa"/>
            <w:tcBorders>
              <w:top w:val="single" w:sz="4" w:space="0" w:color="auto"/>
              <w:left w:val="single" w:sz="4" w:space="0" w:color="auto"/>
              <w:bottom w:val="nil"/>
              <w:right w:val="single" w:sz="4" w:space="0" w:color="auto"/>
            </w:tcBorders>
            <w:shd w:val="clear" w:color="000000" w:fill="FFFFFF"/>
            <w:noWrap/>
            <w:vAlign w:val="center"/>
          </w:tcPr>
          <w:p w:rsidR="00DC2F2A" w:rsidRPr="001E3529" w:rsidRDefault="00DC2F2A" w:rsidP="00DC2F2A">
            <w:pPr>
              <w:jc w:val="right"/>
              <w:rPr>
                <w:rFonts w:cs="Calibri"/>
                <w:color w:val="000000"/>
              </w:rPr>
            </w:pPr>
            <w:r w:rsidRPr="001E3529">
              <w:rPr>
                <w:rFonts w:cs="Calibri"/>
                <w:color w:val="000000"/>
              </w:rPr>
              <w:t>2.9</w:t>
            </w:r>
          </w:p>
        </w:tc>
      </w:tr>
      <w:tr w:rsidR="00DC2F2A" w:rsidRPr="001E3529" w:rsidTr="00DC2F2A">
        <w:trPr>
          <w:trHeight w:val="300"/>
        </w:trPr>
        <w:tc>
          <w:tcPr>
            <w:tcW w:w="1417" w:type="dxa"/>
            <w:tcBorders>
              <w:top w:val="nil"/>
              <w:left w:val="single" w:sz="4" w:space="0" w:color="auto"/>
              <w:right w:val="single" w:sz="4" w:space="0" w:color="auto"/>
            </w:tcBorders>
            <w:shd w:val="clear" w:color="000000" w:fill="FFFFFF"/>
            <w:vAlign w:val="center"/>
          </w:tcPr>
          <w:p w:rsidR="00DC2F2A" w:rsidRPr="001E3529" w:rsidRDefault="00DC2F2A" w:rsidP="00DC2F2A">
            <w:pPr>
              <w:jc w:val="right"/>
              <w:rPr>
                <w:rFonts w:cs="Calibri"/>
                <w:color w:val="000000"/>
              </w:rPr>
            </w:pPr>
            <w:r w:rsidRPr="001E3529">
              <w:rPr>
                <w:rFonts w:cs="Calibri"/>
                <w:color w:val="000000"/>
              </w:rPr>
              <w:t>1.4</w:t>
            </w:r>
          </w:p>
        </w:tc>
        <w:tc>
          <w:tcPr>
            <w:tcW w:w="6413" w:type="dxa"/>
            <w:tcBorders>
              <w:top w:val="nil"/>
              <w:left w:val="single" w:sz="4" w:space="0" w:color="auto"/>
              <w:bottom w:val="nil"/>
              <w:right w:val="single" w:sz="4" w:space="0" w:color="auto"/>
            </w:tcBorders>
            <w:shd w:val="clear" w:color="000000" w:fill="FFFFFF"/>
          </w:tcPr>
          <w:p w:rsidR="00DC2F2A" w:rsidRPr="001E3529" w:rsidRDefault="00DC2F2A" w:rsidP="00DC2F2A">
            <w:pPr>
              <w:rPr>
                <w:rFonts w:cs="Calibri"/>
              </w:rPr>
            </w:pPr>
            <w:r w:rsidRPr="001E3529">
              <w:rPr>
                <w:rFonts w:cs="Calibri"/>
              </w:rPr>
              <w:t>Payments to the Government Housing Capital Receipts Pool</w:t>
            </w:r>
          </w:p>
        </w:tc>
        <w:tc>
          <w:tcPr>
            <w:tcW w:w="1417" w:type="dxa"/>
            <w:tcBorders>
              <w:top w:val="nil"/>
              <w:left w:val="single" w:sz="4" w:space="0" w:color="auto"/>
              <w:right w:val="single" w:sz="4" w:space="0" w:color="auto"/>
            </w:tcBorders>
            <w:shd w:val="clear" w:color="000000" w:fill="FFFFFF"/>
            <w:noWrap/>
            <w:vAlign w:val="center"/>
          </w:tcPr>
          <w:p w:rsidR="00DC2F2A" w:rsidRPr="001E3529" w:rsidRDefault="00DC2F2A" w:rsidP="00DC2F2A">
            <w:pPr>
              <w:jc w:val="right"/>
              <w:rPr>
                <w:rFonts w:cs="Calibri"/>
                <w:color w:val="000000"/>
              </w:rPr>
            </w:pPr>
            <w:r w:rsidRPr="001E3529">
              <w:rPr>
                <w:rFonts w:cs="Calibri"/>
                <w:color w:val="000000"/>
              </w:rPr>
              <w:t>4.2</w:t>
            </w:r>
          </w:p>
        </w:tc>
      </w:tr>
      <w:tr w:rsidR="00DC2F2A" w:rsidRPr="001E3529" w:rsidTr="00DC2F2A">
        <w:trPr>
          <w:trHeight w:val="300"/>
        </w:trPr>
        <w:tc>
          <w:tcPr>
            <w:tcW w:w="1417" w:type="dxa"/>
            <w:tcBorders>
              <w:top w:val="nil"/>
              <w:left w:val="single" w:sz="4" w:space="0" w:color="auto"/>
              <w:right w:val="single" w:sz="4" w:space="0" w:color="auto"/>
            </w:tcBorders>
            <w:shd w:val="clear" w:color="000000" w:fill="FFFFFF"/>
            <w:vAlign w:val="center"/>
          </w:tcPr>
          <w:p w:rsidR="00DC2F2A" w:rsidRPr="001E3529" w:rsidRDefault="00DC2F2A" w:rsidP="00DC2F2A">
            <w:pPr>
              <w:jc w:val="right"/>
              <w:rPr>
                <w:rFonts w:cs="Calibri"/>
                <w:color w:val="000000"/>
              </w:rPr>
            </w:pPr>
            <w:r w:rsidRPr="001E3529">
              <w:rPr>
                <w:rFonts w:cs="Calibri"/>
                <w:color w:val="000000"/>
              </w:rPr>
              <w:t>66.7</w:t>
            </w:r>
          </w:p>
        </w:tc>
        <w:tc>
          <w:tcPr>
            <w:tcW w:w="6413" w:type="dxa"/>
            <w:tcBorders>
              <w:top w:val="nil"/>
              <w:left w:val="single" w:sz="4" w:space="0" w:color="auto"/>
              <w:bottom w:val="nil"/>
              <w:right w:val="single" w:sz="4" w:space="0" w:color="auto"/>
            </w:tcBorders>
            <w:shd w:val="clear" w:color="000000" w:fill="FFFFFF"/>
          </w:tcPr>
          <w:p w:rsidR="00DC2F2A" w:rsidRPr="001E3529" w:rsidRDefault="00DC2F2A" w:rsidP="00DC2F2A">
            <w:pPr>
              <w:rPr>
                <w:rFonts w:cs="Calibri"/>
              </w:rPr>
            </w:pPr>
            <w:r w:rsidRPr="001E3529">
              <w:rPr>
                <w:rFonts w:cs="Calibri"/>
              </w:rPr>
              <w:t>(Gains)/losses on the disposal of non-current assets</w:t>
            </w:r>
          </w:p>
        </w:tc>
        <w:tc>
          <w:tcPr>
            <w:tcW w:w="1417" w:type="dxa"/>
            <w:tcBorders>
              <w:top w:val="nil"/>
              <w:left w:val="single" w:sz="4" w:space="0" w:color="auto"/>
              <w:right w:val="single" w:sz="4" w:space="0" w:color="auto"/>
            </w:tcBorders>
            <w:shd w:val="clear" w:color="000000" w:fill="FFFFFF"/>
            <w:noWrap/>
            <w:vAlign w:val="center"/>
          </w:tcPr>
          <w:p w:rsidR="00DC2F2A" w:rsidRPr="001E3529" w:rsidRDefault="00DC2F2A" w:rsidP="00DC2F2A">
            <w:pPr>
              <w:jc w:val="right"/>
              <w:rPr>
                <w:rFonts w:cs="Calibri"/>
                <w:color w:val="000000"/>
              </w:rPr>
            </w:pPr>
            <w:r w:rsidRPr="001E3529">
              <w:rPr>
                <w:rFonts w:cs="Calibri"/>
                <w:color w:val="000000"/>
              </w:rPr>
              <w:t>(3.9)</w:t>
            </w:r>
          </w:p>
        </w:tc>
      </w:tr>
      <w:tr w:rsidR="00DC2F2A" w:rsidRPr="001E3529" w:rsidTr="00DC2F2A">
        <w:trPr>
          <w:trHeight w:val="300"/>
        </w:trPr>
        <w:tc>
          <w:tcPr>
            <w:tcW w:w="1417" w:type="dxa"/>
            <w:tcBorders>
              <w:top w:val="nil"/>
              <w:left w:val="single" w:sz="4" w:space="0" w:color="auto"/>
              <w:bottom w:val="single" w:sz="4" w:space="0" w:color="auto"/>
              <w:right w:val="single" w:sz="4" w:space="0" w:color="auto"/>
            </w:tcBorders>
            <w:shd w:val="clear" w:color="000000" w:fill="FFFFFF"/>
            <w:vAlign w:val="center"/>
          </w:tcPr>
          <w:p w:rsidR="00DC2F2A" w:rsidRPr="001E3529" w:rsidRDefault="00DC2F2A" w:rsidP="00DC2F2A">
            <w:pPr>
              <w:jc w:val="right"/>
              <w:rPr>
                <w:rFonts w:cs="Calibri"/>
                <w:color w:val="000000"/>
              </w:rPr>
            </w:pPr>
            <w:r w:rsidRPr="001E3529">
              <w:rPr>
                <w:rFonts w:cs="Calibri"/>
                <w:color w:val="000000"/>
              </w:rPr>
              <w:t>(7.7)</w:t>
            </w:r>
          </w:p>
        </w:tc>
        <w:tc>
          <w:tcPr>
            <w:tcW w:w="6413" w:type="dxa"/>
            <w:tcBorders>
              <w:top w:val="nil"/>
              <w:left w:val="single" w:sz="4" w:space="0" w:color="auto"/>
              <w:bottom w:val="nil"/>
              <w:right w:val="single" w:sz="4" w:space="0" w:color="auto"/>
            </w:tcBorders>
            <w:shd w:val="clear" w:color="000000" w:fill="FFFFFF"/>
          </w:tcPr>
          <w:p w:rsidR="00DC2F2A" w:rsidRPr="001E3529" w:rsidRDefault="00DC2F2A" w:rsidP="00DC2F2A">
            <w:pPr>
              <w:rPr>
                <w:rFonts w:cs="Calibri"/>
              </w:rPr>
            </w:pPr>
            <w:r w:rsidRPr="001E3529">
              <w:rPr>
                <w:rFonts w:cs="Calibri"/>
              </w:rPr>
              <w:t>Capital receipts relating to prior years</w:t>
            </w:r>
          </w:p>
        </w:tc>
        <w:tc>
          <w:tcPr>
            <w:tcW w:w="1417" w:type="dxa"/>
            <w:tcBorders>
              <w:top w:val="nil"/>
              <w:left w:val="single" w:sz="4" w:space="0" w:color="auto"/>
              <w:bottom w:val="single" w:sz="4" w:space="0" w:color="auto"/>
              <w:right w:val="single" w:sz="4" w:space="0" w:color="auto"/>
            </w:tcBorders>
            <w:shd w:val="clear" w:color="000000" w:fill="FFFFFF"/>
            <w:noWrap/>
            <w:vAlign w:val="center"/>
          </w:tcPr>
          <w:p w:rsidR="00DC2F2A" w:rsidRPr="001E3529" w:rsidRDefault="00DC2F2A" w:rsidP="00DC2F2A">
            <w:pPr>
              <w:jc w:val="right"/>
              <w:rPr>
                <w:rFonts w:cs="Calibri"/>
                <w:color w:val="000000"/>
              </w:rPr>
            </w:pPr>
            <w:r w:rsidRPr="001E3529">
              <w:rPr>
                <w:rFonts w:cs="Calibri"/>
                <w:color w:val="000000"/>
              </w:rPr>
              <w:t>0.0</w:t>
            </w:r>
          </w:p>
        </w:tc>
      </w:tr>
      <w:tr w:rsidR="00DC2F2A" w:rsidRPr="001E3529" w:rsidTr="00DC2F2A">
        <w:trPr>
          <w:trHeight w:val="300"/>
        </w:trPr>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rsidR="00DC2F2A" w:rsidRPr="001E3529" w:rsidRDefault="00DC2F2A" w:rsidP="00DC2F2A">
            <w:pPr>
              <w:jc w:val="right"/>
              <w:rPr>
                <w:rFonts w:cs="Calibri"/>
                <w:b/>
                <w:bCs/>
                <w:color w:val="000000"/>
              </w:rPr>
            </w:pPr>
            <w:r w:rsidRPr="001E3529">
              <w:rPr>
                <w:rFonts w:cs="Calibri"/>
                <w:b/>
                <w:bCs/>
                <w:color w:val="000000"/>
              </w:rPr>
              <w:t>63.2</w:t>
            </w:r>
          </w:p>
        </w:tc>
        <w:tc>
          <w:tcPr>
            <w:tcW w:w="6413" w:type="dxa"/>
            <w:tcBorders>
              <w:top w:val="nil"/>
              <w:left w:val="single" w:sz="4" w:space="0" w:color="auto"/>
              <w:bottom w:val="nil"/>
              <w:right w:val="single" w:sz="4" w:space="0" w:color="auto"/>
            </w:tcBorders>
            <w:shd w:val="clear" w:color="000000" w:fill="FFFFFF"/>
          </w:tcPr>
          <w:p w:rsidR="00DC2F2A" w:rsidRPr="001E3529" w:rsidRDefault="00DC2F2A" w:rsidP="00DC2F2A">
            <w:pPr>
              <w:rPr>
                <w:rFonts w:cs="Calibri"/>
                <w:b/>
              </w:rPr>
            </w:pPr>
            <w:r w:rsidRPr="001E3529">
              <w:rPr>
                <w:rFonts w:cs="Calibri"/>
                <w:b/>
              </w:rPr>
              <w:t>Total</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C2F2A" w:rsidRPr="001E3529" w:rsidRDefault="00DC2F2A" w:rsidP="00DC2F2A">
            <w:pPr>
              <w:jc w:val="right"/>
              <w:rPr>
                <w:rFonts w:cs="Calibri"/>
                <w:b/>
                <w:bCs/>
                <w:color w:val="000000"/>
              </w:rPr>
            </w:pPr>
            <w:r w:rsidRPr="001E3529">
              <w:rPr>
                <w:rFonts w:cs="Calibri"/>
                <w:b/>
                <w:bCs/>
                <w:color w:val="000000"/>
              </w:rPr>
              <w:t>3.2</w:t>
            </w:r>
          </w:p>
        </w:tc>
      </w:tr>
    </w:tbl>
    <w:p w:rsidR="00F72906" w:rsidRDefault="00F72906" w:rsidP="00F72906"/>
    <w:p w:rsidR="00F72906" w:rsidRDefault="00F72906" w:rsidP="00DC2F2A">
      <w:pPr>
        <w:pStyle w:val="Heading3"/>
      </w:pPr>
      <w:r>
        <w:t>Note 12 – Financing and Investment Income and Expenditure</w:t>
      </w:r>
    </w:p>
    <w:tbl>
      <w:tblPr>
        <w:tblW w:w="9247" w:type="dxa"/>
        <w:tblInd w:w="108" w:type="dxa"/>
        <w:tblLook w:val="00A0" w:firstRow="1" w:lastRow="0" w:firstColumn="1" w:lastColumn="0" w:noHBand="0" w:noVBand="0"/>
      </w:tblPr>
      <w:tblGrid>
        <w:gridCol w:w="1417"/>
        <w:gridCol w:w="6413"/>
        <w:gridCol w:w="1417"/>
      </w:tblGrid>
      <w:tr w:rsidR="00DC2F2A" w:rsidRPr="001E3529" w:rsidTr="00DC2F2A">
        <w:trPr>
          <w:trHeight w:val="300"/>
        </w:trPr>
        <w:tc>
          <w:tcPr>
            <w:tcW w:w="1417" w:type="dxa"/>
            <w:tcBorders>
              <w:top w:val="nil"/>
              <w:left w:val="nil"/>
              <w:bottom w:val="nil"/>
              <w:right w:val="nil"/>
            </w:tcBorders>
          </w:tcPr>
          <w:p w:rsidR="00DC2F2A" w:rsidRPr="001E3529" w:rsidRDefault="00DC2F2A" w:rsidP="00DC2F2A">
            <w:pPr>
              <w:jc w:val="right"/>
              <w:rPr>
                <w:rFonts w:cs="Calibri"/>
                <w:b/>
                <w:bCs/>
              </w:rPr>
            </w:pPr>
            <w:r w:rsidRPr="001E3529">
              <w:rPr>
                <w:rFonts w:cs="Calibri"/>
                <w:b/>
                <w:bCs/>
              </w:rPr>
              <w:t>2018/19</w:t>
            </w:r>
          </w:p>
        </w:tc>
        <w:tc>
          <w:tcPr>
            <w:tcW w:w="6413" w:type="dxa"/>
            <w:tcBorders>
              <w:top w:val="nil"/>
              <w:left w:val="nil"/>
              <w:bottom w:val="nil"/>
            </w:tcBorders>
          </w:tcPr>
          <w:p w:rsidR="00DC2F2A" w:rsidRPr="001E3529" w:rsidRDefault="00DC2F2A" w:rsidP="00DC2F2A">
            <w:pPr>
              <w:jc w:val="right"/>
              <w:rPr>
                <w:rFonts w:cs="Calibri"/>
              </w:rPr>
            </w:pPr>
          </w:p>
        </w:tc>
        <w:tc>
          <w:tcPr>
            <w:tcW w:w="1417" w:type="dxa"/>
            <w:tcBorders>
              <w:bottom w:val="nil"/>
            </w:tcBorders>
          </w:tcPr>
          <w:p w:rsidR="00DC2F2A" w:rsidRPr="001E3529" w:rsidRDefault="00DC2F2A" w:rsidP="00DC2F2A">
            <w:pPr>
              <w:jc w:val="right"/>
              <w:rPr>
                <w:rFonts w:cs="Calibri"/>
                <w:b/>
                <w:bCs/>
              </w:rPr>
            </w:pPr>
            <w:r w:rsidRPr="001E3529">
              <w:rPr>
                <w:rFonts w:cs="Calibri"/>
                <w:b/>
                <w:bCs/>
              </w:rPr>
              <w:t>2019/20</w:t>
            </w:r>
          </w:p>
        </w:tc>
      </w:tr>
      <w:tr w:rsidR="00DC2F2A" w:rsidRPr="001E3529" w:rsidTr="00DC2F2A">
        <w:trPr>
          <w:trHeight w:val="300"/>
        </w:trPr>
        <w:tc>
          <w:tcPr>
            <w:tcW w:w="1417" w:type="dxa"/>
            <w:tcBorders>
              <w:top w:val="nil"/>
              <w:left w:val="nil"/>
              <w:bottom w:val="single" w:sz="4" w:space="0" w:color="auto"/>
              <w:right w:val="nil"/>
            </w:tcBorders>
          </w:tcPr>
          <w:p w:rsidR="00DC2F2A" w:rsidRPr="001E3529" w:rsidRDefault="00DC2F2A" w:rsidP="00DC2F2A">
            <w:pPr>
              <w:jc w:val="right"/>
              <w:rPr>
                <w:rFonts w:cs="Calibri"/>
                <w:b/>
                <w:bCs/>
              </w:rPr>
            </w:pPr>
            <w:r w:rsidRPr="001E3529">
              <w:rPr>
                <w:rFonts w:cs="Calibri"/>
                <w:b/>
                <w:bCs/>
              </w:rPr>
              <w:t>£m</w:t>
            </w:r>
          </w:p>
        </w:tc>
        <w:tc>
          <w:tcPr>
            <w:tcW w:w="6413" w:type="dxa"/>
            <w:tcBorders>
              <w:top w:val="nil"/>
              <w:left w:val="nil"/>
              <w:bottom w:val="nil"/>
            </w:tcBorders>
          </w:tcPr>
          <w:p w:rsidR="00DC2F2A" w:rsidRPr="001E3529" w:rsidRDefault="00DC2F2A" w:rsidP="00DC2F2A">
            <w:pPr>
              <w:jc w:val="right"/>
              <w:rPr>
                <w:rFonts w:cs="Calibri"/>
              </w:rPr>
            </w:pPr>
          </w:p>
        </w:tc>
        <w:tc>
          <w:tcPr>
            <w:tcW w:w="1417" w:type="dxa"/>
            <w:tcBorders>
              <w:top w:val="nil"/>
              <w:bottom w:val="single" w:sz="4" w:space="0" w:color="auto"/>
            </w:tcBorders>
            <w:noWrap/>
          </w:tcPr>
          <w:p w:rsidR="00DC2F2A" w:rsidRPr="001E3529" w:rsidRDefault="00DC2F2A" w:rsidP="00DC2F2A">
            <w:pPr>
              <w:jc w:val="right"/>
              <w:rPr>
                <w:rFonts w:cs="Calibri"/>
                <w:b/>
                <w:bCs/>
              </w:rPr>
            </w:pPr>
            <w:r w:rsidRPr="001E3529">
              <w:rPr>
                <w:rFonts w:cs="Calibri"/>
                <w:b/>
                <w:bCs/>
              </w:rPr>
              <w:t>£m</w:t>
            </w:r>
          </w:p>
        </w:tc>
      </w:tr>
      <w:tr w:rsidR="00DC2F2A" w:rsidRPr="001E3529" w:rsidTr="00DC2F2A">
        <w:trPr>
          <w:trHeight w:val="300"/>
        </w:trPr>
        <w:tc>
          <w:tcPr>
            <w:tcW w:w="1417" w:type="dxa"/>
            <w:tcBorders>
              <w:top w:val="single" w:sz="4" w:space="0" w:color="auto"/>
              <w:left w:val="single" w:sz="4" w:space="0" w:color="auto"/>
              <w:bottom w:val="nil"/>
              <w:right w:val="single" w:sz="4" w:space="0" w:color="auto"/>
            </w:tcBorders>
            <w:vAlign w:val="center"/>
          </w:tcPr>
          <w:p w:rsidR="00DC2F2A" w:rsidRPr="001E3529" w:rsidRDefault="00DC2F2A" w:rsidP="00DC2F2A">
            <w:pPr>
              <w:jc w:val="right"/>
              <w:rPr>
                <w:rFonts w:cs="Calibri"/>
                <w:color w:val="000000"/>
              </w:rPr>
            </w:pPr>
            <w:r w:rsidRPr="001E3529">
              <w:rPr>
                <w:rFonts w:cs="Calibri"/>
              </w:rPr>
              <w:t>20.7</w:t>
            </w:r>
          </w:p>
        </w:tc>
        <w:tc>
          <w:tcPr>
            <w:tcW w:w="6413" w:type="dxa"/>
            <w:tcBorders>
              <w:top w:val="nil"/>
              <w:left w:val="single" w:sz="4" w:space="0" w:color="auto"/>
              <w:bottom w:val="nil"/>
              <w:right w:val="single" w:sz="4" w:space="0" w:color="auto"/>
            </w:tcBorders>
          </w:tcPr>
          <w:p w:rsidR="00DC2F2A" w:rsidRPr="001E3529" w:rsidRDefault="00DC2F2A" w:rsidP="00DC2F2A">
            <w:pPr>
              <w:rPr>
                <w:rFonts w:cs="Calibri"/>
              </w:rPr>
            </w:pPr>
            <w:r w:rsidRPr="001E3529">
              <w:rPr>
                <w:rFonts w:cs="Calibri"/>
              </w:rPr>
              <w:t>Interest payable and similar charges</w:t>
            </w:r>
          </w:p>
        </w:tc>
        <w:tc>
          <w:tcPr>
            <w:tcW w:w="1417" w:type="dxa"/>
            <w:tcBorders>
              <w:top w:val="single" w:sz="4" w:space="0" w:color="auto"/>
              <w:left w:val="single" w:sz="4" w:space="0" w:color="auto"/>
              <w:bottom w:val="nil"/>
              <w:right w:val="single" w:sz="4" w:space="0" w:color="auto"/>
            </w:tcBorders>
            <w:noWrap/>
            <w:vAlign w:val="center"/>
          </w:tcPr>
          <w:p w:rsidR="00DC2F2A" w:rsidRPr="001E3529" w:rsidRDefault="00DC2F2A" w:rsidP="00DC2F2A">
            <w:pPr>
              <w:jc w:val="right"/>
              <w:rPr>
                <w:rFonts w:cs="Calibri"/>
              </w:rPr>
            </w:pPr>
            <w:r w:rsidRPr="001E3529">
              <w:rPr>
                <w:rFonts w:cs="Calibri"/>
                <w:color w:val="000000"/>
              </w:rPr>
              <w:t>23.</w:t>
            </w:r>
            <w:r>
              <w:rPr>
                <w:rFonts w:cs="Calibri"/>
                <w:color w:val="000000"/>
              </w:rPr>
              <w:t>0</w:t>
            </w:r>
          </w:p>
        </w:tc>
      </w:tr>
      <w:tr w:rsidR="00DC2F2A" w:rsidRPr="001E3529" w:rsidTr="00DC2F2A">
        <w:trPr>
          <w:trHeight w:val="300"/>
        </w:trPr>
        <w:tc>
          <w:tcPr>
            <w:tcW w:w="1417" w:type="dxa"/>
            <w:tcBorders>
              <w:top w:val="nil"/>
              <w:left w:val="single" w:sz="4" w:space="0" w:color="auto"/>
              <w:right w:val="single" w:sz="4" w:space="0" w:color="auto"/>
            </w:tcBorders>
            <w:vAlign w:val="center"/>
          </w:tcPr>
          <w:p w:rsidR="00DC2F2A" w:rsidRPr="001E3529" w:rsidRDefault="00DC2F2A" w:rsidP="00DC2F2A">
            <w:pPr>
              <w:jc w:val="right"/>
              <w:rPr>
                <w:rFonts w:cs="Calibri"/>
                <w:color w:val="000000"/>
              </w:rPr>
            </w:pPr>
            <w:r w:rsidRPr="001E3529">
              <w:rPr>
                <w:rFonts w:cs="Calibri"/>
              </w:rPr>
              <w:t>21.9</w:t>
            </w:r>
          </w:p>
        </w:tc>
        <w:tc>
          <w:tcPr>
            <w:tcW w:w="6413" w:type="dxa"/>
            <w:tcBorders>
              <w:top w:val="nil"/>
              <w:left w:val="single" w:sz="4" w:space="0" w:color="auto"/>
              <w:bottom w:val="nil"/>
              <w:right w:val="single" w:sz="4" w:space="0" w:color="auto"/>
            </w:tcBorders>
          </w:tcPr>
          <w:p w:rsidR="00DC2F2A" w:rsidRPr="001E3529" w:rsidRDefault="00DC2F2A" w:rsidP="00DC2F2A">
            <w:pPr>
              <w:rPr>
                <w:rFonts w:cs="Calibri"/>
              </w:rPr>
            </w:pPr>
            <w:r w:rsidRPr="001E3529">
              <w:rPr>
                <w:rFonts w:cs="Calibri"/>
              </w:rPr>
              <w:t>Pensions interest cost and expected return on pensions assets</w:t>
            </w:r>
          </w:p>
        </w:tc>
        <w:tc>
          <w:tcPr>
            <w:tcW w:w="1417" w:type="dxa"/>
            <w:tcBorders>
              <w:top w:val="nil"/>
              <w:left w:val="single" w:sz="4" w:space="0" w:color="auto"/>
              <w:right w:val="single" w:sz="4" w:space="0" w:color="auto"/>
            </w:tcBorders>
            <w:noWrap/>
            <w:vAlign w:val="center"/>
          </w:tcPr>
          <w:p w:rsidR="00DC2F2A" w:rsidRPr="001E3529" w:rsidRDefault="00DC2F2A" w:rsidP="00DC2F2A">
            <w:pPr>
              <w:jc w:val="right"/>
              <w:rPr>
                <w:rFonts w:cs="Calibri"/>
              </w:rPr>
            </w:pPr>
            <w:r w:rsidRPr="001E3529">
              <w:rPr>
                <w:rFonts w:cs="Calibri"/>
                <w:color w:val="000000"/>
              </w:rPr>
              <w:t>22.3</w:t>
            </w:r>
          </w:p>
        </w:tc>
      </w:tr>
      <w:tr w:rsidR="00DC2F2A" w:rsidRPr="001E3529" w:rsidTr="00DC2F2A">
        <w:trPr>
          <w:trHeight w:val="300"/>
        </w:trPr>
        <w:tc>
          <w:tcPr>
            <w:tcW w:w="1417" w:type="dxa"/>
            <w:tcBorders>
              <w:top w:val="nil"/>
              <w:left w:val="single" w:sz="4" w:space="0" w:color="auto"/>
              <w:right w:val="single" w:sz="4" w:space="0" w:color="auto"/>
            </w:tcBorders>
            <w:vAlign w:val="center"/>
          </w:tcPr>
          <w:p w:rsidR="00DC2F2A" w:rsidRPr="001E3529" w:rsidRDefault="00DC2F2A" w:rsidP="00DC2F2A">
            <w:pPr>
              <w:jc w:val="right"/>
              <w:rPr>
                <w:rFonts w:cs="Calibri"/>
                <w:color w:val="000000"/>
              </w:rPr>
            </w:pPr>
            <w:r w:rsidRPr="001E3529">
              <w:rPr>
                <w:rFonts w:cs="Calibri"/>
              </w:rPr>
              <w:t>(6.6)</w:t>
            </w:r>
          </w:p>
        </w:tc>
        <w:tc>
          <w:tcPr>
            <w:tcW w:w="6413" w:type="dxa"/>
            <w:tcBorders>
              <w:top w:val="nil"/>
              <w:left w:val="single" w:sz="4" w:space="0" w:color="auto"/>
              <w:bottom w:val="nil"/>
              <w:right w:val="single" w:sz="4" w:space="0" w:color="auto"/>
            </w:tcBorders>
          </w:tcPr>
          <w:p w:rsidR="00DC2F2A" w:rsidRPr="001E3529" w:rsidRDefault="00DC2F2A" w:rsidP="00DC2F2A">
            <w:pPr>
              <w:rPr>
                <w:rFonts w:cs="Calibri"/>
              </w:rPr>
            </w:pPr>
            <w:r w:rsidRPr="001E3529">
              <w:rPr>
                <w:rFonts w:cs="Calibri"/>
              </w:rPr>
              <w:t>Interest receivable and similar income</w:t>
            </w:r>
          </w:p>
        </w:tc>
        <w:tc>
          <w:tcPr>
            <w:tcW w:w="1417" w:type="dxa"/>
            <w:tcBorders>
              <w:top w:val="nil"/>
              <w:left w:val="single" w:sz="4" w:space="0" w:color="auto"/>
              <w:right w:val="single" w:sz="4" w:space="0" w:color="auto"/>
            </w:tcBorders>
            <w:noWrap/>
            <w:vAlign w:val="center"/>
          </w:tcPr>
          <w:p w:rsidR="00DC2F2A" w:rsidRPr="001E3529" w:rsidRDefault="00DC2F2A" w:rsidP="00DC2F2A">
            <w:pPr>
              <w:jc w:val="right"/>
              <w:rPr>
                <w:rFonts w:cs="Calibri"/>
              </w:rPr>
            </w:pPr>
            <w:r w:rsidRPr="001E3529">
              <w:rPr>
                <w:rFonts w:cs="Calibri"/>
                <w:color w:val="000000"/>
              </w:rPr>
              <w:t>(</w:t>
            </w:r>
            <w:r>
              <w:rPr>
                <w:rFonts w:cs="Calibri"/>
                <w:color w:val="000000"/>
              </w:rPr>
              <w:t>7.2</w:t>
            </w:r>
            <w:r w:rsidRPr="001E3529">
              <w:rPr>
                <w:rFonts w:cs="Calibri"/>
                <w:color w:val="000000"/>
              </w:rPr>
              <w:t>)</w:t>
            </w:r>
          </w:p>
        </w:tc>
      </w:tr>
      <w:tr w:rsidR="00DC2F2A" w:rsidRPr="001E3529" w:rsidTr="00DC2F2A">
        <w:trPr>
          <w:trHeight w:val="300"/>
        </w:trPr>
        <w:tc>
          <w:tcPr>
            <w:tcW w:w="1417" w:type="dxa"/>
            <w:tcBorders>
              <w:top w:val="single" w:sz="4" w:space="0" w:color="auto"/>
              <w:left w:val="single" w:sz="4" w:space="0" w:color="auto"/>
              <w:bottom w:val="single" w:sz="4" w:space="0" w:color="auto"/>
              <w:right w:val="single" w:sz="4" w:space="0" w:color="auto"/>
            </w:tcBorders>
            <w:vAlign w:val="center"/>
          </w:tcPr>
          <w:p w:rsidR="00DC2F2A" w:rsidRPr="001E3529" w:rsidRDefault="00DC2F2A" w:rsidP="00DC2F2A">
            <w:pPr>
              <w:jc w:val="right"/>
              <w:rPr>
                <w:rFonts w:cs="Calibri"/>
                <w:b/>
                <w:bCs/>
                <w:color w:val="000000"/>
              </w:rPr>
            </w:pPr>
            <w:r w:rsidRPr="001E3529">
              <w:rPr>
                <w:rFonts w:cs="Calibri"/>
                <w:b/>
                <w:bCs/>
              </w:rPr>
              <w:t>36.0</w:t>
            </w:r>
          </w:p>
        </w:tc>
        <w:tc>
          <w:tcPr>
            <w:tcW w:w="6413" w:type="dxa"/>
            <w:tcBorders>
              <w:top w:val="nil"/>
              <w:left w:val="single" w:sz="4" w:space="0" w:color="auto"/>
              <w:bottom w:val="nil"/>
              <w:right w:val="single" w:sz="4" w:space="0" w:color="auto"/>
            </w:tcBorders>
          </w:tcPr>
          <w:p w:rsidR="00DC2F2A" w:rsidRPr="001E3529" w:rsidRDefault="00DC2F2A" w:rsidP="00DC2F2A">
            <w:pPr>
              <w:rPr>
                <w:rFonts w:cs="Calibri"/>
                <w:b/>
              </w:rPr>
            </w:pPr>
            <w:r w:rsidRPr="001E3529">
              <w:rPr>
                <w:rFonts w:cs="Calibri"/>
                <w:b/>
              </w:rPr>
              <w:t>Total</w:t>
            </w:r>
          </w:p>
        </w:tc>
        <w:tc>
          <w:tcPr>
            <w:tcW w:w="1417" w:type="dxa"/>
            <w:tcBorders>
              <w:top w:val="single" w:sz="4" w:space="0" w:color="auto"/>
              <w:left w:val="single" w:sz="4" w:space="0" w:color="auto"/>
              <w:bottom w:val="single" w:sz="4" w:space="0" w:color="auto"/>
              <w:right w:val="single" w:sz="4" w:space="0" w:color="auto"/>
            </w:tcBorders>
            <w:noWrap/>
            <w:vAlign w:val="center"/>
          </w:tcPr>
          <w:p w:rsidR="00DC2F2A" w:rsidRPr="001E3529" w:rsidRDefault="00DC2F2A" w:rsidP="00DC2F2A">
            <w:pPr>
              <w:jc w:val="right"/>
              <w:rPr>
                <w:rFonts w:cs="Calibri"/>
                <w:b/>
                <w:bCs/>
              </w:rPr>
            </w:pPr>
            <w:r w:rsidRPr="001E3529">
              <w:rPr>
                <w:rFonts w:cs="Calibri"/>
                <w:b/>
                <w:bCs/>
                <w:color w:val="000000"/>
              </w:rPr>
              <w:t>38.</w:t>
            </w:r>
            <w:r>
              <w:rPr>
                <w:rFonts w:cs="Calibri"/>
                <w:b/>
                <w:bCs/>
                <w:color w:val="000000"/>
              </w:rPr>
              <w:t>1</w:t>
            </w:r>
          </w:p>
        </w:tc>
      </w:tr>
    </w:tbl>
    <w:p w:rsidR="00DC2F2A" w:rsidRPr="00DC2F2A" w:rsidRDefault="00DC2F2A" w:rsidP="00DC2F2A"/>
    <w:p w:rsidR="00F72906" w:rsidRDefault="00F72906" w:rsidP="00DC2F2A">
      <w:pPr>
        <w:pStyle w:val="Heading3"/>
      </w:pPr>
      <w:r>
        <w:t>Note 13 – Taxation and non-Specific Grant Incomes</w:t>
      </w:r>
    </w:p>
    <w:tbl>
      <w:tblPr>
        <w:tblW w:w="9318" w:type="dxa"/>
        <w:tblInd w:w="108" w:type="dxa"/>
        <w:tblLook w:val="00A0" w:firstRow="1" w:lastRow="0" w:firstColumn="1" w:lastColumn="0" w:noHBand="0" w:noVBand="0"/>
      </w:tblPr>
      <w:tblGrid>
        <w:gridCol w:w="1412"/>
        <w:gridCol w:w="6418"/>
        <w:gridCol w:w="1488"/>
      </w:tblGrid>
      <w:tr w:rsidR="00DC2F2A" w:rsidRPr="001E3529" w:rsidTr="00DC2F2A">
        <w:trPr>
          <w:trHeight w:val="300"/>
        </w:trPr>
        <w:tc>
          <w:tcPr>
            <w:tcW w:w="1412" w:type="dxa"/>
            <w:tcBorders>
              <w:top w:val="nil"/>
              <w:left w:val="nil"/>
              <w:bottom w:val="nil"/>
              <w:right w:val="nil"/>
            </w:tcBorders>
            <w:vAlign w:val="bottom"/>
          </w:tcPr>
          <w:p w:rsidR="00DC2F2A" w:rsidRPr="001E3529" w:rsidRDefault="00DC2F2A" w:rsidP="00DC2F2A">
            <w:pPr>
              <w:jc w:val="right"/>
              <w:rPr>
                <w:rFonts w:cs="Calibri"/>
                <w:b/>
                <w:bCs/>
              </w:rPr>
            </w:pPr>
            <w:r w:rsidRPr="001E3529">
              <w:rPr>
                <w:rFonts w:cs="Calibri"/>
                <w:b/>
                <w:bCs/>
              </w:rPr>
              <w:t>2018/19</w:t>
            </w:r>
          </w:p>
        </w:tc>
        <w:tc>
          <w:tcPr>
            <w:tcW w:w="6418" w:type="dxa"/>
            <w:tcBorders>
              <w:top w:val="nil"/>
              <w:left w:val="nil"/>
              <w:bottom w:val="nil"/>
            </w:tcBorders>
            <w:vAlign w:val="bottom"/>
          </w:tcPr>
          <w:p w:rsidR="00DC2F2A" w:rsidRPr="001E3529" w:rsidRDefault="00DC2F2A" w:rsidP="00DC2F2A">
            <w:pPr>
              <w:jc w:val="right"/>
              <w:rPr>
                <w:rFonts w:cs="Calibri"/>
                <w:b/>
                <w:bCs/>
              </w:rPr>
            </w:pPr>
          </w:p>
        </w:tc>
        <w:tc>
          <w:tcPr>
            <w:tcW w:w="1488" w:type="dxa"/>
            <w:tcBorders>
              <w:bottom w:val="nil"/>
            </w:tcBorders>
            <w:vAlign w:val="bottom"/>
          </w:tcPr>
          <w:p w:rsidR="00DC2F2A" w:rsidRPr="001E3529" w:rsidRDefault="00DC2F2A" w:rsidP="00DC2F2A">
            <w:pPr>
              <w:jc w:val="right"/>
              <w:rPr>
                <w:rFonts w:cs="Calibri"/>
                <w:b/>
                <w:bCs/>
              </w:rPr>
            </w:pPr>
            <w:r w:rsidRPr="001E3529">
              <w:rPr>
                <w:rFonts w:cs="Calibri"/>
                <w:b/>
                <w:bCs/>
              </w:rPr>
              <w:t>2019/20</w:t>
            </w:r>
          </w:p>
        </w:tc>
      </w:tr>
      <w:tr w:rsidR="00DC2F2A" w:rsidRPr="001E3529" w:rsidTr="00DC2F2A">
        <w:trPr>
          <w:trHeight w:val="300"/>
        </w:trPr>
        <w:tc>
          <w:tcPr>
            <w:tcW w:w="1412" w:type="dxa"/>
            <w:tcBorders>
              <w:top w:val="nil"/>
              <w:left w:val="nil"/>
              <w:bottom w:val="single" w:sz="4" w:space="0" w:color="auto"/>
              <w:right w:val="nil"/>
            </w:tcBorders>
            <w:vAlign w:val="bottom"/>
          </w:tcPr>
          <w:p w:rsidR="00DC2F2A" w:rsidRPr="001E3529" w:rsidRDefault="00DC2F2A" w:rsidP="00DC2F2A">
            <w:pPr>
              <w:jc w:val="right"/>
              <w:rPr>
                <w:rFonts w:cs="Calibri"/>
                <w:b/>
                <w:bCs/>
              </w:rPr>
            </w:pPr>
            <w:r w:rsidRPr="001E3529">
              <w:rPr>
                <w:rFonts w:cs="Calibri"/>
                <w:b/>
                <w:bCs/>
              </w:rPr>
              <w:t>£m</w:t>
            </w:r>
          </w:p>
        </w:tc>
        <w:tc>
          <w:tcPr>
            <w:tcW w:w="6418" w:type="dxa"/>
            <w:tcBorders>
              <w:top w:val="nil"/>
              <w:left w:val="nil"/>
              <w:bottom w:val="nil"/>
            </w:tcBorders>
            <w:vAlign w:val="bottom"/>
          </w:tcPr>
          <w:p w:rsidR="00DC2F2A" w:rsidRPr="001E3529" w:rsidRDefault="00DC2F2A" w:rsidP="00DC2F2A">
            <w:pPr>
              <w:jc w:val="right"/>
              <w:rPr>
                <w:rFonts w:cs="Calibri"/>
                <w:b/>
                <w:bCs/>
              </w:rPr>
            </w:pPr>
          </w:p>
        </w:tc>
        <w:tc>
          <w:tcPr>
            <w:tcW w:w="1488" w:type="dxa"/>
            <w:tcBorders>
              <w:top w:val="nil"/>
              <w:bottom w:val="single" w:sz="4" w:space="0" w:color="auto"/>
            </w:tcBorders>
            <w:noWrap/>
            <w:vAlign w:val="bottom"/>
          </w:tcPr>
          <w:p w:rsidR="00DC2F2A" w:rsidRPr="001E3529" w:rsidRDefault="00DC2F2A" w:rsidP="00DC2F2A">
            <w:pPr>
              <w:jc w:val="right"/>
              <w:rPr>
                <w:rFonts w:cs="Calibri"/>
                <w:b/>
                <w:bCs/>
              </w:rPr>
            </w:pPr>
            <w:r w:rsidRPr="001E3529">
              <w:rPr>
                <w:rFonts w:cs="Calibri"/>
                <w:b/>
                <w:bCs/>
              </w:rPr>
              <w:t>£m</w:t>
            </w:r>
          </w:p>
        </w:tc>
      </w:tr>
      <w:tr w:rsidR="00DC2F2A" w:rsidRPr="001E3529" w:rsidTr="00DC2F2A">
        <w:trPr>
          <w:trHeight w:val="300"/>
        </w:trPr>
        <w:tc>
          <w:tcPr>
            <w:tcW w:w="1412" w:type="dxa"/>
            <w:tcBorders>
              <w:top w:val="single" w:sz="4" w:space="0" w:color="auto"/>
              <w:left w:val="single" w:sz="4" w:space="0" w:color="auto"/>
              <w:right w:val="single" w:sz="4" w:space="0" w:color="auto"/>
            </w:tcBorders>
          </w:tcPr>
          <w:p w:rsidR="00DC2F2A" w:rsidRPr="001E3529" w:rsidRDefault="00DC2F2A" w:rsidP="00DC2F2A">
            <w:pPr>
              <w:jc w:val="right"/>
              <w:rPr>
                <w:rFonts w:cs="Calibri"/>
                <w:color w:val="000000"/>
              </w:rPr>
            </w:pPr>
            <w:r w:rsidRPr="001E3529">
              <w:rPr>
                <w:rFonts w:cs="Calibri"/>
                <w:color w:val="000000"/>
              </w:rPr>
              <w:t>(115.5)</w:t>
            </w:r>
          </w:p>
        </w:tc>
        <w:tc>
          <w:tcPr>
            <w:tcW w:w="6418" w:type="dxa"/>
            <w:tcBorders>
              <w:top w:val="nil"/>
              <w:left w:val="single" w:sz="4" w:space="0" w:color="auto"/>
              <w:bottom w:val="nil"/>
              <w:right w:val="single" w:sz="4" w:space="0" w:color="auto"/>
            </w:tcBorders>
            <w:vAlign w:val="bottom"/>
          </w:tcPr>
          <w:p w:rsidR="00DC2F2A" w:rsidRPr="001E3529" w:rsidRDefault="00DC2F2A" w:rsidP="00DC2F2A">
            <w:pPr>
              <w:rPr>
                <w:rFonts w:cs="Calibri"/>
              </w:rPr>
            </w:pPr>
            <w:r w:rsidRPr="001E3529">
              <w:rPr>
                <w:rFonts w:cs="Calibri"/>
              </w:rPr>
              <w:t>Council tax income</w:t>
            </w:r>
          </w:p>
        </w:tc>
        <w:tc>
          <w:tcPr>
            <w:tcW w:w="1488" w:type="dxa"/>
            <w:tcBorders>
              <w:top w:val="single" w:sz="4" w:space="0" w:color="auto"/>
              <w:left w:val="single" w:sz="4" w:space="0" w:color="auto"/>
              <w:right w:val="single" w:sz="4" w:space="0" w:color="auto"/>
            </w:tcBorders>
            <w:noWrap/>
            <w:vAlign w:val="center"/>
          </w:tcPr>
          <w:p w:rsidR="00DC2F2A" w:rsidRPr="001E3529" w:rsidRDefault="00DC2F2A" w:rsidP="00DC2F2A">
            <w:pPr>
              <w:jc w:val="right"/>
              <w:rPr>
                <w:rFonts w:cs="Calibri"/>
                <w:color w:val="000000"/>
              </w:rPr>
            </w:pPr>
            <w:r>
              <w:rPr>
                <w:rFonts w:cs="Calibri"/>
                <w:color w:val="000000"/>
              </w:rPr>
              <w:t>(122.8</w:t>
            </w:r>
            <w:r w:rsidRPr="001E3529">
              <w:rPr>
                <w:rFonts w:cs="Calibri"/>
                <w:color w:val="000000"/>
              </w:rPr>
              <w:t>)</w:t>
            </w:r>
          </w:p>
        </w:tc>
      </w:tr>
      <w:tr w:rsidR="00DC2F2A" w:rsidRPr="001E3529" w:rsidTr="00DC2F2A">
        <w:trPr>
          <w:trHeight w:val="300"/>
        </w:trPr>
        <w:tc>
          <w:tcPr>
            <w:tcW w:w="1412" w:type="dxa"/>
            <w:tcBorders>
              <w:top w:val="nil"/>
              <w:left w:val="single" w:sz="4" w:space="0" w:color="auto"/>
              <w:right w:val="single" w:sz="4" w:space="0" w:color="auto"/>
            </w:tcBorders>
          </w:tcPr>
          <w:p w:rsidR="00DC2F2A" w:rsidRPr="001E3529" w:rsidRDefault="00DC2F2A" w:rsidP="00DC2F2A">
            <w:pPr>
              <w:jc w:val="right"/>
              <w:rPr>
                <w:rFonts w:cs="Calibri"/>
                <w:color w:val="000000"/>
                <w:highlight w:val="cyan"/>
              </w:rPr>
            </w:pPr>
            <w:r w:rsidRPr="001E3529">
              <w:rPr>
                <w:rFonts w:cs="Calibri"/>
                <w:color w:val="000000"/>
              </w:rPr>
              <w:t>(130.2)</w:t>
            </w:r>
          </w:p>
        </w:tc>
        <w:tc>
          <w:tcPr>
            <w:tcW w:w="6418" w:type="dxa"/>
            <w:tcBorders>
              <w:top w:val="nil"/>
              <w:left w:val="single" w:sz="4" w:space="0" w:color="auto"/>
              <w:bottom w:val="nil"/>
              <w:right w:val="single" w:sz="4" w:space="0" w:color="auto"/>
            </w:tcBorders>
            <w:vAlign w:val="bottom"/>
          </w:tcPr>
          <w:p w:rsidR="00DC2F2A" w:rsidRPr="001E3529" w:rsidRDefault="00DC2F2A" w:rsidP="00DC2F2A">
            <w:pPr>
              <w:rPr>
                <w:rFonts w:cs="Calibri"/>
              </w:rPr>
            </w:pPr>
            <w:r w:rsidRPr="001E3529">
              <w:rPr>
                <w:rFonts w:cs="Calibri"/>
              </w:rPr>
              <w:t>Business Rates</w:t>
            </w:r>
          </w:p>
        </w:tc>
        <w:tc>
          <w:tcPr>
            <w:tcW w:w="1488" w:type="dxa"/>
            <w:tcBorders>
              <w:top w:val="nil"/>
              <w:left w:val="single" w:sz="4" w:space="0" w:color="auto"/>
              <w:right w:val="single" w:sz="4" w:space="0" w:color="auto"/>
            </w:tcBorders>
            <w:noWrap/>
            <w:vAlign w:val="center"/>
          </w:tcPr>
          <w:p w:rsidR="00DC2F2A" w:rsidRPr="001E3529" w:rsidRDefault="00DC2F2A" w:rsidP="00DC2F2A">
            <w:pPr>
              <w:jc w:val="right"/>
              <w:rPr>
                <w:rFonts w:cs="Calibri"/>
                <w:color w:val="000000"/>
              </w:rPr>
            </w:pPr>
            <w:r w:rsidRPr="001E3529">
              <w:rPr>
                <w:rFonts w:cs="Calibri"/>
                <w:color w:val="000000"/>
              </w:rPr>
              <w:t>(115.9)</w:t>
            </w:r>
          </w:p>
        </w:tc>
      </w:tr>
      <w:tr w:rsidR="00DC2F2A" w:rsidRPr="001E3529" w:rsidTr="00DC2F2A">
        <w:trPr>
          <w:trHeight w:val="300"/>
        </w:trPr>
        <w:tc>
          <w:tcPr>
            <w:tcW w:w="1412" w:type="dxa"/>
            <w:tcBorders>
              <w:top w:val="nil"/>
              <w:left w:val="single" w:sz="4" w:space="0" w:color="auto"/>
              <w:right w:val="single" w:sz="4" w:space="0" w:color="auto"/>
            </w:tcBorders>
          </w:tcPr>
          <w:p w:rsidR="00DC2F2A" w:rsidRPr="001E3529" w:rsidRDefault="00DC2F2A" w:rsidP="00DC2F2A">
            <w:pPr>
              <w:jc w:val="right"/>
              <w:rPr>
                <w:rFonts w:cs="Calibri"/>
                <w:color w:val="000000"/>
              </w:rPr>
            </w:pPr>
            <w:r w:rsidRPr="001E3529">
              <w:rPr>
                <w:rFonts w:cs="Calibri"/>
                <w:color w:val="000000"/>
              </w:rPr>
              <w:t>(16.4)</w:t>
            </w:r>
          </w:p>
        </w:tc>
        <w:tc>
          <w:tcPr>
            <w:tcW w:w="6418" w:type="dxa"/>
            <w:tcBorders>
              <w:top w:val="nil"/>
              <w:left w:val="single" w:sz="4" w:space="0" w:color="auto"/>
              <w:bottom w:val="nil"/>
              <w:right w:val="single" w:sz="4" w:space="0" w:color="auto"/>
            </w:tcBorders>
            <w:vAlign w:val="bottom"/>
          </w:tcPr>
          <w:p w:rsidR="00DC2F2A" w:rsidRPr="001E3529" w:rsidRDefault="00DC2F2A" w:rsidP="00DC2F2A">
            <w:pPr>
              <w:rPr>
                <w:rFonts w:cs="Calibri"/>
              </w:rPr>
            </w:pPr>
            <w:r w:rsidRPr="001E3529">
              <w:rPr>
                <w:rFonts w:cs="Calibri"/>
              </w:rPr>
              <w:t>Other  government grants &amp; taxation</w:t>
            </w:r>
          </w:p>
        </w:tc>
        <w:tc>
          <w:tcPr>
            <w:tcW w:w="1488" w:type="dxa"/>
            <w:tcBorders>
              <w:top w:val="nil"/>
              <w:left w:val="single" w:sz="4" w:space="0" w:color="auto"/>
              <w:right w:val="single" w:sz="4" w:space="0" w:color="auto"/>
            </w:tcBorders>
            <w:noWrap/>
            <w:vAlign w:val="center"/>
          </w:tcPr>
          <w:p w:rsidR="00DC2F2A" w:rsidRPr="001E3529" w:rsidRDefault="00DC2F2A" w:rsidP="00DC2F2A">
            <w:pPr>
              <w:jc w:val="right"/>
              <w:rPr>
                <w:rFonts w:cs="Calibri"/>
                <w:color w:val="000000"/>
              </w:rPr>
            </w:pPr>
            <w:r w:rsidRPr="001E3529">
              <w:rPr>
                <w:rFonts w:cs="Calibri"/>
                <w:color w:val="000000"/>
              </w:rPr>
              <w:t>(18.8)</w:t>
            </w:r>
          </w:p>
        </w:tc>
      </w:tr>
      <w:tr w:rsidR="00DC2F2A" w:rsidRPr="001E3529" w:rsidTr="00DC2F2A">
        <w:trPr>
          <w:trHeight w:val="300"/>
        </w:trPr>
        <w:tc>
          <w:tcPr>
            <w:tcW w:w="1412" w:type="dxa"/>
            <w:tcBorders>
              <w:top w:val="nil"/>
              <w:left w:val="single" w:sz="8" w:space="0" w:color="auto"/>
              <w:bottom w:val="single" w:sz="4" w:space="0" w:color="auto"/>
              <w:right w:val="single" w:sz="8" w:space="0" w:color="auto"/>
            </w:tcBorders>
          </w:tcPr>
          <w:p w:rsidR="00DC2F2A" w:rsidRPr="001E3529" w:rsidRDefault="00DC2F2A" w:rsidP="00DC2F2A">
            <w:pPr>
              <w:jc w:val="right"/>
              <w:rPr>
                <w:rFonts w:cs="Calibri"/>
                <w:color w:val="000000"/>
              </w:rPr>
            </w:pPr>
            <w:r w:rsidRPr="001E3529">
              <w:rPr>
                <w:rFonts w:cs="Calibri"/>
                <w:color w:val="000000"/>
              </w:rPr>
              <w:t>(66.6)</w:t>
            </w:r>
          </w:p>
        </w:tc>
        <w:tc>
          <w:tcPr>
            <w:tcW w:w="6418" w:type="dxa"/>
            <w:tcBorders>
              <w:top w:val="nil"/>
              <w:left w:val="single" w:sz="4" w:space="0" w:color="auto"/>
              <w:right w:val="single" w:sz="4" w:space="0" w:color="auto"/>
            </w:tcBorders>
            <w:vAlign w:val="bottom"/>
          </w:tcPr>
          <w:p w:rsidR="00DC2F2A" w:rsidRPr="001E3529" w:rsidRDefault="00DC2F2A" w:rsidP="00DC2F2A">
            <w:pPr>
              <w:rPr>
                <w:rFonts w:cs="Calibri"/>
              </w:rPr>
            </w:pPr>
            <w:r w:rsidRPr="001E3529">
              <w:rPr>
                <w:rFonts w:cs="Calibri"/>
              </w:rPr>
              <w:t>Capital grants and contributions</w:t>
            </w:r>
          </w:p>
        </w:tc>
        <w:tc>
          <w:tcPr>
            <w:tcW w:w="1488" w:type="dxa"/>
            <w:tcBorders>
              <w:top w:val="nil"/>
              <w:left w:val="single" w:sz="8" w:space="0" w:color="auto"/>
              <w:bottom w:val="single" w:sz="4" w:space="0" w:color="auto"/>
              <w:right w:val="single" w:sz="8" w:space="0" w:color="auto"/>
            </w:tcBorders>
            <w:noWrap/>
            <w:vAlign w:val="center"/>
          </w:tcPr>
          <w:p w:rsidR="00DC2F2A" w:rsidRPr="001E3529" w:rsidRDefault="00DC2F2A" w:rsidP="00DC2F2A">
            <w:pPr>
              <w:jc w:val="right"/>
              <w:rPr>
                <w:rFonts w:cs="Calibri"/>
                <w:color w:val="000000"/>
              </w:rPr>
            </w:pPr>
            <w:r w:rsidRPr="001E3529">
              <w:rPr>
                <w:rFonts w:cs="Calibri"/>
                <w:color w:val="000000"/>
              </w:rPr>
              <w:t>(72.0)</w:t>
            </w:r>
          </w:p>
        </w:tc>
      </w:tr>
      <w:tr w:rsidR="00DC2F2A" w:rsidRPr="001E3529" w:rsidTr="00DC2F2A">
        <w:trPr>
          <w:trHeight w:val="300"/>
        </w:trPr>
        <w:tc>
          <w:tcPr>
            <w:tcW w:w="1412" w:type="dxa"/>
            <w:tcBorders>
              <w:top w:val="single" w:sz="4" w:space="0" w:color="auto"/>
              <w:left w:val="single" w:sz="4" w:space="0" w:color="auto"/>
              <w:bottom w:val="single" w:sz="4" w:space="0" w:color="auto"/>
              <w:right w:val="single" w:sz="4" w:space="0" w:color="auto"/>
            </w:tcBorders>
            <w:vAlign w:val="center"/>
          </w:tcPr>
          <w:p w:rsidR="00DC2F2A" w:rsidRPr="001E3529" w:rsidRDefault="00DC2F2A" w:rsidP="00DC2F2A">
            <w:pPr>
              <w:jc w:val="right"/>
              <w:rPr>
                <w:rFonts w:cs="Calibri"/>
                <w:b/>
                <w:bCs/>
                <w:color w:val="000000"/>
              </w:rPr>
            </w:pPr>
            <w:r w:rsidRPr="001E3529">
              <w:rPr>
                <w:rFonts w:cs="Calibri"/>
                <w:b/>
                <w:bCs/>
                <w:color w:val="000000"/>
              </w:rPr>
              <w:t>(328.7)</w:t>
            </w:r>
          </w:p>
        </w:tc>
        <w:tc>
          <w:tcPr>
            <w:tcW w:w="6418" w:type="dxa"/>
            <w:tcBorders>
              <w:left w:val="single" w:sz="4" w:space="0" w:color="auto"/>
              <w:right w:val="single" w:sz="4" w:space="0" w:color="auto"/>
            </w:tcBorders>
            <w:vAlign w:val="bottom"/>
          </w:tcPr>
          <w:p w:rsidR="00DC2F2A" w:rsidRPr="001E3529" w:rsidRDefault="00DC2F2A" w:rsidP="00DC2F2A">
            <w:pPr>
              <w:rPr>
                <w:rFonts w:cs="Calibri"/>
                <w:b/>
                <w:bCs/>
              </w:rPr>
            </w:pPr>
            <w:r w:rsidRPr="001E3529">
              <w:rPr>
                <w:rFonts w:cs="Calibri"/>
                <w:b/>
                <w:bCs/>
              </w:rPr>
              <w:t>Total</w:t>
            </w:r>
          </w:p>
        </w:tc>
        <w:tc>
          <w:tcPr>
            <w:tcW w:w="1488" w:type="dxa"/>
            <w:tcBorders>
              <w:top w:val="single" w:sz="4" w:space="0" w:color="auto"/>
              <w:left w:val="nil"/>
              <w:bottom w:val="single" w:sz="4" w:space="0" w:color="auto"/>
              <w:right w:val="single" w:sz="4" w:space="0" w:color="auto"/>
            </w:tcBorders>
            <w:noWrap/>
            <w:vAlign w:val="center"/>
          </w:tcPr>
          <w:p w:rsidR="00DC2F2A" w:rsidRPr="001E3529" w:rsidRDefault="00DC2F2A" w:rsidP="00DC2F2A">
            <w:pPr>
              <w:jc w:val="right"/>
              <w:rPr>
                <w:rFonts w:cs="Calibri"/>
                <w:b/>
                <w:bCs/>
                <w:color w:val="000000"/>
              </w:rPr>
            </w:pPr>
            <w:r>
              <w:rPr>
                <w:rFonts w:cs="Calibri"/>
                <w:b/>
                <w:bCs/>
                <w:color w:val="000000"/>
              </w:rPr>
              <w:t>(329.5</w:t>
            </w:r>
            <w:r w:rsidRPr="001E3529">
              <w:rPr>
                <w:rFonts w:cs="Calibri"/>
                <w:b/>
                <w:bCs/>
                <w:color w:val="000000"/>
              </w:rPr>
              <w:t>)</w:t>
            </w:r>
          </w:p>
        </w:tc>
      </w:tr>
    </w:tbl>
    <w:p w:rsidR="00F72906" w:rsidRDefault="00F72906" w:rsidP="00F72906"/>
    <w:p w:rsidR="00DC2F2A" w:rsidRDefault="00DC2F2A" w:rsidP="00DC2F2A">
      <w:pPr>
        <w:pStyle w:val="Heading2"/>
        <w:sectPr w:rsidR="00DC2F2A" w:rsidSect="0003552F">
          <w:pgSz w:w="11906" w:h="16838"/>
          <w:pgMar w:top="1440" w:right="1440" w:bottom="1440" w:left="1440" w:header="708" w:footer="708" w:gutter="0"/>
          <w:cols w:space="708"/>
          <w:docGrid w:linePitch="360"/>
        </w:sectPr>
      </w:pPr>
    </w:p>
    <w:p w:rsidR="00F72906" w:rsidRDefault="00F72906" w:rsidP="00DC2F2A">
      <w:pPr>
        <w:pStyle w:val="Heading2"/>
      </w:pPr>
      <w:bookmarkStart w:id="13" w:name="_Toc61870283"/>
      <w:r>
        <w:lastRenderedPageBreak/>
        <w:t>Expenditure and Funding Analysis Notes</w:t>
      </w:r>
      <w:bookmarkEnd w:id="13"/>
    </w:p>
    <w:p w:rsidR="00F72906" w:rsidRDefault="00F72906" w:rsidP="00DC2F2A">
      <w:pPr>
        <w:pStyle w:val="Heading3"/>
      </w:pPr>
      <w:r>
        <w:t>Note 14 – Expenditure and Funding Analysis</w:t>
      </w:r>
    </w:p>
    <w:tbl>
      <w:tblPr>
        <w:tblStyle w:val="TableGrid"/>
        <w:tblW w:w="15593" w:type="dxa"/>
        <w:tblInd w:w="-289" w:type="dxa"/>
        <w:tblLook w:val="04A0" w:firstRow="1" w:lastRow="0" w:firstColumn="1" w:lastColumn="0" w:noHBand="0" w:noVBand="1"/>
        <w:tblCaption w:val="2019/20 Note 14"/>
        <w:tblDescription w:val="Table showing 2019/20 Note 14 Expenditure and Funding Analysis"/>
      </w:tblPr>
      <w:tblGrid>
        <w:gridCol w:w="2052"/>
        <w:gridCol w:w="1468"/>
        <w:gridCol w:w="1174"/>
        <w:gridCol w:w="1322"/>
        <w:gridCol w:w="1175"/>
        <w:gridCol w:w="1428"/>
        <w:gridCol w:w="1509"/>
        <w:gridCol w:w="1378"/>
        <w:gridCol w:w="1394"/>
        <w:gridCol w:w="992"/>
        <w:gridCol w:w="1701"/>
      </w:tblGrid>
      <w:tr w:rsidR="00DC2F2A" w:rsidRPr="00F95887" w:rsidTr="00DC2F2A">
        <w:trPr>
          <w:trHeight w:val="510"/>
          <w:tblHeader/>
        </w:trPr>
        <w:tc>
          <w:tcPr>
            <w:tcW w:w="2052" w:type="dxa"/>
            <w:vMerge w:val="restart"/>
            <w:noWrap/>
            <w:vAlign w:val="center"/>
            <w:hideMark/>
          </w:tcPr>
          <w:p w:rsidR="00DC2F2A" w:rsidRPr="00F95887" w:rsidRDefault="00DC2F2A" w:rsidP="00DC2F2A">
            <w:pPr>
              <w:rPr>
                <w:rFonts w:cs="Calibri"/>
                <w:b/>
                <w:sz w:val="22"/>
                <w:szCs w:val="22"/>
              </w:rPr>
            </w:pPr>
            <w:r w:rsidRPr="00F95887">
              <w:rPr>
                <w:rFonts w:cs="Calibri"/>
                <w:b/>
                <w:sz w:val="22"/>
                <w:szCs w:val="22"/>
              </w:rPr>
              <w:t>2019-20</w:t>
            </w:r>
          </w:p>
        </w:tc>
        <w:tc>
          <w:tcPr>
            <w:tcW w:w="5139" w:type="dxa"/>
            <w:gridSpan w:val="4"/>
            <w:noWrap/>
            <w:vAlign w:val="center"/>
            <w:hideMark/>
          </w:tcPr>
          <w:p w:rsidR="00DC2F2A" w:rsidRPr="00F95887" w:rsidRDefault="00DC2F2A" w:rsidP="00DC2F2A">
            <w:pPr>
              <w:jc w:val="center"/>
              <w:rPr>
                <w:rFonts w:cs="Calibri"/>
                <w:b/>
                <w:color w:val="000000"/>
                <w:sz w:val="22"/>
                <w:szCs w:val="22"/>
              </w:rPr>
            </w:pPr>
            <w:r w:rsidRPr="00F95887">
              <w:rPr>
                <w:rFonts w:cs="Calibri"/>
                <w:b/>
                <w:color w:val="000000"/>
                <w:sz w:val="22"/>
                <w:szCs w:val="22"/>
              </w:rPr>
              <w:t>Comprehensive Income and Expenditure Statement</w:t>
            </w:r>
          </w:p>
        </w:tc>
        <w:tc>
          <w:tcPr>
            <w:tcW w:w="6701" w:type="dxa"/>
            <w:gridSpan w:val="5"/>
            <w:noWrap/>
            <w:vAlign w:val="center"/>
            <w:hideMark/>
          </w:tcPr>
          <w:p w:rsidR="00DC2F2A" w:rsidRPr="00F95887" w:rsidRDefault="00DC2F2A" w:rsidP="00DC2F2A">
            <w:pPr>
              <w:jc w:val="center"/>
              <w:rPr>
                <w:rFonts w:cs="Calibri"/>
                <w:b/>
                <w:color w:val="000000"/>
                <w:sz w:val="22"/>
                <w:szCs w:val="22"/>
              </w:rPr>
            </w:pPr>
            <w:r w:rsidRPr="00F95887">
              <w:rPr>
                <w:rFonts w:cs="Calibri"/>
                <w:b/>
                <w:color w:val="000000"/>
                <w:sz w:val="22"/>
                <w:szCs w:val="22"/>
              </w:rPr>
              <w:t>Movement in Reserves</w:t>
            </w:r>
          </w:p>
        </w:tc>
        <w:tc>
          <w:tcPr>
            <w:tcW w:w="1701" w:type="dxa"/>
            <w:vAlign w:val="center"/>
            <w:hideMark/>
          </w:tcPr>
          <w:p w:rsidR="00DC2F2A" w:rsidRPr="00F95887" w:rsidRDefault="00DC2F2A" w:rsidP="00DC2F2A">
            <w:pPr>
              <w:jc w:val="center"/>
              <w:rPr>
                <w:rFonts w:cs="Calibri"/>
                <w:b/>
                <w:color w:val="000000"/>
                <w:sz w:val="22"/>
                <w:szCs w:val="22"/>
              </w:rPr>
            </w:pPr>
            <w:r w:rsidRPr="00F95887">
              <w:rPr>
                <w:rFonts w:cs="Calibri"/>
                <w:b/>
                <w:color w:val="000000"/>
                <w:sz w:val="22"/>
                <w:szCs w:val="22"/>
              </w:rPr>
              <w:t>Position on HRA and General Fund(£m)</w:t>
            </w:r>
          </w:p>
        </w:tc>
      </w:tr>
      <w:tr w:rsidR="00DC2F2A" w:rsidRPr="00F95887" w:rsidTr="00DC2F2A">
        <w:trPr>
          <w:trHeight w:val="510"/>
          <w:tblHeader/>
        </w:trPr>
        <w:tc>
          <w:tcPr>
            <w:tcW w:w="2052" w:type="dxa"/>
            <w:vMerge/>
            <w:noWrap/>
            <w:vAlign w:val="center"/>
            <w:hideMark/>
          </w:tcPr>
          <w:p w:rsidR="00DC2F2A" w:rsidRPr="00F95887" w:rsidRDefault="00DC2F2A" w:rsidP="00DC2F2A">
            <w:pPr>
              <w:rPr>
                <w:rFonts w:cs="Calibri"/>
                <w:b/>
                <w:color w:val="000000"/>
                <w:sz w:val="22"/>
                <w:szCs w:val="22"/>
              </w:rPr>
            </w:pPr>
          </w:p>
        </w:tc>
        <w:tc>
          <w:tcPr>
            <w:tcW w:w="1468" w:type="dxa"/>
            <w:vAlign w:val="center"/>
            <w:hideMark/>
          </w:tcPr>
          <w:p w:rsidR="00DC2F2A" w:rsidRPr="00F95887" w:rsidRDefault="00DC2F2A" w:rsidP="00DC2F2A">
            <w:pPr>
              <w:ind w:right="-79"/>
              <w:jc w:val="center"/>
              <w:rPr>
                <w:rFonts w:cs="Calibri"/>
                <w:b/>
                <w:color w:val="000000"/>
                <w:sz w:val="22"/>
                <w:szCs w:val="22"/>
              </w:rPr>
            </w:pPr>
            <w:r w:rsidRPr="00F95887">
              <w:rPr>
                <w:rFonts w:cs="Calibri"/>
                <w:b/>
                <w:color w:val="000000"/>
                <w:sz w:val="22"/>
                <w:szCs w:val="22"/>
              </w:rPr>
              <w:t>Total expenditure (£m)</w:t>
            </w:r>
          </w:p>
        </w:tc>
        <w:tc>
          <w:tcPr>
            <w:tcW w:w="1174" w:type="dxa"/>
            <w:vAlign w:val="center"/>
            <w:hideMark/>
          </w:tcPr>
          <w:p w:rsidR="00DC2F2A" w:rsidRPr="00F95887" w:rsidRDefault="00DC2F2A" w:rsidP="00DC2F2A">
            <w:pPr>
              <w:ind w:right="-79"/>
              <w:jc w:val="center"/>
              <w:rPr>
                <w:rFonts w:cs="Calibri"/>
                <w:b/>
                <w:color w:val="000000"/>
                <w:sz w:val="22"/>
                <w:szCs w:val="22"/>
              </w:rPr>
            </w:pPr>
            <w:r w:rsidRPr="00F95887">
              <w:rPr>
                <w:rFonts w:cs="Calibri"/>
                <w:b/>
                <w:color w:val="000000"/>
                <w:sz w:val="22"/>
                <w:szCs w:val="22"/>
              </w:rPr>
              <w:t>Total income (£m)</w:t>
            </w:r>
          </w:p>
        </w:tc>
        <w:tc>
          <w:tcPr>
            <w:tcW w:w="1322" w:type="dxa"/>
            <w:vAlign w:val="center"/>
            <w:hideMark/>
          </w:tcPr>
          <w:p w:rsidR="00DC2F2A" w:rsidRPr="00F95887" w:rsidRDefault="00DC2F2A" w:rsidP="00DC2F2A">
            <w:pPr>
              <w:ind w:right="-79"/>
              <w:jc w:val="center"/>
              <w:rPr>
                <w:rFonts w:cs="Calibri"/>
                <w:b/>
                <w:color w:val="000000"/>
                <w:sz w:val="22"/>
                <w:szCs w:val="22"/>
              </w:rPr>
            </w:pPr>
            <w:r w:rsidRPr="00F95887">
              <w:rPr>
                <w:rFonts w:cs="Calibri"/>
                <w:b/>
                <w:color w:val="000000"/>
                <w:sz w:val="22"/>
                <w:szCs w:val="22"/>
              </w:rPr>
              <w:t>Below cost of services on CIES (£m)</w:t>
            </w:r>
          </w:p>
        </w:tc>
        <w:tc>
          <w:tcPr>
            <w:tcW w:w="1175" w:type="dxa"/>
            <w:vAlign w:val="center"/>
            <w:hideMark/>
          </w:tcPr>
          <w:p w:rsidR="00DC2F2A" w:rsidRPr="00F95887" w:rsidRDefault="00DC2F2A" w:rsidP="00DC2F2A">
            <w:pPr>
              <w:ind w:right="-79"/>
              <w:jc w:val="center"/>
              <w:rPr>
                <w:rFonts w:cs="Calibri"/>
                <w:b/>
                <w:color w:val="000000"/>
                <w:sz w:val="22"/>
                <w:szCs w:val="22"/>
              </w:rPr>
            </w:pPr>
            <w:r w:rsidRPr="00F95887">
              <w:rPr>
                <w:rFonts w:cs="Calibri"/>
                <w:b/>
                <w:color w:val="000000"/>
                <w:sz w:val="22"/>
                <w:szCs w:val="22"/>
              </w:rPr>
              <w:t>Subtotal (£m)</w:t>
            </w:r>
          </w:p>
        </w:tc>
        <w:tc>
          <w:tcPr>
            <w:tcW w:w="1428" w:type="dxa"/>
            <w:vAlign w:val="center"/>
            <w:hideMark/>
          </w:tcPr>
          <w:p w:rsidR="00DC2F2A" w:rsidRPr="00F95887" w:rsidRDefault="00DC2F2A" w:rsidP="00DC2F2A">
            <w:pPr>
              <w:ind w:right="-79"/>
              <w:jc w:val="center"/>
              <w:rPr>
                <w:rFonts w:cs="Calibri"/>
                <w:b/>
                <w:color w:val="000000"/>
                <w:sz w:val="22"/>
                <w:szCs w:val="22"/>
              </w:rPr>
            </w:pPr>
            <w:r w:rsidRPr="00F95887">
              <w:rPr>
                <w:rFonts w:cs="Calibri"/>
                <w:b/>
                <w:color w:val="000000"/>
                <w:sz w:val="22"/>
                <w:szCs w:val="22"/>
              </w:rPr>
              <w:t>Adjustments for capital purposes (£m)</w:t>
            </w:r>
          </w:p>
        </w:tc>
        <w:tc>
          <w:tcPr>
            <w:tcW w:w="1509" w:type="dxa"/>
            <w:vAlign w:val="center"/>
            <w:hideMark/>
          </w:tcPr>
          <w:p w:rsidR="00DC2F2A" w:rsidRPr="00F95887" w:rsidRDefault="00DC2F2A" w:rsidP="00DC2F2A">
            <w:pPr>
              <w:ind w:right="-79"/>
              <w:jc w:val="center"/>
              <w:rPr>
                <w:rFonts w:cs="Calibri"/>
                <w:b/>
                <w:color w:val="000000"/>
                <w:sz w:val="22"/>
                <w:szCs w:val="22"/>
              </w:rPr>
            </w:pPr>
            <w:r w:rsidRPr="00F95887">
              <w:rPr>
                <w:rFonts w:cs="Calibri"/>
                <w:b/>
                <w:color w:val="000000"/>
                <w:sz w:val="22"/>
                <w:szCs w:val="22"/>
              </w:rPr>
              <w:t>Net change for Pension Adjustments (£m)</w:t>
            </w:r>
          </w:p>
        </w:tc>
        <w:tc>
          <w:tcPr>
            <w:tcW w:w="1378" w:type="dxa"/>
            <w:vAlign w:val="center"/>
            <w:hideMark/>
          </w:tcPr>
          <w:p w:rsidR="00DC2F2A" w:rsidRPr="00F95887" w:rsidRDefault="00DC2F2A" w:rsidP="00DC2F2A">
            <w:pPr>
              <w:ind w:right="-79"/>
              <w:jc w:val="center"/>
              <w:rPr>
                <w:rFonts w:cs="Calibri"/>
                <w:b/>
                <w:color w:val="000000"/>
                <w:sz w:val="22"/>
                <w:szCs w:val="22"/>
              </w:rPr>
            </w:pPr>
            <w:r w:rsidRPr="00F95887">
              <w:rPr>
                <w:rFonts w:cs="Calibri"/>
                <w:b/>
                <w:color w:val="000000"/>
                <w:sz w:val="22"/>
                <w:szCs w:val="22"/>
              </w:rPr>
              <w:t>Other Statutory Adjustments (£m)</w:t>
            </w:r>
          </w:p>
        </w:tc>
        <w:tc>
          <w:tcPr>
            <w:tcW w:w="1394" w:type="dxa"/>
            <w:vAlign w:val="center"/>
            <w:hideMark/>
          </w:tcPr>
          <w:p w:rsidR="00DC2F2A" w:rsidRPr="00F95887" w:rsidRDefault="00DC2F2A" w:rsidP="00DC2F2A">
            <w:pPr>
              <w:ind w:right="-79"/>
              <w:jc w:val="center"/>
              <w:rPr>
                <w:rFonts w:cs="Calibri"/>
                <w:b/>
                <w:color w:val="000000"/>
                <w:sz w:val="22"/>
                <w:szCs w:val="22"/>
              </w:rPr>
            </w:pPr>
            <w:r w:rsidRPr="00F95887">
              <w:rPr>
                <w:rFonts w:cs="Calibri"/>
                <w:b/>
                <w:color w:val="000000"/>
                <w:sz w:val="22"/>
                <w:szCs w:val="22"/>
              </w:rPr>
              <w:t>Transfers to/from reserves (£m)</w:t>
            </w:r>
          </w:p>
        </w:tc>
        <w:tc>
          <w:tcPr>
            <w:tcW w:w="992" w:type="dxa"/>
            <w:vAlign w:val="center"/>
            <w:hideMark/>
          </w:tcPr>
          <w:p w:rsidR="00DC2F2A" w:rsidRPr="00F95887" w:rsidRDefault="00DC2F2A" w:rsidP="00DC2F2A">
            <w:pPr>
              <w:ind w:right="-79"/>
              <w:jc w:val="center"/>
              <w:rPr>
                <w:rFonts w:cs="Calibri"/>
                <w:b/>
                <w:sz w:val="22"/>
                <w:szCs w:val="22"/>
              </w:rPr>
            </w:pPr>
            <w:r w:rsidRPr="00F95887">
              <w:rPr>
                <w:rFonts w:cs="Calibri"/>
                <w:b/>
                <w:sz w:val="22"/>
                <w:szCs w:val="22"/>
              </w:rPr>
              <w:t xml:space="preserve">Subtotal </w:t>
            </w:r>
            <w:r w:rsidRPr="00F95887">
              <w:rPr>
                <w:rFonts w:cs="Calibri"/>
                <w:b/>
                <w:color w:val="000000"/>
                <w:sz w:val="22"/>
                <w:szCs w:val="22"/>
              </w:rPr>
              <w:t>(£m)</w:t>
            </w:r>
          </w:p>
        </w:tc>
        <w:tc>
          <w:tcPr>
            <w:tcW w:w="1701" w:type="dxa"/>
            <w:vAlign w:val="center"/>
            <w:hideMark/>
          </w:tcPr>
          <w:p w:rsidR="00DC2F2A" w:rsidRPr="00F95887" w:rsidRDefault="00DC2F2A" w:rsidP="00DC2F2A">
            <w:pPr>
              <w:ind w:right="-79"/>
              <w:jc w:val="center"/>
              <w:rPr>
                <w:rFonts w:cs="Calibri"/>
                <w:b/>
                <w:color w:val="000000"/>
                <w:sz w:val="22"/>
                <w:szCs w:val="22"/>
              </w:rPr>
            </w:pPr>
          </w:p>
        </w:tc>
      </w:tr>
      <w:tr w:rsidR="00DC2F2A" w:rsidRPr="00B506C7" w:rsidTr="00DC2F2A">
        <w:trPr>
          <w:trHeight w:val="510"/>
        </w:trPr>
        <w:tc>
          <w:tcPr>
            <w:tcW w:w="2052" w:type="dxa"/>
            <w:vAlign w:val="center"/>
            <w:hideMark/>
          </w:tcPr>
          <w:p w:rsidR="00DC2F2A" w:rsidRPr="00F95887" w:rsidRDefault="00DC2F2A" w:rsidP="00DC2F2A">
            <w:pPr>
              <w:rPr>
                <w:rFonts w:cs="Calibri"/>
                <w:b/>
                <w:color w:val="000000"/>
                <w:sz w:val="22"/>
                <w:szCs w:val="22"/>
              </w:rPr>
            </w:pPr>
            <w:r w:rsidRPr="00F95887">
              <w:rPr>
                <w:rFonts w:cs="Calibri"/>
                <w:b/>
                <w:color w:val="000000"/>
                <w:sz w:val="22"/>
                <w:szCs w:val="22"/>
              </w:rPr>
              <w:t>(DSG) Children And Young People</w:t>
            </w:r>
          </w:p>
        </w:tc>
        <w:tc>
          <w:tcPr>
            <w:tcW w:w="1468" w:type="dxa"/>
            <w:noWrap/>
            <w:vAlign w:val="center"/>
            <w:hideMark/>
          </w:tcPr>
          <w:p w:rsidR="00DC2F2A" w:rsidRPr="00F95887" w:rsidRDefault="00D33F11" w:rsidP="00DC2F2A">
            <w:pPr>
              <w:ind w:right="-79"/>
              <w:jc w:val="center"/>
              <w:rPr>
                <w:rFonts w:cs="Calibri"/>
                <w:color w:val="000000"/>
                <w:sz w:val="22"/>
                <w:szCs w:val="22"/>
              </w:rPr>
            </w:pPr>
            <w:r>
              <w:rPr>
                <w:rFonts w:cs="Calibri"/>
                <w:color w:val="000000"/>
                <w:sz w:val="22"/>
                <w:szCs w:val="22"/>
              </w:rPr>
              <w:t>233.8</w:t>
            </w:r>
          </w:p>
        </w:tc>
        <w:tc>
          <w:tcPr>
            <w:tcW w:w="1174" w:type="dxa"/>
            <w:noWrap/>
            <w:vAlign w:val="center"/>
            <w:hideMark/>
          </w:tcPr>
          <w:p w:rsidR="00DC2F2A" w:rsidRPr="00F95887" w:rsidRDefault="00DC2F2A" w:rsidP="00DC2F2A">
            <w:pPr>
              <w:ind w:right="-79"/>
              <w:jc w:val="center"/>
              <w:rPr>
                <w:rFonts w:cs="Calibri"/>
                <w:color w:val="000000"/>
                <w:sz w:val="22"/>
                <w:szCs w:val="22"/>
              </w:rPr>
            </w:pPr>
            <w:r w:rsidRPr="00F95887">
              <w:rPr>
                <w:rFonts w:cs="Calibri"/>
                <w:color w:val="000000"/>
                <w:sz w:val="22"/>
                <w:szCs w:val="22"/>
              </w:rPr>
              <w:t>(202.3)</w:t>
            </w:r>
          </w:p>
        </w:tc>
        <w:tc>
          <w:tcPr>
            <w:tcW w:w="1322" w:type="dxa"/>
            <w:noWrap/>
            <w:vAlign w:val="center"/>
            <w:hideMark/>
          </w:tcPr>
          <w:p w:rsidR="00DC2F2A" w:rsidRPr="00F95887" w:rsidRDefault="00DC2F2A" w:rsidP="00DC2F2A">
            <w:pPr>
              <w:ind w:right="-79"/>
              <w:jc w:val="center"/>
              <w:rPr>
                <w:rFonts w:cs="Calibri"/>
                <w:color w:val="000000"/>
                <w:sz w:val="22"/>
                <w:szCs w:val="22"/>
              </w:rPr>
            </w:pPr>
            <w:r w:rsidRPr="00F95887">
              <w:rPr>
                <w:rFonts w:cs="Calibri"/>
                <w:color w:val="000000"/>
                <w:sz w:val="22"/>
                <w:szCs w:val="22"/>
              </w:rPr>
              <w:t>0.3</w:t>
            </w:r>
          </w:p>
        </w:tc>
        <w:tc>
          <w:tcPr>
            <w:tcW w:w="1175" w:type="dxa"/>
            <w:noWrap/>
            <w:vAlign w:val="center"/>
            <w:hideMark/>
          </w:tcPr>
          <w:p w:rsidR="00DC2F2A" w:rsidRPr="00F95887" w:rsidRDefault="00D33F11" w:rsidP="00DC2F2A">
            <w:pPr>
              <w:ind w:right="-79"/>
              <w:jc w:val="center"/>
              <w:rPr>
                <w:rFonts w:cs="Calibri"/>
                <w:color w:val="000000"/>
                <w:sz w:val="22"/>
                <w:szCs w:val="22"/>
              </w:rPr>
            </w:pPr>
            <w:r>
              <w:rPr>
                <w:rFonts w:cs="Calibri"/>
                <w:color w:val="000000"/>
                <w:sz w:val="22"/>
                <w:szCs w:val="22"/>
              </w:rPr>
              <w:t>31.8</w:t>
            </w:r>
          </w:p>
        </w:tc>
        <w:tc>
          <w:tcPr>
            <w:tcW w:w="1428" w:type="dxa"/>
            <w:noWrap/>
            <w:vAlign w:val="center"/>
            <w:hideMark/>
          </w:tcPr>
          <w:p w:rsidR="00DC2F2A" w:rsidRPr="00F95887" w:rsidRDefault="00D33F11" w:rsidP="00DC2F2A">
            <w:pPr>
              <w:ind w:right="-79"/>
              <w:jc w:val="center"/>
              <w:rPr>
                <w:rFonts w:cs="Calibri"/>
                <w:color w:val="000000"/>
                <w:sz w:val="22"/>
                <w:szCs w:val="22"/>
              </w:rPr>
            </w:pPr>
            <w:r>
              <w:rPr>
                <w:rFonts w:cs="Calibri"/>
                <w:color w:val="000000"/>
                <w:sz w:val="22"/>
                <w:szCs w:val="22"/>
              </w:rPr>
              <w:t>(18.7</w:t>
            </w:r>
            <w:r w:rsidR="00DC2F2A" w:rsidRPr="00F95887">
              <w:rPr>
                <w:rFonts w:cs="Calibri"/>
                <w:color w:val="000000"/>
                <w:sz w:val="22"/>
                <w:szCs w:val="22"/>
              </w:rPr>
              <w:t>)</w:t>
            </w:r>
          </w:p>
        </w:tc>
        <w:tc>
          <w:tcPr>
            <w:tcW w:w="1509" w:type="dxa"/>
            <w:noWrap/>
            <w:vAlign w:val="center"/>
            <w:hideMark/>
          </w:tcPr>
          <w:p w:rsidR="00DC2F2A" w:rsidRPr="00F95887" w:rsidRDefault="00DC2F2A" w:rsidP="00DC2F2A">
            <w:pPr>
              <w:ind w:right="-79"/>
              <w:jc w:val="center"/>
              <w:rPr>
                <w:rFonts w:cs="Calibri"/>
                <w:color w:val="000000"/>
                <w:sz w:val="22"/>
                <w:szCs w:val="22"/>
              </w:rPr>
            </w:pPr>
            <w:r w:rsidRPr="00F95887">
              <w:rPr>
                <w:rFonts w:cs="Calibri"/>
                <w:color w:val="000000"/>
                <w:sz w:val="22"/>
                <w:szCs w:val="22"/>
              </w:rPr>
              <w:t>0.1</w:t>
            </w:r>
          </w:p>
        </w:tc>
        <w:tc>
          <w:tcPr>
            <w:tcW w:w="1378" w:type="dxa"/>
            <w:noWrap/>
            <w:vAlign w:val="center"/>
            <w:hideMark/>
          </w:tcPr>
          <w:p w:rsidR="00DC2F2A" w:rsidRPr="00F95887" w:rsidRDefault="00DC2F2A" w:rsidP="00DC2F2A">
            <w:pPr>
              <w:ind w:right="-79"/>
              <w:jc w:val="center"/>
              <w:rPr>
                <w:rFonts w:cs="Calibri"/>
                <w:color w:val="000000"/>
                <w:sz w:val="22"/>
                <w:szCs w:val="22"/>
              </w:rPr>
            </w:pPr>
            <w:r w:rsidRPr="00F95887">
              <w:rPr>
                <w:rFonts w:cs="Calibri"/>
                <w:color w:val="000000"/>
                <w:sz w:val="22"/>
                <w:szCs w:val="22"/>
              </w:rPr>
              <w:t>(2.9)</w:t>
            </w:r>
          </w:p>
        </w:tc>
        <w:tc>
          <w:tcPr>
            <w:tcW w:w="1394" w:type="dxa"/>
            <w:noWrap/>
            <w:vAlign w:val="center"/>
            <w:hideMark/>
          </w:tcPr>
          <w:p w:rsidR="00DC2F2A" w:rsidRPr="00F95887" w:rsidRDefault="00DC2F2A" w:rsidP="00DC2F2A">
            <w:pPr>
              <w:ind w:right="-79"/>
              <w:jc w:val="center"/>
              <w:rPr>
                <w:rFonts w:cs="Calibri"/>
                <w:color w:val="000000"/>
                <w:sz w:val="22"/>
                <w:szCs w:val="22"/>
              </w:rPr>
            </w:pPr>
            <w:r w:rsidRPr="00F95887">
              <w:rPr>
                <w:rFonts w:cs="Calibri"/>
                <w:color w:val="000000"/>
                <w:sz w:val="22"/>
                <w:szCs w:val="22"/>
              </w:rPr>
              <w:t>(10.3)</w:t>
            </w:r>
          </w:p>
        </w:tc>
        <w:tc>
          <w:tcPr>
            <w:tcW w:w="992" w:type="dxa"/>
            <w:noWrap/>
            <w:vAlign w:val="center"/>
            <w:hideMark/>
          </w:tcPr>
          <w:p w:rsidR="00DC2F2A" w:rsidRPr="00F95887" w:rsidRDefault="00D33F11" w:rsidP="00DC2F2A">
            <w:pPr>
              <w:ind w:right="-79"/>
              <w:jc w:val="center"/>
              <w:rPr>
                <w:rFonts w:cs="Calibri"/>
                <w:color w:val="000000"/>
                <w:sz w:val="22"/>
                <w:szCs w:val="22"/>
              </w:rPr>
            </w:pPr>
            <w:r>
              <w:rPr>
                <w:rFonts w:cs="Calibri"/>
                <w:color w:val="000000"/>
                <w:sz w:val="22"/>
                <w:szCs w:val="22"/>
              </w:rPr>
              <w:t>(31.8</w:t>
            </w:r>
            <w:r w:rsidR="00DC2F2A" w:rsidRPr="00F95887">
              <w:rPr>
                <w:rFonts w:cs="Calibri"/>
                <w:color w:val="000000"/>
                <w:sz w:val="22"/>
                <w:szCs w:val="22"/>
              </w:rPr>
              <w:t>)</w:t>
            </w:r>
          </w:p>
        </w:tc>
        <w:tc>
          <w:tcPr>
            <w:tcW w:w="1701" w:type="dxa"/>
            <w:noWrap/>
            <w:vAlign w:val="center"/>
            <w:hideMark/>
          </w:tcPr>
          <w:p w:rsidR="00DC2F2A" w:rsidRPr="00B506C7" w:rsidRDefault="00DC2F2A" w:rsidP="00DC2F2A">
            <w:pPr>
              <w:ind w:right="-79"/>
              <w:jc w:val="center"/>
              <w:rPr>
                <w:rFonts w:cs="Calibri"/>
                <w:b/>
                <w:color w:val="000000"/>
                <w:sz w:val="22"/>
                <w:szCs w:val="22"/>
              </w:rPr>
            </w:pPr>
            <w:r w:rsidRPr="00B506C7">
              <w:rPr>
                <w:rFonts w:cs="Calibri"/>
                <w:b/>
                <w:color w:val="000000"/>
                <w:sz w:val="22"/>
                <w:szCs w:val="22"/>
              </w:rPr>
              <w:t>0.0</w:t>
            </w:r>
          </w:p>
        </w:tc>
      </w:tr>
      <w:tr w:rsidR="00DC2F2A" w:rsidRPr="00B506C7" w:rsidTr="00DC2F2A">
        <w:trPr>
          <w:trHeight w:val="510"/>
        </w:trPr>
        <w:tc>
          <w:tcPr>
            <w:tcW w:w="2052" w:type="dxa"/>
            <w:vAlign w:val="center"/>
            <w:hideMark/>
          </w:tcPr>
          <w:p w:rsidR="00DC2F2A" w:rsidRPr="00F95887" w:rsidRDefault="00DC2F2A" w:rsidP="00DC2F2A">
            <w:pPr>
              <w:rPr>
                <w:rFonts w:cs="Calibri"/>
                <w:b/>
                <w:color w:val="000000"/>
                <w:sz w:val="22"/>
                <w:szCs w:val="22"/>
              </w:rPr>
            </w:pPr>
            <w:r w:rsidRPr="00F95887">
              <w:rPr>
                <w:rFonts w:cs="Calibri"/>
                <w:b/>
                <w:color w:val="000000"/>
                <w:sz w:val="22"/>
                <w:szCs w:val="22"/>
              </w:rPr>
              <w:t>(GF) Children And Young People</w:t>
            </w:r>
          </w:p>
        </w:tc>
        <w:tc>
          <w:tcPr>
            <w:tcW w:w="1468" w:type="dxa"/>
            <w:noWrap/>
            <w:vAlign w:val="center"/>
            <w:hideMark/>
          </w:tcPr>
          <w:p w:rsidR="00DC2F2A" w:rsidRPr="00F95887" w:rsidRDefault="00DC2F2A" w:rsidP="00DC2F2A">
            <w:pPr>
              <w:ind w:right="-79"/>
              <w:jc w:val="center"/>
              <w:rPr>
                <w:rFonts w:cs="Calibri"/>
                <w:color w:val="000000"/>
                <w:sz w:val="22"/>
                <w:szCs w:val="22"/>
              </w:rPr>
            </w:pPr>
            <w:r w:rsidRPr="00F95887">
              <w:rPr>
                <w:rFonts w:cs="Calibri"/>
                <w:color w:val="000000"/>
                <w:sz w:val="22"/>
                <w:szCs w:val="22"/>
              </w:rPr>
              <w:t>80.6</w:t>
            </w:r>
          </w:p>
        </w:tc>
        <w:tc>
          <w:tcPr>
            <w:tcW w:w="1174" w:type="dxa"/>
            <w:noWrap/>
            <w:vAlign w:val="center"/>
            <w:hideMark/>
          </w:tcPr>
          <w:p w:rsidR="00DC2F2A" w:rsidRPr="00F95887" w:rsidRDefault="00DC2F2A" w:rsidP="00DC2F2A">
            <w:pPr>
              <w:ind w:right="-79"/>
              <w:jc w:val="center"/>
              <w:rPr>
                <w:rFonts w:cs="Calibri"/>
                <w:color w:val="000000"/>
                <w:sz w:val="22"/>
                <w:szCs w:val="22"/>
              </w:rPr>
            </w:pPr>
            <w:r w:rsidRPr="00F95887">
              <w:rPr>
                <w:rFonts w:cs="Calibri"/>
                <w:color w:val="000000"/>
                <w:sz w:val="22"/>
                <w:szCs w:val="22"/>
              </w:rPr>
              <w:t>(30.2)</w:t>
            </w:r>
          </w:p>
        </w:tc>
        <w:tc>
          <w:tcPr>
            <w:tcW w:w="1322" w:type="dxa"/>
            <w:noWrap/>
            <w:vAlign w:val="center"/>
            <w:hideMark/>
          </w:tcPr>
          <w:p w:rsidR="00DC2F2A" w:rsidRPr="00F95887" w:rsidRDefault="00DC2F2A" w:rsidP="00DC2F2A">
            <w:pPr>
              <w:ind w:right="-79"/>
              <w:jc w:val="center"/>
              <w:rPr>
                <w:rFonts w:cs="Calibri"/>
                <w:color w:val="000000"/>
                <w:sz w:val="22"/>
                <w:szCs w:val="22"/>
              </w:rPr>
            </w:pPr>
            <w:r w:rsidRPr="00F95887">
              <w:rPr>
                <w:rFonts w:cs="Calibri"/>
                <w:color w:val="000000"/>
                <w:sz w:val="22"/>
                <w:szCs w:val="22"/>
              </w:rPr>
              <w:t>0.0</w:t>
            </w:r>
          </w:p>
        </w:tc>
        <w:tc>
          <w:tcPr>
            <w:tcW w:w="1175" w:type="dxa"/>
            <w:noWrap/>
            <w:vAlign w:val="center"/>
            <w:hideMark/>
          </w:tcPr>
          <w:p w:rsidR="00DC2F2A" w:rsidRPr="00F95887" w:rsidRDefault="00DC2F2A" w:rsidP="00DC2F2A">
            <w:pPr>
              <w:ind w:right="-79"/>
              <w:jc w:val="center"/>
              <w:rPr>
                <w:rFonts w:cs="Calibri"/>
                <w:color w:val="000000"/>
                <w:sz w:val="22"/>
                <w:szCs w:val="22"/>
              </w:rPr>
            </w:pPr>
            <w:r w:rsidRPr="00F95887">
              <w:rPr>
                <w:rFonts w:cs="Calibri"/>
                <w:color w:val="000000"/>
                <w:sz w:val="22"/>
                <w:szCs w:val="22"/>
              </w:rPr>
              <w:t>50.4</w:t>
            </w:r>
          </w:p>
        </w:tc>
        <w:tc>
          <w:tcPr>
            <w:tcW w:w="1428" w:type="dxa"/>
            <w:noWrap/>
            <w:vAlign w:val="center"/>
            <w:hideMark/>
          </w:tcPr>
          <w:p w:rsidR="00DC2F2A" w:rsidRPr="00F95887" w:rsidRDefault="00DC2F2A" w:rsidP="00DC2F2A">
            <w:pPr>
              <w:ind w:right="-79"/>
              <w:jc w:val="center"/>
              <w:rPr>
                <w:rFonts w:cs="Calibri"/>
                <w:color w:val="000000"/>
                <w:sz w:val="22"/>
                <w:szCs w:val="22"/>
              </w:rPr>
            </w:pPr>
            <w:r w:rsidRPr="00F95887">
              <w:rPr>
                <w:rFonts w:cs="Calibri"/>
                <w:color w:val="000000"/>
                <w:sz w:val="22"/>
                <w:szCs w:val="22"/>
              </w:rPr>
              <w:t>(1.0)</w:t>
            </w:r>
          </w:p>
        </w:tc>
        <w:tc>
          <w:tcPr>
            <w:tcW w:w="1509" w:type="dxa"/>
            <w:noWrap/>
            <w:vAlign w:val="center"/>
            <w:hideMark/>
          </w:tcPr>
          <w:p w:rsidR="00DC2F2A" w:rsidRPr="00F95887" w:rsidRDefault="00DC2F2A" w:rsidP="00DC2F2A">
            <w:pPr>
              <w:ind w:right="-79"/>
              <w:jc w:val="center"/>
              <w:rPr>
                <w:rFonts w:cs="Calibri"/>
                <w:color w:val="000000"/>
                <w:sz w:val="22"/>
                <w:szCs w:val="22"/>
              </w:rPr>
            </w:pPr>
            <w:r w:rsidRPr="00F95887">
              <w:rPr>
                <w:rFonts w:cs="Calibri"/>
                <w:color w:val="000000"/>
                <w:sz w:val="22"/>
                <w:szCs w:val="22"/>
              </w:rPr>
              <w:t>0.1</w:t>
            </w:r>
          </w:p>
        </w:tc>
        <w:tc>
          <w:tcPr>
            <w:tcW w:w="1378" w:type="dxa"/>
            <w:noWrap/>
            <w:vAlign w:val="center"/>
            <w:hideMark/>
          </w:tcPr>
          <w:p w:rsidR="00DC2F2A" w:rsidRPr="00F95887" w:rsidRDefault="00DC2F2A" w:rsidP="00DC2F2A">
            <w:pPr>
              <w:ind w:right="-79"/>
              <w:jc w:val="center"/>
              <w:rPr>
                <w:rFonts w:cs="Calibri"/>
                <w:color w:val="000000"/>
                <w:sz w:val="22"/>
                <w:szCs w:val="22"/>
              </w:rPr>
            </w:pPr>
            <w:r w:rsidRPr="00F95887">
              <w:rPr>
                <w:rFonts w:cs="Calibri"/>
                <w:color w:val="000000"/>
                <w:sz w:val="22"/>
                <w:szCs w:val="22"/>
              </w:rPr>
              <w:t>0.0</w:t>
            </w:r>
          </w:p>
        </w:tc>
        <w:tc>
          <w:tcPr>
            <w:tcW w:w="1394" w:type="dxa"/>
            <w:noWrap/>
            <w:vAlign w:val="center"/>
            <w:hideMark/>
          </w:tcPr>
          <w:p w:rsidR="00DC2F2A" w:rsidRPr="00F95887" w:rsidRDefault="00DC2F2A" w:rsidP="00DC2F2A">
            <w:pPr>
              <w:ind w:right="-79"/>
              <w:jc w:val="center"/>
              <w:rPr>
                <w:rFonts w:cs="Calibri"/>
                <w:color w:val="000000"/>
                <w:sz w:val="22"/>
                <w:szCs w:val="22"/>
              </w:rPr>
            </w:pPr>
            <w:r w:rsidRPr="00F95887">
              <w:rPr>
                <w:rFonts w:cs="Calibri"/>
                <w:color w:val="000000"/>
                <w:sz w:val="22"/>
                <w:szCs w:val="22"/>
              </w:rPr>
              <w:t>0.8</w:t>
            </w:r>
          </w:p>
        </w:tc>
        <w:tc>
          <w:tcPr>
            <w:tcW w:w="992" w:type="dxa"/>
            <w:noWrap/>
            <w:vAlign w:val="center"/>
            <w:hideMark/>
          </w:tcPr>
          <w:p w:rsidR="00DC2F2A" w:rsidRPr="00F95887" w:rsidRDefault="00DC2F2A" w:rsidP="00DC2F2A">
            <w:pPr>
              <w:ind w:right="-79"/>
              <w:jc w:val="center"/>
              <w:rPr>
                <w:rFonts w:cs="Calibri"/>
                <w:color w:val="000000"/>
                <w:sz w:val="22"/>
                <w:szCs w:val="22"/>
              </w:rPr>
            </w:pPr>
            <w:r w:rsidRPr="00F95887">
              <w:rPr>
                <w:rFonts w:cs="Calibri"/>
                <w:color w:val="000000"/>
                <w:sz w:val="22"/>
                <w:szCs w:val="22"/>
              </w:rPr>
              <w:t>(0.1)</w:t>
            </w:r>
          </w:p>
        </w:tc>
        <w:tc>
          <w:tcPr>
            <w:tcW w:w="1701" w:type="dxa"/>
            <w:noWrap/>
            <w:vAlign w:val="center"/>
            <w:hideMark/>
          </w:tcPr>
          <w:p w:rsidR="00DC2F2A" w:rsidRPr="00B506C7" w:rsidRDefault="00DC2F2A" w:rsidP="00DC2F2A">
            <w:pPr>
              <w:ind w:right="-79"/>
              <w:jc w:val="center"/>
              <w:rPr>
                <w:rFonts w:cs="Calibri"/>
                <w:b/>
                <w:color w:val="000000"/>
                <w:sz w:val="22"/>
                <w:szCs w:val="22"/>
              </w:rPr>
            </w:pPr>
            <w:r w:rsidRPr="00B506C7">
              <w:rPr>
                <w:rFonts w:cs="Calibri"/>
                <w:b/>
                <w:color w:val="000000"/>
                <w:sz w:val="22"/>
                <w:szCs w:val="22"/>
              </w:rPr>
              <w:t>50.3</w:t>
            </w:r>
          </w:p>
        </w:tc>
      </w:tr>
      <w:tr w:rsidR="00DC2F2A" w:rsidRPr="00B506C7" w:rsidTr="00DC2F2A">
        <w:trPr>
          <w:trHeight w:val="510"/>
        </w:trPr>
        <w:tc>
          <w:tcPr>
            <w:tcW w:w="2052" w:type="dxa"/>
            <w:vAlign w:val="center"/>
            <w:hideMark/>
          </w:tcPr>
          <w:p w:rsidR="00DC2F2A" w:rsidRPr="00F95887" w:rsidRDefault="00DC2F2A" w:rsidP="00DC2F2A">
            <w:pPr>
              <w:rPr>
                <w:rFonts w:cs="Calibri"/>
                <w:b/>
                <w:color w:val="000000"/>
                <w:sz w:val="22"/>
                <w:szCs w:val="22"/>
              </w:rPr>
            </w:pPr>
            <w:r w:rsidRPr="00F95887">
              <w:rPr>
                <w:rFonts w:cs="Calibri"/>
                <w:b/>
                <w:color w:val="000000"/>
                <w:sz w:val="22"/>
                <w:szCs w:val="22"/>
              </w:rPr>
              <w:t>(GF) Community Wellbeing</w:t>
            </w:r>
          </w:p>
        </w:tc>
        <w:tc>
          <w:tcPr>
            <w:tcW w:w="1468" w:type="dxa"/>
            <w:noWrap/>
            <w:vAlign w:val="center"/>
            <w:hideMark/>
          </w:tcPr>
          <w:p w:rsidR="00DC2F2A" w:rsidRPr="00F95887" w:rsidRDefault="00D33F11" w:rsidP="00DC2F2A">
            <w:pPr>
              <w:ind w:right="-79"/>
              <w:jc w:val="center"/>
              <w:rPr>
                <w:rFonts w:cs="Calibri"/>
                <w:color w:val="000000"/>
                <w:sz w:val="22"/>
                <w:szCs w:val="22"/>
              </w:rPr>
            </w:pPr>
            <w:r>
              <w:rPr>
                <w:rFonts w:cs="Calibri"/>
                <w:color w:val="000000"/>
                <w:sz w:val="22"/>
                <w:szCs w:val="22"/>
              </w:rPr>
              <w:t>232.4</w:t>
            </w:r>
          </w:p>
        </w:tc>
        <w:tc>
          <w:tcPr>
            <w:tcW w:w="1174" w:type="dxa"/>
            <w:noWrap/>
            <w:vAlign w:val="center"/>
            <w:hideMark/>
          </w:tcPr>
          <w:p w:rsidR="00DC2F2A" w:rsidRPr="00F95887" w:rsidRDefault="00DC2F2A" w:rsidP="00DC2F2A">
            <w:pPr>
              <w:ind w:right="-79"/>
              <w:jc w:val="center"/>
              <w:rPr>
                <w:rFonts w:cs="Calibri"/>
                <w:color w:val="000000"/>
                <w:sz w:val="22"/>
                <w:szCs w:val="22"/>
              </w:rPr>
            </w:pPr>
            <w:r w:rsidRPr="00F95887">
              <w:rPr>
                <w:rFonts w:cs="Calibri"/>
                <w:color w:val="000000"/>
                <w:sz w:val="22"/>
                <w:szCs w:val="22"/>
              </w:rPr>
              <w:t>(79.8)</w:t>
            </w:r>
          </w:p>
        </w:tc>
        <w:tc>
          <w:tcPr>
            <w:tcW w:w="1322" w:type="dxa"/>
            <w:noWrap/>
            <w:vAlign w:val="center"/>
            <w:hideMark/>
          </w:tcPr>
          <w:p w:rsidR="00DC2F2A" w:rsidRPr="00F95887" w:rsidRDefault="00DC2F2A" w:rsidP="00DC2F2A">
            <w:pPr>
              <w:ind w:right="-79"/>
              <w:jc w:val="center"/>
              <w:rPr>
                <w:rFonts w:cs="Calibri"/>
                <w:color w:val="000000"/>
                <w:sz w:val="22"/>
                <w:szCs w:val="22"/>
              </w:rPr>
            </w:pPr>
            <w:r w:rsidRPr="00F95887">
              <w:rPr>
                <w:rFonts w:cs="Calibri"/>
                <w:color w:val="000000"/>
                <w:sz w:val="22"/>
                <w:szCs w:val="22"/>
              </w:rPr>
              <w:t>2.2</w:t>
            </w:r>
          </w:p>
        </w:tc>
        <w:tc>
          <w:tcPr>
            <w:tcW w:w="1175" w:type="dxa"/>
            <w:noWrap/>
            <w:vAlign w:val="center"/>
            <w:hideMark/>
          </w:tcPr>
          <w:p w:rsidR="00DC2F2A" w:rsidRPr="00F95887" w:rsidRDefault="00D33F11" w:rsidP="00DC2F2A">
            <w:pPr>
              <w:ind w:right="-79"/>
              <w:jc w:val="center"/>
              <w:rPr>
                <w:rFonts w:cs="Calibri"/>
                <w:color w:val="000000"/>
                <w:sz w:val="22"/>
                <w:szCs w:val="22"/>
              </w:rPr>
            </w:pPr>
            <w:r>
              <w:rPr>
                <w:rFonts w:cs="Calibri"/>
                <w:color w:val="000000"/>
                <w:sz w:val="22"/>
                <w:szCs w:val="22"/>
              </w:rPr>
              <w:t>154.8</w:t>
            </w:r>
          </w:p>
        </w:tc>
        <w:tc>
          <w:tcPr>
            <w:tcW w:w="1428" w:type="dxa"/>
            <w:noWrap/>
            <w:vAlign w:val="center"/>
            <w:hideMark/>
          </w:tcPr>
          <w:p w:rsidR="00DC2F2A" w:rsidRPr="00F95887" w:rsidRDefault="00D33F11" w:rsidP="00DC2F2A">
            <w:pPr>
              <w:ind w:right="-79"/>
              <w:jc w:val="center"/>
              <w:rPr>
                <w:rFonts w:cs="Calibri"/>
                <w:color w:val="000000"/>
                <w:sz w:val="22"/>
                <w:szCs w:val="22"/>
              </w:rPr>
            </w:pPr>
            <w:r>
              <w:rPr>
                <w:rFonts w:cs="Calibri"/>
                <w:color w:val="000000"/>
                <w:sz w:val="22"/>
                <w:szCs w:val="22"/>
              </w:rPr>
              <w:t>(21.9</w:t>
            </w:r>
            <w:r w:rsidR="00DC2F2A" w:rsidRPr="00F95887">
              <w:rPr>
                <w:rFonts w:cs="Calibri"/>
                <w:color w:val="000000"/>
                <w:sz w:val="22"/>
                <w:szCs w:val="22"/>
              </w:rPr>
              <w:t>)</w:t>
            </w:r>
          </w:p>
        </w:tc>
        <w:tc>
          <w:tcPr>
            <w:tcW w:w="1509" w:type="dxa"/>
            <w:noWrap/>
            <w:vAlign w:val="center"/>
            <w:hideMark/>
          </w:tcPr>
          <w:p w:rsidR="00DC2F2A" w:rsidRPr="00F95887" w:rsidRDefault="00DC2F2A" w:rsidP="00DC2F2A">
            <w:pPr>
              <w:ind w:right="-79"/>
              <w:jc w:val="center"/>
              <w:rPr>
                <w:rFonts w:cs="Calibri"/>
                <w:color w:val="000000"/>
                <w:sz w:val="22"/>
                <w:szCs w:val="22"/>
              </w:rPr>
            </w:pPr>
            <w:r w:rsidRPr="00F95887">
              <w:rPr>
                <w:rFonts w:cs="Calibri"/>
                <w:color w:val="000000"/>
                <w:sz w:val="22"/>
                <w:szCs w:val="22"/>
              </w:rPr>
              <w:t>0.1</w:t>
            </w:r>
          </w:p>
        </w:tc>
        <w:tc>
          <w:tcPr>
            <w:tcW w:w="1378" w:type="dxa"/>
            <w:noWrap/>
            <w:vAlign w:val="center"/>
            <w:hideMark/>
          </w:tcPr>
          <w:p w:rsidR="00DC2F2A" w:rsidRPr="00F95887" w:rsidRDefault="00DC2F2A" w:rsidP="00DC2F2A">
            <w:pPr>
              <w:ind w:right="-79"/>
              <w:jc w:val="center"/>
              <w:rPr>
                <w:rFonts w:cs="Calibri"/>
                <w:color w:val="000000"/>
                <w:sz w:val="22"/>
                <w:szCs w:val="22"/>
              </w:rPr>
            </w:pPr>
            <w:r w:rsidRPr="00F95887">
              <w:rPr>
                <w:rFonts w:cs="Calibri"/>
                <w:color w:val="000000"/>
                <w:sz w:val="22"/>
                <w:szCs w:val="22"/>
              </w:rPr>
              <w:t>0.0</w:t>
            </w:r>
          </w:p>
        </w:tc>
        <w:tc>
          <w:tcPr>
            <w:tcW w:w="1394" w:type="dxa"/>
            <w:noWrap/>
            <w:vAlign w:val="center"/>
            <w:hideMark/>
          </w:tcPr>
          <w:p w:rsidR="00DC2F2A" w:rsidRPr="00F95887" w:rsidRDefault="00DC2F2A" w:rsidP="00DC2F2A">
            <w:pPr>
              <w:ind w:right="-79"/>
              <w:jc w:val="center"/>
              <w:rPr>
                <w:rFonts w:cs="Calibri"/>
                <w:color w:val="000000"/>
                <w:sz w:val="22"/>
                <w:szCs w:val="22"/>
              </w:rPr>
            </w:pPr>
            <w:r w:rsidRPr="00F95887">
              <w:rPr>
                <w:rFonts w:cs="Calibri"/>
                <w:color w:val="000000"/>
                <w:sz w:val="22"/>
                <w:szCs w:val="22"/>
              </w:rPr>
              <w:t>4.2</w:t>
            </w:r>
          </w:p>
        </w:tc>
        <w:tc>
          <w:tcPr>
            <w:tcW w:w="992" w:type="dxa"/>
            <w:noWrap/>
            <w:vAlign w:val="center"/>
            <w:hideMark/>
          </w:tcPr>
          <w:p w:rsidR="00DC2F2A" w:rsidRPr="00F95887" w:rsidRDefault="00D33F11" w:rsidP="00DC2F2A">
            <w:pPr>
              <w:ind w:right="-79"/>
              <w:jc w:val="center"/>
              <w:rPr>
                <w:rFonts w:cs="Calibri"/>
                <w:color w:val="000000"/>
                <w:sz w:val="22"/>
                <w:szCs w:val="22"/>
              </w:rPr>
            </w:pPr>
            <w:r>
              <w:rPr>
                <w:rFonts w:cs="Calibri"/>
                <w:color w:val="000000"/>
                <w:sz w:val="22"/>
                <w:szCs w:val="22"/>
              </w:rPr>
              <w:t>(17.6</w:t>
            </w:r>
            <w:r w:rsidR="00DC2F2A" w:rsidRPr="00F95887">
              <w:rPr>
                <w:rFonts w:cs="Calibri"/>
                <w:color w:val="000000"/>
                <w:sz w:val="22"/>
                <w:szCs w:val="22"/>
              </w:rPr>
              <w:t>)</w:t>
            </w:r>
          </w:p>
        </w:tc>
        <w:tc>
          <w:tcPr>
            <w:tcW w:w="1701" w:type="dxa"/>
            <w:noWrap/>
            <w:vAlign w:val="center"/>
            <w:hideMark/>
          </w:tcPr>
          <w:p w:rsidR="00DC2F2A" w:rsidRPr="00B506C7" w:rsidRDefault="00DC2F2A" w:rsidP="00DC2F2A">
            <w:pPr>
              <w:ind w:right="-79"/>
              <w:jc w:val="center"/>
              <w:rPr>
                <w:rFonts w:cs="Calibri"/>
                <w:b/>
                <w:color w:val="000000"/>
                <w:sz w:val="22"/>
                <w:szCs w:val="22"/>
              </w:rPr>
            </w:pPr>
            <w:r w:rsidRPr="00B506C7">
              <w:rPr>
                <w:rFonts w:cs="Calibri"/>
                <w:b/>
                <w:color w:val="000000"/>
                <w:sz w:val="22"/>
                <w:szCs w:val="22"/>
              </w:rPr>
              <w:t>137.2</w:t>
            </w:r>
          </w:p>
        </w:tc>
      </w:tr>
      <w:tr w:rsidR="00DC2F2A" w:rsidRPr="00B506C7" w:rsidTr="00DC2F2A">
        <w:trPr>
          <w:trHeight w:val="510"/>
        </w:trPr>
        <w:tc>
          <w:tcPr>
            <w:tcW w:w="2052" w:type="dxa"/>
            <w:vAlign w:val="center"/>
            <w:hideMark/>
          </w:tcPr>
          <w:p w:rsidR="00DC2F2A" w:rsidRPr="00F95887" w:rsidRDefault="00DC2F2A" w:rsidP="00DC2F2A">
            <w:pPr>
              <w:rPr>
                <w:rFonts w:cs="Calibri"/>
                <w:b/>
                <w:color w:val="000000"/>
                <w:sz w:val="22"/>
                <w:szCs w:val="22"/>
              </w:rPr>
            </w:pPr>
            <w:r w:rsidRPr="00F95887">
              <w:rPr>
                <w:rFonts w:cs="Calibri"/>
                <w:b/>
                <w:color w:val="000000"/>
                <w:sz w:val="22"/>
                <w:szCs w:val="22"/>
              </w:rPr>
              <w:t>(HRA) Community Wellbeing</w:t>
            </w:r>
          </w:p>
        </w:tc>
        <w:tc>
          <w:tcPr>
            <w:tcW w:w="1468" w:type="dxa"/>
            <w:noWrap/>
            <w:vAlign w:val="center"/>
            <w:hideMark/>
          </w:tcPr>
          <w:p w:rsidR="00DC2F2A" w:rsidRPr="00F95887" w:rsidRDefault="00DC2F2A" w:rsidP="00DC2F2A">
            <w:pPr>
              <w:ind w:right="-79"/>
              <w:jc w:val="center"/>
              <w:rPr>
                <w:rFonts w:cs="Calibri"/>
                <w:color w:val="000000"/>
                <w:sz w:val="22"/>
                <w:szCs w:val="22"/>
              </w:rPr>
            </w:pPr>
            <w:r w:rsidRPr="00F95887">
              <w:rPr>
                <w:rFonts w:cs="Calibri"/>
                <w:color w:val="000000"/>
                <w:sz w:val="22"/>
                <w:szCs w:val="22"/>
              </w:rPr>
              <w:t>59.0</w:t>
            </w:r>
          </w:p>
        </w:tc>
        <w:tc>
          <w:tcPr>
            <w:tcW w:w="1174" w:type="dxa"/>
            <w:noWrap/>
            <w:vAlign w:val="center"/>
            <w:hideMark/>
          </w:tcPr>
          <w:p w:rsidR="00DC2F2A" w:rsidRPr="00F95887" w:rsidRDefault="00DC2F2A" w:rsidP="00DC2F2A">
            <w:pPr>
              <w:ind w:right="-79"/>
              <w:jc w:val="center"/>
              <w:rPr>
                <w:rFonts w:cs="Calibri"/>
                <w:color w:val="000000"/>
                <w:sz w:val="22"/>
                <w:szCs w:val="22"/>
              </w:rPr>
            </w:pPr>
            <w:r w:rsidRPr="00F95887">
              <w:rPr>
                <w:rFonts w:cs="Calibri"/>
                <w:color w:val="000000"/>
                <w:sz w:val="22"/>
                <w:szCs w:val="22"/>
              </w:rPr>
              <w:t>(55.6)</w:t>
            </w:r>
          </w:p>
        </w:tc>
        <w:tc>
          <w:tcPr>
            <w:tcW w:w="1322" w:type="dxa"/>
            <w:noWrap/>
            <w:vAlign w:val="center"/>
            <w:hideMark/>
          </w:tcPr>
          <w:p w:rsidR="00DC2F2A" w:rsidRPr="00F95887" w:rsidRDefault="00DC2F2A" w:rsidP="00DC2F2A">
            <w:pPr>
              <w:ind w:right="-79"/>
              <w:jc w:val="center"/>
              <w:rPr>
                <w:rFonts w:cs="Calibri"/>
                <w:color w:val="000000"/>
                <w:sz w:val="22"/>
                <w:szCs w:val="22"/>
              </w:rPr>
            </w:pPr>
            <w:r w:rsidRPr="00F95887">
              <w:rPr>
                <w:rFonts w:cs="Calibri"/>
                <w:color w:val="000000"/>
                <w:sz w:val="22"/>
                <w:szCs w:val="22"/>
              </w:rPr>
              <w:t>7.1</w:t>
            </w:r>
          </w:p>
        </w:tc>
        <w:tc>
          <w:tcPr>
            <w:tcW w:w="1175" w:type="dxa"/>
            <w:noWrap/>
            <w:vAlign w:val="center"/>
            <w:hideMark/>
          </w:tcPr>
          <w:p w:rsidR="00DC2F2A" w:rsidRPr="00F95887" w:rsidRDefault="00DC2F2A" w:rsidP="00DC2F2A">
            <w:pPr>
              <w:ind w:right="-79"/>
              <w:jc w:val="center"/>
              <w:rPr>
                <w:rFonts w:cs="Calibri"/>
                <w:color w:val="000000"/>
                <w:sz w:val="22"/>
                <w:szCs w:val="22"/>
              </w:rPr>
            </w:pPr>
            <w:r w:rsidRPr="00F95887">
              <w:rPr>
                <w:rFonts w:cs="Calibri"/>
                <w:color w:val="000000"/>
                <w:sz w:val="22"/>
                <w:szCs w:val="22"/>
              </w:rPr>
              <w:t>10.5</w:t>
            </w:r>
          </w:p>
        </w:tc>
        <w:tc>
          <w:tcPr>
            <w:tcW w:w="1428" w:type="dxa"/>
            <w:noWrap/>
            <w:vAlign w:val="center"/>
            <w:hideMark/>
          </w:tcPr>
          <w:p w:rsidR="00DC2F2A" w:rsidRPr="00F95887" w:rsidRDefault="00DC2F2A" w:rsidP="00DC2F2A">
            <w:pPr>
              <w:ind w:right="-79"/>
              <w:jc w:val="center"/>
              <w:rPr>
                <w:rFonts w:cs="Calibri"/>
                <w:color w:val="000000"/>
                <w:sz w:val="22"/>
                <w:szCs w:val="22"/>
              </w:rPr>
            </w:pPr>
            <w:r w:rsidRPr="00F95887">
              <w:rPr>
                <w:rFonts w:cs="Calibri"/>
                <w:color w:val="000000"/>
                <w:sz w:val="22"/>
                <w:szCs w:val="22"/>
              </w:rPr>
              <w:t>(13.5)</w:t>
            </w:r>
          </w:p>
        </w:tc>
        <w:tc>
          <w:tcPr>
            <w:tcW w:w="1509" w:type="dxa"/>
            <w:noWrap/>
            <w:vAlign w:val="center"/>
            <w:hideMark/>
          </w:tcPr>
          <w:p w:rsidR="00DC2F2A" w:rsidRPr="00F95887" w:rsidRDefault="00DC2F2A" w:rsidP="00DC2F2A">
            <w:pPr>
              <w:ind w:right="-79"/>
              <w:jc w:val="center"/>
              <w:rPr>
                <w:rFonts w:cs="Calibri"/>
                <w:color w:val="000000"/>
                <w:sz w:val="22"/>
                <w:szCs w:val="22"/>
              </w:rPr>
            </w:pPr>
            <w:r w:rsidRPr="00F95887">
              <w:rPr>
                <w:rFonts w:cs="Calibri"/>
                <w:color w:val="000000"/>
                <w:sz w:val="22"/>
                <w:szCs w:val="22"/>
              </w:rPr>
              <w:t>0.0</w:t>
            </w:r>
          </w:p>
        </w:tc>
        <w:tc>
          <w:tcPr>
            <w:tcW w:w="1378" w:type="dxa"/>
            <w:noWrap/>
            <w:vAlign w:val="center"/>
            <w:hideMark/>
          </w:tcPr>
          <w:p w:rsidR="00DC2F2A" w:rsidRPr="00F95887" w:rsidRDefault="00DC2F2A" w:rsidP="00DC2F2A">
            <w:pPr>
              <w:ind w:right="-79"/>
              <w:jc w:val="center"/>
              <w:rPr>
                <w:rFonts w:cs="Calibri"/>
                <w:color w:val="000000"/>
                <w:sz w:val="22"/>
                <w:szCs w:val="22"/>
              </w:rPr>
            </w:pPr>
            <w:r w:rsidRPr="00F95887">
              <w:rPr>
                <w:rFonts w:cs="Calibri"/>
                <w:color w:val="000000"/>
                <w:sz w:val="22"/>
                <w:szCs w:val="22"/>
              </w:rPr>
              <w:t>0.3</w:t>
            </w:r>
          </w:p>
        </w:tc>
        <w:tc>
          <w:tcPr>
            <w:tcW w:w="1394" w:type="dxa"/>
            <w:noWrap/>
            <w:vAlign w:val="center"/>
            <w:hideMark/>
          </w:tcPr>
          <w:p w:rsidR="00DC2F2A" w:rsidRPr="00F95887" w:rsidRDefault="00DC2F2A" w:rsidP="00DC2F2A">
            <w:pPr>
              <w:ind w:right="-79"/>
              <w:jc w:val="center"/>
              <w:rPr>
                <w:rFonts w:cs="Calibri"/>
                <w:color w:val="000000"/>
                <w:sz w:val="22"/>
                <w:szCs w:val="22"/>
              </w:rPr>
            </w:pPr>
            <w:r w:rsidRPr="00F95887">
              <w:rPr>
                <w:rFonts w:cs="Calibri"/>
                <w:color w:val="000000"/>
                <w:sz w:val="22"/>
                <w:szCs w:val="22"/>
              </w:rPr>
              <w:t>2.7</w:t>
            </w:r>
          </w:p>
        </w:tc>
        <w:tc>
          <w:tcPr>
            <w:tcW w:w="992" w:type="dxa"/>
            <w:noWrap/>
            <w:vAlign w:val="center"/>
            <w:hideMark/>
          </w:tcPr>
          <w:p w:rsidR="00DC2F2A" w:rsidRPr="00F95887" w:rsidRDefault="00DC2F2A" w:rsidP="00DC2F2A">
            <w:pPr>
              <w:ind w:right="-79"/>
              <w:jc w:val="center"/>
              <w:rPr>
                <w:rFonts w:cs="Calibri"/>
                <w:color w:val="000000"/>
                <w:sz w:val="22"/>
                <w:szCs w:val="22"/>
              </w:rPr>
            </w:pPr>
            <w:r w:rsidRPr="00F95887">
              <w:rPr>
                <w:rFonts w:cs="Calibri"/>
                <w:color w:val="000000"/>
                <w:sz w:val="22"/>
                <w:szCs w:val="22"/>
              </w:rPr>
              <w:t>(10.5)</w:t>
            </w:r>
          </w:p>
        </w:tc>
        <w:tc>
          <w:tcPr>
            <w:tcW w:w="1701" w:type="dxa"/>
            <w:noWrap/>
            <w:vAlign w:val="center"/>
            <w:hideMark/>
          </w:tcPr>
          <w:p w:rsidR="00DC2F2A" w:rsidRPr="00B506C7" w:rsidRDefault="00DC2F2A" w:rsidP="00DC2F2A">
            <w:pPr>
              <w:ind w:right="-79"/>
              <w:jc w:val="center"/>
              <w:rPr>
                <w:rFonts w:cs="Calibri"/>
                <w:b/>
                <w:color w:val="000000"/>
                <w:sz w:val="22"/>
                <w:szCs w:val="22"/>
              </w:rPr>
            </w:pPr>
            <w:r w:rsidRPr="00B506C7">
              <w:rPr>
                <w:rFonts w:cs="Calibri"/>
                <w:b/>
                <w:color w:val="000000"/>
                <w:sz w:val="22"/>
                <w:szCs w:val="22"/>
              </w:rPr>
              <w:t>0.0</w:t>
            </w:r>
          </w:p>
        </w:tc>
      </w:tr>
      <w:tr w:rsidR="00DC2F2A" w:rsidRPr="00B506C7" w:rsidTr="00DC2F2A">
        <w:trPr>
          <w:trHeight w:val="510"/>
        </w:trPr>
        <w:tc>
          <w:tcPr>
            <w:tcW w:w="2052" w:type="dxa"/>
            <w:vAlign w:val="center"/>
            <w:hideMark/>
          </w:tcPr>
          <w:p w:rsidR="00DC2F2A" w:rsidRPr="00F95887" w:rsidRDefault="00DC2F2A" w:rsidP="00DC2F2A">
            <w:pPr>
              <w:rPr>
                <w:rFonts w:cs="Calibri"/>
                <w:b/>
                <w:color w:val="000000"/>
                <w:sz w:val="22"/>
                <w:szCs w:val="22"/>
              </w:rPr>
            </w:pPr>
            <w:r w:rsidRPr="00F95887">
              <w:rPr>
                <w:rFonts w:cs="Calibri"/>
                <w:b/>
                <w:color w:val="000000"/>
                <w:sz w:val="22"/>
                <w:szCs w:val="22"/>
              </w:rPr>
              <w:t>Assistant Chief Executive</w:t>
            </w:r>
          </w:p>
        </w:tc>
        <w:tc>
          <w:tcPr>
            <w:tcW w:w="1468" w:type="dxa"/>
            <w:noWrap/>
            <w:vAlign w:val="center"/>
            <w:hideMark/>
          </w:tcPr>
          <w:p w:rsidR="00DC2F2A" w:rsidRPr="00F95887" w:rsidRDefault="00DC2F2A" w:rsidP="00DC2F2A">
            <w:pPr>
              <w:ind w:right="-79"/>
              <w:jc w:val="center"/>
              <w:rPr>
                <w:rFonts w:cs="Calibri"/>
                <w:color w:val="000000"/>
                <w:sz w:val="22"/>
                <w:szCs w:val="22"/>
              </w:rPr>
            </w:pPr>
            <w:r w:rsidRPr="00F95887">
              <w:rPr>
                <w:rFonts w:cs="Calibri"/>
                <w:color w:val="000000"/>
                <w:sz w:val="22"/>
                <w:szCs w:val="22"/>
              </w:rPr>
              <w:t>11.8</w:t>
            </w:r>
          </w:p>
        </w:tc>
        <w:tc>
          <w:tcPr>
            <w:tcW w:w="1174" w:type="dxa"/>
            <w:noWrap/>
            <w:vAlign w:val="center"/>
            <w:hideMark/>
          </w:tcPr>
          <w:p w:rsidR="00DC2F2A" w:rsidRPr="00F95887" w:rsidRDefault="00DC2F2A" w:rsidP="00DC2F2A">
            <w:pPr>
              <w:ind w:right="-79"/>
              <w:jc w:val="center"/>
              <w:rPr>
                <w:rFonts w:cs="Calibri"/>
                <w:color w:val="000000"/>
                <w:sz w:val="22"/>
                <w:szCs w:val="22"/>
              </w:rPr>
            </w:pPr>
            <w:r w:rsidRPr="00F95887">
              <w:rPr>
                <w:rFonts w:cs="Calibri"/>
                <w:color w:val="000000"/>
                <w:sz w:val="22"/>
                <w:szCs w:val="22"/>
              </w:rPr>
              <w:t>(2.2)</w:t>
            </w:r>
          </w:p>
        </w:tc>
        <w:tc>
          <w:tcPr>
            <w:tcW w:w="1322" w:type="dxa"/>
            <w:noWrap/>
            <w:vAlign w:val="center"/>
            <w:hideMark/>
          </w:tcPr>
          <w:p w:rsidR="00DC2F2A" w:rsidRPr="00F95887" w:rsidRDefault="00DC2F2A" w:rsidP="00DC2F2A">
            <w:pPr>
              <w:ind w:right="-79"/>
              <w:jc w:val="center"/>
              <w:rPr>
                <w:rFonts w:cs="Calibri"/>
                <w:color w:val="000000"/>
                <w:sz w:val="22"/>
                <w:szCs w:val="22"/>
              </w:rPr>
            </w:pPr>
            <w:r w:rsidRPr="00F95887">
              <w:rPr>
                <w:rFonts w:cs="Calibri"/>
                <w:color w:val="000000"/>
                <w:sz w:val="22"/>
                <w:szCs w:val="22"/>
              </w:rPr>
              <w:t>0.0</w:t>
            </w:r>
          </w:p>
        </w:tc>
        <w:tc>
          <w:tcPr>
            <w:tcW w:w="1175" w:type="dxa"/>
            <w:noWrap/>
            <w:vAlign w:val="center"/>
            <w:hideMark/>
          </w:tcPr>
          <w:p w:rsidR="00DC2F2A" w:rsidRPr="00F95887" w:rsidRDefault="00DC2F2A" w:rsidP="00DC2F2A">
            <w:pPr>
              <w:ind w:right="-79"/>
              <w:jc w:val="center"/>
              <w:rPr>
                <w:rFonts w:cs="Calibri"/>
                <w:color w:val="000000"/>
                <w:sz w:val="22"/>
                <w:szCs w:val="22"/>
              </w:rPr>
            </w:pPr>
            <w:r w:rsidRPr="00F95887">
              <w:rPr>
                <w:rFonts w:cs="Calibri"/>
                <w:color w:val="000000"/>
                <w:sz w:val="22"/>
                <w:szCs w:val="22"/>
              </w:rPr>
              <w:t>9.6</w:t>
            </w:r>
          </w:p>
        </w:tc>
        <w:tc>
          <w:tcPr>
            <w:tcW w:w="1428" w:type="dxa"/>
            <w:noWrap/>
            <w:vAlign w:val="center"/>
            <w:hideMark/>
          </w:tcPr>
          <w:p w:rsidR="00DC2F2A" w:rsidRPr="00F95887" w:rsidRDefault="00DC2F2A" w:rsidP="00DC2F2A">
            <w:pPr>
              <w:ind w:right="-79"/>
              <w:jc w:val="center"/>
              <w:rPr>
                <w:rFonts w:cs="Calibri"/>
                <w:color w:val="000000"/>
                <w:sz w:val="22"/>
                <w:szCs w:val="22"/>
              </w:rPr>
            </w:pPr>
            <w:r w:rsidRPr="00F95887">
              <w:rPr>
                <w:rFonts w:cs="Calibri"/>
                <w:color w:val="000000"/>
                <w:sz w:val="22"/>
                <w:szCs w:val="22"/>
              </w:rPr>
              <w:t>0.0</w:t>
            </w:r>
          </w:p>
        </w:tc>
        <w:tc>
          <w:tcPr>
            <w:tcW w:w="1509" w:type="dxa"/>
            <w:noWrap/>
            <w:vAlign w:val="center"/>
            <w:hideMark/>
          </w:tcPr>
          <w:p w:rsidR="00DC2F2A" w:rsidRPr="00F95887" w:rsidRDefault="00DC2F2A" w:rsidP="00DC2F2A">
            <w:pPr>
              <w:ind w:right="-79"/>
              <w:jc w:val="center"/>
              <w:rPr>
                <w:rFonts w:cs="Calibri"/>
                <w:color w:val="000000"/>
                <w:sz w:val="22"/>
                <w:szCs w:val="22"/>
              </w:rPr>
            </w:pPr>
            <w:r w:rsidRPr="00F95887">
              <w:rPr>
                <w:rFonts w:cs="Calibri"/>
                <w:color w:val="000000"/>
                <w:sz w:val="22"/>
                <w:szCs w:val="22"/>
              </w:rPr>
              <w:t>0.0</w:t>
            </w:r>
          </w:p>
        </w:tc>
        <w:tc>
          <w:tcPr>
            <w:tcW w:w="1378" w:type="dxa"/>
            <w:noWrap/>
            <w:vAlign w:val="center"/>
            <w:hideMark/>
          </w:tcPr>
          <w:p w:rsidR="00DC2F2A" w:rsidRPr="00F95887" w:rsidRDefault="00DC2F2A" w:rsidP="00DC2F2A">
            <w:pPr>
              <w:ind w:right="-79"/>
              <w:jc w:val="center"/>
              <w:rPr>
                <w:rFonts w:cs="Calibri"/>
                <w:color w:val="000000"/>
                <w:sz w:val="22"/>
                <w:szCs w:val="22"/>
              </w:rPr>
            </w:pPr>
            <w:r w:rsidRPr="00F95887">
              <w:rPr>
                <w:rFonts w:cs="Calibri"/>
                <w:color w:val="000000"/>
                <w:sz w:val="22"/>
                <w:szCs w:val="22"/>
              </w:rPr>
              <w:t>0.0</w:t>
            </w:r>
          </w:p>
        </w:tc>
        <w:tc>
          <w:tcPr>
            <w:tcW w:w="1394" w:type="dxa"/>
            <w:noWrap/>
            <w:vAlign w:val="center"/>
            <w:hideMark/>
          </w:tcPr>
          <w:p w:rsidR="00DC2F2A" w:rsidRPr="00F95887" w:rsidRDefault="00DC2F2A" w:rsidP="00DC2F2A">
            <w:pPr>
              <w:ind w:right="-79"/>
              <w:jc w:val="center"/>
              <w:rPr>
                <w:rFonts w:cs="Calibri"/>
                <w:color w:val="000000"/>
                <w:sz w:val="22"/>
                <w:szCs w:val="22"/>
              </w:rPr>
            </w:pPr>
            <w:r w:rsidRPr="00F95887">
              <w:rPr>
                <w:rFonts w:cs="Calibri"/>
                <w:color w:val="000000"/>
                <w:sz w:val="22"/>
                <w:szCs w:val="22"/>
              </w:rPr>
              <w:t>(1.8)</w:t>
            </w:r>
          </w:p>
        </w:tc>
        <w:tc>
          <w:tcPr>
            <w:tcW w:w="992" w:type="dxa"/>
            <w:noWrap/>
            <w:vAlign w:val="center"/>
            <w:hideMark/>
          </w:tcPr>
          <w:p w:rsidR="00DC2F2A" w:rsidRPr="00F95887" w:rsidRDefault="00DC2F2A" w:rsidP="00DC2F2A">
            <w:pPr>
              <w:ind w:right="-79"/>
              <w:jc w:val="center"/>
              <w:rPr>
                <w:rFonts w:cs="Calibri"/>
                <w:color w:val="000000"/>
                <w:sz w:val="22"/>
                <w:szCs w:val="22"/>
              </w:rPr>
            </w:pPr>
            <w:r w:rsidRPr="00F95887">
              <w:rPr>
                <w:rFonts w:cs="Calibri"/>
                <w:color w:val="000000"/>
                <w:sz w:val="22"/>
                <w:szCs w:val="22"/>
              </w:rPr>
              <w:t>(1.8)</w:t>
            </w:r>
          </w:p>
        </w:tc>
        <w:tc>
          <w:tcPr>
            <w:tcW w:w="1701" w:type="dxa"/>
            <w:noWrap/>
            <w:vAlign w:val="center"/>
            <w:hideMark/>
          </w:tcPr>
          <w:p w:rsidR="00DC2F2A" w:rsidRPr="00B506C7" w:rsidRDefault="00DC2F2A" w:rsidP="00DC2F2A">
            <w:pPr>
              <w:ind w:right="-79"/>
              <w:jc w:val="center"/>
              <w:rPr>
                <w:rFonts w:cs="Calibri"/>
                <w:b/>
                <w:color w:val="000000"/>
                <w:sz w:val="22"/>
                <w:szCs w:val="22"/>
              </w:rPr>
            </w:pPr>
            <w:r w:rsidRPr="00B506C7">
              <w:rPr>
                <w:rFonts w:cs="Calibri"/>
                <w:b/>
                <w:color w:val="000000"/>
                <w:sz w:val="22"/>
                <w:szCs w:val="22"/>
              </w:rPr>
              <w:t>7.8</w:t>
            </w:r>
          </w:p>
        </w:tc>
      </w:tr>
      <w:tr w:rsidR="00DC2F2A" w:rsidRPr="00B506C7" w:rsidTr="00DC2F2A">
        <w:trPr>
          <w:trHeight w:val="510"/>
        </w:trPr>
        <w:tc>
          <w:tcPr>
            <w:tcW w:w="2052" w:type="dxa"/>
            <w:vAlign w:val="center"/>
            <w:hideMark/>
          </w:tcPr>
          <w:p w:rsidR="00DC2F2A" w:rsidRPr="00F95887" w:rsidRDefault="00DC2F2A" w:rsidP="00DC2F2A">
            <w:pPr>
              <w:rPr>
                <w:rFonts w:cs="Calibri"/>
                <w:b/>
                <w:color w:val="000000"/>
                <w:sz w:val="22"/>
                <w:szCs w:val="22"/>
              </w:rPr>
            </w:pPr>
            <w:r w:rsidRPr="00F95887">
              <w:rPr>
                <w:rFonts w:cs="Calibri"/>
                <w:b/>
                <w:color w:val="000000"/>
                <w:sz w:val="22"/>
                <w:szCs w:val="22"/>
              </w:rPr>
              <w:t>Central Items</w:t>
            </w:r>
          </w:p>
        </w:tc>
        <w:tc>
          <w:tcPr>
            <w:tcW w:w="1468" w:type="dxa"/>
            <w:noWrap/>
            <w:vAlign w:val="center"/>
            <w:hideMark/>
          </w:tcPr>
          <w:p w:rsidR="00DC2F2A" w:rsidRPr="00F95887" w:rsidRDefault="00D33F11" w:rsidP="00DC2F2A">
            <w:pPr>
              <w:ind w:right="-79"/>
              <w:jc w:val="center"/>
              <w:rPr>
                <w:rFonts w:cs="Calibri"/>
                <w:color w:val="000000"/>
                <w:sz w:val="22"/>
                <w:szCs w:val="22"/>
              </w:rPr>
            </w:pPr>
            <w:r>
              <w:rPr>
                <w:rFonts w:cs="Calibri"/>
                <w:color w:val="000000"/>
                <w:sz w:val="22"/>
                <w:szCs w:val="22"/>
              </w:rPr>
              <w:t>306.6</w:t>
            </w:r>
          </w:p>
        </w:tc>
        <w:tc>
          <w:tcPr>
            <w:tcW w:w="1174" w:type="dxa"/>
            <w:noWrap/>
            <w:vAlign w:val="center"/>
            <w:hideMark/>
          </w:tcPr>
          <w:p w:rsidR="00DC2F2A" w:rsidRPr="00F95887" w:rsidRDefault="00DC2F2A" w:rsidP="00DC2F2A">
            <w:pPr>
              <w:ind w:right="-79"/>
              <w:jc w:val="center"/>
              <w:rPr>
                <w:rFonts w:cs="Calibri"/>
                <w:color w:val="000000"/>
                <w:sz w:val="22"/>
                <w:szCs w:val="22"/>
              </w:rPr>
            </w:pPr>
            <w:r w:rsidRPr="00F95887">
              <w:rPr>
                <w:rFonts w:cs="Calibri"/>
                <w:color w:val="000000"/>
                <w:sz w:val="22"/>
                <w:szCs w:val="22"/>
              </w:rPr>
              <w:t>(358.5)</w:t>
            </w:r>
          </w:p>
        </w:tc>
        <w:tc>
          <w:tcPr>
            <w:tcW w:w="1322" w:type="dxa"/>
            <w:noWrap/>
            <w:vAlign w:val="center"/>
            <w:hideMark/>
          </w:tcPr>
          <w:p w:rsidR="00DC2F2A" w:rsidRPr="00F95887" w:rsidRDefault="00DC2F2A" w:rsidP="00DC2F2A">
            <w:pPr>
              <w:ind w:right="-79"/>
              <w:jc w:val="center"/>
              <w:rPr>
                <w:rFonts w:cs="Calibri"/>
                <w:color w:val="000000"/>
                <w:sz w:val="22"/>
                <w:szCs w:val="22"/>
              </w:rPr>
            </w:pPr>
            <w:r w:rsidRPr="00F95887">
              <w:rPr>
                <w:rFonts w:cs="Calibri"/>
                <w:color w:val="000000"/>
                <w:sz w:val="22"/>
                <w:szCs w:val="22"/>
              </w:rPr>
              <w:t>(268.2)</w:t>
            </w:r>
          </w:p>
        </w:tc>
        <w:tc>
          <w:tcPr>
            <w:tcW w:w="1175" w:type="dxa"/>
            <w:noWrap/>
            <w:vAlign w:val="center"/>
            <w:hideMark/>
          </w:tcPr>
          <w:p w:rsidR="00DC2F2A" w:rsidRPr="00F95887" w:rsidRDefault="00D33F11" w:rsidP="00DC2F2A">
            <w:pPr>
              <w:ind w:right="-79"/>
              <w:jc w:val="center"/>
              <w:rPr>
                <w:rFonts w:cs="Calibri"/>
                <w:color w:val="000000"/>
                <w:sz w:val="22"/>
                <w:szCs w:val="22"/>
              </w:rPr>
            </w:pPr>
            <w:r>
              <w:rPr>
                <w:rFonts w:cs="Calibri"/>
                <w:color w:val="000000"/>
                <w:sz w:val="22"/>
                <w:szCs w:val="22"/>
              </w:rPr>
              <w:t>(320.1</w:t>
            </w:r>
            <w:r w:rsidR="00DC2F2A" w:rsidRPr="00F95887">
              <w:rPr>
                <w:rFonts w:cs="Calibri"/>
                <w:color w:val="000000"/>
                <w:sz w:val="22"/>
                <w:szCs w:val="22"/>
              </w:rPr>
              <w:t>)</w:t>
            </w:r>
          </w:p>
        </w:tc>
        <w:tc>
          <w:tcPr>
            <w:tcW w:w="1428" w:type="dxa"/>
            <w:noWrap/>
            <w:vAlign w:val="center"/>
            <w:hideMark/>
          </w:tcPr>
          <w:p w:rsidR="00DC2F2A" w:rsidRPr="00F95887" w:rsidRDefault="00D33F11" w:rsidP="00DC2F2A">
            <w:pPr>
              <w:ind w:right="-79"/>
              <w:jc w:val="center"/>
              <w:rPr>
                <w:rFonts w:cs="Calibri"/>
                <w:color w:val="000000"/>
                <w:sz w:val="22"/>
                <w:szCs w:val="22"/>
              </w:rPr>
            </w:pPr>
            <w:r>
              <w:rPr>
                <w:rFonts w:cs="Calibri"/>
                <w:color w:val="000000"/>
                <w:sz w:val="22"/>
                <w:szCs w:val="22"/>
              </w:rPr>
              <w:t>58.0</w:t>
            </w:r>
          </w:p>
        </w:tc>
        <w:tc>
          <w:tcPr>
            <w:tcW w:w="1509" w:type="dxa"/>
            <w:noWrap/>
            <w:vAlign w:val="center"/>
            <w:hideMark/>
          </w:tcPr>
          <w:p w:rsidR="00DC2F2A" w:rsidRPr="00F95887" w:rsidRDefault="00DC2F2A" w:rsidP="00DC2F2A">
            <w:pPr>
              <w:ind w:right="-79"/>
              <w:jc w:val="center"/>
              <w:rPr>
                <w:rFonts w:cs="Calibri"/>
                <w:color w:val="000000"/>
                <w:sz w:val="22"/>
                <w:szCs w:val="22"/>
              </w:rPr>
            </w:pPr>
            <w:r w:rsidRPr="00F95887">
              <w:rPr>
                <w:rFonts w:cs="Calibri"/>
                <w:color w:val="000000"/>
                <w:sz w:val="22"/>
                <w:szCs w:val="22"/>
              </w:rPr>
              <w:t>(23.6)</w:t>
            </w:r>
          </w:p>
        </w:tc>
        <w:tc>
          <w:tcPr>
            <w:tcW w:w="1378" w:type="dxa"/>
            <w:noWrap/>
            <w:vAlign w:val="center"/>
            <w:hideMark/>
          </w:tcPr>
          <w:p w:rsidR="00DC2F2A" w:rsidRPr="00F95887" w:rsidRDefault="00DC2F2A" w:rsidP="00DC2F2A">
            <w:pPr>
              <w:ind w:right="-79"/>
              <w:jc w:val="center"/>
              <w:rPr>
                <w:rFonts w:cs="Calibri"/>
                <w:color w:val="000000"/>
                <w:sz w:val="22"/>
                <w:szCs w:val="22"/>
              </w:rPr>
            </w:pPr>
            <w:r w:rsidRPr="00F95887">
              <w:rPr>
                <w:rFonts w:cs="Calibri"/>
                <w:color w:val="000000"/>
                <w:sz w:val="22"/>
                <w:szCs w:val="22"/>
              </w:rPr>
              <w:t>(5.7)</w:t>
            </w:r>
          </w:p>
        </w:tc>
        <w:tc>
          <w:tcPr>
            <w:tcW w:w="1394" w:type="dxa"/>
            <w:noWrap/>
            <w:vAlign w:val="center"/>
            <w:hideMark/>
          </w:tcPr>
          <w:p w:rsidR="00DC2F2A" w:rsidRPr="00F95887" w:rsidRDefault="00DC2F2A" w:rsidP="00DC2F2A">
            <w:pPr>
              <w:ind w:right="-79"/>
              <w:jc w:val="center"/>
              <w:rPr>
                <w:rFonts w:cs="Calibri"/>
                <w:color w:val="000000"/>
                <w:sz w:val="22"/>
                <w:szCs w:val="22"/>
              </w:rPr>
            </w:pPr>
            <w:r w:rsidRPr="00F95887">
              <w:rPr>
                <w:rFonts w:cs="Calibri"/>
                <w:color w:val="000000"/>
                <w:sz w:val="22"/>
                <w:szCs w:val="22"/>
              </w:rPr>
              <w:t>22.0</w:t>
            </w:r>
          </w:p>
        </w:tc>
        <w:tc>
          <w:tcPr>
            <w:tcW w:w="992" w:type="dxa"/>
            <w:noWrap/>
            <w:vAlign w:val="center"/>
            <w:hideMark/>
          </w:tcPr>
          <w:p w:rsidR="00DC2F2A" w:rsidRPr="00F95887" w:rsidRDefault="00D33F11" w:rsidP="00DC2F2A">
            <w:pPr>
              <w:ind w:right="-79"/>
              <w:jc w:val="center"/>
              <w:rPr>
                <w:rFonts w:cs="Calibri"/>
                <w:color w:val="000000"/>
                <w:sz w:val="22"/>
                <w:szCs w:val="22"/>
              </w:rPr>
            </w:pPr>
            <w:r>
              <w:rPr>
                <w:rFonts w:cs="Calibri"/>
                <w:color w:val="000000"/>
                <w:sz w:val="22"/>
                <w:szCs w:val="22"/>
              </w:rPr>
              <w:t>48.9</w:t>
            </w:r>
          </w:p>
        </w:tc>
        <w:tc>
          <w:tcPr>
            <w:tcW w:w="1701" w:type="dxa"/>
            <w:noWrap/>
            <w:vAlign w:val="center"/>
            <w:hideMark/>
          </w:tcPr>
          <w:p w:rsidR="00DC2F2A" w:rsidRPr="00B506C7" w:rsidRDefault="00DC2F2A" w:rsidP="00DC2F2A">
            <w:pPr>
              <w:ind w:right="-79"/>
              <w:jc w:val="center"/>
              <w:rPr>
                <w:rFonts w:cs="Calibri"/>
                <w:b/>
                <w:color w:val="000000"/>
                <w:sz w:val="22"/>
                <w:szCs w:val="22"/>
              </w:rPr>
            </w:pPr>
            <w:r w:rsidRPr="00B506C7">
              <w:rPr>
                <w:rFonts w:cs="Calibri"/>
                <w:b/>
                <w:color w:val="000000"/>
                <w:sz w:val="22"/>
                <w:szCs w:val="22"/>
              </w:rPr>
              <w:t>(271.2)</w:t>
            </w:r>
          </w:p>
        </w:tc>
      </w:tr>
      <w:tr w:rsidR="00DC2F2A" w:rsidRPr="00B506C7" w:rsidTr="00DC2F2A">
        <w:trPr>
          <w:trHeight w:val="510"/>
        </w:trPr>
        <w:tc>
          <w:tcPr>
            <w:tcW w:w="2052" w:type="dxa"/>
            <w:vAlign w:val="center"/>
            <w:hideMark/>
          </w:tcPr>
          <w:p w:rsidR="00DC2F2A" w:rsidRPr="00F95887" w:rsidRDefault="00DC2F2A" w:rsidP="00DC2F2A">
            <w:pPr>
              <w:rPr>
                <w:rFonts w:cs="Calibri"/>
                <w:b/>
                <w:color w:val="000000"/>
                <w:sz w:val="22"/>
                <w:szCs w:val="22"/>
              </w:rPr>
            </w:pPr>
            <w:r w:rsidRPr="00F95887">
              <w:rPr>
                <w:rFonts w:cs="Calibri"/>
                <w:b/>
                <w:color w:val="000000"/>
                <w:sz w:val="22"/>
                <w:szCs w:val="22"/>
              </w:rPr>
              <w:t>Customer And Digital Services</w:t>
            </w:r>
          </w:p>
        </w:tc>
        <w:tc>
          <w:tcPr>
            <w:tcW w:w="1468" w:type="dxa"/>
            <w:noWrap/>
            <w:vAlign w:val="center"/>
            <w:hideMark/>
          </w:tcPr>
          <w:p w:rsidR="00DC2F2A" w:rsidRPr="00F95887" w:rsidRDefault="00DC2F2A" w:rsidP="00DC2F2A">
            <w:pPr>
              <w:ind w:right="-79"/>
              <w:jc w:val="center"/>
              <w:rPr>
                <w:rFonts w:cs="Calibri"/>
                <w:color w:val="000000"/>
                <w:sz w:val="22"/>
                <w:szCs w:val="22"/>
              </w:rPr>
            </w:pPr>
            <w:r w:rsidRPr="00F95887">
              <w:rPr>
                <w:rFonts w:cs="Calibri"/>
                <w:color w:val="000000"/>
                <w:sz w:val="22"/>
                <w:szCs w:val="22"/>
              </w:rPr>
              <w:t>38.8</w:t>
            </w:r>
          </w:p>
        </w:tc>
        <w:tc>
          <w:tcPr>
            <w:tcW w:w="1174" w:type="dxa"/>
            <w:noWrap/>
            <w:vAlign w:val="center"/>
            <w:hideMark/>
          </w:tcPr>
          <w:p w:rsidR="00DC2F2A" w:rsidRPr="00F95887" w:rsidRDefault="00DC2F2A" w:rsidP="00DC2F2A">
            <w:pPr>
              <w:ind w:right="-79"/>
              <w:jc w:val="center"/>
              <w:rPr>
                <w:rFonts w:cs="Calibri"/>
                <w:color w:val="000000"/>
                <w:sz w:val="22"/>
                <w:szCs w:val="22"/>
              </w:rPr>
            </w:pPr>
            <w:r w:rsidRPr="00F95887">
              <w:rPr>
                <w:rFonts w:cs="Calibri"/>
                <w:color w:val="000000"/>
                <w:sz w:val="22"/>
                <w:szCs w:val="22"/>
              </w:rPr>
              <w:t>(17.9)</w:t>
            </w:r>
          </w:p>
        </w:tc>
        <w:tc>
          <w:tcPr>
            <w:tcW w:w="1322" w:type="dxa"/>
            <w:noWrap/>
            <w:vAlign w:val="center"/>
            <w:hideMark/>
          </w:tcPr>
          <w:p w:rsidR="00DC2F2A" w:rsidRPr="00F95887" w:rsidRDefault="00DC2F2A" w:rsidP="00DC2F2A">
            <w:pPr>
              <w:ind w:right="-79"/>
              <w:jc w:val="center"/>
              <w:rPr>
                <w:rFonts w:cs="Calibri"/>
                <w:color w:val="000000"/>
                <w:sz w:val="22"/>
                <w:szCs w:val="22"/>
              </w:rPr>
            </w:pPr>
            <w:r w:rsidRPr="00F95887">
              <w:rPr>
                <w:rFonts w:cs="Calibri"/>
                <w:color w:val="000000"/>
                <w:sz w:val="22"/>
                <w:szCs w:val="22"/>
              </w:rPr>
              <w:t>0.0</w:t>
            </w:r>
          </w:p>
        </w:tc>
        <w:tc>
          <w:tcPr>
            <w:tcW w:w="1175" w:type="dxa"/>
            <w:noWrap/>
            <w:vAlign w:val="center"/>
            <w:hideMark/>
          </w:tcPr>
          <w:p w:rsidR="00DC2F2A" w:rsidRPr="00F95887" w:rsidRDefault="00DC2F2A" w:rsidP="00DC2F2A">
            <w:pPr>
              <w:ind w:right="-79"/>
              <w:jc w:val="center"/>
              <w:rPr>
                <w:rFonts w:cs="Calibri"/>
                <w:color w:val="000000"/>
                <w:sz w:val="22"/>
                <w:szCs w:val="22"/>
              </w:rPr>
            </w:pPr>
            <w:r w:rsidRPr="00F95887">
              <w:rPr>
                <w:rFonts w:cs="Calibri"/>
                <w:color w:val="000000"/>
                <w:sz w:val="22"/>
                <w:szCs w:val="22"/>
              </w:rPr>
              <w:t>20.9</w:t>
            </w:r>
          </w:p>
        </w:tc>
        <w:tc>
          <w:tcPr>
            <w:tcW w:w="1428" w:type="dxa"/>
            <w:noWrap/>
            <w:vAlign w:val="center"/>
            <w:hideMark/>
          </w:tcPr>
          <w:p w:rsidR="00DC2F2A" w:rsidRPr="00F95887" w:rsidRDefault="00DC2F2A" w:rsidP="00DC2F2A">
            <w:pPr>
              <w:ind w:right="-79"/>
              <w:jc w:val="center"/>
              <w:rPr>
                <w:rFonts w:cs="Calibri"/>
                <w:color w:val="000000"/>
                <w:sz w:val="22"/>
                <w:szCs w:val="22"/>
              </w:rPr>
            </w:pPr>
            <w:r w:rsidRPr="00F95887">
              <w:rPr>
                <w:rFonts w:cs="Calibri"/>
                <w:color w:val="000000"/>
                <w:sz w:val="22"/>
                <w:szCs w:val="22"/>
              </w:rPr>
              <w:t>0.0</w:t>
            </w:r>
          </w:p>
        </w:tc>
        <w:tc>
          <w:tcPr>
            <w:tcW w:w="1509" w:type="dxa"/>
            <w:noWrap/>
            <w:vAlign w:val="center"/>
            <w:hideMark/>
          </w:tcPr>
          <w:p w:rsidR="00DC2F2A" w:rsidRPr="00F95887" w:rsidRDefault="00DC2F2A" w:rsidP="00DC2F2A">
            <w:pPr>
              <w:ind w:right="-79"/>
              <w:jc w:val="center"/>
              <w:rPr>
                <w:rFonts w:cs="Calibri"/>
                <w:color w:val="000000"/>
                <w:sz w:val="22"/>
                <w:szCs w:val="22"/>
              </w:rPr>
            </w:pPr>
            <w:r w:rsidRPr="00F95887">
              <w:rPr>
                <w:rFonts w:cs="Calibri"/>
                <w:color w:val="000000"/>
                <w:sz w:val="22"/>
                <w:szCs w:val="22"/>
              </w:rPr>
              <w:t>0.1</w:t>
            </w:r>
          </w:p>
        </w:tc>
        <w:tc>
          <w:tcPr>
            <w:tcW w:w="1378" w:type="dxa"/>
            <w:noWrap/>
            <w:vAlign w:val="center"/>
            <w:hideMark/>
          </w:tcPr>
          <w:p w:rsidR="00DC2F2A" w:rsidRPr="00F95887" w:rsidRDefault="00DC2F2A" w:rsidP="00DC2F2A">
            <w:pPr>
              <w:ind w:right="-79"/>
              <w:jc w:val="center"/>
              <w:rPr>
                <w:rFonts w:cs="Calibri"/>
                <w:color w:val="000000"/>
                <w:sz w:val="22"/>
                <w:szCs w:val="22"/>
              </w:rPr>
            </w:pPr>
            <w:r w:rsidRPr="00F95887">
              <w:rPr>
                <w:rFonts w:cs="Calibri"/>
                <w:color w:val="000000"/>
                <w:sz w:val="22"/>
                <w:szCs w:val="22"/>
              </w:rPr>
              <w:t>0.0</w:t>
            </w:r>
          </w:p>
        </w:tc>
        <w:tc>
          <w:tcPr>
            <w:tcW w:w="1394" w:type="dxa"/>
            <w:noWrap/>
            <w:vAlign w:val="center"/>
            <w:hideMark/>
          </w:tcPr>
          <w:p w:rsidR="00DC2F2A" w:rsidRPr="00F95887" w:rsidRDefault="00DC2F2A" w:rsidP="00DC2F2A">
            <w:pPr>
              <w:ind w:right="-79"/>
              <w:jc w:val="center"/>
              <w:rPr>
                <w:rFonts w:cs="Calibri"/>
                <w:color w:val="000000"/>
                <w:sz w:val="22"/>
                <w:szCs w:val="22"/>
              </w:rPr>
            </w:pPr>
            <w:r w:rsidRPr="00F95887">
              <w:rPr>
                <w:rFonts w:cs="Calibri"/>
                <w:color w:val="000000"/>
                <w:sz w:val="22"/>
                <w:szCs w:val="22"/>
              </w:rPr>
              <w:t>0.2</w:t>
            </w:r>
          </w:p>
        </w:tc>
        <w:tc>
          <w:tcPr>
            <w:tcW w:w="992" w:type="dxa"/>
            <w:noWrap/>
            <w:vAlign w:val="center"/>
            <w:hideMark/>
          </w:tcPr>
          <w:p w:rsidR="00DC2F2A" w:rsidRPr="00F95887" w:rsidRDefault="00DC2F2A" w:rsidP="00DC2F2A">
            <w:pPr>
              <w:ind w:right="-79"/>
              <w:jc w:val="center"/>
              <w:rPr>
                <w:rFonts w:cs="Calibri"/>
                <w:color w:val="000000"/>
                <w:sz w:val="22"/>
                <w:szCs w:val="22"/>
              </w:rPr>
            </w:pPr>
            <w:r w:rsidRPr="00F95887">
              <w:rPr>
                <w:rFonts w:cs="Calibri"/>
                <w:color w:val="000000"/>
                <w:sz w:val="22"/>
                <w:szCs w:val="22"/>
              </w:rPr>
              <w:t>0.3</w:t>
            </w:r>
          </w:p>
        </w:tc>
        <w:tc>
          <w:tcPr>
            <w:tcW w:w="1701" w:type="dxa"/>
            <w:noWrap/>
            <w:vAlign w:val="center"/>
            <w:hideMark/>
          </w:tcPr>
          <w:p w:rsidR="00DC2F2A" w:rsidRPr="00B506C7" w:rsidRDefault="00DC2F2A" w:rsidP="00DC2F2A">
            <w:pPr>
              <w:ind w:right="-79"/>
              <w:jc w:val="center"/>
              <w:rPr>
                <w:rFonts w:cs="Calibri"/>
                <w:b/>
                <w:color w:val="000000"/>
                <w:sz w:val="22"/>
                <w:szCs w:val="22"/>
              </w:rPr>
            </w:pPr>
            <w:r w:rsidRPr="00B506C7">
              <w:rPr>
                <w:rFonts w:cs="Calibri"/>
                <w:b/>
                <w:color w:val="000000"/>
                <w:sz w:val="22"/>
                <w:szCs w:val="22"/>
              </w:rPr>
              <w:t>21.2</w:t>
            </w:r>
          </w:p>
        </w:tc>
      </w:tr>
      <w:tr w:rsidR="00DC2F2A" w:rsidRPr="00B506C7" w:rsidTr="00DC2F2A">
        <w:trPr>
          <w:trHeight w:val="510"/>
        </w:trPr>
        <w:tc>
          <w:tcPr>
            <w:tcW w:w="2052" w:type="dxa"/>
            <w:vAlign w:val="center"/>
            <w:hideMark/>
          </w:tcPr>
          <w:p w:rsidR="00DC2F2A" w:rsidRPr="00F95887" w:rsidRDefault="00DC2F2A" w:rsidP="00DC2F2A">
            <w:pPr>
              <w:rPr>
                <w:rFonts w:cs="Calibri"/>
                <w:b/>
                <w:color w:val="000000"/>
                <w:sz w:val="22"/>
                <w:szCs w:val="22"/>
              </w:rPr>
            </w:pPr>
            <w:r w:rsidRPr="00F95887">
              <w:rPr>
                <w:rFonts w:cs="Calibri"/>
                <w:b/>
                <w:color w:val="000000"/>
                <w:sz w:val="22"/>
                <w:szCs w:val="22"/>
              </w:rPr>
              <w:t>Chief Executive's Department</w:t>
            </w:r>
          </w:p>
        </w:tc>
        <w:tc>
          <w:tcPr>
            <w:tcW w:w="1468" w:type="dxa"/>
            <w:noWrap/>
            <w:vAlign w:val="center"/>
            <w:hideMark/>
          </w:tcPr>
          <w:p w:rsidR="00DC2F2A" w:rsidRPr="00F95887" w:rsidRDefault="00DC2F2A" w:rsidP="00DC2F2A">
            <w:pPr>
              <w:ind w:right="-79"/>
              <w:jc w:val="center"/>
              <w:rPr>
                <w:rFonts w:cs="Calibri"/>
                <w:color w:val="000000"/>
                <w:sz w:val="22"/>
                <w:szCs w:val="22"/>
              </w:rPr>
            </w:pPr>
            <w:r w:rsidRPr="00F95887">
              <w:rPr>
                <w:rFonts w:cs="Calibri"/>
                <w:color w:val="000000"/>
                <w:sz w:val="22"/>
                <w:szCs w:val="22"/>
              </w:rPr>
              <w:t>20.1</w:t>
            </w:r>
          </w:p>
        </w:tc>
        <w:tc>
          <w:tcPr>
            <w:tcW w:w="1174" w:type="dxa"/>
            <w:noWrap/>
            <w:vAlign w:val="center"/>
            <w:hideMark/>
          </w:tcPr>
          <w:p w:rsidR="00DC2F2A" w:rsidRPr="00F95887" w:rsidRDefault="00DC2F2A" w:rsidP="00DC2F2A">
            <w:pPr>
              <w:ind w:right="-79"/>
              <w:jc w:val="center"/>
              <w:rPr>
                <w:rFonts w:cs="Calibri"/>
                <w:color w:val="000000"/>
                <w:sz w:val="22"/>
                <w:szCs w:val="22"/>
              </w:rPr>
            </w:pPr>
            <w:r w:rsidRPr="00F95887">
              <w:rPr>
                <w:rFonts w:cs="Calibri"/>
                <w:color w:val="000000"/>
                <w:sz w:val="22"/>
                <w:szCs w:val="22"/>
              </w:rPr>
              <w:t>(0.9)</w:t>
            </w:r>
          </w:p>
        </w:tc>
        <w:tc>
          <w:tcPr>
            <w:tcW w:w="1322" w:type="dxa"/>
            <w:noWrap/>
            <w:vAlign w:val="center"/>
            <w:hideMark/>
          </w:tcPr>
          <w:p w:rsidR="00DC2F2A" w:rsidRPr="00F95887" w:rsidRDefault="00DC2F2A" w:rsidP="00DC2F2A">
            <w:pPr>
              <w:ind w:right="-79"/>
              <w:jc w:val="center"/>
              <w:rPr>
                <w:rFonts w:cs="Calibri"/>
                <w:color w:val="000000"/>
                <w:sz w:val="22"/>
                <w:szCs w:val="22"/>
              </w:rPr>
            </w:pPr>
            <w:r w:rsidRPr="00F95887">
              <w:rPr>
                <w:rFonts w:cs="Calibri"/>
                <w:color w:val="000000"/>
                <w:sz w:val="22"/>
                <w:szCs w:val="22"/>
              </w:rPr>
              <w:t>0.0</w:t>
            </w:r>
          </w:p>
        </w:tc>
        <w:tc>
          <w:tcPr>
            <w:tcW w:w="1175" w:type="dxa"/>
            <w:noWrap/>
            <w:vAlign w:val="center"/>
            <w:hideMark/>
          </w:tcPr>
          <w:p w:rsidR="00DC2F2A" w:rsidRPr="00F95887" w:rsidRDefault="00DC2F2A" w:rsidP="00DC2F2A">
            <w:pPr>
              <w:ind w:right="-79"/>
              <w:jc w:val="center"/>
              <w:rPr>
                <w:rFonts w:cs="Calibri"/>
                <w:color w:val="000000"/>
                <w:sz w:val="22"/>
                <w:szCs w:val="22"/>
              </w:rPr>
            </w:pPr>
            <w:r w:rsidRPr="00F95887">
              <w:rPr>
                <w:rFonts w:cs="Calibri"/>
                <w:color w:val="000000"/>
                <w:sz w:val="22"/>
                <w:szCs w:val="22"/>
              </w:rPr>
              <w:t>19.2</w:t>
            </w:r>
          </w:p>
        </w:tc>
        <w:tc>
          <w:tcPr>
            <w:tcW w:w="1428" w:type="dxa"/>
            <w:noWrap/>
            <w:vAlign w:val="center"/>
            <w:hideMark/>
          </w:tcPr>
          <w:p w:rsidR="00DC2F2A" w:rsidRPr="00F95887" w:rsidRDefault="00DC2F2A" w:rsidP="00DC2F2A">
            <w:pPr>
              <w:ind w:right="-79"/>
              <w:jc w:val="center"/>
              <w:rPr>
                <w:rFonts w:cs="Calibri"/>
                <w:color w:val="000000"/>
                <w:sz w:val="22"/>
                <w:szCs w:val="22"/>
              </w:rPr>
            </w:pPr>
            <w:r w:rsidRPr="00F95887">
              <w:rPr>
                <w:rFonts w:cs="Calibri"/>
                <w:color w:val="000000"/>
                <w:sz w:val="22"/>
                <w:szCs w:val="22"/>
              </w:rPr>
              <w:t>(1.9)</w:t>
            </w:r>
          </w:p>
        </w:tc>
        <w:tc>
          <w:tcPr>
            <w:tcW w:w="1509" w:type="dxa"/>
            <w:noWrap/>
            <w:vAlign w:val="center"/>
            <w:hideMark/>
          </w:tcPr>
          <w:p w:rsidR="00DC2F2A" w:rsidRPr="00F95887" w:rsidRDefault="00DC2F2A" w:rsidP="00DC2F2A">
            <w:pPr>
              <w:ind w:right="-79"/>
              <w:jc w:val="center"/>
              <w:rPr>
                <w:rFonts w:cs="Calibri"/>
                <w:color w:val="000000"/>
                <w:sz w:val="22"/>
                <w:szCs w:val="22"/>
              </w:rPr>
            </w:pPr>
            <w:r w:rsidRPr="00F95887">
              <w:rPr>
                <w:rFonts w:cs="Calibri"/>
                <w:color w:val="000000"/>
                <w:sz w:val="22"/>
                <w:szCs w:val="22"/>
              </w:rPr>
              <w:t>0.0</w:t>
            </w:r>
          </w:p>
        </w:tc>
        <w:tc>
          <w:tcPr>
            <w:tcW w:w="1378" w:type="dxa"/>
            <w:noWrap/>
            <w:vAlign w:val="center"/>
            <w:hideMark/>
          </w:tcPr>
          <w:p w:rsidR="00DC2F2A" w:rsidRPr="00F95887" w:rsidRDefault="00DC2F2A" w:rsidP="00DC2F2A">
            <w:pPr>
              <w:ind w:right="-79"/>
              <w:jc w:val="center"/>
              <w:rPr>
                <w:rFonts w:cs="Calibri"/>
                <w:color w:val="000000"/>
                <w:sz w:val="22"/>
                <w:szCs w:val="22"/>
              </w:rPr>
            </w:pPr>
            <w:r w:rsidRPr="00F95887">
              <w:rPr>
                <w:rFonts w:cs="Calibri"/>
                <w:color w:val="000000"/>
                <w:sz w:val="22"/>
                <w:szCs w:val="22"/>
              </w:rPr>
              <w:t>0.0</w:t>
            </w:r>
          </w:p>
        </w:tc>
        <w:tc>
          <w:tcPr>
            <w:tcW w:w="1394" w:type="dxa"/>
            <w:noWrap/>
            <w:vAlign w:val="center"/>
            <w:hideMark/>
          </w:tcPr>
          <w:p w:rsidR="00DC2F2A" w:rsidRPr="00F95887" w:rsidRDefault="00DC2F2A" w:rsidP="00DC2F2A">
            <w:pPr>
              <w:ind w:right="-79"/>
              <w:jc w:val="center"/>
              <w:rPr>
                <w:rFonts w:cs="Calibri"/>
                <w:color w:val="000000"/>
                <w:sz w:val="22"/>
                <w:szCs w:val="22"/>
              </w:rPr>
            </w:pPr>
            <w:r w:rsidRPr="00F95887">
              <w:rPr>
                <w:rFonts w:cs="Calibri"/>
                <w:color w:val="000000"/>
                <w:sz w:val="22"/>
                <w:szCs w:val="22"/>
              </w:rPr>
              <w:t>(0.7)</w:t>
            </w:r>
          </w:p>
        </w:tc>
        <w:tc>
          <w:tcPr>
            <w:tcW w:w="992" w:type="dxa"/>
            <w:noWrap/>
            <w:vAlign w:val="center"/>
            <w:hideMark/>
          </w:tcPr>
          <w:p w:rsidR="00DC2F2A" w:rsidRPr="00F95887" w:rsidRDefault="00DC2F2A" w:rsidP="00DC2F2A">
            <w:pPr>
              <w:ind w:right="-79"/>
              <w:jc w:val="center"/>
              <w:rPr>
                <w:rFonts w:cs="Calibri"/>
                <w:color w:val="000000"/>
                <w:sz w:val="22"/>
                <w:szCs w:val="22"/>
              </w:rPr>
            </w:pPr>
            <w:r w:rsidRPr="00F95887">
              <w:rPr>
                <w:rFonts w:cs="Calibri"/>
                <w:color w:val="000000"/>
                <w:sz w:val="22"/>
                <w:szCs w:val="22"/>
              </w:rPr>
              <w:t>(2.6)</w:t>
            </w:r>
          </w:p>
        </w:tc>
        <w:tc>
          <w:tcPr>
            <w:tcW w:w="1701" w:type="dxa"/>
            <w:noWrap/>
            <w:vAlign w:val="center"/>
            <w:hideMark/>
          </w:tcPr>
          <w:p w:rsidR="00DC2F2A" w:rsidRPr="00B506C7" w:rsidRDefault="00DC2F2A" w:rsidP="00DC2F2A">
            <w:pPr>
              <w:ind w:right="-79"/>
              <w:jc w:val="center"/>
              <w:rPr>
                <w:rFonts w:cs="Calibri"/>
                <w:b/>
                <w:color w:val="000000"/>
                <w:sz w:val="22"/>
                <w:szCs w:val="22"/>
              </w:rPr>
            </w:pPr>
            <w:r w:rsidRPr="00B506C7">
              <w:rPr>
                <w:rFonts w:cs="Calibri"/>
                <w:b/>
                <w:color w:val="000000"/>
                <w:sz w:val="22"/>
                <w:szCs w:val="22"/>
              </w:rPr>
              <w:t>16.6</w:t>
            </w:r>
          </w:p>
        </w:tc>
      </w:tr>
      <w:tr w:rsidR="00DC2F2A" w:rsidRPr="00B506C7" w:rsidTr="00DC2F2A">
        <w:trPr>
          <w:trHeight w:val="510"/>
        </w:trPr>
        <w:tc>
          <w:tcPr>
            <w:tcW w:w="2052" w:type="dxa"/>
            <w:vAlign w:val="center"/>
            <w:hideMark/>
          </w:tcPr>
          <w:p w:rsidR="00DC2F2A" w:rsidRPr="00F95887" w:rsidRDefault="00DC2F2A" w:rsidP="00DC2F2A">
            <w:pPr>
              <w:rPr>
                <w:rFonts w:cs="Calibri"/>
                <w:b/>
                <w:color w:val="000000"/>
                <w:sz w:val="22"/>
                <w:szCs w:val="22"/>
              </w:rPr>
            </w:pPr>
            <w:r w:rsidRPr="00F95887">
              <w:rPr>
                <w:rFonts w:cs="Calibri"/>
                <w:b/>
                <w:color w:val="000000"/>
                <w:sz w:val="22"/>
                <w:szCs w:val="22"/>
              </w:rPr>
              <w:t>Regeneration &amp; Environment</w:t>
            </w:r>
          </w:p>
        </w:tc>
        <w:tc>
          <w:tcPr>
            <w:tcW w:w="1468" w:type="dxa"/>
            <w:noWrap/>
            <w:vAlign w:val="center"/>
            <w:hideMark/>
          </w:tcPr>
          <w:p w:rsidR="00DC2F2A" w:rsidRPr="00F95887" w:rsidRDefault="00DC2F2A" w:rsidP="00DC2F2A">
            <w:pPr>
              <w:ind w:right="-79"/>
              <w:jc w:val="center"/>
              <w:rPr>
                <w:rFonts w:cs="Calibri"/>
                <w:color w:val="000000"/>
                <w:sz w:val="22"/>
                <w:szCs w:val="22"/>
              </w:rPr>
            </w:pPr>
            <w:r w:rsidRPr="00F95887">
              <w:rPr>
                <w:rFonts w:cs="Calibri"/>
                <w:color w:val="000000"/>
                <w:sz w:val="22"/>
                <w:szCs w:val="22"/>
              </w:rPr>
              <w:t>90.9</w:t>
            </w:r>
          </w:p>
        </w:tc>
        <w:tc>
          <w:tcPr>
            <w:tcW w:w="1174" w:type="dxa"/>
            <w:noWrap/>
            <w:vAlign w:val="center"/>
            <w:hideMark/>
          </w:tcPr>
          <w:p w:rsidR="00DC2F2A" w:rsidRPr="00F95887" w:rsidRDefault="00DC2F2A" w:rsidP="00DC2F2A">
            <w:pPr>
              <w:ind w:right="-79"/>
              <w:jc w:val="center"/>
              <w:rPr>
                <w:rFonts w:cs="Calibri"/>
                <w:color w:val="000000"/>
                <w:sz w:val="22"/>
                <w:szCs w:val="22"/>
              </w:rPr>
            </w:pPr>
            <w:r w:rsidRPr="00F95887">
              <w:rPr>
                <w:rFonts w:cs="Calibri"/>
                <w:color w:val="000000"/>
                <w:sz w:val="22"/>
                <w:szCs w:val="22"/>
              </w:rPr>
              <w:t>(48.1)</w:t>
            </w:r>
          </w:p>
        </w:tc>
        <w:tc>
          <w:tcPr>
            <w:tcW w:w="1322" w:type="dxa"/>
            <w:noWrap/>
            <w:vAlign w:val="center"/>
            <w:hideMark/>
          </w:tcPr>
          <w:p w:rsidR="00DC2F2A" w:rsidRPr="00F95887" w:rsidRDefault="00DC2F2A" w:rsidP="00DC2F2A">
            <w:pPr>
              <w:ind w:right="-79"/>
              <w:jc w:val="center"/>
              <w:rPr>
                <w:rFonts w:cs="Calibri"/>
                <w:color w:val="000000"/>
                <w:sz w:val="22"/>
                <w:szCs w:val="22"/>
              </w:rPr>
            </w:pPr>
            <w:r w:rsidRPr="00F95887">
              <w:rPr>
                <w:rFonts w:cs="Calibri"/>
                <w:color w:val="000000"/>
                <w:sz w:val="22"/>
                <w:szCs w:val="22"/>
              </w:rPr>
              <w:t>(29.6)</w:t>
            </w:r>
          </w:p>
        </w:tc>
        <w:tc>
          <w:tcPr>
            <w:tcW w:w="1175" w:type="dxa"/>
            <w:noWrap/>
            <w:vAlign w:val="center"/>
            <w:hideMark/>
          </w:tcPr>
          <w:p w:rsidR="00DC2F2A" w:rsidRPr="00F95887" w:rsidRDefault="00DC2F2A" w:rsidP="00DC2F2A">
            <w:pPr>
              <w:ind w:right="-79"/>
              <w:jc w:val="center"/>
              <w:rPr>
                <w:rFonts w:cs="Calibri"/>
                <w:color w:val="000000"/>
                <w:sz w:val="22"/>
                <w:szCs w:val="22"/>
              </w:rPr>
            </w:pPr>
            <w:r w:rsidRPr="00F95887">
              <w:rPr>
                <w:rFonts w:cs="Calibri"/>
                <w:color w:val="000000"/>
                <w:sz w:val="22"/>
                <w:szCs w:val="22"/>
              </w:rPr>
              <w:t>13.2</w:t>
            </w:r>
          </w:p>
        </w:tc>
        <w:tc>
          <w:tcPr>
            <w:tcW w:w="1428" w:type="dxa"/>
            <w:noWrap/>
            <w:vAlign w:val="center"/>
            <w:hideMark/>
          </w:tcPr>
          <w:p w:rsidR="00DC2F2A" w:rsidRPr="00F95887" w:rsidRDefault="00DC2F2A" w:rsidP="00DC2F2A">
            <w:pPr>
              <w:ind w:right="-79"/>
              <w:jc w:val="center"/>
              <w:rPr>
                <w:rFonts w:cs="Calibri"/>
                <w:color w:val="000000"/>
                <w:sz w:val="22"/>
                <w:szCs w:val="22"/>
              </w:rPr>
            </w:pPr>
            <w:r w:rsidRPr="00F95887">
              <w:rPr>
                <w:rFonts w:cs="Calibri"/>
                <w:color w:val="000000"/>
                <w:sz w:val="22"/>
                <w:szCs w:val="22"/>
              </w:rPr>
              <w:t>0.9</w:t>
            </w:r>
          </w:p>
        </w:tc>
        <w:tc>
          <w:tcPr>
            <w:tcW w:w="1509" w:type="dxa"/>
            <w:noWrap/>
            <w:vAlign w:val="center"/>
            <w:hideMark/>
          </w:tcPr>
          <w:p w:rsidR="00DC2F2A" w:rsidRPr="00F95887" w:rsidRDefault="00DC2F2A" w:rsidP="00DC2F2A">
            <w:pPr>
              <w:ind w:right="-79"/>
              <w:jc w:val="center"/>
              <w:rPr>
                <w:rFonts w:cs="Calibri"/>
                <w:color w:val="000000"/>
                <w:sz w:val="22"/>
                <w:szCs w:val="22"/>
              </w:rPr>
            </w:pPr>
            <w:r w:rsidRPr="00F95887">
              <w:rPr>
                <w:rFonts w:cs="Calibri"/>
                <w:color w:val="000000"/>
                <w:sz w:val="22"/>
                <w:szCs w:val="22"/>
              </w:rPr>
              <w:t>0.1</w:t>
            </w:r>
          </w:p>
        </w:tc>
        <w:tc>
          <w:tcPr>
            <w:tcW w:w="1378" w:type="dxa"/>
            <w:noWrap/>
            <w:vAlign w:val="center"/>
            <w:hideMark/>
          </w:tcPr>
          <w:p w:rsidR="00DC2F2A" w:rsidRPr="00F95887" w:rsidRDefault="00DC2F2A" w:rsidP="00DC2F2A">
            <w:pPr>
              <w:ind w:right="-79"/>
              <w:jc w:val="center"/>
              <w:rPr>
                <w:rFonts w:cs="Calibri"/>
                <w:color w:val="000000"/>
                <w:sz w:val="22"/>
                <w:szCs w:val="22"/>
              </w:rPr>
            </w:pPr>
            <w:r w:rsidRPr="00F95887">
              <w:rPr>
                <w:rFonts w:cs="Calibri"/>
                <w:color w:val="000000"/>
                <w:sz w:val="22"/>
                <w:szCs w:val="22"/>
              </w:rPr>
              <w:t>0.0</w:t>
            </w:r>
          </w:p>
        </w:tc>
        <w:tc>
          <w:tcPr>
            <w:tcW w:w="1394" w:type="dxa"/>
            <w:noWrap/>
            <w:vAlign w:val="center"/>
            <w:hideMark/>
          </w:tcPr>
          <w:p w:rsidR="00DC2F2A" w:rsidRPr="00F95887" w:rsidRDefault="00DC2F2A" w:rsidP="00DC2F2A">
            <w:pPr>
              <w:ind w:right="-79"/>
              <w:jc w:val="center"/>
              <w:rPr>
                <w:rFonts w:cs="Calibri"/>
                <w:color w:val="000000"/>
                <w:sz w:val="22"/>
                <w:szCs w:val="22"/>
              </w:rPr>
            </w:pPr>
            <w:r w:rsidRPr="00F95887">
              <w:rPr>
                <w:rFonts w:cs="Calibri"/>
                <w:color w:val="000000"/>
                <w:sz w:val="22"/>
                <w:szCs w:val="22"/>
              </w:rPr>
              <w:t>23.9</w:t>
            </w:r>
          </w:p>
        </w:tc>
        <w:tc>
          <w:tcPr>
            <w:tcW w:w="992" w:type="dxa"/>
            <w:noWrap/>
            <w:vAlign w:val="center"/>
            <w:hideMark/>
          </w:tcPr>
          <w:p w:rsidR="00DC2F2A" w:rsidRPr="00F95887" w:rsidRDefault="00DC2F2A" w:rsidP="00DC2F2A">
            <w:pPr>
              <w:ind w:right="-79"/>
              <w:jc w:val="center"/>
              <w:rPr>
                <w:rFonts w:cs="Calibri"/>
                <w:color w:val="000000"/>
                <w:sz w:val="22"/>
                <w:szCs w:val="22"/>
              </w:rPr>
            </w:pPr>
            <w:r w:rsidRPr="00F95887">
              <w:rPr>
                <w:rFonts w:cs="Calibri"/>
                <w:color w:val="000000"/>
                <w:sz w:val="22"/>
                <w:szCs w:val="22"/>
              </w:rPr>
              <w:t>24.9</w:t>
            </w:r>
          </w:p>
        </w:tc>
        <w:tc>
          <w:tcPr>
            <w:tcW w:w="1701" w:type="dxa"/>
            <w:noWrap/>
            <w:vAlign w:val="center"/>
            <w:hideMark/>
          </w:tcPr>
          <w:p w:rsidR="00DC2F2A" w:rsidRPr="00B506C7" w:rsidRDefault="00DC2F2A" w:rsidP="00DC2F2A">
            <w:pPr>
              <w:ind w:right="-79"/>
              <w:jc w:val="center"/>
              <w:rPr>
                <w:rFonts w:cs="Calibri"/>
                <w:b/>
                <w:color w:val="000000"/>
                <w:sz w:val="22"/>
                <w:szCs w:val="22"/>
              </w:rPr>
            </w:pPr>
            <w:r w:rsidRPr="00B506C7">
              <w:rPr>
                <w:rFonts w:cs="Calibri"/>
                <w:b/>
                <w:color w:val="000000"/>
                <w:sz w:val="22"/>
                <w:szCs w:val="22"/>
              </w:rPr>
              <w:t>38.1</w:t>
            </w:r>
          </w:p>
        </w:tc>
      </w:tr>
      <w:tr w:rsidR="00DC2F2A" w:rsidRPr="00B506C7" w:rsidTr="00DC2F2A">
        <w:trPr>
          <w:trHeight w:val="510"/>
        </w:trPr>
        <w:tc>
          <w:tcPr>
            <w:tcW w:w="2052" w:type="dxa"/>
            <w:tcBorders>
              <w:bottom w:val="single" w:sz="4" w:space="0" w:color="auto"/>
            </w:tcBorders>
            <w:noWrap/>
            <w:vAlign w:val="center"/>
            <w:hideMark/>
          </w:tcPr>
          <w:p w:rsidR="00DC2F2A" w:rsidRPr="00F95887" w:rsidRDefault="00DC2F2A" w:rsidP="00DC2F2A">
            <w:pPr>
              <w:rPr>
                <w:rFonts w:cs="Calibri"/>
                <w:b/>
                <w:color w:val="000000"/>
                <w:sz w:val="22"/>
                <w:szCs w:val="22"/>
              </w:rPr>
            </w:pPr>
            <w:r w:rsidRPr="00F95887">
              <w:rPr>
                <w:rFonts w:cs="Calibri"/>
                <w:b/>
                <w:color w:val="000000"/>
                <w:sz w:val="22"/>
                <w:szCs w:val="22"/>
              </w:rPr>
              <w:t>Total</w:t>
            </w:r>
          </w:p>
        </w:tc>
        <w:tc>
          <w:tcPr>
            <w:tcW w:w="1468" w:type="dxa"/>
            <w:tcBorders>
              <w:bottom w:val="single" w:sz="4" w:space="0" w:color="auto"/>
            </w:tcBorders>
            <w:noWrap/>
            <w:vAlign w:val="center"/>
            <w:hideMark/>
          </w:tcPr>
          <w:p w:rsidR="00DC2F2A" w:rsidRPr="00F95887" w:rsidRDefault="00D33F11" w:rsidP="00DC2F2A">
            <w:pPr>
              <w:ind w:right="-79"/>
              <w:jc w:val="center"/>
              <w:rPr>
                <w:rFonts w:cs="Calibri"/>
                <w:b/>
                <w:color w:val="000000"/>
                <w:sz w:val="22"/>
                <w:szCs w:val="22"/>
              </w:rPr>
            </w:pPr>
            <w:r>
              <w:rPr>
                <w:rFonts w:cs="Calibri"/>
                <w:b/>
                <w:color w:val="000000"/>
                <w:sz w:val="22"/>
                <w:szCs w:val="22"/>
              </w:rPr>
              <w:t>1,074.0</w:t>
            </w:r>
          </w:p>
        </w:tc>
        <w:tc>
          <w:tcPr>
            <w:tcW w:w="1174" w:type="dxa"/>
            <w:tcBorders>
              <w:bottom w:val="single" w:sz="4" w:space="0" w:color="auto"/>
            </w:tcBorders>
            <w:noWrap/>
            <w:vAlign w:val="center"/>
            <w:hideMark/>
          </w:tcPr>
          <w:p w:rsidR="00DC2F2A" w:rsidRPr="00F95887" w:rsidRDefault="00DC2F2A" w:rsidP="00DC2F2A">
            <w:pPr>
              <w:ind w:right="-79"/>
              <w:jc w:val="center"/>
              <w:rPr>
                <w:rFonts w:cs="Calibri"/>
                <w:b/>
                <w:color w:val="000000"/>
                <w:sz w:val="22"/>
                <w:szCs w:val="22"/>
              </w:rPr>
            </w:pPr>
            <w:r w:rsidRPr="00F95887">
              <w:rPr>
                <w:rFonts w:cs="Calibri"/>
                <w:b/>
                <w:color w:val="000000"/>
                <w:sz w:val="22"/>
                <w:szCs w:val="22"/>
              </w:rPr>
              <w:t>(795.5)</w:t>
            </w:r>
          </w:p>
        </w:tc>
        <w:tc>
          <w:tcPr>
            <w:tcW w:w="1322" w:type="dxa"/>
            <w:tcBorders>
              <w:bottom w:val="single" w:sz="4" w:space="0" w:color="auto"/>
            </w:tcBorders>
            <w:noWrap/>
            <w:vAlign w:val="center"/>
            <w:hideMark/>
          </w:tcPr>
          <w:p w:rsidR="00DC2F2A" w:rsidRPr="00F95887" w:rsidRDefault="00DC2F2A" w:rsidP="00DC2F2A">
            <w:pPr>
              <w:ind w:right="-79"/>
              <w:jc w:val="center"/>
              <w:rPr>
                <w:rFonts w:cs="Calibri"/>
                <w:b/>
                <w:color w:val="000000"/>
                <w:sz w:val="22"/>
                <w:szCs w:val="22"/>
              </w:rPr>
            </w:pPr>
            <w:r w:rsidRPr="00F95887">
              <w:rPr>
                <w:rFonts w:cs="Calibri"/>
                <w:b/>
                <w:color w:val="000000"/>
                <w:sz w:val="22"/>
                <w:szCs w:val="22"/>
              </w:rPr>
              <w:t>(288.2)</w:t>
            </w:r>
          </w:p>
        </w:tc>
        <w:tc>
          <w:tcPr>
            <w:tcW w:w="1175" w:type="dxa"/>
            <w:tcBorders>
              <w:bottom w:val="single" w:sz="4" w:space="0" w:color="auto"/>
            </w:tcBorders>
            <w:noWrap/>
            <w:vAlign w:val="center"/>
            <w:hideMark/>
          </w:tcPr>
          <w:p w:rsidR="00DC2F2A" w:rsidRPr="00F95887" w:rsidRDefault="00D33F11" w:rsidP="00DC2F2A">
            <w:pPr>
              <w:ind w:right="-79"/>
              <w:jc w:val="center"/>
              <w:rPr>
                <w:rFonts w:cs="Calibri"/>
                <w:b/>
                <w:color w:val="000000"/>
                <w:sz w:val="22"/>
                <w:szCs w:val="22"/>
              </w:rPr>
            </w:pPr>
            <w:r>
              <w:rPr>
                <w:rFonts w:cs="Calibri"/>
                <w:b/>
                <w:color w:val="000000"/>
                <w:sz w:val="22"/>
                <w:szCs w:val="22"/>
              </w:rPr>
              <w:t>(9.7</w:t>
            </w:r>
            <w:r w:rsidR="00DC2F2A" w:rsidRPr="00F95887">
              <w:rPr>
                <w:rFonts w:cs="Calibri"/>
                <w:b/>
                <w:color w:val="000000"/>
                <w:sz w:val="22"/>
                <w:szCs w:val="22"/>
              </w:rPr>
              <w:t>)</w:t>
            </w:r>
          </w:p>
        </w:tc>
        <w:tc>
          <w:tcPr>
            <w:tcW w:w="1428" w:type="dxa"/>
            <w:tcBorders>
              <w:bottom w:val="single" w:sz="4" w:space="0" w:color="auto"/>
            </w:tcBorders>
            <w:noWrap/>
            <w:vAlign w:val="center"/>
            <w:hideMark/>
          </w:tcPr>
          <w:p w:rsidR="00DC2F2A" w:rsidRPr="00F95887" w:rsidRDefault="00D33F11" w:rsidP="00DC2F2A">
            <w:pPr>
              <w:ind w:right="-79"/>
              <w:jc w:val="center"/>
              <w:rPr>
                <w:rFonts w:cs="Calibri"/>
                <w:b/>
                <w:color w:val="000000"/>
                <w:sz w:val="22"/>
                <w:szCs w:val="22"/>
              </w:rPr>
            </w:pPr>
            <w:r>
              <w:rPr>
                <w:rFonts w:cs="Calibri"/>
                <w:b/>
                <w:color w:val="000000"/>
                <w:sz w:val="22"/>
                <w:szCs w:val="22"/>
              </w:rPr>
              <w:t>1.9</w:t>
            </w:r>
          </w:p>
        </w:tc>
        <w:tc>
          <w:tcPr>
            <w:tcW w:w="1509" w:type="dxa"/>
            <w:tcBorders>
              <w:bottom w:val="single" w:sz="4" w:space="0" w:color="auto"/>
            </w:tcBorders>
            <w:noWrap/>
            <w:vAlign w:val="center"/>
            <w:hideMark/>
          </w:tcPr>
          <w:p w:rsidR="00DC2F2A" w:rsidRPr="00F95887" w:rsidRDefault="00DC2F2A" w:rsidP="00DC2F2A">
            <w:pPr>
              <w:ind w:right="-79"/>
              <w:jc w:val="center"/>
              <w:rPr>
                <w:rFonts w:cs="Calibri"/>
                <w:b/>
                <w:color w:val="000000"/>
                <w:sz w:val="22"/>
                <w:szCs w:val="22"/>
              </w:rPr>
            </w:pPr>
            <w:r w:rsidRPr="00F95887">
              <w:rPr>
                <w:rFonts w:cs="Calibri"/>
                <w:b/>
                <w:color w:val="000000"/>
                <w:sz w:val="22"/>
                <w:szCs w:val="22"/>
              </w:rPr>
              <w:t>(23.1)</w:t>
            </w:r>
          </w:p>
        </w:tc>
        <w:tc>
          <w:tcPr>
            <w:tcW w:w="1378" w:type="dxa"/>
            <w:tcBorders>
              <w:bottom w:val="single" w:sz="4" w:space="0" w:color="auto"/>
            </w:tcBorders>
            <w:noWrap/>
            <w:vAlign w:val="center"/>
            <w:hideMark/>
          </w:tcPr>
          <w:p w:rsidR="00DC2F2A" w:rsidRPr="00F95887" w:rsidRDefault="00DC2F2A" w:rsidP="00DC2F2A">
            <w:pPr>
              <w:ind w:right="-79"/>
              <w:jc w:val="center"/>
              <w:rPr>
                <w:rFonts w:cs="Calibri"/>
                <w:b/>
                <w:color w:val="000000"/>
                <w:sz w:val="22"/>
                <w:szCs w:val="22"/>
              </w:rPr>
            </w:pPr>
            <w:r w:rsidRPr="00F95887">
              <w:rPr>
                <w:rFonts w:cs="Calibri"/>
                <w:b/>
                <w:color w:val="000000"/>
                <w:sz w:val="22"/>
                <w:szCs w:val="22"/>
              </w:rPr>
              <w:t>(8.3)</w:t>
            </w:r>
          </w:p>
        </w:tc>
        <w:tc>
          <w:tcPr>
            <w:tcW w:w="1394" w:type="dxa"/>
            <w:tcBorders>
              <w:bottom w:val="single" w:sz="4" w:space="0" w:color="auto"/>
            </w:tcBorders>
            <w:noWrap/>
            <w:vAlign w:val="center"/>
            <w:hideMark/>
          </w:tcPr>
          <w:p w:rsidR="00DC2F2A" w:rsidRPr="00F95887" w:rsidRDefault="00D33F11" w:rsidP="00DC2F2A">
            <w:pPr>
              <w:ind w:right="-79"/>
              <w:jc w:val="center"/>
              <w:rPr>
                <w:rFonts w:cs="Calibri"/>
                <w:b/>
                <w:color w:val="000000"/>
                <w:sz w:val="22"/>
                <w:szCs w:val="22"/>
              </w:rPr>
            </w:pPr>
            <w:r>
              <w:rPr>
                <w:rFonts w:cs="Calibri"/>
                <w:b/>
                <w:color w:val="000000"/>
                <w:sz w:val="22"/>
                <w:szCs w:val="22"/>
              </w:rPr>
              <w:t>39.2</w:t>
            </w:r>
          </w:p>
        </w:tc>
        <w:tc>
          <w:tcPr>
            <w:tcW w:w="992" w:type="dxa"/>
            <w:tcBorders>
              <w:bottom w:val="single" w:sz="4" w:space="0" w:color="auto"/>
            </w:tcBorders>
            <w:noWrap/>
            <w:vAlign w:val="center"/>
            <w:hideMark/>
          </w:tcPr>
          <w:p w:rsidR="00DC2F2A" w:rsidRPr="00F95887" w:rsidRDefault="00D33F11" w:rsidP="00DC2F2A">
            <w:pPr>
              <w:ind w:right="-79"/>
              <w:jc w:val="center"/>
              <w:rPr>
                <w:rFonts w:cs="Calibri"/>
                <w:b/>
                <w:color w:val="000000"/>
                <w:sz w:val="22"/>
                <w:szCs w:val="22"/>
              </w:rPr>
            </w:pPr>
            <w:r>
              <w:rPr>
                <w:rFonts w:cs="Calibri"/>
                <w:b/>
                <w:color w:val="000000"/>
                <w:sz w:val="22"/>
                <w:szCs w:val="22"/>
              </w:rPr>
              <w:t>9.7</w:t>
            </w:r>
          </w:p>
        </w:tc>
        <w:tc>
          <w:tcPr>
            <w:tcW w:w="1701" w:type="dxa"/>
            <w:noWrap/>
            <w:vAlign w:val="center"/>
            <w:hideMark/>
          </w:tcPr>
          <w:p w:rsidR="00DC2F2A" w:rsidRPr="00B506C7" w:rsidRDefault="00DC2F2A" w:rsidP="00DC2F2A">
            <w:pPr>
              <w:ind w:right="-79"/>
              <w:jc w:val="center"/>
              <w:rPr>
                <w:rFonts w:cs="Calibri"/>
                <w:b/>
                <w:color w:val="000000"/>
                <w:sz w:val="22"/>
                <w:szCs w:val="22"/>
              </w:rPr>
            </w:pPr>
            <w:r w:rsidRPr="00B506C7">
              <w:rPr>
                <w:rFonts w:cs="Calibri"/>
                <w:b/>
                <w:color w:val="000000"/>
                <w:sz w:val="22"/>
                <w:szCs w:val="22"/>
              </w:rPr>
              <w:t>0.0</w:t>
            </w:r>
          </w:p>
        </w:tc>
      </w:tr>
    </w:tbl>
    <w:tbl>
      <w:tblPr>
        <w:tblStyle w:val="TableGrid"/>
        <w:tblpPr w:leftFromText="180" w:rightFromText="180" w:vertAnchor="text" w:horzAnchor="margin" w:tblpX="-289" w:tblpY="-355"/>
        <w:tblW w:w="15735" w:type="dxa"/>
        <w:tblLook w:val="04A0" w:firstRow="1" w:lastRow="0" w:firstColumn="1" w:lastColumn="0" w:noHBand="0" w:noVBand="1"/>
        <w:tblCaption w:val="2019/20 Note 14"/>
        <w:tblDescription w:val="Table showing 2019/20 Note 14 Expenditure and Funding Analysis"/>
      </w:tblPr>
      <w:tblGrid>
        <w:gridCol w:w="1987"/>
        <w:gridCol w:w="1332"/>
        <w:gridCol w:w="1527"/>
        <w:gridCol w:w="1644"/>
        <w:gridCol w:w="1315"/>
        <w:gridCol w:w="1387"/>
        <w:gridCol w:w="1389"/>
        <w:gridCol w:w="1386"/>
        <w:gridCol w:w="1072"/>
        <w:gridCol w:w="992"/>
        <w:gridCol w:w="1704"/>
      </w:tblGrid>
      <w:tr w:rsidR="00DC2F2A" w:rsidRPr="00EB2995" w:rsidTr="007B70DC">
        <w:trPr>
          <w:trHeight w:val="558"/>
          <w:tblHeader/>
        </w:trPr>
        <w:tc>
          <w:tcPr>
            <w:tcW w:w="1987" w:type="dxa"/>
            <w:vMerge w:val="restart"/>
            <w:noWrap/>
            <w:vAlign w:val="center"/>
            <w:hideMark/>
          </w:tcPr>
          <w:p w:rsidR="00DC2F2A" w:rsidRPr="00EB2995" w:rsidRDefault="00DC2F2A" w:rsidP="00DC2F2A">
            <w:pPr>
              <w:jc w:val="center"/>
              <w:rPr>
                <w:rFonts w:cs="Calibri"/>
                <w:b/>
                <w:sz w:val="22"/>
                <w:szCs w:val="22"/>
              </w:rPr>
            </w:pPr>
            <w:r w:rsidRPr="00EB2995">
              <w:rPr>
                <w:rFonts w:cs="Calibri"/>
                <w:b/>
                <w:sz w:val="22"/>
                <w:szCs w:val="22"/>
              </w:rPr>
              <w:lastRenderedPageBreak/>
              <w:t>2018-19</w:t>
            </w:r>
          </w:p>
        </w:tc>
        <w:tc>
          <w:tcPr>
            <w:tcW w:w="5807" w:type="dxa"/>
            <w:gridSpan w:val="4"/>
            <w:noWrap/>
            <w:vAlign w:val="center"/>
            <w:hideMark/>
          </w:tcPr>
          <w:p w:rsidR="00DC2F2A" w:rsidRPr="00EB2995" w:rsidRDefault="00DC2F2A" w:rsidP="00DC2F2A">
            <w:pPr>
              <w:jc w:val="center"/>
              <w:rPr>
                <w:rFonts w:cs="Calibri"/>
                <w:b/>
                <w:sz w:val="22"/>
                <w:szCs w:val="22"/>
              </w:rPr>
            </w:pPr>
            <w:r w:rsidRPr="00EB2995">
              <w:rPr>
                <w:rFonts w:cs="Calibri"/>
                <w:b/>
                <w:sz w:val="22"/>
                <w:szCs w:val="22"/>
              </w:rPr>
              <w:t>Comprehensive Income and Expenditure Statement</w:t>
            </w:r>
          </w:p>
        </w:tc>
        <w:tc>
          <w:tcPr>
            <w:tcW w:w="0" w:type="auto"/>
            <w:gridSpan w:val="5"/>
            <w:noWrap/>
            <w:vAlign w:val="center"/>
            <w:hideMark/>
          </w:tcPr>
          <w:p w:rsidR="00DC2F2A" w:rsidRPr="00EB2995" w:rsidRDefault="00DC2F2A" w:rsidP="00DC2F2A">
            <w:pPr>
              <w:jc w:val="center"/>
              <w:rPr>
                <w:rFonts w:cs="Calibri"/>
                <w:b/>
                <w:sz w:val="22"/>
                <w:szCs w:val="22"/>
              </w:rPr>
            </w:pPr>
            <w:r w:rsidRPr="00EB2995">
              <w:rPr>
                <w:rFonts w:cs="Calibri"/>
                <w:b/>
                <w:sz w:val="22"/>
                <w:szCs w:val="22"/>
              </w:rPr>
              <w:t>Movement in Reserves</w:t>
            </w:r>
          </w:p>
        </w:tc>
        <w:tc>
          <w:tcPr>
            <w:tcW w:w="1704" w:type="dxa"/>
            <w:vMerge w:val="restart"/>
            <w:vAlign w:val="center"/>
            <w:hideMark/>
          </w:tcPr>
          <w:p w:rsidR="00DC2F2A" w:rsidRPr="00EB2995" w:rsidRDefault="00DC2F2A" w:rsidP="00DC2F2A">
            <w:pPr>
              <w:jc w:val="center"/>
              <w:rPr>
                <w:rFonts w:cs="Calibri"/>
                <w:b/>
                <w:sz w:val="22"/>
                <w:szCs w:val="22"/>
              </w:rPr>
            </w:pPr>
            <w:r w:rsidRPr="00EB2995">
              <w:rPr>
                <w:rFonts w:cs="Calibri"/>
                <w:b/>
                <w:sz w:val="22"/>
                <w:szCs w:val="22"/>
              </w:rPr>
              <w:t xml:space="preserve">Position on HRA and General Fund </w:t>
            </w:r>
            <w:r w:rsidRPr="00EB2995">
              <w:rPr>
                <w:rFonts w:cs="Calibri"/>
                <w:b/>
                <w:color w:val="000000"/>
                <w:sz w:val="22"/>
                <w:szCs w:val="22"/>
              </w:rPr>
              <w:t>(£m)</w:t>
            </w:r>
          </w:p>
        </w:tc>
      </w:tr>
      <w:tr w:rsidR="00DC2F2A" w:rsidRPr="00EB2995" w:rsidTr="00DC2F2A">
        <w:trPr>
          <w:trHeight w:val="558"/>
          <w:tblHeader/>
        </w:trPr>
        <w:tc>
          <w:tcPr>
            <w:tcW w:w="1987" w:type="dxa"/>
            <w:vMerge/>
            <w:noWrap/>
            <w:vAlign w:val="center"/>
            <w:hideMark/>
          </w:tcPr>
          <w:p w:rsidR="00DC2F2A" w:rsidRPr="00EB2995" w:rsidRDefault="00DC2F2A" w:rsidP="00DC2F2A">
            <w:pPr>
              <w:jc w:val="center"/>
              <w:rPr>
                <w:rFonts w:cs="Calibri"/>
                <w:b/>
                <w:sz w:val="22"/>
                <w:szCs w:val="22"/>
              </w:rPr>
            </w:pPr>
          </w:p>
        </w:tc>
        <w:tc>
          <w:tcPr>
            <w:tcW w:w="1332" w:type="dxa"/>
            <w:vAlign w:val="center"/>
            <w:hideMark/>
          </w:tcPr>
          <w:p w:rsidR="00DC2F2A" w:rsidRPr="00EB2995" w:rsidRDefault="00DC2F2A" w:rsidP="00DC2F2A">
            <w:pPr>
              <w:jc w:val="center"/>
              <w:rPr>
                <w:rFonts w:cs="Calibri"/>
                <w:b/>
                <w:color w:val="000000"/>
                <w:sz w:val="22"/>
                <w:szCs w:val="22"/>
              </w:rPr>
            </w:pPr>
            <w:r w:rsidRPr="00EB2995">
              <w:rPr>
                <w:rFonts w:cs="Calibri"/>
                <w:b/>
                <w:color w:val="000000"/>
                <w:sz w:val="22"/>
                <w:szCs w:val="22"/>
              </w:rPr>
              <w:t>Total expenditure (£m)</w:t>
            </w:r>
          </w:p>
        </w:tc>
        <w:tc>
          <w:tcPr>
            <w:tcW w:w="0" w:type="auto"/>
            <w:vAlign w:val="center"/>
            <w:hideMark/>
          </w:tcPr>
          <w:p w:rsidR="00DC2F2A" w:rsidRPr="00EB2995" w:rsidRDefault="00DC2F2A" w:rsidP="00DC2F2A">
            <w:pPr>
              <w:jc w:val="center"/>
              <w:rPr>
                <w:rFonts w:cs="Calibri"/>
                <w:b/>
                <w:color w:val="000000"/>
                <w:sz w:val="22"/>
                <w:szCs w:val="22"/>
              </w:rPr>
            </w:pPr>
            <w:r w:rsidRPr="00EB2995">
              <w:rPr>
                <w:rFonts w:cs="Calibri"/>
                <w:b/>
                <w:color w:val="000000"/>
                <w:sz w:val="22"/>
                <w:szCs w:val="22"/>
              </w:rPr>
              <w:t>Total income (£m)</w:t>
            </w:r>
          </w:p>
        </w:tc>
        <w:tc>
          <w:tcPr>
            <w:tcW w:w="0" w:type="auto"/>
            <w:vAlign w:val="center"/>
            <w:hideMark/>
          </w:tcPr>
          <w:p w:rsidR="00DC2F2A" w:rsidRPr="00EB2995" w:rsidRDefault="00DC2F2A" w:rsidP="00DC2F2A">
            <w:pPr>
              <w:jc w:val="center"/>
              <w:rPr>
                <w:rFonts w:cs="Calibri"/>
                <w:b/>
                <w:color w:val="000000"/>
                <w:sz w:val="22"/>
                <w:szCs w:val="22"/>
              </w:rPr>
            </w:pPr>
            <w:r w:rsidRPr="00EB2995">
              <w:rPr>
                <w:rFonts w:cs="Calibri"/>
                <w:b/>
                <w:color w:val="000000"/>
                <w:sz w:val="22"/>
                <w:szCs w:val="22"/>
              </w:rPr>
              <w:t>Below cost of services on CIES (£m)</w:t>
            </w:r>
          </w:p>
        </w:tc>
        <w:tc>
          <w:tcPr>
            <w:tcW w:w="0" w:type="auto"/>
            <w:vAlign w:val="center"/>
            <w:hideMark/>
          </w:tcPr>
          <w:p w:rsidR="00DC2F2A" w:rsidRPr="00EB2995" w:rsidRDefault="00DC2F2A" w:rsidP="00DC2F2A">
            <w:pPr>
              <w:jc w:val="center"/>
              <w:rPr>
                <w:rFonts w:cs="Calibri"/>
                <w:b/>
                <w:color w:val="000000"/>
                <w:sz w:val="22"/>
                <w:szCs w:val="22"/>
              </w:rPr>
            </w:pPr>
            <w:r w:rsidRPr="00EB2995">
              <w:rPr>
                <w:rFonts w:cs="Calibri"/>
                <w:b/>
                <w:color w:val="000000"/>
                <w:sz w:val="22"/>
                <w:szCs w:val="22"/>
              </w:rPr>
              <w:t>Subtotal (£m)</w:t>
            </w:r>
          </w:p>
        </w:tc>
        <w:tc>
          <w:tcPr>
            <w:tcW w:w="0" w:type="auto"/>
            <w:vAlign w:val="center"/>
            <w:hideMark/>
          </w:tcPr>
          <w:p w:rsidR="00DC2F2A" w:rsidRPr="00EB2995" w:rsidRDefault="00DC2F2A" w:rsidP="00DC2F2A">
            <w:pPr>
              <w:jc w:val="center"/>
              <w:rPr>
                <w:rFonts w:cs="Calibri"/>
                <w:b/>
                <w:color w:val="000000"/>
                <w:sz w:val="22"/>
                <w:szCs w:val="22"/>
              </w:rPr>
            </w:pPr>
            <w:r w:rsidRPr="00EB2995">
              <w:rPr>
                <w:rFonts w:cs="Calibri"/>
                <w:b/>
                <w:color w:val="000000"/>
                <w:sz w:val="22"/>
                <w:szCs w:val="22"/>
              </w:rPr>
              <w:t>Adjustments for capital purposes (£m)</w:t>
            </w:r>
          </w:p>
        </w:tc>
        <w:tc>
          <w:tcPr>
            <w:tcW w:w="0" w:type="auto"/>
            <w:vAlign w:val="center"/>
            <w:hideMark/>
          </w:tcPr>
          <w:p w:rsidR="00DC2F2A" w:rsidRPr="00EB2995" w:rsidRDefault="00DC2F2A" w:rsidP="00DC2F2A">
            <w:pPr>
              <w:jc w:val="center"/>
              <w:rPr>
                <w:rFonts w:cs="Calibri"/>
                <w:b/>
                <w:color w:val="000000"/>
                <w:sz w:val="22"/>
                <w:szCs w:val="22"/>
              </w:rPr>
            </w:pPr>
            <w:r w:rsidRPr="00EB2995">
              <w:rPr>
                <w:rFonts w:cs="Calibri"/>
                <w:b/>
                <w:color w:val="000000"/>
                <w:sz w:val="22"/>
                <w:szCs w:val="22"/>
              </w:rPr>
              <w:t>Net change for Pension Adjustments (£m)</w:t>
            </w:r>
          </w:p>
        </w:tc>
        <w:tc>
          <w:tcPr>
            <w:tcW w:w="0" w:type="auto"/>
            <w:vAlign w:val="center"/>
            <w:hideMark/>
          </w:tcPr>
          <w:p w:rsidR="00DC2F2A" w:rsidRPr="00EB2995" w:rsidRDefault="00DC2F2A" w:rsidP="00DC2F2A">
            <w:pPr>
              <w:jc w:val="center"/>
              <w:rPr>
                <w:rFonts w:cs="Calibri"/>
                <w:b/>
                <w:color w:val="000000"/>
                <w:sz w:val="22"/>
                <w:szCs w:val="22"/>
              </w:rPr>
            </w:pPr>
            <w:r w:rsidRPr="00EB2995">
              <w:rPr>
                <w:rFonts w:cs="Calibri"/>
                <w:b/>
                <w:color w:val="000000"/>
                <w:sz w:val="22"/>
                <w:szCs w:val="22"/>
              </w:rPr>
              <w:t>Other Statutory Adjustments (£m)</w:t>
            </w:r>
          </w:p>
        </w:tc>
        <w:tc>
          <w:tcPr>
            <w:tcW w:w="0" w:type="auto"/>
            <w:vAlign w:val="center"/>
            <w:hideMark/>
          </w:tcPr>
          <w:p w:rsidR="00DC2F2A" w:rsidRPr="00EB2995" w:rsidRDefault="00DC2F2A" w:rsidP="00DC2F2A">
            <w:pPr>
              <w:jc w:val="center"/>
              <w:rPr>
                <w:rFonts w:cs="Calibri"/>
                <w:b/>
                <w:color w:val="000000"/>
                <w:sz w:val="22"/>
                <w:szCs w:val="22"/>
              </w:rPr>
            </w:pPr>
            <w:r w:rsidRPr="00EB2995">
              <w:rPr>
                <w:rFonts w:cs="Calibri"/>
                <w:b/>
                <w:color w:val="000000"/>
                <w:sz w:val="22"/>
                <w:szCs w:val="22"/>
              </w:rPr>
              <w:t>Transfers to/from reserves (£m)</w:t>
            </w:r>
          </w:p>
        </w:tc>
        <w:tc>
          <w:tcPr>
            <w:tcW w:w="0" w:type="auto"/>
            <w:vAlign w:val="center"/>
            <w:hideMark/>
          </w:tcPr>
          <w:p w:rsidR="00DC2F2A" w:rsidRPr="00EB2995" w:rsidRDefault="00DC2F2A" w:rsidP="00DC2F2A">
            <w:pPr>
              <w:jc w:val="center"/>
              <w:rPr>
                <w:rFonts w:cs="Calibri"/>
                <w:b/>
                <w:sz w:val="22"/>
                <w:szCs w:val="22"/>
              </w:rPr>
            </w:pPr>
          </w:p>
          <w:p w:rsidR="00DC2F2A" w:rsidRPr="00EB2995" w:rsidRDefault="00DC2F2A" w:rsidP="00DC2F2A">
            <w:pPr>
              <w:jc w:val="center"/>
              <w:rPr>
                <w:rFonts w:cs="Calibri"/>
                <w:b/>
                <w:sz w:val="22"/>
                <w:szCs w:val="22"/>
              </w:rPr>
            </w:pPr>
            <w:r w:rsidRPr="00EB2995">
              <w:rPr>
                <w:rFonts w:cs="Calibri"/>
                <w:b/>
                <w:sz w:val="22"/>
                <w:szCs w:val="22"/>
              </w:rPr>
              <w:t xml:space="preserve">Subtotal </w:t>
            </w:r>
            <w:r w:rsidRPr="00EB2995">
              <w:rPr>
                <w:rFonts w:cs="Calibri"/>
                <w:b/>
                <w:color w:val="000000"/>
                <w:sz w:val="22"/>
                <w:szCs w:val="22"/>
              </w:rPr>
              <w:t>(£m)</w:t>
            </w:r>
          </w:p>
        </w:tc>
        <w:tc>
          <w:tcPr>
            <w:tcW w:w="1704" w:type="dxa"/>
            <w:vMerge/>
            <w:vAlign w:val="center"/>
            <w:hideMark/>
          </w:tcPr>
          <w:p w:rsidR="00DC2F2A" w:rsidRPr="00EB2995" w:rsidRDefault="00DC2F2A" w:rsidP="00DC2F2A">
            <w:pPr>
              <w:jc w:val="center"/>
              <w:rPr>
                <w:rFonts w:cs="Calibri"/>
                <w:b/>
                <w:sz w:val="22"/>
                <w:szCs w:val="22"/>
              </w:rPr>
            </w:pPr>
          </w:p>
        </w:tc>
      </w:tr>
      <w:tr w:rsidR="00DC2F2A" w:rsidRPr="00EB2995" w:rsidTr="00DC2F2A">
        <w:trPr>
          <w:trHeight w:val="558"/>
        </w:trPr>
        <w:tc>
          <w:tcPr>
            <w:tcW w:w="1987" w:type="dxa"/>
            <w:vAlign w:val="center"/>
            <w:hideMark/>
          </w:tcPr>
          <w:p w:rsidR="00DC2F2A" w:rsidRPr="00EB2995" w:rsidRDefault="00DC2F2A" w:rsidP="00DC2F2A">
            <w:pPr>
              <w:rPr>
                <w:rFonts w:cs="Calibri"/>
                <w:b/>
                <w:color w:val="000000"/>
                <w:sz w:val="22"/>
                <w:szCs w:val="22"/>
              </w:rPr>
            </w:pPr>
            <w:r w:rsidRPr="00EB2995">
              <w:rPr>
                <w:rFonts w:cs="Calibri"/>
                <w:b/>
                <w:color w:val="000000"/>
                <w:sz w:val="22"/>
                <w:szCs w:val="22"/>
              </w:rPr>
              <w:t>(DSG) Children And Young People</w:t>
            </w:r>
          </w:p>
        </w:tc>
        <w:tc>
          <w:tcPr>
            <w:tcW w:w="1332" w:type="dxa"/>
            <w:noWrap/>
            <w:vAlign w:val="center"/>
            <w:hideMark/>
          </w:tcPr>
          <w:p w:rsidR="00DC2F2A" w:rsidRPr="00EB2995" w:rsidRDefault="00DC2F2A" w:rsidP="00DC2F2A">
            <w:pPr>
              <w:jc w:val="center"/>
              <w:rPr>
                <w:rFonts w:cs="Calibri"/>
                <w:sz w:val="22"/>
                <w:szCs w:val="22"/>
              </w:rPr>
            </w:pPr>
            <w:r w:rsidRPr="00EB2995">
              <w:rPr>
                <w:rFonts w:cs="Calibri"/>
                <w:sz w:val="22"/>
                <w:szCs w:val="22"/>
              </w:rPr>
              <w:t>233.9</w:t>
            </w:r>
          </w:p>
        </w:tc>
        <w:tc>
          <w:tcPr>
            <w:tcW w:w="0" w:type="auto"/>
            <w:noWrap/>
            <w:vAlign w:val="center"/>
            <w:hideMark/>
          </w:tcPr>
          <w:p w:rsidR="00DC2F2A" w:rsidRPr="00EB2995" w:rsidRDefault="00DC2F2A" w:rsidP="00DC2F2A">
            <w:pPr>
              <w:jc w:val="center"/>
              <w:rPr>
                <w:rFonts w:cs="Calibri"/>
                <w:sz w:val="22"/>
                <w:szCs w:val="22"/>
              </w:rPr>
            </w:pPr>
            <w:r w:rsidRPr="00EB2995">
              <w:rPr>
                <w:rFonts w:cs="Calibri"/>
                <w:sz w:val="22"/>
                <w:szCs w:val="22"/>
              </w:rPr>
              <w:t>(213.4)</w:t>
            </w:r>
          </w:p>
        </w:tc>
        <w:tc>
          <w:tcPr>
            <w:tcW w:w="0" w:type="auto"/>
            <w:noWrap/>
            <w:vAlign w:val="center"/>
            <w:hideMark/>
          </w:tcPr>
          <w:p w:rsidR="00DC2F2A" w:rsidRPr="00EB2995" w:rsidRDefault="00DC2F2A" w:rsidP="00DC2F2A">
            <w:pPr>
              <w:jc w:val="center"/>
              <w:rPr>
                <w:rFonts w:cs="Calibri"/>
                <w:sz w:val="22"/>
                <w:szCs w:val="22"/>
              </w:rPr>
            </w:pPr>
            <w:r w:rsidRPr="00EB2995">
              <w:rPr>
                <w:rFonts w:cs="Calibri"/>
                <w:sz w:val="22"/>
                <w:szCs w:val="22"/>
              </w:rPr>
              <w:t>0.7</w:t>
            </w:r>
          </w:p>
        </w:tc>
        <w:tc>
          <w:tcPr>
            <w:tcW w:w="0" w:type="auto"/>
            <w:noWrap/>
            <w:vAlign w:val="center"/>
            <w:hideMark/>
          </w:tcPr>
          <w:p w:rsidR="00DC2F2A" w:rsidRPr="00EB2995" w:rsidRDefault="00DC2F2A" w:rsidP="00DC2F2A">
            <w:pPr>
              <w:jc w:val="center"/>
              <w:rPr>
                <w:rFonts w:cs="Calibri"/>
                <w:sz w:val="22"/>
                <w:szCs w:val="22"/>
              </w:rPr>
            </w:pPr>
            <w:r w:rsidRPr="00EB2995">
              <w:rPr>
                <w:rFonts w:cs="Calibri"/>
                <w:sz w:val="22"/>
                <w:szCs w:val="22"/>
              </w:rPr>
              <w:t>21.2</w:t>
            </w:r>
          </w:p>
        </w:tc>
        <w:tc>
          <w:tcPr>
            <w:tcW w:w="0" w:type="auto"/>
            <w:noWrap/>
            <w:vAlign w:val="center"/>
            <w:hideMark/>
          </w:tcPr>
          <w:p w:rsidR="00DC2F2A" w:rsidRPr="00EB2995" w:rsidRDefault="00DC2F2A" w:rsidP="00DC2F2A">
            <w:pPr>
              <w:jc w:val="center"/>
              <w:rPr>
                <w:rFonts w:cs="Calibri"/>
                <w:sz w:val="22"/>
                <w:szCs w:val="22"/>
              </w:rPr>
            </w:pPr>
            <w:r w:rsidRPr="00EB2995">
              <w:rPr>
                <w:rFonts w:cs="Calibri"/>
                <w:sz w:val="22"/>
                <w:szCs w:val="22"/>
              </w:rPr>
              <w:t>(16.1)</w:t>
            </w:r>
          </w:p>
        </w:tc>
        <w:tc>
          <w:tcPr>
            <w:tcW w:w="0" w:type="auto"/>
            <w:noWrap/>
            <w:vAlign w:val="center"/>
            <w:hideMark/>
          </w:tcPr>
          <w:p w:rsidR="00DC2F2A" w:rsidRPr="00EB2995" w:rsidRDefault="00DC2F2A" w:rsidP="00DC2F2A">
            <w:pPr>
              <w:jc w:val="center"/>
              <w:rPr>
                <w:rFonts w:cs="Calibri"/>
                <w:sz w:val="22"/>
                <w:szCs w:val="22"/>
              </w:rPr>
            </w:pPr>
            <w:r w:rsidRPr="00EB2995">
              <w:rPr>
                <w:rFonts w:cs="Calibri"/>
                <w:sz w:val="22"/>
                <w:szCs w:val="22"/>
              </w:rPr>
              <w:t>0.7</w:t>
            </w:r>
          </w:p>
        </w:tc>
        <w:tc>
          <w:tcPr>
            <w:tcW w:w="0" w:type="auto"/>
            <w:noWrap/>
            <w:vAlign w:val="center"/>
            <w:hideMark/>
          </w:tcPr>
          <w:p w:rsidR="00DC2F2A" w:rsidRPr="00EB2995" w:rsidRDefault="00DC2F2A" w:rsidP="00DC2F2A">
            <w:pPr>
              <w:jc w:val="center"/>
              <w:rPr>
                <w:rFonts w:cs="Calibri"/>
                <w:sz w:val="22"/>
                <w:szCs w:val="22"/>
              </w:rPr>
            </w:pPr>
            <w:r w:rsidRPr="00EB2995">
              <w:rPr>
                <w:rFonts w:cs="Calibri"/>
                <w:sz w:val="22"/>
                <w:szCs w:val="22"/>
              </w:rPr>
              <w:t>(0.3)</w:t>
            </w:r>
          </w:p>
        </w:tc>
        <w:tc>
          <w:tcPr>
            <w:tcW w:w="0" w:type="auto"/>
            <w:noWrap/>
            <w:vAlign w:val="center"/>
            <w:hideMark/>
          </w:tcPr>
          <w:p w:rsidR="00DC2F2A" w:rsidRPr="00EB2995" w:rsidRDefault="00DC2F2A" w:rsidP="00DC2F2A">
            <w:pPr>
              <w:jc w:val="center"/>
              <w:rPr>
                <w:rFonts w:cs="Calibri"/>
                <w:sz w:val="22"/>
                <w:szCs w:val="22"/>
              </w:rPr>
            </w:pPr>
            <w:r w:rsidRPr="00EB2995">
              <w:rPr>
                <w:rFonts w:cs="Calibri"/>
                <w:sz w:val="22"/>
                <w:szCs w:val="22"/>
              </w:rPr>
              <w:t>(2.2)</w:t>
            </w:r>
          </w:p>
        </w:tc>
        <w:tc>
          <w:tcPr>
            <w:tcW w:w="0" w:type="auto"/>
            <w:noWrap/>
            <w:vAlign w:val="center"/>
            <w:hideMark/>
          </w:tcPr>
          <w:p w:rsidR="00DC2F2A" w:rsidRPr="00EB2995" w:rsidRDefault="00DC2F2A" w:rsidP="00DC2F2A">
            <w:pPr>
              <w:jc w:val="center"/>
              <w:rPr>
                <w:rFonts w:cs="Calibri"/>
                <w:sz w:val="22"/>
                <w:szCs w:val="22"/>
              </w:rPr>
            </w:pPr>
            <w:r w:rsidRPr="00EB2995">
              <w:rPr>
                <w:rFonts w:cs="Calibri"/>
                <w:sz w:val="22"/>
                <w:szCs w:val="22"/>
              </w:rPr>
              <w:t>(17.9)</w:t>
            </w:r>
          </w:p>
        </w:tc>
        <w:tc>
          <w:tcPr>
            <w:tcW w:w="1704" w:type="dxa"/>
            <w:noWrap/>
            <w:vAlign w:val="center"/>
            <w:hideMark/>
          </w:tcPr>
          <w:p w:rsidR="00DC2F2A" w:rsidRPr="00EB2995" w:rsidRDefault="00DC2F2A" w:rsidP="00DC2F2A">
            <w:pPr>
              <w:jc w:val="center"/>
              <w:rPr>
                <w:rFonts w:cs="Calibri"/>
                <w:b/>
                <w:sz w:val="22"/>
                <w:szCs w:val="22"/>
              </w:rPr>
            </w:pPr>
            <w:r w:rsidRPr="00EB2995">
              <w:rPr>
                <w:rFonts w:cs="Calibri"/>
                <w:b/>
                <w:sz w:val="22"/>
                <w:szCs w:val="22"/>
              </w:rPr>
              <w:t>3.3</w:t>
            </w:r>
          </w:p>
        </w:tc>
      </w:tr>
      <w:tr w:rsidR="00DC2F2A" w:rsidRPr="00EB2995" w:rsidTr="00DC2F2A">
        <w:trPr>
          <w:trHeight w:val="558"/>
        </w:trPr>
        <w:tc>
          <w:tcPr>
            <w:tcW w:w="1987" w:type="dxa"/>
            <w:vAlign w:val="center"/>
            <w:hideMark/>
          </w:tcPr>
          <w:p w:rsidR="00DC2F2A" w:rsidRPr="00EB2995" w:rsidRDefault="00DC2F2A" w:rsidP="00DC2F2A">
            <w:pPr>
              <w:rPr>
                <w:rFonts w:cs="Calibri"/>
                <w:b/>
                <w:color w:val="000000"/>
                <w:sz w:val="22"/>
                <w:szCs w:val="22"/>
              </w:rPr>
            </w:pPr>
            <w:r w:rsidRPr="00EB2995">
              <w:rPr>
                <w:rFonts w:cs="Calibri"/>
                <w:b/>
                <w:color w:val="000000"/>
                <w:sz w:val="22"/>
                <w:szCs w:val="22"/>
              </w:rPr>
              <w:t>(GF) Children And Young People</w:t>
            </w:r>
          </w:p>
        </w:tc>
        <w:tc>
          <w:tcPr>
            <w:tcW w:w="1332" w:type="dxa"/>
            <w:noWrap/>
            <w:vAlign w:val="center"/>
            <w:hideMark/>
          </w:tcPr>
          <w:p w:rsidR="00DC2F2A" w:rsidRPr="00EB2995" w:rsidRDefault="00DC2F2A" w:rsidP="00DC2F2A">
            <w:pPr>
              <w:jc w:val="center"/>
              <w:rPr>
                <w:rFonts w:cs="Calibri"/>
                <w:sz w:val="22"/>
                <w:szCs w:val="22"/>
              </w:rPr>
            </w:pPr>
            <w:r w:rsidRPr="00EB2995">
              <w:rPr>
                <w:rFonts w:cs="Calibri"/>
                <w:sz w:val="22"/>
                <w:szCs w:val="22"/>
              </w:rPr>
              <w:t>76.0</w:t>
            </w:r>
          </w:p>
        </w:tc>
        <w:tc>
          <w:tcPr>
            <w:tcW w:w="0" w:type="auto"/>
            <w:noWrap/>
            <w:vAlign w:val="center"/>
            <w:hideMark/>
          </w:tcPr>
          <w:p w:rsidR="00DC2F2A" w:rsidRPr="00EB2995" w:rsidRDefault="00DC2F2A" w:rsidP="00DC2F2A">
            <w:pPr>
              <w:jc w:val="center"/>
              <w:rPr>
                <w:rFonts w:cs="Calibri"/>
                <w:sz w:val="22"/>
                <w:szCs w:val="22"/>
              </w:rPr>
            </w:pPr>
            <w:r w:rsidRPr="00EB2995">
              <w:rPr>
                <w:rFonts w:cs="Calibri"/>
                <w:sz w:val="22"/>
                <w:szCs w:val="22"/>
              </w:rPr>
              <w:t>(24.2)</w:t>
            </w:r>
          </w:p>
        </w:tc>
        <w:tc>
          <w:tcPr>
            <w:tcW w:w="0" w:type="auto"/>
            <w:noWrap/>
            <w:vAlign w:val="center"/>
            <w:hideMark/>
          </w:tcPr>
          <w:p w:rsidR="00DC2F2A" w:rsidRPr="00EB2995" w:rsidRDefault="00DC2F2A" w:rsidP="00DC2F2A">
            <w:pPr>
              <w:jc w:val="center"/>
              <w:rPr>
                <w:rFonts w:cs="Calibri"/>
                <w:sz w:val="22"/>
                <w:szCs w:val="22"/>
              </w:rPr>
            </w:pPr>
            <w:r w:rsidRPr="00EB2995">
              <w:rPr>
                <w:rFonts w:cs="Calibri"/>
                <w:sz w:val="22"/>
                <w:szCs w:val="22"/>
              </w:rPr>
              <w:t>0.0</w:t>
            </w:r>
          </w:p>
        </w:tc>
        <w:tc>
          <w:tcPr>
            <w:tcW w:w="0" w:type="auto"/>
            <w:noWrap/>
            <w:vAlign w:val="center"/>
            <w:hideMark/>
          </w:tcPr>
          <w:p w:rsidR="00DC2F2A" w:rsidRPr="00EB2995" w:rsidRDefault="00DC2F2A" w:rsidP="00DC2F2A">
            <w:pPr>
              <w:jc w:val="center"/>
              <w:rPr>
                <w:rFonts w:cs="Calibri"/>
                <w:sz w:val="22"/>
                <w:szCs w:val="22"/>
              </w:rPr>
            </w:pPr>
            <w:r w:rsidRPr="00EB2995">
              <w:rPr>
                <w:rFonts w:cs="Calibri"/>
                <w:sz w:val="22"/>
                <w:szCs w:val="22"/>
              </w:rPr>
              <w:t>51.8</w:t>
            </w:r>
          </w:p>
        </w:tc>
        <w:tc>
          <w:tcPr>
            <w:tcW w:w="0" w:type="auto"/>
            <w:noWrap/>
            <w:vAlign w:val="center"/>
            <w:hideMark/>
          </w:tcPr>
          <w:p w:rsidR="00DC2F2A" w:rsidRPr="00EB2995" w:rsidRDefault="00DC2F2A" w:rsidP="00DC2F2A">
            <w:pPr>
              <w:jc w:val="center"/>
              <w:rPr>
                <w:rFonts w:cs="Calibri"/>
                <w:sz w:val="22"/>
                <w:szCs w:val="22"/>
              </w:rPr>
            </w:pPr>
            <w:r w:rsidRPr="00EB2995">
              <w:rPr>
                <w:rFonts w:cs="Calibri"/>
                <w:sz w:val="22"/>
                <w:szCs w:val="22"/>
              </w:rPr>
              <w:t>(2.9)</w:t>
            </w:r>
          </w:p>
        </w:tc>
        <w:tc>
          <w:tcPr>
            <w:tcW w:w="0" w:type="auto"/>
            <w:noWrap/>
            <w:vAlign w:val="center"/>
            <w:hideMark/>
          </w:tcPr>
          <w:p w:rsidR="00DC2F2A" w:rsidRPr="00EB2995" w:rsidRDefault="00DC2F2A" w:rsidP="00DC2F2A">
            <w:pPr>
              <w:jc w:val="center"/>
              <w:rPr>
                <w:rFonts w:cs="Calibri"/>
                <w:sz w:val="22"/>
                <w:szCs w:val="22"/>
              </w:rPr>
            </w:pPr>
            <w:r w:rsidRPr="00EB2995">
              <w:rPr>
                <w:rFonts w:cs="Calibri"/>
                <w:sz w:val="22"/>
                <w:szCs w:val="22"/>
              </w:rPr>
              <w:t>0.3</w:t>
            </w:r>
          </w:p>
        </w:tc>
        <w:tc>
          <w:tcPr>
            <w:tcW w:w="0" w:type="auto"/>
            <w:noWrap/>
            <w:vAlign w:val="center"/>
            <w:hideMark/>
          </w:tcPr>
          <w:p w:rsidR="00DC2F2A" w:rsidRPr="00EB2995" w:rsidRDefault="00DC2F2A" w:rsidP="00DC2F2A">
            <w:pPr>
              <w:jc w:val="center"/>
              <w:rPr>
                <w:rFonts w:cs="Calibri"/>
                <w:sz w:val="22"/>
                <w:szCs w:val="22"/>
              </w:rPr>
            </w:pPr>
            <w:r w:rsidRPr="00EB2995">
              <w:rPr>
                <w:rFonts w:cs="Calibri"/>
                <w:sz w:val="22"/>
                <w:szCs w:val="22"/>
              </w:rPr>
              <w:t>0.0</w:t>
            </w:r>
          </w:p>
        </w:tc>
        <w:tc>
          <w:tcPr>
            <w:tcW w:w="0" w:type="auto"/>
            <w:noWrap/>
            <w:vAlign w:val="center"/>
            <w:hideMark/>
          </w:tcPr>
          <w:p w:rsidR="00DC2F2A" w:rsidRPr="00EB2995" w:rsidRDefault="00DC2F2A" w:rsidP="00DC2F2A">
            <w:pPr>
              <w:jc w:val="center"/>
              <w:rPr>
                <w:rFonts w:cs="Calibri"/>
                <w:sz w:val="22"/>
                <w:szCs w:val="22"/>
              </w:rPr>
            </w:pPr>
            <w:r w:rsidRPr="00EB2995">
              <w:rPr>
                <w:rFonts w:cs="Calibri"/>
                <w:sz w:val="22"/>
                <w:szCs w:val="22"/>
              </w:rPr>
              <w:t>(1.7)</w:t>
            </w:r>
          </w:p>
        </w:tc>
        <w:tc>
          <w:tcPr>
            <w:tcW w:w="0" w:type="auto"/>
            <w:noWrap/>
            <w:vAlign w:val="center"/>
            <w:hideMark/>
          </w:tcPr>
          <w:p w:rsidR="00DC2F2A" w:rsidRPr="00EB2995" w:rsidRDefault="00DC2F2A" w:rsidP="00DC2F2A">
            <w:pPr>
              <w:jc w:val="center"/>
              <w:rPr>
                <w:rFonts w:cs="Calibri"/>
                <w:sz w:val="22"/>
                <w:szCs w:val="22"/>
              </w:rPr>
            </w:pPr>
            <w:r w:rsidRPr="00EB2995">
              <w:rPr>
                <w:rFonts w:cs="Calibri"/>
                <w:sz w:val="22"/>
                <w:szCs w:val="22"/>
              </w:rPr>
              <w:t>(4.3)</w:t>
            </w:r>
          </w:p>
        </w:tc>
        <w:tc>
          <w:tcPr>
            <w:tcW w:w="1704" w:type="dxa"/>
            <w:noWrap/>
            <w:vAlign w:val="center"/>
            <w:hideMark/>
          </w:tcPr>
          <w:p w:rsidR="00DC2F2A" w:rsidRPr="00EB2995" w:rsidRDefault="00DC2F2A" w:rsidP="00DC2F2A">
            <w:pPr>
              <w:jc w:val="center"/>
              <w:rPr>
                <w:rFonts w:cs="Calibri"/>
                <w:b/>
                <w:sz w:val="22"/>
                <w:szCs w:val="22"/>
              </w:rPr>
            </w:pPr>
            <w:r w:rsidRPr="00EB2995">
              <w:rPr>
                <w:rFonts w:cs="Calibri"/>
                <w:b/>
                <w:sz w:val="22"/>
                <w:szCs w:val="22"/>
              </w:rPr>
              <w:t>47.5</w:t>
            </w:r>
          </w:p>
        </w:tc>
      </w:tr>
      <w:tr w:rsidR="00DC2F2A" w:rsidRPr="00EB2995" w:rsidTr="00DC2F2A">
        <w:trPr>
          <w:trHeight w:val="558"/>
        </w:trPr>
        <w:tc>
          <w:tcPr>
            <w:tcW w:w="1987" w:type="dxa"/>
            <w:vAlign w:val="center"/>
            <w:hideMark/>
          </w:tcPr>
          <w:p w:rsidR="00DC2F2A" w:rsidRPr="00EB2995" w:rsidRDefault="00DC2F2A" w:rsidP="00DC2F2A">
            <w:pPr>
              <w:rPr>
                <w:rFonts w:cs="Calibri"/>
                <w:b/>
                <w:color w:val="000000"/>
                <w:sz w:val="22"/>
                <w:szCs w:val="22"/>
              </w:rPr>
            </w:pPr>
            <w:r w:rsidRPr="00EB2995">
              <w:rPr>
                <w:rFonts w:cs="Calibri"/>
                <w:b/>
                <w:color w:val="000000"/>
                <w:sz w:val="22"/>
                <w:szCs w:val="22"/>
              </w:rPr>
              <w:t>(GF) Community Wellbeing</w:t>
            </w:r>
          </w:p>
        </w:tc>
        <w:tc>
          <w:tcPr>
            <w:tcW w:w="1332" w:type="dxa"/>
            <w:noWrap/>
            <w:vAlign w:val="center"/>
            <w:hideMark/>
          </w:tcPr>
          <w:p w:rsidR="00DC2F2A" w:rsidRPr="00EB2995" w:rsidRDefault="00DC2F2A" w:rsidP="00DC2F2A">
            <w:pPr>
              <w:jc w:val="center"/>
              <w:rPr>
                <w:rFonts w:cs="Calibri"/>
                <w:sz w:val="22"/>
                <w:szCs w:val="22"/>
              </w:rPr>
            </w:pPr>
            <w:r w:rsidRPr="00EB2995">
              <w:rPr>
                <w:rFonts w:cs="Calibri"/>
                <w:sz w:val="22"/>
                <w:szCs w:val="22"/>
              </w:rPr>
              <w:t>216.4</w:t>
            </w:r>
          </w:p>
        </w:tc>
        <w:tc>
          <w:tcPr>
            <w:tcW w:w="0" w:type="auto"/>
            <w:noWrap/>
            <w:vAlign w:val="center"/>
            <w:hideMark/>
          </w:tcPr>
          <w:p w:rsidR="00DC2F2A" w:rsidRPr="00EB2995" w:rsidRDefault="00DC2F2A" w:rsidP="00DC2F2A">
            <w:pPr>
              <w:jc w:val="center"/>
              <w:rPr>
                <w:rFonts w:cs="Calibri"/>
                <w:sz w:val="22"/>
                <w:szCs w:val="22"/>
              </w:rPr>
            </w:pPr>
            <w:r w:rsidRPr="00EB2995">
              <w:rPr>
                <w:rFonts w:cs="Calibri"/>
                <w:sz w:val="22"/>
                <w:szCs w:val="22"/>
              </w:rPr>
              <w:t>(90.1)</w:t>
            </w:r>
          </w:p>
        </w:tc>
        <w:tc>
          <w:tcPr>
            <w:tcW w:w="0" w:type="auto"/>
            <w:noWrap/>
            <w:vAlign w:val="center"/>
            <w:hideMark/>
          </w:tcPr>
          <w:p w:rsidR="00DC2F2A" w:rsidRPr="00EB2995" w:rsidRDefault="00DC2F2A" w:rsidP="00DC2F2A">
            <w:pPr>
              <w:jc w:val="center"/>
              <w:rPr>
                <w:rFonts w:cs="Calibri"/>
                <w:sz w:val="22"/>
                <w:szCs w:val="22"/>
              </w:rPr>
            </w:pPr>
            <w:r w:rsidRPr="00EB2995">
              <w:rPr>
                <w:rFonts w:cs="Calibri"/>
                <w:sz w:val="22"/>
                <w:szCs w:val="22"/>
              </w:rPr>
              <w:t>70.9</w:t>
            </w:r>
          </w:p>
        </w:tc>
        <w:tc>
          <w:tcPr>
            <w:tcW w:w="0" w:type="auto"/>
            <w:noWrap/>
            <w:vAlign w:val="center"/>
            <w:hideMark/>
          </w:tcPr>
          <w:p w:rsidR="00DC2F2A" w:rsidRPr="00EB2995" w:rsidRDefault="00DC2F2A" w:rsidP="00DC2F2A">
            <w:pPr>
              <w:jc w:val="center"/>
              <w:rPr>
                <w:rFonts w:cs="Calibri"/>
                <w:sz w:val="22"/>
                <w:szCs w:val="22"/>
              </w:rPr>
            </w:pPr>
            <w:r w:rsidRPr="00EB2995">
              <w:rPr>
                <w:rFonts w:cs="Calibri"/>
                <w:sz w:val="22"/>
                <w:szCs w:val="22"/>
              </w:rPr>
              <w:t>197.2</w:t>
            </w:r>
          </w:p>
        </w:tc>
        <w:tc>
          <w:tcPr>
            <w:tcW w:w="0" w:type="auto"/>
            <w:noWrap/>
            <w:vAlign w:val="center"/>
            <w:hideMark/>
          </w:tcPr>
          <w:p w:rsidR="00DC2F2A" w:rsidRPr="00EB2995" w:rsidRDefault="00DC2F2A" w:rsidP="00DC2F2A">
            <w:pPr>
              <w:jc w:val="center"/>
              <w:rPr>
                <w:rFonts w:cs="Calibri"/>
                <w:sz w:val="22"/>
                <w:szCs w:val="22"/>
              </w:rPr>
            </w:pPr>
            <w:r w:rsidRPr="00EB2995">
              <w:rPr>
                <w:rFonts w:cs="Calibri"/>
                <w:sz w:val="22"/>
                <w:szCs w:val="22"/>
              </w:rPr>
              <w:t>(78.3)</w:t>
            </w:r>
          </w:p>
        </w:tc>
        <w:tc>
          <w:tcPr>
            <w:tcW w:w="0" w:type="auto"/>
            <w:noWrap/>
            <w:vAlign w:val="center"/>
            <w:hideMark/>
          </w:tcPr>
          <w:p w:rsidR="00DC2F2A" w:rsidRPr="00EB2995" w:rsidRDefault="00DC2F2A" w:rsidP="00DC2F2A">
            <w:pPr>
              <w:jc w:val="center"/>
              <w:rPr>
                <w:rFonts w:cs="Calibri"/>
                <w:sz w:val="22"/>
                <w:szCs w:val="22"/>
              </w:rPr>
            </w:pPr>
            <w:r w:rsidRPr="00EB2995">
              <w:rPr>
                <w:rFonts w:cs="Calibri"/>
                <w:sz w:val="22"/>
                <w:szCs w:val="22"/>
              </w:rPr>
              <w:t>0.4</w:t>
            </w:r>
          </w:p>
        </w:tc>
        <w:tc>
          <w:tcPr>
            <w:tcW w:w="0" w:type="auto"/>
            <w:noWrap/>
            <w:vAlign w:val="center"/>
            <w:hideMark/>
          </w:tcPr>
          <w:p w:rsidR="00DC2F2A" w:rsidRPr="00EB2995" w:rsidRDefault="00DC2F2A" w:rsidP="00DC2F2A">
            <w:pPr>
              <w:jc w:val="center"/>
              <w:rPr>
                <w:rFonts w:cs="Calibri"/>
                <w:sz w:val="22"/>
                <w:szCs w:val="22"/>
              </w:rPr>
            </w:pPr>
            <w:r w:rsidRPr="00EB2995">
              <w:rPr>
                <w:rFonts w:cs="Calibri"/>
                <w:sz w:val="22"/>
                <w:szCs w:val="22"/>
              </w:rPr>
              <w:t>0.0</w:t>
            </w:r>
          </w:p>
        </w:tc>
        <w:tc>
          <w:tcPr>
            <w:tcW w:w="0" w:type="auto"/>
            <w:noWrap/>
            <w:vAlign w:val="center"/>
            <w:hideMark/>
          </w:tcPr>
          <w:p w:rsidR="00DC2F2A" w:rsidRPr="00EB2995" w:rsidRDefault="00DC2F2A" w:rsidP="00DC2F2A">
            <w:pPr>
              <w:jc w:val="center"/>
              <w:rPr>
                <w:rFonts w:cs="Calibri"/>
                <w:sz w:val="22"/>
                <w:szCs w:val="22"/>
              </w:rPr>
            </w:pPr>
            <w:r w:rsidRPr="00EB2995">
              <w:rPr>
                <w:rFonts w:cs="Calibri"/>
                <w:sz w:val="22"/>
                <w:szCs w:val="22"/>
              </w:rPr>
              <w:t>2.7</w:t>
            </w:r>
          </w:p>
        </w:tc>
        <w:tc>
          <w:tcPr>
            <w:tcW w:w="0" w:type="auto"/>
            <w:noWrap/>
            <w:vAlign w:val="center"/>
            <w:hideMark/>
          </w:tcPr>
          <w:p w:rsidR="00DC2F2A" w:rsidRPr="00EB2995" w:rsidRDefault="00DC2F2A" w:rsidP="00DC2F2A">
            <w:pPr>
              <w:jc w:val="center"/>
              <w:rPr>
                <w:rFonts w:cs="Calibri"/>
                <w:sz w:val="22"/>
                <w:szCs w:val="22"/>
              </w:rPr>
            </w:pPr>
            <w:r w:rsidRPr="00EB2995">
              <w:rPr>
                <w:rFonts w:cs="Calibri"/>
                <w:sz w:val="22"/>
                <w:szCs w:val="22"/>
              </w:rPr>
              <w:t>(75.2)</w:t>
            </w:r>
          </w:p>
        </w:tc>
        <w:tc>
          <w:tcPr>
            <w:tcW w:w="1704" w:type="dxa"/>
            <w:noWrap/>
            <w:vAlign w:val="center"/>
            <w:hideMark/>
          </w:tcPr>
          <w:p w:rsidR="00DC2F2A" w:rsidRPr="00EB2995" w:rsidRDefault="00DC2F2A" w:rsidP="00DC2F2A">
            <w:pPr>
              <w:jc w:val="center"/>
              <w:rPr>
                <w:rFonts w:cs="Calibri"/>
                <w:b/>
                <w:sz w:val="22"/>
                <w:szCs w:val="22"/>
              </w:rPr>
            </w:pPr>
            <w:r w:rsidRPr="00EB2995">
              <w:rPr>
                <w:rFonts w:cs="Calibri"/>
                <w:b/>
                <w:sz w:val="22"/>
                <w:szCs w:val="22"/>
              </w:rPr>
              <w:t>122.0</w:t>
            </w:r>
          </w:p>
        </w:tc>
      </w:tr>
      <w:tr w:rsidR="00DC2F2A" w:rsidRPr="00EB2995" w:rsidTr="00DC2F2A">
        <w:trPr>
          <w:trHeight w:val="558"/>
        </w:trPr>
        <w:tc>
          <w:tcPr>
            <w:tcW w:w="1987" w:type="dxa"/>
            <w:vAlign w:val="center"/>
            <w:hideMark/>
          </w:tcPr>
          <w:p w:rsidR="00DC2F2A" w:rsidRPr="00EB2995" w:rsidRDefault="00DC2F2A" w:rsidP="00DC2F2A">
            <w:pPr>
              <w:rPr>
                <w:rFonts w:cs="Calibri"/>
                <w:b/>
                <w:color w:val="000000"/>
                <w:sz w:val="22"/>
                <w:szCs w:val="22"/>
              </w:rPr>
            </w:pPr>
            <w:r w:rsidRPr="00EB2995">
              <w:rPr>
                <w:rFonts w:cs="Calibri"/>
                <w:b/>
                <w:color w:val="000000"/>
                <w:sz w:val="22"/>
                <w:szCs w:val="22"/>
              </w:rPr>
              <w:t>(HRA) Community Wellbeing</w:t>
            </w:r>
          </w:p>
        </w:tc>
        <w:tc>
          <w:tcPr>
            <w:tcW w:w="1332" w:type="dxa"/>
            <w:noWrap/>
            <w:vAlign w:val="center"/>
            <w:hideMark/>
          </w:tcPr>
          <w:p w:rsidR="00DC2F2A" w:rsidRPr="00EB2995" w:rsidRDefault="00DC2F2A" w:rsidP="00DC2F2A">
            <w:pPr>
              <w:jc w:val="center"/>
              <w:rPr>
                <w:rFonts w:cs="Calibri"/>
                <w:sz w:val="22"/>
                <w:szCs w:val="22"/>
              </w:rPr>
            </w:pPr>
            <w:r w:rsidRPr="00EB2995">
              <w:rPr>
                <w:rFonts w:cs="Calibri"/>
                <w:sz w:val="22"/>
                <w:szCs w:val="22"/>
              </w:rPr>
              <w:t>72.1</w:t>
            </w:r>
          </w:p>
        </w:tc>
        <w:tc>
          <w:tcPr>
            <w:tcW w:w="0" w:type="auto"/>
            <w:noWrap/>
            <w:vAlign w:val="center"/>
            <w:hideMark/>
          </w:tcPr>
          <w:p w:rsidR="00DC2F2A" w:rsidRPr="00EB2995" w:rsidRDefault="00DC2F2A" w:rsidP="00DC2F2A">
            <w:pPr>
              <w:jc w:val="center"/>
              <w:rPr>
                <w:rFonts w:cs="Calibri"/>
                <w:sz w:val="22"/>
                <w:szCs w:val="22"/>
              </w:rPr>
            </w:pPr>
            <w:r w:rsidRPr="00EB2995">
              <w:rPr>
                <w:rFonts w:cs="Calibri"/>
                <w:sz w:val="22"/>
                <w:szCs w:val="22"/>
              </w:rPr>
              <w:t>(55.1)</w:t>
            </w:r>
          </w:p>
        </w:tc>
        <w:tc>
          <w:tcPr>
            <w:tcW w:w="0" w:type="auto"/>
            <w:noWrap/>
            <w:vAlign w:val="center"/>
            <w:hideMark/>
          </w:tcPr>
          <w:p w:rsidR="00DC2F2A" w:rsidRPr="00EB2995" w:rsidRDefault="00DC2F2A" w:rsidP="00DC2F2A">
            <w:pPr>
              <w:jc w:val="center"/>
              <w:rPr>
                <w:rFonts w:cs="Calibri"/>
                <w:sz w:val="22"/>
                <w:szCs w:val="22"/>
              </w:rPr>
            </w:pPr>
            <w:r w:rsidRPr="00EB2995">
              <w:rPr>
                <w:rFonts w:cs="Calibri"/>
                <w:sz w:val="22"/>
                <w:szCs w:val="22"/>
              </w:rPr>
              <w:t>4.9</w:t>
            </w:r>
          </w:p>
        </w:tc>
        <w:tc>
          <w:tcPr>
            <w:tcW w:w="0" w:type="auto"/>
            <w:noWrap/>
            <w:vAlign w:val="center"/>
            <w:hideMark/>
          </w:tcPr>
          <w:p w:rsidR="00DC2F2A" w:rsidRPr="00EB2995" w:rsidRDefault="00DC2F2A" w:rsidP="00DC2F2A">
            <w:pPr>
              <w:jc w:val="center"/>
              <w:rPr>
                <w:rFonts w:cs="Calibri"/>
                <w:sz w:val="22"/>
                <w:szCs w:val="22"/>
              </w:rPr>
            </w:pPr>
            <w:r w:rsidRPr="00EB2995">
              <w:rPr>
                <w:rFonts w:cs="Calibri"/>
                <w:sz w:val="22"/>
                <w:szCs w:val="22"/>
              </w:rPr>
              <w:t>21.9</w:t>
            </w:r>
          </w:p>
        </w:tc>
        <w:tc>
          <w:tcPr>
            <w:tcW w:w="0" w:type="auto"/>
            <w:noWrap/>
            <w:vAlign w:val="center"/>
            <w:hideMark/>
          </w:tcPr>
          <w:p w:rsidR="00DC2F2A" w:rsidRPr="00EB2995" w:rsidRDefault="00DC2F2A" w:rsidP="00DC2F2A">
            <w:pPr>
              <w:jc w:val="center"/>
              <w:rPr>
                <w:rFonts w:cs="Calibri"/>
                <w:sz w:val="22"/>
                <w:szCs w:val="22"/>
              </w:rPr>
            </w:pPr>
            <w:r w:rsidRPr="00EB2995">
              <w:rPr>
                <w:rFonts w:cs="Calibri"/>
                <w:sz w:val="22"/>
                <w:szCs w:val="22"/>
              </w:rPr>
              <w:t>(20.4)</w:t>
            </w:r>
          </w:p>
        </w:tc>
        <w:tc>
          <w:tcPr>
            <w:tcW w:w="0" w:type="auto"/>
            <w:noWrap/>
            <w:vAlign w:val="center"/>
            <w:hideMark/>
          </w:tcPr>
          <w:p w:rsidR="00DC2F2A" w:rsidRPr="00EB2995" w:rsidRDefault="00DC2F2A" w:rsidP="00DC2F2A">
            <w:pPr>
              <w:jc w:val="center"/>
              <w:rPr>
                <w:rFonts w:cs="Calibri"/>
                <w:sz w:val="22"/>
                <w:szCs w:val="22"/>
              </w:rPr>
            </w:pPr>
            <w:r w:rsidRPr="00EB2995">
              <w:rPr>
                <w:rFonts w:cs="Calibri"/>
                <w:sz w:val="22"/>
                <w:szCs w:val="22"/>
              </w:rPr>
              <w:t>0.1</w:t>
            </w:r>
          </w:p>
        </w:tc>
        <w:tc>
          <w:tcPr>
            <w:tcW w:w="0" w:type="auto"/>
            <w:noWrap/>
            <w:vAlign w:val="center"/>
            <w:hideMark/>
          </w:tcPr>
          <w:p w:rsidR="00DC2F2A" w:rsidRPr="00EB2995" w:rsidRDefault="00DC2F2A" w:rsidP="00DC2F2A">
            <w:pPr>
              <w:jc w:val="center"/>
              <w:rPr>
                <w:rFonts w:cs="Calibri"/>
                <w:sz w:val="22"/>
                <w:szCs w:val="22"/>
              </w:rPr>
            </w:pPr>
            <w:r w:rsidRPr="00EB2995">
              <w:rPr>
                <w:rFonts w:cs="Calibri"/>
                <w:sz w:val="22"/>
                <w:szCs w:val="22"/>
              </w:rPr>
              <w:t>0.7</w:t>
            </w:r>
          </w:p>
        </w:tc>
        <w:tc>
          <w:tcPr>
            <w:tcW w:w="0" w:type="auto"/>
            <w:noWrap/>
            <w:vAlign w:val="center"/>
            <w:hideMark/>
          </w:tcPr>
          <w:p w:rsidR="00DC2F2A" w:rsidRPr="00EB2995" w:rsidRDefault="00DC2F2A" w:rsidP="00DC2F2A">
            <w:pPr>
              <w:jc w:val="center"/>
              <w:rPr>
                <w:rFonts w:cs="Calibri"/>
                <w:sz w:val="22"/>
                <w:szCs w:val="22"/>
              </w:rPr>
            </w:pPr>
            <w:r w:rsidRPr="00EB2995">
              <w:rPr>
                <w:rFonts w:cs="Calibri"/>
                <w:sz w:val="22"/>
                <w:szCs w:val="22"/>
              </w:rPr>
              <w:t>0.0</w:t>
            </w:r>
          </w:p>
        </w:tc>
        <w:tc>
          <w:tcPr>
            <w:tcW w:w="0" w:type="auto"/>
            <w:noWrap/>
            <w:vAlign w:val="center"/>
            <w:hideMark/>
          </w:tcPr>
          <w:p w:rsidR="00DC2F2A" w:rsidRPr="00EB2995" w:rsidRDefault="00DC2F2A" w:rsidP="00DC2F2A">
            <w:pPr>
              <w:jc w:val="center"/>
              <w:rPr>
                <w:rFonts w:cs="Calibri"/>
                <w:sz w:val="22"/>
                <w:szCs w:val="22"/>
              </w:rPr>
            </w:pPr>
            <w:r w:rsidRPr="00EB2995">
              <w:rPr>
                <w:rFonts w:cs="Calibri"/>
                <w:sz w:val="22"/>
                <w:szCs w:val="22"/>
              </w:rPr>
              <w:t>(19.6)</w:t>
            </w:r>
          </w:p>
        </w:tc>
        <w:tc>
          <w:tcPr>
            <w:tcW w:w="1704" w:type="dxa"/>
            <w:noWrap/>
            <w:vAlign w:val="center"/>
            <w:hideMark/>
          </w:tcPr>
          <w:p w:rsidR="00DC2F2A" w:rsidRPr="00EB2995" w:rsidRDefault="00DC2F2A" w:rsidP="00DC2F2A">
            <w:pPr>
              <w:jc w:val="center"/>
              <w:rPr>
                <w:rFonts w:cs="Calibri"/>
                <w:b/>
                <w:sz w:val="22"/>
                <w:szCs w:val="22"/>
              </w:rPr>
            </w:pPr>
            <w:r w:rsidRPr="00EB2995">
              <w:rPr>
                <w:rFonts w:cs="Calibri"/>
                <w:b/>
                <w:sz w:val="22"/>
                <w:szCs w:val="22"/>
              </w:rPr>
              <w:t>2.3</w:t>
            </w:r>
          </w:p>
        </w:tc>
      </w:tr>
      <w:tr w:rsidR="00DC2F2A" w:rsidRPr="00EB2995" w:rsidTr="00DC2F2A">
        <w:trPr>
          <w:trHeight w:val="558"/>
        </w:trPr>
        <w:tc>
          <w:tcPr>
            <w:tcW w:w="1987" w:type="dxa"/>
            <w:vAlign w:val="center"/>
            <w:hideMark/>
          </w:tcPr>
          <w:p w:rsidR="00DC2F2A" w:rsidRPr="00EB2995" w:rsidRDefault="00DC2F2A" w:rsidP="00DC2F2A">
            <w:pPr>
              <w:rPr>
                <w:rFonts w:cs="Calibri"/>
                <w:b/>
                <w:color w:val="000000"/>
                <w:sz w:val="22"/>
                <w:szCs w:val="22"/>
              </w:rPr>
            </w:pPr>
            <w:r w:rsidRPr="00EB2995">
              <w:rPr>
                <w:rFonts w:cs="Calibri"/>
                <w:b/>
                <w:color w:val="000000"/>
                <w:sz w:val="22"/>
                <w:szCs w:val="22"/>
              </w:rPr>
              <w:t>Assistant Chief Executive</w:t>
            </w:r>
          </w:p>
        </w:tc>
        <w:tc>
          <w:tcPr>
            <w:tcW w:w="1332" w:type="dxa"/>
            <w:noWrap/>
            <w:vAlign w:val="center"/>
            <w:hideMark/>
          </w:tcPr>
          <w:p w:rsidR="00DC2F2A" w:rsidRPr="00EB2995" w:rsidRDefault="00DC2F2A" w:rsidP="00DC2F2A">
            <w:pPr>
              <w:jc w:val="center"/>
              <w:rPr>
                <w:rFonts w:cs="Calibri"/>
                <w:sz w:val="22"/>
                <w:szCs w:val="22"/>
              </w:rPr>
            </w:pPr>
            <w:r w:rsidRPr="00EB2995">
              <w:rPr>
                <w:rFonts w:cs="Calibri"/>
                <w:sz w:val="22"/>
                <w:szCs w:val="22"/>
              </w:rPr>
              <w:t>9.2</w:t>
            </w:r>
          </w:p>
        </w:tc>
        <w:tc>
          <w:tcPr>
            <w:tcW w:w="0" w:type="auto"/>
            <w:noWrap/>
            <w:vAlign w:val="center"/>
            <w:hideMark/>
          </w:tcPr>
          <w:p w:rsidR="00DC2F2A" w:rsidRPr="00EB2995" w:rsidRDefault="00DC2F2A" w:rsidP="00DC2F2A">
            <w:pPr>
              <w:jc w:val="center"/>
              <w:rPr>
                <w:rFonts w:cs="Calibri"/>
                <w:sz w:val="22"/>
                <w:szCs w:val="22"/>
              </w:rPr>
            </w:pPr>
            <w:r w:rsidRPr="00EB2995">
              <w:rPr>
                <w:rFonts w:cs="Calibri"/>
                <w:sz w:val="22"/>
                <w:szCs w:val="22"/>
              </w:rPr>
              <w:t>(1.8)</w:t>
            </w:r>
          </w:p>
        </w:tc>
        <w:tc>
          <w:tcPr>
            <w:tcW w:w="0" w:type="auto"/>
            <w:noWrap/>
            <w:vAlign w:val="center"/>
            <w:hideMark/>
          </w:tcPr>
          <w:p w:rsidR="00DC2F2A" w:rsidRPr="00EB2995" w:rsidRDefault="00DC2F2A" w:rsidP="00DC2F2A">
            <w:pPr>
              <w:jc w:val="center"/>
              <w:rPr>
                <w:rFonts w:cs="Calibri"/>
                <w:sz w:val="22"/>
                <w:szCs w:val="22"/>
              </w:rPr>
            </w:pPr>
            <w:r w:rsidRPr="00EB2995">
              <w:rPr>
                <w:rFonts w:cs="Calibri"/>
                <w:sz w:val="22"/>
                <w:szCs w:val="22"/>
              </w:rPr>
              <w:t>0.0</w:t>
            </w:r>
          </w:p>
        </w:tc>
        <w:tc>
          <w:tcPr>
            <w:tcW w:w="0" w:type="auto"/>
            <w:noWrap/>
            <w:vAlign w:val="center"/>
            <w:hideMark/>
          </w:tcPr>
          <w:p w:rsidR="00DC2F2A" w:rsidRPr="00EB2995" w:rsidRDefault="00DC2F2A" w:rsidP="00DC2F2A">
            <w:pPr>
              <w:jc w:val="center"/>
              <w:rPr>
                <w:rFonts w:cs="Calibri"/>
                <w:sz w:val="22"/>
                <w:szCs w:val="22"/>
              </w:rPr>
            </w:pPr>
            <w:r w:rsidRPr="00EB2995">
              <w:rPr>
                <w:rFonts w:cs="Calibri"/>
                <w:sz w:val="22"/>
                <w:szCs w:val="22"/>
              </w:rPr>
              <w:t>7.4</w:t>
            </w:r>
          </w:p>
        </w:tc>
        <w:tc>
          <w:tcPr>
            <w:tcW w:w="0" w:type="auto"/>
            <w:noWrap/>
            <w:vAlign w:val="center"/>
            <w:hideMark/>
          </w:tcPr>
          <w:p w:rsidR="00DC2F2A" w:rsidRPr="00EB2995" w:rsidRDefault="00DC2F2A" w:rsidP="00DC2F2A">
            <w:pPr>
              <w:jc w:val="center"/>
              <w:rPr>
                <w:rFonts w:cs="Calibri"/>
                <w:sz w:val="22"/>
                <w:szCs w:val="22"/>
              </w:rPr>
            </w:pPr>
            <w:r w:rsidRPr="00EB2995">
              <w:rPr>
                <w:rFonts w:cs="Calibri"/>
                <w:sz w:val="22"/>
                <w:szCs w:val="22"/>
              </w:rPr>
              <w:t>0.0</w:t>
            </w:r>
          </w:p>
        </w:tc>
        <w:tc>
          <w:tcPr>
            <w:tcW w:w="0" w:type="auto"/>
            <w:noWrap/>
            <w:vAlign w:val="center"/>
            <w:hideMark/>
          </w:tcPr>
          <w:p w:rsidR="00DC2F2A" w:rsidRPr="00EB2995" w:rsidRDefault="00DC2F2A" w:rsidP="00DC2F2A">
            <w:pPr>
              <w:jc w:val="center"/>
              <w:rPr>
                <w:rFonts w:cs="Calibri"/>
                <w:sz w:val="22"/>
                <w:szCs w:val="22"/>
              </w:rPr>
            </w:pPr>
            <w:r w:rsidRPr="00EB2995">
              <w:rPr>
                <w:rFonts w:cs="Calibri"/>
                <w:sz w:val="22"/>
                <w:szCs w:val="22"/>
              </w:rPr>
              <w:t>0.0</w:t>
            </w:r>
          </w:p>
        </w:tc>
        <w:tc>
          <w:tcPr>
            <w:tcW w:w="0" w:type="auto"/>
            <w:noWrap/>
            <w:vAlign w:val="center"/>
            <w:hideMark/>
          </w:tcPr>
          <w:p w:rsidR="00DC2F2A" w:rsidRPr="00EB2995" w:rsidRDefault="00DC2F2A" w:rsidP="00DC2F2A">
            <w:pPr>
              <w:jc w:val="center"/>
              <w:rPr>
                <w:rFonts w:cs="Calibri"/>
                <w:sz w:val="22"/>
                <w:szCs w:val="22"/>
              </w:rPr>
            </w:pPr>
            <w:r w:rsidRPr="00EB2995">
              <w:rPr>
                <w:rFonts w:cs="Calibri"/>
                <w:sz w:val="22"/>
                <w:szCs w:val="22"/>
              </w:rPr>
              <w:t>0.0</w:t>
            </w:r>
          </w:p>
        </w:tc>
        <w:tc>
          <w:tcPr>
            <w:tcW w:w="0" w:type="auto"/>
            <w:noWrap/>
            <w:vAlign w:val="center"/>
            <w:hideMark/>
          </w:tcPr>
          <w:p w:rsidR="00DC2F2A" w:rsidRPr="00EB2995" w:rsidRDefault="00DC2F2A" w:rsidP="00DC2F2A">
            <w:pPr>
              <w:jc w:val="center"/>
              <w:rPr>
                <w:rFonts w:cs="Calibri"/>
                <w:sz w:val="22"/>
                <w:szCs w:val="22"/>
              </w:rPr>
            </w:pPr>
            <w:r w:rsidRPr="00EB2995">
              <w:rPr>
                <w:rFonts w:cs="Calibri"/>
                <w:sz w:val="22"/>
                <w:szCs w:val="22"/>
              </w:rPr>
              <w:t>0.3</w:t>
            </w:r>
          </w:p>
        </w:tc>
        <w:tc>
          <w:tcPr>
            <w:tcW w:w="0" w:type="auto"/>
            <w:noWrap/>
            <w:vAlign w:val="center"/>
            <w:hideMark/>
          </w:tcPr>
          <w:p w:rsidR="00DC2F2A" w:rsidRPr="00EB2995" w:rsidRDefault="00DC2F2A" w:rsidP="00DC2F2A">
            <w:pPr>
              <w:jc w:val="center"/>
              <w:rPr>
                <w:rFonts w:cs="Calibri"/>
                <w:sz w:val="22"/>
                <w:szCs w:val="22"/>
              </w:rPr>
            </w:pPr>
            <w:r w:rsidRPr="00EB2995">
              <w:rPr>
                <w:rFonts w:cs="Calibri"/>
                <w:sz w:val="22"/>
                <w:szCs w:val="22"/>
              </w:rPr>
              <w:t>0.3</w:t>
            </w:r>
          </w:p>
        </w:tc>
        <w:tc>
          <w:tcPr>
            <w:tcW w:w="1704" w:type="dxa"/>
            <w:noWrap/>
            <w:vAlign w:val="center"/>
            <w:hideMark/>
          </w:tcPr>
          <w:p w:rsidR="00DC2F2A" w:rsidRPr="00EB2995" w:rsidRDefault="00DC2F2A" w:rsidP="00DC2F2A">
            <w:pPr>
              <w:jc w:val="center"/>
              <w:rPr>
                <w:rFonts w:cs="Calibri"/>
                <w:b/>
                <w:sz w:val="22"/>
                <w:szCs w:val="22"/>
              </w:rPr>
            </w:pPr>
            <w:r w:rsidRPr="00EB2995">
              <w:rPr>
                <w:rFonts w:cs="Calibri"/>
                <w:b/>
                <w:sz w:val="22"/>
                <w:szCs w:val="22"/>
              </w:rPr>
              <w:t>7.7</w:t>
            </w:r>
          </w:p>
        </w:tc>
      </w:tr>
      <w:tr w:rsidR="00DC2F2A" w:rsidRPr="00EB2995" w:rsidTr="00DC2F2A">
        <w:trPr>
          <w:trHeight w:val="558"/>
        </w:trPr>
        <w:tc>
          <w:tcPr>
            <w:tcW w:w="1987" w:type="dxa"/>
            <w:vAlign w:val="center"/>
            <w:hideMark/>
          </w:tcPr>
          <w:p w:rsidR="00DC2F2A" w:rsidRPr="00EB2995" w:rsidRDefault="00DC2F2A" w:rsidP="00DC2F2A">
            <w:pPr>
              <w:rPr>
                <w:rFonts w:cs="Calibri"/>
                <w:b/>
                <w:color w:val="000000"/>
                <w:sz w:val="22"/>
                <w:szCs w:val="22"/>
              </w:rPr>
            </w:pPr>
            <w:r w:rsidRPr="00EB2995">
              <w:rPr>
                <w:rFonts w:cs="Calibri"/>
                <w:b/>
                <w:color w:val="000000"/>
                <w:sz w:val="22"/>
                <w:szCs w:val="22"/>
              </w:rPr>
              <w:t>Central Items</w:t>
            </w:r>
          </w:p>
        </w:tc>
        <w:tc>
          <w:tcPr>
            <w:tcW w:w="1332" w:type="dxa"/>
            <w:noWrap/>
            <w:vAlign w:val="center"/>
            <w:hideMark/>
          </w:tcPr>
          <w:p w:rsidR="00DC2F2A" w:rsidRPr="00EB2995" w:rsidRDefault="00DC2F2A" w:rsidP="00DC2F2A">
            <w:pPr>
              <w:jc w:val="center"/>
              <w:rPr>
                <w:rFonts w:cs="Calibri"/>
                <w:sz w:val="22"/>
                <w:szCs w:val="22"/>
              </w:rPr>
            </w:pPr>
            <w:r w:rsidRPr="00EB2995">
              <w:rPr>
                <w:rFonts w:cs="Calibri"/>
                <w:sz w:val="22"/>
                <w:szCs w:val="22"/>
              </w:rPr>
              <w:t>352.2</w:t>
            </w:r>
          </w:p>
        </w:tc>
        <w:tc>
          <w:tcPr>
            <w:tcW w:w="0" w:type="auto"/>
            <w:noWrap/>
            <w:vAlign w:val="center"/>
            <w:hideMark/>
          </w:tcPr>
          <w:p w:rsidR="00DC2F2A" w:rsidRPr="00EB2995" w:rsidRDefault="00DC2F2A" w:rsidP="00DC2F2A">
            <w:pPr>
              <w:jc w:val="center"/>
              <w:rPr>
                <w:rFonts w:cs="Calibri"/>
                <w:sz w:val="22"/>
                <w:szCs w:val="22"/>
              </w:rPr>
            </w:pPr>
            <w:r w:rsidRPr="00EB2995">
              <w:rPr>
                <w:rFonts w:cs="Calibri"/>
                <w:sz w:val="22"/>
                <w:szCs w:val="22"/>
              </w:rPr>
              <w:t>(373.6)</w:t>
            </w:r>
          </w:p>
        </w:tc>
        <w:tc>
          <w:tcPr>
            <w:tcW w:w="0" w:type="auto"/>
            <w:noWrap/>
            <w:vAlign w:val="center"/>
            <w:hideMark/>
          </w:tcPr>
          <w:p w:rsidR="00DC2F2A" w:rsidRPr="00EB2995" w:rsidRDefault="00DC2F2A" w:rsidP="00DC2F2A">
            <w:pPr>
              <w:jc w:val="center"/>
              <w:rPr>
                <w:rFonts w:cs="Calibri"/>
                <w:sz w:val="22"/>
                <w:szCs w:val="22"/>
              </w:rPr>
            </w:pPr>
            <w:r w:rsidRPr="00EB2995">
              <w:rPr>
                <w:rFonts w:cs="Calibri"/>
                <w:sz w:val="22"/>
                <w:szCs w:val="22"/>
              </w:rPr>
              <w:t>(306.3)</w:t>
            </w:r>
          </w:p>
        </w:tc>
        <w:tc>
          <w:tcPr>
            <w:tcW w:w="0" w:type="auto"/>
            <w:noWrap/>
            <w:vAlign w:val="center"/>
            <w:hideMark/>
          </w:tcPr>
          <w:p w:rsidR="00DC2F2A" w:rsidRPr="00EB2995" w:rsidRDefault="00DC2F2A" w:rsidP="00DC2F2A">
            <w:pPr>
              <w:jc w:val="center"/>
              <w:rPr>
                <w:rFonts w:cs="Calibri"/>
                <w:sz w:val="22"/>
                <w:szCs w:val="22"/>
              </w:rPr>
            </w:pPr>
            <w:r w:rsidRPr="00EB2995">
              <w:rPr>
                <w:rFonts w:cs="Calibri"/>
                <w:sz w:val="22"/>
                <w:szCs w:val="22"/>
              </w:rPr>
              <w:t>(327.7)</w:t>
            </w:r>
          </w:p>
        </w:tc>
        <w:tc>
          <w:tcPr>
            <w:tcW w:w="0" w:type="auto"/>
            <w:noWrap/>
            <w:vAlign w:val="center"/>
            <w:hideMark/>
          </w:tcPr>
          <w:p w:rsidR="00DC2F2A" w:rsidRPr="00EB2995" w:rsidRDefault="00DC2F2A" w:rsidP="00DC2F2A">
            <w:pPr>
              <w:jc w:val="center"/>
              <w:rPr>
                <w:rFonts w:cs="Calibri"/>
                <w:sz w:val="22"/>
                <w:szCs w:val="22"/>
              </w:rPr>
            </w:pPr>
            <w:r w:rsidRPr="00EB2995">
              <w:rPr>
                <w:rFonts w:cs="Calibri"/>
                <w:sz w:val="22"/>
                <w:szCs w:val="22"/>
              </w:rPr>
              <w:t>63.3</w:t>
            </w:r>
          </w:p>
        </w:tc>
        <w:tc>
          <w:tcPr>
            <w:tcW w:w="0" w:type="auto"/>
            <w:noWrap/>
            <w:vAlign w:val="center"/>
            <w:hideMark/>
          </w:tcPr>
          <w:p w:rsidR="00DC2F2A" w:rsidRPr="00EB2995" w:rsidRDefault="00DC2F2A" w:rsidP="00DC2F2A">
            <w:pPr>
              <w:jc w:val="center"/>
              <w:rPr>
                <w:rFonts w:cs="Calibri"/>
                <w:sz w:val="22"/>
                <w:szCs w:val="22"/>
              </w:rPr>
            </w:pPr>
            <w:r w:rsidRPr="00EB2995">
              <w:rPr>
                <w:rFonts w:cs="Calibri"/>
                <w:sz w:val="22"/>
                <w:szCs w:val="22"/>
              </w:rPr>
              <w:t>(29.4)</w:t>
            </w:r>
          </w:p>
        </w:tc>
        <w:tc>
          <w:tcPr>
            <w:tcW w:w="0" w:type="auto"/>
            <w:noWrap/>
            <w:vAlign w:val="center"/>
            <w:hideMark/>
          </w:tcPr>
          <w:p w:rsidR="00DC2F2A" w:rsidRPr="00EB2995" w:rsidRDefault="00DC2F2A" w:rsidP="00DC2F2A">
            <w:pPr>
              <w:jc w:val="center"/>
              <w:rPr>
                <w:rFonts w:cs="Calibri"/>
                <w:sz w:val="22"/>
                <w:szCs w:val="22"/>
              </w:rPr>
            </w:pPr>
            <w:r w:rsidRPr="00EB2995">
              <w:rPr>
                <w:rFonts w:cs="Calibri"/>
                <w:sz w:val="22"/>
                <w:szCs w:val="22"/>
              </w:rPr>
              <w:t>(5.2)</w:t>
            </w:r>
          </w:p>
        </w:tc>
        <w:tc>
          <w:tcPr>
            <w:tcW w:w="0" w:type="auto"/>
            <w:noWrap/>
            <w:vAlign w:val="center"/>
            <w:hideMark/>
          </w:tcPr>
          <w:p w:rsidR="00DC2F2A" w:rsidRPr="00EB2995" w:rsidRDefault="00DC2F2A" w:rsidP="00DC2F2A">
            <w:pPr>
              <w:jc w:val="center"/>
              <w:rPr>
                <w:rFonts w:cs="Calibri"/>
                <w:sz w:val="22"/>
                <w:szCs w:val="22"/>
              </w:rPr>
            </w:pPr>
            <w:r w:rsidRPr="00EB2995">
              <w:rPr>
                <w:rFonts w:cs="Calibri"/>
                <w:sz w:val="22"/>
                <w:szCs w:val="22"/>
              </w:rPr>
              <w:t>39.7</w:t>
            </w:r>
          </w:p>
        </w:tc>
        <w:tc>
          <w:tcPr>
            <w:tcW w:w="0" w:type="auto"/>
            <w:noWrap/>
            <w:vAlign w:val="center"/>
            <w:hideMark/>
          </w:tcPr>
          <w:p w:rsidR="00DC2F2A" w:rsidRPr="00EB2995" w:rsidRDefault="00DC2F2A" w:rsidP="00DC2F2A">
            <w:pPr>
              <w:jc w:val="center"/>
              <w:rPr>
                <w:rFonts w:cs="Calibri"/>
                <w:sz w:val="22"/>
                <w:szCs w:val="22"/>
              </w:rPr>
            </w:pPr>
            <w:r w:rsidRPr="00EB2995">
              <w:rPr>
                <w:rFonts w:cs="Calibri"/>
                <w:sz w:val="22"/>
                <w:szCs w:val="22"/>
              </w:rPr>
              <w:t>68.4</w:t>
            </w:r>
          </w:p>
        </w:tc>
        <w:tc>
          <w:tcPr>
            <w:tcW w:w="1704" w:type="dxa"/>
            <w:noWrap/>
            <w:vAlign w:val="center"/>
            <w:hideMark/>
          </w:tcPr>
          <w:p w:rsidR="00DC2F2A" w:rsidRPr="00EB2995" w:rsidRDefault="00DC2F2A" w:rsidP="00DC2F2A">
            <w:pPr>
              <w:jc w:val="center"/>
              <w:rPr>
                <w:rFonts w:cs="Calibri"/>
                <w:b/>
                <w:sz w:val="22"/>
                <w:szCs w:val="22"/>
              </w:rPr>
            </w:pPr>
            <w:r w:rsidRPr="00EB2995">
              <w:rPr>
                <w:rFonts w:cs="Calibri"/>
                <w:b/>
                <w:sz w:val="22"/>
                <w:szCs w:val="22"/>
              </w:rPr>
              <w:t>(259.3)</w:t>
            </w:r>
          </w:p>
        </w:tc>
      </w:tr>
      <w:tr w:rsidR="00DC2F2A" w:rsidRPr="00EB2995" w:rsidTr="00DC2F2A">
        <w:trPr>
          <w:trHeight w:val="558"/>
        </w:trPr>
        <w:tc>
          <w:tcPr>
            <w:tcW w:w="1987" w:type="dxa"/>
            <w:vAlign w:val="center"/>
            <w:hideMark/>
          </w:tcPr>
          <w:p w:rsidR="00DC2F2A" w:rsidRPr="00EB2995" w:rsidRDefault="00DC2F2A" w:rsidP="00DC2F2A">
            <w:pPr>
              <w:rPr>
                <w:rFonts w:cs="Calibri"/>
                <w:b/>
                <w:color w:val="000000"/>
                <w:sz w:val="22"/>
                <w:szCs w:val="22"/>
              </w:rPr>
            </w:pPr>
            <w:r w:rsidRPr="00EB2995">
              <w:rPr>
                <w:rFonts w:cs="Calibri"/>
                <w:b/>
                <w:color w:val="000000"/>
                <w:sz w:val="22"/>
                <w:szCs w:val="22"/>
              </w:rPr>
              <w:t>Customer And Digital Services</w:t>
            </w:r>
          </w:p>
        </w:tc>
        <w:tc>
          <w:tcPr>
            <w:tcW w:w="1332" w:type="dxa"/>
            <w:noWrap/>
            <w:vAlign w:val="center"/>
            <w:hideMark/>
          </w:tcPr>
          <w:p w:rsidR="00DC2F2A" w:rsidRPr="00EB2995" w:rsidRDefault="00DC2F2A" w:rsidP="00DC2F2A">
            <w:pPr>
              <w:jc w:val="center"/>
              <w:rPr>
                <w:rFonts w:cs="Calibri"/>
                <w:sz w:val="22"/>
                <w:szCs w:val="22"/>
              </w:rPr>
            </w:pPr>
            <w:r w:rsidRPr="00EB2995">
              <w:rPr>
                <w:rFonts w:cs="Calibri"/>
                <w:sz w:val="22"/>
                <w:szCs w:val="22"/>
              </w:rPr>
              <w:t>39.4</w:t>
            </w:r>
          </w:p>
        </w:tc>
        <w:tc>
          <w:tcPr>
            <w:tcW w:w="0" w:type="auto"/>
            <w:noWrap/>
            <w:vAlign w:val="center"/>
            <w:hideMark/>
          </w:tcPr>
          <w:p w:rsidR="00DC2F2A" w:rsidRPr="00EB2995" w:rsidRDefault="00DC2F2A" w:rsidP="00DC2F2A">
            <w:pPr>
              <w:jc w:val="center"/>
              <w:rPr>
                <w:rFonts w:cs="Calibri"/>
                <w:sz w:val="22"/>
                <w:szCs w:val="22"/>
              </w:rPr>
            </w:pPr>
            <w:r w:rsidRPr="00EB2995">
              <w:rPr>
                <w:rFonts w:cs="Calibri"/>
                <w:sz w:val="22"/>
                <w:szCs w:val="22"/>
              </w:rPr>
              <w:t>(19.3)</w:t>
            </w:r>
          </w:p>
        </w:tc>
        <w:tc>
          <w:tcPr>
            <w:tcW w:w="0" w:type="auto"/>
            <w:noWrap/>
            <w:vAlign w:val="center"/>
            <w:hideMark/>
          </w:tcPr>
          <w:p w:rsidR="00DC2F2A" w:rsidRPr="00EB2995" w:rsidRDefault="00DC2F2A" w:rsidP="00DC2F2A">
            <w:pPr>
              <w:jc w:val="center"/>
              <w:rPr>
                <w:rFonts w:cs="Calibri"/>
                <w:sz w:val="22"/>
                <w:szCs w:val="22"/>
              </w:rPr>
            </w:pPr>
            <w:r w:rsidRPr="00EB2995">
              <w:rPr>
                <w:rFonts w:cs="Calibri"/>
                <w:sz w:val="22"/>
                <w:szCs w:val="22"/>
              </w:rPr>
              <w:t>0.0</w:t>
            </w:r>
          </w:p>
        </w:tc>
        <w:tc>
          <w:tcPr>
            <w:tcW w:w="0" w:type="auto"/>
            <w:noWrap/>
            <w:vAlign w:val="center"/>
            <w:hideMark/>
          </w:tcPr>
          <w:p w:rsidR="00DC2F2A" w:rsidRPr="00EB2995" w:rsidRDefault="00DC2F2A" w:rsidP="00DC2F2A">
            <w:pPr>
              <w:jc w:val="center"/>
              <w:rPr>
                <w:rFonts w:cs="Calibri"/>
                <w:sz w:val="22"/>
                <w:szCs w:val="22"/>
              </w:rPr>
            </w:pPr>
            <w:r w:rsidRPr="00EB2995">
              <w:rPr>
                <w:rFonts w:cs="Calibri"/>
                <w:sz w:val="22"/>
                <w:szCs w:val="22"/>
              </w:rPr>
              <w:t>20.1</w:t>
            </w:r>
          </w:p>
        </w:tc>
        <w:tc>
          <w:tcPr>
            <w:tcW w:w="0" w:type="auto"/>
            <w:noWrap/>
            <w:vAlign w:val="center"/>
            <w:hideMark/>
          </w:tcPr>
          <w:p w:rsidR="00DC2F2A" w:rsidRPr="00EB2995" w:rsidRDefault="00DC2F2A" w:rsidP="00DC2F2A">
            <w:pPr>
              <w:jc w:val="center"/>
              <w:rPr>
                <w:rFonts w:cs="Calibri"/>
                <w:sz w:val="22"/>
                <w:szCs w:val="22"/>
              </w:rPr>
            </w:pPr>
            <w:r w:rsidRPr="00EB2995">
              <w:rPr>
                <w:rFonts w:cs="Calibri"/>
                <w:sz w:val="22"/>
                <w:szCs w:val="22"/>
              </w:rPr>
              <w:t>0.0</w:t>
            </w:r>
          </w:p>
        </w:tc>
        <w:tc>
          <w:tcPr>
            <w:tcW w:w="0" w:type="auto"/>
            <w:noWrap/>
            <w:vAlign w:val="center"/>
            <w:hideMark/>
          </w:tcPr>
          <w:p w:rsidR="00DC2F2A" w:rsidRPr="00EB2995" w:rsidRDefault="00DC2F2A" w:rsidP="00DC2F2A">
            <w:pPr>
              <w:jc w:val="center"/>
              <w:rPr>
                <w:rFonts w:cs="Calibri"/>
                <w:sz w:val="22"/>
                <w:szCs w:val="22"/>
              </w:rPr>
            </w:pPr>
            <w:r w:rsidRPr="00EB2995">
              <w:rPr>
                <w:rFonts w:cs="Calibri"/>
                <w:sz w:val="22"/>
                <w:szCs w:val="22"/>
              </w:rPr>
              <w:t>0.0</w:t>
            </w:r>
          </w:p>
        </w:tc>
        <w:tc>
          <w:tcPr>
            <w:tcW w:w="0" w:type="auto"/>
            <w:noWrap/>
            <w:vAlign w:val="center"/>
            <w:hideMark/>
          </w:tcPr>
          <w:p w:rsidR="00DC2F2A" w:rsidRPr="00EB2995" w:rsidRDefault="00DC2F2A" w:rsidP="00DC2F2A">
            <w:pPr>
              <w:jc w:val="center"/>
              <w:rPr>
                <w:rFonts w:cs="Calibri"/>
                <w:sz w:val="22"/>
                <w:szCs w:val="22"/>
              </w:rPr>
            </w:pPr>
            <w:r w:rsidRPr="00EB2995">
              <w:rPr>
                <w:rFonts w:cs="Calibri"/>
                <w:sz w:val="22"/>
                <w:szCs w:val="22"/>
              </w:rPr>
              <w:t>0.0</w:t>
            </w:r>
          </w:p>
        </w:tc>
        <w:tc>
          <w:tcPr>
            <w:tcW w:w="0" w:type="auto"/>
            <w:noWrap/>
            <w:vAlign w:val="center"/>
            <w:hideMark/>
          </w:tcPr>
          <w:p w:rsidR="00DC2F2A" w:rsidRPr="00EB2995" w:rsidRDefault="00DC2F2A" w:rsidP="00DC2F2A">
            <w:pPr>
              <w:jc w:val="center"/>
              <w:rPr>
                <w:rFonts w:cs="Calibri"/>
                <w:sz w:val="22"/>
                <w:szCs w:val="22"/>
              </w:rPr>
            </w:pPr>
            <w:r w:rsidRPr="00EB2995">
              <w:rPr>
                <w:rFonts w:cs="Calibri"/>
                <w:sz w:val="22"/>
                <w:szCs w:val="22"/>
              </w:rPr>
              <w:t>0.3</w:t>
            </w:r>
          </w:p>
        </w:tc>
        <w:tc>
          <w:tcPr>
            <w:tcW w:w="0" w:type="auto"/>
            <w:noWrap/>
            <w:vAlign w:val="center"/>
            <w:hideMark/>
          </w:tcPr>
          <w:p w:rsidR="00DC2F2A" w:rsidRPr="00EB2995" w:rsidRDefault="00DC2F2A" w:rsidP="00DC2F2A">
            <w:pPr>
              <w:jc w:val="center"/>
              <w:rPr>
                <w:rFonts w:cs="Calibri"/>
                <w:sz w:val="22"/>
                <w:szCs w:val="22"/>
              </w:rPr>
            </w:pPr>
            <w:r w:rsidRPr="00EB2995">
              <w:rPr>
                <w:rFonts w:cs="Calibri"/>
                <w:sz w:val="22"/>
                <w:szCs w:val="22"/>
              </w:rPr>
              <w:t>0.3</w:t>
            </w:r>
          </w:p>
        </w:tc>
        <w:tc>
          <w:tcPr>
            <w:tcW w:w="1704" w:type="dxa"/>
            <w:noWrap/>
            <w:vAlign w:val="center"/>
            <w:hideMark/>
          </w:tcPr>
          <w:p w:rsidR="00DC2F2A" w:rsidRPr="00EB2995" w:rsidRDefault="00DC2F2A" w:rsidP="00DC2F2A">
            <w:pPr>
              <w:jc w:val="center"/>
              <w:rPr>
                <w:rFonts w:cs="Calibri"/>
                <w:b/>
                <w:sz w:val="22"/>
                <w:szCs w:val="22"/>
              </w:rPr>
            </w:pPr>
            <w:r w:rsidRPr="00EB2995">
              <w:rPr>
                <w:rFonts w:cs="Calibri"/>
                <w:b/>
                <w:sz w:val="22"/>
                <w:szCs w:val="22"/>
              </w:rPr>
              <w:t>20.4</w:t>
            </w:r>
          </w:p>
        </w:tc>
      </w:tr>
      <w:tr w:rsidR="00DC2F2A" w:rsidRPr="00EB2995" w:rsidTr="00DC2F2A">
        <w:trPr>
          <w:trHeight w:val="558"/>
        </w:trPr>
        <w:tc>
          <w:tcPr>
            <w:tcW w:w="1987" w:type="dxa"/>
            <w:vAlign w:val="center"/>
            <w:hideMark/>
          </w:tcPr>
          <w:p w:rsidR="00DC2F2A" w:rsidRPr="00EB2995" w:rsidRDefault="00DC2F2A" w:rsidP="00DC2F2A">
            <w:pPr>
              <w:rPr>
                <w:rFonts w:cs="Calibri"/>
                <w:b/>
                <w:color w:val="000000"/>
                <w:sz w:val="22"/>
                <w:szCs w:val="22"/>
              </w:rPr>
            </w:pPr>
            <w:r w:rsidRPr="00EB2995">
              <w:rPr>
                <w:rFonts w:cs="Calibri"/>
                <w:b/>
                <w:color w:val="000000"/>
                <w:sz w:val="22"/>
                <w:szCs w:val="22"/>
              </w:rPr>
              <w:t>Chief Executive's Department</w:t>
            </w:r>
          </w:p>
        </w:tc>
        <w:tc>
          <w:tcPr>
            <w:tcW w:w="1332" w:type="dxa"/>
            <w:noWrap/>
            <w:vAlign w:val="center"/>
            <w:hideMark/>
          </w:tcPr>
          <w:p w:rsidR="00DC2F2A" w:rsidRPr="00EB2995" w:rsidRDefault="00DC2F2A" w:rsidP="00DC2F2A">
            <w:pPr>
              <w:jc w:val="center"/>
              <w:rPr>
                <w:rFonts w:cs="Calibri"/>
                <w:sz w:val="22"/>
                <w:szCs w:val="22"/>
              </w:rPr>
            </w:pPr>
            <w:r w:rsidRPr="00EB2995">
              <w:rPr>
                <w:rFonts w:cs="Calibri"/>
                <w:sz w:val="22"/>
                <w:szCs w:val="22"/>
              </w:rPr>
              <w:t>15.7</w:t>
            </w:r>
          </w:p>
        </w:tc>
        <w:tc>
          <w:tcPr>
            <w:tcW w:w="0" w:type="auto"/>
            <w:noWrap/>
            <w:vAlign w:val="center"/>
            <w:hideMark/>
          </w:tcPr>
          <w:p w:rsidR="00DC2F2A" w:rsidRPr="00EB2995" w:rsidRDefault="00DC2F2A" w:rsidP="00DC2F2A">
            <w:pPr>
              <w:jc w:val="center"/>
              <w:rPr>
                <w:rFonts w:cs="Calibri"/>
                <w:sz w:val="22"/>
                <w:szCs w:val="22"/>
              </w:rPr>
            </w:pPr>
            <w:r w:rsidRPr="00EB2995">
              <w:rPr>
                <w:rFonts w:cs="Calibri"/>
                <w:sz w:val="22"/>
                <w:szCs w:val="22"/>
              </w:rPr>
              <w:t>(1.0)</w:t>
            </w:r>
          </w:p>
        </w:tc>
        <w:tc>
          <w:tcPr>
            <w:tcW w:w="0" w:type="auto"/>
            <w:noWrap/>
            <w:vAlign w:val="center"/>
            <w:hideMark/>
          </w:tcPr>
          <w:p w:rsidR="00DC2F2A" w:rsidRPr="00EB2995" w:rsidRDefault="00DC2F2A" w:rsidP="00DC2F2A">
            <w:pPr>
              <w:jc w:val="center"/>
              <w:rPr>
                <w:rFonts w:cs="Calibri"/>
                <w:sz w:val="22"/>
                <w:szCs w:val="22"/>
              </w:rPr>
            </w:pPr>
            <w:r w:rsidRPr="00EB2995">
              <w:rPr>
                <w:rFonts w:cs="Calibri"/>
                <w:sz w:val="22"/>
                <w:szCs w:val="22"/>
              </w:rPr>
              <w:t>0.0</w:t>
            </w:r>
          </w:p>
        </w:tc>
        <w:tc>
          <w:tcPr>
            <w:tcW w:w="0" w:type="auto"/>
            <w:noWrap/>
            <w:vAlign w:val="center"/>
            <w:hideMark/>
          </w:tcPr>
          <w:p w:rsidR="00DC2F2A" w:rsidRPr="00EB2995" w:rsidRDefault="00DC2F2A" w:rsidP="00DC2F2A">
            <w:pPr>
              <w:jc w:val="center"/>
              <w:rPr>
                <w:rFonts w:cs="Calibri"/>
                <w:sz w:val="22"/>
                <w:szCs w:val="22"/>
              </w:rPr>
            </w:pPr>
            <w:r w:rsidRPr="00EB2995">
              <w:rPr>
                <w:rFonts w:cs="Calibri"/>
                <w:sz w:val="22"/>
                <w:szCs w:val="22"/>
              </w:rPr>
              <w:t>14.7</w:t>
            </w:r>
          </w:p>
        </w:tc>
        <w:tc>
          <w:tcPr>
            <w:tcW w:w="0" w:type="auto"/>
            <w:noWrap/>
            <w:vAlign w:val="center"/>
            <w:hideMark/>
          </w:tcPr>
          <w:p w:rsidR="00DC2F2A" w:rsidRPr="00EB2995" w:rsidRDefault="00DC2F2A" w:rsidP="00DC2F2A">
            <w:pPr>
              <w:jc w:val="center"/>
              <w:rPr>
                <w:rFonts w:cs="Calibri"/>
                <w:sz w:val="22"/>
                <w:szCs w:val="22"/>
              </w:rPr>
            </w:pPr>
            <w:r w:rsidRPr="00EB2995">
              <w:rPr>
                <w:rFonts w:cs="Calibri"/>
                <w:sz w:val="22"/>
                <w:szCs w:val="22"/>
              </w:rPr>
              <w:t>(0.9)</w:t>
            </w:r>
          </w:p>
        </w:tc>
        <w:tc>
          <w:tcPr>
            <w:tcW w:w="0" w:type="auto"/>
            <w:noWrap/>
            <w:vAlign w:val="center"/>
            <w:hideMark/>
          </w:tcPr>
          <w:p w:rsidR="00DC2F2A" w:rsidRPr="00EB2995" w:rsidRDefault="00DC2F2A" w:rsidP="00DC2F2A">
            <w:pPr>
              <w:jc w:val="center"/>
              <w:rPr>
                <w:rFonts w:cs="Calibri"/>
                <w:sz w:val="22"/>
                <w:szCs w:val="22"/>
              </w:rPr>
            </w:pPr>
            <w:r w:rsidRPr="00EB2995">
              <w:rPr>
                <w:rFonts w:cs="Calibri"/>
                <w:sz w:val="22"/>
                <w:szCs w:val="22"/>
              </w:rPr>
              <w:t>0.4</w:t>
            </w:r>
          </w:p>
        </w:tc>
        <w:tc>
          <w:tcPr>
            <w:tcW w:w="0" w:type="auto"/>
            <w:noWrap/>
            <w:vAlign w:val="center"/>
            <w:hideMark/>
          </w:tcPr>
          <w:p w:rsidR="00DC2F2A" w:rsidRPr="00EB2995" w:rsidRDefault="00DC2F2A" w:rsidP="00DC2F2A">
            <w:pPr>
              <w:jc w:val="center"/>
              <w:rPr>
                <w:rFonts w:cs="Calibri"/>
                <w:sz w:val="22"/>
                <w:szCs w:val="22"/>
              </w:rPr>
            </w:pPr>
            <w:r w:rsidRPr="00EB2995">
              <w:rPr>
                <w:rFonts w:cs="Calibri"/>
                <w:sz w:val="22"/>
                <w:szCs w:val="22"/>
              </w:rPr>
              <w:t>0.0</w:t>
            </w:r>
          </w:p>
        </w:tc>
        <w:tc>
          <w:tcPr>
            <w:tcW w:w="0" w:type="auto"/>
            <w:noWrap/>
            <w:vAlign w:val="center"/>
            <w:hideMark/>
          </w:tcPr>
          <w:p w:rsidR="00DC2F2A" w:rsidRPr="00EB2995" w:rsidRDefault="00DC2F2A" w:rsidP="00DC2F2A">
            <w:pPr>
              <w:jc w:val="center"/>
              <w:rPr>
                <w:rFonts w:cs="Calibri"/>
                <w:sz w:val="22"/>
                <w:szCs w:val="22"/>
              </w:rPr>
            </w:pPr>
            <w:r w:rsidRPr="00EB2995">
              <w:rPr>
                <w:rFonts w:cs="Calibri"/>
                <w:sz w:val="22"/>
                <w:szCs w:val="22"/>
              </w:rPr>
              <w:t>0.0</w:t>
            </w:r>
          </w:p>
        </w:tc>
        <w:tc>
          <w:tcPr>
            <w:tcW w:w="0" w:type="auto"/>
            <w:noWrap/>
            <w:vAlign w:val="center"/>
            <w:hideMark/>
          </w:tcPr>
          <w:p w:rsidR="00DC2F2A" w:rsidRPr="00EB2995" w:rsidRDefault="00DC2F2A" w:rsidP="00DC2F2A">
            <w:pPr>
              <w:jc w:val="center"/>
              <w:rPr>
                <w:rFonts w:cs="Calibri"/>
                <w:sz w:val="22"/>
                <w:szCs w:val="22"/>
              </w:rPr>
            </w:pPr>
            <w:r w:rsidRPr="00EB2995">
              <w:rPr>
                <w:rFonts w:cs="Calibri"/>
                <w:sz w:val="22"/>
                <w:szCs w:val="22"/>
              </w:rPr>
              <w:t>(0.5)</w:t>
            </w:r>
          </w:p>
        </w:tc>
        <w:tc>
          <w:tcPr>
            <w:tcW w:w="1704" w:type="dxa"/>
            <w:noWrap/>
            <w:vAlign w:val="center"/>
            <w:hideMark/>
          </w:tcPr>
          <w:p w:rsidR="00DC2F2A" w:rsidRPr="00EB2995" w:rsidRDefault="00DC2F2A" w:rsidP="00DC2F2A">
            <w:pPr>
              <w:jc w:val="center"/>
              <w:rPr>
                <w:rFonts w:cs="Calibri"/>
                <w:b/>
                <w:sz w:val="22"/>
                <w:szCs w:val="22"/>
              </w:rPr>
            </w:pPr>
            <w:r w:rsidRPr="00EB2995">
              <w:rPr>
                <w:rFonts w:cs="Calibri"/>
                <w:b/>
                <w:sz w:val="22"/>
                <w:szCs w:val="22"/>
              </w:rPr>
              <w:t>14.2</w:t>
            </w:r>
          </w:p>
        </w:tc>
      </w:tr>
      <w:tr w:rsidR="00DC2F2A" w:rsidRPr="00EB2995" w:rsidTr="00DC2F2A">
        <w:trPr>
          <w:trHeight w:val="558"/>
        </w:trPr>
        <w:tc>
          <w:tcPr>
            <w:tcW w:w="1987" w:type="dxa"/>
            <w:vAlign w:val="center"/>
            <w:hideMark/>
          </w:tcPr>
          <w:p w:rsidR="00DC2F2A" w:rsidRPr="00EB2995" w:rsidRDefault="00DC2F2A" w:rsidP="00DC2F2A">
            <w:pPr>
              <w:rPr>
                <w:rFonts w:cs="Calibri"/>
                <w:b/>
                <w:color w:val="000000"/>
                <w:sz w:val="22"/>
                <w:szCs w:val="22"/>
              </w:rPr>
            </w:pPr>
            <w:r w:rsidRPr="00EB2995">
              <w:rPr>
                <w:rFonts w:cs="Calibri"/>
                <w:b/>
                <w:color w:val="000000"/>
                <w:sz w:val="22"/>
                <w:szCs w:val="22"/>
              </w:rPr>
              <w:t>Regeneration &amp; Environment</w:t>
            </w:r>
          </w:p>
        </w:tc>
        <w:tc>
          <w:tcPr>
            <w:tcW w:w="1332" w:type="dxa"/>
            <w:noWrap/>
            <w:vAlign w:val="center"/>
            <w:hideMark/>
          </w:tcPr>
          <w:p w:rsidR="00DC2F2A" w:rsidRPr="00EB2995" w:rsidRDefault="00DC2F2A" w:rsidP="00DC2F2A">
            <w:pPr>
              <w:jc w:val="center"/>
              <w:rPr>
                <w:rFonts w:cs="Calibri"/>
                <w:sz w:val="22"/>
                <w:szCs w:val="22"/>
              </w:rPr>
            </w:pPr>
            <w:r w:rsidRPr="00EB2995">
              <w:rPr>
                <w:rFonts w:cs="Calibri"/>
                <w:sz w:val="22"/>
                <w:szCs w:val="22"/>
              </w:rPr>
              <w:t>92.2</w:t>
            </w:r>
          </w:p>
        </w:tc>
        <w:tc>
          <w:tcPr>
            <w:tcW w:w="0" w:type="auto"/>
            <w:noWrap/>
            <w:vAlign w:val="center"/>
            <w:hideMark/>
          </w:tcPr>
          <w:p w:rsidR="00DC2F2A" w:rsidRPr="00EB2995" w:rsidRDefault="00DC2F2A" w:rsidP="00DC2F2A">
            <w:pPr>
              <w:jc w:val="center"/>
              <w:rPr>
                <w:rFonts w:cs="Calibri"/>
                <w:sz w:val="22"/>
                <w:szCs w:val="22"/>
              </w:rPr>
            </w:pPr>
            <w:r w:rsidRPr="00EB2995">
              <w:rPr>
                <w:rFonts w:cs="Calibri"/>
                <w:sz w:val="22"/>
                <w:szCs w:val="22"/>
              </w:rPr>
              <w:t>(44.9)</w:t>
            </w:r>
          </w:p>
        </w:tc>
        <w:tc>
          <w:tcPr>
            <w:tcW w:w="0" w:type="auto"/>
            <w:noWrap/>
            <w:vAlign w:val="center"/>
            <w:hideMark/>
          </w:tcPr>
          <w:p w:rsidR="00DC2F2A" w:rsidRPr="00EB2995" w:rsidRDefault="00DC2F2A" w:rsidP="00DC2F2A">
            <w:pPr>
              <w:jc w:val="center"/>
              <w:rPr>
                <w:rFonts w:cs="Calibri"/>
                <w:sz w:val="22"/>
                <w:szCs w:val="22"/>
              </w:rPr>
            </w:pPr>
            <w:r w:rsidRPr="00EB2995">
              <w:rPr>
                <w:rFonts w:cs="Calibri"/>
                <w:sz w:val="22"/>
                <w:szCs w:val="22"/>
              </w:rPr>
              <w:t>0.4</w:t>
            </w:r>
          </w:p>
        </w:tc>
        <w:tc>
          <w:tcPr>
            <w:tcW w:w="0" w:type="auto"/>
            <w:noWrap/>
            <w:vAlign w:val="center"/>
            <w:hideMark/>
          </w:tcPr>
          <w:p w:rsidR="00DC2F2A" w:rsidRPr="00EB2995" w:rsidRDefault="00DC2F2A" w:rsidP="00DC2F2A">
            <w:pPr>
              <w:jc w:val="center"/>
              <w:rPr>
                <w:rFonts w:cs="Calibri"/>
                <w:sz w:val="22"/>
                <w:szCs w:val="22"/>
              </w:rPr>
            </w:pPr>
            <w:r w:rsidRPr="00EB2995">
              <w:rPr>
                <w:rFonts w:cs="Calibri"/>
                <w:sz w:val="22"/>
                <w:szCs w:val="22"/>
              </w:rPr>
              <w:t>47.7</w:t>
            </w:r>
          </w:p>
        </w:tc>
        <w:tc>
          <w:tcPr>
            <w:tcW w:w="0" w:type="auto"/>
            <w:noWrap/>
            <w:vAlign w:val="center"/>
            <w:hideMark/>
          </w:tcPr>
          <w:p w:rsidR="00DC2F2A" w:rsidRPr="00EB2995" w:rsidRDefault="00DC2F2A" w:rsidP="00DC2F2A">
            <w:pPr>
              <w:jc w:val="center"/>
              <w:rPr>
                <w:rFonts w:cs="Calibri"/>
                <w:sz w:val="22"/>
                <w:szCs w:val="22"/>
              </w:rPr>
            </w:pPr>
            <w:r w:rsidRPr="00EB2995">
              <w:rPr>
                <w:rFonts w:cs="Calibri"/>
                <w:sz w:val="22"/>
                <w:szCs w:val="22"/>
              </w:rPr>
              <w:t>6.7</w:t>
            </w:r>
          </w:p>
        </w:tc>
        <w:tc>
          <w:tcPr>
            <w:tcW w:w="0" w:type="auto"/>
            <w:noWrap/>
            <w:vAlign w:val="center"/>
            <w:hideMark/>
          </w:tcPr>
          <w:p w:rsidR="00DC2F2A" w:rsidRPr="00EB2995" w:rsidRDefault="00DC2F2A" w:rsidP="00DC2F2A">
            <w:pPr>
              <w:jc w:val="center"/>
              <w:rPr>
                <w:rFonts w:cs="Calibri"/>
                <w:sz w:val="22"/>
                <w:szCs w:val="22"/>
              </w:rPr>
            </w:pPr>
            <w:r w:rsidRPr="00EB2995">
              <w:rPr>
                <w:rFonts w:cs="Calibri"/>
                <w:sz w:val="22"/>
                <w:szCs w:val="22"/>
              </w:rPr>
              <w:t>0.3</w:t>
            </w:r>
          </w:p>
        </w:tc>
        <w:tc>
          <w:tcPr>
            <w:tcW w:w="0" w:type="auto"/>
            <w:noWrap/>
            <w:vAlign w:val="center"/>
            <w:hideMark/>
          </w:tcPr>
          <w:p w:rsidR="00DC2F2A" w:rsidRPr="00EB2995" w:rsidRDefault="00DC2F2A" w:rsidP="00DC2F2A">
            <w:pPr>
              <w:jc w:val="center"/>
              <w:rPr>
                <w:rFonts w:cs="Calibri"/>
                <w:sz w:val="22"/>
                <w:szCs w:val="22"/>
              </w:rPr>
            </w:pPr>
            <w:r w:rsidRPr="00EB2995">
              <w:rPr>
                <w:rFonts w:cs="Calibri"/>
                <w:sz w:val="22"/>
                <w:szCs w:val="22"/>
              </w:rPr>
              <w:t>0.0</w:t>
            </w:r>
          </w:p>
        </w:tc>
        <w:tc>
          <w:tcPr>
            <w:tcW w:w="0" w:type="auto"/>
            <w:noWrap/>
            <w:vAlign w:val="center"/>
            <w:hideMark/>
          </w:tcPr>
          <w:p w:rsidR="00DC2F2A" w:rsidRPr="00EB2995" w:rsidRDefault="00DC2F2A" w:rsidP="00DC2F2A">
            <w:pPr>
              <w:jc w:val="center"/>
              <w:rPr>
                <w:rFonts w:cs="Calibri"/>
                <w:sz w:val="22"/>
                <w:szCs w:val="22"/>
              </w:rPr>
            </w:pPr>
            <w:r w:rsidRPr="00EB2995">
              <w:rPr>
                <w:rFonts w:cs="Calibri"/>
                <w:sz w:val="22"/>
                <w:szCs w:val="22"/>
              </w:rPr>
              <w:t>(13.3)</w:t>
            </w:r>
          </w:p>
        </w:tc>
        <w:tc>
          <w:tcPr>
            <w:tcW w:w="0" w:type="auto"/>
            <w:noWrap/>
            <w:vAlign w:val="center"/>
            <w:hideMark/>
          </w:tcPr>
          <w:p w:rsidR="00DC2F2A" w:rsidRPr="00EB2995" w:rsidRDefault="00DC2F2A" w:rsidP="00DC2F2A">
            <w:pPr>
              <w:jc w:val="center"/>
              <w:rPr>
                <w:rFonts w:cs="Calibri"/>
                <w:sz w:val="22"/>
                <w:szCs w:val="22"/>
              </w:rPr>
            </w:pPr>
            <w:r w:rsidRPr="00EB2995">
              <w:rPr>
                <w:rFonts w:cs="Calibri"/>
                <w:sz w:val="22"/>
                <w:szCs w:val="22"/>
              </w:rPr>
              <w:t>(6.3)</w:t>
            </w:r>
          </w:p>
        </w:tc>
        <w:tc>
          <w:tcPr>
            <w:tcW w:w="1704" w:type="dxa"/>
            <w:noWrap/>
            <w:vAlign w:val="center"/>
            <w:hideMark/>
          </w:tcPr>
          <w:p w:rsidR="00DC2F2A" w:rsidRPr="00EB2995" w:rsidRDefault="00DC2F2A" w:rsidP="00DC2F2A">
            <w:pPr>
              <w:jc w:val="center"/>
              <w:rPr>
                <w:rFonts w:cs="Calibri"/>
                <w:b/>
                <w:sz w:val="22"/>
                <w:szCs w:val="22"/>
              </w:rPr>
            </w:pPr>
            <w:r w:rsidRPr="00EB2995">
              <w:rPr>
                <w:rFonts w:cs="Calibri"/>
                <w:b/>
                <w:sz w:val="22"/>
                <w:szCs w:val="22"/>
              </w:rPr>
              <w:t>41.4</w:t>
            </w:r>
          </w:p>
        </w:tc>
      </w:tr>
      <w:tr w:rsidR="00DC2F2A" w:rsidRPr="00EB2995" w:rsidTr="00DC2F2A">
        <w:trPr>
          <w:trHeight w:val="558"/>
        </w:trPr>
        <w:tc>
          <w:tcPr>
            <w:tcW w:w="1987" w:type="dxa"/>
            <w:noWrap/>
            <w:hideMark/>
          </w:tcPr>
          <w:p w:rsidR="00DC2F2A" w:rsidRPr="00EB2995" w:rsidRDefault="00DC2F2A" w:rsidP="00DC2F2A">
            <w:pPr>
              <w:rPr>
                <w:rFonts w:cs="Calibri"/>
                <w:b/>
                <w:sz w:val="22"/>
                <w:szCs w:val="22"/>
              </w:rPr>
            </w:pPr>
            <w:r w:rsidRPr="00EB2995">
              <w:rPr>
                <w:rFonts w:cs="Calibri"/>
                <w:b/>
                <w:color w:val="000000"/>
                <w:sz w:val="22"/>
                <w:szCs w:val="22"/>
              </w:rPr>
              <w:t>Total</w:t>
            </w:r>
          </w:p>
        </w:tc>
        <w:tc>
          <w:tcPr>
            <w:tcW w:w="1332" w:type="dxa"/>
            <w:noWrap/>
            <w:vAlign w:val="center"/>
            <w:hideMark/>
          </w:tcPr>
          <w:p w:rsidR="00DC2F2A" w:rsidRPr="00EB2995" w:rsidRDefault="00DC2F2A" w:rsidP="00DC2F2A">
            <w:pPr>
              <w:jc w:val="center"/>
              <w:rPr>
                <w:rFonts w:cs="Calibri"/>
                <w:b/>
                <w:sz w:val="22"/>
                <w:szCs w:val="22"/>
              </w:rPr>
            </w:pPr>
            <w:r w:rsidRPr="00EB2995">
              <w:rPr>
                <w:rFonts w:cs="Calibri"/>
                <w:b/>
                <w:sz w:val="22"/>
                <w:szCs w:val="22"/>
              </w:rPr>
              <w:t>1,107.1</w:t>
            </w:r>
          </w:p>
        </w:tc>
        <w:tc>
          <w:tcPr>
            <w:tcW w:w="0" w:type="auto"/>
            <w:noWrap/>
            <w:vAlign w:val="center"/>
            <w:hideMark/>
          </w:tcPr>
          <w:p w:rsidR="00DC2F2A" w:rsidRPr="00EB2995" w:rsidRDefault="00DC2F2A" w:rsidP="00DC2F2A">
            <w:pPr>
              <w:jc w:val="center"/>
              <w:rPr>
                <w:rFonts w:cs="Calibri"/>
                <w:b/>
                <w:sz w:val="22"/>
                <w:szCs w:val="22"/>
              </w:rPr>
            </w:pPr>
            <w:r w:rsidRPr="00EB2995">
              <w:rPr>
                <w:rFonts w:cs="Calibri"/>
                <w:b/>
                <w:sz w:val="22"/>
                <w:szCs w:val="22"/>
              </w:rPr>
              <w:t>(823.4)</w:t>
            </w:r>
          </w:p>
        </w:tc>
        <w:tc>
          <w:tcPr>
            <w:tcW w:w="0" w:type="auto"/>
            <w:noWrap/>
            <w:vAlign w:val="center"/>
            <w:hideMark/>
          </w:tcPr>
          <w:p w:rsidR="00DC2F2A" w:rsidRPr="00EB2995" w:rsidRDefault="00DC2F2A" w:rsidP="00DC2F2A">
            <w:pPr>
              <w:jc w:val="center"/>
              <w:rPr>
                <w:rFonts w:cs="Calibri"/>
                <w:b/>
                <w:sz w:val="22"/>
                <w:szCs w:val="22"/>
              </w:rPr>
            </w:pPr>
            <w:r w:rsidRPr="00EB2995">
              <w:rPr>
                <w:rFonts w:cs="Calibri"/>
                <w:b/>
                <w:sz w:val="22"/>
                <w:szCs w:val="22"/>
              </w:rPr>
              <w:t>(229.4)</w:t>
            </w:r>
          </w:p>
        </w:tc>
        <w:tc>
          <w:tcPr>
            <w:tcW w:w="0" w:type="auto"/>
            <w:noWrap/>
            <w:vAlign w:val="center"/>
            <w:hideMark/>
          </w:tcPr>
          <w:p w:rsidR="00DC2F2A" w:rsidRPr="00EB2995" w:rsidRDefault="00DC2F2A" w:rsidP="00DC2F2A">
            <w:pPr>
              <w:jc w:val="center"/>
              <w:rPr>
                <w:rFonts w:cs="Calibri"/>
                <w:b/>
                <w:sz w:val="22"/>
                <w:szCs w:val="22"/>
              </w:rPr>
            </w:pPr>
            <w:r w:rsidRPr="00EB2995">
              <w:rPr>
                <w:rFonts w:cs="Calibri"/>
                <w:b/>
                <w:sz w:val="22"/>
                <w:szCs w:val="22"/>
              </w:rPr>
              <w:t>54.4</w:t>
            </w:r>
          </w:p>
        </w:tc>
        <w:tc>
          <w:tcPr>
            <w:tcW w:w="0" w:type="auto"/>
            <w:noWrap/>
            <w:vAlign w:val="center"/>
            <w:hideMark/>
          </w:tcPr>
          <w:p w:rsidR="00DC2F2A" w:rsidRPr="00EB2995" w:rsidRDefault="00DC2F2A" w:rsidP="00DC2F2A">
            <w:pPr>
              <w:jc w:val="center"/>
              <w:rPr>
                <w:rFonts w:cs="Calibri"/>
                <w:b/>
                <w:sz w:val="22"/>
                <w:szCs w:val="22"/>
              </w:rPr>
            </w:pPr>
            <w:r w:rsidRPr="00EB2995">
              <w:rPr>
                <w:rFonts w:cs="Calibri"/>
                <w:b/>
                <w:sz w:val="22"/>
                <w:szCs w:val="22"/>
              </w:rPr>
              <w:t>(48.9)</w:t>
            </w:r>
          </w:p>
        </w:tc>
        <w:tc>
          <w:tcPr>
            <w:tcW w:w="0" w:type="auto"/>
            <w:noWrap/>
            <w:vAlign w:val="center"/>
            <w:hideMark/>
          </w:tcPr>
          <w:p w:rsidR="00DC2F2A" w:rsidRPr="00EB2995" w:rsidRDefault="00DC2F2A" w:rsidP="00DC2F2A">
            <w:pPr>
              <w:jc w:val="center"/>
              <w:rPr>
                <w:rFonts w:cs="Calibri"/>
                <w:b/>
                <w:sz w:val="22"/>
                <w:szCs w:val="22"/>
              </w:rPr>
            </w:pPr>
            <w:r w:rsidRPr="00EB2995">
              <w:rPr>
                <w:rFonts w:cs="Calibri"/>
                <w:b/>
                <w:sz w:val="22"/>
                <w:szCs w:val="22"/>
              </w:rPr>
              <w:t>(27.2)</w:t>
            </w:r>
          </w:p>
        </w:tc>
        <w:tc>
          <w:tcPr>
            <w:tcW w:w="0" w:type="auto"/>
            <w:noWrap/>
            <w:vAlign w:val="center"/>
            <w:hideMark/>
          </w:tcPr>
          <w:p w:rsidR="00DC2F2A" w:rsidRPr="00EB2995" w:rsidRDefault="00DC2F2A" w:rsidP="00DC2F2A">
            <w:pPr>
              <w:jc w:val="center"/>
              <w:rPr>
                <w:rFonts w:cs="Calibri"/>
                <w:b/>
                <w:sz w:val="22"/>
                <w:szCs w:val="22"/>
              </w:rPr>
            </w:pPr>
            <w:r w:rsidRPr="00EB2995">
              <w:rPr>
                <w:rFonts w:cs="Calibri"/>
                <w:b/>
                <w:sz w:val="22"/>
                <w:szCs w:val="22"/>
              </w:rPr>
              <w:t>(4.8)</w:t>
            </w:r>
          </w:p>
        </w:tc>
        <w:tc>
          <w:tcPr>
            <w:tcW w:w="0" w:type="auto"/>
            <w:noWrap/>
            <w:vAlign w:val="center"/>
            <w:hideMark/>
          </w:tcPr>
          <w:p w:rsidR="00DC2F2A" w:rsidRPr="00EB2995" w:rsidRDefault="00DC2F2A" w:rsidP="00DC2F2A">
            <w:pPr>
              <w:jc w:val="center"/>
              <w:rPr>
                <w:rFonts w:cs="Calibri"/>
                <w:b/>
                <w:sz w:val="22"/>
                <w:szCs w:val="22"/>
              </w:rPr>
            </w:pPr>
            <w:r w:rsidRPr="00EB2995">
              <w:rPr>
                <w:rFonts w:cs="Calibri"/>
                <w:b/>
                <w:sz w:val="22"/>
                <w:szCs w:val="22"/>
              </w:rPr>
              <w:t>(4.8)</w:t>
            </w:r>
          </w:p>
        </w:tc>
        <w:tc>
          <w:tcPr>
            <w:tcW w:w="0" w:type="auto"/>
            <w:noWrap/>
            <w:vAlign w:val="center"/>
            <w:hideMark/>
          </w:tcPr>
          <w:p w:rsidR="00DC2F2A" w:rsidRPr="00EB2995" w:rsidRDefault="00DC2F2A" w:rsidP="00DC2F2A">
            <w:pPr>
              <w:jc w:val="center"/>
              <w:rPr>
                <w:rFonts w:cs="Calibri"/>
                <w:b/>
                <w:sz w:val="22"/>
                <w:szCs w:val="22"/>
              </w:rPr>
            </w:pPr>
            <w:r w:rsidRPr="00EB2995">
              <w:rPr>
                <w:rFonts w:cs="Calibri"/>
                <w:b/>
                <w:sz w:val="22"/>
                <w:szCs w:val="22"/>
              </w:rPr>
              <w:t>(54.8)</w:t>
            </w:r>
          </w:p>
        </w:tc>
        <w:tc>
          <w:tcPr>
            <w:tcW w:w="1704" w:type="dxa"/>
            <w:noWrap/>
            <w:vAlign w:val="center"/>
            <w:hideMark/>
          </w:tcPr>
          <w:p w:rsidR="00DC2F2A" w:rsidRPr="00EB2995" w:rsidRDefault="00DC2F2A" w:rsidP="00DC2F2A">
            <w:pPr>
              <w:jc w:val="center"/>
              <w:rPr>
                <w:rFonts w:cs="Calibri"/>
                <w:b/>
                <w:sz w:val="22"/>
                <w:szCs w:val="22"/>
              </w:rPr>
            </w:pPr>
            <w:r w:rsidRPr="00EB2995">
              <w:rPr>
                <w:rFonts w:cs="Calibri"/>
                <w:b/>
                <w:sz w:val="22"/>
                <w:szCs w:val="22"/>
              </w:rPr>
              <w:t>(0.5)</w:t>
            </w:r>
          </w:p>
        </w:tc>
      </w:tr>
    </w:tbl>
    <w:p w:rsidR="007B70DC" w:rsidRDefault="007B70DC">
      <w:r>
        <w:br w:type="page"/>
      </w:r>
    </w:p>
    <w:tbl>
      <w:tblPr>
        <w:tblStyle w:val="TableGridLight"/>
        <w:tblW w:w="0" w:type="auto"/>
        <w:tblInd w:w="0" w:type="dxa"/>
        <w:tblLook w:val="04A0" w:firstRow="1" w:lastRow="0" w:firstColumn="1" w:lastColumn="0" w:noHBand="0" w:noVBand="1"/>
        <w:tblCaption w:val="EFA"/>
      </w:tblPr>
      <w:tblGrid>
        <w:gridCol w:w="1074"/>
        <w:gridCol w:w="1419"/>
        <w:gridCol w:w="1838"/>
        <w:gridCol w:w="987"/>
        <w:gridCol w:w="3313"/>
        <w:gridCol w:w="1073"/>
        <w:gridCol w:w="1419"/>
        <w:gridCol w:w="1838"/>
        <w:gridCol w:w="987"/>
      </w:tblGrid>
      <w:tr w:rsidR="00D33F11" w:rsidRPr="00EB59BA" w:rsidTr="00D33F11">
        <w:trPr>
          <w:trHeight w:val="225"/>
          <w:tblHeader/>
        </w:trPr>
        <w:tc>
          <w:tcPr>
            <w:tcW w:w="0" w:type="auto"/>
            <w:noWrap/>
            <w:hideMark/>
          </w:tcPr>
          <w:p w:rsidR="00D33F11" w:rsidRPr="00EB59BA" w:rsidRDefault="00D33F11" w:rsidP="00891A96">
            <w:pPr>
              <w:rPr>
                <w:rFonts w:ascii="Arial" w:eastAsia="Times New Roman" w:hAnsi="Arial" w:cs="Arial"/>
                <w:b/>
                <w:color w:val="000000"/>
                <w:sz w:val="20"/>
                <w:szCs w:val="20"/>
                <w:lang w:eastAsia="en-GB"/>
              </w:rPr>
            </w:pPr>
            <w:r w:rsidRPr="00EB59BA">
              <w:rPr>
                <w:rFonts w:ascii="Arial" w:eastAsia="Times New Roman" w:hAnsi="Arial" w:cs="Arial"/>
                <w:b/>
                <w:color w:val="000000"/>
                <w:sz w:val="20"/>
                <w:szCs w:val="20"/>
                <w:lang w:eastAsia="en-GB"/>
              </w:rPr>
              <w:lastRenderedPageBreak/>
              <w:t>2018-19</w:t>
            </w:r>
          </w:p>
        </w:tc>
        <w:tc>
          <w:tcPr>
            <w:tcW w:w="0" w:type="auto"/>
            <w:noWrap/>
            <w:hideMark/>
          </w:tcPr>
          <w:p w:rsidR="00D33F11" w:rsidRPr="00EB59BA" w:rsidRDefault="00D33F11" w:rsidP="00891A96">
            <w:pPr>
              <w:rPr>
                <w:rFonts w:ascii="Arial" w:eastAsia="Times New Roman" w:hAnsi="Arial" w:cs="Arial"/>
                <w:b/>
                <w:color w:val="000000"/>
                <w:sz w:val="20"/>
                <w:szCs w:val="20"/>
                <w:lang w:eastAsia="en-GB"/>
              </w:rPr>
            </w:pPr>
          </w:p>
        </w:tc>
        <w:tc>
          <w:tcPr>
            <w:tcW w:w="0" w:type="auto"/>
            <w:noWrap/>
            <w:hideMark/>
          </w:tcPr>
          <w:p w:rsidR="00D33F11" w:rsidRPr="00EB59BA" w:rsidRDefault="00D33F11" w:rsidP="00891A96">
            <w:pPr>
              <w:rPr>
                <w:rFonts w:ascii="Times New Roman" w:eastAsia="Times New Roman" w:hAnsi="Times New Roman" w:cs="Times New Roman"/>
                <w:b/>
                <w:sz w:val="20"/>
                <w:szCs w:val="20"/>
                <w:lang w:eastAsia="en-GB"/>
              </w:rPr>
            </w:pPr>
          </w:p>
        </w:tc>
        <w:tc>
          <w:tcPr>
            <w:tcW w:w="0" w:type="auto"/>
            <w:noWrap/>
            <w:hideMark/>
          </w:tcPr>
          <w:p w:rsidR="00D33F11" w:rsidRPr="00EB59BA" w:rsidRDefault="00D33F11" w:rsidP="00891A96">
            <w:pPr>
              <w:rPr>
                <w:rFonts w:ascii="Times New Roman" w:eastAsia="Times New Roman" w:hAnsi="Times New Roman" w:cs="Times New Roman"/>
                <w:b/>
                <w:sz w:val="20"/>
                <w:szCs w:val="20"/>
                <w:lang w:eastAsia="en-GB"/>
              </w:rPr>
            </w:pPr>
          </w:p>
        </w:tc>
        <w:tc>
          <w:tcPr>
            <w:tcW w:w="0" w:type="auto"/>
            <w:noWrap/>
            <w:hideMark/>
          </w:tcPr>
          <w:p w:rsidR="00D33F11" w:rsidRPr="00EB59BA" w:rsidRDefault="00D33F11" w:rsidP="00891A96">
            <w:pPr>
              <w:rPr>
                <w:rFonts w:ascii="Times New Roman" w:eastAsia="Times New Roman" w:hAnsi="Times New Roman" w:cs="Times New Roman"/>
                <w:b/>
                <w:sz w:val="20"/>
                <w:szCs w:val="20"/>
                <w:lang w:eastAsia="en-GB"/>
              </w:rPr>
            </w:pPr>
          </w:p>
        </w:tc>
        <w:tc>
          <w:tcPr>
            <w:tcW w:w="0" w:type="auto"/>
            <w:noWrap/>
            <w:hideMark/>
          </w:tcPr>
          <w:p w:rsidR="00D33F11" w:rsidRPr="00EB59BA" w:rsidRDefault="00D33F11" w:rsidP="00891A96">
            <w:pPr>
              <w:rPr>
                <w:rFonts w:ascii="Arial" w:eastAsia="Times New Roman" w:hAnsi="Arial" w:cs="Arial"/>
                <w:b/>
                <w:color w:val="000000"/>
                <w:sz w:val="20"/>
                <w:szCs w:val="20"/>
                <w:lang w:eastAsia="en-GB"/>
              </w:rPr>
            </w:pPr>
            <w:r w:rsidRPr="00EB59BA">
              <w:rPr>
                <w:rFonts w:ascii="Arial" w:eastAsia="Times New Roman" w:hAnsi="Arial" w:cs="Arial"/>
                <w:b/>
                <w:color w:val="000000"/>
                <w:sz w:val="20"/>
                <w:szCs w:val="20"/>
                <w:lang w:eastAsia="en-GB"/>
              </w:rPr>
              <w:t>2019-20</w:t>
            </w:r>
          </w:p>
        </w:tc>
        <w:tc>
          <w:tcPr>
            <w:tcW w:w="0" w:type="auto"/>
            <w:noWrap/>
            <w:hideMark/>
          </w:tcPr>
          <w:p w:rsidR="00D33F11" w:rsidRPr="00EB59BA" w:rsidRDefault="00D33F11" w:rsidP="00891A96">
            <w:pPr>
              <w:rPr>
                <w:rFonts w:ascii="Arial" w:eastAsia="Times New Roman" w:hAnsi="Arial" w:cs="Arial"/>
                <w:b/>
                <w:color w:val="000000"/>
                <w:sz w:val="20"/>
                <w:szCs w:val="20"/>
                <w:lang w:eastAsia="en-GB"/>
              </w:rPr>
            </w:pPr>
          </w:p>
        </w:tc>
        <w:tc>
          <w:tcPr>
            <w:tcW w:w="0" w:type="auto"/>
            <w:noWrap/>
            <w:hideMark/>
          </w:tcPr>
          <w:p w:rsidR="00D33F11" w:rsidRPr="00EB59BA" w:rsidRDefault="00D33F11" w:rsidP="00891A96">
            <w:pPr>
              <w:rPr>
                <w:rFonts w:ascii="Times New Roman" w:eastAsia="Times New Roman" w:hAnsi="Times New Roman" w:cs="Times New Roman"/>
                <w:b/>
                <w:sz w:val="20"/>
                <w:szCs w:val="20"/>
                <w:lang w:eastAsia="en-GB"/>
              </w:rPr>
            </w:pPr>
          </w:p>
        </w:tc>
        <w:tc>
          <w:tcPr>
            <w:tcW w:w="0" w:type="auto"/>
            <w:noWrap/>
            <w:hideMark/>
          </w:tcPr>
          <w:p w:rsidR="00D33F11" w:rsidRPr="00EB59BA" w:rsidRDefault="00D33F11" w:rsidP="00891A96">
            <w:pPr>
              <w:rPr>
                <w:rFonts w:ascii="Times New Roman" w:eastAsia="Times New Roman" w:hAnsi="Times New Roman" w:cs="Times New Roman"/>
                <w:b/>
                <w:sz w:val="20"/>
                <w:szCs w:val="20"/>
                <w:lang w:eastAsia="en-GB"/>
              </w:rPr>
            </w:pPr>
          </w:p>
        </w:tc>
      </w:tr>
      <w:tr w:rsidR="00D33F11" w:rsidRPr="00EB59BA" w:rsidTr="00D33F11">
        <w:trPr>
          <w:trHeight w:val="1500"/>
          <w:tblHeader/>
        </w:trPr>
        <w:tc>
          <w:tcPr>
            <w:tcW w:w="0" w:type="auto"/>
            <w:hideMark/>
          </w:tcPr>
          <w:p w:rsidR="00D33F11" w:rsidRPr="00EB59BA" w:rsidRDefault="00D33F11" w:rsidP="00891A96">
            <w:pPr>
              <w:jc w:val="center"/>
              <w:rPr>
                <w:rFonts w:ascii="Calibri" w:eastAsia="Times New Roman" w:hAnsi="Calibri" w:cs="Calibri"/>
                <w:b/>
                <w:color w:val="000000"/>
                <w:sz w:val="20"/>
                <w:szCs w:val="20"/>
                <w:lang w:eastAsia="en-GB"/>
              </w:rPr>
            </w:pPr>
            <w:r w:rsidRPr="00EB59BA">
              <w:rPr>
                <w:rFonts w:ascii="Calibri" w:eastAsia="Times New Roman" w:hAnsi="Calibri" w:cs="Calibri"/>
                <w:b/>
                <w:color w:val="000000"/>
                <w:sz w:val="20"/>
                <w:szCs w:val="20"/>
                <w:lang w:eastAsia="en-GB"/>
              </w:rPr>
              <w:t>Opening Balance (£m)</w:t>
            </w:r>
          </w:p>
        </w:tc>
        <w:tc>
          <w:tcPr>
            <w:tcW w:w="0" w:type="auto"/>
            <w:hideMark/>
          </w:tcPr>
          <w:p w:rsidR="00D33F11" w:rsidRPr="00EB59BA" w:rsidRDefault="00D33F11" w:rsidP="00891A96">
            <w:pPr>
              <w:jc w:val="center"/>
              <w:rPr>
                <w:rFonts w:ascii="Calibri" w:eastAsia="Times New Roman" w:hAnsi="Calibri" w:cs="Calibri"/>
                <w:b/>
                <w:color w:val="000000"/>
                <w:sz w:val="20"/>
                <w:szCs w:val="20"/>
                <w:lang w:eastAsia="en-GB"/>
              </w:rPr>
            </w:pPr>
            <w:r w:rsidRPr="00EB59BA">
              <w:rPr>
                <w:rFonts w:ascii="Calibri" w:eastAsia="Times New Roman" w:hAnsi="Calibri" w:cs="Calibri"/>
                <w:b/>
                <w:color w:val="000000"/>
                <w:sz w:val="20"/>
                <w:szCs w:val="20"/>
                <w:lang w:eastAsia="en-GB"/>
              </w:rPr>
              <w:t>Transfers to/fom Earmarked Reserves (£m)</w:t>
            </w:r>
          </w:p>
        </w:tc>
        <w:tc>
          <w:tcPr>
            <w:tcW w:w="0" w:type="auto"/>
            <w:hideMark/>
          </w:tcPr>
          <w:p w:rsidR="00D33F11" w:rsidRPr="00EB59BA" w:rsidRDefault="00D33F11" w:rsidP="00891A96">
            <w:pPr>
              <w:jc w:val="center"/>
              <w:rPr>
                <w:rFonts w:ascii="Calibri" w:eastAsia="Times New Roman" w:hAnsi="Calibri" w:cs="Calibri"/>
                <w:b/>
                <w:color w:val="000000"/>
                <w:sz w:val="20"/>
                <w:szCs w:val="20"/>
                <w:lang w:eastAsia="en-GB"/>
              </w:rPr>
            </w:pPr>
            <w:r w:rsidRPr="00EB59BA">
              <w:rPr>
                <w:rFonts w:ascii="Calibri" w:eastAsia="Times New Roman" w:hAnsi="Calibri" w:cs="Calibri"/>
                <w:b/>
                <w:color w:val="000000"/>
                <w:sz w:val="20"/>
                <w:szCs w:val="20"/>
                <w:lang w:eastAsia="en-GB"/>
              </w:rPr>
              <w:t>Movement on HRA and General Fund after transfers to/from Earmarked Reserves (£m)</w:t>
            </w:r>
          </w:p>
        </w:tc>
        <w:tc>
          <w:tcPr>
            <w:tcW w:w="0" w:type="auto"/>
            <w:hideMark/>
          </w:tcPr>
          <w:p w:rsidR="00D33F11" w:rsidRPr="00EB59BA" w:rsidRDefault="00D33F11" w:rsidP="00891A96">
            <w:pPr>
              <w:jc w:val="center"/>
              <w:rPr>
                <w:rFonts w:ascii="Calibri" w:eastAsia="Times New Roman" w:hAnsi="Calibri" w:cs="Calibri"/>
                <w:b/>
                <w:color w:val="000000"/>
                <w:sz w:val="20"/>
                <w:szCs w:val="20"/>
                <w:lang w:eastAsia="en-GB"/>
              </w:rPr>
            </w:pPr>
            <w:r w:rsidRPr="00EB59BA">
              <w:rPr>
                <w:rFonts w:ascii="Calibri" w:eastAsia="Times New Roman" w:hAnsi="Calibri" w:cs="Calibri"/>
                <w:b/>
                <w:color w:val="000000"/>
                <w:sz w:val="20"/>
                <w:szCs w:val="20"/>
                <w:lang w:eastAsia="en-GB"/>
              </w:rPr>
              <w:t>Closing Balance (£m)</w:t>
            </w:r>
          </w:p>
        </w:tc>
        <w:tc>
          <w:tcPr>
            <w:tcW w:w="0" w:type="auto"/>
            <w:noWrap/>
            <w:hideMark/>
          </w:tcPr>
          <w:p w:rsidR="00D33F11" w:rsidRPr="00EB59BA" w:rsidRDefault="00D33F11" w:rsidP="00891A96">
            <w:pPr>
              <w:jc w:val="center"/>
              <w:rPr>
                <w:rFonts w:ascii="Calibri" w:eastAsia="Times New Roman" w:hAnsi="Calibri" w:cs="Calibri"/>
                <w:b/>
                <w:color w:val="000000"/>
                <w:sz w:val="20"/>
                <w:szCs w:val="20"/>
                <w:lang w:eastAsia="en-GB"/>
              </w:rPr>
            </w:pPr>
          </w:p>
        </w:tc>
        <w:tc>
          <w:tcPr>
            <w:tcW w:w="0" w:type="auto"/>
            <w:hideMark/>
          </w:tcPr>
          <w:p w:rsidR="00D33F11" w:rsidRPr="00EB59BA" w:rsidRDefault="00D33F11" w:rsidP="00891A96">
            <w:pPr>
              <w:jc w:val="center"/>
              <w:rPr>
                <w:rFonts w:ascii="Calibri" w:eastAsia="Times New Roman" w:hAnsi="Calibri" w:cs="Calibri"/>
                <w:b/>
                <w:color w:val="000000"/>
                <w:sz w:val="20"/>
                <w:szCs w:val="20"/>
                <w:lang w:eastAsia="en-GB"/>
              </w:rPr>
            </w:pPr>
            <w:r w:rsidRPr="00EB59BA">
              <w:rPr>
                <w:rFonts w:ascii="Calibri" w:eastAsia="Times New Roman" w:hAnsi="Calibri" w:cs="Calibri"/>
                <w:b/>
                <w:color w:val="000000"/>
                <w:sz w:val="20"/>
                <w:szCs w:val="20"/>
                <w:lang w:eastAsia="en-GB"/>
              </w:rPr>
              <w:t>Opening Balance (£m)</w:t>
            </w:r>
          </w:p>
        </w:tc>
        <w:tc>
          <w:tcPr>
            <w:tcW w:w="0" w:type="auto"/>
            <w:hideMark/>
          </w:tcPr>
          <w:p w:rsidR="00D33F11" w:rsidRPr="00EB59BA" w:rsidRDefault="00D33F11" w:rsidP="00891A96">
            <w:pPr>
              <w:jc w:val="center"/>
              <w:rPr>
                <w:rFonts w:ascii="Calibri" w:eastAsia="Times New Roman" w:hAnsi="Calibri" w:cs="Calibri"/>
                <w:b/>
                <w:color w:val="000000"/>
                <w:sz w:val="20"/>
                <w:szCs w:val="20"/>
                <w:lang w:eastAsia="en-GB"/>
              </w:rPr>
            </w:pPr>
            <w:r w:rsidRPr="00EB59BA">
              <w:rPr>
                <w:rFonts w:ascii="Calibri" w:eastAsia="Times New Roman" w:hAnsi="Calibri" w:cs="Calibri"/>
                <w:b/>
                <w:color w:val="000000"/>
                <w:sz w:val="20"/>
                <w:szCs w:val="20"/>
                <w:lang w:eastAsia="en-GB"/>
              </w:rPr>
              <w:t>Transfers to/fom Earmarked Reserves (£m)</w:t>
            </w:r>
          </w:p>
        </w:tc>
        <w:tc>
          <w:tcPr>
            <w:tcW w:w="0" w:type="auto"/>
            <w:hideMark/>
          </w:tcPr>
          <w:p w:rsidR="00D33F11" w:rsidRPr="00EB59BA" w:rsidRDefault="00D33F11" w:rsidP="00891A96">
            <w:pPr>
              <w:jc w:val="center"/>
              <w:rPr>
                <w:rFonts w:ascii="Calibri" w:eastAsia="Times New Roman" w:hAnsi="Calibri" w:cs="Calibri"/>
                <w:b/>
                <w:color w:val="000000"/>
                <w:sz w:val="20"/>
                <w:szCs w:val="20"/>
                <w:lang w:eastAsia="en-GB"/>
              </w:rPr>
            </w:pPr>
            <w:r w:rsidRPr="00EB59BA">
              <w:rPr>
                <w:rFonts w:ascii="Calibri" w:eastAsia="Times New Roman" w:hAnsi="Calibri" w:cs="Calibri"/>
                <w:b/>
                <w:color w:val="000000"/>
                <w:sz w:val="20"/>
                <w:szCs w:val="20"/>
                <w:lang w:eastAsia="en-GB"/>
              </w:rPr>
              <w:t>Movement on HRA and General Fund after transfers to/from Earmarked Reserves (£m)</w:t>
            </w:r>
          </w:p>
        </w:tc>
        <w:tc>
          <w:tcPr>
            <w:tcW w:w="0" w:type="auto"/>
            <w:hideMark/>
          </w:tcPr>
          <w:p w:rsidR="00D33F11" w:rsidRPr="00EB59BA" w:rsidRDefault="00D33F11" w:rsidP="00891A96">
            <w:pPr>
              <w:jc w:val="center"/>
              <w:rPr>
                <w:rFonts w:ascii="Calibri" w:eastAsia="Times New Roman" w:hAnsi="Calibri" w:cs="Calibri"/>
                <w:b/>
                <w:color w:val="000000"/>
                <w:sz w:val="20"/>
                <w:szCs w:val="20"/>
                <w:lang w:eastAsia="en-GB"/>
              </w:rPr>
            </w:pPr>
            <w:r w:rsidRPr="00EB59BA">
              <w:rPr>
                <w:rFonts w:ascii="Calibri" w:eastAsia="Times New Roman" w:hAnsi="Calibri" w:cs="Calibri"/>
                <w:b/>
                <w:color w:val="000000"/>
                <w:sz w:val="20"/>
                <w:szCs w:val="20"/>
                <w:lang w:eastAsia="en-GB"/>
              </w:rPr>
              <w:t>Closing Balance (£m)</w:t>
            </w:r>
          </w:p>
        </w:tc>
      </w:tr>
      <w:tr w:rsidR="00D33F11" w:rsidRPr="00EB59BA" w:rsidTr="00891A96">
        <w:trPr>
          <w:trHeight w:val="615"/>
        </w:trPr>
        <w:tc>
          <w:tcPr>
            <w:tcW w:w="0" w:type="auto"/>
            <w:noWrap/>
            <w:hideMark/>
          </w:tcPr>
          <w:p w:rsidR="00D33F11" w:rsidRPr="00EB59BA" w:rsidRDefault="00D33F11" w:rsidP="00891A96">
            <w:pPr>
              <w:jc w:val="center"/>
              <w:rPr>
                <w:rFonts w:ascii="Arial" w:eastAsia="Times New Roman" w:hAnsi="Arial" w:cs="Arial"/>
                <w:color w:val="000000"/>
                <w:sz w:val="20"/>
                <w:szCs w:val="20"/>
                <w:lang w:eastAsia="en-GB"/>
              </w:rPr>
            </w:pPr>
            <w:r w:rsidRPr="00EB59BA">
              <w:rPr>
                <w:rFonts w:ascii="Arial" w:eastAsia="Times New Roman" w:hAnsi="Arial" w:cs="Arial"/>
                <w:color w:val="000000"/>
                <w:sz w:val="20"/>
                <w:szCs w:val="20"/>
                <w:lang w:eastAsia="en-GB"/>
              </w:rPr>
              <w:t>3.7</w:t>
            </w:r>
          </w:p>
        </w:tc>
        <w:tc>
          <w:tcPr>
            <w:tcW w:w="0" w:type="auto"/>
            <w:noWrap/>
            <w:hideMark/>
          </w:tcPr>
          <w:p w:rsidR="00D33F11" w:rsidRPr="00EB59BA" w:rsidRDefault="00D33F11" w:rsidP="00891A96">
            <w:pPr>
              <w:jc w:val="center"/>
              <w:rPr>
                <w:rFonts w:ascii="Arial" w:eastAsia="Times New Roman" w:hAnsi="Arial" w:cs="Arial"/>
                <w:color w:val="000000"/>
                <w:sz w:val="20"/>
                <w:szCs w:val="20"/>
                <w:lang w:eastAsia="en-GB"/>
              </w:rPr>
            </w:pPr>
            <w:r w:rsidRPr="00EB59BA">
              <w:rPr>
                <w:rFonts w:ascii="Arial" w:eastAsia="Times New Roman" w:hAnsi="Arial" w:cs="Arial"/>
                <w:color w:val="000000"/>
                <w:sz w:val="20"/>
                <w:szCs w:val="20"/>
                <w:lang w:eastAsia="en-GB"/>
              </w:rPr>
              <w:t>0</w:t>
            </w:r>
          </w:p>
        </w:tc>
        <w:tc>
          <w:tcPr>
            <w:tcW w:w="0" w:type="auto"/>
            <w:noWrap/>
            <w:hideMark/>
          </w:tcPr>
          <w:p w:rsidR="00D33F11" w:rsidRPr="00EB59BA" w:rsidRDefault="00D33F11" w:rsidP="00891A96">
            <w:pPr>
              <w:jc w:val="center"/>
              <w:rPr>
                <w:rFonts w:ascii="Arial" w:eastAsia="Times New Roman" w:hAnsi="Arial" w:cs="Arial"/>
                <w:color w:val="000000"/>
                <w:sz w:val="20"/>
                <w:szCs w:val="20"/>
                <w:lang w:eastAsia="en-GB"/>
              </w:rPr>
            </w:pPr>
            <w:r w:rsidRPr="00EB59BA">
              <w:rPr>
                <w:rFonts w:ascii="Arial" w:eastAsia="Times New Roman" w:hAnsi="Arial" w:cs="Arial"/>
                <w:color w:val="000000"/>
                <w:sz w:val="20"/>
                <w:szCs w:val="20"/>
                <w:lang w:eastAsia="en-GB"/>
              </w:rPr>
              <w:t>0</w:t>
            </w:r>
          </w:p>
        </w:tc>
        <w:tc>
          <w:tcPr>
            <w:tcW w:w="0" w:type="auto"/>
            <w:noWrap/>
            <w:hideMark/>
          </w:tcPr>
          <w:p w:rsidR="00D33F11" w:rsidRPr="00EB59BA" w:rsidRDefault="00D33F11" w:rsidP="00891A96">
            <w:pPr>
              <w:jc w:val="center"/>
              <w:rPr>
                <w:rFonts w:ascii="Arial" w:eastAsia="Times New Roman" w:hAnsi="Arial" w:cs="Arial"/>
                <w:color w:val="000000"/>
                <w:sz w:val="20"/>
                <w:szCs w:val="20"/>
                <w:lang w:eastAsia="en-GB"/>
              </w:rPr>
            </w:pPr>
            <w:r w:rsidRPr="00EB59BA">
              <w:rPr>
                <w:rFonts w:ascii="Arial" w:eastAsia="Times New Roman" w:hAnsi="Arial" w:cs="Arial"/>
                <w:color w:val="000000"/>
                <w:sz w:val="20"/>
                <w:szCs w:val="20"/>
                <w:lang w:eastAsia="en-GB"/>
              </w:rPr>
              <w:t>3.7</w:t>
            </w:r>
          </w:p>
        </w:tc>
        <w:tc>
          <w:tcPr>
            <w:tcW w:w="0" w:type="auto"/>
            <w:hideMark/>
          </w:tcPr>
          <w:p w:rsidR="00D33F11" w:rsidRPr="00EB59BA" w:rsidRDefault="00D33F11" w:rsidP="00891A96">
            <w:pPr>
              <w:jc w:val="center"/>
              <w:rPr>
                <w:rFonts w:ascii="Calibri" w:eastAsia="Times New Roman" w:hAnsi="Calibri" w:cs="Calibri"/>
                <w:color w:val="000000"/>
                <w:sz w:val="20"/>
                <w:szCs w:val="20"/>
                <w:lang w:eastAsia="en-GB"/>
              </w:rPr>
            </w:pPr>
            <w:r w:rsidRPr="00EB59BA">
              <w:rPr>
                <w:rFonts w:ascii="Calibri" w:eastAsia="Times New Roman" w:hAnsi="Calibri" w:cs="Calibri"/>
                <w:color w:val="000000"/>
                <w:sz w:val="20"/>
                <w:szCs w:val="20"/>
                <w:lang w:eastAsia="en-GB"/>
              </w:rPr>
              <w:t>Housing Revenue Account</w:t>
            </w:r>
          </w:p>
        </w:tc>
        <w:tc>
          <w:tcPr>
            <w:tcW w:w="0" w:type="auto"/>
            <w:noWrap/>
            <w:hideMark/>
          </w:tcPr>
          <w:p w:rsidR="00D33F11" w:rsidRPr="00EB59BA" w:rsidRDefault="00D33F11" w:rsidP="00891A96">
            <w:pPr>
              <w:jc w:val="center"/>
              <w:rPr>
                <w:rFonts w:ascii="Arial" w:eastAsia="Times New Roman" w:hAnsi="Arial" w:cs="Arial"/>
                <w:color w:val="000000"/>
                <w:sz w:val="20"/>
                <w:szCs w:val="20"/>
                <w:lang w:eastAsia="en-GB"/>
              </w:rPr>
            </w:pPr>
            <w:r w:rsidRPr="00EB59BA">
              <w:rPr>
                <w:rFonts w:ascii="Arial" w:eastAsia="Times New Roman" w:hAnsi="Arial" w:cs="Arial"/>
                <w:color w:val="000000"/>
                <w:sz w:val="20"/>
                <w:szCs w:val="20"/>
                <w:lang w:eastAsia="en-GB"/>
              </w:rPr>
              <w:t>1.4</w:t>
            </w:r>
          </w:p>
        </w:tc>
        <w:tc>
          <w:tcPr>
            <w:tcW w:w="0" w:type="auto"/>
            <w:noWrap/>
            <w:hideMark/>
          </w:tcPr>
          <w:p w:rsidR="00D33F11" w:rsidRPr="00EB59BA" w:rsidRDefault="00D33F11" w:rsidP="00891A96">
            <w:pPr>
              <w:jc w:val="center"/>
              <w:rPr>
                <w:rFonts w:ascii="Arial" w:eastAsia="Times New Roman" w:hAnsi="Arial" w:cs="Arial"/>
                <w:color w:val="000000"/>
                <w:sz w:val="20"/>
                <w:szCs w:val="20"/>
                <w:lang w:eastAsia="en-GB"/>
              </w:rPr>
            </w:pPr>
            <w:r w:rsidRPr="00EB59BA">
              <w:rPr>
                <w:rFonts w:ascii="Arial" w:eastAsia="Times New Roman" w:hAnsi="Arial" w:cs="Arial"/>
                <w:color w:val="000000"/>
                <w:sz w:val="20"/>
                <w:szCs w:val="20"/>
                <w:lang w:eastAsia="en-GB"/>
              </w:rPr>
              <w:t>0</w:t>
            </w:r>
          </w:p>
        </w:tc>
        <w:tc>
          <w:tcPr>
            <w:tcW w:w="0" w:type="auto"/>
            <w:noWrap/>
            <w:hideMark/>
          </w:tcPr>
          <w:p w:rsidR="00D33F11" w:rsidRPr="00EB59BA" w:rsidRDefault="00D33F11" w:rsidP="00891A96">
            <w:pPr>
              <w:jc w:val="center"/>
              <w:rPr>
                <w:rFonts w:ascii="Arial" w:eastAsia="Times New Roman" w:hAnsi="Arial" w:cs="Arial"/>
                <w:color w:val="000000"/>
                <w:sz w:val="20"/>
                <w:szCs w:val="20"/>
                <w:lang w:eastAsia="en-GB"/>
              </w:rPr>
            </w:pPr>
            <w:r w:rsidRPr="00EB59BA">
              <w:rPr>
                <w:rFonts w:ascii="Arial" w:eastAsia="Times New Roman" w:hAnsi="Arial" w:cs="Arial"/>
                <w:color w:val="000000"/>
                <w:sz w:val="20"/>
                <w:szCs w:val="20"/>
                <w:lang w:eastAsia="en-GB"/>
              </w:rPr>
              <w:t>0</w:t>
            </w:r>
          </w:p>
        </w:tc>
        <w:tc>
          <w:tcPr>
            <w:tcW w:w="0" w:type="auto"/>
            <w:noWrap/>
            <w:hideMark/>
          </w:tcPr>
          <w:p w:rsidR="00D33F11" w:rsidRPr="00EB59BA" w:rsidRDefault="00D33F11" w:rsidP="00891A96">
            <w:pPr>
              <w:jc w:val="center"/>
              <w:rPr>
                <w:rFonts w:ascii="Arial" w:eastAsia="Times New Roman" w:hAnsi="Arial" w:cs="Arial"/>
                <w:color w:val="000000"/>
                <w:sz w:val="20"/>
                <w:szCs w:val="20"/>
                <w:lang w:eastAsia="en-GB"/>
              </w:rPr>
            </w:pPr>
            <w:r w:rsidRPr="00EB59BA">
              <w:rPr>
                <w:rFonts w:ascii="Arial" w:eastAsia="Times New Roman" w:hAnsi="Arial" w:cs="Arial"/>
                <w:color w:val="000000"/>
                <w:sz w:val="20"/>
                <w:szCs w:val="20"/>
                <w:lang w:eastAsia="en-GB"/>
              </w:rPr>
              <w:t>1.4</w:t>
            </w:r>
          </w:p>
        </w:tc>
      </w:tr>
      <w:tr w:rsidR="00D33F11" w:rsidRPr="00EB59BA" w:rsidTr="00891A96">
        <w:trPr>
          <w:trHeight w:val="900"/>
        </w:trPr>
        <w:tc>
          <w:tcPr>
            <w:tcW w:w="0" w:type="auto"/>
            <w:noWrap/>
            <w:hideMark/>
          </w:tcPr>
          <w:p w:rsidR="00D33F11" w:rsidRPr="00EB59BA" w:rsidRDefault="00D33F11" w:rsidP="00891A96">
            <w:pPr>
              <w:jc w:val="center"/>
              <w:rPr>
                <w:rFonts w:ascii="Arial" w:eastAsia="Times New Roman" w:hAnsi="Arial" w:cs="Arial"/>
                <w:color w:val="000000"/>
                <w:sz w:val="20"/>
                <w:szCs w:val="20"/>
                <w:lang w:eastAsia="en-GB"/>
              </w:rPr>
            </w:pPr>
            <w:r w:rsidRPr="00EB59BA">
              <w:rPr>
                <w:rFonts w:ascii="Arial" w:eastAsia="Times New Roman" w:hAnsi="Arial" w:cs="Arial"/>
                <w:color w:val="000000"/>
                <w:sz w:val="20"/>
                <w:szCs w:val="20"/>
                <w:lang w:eastAsia="en-GB"/>
              </w:rPr>
              <w:t>1.7</w:t>
            </w:r>
          </w:p>
        </w:tc>
        <w:tc>
          <w:tcPr>
            <w:tcW w:w="0" w:type="auto"/>
            <w:noWrap/>
            <w:hideMark/>
          </w:tcPr>
          <w:p w:rsidR="00D33F11" w:rsidRPr="00EB59BA" w:rsidRDefault="00D33F11" w:rsidP="00891A96">
            <w:pPr>
              <w:jc w:val="center"/>
              <w:rPr>
                <w:rFonts w:ascii="Arial" w:eastAsia="Times New Roman" w:hAnsi="Arial" w:cs="Arial"/>
                <w:color w:val="000000"/>
                <w:sz w:val="20"/>
                <w:szCs w:val="20"/>
                <w:lang w:eastAsia="en-GB"/>
              </w:rPr>
            </w:pPr>
            <w:r w:rsidRPr="00EB59BA">
              <w:rPr>
                <w:rFonts w:ascii="Arial" w:eastAsia="Times New Roman" w:hAnsi="Arial" w:cs="Arial"/>
                <w:color w:val="000000"/>
                <w:sz w:val="20"/>
                <w:szCs w:val="20"/>
                <w:lang w:eastAsia="en-GB"/>
              </w:rPr>
              <w:t>(2.3)</w:t>
            </w:r>
          </w:p>
        </w:tc>
        <w:tc>
          <w:tcPr>
            <w:tcW w:w="0" w:type="auto"/>
            <w:noWrap/>
            <w:hideMark/>
          </w:tcPr>
          <w:p w:rsidR="00D33F11" w:rsidRPr="00EB59BA" w:rsidRDefault="00D33F11" w:rsidP="00891A96">
            <w:pPr>
              <w:jc w:val="center"/>
              <w:rPr>
                <w:rFonts w:ascii="Arial" w:eastAsia="Times New Roman" w:hAnsi="Arial" w:cs="Arial"/>
                <w:color w:val="000000"/>
                <w:sz w:val="20"/>
                <w:szCs w:val="20"/>
                <w:lang w:eastAsia="en-GB"/>
              </w:rPr>
            </w:pPr>
            <w:r w:rsidRPr="00EB59BA">
              <w:rPr>
                <w:rFonts w:ascii="Arial" w:eastAsia="Times New Roman" w:hAnsi="Arial" w:cs="Arial"/>
                <w:color w:val="000000"/>
                <w:sz w:val="20"/>
                <w:szCs w:val="20"/>
                <w:lang w:eastAsia="en-GB"/>
              </w:rPr>
              <w:t>0</w:t>
            </w:r>
          </w:p>
        </w:tc>
        <w:tc>
          <w:tcPr>
            <w:tcW w:w="0" w:type="auto"/>
            <w:noWrap/>
            <w:hideMark/>
          </w:tcPr>
          <w:p w:rsidR="00D33F11" w:rsidRPr="00EB59BA" w:rsidRDefault="00D33F11" w:rsidP="00891A96">
            <w:pPr>
              <w:jc w:val="center"/>
              <w:rPr>
                <w:rFonts w:ascii="Arial" w:eastAsia="Times New Roman" w:hAnsi="Arial" w:cs="Arial"/>
                <w:color w:val="000000"/>
                <w:sz w:val="20"/>
                <w:szCs w:val="20"/>
                <w:lang w:eastAsia="en-GB"/>
              </w:rPr>
            </w:pPr>
            <w:r w:rsidRPr="00EB59BA">
              <w:rPr>
                <w:rFonts w:ascii="Arial" w:eastAsia="Times New Roman" w:hAnsi="Arial" w:cs="Arial"/>
                <w:color w:val="000000"/>
                <w:sz w:val="20"/>
                <w:szCs w:val="20"/>
                <w:lang w:eastAsia="en-GB"/>
              </w:rPr>
              <w:t>-0.6</w:t>
            </w:r>
          </w:p>
        </w:tc>
        <w:tc>
          <w:tcPr>
            <w:tcW w:w="0" w:type="auto"/>
            <w:hideMark/>
          </w:tcPr>
          <w:p w:rsidR="00D33F11" w:rsidRPr="00EB59BA" w:rsidRDefault="00D33F11" w:rsidP="00891A96">
            <w:pPr>
              <w:jc w:val="center"/>
              <w:rPr>
                <w:rFonts w:ascii="Calibri" w:eastAsia="Times New Roman" w:hAnsi="Calibri" w:cs="Calibri"/>
                <w:color w:val="000000"/>
                <w:sz w:val="20"/>
                <w:szCs w:val="20"/>
                <w:lang w:eastAsia="en-GB"/>
              </w:rPr>
            </w:pPr>
            <w:r w:rsidRPr="00EB59BA">
              <w:rPr>
                <w:rFonts w:ascii="Calibri" w:eastAsia="Times New Roman" w:hAnsi="Calibri" w:cs="Calibri"/>
                <w:color w:val="000000"/>
                <w:sz w:val="20"/>
                <w:szCs w:val="20"/>
                <w:lang w:eastAsia="en-GB"/>
              </w:rPr>
              <w:t>Housing Revenue Account Earmarked Reserves</w:t>
            </w:r>
          </w:p>
        </w:tc>
        <w:tc>
          <w:tcPr>
            <w:tcW w:w="0" w:type="auto"/>
            <w:noWrap/>
            <w:hideMark/>
          </w:tcPr>
          <w:p w:rsidR="00D33F11" w:rsidRPr="00EB59BA" w:rsidRDefault="00D33F11" w:rsidP="00891A96">
            <w:pPr>
              <w:jc w:val="center"/>
              <w:rPr>
                <w:rFonts w:ascii="Arial" w:eastAsia="Times New Roman" w:hAnsi="Arial" w:cs="Arial"/>
                <w:color w:val="000000"/>
                <w:sz w:val="20"/>
                <w:szCs w:val="20"/>
                <w:lang w:eastAsia="en-GB"/>
              </w:rPr>
            </w:pPr>
            <w:r w:rsidRPr="00EB59BA">
              <w:rPr>
                <w:rFonts w:ascii="Arial" w:eastAsia="Times New Roman" w:hAnsi="Arial" w:cs="Arial"/>
                <w:color w:val="000000"/>
                <w:sz w:val="20"/>
                <w:szCs w:val="20"/>
                <w:lang w:eastAsia="en-GB"/>
              </w:rPr>
              <w:t>1.7</w:t>
            </w:r>
          </w:p>
        </w:tc>
        <w:tc>
          <w:tcPr>
            <w:tcW w:w="0" w:type="auto"/>
            <w:noWrap/>
            <w:hideMark/>
          </w:tcPr>
          <w:p w:rsidR="00D33F11" w:rsidRPr="00EB59BA" w:rsidRDefault="00D33F11" w:rsidP="00891A96">
            <w:pPr>
              <w:jc w:val="center"/>
              <w:rPr>
                <w:rFonts w:ascii="Arial" w:eastAsia="Times New Roman" w:hAnsi="Arial" w:cs="Arial"/>
                <w:color w:val="000000"/>
                <w:sz w:val="20"/>
                <w:szCs w:val="20"/>
                <w:lang w:eastAsia="en-GB"/>
              </w:rPr>
            </w:pPr>
            <w:r w:rsidRPr="00EB59BA">
              <w:rPr>
                <w:rFonts w:ascii="Arial" w:eastAsia="Times New Roman" w:hAnsi="Arial" w:cs="Arial"/>
                <w:color w:val="000000"/>
                <w:sz w:val="20"/>
                <w:szCs w:val="20"/>
                <w:lang w:eastAsia="en-GB"/>
              </w:rPr>
              <w:t>2.7</w:t>
            </w:r>
          </w:p>
        </w:tc>
        <w:tc>
          <w:tcPr>
            <w:tcW w:w="0" w:type="auto"/>
            <w:noWrap/>
            <w:hideMark/>
          </w:tcPr>
          <w:p w:rsidR="00D33F11" w:rsidRPr="00EB59BA" w:rsidRDefault="00D33F11" w:rsidP="00891A96">
            <w:pPr>
              <w:jc w:val="center"/>
              <w:rPr>
                <w:rFonts w:ascii="Arial" w:eastAsia="Times New Roman" w:hAnsi="Arial" w:cs="Arial"/>
                <w:color w:val="000000"/>
                <w:sz w:val="20"/>
                <w:szCs w:val="20"/>
                <w:lang w:eastAsia="en-GB"/>
              </w:rPr>
            </w:pPr>
            <w:r w:rsidRPr="00EB59BA">
              <w:rPr>
                <w:rFonts w:ascii="Arial" w:eastAsia="Times New Roman" w:hAnsi="Arial" w:cs="Arial"/>
                <w:color w:val="000000"/>
                <w:sz w:val="20"/>
                <w:szCs w:val="20"/>
                <w:lang w:eastAsia="en-GB"/>
              </w:rPr>
              <w:t>0</w:t>
            </w:r>
          </w:p>
        </w:tc>
        <w:tc>
          <w:tcPr>
            <w:tcW w:w="0" w:type="auto"/>
            <w:noWrap/>
            <w:hideMark/>
          </w:tcPr>
          <w:p w:rsidR="00D33F11" w:rsidRPr="00EB59BA" w:rsidRDefault="00D33F11" w:rsidP="00891A96">
            <w:pPr>
              <w:jc w:val="center"/>
              <w:rPr>
                <w:rFonts w:ascii="Arial" w:eastAsia="Times New Roman" w:hAnsi="Arial" w:cs="Arial"/>
                <w:color w:val="000000"/>
                <w:sz w:val="20"/>
                <w:szCs w:val="20"/>
                <w:lang w:eastAsia="en-GB"/>
              </w:rPr>
            </w:pPr>
            <w:r w:rsidRPr="00EB59BA">
              <w:rPr>
                <w:rFonts w:ascii="Arial" w:eastAsia="Times New Roman" w:hAnsi="Arial" w:cs="Arial"/>
                <w:color w:val="000000"/>
                <w:sz w:val="20"/>
                <w:szCs w:val="20"/>
                <w:lang w:eastAsia="en-GB"/>
              </w:rPr>
              <w:t>4.4</w:t>
            </w:r>
          </w:p>
        </w:tc>
      </w:tr>
      <w:tr w:rsidR="00D33F11" w:rsidRPr="00EB59BA" w:rsidTr="00891A96">
        <w:trPr>
          <w:trHeight w:val="315"/>
        </w:trPr>
        <w:tc>
          <w:tcPr>
            <w:tcW w:w="0" w:type="auto"/>
            <w:noWrap/>
            <w:hideMark/>
          </w:tcPr>
          <w:p w:rsidR="00D33F11" w:rsidRPr="00EB59BA" w:rsidRDefault="00D33F11" w:rsidP="00891A96">
            <w:pPr>
              <w:jc w:val="center"/>
              <w:rPr>
                <w:rFonts w:ascii="Arial" w:eastAsia="Times New Roman" w:hAnsi="Arial" w:cs="Arial"/>
                <w:b/>
                <w:bCs/>
                <w:color w:val="000000"/>
                <w:sz w:val="20"/>
                <w:szCs w:val="20"/>
                <w:lang w:eastAsia="en-GB"/>
              </w:rPr>
            </w:pPr>
            <w:r w:rsidRPr="00EB59BA">
              <w:rPr>
                <w:rFonts w:ascii="Arial" w:eastAsia="Times New Roman" w:hAnsi="Arial" w:cs="Arial"/>
                <w:b/>
                <w:bCs/>
                <w:color w:val="000000"/>
                <w:sz w:val="20"/>
                <w:szCs w:val="20"/>
                <w:lang w:eastAsia="en-GB"/>
              </w:rPr>
              <w:t>5.4</w:t>
            </w:r>
          </w:p>
        </w:tc>
        <w:tc>
          <w:tcPr>
            <w:tcW w:w="0" w:type="auto"/>
            <w:noWrap/>
            <w:hideMark/>
          </w:tcPr>
          <w:p w:rsidR="00D33F11" w:rsidRPr="00EB59BA" w:rsidRDefault="00D33F11" w:rsidP="00891A96">
            <w:pPr>
              <w:jc w:val="center"/>
              <w:rPr>
                <w:rFonts w:ascii="Arial" w:eastAsia="Times New Roman" w:hAnsi="Arial" w:cs="Arial"/>
                <w:b/>
                <w:bCs/>
                <w:color w:val="000000"/>
                <w:sz w:val="20"/>
                <w:szCs w:val="20"/>
                <w:lang w:eastAsia="en-GB"/>
              </w:rPr>
            </w:pPr>
            <w:r w:rsidRPr="00EB59BA">
              <w:rPr>
                <w:rFonts w:ascii="Arial" w:eastAsia="Times New Roman" w:hAnsi="Arial" w:cs="Arial"/>
                <w:b/>
                <w:bCs/>
                <w:color w:val="000000"/>
                <w:sz w:val="20"/>
                <w:szCs w:val="20"/>
                <w:lang w:eastAsia="en-GB"/>
              </w:rPr>
              <w:t>(2.3)</w:t>
            </w:r>
          </w:p>
        </w:tc>
        <w:tc>
          <w:tcPr>
            <w:tcW w:w="0" w:type="auto"/>
            <w:noWrap/>
            <w:hideMark/>
          </w:tcPr>
          <w:p w:rsidR="00D33F11" w:rsidRPr="00EB59BA" w:rsidRDefault="00D33F11" w:rsidP="00891A96">
            <w:pPr>
              <w:jc w:val="center"/>
              <w:rPr>
                <w:rFonts w:ascii="Arial" w:eastAsia="Times New Roman" w:hAnsi="Arial" w:cs="Arial"/>
                <w:b/>
                <w:bCs/>
                <w:color w:val="000000"/>
                <w:sz w:val="20"/>
                <w:szCs w:val="20"/>
                <w:lang w:eastAsia="en-GB"/>
              </w:rPr>
            </w:pPr>
            <w:r w:rsidRPr="00EB59BA">
              <w:rPr>
                <w:rFonts w:ascii="Arial" w:eastAsia="Times New Roman" w:hAnsi="Arial" w:cs="Arial"/>
                <w:b/>
                <w:bCs/>
                <w:color w:val="000000"/>
                <w:sz w:val="20"/>
                <w:szCs w:val="20"/>
                <w:lang w:eastAsia="en-GB"/>
              </w:rPr>
              <w:t>0</w:t>
            </w:r>
          </w:p>
        </w:tc>
        <w:tc>
          <w:tcPr>
            <w:tcW w:w="0" w:type="auto"/>
            <w:noWrap/>
            <w:hideMark/>
          </w:tcPr>
          <w:p w:rsidR="00D33F11" w:rsidRPr="00EB59BA" w:rsidRDefault="00D33F11" w:rsidP="00891A96">
            <w:pPr>
              <w:jc w:val="center"/>
              <w:rPr>
                <w:rFonts w:ascii="Arial" w:eastAsia="Times New Roman" w:hAnsi="Arial" w:cs="Arial"/>
                <w:b/>
                <w:bCs/>
                <w:color w:val="000000"/>
                <w:sz w:val="20"/>
                <w:szCs w:val="20"/>
                <w:lang w:eastAsia="en-GB"/>
              </w:rPr>
            </w:pPr>
            <w:r w:rsidRPr="00EB59BA">
              <w:rPr>
                <w:rFonts w:ascii="Arial" w:eastAsia="Times New Roman" w:hAnsi="Arial" w:cs="Arial"/>
                <w:b/>
                <w:bCs/>
                <w:color w:val="000000"/>
                <w:sz w:val="20"/>
                <w:szCs w:val="20"/>
                <w:lang w:eastAsia="en-GB"/>
              </w:rPr>
              <w:t>3.1</w:t>
            </w:r>
          </w:p>
        </w:tc>
        <w:tc>
          <w:tcPr>
            <w:tcW w:w="0" w:type="auto"/>
            <w:hideMark/>
          </w:tcPr>
          <w:p w:rsidR="00D33F11" w:rsidRPr="00EB59BA" w:rsidRDefault="00D33F11" w:rsidP="00891A96">
            <w:pPr>
              <w:jc w:val="center"/>
              <w:rPr>
                <w:rFonts w:ascii="Calibri" w:eastAsia="Times New Roman" w:hAnsi="Calibri" w:cs="Calibri"/>
                <w:b/>
                <w:bCs/>
                <w:color w:val="000000"/>
                <w:sz w:val="20"/>
                <w:szCs w:val="20"/>
                <w:lang w:eastAsia="en-GB"/>
              </w:rPr>
            </w:pPr>
            <w:r w:rsidRPr="00EB59BA">
              <w:rPr>
                <w:rFonts w:ascii="Calibri" w:eastAsia="Times New Roman" w:hAnsi="Calibri" w:cs="Calibri"/>
                <w:b/>
                <w:bCs/>
                <w:color w:val="000000"/>
                <w:sz w:val="20"/>
                <w:szCs w:val="20"/>
                <w:lang w:eastAsia="en-GB"/>
              </w:rPr>
              <w:t>HRA Subtotal</w:t>
            </w:r>
          </w:p>
        </w:tc>
        <w:tc>
          <w:tcPr>
            <w:tcW w:w="0" w:type="auto"/>
            <w:noWrap/>
            <w:hideMark/>
          </w:tcPr>
          <w:p w:rsidR="00D33F11" w:rsidRPr="00EB59BA" w:rsidRDefault="00D33F11" w:rsidP="00891A96">
            <w:pPr>
              <w:jc w:val="center"/>
              <w:rPr>
                <w:rFonts w:ascii="Arial" w:eastAsia="Times New Roman" w:hAnsi="Arial" w:cs="Arial"/>
                <w:b/>
                <w:bCs/>
                <w:color w:val="000000"/>
                <w:sz w:val="20"/>
                <w:szCs w:val="20"/>
                <w:lang w:eastAsia="en-GB"/>
              </w:rPr>
            </w:pPr>
            <w:r w:rsidRPr="00EB59BA">
              <w:rPr>
                <w:rFonts w:ascii="Arial" w:eastAsia="Times New Roman" w:hAnsi="Arial" w:cs="Arial"/>
                <w:b/>
                <w:bCs/>
                <w:color w:val="000000"/>
                <w:sz w:val="20"/>
                <w:szCs w:val="20"/>
                <w:lang w:eastAsia="en-GB"/>
              </w:rPr>
              <w:t>3.1</w:t>
            </w:r>
          </w:p>
        </w:tc>
        <w:tc>
          <w:tcPr>
            <w:tcW w:w="0" w:type="auto"/>
            <w:noWrap/>
            <w:hideMark/>
          </w:tcPr>
          <w:p w:rsidR="00D33F11" w:rsidRPr="00EB59BA" w:rsidRDefault="00D33F11" w:rsidP="00891A96">
            <w:pPr>
              <w:jc w:val="center"/>
              <w:rPr>
                <w:rFonts w:ascii="Arial" w:eastAsia="Times New Roman" w:hAnsi="Arial" w:cs="Arial"/>
                <w:b/>
                <w:bCs/>
                <w:color w:val="000000"/>
                <w:sz w:val="20"/>
                <w:szCs w:val="20"/>
                <w:lang w:eastAsia="en-GB"/>
              </w:rPr>
            </w:pPr>
            <w:r w:rsidRPr="00EB59BA">
              <w:rPr>
                <w:rFonts w:ascii="Arial" w:eastAsia="Times New Roman" w:hAnsi="Arial" w:cs="Arial"/>
                <w:b/>
                <w:bCs/>
                <w:color w:val="000000"/>
                <w:sz w:val="20"/>
                <w:szCs w:val="20"/>
                <w:lang w:eastAsia="en-GB"/>
              </w:rPr>
              <w:t>2.7</w:t>
            </w:r>
          </w:p>
        </w:tc>
        <w:tc>
          <w:tcPr>
            <w:tcW w:w="0" w:type="auto"/>
            <w:noWrap/>
            <w:hideMark/>
          </w:tcPr>
          <w:p w:rsidR="00D33F11" w:rsidRPr="00EB59BA" w:rsidRDefault="00D33F11" w:rsidP="00891A96">
            <w:pPr>
              <w:jc w:val="center"/>
              <w:rPr>
                <w:rFonts w:ascii="Arial" w:eastAsia="Times New Roman" w:hAnsi="Arial" w:cs="Arial"/>
                <w:b/>
                <w:bCs/>
                <w:color w:val="000000"/>
                <w:sz w:val="20"/>
                <w:szCs w:val="20"/>
                <w:lang w:eastAsia="en-GB"/>
              </w:rPr>
            </w:pPr>
            <w:r w:rsidRPr="00EB59BA">
              <w:rPr>
                <w:rFonts w:ascii="Arial" w:eastAsia="Times New Roman" w:hAnsi="Arial" w:cs="Arial"/>
                <w:b/>
                <w:bCs/>
                <w:color w:val="000000"/>
                <w:sz w:val="20"/>
                <w:szCs w:val="20"/>
                <w:lang w:eastAsia="en-GB"/>
              </w:rPr>
              <w:t>0</w:t>
            </w:r>
          </w:p>
        </w:tc>
        <w:tc>
          <w:tcPr>
            <w:tcW w:w="0" w:type="auto"/>
            <w:noWrap/>
            <w:hideMark/>
          </w:tcPr>
          <w:p w:rsidR="00D33F11" w:rsidRPr="00EB59BA" w:rsidRDefault="00D33F11" w:rsidP="00891A96">
            <w:pPr>
              <w:jc w:val="center"/>
              <w:rPr>
                <w:rFonts w:ascii="Arial" w:eastAsia="Times New Roman" w:hAnsi="Arial" w:cs="Arial"/>
                <w:b/>
                <w:bCs/>
                <w:color w:val="000000"/>
                <w:sz w:val="20"/>
                <w:szCs w:val="20"/>
                <w:lang w:eastAsia="en-GB"/>
              </w:rPr>
            </w:pPr>
            <w:r w:rsidRPr="00EB59BA">
              <w:rPr>
                <w:rFonts w:ascii="Arial" w:eastAsia="Times New Roman" w:hAnsi="Arial" w:cs="Arial"/>
                <w:b/>
                <w:bCs/>
                <w:color w:val="000000"/>
                <w:sz w:val="20"/>
                <w:szCs w:val="20"/>
                <w:lang w:eastAsia="en-GB"/>
              </w:rPr>
              <w:t>5.8</w:t>
            </w:r>
          </w:p>
        </w:tc>
      </w:tr>
      <w:tr w:rsidR="00D33F11" w:rsidRPr="00EB59BA" w:rsidTr="00891A96">
        <w:trPr>
          <w:trHeight w:val="315"/>
        </w:trPr>
        <w:tc>
          <w:tcPr>
            <w:tcW w:w="0" w:type="auto"/>
            <w:noWrap/>
            <w:hideMark/>
          </w:tcPr>
          <w:p w:rsidR="00D33F11" w:rsidRPr="00EB59BA" w:rsidRDefault="00D33F11" w:rsidP="00891A96">
            <w:pPr>
              <w:jc w:val="center"/>
              <w:rPr>
                <w:rFonts w:ascii="Arial" w:eastAsia="Times New Roman" w:hAnsi="Arial" w:cs="Arial"/>
                <w:color w:val="000000"/>
                <w:sz w:val="20"/>
                <w:szCs w:val="20"/>
                <w:lang w:eastAsia="en-GB"/>
              </w:rPr>
            </w:pPr>
            <w:r w:rsidRPr="00EB59BA">
              <w:rPr>
                <w:rFonts w:ascii="Arial" w:eastAsia="Times New Roman" w:hAnsi="Arial" w:cs="Arial"/>
                <w:color w:val="000000"/>
                <w:sz w:val="20"/>
                <w:szCs w:val="20"/>
                <w:lang w:eastAsia="en-GB"/>
              </w:rPr>
              <w:t>12.3</w:t>
            </w:r>
          </w:p>
        </w:tc>
        <w:tc>
          <w:tcPr>
            <w:tcW w:w="0" w:type="auto"/>
            <w:noWrap/>
            <w:hideMark/>
          </w:tcPr>
          <w:p w:rsidR="00D33F11" w:rsidRPr="00EB59BA" w:rsidRDefault="00D33F11" w:rsidP="00891A96">
            <w:pPr>
              <w:jc w:val="center"/>
              <w:rPr>
                <w:rFonts w:ascii="Arial" w:eastAsia="Times New Roman" w:hAnsi="Arial" w:cs="Arial"/>
                <w:color w:val="000000"/>
                <w:sz w:val="20"/>
                <w:szCs w:val="20"/>
                <w:lang w:eastAsia="en-GB"/>
              </w:rPr>
            </w:pPr>
            <w:r w:rsidRPr="00EB59BA">
              <w:rPr>
                <w:rFonts w:ascii="Arial" w:eastAsia="Times New Roman" w:hAnsi="Arial" w:cs="Arial"/>
                <w:color w:val="000000"/>
                <w:sz w:val="20"/>
                <w:szCs w:val="20"/>
                <w:lang w:eastAsia="en-GB"/>
              </w:rPr>
              <w:t>0</w:t>
            </w:r>
          </w:p>
        </w:tc>
        <w:tc>
          <w:tcPr>
            <w:tcW w:w="0" w:type="auto"/>
            <w:noWrap/>
            <w:hideMark/>
          </w:tcPr>
          <w:p w:rsidR="00D33F11" w:rsidRPr="00EB59BA" w:rsidRDefault="00D33F11" w:rsidP="00891A96">
            <w:pPr>
              <w:jc w:val="center"/>
              <w:rPr>
                <w:rFonts w:ascii="Arial" w:eastAsia="Times New Roman" w:hAnsi="Arial" w:cs="Arial"/>
                <w:color w:val="000000"/>
                <w:sz w:val="20"/>
                <w:szCs w:val="20"/>
                <w:lang w:eastAsia="en-GB"/>
              </w:rPr>
            </w:pPr>
            <w:r w:rsidRPr="00EB59BA">
              <w:rPr>
                <w:rFonts w:ascii="Arial" w:eastAsia="Times New Roman" w:hAnsi="Arial" w:cs="Arial"/>
                <w:color w:val="000000"/>
                <w:sz w:val="20"/>
                <w:szCs w:val="20"/>
                <w:lang w:eastAsia="en-GB"/>
              </w:rPr>
              <w:t>2.8</w:t>
            </w:r>
          </w:p>
        </w:tc>
        <w:tc>
          <w:tcPr>
            <w:tcW w:w="0" w:type="auto"/>
            <w:noWrap/>
            <w:hideMark/>
          </w:tcPr>
          <w:p w:rsidR="00D33F11" w:rsidRPr="00EB59BA" w:rsidRDefault="00D33F11" w:rsidP="00891A96">
            <w:pPr>
              <w:jc w:val="center"/>
              <w:rPr>
                <w:rFonts w:ascii="Arial" w:eastAsia="Times New Roman" w:hAnsi="Arial" w:cs="Arial"/>
                <w:color w:val="000000"/>
                <w:sz w:val="20"/>
                <w:szCs w:val="20"/>
                <w:lang w:eastAsia="en-GB"/>
              </w:rPr>
            </w:pPr>
            <w:r w:rsidRPr="00EB59BA">
              <w:rPr>
                <w:rFonts w:ascii="Arial" w:eastAsia="Times New Roman" w:hAnsi="Arial" w:cs="Arial"/>
                <w:color w:val="000000"/>
                <w:sz w:val="20"/>
                <w:szCs w:val="20"/>
                <w:lang w:eastAsia="en-GB"/>
              </w:rPr>
              <w:t>15.1</w:t>
            </w:r>
          </w:p>
        </w:tc>
        <w:tc>
          <w:tcPr>
            <w:tcW w:w="0" w:type="auto"/>
            <w:hideMark/>
          </w:tcPr>
          <w:p w:rsidR="00D33F11" w:rsidRPr="00EB59BA" w:rsidRDefault="00D33F11" w:rsidP="00891A96">
            <w:pPr>
              <w:jc w:val="center"/>
              <w:rPr>
                <w:rFonts w:ascii="Calibri" w:eastAsia="Times New Roman" w:hAnsi="Calibri" w:cs="Calibri"/>
                <w:color w:val="000000"/>
                <w:sz w:val="20"/>
                <w:szCs w:val="20"/>
                <w:lang w:eastAsia="en-GB"/>
              </w:rPr>
            </w:pPr>
            <w:r w:rsidRPr="00EB59BA">
              <w:rPr>
                <w:rFonts w:ascii="Calibri" w:eastAsia="Times New Roman" w:hAnsi="Calibri" w:cs="Calibri"/>
                <w:color w:val="000000"/>
                <w:sz w:val="20"/>
                <w:szCs w:val="20"/>
                <w:lang w:eastAsia="en-GB"/>
              </w:rPr>
              <w:t>General Fund</w:t>
            </w:r>
          </w:p>
        </w:tc>
        <w:tc>
          <w:tcPr>
            <w:tcW w:w="0" w:type="auto"/>
            <w:noWrap/>
            <w:hideMark/>
          </w:tcPr>
          <w:p w:rsidR="00D33F11" w:rsidRPr="00EB59BA" w:rsidRDefault="00D33F11" w:rsidP="00891A96">
            <w:pPr>
              <w:jc w:val="center"/>
              <w:rPr>
                <w:rFonts w:ascii="Arial" w:eastAsia="Times New Roman" w:hAnsi="Arial" w:cs="Arial"/>
                <w:color w:val="000000"/>
                <w:sz w:val="20"/>
                <w:szCs w:val="20"/>
                <w:lang w:eastAsia="en-GB"/>
              </w:rPr>
            </w:pPr>
            <w:r w:rsidRPr="00EB59BA">
              <w:rPr>
                <w:rFonts w:ascii="Arial" w:eastAsia="Times New Roman" w:hAnsi="Arial" w:cs="Arial"/>
                <w:color w:val="000000"/>
                <w:sz w:val="20"/>
                <w:szCs w:val="20"/>
                <w:lang w:eastAsia="en-GB"/>
              </w:rPr>
              <w:t>15.1</w:t>
            </w:r>
          </w:p>
        </w:tc>
        <w:tc>
          <w:tcPr>
            <w:tcW w:w="0" w:type="auto"/>
            <w:noWrap/>
            <w:hideMark/>
          </w:tcPr>
          <w:p w:rsidR="00D33F11" w:rsidRPr="00EB59BA" w:rsidRDefault="00D33F11" w:rsidP="00891A96">
            <w:pPr>
              <w:jc w:val="center"/>
              <w:rPr>
                <w:rFonts w:ascii="Arial" w:eastAsia="Times New Roman" w:hAnsi="Arial" w:cs="Arial"/>
                <w:color w:val="000000"/>
                <w:sz w:val="20"/>
                <w:szCs w:val="20"/>
                <w:lang w:eastAsia="en-GB"/>
              </w:rPr>
            </w:pPr>
            <w:r w:rsidRPr="00EB59BA">
              <w:rPr>
                <w:rFonts w:ascii="Arial" w:eastAsia="Times New Roman" w:hAnsi="Arial" w:cs="Arial"/>
                <w:color w:val="000000"/>
                <w:sz w:val="20"/>
                <w:szCs w:val="20"/>
                <w:lang w:eastAsia="en-GB"/>
              </w:rPr>
              <w:t>0</w:t>
            </w:r>
          </w:p>
        </w:tc>
        <w:tc>
          <w:tcPr>
            <w:tcW w:w="0" w:type="auto"/>
            <w:noWrap/>
            <w:hideMark/>
          </w:tcPr>
          <w:p w:rsidR="00D33F11" w:rsidRPr="00EB59BA" w:rsidRDefault="00D33F11" w:rsidP="00891A96">
            <w:pPr>
              <w:jc w:val="center"/>
              <w:rPr>
                <w:rFonts w:ascii="Arial" w:eastAsia="Times New Roman" w:hAnsi="Arial" w:cs="Arial"/>
                <w:color w:val="000000"/>
                <w:sz w:val="20"/>
                <w:szCs w:val="20"/>
                <w:lang w:eastAsia="en-GB"/>
              </w:rPr>
            </w:pPr>
            <w:r w:rsidRPr="00EB59BA">
              <w:rPr>
                <w:rFonts w:ascii="Arial" w:eastAsia="Times New Roman" w:hAnsi="Arial" w:cs="Arial"/>
                <w:color w:val="000000"/>
                <w:sz w:val="20"/>
                <w:szCs w:val="20"/>
                <w:lang w:eastAsia="en-GB"/>
              </w:rPr>
              <w:t>0</w:t>
            </w:r>
          </w:p>
        </w:tc>
        <w:tc>
          <w:tcPr>
            <w:tcW w:w="0" w:type="auto"/>
            <w:noWrap/>
            <w:hideMark/>
          </w:tcPr>
          <w:p w:rsidR="00D33F11" w:rsidRPr="00EB59BA" w:rsidRDefault="00D33F11" w:rsidP="00891A96">
            <w:pPr>
              <w:jc w:val="center"/>
              <w:rPr>
                <w:rFonts w:ascii="Arial" w:eastAsia="Times New Roman" w:hAnsi="Arial" w:cs="Arial"/>
                <w:color w:val="000000"/>
                <w:sz w:val="20"/>
                <w:szCs w:val="20"/>
                <w:lang w:eastAsia="en-GB"/>
              </w:rPr>
            </w:pPr>
            <w:r w:rsidRPr="00EB59BA">
              <w:rPr>
                <w:rFonts w:ascii="Arial" w:eastAsia="Times New Roman" w:hAnsi="Arial" w:cs="Arial"/>
                <w:color w:val="000000"/>
                <w:sz w:val="20"/>
                <w:szCs w:val="20"/>
                <w:lang w:eastAsia="en-GB"/>
              </w:rPr>
              <w:t>15.1</w:t>
            </w:r>
          </w:p>
        </w:tc>
      </w:tr>
      <w:tr w:rsidR="00D33F11" w:rsidRPr="00EB59BA" w:rsidTr="00891A96">
        <w:trPr>
          <w:trHeight w:val="615"/>
        </w:trPr>
        <w:tc>
          <w:tcPr>
            <w:tcW w:w="0" w:type="auto"/>
            <w:noWrap/>
            <w:hideMark/>
          </w:tcPr>
          <w:p w:rsidR="00D33F11" w:rsidRPr="00EB59BA" w:rsidRDefault="00D33F11" w:rsidP="00891A96">
            <w:pPr>
              <w:jc w:val="center"/>
              <w:rPr>
                <w:rFonts w:ascii="Arial" w:eastAsia="Times New Roman" w:hAnsi="Arial" w:cs="Arial"/>
                <w:color w:val="000000"/>
                <w:sz w:val="20"/>
                <w:szCs w:val="20"/>
                <w:lang w:eastAsia="en-GB"/>
              </w:rPr>
            </w:pPr>
            <w:r w:rsidRPr="00EB59BA">
              <w:rPr>
                <w:rFonts w:ascii="Arial" w:eastAsia="Times New Roman" w:hAnsi="Arial" w:cs="Arial"/>
                <w:color w:val="000000"/>
                <w:sz w:val="20"/>
                <w:szCs w:val="20"/>
                <w:lang w:eastAsia="en-GB"/>
              </w:rPr>
              <w:t>226.5</w:t>
            </w:r>
          </w:p>
        </w:tc>
        <w:tc>
          <w:tcPr>
            <w:tcW w:w="0" w:type="auto"/>
            <w:noWrap/>
            <w:hideMark/>
          </w:tcPr>
          <w:p w:rsidR="00D33F11" w:rsidRPr="00EB59BA" w:rsidRDefault="00D33F11" w:rsidP="00891A96">
            <w:pPr>
              <w:jc w:val="center"/>
              <w:rPr>
                <w:rFonts w:ascii="Arial" w:eastAsia="Times New Roman" w:hAnsi="Arial" w:cs="Arial"/>
                <w:color w:val="000000"/>
                <w:sz w:val="20"/>
                <w:szCs w:val="20"/>
                <w:lang w:eastAsia="en-GB"/>
              </w:rPr>
            </w:pPr>
            <w:r w:rsidRPr="00EB59BA">
              <w:rPr>
                <w:rFonts w:ascii="Arial" w:eastAsia="Times New Roman" w:hAnsi="Arial" w:cs="Arial"/>
                <w:color w:val="000000"/>
                <w:sz w:val="20"/>
                <w:szCs w:val="20"/>
                <w:lang w:eastAsia="en-GB"/>
              </w:rPr>
              <w:t>25.9</w:t>
            </w:r>
          </w:p>
        </w:tc>
        <w:tc>
          <w:tcPr>
            <w:tcW w:w="0" w:type="auto"/>
            <w:noWrap/>
            <w:hideMark/>
          </w:tcPr>
          <w:p w:rsidR="00D33F11" w:rsidRPr="00EB59BA" w:rsidRDefault="00D33F11" w:rsidP="00891A96">
            <w:pPr>
              <w:jc w:val="center"/>
              <w:rPr>
                <w:rFonts w:ascii="Arial" w:eastAsia="Times New Roman" w:hAnsi="Arial" w:cs="Arial"/>
                <w:color w:val="000000"/>
                <w:sz w:val="20"/>
                <w:szCs w:val="20"/>
                <w:lang w:eastAsia="en-GB"/>
              </w:rPr>
            </w:pPr>
            <w:r w:rsidRPr="00EB59BA">
              <w:rPr>
                <w:rFonts w:ascii="Arial" w:eastAsia="Times New Roman" w:hAnsi="Arial" w:cs="Arial"/>
                <w:color w:val="000000"/>
                <w:sz w:val="20"/>
                <w:szCs w:val="20"/>
                <w:lang w:eastAsia="en-GB"/>
              </w:rPr>
              <w:t>0</w:t>
            </w:r>
          </w:p>
        </w:tc>
        <w:tc>
          <w:tcPr>
            <w:tcW w:w="0" w:type="auto"/>
            <w:noWrap/>
            <w:hideMark/>
          </w:tcPr>
          <w:p w:rsidR="00D33F11" w:rsidRPr="00EB59BA" w:rsidRDefault="00D33F11" w:rsidP="00891A96">
            <w:pPr>
              <w:jc w:val="center"/>
              <w:rPr>
                <w:rFonts w:ascii="Arial" w:eastAsia="Times New Roman" w:hAnsi="Arial" w:cs="Arial"/>
                <w:color w:val="000000"/>
                <w:sz w:val="20"/>
                <w:szCs w:val="20"/>
                <w:lang w:eastAsia="en-GB"/>
              </w:rPr>
            </w:pPr>
            <w:r w:rsidRPr="00EB59BA">
              <w:rPr>
                <w:rFonts w:ascii="Arial" w:eastAsia="Times New Roman" w:hAnsi="Arial" w:cs="Arial"/>
                <w:color w:val="000000"/>
                <w:sz w:val="20"/>
                <w:szCs w:val="20"/>
                <w:lang w:eastAsia="en-GB"/>
              </w:rPr>
              <w:t>252.4</w:t>
            </w:r>
          </w:p>
        </w:tc>
        <w:tc>
          <w:tcPr>
            <w:tcW w:w="0" w:type="auto"/>
            <w:hideMark/>
          </w:tcPr>
          <w:p w:rsidR="00D33F11" w:rsidRPr="00EB59BA" w:rsidRDefault="00D33F11" w:rsidP="00891A96">
            <w:pPr>
              <w:jc w:val="center"/>
              <w:rPr>
                <w:rFonts w:ascii="Calibri" w:eastAsia="Times New Roman" w:hAnsi="Calibri" w:cs="Calibri"/>
                <w:color w:val="000000"/>
                <w:sz w:val="20"/>
                <w:szCs w:val="20"/>
                <w:lang w:eastAsia="en-GB"/>
              </w:rPr>
            </w:pPr>
            <w:r w:rsidRPr="00EB59BA">
              <w:rPr>
                <w:rFonts w:ascii="Calibri" w:eastAsia="Times New Roman" w:hAnsi="Calibri" w:cs="Calibri"/>
                <w:color w:val="000000"/>
                <w:sz w:val="20"/>
                <w:szCs w:val="20"/>
                <w:lang w:eastAsia="en-GB"/>
              </w:rPr>
              <w:t>General Fund Earmarked Reserves and Schools Balances</w:t>
            </w:r>
          </w:p>
        </w:tc>
        <w:tc>
          <w:tcPr>
            <w:tcW w:w="0" w:type="auto"/>
            <w:noWrap/>
            <w:hideMark/>
          </w:tcPr>
          <w:p w:rsidR="00D33F11" w:rsidRPr="00EB59BA" w:rsidRDefault="00D33F11" w:rsidP="00891A96">
            <w:pPr>
              <w:jc w:val="center"/>
              <w:rPr>
                <w:rFonts w:ascii="Arial" w:eastAsia="Times New Roman" w:hAnsi="Arial" w:cs="Arial"/>
                <w:color w:val="000000"/>
                <w:sz w:val="20"/>
                <w:szCs w:val="20"/>
                <w:lang w:eastAsia="en-GB"/>
              </w:rPr>
            </w:pPr>
            <w:r w:rsidRPr="00EB59BA">
              <w:rPr>
                <w:rFonts w:ascii="Arial" w:eastAsia="Times New Roman" w:hAnsi="Arial" w:cs="Arial"/>
                <w:color w:val="000000"/>
                <w:sz w:val="20"/>
                <w:szCs w:val="20"/>
                <w:lang w:eastAsia="en-GB"/>
              </w:rPr>
              <w:t>252.4</w:t>
            </w:r>
          </w:p>
        </w:tc>
        <w:tc>
          <w:tcPr>
            <w:tcW w:w="0" w:type="auto"/>
            <w:noWrap/>
            <w:hideMark/>
          </w:tcPr>
          <w:p w:rsidR="00D33F11" w:rsidRPr="00EB59BA" w:rsidRDefault="00D33F11" w:rsidP="00891A96">
            <w:pPr>
              <w:jc w:val="center"/>
              <w:rPr>
                <w:rFonts w:ascii="Arial" w:eastAsia="Times New Roman" w:hAnsi="Arial" w:cs="Arial"/>
                <w:color w:val="000000"/>
                <w:sz w:val="20"/>
                <w:szCs w:val="20"/>
                <w:lang w:eastAsia="en-GB"/>
              </w:rPr>
            </w:pPr>
            <w:r w:rsidRPr="00EB59BA">
              <w:rPr>
                <w:rFonts w:ascii="Arial" w:eastAsia="Times New Roman" w:hAnsi="Arial" w:cs="Arial"/>
                <w:color w:val="000000"/>
                <w:sz w:val="20"/>
                <w:szCs w:val="20"/>
                <w:lang w:eastAsia="en-GB"/>
              </w:rPr>
              <w:t>3</w:t>
            </w:r>
            <w:r>
              <w:rPr>
                <w:rFonts w:ascii="Arial" w:eastAsia="Times New Roman" w:hAnsi="Arial" w:cs="Arial"/>
                <w:color w:val="000000"/>
                <w:sz w:val="20"/>
                <w:szCs w:val="20"/>
                <w:lang w:eastAsia="en-GB"/>
              </w:rPr>
              <w:t>6.5</w:t>
            </w:r>
          </w:p>
        </w:tc>
        <w:tc>
          <w:tcPr>
            <w:tcW w:w="0" w:type="auto"/>
            <w:noWrap/>
            <w:hideMark/>
          </w:tcPr>
          <w:p w:rsidR="00D33F11" w:rsidRPr="00EB59BA" w:rsidRDefault="00D33F11" w:rsidP="00891A96">
            <w:pPr>
              <w:jc w:val="center"/>
              <w:rPr>
                <w:rFonts w:ascii="Arial" w:eastAsia="Times New Roman" w:hAnsi="Arial" w:cs="Arial"/>
                <w:color w:val="000000"/>
                <w:sz w:val="20"/>
                <w:szCs w:val="20"/>
                <w:lang w:eastAsia="en-GB"/>
              </w:rPr>
            </w:pPr>
            <w:r w:rsidRPr="00EB59BA">
              <w:rPr>
                <w:rFonts w:ascii="Arial" w:eastAsia="Times New Roman" w:hAnsi="Arial" w:cs="Arial"/>
                <w:color w:val="000000"/>
                <w:sz w:val="20"/>
                <w:szCs w:val="20"/>
                <w:lang w:eastAsia="en-GB"/>
              </w:rPr>
              <w:t>0</w:t>
            </w:r>
          </w:p>
        </w:tc>
        <w:tc>
          <w:tcPr>
            <w:tcW w:w="0" w:type="auto"/>
            <w:noWrap/>
            <w:hideMark/>
          </w:tcPr>
          <w:p w:rsidR="00D33F11" w:rsidRPr="00EB59BA" w:rsidRDefault="00D33F11" w:rsidP="00891A96">
            <w:pPr>
              <w:jc w:val="center"/>
              <w:rPr>
                <w:rFonts w:ascii="Arial" w:eastAsia="Times New Roman" w:hAnsi="Arial" w:cs="Arial"/>
                <w:color w:val="000000"/>
                <w:sz w:val="20"/>
                <w:szCs w:val="20"/>
                <w:lang w:eastAsia="en-GB"/>
              </w:rPr>
            </w:pPr>
            <w:r w:rsidRPr="00EB59BA">
              <w:rPr>
                <w:rFonts w:ascii="Arial" w:eastAsia="Times New Roman" w:hAnsi="Arial" w:cs="Arial"/>
                <w:color w:val="000000"/>
                <w:sz w:val="20"/>
                <w:szCs w:val="20"/>
                <w:lang w:eastAsia="en-GB"/>
              </w:rPr>
              <w:t>2</w:t>
            </w:r>
            <w:r>
              <w:rPr>
                <w:rFonts w:ascii="Arial" w:eastAsia="Times New Roman" w:hAnsi="Arial" w:cs="Arial"/>
                <w:color w:val="000000"/>
                <w:sz w:val="20"/>
                <w:szCs w:val="20"/>
                <w:lang w:eastAsia="en-GB"/>
              </w:rPr>
              <w:t>88.9</w:t>
            </w:r>
          </w:p>
        </w:tc>
      </w:tr>
      <w:tr w:rsidR="00D33F11" w:rsidRPr="00EB59BA" w:rsidTr="00891A96">
        <w:trPr>
          <w:trHeight w:val="315"/>
        </w:trPr>
        <w:tc>
          <w:tcPr>
            <w:tcW w:w="0" w:type="auto"/>
            <w:noWrap/>
            <w:hideMark/>
          </w:tcPr>
          <w:p w:rsidR="00D33F11" w:rsidRPr="00EB59BA" w:rsidRDefault="00D33F11" w:rsidP="00891A96">
            <w:pPr>
              <w:jc w:val="center"/>
              <w:rPr>
                <w:rFonts w:ascii="Arial" w:eastAsia="Times New Roman" w:hAnsi="Arial" w:cs="Arial"/>
                <w:b/>
                <w:bCs/>
                <w:color w:val="000000"/>
                <w:sz w:val="20"/>
                <w:szCs w:val="20"/>
                <w:lang w:eastAsia="en-GB"/>
              </w:rPr>
            </w:pPr>
            <w:r w:rsidRPr="00EB59BA">
              <w:rPr>
                <w:rFonts w:ascii="Arial" w:eastAsia="Times New Roman" w:hAnsi="Arial" w:cs="Arial"/>
                <w:b/>
                <w:bCs/>
                <w:color w:val="000000"/>
                <w:sz w:val="20"/>
                <w:szCs w:val="20"/>
                <w:lang w:eastAsia="en-GB"/>
              </w:rPr>
              <w:t>238.8</w:t>
            </w:r>
          </w:p>
        </w:tc>
        <w:tc>
          <w:tcPr>
            <w:tcW w:w="0" w:type="auto"/>
            <w:noWrap/>
            <w:hideMark/>
          </w:tcPr>
          <w:p w:rsidR="00D33F11" w:rsidRPr="00EB59BA" w:rsidRDefault="00D33F11" w:rsidP="00891A96">
            <w:pPr>
              <w:jc w:val="center"/>
              <w:rPr>
                <w:rFonts w:ascii="Arial" w:eastAsia="Times New Roman" w:hAnsi="Arial" w:cs="Arial"/>
                <w:b/>
                <w:bCs/>
                <w:color w:val="000000"/>
                <w:sz w:val="20"/>
                <w:szCs w:val="20"/>
                <w:lang w:eastAsia="en-GB"/>
              </w:rPr>
            </w:pPr>
            <w:r w:rsidRPr="00EB59BA">
              <w:rPr>
                <w:rFonts w:ascii="Arial" w:eastAsia="Times New Roman" w:hAnsi="Arial" w:cs="Arial"/>
                <w:b/>
                <w:bCs/>
                <w:color w:val="000000"/>
                <w:sz w:val="20"/>
                <w:szCs w:val="20"/>
                <w:lang w:eastAsia="en-GB"/>
              </w:rPr>
              <w:t>25.9</w:t>
            </w:r>
          </w:p>
        </w:tc>
        <w:tc>
          <w:tcPr>
            <w:tcW w:w="0" w:type="auto"/>
            <w:noWrap/>
            <w:hideMark/>
          </w:tcPr>
          <w:p w:rsidR="00D33F11" w:rsidRPr="00EB59BA" w:rsidRDefault="00D33F11" w:rsidP="00891A96">
            <w:pPr>
              <w:jc w:val="center"/>
              <w:rPr>
                <w:rFonts w:ascii="Arial" w:eastAsia="Times New Roman" w:hAnsi="Arial" w:cs="Arial"/>
                <w:b/>
                <w:bCs/>
                <w:color w:val="000000"/>
                <w:sz w:val="20"/>
                <w:szCs w:val="20"/>
                <w:lang w:eastAsia="en-GB"/>
              </w:rPr>
            </w:pPr>
            <w:r w:rsidRPr="00EB59BA">
              <w:rPr>
                <w:rFonts w:ascii="Arial" w:eastAsia="Times New Roman" w:hAnsi="Arial" w:cs="Arial"/>
                <w:b/>
                <w:bCs/>
                <w:color w:val="000000"/>
                <w:sz w:val="20"/>
                <w:szCs w:val="20"/>
                <w:lang w:eastAsia="en-GB"/>
              </w:rPr>
              <w:t>0</w:t>
            </w:r>
          </w:p>
        </w:tc>
        <w:tc>
          <w:tcPr>
            <w:tcW w:w="0" w:type="auto"/>
            <w:noWrap/>
            <w:hideMark/>
          </w:tcPr>
          <w:p w:rsidR="00D33F11" w:rsidRPr="00EB59BA" w:rsidRDefault="00D33F11" w:rsidP="00891A96">
            <w:pPr>
              <w:jc w:val="center"/>
              <w:rPr>
                <w:rFonts w:ascii="Arial" w:eastAsia="Times New Roman" w:hAnsi="Arial" w:cs="Arial"/>
                <w:b/>
                <w:bCs/>
                <w:color w:val="000000"/>
                <w:sz w:val="20"/>
                <w:szCs w:val="20"/>
                <w:lang w:eastAsia="en-GB"/>
              </w:rPr>
            </w:pPr>
            <w:r w:rsidRPr="00EB59BA">
              <w:rPr>
                <w:rFonts w:ascii="Arial" w:eastAsia="Times New Roman" w:hAnsi="Arial" w:cs="Arial"/>
                <w:b/>
                <w:bCs/>
                <w:color w:val="000000"/>
                <w:sz w:val="20"/>
                <w:szCs w:val="20"/>
                <w:lang w:eastAsia="en-GB"/>
              </w:rPr>
              <w:t>267.5</w:t>
            </w:r>
          </w:p>
        </w:tc>
        <w:tc>
          <w:tcPr>
            <w:tcW w:w="0" w:type="auto"/>
            <w:hideMark/>
          </w:tcPr>
          <w:p w:rsidR="00D33F11" w:rsidRPr="00EB59BA" w:rsidRDefault="00D33F11" w:rsidP="00891A96">
            <w:pPr>
              <w:jc w:val="center"/>
              <w:rPr>
                <w:rFonts w:ascii="Calibri" w:eastAsia="Times New Roman" w:hAnsi="Calibri" w:cs="Calibri"/>
                <w:b/>
                <w:bCs/>
                <w:color w:val="000000"/>
                <w:sz w:val="20"/>
                <w:szCs w:val="20"/>
                <w:lang w:eastAsia="en-GB"/>
              </w:rPr>
            </w:pPr>
            <w:r w:rsidRPr="00EB59BA">
              <w:rPr>
                <w:rFonts w:ascii="Calibri" w:eastAsia="Times New Roman" w:hAnsi="Calibri" w:cs="Calibri"/>
                <w:b/>
                <w:bCs/>
                <w:color w:val="000000"/>
                <w:sz w:val="20"/>
                <w:szCs w:val="20"/>
                <w:lang w:eastAsia="en-GB"/>
              </w:rPr>
              <w:t>General Fund Subtotal</w:t>
            </w:r>
          </w:p>
        </w:tc>
        <w:tc>
          <w:tcPr>
            <w:tcW w:w="0" w:type="auto"/>
            <w:noWrap/>
            <w:hideMark/>
          </w:tcPr>
          <w:p w:rsidR="00D33F11" w:rsidRPr="00EB59BA" w:rsidRDefault="00D33F11" w:rsidP="00891A96">
            <w:pPr>
              <w:jc w:val="center"/>
              <w:rPr>
                <w:rFonts w:ascii="Arial" w:eastAsia="Times New Roman" w:hAnsi="Arial" w:cs="Arial"/>
                <w:b/>
                <w:bCs/>
                <w:color w:val="000000"/>
                <w:sz w:val="20"/>
                <w:szCs w:val="20"/>
                <w:lang w:eastAsia="en-GB"/>
              </w:rPr>
            </w:pPr>
            <w:r w:rsidRPr="00EB59BA">
              <w:rPr>
                <w:rFonts w:ascii="Arial" w:eastAsia="Times New Roman" w:hAnsi="Arial" w:cs="Arial"/>
                <w:b/>
                <w:bCs/>
                <w:color w:val="000000"/>
                <w:sz w:val="20"/>
                <w:szCs w:val="20"/>
                <w:lang w:eastAsia="en-GB"/>
              </w:rPr>
              <w:t>267.5</w:t>
            </w:r>
          </w:p>
        </w:tc>
        <w:tc>
          <w:tcPr>
            <w:tcW w:w="0" w:type="auto"/>
            <w:noWrap/>
            <w:hideMark/>
          </w:tcPr>
          <w:p w:rsidR="00D33F11" w:rsidRPr="00EB59BA" w:rsidRDefault="00D33F11" w:rsidP="00891A96">
            <w:pPr>
              <w:jc w:val="center"/>
              <w:rPr>
                <w:rFonts w:ascii="Arial" w:eastAsia="Times New Roman" w:hAnsi="Arial" w:cs="Arial"/>
                <w:b/>
                <w:bCs/>
                <w:color w:val="000000"/>
                <w:sz w:val="20"/>
                <w:szCs w:val="20"/>
                <w:lang w:eastAsia="en-GB"/>
              </w:rPr>
            </w:pPr>
            <w:r w:rsidRPr="00EB59BA">
              <w:rPr>
                <w:rFonts w:ascii="Arial" w:eastAsia="Times New Roman" w:hAnsi="Arial" w:cs="Arial"/>
                <w:b/>
                <w:bCs/>
                <w:color w:val="000000"/>
                <w:sz w:val="20"/>
                <w:szCs w:val="20"/>
                <w:lang w:eastAsia="en-GB"/>
              </w:rPr>
              <w:t>3</w:t>
            </w:r>
            <w:r>
              <w:rPr>
                <w:rFonts w:ascii="Arial" w:eastAsia="Times New Roman" w:hAnsi="Arial" w:cs="Arial"/>
                <w:b/>
                <w:bCs/>
                <w:color w:val="000000"/>
                <w:sz w:val="20"/>
                <w:szCs w:val="20"/>
                <w:lang w:eastAsia="en-GB"/>
              </w:rPr>
              <w:t>6.5</w:t>
            </w:r>
          </w:p>
        </w:tc>
        <w:tc>
          <w:tcPr>
            <w:tcW w:w="0" w:type="auto"/>
            <w:noWrap/>
            <w:hideMark/>
          </w:tcPr>
          <w:p w:rsidR="00D33F11" w:rsidRPr="00EB59BA" w:rsidRDefault="00D33F11" w:rsidP="00891A96">
            <w:pPr>
              <w:jc w:val="center"/>
              <w:rPr>
                <w:rFonts w:ascii="Arial" w:eastAsia="Times New Roman" w:hAnsi="Arial" w:cs="Arial"/>
                <w:b/>
                <w:bCs/>
                <w:color w:val="000000"/>
                <w:sz w:val="20"/>
                <w:szCs w:val="20"/>
                <w:lang w:eastAsia="en-GB"/>
              </w:rPr>
            </w:pPr>
            <w:r w:rsidRPr="00EB59BA">
              <w:rPr>
                <w:rFonts w:ascii="Arial" w:eastAsia="Times New Roman" w:hAnsi="Arial" w:cs="Arial"/>
                <w:b/>
                <w:bCs/>
                <w:color w:val="000000"/>
                <w:sz w:val="20"/>
                <w:szCs w:val="20"/>
                <w:lang w:eastAsia="en-GB"/>
              </w:rPr>
              <w:t>0</w:t>
            </w:r>
          </w:p>
        </w:tc>
        <w:tc>
          <w:tcPr>
            <w:tcW w:w="0" w:type="auto"/>
            <w:noWrap/>
            <w:hideMark/>
          </w:tcPr>
          <w:p w:rsidR="00D33F11" w:rsidRPr="00EB59BA" w:rsidRDefault="00D33F11" w:rsidP="00891A96">
            <w:pPr>
              <w:jc w:val="center"/>
              <w:rPr>
                <w:rFonts w:ascii="Arial" w:eastAsia="Times New Roman" w:hAnsi="Arial" w:cs="Arial"/>
                <w:b/>
                <w:bCs/>
                <w:color w:val="000000"/>
                <w:sz w:val="20"/>
                <w:szCs w:val="20"/>
                <w:lang w:eastAsia="en-GB"/>
              </w:rPr>
            </w:pPr>
            <w:r w:rsidRPr="00EB59BA">
              <w:rPr>
                <w:rFonts w:ascii="Arial" w:eastAsia="Times New Roman" w:hAnsi="Arial" w:cs="Arial"/>
                <w:b/>
                <w:bCs/>
                <w:color w:val="000000"/>
                <w:sz w:val="20"/>
                <w:szCs w:val="20"/>
                <w:lang w:eastAsia="en-GB"/>
              </w:rPr>
              <w:t>30</w:t>
            </w:r>
            <w:r>
              <w:rPr>
                <w:rFonts w:ascii="Arial" w:eastAsia="Times New Roman" w:hAnsi="Arial" w:cs="Arial"/>
                <w:b/>
                <w:bCs/>
                <w:color w:val="000000"/>
                <w:sz w:val="20"/>
                <w:szCs w:val="20"/>
                <w:lang w:eastAsia="en-GB"/>
              </w:rPr>
              <w:t>4.0</w:t>
            </w:r>
          </w:p>
        </w:tc>
      </w:tr>
      <w:tr w:rsidR="00D33F11" w:rsidRPr="00EB59BA" w:rsidTr="00891A96">
        <w:trPr>
          <w:trHeight w:val="330"/>
        </w:trPr>
        <w:tc>
          <w:tcPr>
            <w:tcW w:w="0" w:type="auto"/>
            <w:noWrap/>
            <w:hideMark/>
          </w:tcPr>
          <w:p w:rsidR="00D33F11" w:rsidRPr="00EB59BA" w:rsidRDefault="00D33F11" w:rsidP="00891A96">
            <w:pPr>
              <w:jc w:val="center"/>
              <w:rPr>
                <w:rFonts w:ascii="Arial" w:eastAsia="Times New Roman" w:hAnsi="Arial" w:cs="Arial"/>
                <w:b/>
                <w:bCs/>
                <w:color w:val="000000"/>
                <w:sz w:val="20"/>
                <w:szCs w:val="20"/>
                <w:lang w:eastAsia="en-GB"/>
              </w:rPr>
            </w:pPr>
            <w:r w:rsidRPr="00EB59BA">
              <w:rPr>
                <w:rFonts w:ascii="Arial" w:eastAsia="Times New Roman" w:hAnsi="Arial" w:cs="Arial"/>
                <w:b/>
                <w:bCs/>
                <w:color w:val="000000"/>
                <w:sz w:val="20"/>
                <w:szCs w:val="20"/>
                <w:lang w:eastAsia="en-GB"/>
              </w:rPr>
              <w:t>244.2</w:t>
            </w:r>
          </w:p>
        </w:tc>
        <w:tc>
          <w:tcPr>
            <w:tcW w:w="0" w:type="auto"/>
            <w:noWrap/>
            <w:hideMark/>
          </w:tcPr>
          <w:p w:rsidR="00D33F11" w:rsidRPr="00EB59BA" w:rsidRDefault="00D33F11" w:rsidP="00891A96">
            <w:pPr>
              <w:jc w:val="center"/>
              <w:rPr>
                <w:rFonts w:ascii="Arial" w:eastAsia="Times New Roman" w:hAnsi="Arial" w:cs="Arial"/>
                <w:b/>
                <w:bCs/>
                <w:color w:val="000000"/>
                <w:sz w:val="20"/>
                <w:szCs w:val="20"/>
                <w:lang w:eastAsia="en-GB"/>
              </w:rPr>
            </w:pPr>
            <w:r w:rsidRPr="00EB59BA">
              <w:rPr>
                <w:rFonts w:ascii="Arial" w:eastAsia="Times New Roman" w:hAnsi="Arial" w:cs="Arial"/>
                <w:b/>
                <w:bCs/>
                <w:color w:val="000000"/>
                <w:sz w:val="20"/>
                <w:szCs w:val="20"/>
                <w:lang w:eastAsia="en-GB"/>
              </w:rPr>
              <w:t>23.6</w:t>
            </w:r>
          </w:p>
        </w:tc>
        <w:tc>
          <w:tcPr>
            <w:tcW w:w="0" w:type="auto"/>
            <w:noWrap/>
            <w:hideMark/>
          </w:tcPr>
          <w:p w:rsidR="00D33F11" w:rsidRPr="00EB59BA" w:rsidRDefault="00D33F11" w:rsidP="00891A96">
            <w:pPr>
              <w:jc w:val="center"/>
              <w:rPr>
                <w:rFonts w:ascii="Arial" w:eastAsia="Times New Roman" w:hAnsi="Arial" w:cs="Arial"/>
                <w:b/>
                <w:bCs/>
                <w:color w:val="000000"/>
                <w:sz w:val="20"/>
                <w:szCs w:val="20"/>
                <w:lang w:eastAsia="en-GB"/>
              </w:rPr>
            </w:pPr>
            <w:r w:rsidRPr="00EB59BA">
              <w:rPr>
                <w:rFonts w:ascii="Arial" w:eastAsia="Times New Roman" w:hAnsi="Arial" w:cs="Arial"/>
                <w:b/>
                <w:bCs/>
                <w:color w:val="000000"/>
                <w:sz w:val="20"/>
                <w:szCs w:val="20"/>
                <w:lang w:eastAsia="en-GB"/>
              </w:rPr>
              <w:t>2.8</w:t>
            </w:r>
          </w:p>
        </w:tc>
        <w:tc>
          <w:tcPr>
            <w:tcW w:w="0" w:type="auto"/>
            <w:noWrap/>
            <w:hideMark/>
          </w:tcPr>
          <w:p w:rsidR="00D33F11" w:rsidRPr="00EB59BA" w:rsidRDefault="00D33F11" w:rsidP="00891A96">
            <w:pPr>
              <w:jc w:val="center"/>
              <w:rPr>
                <w:rFonts w:ascii="Arial" w:eastAsia="Times New Roman" w:hAnsi="Arial" w:cs="Arial"/>
                <w:b/>
                <w:bCs/>
                <w:color w:val="000000"/>
                <w:sz w:val="20"/>
                <w:szCs w:val="20"/>
                <w:lang w:eastAsia="en-GB"/>
              </w:rPr>
            </w:pPr>
            <w:r w:rsidRPr="00EB59BA">
              <w:rPr>
                <w:rFonts w:ascii="Arial" w:eastAsia="Times New Roman" w:hAnsi="Arial" w:cs="Arial"/>
                <w:b/>
                <w:bCs/>
                <w:color w:val="000000"/>
                <w:sz w:val="20"/>
                <w:szCs w:val="20"/>
                <w:lang w:eastAsia="en-GB"/>
              </w:rPr>
              <w:t>270.6</w:t>
            </w:r>
          </w:p>
        </w:tc>
        <w:tc>
          <w:tcPr>
            <w:tcW w:w="0" w:type="auto"/>
            <w:noWrap/>
            <w:hideMark/>
          </w:tcPr>
          <w:p w:rsidR="00D33F11" w:rsidRPr="00EB59BA" w:rsidRDefault="00D33F11" w:rsidP="00891A96">
            <w:pPr>
              <w:jc w:val="center"/>
              <w:rPr>
                <w:rFonts w:ascii="Arial" w:eastAsia="Times New Roman" w:hAnsi="Arial" w:cs="Arial"/>
                <w:b/>
                <w:bCs/>
                <w:color w:val="000000"/>
                <w:sz w:val="20"/>
                <w:szCs w:val="20"/>
                <w:lang w:eastAsia="en-GB"/>
              </w:rPr>
            </w:pPr>
            <w:r w:rsidRPr="00EB59BA">
              <w:rPr>
                <w:rFonts w:ascii="Arial" w:eastAsia="Times New Roman" w:hAnsi="Arial" w:cs="Arial"/>
                <w:b/>
                <w:bCs/>
                <w:color w:val="000000"/>
                <w:sz w:val="20"/>
                <w:szCs w:val="20"/>
                <w:lang w:eastAsia="en-GB"/>
              </w:rPr>
              <w:t>TOTAL HRA and General Fund</w:t>
            </w:r>
          </w:p>
        </w:tc>
        <w:tc>
          <w:tcPr>
            <w:tcW w:w="0" w:type="auto"/>
            <w:noWrap/>
            <w:hideMark/>
          </w:tcPr>
          <w:p w:rsidR="00D33F11" w:rsidRPr="00EB59BA" w:rsidRDefault="00D33F11" w:rsidP="00891A96">
            <w:pPr>
              <w:jc w:val="center"/>
              <w:rPr>
                <w:rFonts w:ascii="Arial" w:eastAsia="Times New Roman" w:hAnsi="Arial" w:cs="Arial"/>
                <w:b/>
                <w:bCs/>
                <w:color w:val="000000"/>
                <w:sz w:val="20"/>
                <w:szCs w:val="20"/>
                <w:lang w:eastAsia="en-GB"/>
              </w:rPr>
            </w:pPr>
            <w:r w:rsidRPr="00EB59BA">
              <w:rPr>
                <w:rFonts w:ascii="Arial" w:eastAsia="Times New Roman" w:hAnsi="Arial" w:cs="Arial"/>
                <w:b/>
                <w:bCs/>
                <w:color w:val="000000"/>
                <w:sz w:val="20"/>
                <w:szCs w:val="20"/>
                <w:lang w:eastAsia="en-GB"/>
              </w:rPr>
              <w:t>270.6</w:t>
            </w:r>
          </w:p>
        </w:tc>
        <w:tc>
          <w:tcPr>
            <w:tcW w:w="0" w:type="auto"/>
            <w:noWrap/>
            <w:hideMark/>
          </w:tcPr>
          <w:p w:rsidR="00D33F11" w:rsidRPr="00EB59BA" w:rsidRDefault="00D33F11" w:rsidP="00891A96">
            <w:pPr>
              <w:jc w:val="center"/>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39.2</w:t>
            </w:r>
          </w:p>
        </w:tc>
        <w:tc>
          <w:tcPr>
            <w:tcW w:w="0" w:type="auto"/>
            <w:noWrap/>
            <w:hideMark/>
          </w:tcPr>
          <w:p w:rsidR="00D33F11" w:rsidRPr="00EB59BA" w:rsidRDefault="00D33F11" w:rsidP="00891A96">
            <w:pPr>
              <w:jc w:val="center"/>
              <w:rPr>
                <w:rFonts w:ascii="Arial" w:eastAsia="Times New Roman" w:hAnsi="Arial" w:cs="Arial"/>
                <w:b/>
                <w:bCs/>
                <w:color w:val="000000"/>
                <w:sz w:val="20"/>
                <w:szCs w:val="20"/>
                <w:lang w:eastAsia="en-GB"/>
              </w:rPr>
            </w:pPr>
            <w:r w:rsidRPr="00EB59BA">
              <w:rPr>
                <w:rFonts w:ascii="Arial" w:eastAsia="Times New Roman" w:hAnsi="Arial" w:cs="Arial"/>
                <w:b/>
                <w:bCs/>
                <w:color w:val="000000"/>
                <w:sz w:val="20"/>
                <w:szCs w:val="20"/>
                <w:lang w:eastAsia="en-GB"/>
              </w:rPr>
              <w:t>0</w:t>
            </w:r>
          </w:p>
        </w:tc>
        <w:tc>
          <w:tcPr>
            <w:tcW w:w="0" w:type="auto"/>
            <w:noWrap/>
            <w:hideMark/>
          </w:tcPr>
          <w:p w:rsidR="00D33F11" w:rsidRPr="00EB59BA" w:rsidRDefault="00D33F11" w:rsidP="00891A96">
            <w:pPr>
              <w:jc w:val="center"/>
              <w:rPr>
                <w:rFonts w:ascii="Arial" w:eastAsia="Times New Roman" w:hAnsi="Arial" w:cs="Arial"/>
                <w:b/>
                <w:bCs/>
                <w:color w:val="000000"/>
                <w:sz w:val="20"/>
                <w:szCs w:val="20"/>
                <w:lang w:eastAsia="en-GB"/>
              </w:rPr>
            </w:pPr>
            <w:r w:rsidRPr="00EB59BA">
              <w:rPr>
                <w:rFonts w:ascii="Arial" w:eastAsia="Times New Roman" w:hAnsi="Arial" w:cs="Arial"/>
                <w:b/>
                <w:bCs/>
                <w:color w:val="000000"/>
                <w:sz w:val="20"/>
                <w:szCs w:val="20"/>
                <w:lang w:eastAsia="en-GB"/>
              </w:rPr>
              <w:t>3</w:t>
            </w:r>
            <w:r>
              <w:rPr>
                <w:rFonts w:ascii="Arial" w:eastAsia="Times New Roman" w:hAnsi="Arial" w:cs="Arial"/>
                <w:b/>
                <w:bCs/>
                <w:color w:val="000000"/>
                <w:sz w:val="20"/>
                <w:szCs w:val="20"/>
                <w:lang w:eastAsia="en-GB"/>
              </w:rPr>
              <w:t>09.8</w:t>
            </w:r>
          </w:p>
        </w:tc>
      </w:tr>
    </w:tbl>
    <w:p w:rsidR="00D33F11" w:rsidRDefault="00D33F11" w:rsidP="00D33F11"/>
    <w:p w:rsidR="00D33F11" w:rsidRDefault="00D33F11" w:rsidP="00D33F11"/>
    <w:p w:rsidR="00DC2F2A" w:rsidRPr="00D33F11" w:rsidRDefault="00DC2F2A" w:rsidP="00D33F11">
      <w:pPr>
        <w:sectPr w:rsidR="00DC2F2A" w:rsidRPr="00D33F11" w:rsidSect="00DC2F2A">
          <w:pgSz w:w="16838" w:h="11906" w:orient="landscape"/>
          <w:pgMar w:top="709" w:right="1440" w:bottom="1440" w:left="1440" w:header="708" w:footer="708" w:gutter="0"/>
          <w:cols w:space="708"/>
          <w:docGrid w:linePitch="360"/>
        </w:sectPr>
      </w:pPr>
    </w:p>
    <w:p w:rsidR="00F72906" w:rsidRDefault="00F72906" w:rsidP="00DC2F2A">
      <w:pPr>
        <w:pStyle w:val="Heading2"/>
      </w:pPr>
      <w:bookmarkStart w:id="14" w:name="_Toc61870284"/>
      <w:r>
        <w:lastRenderedPageBreak/>
        <w:t>Additional Disclosures</w:t>
      </w:r>
      <w:bookmarkEnd w:id="14"/>
    </w:p>
    <w:p w:rsidR="00F72906" w:rsidRDefault="007058D0" w:rsidP="00DC2F2A">
      <w:pPr>
        <w:pStyle w:val="Heading3"/>
      </w:pPr>
      <w:r>
        <w:t>Note 15</w:t>
      </w:r>
      <w:r w:rsidR="00F72906">
        <w:t xml:space="preserve"> – Pooled Budgets</w:t>
      </w:r>
    </w:p>
    <w:p w:rsidR="00F72906" w:rsidRDefault="00F72906" w:rsidP="00F72906">
      <w:r>
        <w:t>The Council has entered into two partnership agreements under Section 31 of the Health Act 1999, one with NHS Brent CCG for provision of occupational therapy equipment and the other with the Central and North West London NHS Foundation Trust (CNWLNFT) for provision of mental health services. Additionally there is a pooled fund agreement under section 75 of the National Health Service Act 2006 between the Council and the CCG to administer the Government’s Better Care Fund to support the integra</w:t>
      </w:r>
      <w:r w:rsidR="00DC2F2A">
        <w:t>tion of health and social care.</w:t>
      </w:r>
    </w:p>
    <w:p w:rsidR="00F72906" w:rsidRDefault="00F72906" w:rsidP="00F72906">
      <w:r>
        <w:t>Partnership income and expenditure for 2019/20 is shown in the table below:</w:t>
      </w:r>
    </w:p>
    <w:tbl>
      <w:tblPr>
        <w:tblW w:w="9719" w:type="dxa"/>
        <w:tblLook w:val="00A0" w:firstRow="1" w:lastRow="0" w:firstColumn="1" w:lastColumn="0" w:noHBand="0" w:noVBand="0"/>
      </w:tblPr>
      <w:tblGrid>
        <w:gridCol w:w="3060"/>
        <w:gridCol w:w="1476"/>
        <w:gridCol w:w="300"/>
        <w:gridCol w:w="1423"/>
        <w:gridCol w:w="300"/>
        <w:gridCol w:w="1360"/>
        <w:gridCol w:w="280"/>
        <w:gridCol w:w="1520"/>
      </w:tblGrid>
      <w:tr w:rsidR="00DC2F2A" w:rsidRPr="00EB2995" w:rsidTr="00DC2F2A">
        <w:trPr>
          <w:trHeight w:val="600"/>
        </w:trPr>
        <w:tc>
          <w:tcPr>
            <w:tcW w:w="3060" w:type="dxa"/>
            <w:tcBorders>
              <w:top w:val="nil"/>
              <w:left w:val="nil"/>
              <w:bottom w:val="nil"/>
              <w:right w:val="nil"/>
            </w:tcBorders>
            <w:noWrap/>
            <w:vAlign w:val="bottom"/>
          </w:tcPr>
          <w:p w:rsidR="00DC2F2A" w:rsidRPr="00EB2995" w:rsidRDefault="00DC2F2A" w:rsidP="00DC2F2A">
            <w:pPr>
              <w:rPr>
                <w:rFonts w:cs="Calibri"/>
                <w:lang w:eastAsia="en-GB"/>
              </w:rPr>
            </w:pPr>
          </w:p>
        </w:tc>
        <w:tc>
          <w:tcPr>
            <w:tcW w:w="1476" w:type="dxa"/>
            <w:tcBorders>
              <w:top w:val="nil"/>
              <w:left w:val="nil"/>
              <w:bottom w:val="nil"/>
              <w:right w:val="nil"/>
            </w:tcBorders>
            <w:noWrap/>
            <w:vAlign w:val="center"/>
          </w:tcPr>
          <w:p w:rsidR="00DC2F2A" w:rsidRPr="00EB2995" w:rsidRDefault="00DC2F2A" w:rsidP="00DC2F2A">
            <w:pPr>
              <w:jc w:val="right"/>
              <w:rPr>
                <w:rFonts w:cs="Calibri"/>
                <w:b/>
                <w:bCs/>
                <w:color w:val="000000"/>
                <w:lang w:eastAsia="en-GB"/>
              </w:rPr>
            </w:pPr>
            <w:r w:rsidRPr="00EB2995">
              <w:rPr>
                <w:rFonts w:cs="Calibri"/>
                <w:b/>
                <w:bCs/>
                <w:color w:val="000000"/>
                <w:lang w:eastAsia="en-GB"/>
              </w:rPr>
              <w:t>Mental Health</w:t>
            </w:r>
          </w:p>
        </w:tc>
        <w:tc>
          <w:tcPr>
            <w:tcW w:w="300" w:type="dxa"/>
            <w:tcBorders>
              <w:top w:val="nil"/>
              <w:left w:val="nil"/>
              <w:bottom w:val="nil"/>
              <w:right w:val="nil"/>
            </w:tcBorders>
            <w:noWrap/>
            <w:vAlign w:val="bottom"/>
          </w:tcPr>
          <w:p w:rsidR="00DC2F2A" w:rsidRPr="00EB2995" w:rsidRDefault="00DC2F2A" w:rsidP="00DC2F2A">
            <w:pPr>
              <w:jc w:val="right"/>
              <w:rPr>
                <w:rFonts w:cs="Calibri"/>
                <w:b/>
                <w:bCs/>
                <w:color w:val="000000"/>
                <w:lang w:eastAsia="en-GB"/>
              </w:rPr>
            </w:pPr>
          </w:p>
        </w:tc>
        <w:tc>
          <w:tcPr>
            <w:tcW w:w="1423" w:type="dxa"/>
            <w:tcBorders>
              <w:top w:val="nil"/>
              <w:left w:val="nil"/>
              <w:bottom w:val="nil"/>
              <w:right w:val="nil"/>
            </w:tcBorders>
            <w:noWrap/>
            <w:vAlign w:val="center"/>
          </w:tcPr>
          <w:p w:rsidR="00DC2F2A" w:rsidRPr="00EB2995" w:rsidRDefault="00DC2F2A" w:rsidP="00DC2F2A">
            <w:pPr>
              <w:jc w:val="right"/>
              <w:rPr>
                <w:rFonts w:cs="Calibri"/>
                <w:b/>
                <w:bCs/>
                <w:color w:val="000000"/>
                <w:lang w:eastAsia="en-GB"/>
              </w:rPr>
            </w:pPr>
            <w:r w:rsidRPr="00EB2995">
              <w:rPr>
                <w:rFonts w:cs="Calibri"/>
                <w:b/>
                <w:bCs/>
                <w:color w:val="000000"/>
                <w:lang w:eastAsia="en-GB"/>
              </w:rPr>
              <w:t>Occupational Therapy</w:t>
            </w:r>
          </w:p>
        </w:tc>
        <w:tc>
          <w:tcPr>
            <w:tcW w:w="300" w:type="dxa"/>
            <w:tcBorders>
              <w:top w:val="nil"/>
              <w:left w:val="nil"/>
              <w:bottom w:val="nil"/>
              <w:right w:val="nil"/>
            </w:tcBorders>
            <w:noWrap/>
            <w:vAlign w:val="bottom"/>
          </w:tcPr>
          <w:p w:rsidR="00DC2F2A" w:rsidRPr="00EB2995" w:rsidRDefault="00DC2F2A" w:rsidP="00DC2F2A">
            <w:pPr>
              <w:jc w:val="right"/>
              <w:rPr>
                <w:rFonts w:cs="Calibri"/>
                <w:b/>
                <w:bCs/>
                <w:color w:val="000000"/>
                <w:lang w:eastAsia="en-GB"/>
              </w:rPr>
            </w:pPr>
          </w:p>
        </w:tc>
        <w:tc>
          <w:tcPr>
            <w:tcW w:w="1360" w:type="dxa"/>
            <w:tcBorders>
              <w:top w:val="nil"/>
              <w:left w:val="nil"/>
              <w:bottom w:val="nil"/>
              <w:right w:val="nil"/>
            </w:tcBorders>
            <w:noWrap/>
            <w:vAlign w:val="center"/>
          </w:tcPr>
          <w:p w:rsidR="00DC2F2A" w:rsidRPr="00EB2995" w:rsidRDefault="00DC2F2A" w:rsidP="00DC2F2A">
            <w:pPr>
              <w:jc w:val="right"/>
              <w:rPr>
                <w:rFonts w:cs="Calibri"/>
                <w:b/>
                <w:bCs/>
                <w:color w:val="000000"/>
                <w:lang w:eastAsia="en-GB"/>
              </w:rPr>
            </w:pPr>
            <w:r w:rsidRPr="00EB2995">
              <w:rPr>
                <w:rFonts w:cs="Calibri"/>
                <w:b/>
                <w:bCs/>
                <w:color w:val="000000"/>
                <w:lang w:eastAsia="en-GB"/>
              </w:rPr>
              <w:t>The Better Care Fund</w:t>
            </w:r>
          </w:p>
        </w:tc>
        <w:tc>
          <w:tcPr>
            <w:tcW w:w="280" w:type="dxa"/>
            <w:tcBorders>
              <w:top w:val="nil"/>
              <w:left w:val="nil"/>
              <w:bottom w:val="nil"/>
              <w:right w:val="nil"/>
            </w:tcBorders>
            <w:noWrap/>
            <w:vAlign w:val="bottom"/>
          </w:tcPr>
          <w:p w:rsidR="00DC2F2A" w:rsidRPr="00EB2995" w:rsidRDefault="00DC2F2A" w:rsidP="00DC2F2A">
            <w:pPr>
              <w:jc w:val="right"/>
              <w:rPr>
                <w:rFonts w:cs="Calibri"/>
                <w:b/>
                <w:bCs/>
                <w:color w:val="000000"/>
                <w:lang w:eastAsia="en-GB"/>
              </w:rPr>
            </w:pPr>
          </w:p>
        </w:tc>
        <w:tc>
          <w:tcPr>
            <w:tcW w:w="1520" w:type="dxa"/>
            <w:tcBorders>
              <w:top w:val="nil"/>
              <w:left w:val="nil"/>
              <w:bottom w:val="nil"/>
              <w:right w:val="nil"/>
            </w:tcBorders>
            <w:vAlign w:val="bottom"/>
          </w:tcPr>
          <w:p w:rsidR="00DC2F2A" w:rsidRPr="00EB2995" w:rsidRDefault="00DC2F2A" w:rsidP="00DC2F2A">
            <w:pPr>
              <w:jc w:val="right"/>
              <w:rPr>
                <w:rFonts w:cs="Calibri"/>
                <w:b/>
                <w:bCs/>
                <w:color w:val="000000"/>
                <w:lang w:eastAsia="en-GB"/>
              </w:rPr>
            </w:pPr>
            <w:r w:rsidRPr="00EB2995">
              <w:rPr>
                <w:rFonts w:cs="Calibri"/>
                <w:b/>
                <w:bCs/>
                <w:color w:val="000000"/>
                <w:lang w:eastAsia="en-GB"/>
              </w:rPr>
              <w:t>Integrated Rehabilitation &amp; Reablement Service</w:t>
            </w:r>
          </w:p>
        </w:tc>
      </w:tr>
      <w:tr w:rsidR="00DC2F2A" w:rsidRPr="00EB2995" w:rsidTr="00DC2F2A">
        <w:trPr>
          <w:trHeight w:val="315"/>
        </w:trPr>
        <w:tc>
          <w:tcPr>
            <w:tcW w:w="3060" w:type="dxa"/>
            <w:tcBorders>
              <w:top w:val="nil"/>
              <w:left w:val="nil"/>
              <w:bottom w:val="nil"/>
              <w:right w:val="nil"/>
            </w:tcBorders>
            <w:noWrap/>
            <w:vAlign w:val="bottom"/>
          </w:tcPr>
          <w:p w:rsidR="00DC2F2A" w:rsidRPr="00EB2995" w:rsidRDefault="00DC2F2A" w:rsidP="00DC2F2A">
            <w:pPr>
              <w:jc w:val="center"/>
              <w:rPr>
                <w:rFonts w:cs="Calibri"/>
                <w:b/>
                <w:bCs/>
                <w:color w:val="000000"/>
                <w:lang w:eastAsia="en-GB"/>
              </w:rPr>
            </w:pPr>
          </w:p>
        </w:tc>
        <w:tc>
          <w:tcPr>
            <w:tcW w:w="1476" w:type="dxa"/>
            <w:tcBorders>
              <w:top w:val="nil"/>
              <w:left w:val="nil"/>
              <w:bottom w:val="nil"/>
              <w:right w:val="nil"/>
            </w:tcBorders>
            <w:noWrap/>
            <w:vAlign w:val="center"/>
          </w:tcPr>
          <w:p w:rsidR="00DC2F2A" w:rsidRPr="00EB2995" w:rsidRDefault="00DC2F2A" w:rsidP="00DC2F2A">
            <w:pPr>
              <w:jc w:val="right"/>
              <w:rPr>
                <w:rFonts w:cs="Calibri"/>
                <w:b/>
                <w:bCs/>
                <w:color w:val="000000"/>
                <w:lang w:eastAsia="en-GB"/>
              </w:rPr>
            </w:pPr>
            <w:r w:rsidRPr="00EB2995">
              <w:rPr>
                <w:rFonts w:cs="Calibri"/>
                <w:b/>
                <w:bCs/>
                <w:color w:val="000000"/>
                <w:lang w:eastAsia="en-GB"/>
              </w:rPr>
              <w:t>£m</w:t>
            </w:r>
          </w:p>
        </w:tc>
        <w:tc>
          <w:tcPr>
            <w:tcW w:w="300" w:type="dxa"/>
            <w:tcBorders>
              <w:top w:val="nil"/>
              <w:left w:val="nil"/>
              <w:bottom w:val="nil"/>
              <w:right w:val="nil"/>
            </w:tcBorders>
            <w:noWrap/>
            <w:vAlign w:val="bottom"/>
          </w:tcPr>
          <w:p w:rsidR="00DC2F2A" w:rsidRPr="00EB2995" w:rsidRDefault="00DC2F2A" w:rsidP="00DC2F2A">
            <w:pPr>
              <w:jc w:val="right"/>
              <w:rPr>
                <w:rFonts w:cs="Calibri"/>
                <w:b/>
                <w:bCs/>
                <w:color w:val="000000"/>
                <w:lang w:eastAsia="en-GB"/>
              </w:rPr>
            </w:pPr>
          </w:p>
        </w:tc>
        <w:tc>
          <w:tcPr>
            <w:tcW w:w="1423" w:type="dxa"/>
            <w:tcBorders>
              <w:top w:val="nil"/>
              <w:left w:val="nil"/>
              <w:bottom w:val="nil"/>
              <w:right w:val="nil"/>
            </w:tcBorders>
            <w:noWrap/>
            <w:vAlign w:val="center"/>
          </w:tcPr>
          <w:p w:rsidR="00DC2F2A" w:rsidRPr="00EB2995" w:rsidRDefault="00DC2F2A" w:rsidP="00DC2F2A">
            <w:pPr>
              <w:jc w:val="right"/>
              <w:rPr>
                <w:rFonts w:cs="Calibri"/>
                <w:b/>
                <w:bCs/>
                <w:color w:val="000000"/>
                <w:lang w:eastAsia="en-GB"/>
              </w:rPr>
            </w:pPr>
            <w:r w:rsidRPr="00EB2995">
              <w:rPr>
                <w:rFonts w:cs="Calibri"/>
                <w:b/>
                <w:bCs/>
                <w:color w:val="000000"/>
                <w:lang w:eastAsia="en-GB"/>
              </w:rPr>
              <w:t>£m</w:t>
            </w:r>
          </w:p>
        </w:tc>
        <w:tc>
          <w:tcPr>
            <w:tcW w:w="300" w:type="dxa"/>
            <w:tcBorders>
              <w:top w:val="nil"/>
              <w:left w:val="nil"/>
              <w:bottom w:val="nil"/>
              <w:right w:val="nil"/>
            </w:tcBorders>
            <w:noWrap/>
            <w:vAlign w:val="bottom"/>
          </w:tcPr>
          <w:p w:rsidR="00DC2F2A" w:rsidRPr="00EB2995" w:rsidRDefault="00DC2F2A" w:rsidP="00DC2F2A">
            <w:pPr>
              <w:jc w:val="right"/>
              <w:rPr>
                <w:rFonts w:cs="Calibri"/>
                <w:b/>
                <w:bCs/>
                <w:color w:val="000000"/>
                <w:lang w:eastAsia="en-GB"/>
              </w:rPr>
            </w:pPr>
          </w:p>
        </w:tc>
        <w:tc>
          <w:tcPr>
            <w:tcW w:w="1360" w:type="dxa"/>
            <w:tcBorders>
              <w:top w:val="nil"/>
              <w:left w:val="nil"/>
              <w:bottom w:val="nil"/>
              <w:right w:val="nil"/>
            </w:tcBorders>
            <w:noWrap/>
            <w:vAlign w:val="center"/>
          </w:tcPr>
          <w:p w:rsidR="00DC2F2A" w:rsidRPr="00EB2995" w:rsidRDefault="00DC2F2A" w:rsidP="00DC2F2A">
            <w:pPr>
              <w:jc w:val="right"/>
              <w:rPr>
                <w:rFonts w:cs="Calibri"/>
                <w:b/>
                <w:bCs/>
                <w:color w:val="000000"/>
                <w:lang w:eastAsia="en-GB"/>
              </w:rPr>
            </w:pPr>
            <w:r w:rsidRPr="00EB2995">
              <w:rPr>
                <w:rFonts w:cs="Calibri"/>
                <w:b/>
                <w:bCs/>
                <w:color w:val="000000"/>
                <w:lang w:eastAsia="en-GB"/>
              </w:rPr>
              <w:t>£m</w:t>
            </w:r>
          </w:p>
        </w:tc>
        <w:tc>
          <w:tcPr>
            <w:tcW w:w="280" w:type="dxa"/>
            <w:tcBorders>
              <w:top w:val="nil"/>
              <w:left w:val="nil"/>
              <w:bottom w:val="nil"/>
              <w:right w:val="nil"/>
            </w:tcBorders>
            <w:noWrap/>
            <w:vAlign w:val="bottom"/>
          </w:tcPr>
          <w:p w:rsidR="00DC2F2A" w:rsidRPr="00EB2995" w:rsidRDefault="00DC2F2A" w:rsidP="00DC2F2A">
            <w:pPr>
              <w:jc w:val="right"/>
              <w:rPr>
                <w:rFonts w:cs="Calibri"/>
                <w:b/>
                <w:bCs/>
                <w:color w:val="000000"/>
                <w:lang w:eastAsia="en-GB"/>
              </w:rPr>
            </w:pPr>
          </w:p>
        </w:tc>
        <w:tc>
          <w:tcPr>
            <w:tcW w:w="1520" w:type="dxa"/>
            <w:tcBorders>
              <w:top w:val="nil"/>
              <w:left w:val="nil"/>
              <w:bottom w:val="nil"/>
              <w:right w:val="nil"/>
            </w:tcBorders>
            <w:noWrap/>
            <w:vAlign w:val="center"/>
          </w:tcPr>
          <w:p w:rsidR="00DC2F2A" w:rsidRPr="00EB2995" w:rsidRDefault="00DC2F2A" w:rsidP="00DC2F2A">
            <w:pPr>
              <w:jc w:val="right"/>
              <w:rPr>
                <w:rFonts w:cs="Calibri"/>
                <w:b/>
                <w:bCs/>
                <w:color w:val="000000"/>
                <w:lang w:eastAsia="en-GB"/>
              </w:rPr>
            </w:pPr>
            <w:r w:rsidRPr="00EB2995">
              <w:rPr>
                <w:rFonts w:cs="Calibri"/>
                <w:b/>
                <w:bCs/>
                <w:color w:val="000000"/>
                <w:lang w:eastAsia="en-GB"/>
              </w:rPr>
              <w:t>£m</w:t>
            </w:r>
          </w:p>
        </w:tc>
      </w:tr>
      <w:tr w:rsidR="00DC2F2A" w:rsidRPr="00EB2995" w:rsidTr="00DC2F2A">
        <w:trPr>
          <w:trHeight w:val="513"/>
        </w:trPr>
        <w:tc>
          <w:tcPr>
            <w:tcW w:w="3060" w:type="dxa"/>
            <w:tcBorders>
              <w:top w:val="nil"/>
              <w:left w:val="nil"/>
              <w:bottom w:val="nil"/>
              <w:right w:val="nil"/>
            </w:tcBorders>
            <w:vAlign w:val="bottom"/>
          </w:tcPr>
          <w:p w:rsidR="00DC2F2A" w:rsidRPr="00EB2995" w:rsidRDefault="00DC2F2A" w:rsidP="00DC2F2A">
            <w:pPr>
              <w:rPr>
                <w:rFonts w:cs="Calibri"/>
                <w:color w:val="000000"/>
                <w:lang w:eastAsia="en-GB"/>
              </w:rPr>
            </w:pPr>
            <w:r w:rsidRPr="00EB2995">
              <w:rPr>
                <w:rFonts w:cs="Calibri"/>
                <w:color w:val="000000"/>
                <w:lang w:eastAsia="en-GB"/>
              </w:rPr>
              <w:t>Funding:  LB of Brent</w:t>
            </w:r>
          </w:p>
        </w:tc>
        <w:tc>
          <w:tcPr>
            <w:tcW w:w="1476" w:type="dxa"/>
            <w:tcBorders>
              <w:top w:val="single" w:sz="8" w:space="0" w:color="auto"/>
              <w:left w:val="single" w:sz="8" w:space="0" w:color="auto"/>
              <w:bottom w:val="nil"/>
              <w:right w:val="single" w:sz="8" w:space="0" w:color="auto"/>
            </w:tcBorders>
            <w:noWrap/>
            <w:vAlign w:val="center"/>
          </w:tcPr>
          <w:p w:rsidR="00DC2F2A" w:rsidRPr="00EB2995" w:rsidRDefault="00DC2F2A" w:rsidP="00DC2F2A">
            <w:pPr>
              <w:jc w:val="right"/>
              <w:rPr>
                <w:rFonts w:cs="Calibri"/>
                <w:color w:val="000000"/>
                <w:lang w:eastAsia="en-GB"/>
              </w:rPr>
            </w:pPr>
            <w:r w:rsidRPr="00EB2995">
              <w:rPr>
                <w:rFonts w:cs="Calibri"/>
                <w:color w:val="000000"/>
              </w:rPr>
              <w:t>(0.2)</w:t>
            </w:r>
          </w:p>
        </w:tc>
        <w:tc>
          <w:tcPr>
            <w:tcW w:w="300" w:type="dxa"/>
            <w:tcBorders>
              <w:top w:val="nil"/>
              <w:left w:val="nil"/>
              <w:bottom w:val="nil"/>
              <w:right w:val="nil"/>
            </w:tcBorders>
            <w:noWrap/>
            <w:vAlign w:val="bottom"/>
          </w:tcPr>
          <w:p w:rsidR="00DC2F2A" w:rsidRPr="00EB2995" w:rsidRDefault="00DC2F2A" w:rsidP="00DC2F2A">
            <w:pPr>
              <w:jc w:val="right"/>
              <w:rPr>
                <w:rFonts w:cs="Calibri"/>
                <w:color w:val="000000"/>
                <w:lang w:eastAsia="en-GB"/>
              </w:rPr>
            </w:pPr>
          </w:p>
        </w:tc>
        <w:tc>
          <w:tcPr>
            <w:tcW w:w="1423" w:type="dxa"/>
            <w:tcBorders>
              <w:top w:val="single" w:sz="8" w:space="0" w:color="auto"/>
              <w:left w:val="single" w:sz="8" w:space="0" w:color="auto"/>
              <w:bottom w:val="nil"/>
              <w:right w:val="single" w:sz="8" w:space="0" w:color="auto"/>
            </w:tcBorders>
            <w:noWrap/>
            <w:vAlign w:val="center"/>
          </w:tcPr>
          <w:p w:rsidR="00DC2F2A" w:rsidRPr="00EB2995" w:rsidRDefault="00DC2F2A" w:rsidP="00DC2F2A">
            <w:pPr>
              <w:jc w:val="right"/>
              <w:rPr>
                <w:rFonts w:cs="Calibri"/>
                <w:color w:val="000000"/>
                <w:lang w:eastAsia="en-GB"/>
              </w:rPr>
            </w:pPr>
            <w:r w:rsidRPr="00EB2995">
              <w:rPr>
                <w:rFonts w:cs="Calibri"/>
                <w:color w:val="000000"/>
              </w:rPr>
              <w:t>(0.5)</w:t>
            </w:r>
          </w:p>
        </w:tc>
        <w:tc>
          <w:tcPr>
            <w:tcW w:w="300" w:type="dxa"/>
            <w:tcBorders>
              <w:top w:val="nil"/>
              <w:left w:val="nil"/>
              <w:bottom w:val="nil"/>
              <w:right w:val="nil"/>
            </w:tcBorders>
            <w:noWrap/>
            <w:vAlign w:val="bottom"/>
          </w:tcPr>
          <w:p w:rsidR="00DC2F2A" w:rsidRPr="00EB2995" w:rsidRDefault="00DC2F2A" w:rsidP="00DC2F2A">
            <w:pPr>
              <w:jc w:val="right"/>
              <w:rPr>
                <w:rFonts w:cs="Calibri"/>
                <w:color w:val="000000"/>
                <w:lang w:eastAsia="en-GB"/>
              </w:rPr>
            </w:pPr>
          </w:p>
        </w:tc>
        <w:tc>
          <w:tcPr>
            <w:tcW w:w="1360" w:type="dxa"/>
            <w:tcBorders>
              <w:top w:val="single" w:sz="8" w:space="0" w:color="auto"/>
              <w:left w:val="single" w:sz="8" w:space="0" w:color="auto"/>
              <w:bottom w:val="nil"/>
              <w:right w:val="single" w:sz="8" w:space="0" w:color="auto"/>
            </w:tcBorders>
            <w:noWrap/>
            <w:vAlign w:val="center"/>
          </w:tcPr>
          <w:p w:rsidR="00DC2F2A" w:rsidRPr="00EB2995" w:rsidRDefault="00DC2F2A" w:rsidP="00DC2F2A">
            <w:pPr>
              <w:jc w:val="right"/>
              <w:rPr>
                <w:rFonts w:cs="Calibri"/>
                <w:color w:val="000000"/>
                <w:lang w:eastAsia="en-GB"/>
              </w:rPr>
            </w:pPr>
            <w:r w:rsidRPr="00EB2995">
              <w:rPr>
                <w:rFonts w:cs="Calibri"/>
                <w:color w:val="000000"/>
              </w:rPr>
              <w:t>(17.6)</w:t>
            </w:r>
          </w:p>
        </w:tc>
        <w:tc>
          <w:tcPr>
            <w:tcW w:w="280" w:type="dxa"/>
            <w:tcBorders>
              <w:top w:val="nil"/>
              <w:left w:val="nil"/>
              <w:bottom w:val="nil"/>
              <w:right w:val="nil"/>
            </w:tcBorders>
            <w:noWrap/>
            <w:vAlign w:val="bottom"/>
          </w:tcPr>
          <w:p w:rsidR="00DC2F2A" w:rsidRPr="00EB2995" w:rsidRDefault="00DC2F2A" w:rsidP="00DC2F2A">
            <w:pPr>
              <w:jc w:val="right"/>
              <w:rPr>
                <w:rFonts w:cs="Calibri"/>
                <w:color w:val="000000"/>
                <w:lang w:eastAsia="en-GB"/>
              </w:rPr>
            </w:pPr>
          </w:p>
        </w:tc>
        <w:tc>
          <w:tcPr>
            <w:tcW w:w="1520" w:type="dxa"/>
            <w:tcBorders>
              <w:top w:val="single" w:sz="8" w:space="0" w:color="auto"/>
              <w:left w:val="single" w:sz="8" w:space="0" w:color="auto"/>
              <w:bottom w:val="nil"/>
              <w:right w:val="single" w:sz="8" w:space="0" w:color="auto"/>
            </w:tcBorders>
            <w:noWrap/>
            <w:vAlign w:val="center"/>
          </w:tcPr>
          <w:p w:rsidR="00DC2F2A" w:rsidRPr="00EB2995" w:rsidRDefault="003D58E6" w:rsidP="00DC2F2A">
            <w:pPr>
              <w:jc w:val="right"/>
              <w:rPr>
                <w:rFonts w:cs="Calibri"/>
                <w:color w:val="000000"/>
                <w:lang w:eastAsia="en-GB"/>
              </w:rPr>
            </w:pPr>
            <w:r>
              <w:rPr>
                <w:rFonts w:cs="Calibri"/>
                <w:color w:val="000000"/>
              </w:rPr>
              <w:t>(1.2</w:t>
            </w:r>
            <w:r w:rsidR="00DC2F2A" w:rsidRPr="00EB2995">
              <w:rPr>
                <w:rFonts w:cs="Calibri"/>
                <w:color w:val="000000"/>
              </w:rPr>
              <w:t>)</w:t>
            </w:r>
          </w:p>
        </w:tc>
      </w:tr>
      <w:tr w:rsidR="00DC2F2A" w:rsidRPr="00EB2995" w:rsidTr="00DC2F2A">
        <w:trPr>
          <w:trHeight w:val="300"/>
        </w:trPr>
        <w:tc>
          <w:tcPr>
            <w:tcW w:w="3060" w:type="dxa"/>
            <w:tcBorders>
              <w:top w:val="nil"/>
              <w:left w:val="nil"/>
              <w:bottom w:val="nil"/>
              <w:right w:val="nil"/>
            </w:tcBorders>
            <w:noWrap/>
            <w:vAlign w:val="center"/>
          </w:tcPr>
          <w:p w:rsidR="00DC2F2A" w:rsidRPr="00EB2995" w:rsidRDefault="00DC2F2A" w:rsidP="00D4571A">
            <w:pPr>
              <w:ind w:left="720"/>
              <w:rPr>
                <w:rFonts w:cs="Calibri"/>
                <w:color w:val="000000"/>
                <w:lang w:eastAsia="en-GB"/>
              </w:rPr>
            </w:pPr>
            <w:r w:rsidRPr="00EB2995">
              <w:rPr>
                <w:rFonts w:cs="Calibri"/>
                <w:color w:val="000000"/>
                <w:lang w:eastAsia="en-GB"/>
              </w:rPr>
              <w:t>NHS Brent CCG</w:t>
            </w:r>
          </w:p>
        </w:tc>
        <w:tc>
          <w:tcPr>
            <w:tcW w:w="1476" w:type="dxa"/>
            <w:tcBorders>
              <w:top w:val="nil"/>
              <w:left w:val="single" w:sz="8" w:space="0" w:color="auto"/>
              <w:bottom w:val="nil"/>
              <w:right w:val="single" w:sz="8" w:space="0" w:color="auto"/>
            </w:tcBorders>
            <w:noWrap/>
            <w:vAlign w:val="center"/>
          </w:tcPr>
          <w:p w:rsidR="00DC2F2A" w:rsidRPr="00EB2995" w:rsidRDefault="00DC2F2A" w:rsidP="00DC2F2A">
            <w:pPr>
              <w:jc w:val="right"/>
              <w:rPr>
                <w:rFonts w:cs="Calibri"/>
                <w:color w:val="000000"/>
                <w:lang w:eastAsia="en-GB"/>
              </w:rPr>
            </w:pPr>
            <w:r w:rsidRPr="00EB2995">
              <w:rPr>
                <w:rFonts w:cs="Calibri"/>
                <w:color w:val="000000"/>
              </w:rPr>
              <w:t>0.0</w:t>
            </w:r>
          </w:p>
        </w:tc>
        <w:tc>
          <w:tcPr>
            <w:tcW w:w="300" w:type="dxa"/>
            <w:tcBorders>
              <w:top w:val="nil"/>
              <w:left w:val="nil"/>
              <w:bottom w:val="nil"/>
              <w:right w:val="nil"/>
            </w:tcBorders>
            <w:noWrap/>
            <w:vAlign w:val="center"/>
          </w:tcPr>
          <w:p w:rsidR="00DC2F2A" w:rsidRPr="00EB2995" w:rsidRDefault="00DC2F2A" w:rsidP="00DC2F2A">
            <w:pPr>
              <w:jc w:val="right"/>
              <w:rPr>
                <w:rFonts w:cs="Calibri"/>
                <w:color w:val="000000"/>
                <w:lang w:eastAsia="en-GB"/>
              </w:rPr>
            </w:pPr>
          </w:p>
        </w:tc>
        <w:tc>
          <w:tcPr>
            <w:tcW w:w="1423" w:type="dxa"/>
            <w:tcBorders>
              <w:top w:val="nil"/>
              <w:left w:val="single" w:sz="8" w:space="0" w:color="auto"/>
              <w:bottom w:val="nil"/>
              <w:right w:val="single" w:sz="8" w:space="0" w:color="auto"/>
            </w:tcBorders>
            <w:noWrap/>
            <w:vAlign w:val="center"/>
          </w:tcPr>
          <w:p w:rsidR="00DC2F2A" w:rsidRPr="00EB2995" w:rsidRDefault="00DC2F2A" w:rsidP="00DC2F2A">
            <w:pPr>
              <w:jc w:val="right"/>
              <w:rPr>
                <w:rFonts w:cs="Calibri"/>
                <w:color w:val="000000"/>
                <w:lang w:eastAsia="en-GB"/>
              </w:rPr>
            </w:pPr>
            <w:r w:rsidRPr="00EB2995">
              <w:rPr>
                <w:rFonts w:cs="Calibri"/>
                <w:color w:val="000000"/>
              </w:rPr>
              <w:t>(0.6)</w:t>
            </w:r>
          </w:p>
        </w:tc>
        <w:tc>
          <w:tcPr>
            <w:tcW w:w="300" w:type="dxa"/>
            <w:tcBorders>
              <w:top w:val="nil"/>
              <w:left w:val="nil"/>
              <w:bottom w:val="nil"/>
              <w:right w:val="nil"/>
            </w:tcBorders>
            <w:noWrap/>
            <w:vAlign w:val="center"/>
          </w:tcPr>
          <w:p w:rsidR="00DC2F2A" w:rsidRPr="00EB2995" w:rsidRDefault="00DC2F2A" w:rsidP="00DC2F2A">
            <w:pPr>
              <w:jc w:val="right"/>
              <w:rPr>
                <w:rFonts w:cs="Calibri"/>
                <w:color w:val="000000"/>
                <w:lang w:eastAsia="en-GB"/>
              </w:rPr>
            </w:pPr>
          </w:p>
        </w:tc>
        <w:tc>
          <w:tcPr>
            <w:tcW w:w="1360" w:type="dxa"/>
            <w:tcBorders>
              <w:top w:val="nil"/>
              <w:left w:val="single" w:sz="8" w:space="0" w:color="auto"/>
              <w:bottom w:val="nil"/>
              <w:right w:val="single" w:sz="8" w:space="0" w:color="auto"/>
            </w:tcBorders>
            <w:noWrap/>
            <w:vAlign w:val="center"/>
          </w:tcPr>
          <w:p w:rsidR="00DC2F2A" w:rsidRPr="00EB2995" w:rsidRDefault="00DC2F2A" w:rsidP="00DC2F2A">
            <w:pPr>
              <w:jc w:val="right"/>
              <w:rPr>
                <w:rFonts w:cs="Calibri"/>
                <w:color w:val="000000"/>
                <w:lang w:eastAsia="en-GB"/>
              </w:rPr>
            </w:pPr>
            <w:r w:rsidRPr="00EB2995">
              <w:rPr>
                <w:rFonts w:cs="Calibri"/>
                <w:color w:val="000000"/>
              </w:rPr>
              <w:t>(22.0)</w:t>
            </w:r>
          </w:p>
        </w:tc>
        <w:tc>
          <w:tcPr>
            <w:tcW w:w="280" w:type="dxa"/>
            <w:tcBorders>
              <w:top w:val="nil"/>
              <w:left w:val="nil"/>
              <w:bottom w:val="nil"/>
              <w:right w:val="nil"/>
            </w:tcBorders>
            <w:noWrap/>
            <w:vAlign w:val="bottom"/>
          </w:tcPr>
          <w:p w:rsidR="00DC2F2A" w:rsidRPr="00EB2995" w:rsidRDefault="00DC2F2A" w:rsidP="00DC2F2A">
            <w:pPr>
              <w:jc w:val="right"/>
              <w:rPr>
                <w:rFonts w:cs="Calibri"/>
                <w:color w:val="000000"/>
                <w:lang w:eastAsia="en-GB"/>
              </w:rPr>
            </w:pPr>
          </w:p>
        </w:tc>
        <w:tc>
          <w:tcPr>
            <w:tcW w:w="1520" w:type="dxa"/>
            <w:tcBorders>
              <w:top w:val="nil"/>
              <w:left w:val="single" w:sz="8" w:space="0" w:color="auto"/>
              <w:bottom w:val="nil"/>
              <w:right w:val="single" w:sz="8" w:space="0" w:color="auto"/>
            </w:tcBorders>
            <w:noWrap/>
            <w:vAlign w:val="center"/>
          </w:tcPr>
          <w:p w:rsidR="00DC2F2A" w:rsidRPr="00EB2995" w:rsidRDefault="003D58E6" w:rsidP="00DC2F2A">
            <w:pPr>
              <w:jc w:val="right"/>
              <w:rPr>
                <w:rFonts w:cs="Calibri"/>
                <w:color w:val="000000"/>
                <w:lang w:eastAsia="en-GB"/>
              </w:rPr>
            </w:pPr>
            <w:r>
              <w:rPr>
                <w:rFonts w:cs="Calibri"/>
                <w:color w:val="000000"/>
              </w:rPr>
              <w:t>0.0</w:t>
            </w:r>
          </w:p>
        </w:tc>
      </w:tr>
      <w:tr w:rsidR="00DC2F2A" w:rsidRPr="00EB2995" w:rsidTr="00DC2F2A">
        <w:trPr>
          <w:trHeight w:val="300"/>
        </w:trPr>
        <w:tc>
          <w:tcPr>
            <w:tcW w:w="3060" w:type="dxa"/>
            <w:tcBorders>
              <w:top w:val="nil"/>
              <w:left w:val="nil"/>
              <w:bottom w:val="nil"/>
              <w:right w:val="nil"/>
            </w:tcBorders>
            <w:noWrap/>
            <w:vAlign w:val="center"/>
          </w:tcPr>
          <w:p w:rsidR="00DC2F2A" w:rsidRPr="00EB2995" w:rsidRDefault="00DC2F2A" w:rsidP="00D4571A">
            <w:pPr>
              <w:ind w:left="720"/>
              <w:rPr>
                <w:rFonts w:cs="Calibri"/>
                <w:color w:val="000000"/>
                <w:lang w:eastAsia="en-GB"/>
              </w:rPr>
            </w:pPr>
            <w:r w:rsidRPr="00EB2995">
              <w:rPr>
                <w:rFonts w:cs="Calibri"/>
                <w:color w:val="000000"/>
                <w:lang w:eastAsia="en-GB"/>
              </w:rPr>
              <w:t>LNWUNT</w:t>
            </w:r>
          </w:p>
        </w:tc>
        <w:tc>
          <w:tcPr>
            <w:tcW w:w="1476" w:type="dxa"/>
            <w:tcBorders>
              <w:top w:val="nil"/>
              <w:left w:val="single" w:sz="8" w:space="0" w:color="auto"/>
              <w:bottom w:val="nil"/>
              <w:right w:val="single" w:sz="8" w:space="0" w:color="auto"/>
            </w:tcBorders>
            <w:noWrap/>
            <w:vAlign w:val="center"/>
          </w:tcPr>
          <w:p w:rsidR="00DC2F2A" w:rsidRPr="00EB2995" w:rsidRDefault="00DC2F2A" w:rsidP="00DC2F2A">
            <w:pPr>
              <w:jc w:val="right"/>
              <w:rPr>
                <w:rFonts w:cs="Calibri"/>
                <w:color w:val="000000"/>
                <w:lang w:eastAsia="en-GB"/>
              </w:rPr>
            </w:pPr>
            <w:r w:rsidRPr="00EB2995">
              <w:rPr>
                <w:rFonts w:cs="Calibri"/>
                <w:color w:val="000000"/>
              </w:rPr>
              <w:t>0.0</w:t>
            </w:r>
          </w:p>
        </w:tc>
        <w:tc>
          <w:tcPr>
            <w:tcW w:w="300" w:type="dxa"/>
            <w:tcBorders>
              <w:top w:val="nil"/>
              <w:left w:val="nil"/>
              <w:bottom w:val="nil"/>
              <w:right w:val="nil"/>
            </w:tcBorders>
            <w:noWrap/>
            <w:vAlign w:val="center"/>
          </w:tcPr>
          <w:p w:rsidR="00DC2F2A" w:rsidRPr="00EB2995" w:rsidRDefault="00DC2F2A" w:rsidP="00DC2F2A">
            <w:pPr>
              <w:jc w:val="right"/>
              <w:rPr>
                <w:rFonts w:cs="Calibri"/>
                <w:color w:val="000000"/>
                <w:lang w:eastAsia="en-GB"/>
              </w:rPr>
            </w:pPr>
          </w:p>
        </w:tc>
        <w:tc>
          <w:tcPr>
            <w:tcW w:w="1423" w:type="dxa"/>
            <w:tcBorders>
              <w:top w:val="nil"/>
              <w:left w:val="single" w:sz="8" w:space="0" w:color="auto"/>
              <w:bottom w:val="nil"/>
              <w:right w:val="single" w:sz="8" w:space="0" w:color="auto"/>
            </w:tcBorders>
            <w:noWrap/>
            <w:vAlign w:val="center"/>
          </w:tcPr>
          <w:p w:rsidR="00DC2F2A" w:rsidRPr="00EB2995" w:rsidRDefault="00DC2F2A" w:rsidP="00DC2F2A">
            <w:pPr>
              <w:jc w:val="right"/>
              <w:rPr>
                <w:rFonts w:cs="Calibri"/>
                <w:color w:val="000000"/>
                <w:lang w:eastAsia="en-GB"/>
              </w:rPr>
            </w:pPr>
            <w:r w:rsidRPr="00EB2995">
              <w:rPr>
                <w:rFonts w:cs="Calibri"/>
                <w:color w:val="000000"/>
              </w:rPr>
              <w:t>0.0</w:t>
            </w:r>
          </w:p>
        </w:tc>
        <w:tc>
          <w:tcPr>
            <w:tcW w:w="300" w:type="dxa"/>
            <w:tcBorders>
              <w:top w:val="nil"/>
              <w:left w:val="nil"/>
              <w:bottom w:val="nil"/>
              <w:right w:val="nil"/>
            </w:tcBorders>
            <w:noWrap/>
            <w:vAlign w:val="center"/>
          </w:tcPr>
          <w:p w:rsidR="00DC2F2A" w:rsidRPr="00EB2995" w:rsidRDefault="00DC2F2A" w:rsidP="00DC2F2A">
            <w:pPr>
              <w:jc w:val="right"/>
              <w:rPr>
                <w:rFonts w:cs="Calibri"/>
                <w:color w:val="000000"/>
                <w:lang w:eastAsia="en-GB"/>
              </w:rPr>
            </w:pPr>
          </w:p>
        </w:tc>
        <w:tc>
          <w:tcPr>
            <w:tcW w:w="1360" w:type="dxa"/>
            <w:tcBorders>
              <w:top w:val="nil"/>
              <w:left w:val="single" w:sz="8" w:space="0" w:color="auto"/>
              <w:bottom w:val="nil"/>
              <w:right w:val="single" w:sz="8" w:space="0" w:color="auto"/>
            </w:tcBorders>
            <w:noWrap/>
            <w:vAlign w:val="center"/>
          </w:tcPr>
          <w:p w:rsidR="00DC2F2A" w:rsidRPr="00EB2995" w:rsidRDefault="00DC2F2A" w:rsidP="00DC2F2A">
            <w:pPr>
              <w:jc w:val="right"/>
              <w:rPr>
                <w:rFonts w:cs="Calibri"/>
                <w:color w:val="000000"/>
                <w:lang w:eastAsia="en-GB"/>
              </w:rPr>
            </w:pPr>
            <w:r w:rsidRPr="00EB2995">
              <w:rPr>
                <w:rFonts w:cs="Calibri"/>
                <w:color w:val="000000"/>
              </w:rPr>
              <w:t>0.0</w:t>
            </w:r>
          </w:p>
        </w:tc>
        <w:tc>
          <w:tcPr>
            <w:tcW w:w="280" w:type="dxa"/>
            <w:tcBorders>
              <w:top w:val="nil"/>
              <w:left w:val="nil"/>
              <w:bottom w:val="nil"/>
              <w:right w:val="nil"/>
            </w:tcBorders>
            <w:noWrap/>
            <w:vAlign w:val="bottom"/>
          </w:tcPr>
          <w:p w:rsidR="00DC2F2A" w:rsidRPr="00EB2995" w:rsidRDefault="00DC2F2A" w:rsidP="00DC2F2A">
            <w:pPr>
              <w:jc w:val="right"/>
              <w:rPr>
                <w:rFonts w:cs="Calibri"/>
                <w:color w:val="000000"/>
                <w:lang w:eastAsia="en-GB"/>
              </w:rPr>
            </w:pPr>
          </w:p>
        </w:tc>
        <w:tc>
          <w:tcPr>
            <w:tcW w:w="1520" w:type="dxa"/>
            <w:tcBorders>
              <w:top w:val="nil"/>
              <w:left w:val="single" w:sz="8" w:space="0" w:color="auto"/>
              <w:bottom w:val="nil"/>
              <w:right w:val="single" w:sz="8" w:space="0" w:color="auto"/>
            </w:tcBorders>
            <w:noWrap/>
            <w:vAlign w:val="center"/>
          </w:tcPr>
          <w:p w:rsidR="00DC2F2A" w:rsidRPr="00EB2995" w:rsidRDefault="003D58E6" w:rsidP="00DC2F2A">
            <w:pPr>
              <w:jc w:val="right"/>
              <w:rPr>
                <w:rFonts w:cs="Calibri"/>
                <w:color w:val="000000"/>
                <w:lang w:eastAsia="en-GB"/>
              </w:rPr>
            </w:pPr>
            <w:r>
              <w:rPr>
                <w:rFonts w:cs="Calibri"/>
                <w:color w:val="000000"/>
              </w:rPr>
              <w:t>(1.2)</w:t>
            </w:r>
          </w:p>
        </w:tc>
      </w:tr>
      <w:tr w:rsidR="00DC2F2A" w:rsidRPr="00EB2995" w:rsidTr="00DC2F2A">
        <w:trPr>
          <w:trHeight w:val="315"/>
        </w:trPr>
        <w:tc>
          <w:tcPr>
            <w:tcW w:w="3060" w:type="dxa"/>
            <w:tcBorders>
              <w:top w:val="nil"/>
              <w:left w:val="nil"/>
              <w:bottom w:val="nil"/>
              <w:right w:val="nil"/>
            </w:tcBorders>
            <w:noWrap/>
            <w:vAlign w:val="center"/>
          </w:tcPr>
          <w:p w:rsidR="00DC2F2A" w:rsidRPr="00EB2995" w:rsidRDefault="00DC2F2A" w:rsidP="00D4571A">
            <w:pPr>
              <w:ind w:left="720"/>
              <w:rPr>
                <w:rFonts w:cs="Calibri"/>
                <w:color w:val="000000"/>
                <w:lang w:eastAsia="en-GB"/>
              </w:rPr>
            </w:pPr>
            <w:r w:rsidRPr="00EB2995">
              <w:rPr>
                <w:rFonts w:cs="Calibri"/>
                <w:color w:val="000000"/>
                <w:lang w:eastAsia="en-GB"/>
              </w:rPr>
              <w:t>CNWLNFT</w:t>
            </w:r>
          </w:p>
        </w:tc>
        <w:tc>
          <w:tcPr>
            <w:tcW w:w="1476" w:type="dxa"/>
            <w:tcBorders>
              <w:top w:val="nil"/>
              <w:left w:val="single" w:sz="8" w:space="0" w:color="auto"/>
              <w:bottom w:val="nil"/>
              <w:right w:val="single" w:sz="8" w:space="0" w:color="auto"/>
            </w:tcBorders>
            <w:noWrap/>
            <w:vAlign w:val="center"/>
          </w:tcPr>
          <w:p w:rsidR="00DC2F2A" w:rsidRPr="00EB2995" w:rsidRDefault="00DC2F2A" w:rsidP="00DC2F2A">
            <w:pPr>
              <w:jc w:val="right"/>
              <w:rPr>
                <w:rFonts w:cs="Calibri"/>
                <w:color w:val="000000"/>
                <w:lang w:eastAsia="en-GB"/>
              </w:rPr>
            </w:pPr>
            <w:r w:rsidRPr="00EB2995">
              <w:rPr>
                <w:rFonts w:cs="Calibri"/>
                <w:color w:val="000000"/>
              </w:rPr>
              <w:t>(0.2)</w:t>
            </w:r>
          </w:p>
        </w:tc>
        <w:tc>
          <w:tcPr>
            <w:tcW w:w="300" w:type="dxa"/>
            <w:tcBorders>
              <w:top w:val="nil"/>
              <w:left w:val="nil"/>
              <w:bottom w:val="nil"/>
              <w:right w:val="nil"/>
            </w:tcBorders>
            <w:noWrap/>
            <w:vAlign w:val="center"/>
          </w:tcPr>
          <w:p w:rsidR="00DC2F2A" w:rsidRPr="00EB2995" w:rsidRDefault="00DC2F2A" w:rsidP="00DC2F2A">
            <w:pPr>
              <w:jc w:val="right"/>
              <w:rPr>
                <w:rFonts w:cs="Calibri"/>
                <w:color w:val="000000"/>
                <w:lang w:eastAsia="en-GB"/>
              </w:rPr>
            </w:pPr>
          </w:p>
        </w:tc>
        <w:tc>
          <w:tcPr>
            <w:tcW w:w="1423" w:type="dxa"/>
            <w:tcBorders>
              <w:top w:val="nil"/>
              <w:left w:val="single" w:sz="8" w:space="0" w:color="auto"/>
              <w:bottom w:val="nil"/>
              <w:right w:val="single" w:sz="8" w:space="0" w:color="auto"/>
            </w:tcBorders>
            <w:noWrap/>
            <w:vAlign w:val="center"/>
          </w:tcPr>
          <w:p w:rsidR="00DC2F2A" w:rsidRPr="00EB2995" w:rsidRDefault="00DC2F2A" w:rsidP="00DC2F2A">
            <w:pPr>
              <w:jc w:val="right"/>
              <w:rPr>
                <w:rFonts w:cs="Calibri"/>
                <w:color w:val="000000"/>
                <w:lang w:eastAsia="en-GB"/>
              </w:rPr>
            </w:pPr>
            <w:r w:rsidRPr="00EB2995">
              <w:rPr>
                <w:rFonts w:cs="Calibri"/>
                <w:color w:val="000000"/>
              </w:rPr>
              <w:t>0.0</w:t>
            </w:r>
          </w:p>
        </w:tc>
        <w:tc>
          <w:tcPr>
            <w:tcW w:w="300" w:type="dxa"/>
            <w:tcBorders>
              <w:top w:val="nil"/>
              <w:left w:val="nil"/>
              <w:bottom w:val="nil"/>
              <w:right w:val="nil"/>
            </w:tcBorders>
            <w:noWrap/>
            <w:vAlign w:val="center"/>
          </w:tcPr>
          <w:p w:rsidR="00DC2F2A" w:rsidRPr="00EB2995" w:rsidRDefault="00DC2F2A" w:rsidP="00DC2F2A">
            <w:pPr>
              <w:jc w:val="right"/>
              <w:rPr>
                <w:rFonts w:cs="Calibri"/>
                <w:color w:val="000000"/>
                <w:lang w:eastAsia="en-GB"/>
              </w:rPr>
            </w:pPr>
          </w:p>
        </w:tc>
        <w:tc>
          <w:tcPr>
            <w:tcW w:w="1360" w:type="dxa"/>
            <w:tcBorders>
              <w:top w:val="nil"/>
              <w:left w:val="single" w:sz="8" w:space="0" w:color="auto"/>
              <w:bottom w:val="nil"/>
              <w:right w:val="single" w:sz="8" w:space="0" w:color="auto"/>
            </w:tcBorders>
            <w:noWrap/>
            <w:vAlign w:val="center"/>
          </w:tcPr>
          <w:p w:rsidR="00DC2F2A" w:rsidRPr="00EB2995" w:rsidRDefault="00DC2F2A" w:rsidP="00DC2F2A">
            <w:pPr>
              <w:jc w:val="right"/>
              <w:rPr>
                <w:rFonts w:cs="Calibri"/>
                <w:color w:val="000000"/>
                <w:lang w:eastAsia="en-GB"/>
              </w:rPr>
            </w:pPr>
            <w:r w:rsidRPr="00EB2995">
              <w:rPr>
                <w:rFonts w:cs="Calibri"/>
                <w:color w:val="000000"/>
              </w:rPr>
              <w:t>0.0</w:t>
            </w:r>
          </w:p>
        </w:tc>
        <w:tc>
          <w:tcPr>
            <w:tcW w:w="280" w:type="dxa"/>
            <w:tcBorders>
              <w:top w:val="nil"/>
              <w:left w:val="nil"/>
              <w:bottom w:val="nil"/>
              <w:right w:val="nil"/>
            </w:tcBorders>
            <w:noWrap/>
            <w:vAlign w:val="bottom"/>
          </w:tcPr>
          <w:p w:rsidR="00DC2F2A" w:rsidRPr="00EB2995" w:rsidRDefault="00DC2F2A" w:rsidP="00DC2F2A">
            <w:pPr>
              <w:jc w:val="right"/>
              <w:rPr>
                <w:rFonts w:cs="Calibri"/>
                <w:color w:val="000000"/>
                <w:lang w:eastAsia="en-GB"/>
              </w:rPr>
            </w:pPr>
          </w:p>
        </w:tc>
        <w:tc>
          <w:tcPr>
            <w:tcW w:w="1520" w:type="dxa"/>
            <w:tcBorders>
              <w:top w:val="nil"/>
              <w:left w:val="single" w:sz="8" w:space="0" w:color="auto"/>
              <w:bottom w:val="nil"/>
              <w:right w:val="single" w:sz="8" w:space="0" w:color="auto"/>
            </w:tcBorders>
            <w:noWrap/>
            <w:vAlign w:val="center"/>
          </w:tcPr>
          <w:p w:rsidR="00DC2F2A" w:rsidRPr="00EB2995" w:rsidRDefault="00DC2F2A" w:rsidP="00DC2F2A">
            <w:pPr>
              <w:jc w:val="right"/>
              <w:rPr>
                <w:rFonts w:cs="Calibri"/>
                <w:color w:val="000000"/>
                <w:lang w:eastAsia="en-GB"/>
              </w:rPr>
            </w:pPr>
            <w:r w:rsidRPr="00EB2995">
              <w:rPr>
                <w:rFonts w:cs="Calibri"/>
                <w:color w:val="000000"/>
              </w:rPr>
              <w:t>0.0</w:t>
            </w:r>
          </w:p>
        </w:tc>
      </w:tr>
      <w:tr w:rsidR="00DC2F2A" w:rsidRPr="00EB2995" w:rsidTr="00DC2F2A">
        <w:trPr>
          <w:trHeight w:val="300"/>
        </w:trPr>
        <w:tc>
          <w:tcPr>
            <w:tcW w:w="3060" w:type="dxa"/>
            <w:tcBorders>
              <w:top w:val="nil"/>
              <w:left w:val="nil"/>
              <w:bottom w:val="nil"/>
              <w:right w:val="nil"/>
            </w:tcBorders>
            <w:noWrap/>
            <w:vAlign w:val="center"/>
          </w:tcPr>
          <w:p w:rsidR="00DC2F2A" w:rsidRPr="00EB2995" w:rsidRDefault="00DC2F2A" w:rsidP="00DC2F2A">
            <w:pPr>
              <w:rPr>
                <w:rFonts w:cs="Calibri"/>
                <w:b/>
                <w:bCs/>
                <w:color w:val="000000"/>
                <w:lang w:eastAsia="en-GB"/>
              </w:rPr>
            </w:pPr>
            <w:r w:rsidRPr="00EB2995">
              <w:rPr>
                <w:rFonts w:cs="Calibri"/>
                <w:b/>
                <w:bCs/>
                <w:color w:val="000000"/>
                <w:lang w:eastAsia="en-GB"/>
              </w:rPr>
              <w:t>Total Funding</w:t>
            </w:r>
          </w:p>
        </w:tc>
        <w:tc>
          <w:tcPr>
            <w:tcW w:w="1476" w:type="dxa"/>
            <w:tcBorders>
              <w:top w:val="single" w:sz="8" w:space="0" w:color="auto"/>
              <w:left w:val="single" w:sz="8" w:space="0" w:color="auto"/>
              <w:bottom w:val="nil"/>
              <w:right w:val="single" w:sz="8" w:space="0" w:color="auto"/>
            </w:tcBorders>
            <w:noWrap/>
            <w:vAlign w:val="center"/>
          </w:tcPr>
          <w:p w:rsidR="00DC2F2A" w:rsidRPr="00EB2995" w:rsidRDefault="00DC2F2A" w:rsidP="00DC2F2A">
            <w:pPr>
              <w:jc w:val="right"/>
              <w:rPr>
                <w:rFonts w:cs="Calibri"/>
                <w:b/>
                <w:bCs/>
                <w:color w:val="000000"/>
                <w:lang w:eastAsia="en-GB"/>
              </w:rPr>
            </w:pPr>
            <w:r w:rsidRPr="00EB2995">
              <w:rPr>
                <w:rFonts w:cs="Calibri"/>
                <w:b/>
                <w:bCs/>
                <w:color w:val="000000"/>
              </w:rPr>
              <w:t>(0.4)</w:t>
            </w:r>
          </w:p>
        </w:tc>
        <w:tc>
          <w:tcPr>
            <w:tcW w:w="300" w:type="dxa"/>
            <w:tcBorders>
              <w:top w:val="nil"/>
              <w:left w:val="nil"/>
              <w:bottom w:val="nil"/>
              <w:right w:val="nil"/>
            </w:tcBorders>
            <w:noWrap/>
            <w:vAlign w:val="center"/>
          </w:tcPr>
          <w:p w:rsidR="00DC2F2A" w:rsidRPr="00EB2995" w:rsidRDefault="00DC2F2A" w:rsidP="00DC2F2A">
            <w:pPr>
              <w:jc w:val="right"/>
              <w:rPr>
                <w:rFonts w:cs="Calibri"/>
                <w:b/>
                <w:bCs/>
                <w:color w:val="000000"/>
                <w:lang w:eastAsia="en-GB"/>
              </w:rPr>
            </w:pPr>
          </w:p>
        </w:tc>
        <w:tc>
          <w:tcPr>
            <w:tcW w:w="1423" w:type="dxa"/>
            <w:tcBorders>
              <w:top w:val="single" w:sz="8" w:space="0" w:color="auto"/>
              <w:left w:val="single" w:sz="8" w:space="0" w:color="auto"/>
              <w:bottom w:val="nil"/>
              <w:right w:val="single" w:sz="8" w:space="0" w:color="auto"/>
            </w:tcBorders>
            <w:noWrap/>
            <w:vAlign w:val="center"/>
          </w:tcPr>
          <w:p w:rsidR="00DC2F2A" w:rsidRPr="00EB2995" w:rsidRDefault="00DC2F2A" w:rsidP="00DC2F2A">
            <w:pPr>
              <w:jc w:val="right"/>
              <w:rPr>
                <w:rFonts w:cs="Calibri"/>
                <w:b/>
                <w:bCs/>
                <w:color w:val="000000"/>
                <w:lang w:eastAsia="en-GB"/>
              </w:rPr>
            </w:pPr>
            <w:r w:rsidRPr="00EB2995">
              <w:rPr>
                <w:rFonts w:cs="Calibri"/>
                <w:b/>
                <w:bCs/>
                <w:color w:val="000000"/>
              </w:rPr>
              <w:t>(1.1)</w:t>
            </w:r>
          </w:p>
        </w:tc>
        <w:tc>
          <w:tcPr>
            <w:tcW w:w="300" w:type="dxa"/>
            <w:tcBorders>
              <w:top w:val="nil"/>
              <w:left w:val="nil"/>
              <w:bottom w:val="nil"/>
              <w:right w:val="nil"/>
            </w:tcBorders>
            <w:noWrap/>
            <w:vAlign w:val="center"/>
          </w:tcPr>
          <w:p w:rsidR="00DC2F2A" w:rsidRPr="00EB2995" w:rsidRDefault="00DC2F2A" w:rsidP="00DC2F2A">
            <w:pPr>
              <w:jc w:val="right"/>
              <w:rPr>
                <w:rFonts w:cs="Calibri"/>
                <w:b/>
                <w:bCs/>
                <w:color w:val="000000"/>
                <w:lang w:eastAsia="en-GB"/>
              </w:rPr>
            </w:pPr>
          </w:p>
        </w:tc>
        <w:tc>
          <w:tcPr>
            <w:tcW w:w="1360" w:type="dxa"/>
            <w:tcBorders>
              <w:top w:val="single" w:sz="8" w:space="0" w:color="auto"/>
              <w:left w:val="single" w:sz="8" w:space="0" w:color="auto"/>
              <w:bottom w:val="nil"/>
              <w:right w:val="single" w:sz="8" w:space="0" w:color="auto"/>
            </w:tcBorders>
            <w:noWrap/>
            <w:vAlign w:val="center"/>
          </w:tcPr>
          <w:p w:rsidR="00DC2F2A" w:rsidRPr="00EB2995" w:rsidRDefault="00DC2F2A" w:rsidP="00DC2F2A">
            <w:pPr>
              <w:jc w:val="right"/>
              <w:rPr>
                <w:rFonts w:cs="Calibri"/>
                <w:b/>
                <w:bCs/>
                <w:color w:val="000000"/>
                <w:lang w:eastAsia="en-GB"/>
              </w:rPr>
            </w:pPr>
            <w:r w:rsidRPr="00EB2995">
              <w:rPr>
                <w:rFonts w:cs="Calibri"/>
                <w:b/>
                <w:bCs/>
                <w:color w:val="000000"/>
              </w:rPr>
              <w:t>(39.6)</w:t>
            </w:r>
          </w:p>
        </w:tc>
        <w:tc>
          <w:tcPr>
            <w:tcW w:w="280" w:type="dxa"/>
            <w:tcBorders>
              <w:top w:val="nil"/>
              <w:left w:val="nil"/>
              <w:bottom w:val="nil"/>
              <w:right w:val="nil"/>
            </w:tcBorders>
            <w:noWrap/>
            <w:vAlign w:val="bottom"/>
          </w:tcPr>
          <w:p w:rsidR="00DC2F2A" w:rsidRPr="00EB2995" w:rsidRDefault="00DC2F2A" w:rsidP="00DC2F2A">
            <w:pPr>
              <w:jc w:val="right"/>
              <w:rPr>
                <w:rFonts w:cs="Calibri"/>
                <w:b/>
                <w:bCs/>
                <w:color w:val="000000"/>
                <w:lang w:eastAsia="en-GB"/>
              </w:rPr>
            </w:pPr>
          </w:p>
        </w:tc>
        <w:tc>
          <w:tcPr>
            <w:tcW w:w="1520" w:type="dxa"/>
            <w:tcBorders>
              <w:top w:val="single" w:sz="8" w:space="0" w:color="auto"/>
              <w:left w:val="single" w:sz="8" w:space="0" w:color="auto"/>
              <w:bottom w:val="nil"/>
              <w:right w:val="single" w:sz="8" w:space="0" w:color="auto"/>
            </w:tcBorders>
            <w:noWrap/>
            <w:vAlign w:val="center"/>
          </w:tcPr>
          <w:p w:rsidR="00DC2F2A" w:rsidRPr="00EB2995" w:rsidRDefault="003D58E6" w:rsidP="00DC2F2A">
            <w:pPr>
              <w:jc w:val="right"/>
              <w:rPr>
                <w:rFonts w:cs="Calibri"/>
                <w:b/>
                <w:bCs/>
                <w:color w:val="000000"/>
                <w:lang w:eastAsia="en-GB"/>
              </w:rPr>
            </w:pPr>
            <w:r>
              <w:rPr>
                <w:rFonts w:cs="Calibri"/>
                <w:b/>
                <w:bCs/>
                <w:color w:val="000000"/>
              </w:rPr>
              <w:t>(2.4</w:t>
            </w:r>
            <w:r w:rsidR="00DC2F2A" w:rsidRPr="00EB2995">
              <w:rPr>
                <w:rFonts w:cs="Calibri"/>
                <w:b/>
                <w:bCs/>
                <w:color w:val="000000"/>
              </w:rPr>
              <w:t>)</w:t>
            </w:r>
          </w:p>
        </w:tc>
      </w:tr>
      <w:tr w:rsidR="00DC2F2A" w:rsidRPr="00EB2995" w:rsidTr="00DC2F2A">
        <w:trPr>
          <w:trHeight w:val="315"/>
        </w:trPr>
        <w:tc>
          <w:tcPr>
            <w:tcW w:w="3060" w:type="dxa"/>
            <w:tcBorders>
              <w:top w:val="nil"/>
              <w:left w:val="nil"/>
              <w:bottom w:val="nil"/>
              <w:right w:val="nil"/>
            </w:tcBorders>
            <w:noWrap/>
            <w:vAlign w:val="center"/>
          </w:tcPr>
          <w:p w:rsidR="00DC2F2A" w:rsidRPr="00EB2995" w:rsidRDefault="00DC2F2A" w:rsidP="00DC2F2A">
            <w:pPr>
              <w:rPr>
                <w:rFonts w:cs="Calibri"/>
                <w:color w:val="000000"/>
                <w:lang w:eastAsia="en-GB"/>
              </w:rPr>
            </w:pPr>
            <w:r w:rsidRPr="00EB2995">
              <w:rPr>
                <w:rFonts w:cs="Calibri"/>
                <w:color w:val="000000"/>
                <w:lang w:eastAsia="en-GB"/>
              </w:rPr>
              <w:t>Expenditure</w:t>
            </w:r>
          </w:p>
        </w:tc>
        <w:tc>
          <w:tcPr>
            <w:tcW w:w="1476" w:type="dxa"/>
            <w:tcBorders>
              <w:top w:val="nil"/>
              <w:left w:val="single" w:sz="8" w:space="0" w:color="auto"/>
              <w:bottom w:val="single" w:sz="8" w:space="0" w:color="auto"/>
              <w:right w:val="single" w:sz="8" w:space="0" w:color="auto"/>
            </w:tcBorders>
            <w:noWrap/>
            <w:vAlign w:val="center"/>
          </w:tcPr>
          <w:p w:rsidR="00DC2F2A" w:rsidRPr="00EB2995" w:rsidRDefault="00DC2F2A" w:rsidP="00DC2F2A">
            <w:pPr>
              <w:jc w:val="right"/>
              <w:rPr>
                <w:rFonts w:cs="Calibri"/>
                <w:color w:val="000000"/>
                <w:lang w:eastAsia="en-GB"/>
              </w:rPr>
            </w:pPr>
            <w:r w:rsidRPr="00EB2995">
              <w:rPr>
                <w:rFonts w:cs="Calibri"/>
                <w:color w:val="000000"/>
              </w:rPr>
              <w:t>0.4</w:t>
            </w:r>
          </w:p>
        </w:tc>
        <w:tc>
          <w:tcPr>
            <w:tcW w:w="300" w:type="dxa"/>
            <w:tcBorders>
              <w:top w:val="nil"/>
              <w:left w:val="nil"/>
              <w:bottom w:val="nil"/>
              <w:right w:val="nil"/>
            </w:tcBorders>
            <w:noWrap/>
            <w:vAlign w:val="center"/>
          </w:tcPr>
          <w:p w:rsidR="00DC2F2A" w:rsidRPr="00EB2995" w:rsidRDefault="00DC2F2A" w:rsidP="00DC2F2A">
            <w:pPr>
              <w:jc w:val="right"/>
              <w:rPr>
                <w:rFonts w:cs="Calibri"/>
                <w:color w:val="000000"/>
                <w:lang w:eastAsia="en-GB"/>
              </w:rPr>
            </w:pPr>
          </w:p>
        </w:tc>
        <w:tc>
          <w:tcPr>
            <w:tcW w:w="1423" w:type="dxa"/>
            <w:tcBorders>
              <w:top w:val="nil"/>
              <w:left w:val="single" w:sz="8" w:space="0" w:color="auto"/>
              <w:bottom w:val="single" w:sz="8" w:space="0" w:color="auto"/>
              <w:right w:val="single" w:sz="8" w:space="0" w:color="auto"/>
            </w:tcBorders>
            <w:noWrap/>
            <w:vAlign w:val="center"/>
          </w:tcPr>
          <w:p w:rsidR="00DC2F2A" w:rsidRPr="00EB2995" w:rsidRDefault="00DC2F2A" w:rsidP="00DC2F2A">
            <w:pPr>
              <w:jc w:val="right"/>
              <w:rPr>
                <w:rFonts w:cs="Calibri"/>
                <w:color w:val="000000"/>
                <w:lang w:eastAsia="en-GB"/>
              </w:rPr>
            </w:pPr>
            <w:r w:rsidRPr="00EB2995">
              <w:rPr>
                <w:rFonts w:cs="Calibri"/>
                <w:color w:val="000000"/>
              </w:rPr>
              <w:t>1.4</w:t>
            </w:r>
          </w:p>
        </w:tc>
        <w:tc>
          <w:tcPr>
            <w:tcW w:w="300" w:type="dxa"/>
            <w:tcBorders>
              <w:top w:val="nil"/>
              <w:left w:val="nil"/>
              <w:bottom w:val="nil"/>
              <w:right w:val="nil"/>
            </w:tcBorders>
            <w:noWrap/>
            <w:vAlign w:val="center"/>
          </w:tcPr>
          <w:p w:rsidR="00DC2F2A" w:rsidRPr="00EB2995" w:rsidRDefault="00DC2F2A" w:rsidP="00DC2F2A">
            <w:pPr>
              <w:jc w:val="right"/>
              <w:rPr>
                <w:rFonts w:cs="Calibri"/>
                <w:color w:val="000000"/>
                <w:lang w:eastAsia="en-GB"/>
              </w:rPr>
            </w:pPr>
          </w:p>
        </w:tc>
        <w:tc>
          <w:tcPr>
            <w:tcW w:w="1360" w:type="dxa"/>
            <w:tcBorders>
              <w:top w:val="nil"/>
              <w:left w:val="single" w:sz="8" w:space="0" w:color="auto"/>
              <w:bottom w:val="single" w:sz="8" w:space="0" w:color="auto"/>
              <w:right w:val="single" w:sz="8" w:space="0" w:color="auto"/>
            </w:tcBorders>
            <w:noWrap/>
            <w:vAlign w:val="center"/>
          </w:tcPr>
          <w:p w:rsidR="00DC2F2A" w:rsidRPr="00EB2995" w:rsidRDefault="00DC2F2A" w:rsidP="00DC2F2A">
            <w:pPr>
              <w:jc w:val="right"/>
              <w:rPr>
                <w:rFonts w:cs="Calibri"/>
                <w:color w:val="000000"/>
                <w:lang w:eastAsia="en-GB"/>
              </w:rPr>
            </w:pPr>
            <w:r w:rsidRPr="00EB2995">
              <w:rPr>
                <w:rFonts w:cs="Calibri"/>
                <w:color w:val="000000"/>
              </w:rPr>
              <w:t>39.6</w:t>
            </w:r>
          </w:p>
        </w:tc>
        <w:tc>
          <w:tcPr>
            <w:tcW w:w="280" w:type="dxa"/>
            <w:tcBorders>
              <w:top w:val="nil"/>
              <w:left w:val="nil"/>
              <w:bottom w:val="nil"/>
              <w:right w:val="nil"/>
            </w:tcBorders>
            <w:noWrap/>
            <w:vAlign w:val="bottom"/>
          </w:tcPr>
          <w:p w:rsidR="00DC2F2A" w:rsidRPr="00EB2995" w:rsidRDefault="00DC2F2A" w:rsidP="00DC2F2A">
            <w:pPr>
              <w:jc w:val="right"/>
              <w:rPr>
                <w:rFonts w:cs="Calibri"/>
                <w:color w:val="000000"/>
                <w:lang w:eastAsia="en-GB"/>
              </w:rPr>
            </w:pPr>
          </w:p>
        </w:tc>
        <w:tc>
          <w:tcPr>
            <w:tcW w:w="1520" w:type="dxa"/>
            <w:tcBorders>
              <w:top w:val="nil"/>
              <w:left w:val="single" w:sz="8" w:space="0" w:color="auto"/>
              <w:bottom w:val="single" w:sz="8" w:space="0" w:color="auto"/>
              <w:right w:val="single" w:sz="8" w:space="0" w:color="auto"/>
            </w:tcBorders>
            <w:noWrap/>
            <w:vAlign w:val="center"/>
          </w:tcPr>
          <w:p w:rsidR="00DC2F2A" w:rsidRPr="00EB2995" w:rsidRDefault="003D58E6" w:rsidP="00DC2F2A">
            <w:pPr>
              <w:jc w:val="right"/>
              <w:rPr>
                <w:rFonts w:cs="Calibri"/>
                <w:color w:val="000000"/>
                <w:lang w:eastAsia="en-GB"/>
              </w:rPr>
            </w:pPr>
            <w:r>
              <w:rPr>
                <w:rFonts w:cs="Calibri"/>
                <w:color w:val="000000"/>
              </w:rPr>
              <w:t>2.1</w:t>
            </w:r>
          </w:p>
        </w:tc>
      </w:tr>
      <w:tr w:rsidR="00DC2F2A" w:rsidRPr="00EB2995" w:rsidTr="00DC2F2A">
        <w:trPr>
          <w:trHeight w:val="315"/>
        </w:trPr>
        <w:tc>
          <w:tcPr>
            <w:tcW w:w="3060" w:type="dxa"/>
            <w:tcBorders>
              <w:top w:val="nil"/>
              <w:left w:val="nil"/>
              <w:bottom w:val="nil"/>
              <w:right w:val="nil"/>
            </w:tcBorders>
            <w:noWrap/>
            <w:vAlign w:val="center"/>
          </w:tcPr>
          <w:p w:rsidR="00DC2F2A" w:rsidRPr="00EB2995" w:rsidRDefault="00DC2F2A" w:rsidP="00DC2F2A">
            <w:pPr>
              <w:rPr>
                <w:rFonts w:cs="Calibri"/>
                <w:b/>
                <w:bCs/>
                <w:color w:val="000000"/>
                <w:lang w:eastAsia="en-GB"/>
              </w:rPr>
            </w:pPr>
            <w:r w:rsidRPr="00EB2995">
              <w:rPr>
                <w:rFonts w:cs="Calibri"/>
                <w:b/>
                <w:bCs/>
                <w:color w:val="000000"/>
                <w:lang w:eastAsia="en-GB"/>
              </w:rPr>
              <w:t>2019/20 Net Overspend/(Underspend)</w:t>
            </w:r>
          </w:p>
        </w:tc>
        <w:tc>
          <w:tcPr>
            <w:tcW w:w="1476" w:type="dxa"/>
            <w:tcBorders>
              <w:top w:val="nil"/>
              <w:left w:val="single" w:sz="8" w:space="0" w:color="auto"/>
              <w:bottom w:val="single" w:sz="8" w:space="0" w:color="auto"/>
              <w:right w:val="single" w:sz="8" w:space="0" w:color="auto"/>
            </w:tcBorders>
            <w:noWrap/>
            <w:vAlign w:val="center"/>
          </w:tcPr>
          <w:p w:rsidR="00DC2F2A" w:rsidRPr="00EB2995" w:rsidRDefault="00DC2F2A" w:rsidP="00DC2F2A">
            <w:pPr>
              <w:jc w:val="right"/>
              <w:rPr>
                <w:rFonts w:cs="Calibri"/>
                <w:b/>
                <w:bCs/>
                <w:color w:val="000000"/>
                <w:lang w:eastAsia="en-GB"/>
              </w:rPr>
            </w:pPr>
            <w:r w:rsidRPr="00EB2995">
              <w:rPr>
                <w:rFonts w:cs="Calibri"/>
                <w:b/>
                <w:bCs/>
                <w:color w:val="000000"/>
              </w:rPr>
              <w:t>0.0</w:t>
            </w:r>
          </w:p>
        </w:tc>
        <w:tc>
          <w:tcPr>
            <w:tcW w:w="300" w:type="dxa"/>
            <w:tcBorders>
              <w:top w:val="nil"/>
              <w:left w:val="nil"/>
              <w:right w:val="nil"/>
            </w:tcBorders>
            <w:noWrap/>
            <w:vAlign w:val="center"/>
          </w:tcPr>
          <w:p w:rsidR="00DC2F2A" w:rsidRPr="00EB2995" w:rsidRDefault="00DC2F2A" w:rsidP="00DC2F2A">
            <w:pPr>
              <w:jc w:val="right"/>
              <w:rPr>
                <w:rFonts w:cs="Calibri"/>
                <w:b/>
                <w:bCs/>
                <w:color w:val="000000"/>
                <w:lang w:eastAsia="en-GB"/>
              </w:rPr>
            </w:pPr>
          </w:p>
        </w:tc>
        <w:tc>
          <w:tcPr>
            <w:tcW w:w="1423" w:type="dxa"/>
            <w:tcBorders>
              <w:top w:val="nil"/>
              <w:left w:val="single" w:sz="8" w:space="0" w:color="auto"/>
              <w:bottom w:val="single" w:sz="8" w:space="0" w:color="auto"/>
              <w:right w:val="single" w:sz="8" w:space="0" w:color="auto"/>
            </w:tcBorders>
            <w:noWrap/>
            <w:vAlign w:val="center"/>
          </w:tcPr>
          <w:p w:rsidR="00DC2F2A" w:rsidRPr="00EB2995" w:rsidRDefault="00DC2F2A" w:rsidP="00DC2F2A">
            <w:pPr>
              <w:jc w:val="right"/>
              <w:rPr>
                <w:rFonts w:cs="Calibri"/>
                <w:b/>
                <w:bCs/>
                <w:color w:val="000000"/>
                <w:lang w:eastAsia="en-GB"/>
              </w:rPr>
            </w:pPr>
            <w:r w:rsidRPr="00EB2995">
              <w:rPr>
                <w:rFonts w:cs="Calibri"/>
                <w:b/>
                <w:bCs/>
                <w:color w:val="000000"/>
              </w:rPr>
              <w:t>0.3</w:t>
            </w:r>
          </w:p>
        </w:tc>
        <w:tc>
          <w:tcPr>
            <w:tcW w:w="300" w:type="dxa"/>
            <w:tcBorders>
              <w:top w:val="nil"/>
              <w:left w:val="nil"/>
              <w:bottom w:val="nil"/>
              <w:right w:val="nil"/>
            </w:tcBorders>
            <w:noWrap/>
            <w:vAlign w:val="center"/>
          </w:tcPr>
          <w:p w:rsidR="00DC2F2A" w:rsidRPr="00EB2995" w:rsidRDefault="00DC2F2A" w:rsidP="00DC2F2A">
            <w:pPr>
              <w:jc w:val="right"/>
              <w:rPr>
                <w:rFonts w:cs="Calibri"/>
                <w:b/>
                <w:bCs/>
                <w:color w:val="000000"/>
                <w:lang w:eastAsia="en-GB"/>
              </w:rPr>
            </w:pPr>
          </w:p>
        </w:tc>
        <w:tc>
          <w:tcPr>
            <w:tcW w:w="1360" w:type="dxa"/>
            <w:tcBorders>
              <w:top w:val="nil"/>
              <w:left w:val="single" w:sz="8" w:space="0" w:color="auto"/>
              <w:bottom w:val="single" w:sz="8" w:space="0" w:color="auto"/>
              <w:right w:val="single" w:sz="8" w:space="0" w:color="auto"/>
            </w:tcBorders>
            <w:noWrap/>
            <w:vAlign w:val="center"/>
          </w:tcPr>
          <w:p w:rsidR="00DC2F2A" w:rsidRPr="00EB2995" w:rsidRDefault="00DC2F2A" w:rsidP="00DC2F2A">
            <w:pPr>
              <w:jc w:val="right"/>
              <w:rPr>
                <w:rFonts w:cs="Calibri"/>
                <w:b/>
                <w:bCs/>
                <w:color w:val="000000"/>
                <w:lang w:eastAsia="en-GB"/>
              </w:rPr>
            </w:pPr>
            <w:r w:rsidRPr="00EB2995">
              <w:rPr>
                <w:rFonts w:cs="Calibri"/>
                <w:b/>
                <w:bCs/>
                <w:color w:val="000000"/>
              </w:rPr>
              <w:t>0.0</w:t>
            </w:r>
          </w:p>
        </w:tc>
        <w:tc>
          <w:tcPr>
            <w:tcW w:w="280" w:type="dxa"/>
            <w:tcBorders>
              <w:top w:val="nil"/>
              <w:left w:val="nil"/>
              <w:bottom w:val="nil"/>
              <w:right w:val="nil"/>
            </w:tcBorders>
            <w:noWrap/>
            <w:vAlign w:val="bottom"/>
          </w:tcPr>
          <w:p w:rsidR="00DC2F2A" w:rsidRPr="00EB2995" w:rsidRDefault="00DC2F2A" w:rsidP="00DC2F2A">
            <w:pPr>
              <w:jc w:val="right"/>
              <w:rPr>
                <w:rFonts w:cs="Calibri"/>
                <w:b/>
                <w:bCs/>
                <w:color w:val="000000"/>
                <w:lang w:eastAsia="en-GB"/>
              </w:rPr>
            </w:pPr>
          </w:p>
        </w:tc>
        <w:tc>
          <w:tcPr>
            <w:tcW w:w="1520" w:type="dxa"/>
            <w:tcBorders>
              <w:top w:val="nil"/>
              <w:left w:val="single" w:sz="8" w:space="0" w:color="auto"/>
              <w:bottom w:val="single" w:sz="8" w:space="0" w:color="auto"/>
              <w:right w:val="single" w:sz="8" w:space="0" w:color="auto"/>
            </w:tcBorders>
            <w:noWrap/>
            <w:vAlign w:val="center"/>
          </w:tcPr>
          <w:p w:rsidR="00DC2F2A" w:rsidRPr="00EB2995" w:rsidRDefault="003D58E6" w:rsidP="00DC2F2A">
            <w:pPr>
              <w:jc w:val="right"/>
              <w:rPr>
                <w:rFonts w:cs="Calibri"/>
                <w:b/>
                <w:bCs/>
                <w:color w:val="000000"/>
                <w:lang w:eastAsia="en-GB"/>
              </w:rPr>
            </w:pPr>
            <w:r>
              <w:rPr>
                <w:rFonts w:cs="Calibri"/>
                <w:b/>
                <w:bCs/>
                <w:color w:val="000000"/>
              </w:rPr>
              <w:t>(0.3)</w:t>
            </w:r>
          </w:p>
        </w:tc>
      </w:tr>
      <w:tr w:rsidR="00DC2F2A" w:rsidRPr="00EB2995" w:rsidTr="00DC2F2A">
        <w:trPr>
          <w:trHeight w:val="300"/>
        </w:trPr>
        <w:tc>
          <w:tcPr>
            <w:tcW w:w="3060" w:type="dxa"/>
            <w:tcBorders>
              <w:top w:val="nil"/>
              <w:left w:val="nil"/>
              <w:bottom w:val="nil"/>
              <w:right w:val="nil"/>
            </w:tcBorders>
            <w:noWrap/>
            <w:vAlign w:val="bottom"/>
          </w:tcPr>
          <w:p w:rsidR="00DC2F2A" w:rsidRPr="00EB2995" w:rsidRDefault="00DC2F2A" w:rsidP="00DC2F2A">
            <w:pPr>
              <w:jc w:val="center"/>
              <w:rPr>
                <w:rFonts w:cs="Calibri"/>
                <w:b/>
                <w:bCs/>
                <w:color w:val="000000"/>
                <w:lang w:eastAsia="en-GB"/>
              </w:rPr>
            </w:pPr>
          </w:p>
        </w:tc>
        <w:tc>
          <w:tcPr>
            <w:tcW w:w="1476" w:type="dxa"/>
            <w:tcBorders>
              <w:top w:val="nil"/>
              <w:left w:val="nil"/>
              <w:bottom w:val="single" w:sz="4" w:space="0" w:color="auto"/>
              <w:right w:val="nil"/>
            </w:tcBorders>
            <w:noWrap/>
            <w:vAlign w:val="bottom"/>
          </w:tcPr>
          <w:p w:rsidR="00DC2F2A" w:rsidRPr="00EB2995" w:rsidRDefault="00DC2F2A" w:rsidP="00DC2F2A">
            <w:pPr>
              <w:rPr>
                <w:rFonts w:cs="Calibri"/>
                <w:sz w:val="20"/>
                <w:szCs w:val="20"/>
                <w:lang w:eastAsia="en-GB"/>
              </w:rPr>
            </w:pPr>
          </w:p>
        </w:tc>
        <w:tc>
          <w:tcPr>
            <w:tcW w:w="300" w:type="dxa"/>
            <w:tcBorders>
              <w:top w:val="nil"/>
              <w:left w:val="nil"/>
              <w:right w:val="nil"/>
            </w:tcBorders>
            <w:noWrap/>
            <w:vAlign w:val="bottom"/>
          </w:tcPr>
          <w:p w:rsidR="00DC2F2A" w:rsidRPr="00EB2995" w:rsidRDefault="00DC2F2A" w:rsidP="00DC2F2A">
            <w:pPr>
              <w:rPr>
                <w:rFonts w:cs="Calibri"/>
                <w:sz w:val="20"/>
                <w:szCs w:val="20"/>
                <w:lang w:eastAsia="en-GB"/>
              </w:rPr>
            </w:pPr>
          </w:p>
        </w:tc>
        <w:tc>
          <w:tcPr>
            <w:tcW w:w="1423" w:type="dxa"/>
            <w:tcBorders>
              <w:top w:val="nil"/>
              <w:left w:val="nil"/>
              <w:bottom w:val="single" w:sz="4" w:space="0" w:color="auto"/>
              <w:right w:val="nil"/>
            </w:tcBorders>
            <w:noWrap/>
            <w:vAlign w:val="bottom"/>
          </w:tcPr>
          <w:p w:rsidR="00DC2F2A" w:rsidRPr="00EB2995" w:rsidRDefault="00DC2F2A" w:rsidP="00DC2F2A">
            <w:pPr>
              <w:rPr>
                <w:rFonts w:cs="Calibri"/>
                <w:sz w:val="20"/>
                <w:szCs w:val="20"/>
                <w:lang w:eastAsia="en-GB"/>
              </w:rPr>
            </w:pPr>
          </w:p>
        </w:tc>
        <w:tc>
          <w:tcPr>
            <w:tcW w:w="300" w:type="dxa"/>
            <w:tcBorders>
              <w:top w:val="nil"/>
              <w:left w:val="nil"/>
              <w:bottom w:val="nil"/>
              <w:right w:val="nil"/>
            </w:tcBorders>
            <w:noWrap/>
            <w:vAlign w:val="bottom"/>
          </w:tcPr>
          <w:p w:rsidR="00DC2F2A" w:rsidRPr="00EB2995" w:rsidRDefault="00DC2F2A" w:rsidP="00DC2F2A">
            <w:pPr>
              <w:rPr>
                <w:rFonts w:cs="Calibri"/>
                <w:sz w:val="20"/>
                <w:szCs w:val="20"/>
                <w:lang w:eastAsia="en-GB"/>
              </w:rPr>
            </w:pPr>
          </w:p>
        </w:tc>
        <w:tc>
          <w:tcPr>
            <w:tcW w:w="1360" w:type="dxa"/>
            <w:tcBorders>
              <w:top w:val="nil"/>
              <w:left w:val="nil"/>
              <w:bottom w:val="single" w:sz="4" w:space="0" w:color="auto"/>
              <w:right w:val="nil"/>
            </w:tcBorders>
            <w:noWrap/>
            <w:vAlign w:val="bottom"/>
          </w:tcPr>
          <w:p w:rsidR="00DC2F2A" w:rsidRPr="00EB2995" w:rsidRDefault="00DC2F2A" w:rsidP="00DC2F2A">
            <w:pPr>
              <w:rPr>
                <w:rFonts w:cs="Calibri"/>
                <w:sz w:val="20"/>
                <w:szCs w:val="20"/>
                <w:lang w:eastAsia="en-GB"/>
              </w:rPr>
            </w:pPr>
          </w:p>
        </w:tc>
        <w:tc>
          <w:tcPr>
            <w:tcW w:w="280" w:type="dxa"/>
            <w:tcBorders>
              <w:top w:val="nil"/>
              <w:left w:val="nil"/>
              <w:bottom w:val="nil"/>
              <w:right w:val="nil"/>
            </w:tcBorders>
            <w:noWrap/>
            <w:vAlign w:val="bottom"/>
          </w:tcPr>
          <w:p w:rsidR="00DC2F2A" w:rsidRPr="00EB2995" w:rsidRDefault="00DC2F2A" w:rsidP="00DC2F2A">
            <w:pPr>
              <w:rPr>
                <w:rFonts w:cs="Calibri"/>
                <w:sz w:val="20"/>
                <w:szCs w:val="20"/>
                <w:lang w:eastAsia="en-GB"/>
              </w:rPr>
            </w:pPr>
          </w:p>
        </w:tc>
        <w:tc>
          <w:tcPr>
            <w:tcW w:w="1520" w:type="dxa"/>
            <w:tcBorders>
              <w:top w:val="nil"/>
              <w:left w:val="nil"/>
              <w:bottom w:val="single" w:sz="4" w:space="0" w:color="auto"/>
              <w:right w:val="nil"/>
            </w:tcBorders>
            <w:noWrap/>
            <w:vAlign w:val="center"/>
          </w:tcPr>
          <w:p w:rsidR="00DC2F2A" w:rsidRPr="00EB2995" w:rsidRDefault="00DC2F2A" w:rsidP="00DC2F2A">
            <w:pPr>
              <w:rPr>
                <w:rFonts w:cs="Calibri"/>
                <w:sz w:val="20"/>
                <w:szCs w:val="20"/>
                <w:lang w:eastAsia="en-GB"/>
              </w:rPr>
            </w:pPr>
          </w:p>
        </w:tc>
      </w:tr>
      <w:tr w:rsidR="00DC2F2A" w:rsidRPr="00EB2995" w:rsidTr="00DC2F2A">
        <w:trPr>
          <w:trHeight w:val="600"/>
        </w:trPr>
        <w:tc>
          <w:tcPr>
            <w:tcW w:w="3060" w:type="dxa"/>
            <w:tcBorders>
              <w:top w:val="nil"/>
              <w:left w:val="nil"/>
              <w:bottom w:val="nil"/>
              <w:right w:val="single" w:sz="4" w:space="0" w:color="auto"/>
            </w:tcBorders>
            <w:vAlign w:val="center"/>
          </w:tcPr>
          <w:p w:rsidR="00DC2F2A" w:rsidRPr="00EB2995" w:rsidRDefault="00DC2F2A" w:rsidP="00DC2F2A">
            <w:pPr>
              <w:rPr>
                <w:rFonts w:cs="Calibri"/>
                <w:b/>
                <w:bCs/>
                <w:color w:val="000000"/>
                <w:lang w:eastAsia="en-GB"/>
              </w:rPr>
            </w:pPr>
            <w:r w:rsidRPr="00EB2995">
              <w:rPr>
                <w:rFonts w:cs="Calibri"/>
                <w:b/>
                <w:bCs/>
                <w:color w:val="000000"/>
                <w:lang w:eastAsia="en-GB"/>
              </w:rPr>
              <w:t>2018/19 Net Overspend/(Underspend)</w:t>
            </w:r>
          </w:p>
        </w:tc>
        <w:tc>
          <w:tcPr>
            <w:tcW w:w="1476" w:type="dxa"/>
            <w:tcBorders>
              <w:top w:val="single" w:sz="4" w:space="0" w:color="auto"/>
              <w:left w:val="single" w:sz="4" w:space="0" w:color="auto"/>
              <w:bottom w:val="single" w:sz="4" w:space="0" w:color="auto"/>
              <w:right w:val="single" w:sz="4" w:space="0" w:color="auto"/>
            </w:tcBorders>
            <w:noWrap/>
            <w:vAlign w:val="center"/>
          </w:tcPr>
          <w:p w:rsidR="00DC2F2A" w:rsidRPr="00EB2995" w:rsidRDefault="00DC2F2A" w:rsidP="00DC2F2A">
            <w:pPr>
              <w:jc w:val="right"/>
              <w:rPr>
                <w:rFonts w:cs="Calibri"/>
                <w:b/>
                <w:bCs/>
                <w:color w:val="000000"/>
                <w:lang w:eastAsia="en-GB"/>
              </w:rPr>
            </w:pPr>
            <w:r w:rsidRPr="00EB2995">
              <w:rPr>
                <w:rFonts w:cs="Calibri"/>
                <w:b/>
                <w:bCs/>
                <w:color w:val="000000"/>
                <w:lang w:eastAsia="en-GB"/>
              </w:rPr>
              <w:t>0.0</w:t>
            </w:r>
          </w:p>
        </w:tc>
        <w:tc>
          <w:tcPr>
            <w:tcW w:w="300" w:type="dxa"/>
            <w:tcBorders>
              <w:left w:val="single" w:sz="4" w:space="0" w:color="auto"/>
              <w:right w:val="single" w:sz="4" w:space="0" w:color="auto"/>
            </w:tcBorders>
            <w:noWrap/>
            <w:vAlign w:val="center"/>
          </w:tcPr>
          <w:p w:rsidR="00DC2F2A" w:rsidRPr="00EB2995" w:rsidRDefault="00DC2F2A" w:rsidP="00DC2F2A">
            <w:pPr>
              <w:jc w:val="right"/>
              <w:rPr>
                <w:rFonts w:cs="Calibri"/>
                <w:b/>
                <w:bCs/>
                <w:color w:val="000000"/>
                <w:lang w:eastAsia="en-GB"/>
              </w:rPr>
            </w:pPr>
          </w:p>
        </w:tc>
        <w:tc>
          <w:tcPr>
            <w:tcW w:w="1423" w:type="dxa"/>
            <w:tcBorders>
              <w:top w:val="single" w:sz="4" w:space="0" w:color="auto"/>
              <w:left w:val="single" w:sz="4" w:space="0" w:color="auto"/>
              <w:bottom w:val="single" w:sz="4" w:space="0" w:color="auto"/>
              <w:right w:val="single" w:sz="4" w:space="0" w:color="auto"/>
            </w:tcBorders>
            <w:noWrap/>
            <w:vAlign w:val="center"/>
          </w:tcPr>
          <w:p w:rsidR="00DC2F2A" w:rsidRPr="00EB2995" w:rsidRDefault="00DC2F2A" w:rsidP="00DC2F2A">
            <w:pPr>
              <w:jc w:val="right"/>
              <w:rPr>
                <w:rFonts w:cs="Calibri"/>
                <w:b/>
                <w:bCs/>
                <w:color w:val="000000"/>
                <w:lang w:eastAsia="en-GB"/>
              </w:rPr>
            </w:pPr>
            <w:r w:rsidRPr="00EB2995">
              <w:rPr>
                <w:rFonts w:cs="Calibri"/>
                <w:b/>
                <w:bCs/>
                <w:color w:val="000000"/>
                <w:lang w:eastAsia="en-GB"/>
              </w:rPr>
              <w:t>0.6</w:t>
            </w:r>
          </w:p>
        </w:tc>
        <w:tc>
          <w:tcPr>
            <w:tcW w:w="300" w:type="dxa"/>
            <w:tcBorders>
              <w:top w:val="nil"/>
              <w:left w:val="single" w:sz="4" w:space="0" w:color="auto"/>
              <w:bottom w:val="nil"/>
              <w:right w:val="single" w:sz="4" w:space="0" w:color="auto"/>
            </w:tcBorders>
            <w:noWrap/>
            <w:vAlign w:val="center"/>
          </w:tcPr>
          <w:p w:rsidR="00DC2F2A" w:rsidRPr="00EB2995" w:rsidRDefault="00DC2F2A" w:rsidP="00DC2F2A">
            <w:pPr>
              <w:jc w:val="right"/>
              <w:rPr>
                <w:rFonts w:cs="Calibri"/>
                <w:b/>
                <w:bCs/>
                <w:color w:val="000000"/>
                <w:lang w:eastAsia="en-GB"/>
              </w:rPr>
            </w:pPr>
          </w:p>
        </w:tc>
        <w:tc>
          <w:tcPr>
            <w:tcW w:w="1360" w:type="dxa"/>
            <w:tcBorders>
              <w:top w:val="single" w:sz="4" w:space="0" w:color="auto"/>
              <w:left w:val="single" w:sz="4" w:space="0" w:color="auto"/>
              <w:bottom w:val="single" w:sz="4" w:space="0" w:color="auto"/>
              <w:right w:val="single" w:sz="4" w:space="0" w:color="auto"/>
            </w:tcBorders>
            <w:noWrap/>
            <w:vAlign w:val="center"/>
          </w:tcPr>
          <w:p w:rsidR="00DC2F2A" w:rsidRPr="00EB2995" w:rsidRDefault="00DC2F2A" w:rsidP="00DC2F2A">
            <w:pPr>
              <w:jc w:val="right"/>
              <w:rPr>
                <w:rFonts w:cs="Calibri"/>
                <w:b/>
                <w:bCs/>
                <w:color w:val="000000"/>
                <w:lang w:eastAsia="en-GB"/>
              </w:rPr>
            </w:pPr>
            <w:r w:rsidRPr="00EB2995">
              <w:rPr>
                <w:rFonts w:cs="Calibri"/>
                <w:b/>
                <w:bCs/>
                <w:color w:val="000000"/>
                <w:lang w:eastAsia="en-GB"/>
              </w:rPr>
              <w:t>0</w:t>
            </w:r>
          </w:p>
        </w:tc>
        <w:tc>
          <w:tcPr>
            <w:tcW w:w="280" w:type="dxa"/>
            <w:tcBorders>
              <w:top w:val="nil"/>
              <w:left w:val="single" w:sz="4" w:space="0" w:color="auto"/>
              <w:bottom w:val="nil"/>
              <w:right w:val="single" w:sz="4" w:space="0" w:color="auto"/>
            </w:tcBorders>
            <w:noWrap/>
            <w:vAlign w:val="bottom"/>
          </w:tcPr>
          <w:p w:rsidR="00DC2F2A" w:rsidRPr="00EB2995" w:rsidRDefault="00DC2F2A" w:rsidP="00DC2F2A">
            <w:pPr>
              <w:jc w:val="right"/>
              <w:rPr>
                <w:rFonts w:cs="Calibri"/>
                <w:b/>
                <w:bCs/>
                <w:color w:val="000000"/>
                <w:lang w:eastAsia="en-GB"/>
              </w:rPr>
            </w:pPr>
          </w:p>
        </w:tc>
        <w:tc>
          <w:tcPr>
            <w:tcW w:w="1520" w:type="dxa"/>
            <w:tcBorders>
              <w:top w:val="single" w:sz="4" w:space="0" w:color="auto"/>
              <w:left w:val="single" w:sz="4" w:space="0" w:color="auto"/>
              <w:bottom w:val="single" w:sz="4" w:space="0" w:color="auto"/>
              <w:right w:val="single" w:sz="4" w:space="0" w:color="auto"/>
            </w:tcBorders>
            <w:noWrap/>
            <w:vAlign w:val="center"/>
          </w:tcPr>
          <w:p w:rsidR="00DC2F2A" w:rsidRPr="00EB2995" w:rsidRDefault="00DC2F2A" w:rsidP="00DC2F2A">
            <w:pPr>
              <w:jc w:val="right"/>
              <w:rPr>
                <w:rFonts w:cs="Calibri"/>
                <w:b/>
                <w:bCs/>
                <w:color w:val="000000"/>
                <w:lang w:eastAsia="en-GB"/>
              </w:rPr>
            </w:pPr>
            <w:r w:rsidRPr="00EB2995">
              <w:rPr>
                <w:rFonts w:cs="Calibri"/>
                <w:b/>
                <w:bCs/>
                <w:color w:val="000000"/>
                <w:lang w:eastAsia="en-GB"/>
              </w:rPr>
              <w:t>(0.1)</w:t>
            </w:r>
          </w:p>
        </w:tc>
      </w:tr>
      <w:tr w:rsidR="00DC2F2A" w:rsidRPr="00EB2995" w:rsidTr="00DC2F2A">
        <w:trPr>
          <w:trHeight w:val="600"/>
        </w:trPr>
        <w:tc>
          <w:tcPr>
            <w:tcW w:w="3060" w:type="dxa"/>
            <w:tcBorders>
              <w:top w:val="nil"/>
              <w:left w:val="nil"/>
              <w:bottom w:val="nil"/>
              <w:right w:val="nil"/>
            </w:tcBorders>
            <w:vAlign w:val="center"/>
          </w:tcPr>
          <w:p w:rsidR="00DC2F2A" w:rsidRPr="00EB2995" w:rsidRDefault="00DC2F2A" w:rsidP="00DC2F2A">
            <w:pPr>
              <w:rPr>
                <w:rFonts w:cs="Calibri"/>
                <w:b/>
                <w:bCs/>
                <w:color w:val="000000"/>
                <w:lang w:eastAsia="en-GB"/>
              </w:rPr>
            </w:pPr>
          </w:p>
        </w:tc>
        <w:tc>
          <w:tcPr>
            <w:tcW w:w="1476" w:type="dxa"/>
            <w:tcBorders>
              <w:top w:val="single" w:sz="4" w:space="0" w:color="auto"/>
              <w:left w:val="nil"/>
              <w:bottom w:val="nil"/>
              <w:right w:val="nil"/>
            </w:tcBorders>
            <w:noWrap/>
            <w:vAlign w:val="center"/>
          </w:tcPr>
          <w:p w:rsidR="00DC2F2A" w:rsidRPr="00EB2995" w:rsidRDefault="00DC2F2A" w:rsidP="00DC2F2A">
            <w:pPr>
              <w:jc w:val="right"/>
              <w:rPr>
                <w:rFonts w:cs="Calibri"/>
                <w:b/>
                <w:bCs/>
                <w:color w:val="000000"/>
                <w:lang w:eastAsia="en-GB"/>
              </w:rPr>
            </w:pPr>
          </w:p>
        </w:tc>
        <w:tc>
          <w:tcPr>
            <w:tcW w:w="300" w:type="dxa"/>
            <w:tcBorders>
              <w:left w:val="nil"/>
              <w:bottom w:val="nil"/>
              <w:right w:val="nil"/>
            </w:tcBorders>
            <w:noWrap/>
            <w:vAlign w:val="center"/>
          </w:tcPr>
          <w:p w:rsidR="00DC2F2A" w:rsidRPr="00EB2995" w:rsidRDefault="00DC2F2A" w:rsidP="00DC2F2A">
            <w:pPr>
              <w:jc w:val="right"/>
              <w:rPr>
                <w:rFonts w:cs="Calibri"/>
                <w:b/>
                <w:bCs/>
                <w:color w:val="000000"/>
                <w:lang w:eastAsia="en-GB"/>
              </w:rPr>
            </w:pPr>
          </w:p>
        </w:tc>
        <w:tc>
          <w:tcPr>
            <w:tcW w:w="1423" w:type="dxa"/>
            <w:tcBorders>
              <w:top w:val="single" w:sz="4" w:space="0" w:color="auto"/>
              <w:left w:val="nil"/>
              <w:bottom w:val="nil"/>
              <w:right w:val="nil"/>
            </w:tcBorders>
            <w:noWrap/>
            <w:vAlign w:val="center"/>
          </w:tcPr>
          <w:p w:rsidR="00DC2F2A" w:rsidRPr="00EB2995" w:rsidRDefault="00DC2F2A" w:rsidP="00DC2F2A">
            <w:pPr>
              <w:jc w:val="right"/>
              <w:rPr>
                <w:rFonts w:cs="Calibri"/>
                <w:b/>
                <w:bCs/>
                <w:color w:val="000000"/>
                <w:lang w:eastAsia="en-GB"/>
              </w:rPr>
            </w:pPr>
          </w:p>
        </w:tc>
        <w:tc>
          <w:tcPr>
            <w:tcW w:w="300" w:type="dxa"/>
            <w:tcBorders>
              <w:top w:val="nil"/>
              <w:left w:val="nil"/>
              <w:bottom w:val="nil"/>
              <w:right w:val="nil"/>
            </w:tcBorders>
            <w:noWrap/>
            <w:vAlign w:val="center"/>
          </w:tcPr>
          <w:p w:rsidR="00DC2F2A" w:rsidRPr="00EB2995" w:rsidRDefault="00DC2F2A" w:rsidP="00DC2F2A">
            <w:pPr>
              <w:jc w:val="right"/>
              <w:rPr>
                <w:rFonts w:cs="Calibri"/>
                <w:b/>
                <w:bCs/>
                <w:color w:val="000000"/>
                <w:lang w:eastAsia="en-GB"/>
              </w:rPr>
            </w:pPr>
          </w:p>
        </w:tc>
        <w:tc>
          <w:tcPr>
            <w:tcW w:w="1360" w:type="dxa"/>
            <w:tcBorders>
              <w:top w:val="single" w:sz="4" w:space="0" w:color="auto"/>
              <w:left w:val="nil"/>
              <w:bottom w:val="nil"/>
              <w:right w:val="nil"/>
            </w:tcBorders>
            <w:noWrap/>
            <w:vAlign w:val="center"/>
          </w:tcPr>
          <w:p w:rsidR="00DC2F2A" w:rsidRPr="00EB2995" w:rsidRDefault="00DC2F2A" w:rsidP="00DC2F2A">
            <w:pPr>
              <w:jc w:val="right"/>
              <w:rPr>
                <w:rFonts w:cs="Calibri"/>
                <w:b/>
                <w:bCs/>
                <w:color w:val="000000"/>
                <w:lang w:eastAsia="en-GB"/>
              </w:rPr>
            </w:pPr>
          </w:p>
        </w:tc>
        <w:tc>
          <w:tcPr>
            <w:tcW w:w="280" w:type="dxa"/>
            <w:tcBorders>
              <w:top w:val="nil"/>
              <w:left w:val="nil"/>
              <w:bottom w:val="nil"/>
              <w:right w:val="nil"/>
            </w:tcBorders>
            <w:noWrap/>
            <w:vAlign w:val="bottom"/>
          </w:tcPr>
          <w:p w:rsidR="00DC2F2A" w:rsidRPr="00EB2995" w:rsidRDefault="00DC2F2A" w:rsidP="00DC2F2A">
            <w:pPr>
              <w:jc w:val="right"/>
              <w:rPr>
                <w:rFonts w:cs="Calibri"/>
                <w:b/>
                <w:bCs/>
                <w:color w:val="000000"/>
                <w:lang w:eastAsia="en-GB"/>
              </w:rPr>
            </w:pPr>
          </w:p>
        </w:tc>
        <w:tc>
          <w:tcPr>
            <w:tcW w:w="1520" w:type="dxa"/>
            <w:tcBorders>
              <w:top w:val="single" w:sz="4" w:space="0" w:color="auto"/>
              <w:left w:val="nil"/>
              <w:bottom w:val="nil"/>
              <w:right w:val="nil"/>
            </w:tcBorders>
            <w:noWrap/>
            <w:vAlign w:val="center"/>
          </w:tcPr>
          <w:p w:rsidR="00DC2F2A" w:rsidRPr="00EB2995" w:rsidRDefault="00DC2F2A" w:rsidP="00DC2F2A">
            <w:pPr>
              <w:jc w:val="right"/>
              <w:rPr>
                <w:rFonts w:cs="Calibri"/>
                <w:b/>
                <w:bCs/>
                <w:color w:val="000000"/>
                <w:lang w:eastAsia="en-GB"/>
              </w:rPr>
            </w:pPr>
          </w:p>
        </w:tc>
      </w:tr>
    </w:tbl>
    <w:p w:rsidR="00F72906" w:rsidRDefault="00F72906" w:rsidP="00F72906">
      <w:r>
        <w:t>For 19/20 occupational therapy the share of overspend attributed to Brent CCG is £0.</w:t>
      </w:r>
      <w:r w:rsidR="00DC2F2A">
        <w:t xml:space="preserve">2m and £0.1m to Brent Council. </w:t>
      </w:r>
    </w:p>
    <w:p w:rsidR="00DC2F2A" w:rsidRDefault="00F72906" w:rsidP="00DC2F2A">
      <w:r>
        <w:t xml:space="preserve">For 18/19 Occupational Therapy £0.4m is attributable to Brent CCG and £0.2m to Brent </w:t>
      </w:r>
      <w:r w:rsidR="00DC2F2A">
        <w:t xml:space="preserve">Council. </w:t>
      </w:r>
    </w:p>
    <w:p w:rsidR="00DC2F2A" w:rsidRDefault="00DC2F2A">
      <w:pPr>
        <w:rPr>
          <w:rFonts w:asciiTheme="majorHAnsi" w:eastAsiaTheme="majorEastAsia" w:hAnsiTheme="majorHAnsi" w:cstheme="majorBidi"/>
          <w:color w:val="1F4D78" w:themeColor="accent1" w:themeShade="7F"/>
          <w:sz w:val="24"/>
          <w:szCs w:val="24"/>
        </w:rPr>
      </w:pPr>
      <w:r>
        <w:br w:type="page"/>
      </w:r>
    </w:p>
    <w:p w:rsidR="00F72906" w:rsidRDefault="00DC2F2A" w:rsidP="00DC2F2A">
      <w:pPr>
        <w:pStyle w:val="Heading3"/>
      </w:pPr>
      <w:r>
        <w:lastRenderedPageBreak/>
        <w:t>N</w:t>
      </w:r>
      <w:r w:rsidR="00F72906">
        <w:t>ote 1</w:t>
      </w:r>
      <w:r w:rsidR="007058D0">
        <w:t>6</w:t>
      </w:r>
      <w:r w:rsidR="00F72906">
        <w:t xml:space="preserve"> – Members’ Allowances</w:t>
      </w:r>
    </w:p>
    <w:p w:rsidR="00F72906" w:rsidRDefault="00F72906" w:rsidP="00F72906">
      <w:r>
        <w:t>Total payments including National Insurance costs in 2019/20 were £1.16m (£1.16m in 2018/19). Details of the Members' Allowances scheme ar</w:t>
      </w:r>
      <w:r w:rsidR="00DC2F2A">
        <w:t>e available on Brent's website.</w:t>
      </w:r>
    </w:p>
    <w:p w:rsidR="00F72906" w:rsidRDefault="00F72906" w:rsidP="00DC2F2A">
      <w:pPr>
        <w:pStyle w:val="Heading3"/>
      </w:pPr>
      <w:r>
        <w:t>Note 1</w:t>
      </w:r>
      <w:r w:rsidR="007058D0">
        <w:t>7</w:t>
      </w:r>
      <w:r>
        <w:t xml:space="preserve"> – External Audit Costs</w:t>
      </w:r>
    </w:p>
    <w:p w:rsidR="00F72906" w:rsidRDefault="00F72906" w:rsidP="00F72906">
      <w:r>
        <w:t>The Council’s external auditor for 2018/19 and 2019/20 is Grant Thornton.</w:t>
      </w:r>
    </w:p>
    <w:tbl>
      <w:tblPr>
        <w:tblW w:w="8363" w:type="dxa"/>
        <w:tblInd w:w="993" w:type="dxa"/>
        <w:tblLook w:val="00A0" w:firstRow="1" w:lastRow="0" w:firstColumn="1" w:lastColumn="0" w:noHBand="0" w:noVBand="0"/>
      </w:tblPr>
      <w:tblGrid>
        <w:gridCol w:w="1559"/>
        <w:gridCol w:w="5245"/>
        <w:gridCol w:w="1559"/>
      </w:tblGrid>
      <w:tr w:rsidR="00DC2F2A" w:rsidRPr="00EB2995" w:rsidTr="00DC2F2A">
        <w:trPr>
          <w:trHeight w:val="300"/>
        </w:trPr>
        <w:tc>
          <w:tcPr>
            <w:tcW w:w="1559" w:type="dxa"/>
            <w:tcBorders>
              <w:top w:val="nil"/>
              <w:left w:val="nil"/>
              <w:bottom w:val="nil"/>
              <w:right w:val="nil"/>
            </w:tcBorders>
            <w:vAlign w:val="bottom"/>
          </w:tcPr>
          <w:p w:rsidR="00DC2F2A" w:rsidRPr="00EB2995" w:rsidRDefault="00DC2F2A" w:rsidP="00DC2F2A">
            <w:pPr>
              <w:jc w:val="right"/>
              <w:rPr>
                <w:rFonts w:cs="Calibri"/>
                <w:b/>
                <w:bCs/>
              </w:rPr>
            </w:pPr>
            <w:r w:rsidRPr="00EB2995">
              <w:rPr>
                <w:rFonts w:cs="Calibri"/>
                <w:b/>
                <w:bCs/>
              </w:rPr>
              <w:t>2018/19</w:t>
            </w:r>
          </w:p>
        </w:tc>
        <w:tc>
          <w:tcPr>
            <w:tcW w:w="5245" w:type="dxa"/>
            <w:tcBorders>
              <w:top w:val="nil"/>
              <w:left w:val="nil"/>
              <w:bottom w:val="nil"/>
            </w:tcBorders>
            <w:vAlign w:val="bottom"/>
          </w:tcPr>
          <w:p w:rsidR="00DC2F2A" w:rsidRPr="00EB2995" w:rsidRDefault="00DC2F2A" w:rsidP="00DC2F2A">
            <w:pPr>
              <w:jc w:val="center"/>
              <w:rPr>
                <w:rFonts w:cs="Calibri"/>
                <w:b/>
                <w:bCs/>
              </w:rPr>
            </w:pPr>
          </w:p>
        </w:tc>
        <w:tc>
          <w:tcPr>
            <w:tcW w:w="1559" w:type="dxa"/>
            <w:tcBorders>
              <w:bottom w:val="nil"/>
            </w:tcBorders>
            <w:vAlign w:val="bottom"/>
          </w:tcPr>
          <w:p w:rsidR="00DC2F2A" w:rsidRPr="00EB2995" w:rsidRDefault="00DC2F2A" w:rsidP="00DC2F2A">
            <w:pPr>
              <w:jc w:val="right"/>
              <w:rPr>
                <w:rFonts w:cs="Calibri"/>
                <w:b/>
                <w:bCs/>
              </w:rPr>
            </w:pPr>
            <w:r w:rsidRPr="00EB2995">
              <w:rPr>
                <w:rFonts w:cs="Calibri"/>
                <w:b/>
                <w:bCs/>
              </w:rPr>
              <w:t>2019/20</w:t>
            </w:r>
          </w:p>
        </w:tc>
      </w:tr>
      <w:tr w:rsidR="00DC2F2A" w:rsidRPr="00EB2995" w:rsidTr="00DC2F2A">
        <w:trPr>
          <w:trHeight w:val="300"/>
        </w:trPr>
        <w:tc>
          <w:tcPr>
            <w:tcW w:w="1559" w:type="dxa"/>
            <w:tcBorders>
              <w:top w:val="nil"/>
              <w:left w:val="nil"/>
              <w:bottom w:val="single" w:sz="4" w:space="0" w:color="auto"/>
              <w:right w:val="nil"/>
            </w:tcBorders>
            <w:vAlign w:val="bottom"/>
          </w:tcPr>
          <w:p w:rsidR="00DC2F2A" w:rsidRPr="00EB2995" w:rsidRDefault="00DC2F2A" w:rsidP="00DC2F2A">
            <w:pPr>
              <w:jc w:val="right"/>
              <w:rPr>
                <w:rFonts w:cs="Calibri"/>
                <w:b/>
                <w:bCs/>
              </w:rPr>
            </w:pPr>
            <w:r w:rsidRPr="00EB2995">
              <w:rPr>
                <w:rFonts w:cs="Calibri"/>
                <w:b/>
                <w:bCs/>
              </w:rPr>
              <w:t>£’000</w:t>
            </w:r>
          </w:p>
        </w:tc>
        <w:tc>
          <w:tcPr>
            <w:tcW w:w="5245" w:type="dxa"/>
            <w:tcBorders>
              <w:top w:val="nil"/>
              <w:left w:val="nil"/>
              <w:bottom w:val="nil"/>
            </w:tcBorders>
            <w:vAlign w:val="bottom"/>
          </w:tcPr>
          <w:p w:rsidR="00DC2F2A" w:rsidRPr="00EB2995" w:rsidRDefault="00DC2F2A" w:rsidP="00DC2F2A">
            <w:pPr>
              <w:jc w:val="center"/>
              <w:rPr>
                <w:rFonts w:cs="Calibri"/>
                <w:b/>
                <w:bCs/>
              </w:rPr>
            </w:pPr>
          </w:p>
        </w:tc>
        <w:tc>
          <w:tcPr>
            <w:tcW w:w="1559" w:type="dxa"/>
            <w:tcBorders>
              <w:top w:val="nil"/>
              <w:bottom w:val="single" w:sz="4" w:space="0" w:color="auto"/>
            </w:tcBorders>
            <w:noWrap/>
            <w:vAlign w:val="bottom"/>
          </w:tcPr>
          <w:p w:rsidR="00DC2F2A" w:rsidRPr="00EB2995" w:rsidRDefault="00DC2F2A" w:rsidP="00DC2F2A">
            <w:pPr>
              <w:jc w:val="right"/>
              <w:rPr>
                <w:rFonts w:cs="Calibri"/>
                <w:b/>
                <w:bCs/>
              </w:rPr>
            </w:pPr>
            <w:r w:rsidRPr="00EB2995">
              <w:rPr>
                <w:rFonts w:cs="Calibri"/>
                <w:b/>
                <w:bCs/>
              </w:rPr>
              <w:t>£’000</w:t>
            </w:r>
          </w:p>
        </w:tc>
      </w:tr>
      <w:tr w:rsidR="00DC2F2A" w:rsidRPr="00EB2995" w:rsidTr="00DC2F2A">
        <w:trPr>
          <w:trHeight w:val="300"/>
        </w:trPr>
        <w:tc>
          <w:tcPr>
            <w:tcW w:w="1559" w:type="dxa"/>
            <w:tcBorders>
              <w:top w:val="single" w:sz="4" w:space="0" w:color="auto"/>
              <w:left w:val="single" w:sz="4" w:space="0" w:color="auto"/>
              <w:right w:val="single" w:sz="4" w:space="0" w:color="auto"/>
            </w:tcBorders>
            <w:vAlign w:val="bottom"/>
          </w:tcPr>
          <w:p w:rsidR="00DC2F2A" w:rsidRPr="00EB2995" w:rsidRDefault="00DC2F2A" w:rsidP="00DC2F2A">
            <w:pPr>
              <w:jc w:val="right"/>
              <w:rPr>
                <w:rFonts w:cs="Calibri"/>
              </w:rPr>
            </w:pPr>
            <w:r w:rsidRPr="00EB2995">
              <w:rPr>
                <w:rFonts w:cs="Calibri"/>
              </w:rPr>
              <w:t>175.0</w:t>
            </w:r>
          </w:p>
        </w:tc>
        <w:tc>
          <w:tcPr>
            <w:tcW w:w="5245" w:type="dxa"/>
            <w:tcBorders>
              <w:top w:val="nil"/>
              <w:left w:val="single" w:sz="4" w:space="0" w:color="auto"/>
              <w:bottom w:val="nil"/>
              <w:right w:val="single" w:sz="4" w:space="0" w:color="auto"/>
            </w:tcBorders>
            <w:vAlign w:val="bottom"/>
          </w:tcPr>
          <w:p w:rsidR="00DC2F2A" w:rsidRPr="00EB2995" w:rsidRDefault="00DC2F2A" w:rsidP="00D4571A">
            <w:pPr>
              <w:rPr>
                <w:rFonts w:cs="Calibri"/>
              </w:rPr>
            </w:pPr>
            <w:r w:rsidRPr="00EB2995">
              <w:rPr>
                <w:rFonts w:cs="Calibri"/>
                <w:color w:val="000000"/>
              </w:rPr>
              <w:t>External audit services for in-year</w:t>
            </w:r>
          </w:p>
        </w:tc>
        <w:tc>
          <w:tcPr>
            <w:tcW w:w="1559" w:type="dxa"/>
            <w:tcBorders>
              <w:top w:val="single" w:sz="4" w:space="0" w:color="auto"/>
              <w:left w:val="single" w:sz="4" w:space="0" w:color="auto"/>
              <w:right w:val="single" w:sz="4" w:space="0" w:color="auto"/>
            </w:tcBorders>
            <w:noWrap/>
            <w:vAlign w:val="bottom"/>
          </w:tcPr>
          <w:p w:rsidR="00DC2F2A" w:rsidRPr="00EB2995" w:rsidRDefault="00DC2F2A" w:rsidP="00DC2F2A">
            <w:pPr>
              <w:jc w:val="right"/>
              <w:rPr>
                <w:rFonts w:cs="Calibri"/>
              </w:rPr>
            </w:pPr>
            <w:r w:rsidRPr="00EB2995">
              <w:rPr>
                <w:rFonts w:cs="Calibri"/>
              </w:rPr>
              <w:t>184.0</w:t>
            </w:r>
          </w:p>
        </w:tc>
      </w:tr>
      <w:tr w:rsidR="00DC2F2A" w:rsidRPr="00EB2995" w:rsidTr="00DC2F2A">
        <w:trPr>
          <w:trHeight w:val="300"/>
        </w:trPr>
        <w:tc>
          <w:tcPr>
            <w:tcW w:w="1559" w:type="dxa"/>
            <w:tcBorders>
              <w:top w:val="nil"/>
              <w:left w:val="single" w:sz="4" w:space="0" w:color="auto"/>
              <w:right w:val="single" w:sz="4" w:space="0" w:color="auto"/>
            </w:tcBorders>
            <w:vAlign w:val="bottom"/>
          </w:tcPr>
          <w:p w:rsidR="00DC2F2A" w:rsidRPr="00EB2995" w:rsidRDefault="00DC2F2A" w:rsidP="00DC2F2A">
            <w:pPr>
              <w:jc w:val="right"/>
              <w:rPr>
                <w:rFonts w:cs="Calibri"/>
              </w:rPr>
            </w:pPr>
            <w:r w:rsidRPr="00EB2995">
              <w:rPr>
                <w:rFonts w:cs="Calibri"/>
              </w:rPr>
              <w:t>20.0</w:t>
            </w:r>
          </w:p>
        </w:tc>
        <w:tc>
          <w:tcPr>
            <w:tcW w:w="5245" w:type="dxa"/>
            <w:tcBorders>
              <w:top w:val="nil"/>
              <w:left w:val="single" w:sz="4" w:space="0" w:color="auto"/>
              <w:bottom w:val="nil"/>
              <w:right w:val="single" w:sz="4" w:space="0" w:color="auto"/>
            </w:tcBorders>
            <w:vAlign w:val="bottom"/>
          </w:tcPr>
          <w:p w:rsidR="00DC2F2A" w:rsidRPr="00EB2995" w:rsidRDefault="00DC2F2A" w:rsidP="00DC2F2A">
            <w:pPr>
              <w:rPr>
                <w:rFonts w:cs="Calibri"/>
              </w:rPr>
            </w:pPr>
            <w:r w:rsidRPr="00EB2995">
              <w:rPr>
                <w:rFonts w:cs="Calibri"/>
                <w:color w:val="000000"/>
              </w:rPr>
              <w:t>Certification of grant claims and returns for in- year</w:t>
            </w:r>
          </w:p>
        </w:tc>
        <w:tc>
          <w:tcPr>
            <w:tcW w:w="1559" w:type="dxa"/>
            <w:tcBorders>
              <w:top w:val="nil"/>
              <w:left w:val="single" w:sz="4" w:space="0" w:color="auto"/>
              <w:right w:val="single" w:sz="4" w:space="0" w:color="auto"/>
            </w:tcBorders>
            <w:noWrap/>
            <w:vAlign w:val="bottom"/>
          </w:tcPr>
          <w:p w:rsidR="00DC2F2A" w:rsidRPr="00EB2995" w:rsidRDefault="00DC2F2A" w:rsidP="00DC2F2A">
            <w:pPr>
              <w:jc w:val="right"/>
              <w:rPr>
                <w:rFonts w:cs="Calibri"/>
              </w:rPr>
            </w:pPr>
            <w:r w:rsidRPr="00EB2995">
              <w:rPr>
                <w:rFonts w:cs="Calibri"/>
              </w:rPr>
              <w:t>34.0</w:t>
            </w:r>
          </w:p>
        </w:tc>
      </w:tr>
      <w:tr w:rsidR="00DC2F2A" w:rsidRPr="00EB2995" w:rsidTr="00DC2F2A">
        <w:trPr>
          <w:trHeight w:val="300"/>
        </w:trPr>
        <w:tc>
          <w:tcPr>
            <w:tcW w:w="1559" w:type="dxa"/>
            <w:tcBorders>
              <w:top w:val="single" w:sz="4" w:space="0" w:color="auto"/>
              <w:left w:val="single" w:sz="4" w:space="0" w:color="auto"/>
              <w:bottom w:val="single" w:sz="4" w:space="0" w:color="auto"/>
              <w:right w:val="single" w:sz="4" w:space="0" w:color="auto"/>
            </w:tcBorders>
            <w:vAlign w:val="bottom"/>
          </w:tcPr>
          <w:p w:rsidR="00DC2F2A" w:rsidRPr="00EB2995" w:rsidRDefault="00DC2F2A" w:rsidP="00DC2F2A">
            <w:pPr>
              <w:jc w:val="right"/>
              <w:rPr>
                <w:rFonts w:cs="Calibri"/>
                <w:b/>
                <w:bCs/>
                <w:color w:val="000000"/>
              </w:rPr>
            </w:pPr>
            <w:r w:rsidRPr="00EB2995">
              <w:rPr>
                <w:rFonts w:cs="Calibri"/>
                <w:b/>
                <w:bCs/>
                <w:color w:val="000000"/>
              </w:rPr>
              <w:t>195.0</w:t>
            </w:r>
          </w:p>
        </w:tc>
        <w:tc>
          <w:tcPr>
            <w:tcW w:w="5245" w:type="dxa"/>
            <w:tcBorders>
              <w:top w:val="nil"/>
              <w:left w:val="single" w:sz="4" w:space="0" w:color="auto"/>
              <w:bottom w:val="nil"/>
              <w:right w:val="single" w:sz="4" w:space="0" w:color="auto"/>
            </w:tcBorders>
            <w:vAlign w:val="bottom"/>
          </w:tcPr>
          <w:p w:rsidR="00DC2F2A" w:rsidRPr="00EB2995" w:rsidRDefault="00DC2F2A" w:rsidP="00DC2F2A">
            <w:pPr>
              <w:rPr>
                <w:rFonts w:cs="Calibri"/>
                <w:b/>
                <w:bCs/>
              </w:rPr>
            </w:pPr>
            <w:r w:rsidRPr="00EB2995">
              <w:rPr>
                <w:rFonts w:cs="Calibri"/>
                <w:b/>
                <w:bCs/>
              </w:rPr>
              <w:t>Total</w:t>
            </w:r>
          </w:p>
        </w:tc>
        <w:tc>
          <w:tcPr>
            <w:tcW w:w="1559" w:type="dxa"/>
            <w:tcBorders>
              <w:top w:val="single" w:sz="4" w:space="0" w:color="auto"/>
              <w:left w:val="single" w:sz="4" w:space="0" w:color="auto"/>
              <w:bottom w:val="single" w:sz="4" w:space="0" w:color="auto"/>
              <w:right w:val="single" w:sz="4" w:space="0" w:color="auto"/>
            </w:tcBorders>
            <w:noWrap/>
            <w:vAlign w:val="bottom"/>
          </w:tcPr>
          <w:p w:rsidR="00DC2F2A" w:rsidRPr="00EB2995" w:rsidRDefault="00DC2F2A" w:rsidP="00DC2F2A">
            <w:pPr>
              <w:jc w:val="right"/>
              <w:rPr>
                <w:rFonts w:cs="Calibri"/>
                <w:b/>
                <w:bCs/>
                <w:color w:val="000000"/>
              </w:rPr>
            </w:pPr>
            <w:r w:rsidRPr="00EB2995">
              <w:rPr>
                <w:rFonts w:cs="Calibri"/>
                <w:b/>
                <w:bCs/>
                <w:color w:val="000000"/>
              </w:rPr>
              <w:t>218.0</w:t>
            </w:r>
          </w:p>
        </w:tc>
      </w:tr>
    </w:tbl>
    <w:p w:rsidR="00F72906" w:rsidRDefault="00F72906" w:rsidP="00F72906"/>
    <w:p w:rsidR="00F72906" w:rsidRDefault="00F72906" w:rsidP="00DC2F2A">
      <w:pPr>
        <w:pStyle w:val="Heading3"/>
      </w:pPr>
      <w:r>
        <w:t>Note 1</w:t>
      </w:r>
      <w:r w:rsidR="007058D0">
        <w:t>8</w:t>
      </w:r>
      <w:r>
        <w:t xml:space="preserve"> – Contingent Liabilities </w:t>
      </w:r>
    </w:p>
    <w:p w:rsidR="00F72906" w:rsidRDefault="00F72906" w:rsidP="00F72906">
      <w:r>
        <w:t>The Council has a number of contingent liabilities. The best estimate of the liability for all the issues is in the region of £6.4m (estimated at £2.0m in 2018/19), but due to the nature of the contingent liabilities this is subject to significant change. Figures are not shown against contingent liabilities where there are legal proceedings or the disclosure woul</w:t>
      </w:r>
      <w:r w:rsidR="00DC2F2A">
        <w:t>d adversely affect the outcome.</w:t>
      </w:r>
    </w:p>
    <w:p w:rsidR="00F72906" w:rsidRDefault="007058D0" w:rsidP="00DC2F2A">
      <w:pPr>
        <w:pStyle w:val="Heading3"/>
      </w:pPr>
      <w:r>
        <w:t>Note 19</w:t>
      </w:r>
      <w:r w:rsidR="00F72906">
        <w:t xml:space="preserve"> – Grant Income – Applied</w:t>
      </w:r>
    </w:p>
    <w:p w:rsidR="00F72906" w:rsidRDefault="00F72906" w:rsidP="00F72906">
      <w:r>
        <w:t>The Council credited the following grants, contributions and donations to the Comprehensive Income and Expenditure Statement either as part of the services direct gross income or within the Council’s Taxation and non-specific grant income:</w:t>
      </w:r>
    </w:p>
    <w:p w:rsidR="00F72906" w:rsidRDefault="00F72906" w:rsidP="00F72906">
      <w:r>
        <w:t>The authority has received a grant that have yet to be recognized as income as they have conditions attached to them that will require the monies to be returned to the giver. The balance at the year-end are as follows:</w:t>
      </w:r>
    </w:p>
    <w:tbl>
      <w:tblPr>
        <w:tblW w:w="8841" w:type="dxa"/>
        <w:jc w:val="center"/>
        <w:tblLook w:val="00A0" w:firstRow="1" w:lastRow="0" w:firstColumn="1" w:lastColumn="0" w:noHBand="0" w:noVBand="0"/>
        <w:tblCaption w:val="Note 20 grant"/>
        <w:tblDescription w:val="Table showing the grants received in 2018/29 and 2019/20"/>
      </w:tblPr>
      <w:tblGrid>
        <w:gridCol w:w="291"/>
        <w:gridCol w:w="1547"/>
        <w:gridCol w:w="5245"/>
        <w:gridCol w:w="453"/>
        <w:gridCol w:w="1120"/>
        <w:gridCol w:w="174"/>
        <w:gridCol w:w="11"/>
      </w:tblGrid>
      <w:tr w:rsidR="00DC2F2A" w:rsidRPr="00EB2995" w:rsidTr="00C00DF8">
        <w:trPr>
          <w:trHeight w:hRule="exact" w:val="284"/>
          <w:tblHeader/>
          <w:jc w:val="center"/>
        </w:trPr>
        <w:tc>
          <w:tcPr>
            <w:tcW w:w="1838" w:type="dxa"/>
            <w:gridSpan w:val="2"/>
            <w:tcBorders>
              <w:top w:val="single" w:sz="4" w:space="0" w:color="FFFFFF"/>
              <w:left w:val="single" w:sz="4" w:space="0" w:color="FFFFFF"/>
              <w:bottom w:val="single" w:sz="4" w:space="0" w:color="FFFFFF"/>
              <w:right w:val="single" w:sz="4" w:space="0" w:color="FFFFFF"/>
            </w:tcBorders>
            <w:noWrap/>
            <w:vAlign w:val="bottom"/>
          </w:tcPr>
          <w:p w:rsidR="00DC2F2A" w:rsidRPr="00EB2995" w:rsidRDefault="00DC2F2A" w:rsidP="00DC2F2A">
            <w:pPr>
              <w:ind w:left="164" w:right="151"/>
              <w:jc w:val="right"/>
              <w:rPr>
                <w:rFonts w:cs="Calibri"/>
                <w:b/>
                <w:bCs/>
                <w:lang w:eastAsia="en-GB"/>
              </w:rPr>
            </w:pPr>
            <w:r w:rsidRPr="00EB2995">
              <w:rPr>
                <w:rFonts w:cs="Calibri"/>
                <w:b/>
                <w:bCs/>
                <w:lang w:eastAsia="en-GB"/>
              </w:rPr>
              <w:t>2018/19</w:t>
            </w:r>
          </w:p>
        </w:tc>
        <w:tc>
          <w:tcPr>
            <w:tcW w:w="5698" w:type="dxa"/>
            <w:gridSpan w:val="2"/>
            <w:tcBorders>
              <w:top w:val="nil"/>
              <w:left w:val="nil"/>
              <w:bottom w:val="nil"/>
              <w:right w:val="nil"/>
            </w:tcBorders>
            <w:noWrap/>
            <w:vAlign w:val="bottom"/>
          </w:tcPr>
          <w:p w:rsidR="00DC2F2A" w:rsidRPr="00EB2995" w:rsidRDefault="00DC2F2A" w:rsidP="00DC2F2A">
            <w:pPr>
              <w:ind w:right="151"/>
              <w:jc w:val="both"/>
              <w:rPr>
                <w:rFonts w:cs="Calibri"/>
                <w:b/>
                <w:bCs/>
                <w:lang w:eastAsia="en-GB"/>
              </w:rPr>
            </w:pPr>
          </w:p>
        </w:tc>
        <w:tc>
          <w:tcPr>
            <w:tcW w:w="1305" w:type="dxa"/>
            <w:gridSpan w:val="3"/>
            <w:tcBorders>
              <w:top w:val="single" w:sz="4" w:space="0" w:color="FFFFFF"/>
              <w:left w:val="single" w:sz="4" w:space="0" w:color="FFFFFF"/>
              <w:bottom w:val="single" w:sz="4" w:space="0" w:color="FFFFFF"/>
              <w:right w:val="single" w:sz="4" w:space="0" w:color="FFFFFF"/>
            </w:tcBorders>
            <w:noWrap/>
            <w:vAlign w:val="bottom"/>
          </w:tcPr>
          <w:p w:rsidR="00DC2F2A" w:rsidRPr="00EB2995" w:rsidRDefault="00DC2F2A" w:rsidP="00DC2F2A">
            <w:pPr>
              <w:ind w:right="151"/>
              <w:jc w:val="right"/>
              <w:rPr>
                <w:rFonts w:cs="Calibri"/>
                <w:b/>
                <w:bCs/>
                <w:lang w:eastAsia="en-GB"/>
              </w:rPr>
            </w:pPr>
            <w:r w:rsidRPr="00EB2995">
              <w:rPr>
                <w:rFonts w:cs="Calibri"/>
                <w:b/>
                <w:bCs/>
                <w:lang w:eastAsia="en-GB"/>
              </w:rPr>
              <w:t xml:space="preserve">2019/20 </w:t>
            </w:r>
          </w:p>
        </w:tc>
      </w:tr>
      <w:tr w:rsidR="00DC2F2A" w:rsidRPr="00EB2995" w:rsidTr="00C00DF8">
        <w:trPr>
          <w:gridBefore w:val="1"/>
          <w:gridAfter w:val="1"/>
          <w:wBefore w:w="291" w:type="dxa"/>
          <w:wAfter w:w="11" w:type="dxa"/>
          <w:trHeight w:hRule="exact" w:val="284"/>
          <w:tblHeader/>
          <w:jc w:val="center"/>
        </w:trPr>
        <w:tc>
          <w:tcPr>
            <w:tcW w:w="1547" w:type="dxa"/>
            <w:noWrap/>
            <w:vAlign w:val="center"/>
          </w:tcPr>
          <w:p w:rsidR="00DC2F2A" w:rsidRPr="00EB2995" w:rsidRDefault="00DC2F2A" w:rsidP="00DC2F2A">
            <w:pPr>
              <w:ind w:left="171" w:right="151"/>
              <w:jc w:val="right"/>
              <w:rPr>
                <w:rFonts w:cs="Calibri"/>
                <w:b/>
                <w:lang w:eastAsia="en-GB"/>
              </w:rPr>
            </w:pPr>
            <w:r w:rsidRPr="00EB2995">
              <w:rPr>
                <w:rFonts w:cs="Calibri"/>
                <w:b/>
                <w:lang w:eastAsia="en-GB"/>
              </w:rPr>
              <w:t>£m</w:t>
            </w:r>
          </w:p>
        </w:tc>
        <w:tc>
          <w:tcPr>
            <w:tcW w:w="5245" w:type="dxa"/>
            <w:noWrap/>
            <w:vAlign w:val="center"/>
          </w:tcPr>
          <w:p w:rsidR="00DC2F2A" w:rsidRPr="00EB2995" w:rsidRDefault="00DC2F2A" w:rsidP="00DC2F2A">
            <w:pPr>
              <w:ind w:right="151"/>
              <w:jc w:val="center"/>
              <w:rPr>
                <w:rFonts w:cs="Calibri"/>
                <w:b/>
                <w:lang w:eastAsia="en-GB"/>
              </w:rPr>
            </w:pPr>
            <w:r w:rsidRPr="00EB2995">
              <w:rPr>
                <w:rFonts w:cs="Calibri"/>
                <w:b/>
                <w:lang w:eastAsia="en-GB"/>
              </w:rPr>
              <w:t>Revenue Grants</w:t>
            </w:r>
          </w:p>
        </w:tc>
        <w:tc>
          <w:tcPr>
            <w:tcW w:w="1747" w:type="dxa"/>
            <w:gridSpan w:val="3"/>
            <w:noWrap/>
            <w:vAlign w:val="center"/>
          </w:tcPr>
          <w:p w:rsidR="00DC2F2A" w:rsidRPr="00EB2995" w:rsidRDefault="00DC2F2A" w:rsidP="00DC2F2A">
            <w:pPr>
              <w:ind w:right="151"/>
              <w:jc w:val="right"/>
              <w:rPr>
                <w:rFonts w:cs="Calibri"/>
                <w:b/>
                <w:lang w:eastAsia="en-GB"/>
              </w:rPr>
            </w:pPr>
            <w:r w:rsidRPr="00EB2995">
              <w:rPr>
                <w:rFonts w:cs="Calibri"/>
                <w:b/>
                <w:lang w:eastAsia="en-GB"/>
              </w:rPr>
              <w:t xml:space="preserve"> £m</w:t>
            </w:r>
          </w:p>
        </w:tc>
      </w:tr>
      <w:tr w:rsidR="00C00DF8" w:rsidRPr="00EB2995" w:rsidTr="00C00DF8">
        <w:trPr>
          <w:gridBefore w:val="1"/>
          <w:gridAfter w:val="1"/>
          <w:wBefore w:w="291" w:type="dxa"/>
          <w:wAfter w:w="11" w:type="dxa"/>
          <w:trHeight w:hRule="exact" w:val="284"/>
          <w:jc w:val="center"/>
        </w:trPr>
        <w:tc>
          <w:tcPr>
            <w:tcW w:w="1547" w:type="dxa"/>
            <w:noWrap/>
            <w:vAlign w:val="center"/>
          </w:tcPr>
          <w:p w:rsidR="00C00DF8" w:rsidRPr="00EB2995" w:rsidRDefault="00C00DF8" w:rsidP="00DC2F2A">
            <w:pPr>
              <w:ind w:left="171" w:right="151"/>
              <w:jc w:val="right"/>
              <w:rPr>
                <w:rFonts w:cs="Calibri"/>
                <w:b/>
                <w:lang w:eastAsia="en-GB"/>
              </w:rPr>
            </w:pPr>
          </w:p>
        </w:tc>
        <w:tc>
          <w:tcPr>
            <w:tcW w:w="5245" w:type="dxa"/>
            <w:noWrap/>
            <w:vAlign w:val="center"/>
          </w:tcPr>
          <w:p w:rsidR="00C00DF8" w:rsidRPr="00EB2995" w:rsidRDefault="00C00DF8" w:rsidP="00DC2F2A">
            <w:pPr>
              <w:ind w:right="151"/>
              <w:jc w:val="center"/>
              <w:rPr>
                <w:rFonts w:cs="Calibri"/>
                <w:b/>
                <w:lang w:eastAsia="en-GB"/>
              </w:rPr>
            </w:pPr>
          </w:p>
        </w:tc>
        <w:tc>
          <w:tcPr>
            <w:tcW w:w="1747" w:type="dxa"/>
            <w:gridSpan w:val="3"/>
            <w:noWrap/>
            <w:vAlign w:val="center"/>
          </w:tcPr>
          <w:p w:rsidR="00C00DF8" w:rsidRPr="00EB2995" w:rsidRDefault="00C00DF8" w:rsidP="00DC2F2A">
            <w:pPr>
              <w:ind w:right="151"/>
              <w:jc w:val="right"/>
              <w:rPr>
                <w:rFonts w:cs="Calibri"/>
                <w:b/>
                <w:lang w:eastAsia="en-GB"/>
              </w:rPr>
            </w:pPr>
          </w:p>
        </w:tc>
      </w:tr>
      <w:tr w:rsidR="00DC2F2A" w:rsidRPr="00EB2995" w:rsidTr="00C00DF8">
        <w:trPr>
          <w:gridBefore w:val="1"/>
          <w:gridAfter w:val="2"/>
          <w:wBefore w:w="291" w:type="dxa"/>
          <w:wAfter w:w="185" w:type="dxa"/>
          <w:trHeight w:hRule="exact" w:val="284"/>
          <w:jc w:val="center"/>
        </w:trPr>
        <w:tc>
          <w:tcPr>
            <w:tcW w:w="1547" w:type="dxa"/>
            <w:tcBorders>
              <w:top w:val="single" w:sz="4" w:space="0" w:color="auto"/>
              <w:left w:val="single" w:sz="4" w:space="0" w:color="auto"/>
              <w:bottom w:val="nil"/>
              <w:right w:val="single" w:sz="4" w:space="0" w:color="auto"/>
            </w:tcBorders>
            <w:noWrap/>
            <w:vAlign w:val="center"/>
          </w:tcPr>
          <w:p w:rsidR="00DC2F2A" w:rsidRPr="00EB2995" w:rsidRDefault="00DC2F2A" w:rsidP="00DC2F2A">
            <w:pPr>
              <w:ind w:left="171"/>
              <w:jc w:val="right"/>
              <w:rPr>
                <w:rFonts w:cs="Calibri"/>
                <w:b/>
                <w:bCs/>
                <w:lang w:eastAsia="en-GB"/>
              </w:rPr>
            </w:pPr>
            <w:r w:rsidRPr="00EB2995">
              <w:rPr>
                <w:rFonts w:cs="Calibri"/>
                <w:b/>
                <w:bCs/>
                <w:lang w:eastAsia="en-GB"/>
              </w:rPr>
              <w:t> </w:t>
            </w:r>
          </w:p>
        </w:tc>
        <w:tc>
          <w:tcPr>
            <w:tcW w:w="5245" w:type="dxa"/>
            <w:tcBorders>
              <w:top w:val="nil"/>
              <w:left w:val="single" w:sz="4" w:space="0" w:color="auto"/>
              <w:bottom w:val="single" w:sz="4" w:space="0" w:color="FFFFFF"/>
              <w:right w:val="nil"/>
            </w:tcBorders>
            <w:noWrap/>
            <w:vAlign w:val="center"/>
          </w:tcPr>
          <w:p w:rsidR="00DC2F2A" w:rsidRPr="00EB2995" w:rsidRDefault="00DC2F2A" w:rsidP="00DC2F2A">
            <w:pPr>
              <w:jc w:val="both"/>
              <w:rPr>
                <w:rFonts w:cs="Calibri"/>
                <w:b/>
                <w:bCs/>
                <w:lang w:eastAsia="en-GB"/>
              </w:rPr>
            </w:pPr>
            <w:r w:rsidRPr="00EB2995">
              <w:rPr>
                <w:rFonts w:cs="Calibri"/>
                <w:b/>
                <w:bCs/>
                <w:lang w:eastAsia="en-GB"/>
              </w:rPr>
              <w:t>Housing Benefit:</w:t>
            </w:r>
          </w:p>
        </w:tc>
        <w:tc>
          <w:tcPr>
            <w:tcW w:w="1573" w:type="dxa"/>
            <w:gridSpan w:val="2"/>
            <w:tcBorders>
              <w:top w:val="single" w:sz="8" w:space="0" w:color="auto"/>
              <w:left w:val="single" w:sz="8" w:space="0" w:color="auto"/>
              <w:bottom w:val="nil"/>
              <w:right w:val="single" w:sz="8" w:space="0" w:color="auto"/>
            </w:tcBorders>
            <w:noWrap/>
            <w:vAlign w:val="center"/>
          </w:tcPr>
          <w:p w:rsidR="00DC2F2A" w:rsidRPr="00EB2995" w:rsidRDefault="00DC2F2A" w:rsidP="00DC2F2A">
            <w:pPr>
              <w:jc w:val="right"/>
              <w:rPr>
                <w:rFonts w:cs="Calibri"/>
                <w:b/>
                <w:bCs/>
                <w:lang w:eastAsia="en-GB"/>
              </w:rPr>
            </w:pPr>
            <w:r w:rsidRPr="00EB2995">
              <w:rPr>
                <w:rFonts w:cs="Calibri"/>
                <w:b/>
                <w:bCs/>
                <w:color w:val="000000"/>
              </w:rPr>
              <w:t> </w:t>
            </w:r>
          </w:p>
        </w:tc>
      </w:tr>
      <w:tr w:rsidR="00DC2F2A" w:rsidRPr="00EB2995" w:rsidTr="00C00DF8">
        <w:trPr>
          <w:gridBefore w:val="1"/>
          <w:gridAfter w:val="2"/>
          <w:wBefore w:w="291" w:type="dxa"/>
          <w:wAfter w:w="185" w:type="dxa"/>
          <w:trHeight w:hRule="exact" w:val="284"/>
          <w:jc w:val="center"/>
        </w:trPr>
        <w:tc>
          <w:tcPr>
            <w:tcW w:w="1547" w:type="dxa"/>
            <w:tcBorders>
              <w:top w:val="single" w:sz="8" w:space="0" w:color="FFFFFF"/>
              <w:left w:val="single" w:sz="4" w:space="0" w:color="auto"/>
              <w:bottom w:val="single" w:sz="8" w:space="0" w:color="FFFFFF"/>
              <w:right w:val="single" w:sz="4" w:space="0" w:color="auto"/>
            </w:tcBorders>
            <w:noWrap/>
            <w:vAlign w:val="center"/>
          </w:tcPr>
          <w:p w:rsidR="00DC2F2A" w:rsidRPr="00EB2995" w:rsidRDefault="00DC2F2A" w:rsidP="00DC2F2A">
            <w:pPr>
              <w:jc w:val="right"/>
              <w:rPr>
                <w:rFonts w:cs="Calibri"/>
                <w:lang w:eastAsia="en-GB"/>
              </w:rPr>
            </w:pPr>
            <w:r w:rsidRPr="00EB2995">
              <w:rPr>
                <w:rFonts w:cs="Calibri"/>
                <w:lang w:eastAsia="en-GB"/>
              </w:rPr>
              <w:t>(295.3)</w:t>
            </w:r>
          </w:p>
        </w:tc>
        <w:tc>
          <w:tcPr>
            <w:tcW w:w="5245" w:type="dxa"/>
            <w:tcBorders>
              <w:top w:val="nil"/>
              <w:left w:val="single" w:sz="4" w:space="0" w:color="auto"/>
              <w:bottom w:val="single" w:sz="4" w:space="0" w:color="FFFFFF"/>
              <w:right w:val="nil"/>
            </w:tcBorders>
            <w:noWrap/>
            <w:vAlign w:val="center"/>
          </w:tcPr>
          <w:p w:rsidR="00DC2F2A" w:rsidRPr="00EB2995" w:rsidRDefault="00DC2F2A" w:rsidP="00DC2F2A">
            <w:pPr>
              <w:jc w:val="both"/>
              <w:rPr>
                <w:rFonts w:cs="Calibri"/>
                <w:lang w:eastAsia="en-GB"/>
              </w:rPr>
            </w:pPr>
            <w:r w:rsidRPr="00EB2995">
              <w:rPr>
                <w:rFonts w:cs="Calibri"/>
                <w:lang w:eastAsia="en-GB"/>
              </w:rPr>
              <w:t xml:space="preserve">Mandatory Rent Allowances: subsidy </w:t>
            </w:r>
          </w:p>
        </w:tc>
        <w:tc>
          <w:tcPr>
            <w:tcW w:w="1573" w:type="dxa"/>
            <w:gridSpan w:val="2"/>
            <w:tcBorders>
              <w:top w:val="single" w:sz="8" w:space="0" w:color="FFFFFF"/>
              <w:left w:val="single" w:sz="8" w:space="0" w:color="auto"/>
              <w:bottom w:val="single" w:sz="8" w:space="0" w:color="FFFFFF"/>
              <w:right w:val="single" w:sz="8" w:space="0" w:color="auto"/>
            </w:tcBorders>
            <w:noWrap/>
            <w:vAlign w:val="center"/>
          </w:tcPr>
          <w:p w:rsidR="00DC2F2A" w:rsidRPr="00EB2995" w:rsidRDefault="00DC2F2A" w:rsidP="00DC2F2A">
            <w:pPr>
              <w:jc w:val="right"/>
              <w:rPr>
                <w:rFonts w:cs="Calibri"/>
                <w:lang w:eastAsia="en-GB"/>
              </w:rPr>
            </w:pPr>
            <w:r w:rsidRPr="00EB2995">
              <w:rPr>
                <w:rFonts w:cs="Calibri"/>
                <w:color w:val="000000"/>
              </w:rPr>
              <w:t>(254.5)</w:t>
            </w:r>
          </w:p>
        </w:tc>
      </w:tr>
      <w:tr w:rsidR="00DC2F2A" w:rsidRPr="00EB2995" w:rsidTr="00C00DF8">
        <w:trPr>
          <w:gridBefore w:val="1"/>
          <w:gridAfter w:val="2"/>
          <w:wBefore w:w="291" w:type="dxa"/>
          <w:wAfter w:w="185" w:type="dxa"/>
          <w:trHeight w:hRule="exact" w:val="284"/>
          <w:jc w:val="center"/>
        </w:trPr>
        <w:tc>
          <w:tcPr>
            <w:tcW w:w="1547" w:type="dxa"/>
            <w:tcBorders>
              <w:top w:val="nil"/>
              <w:left w:val="single" w:sz="4" w:space="0" w:color="auto"/>
              <w:bottom w:val="single" w:sz="8" w:space="0" w:color="FFFFFF"/>
              <w:right w:val="single" w:sz="4" w:space="0" w:color="auto"/>
            </w:tcBorders>
            <w:noWrap/>
            <w:vAlign w:val="center"/>
          </w:tcPr>
          <w:p w:rsidR="00DC2F2A" w:rsidRPr="00EB2995" w:rsidRDefault="00DC2F2A" w:rsidP="00DC2F2A">
            <w:pPr>
              <w:jc w:val="right"/>
              <w:rPr>
                <w:rFonts w:cs="Calibri"/>
                <w:lang w:eastAsia="en-GB"/>
              </w:rPr>
            </w:pPr>
            <w:r w:rsidRPr="00EB2995">
              <w:rPr>
                <w:rFonts w:cs="Calibri"/>
                <w:lang w:eastAsia="en-GB"/>
              </w:rPr>
              <w:t>(17.3)</w:t>
            </w:r>
          </w:p>
        </w:tc>
        <w:tc>
          <w:tcPr>
            <w:tcW w:w="5245" w:type="dxa"/>
            <w:tcBorders>
              <w:top w:val="nil"/>
              <w:left w:val="single" w:sz="4" w:space="0" w:color="auto"/>
              <w:bottom w:val="single" w:sz="4" w:space="0" w:color="FFFFFF"/>
              <w:right w:val="nil"/>
            </w:tcBorders>
            <w:noWrap/>
            <w:vAlign w:val="center"/>
          </w:tcPr>
          <w:p w:rsidR="00DC2F2A" w:rsidRPr="00EB2995" w:rsidRDefault="00DC2F2A" w:rsidP="00DC2F2A">
            <w:pPr>
              <w:jc w:val="both"/>
              <w:rPr>
                <w:rFonts w:cs="Calibri"/>
                <w:lang w:eastAsia="en-GB"/>
              </w:rPr>
            </w:pPr>
            <w:r w:rsidRPr="00EB2995">
              <w:rPr>
                <w:rFonts w:cs="Calibri"/>
                <w:lang w:eastAsia="en-GB"/>
              </w:rPr>
              <w:t>Mandatory Rent Rebates outside HRA</w:t>
            </w:r>
          </w:p>
        </w:tc>
        <w:tc>
          <w:tcPr>
            <w:tcW w:w="1573" w:type="dxa"/>
            <w:gridSpan w:val="2"/>
            <w:tcBorders>
              <w:top w:val="nil"/>
              <w:left w:val="single" w:sz="8" w:space="0" w:color="auto"/>
              <w:bottom w:val="single" w:sz="8" w:space="0" w:color="FFFFFF"/>
              <w:right w:val="single" w:sz="8" w:space="0" w:color="auto"/>
            </w:tcBorders>
            <w:noWrap/>
            <w:vAlign w:val="center"/>
          </w:tcPr>
          <w:p w:rsidR="00DC2F2A" w:rsidRPr="00EB2995" w:rsidRDefault="00DC2F2A" w:rsidP="00DC2F2A">
            <w:pPr>
              <w:jc w:val="right"/>
              <w:rPr>
                <w:rFonts w:cs="Calibri"/>
                <w:lang w:eastAsia="en-GB"/>
              </w:rPr>
            </w:pPr>
            <w:r w:rsidRPr="00EB2995">
              <w:rPr>
                <w:rFonts w:cs="Calibri"/>
                <w:color w:val="000000"/>
              </w:rPr>
              <w:t>(15.4)</w:t>
            </w:r>
          </w:p>
        </w:tc>
      </w:tr>
      <w:tr w:rsidR="00DC2F2A" w:rsidRPr="00EB2995" w:rsidTr="00C00DF8">
        <w:trPr>
          <w:gridBefore w:val="1"/>
          <w:gridAfter w:val="2"/>
          <w:wBefore w:w="291" w:type="dxa"/>
          <w:wAfter w:w="185" w:type="dxa"/>
          <w:trHeight w:hRule="exact" w:val="284"/>
          <w:jc w:val="center"/>
        </w:trPr>
        <w:tc>
          <w:tcPr>
            <w:tcW w:w="1547" w:type="dxa"/>
            <w:tcBorders>
              <w:top w:val="nil"/>
              <w:left w:val="single" w:sz="4" w:space="0" w:color="auto"/>
              <w:bottom w:val="single" w:sz="8" w:space="0" w:color="FFFFFF"/>
              <w:right w:val="single" w:sz="4" w:space="0" w:color="auto"/>
            </w:tcBorders>
            <w:noWrap/>
            <w:vAlign w:val="center"/>
          </w:tcPr>
          <w:p w:rsidR="00DC2F2A" w:rsidRPr="00EB2995" w:rsidRDefault="00DC2F2A" w:rsidP="00DC2F2A">
            <w:pPr>
              <w:jc w:val="right"/>
              <w:rPr>
                <w:rFonts w:cs="Calibri"/>
                <w:lang w:eastAsia="en-GB"/>
              </w:rPr>
            </w:pPr>
            <w:r w:rsidRPr="00EB2995">
              <w:rPr>
                <w:rFonts w:cs="Calibri"/>
                <w:lang w:eastAsia="en-GB"/>
              </w:rPr>
              <w:t>(25.5)</w:t>
            </w:r>
          </w:p>
        </w:tc>
        <w:tc>
          <w:tcPr>
            <w:tcW w:w="5245" w:type="dxa"/>
            <w:tcBorders>
              <w:top w:val="nil"/>
              <w:left w:val="single" w:sz="4" w:space="0" w:color="auto"/>
              <w:bottom w:val="single" w:sz="4" w:space="0" w:color="FFFFFF"/>
              <w:right w:val="nil"/>
            </w:tcBorders>
            <w:noWrap/>
            <w:vAlign w:val="center"/>
          </w:tcPr>
          <w:p w:rsidR="00DC2F2A" w:rsidRPr="00EB2995" w:rsidRDefault="00DC2F2A" w:rsidP="00DC2F2A">
            <w:pPr>
              <w:jc w:val="both"/>
              <w:rPr>
                <w:rFonts w:cs="Calibri"/>
                <w:lang w:eastAsia="en-GB"/>
              </w:rPr>
            </w:pPr>
            <w:r w:rsidRPr="00EB2995">
              <w:rPr>
                <w:rFonts w:cs="Calibri"/>
                <w:lang w:eastAsia="en-GB"/>
              </w:rPr>
              <w:t>Rent Rebates Granted to HRA Tenants: subsidy</w:t>
            </w:r>
          </w:p>
        </w:tc>
        <w:tc>
          <w:tcPr>
            <w:tcW w:w="1573" w:type="dxa"/>
            <w:gridSpan w:val="2"/>
            <w:tcBorders>
              <w:top w:val="nil"/>
              <w:left w:val="single" w:sz="8" w:space="0" w:color="auto"/>
              <w:bottom w:val="single" w:sz="8" w:space="0" w:color="FFFFFF"/>
              <w:right w:val="single" w:sz="8" w:space="0" w:color="auto"/>
            </w:tcBorders>
            <w:noWrap/>
            <w:vAlign w:val="center"/>
          </w:tcPr>
          <w:p w:rsidR="00DC2F2A" w:rsidRPr="00EB2995" w:rsidRDefault="00DC2F2A" w:rsidP="00DC2F2A">
            <w:pPr>
              <w:jc w:val="right"/>
              <w:rPr>
                <w:rFonts w:cs="Calibri"/>
                <w:lang w:eastAsia="en-GB"/>
              </w:rPr>
            </w:pPr>
            <w:r w:rsidRPr="00EB2995">
              <w:rPr>
                <w:rFonts w:cs="Calibri"/>
                <w:color w:val="000000"/>
              </w:rPr>
              <w:t>(23.2)</w:t>
            </w:r>
          </w:p>
        </w:tc>
      </w:tr>
      <w:tr w:rsidR="00DC2F2A" w:rsidRPr="00EB2995" w:rsidTr="00C00DF8">
        <w:trPr>
          <w:gridBefore w:val="1"/>
          <w:gridAfter w:val="2"/>
          <w:wBefore w:w="291" w:type="dxa"/>
          <w:wAfter w:w="185" w:type="dxa"/>
          <w:trHeight w:hRule="exact" w:val="284"/>
          <w:jc w:val="center"/>
        </w:trPr>
        <w:tc>
          <w:tcPr>
            <w:tcW w:w="1547" w:type="dxa"/>
            <w:tcBorders>
              <w:top w:val="nil"/>
              <w:left w:val="single" w:sz="4" w:space="0" w:color="auto"/>
              <w:bottom w:val="nil"/>
              <w:right w:val="single" w:sz="4" w:space="0" w:color="auto"/>
            </w:tcBorders>
            <w:noWrap/>
            <w:vAlign w:val="center"/>
          </w:tcPr>
          <w:p w:rsidR="00DC2F2A" w:rsidRPr="00EB2995" w:rsidRDefault="00DC2F2A" w:rsidP="00DC2F2A">
            <w:pPr>
              <w:jc w:val="right"/>
              <w:rPr>
                <w:rFonts w:cs="Calibri"/>
                <w:lang w:eastAsia="en-GB"/>
              </w:rPr>
            </w:pPr>
            <w:r w:rsidRPr="00EB2995">
              <w:rPr>
                <w:rFonts w:cs="Calibri"/>
                <w:lang w:eastAsia="en-GB"/>
              </w:rPr>
              <w:t>(2.3)</w:t>
            </w:r>
          </w:p>
        </w:tc>
        <w:tc>
          <w:tcPr>
            <w:tcW w:w="5245" w:type="dxa"/>
            <w:tcBorders>
              <w:top w:val="nil"/>
              <w:left w:val="single" w:sz="4" w:space="0" w:color="auto"/>
              <w:bottom w:val="single" w:sz="4" w:space="0" w:color="FFFFFF"/>
              <w:right w:val="nil"/>
            </w:tcBorders>
            <w:noWrap/>
            <w:vAlign w:val="center"/>
          </w:tcPr>
          <w:p w:rsidR="00DC2F2A" w:rsidRPr="00EB2995" w:rsidRDefault="00DC2F2A" w:rsidP="00DC2F2A">
            <w:pPr>
              <w:jc w:val="both"/>
              <w:rPr>
                <w:rFonts w:cs="Calibri"/>
                <w:lang w:eastAsia="en-GB"/>
              </w:rPr>
            </w:pPr>
            <w:r w:rsidRPr="00EB2995">
              <w:rPr>
                <w:rFonts w:cs="Calibri"/>
                <w:lang w:eastAsia="en-GB"/>
              </w:rPr>
              <w:t>Housing Benefit Administration</w:t>
            </w:r>
          </w:p>
        </w:tc>
        <w:tc>
          <w:tcPr>
            <w:tcW w:w="1573" w:type="dxa"/>
            <w:gridSpan w:val="2"/>
            <w:tcBorders>
              <w:top w:val="nil"/>
              <w:left w:val="single" w:sz="8" w:space="0" w:color="auto"/>
              <w:bottom w:val="single" w:sz="8" w:space="0" w:color="FFFFFF"/>
              <w:right w:val="single" w:sz="8" w:space="0" w:color="auto"/>
            </w:tcBorders>
            <w:noWrap/>
            <w:vAlign w:val="center"/>
          </w:tcPr>
          <w:p w:rsidR="00DC2F2A" w:rsidRPr="00EB2995" w:rsidRDefault="00DC2F2A" w:rsidP="00DC2F2A">
            <w:pPr>
              <w:jc w:val="right"/>
              <w:rPr>
                <w:rFonts w:cs="Calibri"/>
                <w:lang w:eastAsia="en-GB"/>
              </w:rPr>
            </w:pPr>
            <w:r w:rsidRPr="00EB2995">
              <w:rPr>
                <w:rFonts w:cs="Calibri"/>
                <w:color w:val="000000"/>
              </w:rPr>
              <w:t>(2.2)</w:t>
            </w:r>
          </w:p>
        </w:tc>
      </w:tr>
      <w:tr w:rsidR="00DC2F2A" w:rsidRPr="00EB2995" w:rsidTr="00C00DF8">
        <w:trPr>
          <w:gridBefore w:val="1"/>
          <w:gridAfter w:val="2"/>
          <w:wBefore w:w="291" w:type="dxa"/>
          <w:wAfter w:w="185" w:type="dxa"/>
          <w:trHeight w:hRule="exact" w:val="284"/>
          <w:jc w:val="center"/>
        </w:trPr>
        <w:tc>
          <w:tcPr>
            <w:tcW w:w="1547" w:type="dxa"/>
            <w:tcBorders>
              <w:top w:val="single" w:sz="8" w:space="0" w:color="auto"/>
              <w:left w:val="single" w:sz="4" w:space="0" w:color="auto"/>
              <w:bottom w:val="single" w:sz="8" w:space="0" w:color="auto"/>
              <w:right w:val="single" w:sz="4" w:space="0" w:color="auto"/>
            </w:tcBorders>
            <w:noWrap/>
            <w:vAlign w:val="bottom"/>
          </w:tcPr>
          <w:p w:rsidR="00DC2F2A" w:rsidRPr="00EB2995" w:rsidRDefault="00DC2F2A" w:rsidP="00DC2F2A">
            <w:pPr>
              <w:jc w:val="right"/>
              <w:rPr>
                <w:rFonts w:cs="Calibri"/>
                <w:b/>
                <w:bCs/>
                <w:lang w:eastAsia="en-GB"/>
              </w:rPr>
            </w:pPr>
            <w:r w:rsidRPr="00EB2995">
              <w:rPr>
                <w:rFonts w:cs="Calibri"/>
                <w:b/>
                <w:bCs/>
                <w:lang w:eastAsia="en-GB"/>
              </w:rPr>
              <w:t>(340.4)</w:t>
            </w:r>
          </w:p>
        </w:tc>
        <w:tc>
          <w:tcPr>
            <w:tcW w:w="5245" w:type="dxa"/>
            <w:tcBorders>
              <w:top w:val="nil"/>
              <w:left w:val="single" w:sz="4" w:space="0" w:color="auto"/>
              <w:bottom w:val="single" w:sz="4" w:space="0" w:color="FFFFFF"/>
              <w:right w:val="nil"/>
            </w:tcBorders>
            <w:noWrap/>
            <w:vAlign w:val="bottom"/>
          </w:tcPr>
          <w:p w:rsidR="00DC2F2A" w:rsidRPr="00EB2995" w:rsidRDefault="00DC2F2A" w:rsidP="00DC2F2A">
            <w:pPr>
              <w:jc w:val="both"/>
              <w:rPr>
                <w:rFonts w:cs="Calibri"/>
                <w:lang w:eastAsia="en-GB"/>
              </w:rPr>
            </w:pPr>
            <w:r w:rsidRPr="00EB2995">
              <w:rPr>
                <w:rFonts w:cs="Calibri"/>
                <w:lang w:eastAsia="en-GB"/>
              </w:rPr>
              <w:t> </w:t>
            </w:r>
          </w:p>
        </w:tc>
        <w:tc>
          <w:tcPr>
            <w:tcW w:w="1573" w:type="dxa"/>
            <w:gridSpan w:val="2"/>
            <w:tcBorders>
              <w:top w:val="single" w:sz="8" w:space="0" w:color="auto"/>
              <w:left w:val="single" w:sz="8" w:space="0" w:color="auto"/>
              <w:bottom w:val="single" w:sz="8" w:space="0" w:color="auto"/>
              <w:right w:val="single" w:sz="8" w:space="0" w:color="auto"/>
            </w:tcBorders>
            <w:noWrap/>
            <w:vAlign w:val="center"/>
          </w:tcPr>
          <w:p w:rsidR="00DC2F2A" w:rsidRPr="00EB2995" w:rsidRDefault="00DC2F2A" w:rsidP="00DC2F2A">
            <w:pPr>
              <w:jc w:val="right"/>
              <w:rPr>
                <w:rFonts w:cs="Calibri"/>
                <w:b/>
                <w:bCs/>
                <w:lang w:eastAsia="en-GB"/>
              </w:rPr>
            </w:pPr>
            <w:r w:rsidRPr="00EB2995">
              <w:rPr>
                <w:rFonts w:cs="Calibri"/>
                <w:b/>
                <w:bCs/>
                <w:color w:val="000000"/>
              </w:rPr>
              <w:t>(295.3)</w:t>
            </w:r>
          </w:p>
        </w:tc>
      </w:tr>
      <w:tr w:rsidR="00DC2F2A" w:rsidRPr="00EB2995" w:rsidTr="00C00DF8">
        <w:trPr>
          <w:gridBefore w:val="1"/>
          <w:gridAfter w:val="2"/>
          <w:wBefore w:w="291" w:type="dxa"/>
          <w:wAfter w:w="185" w:type="dxa"/>
          <w:trHeight w:hRule="exact" w:val="284"/>
          <w:jc w:val="center"/>
        </w:trPr>
        <w:tc>
          <w:tcPr>
            <w:tcW w:w="1547" w:type="dxa"/>
            <w:tcBorders>
              <w:top w:val="single" w:sz="8" w:space="0" w:color="auto"/>
              <w:left w:val="single" w:sz="4" w:space="0" w:color="auto"/>
              <w:right w:val="single" w:sz="4" w:space="0" w:color="auto"/>
            </w:tcBorders>
            <w:noWrap/>
            <w:vAlign w:val="bottom"/>
          </w:tcPr>
          <w:p w:rsidR="00DC2F2A" w:rsidRPr="00EB2995" w:rsidRDefault="00DC2F2A" w:rsidP="00DC2F2A">
            <w:pPr>
              <w:jc w:val="right"/>
              <w:rPr>
                <w:rFonts w:cs="Calibri"/>
                <w:color w:val="000000"/>
                <w:lang w:eastAsia="en-GB"/>
              </w:rPr>
            </w:pPr>
          </w:p>
        </w:tc>
        <w:tc>
          <w:tcPr>
            <w:tcW w:w="5245" w:type="dxa"/>
            <w:tcBorders>
              <w:top w:val="nil"/>
              <w:left w:val="single" w:sz="4" w:space="0" w:color="auto"/>
              <w:bottom w:val="single" w:sz="4" w:space="0" w:color="FFFFFF"/>
              <w:right w:val="nil"/>
            </w:tcBorders>
            <w:noWrap/>
            <w:vAlign w:val="center"/>
          </w:tcPr>
          <w:p w:rsidR="00DC2F2A" w:rsidRPr="00EB2995" w:rsidRDefault="00DC2F2A" w:rsidP="00DC2F2A">
            <w:pPr>
              <w:jc w:val="both"/>
              <w:rPr>
                <w:rFonts w:cs="Calibri"/>
                <w:b/>
                <w:bCs/>
                <w:lang w:eastAsia="en-GB"/>
              </w:rPr>
            </w:pPr>
            <w:r w:rsidRPr="00EB2995">
              <w:rPr>
                <w:rFonts w:cs="Calibri"/>
                <w:b/>
                <w:bCs/>
                <w:lang w:eastAsia="en-GB"/>
              </w:rPr>
              <w:t>Schools:</w:t>
            </w:r>
          </w:p>
        </w:tc>
        <w:tc>
          <w:tcPr>
            <w:tcW w:w="1573" w:type="dxa"/>
            <w:gridSpan w:val="2"/>
            <w:tcBorders>
              <w:top w:val="single" w:sz="8" w:space="0" w:color="auto"/>
              <w:left w:val="single" w:sz="8" w:space="0" w:color="auto"/>
              <w:right w:val="single" w:sz="8" w:space="0" w:color="auto"/>
            </w:tcBorders>
            <w:noWrap/>
            <w:vAlign w:val="bottom"/>
          </w:tcPr>
          <w:p w:rsidR="00DC2F2A" w:rsidRPr="00EB2995" w:rsidRDefault="00DC2F2A" w:rsidP="00DC2F2A">
            <w:pPr>
              <w:jc w:val="right"/>
              <w:rPr>
                <w:rFonts w:cs="Calibri"/>
                <w:color w:val="000000"/>
                <w:lang w:eastAsia="en-GB"/>
              </w:rPr>
            </w:pPr>
          </w:p>
        </w:tc>
      </w:tr>
      <w:tr w:rsidR="00DC2F2A" w:rsidRPr="00EB2995" w:rsidTr="00C00DF8">
        <w:trPr>
          <w:gridBefore w:val="1"/>
          <w:gridAfter w:val="2"/>
          <w:wBefore w:w="291" w:type="dxa"/>
          <w:wAfter w:w="185" w:type="dxa"/>
          <w:trHeight w:hRule="exact" w:val="284"/>
          <w:jc w:val="center"/>
        </w:trPr>
        <w:tc>
          <w:tcPr>
            <w:tcW w:w="1547" w:type="dxa"/>
            <w:tcBorders>
              <w:top w:val="nil"/>
              <w:left w:val="single" w:sz="4" w:space="0" w:color="auto"/>
              <w:bottom w:val="single" w:sz="8" w:space="0" w:color="FFFFFF"/>
              <w:right w:val="single" w:sz="4" w:space="0" w:color="auto"/>
            </w:tcBorders>
            <w:noWrap/>
            <w:vAlign w:val="center"/>
          </w:tcPr>
          <w:p w:rsidR="00DC2F2A" w:rsidRPr="00EB2995" w:rsidRDefault="00DC2F2A" w:rsidP="00DC2F2A">
            <w:pPr>
              <w:jc w:val="right"/>
              <w:rPr>
                <w:rFonts w:cs="Calibri"/>
                <w:lang w:eastAsia="en-GB"/>
              </w:rPr>
            </w:pPr>
            <w:r w:rsidRPr="00EB2995">
              <w:rPr>
                <w:rFonts w:cs="Calibri"/>
                <w:lang w:eastAsia="en-GB"/>
              </w:rPr>
              <w:t>(193.9)</w:t>
            </w:r>
          </w:p>
        </w:tc>
        <w:tc>
          <w:tcPr>
            <w:tcW w:w="5245" w:type="dxa"/>
            <w:tcBorders>
              <w:top w:val="nil"/>
              <w:left w:val="single" w:sz="4" w:space="0" w:color="auto"/>
              <w:bottom w:val="single" w:sz="4" w:space="0" w:color="FFFFFF"/>
              <w:right w:val="nil"/>
            </w:tcBorders>
            <w:noWrap/>
            <w:vAlign w:val="center"/>
          </w:tcPr>
          <w:p w:rsidR="00DC2F2A" w:rsidRPr="00EB2995" w:rsidRDefault="00DC2F2A" w:rsidP="00DC2F2A">
            <w:pPr>
              <w:jc w:val="both"/>
              <w:rPr>
                <w:rFonts w:cs="Calibri"/>
                <w:lang w:eastAsia="en-GB"/>
              </w:rPr>
            </w:pPr>
            <w:r w:rsidRPr="00EB2995">
              <w:rPr>
                <w:rFonts w:cs="Calibri"/>
                <w:lang w:eastAsia="en-GB"/>
              </w:rPr>
              <w:t>Dedicated Schools Grant (DSG)</w:t>
            </w:r>
          </w:p>
        </w:tc>
        <w:tc>
          <w:tcPr>
            <w:tcW w:w="1573" w:type="dxa"/>
            <w:gridSpan w:val="2"/>
            <w:tcBorders>
              <w:top w:val="nil"/>
              <w:left w:val="single" w:sz="8" w:space="0" w:color="auto"/>
              <w:bottom w:val="single" w:sz="8" w:space="0" w:color="FFFFFF"/>
              <w:right w:val="single" w:sz="8" w:space="0" w:color="auto"/>
            </w:tcBorders>
            <w:noWrap/>
            <w:vAlign w:val="center"/>
          </w:tcPr>
          <w:p w:rsidR="00DC2F2A" w:rsidRPr="00EB2995" w:rsidRDefault="00DC2F2A" w:rsidP="00DC2F2A">
            <w:pPr>
              <w:jc w:val="right"/>
              <w:rPr>
                <w:rFonts w:cs="Calibri"/>
                <w:lang w:eastAsia="en-GB"/>
              </w:rPr>
            </w:pPr>
            <w:r w:rsidRPr="00EB2995">
              <w:rPr>
                <w:rFonts w:cs="Calibri"/>
                <w:lang w:eastAsia="en-GB"/>
              </w:rPr>
              <w:t>(190.0)</w:t>
            </w:r>
          </w:p>
        </w:tc>
      </w:tr>
      <w:tr w:rsidR="00DC2F2A" w:rsidRPr="00EB2995" w:rsidTr="00C00DF8">
        <w:trPr>
          <w:gridBefore w:val="1"/>
          <w:gridAfter w:val="2"/>
          <w:wBefore w:w="291" w:type="dxa"/>
          <w:wAfter w:w="185" w:type="dxa"/>
          <w:trHeight w:hRule="exact" w:val="284"/>
          <w:jc w:val="center"/>
        </w:trPr>
        <w:tc>
          <w:tcPr>
            <w:tcW w:w="1547" w:type="dxa"/>
            <w:tcBorders>
              <w:top w:val="nil"/>
              <w:left w:val="single" w:sz="4" w:space="0" w:color="auto"/>
              <w:bottom w:val="single" w:sz="8" w:space="0" w:color="FFFFFF"/>
              <w:right w:val="single" w:sz="4" w:space="0" w:color="auto"/>
            </w:tcBorders>
            <w:noWrap/>
            <w:vAlign w:val="center"/>
          </w:tcPr>
          <w:p w:rsidR="00DC2F2A" w:rsidRPr="00EB2995" w:rsidRDefault="00DC2F2A" w:rsidP="00DC2F2A">
            <w:pPr>
              <w:jc w:val="right"/>
              <w:rPr>
                <w:rFonts w:cs="Calibri"/>
                <w:lang w:eastAsia="en-GB"/>
              </w:rPr>
            </w:pPr>
            <w:r w:rsidRPr="00EB2995">
              <w:rPr>
                <w:rFonts w:cs="Calibri"/>
                <w:lang w:eastAsia="en-GB"/>
              </w:rPr>
              <w:t>(6.7)</w:t>
            </w:r>
          </w:p>
        </w:tc>
        <w:tc>
          <w:tcPr>
            <w:tcW w:w="5245" w:type="dxa"/>
            <w:tcBorders>
              <w:top w:val="nil"/>
              <w:left w:val="single" w:sz="4" w:space="0" w:color="auto"/>
              <w:bottom w:val="single" w:sz="4" w:space="0" w:color="FFFFFF"/>
              <w:right w:val="nil"/>
            </w:tcBorders>
            <w:noWrap/>
            <w:vAlign w:val="center"/>
          </w:tcPr>
          <w:p w:rsidR="00DC2F2A" w:rsidRPr="00EB2995" w:rsidRDefault="00DC2F2A" w:rsidP="00DC2F2A">
            <w:pPr>
              <w:jc w:val="both"/>
              <w:rPr>
                <w:rFonts w:cs="Calibri"/>
                <w:lang w:eastAsia="en-GB"/>
              </w:rPr>
            </w:pPr>
            <w:r w:rsidRPr="00EB2995">
              <w:rPr>
                <w:rFonts w:cs="Calibri"/>
                <w:lang w:eastAsia="en-GB"/>
              </w:rPr>
              <w:t>Pupil Premium Grants</w:t>
            </w:r>
          </w:p>
        </w:tc>
        <w:tc>
          <w:tcPr>
            <w:tcW w:w="1573" w:type="dxa"/>
            <w:gridSpan w:val="2"/>
            <w:tcBorders>
              <w:top w:val="nil"/>
              <w:left w:val="single" w:sz="8" w:space="0" w:color="auto"/>
              <w:bottom w:val="single" w:sz="8" w:space="0" w:color="FFFFFF"/>
              <w:right w:val="single" w:sz="8" w:space="0" w:color="auto"/>
            </w:tcBorders>
            <w:noWrap/>
            <w:vAlign w:val="center"/>
          </w:tcPr>
          <w:p w:rsidR="00DC2F2A" w:rsidRPr="00EB2995" w:rsidRDefault="00DC2F2A" w:rsidP="00DC2F2A">
            <w:pPr>
              <w:jc w:val="right"/>
              <w:rPr>
                <w:rFonts w:cs="Calibri"/>
                <w:lang w:eastAsia="en-GB"/>
              </w:rPr>
            </w:pPr>
            <w:r w:rsidRPr="00EB2995">
              <w:rPr>
                <w:rFonts w:cs="Calibri"/>
                <w:lang w:eastAsia="en-GB"/>
              </w:rPr>
              <w:t>(5.9)</w:t>
            </w:r>
          </w:p>
        </w:tc>
      </w:tr>
      <w:tr w:rsidR="00DC2F2A" w:rsidRPr="00EB2995" w:rsidTr="00C00DF8">
        <w:trPr>
          <w:gridBefore w:val="1"/>
          <w:gridAfter w:val="2"/>
          <w:wBefore w:w="291" w:type="dxa"/>
          <w:wAfter w:w="185" w:type="dxa"/>
          <w:trHeight w:hRule="exact" w:val="284"/>
          <w:jc w:val="center"/>
        </w:trPr>
        <w:tc>
          <w:tcPr>
            <w:tcW w:w="1547" w:type="dxa"/>
            <w:tcBorders>
              <w:top w:val="nil"/>
              <w:left w:val="single" w:sz="4" w:space="0" w:color="auto"/>
              <w:bottom w:val="single" w:sz="8" w:space="0" w:color="FFFFFF"/>
              <w:right w:val="single" w:sz="4" w:space="0" w:color="auto"/>
            </w:tcBorders>
            <w:noWrap/>
            <w:vAlign w:val="center"/>
          </w:tcPr>
          <w:p w:rsidR="00DC2F2A" w:rsidRPr="00EB2995" w:rsidRDefault="00DC2F2A" w:rsidP="00DC2F2A">
            <w:pPr>
              <w:jc w:val="right"/>
              <w:rPr>
                <w:rFonts w:cs="Calibri"/>
                <w:lang w:eastAsia="en-GB"/>
              </w:rPr>
            </w:pPr>
            <w:r w:rsidRPr="00EB2995">
              <w:rPr>
                <w:rFonts w:cs="Calibri"/>
                <w:lang w:eastAsia="en-GB"/>
              </w:rPr>
              <w:t>(4.2)</w:t>
            </w:r>
          </w:p>
        </w:tc>
        <w:tc>
          <w:tcPr>
            <w:tcW w:w="5245" w:type="dxa"/>
            <w:tcBorders>
              <w:top w:val="nil"/>
              <w:left w:val="single" w:sz="4" w:space="0" w:color="auto"/>
              <w:bottom w:val="single" w:sz="4" w:space="0" w:color="FFFFFF"/>
              <w:right w:val="nil"/>
            </w:tcBorders>
            <w:noWrap/>
            <w:vAlign w:val="center"/>
          </w:tcPr>
          <w:p w:rsidR="00DC2F2A" w:rsidRPr="00EB2995" w:rsidRDefault="00DC2F2A" w:rsidP="00DC2F2A">
            <w:pPr>
              <w:jc w:val="both"/>
              <w:rPr>
                <w:rFonts w:cs="Calibri"/>
                <w:lang w:eastAsia="en-GB"/>
              </w:rPr>
            </w:pPr>
            <w:r w:rsidRPr="00EB2995">
              <w:rPr>
                <w:rFonts w:cs="Calibri"/>
                <w:lang w:eastAsia="en-GB"/>
              </w:rPr>
              <w:t>Sixth forms funding from Learning and Skills Council (LSC)</w:t>
            </w:r>
          </w:p>
        </w:tc>
        <w:tc>
          <w:tcPr>
            <w:tcW w:w="1573" w:type="dxa"/>
            <w:gridSpan w:val="2"/>
            <w:tcBorders>
              <w:top w:val="nil"/>
              <w:left w:val="single" w:sz="8" w:space="0" w:color="auto"/>
              <w:bottom w:val="single" w:sz="8" w:space="0" w:color="FFFFFF"/>
              <w:right w:val="single" w:sz="8" w:space="0" w:color="auto"/>
            </w:tcBorders>
            <w:noWrap/>
            <w:vAlign w:val="center"/>
          </w:tcPr>
          <w:p w:rsidR="00DC2F2A" w:rsidRPr="00EB2995" w:rsidRDefault="00DC2F2A" w:rsidP="00DC2F2A">
            <w:pPr>
              <w:jc w:val="right"/>
              <w:rPr>
                <w:rFonts w:cs="Calibri"/>
                <w:lang w:eastAsia="en-GB"/>
              </w:rPr>
            </w:pPr>
            <w:r w:rsidRPr="00EB2995">
              <w:rPr>
                <w:rFonts w:cs="Calibri"/>
                <w:lang w:eastAsia="en-GB"/>
              </w:rPr>
              <w:t>(3.8)</w:t>
            </w:r>
          </w:p>
        </w:tc>
      </w:tr>
      <w:tr w:rsidR="00DC2F2A" w:rsidRPr="00EB2995" w:rsidTr="00C00DF8">
        <w:trPr>
          <w:gridBefore w:val="1"/>
          <w:gridAfter w:val="2"/>
          <w:wBefore w:w="291" w:type="dxa"/>
          <w:wAfter w:w="185" w:type="dxa"/>
          <w:trHeight w:hRule="exact" w:val="284"/>
          <w:jc w:val="center"/>
        </w:trPr>
        <w:tc>
          <w:tcPr>
            <w:tcW w:w="1547" w:type="dxa"/>
            <w:tcBorders>
              <w:top w:val="nil"/>
              <w:left w:val="single" w:sz="4" w:space="0" w:color="auto"/>
              <w:bottom w:val="single" w:sz="8" w:space="0" w:color="FFFFFF"/>
              <w:right w:val="single" w:sz="4" w:space="0" w:color="auto"/>
            </w:tcBorders>
            <w:noWrap/>
            <w:vAlign w:val="center"/>
          </w:tcPr>
          <w:p w:rsidR="00DC2F2A" w:rsidRPr="00EB2995" w:rsidRDefault="00DC2F2A" w:rsidP="00DC2F2A">
            <w:pPr>
              <w:jc w:val="right"/>
              <w:rPr>
                <w:rFonts w:cs="Calibri"/>
                <w:lang w:eastAsia="en-GB"/>
              </w:rPr>
            </w:pPr>
            <w:r w:rsidRPr="00EB2995">
              <w:rPr>
                <w:rFonts w:cs="Calibri"/>
                <w:lang w:eastAsia="en-GB"/>
              </w:rPr>
              <w:t>(3.2)</w:t>
            </w:r>
          </w:p>
        </w:tc>
        <w:tc>
          <w:tcPr>
            <w:tcW w:w="5245" w:type="dxa"/>
            <w:tcBorders>
              <w:top w:val="nil"/>
              <w:left w:val="single" w:sz="4" w:space="0" w:color="auto"/>
              <w:bottom w:val="single" w:sz="4" w:space="0" w:color="FFFFFF"/>
              <w:right w:val="nil"/>
            </w:tcBorders>
            <w:noWrap/>
            <w:vAlign w:val="center"/>
          </w:tcPr>
          <w:p w:rsidR="00DC2F2A" w:rsidRPr="00EB2995" w:rsidRDefault="00DC2F2A" w:rsidP="00DC2F2A">
            <w:pPr>
              <w:jc w:val="both"/>
              <w:rPr>
                <w:rFonts w:cs="Calibri"/>
                <w:lang w:eastAsia="en-GB"/>
              </w:rPr>
            </w:pPr>
            <w:r w:rsidRPr="00EB2995">
              <w:rPr>
                <w:rFonts w:cs="Calibri"/>
                <w:lang w:eastAsia="en-GB"/>
              </w:rPr>
              <w:t>Universal Infant School Meal</w:t>
            </w:r>
          </w:p>
        </w:tc>
        <w:tc>
          <w:tcPr>
            <w:tcW w:w="1573" w:type="dxa"/>
            <w:gridSpan w:val="2"/>
            <w:tcBorders>
              <w:top w:val="nil"/>
              <w:left w:val="single" w:sz="8" w:space="0" w:color="auto"/>
              <w:bottom w:val="single" w:sz="8" w:space="0" w:color="FFFFFF"/>
              <w:right w:val="single" w:sz="8" w:space="0" w:color="auto"/>
            </w:tcBorders>
            <w:noWrap/>
            <w:vAlign w:val="center"/>
          </w:tcPr>
          <w:p w:rsidR="00DC2F2A" w:rsidRPr="00EB2995" w:rsidRDefault="00DC2F2A" w:rsidP="00DC2F2A">
            <w:pPr>
              <w:jc w:val="right"/>
              <w:rPr>
                <w:rFonts w:cs="Calibri"/>
                <w:lang w:eastAsia="en-GB"/>
              </w:rPr>
            </w:pPr>
            <w:r w:rsidRPr="00EB2995">
              <w:rPr>
                <w:rFonts w:cs="Calibri"/>
                <w:lang w:eastAsia="en-GB"/>
              </w:rPr>
              <w:t>(3.1)</w:t>
            </w:r>
          </w:p>
        </w:tc>
      </w:tr>
      <w:tr w:rsidR="00DC2F2A" w:rsidRPr="00EB2995" w:rsidTr="00C00DF8">
        <w:trPr>
          <w:gridBefore w:val="1"/>
          <w:gridAfter w:val="2"/>
          <w:wBefore w:w="291" w:type="dxa"/>
          <w:wAfter w:w="185" w:type="dxa"/>
          <w:trHeight w:hRule="exact" w:val="284"/>
          <w:jc w:val="center"/>
        </w:trPr>
        <w:tc>
          <w:tcPr>
            <w:tcW w:w="1547" w:type="dxa"/>
            <w:tcBorders>
              <w:top w:val="nil"/>
              <w:left w:val="single" w:sz="4" w:space="0" w:color="auto"/>
              <w:bottom w:val="single" w:sz="8" w:space="0" w:color="FFFFFF"/>
              <w:right w:val="single" w:sz="4" w:space="0" w:color="auto"/>
            </w:tcBorders>
            <w:noWrap/>
            <w:vAlign w:val="center"/>
          </w:tcPr>
          <w:p w:rsidR="00DC2F2A" w:rsidRPr="00EB2995" w:rsidRDefault="00DC2F2A" w:rsidP="00DC2F2A">
            <w:pPr>
              <w:jc w:val="right"/>
              <w:rPr>
                <w:rFonts w:cs="Calibri"/>
                <w:lang w:eastAsia="en-GB"/>
              </w:rPr>
            </w:pPr>
            <w:r w:rsidRPr="00EB2995">
              <w:rPr>
                <w:rFonts w:cs="Calibri"/>
                <w:lang w:eastAsia="en-GB"/>
              </w:rPr>
              <w:t>(0.0)</w:t>
            </w:r>
          </w:p>
        </w:tc>
        <w:tc>
          <w:tcPr>
            <w:tcW w:w="5245" w:type="dxa"/>
            <w:tcBorders>
              <w:top w:val="nil"/>
              <w:left w:val="single" w:sz="4" w:space="0" w:color="auto"/>
              <w:bottom w:val="single" w:sz="4" w:space="0" w:color="FFFFFF"/>
              <w:right w:val="nil"/>
            </w:tcBorders>
            <w:noWrap/>
            <w:vAlign w:val="center"/>
          </w:tcPr>
          <w:p w:rsidR="00DC2F2A" w:rsidRPr="00EB2995" w:rsidRDefault="00DC2F2A" w:rsidP="00DC2F2A">
            <w:pPr>
              <w:jc w:val="both"/>
              <w:rPr>
                <w:rFonts w:cs="Calibri"/>
                <w:lang w:eastAsia="en-GB"/>
              </w:rPr>
            </w:pPr>
            <w:r w:rsidRPr="00EB2995">
              <w:rPr>
                <w:rFonts w:cs="Calibri"/>
                <w:lang w:eastAsia="en-GB"/>
              </w:rPr>
              <w:t xml:space="preserve">Teachers’ Pension Employer Contribution Grant </w:t>
            </w:r>
          </w:p>
        </w:tc>
        <w:tc>
          <w:tcPr>
            <w:tcW w:w="1573" w:type="dxa"/>
            <w:gridSpan w:val="2"/>
            <w:tcBorders>
              <w:top w:val="nil"/>
              <w:left w:val="single" w:sz="8" w:space="0" w:color="auto"/>
              <w:bottom w:val="single" w:sz="8" w:space="0" w:color="FFFFFF"/>
              <w:right w:val="single" w:sz="8" w:space="0" w:color="auto"/>
            </w:tcBorders>
            <w:noWrap/>
            <w:vAlign w:val="center"/>
          </w:tcPr>
          <w:p w:rsidR="00DC2F2A" w:rsidRPr="00EB2995" w:rsidRDefault="00DC2F2A" w:rsidP="00DC2F2A">
            <w:pPr>
              <w:jc w:val="right"/>
              <w:rPr>
                <w:rFonts w:cs="Calibri"/>
                <w:lang w:eastAsia="en-GB"/>
              </w:rPr>
            </w:pPr>
            <w:r w:rsidRPr="00EB2995">
              <w:rPr>
                <w:rFonts w:cs="Calibri"/>
                <w:lang w:eastAsia="en-GB"/>
              </w:rPr>
              <w:t>(2.7)</w:t>
            </w:r>
          </w:p>
        </w:tc>
      </w:tr>
      <w:tr w:rsidR="00DC2F2A" w:rsidRPr="00EB2995" w:rsidTr="00C00DF8">
        <w:trPr>
          <w:gridBefore w:val="1"/>
          <w:gridAfter w:val="2"/>
          <w:wBefore w:w="291" w:type="dxa"/>
          <w:wAfter w:w="185" w:type="dxa"/>
          <w:trHeight w:hRule="exact" w:val="284"/>
          <w:jc w:val="center"/>
        </w:trPr>
        <w:tc>
          <w:tcPr>
            <w:tcW w:w="1547" w:type="dxa"/>
            <w:tcBorders>
              <w:top w:val="nil"/>
              <w:left w:val="single" w:sz="4" w:space="0" w:color="auto"/>
              <w:bottom w:val="nil"/>
              <w:right w:val="single" w:sz="4" w:space="0" w:color="auto"/>
            </w:tcBorders>
            <w:noWrap/>
            <w:vAlign w:val="center"/>
          </w:tcPr>
          <w:p w:rsidR="00DC2F2A" w:rsidRPr="00EB2995" w:rsidRDefault="00DC2F2A" w:rsidP="00DC2F2A">
            <w:pPr>
              <w:jc w:val="right"/>
              <w:rPr>
                <w:rFonts w:cs="Calibri"/>
                <w:lang w:eastAsia="en-GB"/>
              </w:rPr>
            </w:pPr>
            <w:r w:rsidRPr="00EB2995">
              <w:rPr>
                <w:rFonts w:cs="Calibri"/>
                <w:lang w:eastAsia="en-GB"/>
              </w:rPr>
              <w:t>(0.0)</w:t>
            </w:r>
          </w:p>
        </w:tc>
        <w:tc>
          <w:tcPr>
            <w:tcW w:w="5245" w:type="dxa"/>
            <w:tcBorders>
              <w:top w:val="nil"/>
              <w:left w:val="single" w:sz="4" w:space="0" w:color="auto"/>
              <w:bottom w:val="single" w:sz="4" w:space="0" w:color="FFFFFF"/>
              <w:right w:val="nil"/>
            </w:tcBorders>
            <w:noWrap/>
            <w:vAlign w:val="center"/>
          </w:tcPr>
          <w:p w:rsidR="00DC2F2A" w:rsidRPr="00EB2995" w:rsidRDefault="00DC2F2A" w:rsidP="00DC2F2A">
            <w:pPr>
              <w:jc w:val="both"/>
              <w:rPr>
                <w:rFonts w:cs="Calibri"/>
                <w:lang w:eastAsia="en-GB"/>
              </w:rPr>
            </w:pPr>
            <w:r w:rsidRPr="00EB2995">
              <w:rPr>
                <w:rFonts w:cs="Calibri"/>
                <w:lang w:eastAsia="en-GB"/>
              </w:rPr>
              <w:t>Central Education Services</w:t>
            </w:r>
          </w:p>
        </w:tc>
        <w:tc>
          <w:tcPr>
            <w:tcW w:w="1573" w:type="dxa"/>
            <w:gridSpan w:val="2"/>
            <w:tcBorders>
              <w:top w:val="nil"/>
              <w:left w:val="single" w:sz="8" w:space="0" w:color="auto"/>
              <w:bottom w:val="single" w:sz="8" w:space="0" w:color="FFFFFF"/>
              <w:right w:val="single" w:sz="8" w:space="0" w:color="auto"/>
            </w:tcBorders>
            <w:noWrap/>
            <w:vAlign w:val="center"/>
          </w:tcPr>
          <w:p w:rsidR="00DC2F2A" w:rsidRPr="00EB2995" w:rsidRDefault="00DC2F2A" w:rsidP="00DC2F2A">
            <w:pPr>
              <w:jc w:val="right"/>
              <w:rPr>
                <w:rFonts w:cs="Calibri"/>
                <w:lang w:eastAsia="en-GB"/>
              </w:rPr>
            </w:pPr>
            <w:r w:rsidRPr="00EB2995">
              <w:rPr>
                <w:rFonts w:cs="Calibri"/>
                <w:lang w:eastAsia="en-GB"/>
              </w:rPr>
              <w:t>(0.0)</w:t>
            </w:r>
          </w:p>
        </w:tc>
      </w:tr>
      <w:tr w:rsidR="00DC2F2A" w:rsidRPr="00EB2995" w:rsidTr="00C00DF8">
        <w:trPr>
          <w:gridBefore w:val="1"/>
          <w:gridAfter w:val="2"/>
          <w:wBefore w:w="291" w:type="dxa"/>
          <w:wAfter w:w="185" w:type="dxa"/>
          <w:trHeight w:hRule="exact" w:val="284"/>
          <w:jc w:val="center"/>
        </w:trPr>
        <w:tc>
          <w:tcPr>
            <w:tcW w:w="1547" w:type="dxa"/>
            <w:tcBorders>
              <w:top w:val="single" w:sz="8" w:space="0" w:color="auto"/>
              <w:left w:val="single" w:sz="4" w:space="0" w:color="auto"/>
              <w:bottom w:val="single" w:sz="8" w:space="0" w:color="auto"/>
              <w:right w:val="single" w:sz="4" w:space="0" w:color="auto"/>
            </w:tcBorders>
            <w:noWrap/>
            <w:vAlign w:val="bottom"/>
          </w:tcPr>
          <w:p w:rsidR="00DC2F2A" w:rsidRPr="00EB2995" w:rsidRDefault="00DC2F2A" w:rsidP="00DC2F2A">
            <w:pPr>
              <w:jc w:val="right"/>
              <w:rPr>
                <w:rFonts w:cs="Calibri"/>
                <w:b/>
                <w:bCs/>
                <w:lang w:eastAsia="en-GB"/>
              </w:rPr>
            </w:pPr>
            <w:r w:rsidRPr="00EB2995">
              <w:rPr>
                <w:rFonts w:cs="Calibri"/>
                <w:b/>
                <w:bCs/>
                <w:lang w:eastAsia="en-GB"/>
              </w:rPr>
              <w:t>(208.0)</w:t>
            </w:r>
          </w:p>
        </w:tc>
        <w:tc>
          <w:tcPr>
            <w:tcW w:w="5245" w:type="dxa"/>
            <w:tcBorders>
              <w:top w:val="nil"/>
              <w:left w:val="single" w:sz="4" w:space="0" w:color="auto"/>
              <w:bottom w:val="single" w:sz="4" w:space="0" w:color="FFFFFF"/>
              <w:right w:val="nil"/>
            </w:tcBorders>
            <w:noWrap/>
            <w:vAlign w:val="bottom"/>
          </w:tcPr>
          <w:p w:rsidR="00DC2F2A" w:rsidRPr="00EB2995" w:rsidRDefault="00DC2F2A" w:rsidP="00DC2F2A">
            <w:pPr>
              <w:jc w:val="both"/>
              <w:rPr>
                <w:rFonts w:cs="Calibri"/>
                <w:lang w:eastAsia="en-GB"/>
              </w:rPr>
            </w:pPr>
            <w:r w:rsidRPr="00EB2995">
              <w:rPr>
                <w:rFonts w:cs="Calibri"/>
                <w:lang w:eastAsia="en-GB"/>
              </w:rPr>
              <w:t> </w:t>
            </w:r>
          </w:p>
        </w:tc>
        <w:tc>
          <w:tcPr>
            <w:tcW w:w="1573" w:type="dxa"/>
            <w:gridSpan w:val="2"/>
            <w:tcBorders>
              <w:top w:val="single" w:sz="8" w:space="0" w:color="auto"/>
              <w:left w:val="single" w:sz="8" w:space="0" w:color="auto"/>
              <w:bottom w:val="single" w:sz="8" w:space="0" w:color="auto"/>
              <w:right w:val="single" w:sz="8" w:space="0" w:color="auto"/>
            </w:tcBorders>
            <w:noWrap/>
            <w:vAlign w:val="bottom"/>
          </w:tcPr>
          <w:p w:rsidR="00DC2F2A" w:rsidRPr="00EB2995" w:rsidRDefault="00DC2F2A" w:rsidP="00DC2F2A">
            <w:pPr>
              <w:jc w:val="right"/>
              <w:rPr>
                <w:rFonts w:cs="Calibri"/>
                <w:b/>
                <w:bCs/>
                <w:lang w:eastAsia="en-GB"/>
              </w:rPr>
            </w:pPr>
            <w:r w:rsidRPr="00EB2995">
              <w:rPr>
                <w:rFonts w:cs="Calibri"/>
                <w:b/>
                <w:bCs/>
                <w:lang w:eastAsia="en-GB"/>
              </w:rPr>
              <w:t>(205.5)</w:t>
            </w:r>
          </w:p>
        </w:tc>
      </w:tr>
      <w:tr w:rsidR="00DC2F2A" w:rsidRPr="00EB2995" w:rsidTr="00C00DF8">
        <w:trPr>
          <w:gridBefore w:val="1"/>
          <w:gridAfter w:val="2"/>
          <w:wBefore w:w="291" w:type="dxa"/>
          <w:wAfter w:w="185" w:type="dxa"/>
          <w:trHeight w:hRule="exact" w:val="284"/>
          <w:jc w:val="center"/>
        </w:trPr>
        <w:tc>
          <w:tcPr>
            <w:tcW w:w="1547" w:type="dxa"/>
            <w:tcBorders>
              <w:top w:val="single" w:sz="4" w:space="0" w:color="auto"/>
              <w:left w:val="single" w:sz="4" w:space="0" w:color="auto"/>
              <w:bottom w:val="single" w:sz="8" w:space="0" w:color="FFFFFF"/>
              <w:right w:val="single" w:sz="4" w:space="0" w:color="auto"/>
            </w:tcBorders>
            <w:noWrap/>
            <w:vAlign w:val="center"/>
          </w:tcPr>
          <w:p w:rsidR="00DC2F2A" w:rsidRPr="00EB2995" w:rsidRDefault="00DC2F2A" w:rsidP="00DC2F2A">
            <w:pPr>
              <w:ind w:left="-1547" w:firstLine="1547"/>
              <w:jc w:val="right"/>
              <w:rPr>
                <w:rFonts w:cs="Calibri"/>
                <w:lang w:eastAsia="en-GB"/>
              </w:rPr>
            </w:pPr>
          </w:p>
        </w:tc>
        <w:tc>
          <w:tcPr>
            <w:tcW w:w="5245" w:type="dxa"/>
            <w:tcBorders>
              <w:top w:val="nil"/>
              <w:left w:val="single" w:sz="4" w:space="0" w:color="auto"/>
              <w:bottom w:val="single" w:sz="4" w:space="0" w:color="FFFFFF"/>
              <w:right w:val="nil"/>
            </w:tcBorders>
            <w:noWrap/>
            <w:vAlign w:val="center"/>
          </w:tcPr>
          <w:p w:rsidR="00DC2F2A" w:rsidRPr="00EB2995" w:rsidRDefault="00DC2F2A" w:rsidP="00DC2F2A">
            <w:pPr>
              <w:ind w:left="-1547" w:firstLine="1547"/>
              <w:rPr>
                <w:rFonts w:cs="Calibri"/>
                <w:b/>
                <w:lang w:eastAsia="en-GB"/>
              </w:rPr>
            </w:pPr>
            <w:r w:rsidRPr="00EB2995">
              <w:rPr>
                <w:rFonts w:cs="Calibri"/>
                <w:b/>
                <w:lang w:eastAsia="en-GB"/>
              </w:rPr>
              <w:t>Other:</w:t>
            </w:r>
          </w:p>
        </w:tc>
        <w:tc>
          <w:tcPr>
            <w:tcW w:w="1573" w:type="dxa"/>
            <w:gridSpan w:val="2"/>
            <w:tcBorders>
              <w:top w:val="single" w:sz="4" w:space="0" w:color="auto"/>
              <w:left w:val="single" w:sz="8" w:space="0" w:color="auto"/>
              <w:bottom w:val="single" w:sz="8" w:space="0" w:color="FFFFFF"/>
              <w:right w:val="single" w:sz="8" w:space="0" w:color="auto"/>
            </w:tcBorders>
            <w:noWrap/>
            <w:vAlign w:val="center"/>
          </w:tcPr>
          <w:p w:rsidR="00DC2F2A" w:rsidRPr="00EB2995" w:rsidRDefault="00DC2F2A" w:rsidP="00DC2F2A">
            <w:pPr>
              <w:ind w:left="-1547" w:firstLine="1547"/>
              <w:jc w:val="right"/>
              <w:rPr>
                <w:rFonts w:cs="Calibri"/>
                <w:lang w:eastAsia="en-GB"/>
              </w:rPr>
            </w:pPr>
          </w:p>
        </w:tc>
      </w:tr>
      <w:tr w:rsidR="00DC2F2A" w:rsidRPr="00EB2995" w:rsidTr="00C00DF8">
        <w:trPr>
          <w:gridBefore w:val="1"/>
          <w:gridAfter w:val="2"/>
          <w:wBefore w:w="291" w:type="dxa"/>
          <w:wAfter w:w="185" w:type="dxa"/>
          <w:trHeight w:hRule="exact" w:val="284"/>
          <w:jc w:val="center"/>
        </w:trPr>
        <w:tc>
          <w:tcPr>
            <w:tcW w:w="1547" w:type="dxa"/>
            <w:tcBorders>
              <w:top w:val="single" w:sz="8" w:space="0" w:color="FFFFFF"/>
              <w:left w:val="single" w:sz="4" w:space="0" w:color="auto"/>
              <w:bottom w:val="single" w:sz="8" w:space="0" w:color="FFFFFF"/>
              <w:right w:val="single" w:sz="4" w:space="0" w:color="auto"/>
            </w:tcBorders>
            <w:noWrap/>
            <w:vAlign w:val="center"/>
          </w:tcPr>
          <w:p w:rsidR="00DC2F2A" w:rsidRPr="00EB2995" w:rsidRDefault="00DC2F2A" w:rsidP="00DC2F2A">
            <w:pPr>
              <w:ind w:left="-1547" w:firstLine="1547"/>
              <w:jc w:val="right"/>
              <w:rPr>
                <w:rFonts w:cs="Calibri"/>
                <w:lang w:eastAsia="en-GB"/>
              </w:rPr>
            </w:pPr>
            <w:r w:rsidRPr="00EB2995">
              <w:rPr>
                <w:rFonts w:cs="Calibri"/>
                <w:lang w:eastAsia="en-GB"/>
              </w:rPr>
              <w:lastRenderedPageBreak/>
              <w:t>(3.1)</w:t>
            </w:r>
          </w:p>
        </w:tc>
        <w:tc>
          <w:tcPr>
            <w:tcW w:w="5245" w:type="dxa"/>
            <w:tcBorders>
              <w:top w:val="nil"/>
              <w:left w:val="single" w:sz="4" w:space="0" w:color="auto"/>
              <w:bottom w:val="single" w:sz="4" w:space="0" w:color="FFFFFF"/>
              <w:right w:val="nil"/>
            </w:tcBorders>
            <w:noWrap/>
            <w:vAlign w:val="center"/>
          </w:tcPr>
          <w:p w:rsidR="00DC2F2A" w:rsidRPr="00EB2995" w:rsidRDefault="00DC2F2A" w:rsidP="00DC2F2A">
            <w:pPr>
              <w:ind w:left="-1547" w:firstLine="1547"/>
              <w:rPr>
                <w:rFonts w:cs="Calibri"/>
                <w:lang w:eastAsia="en-GB"/>
              </w:rPr>
            </w:pPr>
            <w:r w:rsidRPr="00EB2995">
              <w:rPr>
                <w:rFonts w:cs="Calibri"/>
                <w:lang w:eastAsia="en-GB"/>
              </w:rPr>
              <w:t xml:space="preserve">Adult and Community Learning </w:t>
            </w:r>
          </w:p>
        </w:tc>
        <w:tc>
          <w:tcPr>
            <w:tcW w:w="1573" w:type="dxa"/>
            <w:gridSpan w:val="2"/>
            <w:tcBorders>
              <w:top w:val="nil"/>
              <w:left w:val="single" w:sz="8" w:space="0" w:color="auto"/>
              <w:bottom w:val="single" w:sz="8" w:space="0" w:color="FFFFFF"/>
              <w:right w:val="single" w:sz="8" w:space="0" w:color="auto"/>
            </w:tcBorders>
            <w:noWrap/>
            <w:vAlign w:val="center"/>
          </w:tcPr>
          <w:p w:rsidR="00DC2F2A" w:rsidRPr="00EB2995" w:rsidRDefault="00DC2F2A" w:rsidP="00DC2F2A">
            <w:pPr>
              <w:ind w:left="-1547" w:firstLine="1547"/>
              <w:jc w:val="right"/>
              <w:rPr>
                <w:rFonts w:cs="Calibri"/>
                <w:lang w:eastAsia="en-GB"/>
              </w:rPr>
            </w:pPr>
            <w:r w:rsidRPr="00EB2995">
              <w:rPr>
                <w:rFonts w:cs="Calibri"/>
                <w:lang w:eastAsia="en-GB"/>
              </w:rPr>
              <w:t>(1.2)</w:t>
            </w:r>
          </w:p>
        </w:tc>
      </w:tr>
      <w:tr w:rsidR="00DC2F2A" w:rsidRPr="00EB2995" w:rsidTr="00C00DF8">
        <w:trPr>
          <w:gridBefore w:val="1"/>
          <w:gridAfter w:val="2"/>
          <w:wBefore w:w="291" w:type="dxa"/>
          <w:wAfter w:w="185" w:type="dxa"/>
          <w:trHeight w:hRule="exact" w:val="284"/>
          <w:jc w:val="center"/>
        </w:trPr>
        <w:tc>
          <w:tcPr>
            <w:tcW w:w="1547" w:type="dxa"/>
            <w:tcBorders>
              <w:top w:val="single" w:sz="8" w:space="0" w:color="FFFFFF"/>
              <w:left w:val="single" w:sz="4" w:space="0" w:color="auto"/>
              <w:bottom w:val="single" w:sz="8" w:space="0" w:color="FFFFFF"/>
              <w:right w:val="single" w:sz="4" w:space="0" w:color="auto"/>
            </w:tcBorders>
            <w:noWrap/>
            <w:vAlign w:val="center"/>
          </w:tcPr>
          <w:p w:rsidR="00DC2F2A" w:rsidRPr="00EB2995" w:rsidRDefault="00DC2F2A" w:rsidP="00DC2F2A">
            <w:pPr>
              <w:ind w:left="-1547" w:firstLine="1547"/>
              <w:jc w:val="right"/>
              <w:rPr>
                <w:rFonts w:cs="Calibri"/>
                <w:lang w:eastAsia="en-GB"/>
              </w:rPr>
            </w:pPr>
            <w:r w:rsidRPr="00EB2995">
              <w:rPr>
                <w:rFonts w:cs="Calibri"/>
                <w:lang w:eastAsia="en-GB"/>
              </w:rPr>
              <w:t>(0.0)</w:t>
            </w:r>
          </w:p>
        </w:tc>
        <w:tc>
          <w:tcPr>
            <w:tcW w:w="5245" w:type="dxa"/>
            <w:tcBorders>
              <w:top w:val="nil"/>
              <w:left w:val="single" w:sz="4" w:space="0" w:color="auto"/>
              <w:bottom w:val="single" w:sz="4" w:space="0" w:color="FFFFFF"/>
              <w:right w:val="nil"/>
            </w:tcBorders>
            <w:noWrap/>
            <w:vAlign w:val="center"/>
          </w:tcPr>
          <w:p w:rsidR="00DC2F2A" w:rsidRPr="00EB2995" w:rsidRDefault="00DC2F2A" w:rsidP="00DC2F2A">
            <w:pPr>
              <w:ind w:left="-1547" w:firstLine="1547"/>
              <w:rPr>
                <w:rFonts w:cs="Calibri"/>
                <w:lang w:eastAsia="en-GB"/>
              </w:rPr>
            </w:pPr>
            <w:r w:rsidRPr="00EB2995">
              <w:rPr>
                <w:rFonts w:cs="Calibri"/>
                <w:lang w:eastAsia="en-GB"/>
              </w:rPr>
              <w:t>Covid-19 Grant</w:t>
            </w:r>
          </w:p>
        </w:tc>
        <w:tc>
          <w:tcPr>
            <w:tcW w:w="1573" w:type="dxa"/>
            <w:gridSpan w:val="2"/>
            <w:tcBorders>
              <w:top w:val="nil"/>
              <w:left w:val="single" w:sz="8" w:space="0" w:color="auto"/>
              <w:bottom w:val="single" w:sz="8" w:space="0" w:color="FFFFFF"/>
              <w:right w:val="single" w:sz="8" w:space="0" w:color="auto"/>
            </w:tcBorders>
            <w:noWrap/>
            <w:vAlign w:val="center"/>
          </w:tcPr>
          <w:p w:rsidR="00DC2F2A" w:rsidRPr="00EB2995" w:rsidRDefault="00DC2F2A" w:rsidP="00DC2F2A">
            <w:pPr>
              <w:ind w:left="-1547" w:firstLine="1547"/>
              <w:jc w:val="right"/>
              <w:rPr>
                <w:rFonts w:cs="Calibri"/>
                <w:lang w:eastAsia="en-GB"/>
              </w:rPr>
            </w:pPr>
            <w:r w:rsidRPr="00EB2995">
              <w:rPr>
                <w:rFonts w:cs="Calibri"/>
                <w:lang w:eastAsia="en-GB"/>
              </w:rPr>
              <w:t>(9.3)</w:t>
            </w:r>
          </w:p>
        </w:tc>
      </w:tr>
      <w:tr w:rsidR="00DC2F2A" w:rsidRPr="00EB2995" w:rsidTr="00C00DF8">
        <w:trPr>
          <w:gridBefore w:val="1"/>
          <w:gridAfter w:val="2"/>
          <w:wBefore w:w="291" w:type="dxa"/>
          <w:wAfter w:w="185" w:type="dxa"/>
          <w:trHeight w:hRule="exact" w:val="284"/>
          <w:jc w:val="center"/>
        </w:trPr>
        <w:tc>
          <w:tcPr>
            <w:tcW w:w="1547" w:type="dxa"/>
            <w:tcBorders>
              <w:top w:val="nil"/>
              <w:left w:val="single" w:sz="4" w:space="0" w:color="auto"/>
              <w:bottom w:val="single" w:sz="8" w:space="0" w:color="FFFFFF"/>
              <w:right w:val="single" w:sz="4" w:space="0" w:color="auto"/>
            </w:tcBorders>
            <w:noWrap/>
            <w:vAlign w:val="center"/>
          </w:tcPr>
          <w:p w:rsidR="00DC2F2A" w:rsidRPr="00EB2995" w:rsidRDefault="00DC2F2A" w:rsidP="00DC2F2A">
            <w:pPr>
              <w:ind w:left="-1547" w:firstLine="1547"/>
              <w:jc w:val="right"/>
              <w:rPr>
                <w:rFonts w:cs="Calibri"/>
                <w:lang w:eastAsia="en-GB"/>
              </w:rPr>
            </w:pPr>
            <w:r w:rsidRPr="00EB2995">
              <w:rPr>
                <w:rFonts w:cs="Calibri"/>
                <w:lang w:eastAsia="en-GB"/>
              </w:rPr>
              <w:t>(2.2)</w:t>
            </w:r>
          </w:p>
        </w:tc>
        <w:tc>
          <w:tcPr>
            <w:tcW w:w="5245" w:type="dxa"/>
            <w:tcBorders>
              <w:top w:val="nil"/>
              <w:left w:val="single" w:sz="4" w:space="0" w:color="auto"/>
              <w:bottom w:val="single" w:sz="4" w:space="0" w:color="FFFFFF"/>
              <w:right w:val="nil"/>
            </w:tcBorders>
            <w:noWrap/>
            <w:vAlign w:val="center"/>
          </w:tcPr>
          <w:p w:rsidR="00DC2F2A" w:rsidRPr="00EB2995" w:rsidRDefault="00DC2F2A" w:rsidP="00DC2F2A">
            <w:pPr>
              <w:ind w:left="-1547" w:firstLine="1547"/>
              <w:rPr>
                <w:rFonts w:cs="Calibri"/>
                <w:lang w:eastAsia="en-GB"/>
              </w:rPr>
            </w:pPr>
            <w:r w:rsidRPr="00EB2995">
              <w:rPr>
                <w:rFonts w:cs="Calibri"/>
                <w:lang w:eastAsia="en-GB"/>
              </w:rPr>
              <w:t>Discretionary Housing payments</w:t>
            </w:r>
          </w:p>
        </w:tc>
        <w:tc>
          <w:tcPr>
            <w:tcW w:w="1573" w:type="dxa"/>
            <w:gridSpan w:val="2"/>
            <w:tcBorders>
              <w:top w:val="nil"/>
              <w:left w:val="single" w:sz="8" w:space="0" w:color="auto"/>
              <w:bottom w:val="single" w:sz="8" w:space="0" w:color="FFFFFF"/>
              <w:right w:val="single" w:sz="8" w:space="0" w:color="auto"/>
            </w:tcBorders>
            <w:noWrap/>
            <w:vAlign w:val="center"/>
          </w:tcPr>
          <w:p w:rsidR="00DC2F2A" w:rsidRPr="00EB2995" w:rsidRDefault="00DC2F2A" w:rsidP="00DC2F2A">
            <w:pPr>
              <w:ind w:left="-1547" w:firstLine="1547"/>
              <w:jc w:val="right"/>
              <w:rPr>
                <w:rFonts w:cs="Calibri"/>
                <w:lang w:eastAsia="en-GB"/>
              </w:rPr>
            </w:pPr>
            <w:r w:rsidRPr="00EB2995">
              <w:rPr>
                <w:rFonts w:cs="Calibri"/>
                <w:lang w:eastAsia="en-GB"/>
              </w:rPr>
              <w:t>(2.1)</w:t>
            </w:r>
          </w:p>
        </w:tc>
      </w:tr>
      <w:tr w:rsidR="00DC2F2A" w:rsidRPr="00EB2995" w:rsidTr="00C00DF8">
        <w:trPr>
          <w:gridBefore w:val="1"/>
          <w:gridAfter w:val="2"/>
          <w:wBefore w:w="291" w:type="dxa"/>
          <w:wAfter w:w="185" w:type="dxa"/>
          <w:trHeight w:hRule="exact" w:val="284"/>
          <w:jc w:val="center"/>
        </w:trPr>
        <w:tc>
          <w:tcPr>
            <w:tcW w:w="1547" w:type="dxa"/>
            <w:tcBorders>
              <w:top w:val="single" w:sz="8" w:space="0" w:color="FFFFFF"/>
              <w:left w:val="single" w:sz="4" w:space="0" w:color="auto"/>
              <w:bottom w:val="single" w:sz="8" w:space="0" w:color="FFFFFF"/>
              <w:right w:val="single" w:sz="4" w:space="0" w:color="auto"/>
            </w:tcBorders>
            <w:noWrap/>
            <w:vAlign w:val="center"/>
          </w:tcPr>
          <w:p w:rsidR="00DC2F2A" w:rsidRPr="00EB2995" w:rsidRDefault="00DC2F2A" w:rsidP="00DC2F2A">
            <w:pPr>
              <w:ind w:left="-1547" w:firstLine="1547"/>
              <w:jc w:val="right"/>
              <w:rPr>
                <w:rFonts w:cs="Calibri"/>
                <w:lang w:eastAsia="en-GB"/>
              </w:rPr>
            </w:pPr>
            <w:r w:rsidRPr="00EB2995">
              <w:rPr>
                <w:rFonts w:cs="Calibri"/>
                <w:lang w:eastAsia="en-GB"/>
              </w:rPr>
              <w:t>(6.3)</w:t>
            </w:r>
          </w:p>
        </w:tc>
        <w:tc>
          <w:tcPr>
            <w:tcW w:w="5245" w:type="dxa"/>
            <w:tcBorders>
              <w:top w:val="nil"/>
              <w:left w:val="single" w:sz="4" w:space="0" w:color="auto"/>
              <w:bottom w:val="single" w:sz="4" w:space="0" w:color="FFFFFF"/>
              <w:right w:val="nil"/>
            </w:tcBorders>
            <w:noWrap/>
            <w:vAlign w:val="center"/>
          </w:tcPr>
          <w:p w:rsidR="00DC2F2A" w:rsidRPr="00EB2995" w:rsidRDefault="00DC2F2A" w:rsidP="00DC2F2A">
            <w:pPr>
              <w:ind w:left="-1547" w:firstLine="1547"/>
              <w:rPr>
                <w:rFonts w:cs="Calibri"/>
                <w:lang w:eastAsia="en-GB"/>
              </w:rPr>
            </w:pPr>
            <w:r w:rsidRPr="00EB2995">
              <w:rPr>
                <w:rFonts w:cs="Calibri"/>
                <w:lang w:eastAsia="en-GB"/>
              </w:rPr>
              <w:t xml:space="preserve">Private Finance Initiative </w:t>
            </w:r>
          </w:p>
        </w:tc>
        <w:tc>
          <w:tcPr>
            <w:tcW w:w="1573" w:type="dxa"/>
            <w:gridSpan w:val="2"/>
            <w:tcBorders>
              <w:top w:val="nil"/>
              <w:left w:val="single" w:sz="8" w:space="0" w:color="auto"/>
              <w:bottom w:val="single" w:sz="8" w:space="0" w:color="FFFFFF"/>
              <w:right w:val="single" w:sz="8" w:space="0" w:color="auto"/>
            </w:tcBorders>
            <w:noWrap/>
            <w:vAlign w:val="center"/>
          </w:tcPr>
          <w:p w:rsidR="00DC2F2A" w:rsidRPr="00EB2995" w:rsidRDefault="00DC2F2A" w:rsidP="00DC2F2A">
            <w:pPr>
              <w:ind w:left="-1547" w:firstLine="1547"/>
              <w:jc w:val="right"/>
              <w:rPr>
                <w:rFonts w:cs="Calibri"/>
                <w:lang w:eastAsia="en-GB"/>
              </w:rPr>
            </w:pPr>
            <w:r w:rsidRPr="00EB2995">
              <w:rPr>
                <w:rFonts w:cs="Calibri"/>
                <w:lang w:eastAsia="en-GB"/>
              </w:rPr>
              <w:t>(5.5)</w:t>
            </w:r>
          </w:p>
        </w:tc>
      </w:tr>
      <w:tr w:rsidR="00DC2F2A" w:rsidRPr="00EB2995" w:rsidTr="00C00DF8">
        <w:trPr>
          <w:gridBefore w:val="1"/>
          <w:gridAfter w:val="2"/>
          <w:wBefore w:w="291" w:type="dxa"/>
          <w:wAfter w:w="185" w:type="dxa"/>
          <w:trHeight w:hRule="exact" w:val="284"/>
          <w:jc w:val="center"/>
        </w:trPr>
        <w:tc>
          <w:tcPr>
            <w:tcW w:w="1547" w:type="dxa"/>
            <w:tcBorders>
              <w:top w:val="nil"/>
              <w:left w:val="single" w:sz="4" w:space="0" w:color="auto"/>
              <w:bottom w:val="single" w:sz="8" w:space="0" w:color="FFFFFF"/>
              <w:right w:val="single" w:sz="4" w:space="0" w:color="auto"/>
            </w:tcBorders>
            <w:noWrap/>
            <w:vAlign w:val="center"/>
          </w:tcPr>
          <w:p w:rsidR="00DC2F2A" w:rsidRPr="00EB2995" w:rsidRDefault="00DC2F2A" w:rsidP="00DC2F2A">
            <w:pPr>
              <w:ind w:left="-1547" w:firstLine="1547"/>
              <w:jc w:val="right"/>
              <w:rPr>
                <w:rFonts w:cs="Calibri"/>
                <w:lang w:eastAsia="en-GB"/>
              </w:rPr>
            </w:pPr>
            <w:r w:rsidRPr="00EB2995">
              <w:rPr>
                <w:rFonts w:cs="Calibri"/>
                <w:lang w:eastAsia="en-GB"/>
              </w:rPr>
              <w:t>(21.4)</w:t>
            </w:r>
          </w:p>
        </w:tc>
        <w:tc>
          <w:tcPr>
            <w:tcW w:w="5245" w:type="dxa"/>
            <w:tcBorders>
              <w:top w:val="nil"/>
              <w:left w:val="single" w:sz="4" w:space="0" w:color="auto"/>
              <w:bottom w:val="single" w:sz="4" w:space="0" w:color="FFFFFF"/>
              <w:right w:val="nil"/>
            </w:tcBorders>
            <w:noWrap/>
            <w:vAlign w:val="center"/>
          </w:tcPr>
          <w:p w:rsidR="00DC2F2A" w:rsidRPr="00EB2995" w:rsidRDefault="00DC2F2A" w:rsidP="00DC2F2A">
            <w:pPr>
              <w:ind w:left="-1547" w:firstLine="1547"/>
              <w:rPr>
                <w:rFonts w:cs="Calibri"/>
                <w:lang w:eastAsia="en-GB"/>
              </w:rPr>
            </w:pPr>
            <w:r w:rsidRPr="00EB2995">
              <w:rPr>
                <w:rFonts w:cs="Calibri"/>
                <w:lang w:eastAsia="en-GB"/>
              </w:rPr>
              <w:t>Public Health</w:t>
            </w:r>
          </w:p>
        </w:tc>
        <w:tc>
          <w:tcPr>
            <w:tcW w:w="1573" w:type="dxa"/>
            <w:gridSpan w:val="2"/>
            <w:tcBorders>
              <w:top w:val="nil"/>
              <w:left w:val="single" w:sz="8" w:space="0" w:color="auto"/>
              <w:bottom w:val="single" w:sz="8" w:space="0" w:color="FFFFFF"/>
              <w:right w:val="single" w:sz="8" w:space="0" w:color="auto"/>
            </w:tcBorders>
            <w:noWrap/>
            <w:vAlign w:val="center"/>
          </w:tcPr>
          <w:p w:rsidR="00DC2F2A" w:rsidRPr="00EB2995" w:rsidRDefault="00DC2F2A" w:rsidP="00DC2F2A">
            <w:pPr>
              <w:ind w:left="-1547" w:firstLine="1547"/>
              <w:jc w:val="right"/>
              <w:rPr>
                <w:rFonts w:cs="Calibri"/>
                <w:lang w:eastAsia="en-GB"/>
              </w:rPr>
            </w:pPr>
            <w:r w:rsidRPr="00EB2995">
              <w:rPr>
                <w:rFonts w:cs="Calibri"/>
                <w:lang w:eastAsia="en-GB"/>
              </w:rPr>
              <w:t>(20.8)</w:t>
            </w:r>
          </w:p>
        </w:tc>
      </w:tr>
      <w:tr w:rsidR="00DC2F2A" w:rsidRPr="00EB2995" w:rsidTr="00C00DF8">
        <w:trPr>
          <w:gridBefore w:val="1"/>
          <w:gridAfter w:val="2"/>
          <w:wBefore w:w="291" w:type="dxa"/>
          <w:wAfter w:w="185" w:type="dxa"/>
          <w:trHeight w:hRule="exact" w:val="284"/>
          <w:jc w:val="center"/>
        </w:trPr>
        <w:tc>
          <w:tcPr>
            <w:tcW w:w="1547" w:type="dxa"/>
            <w:tcBorders>
              <w:top w:val="nil"/>
              <w:left w:val="single" w:sz="4" w:space="0" w:color="auto"/>
              <w:bottom w:val="single" w:sz="8" w:space="0" w:color="FFFFFF"/>
              <w:right w:val="single" w:sz="4" w:space="0" w:color="auto"/>
            </w:tcBorders>
            <w:noWrap/>
            <w:vAlign w:val="center"/>
          </w:tcPr>
          <w:p w:rsidR="00DC2F2A" w:rsidRPr="00EB2995" w:rsidRDefault="00DC2F2A" w:rsidP="00DC2F2A">
            <w:pPr>
              <w:ind w:left="-1547" w:firstLine="1547"/>
              <w:jc w:val="right"/>
              <w:rPr>
                <w:rFonts w:cs="Calibri"/>
                <w:lang w:eastAsia="en-GB"/>
              </w:rPr>
            </w:pPr>
            <w:r w:rsidRPr="00EB2995">
              <w:rPr>
                <w:rFonts w:cs="Calibri"/>
                <w:lang w:eastAsia="en-GB"/>
              </w:rPr>
              <w:t>(1.4)</w:t>
            </w:r>
          </w:p>
        </w:tc>
        <w:tc>
          <w:tcPr>
            <w:tcW w:w="5245" w:type="dxa"/>
            <w:tcBorders>
              <w:top w:val="nil"/>
              <w:left w:val="single" w:sz="4" w:space="0" w:color="auto"/>
              <w:bottom w:val="single" w:sz="4" w:space="0" w:color="FFFFFF"/>
              <w:right w:val="nil"/>
            </w:tcBorders>
            <w:noWrap/>
            <w:vAlign w:val="center"/>
          </w:tcPr>
          <w:p w:rsidR="00DC2F2A" w:rsidRPr="00EB2995" w:rsidRDefault="00DC2F2A" w:rsidP="00DC2F2A">
            <w:pPr>
              <w:ind w:left="-1547" w:firstLine="1547"/>
              <w:rPr>
                <w:rFonts w:cs="Calibri"/>
                <w:lang w:eastAsia="en-GB"/>
              </w:rPr>
            </w:pPr>
            <w:r w:rsidRPr="00EB2995">
              <w:rPr>
                <w:rFonts w:cs="Calibri"/>
                <w:lang w:eastAsia="en-GB"/>
              </w:rPr>
              <w:t>Troubled Families</w:t>
            </w:r>
          </w:p>
        </w:tc>
        <w:tc>
          <w:tcPr>
            <w:tcW w:w="1573" w:type="dxa"/>
            <w:gridSpan w:val="2"/>
            <w:tcBorders>
              <w:top w:val="nil"/>
              <w:left w:val="single" w:sz="8" w:space="0" w:color="auto"/>
              <w:bottom w:val="single" w:sz="8" w:space="0" w:color="FFFFFF"/>
              <w:right w:val="single" w:sz="8" w:space="0" w:color="auto"/>
            </w:tcBorders>
            <w:noWrap/>
            <w:vAlign w:val="center"/>
          </w:tcPr>
          <w:p w:rsidR="00DC2F2A" w:rsidRPr="00EB2995" w:rsidRDefault="00DC2F2A" w:rsidP="00DC2F2A">
            <w:pPr>
              <w:ind w:left="-1547" w:firstLine="1547"/>
              <w:jc w:val="right"/>
              <w:rPr>
                <w:rFonts w:cs="Calibri"/>
                <w:lang w:eastAsia="en-GB"/>
              </w:rPr>
            </w:pPr>
            <w:r w:rsidRPr="00EB2995">
              <w:rPr>
                <w:rFonts w:cs="Calibri"/>
                <w:lang w:eastAsia="en-GB"/>
              </w:rPr>
              <w:t>(1.5)</w:t>
            </w:r>
          </w:p>
        </w:tc>
      </w:tr>
      <w:tr w:rsidR="00DC2F2A" w:rsidRPr="00EB2995" w:rsidTr="00C00DF8">
        <w:trPr>
          <w:gridBefore w:val="1"/>
          <w:gridAfter w:val="2"/>
          <w:wBefore w:w="291" w:type="dxa"/>
          <w:wAfter w:w="185" w:type="dxa"/>
          <w:trHeight w:hRule="exact" w:val="284"/>
          <w:jc w:val="center"/>
        </w:trPr>
        <w:tc>
          <w:tcPr>
            <w:tcW w:w="1547" w:type="dxa"/>
            <w:tcBorders>
              <w:top w:val="nil"/>
              <w:left w:val="single" w:sz="4" w:space="0" w:color="auto"/>
              <w:bottom w:val="single" w:sz="8" w:space="0" w:color="FFFFFF"/>
              <w:right w:val="single" w:sz="4" w:space="0" w:color="auto"/>
            </w:tcBorders>
            <w:noWrap/>
            <w:vAlign w:val="center"/>
          </w:tcPr>
          <w:p w:rsidR="00DC2F2A" w:rsidRPr="00EB2995" w:rsidRDefault="00DC2F2A" w:rsidP="00DC2F2A">
            <w:pPr>
              <w:ind w:left="-1547" w:firstLine="1547"/>
              <w:jc w:val="right"/>
              <w:rPr>
                <w:rFonts w:cs="Calibri"/>
                <w:lang w:eastAsia="en-GB"/>
              </w:rPr>
            </w:pPr>
            <w:r w:rsidRPr="00EB2995">
              <w:rPr>
                <w:rFonts w:cs="Calibri"/>
                <w:lang w:eastAsia="en-GB"/>
              </w:rPr>
              <w:t>(0.0)</w:t>
            </w:r>
          </w:p>
        </w:tc>
        <w:tc>
          <w:tcPr>
            <w:tcW w:w="5245" w:type="dxa"/>
            <w:tcBorders>
              <w:top w:val="nil"/>
              <w:left w:val="single" w:sz="4" w:space="0" w:color="auto"/>
              <w:bottom w:val="single" w:sz="4" w:space="0" w:color="FFFFFF"/>
              <w:right w:val="nil"/>
            </w:tcBorders>
            <w:noWrap/>
            <w:vAlign w:val="center"/>
          </w:tcPr>
          <w:p w:rsidR="00DC2F2A" w:rsidRPr="00EB2995" w:rsidRDefault="00DC2F2A" w:rsidP="00DC2F2A">
            <w:pPr>
              <w:ind w:left="-1547" w:firstLine="1547"/>
              <w:rPr>
                <w:rFonts w:cs="Calibri"/>
                <w:lang w:eastAsia="en-GB"/>
              </w:rPr>
            </w:pPr>
            <w:r w:rsidRPr="00EB2995">
              <w:rPr>
                <w:rFonts w:cs="Calibri"/>
                <w:lang w:eastAsia="en-GB"/>
              </w:rPr>
              <w:t>Revenue Support Grant</w:t>
            </w:r>
          </w:p>
        </w:tc>
        <w:tc>
          <w:tcPr>
            <w:tcW w:w="1573" w:type="dxa"/>
            <w:gridSpan w:val="2"/>
            <w:tcBorders>
              <w:top w:val="nil"/>
              <w:left w:val="single" w:sz="8" w:space="0" w:color="auto"/>
              <w:bottom w:val="single" w:sz="8" w:space="0" w:color="FFFFFF"/>
              <w:right w:val="single" w:sz="8" w:space="0" w:color="auto"/>
            </w:tcBorders>
            <w:noWrap/>
            <w:vAlign w:val="center"/>
          </w:tcPr>
          <w:p w:rsidR="00DC2F2A" w:rsidRPr="00EB2995" w:rsidRDefault="00DC2F2A" w:rsidP="00DC2F2A">
            <w:pPr>
              <w:ind w:left="-1547" w:firstLine="1547"/>
              <w:jc w:val="right"/>
              <w:rPr>
                <w:rFonts w:cs="Calibri"/>
                <w:lang w:eastAsia="en-GB"/>
              </w:rPr>
            </w:pPr>
            <w:r w:rsidRPr="00EB2995">
              <w:rPr>
                <w:rFonts w:cs="Calibri"/>
                <w:lang w:eastAsia="en-GB"/>
              </w:rPr>
              <w:t>(1.0)</w:t>
            </w:r>
          </w:p>
        </w:tc>
      </w:tr>
      <w:tr w:rsidR="00DC2F2A" w:rsidRPr="00EB2995" w:rsidTr="00C00DF8">
        <w:trPr>
          <w:gridBefore w:val="1"/>
          <w:gridAfter w:val="2"/>
          <w:wBefore w:w="291" w:type="dxa"/>
          <w:wAfter w:w="185" w:type="dxa"/>
          <w:trHeight w:hRule="exact" w:val="284"/>
          <w:jc w:val="center"/>
        </w:trPr>
        <w:tc>
          <w:tcPr>
            <w:tcW w:w="1547" w:type="dxa"/>
            <w:tcBorders>
              <w:top w:val="nil"/>
              <w:left w:val="single" w:sz="4" w:space="0" w:color="auto"/>
              <w:bottom w:val="single" w:sz="8" w:space="0" w:color="FFFFFF"/>
              <w:right w:val="single" w:sz="4" w:space="0" w:color="auto"/>
            </w:tcBorders>
            <w:noWrap/>
            <w:vAlign w:val="center"/>
          </w:tcPr>
          <w:p w:rsidR="00DC2F2A" w:rsidRPr="00EB2995" w:rsidRDefault="00DC2F2A" w:rsidP="00DC2F2A">
            <w:pPr>
              <w:ind w:left="-1547" w:firstLine="1547"/>
              <w:jc w:val="right"/>
              <w:rPr>
                <w:rFonts w:cs="Calibri"/>
                <w:lang w:eastAsia="en-GB"/>
              </w:rPr>
            </w:pPr>
            <w:r w:rsidRPr="00EB2995">
              <w:rPr>
                <w:rFonts w:cs="Calibri"/>
                <w:lang w:eastAsia="en-GB"/>
              </w:rPr>
              <w:t>(6.9)</w:t>
            </w:r>
          </w:p>
        </w:tc>
        <w:tc>
          <w:tcPr>
            <w:tcW w:w="5245" w:type="dxa"/>
            <w:tcBorders>
              <w:top w:val="nil"/>
              <w:left w:val="single" w:sz="4" w:space="0" w:color="auto"/>
              <w:bottom w:val="single" w:sz="4" w:space="0" w:color="FFFFFF"/>
              <w:right w:val="nil"/>
            </w:tcBorders>
            <w:noWrap/>
            <w:vAlign w:val="center"/>
          </w:tcPr>
          <w:p w:rsidR="00DC2F2A" w:rsidRPr="00EB2995" w:rsidRDefault="00DC2F2A" w:rsidP="00DC2F2A">
            <w:pPr>
              <w:ind w:left="-1547" w:firstLine="1547"/>
              <w:rPr>
                <w:rFonts w:cs="Calibri"/>
                <w:lang w:eastAsia="en-GB"/>
              </w:rPr>
            </w:pPr>
            <w:r w:rsidRPr="00EB2995">
              <w:rPr>
                <w:rFonts w:cs="Calibri"/>
                <w:lang w:eastAsia="en-GB"/>
              </w:rPr>
              <w:t>Section 31</w:t>
            </w:r>
          </w:p>
        </w:tc>
        <w:tc>
          <w:tcPr>
            <w:tcW w:w="1573" w:type="dxa"/>
            <w:gridSpan w:val="2"/>
            <w:tcBorders>
              <w:top w:val="nil"/>
              <w:left w:val="single" w:sz="8" w:space="0" w:color="auto"/>
              <w:bottom w:val="single" w:sz="8" w:space="0" w:color="FFFFFF"/>
              <w:right w:val="single" w:sz="8" w:space="0" w:color="auto"/>
            </w:tcBorders>
            <w:noWrap/>
            <w:vAlign w:val="center"/>
          </w:tcPr>
          <w:p w:rsidR="00DC2F2A" w:rsidRPr="00EB2995" w:rsidRDefault="00DC2F2A" w:rsidP="00DC2F2A">
            <w:pPr>
              <w:ind w:left="-1547" w:firstLine="1547"/>
              <w:jc w:val="right"/>
              <w:rPr>
                <w:rFonts w:cs="Calibri"/>
                <w:lang w:eastAsia="en-GB"/>
              </w:rPr>
            </w:pPr>
            <w:r w:rsidRPr="00EB2995">
              <w:rPr>
                <w:rFonts w:cs="Calibri"/>
                <w:lang w:eastAsia="en-GB"/>
              </w:rPr>
              <w:t>(9.4)</w:t>
            </w:r>
          </w:p>
        </w:tc>
      </w:tr>
      <w:tr w:rsidR="00DC2F2A" w:rsidRPr="00EB2995" w:rsidTr="00C00DF8">
        <w:trPr>
          <w:gridBefore w:val="1"/>
          <w:gridAfter w:val="2"/>
          <w:wBefore w:w="291" w:type="dxa"/>
          <w:wAfter w:w="185" w:type="dxa"/>
          <w:trHeight w:hRule="exact" w:val="284"/>
          <w:jc w:val="center"/>
        </w:trPr>
        <w:tc>
          <w:tcPr>
            <w:tcW w:w="1547" w:type="dxa"/>
            <w:tcBorders>
              <w:top w:val="nil"/>
              <w:left w:val="single" w:sz="4" w:space="0" w:color="auto"/>
              <w:bottom w:val="single" w:sz="8" w:space="0" w:color="FFFFFF"/>
              <w:right w:val="single" w:sz="4" w:space="0" w:color="auto"/>
            </w:tcBorders>
            <w:noWrap/>
            <w:vAlign w:val="center"/>
          </w:tcPr>
          <w:p w:rsidR="00DC2F2A" w:rsidRPr="00EB2995" w:rsidRDefault="00DC2F2A" w:rsidP="00DC2F2A">
            <w:pPr>
              <w:ind w:left="-1547" w:firstLine="1547"/>
              <w:jc w:val="right"/>
              <w:rPr>
                <w:rFonts w:cs="Calibri"/>
                <w:lang w:eastAsia="en-GB"/>
              </w:rPr>
            </w:pPr>
            <w:r w:rsidRPr="00EB2995">
              <w:rPr>
                <w:rFonts w:cs="Calibri"/>
                <w:lang w:eastAsia="en-GB"/>
              </w:rPr>
              <w:t>(8.9)</w:t>
            </w:r>
          </w:p>
        </w:tc>
        <w:tc>
          <w:tcPr>
            <w:tcW w:w="5245" w:type="dxa"/>
            <w:tcBorders>
              <w:top w:val="nil"/>
              <w:left w:val="single" w:sz="4" w:space="0" w:color="auto"/>
              <w:bottom w:val="single" w:sz="4" w:space="0" w:color="FFFFFF"/>
              <w:right w:val="nil"/>
            </w:tcBorders>
            <w:noWrap/>
            <w:vAlign w:val="center"/>
          </w:tcPr>
          <w:p w:rsidR="00DC2F2A" w:rsidRPr="00EB2995" w:rsidRDefault="00DC2F2A" w:rsidP="00DC2F2A">
            <w:pPr>
              <w:ind w:left="-1547" w:firstLine="1547"/>
              <w:rPr>
                <w:rFonts w:cs="Calibri"/>
                <w:lang w:eastAsia="en-GB"/>
              </w:rPr>
            </w:pPr>
            <w:r w:rsidRPr="00EB2995">
              <w:rPr>
                <w:rFonts w:cs="Calibri"/>
                <w:lang w:eastAsia="en-GB"/>
              </w:rPr>
              <w:t>New Homes Bonus</w:t>
            </w:r>
          </w:p>
        </w:tc>
        <w:tc>
          <w:tcPr>
            <w:tcW w:w="1573" w:type="dxa"/>
            <w:gridSpan w:val="2"/>
            <w:tcBorders>
              <w:top w:val="nil"/>
              <w:left w:val="single" w:sz="8" w:space="0" w:color="auto"/>
              <w:bottom w:val="single" w:sz="8" w:space="0" w:color="FFFFFF"/>
              <w:right w:val="single" w:sz="8" w:space="0" w:color="auto"/>
            </w:tcBorders>
            <w:noWrap/>
            <w:vAlign w:val="center"/>
          </w:tcPr>
          <w:p w:rsidR="00DC2F2A" w:rsidRPr="00EB2995" w:rsidRDefault="00DC2F2A" w:rsidP="00DC2F2A">
            <w:pPr>
              <w:ind w:left="-1547" w:firstLine="1547"/>
              <w:jc w:val="right"/>
              <w:rPr>
                <w:rFonts w:cs="Calibri"/>
                <w:lang w:eastAsia="en-GB"/>
              </w:rPr>
            </w:pPr>
            <w:r w:rsidRPr="00EB2995">
              <w:rPr>
                <w:rFonts w:cs="Calibri"/>
                <w:lang w:eastAsia="en-GB"/>
              </w:rPr>
              <w:t>(8.8)</w:t>
            </w:r>
          </w:p>
        </w:tc>
      </w:tr>
      <w:tr w:rsidR="00DC2F2A" w:rsidRPr="00EB2995" w:rsidTr="00C00DF8">
        <w:trPr>
          <w:gridBefore w:val="1"/>
          <w:gridAfter w:val="2"/>
          <w:wBefore w:w="291" w:type="dxa"/>
          <w:wAfter w:w="185" w:type="dxa"/>
          <w:trHeight w:hRule="exact" w:val="284"/>
          <w:jc w:val="center"/>
        </w:trPr>
        <w:tc>
          <w:tcPr>
            <w:tcW w:w="1547" w:type="dxa"/>
            <w:tcBorders>
              <w:top w:val="nil"/>
              <w:left w:val="single" w:sz="4" w:space="0" w:color="auto"/>
              <w:bottom w:val="single" w:sz="8" w:space="0" w:color="FFFFFF"/>
              <w:right w:val="single" w:sz="4" w:space="0" w:color="auto"/>
            </w:tcBorders>
            <w:noWrap/>
            <w:vAlign w:val="center"/>
          </w:tcPr>
          <w:p w:rsidR="00DC2F2A" w:rsidRPr="00EB2995" w:rsidRDefault="00DC2F2A" w:rsidP="00DC2F2A">
            <w:pPr>
              <w:ind w:left="-1547" w:firstLine="1547"/>
              <w:jc w:val="right"/>
              <w:rPr>
                <w:rFonts w:cs="Calibri"/>
                <w:lang w:eastAsia="en-GB"/>
              </w:rPr>
            </w:pPr>
            <w:r w:rsidRPr="00EB2995">
              <w:rPr>
                <w:rFonts w:cs="Calibri"/>
                <w:lang w:eastAsia="en-GB"/>
              </w:rPr>
              <w:t>(1.7)</w:t>
            </w:r>
          </w:p>
        </w:tc>
        <w:tc>
          <w:tcPr>
            <w:tcW w:w="5245" w:type="dxa"/>
            <w:tcBorders>
              <w:top w:val="nil"/>
              <w:left w:val="single" w:sz="4" w:space="0" w:color="auto"/>
              <w:bottom w:val="single" w:sz="4" w:space="0" w:color="FFFFFF"/>
              <w:right w:val="nil"/>
            </w:tcBorders>
            <w:noWrap/>
            <w:vAlign w:val="center"/>
          </w:tcPr>
          <w:p w:rsidR="00DC2F2A" w:rsidRPr="00EB2995" w:rsidRDefault="00DC2F2A" w:rsidP="00DC2F2A">
            <w:pPr>
              <w:ind w:left="-1547" w:firstLine="1547"/>
              <w:rPr>
                <w:rFonts w:cs="Calibri"/>
                <w:lang w:eastAsia="en-GB"/>
              </w:rPr>
            </w:pPr>
            <w:r w:rsidRPr="00EB2995">
              <w:rPr>
                <w:rFonts w:cs="Calibri"/>
                <w:lang w:eastAsia="en-GB"/>
              </w:rPr>
              <w:t>Asylum Leaving Care (Post 18) Grant</w:t>
            </w:r>
          </w:p>
        </w:tc>
        <w:tc>
          <w:tcPr>
            <w:tcW w:w="1573" w:type="dxa"/>
            <w:gridSpan w:val="2"/>
            <w:tcBorders>
              <w:top w:val="nil"/>
              <w:left w:val="single" w:sz="8" w:space="0" w:color="auto"/>
              <w:bottom w:val="single" w:sz="8" w:space="0" w:color="FFFFFF"/>
              <w:right w:val="single" w:sz="8" w:space="0" w:color="auto"/>
            </w:tcBorders>
            <w:noWrap/>
            <w:vAlign w:val="center"/>
          </w:tcPr>
          <w:p w:rsidR="00DC2F2A" w:rsidRPr="00EB2995" w:rsidRDefault="00DC2F2A" w:rsidP="00DC2F2A">
            <w:pPr>
              <w:ind w:left="-1547" w:firstLine="1547"/>
              <w:jc w:val="right"/>
              <w:rPr>
                <w:rFonts w:cs="Calibri"/>
                <w:lang w:eastAsia="en-GB"/>
              </w:rPr>
            </w:pPr>
            <w:r w:rsidRPr="00EB2995">
              <w:rPr>
                <w:rFonts w:cs="Calibri"/>
                <w:lang w:eastAsia="en-GB"/>
              </w:rPr>
              <w:t>(3.2)</w:t>
            </w:r>
          </w:p>
        </w:tc>
      </w:tr>
      <w:tr w:rsidR="00DC2F2A" w:rsidRPr="00EB2995" w:rsidTr="00C00DF8">
        <w:trPr>
          <w:gridBefore w:val="1"/>
          <w:gridAfter w:val="2"/>
          <w:wBefore w:w="291" w:type="dxa"/>
          <w:wAfter w:w="185" w:type="dxa"/>
          <w:trHeight w:hRule="exact" w:val="284"/>
          <w:jc w:val="center"/>
        </w:trPr>
        <w:tc>
          <w:tcPr>
            <w:tcW w:w="1547" w:type="dxa"/>
            <w:tcBorders>
              <w:top w:val="nil"/>
              <w:left w:val="single" w:sz="4" w:space="0" w:color="auto"/>
              <w:bottom w:val="single" w:sz="8" w:space="0" w:color="FFFFFF"/>
              <w:right w:val="single" w:sz="4" w:space="0" w:color="auto"/>
            </w:tcBorders>
            <w:noWrap/>
            <w:vAlign w:val="center"/>
          </w:tcPr>
          <w:p w:rsidR="00DC2F2A" w:rsidRPr="00EB2995" w:rsidRDefault="00DC2F2A" w:rsidP="00DC2F2A">
            <w:pPr>
              <w:ind w:left="-1547" w:firstLine="1547"/>
              <w:jc w:val="right"/>
              <w:rPr>
                <w:rFonts w:cs="Calibri"/>
                <w:lang w:eastAsia="en-GB"/>
              </w:rPr>
            </w:pPr>
            <w:r w:rsidRPr="00EB2995">
              <w:rPr>
                <w:rFonts w:cs="Calibri"/>
                <w:lang w:eastAsia="en-GB"/>
              </w:rPr>
              <w:t>(0.8)</w:t>
            </w:r>
          </w:p>
        </w:tc>
        <w:tc>
          <w:tcPr>
            <w:tcW w:w="5245" w:type="dxa"/>
            <w:tcBorders>
              <w:top w:val="nil"/>
              <w:left w:val="single" w:sz="4" w:space="0" w:color="auto"/>
              <w:bottom w:val="single" w:sz="4" w:space="0" w:color="FFFFFF"/>
              <w:right w:val="nil"/>
            </w:tcBorders>
            <w:noWrap/>
            <w:vAlign w:val="center"/>
          </w:tcPr>
          <w:p w:rsidR="00DC2F2A" w:rsidRPr="00EB2995" w:rsidRDefault="00DC2F2A" w:rsidP="00DC2F2A">
            <w:pPr>
              <w:ind w:left="-1547" w:firstLine="1547"/>
              <w:rPr>
                <w:rFonts w:cs="Calibri"/>
                <w:lang w:eastAsia="en-GB"/>
              </w:rPr>
            </w:pPr>
            <w:r w:rsidRPr="00EB2995">
              <w:rPr>
                <w:rFonts w:cs="Calibri"/>
                <w:lang w:eastAsia="en-GB"/>
              </w:rPr>
              <w:t>Adults Social Care Support Grant</w:t>
            </w:r>
          </w:p>
        </w:tc>
        <w:tc>
          <w:tcPr>
            <w:tcW w:w="1573" w:type="dxa"/>
            <w:gridSpan w:val="2"/>
            <w:tcBorders>
              <w:top w:val="nil"/>
              <w:left w:val="single" w:sz="8" w:space="0" w:color="auto"/>
              <w:bottom w:val="single" w:sz="8" w:space="0" w:color="FFFFFF"/>
              <w:right w:val="single" w:sz="8" w:space="0" w:color="auto"/>
            </w:tcBorders>
            <w:noWrap/>
            <w:vAlign w:val="center"/>
          </w:tcPr>
          <w:p w:rsidR="00DC2F2A" w:rsidRPr="00EB2995" w:rsidRDefault="00DC2F2A" w:rsidP="00DC2F2A">
            <w:pPr>
              <w:ind w:left="-1547" w:firstLine="1547"/>
              <w:jc w:val="right"/>
              <w:rPr>
                <w:rFonts w:cs="Calibri"/>
                <w:lang w:eastAsia="en-GB"/>
              </w:rPr>
            </w:pPr>
            <w:r w:rsidRPr="00EB2995">
              <w:rPr>
                <w:rFonts w:cs="Calibri"/>
                <w:lang w:eastAsia="en-GB"/>
              </w:rPr>
              <w:t>(2.3)</w:t>
            </w:r>
          </w:p>
        </w:tc>
      </w:tr>
      <w:tr w:rsidR="00DC2F2A" w:rsidRPr="00EB2995" w:rsidTr="00C00DF8">
        <w:trPr>
          <w:gridBefore w:val="1"/>
          <w:gridAfter w:val="2"/>
          <w:wBefore w:w="291" w:type="dxa"/>
          <w:wAfter w:w="185" w:type="dxa"/>
          <w:trHeight w:hRule="exact" w:val="284"/>
          <w:jc w:val="center"/>
        </w:trPr>
        <w:tc>
          <w:tcPr>
            <w:tcW w:w="1547" w:type="dxa"/>
            <w:tcBorders>
              <w:top w:val="nil"/>
              <w:left w:val="single" w:sz="4" w:space="0" w:color="auto"/>
              <w:bottom w:val="single" w:sz="8" w:space="0" w:color="FFFFFF"/>
              <w:right w:val="single" w:sz="4" w:space="0" w:color="auto"/>
            </w:tcBorders>
            <w:noWrap/>
            <w:vAlign w:val="center"/>
          </w:tcPr>
          <w:p w:rsidR="00DC2F2A" w:rsidRPr="00EB2995" w:rsidRDefault="00DC2F2A" w:rsidP="00DC2F2A">
            <w:pPr>
              <w:ind w:left="-1547" w:firstLine="1547"/>
              <w:jc w:val="right"/>
              <w:rPr>
                <w:rFonts w:cs="Calibri"/>
                <w:lang w:eastAsia="en-GB"/>
              </w:rPr>
            </w:pPr>
            <w:r w:rsidRPr="00EB2995">
              <w:rPr>
                <w:rFonts w:cs="Calibri"/>
                <w:lang w:eastAsia="en-GB"/>
              </w:rPr>
              <w:t>(9.4)</w:t>
            </w:r>
          </w:p>
        </w:tc>
        <w:tc>
          <w:tcPr>
            <w:tcW w:w="5245" w:type="dxa"/>
            <w:tcBorders>
              <w:top w:val="nil"/>
              <w:left w:val="single" w:sz="4" w:space="0" w:color="auto"/>
              <w:bottom w:val="single" w:sz="4" w:space="0" w:color="FFFFFF"/>
              <w:right w:val="nil"/>
            </w:tcBorders>
            <w:noWrap/>
            <w:vAlign w:val="center"/>
          </w:tcPr>
          <w:p w:rsidR="00DC2F2A" w:rsidRPr="00EB2995" w:rsidRDefault="00DC2F2A" w:rsidP="00DC2F2A">
            <w:pPr>
              <w:ind w:left="-1547" w:firstLine="1547"/>
              <w:rPr>
                <w:rFonts w:cs="Calibri"/>
                <w:lang w:eastAsia="en-GB"/>
              </w:rPr>
            </w:pPr>
            <w:r w:rsidRPr="00EB2995">
              <w:rPr>
                <w:rFonts w:cs="Calibri"/>
                <w:lang w:eastAsia="en-GB"/>
              </w:rPr>
              <w:t>Adults Social Care Improved Better Care Fund</w:t>
            </w:r>
          </w:p>
        </w:tc>
        <w:tc>
          <w:tcPr>
            <w:tcW w:w="1573" w:type="dxa"/>
            <w:gridSpan w:val="2"/>
            <w:tcBorders>
              <w:top w:val="nil"/>
              <w:left w:val="single" w:sz="8" w:space="0" w:color="auto"/>
              <w:bottom w:val="single" w:sz="8" w:space="0" w:color="FFFFFF"/>
              <w:right w:val="single" w:sz="8" w:space="0" w:color="auto"/>
            </w:tcBorders>
            <w:noWrap/>
            <w:vAlign w:val="center"/>
          </w:tcPr>
          <w:p w:rsidR="00DC2F2A" w:rsidRPr="00EB2995" w:rsidRDefault="00DC2F2A" w:rsidP="00DC2F2A">
            <w:pPr>
              <w:ind w:left="-1547" w:firstLine="1547"/>
              <w:jc w:val="right"/>
              <w:rPr>
                <w:rFonts w:cs="Calibri"/>
                <w:lang w:eastAsia="en-GB"/>
              </w:rPr>
            </w:pPr>
            <w:r w:rsidRPr="00EB2995">
              <w:rPr>
                <w:rFonts w:cs="Calibri"/>
                <w:lang w:eastAsia="en-GB"/>
              </w:rPr>
              <w:t>(11.6)</w:t>
            </w:r>
          </w:p>
        </w:tc>
      </w:tr>
      <w:tr w:rsidR="00DC2F2A" w:rsidRPr="00EB2995" w:rsidTr="00C00DF8">
        <w:trPr>
          <w:gridBefore w:val="1"/>
          <w:gridAfter w:val="2"/>
          <w:wBefore w:w="291" w:type="dxa"/>
          <w:wAfter w:w="185" w:type="dxa"/>
          <w:trHeight w:hRule="exact" w:val="284"/>
          <w:jc w:val="center"/>
        </w:trPr>
        <w:tc>
          <w:tcPr>
            <w:tcW w:w="1547" w:type="dxa"/>
            <w:tcBorders>
              <w:top w:val="nil"/>
              <w:left w:val="single" w:sz="4" w:space="0" w:color="auto"/>
              <w:bottom w:val="single" w:sz="8" w:space="0" w:color="FFFFFF"/>
              <w:right w:val="single" w:sz="4" w:space="0" w:color="auto"/>
            </w:tcBorders>
            <w:noWrap/>
            <w:vAlign w:val="center"/>
          </w:tcPr>
          <w:p w:rsidR="00DC2F2A" w:rsidRPr="00EB2995" w:rsidRDefault="00DC2F2A" w:rsidP="00DC2F2A">
            <w:pPr>
              <w:ind w:left="-1547" w:firstLine="1547"/>
              <w:jc w:val="right"/>
              <w:rPr>
                <w:rFonts w:cs="Calibri"/>
                <w:lang w:eastAsia="en-GB"/>
              </w:rPr>
            </w:pPr>
            <w:r w:rsidRPr="00EB2995">
              <w:rPr>
                <w:rFonts w:cs="Calibri"/>
                <w:lang w:eastAsia="en-GB"/>
              </w:rPr>
              <w:t>(7.5)</w:t>
            </w:r>
          </w:p>
        </w:tc>
        <w:tc>
          <w:tcPr>
            <w:tcW w:w="5245" w:type="dxa"/>
            <w:tcBorders>
              <w:top w:val="nil"/>
              <w:left w:val="single" w:sz="4" w:space="0" w:color="auto"/>
              <w:bottom w:val="single" w:sz="4" w:space="0" w:color="FFFFFF"/>
              <w:right w:val="nil"/>
            </w:tcBorders>
            <w:noWrap/>
            <w:vAlign w:val="center"/>
          </w:tcPr>
          <w:p w:rsidR="00DC2F2A" w:rsidRPr="00EB2995" w:rsidRDefault="00DC2F2A" w:rsidP="00DC2F2A">
            <w:pPr>
              <w:ind w:left="-1547" w:firstLine="1547"/>
              <w:rPr>
                <w:rFonts w:cs="Calibri"/>
                <w:lang w:eastAsia="en-GB"/>
              </w:rPr>
            </w:pPr>
            <w:r w:rsidRPr="00EB2995">
              <w:rPr>
                <w:rFonts w:cs="Calibri"/>
                <w:lang w:eastAsia="en-GB"/>
              </w:rPr>
              <w:t>Flexible Homeless Grant</w:t>
            </w:r>
          </w:p>
        </w:tc>
        <w:tc>
          <w:tcPr>
            <w:tcW w:w="1573" w:type="dxa"/>
            <w:gridSpan w:val="2"/>
            <w:tcBorders>
              <w:top w:val="nil"/>
              <w:left w:val="single" w:sz="8" w:space="0" w:color="auto"/>
              <w:bottom w:val="single" w:sz="8" w:space="0" w:color="FFFFFF"/>
              <w:right w:val="single" w:sz="8" w:space="0" w:color="auto"/>
            </w:tcBorders>
            <w:noWrap/>
            <w:vAlign w:val="center"/>
          </w:tcPr>
          <w:p w:rsidR="00DC2F2A" w:rsidRPr="00EB2995" w:rsidRDefault="00DC2F2A" w:rsidP="00DC2F2A">
            <w:pPr>
              <w:ind w:left="-1547" w:firstLine="1547"/>
              <w:jc w:val="right"/>
              <w:rPr>
                <w:rFonts w:cs="Calibri"/>
                <w:lang w:eastAsia="en-GB"/>
              </w:rPr>
            </w:pPr>
            <w:r w:rsidRPr="00EB2995">
              <w:rPr>
                <w:rFonts w:cs="Calibri"/>
                <w:lang w:eastAsia="en-GB"/>
              </w:rPr>
              <w:t>(5.2)</w:t>
            </w:r>
          </w:p>
        </w:tc>
      </w:tr>
      <w:tr w:rsidR="00DC2F2A" w:rsidRPr="00EB2995" w:rsidTr="00C00DF8">
        <w:trPr>
          <w:gridBefore w:val="1"/>
          <w:gridAfter w:val="2"/>
          <w:wBefore w:w="291" w:type="dxa"/>
          <w:wAfter w:w="185" w:type="dxa"/>
          <w:trHeight w:hRule="exact" w:val="284"/>
          <w:jc w:val="center"/>
        </w:trPr>
        <w:tc>
          <w:tcPr>
            <w:tcW w:w="1547" w:type="dxa"/>
            <w:tcBorders>
              <w:top w:val="nil"/>
              <w:left w:val="single" w:sz="4" w:space="0" w:color="auto"/>
              <w:bottom w:val="nil"/>
              <w:right w:val="single" w:sz="4" w:space="0" w:color="auto"/>
            </w:tcBorders>
            <w:noWrap/>
            <w:vAlign w:val="center"/>
          </w:tcPr>
          <w:p w:rsidR="00DC2F2A" w:rsidRPr="00EB2995" w:rsidRDefault="00DC2F2A" w:rsidP="00DC2F2A">
            <w:pPr>
              <w:ind w:left="-1547" w:firstLine="1547"/>
              <w:jc w:val="right"/>
              <w:rPr>
                <w:rFonts w:cs="Calibri"/>
                <w:lang w:eastAsia="en-GB"/>
              </w:rPr>
            </w:pPr>
            <w:r w:rsidRPr="00EB2995">
              <w:rPr>
                <w:rFonts w:cs="Calibri"/>
                <w:lang w:eastAsia="en-GB"/>
              </w:rPr>
              <w:t>(1.3)</w:t>
            </w:r>
          </w:p>
        </w:tc>
        <w:tc>
          <w:tcPr>
            <w:tcW w:w="5245" w:type="dxa"/>
            <w:tcBorders>
              <w:top w:val="nil"/>
              <w:left w:val="single" w:sz="4" w:space="0" w:color="auto"/>
              <w:bottom w:val="single" w:sz="4" w:space="0" w:color="FFFFFF"/>
              <w:right w:val="nil"/>
            </w:tcBorders>
            <w:noWrap/>
            <w:vAlign w:val="center"/>
          </w:tcPr>
          <w:p w:rsidR="00DC2F2A" w:rsidRPr="00EB2995" w:rsidRDefault="00DC2F2A" w:rsidP="00DC2F2A">
            <w:pPr>
              <w:ind w:left="-1547" w:firstLine="1547"/>
              <w:rPr>
                <w:rFonts w:cs="Calibri"/>
                <w:lang w:eastAsia="en-GB"/>
              </w:rPr>
            </w:pPr>
            <w:r w:rsidRPr="00EB2995">
              <w:rPr>
                <w:rFonts w:cs="Calibri"/>
                <w:lang w:eastAsia="en-GB"/>
              </w:rPr>
              <w:t>Business Rates Reconciliation Grant</w:t>
            </w:r>
          </w:p>
        </w:tc>
        <w:tc>
          <w:tcPr>
            <w:tcW w:w="1573" w:type="dxa"/>
            <w:gridSpan w:val="2"/>
            <w:tcBorders>
              <w:top w:val="nil"/>
              <w:left w:val="single" w:sz="8" w:space="0" w:color="auto"/>
              <w:bottom w:val="nil"/>
              <w:right w:val="single" w:sz="8" w:space="0" w:color="auto"/>
            </w:tcBorders>
            <w:noWrap/>
            <w:vAlign w:val="center"/>
          </w:tcPr>
          <w:p w:rsidR="00DC2F2A" w:rsidRPr="00EB2995" w:rsidRDefault="00DC2F2A" w:rsidP="00DC2F2A">
            <w:pPr>
              <w:ind w:left="-1547" w:firstLine="1547"/>
              <w:jc w:val="right"/>
              <w:rPr>
                <w:rFonts w:cs="Calibri"/>
                <w:lang w:eastAsia="en-GB"/>
              </w:rPr>
            </w:pPr>
            <w:r w:rsidRPr="00EB2995">
              <w:rPr>
                <w:rFonts w:cs="Calibri"/>
                <w:lang w:eastAsia="en-GB"/>
              </w:rPr>
              <w:t>(0.6)</w:t>
            </w:r>
          </w:p>
        </w:tc>
      </w:tr>
      <w:tr w:rsidR="00DC2F2A" w:rsidRPr="00EB2995" w:rsidTr="00C00DF8">
        <w:trPr>
          <w:gridBefore w:val="1"/>
          <w:gridAfter w:val="2"/>
          <w:wBefore w:w="291" w:type="dxa"/>
          <w:wAfter w:w="185" w:type="dxa"/>
          <w:trHeight w:hRule="exact" w:val="284"/>
          <w:jc w:val="center"/>
        </w:trPr>
        <w:tc>
          <w:tcPr>
            <w:tcW w:w="1547" w:type="dxa"/>
            <w:tcBorders>
              <w:top w:val="nil"/>
              <w:left w:val="single" w:sz="4" w:space="0" w:color="auto"/>
              <w:bottom w:val="nil"/>
              <w:right w:val="single" w:sz="4" w:space="0" w:color="auto"/>
            </w:tcBorders>
            <w:noWrap/>
            <w:vAlign w:val="center"/>
          </w:tcPr>
          <w:p w:rsidR="00DC2F2A" w:rsidRPr="00EB2995" w:rsidRDefault="00DC2F2A" w:rsidP="00DC2F2A">
            <w:pPr>
              <w:ind w:left="-1547" w:firstLine="1547"/>
              <w:jc w:val="right"/>
              <w:rPr>
                <w:rFonts w:cs="Calibri"/>
                <w:lang w:eastAsia="en-GB"/>
              </w:rPr>
            </w:pPr>
            <w:r w:rsidRPr="00EB2995">
              <w:rPr>
                <w:rFonts w:cs="Calibri"/>
                <w:lang w:eastAsia="en-GB"/>
              </w:rPr>
              <w:t>(9.3)</w:t>
            </w:r>
          </w:p>
        </w:tc>
        <w:tc>
          <w:tcPr>
            <w:tcW w:w="5245" w:type="dxa"/>
            <w:tcBorders>
              <w:top w:val="nil"/>
              <w:left w:val="single" w:sz="4" w:space="0" w:color="auto"/>
              <w:bottom w:val="single" w:sz="4" w:space="0" w:color="FFFFFF"/>
              <w:right w:val="nil"/>
            </w:tcBorders>
            <w:noWrap/>
            <w:vAlign w:val="center"/>
          </w:tcPr>
          <w:p w:rsidR="00DC2F2A" w:rsidRPr="00EB2995" w:rsidRDefault="00DC2F2A" w:rsidP="00DC2F2A">
            <w:pPr>
              <w:ind w:left="-1547" w:firstLine="1547"/>
              <w:rPr>
                <w:rFonts w:cs="Calibri"/>
                <w:lang w:eastAsia="en-GB"/>
              </w:rPr>
            </w:pPr>
            <w:r w:rsidRPr="00EB2995">
              <w:rPr>
                <w:rFonts w:cs="Calibri"/>
                <w:lang w:eastAsia="en-GB"/>
              </w:rPr>
              <w:t>Other Miscellaneous Grants &amp; Contributions</w:t>
            </w:r>
          </w:p>
        </w:tc>
        <w:tc>
          <w:tcPr>
            <w:tcW w:w="1573" w:type="dxa"/>
            <w:gridSpan w:val="2"/>
            <w:tcBorders>
              <w:top w:val="nil"/>
              <w:left w:val="single" w:sz="8" w:space="0" w:color="auto"/>
              <w:bottom w:val="nil"/>
              <w:right w:val="single" w:sz="8" w:space="0" w:color="auto"/>
            </w:tcBorders>
            <w:noWrap/>
            <w:vAlign w:val="center"/>
          </w:tcPr>
          <w:p w:rsidR="00DC2F2A" w:rsidRPr="00EB2995" w:rsidRDefault="00DC2F2A" w:rsidP="00DC2F2A">
            <w:pPr>
              <w:ind w:left="-1547" w:firstLine="1547"/>
              <w:jc w:val="right"/>
              <w:rPr>
                <w:rFonts w:cs="Calibri"/>
                <w:lang w:eastAsia="en-GB"/>
              </w:rPr>
            </w:pPr>
            <w:r w:rsidRPr="00EB2995">
              <w:rPr>
                <w:rFonts w:cs="Calibri"/>
                <w:lang w:eastAsia="en-GB"/>
              </w:rPr>
              <w:t>(12.0)</w:t>
            </w:r>
          </w:p>
        </w:tc>
      </w:tr>
      <w:tr w:rsidR="00DC2F2A" w:rsidRPr="00EB2995" w:rsidTr="00C00DF8">
        <w:trPr>
          <w:gridBefore w:val="1"/>
          <w:gridAfter w:val="2"/>
          <w:wBefore w:w="291" w:type="dxa"/>
          <w:wAfter w:w="185" w:type="dxa"/>
          <w:trHeight w:hRule="exact" w:val="284"/>
          <w:jc w:val="center"/>
        </w:trPr>
        <w:tc>
          <w:tcPr>
            <w:tcW w:w="1547" w:type="dxa"/>
            <w:tcBorders>
              <w:top w:val="single" w:sz="8" w:space="0" w:color="auto"/>
              <w:left w:val="single" w:sz="4" w:space="0" w:color="auto"/>
              <w:bottom w:val="single" w:sz="4" w:space="0" w:color="auto"/>
              <w:right w:val="single" w:sz="4" w:space="0" w:color="auto"/>
            </w:tcBorders>
            <w:noWrap/>
            <w:vAlign w:val="bottom"/>
          </w:tcPr>
          <w:p w:rsidR="00DC2F2A" w:rsidRPr="00EB2995" w:rsidRDefault="00DC2F2A" w:rsidP="00DC2F2A">
            <w:pPr>
              <w:ind w:left="-1547" w:firstLine="1547"/>
              <w:jc w:val="right"/>
              <w:rPr>
                <w:rFonts w:cs="Calibri"/>
                <w:b/>
                <w:bCs/>
                <w:lang w:eastAsia="en-GB"/>
              </w:rPr>
            </w:pPr>
            <w:r w:rsidRPr="00EB2995">
              <w:rPr>
                <w:rFonts w:cs="Calibri"/>
                <w:b/>
                <w:bCs/>
                <w:lang w:eastAsia="en-GB"/>
              </w:rPr>
              <w:t>(80.2)</w:t>
            </w:r>
          </w:p>
        </w:tc>
        <w:tc>
          <w:tcPr>
            <w:tcW w:w="5245" w:type="dxa"/>
            <w:tcBorders>
              <w:top w:val="nil"/>
              <w:left w:val="single" w:sz="4" w:space="0" w:color="auto"/>
              <w:bottom w:val="single" w:sz="4" w:space="0" w:color="FFFFFF"/>
              <w:right w:val="nil"/>
            </w:tcBorders>
            <w:noWrap/>
            <w:vAlign w:val="bottom"/>
          </w:tcPr>
          <w:p w:rsidR="00DC2F2A" w:rsidRPr="00EB2995" w:rsidRDefault="00DC2F2A" w:rsidP="00DC2F2A">
            <w:pPr>
              <w:ind w:left="-1547" w:firstLine="1547"/>
              <w:rPr>
                <w:rFonts w:cs="Calibri"/>
                <w:lang w:eastAsia="en-GB"/>
              </w:rPr>
            </w:pPr>
            <w:r w:rsidRPr="00EB2995">
              <w:rPr>
                <w:rFonts w:cs="Calibri"/>
                <w:lang w:eastAsia="en-GB"/>
              </w:rPr>
              <w:t> </w:t>
            </w:r>
          </w:p>
        </w:tc>
        <w:tc>
          <w:tcPr>
            <w:tcW w:w="1573" w:type="dxa"/>
            <w:gridSpan w:val="2"/>
            <w:tcBorders>
              <w:top w:val="single" w:sz="8" w:space="0" w:color="auto"/>
              <w:left w:val="single" w:sz="8" w:space="0" w:color="auto"/>
              <w:bottom w:val="single" w:sz="8" w:space="0" w:color="auto"/>
              <w:right w:val="single" w:sz="8" w:space="0" w:color="auto"/>
            </w:tcBorders>
            <w:noWrap/>
            <w:vAlign w:val="bottom"/>
          </w:tcPr>
          <w:p w:rsidR="00DC2F2A" w:rsidRPr="00EB2995" w:rsidRDefault="00DC2F2A" w:rsidP="00DC2F2A">
            <w:pPr>
              <w:ind w:left="-1547" w:firstLine="1547"/>
              <w:jc w:val="right"/>
              <w:rPr>
                <w:rFonts w:cs="Calibri"/>
                <w:b/>
                <w:bCs/>
                <w:lang w:eastAsia="en-GB"/>
              </w:rPr>
            </w:pPr>
            <w:r w:rsidRPr="00EB2995">
              <w:rPr>
                <w:rFonts w:cs="Calibri"/>
                <w:b/>
                <w:bCs/>
                <w:lang w:eastAsia="en-GB"/>
              </w:rPr>
              <w:t>(94.5)</w:t>
            </w:r>
          </w:p>
        </w:tc>
      </w:tr>
      <w:tr w:rsidR="00DC2F2A" w:rsidRPr="00EB2995" w:rsidTr="00C00DF8">
        <w:trPr>
          <w:gridBefore w:val="1"/>
          <w:gridAfter w:val="2"/>
          <w:wBefore w:w="291" w:type="dxa"/>
          <w:wAfter w:w="185" w:type="dxa"/>
          <w:trHeight w:hRule="exact" w:val="284"/>
          <w:jc w:val="center"/>
        </w:trPr>
        <w:tc>
          <w:tcPr>
            <w:tcW w:w="1547" w:type="dxa"/>
            <w:tcBorders>
              <w:top w:val="single" w:sz="4" w:space="0" w:color="auto"/>
              <w:left w:val="single" w:sz="4" w:space="0" w:color="auto"/>
              <w:right w:val="single" w:sz="4" w:space="0" w:color="auto"/>
            </w:tcBorders>
            <w:noWrap/>
            <w:vAlign w:val="bottom"/>
          </w:tcPr>
          <w:p w:rsidR="00DC2F2A" w:rsidRPr="00EB2995" w:rsidRDefault="00DC2F2A" w:rsidP="00DC2F2A">
            <w:pPr>
              <w:ind w:left="-1547" w:firstLine="1547"/>
              <w:jc w:val="right"/>
              <w:rPr>
                <w:rFonts w:cs="Calibri"/>
                <w:b/>
                <w:bCs/>
                <w:lang w:eastAsia="en-GB"/>
              </w:rPr>
            </w:pPr>
            <w:r w:rsidRPr="00EB2995">
              <w:rPr>
                <w:rFonts w:cs="Calibri"/>
                <w:b/>
                <w:bCs/>
                <w:lang w:eastAsia="en-GB"/>
              </w:rPr>
              <w:t>(628.6)</w:t>
            </w:r>
          </w:p>
        </w:tc>
        <w:tc>
          <w:tcPr>
            <w:tcW w:w="5245" w:type="dxa"/>
            <w:tcBorders>
              <w:top w:val="nil"/>
              <w:left w:val="single" w:sz="4" w:space="0" w:color="auto"/>
              <w:bottom w:val="single" w:sz="4" w:space="0" w:color="FFFFFF"/>
              <w:right w:val="nil"/>
            </w:tcBorders>
            <w:noWrap/>
            <w:vAlign w:val="center"/>
          </w:tcPr>
          <w:p w:rsidR="00DC2F2A" w:rsidRPr="00EB2995" w:rsidRDefault="00DC2F2A" w:rsidP="00DC2F2A">
            <w:pPr>
              <w:ind w:left="-1547" w:firstLine="1547"/>
              <w:rPr>
                <w:rFonts w:cs="Calibri"/>
                <w:b/>
                <w:bCs/>
                <w:lang w:eastAsia="en-GB"/>
              </w:rPr>
            </w:pPr>
            <w:r w:rsidRPr="00EB2995">
              <w:rPr>
                <w:rFonts w:cs="Calibri"/>
                <w:b/>
                <w:bCs/>
                <w:lang w:eastAsia="en-GB"/>
              </w:rPr>
              <w:t xml:space="preserve"> Total Revenue Grants</w:t>
            </w:r>
          </w:p>
        </w:tc>
        <w:tc>
          <w:tcPr>
            <w:tcW w:w="1573" w:type="dxa"/>
            <w:gridSpan w:val="2"/>
            <w:tcBorders>
              <w:top w:val="nil"/>
              <w:left w:val="single" w:sz="8" w:space="0" w:color="auto"/>
              <w:bottom w:val="single" w:sz="8" w:space="0" w:color="auto"/>
              <w:right w:val="single" w:sz="8" w:space="0" w:color="auto"/>
            </w:tcBorders>
            <w:noWrap/>
            <w:vAlign w:val="bottom"/>
          </w:tcPr>
          <w:p w:rsidR="00DC2F2A" w:rsidRPr="00EB2995" w:rsidRDefault="00DC2F2A" w:rsidP="00DC2F2A">
            <w:pPr>
              <w:ind w:left="-1547" w:firstLine="1547"/>
              <w:jc w:val="right"/>
              <w:rPr>
                <w:rFonts w:cs="Calibri"/>
                <w:b/>
                <w:bCs/>
                <w:lang w:eastAsia="en-GB"/>
              </w:rPr>
            </w:pPr>
            <w:r w:rsidRPr="00EB2995">
              <w:rPr>
                <w:rFonts w:cs="Calibri"/>
                <w:b/>
                <w:bCs/>
                <w:lang w:eastAsia="en-GB"/>
              </w:rPr>
              <w:t>(595.3)</w:t>
            </w:r>
          </w:p>
        </w:tc>
      </w:tr>
      <w:tr w:rsidR="00DC2F2A" w:rsidRPr="00EB2995" w:rsidTr="00C00DF8">
        <w:trPr>
          <w:gridBefore w:val="1"/>
          <w:gridAfter w:val="2"/>
          <w:wBefore w:w="291" w:type="dxa"/>
          <w:wAfter w:w="185" w:type="dxa"/>
          <w:trHeight w:hRule="exact" w:val="284"/>
          <w:jc w:val="center"/>
        </w:trPr>
        <w:tc>
          <w:tcPr>
            <w:tcW w:w="1547" w:type="dxa"/>
            <w:tcBorders>
              <w:left w:val="single" w:sz="4" w:space="0" w:color="auto"/>
              <w:right w:val="single" w:sz="4" w:space="0" w:color="auto"/>
            </w:tcBorders>
            <w:noWrap/>
            <w:vAlign w:val="center"/>
          </w:tcPr>
          <w:p w:rsidR="00DC2F2A" w:rsidRPr="00EB2995" w:rsidRDefault="00DC2F2A" w:rsidP="00DC2F2A">
            <w:pPr>
              <w:ind w:left="29"/>
              <w:jc w:val="right"/>
              <w:rPr>
                <w:rFonts w:cs="Calibri"/>
                <w:lang w:eastAsia="en-GB"/>
              </w:rPr>
            </w:pPr>
          </w:p>
        </w:tc>
        <w:tc>
          <w:tcPr>
            <w:tcW w:w="5245" w:type="dxa"/>
            <w:tcBorders>
              <w:top w:val="nil"/>
              <w:left w:val="single" w:sz="4" w:space="0" w:color="auto"/>
              <w:bottom w:val="single" w:sz="4" w:space="0" w:color="FFFFFF"/>
              <w:right w:val="single" w:sz="4" w:space="0" w:color="auto"/>
            </w:tcBorders>
            <w:noWrap/>
            <w:vAlign w:val="center"/>
          </w:tcPr>
          <w:p w:rsidR="00DC2F2A" w:rsidRPr="00EB2995" w:rsidRDefault="00DC2F2A" w:rsidP="00DC2F2A">
            <w:pPr>
              <w:jc w:val="center"/>
              <w:rPr>
                <w:rFonts w:cs="Calibri"/>
                <w:b/>
                <w:bCs/>
                <w:lang w:eastAsia="en-GB"/>
              </w:rPr>
            </w:pPr>
          </w:p>
        </w:tc>
        <w:tc>
          <w:tcPr>
            <w:tcW w:w="1573" w:type="dxa"/>
            <w:gridSpan w:val="2"/>
            <w:tcBorders>
              <w:top w:val="single" w:sz="4" w:space="0" w:color="auto"/>
              <w:left w:val="single" w:sz="4" w:space="0" w:color="auto"/>
              <w:right w:val="single" w:sz="4" w:space="0" w:color="auto"/>
            </w:tcBorders>
            <w:noWrap/>
            <w:vAlign w:val="center"/>
          </w:tcPr>
          <w:p w:rsidR="00DC2F2A" w:rsidRPr="00EB2995" w:rsidRDefault="00DC2F2A" w:rsidP="00DC2F2A">
            <w:pPr>
              <w:jc w:val="right"/>
              <w:rPr>
                <w:rFonts w:cs="Calibri"/>
                <w:lang w:eastAsia="en-GB"/>
              </w:rPr>
            </w:pPr>
          </w:p>
        </w:tc>
      </w:tr>
      <w:tr w:rsidR="00DC2F2A" w:rsidRPr="00EB2995" w:rsidTr="00C00DF8">
        <w:trPr>
          <w:gridBefore w:val="1"/>
          <w:gridAfter w:val="2"/>
          <w:wBefore w:w="291" w:type="dxa"/>
          <w:wAfter w:w="185" w:type="dxa"/>
          <w:trHeight w:hRule="exact" w:val="284"/>
          <w:jc w:val="center"/>
        </w:trPr>
        <w:tc>
          <w:tcPr>
            <w:tcW w:w="1547" w:type="dxa"/>
            <w:tcBorders>
              <w:left w:val="single" w:sz="4" w:space="0" w:color="auto"/>
              <w:bottom w:val="single" w:sz="4" w:space="0" w:color="FFFFFF"/>
              <w:right w:val="single" w:sz="4" w:space="0" w:color="auto"/>
            </w:tcBorders>
            <w:noWrap/>
            <w:vAlign w:val="center"/>
          </w:tcPr>
          <w:p w:rsidR="00DC2F2A" w:rsidRPr="00EB2995" w:rsidRDefault="00DC2F2A" w:rsidP="00DC2F2A">
            <w:pPr>
              <w:ind w:left="29"/>
              <w:jc w:val="right"/>
              <w:rPr>
                <w:rFonts w:cs="Calibri"/>
                <w:lang w:eastAsia="en-GB"/>
              </w:rPr>
            </w:pPr>
            <w:r w:rsidRPr="00EB2995">
              <w:rPr>
                <w:rFonts w:cs="Calibri"/>
                <w:lang w:eastAsia="en-GB"/>
              </w:rPr>
              <w:t> </w:t>
            </w:r>
          </w:p>
        </w:tc>
        <w:tc>
          <w:tcPr>
            <w:tcW w:w="5245" w:type="dxa"/>
            <w:tcBorders>
              <w:top w:val="nil"/>
              <w:left w:val="single" w:sz="4" w:space="0" w:color="auto"/>
              <w:bottom w:val="single" w:sz="4" w:space="0" w:color="FFFFFF"/>
              <w:right w:val="single" w:sz="4" w:space="0" w:color="auto"/>
            </w:tcBorders>
            <w:noWrap/>
            <w:vAlign w:val="center"/>
          </w:tcPr>
          <w:p w:rsidR="00DC2F2A" w:rsidRPr="00EB2995" w:rsidRDefault="00DC2F2A" w:rsidP="00DC2F2A">
            <w:pPr>
              <w:jc w:val="center"/>
              <w:rPr>
                <w:rFonts w:cs="Calibri"/>
                <w:b/>
                <w:bCs/>
                <w:lang w:eastAsia="en-GB"/>
              </w:rPr>
            </w:pPr>
            <w:r w:rsidRPr="00EB2995">
              <w:rPr>
                <w:rFonts w:cs="Calibri"/>
                <w:b/>
                <w:bCs/>
                <w:lang w:eastAsia="en-GB"/>
              </w:rPr>
              <w:t>Capital Grants &amp; Contributions</w:t>
            </w:r>
          </w:p>
          <w:p w:rsidR="00DC2F2A" w:rsidRPr="00EB2995" w:rsidRDefault="00DC2F2A" w:rsidP="00DC2F2A">
            <w:pPr>
              <w:rPr>
                <w:rFonts w:cs="Calibri"/>
                <w:b/>
                <w:bCs/>
                <w:lang w:eastAsia="en-GB"/>
              </w:rPr>
            </w:pPr>
            <w:r w:rsidRPr="00EB2995">
              <w:rPr>
                <w:rFonts w:cs="Calibri"/>
                <w:b/>
                <w:bCs/>
                <w:lang w:eastAsia="en-GB"/>
              </w:rPr>
              <w:t>Grants:</w:t>
            </w:r>
          </w:p>
        </w:tc>
        <w:tc>
          <w:tcPr>
            <w:tcW w:w="1573" w:type="dxa"/>
            <w:gridSpan w:val="2"/>
            <w:tcBorders>
              <w:left w:val="single" w:sz="4" w:space="0" w:color="auto"/>
              <w:bottom w:val="single" w:sz="4" w:space="0" w:color="FFFFFF"/>
              <w:right w:val="single" w:sz="4" w:space="0" w:color="auto"/>
            </w:tcBorders>
            <w:noWrap/>
            <w:vAlign w:val="center"/>
          </w:tcPr>
          <w:p w:rsidR="00DC2F2A" w:rsidRPr="00EB2995" w:rsidRDefault="00DC2F2A" w:rsidP="00DC2F2A">
            <w:pPr>
              <w:jc w:val="right"/>
              <w:rPr>
                <w:rFonts w:cs="Calibri"/>
                <w:lang w:eastAsia="en-GB"/>
              </w:rPr>
            </w:pPr>
            <w:r w:rsidRPr="00EB2995">
              <w:rPr>
                <w:rFonts w:cs="Calibri"/>
                <w:lang w:eastAsia="en-GB"/>
              </w:rPr>
              <w:t> </w:t>
            </w:r>
          </w:p>
        </w:tc>
      </w:tr>
      <w:tr w:rsidR="00DC2F2A" w:rsidRPr="00EB2995" w:rsidTr="00C00DF8">
        <w:trPr>
          <w:gridBefore w:val="1"/>
          <w:gridAfter w:val="2"/>
          <w:wBefore w:w="291" w:type="dxa"/>
          <w:wAfter w:w="185" w:type="dxa"/>
          <w:trHeight w:hRule="exact" w:val="284"/>
          <w:jc w:val="center"/>
        </w:trPr>
        <w:tc>
          <w:tcPr>
            <w:tcW w:w="1547" w:type="dxa"/>
            <w:tcBorders>
              <w:top w:val="nil"/>
              <w:left w:val="single" w:sz="4" w:space="0" w:color="auto"/>
              <w:bottom w:val="single" w:sz="4" w:space="0" w:color="FFFFFF"/>
              <w:right w:val="single" w:sz="4" w:space="0" w:color="auto"/>
            </w:tcBorders>
            <w:noWrap/>
            <w:vAlign w:val="center"/>
          </w:tcPr>
          <w:p w:rsidR="00DC2F2A" w:rsidRPr="00EB2995" w:rsidRDefault="00DC2F2A" w:rsidP="00DC2F2A">
            <w:pPr>
              <w:jc w:val="right"/>
              <w:rPr>
                <w:rFonts w:cs="Calibri"/>
                <w:lang w:eastAsia="en-GB"/>
              </w:rPr>
            </w:pPr>
            <w:r w:rsidRPr="00EB2995">
              <w:rPr>
                <w:rFonts w:cs="Calibri"/>
                <w:lang w:eastAsia="en-GB"/>
              </w:rPr>
              <w:t>(1.2)</w:t>
            </w:r>
          </w:p>
        </w:tc>
        <w:tc>
          <w:tcPr>
            <w:tcW w:w="5245" w:type="dxa"/>
            <w:tcBorders>
              <w:top w:val="nil"/>
              <w:left w:val="single" w:sz="4" w:space="0" w:color="auto"/>
              <w:bottom w:val="single" w:sz="4" w:space="0" w:color="FFFFFF"/>
              <w:right w:val="single" w:sz="4" w:space="0" w:color="auto"/>
            </w:tcBorders>
            <w:noWrap/>
            <w:vAlign w:val="center"/>
          </w:tcPr>
          <w:p w:rsidR="00DC2F2A" w:rsidRPr="00EB2995" w:rsidRDefault="00DC2F2A" w:rsidP="00DC2F2A">
            <w:pPr>
              <w:rPr>
                <w:rFonts w:cs="Calibri"/>
                <w:lang w:eastAsia="en-GB"/>
              </w:rPr>
            </w:pPr>
            <w:r w:rsidRPr="00EB2995">
              <w:rPr>
                <w:rFonts w:cs="Calibri"/>
                <w:lang w:eastAsia="en-GB"/>
              </w:rPr>
              <w:t>Basic Safety Needs</w:t>
            </w:r>
          </w:p>
        </w:tc>
        <w:tc>
          <w:tcPr>
            <w:tcW w:w="1573" w:type="dxa"/>
            <w:gridSpan w:val="2"/>
            <w:tcBorders>
              <w:top w:val="nil"/>
              <w:left w:val="single" w:sz="4" w:space="0" w:color="auto"/>
              <w:bottom w:val="single" w:sz="4" w:space="0" w:color="FFFFFF"/>
              <w:right w:val="single" w:sz="4" w:space="0" w:color="auto"/>
            </w:tcBorders>
            <w:noWrap/>
            <w:vAlign w:val="center"/>
          </w:tcPr>
          <w:p w:rsidR="00DC2F2A" w:rsidRPr="00EB2995" w:rsidRDefault="00DC2F2A" w:rsidP="00DC2F2A">
            <w:pPr>
              <w:jc w:val="right"/>
              <w:rPr>
                <w:rFonts w:cs="Calibri"/>
                <w:lang w:eastAsia="en-GB"/>
              </w:rPr>
            </w:pPr>
            <w:r w:rsidRPr="00EB2995">
              <w:rPr>
                <w:rFonts w:cs="Calibri"/>
                <w:color w:val="000000"/>
              </w:rPr>
              <w:t>(4.2)</w:t>
            </w:r>
          </w:p>
        </w:tc>
      </w:tr>
      <w:tr w:rsidR="00DC2F2A" w:rsidRPr="00EB2995" w:rsidTr="00C00DF8">
        <w:trPr>
          <w:gridBefore w:val="1"/>
          <w:gridAfter w:val="2"/>
          <w:wBefore w:w="291" w:type="dxa"/>
          <w:wAfter w:w="185" w:type="dxa"/>
          <w:trHeight w:hRule="exact" w:val="284"/>
          <w:jc w:val="center"/>
        </w:trPr>
        <w:tc>
          <w:tcPr>
            <w:tcW w:w="1547" w:type="dxa"/>
            <w:tcBorders>
              <w:top w:val="nil"/>
              <w:left w:val="single" w:sz="4" w:space="0" w:color="auto"/>
              <w:bottom w:val="single" w:sz="4" w:space="0" w:color="FFFFFF"/>
              <w:right w:val="single" w:sz="4" w:space="0" w:color="auto"/>
            </w:tcBorders>
            <w:noWrap/>
            <w:vAlign w:val="center"/>
          </w:tcPr>
          <w:p w:rsidR="00DC2F2A" w:rsidRPr="00EB2995" w:rsidRDefault="00DC2F2A" w:rsidP="00DC2F2A">
            <w:pPr>
              <w:jc w:val="right"/>
              <w:rPr>
                <w:rFonts w:cs="Calibri"/>
                <w:lang w:eastAsia="en-GB"/>
              </w:rPr>
            </w:pPr>
            <w:r w:rsidRPr="00EB2995">
              <w:rPr>
                <w:rFonts w:cs="Calibri"/>
                <w:lang w:eastAsia="en-GB"/>
              </w:rPr>
              <w:t>(2.1)</w:t>
            </w:r>
          </w:p>
        </w:tc>
        <w:tc>
          <w:tcPr>
            <w:tcW w:w="5245" w:type="dxa"/>
            <w:tcBorders>
              <w:top w:val="nil"/>
              <w:left w:val="single" w:sz="4" w:space="0" w:color="auto"/>
              <w:bottom w:val="single" w:sz="4" w:space="0" w:color="FFFFFF"/>
              <w:right w:val="single" w:sz="4" w:space="0" w:color="auto"/>
            </w:tcBorders>
            <w:noWrap/>
            <w:vAlign w:val="center"/>
          </w:tcPr>
          <w:p w:rsidR="00DC2F2A" w:rsidRPr="00EB2995" w:rsidRDefault="00DC2F2A" w:rsidP="00DC2F2A">
            <w:pPr>
              <w:rPr>
                <w:rFonts w:cs="Calibri"/>
                <w:lang w:eastAsia="en-GB"/>
              </w:rPr>
            </w:pPr>
            <w:r w:rsidRPr="00EB2995">
              <w:rPr>
                <w:rFonts w:cs="Calibri"/>
                <w:lang w:eastAsia="en-GB"/>
              </w:rPr>
              <w:t>School Condition Grant</w:t>
            </w:r>
          </w:p>
        </w:tc>
        <w:tc>
          <w:tcPr>
            <w:tcW w:w="1573" w:type="dxa"/>
            <w:gridSpan w:val="2"/>
            <w:tcBorders>
              <w:top w:val="nil"/>
              <w:left w:val="single" w:sz="4" w:space="0" w:color="auto"/>
              <w:bottom w:val="single" w:sz="4" w:space="0" w:color="FFFFFF"/>
              <w:right w:val="single" w:sz="4" w:space="0" w:color="auto"/>
            </w:tcBorders>
            <w:noWrap/>
            <w:vAlign w:val="center"/>
          </w:tcPr>
          <w:p w:rsidR="00DC2F2A" w:rsidRPr="00EB2995" w:rsidRDefault="00DC2F2A" w:rsidP="00DC2F2A">
            <w:pPr>
              <w:jc w:val="right"/>
              <w:rPr>
                <w:rFonts w:cs="Calibri"/>
                <w:lang w:eastAsia="en-GB"/>
              </w:rPr>
            </w:pPr>
            <w:r w:rsidRPr="00EB2995">
              <w:rPr>
                <w:rFonts w:cs="Calibri"/>
                <w:color w:val="000000"/>
              </w:rPr>
              <w:t>(1.9)</w:t>
            </w:r>
          </w:p>
        </w:tc>
      </w:tr>
      <w:tr w:rsidR="00DC2F2A" w:rsidRPr="00EB2995" w:rsidTr="00C00DF8">
        <w:trPr>
          <w:gridBefore w:val="1"/>
          <w:gridAfter w:val="2"/>
          <w:wBefore w:w="291" w:type="dxa"/>
          <w:wAfter w:w="185" w:type="dxa"/>
          <w:trHeight w:hRule="exact" w:val="284"/>
          <w:jc w:val="center"/>
        </w:trPr>
        <w:tc>
          <w:tcPr>
            <w:tcW w:w="1547" w:type="dxa"/>
            <w:tcBorders>
              <w:top w:val="nil"/>
              <w:left w:val="single" w:sz="4" w:space="0" w:color="auto"/>
              <w:bottom w:val="single" w:sz="4" w:space="0" w:color="FFFFFF"/>
              <w:right w:val="single" w:sz="4" w:space="0" w:color="auto"/>
            </w:tcBorders>
            <w:noWrap/>
            <w:vAlign w:val="center"/>
          </w:tcPr>
          <w:p w:rsidR="00DC2F2A" w:rsidRPr="00EB2995" w:rsidRDefault="00DC2F2A" w:rsidP="00DC2F2A">
            <w:pPr>
              <w:jc w:val="right"/>
              <w:rPr>
                <w:rFonts w:cs="Calibri"/>
                <w:lang w:eastAsia="en-GB"/>
              </w:rPr>
            </w:pPr>
            <w:r w:rsidRPr="00EB2995">
              <w:rPr>
                <w:rFonts w:cs="Calibri"/>
                <w:lang w:eastAsia="en-GB"/>
              </w:rPr>
              <w:t>(2.7)</w:t>
            </w:r>
          </w:p>
        </w:tc>
        <w:tc>
          <w:tcPr>
            <w:tcW w:w="5245" w:type="dxa"/>
            <w:tcBorders>
              <w:top w:val="nil"/>
              <w:left w:val="single" w:sz="4" w:space="0" w:color="auto"/>
              <w:bottom w:val="single" w:sz="4" w:space="0" w:color="FFFFFF"/>
              <w:right w:val="single" w:sz="4" w:space="0" w:color="auto"/>
            </w:tcBorders>
            <w:noWrap/>
            <w:vAlign w:val="center"/>
          </w:tcPr>
          <w:p w:rsidR="00DC2F2A" w:rsidRPr="00EB2995" w:rsidRDefault="00DC2F2A" w:rsidP="00DC2F2A">
            <w:pPr>
              <w:rPr>
                <w:rFonts w:cs="Calibri"/>
                <w:lang w:eastAsia="en-GB"/>
              </w:rPr>
            </w:pPr>
            <w:r w:rsidRPr="00EB2995">
              <w:rPr>
                <w:rFonts w:cs="Calibri"/>
                <w:lang w:eastAsia="en-GB"/>
              </w:rPr>
              <w:t>Transport for London</w:t>
            </w:r>
          </w:p>
        </w:tc>
        <w:tc>
          <w:tcPr>
            <w:tcW w:w="1573" w:type="dxa"/>
            <w:gridSpan w:val="2"/>
            <w:tcBorders>
              <w:top w:val="nil"/>
              <w:left w:val="single" w:sz="4" w:space="0" w:color="auto"/>
              <w:bottom w:val="single" w:sz="4" w:space="0" w:color="FFFFFF"/>
              <w:right w:val="single" w:sz="4" w:space="0" w:color="auto"/>
            </w:tcBorders>
            <w:noWrap/>
            <w:vAlign w:val="center"/>
          </w:tcPr>
          <w:p w:rsidR="00DC2F2A" w:rsidRPr="00EB2995" w:rsidRDefault="00DC2F2A" w:rsidP="00DC2F2A">
            <w:pPr>
              <w:jc w:val="right"/>
              <w:rPr>
                <w:rFonts w:cs="Calibri"/>
                <w:lang w:eastAsia="en-GB"/>
              </w:rPr>
            </w:pPr>
            <w:r w:rsidRPr="00EB2995">
              <w:rPr>
                <w:rFonts w:cs="Calibri"/>
                <w:color w:val="000000"/>
              </w:rPr>
              <w:t>(3.1)</w:t>
            </w:r>
          </w:p>
        </w:tc>
      </w:tr>
      <w:tr w:rsidR="00DC2F2A" w:rsidRPr="00EB2995" w:rsidTr="00C00DF8">
        <w:trPr>
          <w:gridBefore w:val="1"/>
          <w:gridAfter w:val="2"/>
          <w:wBefore w:w="291" w:type="dxa"/>
          <w:wAfter w:w="185" w:type="dxa"/>
          <w:trHeight w:hRule="exact" w:val="284"/>
          <w:jc w:val="center"/>
        </w:trPr>
        <w:tc>
          <w:tcPr>
            <w:tcW w:w="1547" w:type="dxa"/>
            <w:tcBorders>
              <w:top w:val="nil"/>
              <w:left w:val="single" w:sz="4" w:space="0" w:color="auto"/>
              <w:bottom w:val="single" w:sz="4" w:space="0" w:color="FFFFFF"/>
              <w:right w:val="single" w:sz="4" w:space="0" w:color="auto"/>
            </w:tcBorders>
            <w:noWrap/>
            <w:vAlign w:val="center"/>
          </w:tcPr>
          <w:p w:rsidR="00DC2F2A" w:rsidRPr="00EB2995" w:rsidRDefault="00DC2F2A" w:rsidP="00DC2F2A">
            <w:pPr>
              <w:jc w:val="right"/>
              <w:rPr>
                <w:rFonts w:cs="Calibri"/>
                <w:lang w:eastAsia="en-GB"/>
              </w:rPr>
            </w:pPr>
            <w:r w:rsidRPr="00EB2995">
              <w:rPr>
                <w:rFonts w:cs="Calibri"/>
                <w:lang w:eastAsia="en-GB"/>
              </w:rPr>
              <w:t>(4.9)</w:t>
            </w:r>
          </w:p>
        </w:tc>
        <w:tc>
          <w:tcPr>
            <w:tcW w:w="5245" w:type="dxa"/>
            <w:tcBorders>
              <w:top w:val="nil"/>
              <w:left w:val="single" w:sz="4" w:space="0" w:color="auto"/>
              <w:bottom w:val="single" w:sz="4" w:space="0" w:color="FFFFFF"/>
              <w:right w:val="single" w:sz="4" w:space="0" w:color="auto"/>
            </w:tcBorders>
            <w:noWrap/>
            <w:vAlign w:val="center"/>
          </w:tcPr>
          <w:p w:rsidR="00DC2F2A" w:rsidRPr="00EB2995" w:rsidRDefault="00DC2F2A" w:rsidP="00DC2F2A">
            <w:pPr>
              <w:rPr>
                <w:rFonts w:cs="Calibri"/>
                <w:lang w:eastAsia="en-GB"/>
              </w:rPr>
            </w:pPr>
            <w:r w:rsidRPr="00EB2995">
              <w:rPr>
                <w:rFonts w:cs="Calibri"/>
                <w:lang w:eastAsia="en-GB"/>
              </w:rPr>
              <w:t>Disabled Facilities</w:t>
            </w:r>
          </w:p>
        </w:tc>
        <w:tc>
          <w:tcPr>
            <w:tcW w:w="1573" w:type="dxa"/>
            <w:gridSpan w:val="2"/>
            <w:tcBorders>
              <w:top w:val="nil"/>
              <w:left w:val="single" w:sz="4" w:space="0" w:color="auto"/>
              <w:bottom w:val="single" w:sz="4" w:space="0" w:color="FFFFFF"/>
              <w:right w:val="single" w:sz="4" w:space="0" w:color="auto"/>
            </w:tcBorders>
            <w:noWrap/>
            <w:vAlign w:val="center"/>
          </w:tcPr>
          <w:p w:rsidR="00DC2F2A" w:rsidRPr="00EB2995" w:rsidRDefault="00DC2F2A" w:rsidP="00DC2F2A">
            <w:pPr>
              <w:jc w:val="right"/>
              <w:rPr>
                <w:rFonts w:cs="Calibri"/>
                <w:lang w:eastAsia="en-GB"/>
              </w:rPr>
            </w:pPr>
            <w:r w:rsidRPr="00EB2995">
              <w:rPr>
                <w:rFonts w:cs="Calibri"/>
                <w:color w:val="000000"/>
              </w:rPr>
              <w:t>(4.7)</w:t>
            </w:r>
          </w:p>
        </w:tc>
      </w:tr>
      <w:tr w:rsidR="00DC2F2A" w:rsidRPr="00EB2995" w:rsidTr="00C00DF8">
        <w:trPr>
          <w:gridBefore w:val="1"/>
          <w:gridAfter w:val="2"/>
          <w:wBefore w:w="291" w:type="dxa"/>
          <w:wAfter w:w="185" w:type="dxa"/>
          <w:trHeight w:hRule="exact" w:val="284"/>
          <w:jc w:val="center"/>
        </w:trPr>
        <w:tc>
          <w:tcPr>
            <w:tcW w:w="1547" w:type="dxa"/>
            <w:tcBorders>
              <w:top w:val="nil"/>
              <w:left w:val="single" w:sz="4" w:space="0" w:color="auto"/>
              <w:bottom w:val="single" w:sz="4" w:space="0" w:color="FFFFFF"/>
              <w:right w:val="single" w:sz="4" w:space="0" w:color="auto"/>
            </w:tcBorders>
            <w:noWrap/>
            <w:vAlign w:val="center"/>
          </w:tcPr>
          <w:p w:rsidR="00DC2F2A" w:rsidRPr="00EB2995" w:rsidRDefault="00DC2F2A" w:rsidP="00DC2F2A">
            <w:pPr>
              <w:jc w:val="right"/>
              <w:rPr>
                <w:rFonts w:cs="Calibri"/>
                <w:lang w:eastAsia="en-GB"/>
              </w:rPr>
            </w:pPr>
            <w:r w:rsidRPr="00EB2995">
              <w:rPr>
                <w:rFonts w:cs="Calibri"/>
                <w:lang w:eastAsia="en-GB"/>
              </w:rPr>
              <w:t>(2.0)</w:t>
            </w:r>
          </w:p>
        </w:tc>
        <w:tc>
          <w:tcPr>
            <w:tcW w:w="5245" w:type="dxa"/>
            <w:tcBorders>
              <w:top w:val="nil"/>
              <w:left w:val="single" w:sz="4" w:space="0" w:color="auto"/>
              <w:bottom w:val="single" w:sz="4" w:space="0" w:color="FFFFFF"/>
              <w:right w:val="single" w:sz="4" w:space="0" w:color="auto"/>
            </w:tcBorders>
            <w:noWrap/>
            <w:vAlign w:val="center"/>
          </w:tcPr>
          <w:p w:rsidR="00DC2F2A" w:rsidRPr="00EB2995" w:rsidRDefault="00DC2F2A" w:rsidP="00DC2F2A">
            <w:pPr>
              <w:rPr>
                <w:rFonts w:cs="Calibri"/>
                <w:lang w:eastAsia="en-GB"/>
              </w:rPr>
            </w:pPr>
            <w:r w:rsidRPr="00EB2995">
              <w:rPr>
                <w:rFonts w:cs="Calibri"/>
                <w:lang w:eastAsia="en-GB"/>
              </w:rPr>
              <w:t>Other Grants</w:t>
            </w:r>
          </w:p>
        </w:tc>
        <w:tc>
          <w:tcPr>
            <w:tcW w:w="1573" w:type="dxa"/>
            <w:gridSpan w:val="2"/>
            <w:tcBorders>
              <w:top w:val="nil"/>
              <w:left w:val="single" w:sz="4" w:space="0" w:color="auto"/>
              <w:bottom w:val="single" w:sz="4" w:space="0" w:color="FFFFFF"/>
              <w:right w:val="single" w:sz="4" w:space="0" w:color="auto"/>
            </w:tcBorders>
            <w:noWrap/>
            <w:vAlign w:val="center"/>
          </w:tcPr>
          <w:p w:rsidR="00DC2F2A" w:rsidRPr="00EB2995" w:rsidRDefault="00DC2F2A" w:rsidP="00DC2F2A">
            <w:pPr>
              <w:jc w:val="right"/>
              <w:rPr>
                <w:rFonts w:cs="Calibri"/>
                <w:lang w:eastAsia="en-GB"/>
              </w:rPr>
            </w:pPr>
            <w:r w:rsidRPr="00EB2995">
              <w:rPr>
                <w:rFonts w:cs="Calibri"/>
                <w:color w:val="000000"/>
              </w:rPr>
              <w:t>(0.5)</w:t>
            </w:r>
          </w:p>
        </w:tc>
      </w:tr>
      <w:tr w:rsidR="00DC2F2A" w:rsidRPr="00EB2995" w:rsidTr="00C00DF8">
        <w:trPr>
          <w:gridBefore w:val="1"/>
          <w:gridAfter w:val="2"/>
          <w:wBefore w:w="291" w:type="dxa"/>
          <w:wAfter w:w="185" w:type="dxa"/>
          <w:trHeight w:hRule="exact" w:val="284"/>
          <w:jc w:val="center"/>
        </w:trPr>
        <w:tc>
          <w:tcPr>
            <w:tcW w:w="1547" w:type="dxa"/>
            <w:tcBorders>
              <w:top w:val="nil"/>
              <w:left w:val="single" w:sz="4" w:space="0" w:color="auto"/>
              <w:bottom w:val="single" w:sz="4" w:space="0" w:color="FFFFFF"/>
              <w:right w:val="single" w:sz="4" w:space="0" w:color="auto"/>
            </w:tcBorders>
            <w:noWrap/>
            <w:vAlign w:val="center"/>
          </w:tcPr>
          <w:p w:rsidR="00DC2F2A" w:rsidRPr="00EB2995" w:rsidRDefault="00DC2F2A" w:rsidP="00DC2F2A">
            <w:pPr>
              <w:jc w:val="right"/>
              <w:rPr>
                <w:rFonts w:cs="Calibri"/>
                <w:lang w:eastAsia="en-GB"/>
              </w:rPr>
            </w:pPr>
            <w:r w:rsidRPr="00EB2995">
              <w:rPr>
                <w:rFonts w:cs="Calibri"/>
                <w:lang w:eastAsia="en-GB"/>
              </w:rPr>
              <w:t>(0.8)</w:t>
            </w:r>
          </w:p>
        </w:tc>
        <w:tc>
          <w:tcPr>
            <w:tcW w:w="5245" w:type="dxa"/>
            <w:tcBorders>
              <w:top w:val="nil"/>
              <w:left w:val="single" w:sz="4" w:space="0" w:color="auto"/>
              <w:bottom w:val="single" w:sz="4" w:space="0" w:color="FFFFFF"/>
              <w:right w:val="single" w:sz="4" w:space="0" w:color="auto"/>
            </w:tcBorders>
            <w:noWrap/>
            <w:vAlign w:val="center"/>
          </w:tcPr>
          <w:p w:rsidR="00DC2F2A" w:rsidRPr="00EB2995" w:rsidRDefault="00DC2F2A" w:rsidP="00DC2F2A">
            <w:pPr>
              <w:rPr>
                <w:rFonts w:cs="Calibri"/>
                <w:lang w:eastAsia="en-GB"/>
              </w:rPr>
            </w:pPr>
            <w:r w:rsidRPr="00EB2995">
              <w:rPr>
                <w:rFonts w:cs="Calibri"/>
                <w:lang w:eastAsia="en-GB"/>
              </w:rPr>
              <w:t>Education Funding</w:t>
            </w:r>
          </w:p>
        </w:tc>
        <w:tc>
          <w:tcPr>
            <w:tcW w:w="1573" w:type="dxa"/>
            <w:gridSpan w:val="2"/>
            <w:tcBorders>
              <w:top w:val="nil"/>
              <w:left w:val="single" w:sz="4" w:space="0" w:color="auto"/>
              <w:bottom w:val="single" w:sz="4" w:space="0" w:color="FFFFFF"/>
              <w:right w:val="single" w:sz="4" w:space="0" w:color="auto"/>
            </w:tcBorders>
            <w:noWrap/>
            <w:vAlign w:val="center"/>
          </w:tcPr>
          <w:p w:rsidR="00DC2F2A" w:rsidRPr="00EB2995" w:rsidRDefault="00DC2F2A" w:rsidP="00DC2F2A">
            <w:pPr>
              <w:jc w:val="right"/>
              <w:rPr>
                <w:rFonts w:cs="Calibri"/>
                <w:lang w:eastAsia="en-GB"/>
              </w:rPr>
            </w:pPr>
            <w:r w:rsidRPr="00EB2995">
              <w:rPr>
                <w:rFonts w:cs="Calibri"/>
                <w:color w:val="000000"/>
              </w:rPr>
              <w:t>(1.8)</w:t>
            </w:r>
          </w:p>
        </w:tc>
      </w:tr>
      <w:tr w:rsidR="00DC2F2A" w:rsidRPr="00EB2995" w:rsidTr="00C00DF8">
        <w:trPr>
          <w:gridBefore w:val="1"/>
          <w:gridAfter w:val="2"/>
          <w:wBefore w:w="291" w:type="dxa"/>
          <w:wAfter w:w="185" w:type="dxa"/>
          <w:trHeight w:hRule="exact" w:val="284"/>
          <w:jc w:val="center"/>
        </w:trPr>
        <w:tc>
          <w:tcPr>
            <w:tcW w:w="1547" w:type="dxa"/>
            <w:tcBorders>
              <w:top w:val="nil"/>
              <w:left w:val="single" w:sz="4" w:space="0" w:color="auto"/>
              <w:bottom w:val="single" w:sz="4" w:space="0" w:color="FFFFFF"/>
              <w:right w:val="single" w:sz="4" w:space="0" w:color="auto"/>
            </w:tcBorders>
            <w:noWrap/>
            <w:vAlign w:val="center"/>
          </w:tcPr>
          <w:p w:rsidR="00DC2F2A" w:rsidRPr="00EB2995" w:rsidRDefault="00DC2F2A" w:rsidP="00DC2F2A">
            <w:pPr>
              <w:jc w:val="right"/>
              <w:rPr>
                <w:rFonts w:cs="Calibri"/>
                <w:lang w:eastAsia="en-GB"/>
              </w:rPr>
            </w:pPr>
            <w:r w:rsidRPr="00EB2995">
              <w:rPr>
                <w:rFonts w:cs="Calibri"/>
                <w:lang w:eastAsia="en-GB"/>
              </w:rPr>
              <w:t>(8.0)</w:t>
            </w:r>
          </w:p>
        </w:tc>
        <w:tc>
          <w:tcPr>
            <w:tcW w:w="5245" w:type="dxa"/>
            <w:tcBorders>
              <w:top w:val="nil"/>
              <w:left w:val="single" w:sz="4" w:space="0" w:color="auto"/>
              <w:bottom w:val="single" w:sz="4" w:space="0" w:color="FFFFFF"/>
              <w:right w:val="single" w:sz="4" w:space="0" w:color="auto"/>
            </w:tcBorders>
            <w:noWrap/>
            <w:vAlign w:val="center"/>
          </w:tcPr>
          <w:p w:rsidR="00DC2F2A" w:rsidRPr="00EB2995" w:rsidRDefault="00DC2F2A" w:rsidP="00DC2F2A">
            <w:pPr>
              <w:rPr>
                <w:rFonts w:cs="Calibri"/>
                <w:lang w:eastAsia="en-GB"/>
              </w:rPr>
            </w:pPr>
            <w:r w:rsidRPr="00EB2995">
              <w:rPr>
                <w:rFonts w:cs="Calibri"/>
                <w:lang w:eastAsia="en-GB"/>
              </w:rPr>
              <w:t>Greater London Authority - Outer London Fund</w:t>
            </w:r>
          </w:p>
        </w:tc>
        <w:tc>
          <w:tcPr>
            <w:tcW w:w="1573" w:type="dxa"/>
            <w:gridSpan w:val="2"/>
            <w:tcBorders>
              <w:top w:val="nil"/>
              <w:left w:val="single" w:sz="4" w:space="0" w:color="auto"/>
              <w:bottom w:val="single" w:sz="4" w:space="0" w:color="FFFFFF"/>
              <w:right w:val="single" w:sz="4" w:space="0" w:color="auto"/>
            </w:tcBorders>
            <w:noWrap/>
            <w:vAlign w:val="center"/>
          </w:tcPr>
          <w:p w:rsidR="00DC2F2A" w:rsidRPr="00EB2995" w:rsidRDefault="00DC2F2A" w:rsidP="00DC2F2A">
            <w:pPr>
              <w:jc w:val="right"/>
              <w:rPr>
                <w:rFonts w:cs="Calibri"/>
                <w:lang w:eastAsia="en-GB"/>
              </w:rPr>
            </w:pPr>
            <w:r w:rsidRPr="00EB2995">
              <w:rPr>
                <w:rFonts w:cs="Calibri"/>
                <w:color w:val="000000"/>
              </w:rPr>
              <w:t>(26.2)</w:t>
            </w:r>
          </w:p>
        </w:tc>
      </w:tr>
      <w:tr w:rsidR="00DC2F2A" w:rsidRPr="00EB2995" w:rsidTr="00C00DF8">
        <w:trPr>
          <w:gridBefore w:val="1"/>
          <w:gridAfter w:val="2"/>
          <w:wBefore w:w="291" w:type="dxa"/>
          <w:wAfter w:w="185" w:type="dxa"/>
          <w:trHeight w:hRule="exact" w:val="284"/>
          <w:jc w:val="center"/>
        </w:trPr>
        <w:tc>
          <w:tcPr>
            <w:tcW w:w="1547" w:type="dxa"/>
            <w:tcBorders>
              <w:top w:val="nil"/>
              <w:left w:val="single" w:sz="4" w:space="0" w:color="auto"/>
              <w:bottom w:val="single" w:sz="4" w:space="0" w:color="FFFFFF"/>
              <w:right w:val="single" w:sz="4" w:space="0" w:color="auto"/>
            </w:tcBorders>
            <w:noWrap/>
            <w:vAlign w:val="center"/>
          </w:tcPr>
          <w:p w:rsidR="00DC2F2A" w:rsidRPr="00EB2995" w:rsidRDefault="00DC2F2A" w:rsidP="00DC2F2A">
            <w:pPr>
              <w:jc w:val="right"/>
              <w:rPr>
                <w:rFonts w:cs="Calibri"/>
                <w:lang w:eastAsia="en-GB"/>
              </w:rPr>
            </w:pPr>
          </w:p>
        </w:tc>
        <w:tc>
          <w:tcPr>
            <w:tcW w:w="5245" w:type="dxa"/>
            <w:tcBorders>
              <w:top w:val="nil"/>
              <w:left w:val="single" w:sz="4" w:space="0" w:color="auto"/>
              <w:bottom w:val="single" w:sz="4" w:space="0" w:color="FFFFFF"/>
              <w:right w:val="single" w:sz="4" w:space="0" w:color="auto"/>
            </w:tcBorders>
            <w:noWrap/>
            <w:vAlign w:val="center"/>
          </w:tcPr>
          <w:p w:rsidR="00DC2F2A" w:rsidRPr="00EB2995" w:rsidRDefault="00DC2F2A" w:rsidP="00DC2F2A">
            <w:pPr>
              <w:rPr>
                <w:rFonts w:cs="Calibri"/>
                <w:b/>
                <w:bCs/>
                <w:lang w:eastAsia="en-GB"/>
              </w:rPr>
            </w:pPr>
          </w:p>
          <w:p w:rsidR="00DC2F2A" w:rsidRPr="00EB2995" w:rsidRDefault="00DC2F2A" w:rsidP="00DC2F2A">
            <w:pPr>
              <w:rPr>
                <w:rFonts w:cs="Calibri"/>
                <w:b/>
                <w:bCs/>
                <w:lang w:eastAsia="en-GB"/>
              </w:rPr>
            </w:pPr>
          </w:p>
          <w:p w:rsidR="00DC2F2A" w:rsidRPr="00EB2995" w:rsidRDefault="00DC2F2A" w:rsidP="00DC2F2A">
            <w:pPr>
              <w:rPr>
                <w:rFonts w:cs="Calibri"/>
                <w:b/>
                <w:bCs/>
                <w:lang w:eastAsia="en-GB"/>
              </w:rPr>
            </w:pPr>
            <w:r w:rsidRPr="00EB2995">
              <w:rPr>
                <w:rFonts w:cs="Calibri"/>
                <w:b/>
                <w:bCs/>
                <w:lang w:eastAsia="en-GB"/>
              </w:rPr>
              <w:t>Contributions:</w:t>
            </w:r>
          </w:p>
        </w:tc>
        <w:tc>
          <w:tcPr>
            <w:tcW w:w="1573" w:type="dxa"/>
            <w:gridSpan w:val="2"/>
            <w:tcBorders>
              <w:top w:val="nil"/>
              <w:left w:val="single" w:sz="4" w:space="0" w:color="auto"/>
              <w:bottom w:val="single" w:sz="4" w:space="0" w:color="FFFFFF"/>
              <w:right w:val="single" w:sz="4" w:space="0" w:color="auto"/>
            </w:tcBorders>
            <w:noWrap/>
            <w:vAlign w:val="center"/>
          </w:tcPr>
          <w:p w:rsidR="00DC2F2A" w:rsidRPr="00EB2995" w:rsidRDefault="00DC2F2A" w:rsidP="00DC2F2A">
            <w:pPr>
              <w:jc w:val="right"/>
              <w:rPr>
                <w:rFonts w:cs="Calibri"/>
                <w:lang w:eastAsia="en-GB"/>
              </w:rPr>
            </w:pPr>
          </w:p>
        </w:tc>
      </w:tr>
      <w:tr w:rsidR="00DC2F2A" w:rsidRPr="00EB2995" w:rsidTr="00C00DF8">
        <w:trPr>
          <w:gridBefore w:val="1"/>
          <w:gridAfter w:val="2"/>
          <w:wBefore w:w="291" w:type="dxa"/>
          <w:wAfter w:w="185" w:type="dxa"/>
          <w:trHeight w:hRule="exact" w:val="284"/>
          <w:jc w:val="center"/>
        </w:trPr>
        <w:tc>
          <w:tcPr>
            <w:tcW w:w="1547" w:type="dxa"/>
            <w:tcBorders>
              <w:top w:val="nil"/>
              <w:left w:val="single" w:sz="4" w:space="0" w:color="auto"/>
              <w:bottom w:val="single" w:sz="4" w:space="0" w:color="FFFFFF"/>
              <w:right w:val="single" w:sz="4" w:space="0" w:color="auto"/>
            </w:tcBorders>
            <w:noWrap/>
            <w:vAlign w:val="center"/>
          </w:tcPr>
          <w:p w:rsidR="00DC2F2A" w:rsidRPr="00EB2995" w:rsidRDefault="00DC2F2A" w:rsidP="00DC2F2A">
            <w:pPr>
              <w:jc w:val="right"/>
              <w:rPr>
                <w:rFonts w:cs="Calibri"/>
                <w:lang w:eastAsia="en-GB"/>
              </w:rPr>
            </w:pPr>
            <w:r w:rsidRPr="00EB2995">
              <w:rPr>
                <w:rFonts w:cs="Calibri"/>
                <w:lang w:eastAsia="en-GB"/>
              </w:rPr>
              <w:t>(45.0)</w:t>
            </w:r>
          </w:p>
        </w:tc>
        <w:tc>
          <w:tcPr>
            <w:tcW w:w="5245" w:type="dxa"/>
            <w:tcBorders>
              <w:top w:val="nil"/>
              <w:left w:val="single" w:sz="4" w:space="0" w:color="auto"/>
              <w:bottom w:val="single" w:sz="4" w:space="0" w:color="FFFFFF"/>
              <w:right w:val="single" w:sz="4" w:space="0" w:color="auto"/>
            </w:tcBorders>
            <w:noWrap/>
            <w:vAlign w:val="center"/>
          </w:tcPr>
          <w:p w:rsidR="00DC2F2A" w:rsidRPr="00EB2995" w:rsidRDefault="00DC2F2A" w:rsidP="00DC2F2A">
            <w:pPr>
              <w:rPr>
                <w:rFonts w:cs="Calibri"/>
                <w:lang w:eastAsia="en-GB"/>
              </w:rPr>
            </w:pPr>
            <w:r w:rsidRPr="00EB2995">
              <w:rPr>
                <w:rFonts w:cs="Calibri"/>
                <w:lang w:eastAsia="en-GB"/>
              </w:rPr>
              <w:t xml:space="preserve">Section 106 &amp; Construction Infrastructure Levy </w:t>
            </w:r>
          </w:p>
        </w:tc>
        <w:tc>
          <w:tcPr>
            <w:tcW w:w="1573" w:type="dxa"/>
            <w:gridSpan w:val="2"/>
            <w:tcBorders>
              <w:top w:val="nil"/>
              <w:left w:val="single" w:sz="4" w:space="0" w:color="auto"/>
              <w:bottom w:val="single" w:sz="4" w:space="0" w:color="FFFFFF"/>
              <w:right w:val="single" w:sz="4" w:space="0" w:color="auto"/>
            </w:tcBorders>
            <w:noWrap/>
            <w:vAlign w:val="center"/>
          </w:tcPr>
          <w:p w:rsidR="00DC2F2A" w:rsidRPr="00EB2995" w:rsidRDefault="00DC2F2A" w:rsidP="00DC2F2A">
            <w:pPr>
              <w:jc w:val="right"/>
              <w:rPr>
                <w:rFonts w:cs="Calibri"/>
                <w:lang w:eastAsia="en-GB"/>
              </w:rPr>
            </w:pPr>
            <w:r w:rsidRPr="00EB2995">
              <w:rPr>
                <w:rFonts w:cs="Calibri"/>
                <w:lang w:eastAsia="en-GB"/>
              </w:rPr>
              <w:t>(29.6)</w:t>
            </w:r>
          </w:p>
        </w:tc>
      </w:tr>
      <w:tr w:rsidR="00DC2F2A" w:rsidRPr="00EB2995" w:rsidTr="00C00DF8">
        <w:trPr>
          <w:gridBefore w:val="1"/>
          <w:gridAfter w:val="2"/>
          <w:wBefore w:w="291" w:type="dxa"/>
          <w:wAfter w:w="185" w:type="dxa"/>
          <w:trHeight w:hRule="exact" w:val="284"/>
          <w:jc w:val="center"/>
        </w:trPr>
        <w:tc>
          <w:tcPr>
            <w:tcW w:w="1547" w:type="dxa"/>
            <w:tcBorders>
              <w:top w:val="nil"/>
              <w:left w:val="single" w:sz="4" w:space="0" w:color="auto"/>
              <w:bottom w:val="single" w:sz="4" w:space="0" w:color="auto"/>
              <w:right w:val="single" w:sz="4" w:space="0" w:color="auto"/>
            </w:tcBorders>
            <w:noWrap/>
            <w:vAlign w:val="center"/>
          </w:tcPr>
          <w:p w:rsidR="00DC2F2A" w:rsidRPr="00EB2995" w:rsidRDefault="00DC2F2A" w:rsidP="00DC2F2A">
            <w:pPr>
              <w:jc w:val="right"/>
              <w:rPr>
                <w:rFonts w:cs="Calibri"/>
                <w:lang w:eastAsia="en-GB"/>
              </w:rPr>
            </w:pPr>
          </w:p>
        </w:tc>
        <w:tc>
          <w:tcPr>
            <w:tcW w:w="5245" w:type="dxa"/>
            <w:tcBorders>
              <w:top w:val="nil"/>
              <w:left w:val="single" w:sz="4" w:space="0" w:color="auto"/>
              <w:bottom w:val="single" w:sz="4" w:space="0" w:color="FFFFFF"/>
              <w:right w:val="single" w:sz="4" w:space="0" w:color="auto"/>
            </w:tcBorders>
            <w:noWrap/>
            <w:vAlign w:val="center"/>
          </w:tcPr>
          <w:p w:rsidR="00DC2F2A" w:rsidRPr="00EB2995" w:rsidRDefault="00DC2F2A" w:rsidP="00DC2F2A">
            <w:pPr>
              <w:rPr>
                <w:rFonts w:cs="Calibri"/>
                <w:lang w:eastAsia="en-GB"/>
              </w:rPr>
            </w:pPr>
            <w:r w:rsidRPr="00EB2995">
              <w:rPr>
                <w:rFonts w:cs="Calibri"/>
                <w:lang w:eastAsia="en-GB"/>
              </w:rPr>
              <w:t> </w:t>
            </w:r>
          </w:p>
        </w:tc>
        <w:tc>
          <w:tcPr>
            <w:tcW w:w="1573" w:type="dxa"/>
            <w:gridSpan w:val="2"/>
            <w:tcBorders>
              <w:top w:val="nil"/>
              <w:left w:val="single" w:sz="4" w:space="0" w:color="auto"/>
              <w:bottom w:val="single" w:sz="4" w:space="0" w:color="auto"/>
              <w:right w:val="single" w:sz="4" w:space="0" w:color="auto"/>
            </w:tcBorders>
            <w:noWrap/>
            <w:vAlign w:val="center"/>
          </w:tcPr>
          <w:p w:rsidR="00DC2F2A" w:rsidRPr="00EB2995" w:rsidRDefault="00DC2F2A" w:rsidP="00DC2F2A">
            <w:pPr>
              <w:jc w:val="right"/>
              <w:rPr>
                <w:rFonts w:cs="Calibri"/>
                <w:lang w:eastAsia="en-GB"/>
              </w:rPr>
            </w:pPr>
          </w:p>
        </w:tc>
      </w:tr>
      <w:tr w:rsidR="00DC2F2A" w:rsidRPr="00EB2995" w:rsidTr="00C00DF8">
        <w:trPr>
          <w:gridBefore w:val="1"/>
          <w:gridAfter w:val="2"/>
          <w:wBefore w:w="291" w:type="dxa"/>
          <w:wAfter w:w="185" w:type="dxa"/>
          <w:trHeight w:hRule="exact" w:val="284"/>
          <w:jc w:val="center"/>
        </w:trPr>
        <w:tc>
          <w:tcPr>
            <w:tcW w:w="1547" w:type="dxa"/>
            <w:tcBorders>
              <w:top w:val="single" w:sz="4" w:space="0" w:color="auto"/>
              <w:left w:val="single" w:sz="4" w:space="0" w:color="auto"/>
              <w:bottom w:val="single" w:sz="4" w:space="0" w:color="auto"/>
              <w:right w:val="single" w:sz="4" w:space="0" w:color="auto"/>
            </w:tcBorders>
            <w:noWrap/>
            <w:vAlign w:val="center"/>
          </w:tcPr>
          <w:p w:rsidR="00DC2F2A" w:rsidRPr="00EB2995" w:rsidRDefault="00DC2F2A" w:rsidP="00DC2F2A">
            <w:pPr>
              <w:jc w:val="right"/>
              <w:rPr>
                <w:rFonts w:cs="Calibri"/>
                <w:b/>
                <w:bCs/>
                <w:lang w:eastAsia="en-GB"/>
              </w:rPr>
            </w:pPr>
            <w:r w:rsidRPr="00EB2995">
              <w:rPr>
                <w:rFonts w:cs="Calibri"/>
                <w:b/>
                <w:bCs/>
                <w:lang w:eastAsia="en-GB"/>
              </w:rPr>
              <w:t>(66.7)</w:t>
            </w:r>
          </w:p>
        </w:tc>
        <w:tc>
          <w:tcPr>
            <w:tcW w:w="5245" w:type="dxa"/>
            <w:tcBorders>
              <w:top w:val="nil"/>
              <w:left w:val="single" w:sz="4" w:space="0" w:color="auto"/>
              <w:bottom w:val="single" w:sz="4" w:space="0" w:color="FFFFFF"/>
              <w:right w:val="nil"/>
            </w:tcBorders>
            <w:noWrap/>
            <w:vAlign w:val="center"/>
          </w:tcPr>
          <w:p w:rsidR="00DC2F2A" w:rsidRPr="00EB2995" w:rsidRDefault="00DC2F2A" w:rsidP="00DC2F2A">
            <w:pPr>
              <w:rPr>
                <w:rFonts w:cs="Calibri"/>
                <w:b/>
                <w:bCs/>
                <w:lang w:eastAsia="en-GB"/>
              </w:rPr>
            </w:pPr>
            <w:r w:rsidRPr="00EB2995">
              <w:rPr>
                <w:rFonts w:cs="Calibri"/>
                <w:b/>
                <w:bCs/>
                <w:lang w:eastAsia="en-GB"/>
              </w:rPr>
              <w:t>Total</w:t>
            </w:r>
          </w:p>
        </w:tc>
        <w:tc>
          <w:tcPr>
            <w:tcW w:w="1573" w:type="dxa"/>
            <w:gridSpan w:val="2"/>
            <w:tcBorders>
              <w:top w:val="single" w:sz="4" w:space="0" w:color="auto"/>
              <w:left w:val="single" w:sz="8" w:space="0" w:color="auto"/>
              <w:bottom w:val="single" w:sz="8" w:space="0" w:color="auto"/>
              <w:right w:val="single" w:sz="8" w:space="0" w:color="auto"/>
            </w:tcBorders>
            <w:noWrap/>
            <w:vAlign w:val="center"/>
          </w:tcPr>
          <w:p w:rsidR="00DC2F2A" w:rsidRPr="00EB2995" w:rsidRDefault="00DC2F2A" w:rsidP="00DC2F2A">
            <w:pPr>
              <w:jc w:val="right"/>
              <w:rPr>
                <w:rFonts w:cs="Calibri"/>
                <w:b/>
                <w:bCs/>
                <w:color w:val="000000"/>
                <w:lang w:eastAsia="en-GB"/>
              </w:rPr>
            </w:pPr>
            <w:r w:rsidRPr="00EB2995">
              <w:rPr>
                <w:rFonts w:cs="Calibri"/>
                <w:b/>
                <w:bCs/>
                <w:color w:val="000000"/>
              </w:rPr>
              <w:t>(72.0)</w:t>
            </w:r>
          </w:p>
        </w:tc>
      </w:tr>
    </w:tbl>
    <w:p w:rsidR="00C00DF8" w:rsidRPr="00EB2995" w:rsidRDefault="00C00DF8" w:rsidP="00C00DF8">
      <w:pPr>
        <w:ind w:right="709"/>
        <w:jc w:val="both"/>
        <w:rPr>
          <w:rFonts w:cs="Calibri"/>
        </w:rPr>
      </w:pPr>
      <w:r w:rsidRPr="001E3529">
        <w:rPr>
          <w:rFonts w:cs="Calibri"/>
        </w:rPr>
        <w:t>The authority has received a grant that have yet to be recognized as income as they have conditions attached to them that will require the monies to be returned to the giver. The balance at the year-end are as follows:</w:t>
      </w:r>
    </w:p>
    <w:tbl>
      <w:tblPr>
        <w:tblStyle w:val="TableGrid"/>
        <w:tblW w:w="0" w:type="auto"/>
        <w:tblInd w:w="993" w:type="dxa"/>
        <w:tblLayout w:type="fixed"/>
        <w:tblLook w:val="04A0" w:firstRow="1" w:lastRow="0" w:firstColumn="1" w:lastColumn="0" w:noHBand="0" w:noVBand="1"/>
        <w:tblCaption w:val="Grant receipts in advance"/>
        <w:tblDescription w:val="Table to show the £8.3m grant receipts in advance (revenue grant) for Section 31 in 2019/20. "/>
      </w:tblPr>
      <w:tblGrid>
        <w:gridCol w:w="1417"/>
        <w:gridCol w:w="5387"/>
        <w:gridCol w:w="1559"/>
      </w:tblGrid>
      <w:tr w:rsidR="00C00DF8" w:rsidRPr="00EB2995" w:rsidTr="00C00DF8">
        <w:trPr>
          <w:tblHeader/>
        </w:trPr>
        <w:tc>
          <w:tcPr>
            <w:tcW w:w="1417" w:type="dxa"/>
            <w:tcBorders>
              <w:top w:val="nil"/>
              <w:left w:val="nil"/>
              <w:bottom w:val="nil"/>
              <w:right w:val="nil"/>
            </w:tcBorders>
            <w:vAlign w:val="bottom"/>
          </w:tcPr>
          <w:p w:rsidR="00C00DF8" w:rsidRPr="00EB2995" w:rsidRDefault="00C00DF8" w:rsidP="00D934C4">
            <w:pPr>
              <w:jc w:val="right"/>
              <w:rPr>
                <w:rFonts w:cs="Calibri"/>
                <w:b/>
                <w:sz w:val="22"/>
                <w:szCs w:val="22"/>
                <w:u w:val="single"/>
              </w:rPr>
            </w:pPr>
            <w:r w:rsidRPr="00EB2995">
              <w:rPr>
                <w:rFonts w:cs="Calibri"/>
                <w:b/>
                <w:bCs/>
                <w:sz w:val="22"/>
                <w:szCs w:val="22"/>
              </w:rPr>
              <w:t>2018/19</w:t>
            </w:r>
          </w:p>
        </w:tc>
        <w:tc>
          <w:tcPr>
            <w:tcW w:w="5387" w:type="dxa"/>
            <w:tcBorders>
              <w:top w:val="nil"/>
              <w:left w:val="nil"/>
              <w:bottom w:val="nil"/>
              <w:right w:val="nil"/>
            </w:tcBorders>
          </w:tcPr>
          <w:p w:rsidR="00C00DF8" w:rsidRPr="00EB2995" w:rsidRDefault="00C00DF8" w:rsidP="00D934C4">
            <w:pPr>
              <w:ind w:right="709"/>
              <w:jc w:val="both"/>
              <w:rPr>
                <w:rFonts w:cs="Calibri"/>
                <w:b/>
                <w:sz w:val="22"/>
                <w:szCs w:val="22"/>
              </w:rPr>
            </w:pPr>
            <w:r w:rsidRPr="00EB2995">
              <w:rPr>
                <w:rFonts w:cs="Calibri"/>
                <w:b/>
                <w:sz w:val="22"/>
                <w:szCs w:val="22"/>
              </w:rPr>
              <w:t>Current Liabilities</w:t>
            </w:r>
          </w:p>
        </w:tc>
        <w:tc>
          <w:tcPr>
            <w:tcW w:w="1559" w:type="dxa"/>
            <w:tcBorders>
              <w:top w:val="nil"/>
              <w:left w:val="nil"/>
              <w:bottom w:val="nil"/>
              <w:right w:val="nil"/>
            </w:tcBorders>
            <w:vAlign w:val="bottom"/>
          </w:tcPr>
          <w:p w:rsidR="00C00DF8" w:rsidRPr="00EB2995" w:rsidRDefault="00C00DF8" w:rsidP="00D934C4">
            <w:pPr>
              <w:tabs>
                <w:tab w:val="left" w:pos="0"/>
              </w:tabs>
              <w:ind w:right="29"/>
              <w:jc w:val="right"/>
              <w:rPr>
                <w:rFonts w:cs="Calibri"/>
                <w:b/>
                <w:sz w:val="22"/>
                <w:szCs w:val="22"/>
              </w:rPr>
            </w:pPr>
            <w:r w:rsidRPr="00EB2995">
              <w:rPr>
                <w:rFonts w:cs="Calibri"/>
                <w:b/>
                <w:bCs/>
                <w:sz w:val="22"/>
                <w:szCs w:val="22"/>
              </w:rPr>
              <w:t xml:space="preserve">2019/20 </w:t>
            </w:r>
          </w:p>
        </w:tc>
      </w:tr>
      <w:tr w:rsidR="00C00DF8" w:rsidRPr="00EB2995" w:rsidTr="00C00DF8">
        <w:trPr>
          <w:tblHeader/>
        </w:trPr>
        <w:tc>
          <w:tcPr>
            <w:tcW w:w="1417" w:type="dxa"/>
            <w:tcBorders>
              <w:top w:val="nil"/>
              <w:left w:val="nil"/>
              <w:bottom w:val="nil"/>
              <w:right w:val="nil"/>
            </w:tcBorders>
            <w:vAlign w:val="center"/>
          </w:tcPr>
          <w:p w:rsidR="00C00DF8" w:rsidRPr="00EB2995" w:rsidRDefault="00C00DF8" w:rsidP="00D934C4">
            <w:pPr>
              <w:jc w:val="right"/>
              <w:rPr>
                <w:rFonts w:cs="Calibri"/>
                <w:b/>
                <w:sz w:val="22"/>
                <w:szCs w:val="22"/>
              </w:rPr>
            </w:pPr>
            <w:r w:rsidRPr="00EB2995">
              <w:rPr>
                <w:rFonts w:cs="Calibri"/>
                <w:b/>
                <w:sz w:val="22"/>
                <w:szCs w:val="22"/>
              </w:rPr>
              <w:t>£m</w:t>
            </w:r>
          </w:p>
        </w:tc>
        <w:tc>
          <w:tcPr>
            <w:tcW w:w="5387" w:type="dxa"/>
            <w:tcBorders>
              <w:top w:val="nil"/>
              <w:left w:val="nil"/>
              <w:bottom w:val="nil"/>
              <w:right w:val="nil"/>
            </w:tcBorders>
          </w:tcPr>
          <w:p w:rsidR="00C00DF8" w:rsidRPr="00EB2995" w:rsidRDefault="00C00DF8" w:rsidP="00D934C4">
            <w:pPr>
              <w:ind w:right="709"/>
              <w:jc w:val="both"/>
              <w:rPr>
                <w:rFonts w:cs="Calibri"/>
                <w:b/>
                <w:sz w:val="22"/>
                <w:szCs w:val="22"/>
              </w:rPr>
            </w:pPr>
          </w:p>
        </w:tc>
        <w:tc>
          <w:tcPr>
            <w:tcW w:w="1559" w:type="dxa"/>
            <w:tcBorders>
              <w:top w:val="nil"/>
              <w:left w:val="nil"/>
              <w:bottom w:val="nil"/>
              <w:right w:val="nil"/>
            </w:tcBorders>
            <w:vAlign w:val="center"/>
          </w:tcPr>
          <w:p w:rsidR="00C00DF8" w:rsidRPr="00EB2995" w:rsidRDefault="00C00DF8" w:rsidP="00D934C4">
            <w:pPr>
              <w:jc w:val="right"/>
              <w:rPr>
                <w:rFonts w:cs="Calibri"/>
                <w:b/>
                <w:sz w:val="22"/>
                <w:szCs w:val="22"/>
              </w:rPr>
            </w:pPr>
            <w:r w:rsidRPr="00EB2995">
              <w:rPr>
                <w:rFonts w:cs="Calibri"/>
                <w:b/>
                <w:sz w:val="22"/>
                <w:szCs w:val="22"/>
              </w:rPr>
              <w:t xml:space="preserve"> £m</w:t>
            </w:r>
          </w:p>
        </w:tc>
      </w:tr>
      <w:tr w:rsidR="00C00DF8" w:rsidRPr="00EB2995" w:rsidTr="00D934C4">
        <w:tc>
          <w:tcPr>
            <w:tcW w:w="1417" w:type="dxa"/>
            <w:tcBorders>
              <w:top w:val="nil"/>
              <w:left w:val="nil"/>
              <w:bottom w:val="single" w:sz="4" w:space="0" w:color="auto"/>
              <w:right w:val="nil"/>
            </w:tcBorders>
          </w:tcPr>
          <w:p w:rsidR="00C00DF8" w:rsidRPr="00EB2995" w:rsidRDefault="00C00DF8" w:rsidP="00D934C4">
            <w:pPr>
              <w:ind w:right="709"/>
              <w:jc w:val="both"/>
              <w:rPr>
                <w:rFonts w:cs="Calibri"/>
                <w:b/>
                <w:sz w:val="22"/>
                <w:szCs w:val="22"/>
              </w:rPr>
            </w:pPr>
          </w:p>
        </w:tc>
        <w:tc>
          <w:tcPr>
            <w:tcW w:w="5387" w:type="dxa"/>
            <w:tcBorders>
              <w:top w:val="nil"/>
              <w:left w:val="nil"/>
              <w:bottom w:val="nil"/>
              <w:right w:val="nil"/>
            </w:tcBorders>
          </w:tcPr>
          <w:p w:rsidR="00C00DF8" w:rsidRPr="00EB2995" w:rsidRDefault="00C00DF8" w:rsidP="00D934C4">
            <w:pPr>
              <w:ind w:right="709"/>
              <w:rPr>
                <w:rFonts w:cs="Calibri"/>
                <w:b/>
                <w:sz w:val="22"/>
                <w:szCs w:val="22"/>
              </w:rPr>
            </w:pPr>
            <w:r w:rsidRPr="00EB2995">
              <w:rPr>
                <w:rFonts w:cs="Calibri"/>
                <w:b/>
                <w:sz w:val="22"/>
                <w:szCs w:val="22"/>
              </w:rPr>
              <w:t>Grant receipts in advance (Revenue grant):</w:t>
            </w:r>
          </w:p>
        </w:tc>
        <w:tc>
          <w:tcPr>
            <w:tcW w:w="1559" w:type="dxa"/>
            <w:tcBorders>
              <w:top w:val="nil"/>
              <w:left w:val="nil"/>
              <w:bottom w:val="single" w:sz="4" w:space="0" w:color="auto"/>
              <w:right w:val="nil"/>
            </w:tcBorders>
          </w:tcPr>
          <w:p w:rsidR="00C00DF8" w:rsidRPr="00EB2995" w:rsidRDefault="00C00DF8" w:rsidP="00D934C4">
            <w:pPr>
              <w:ind w:right="709"/>
              <w:jc w:val="both"/>
              <w:rPr>
                <w:rFonts w:cs="Calibri"/>
                <w:b/>
                <w:sz w:val="22"/>
                <w:szCs w:val="22"/>
              </w:rPr>
            </w:pPr>
          </w:p>
        </w:tc>
      </w:tr>
      <w:tr w:rsidR="00C00DF8" w:rsidRPr="00EB2995" w:rsidTr="00D934C4">
        <w:tc>
          <w:tcPr>
            <w:tcW w:w="1417" w:type="dxa"/>
            <w:tcBorders>
              <w:top w:val="single" w:sz="4" w:space="0" w:color="auto"/>
              <w:right w:val="single" w:sz="4" w:space="0" w:color="auto"/>
            </w:tcBorders>
          </w:tcPr>
          <w:p w:rsidR="00C00DF8" w:rsidRPr="00EB2995" w:rsidRDefault="00C00DF8" w:rsidP="00D934C4">
            <w:pPr>
              <w:tabs>
                <w:tab w:val="left" w:pos="29"/>
              </w:tabs>
              <w:jc w:val="right"/>
              <w:rPr>
                <w:rFonts w:cs="Calibri"/>
                <w:sz w:val="22"/>
                <w:szCs w:val="22"/>
              </w:rPr>
            </w:pPr>
            <w:r w:rsidRPr="00EB2995">
              <w:rPr>
                <w:rFonts w:cs="Calibri"/>
                <w:sz w:val="22"/>
                <w:szCs w:val="22"/>
              </w:rPr>
              <w:t>(0.0)</w:t>
            </w:r>
          </w:p>
        </w:tc>
        <w:tc>
          <w:tcPr>
            <w:tcW w:w="5387" w:type="dxa"/>
            <w:tcBorders>
              <w:top w:val="nil"/>
              <w:left w:val="single" w:sz="4" w:space="0" w:color="auto"/>
              <w:bottom w:val="nil"/>
              <w:right w:val="single" w:sz="4" w:space="0" w:color="auto"/>
            </w:tcBorders>
          </w:tcPr>
          <w:p w:rsidR="00C00DF8" w:rsidRPr="00EB2995" w:rsidRDefault="00C00DF8" w:rsidP="00D934C4">
            <w:pPr>
              <w:ind w:right="709"/>
              <w:jc w:val="both"/>
              <w:rPr>
                <w:rFonts w:cs="Calibri"/>
                <w:sz w:val="22"/>
                <w:szCs w:val="22"/>
              </w:rPr>
            </w:pPr>
            <w:r w:rsidRPr="00EB2995">
              <w:rPr>
                <w:rFonts w:cs="Calibri"/>
                <w:sz w:val="22"/>
                <w:szCs w:val="22"/>
              </w:rPr>
              <w:t>Section 31</w:t>
            </w:r>
          </w:p>
        </w:tc>
        <w:tc>
          <w:tcPr>
            <w:tcW w:w="1559" w:type="dxa"/>
            <w:tcBorders>
              <w:top w:val="single" w:sz="4" w:space="0" w:color="auto"/>
              <w:left w:val="single" w:sz="4" w:space="0" w:color="auto"/>
            </w:tcBorders>
          </w:tcPr>
          <w:p w:rsidR="00C00DF8" w:rsidRPr="00EB2995" w:rsidRDefault="00C00DF8" w:rsidP="00D934C4">
            <w:pPr>
              <w:tabs>
                <w:tab w:val="left" w:pos="0"/>
              </w:tabs>
              <w:ind w:right="-112"/>
              <w:jc w:val="right"/>
              <w:rPr>
                <w:rFonts w:cs="Calibri"/>
                <w:sz w:val="22"/>
                <w:szCs w:val="22"/>
              </w:rPr>
            </w:pPr>
            <w:r w:rsidRPr="00EB2995">
              <w:rPr>
                <w:rFonts w:cs="Calibri"/>
                <w:sz w:val="22"/>
                <w:szCs w:val="22"/>
              </w:rPr>
              <w:t>(8.3)</w:t>
            </w:r>
          </w:p>
        </w:tc>
      </w:tr>
      <w:tr w:rsidR="00C00DF8" w:rsidRPr="00EB2995" w:rsidTr="00D934C4">
        <w:tc>
          <w:tcPr>
            <w:tcW w:w="1417" w:type="dxa"/>
            <w:tcBorders>
              <w:right w:val="single" w:sz="4" w:space="0" w:color="auto"/>
            </w:tcBorders>
          </w:tcPr>
          <w:p w:rsidR="00C00DF8" w:rsidRPr="00EB2995" w:rsidRDefault="00C00DF8" w:rsidP="00D934C4">
            <w:pPr>
              <w:tabs>
                <w:tab w:val="left" w:pos="29"/>
              </w:tabs>
              <w:jc w:val="right"/>
              <w:rPr>
                <w:rFonts w:cs="Calibri"/>
                <w:b/>
                <w:sz w:val="22"/>
                <w:szCs w:val="22"/>
              </w:rPr>
            </w:pPr>
            <w:r w:rsidRPr="00EB2995">
              <w:rPr>
                <w:rFonts w:cs="Calibri"/>
                <w:b/>
                <w:sz w:val="22"/>
                <w:szCs w:val="22"/>
              </w:rPr>
              <w:t>(0.0)</w:t>
            </w:r>
          </w:p>
        </w:tc>
        <w:tc>
          <w:tcPr>
            <w:tcW w:w="5387" w:type="dxa"/>
            <w:tcBorders>
              <w:top w:val="nil"/>
              <w:left w:val="single" w:sz="4" w:space="0" w:color="auto"/>
              <w:bottom w:val="nil"/>
              <w:right w:val="single" w:sz="4" w:space="0" w:color="auto"/>
            </w:tcBorders>
          </w:tcPr>
          <w:p w:rsidR="00C00DF8" w:rsidRPr="00EB2995" w:rsidRDefault="00C00DF8" w:rsidP="00D934C4">
            <w:pPr>
              <w:ind w:right="709"/>
              <w:jc w:val="both"/>
              <w:rPr>
                <w:rFonts w:cs="Calibri"/>
                <w:b/>
                <w:sz w:val="22"/>
                <w:szCs w:val="22"/>
              </w:rPr>
            </w:pPr>
          </w:p>
        </w:tc>
        <w:tc>
          <w:tcPr>
            <w:tcW w:w="1559" w:type="dxa"/>
            <w:tcBorders>
              <w:left w:val="single" w:sz="4" w:space="0" w:color="auto"/>
            </w:tcBorders>
          </w:tcPr>
          <w:p w:rsidR="00C00DF8" w:rsidRPr="00EB2995" w:rsidRDefault="00C00DF8" w:rsidP="00D934C4">
            <w:pPr>
              <w:tabs>
                <w:tab w:val="left" w:pos="0"/>
              </w:tabs>
              <w:ind w:right="-112"/>
              <w:jc w:val="right"/>
              <w:rPr>
                <w:rFonts w:cs="Calibri"/>
                <w:b/>
                <w:sz w:val="22"/>
                <w:szCs w:val="22"/>
              </w:rPr>
            </w:pPr>
            <w:r w:rsidRPr="00EB2995">
              <w:rPr>
                <w:rFonts w:cs="Calibri"/>
                <w:b/>
                <w:sz w:val="22"/>
                <w:szCs w:val="22"/>
              </w:rPr>
              <w:t>(8.3)</w:t>
            </w:r>
          </w:p>
        </w:tc>
      </w:tr>
    </w:tbl>
    <w:p w:rsidR="00D4571A" w:rsidRDefault="00D4571A" w:rsidP="00C00DF8">
      <w:pPr>
        <w:pStyle w:val="Heading3"/>
      </w:pPr>
    </w:p>
    <w:p w:rsidR="00D4571A" w:rsidRDefault="00D4571A">
      <w:pPr>
        <w:rPr>
          <w:rFonts w:asciiTheme="majorHAnsi" w:eastAsiaTheme="majorEastAsia" w:hAnsiTheme="majorHAnsi" w:cstheme="majorBidi"/>
          <w:color w:val="1F4D78" w:themeColor="accent1" w:themeShade="7F"/>
          <w:sz w:val="24"/>
          <w:szCs w:val="24"/>
        </w:rPr>
      </w:pPr>
      <w:r>
        <w:br w:type="page"/>
      </w:r>
    </w:p>
    <w:p w:rsidR="00F72906" w:rsidRDefault="00F72906" w:rsidP="00C00DF8">
      <w:pPr>
        <w:pStyle w:val="Heading3"/>
      </w:pPr>
      <w:r>
        <w:lastRenderedPageBreak/>
        <w:t>Note 2</w:t>
      </w:r>
      <w:r w:rsidR="007058D0">
        <w:t>0</w:t>
      </w:r>
      <w:r>
        <w:t xml:space="preserve"> – Capital Grants Unapplied</w:t>
      </w:r>
    </w:p>
    <w:tbl>
      <w:tblPr>
        <w:tblW w:w="8931" w:type="dxa"/>
        <w:tblInd w:w="567" w:type="dxa"/>
        <w:tblLook w:val="04A0" w:firstRow="1" w:lastRow="0" w:firstColumn="1" w:lastColumn="0" w:noHBand="0" w:noVBand="1"/>
      </w:tblPr>
      <w:tblGrid>
        <w:gridCol w:w="1560"/>
        <w:gridCol w:w="5811"/>
        <w:gridCol w:w="1560"/>
      </w:tblGrid>
      <w:tr w:rsidR="00C00DF8" w:rsidRPr="00EB2995" w:rsidTr="00D934C4">
        <w:trPr>
          <w:trHeight w:val="300"/>
        </w:trPr>
        <w:tc>
          <w:tcPr>
            <w:tcW w:w="1560" w:type="dxa"/>
            <w:tcBorders>
              <w:top w:val="nil"/>
              <w:left w:val="nil"/>
              <w:bottom w:val="nil"/>
              <w:right w:val="nil"/>
            </w:tcBorders>
            <w:shd w:val="clear" w:color="auto" w:fill="auto"/>
            <w:noWrap/>
            <w:vAlign w:val="bottom"/>
            <w:hideMark/>
          </w:tcPr>
          <w:p w:rsidR="00C00DF8" w:rsidRPr="00EB2995" w:rsidRDefault="00C00DF8" w:rsidP="00D934C4">
            <w:pPr>
              <w:jc w:val="right"/>
              <w:rPr>
                <w:rFonts w:cs="Calibri"/>
                <w:b/>
                <w:color w:val="000000"/>
                <w:lang w:eastAsia="en-GB"/>
              </w:rPr>
            </w:pPr>
            <w:r w:rsidRPr="00EB2995">
              <w:rPr>
                <w:rFonts w:cs="Calibri"/>
                <w:b/>
                <w:color w:val="000000"/>
                <w:lang w:eastAsia="en-GB"/>
              </w:rPr>
              <w:t>2018/19</w:t>
            </w:r>
          </w:p>
        </w:tc>
        <w:tc>
          <w:tcPr>
            <w:tcW w:w="5811" w:type="dxa"/>
            <w:tcBorders>
              <w:top w:val="nil"/>
              <w:left w:val="nil"/>
              <w:bottom w:val="nil"/>
              <w:right w:val="nil"/>
            </w:tcBorders>
            <w:shd w:val="clear" w:color="auto" w:fill="auto"/>
            <w:noWrap/>
            <w:vAlign w:val="bottom"/>
            <w:hideMark/>
          </w:tcPr>
          <w:p w:rsidR="00C00DF8" w:rsidRPr="00EB2995" w:rsidRDefault="00C00DF8" w:rsidP="00D934C4">
            <w:pPr>
              <w:jc w:val="right"/>
              <w:rPr>
                <w:rFonts w:cs="Calibri"/>
                <w:b/>
                <w:color w:val="000000"/>
                <w:lang w:eastAsia="en-GB"/>
              </w:rPr>
            </w:pPr>
          </w:p>
        </w:tc>
        <w:tc>
          <w:tcPr>
            <w:tcW w:w="1560" w:type="dxa"/>
            <w:tcBorders>
              <w:top w:val="nil"/>
              <w:left w:val="nil"/>
              <w:bottom w:val="nil"/>
              <w:right w:val="nil"/>
            </w:tcBorders>
            <w:shd w:val="clear" w:color="auto" w:fill="auto"/>
            <w:noWrap/>
            <w:vAlign w:val="bottom"/>
            <w:hideMark/>
          </w:tcPr>
          <w:p w:rsidR="00C00DF8" w:rsidRPr="00EB2995" w:rsidRDefault="00C00DF8" w:rsidP="00D934C4">
            <w:pPr>
              <w:jc w:val="right"/>
              <w:rPr>
                <w:rFonts w:cs="Calibri"/>
                <w:b/>
                <w:color w:val="000000"/>
                <w:lang w:eastAsia="en-GB"/>
              </w:rPr>
            </w:pPr>
            <w:r w:rsidRPr="00EB2995">
              <w:rPr>
                <w:rFonts w:cs="Calibri"/>
                <w:b/>
                <w:color w:val="000000"/>
                <w:lang w:eastAsia="en-GB"/>
              </w:rPr>
              <w:t>2019/20</w:t>
            </w:r>
          </w:p>
        </w:tc>
      </w:tr>
      <w:tr w:rsidR="00C00DF8" w:rsidRPr="00EB2995" w:rsidTr="00D934C4">
        <w:trPr>
          <w:trHeight w:val="300"/>
        </w:trPr>
        <w:tc>
          <w:tcPr>
            <w:tcW w:w="1560" w:type="dxa"/>
            <w:tcBorders>
              <w:top w:val="single" w:sz="4" w:space="0" w:color="auto"/>
              <w:left w:val="single" w:sz="4" w:space="0" w:color="auto"/>
              <w:bottom w:val="nil"/>
              <w:right w:val="single" w:sz="4" w:space="0" w:color="auto"/>
            </w:tcBorders>
            <w:shd w:val="clear" w:color="auto" w:fill="auto"/>
            <w:noWrap/>
            <w:vAlign w:val="bottom"/>
            <w:hideMark/>
          </w:tcPr>
          <w:p w:rsidR="00C00DF8" w:rsidRPr="00EB2995" w:rsidRDefault="00C00DF8" w:rsidP="00D934C4">
            <w:pPr>
              <w:jc w:val="right"/>
              <w:rPr>
                <w:rFonts w:cs="Calibri"/>
                <w:b/>
                <w:color w:val="000000"/>
                <w:lang w:eastAsia="en-GB"/>
              </w:rPr>
            </w:pPr>
            <w:r w:rsidRPr="00EB2995">
              <w:rPr>
                <w:rFonts w:cs="Calibri"/>
                <w:b/>
                <w:color w:val="000000"/>
                <w:lang w:eastAsia="en-GB"/>
              </w:rPr>
              <w:t>£m</w:t>
            </w:r>
          </w:p>
        </w:tc>
        <w:tc>
          <w:tcPr>
            <w:tcW w:w="5811" w:type="dxa"/>
            <w:tcBorders>
              <w:top w:val="nil"/>
              <w:left w:val="nil"/>
              <w:bottom w:val="nil"/>
              <w:right w:val="nil"/>
            </w:tcBorders>
            <w:shd w:val="clear" w:color="auto" w:fill="auto"/>
            <w:noWrap/>
            <w:vAlign w:val="bottom"/>
            <w:hideMark/>
          </w:tcPr>
          <w:p w:rsidR="00C00DF8" w:rsidRPr="00EB2995" w:rsidRDefault="00C00DF8" w:rsidP="00D934C4">
            <w:pPr>
              <w:rPr>
                <w:rFonts w:cs="Calibri"/>
                <w:b/>
                <w:color w:val="000000"/>
                <w:lang w:eastAsia="en-GB"/>
              </w:rPr>
            </w:pPr>
            <w:r w:rsidRPr="00EB2995">
              <w:rPr>
                <w:rFonts w:cs="Calibri"/>
                <w:b/>
                <w:color w:val="000000"/>
                <w:lang w:eastAsia="en-GB"/>
              </w:rPr>
              <w:t>Capital Grants Unapplied</w:t>
            </w:r>
          </w:p>
        </w:tc>
        <w:tc>
          <w:tcPr>
            <w:tcW w:w="1560" w:type="dxa"/>
            <w:tcBorders>
              <w:top w:val="single" w:sz="4" w:space="0" w:color="auto"/>
              <w:left w:val="single" w:sz="4" w:space="0" w:color="auto"/>
              <w:bottom w:val="nil"/>
              <w:right w:val="single" w:sz="4" w:space="0" w:color="auto"/>
            </w:tcBorders>
            <w:shd w:val="clear" w:color="auto" w:fill="auto"/>
            <w:noWrap/>
            <w:vAlign w:val="bottom"/>
            <w:hideMark/>
          </w:tcPr>
          <w:p w:rsidR="00C00DF8" w:rsidRPr="00EB2995" w:rsidRDefault="00C00DF8" w:rsidP="00D934C4">
            <w:pPr>
              <w:jc w:val="right"/>
              <w:rPr>
                <w:rFonts w:cs="Calibri"/>
                <w:b/>
                <w:color w:val="000000"/>
                <w:lang w:eastAsia="en-GB"/>
              </w:rPr>
            </w:pPr>
            <w:r w:rsidRPr="00EB2995">
              <w:rPr>
                <w:rFonts w:cs="Calibri"/>
                <w:b/>
                <w:color w:val="000000"/>
                <w:lang w:eastAsia="en-GB"/>
              </w:rPr>
              <w:t>£m</w:t>
            </w:r>
          </w:p>
        </w:tc>
      </w:tr>
      <w:tr w:rsidR="00C00DF8" w:rsidRPr="00EB2995" w:rsidTr="00D934C4">
        <w:trPr>
          <w:trHeight w:val="300"/>
        </w:trPr>
        <w:tc>
          <w:tcPr>
            <w:tcW w:w="1560" w:type="dxa"/>
            <w:tcBorders>
              <w:top w:val="nil"/>
              <w:left w:val="single" w:sz="4" w:space="0" w:color="auto"/>
              <w:bottom w:val="nil"/>
              <w:right w:val="single" w:sz="4" w:space="0" w:color="auto"/>
            </w:tcBorders>
            <w:shd w:val="clear" w:color="auto" w:fill="auto"/>
            <w:noWrap/>
            <w:vAlign w:val="bottom"/>
            <w:hideMark/>
          </w:tcPr>
          <w:p w:rsidR="00C00DF8" w:rsidRPr="00EB2995" w:rsidRDefault="00C00DF8" w:rsidP="00D934C4">
            <w:pPr>
              <w:jc w:val="right"/>
              <w:rPr>
                <w:rFonts w:cs="Calibri"/>
                <w:color w:val="000000"/>
                <w:lang w:eastAsia="en-GB"/>
              </w:rPr>
            </w:pPr>
            <w:r w:rsidRPr="00EB2995">
              <w:rPr>
                <w:rFonts w:cs="Calibri"/>
                <w:color w:val="000000"/>
                <w:lang w:eastAsia="en-GB"/>
              </w:rPr>
              <w:t>(35.9)</w:t>
            </w:r>
          </w:p>
        </w:tc>
        <w:tc>
          <w:tcPr>
            <w:tcW w:w="5811" w:type="dxa"/>
            <w:tcBorders>
              <w:top w:val="nil"/>
              <w:left w:val="nil"/>
              <w:bottom w:val="nil"/>
              <w:right w:val="nil"/>
            </w:tcBorders>
            <w:shd w:val="clear" w:color="auto" w:fill="auto"/>
            <w:noWrap/>
            <w:vAlign w:val="bottom"/>
            <w:hideMark/>
          </w:tcPr>
          <w:p w:rsidR="00C00DF8" w:rsidRPr="00EB2995" w:rsidRDefault="00C00DF8" w:rsidP="00D934C4">
            <w:pPr>
              <w:rPr>
                <w:rFonts w:cs="Calibri"/>
                <w:color w:val="000000"/>
                <w:lang w:eastAsia="en-GB"/>
              </w:rPr>
            </w:pPr>
            <w:r w:rsidRPr="00EB2995">
              <w:rPr>
                <w:rFonts w:cs="Calibri"/>
                <w:color w:val="000000"/>
                <w:lang w:eastAsia="en-GB"/>
              </w:rPr>
              <w:t>Basic Needs- Primary schools</w:t>
            </w:r>
          </w:p>
        </w:tc>
        <w:tc>
          <w:tcPr>
            <w:tcW w:w="1560" w:type="dxa"/>
            <w:tcBorders>
              <w:top w:val="nil"/>
              <w:left w:val="single" w:sz="4" w:space="0" w:color="auto"/>
              <w:bottom w:val="nil"/>
              <w:right w:val="single" w:sz="4" w:space="0" w:color="auto"/>
            </w:tcBorders>
            <w:shd w:val="clear" w:color="auto" w:fill="auto"/>
            <w:noWrap/>
            <w:vAlign w:val="center"/>
          </w:tcPr>
          <w:p w:rsidR="00C00DF8" w:rsidRPr="00EB2995" w:rsidRDefault="00C00DF8" w:rsidP="00D934C4">
            <w:pPr>
              <w:jc w:val="right"/>
              <w:rPr>
                <w:rFonts w:cs="Calibri"/>
                <w:color w:val="000000"/>
                <w:lang w:eastAsia="en-GB"/>
              </w:rPr>
            </w:pPr>
            <w:r w:rsidRPr="00EB2995">
              <w:rPr>
                <w:rFonts w:cs="Calibri"/>
                <w:color w:val="000000"/>
              </w:rPr>
              <w:t>(35.7)</w:t>
            </w:r>
          </w:p>
        </w:tc>
      </w:tr>
      <w:tr w:rsidR="00C00DF8" w:rsidRPr="00EB2995" w:rsidTr="00D934C4">
        <w:trPr>
          <w:trHeight w:val="300"/>
        </w:trPr>
        <w:tc>
          <w:tcPr>
            <w:tcW w:w="1560" w:type="dxa"/>
            <w:tcBorders>
              <w:top w:val="nil"/>
              <w:left w:val="single" w:sz="4" w:space="0" w:color="auto"/>
              <w:bottom w:val="nil"/>
              <w:right w:val="single" w:sz="4" w:space="0" w:color="auto"/>
            </w:tcBorders>
            <w:shd w:val="clear" w:color="auto" w:fill="auto"/>
            <w:noWrap/>
            <w:vAlign w:val="bottom"/>
            <w:hideMark/>
          </w:tcPr>
          <w:p w:rsidR="00C00DF8" w:rsidRPr="00EB2995" w:rsidRDefault="00C00DF8" w:rsidP="00D934C4">
            <w:pPr>
              <w:jc w:val="right"/>
              <w:rPr>
                <w:rFonts w:cs="Calibri"/>
                <w:color w:val="000000"/>
                <w:lang w:eastAsia="en-GB"/>
              </w:rPr>
            </w:pPr>
            <w:r w:rsidRPr="00EB2995">
              <w:rPr>
                <w:rFonts w:cs="Calibri"/>
                <w:color w:val="000000"/>
                <w:lang w:eastAsia="en-GB"/>
              </w:rPr>
              <w:t>(8.5)</w:t>
            </w:r>
          </w:p>
        </w:tc>
        <w:tc>
          <w:tcPr>
            <w:tcW w:w="5811" w:type="dxa"/>
            <w:tcBorders>
              <w:top w:val="nil"/>
              <w:left w:val="nil"/>
              <w:bottom w:val="nil"/>
              <w:right w:val="nil"/>
            </w:tcBorders>
            <w:shd w:val="clear" w:color="auto" w:fill="auto"/>
            <w:noWrap/>
            <w:vAlign w:val="bottom"/>
            <w:hideMark/>
          </w:tcPr>
          <w:p w:rsidR="00C00DF8" w:rsidRPr="00EB2995" w:rsidRDefault="00C00DF8" w:rsidP="00D934C4">
            <w:pPr>
              <w:rPr>
                <w:rFonts w:cs="Calibri"/>
                <w:color w:val="000000"/>
                <w:lang w:eastAsia="en-GB"/>
              </w:rPr>
            </w:pPr>
            <w:r w:rsidRPr="00EB2995">
              <w:rPr>
                <w:rFonts w:cs="Calibri"/>
                <w:color w:val="000000"/>
                <w:lang w:eastAsia="en-GB"/>
              </w:rPr>
              <w:t>School Condition Grant</w:t>
            </w:r>
          </w:p>
        </w:tc>
        <w:tc>
          <w:tcPr>
            <w:tcW w:w="1560" w:type="dxa"/>
            <w:tcBorders>
              <w:top w:val="nil"/>
              <w:left w:val="single" w:sz="4" w:space="0" w:color="auto"/>
              <w:bottom w:val="nil"/>
              <w:right w:val="single" w:sz="4" w:space="0" w:color="auto"/>
            </w:tcBorders>
            <w:shd w:val="clear" w:color="auto" w:fill="auto"/>
            <w:noWrap/>
            <w:vAlign w:val="center"/>
          </w:tcPr>
          <w:p w:rsidR="00C00DF8" w:rsidRPr="00EB2995" w:rsidRDefault="00C00DF8" w:rsidP="00D934C4">
            <w:pPr>
              <w:jc w:val="right"/>
              <w:rPr>
                <w:rFonts w:cs="Calibri"/>
                <w:color w:val="000000"/>
                <w:lang w:eastAsia="en-GB"/>
              </w:rPr>
            </w:pPr>
            <w:r w:rsidRPr="00EB2995">
              <w:rPr>
                <w:rFonts w:cs="Calibri"/>
                <w:color w:val="000000"/>
              </w:rPr>
              <w:t>(5.7)</w:t>
            </w:r>
          </w:p>
        </w:tc>
      </w:tr>
      <w:tr w:rsidR="00C00DF8" w:rsidRPr="00EB2995" w:rsidTr="00D934C4">
        <w:trPr>
          <w:trHeight w:val="300"/>
        </w:trPr>
        <w:tc>
          <w:tcPr>
            <w:tcW w:w="1560" w:type="dxa"/>
            <w:tcBorders>
              <w:top w:val="nil"/>
              <w:left w:val="single" w:sz="4" w:space="0" w:color="auto"/>
              <w:bottom w:val="nil"/>
              <w:right w:val="single" w:sz="4" w:space="0" w:color="auto"/>
            </w:tcBorders>
            <w:shd w:val="clear" w:color="auto" w:fill="auto"/>
            <w:noWrap/>
            <w:vAlign w:val="bottom"/>
            <w:hideMark/>
          </w:tcPr>
          <w:p w:rsidR="00C00DF8" w:rsidRPr="00EB2995" w:rsidRDefault="00C00DF8" w:rsidP="00D934C4">
            <w:pPr>
              <w:ind w:left="601" w:hanging="601"/>
              <w:jc w:val="right"/>
              <w:rPr>
                <w:rFonts w:cs="Calibri"/>
                <w:color w:val="000000"/>
                <w:lang w:eastAsia="en-GB"/>
              </w:rPr>
            </w:pPr>
            <w:r w:rsidRPr="00EB2995">
              <w:rPr>
                <w:rFonts w:cs="Calibri"/>
                <w:color w:val="000000"/>
                <w:lang w:eastAsia="en-GB"/>
              </w:rPr>
              <w:t>(6.8)</w:t>
            </w:r>
          </w:p>
        </w:tc>
        <w:tc>
          <w:tcPr>
            <w:tcW w:w="5811" w:type="dxa"/>
            <w:tcBorders>
              <w:top w:val="nil"/>
              <w:left w:val="nil"/>
              <w:bottom w:val="nil"/>
              <w:right w:val="nil"/>
            </w:tcBorders>
            <w:shd w:val="clear" w:color="auto" w:fill="auto"/>
            <w:noWrap/>
            <w:vAlign w:val="bottom"/>
            <w:hideMark/>
          </w:tcPr>
          <w:p w:rsidR="00C00DF8" w:rsidRPr="00EB2995" w:rsidRDefault="00C00DF8" w:rsidP="00D934C4">
            <w:pPr>
              <w:rPr>
                <w:rFonts w:cs="Calibri"/>
                <w:color w:val="000000"/>
                <w:lang w:eastAsia="en-GB"/>
              </w:rPr>
            </w:pPr>
            <w:r w:rsidRPr="00EB2995">
              <w:rPr>
                <w:rFonts w:cs="Calibri"/>
                <w:color w:val="000000"/>
                <w:lang w:eastAsia="en-GB"/>
              </w:rPr>
              <w:t>Greater London Authority - Outer London Fund</w:t>
            </w:r>
          </w:p>
        </w:tc>
        <w:tc>
          <w:tcPr>
            <w:tcW w:w="1560" w:type="dxa"/>
            <w:tcBorders>
              <w:top w:val="nil"/>
              <w:left w:val="single" w:sz="4" w:space="0" w:color="auto"/>
              <w:bottom w:val="nil"/>
              <w:right w:val="single" w:sz="4" w:space="0" w:color="auto"/>
            </w:tcBorders>
            <w:shd w:val="clear" w:color="auto" w:fill="auto"/>
            <w:noWrap/>
            <w:vAlign w:val="center"/>
          </w:tcPr>
          <w:p w:rsidR="00C00DF8" w:rsidRPr="00EB2995" w:rsidRDefault="00C00DF8" w:rsidP="00D934C4">
            <w:pPr>
              <w:jc w:val="right"/>
              <w:rPr>
                <w:rFonts w:cs="Calibri"/>
                <w:color w:val="000000"/>
                <w:lang w:eastAsia="en-GB"/>
              </w:rPr>
            </w:pPr>
            <w:r w:rsidRPr="00EB2995">
              <w:rPr>
                <w:rFonts w:cs="Calibri"/>
                <w:color w:val="000000"/>
              </w:rPr>
              <w:t>(12.8)</w:t>
            </w:r>
          </w:p>
        </w:tc>
      </w:tr>
      <w:tr w:rsidR="00C00DF8" w:rsidRPr="00EB2995" w:rsidTr="00D934C4">
        <w:trPr>
          <w:trHeight w:val="300"/>
        </w:trPr>
        <w:tc>
          <w:tcPr>
            <w:tcW w:w="1560" w:type="dxa"/>
            <w:tcBorders>
              <w:top w:val="nil"/>
              <w:left w:val="single" w:sz="4" w:space="0" w:color="auto"/>
              <w:bottom w:val="nil"/>
              <w:right w:val="single" w:sz="4" w:space="0" w:color="auto"/>
            </w:tcBorders>
            <w:shd w:val="clear" w:color="auto" w:fill="auto"/>
            <w:noWrap/>
            <w:vAlign w:val="bottom"/>
            <w:hideMark/>
          </w:tcPr>
          <w:p w:rsidR="00C00DF8" w:rsidRPr="00EB2995" w:rsidRDefault="00C00DF8" w:rsidP="00D934C4">
            <w:pPr>
              <w:jc w:val="right"/>
              <w:rPr>
                <w:rFonts w:cs="Calibri"/>
                <w:color w:val="000000"/>
                <w:lang w:eastAsia="en-GB"/>
              </w:rPr>
            </w:pPr>
            <w:r w:rsidRPr="00EB2995">
              <w:rPr>
                <w:rFonts w:cs="Calibri"/>
                <w:color w:val="000000"/>
                <w:lang w:eastAsia="en-GB"/>
              </w:rPr>
              <w:t>(3.9)</w:t>
            </w:r>
          </w:p>
        </w:tc>
        <w:tc>
          <w:tcPr>
            <w:tcW w:w="5811" w:type="dxa"/>
            <w:tcBorders>
              <w:top w:val="nil"/>
              <w:left w:val="nil"/>
              <w:bottom w:val="nil"/>
              <w:right w:val="nil"/>
            </w:tcBorders>
            <w:shd w:val="clear" w:color="auto" w:fill="auto"/>
            <w:noWrap/>
            <w:vAlign w:val="bottom"/>
            <w:hideMark/>
          </w:tcPr>
          <w:p w:rsidR="00C00DF8" w:rsidRPr="00EB2995" w:rsidRDefault="00C00DF8" w:rsidP="00D934C4">
            <w:pPr>
              <w:rPr>
                <w:rFonts w:cs="Calibri"/>
                <w:color w:val="000000"/>
                <w:lang w:eastAsia="en-GB"/>
              </w:rPr>
            </w:pPr>
            <w:r w:rsidRPr="00EB2995">
              <w:rPr>
                <w:rFonts w:cs="Calibri"/>
                <w:color w:val="000000"/>
                <w:lang w:eastAsia="en-GB"/>
              </w:rPr>
              <w:t>Disabled Facilities</w:t>
            </w:r>
          </w:p>
        </w:tc>
        <w:tc>
          <w:tcPr>
            <w:tcW w:w="1560" w:type="dxa"/>
            <w:tcBorders>
              <w:top w:val="nil"/>
              <w:left w:val="single" w:sz="4" w:space="0" w:color="auto"/>
              <w:bottom w:val="nil"/>
              <w:right w:val="single" w:sz="4" w:space="0" w:color="auto"/>
            </w:tcBorders>
            <w:shd w:val="clear" w:color="auto" w:fill="auto"/>
            <w:noWrap/>
            <w:vAlign w:val="center"/>
          </w:tcPr>
          <w:p w:rsidR="00C00DF8" w:rsidRPr="00EB2995" w:rsidRDefault="00C00DF8" w:rsidP="00D934C4">
            <w:pPr>
              <w:jc w:val="right"/>
              <w:rPr>
                <w:rFonts w:cs="Calibri"/>
                <w:color w:val="000000"/>
                <w:lang w:eastAsia="en-GB"/>
              </w:rPr>
            </w:pPr>
            <w:r w:rsidRPr="00EB2995">
              <w:rPr>
                <w:rFonts w:cs="Calibri"/>
                <w:color w:val="000000"/>
              </w:rPr>
              <w:t>(2.6)</w:t>
            </w:r>
          </w:p>
        </w:tc>
      </w:tr>
      <w:tr w:rsidR="00C00DF8" w:rsidRPr="00EB2995" w:rsidTr="00D934C4">
        <w:trPr>
          <w:trHeight w:val="300"/>
        </w:trPr>
        <w:tc>
          <w:tcPr>
            <w:tcW w:w="1560" w:type="dxa"/>
            <w:tcBorders>
              <w:top w:val="nil"/>
              <w:left w:val="single" w:sz="4" w:space="0" w:color="auto"/>
              <w:bottom w:val="nil"/>
              <w:right w:val="single" w:sz="4" w:space="0" w:color="auto"/>
            </w:tcBorders>
            <w:shd w:val="clear" w:color="auto" w:fill="auto"/>
            <w:noWrap/>
            <w:vAlign w:val="bottom"/>
            <w:hideMark/>
          </w:tcPr>
          <w:p w:rsidR="00C00DF8" w:rsidRPr="00EB2995" w:rsidRDefault="00C00DF8" w:rsidP="00D934C4">
            <w:pPr>
              <w:jc w:val="right"/>
              <w:rPr>
                <w:rFonts w:cs="Calibri"/>
                <w:color w:val="000000"/>
                <w:lang w:eastAsia="en-GB"/>
              </w:rPr>
            </w:pPr>
            <w:r w:rsidRPr="00EB2995">
              <w:rPr>
                <w:rFonts w:cs="Calibri"/>
                <w:color w:val="000000"/>
                <w:lang w:eastAsia="en-GB"/>
              </w:rPr>
              <w:t>(3.4)</w:t>
            </w:r>
          </w:p>
        </w:tc>
        <w:tc>
          <w:tcPr>
            <w:tcW w:w="5811" w:type="dxa"/>
            <w:tcBorders>
              <w:top w:val="nil"/>
              <w:left w:val="nil"/>
              <w:bottom w:val="nil"/>
              <w:right w:val="nil"/>
            </w:tcBorders>
            <w:shd w:val="clear" w:color="auto" w:fill="auto"/>
            <w:noWrap/>
            <w:vAlign w:val="bottom"/>
            <w:hideMark/>
          </w:tcPr>
          <w:p w:rsidR="00C00DF8" w:rsidRPr="00EB2995" w:rsidRDefault="00C00DF8" w:rsidP="00D934C4">
            <w:pPr>
              <w:rPr>
                <w:rFonts w:cs="Calibri"/>
                <w:color w:val="000000"/>
                <w:lang w:eastAsia="en-GB"/>
              </w:rPr>
            </w:pPr>
            <w:r w:rsidRPr="00EB2995">
              <w:rPr>
                <w:rFonts w:cs="Calibri"/>
                <w:color w:val="000000"/>
                <w:lang w:eastAsia="en-GB"/>
              </w:rPr>
              <w:t xml:space="preserve">Transport for London </w:t>
            </w:r>
          </w:p>
        </w:tc>
        <w:tc>
          <w:tcPr>
            <w:tcW w:w="1560" w:type="dxa"/>
            <w:tcBorders>
              <w:top w:val="nil"/>
              <w:left w:val="single" w:sz="4" w:space="0" w:color="auto"/>
              <w:bottom w:val="nil"/>
              <w:right w:val="single" w:sz="4" w:space="0" w:color="auto"/>
            </w:tcBorders>
            <w:shd w:val="clear" w:color="auto" w:fill="auto"/>
            <w:noWrap/>
            <w:vAlign w:val="center"/>
          </w:tcPr>
          <w:p w:rsidR="00C00DF8" w:rsidRPr="00EB2995" w:rsidRDefault="00C00DF8" w:rsidP="00D934C4">
            <w:pPr>
              <w:jc w:val="right"/>
              <w:rPr>
                <w:rFonts w:cs="Calibri"/>
                <w:color w:val="000000"/>
                <w:lang w:eastAsia="en-GB"/>
              </w:rPr>
            </w:pPr>
            <w:r w:rsidRPr="00EB2995">
              <w:rPr>
                <w:rFonts w:cs="Calibri"/>
                <w:color w:val="000000"/>
              </w:rPr>
              <w:t>0.0</w:t>
            </w:r>
          </w:p>
        </w:tc>
      </w:tr>
      <w:tr w:rsidR="00C00DF8" w:rsidRPr="00EB2995" w:rsidTr="00D934C4">
        <w:trPr>
          <w:trHeight w:val="300"/>
        </w:trPr>
        <w:tc>
          <w:tcPr>
            <w:tcW w:w="1560" w:type="dxa"/>
            <w:tcBorders>
              <w:top w:val="nil"/>
              <w:left w:val="single" w:sz="4" w:space="0" w:color="auto"/>
              <w:bottom w:val="nil"/>
              <w:right w:val="single" w:sz="4" w:space="0" w:color="auto"/>
            </w:tcBorders>
            <w:shd w:val="clear" w:color="auto" w:fill="auto"/>
            <w:noWrap/>
            <w:vAlign w:val="bottom"/>
            <w:hideMark/>
          </w:tcPr>
          <w:p w:rsidR="00C00DF8" w:rsidRPr="00EB2995" w:rsidRDefault="00C00DF8" w:rsidP="00D934C4">
            <w:pPr>
              <w:jc w:val="right"/>
              <w:rPr>
                <w:rFonts w:cs="Calibri"/>
                <w:color w:val="000000"/>
                <w:lang w:eastAsia="en-GB"/>
              </w:rPr>
            </w:pPr>
            <w:r w:rsidRPr="00EB2995">
              <w:rPr>
                <w:rFonts w:cs="Calibri"/>
                <w:color w:val="000000"/>
                <w:lang w:eastAsia="en-GB"/>
              </w:rPr>
              <w:t>(4.3)</w:t>
            </w:r>
          </w:p>
        </w:tc>
        <w:tc>
          <w:tcPr>
            <w:tcW w:w="5811" w:type="dxa"/>
            <w:tcBorders>
              <w:top w:val="nil"/>
              <w:left w:val="nil"/>
              <w:bottom w:val="nil"/>
              <w:right w:val="nil"/>
            </w:tcBorders>
            <w:shd w:val="clear" w:color="auto" w:fill="auto"/>
            <w:noWrap/>
            <w:vAlign w:val="bottom"/>
            <w:hideMark/>
          </w:tcPr>
          <w:p w:rsidR="00C00DF8" w:rsidRPr="00EB2995" w:rsidRDefault="00C00DF8" w:rsidP="00D934C4">
            <w:pPr>
              <w:rPr>
                <w:rFonts w:cs="Calibri"/>
                <w:color w:val="000000"/>
                <w:lang w:eastAsia="en-GB"/>
              </w:rPr>
            </w:pPr>
            <w:r w:rsidRPr="00EB2995">
              <w:rPr>
                <w:rFonts w:cs="Calibri"/>
                <w:color w:val="000000"/>
                <w:lang w:eastAsia="en-GB"/>
              </w:rPr>
              <w:t>Adult Personal Social Services</w:t>
            </w:r>
          </w:p>
        </w:tc>
        <w:tc>
          <w:tcPr>
            <w:tcW w:w="1560" w:type="dxa"/>
            <w:tcBorders>
              <w:top w:val="nil"/>
              <w:left w:val="single" w:sz="4" w:space="0" w:color="auto"/>
              <w:bottom w:val="nil"/>
              <w:right w:val="single" w:sz="4" w:space="0" w:color="auto"/>
            </w:tcBorders>
            <w:shd w:val="clear" w:color="auto" w:fill="auto"/>
            <w:noWrap/>
            <w:vAlign w:val="center"/>
          </w:tcPr>
          <w:p w:rsidR="00C00DF8" w:rsidRPr="00EB2995" w:rsidRDefault="00C00DF8" w:rsidP="00D934C4">
            <w:pPr>
              <w:jc w:val="right"/>
              <w:rPr>
                <w:rFonts w:cs="Calibri"/>
                <w:color w:val="000000"/>
                <w:lang w:eastAsia="en-GB"/>
              </w:rPr>
            </w:pPr>
            <w:r w:rsidRPr="00EB2995">
              <w:rPr>
                <w:rFonts w:cs="Calibri"/>
                <w:color w:val="000000"/>
              </w:rPr>
              <w:t>(3.6)</w:t>
            </w:r>
          </w:p>
        </w:tc>
      </w:tr>
      <w:tr w:rsidR="00C00DF8" w:rsidRPr="00EB2995" w:rsidTr="00D934C4">
        <w:trPr>
          <w:trHeight w:val="300"/>
        </w:trPr>
        <w:tc>
          <w:tcPr>
            <w:tcW w:w="1560" w:type="dxa"/>
            <w:tcBorders>
              <w:top w:val="nil"/>
              <w:left w:val="single" w:sz="4" w:space="0" w:color="auto"/>
              <w:bottom w:val="nil"/>
              <w:right w:val="single" w:sz="4" w:space="0" w:color="auto"/>
            </w:tcBorders>
            <w:shd w:val="clear" w:color="auto" w:fill="auto"/>
            <w:noWrap/>
            <w:vAlign w:val="bottom"/>
            <w:hideMark/>
          </w:tcPr>
          <w:p w:rsidR="00C00DF8" w:rsidRPr="00EB2995" w:rsidRDefault="00C00DF8" w:rsidP="00D934C4">
            <w:pPr>
              <w:jc w:val="right"/>
              <w:rPr>
                <w:rFonts w:cs="Calibri"/>
                <w:color w:val="000000"/>
                <w:lang w:eastAsia="en-GB"/>
              </w:rPr>
            </w:pPr>
            <w:r w:rsidRPr="00EB2995">
              <w:rPr>
                <w:rFonts w:cs="Calibri"/>
                <w:color w:val="000000"/>
                <w:lang w:eastAsia="en-GB"/>
              </w:rPr>
              <w:t>(1.6)</w:t>
            </w:r>
          </w:p>
        </w:tc>
        <w:tc>
          <w:tcPr>
            <w:tcW w:w="5811" w:type="dxa"/>
            <w:tcBorders>
              <w:top w:val="nil"/>
              <w:left w:val="nil"/>
              <w:bottom w:val="nil"/>
              <w:right w:val="nil"/>
            </w:tcBorders>
            <w:shd w:val="clear" w:color="auto" w:fill="auto"/>
            <w:noWrap/>
            <w:vAlign w:val="bottom"/>
            <w:hideMark/>
          </w:tcPr>
          <w:p w:rsidR="00C00DF8" w:rsidRPr="00EB2995" w:rsidRDefault="00C00DF8" w:rsidP="00D934C4">
            <w:pPr>
              <w:rPr>
                <w:rFonts w:cs="Calibri"/>
                <w:color w:val="000000"/>
                <w:lang w:eastAsia="en-GB"/>
              </w:rPr>
            </w:pPr>
            <w:r w:rsidRPr="00EB2995">
              <w:rPr>
                <w:rFonts w:cs="Calibri"/>
                <w:color w:val="000000"/>
                <w:lang w:eastAsia="en-GB"/>
              </w:rPr>
              <w:t xml:space="preserve">Early Education </w:t>
            </w:r>
          </w:p>
        </w:tc>
        <w:tc>
          <w:tcPr>
            <w:tcW w:w="1560" w:type="dxa"/>
            <w:tcBorders>
              <w:top w:val="nil"/>
              <w:left w:val="single" w:sz="4" w:space="0" w:color="auto"/>
              <w:bottom w:val="nil"/>
              <w:right w:val="single" w:sz="4" w:space="0" w:color="auto"/>
            </w:tcBorders>
            <w:shd w:val="clear" w:color="auto" w:fill="auto"/>
            <w:noWrap/>
            <w:vAlign w:val="center"/>
          </w:tcPr>
          <w:p w:rsidR="00C00DF8" w:rsidRPr="00EB2995" w:rsidRDefault="00C00DF8" w:rsidP="00D934C4">
            <w:pPr>
              <w:jc w:val="right"/>
              <w:rPr>
                <w:rFonts w:cs="Calibri"/>
                <w:color w:val="000000"/>
                <w:lang w:eastAsia="en-GB"/>
              </w:rPr>
            </w:pPr>
            <w:r w:rsidRPr="00EB2995">
              <w:rPr>
                <w:rFonts w:cs="Calibri"/>
                <w:color w:val="000000"/>
              </w:rPr>
              <w:t>(1.6)</w:t>
            </w:r>
          </w:p>
        </w:tc>
      </w:tr>
      <w:tr w:rsidR="00C00DF8" w:rsidRPr="00EB2995" w:rsidTr="00D934C4">
        <w:trPr>
          <w:trHeight w:val="300"/>
        </w:trPr>
        <w:tc>
          <w:tcPr>
            <w:tcW w:w="1560" w:type="dxa"/>
            <w:tcBorders>
              <w:top w:val="nil"/>
              <w:left w:val="single" w:sz="4" w:space="0" w:color="auto"/>
              <w:bottom w:val="nil"/>
              <w:right w:val="single" w:sz="4" w:space="0" w:color="auto"/>
            </w:tcBorders>
            <w:shd w:val="clear" w:color="auto" w:fill="auto"/>
            <w:noWrap/>
            <w:vAlign w:val="bottom"/>
            <w:hideMark/>
          </w:tcPr>
          <w:p w:rsidR="00C00DF8" w:rsidRPr="00EB2995" w:rsidRDefault="00C00DF8" w:rsidP="00D934C4">
            <w:pPr>
              <w:jc w:val="right"/>
              <w:rPr>
                <w:rFonts w:cs="Calibri"/>
                <w:color w:val="000000"/>
                <w:lang w:eastAsia="en-GB"/>
              </w:rPr>
            </w:pPr>
            <w:r w:rsidRPr="00EB2995">
              <w:rPr>
                <w:rFonts w:cs="Calibri"/>
                <w:color w:val="000000"/>
                <w:lang w:eastAsia="en-GB"/>
              </w:rPr>
              <w:t>(1.0)</w:t>
            </w:r>
          </w:p>
        </w:tc>
        <w:tc>
          <w:tcPr>
            <w:tcW w:w="5811" w:type="dxa"/>
            <w:tcBorders>
              <w:top w:val="nil"/>
              <w:left w:val="nil"/>
              <w:bottom w:val="nil"/>
              <w:right w:val="nil"/>
            </w:tcBorders>
            <w:shd w:val="clear" w:color="auto" w:fill="auto"/>
            <w:noWrap/>
            <w:vAlign w:val="bottom"/>
            <w:hideMark/>
          </w:tcPr>
          <w:p w:rsidR="00C00DF8" w:rsidRPr="00EB2995" w:rsidRDefault="00C00DF8" w:rsidP="00D934C4">
            <w:pPr>
              <w:rPr>
                <w:rFonts w:cs="Calibri"/>
                <w:color w:val="000000"/>
                <w:lang w:eastAsia="en-GB"/>
              </w:rPr>
            </w:pPr>
            <w:r w:rsidRPr="00EB2995">
              <w:rPr>
                <w:rFonts w:cs="Calibri"/>
                <w:color w:val="000000"/>
                <w:lang w:eastAsia="en-GB"/>
              </w:rPr>
              <w:t>Devolved Formula Capital</w:t>
            </w:r>
          </w:p>
        </w:tc>
        <w:tc>
          <w:tcPr>
            <w:tcW w:w="1560" w:type="dxa"/>
            <w:tcBorders>
              <w:top w:val="nil"/>
              <w:left w:val="single" w:sz="4" w:space="0" w:color="auto"/>
              <w:bottom w:val="nil"/>
              <w:right w:val="single" w:sz="4" w:space="0" w:color="auto"/>
            </w:tcBorders>
            <w:shd w:val="clear" w:color="auto" w:fill="auto"/>
            <w:noWrap/>
            <w:vAlign w:val="center"/>
          </w:tcPr>
          <w:p w:rsidR="00C00DF8" w:rsidRPr="00EB2995" w:rsidRDefault="00C00DF8" w:rsidP="00D934C4">
            <w:pPr>
              <w:jc w:val="right"/>
              <w:rPr>
                <w:rFonts w:cs="Calibri"/>
                <w:color w:val="000000"/>
                <w:lang w:eastAsia="en-GB"/>
              </w:rPr>
            </w:pPr>
            <w:r w:rsidRPr="00EB2995">
              <w:rPr>
                <w:rFonts w:cs="Calibri"/>
                <w:color w:val="000000"/>
              </w:rPr>
              <w:t>(0.7)</w:t>
            </w:r>
          </w:p>
        </w:tc>
      </w:tr>
      <w:tr w:rsidR="00C00DF8" w:rsidRPr="00EB2995" w:rsidTr="00D934C4">
        <w:trPr>
          <w:trHeight w:val="300"/>
        </w:trPr>
        <w:tc>
          <w:tcPr>
            <w:tcW w:w="1560" w:type="dxa"/>
            <w:tcBorders>
              <w:top w:val="nil"/>
              <w:left w:val="single" w:sz="4" w:space="0" w:color="auto"/>
              <w:bottom w:val="nil"/>
              <w:right w:val="single" w:sz="4" w:space="0" w:color="auto"/>
            </w:tcBorders>
            <w:shd w:val="clear" w:color="auto" w:fill="auto"/>
            <w:noWrap/>
            <w:vAlign w:val="bottom"/>
            <w:hideMark/>
          </w:tcPr>
          <w:p w:rsidR="00C00DF8" w:rsidRPr="00EB2995" w:rsidRDefault="00C00DF8" w:rsidP="00D934C4">
            <w:pPr>
              <w:jc w:val="right"/>
              <w:rPr>
                <w:rFonts w:cs="Calibri"/>
                <w:color w:val="000000"/>
                <w:lang w:eastAsia="en-GB"/>
              </w:rPr>
            </w:pPr>
            <w:r w:rsidRPr="00EB2995">
              <w:rPr>
                <w:rFonts w:cs="Calibri"/>
                <w:color w:val="000000"/>
                <w:lang w:eastAsia="en-GB"/>
              </w:rPr>
              <w:t>(3.5)</w:t>
            </w:r>
          </w:p>
        </w:tc>
        <w:tc>
          <w:tcPr>
            <w:tcW w:w="5811" w:type="dxa"/>
            <w:tcBorders>
              <w:top w:val="nil"/>
              <w:left w:val="nil"/>
              <w:bottom w:val="nil"/>
              <w:right w:val="nil"/>
            </w:tcBorders>
            <w:shd w:val="clear" w:color="auto" w:fill="auto"/>
            <w:noWrap/>
            <w:vAlign w:val="bottom"/>
            <w:hideMark/>
          </w:tcPr>
          <w:p w:rsidR="00C00DF8" w:rsidRPr="00EB2995" w:rsidRDefault="00C00DF8" w:rsidP="00D934C4">
            <w:pPr>
              <w:rPr>
                <w:rFonts w:cs="Calibri"/>
                <w:color w:val="000000"/>
                <w:lang w:eastAsia="en-GB"/>
              </w:rPr>
            </w:pPr>
            <w:r w:rsidRPr="00EB2995">
              <w:rPr>
                <w:rFonts w:cs="Calibri"/>
                <w:color w:val="000000"/>
                <w:lang w:eastAsia="en-GB"/>
              </w:rPr>
              <w:t>Other Education grant</w:t>
            </w:r>
          </w:p>
        </w:tc>
        <w:tc>
          <w:tcPr>
            <w:tcW w:w="1560" w:type="dxa"/>
            <w:tcBorders>
              <w:top w:val="nil"/>
              <w:left w:val="single" w:sz="4" w:space="0" w:color="auto"/>
              <w:bottom w:val="nil"/>
              <w:right w:val="single" w:sz="4" w:space="0" w:color="auto"/>
            </w:tcBorders>
            <w:shd w:val="clear" w:color="auto" w:fill="auto"/>
            <w:noWrap/>
            <w:vAlign w:val="center"/>
          </w:tcPr>
          <w:p w:rsidR="00C00DF8" w:rsidRPr="00EB2995" w:rsidRDefault="00C00DF8" w:rsidP="00D934C4">
            <w:pPr>
              <w:jc w:val="right"/>
              <w:rPr>
                <w:rFonts w:cs="Calibri"/>
                <w:color w:val="000000"/>
                <w:lang w:eastAsia="en-GB"/>
              </w:rPr>
            </w:pPr>
            <w:r w:rsidRPr="00EB2995">
              <w:rPr>
                <w:rFonts w:cs="Calibri"/>
                <w:color w:val="000000"/>
              </w:rPr>
              <w:t>(5.1)</w:t>
            </w:r>
          </w:p>
        </w:tc>
      </w:tr>
      <w:tr w:rsidR="00C00DF8" w:rsidRPr="00EB2995" w:rsidTr="00D934C4">
        <w:trPr>
          <w:trHeight w:val="300"/>
        </w:trPr>
        <w:tc>
          <w:tcPr>
            <w:tcW w:w="1560" w:type="dxa"/>
            <w:tcBorders>
              <w:top w:val="nil"/>
              <w:left w:val="single" w:sz="4" w:space="0" w:color="auto"/>
              <w:bottom w:val="nil"/>
              <w:right w:val="single" w:sz="4" w:space="0" w:color="auto"/>
            </w:tcBorders>
            <w:shd w:val="clear" w:color="auto" w:fill="auto"/>
            <w:noWrap/>
            <w:vAlign w:val="bottom"/>
            <w:hideMark/>
          </w:tcPr>
          <w:p w:rsidR="00C00DF8" w:rsidRPr="00EB2995" w:rsidRDefault="00C00DF8" w:rsidP="00D934C4">
            <w:pPr>
              <w:jc w:val="right"/>
              <w:rPr>
                <w:rFonts w:cs="Calibri"/>
                <w:color w:val="000000"/>
                <w:lang w:eastAsia="en-GB"/>
              </w:rPr>
            </w:pPr>
            <w:r w:rsidRPr="00EB2995">
              <w:rPr>
                <w:rFonts w:cs="Calibri"/>
                <w:color w:val="000000"/>
                <w:lang w:eastAsia="en-GB"/>
              </w:rPr>
              <w:t>(3.4)</w:t>
            </w:r>
          </w:p>
        </w:tc>
        <w:tc>
          <w:tcPr>
            <w:tcW w:w="5811" w:type="dxa"/>
            <w:tcBorders>
              <w:top w:val="nil"/>
              <w:left w:val="nil"/>
              <w:bottom w:val="nil"/>
              <w:right w:val="nil"/>
            </w:tcBorders>
            <w:shd w:val="clear" w:color="auto" w:fill="auto"/>
            <w:noWrap/>
            <w:vAlign w:val="bottom"/>
            <w:hideMark/>
          </w:tcPr>
          <w:p w:rsidR="00C00DF8" w:rsidRPr="00EB2995" w:rsidRDefault="00C00DF8" w:rsidP="00D934C4">
            <w:pPr>
              <w:rPr>
                <w:rFonts w:cs="Calibri"/>
                <w:color w:val="000000"/>
                <w:lang w:eastAsia="en-GB"/>
              </w:rPr>
            </w:pPr>
            <w:r w:rsidRPr="00EB2995">
              <w:rPr>
                <w:rFonts w:cs="Calibri"/>
                <w:color w:val="000000"/>
                <w:lang w:eastAsia="en-GB"/>
              </w:rPr>
              <w:t>Other Grant</w:t>
            </w:r>
          </w:p>
        </w:tc>
        <w:tc>
          <w:tcPr>
            <w:tcW w:w="1560" w:type="dxa"/>
            <w:tcBorders>
              <w:top w:val="nil"/>
              <w:left w:val="single" w:sz="4" w:space="0" w:color="auto"/>
              <w:bottom w:val="nil"/>
              <w:right w:val="single" w:sz="4" w:space="0" w:color="auto"/>
            </w:tcBorders>
            <w:shd w:val="clear" w:color="auto" w:fill="auto"/>
            <w:noWrap/>
            <w:vAlign w:val="center"/>
          </w:tcPr>
          <w:p w:rsidR="00C00DF8" w:rsidRPr="00EB2995" w:rsidRDefault="00C00DF8" w:rsidP="00D934C4">
            <w:pPr>
              <w:jc w:val="right"/>
              <w:rPr>
                <w:rFonts w:cs="Calibri"/>
                <w:color w:val="000000"/>
                <w:lang w:eastAsia="en-GB"/>
              </w:rPr>
            </w:pPr>
            <w:r w:rsidRPr="00EB2995">
              <w:rPr>
                <w:rFonts w:cs="Calibri"/>
                <w:color w:val="000000"/>
              </w:rPr>
              <w:t>(7.6)</w:t>
            </w:r>
          </w:p>
        </w:tc>
      </w:tr>
      <w:tr w:rsidR="00C00DF8" w:rsidRPr="00EB2995" w:rsidTr="00D934C4">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0DF8" w:rsidRPr="00EB2995" w:rsidRDefault="00C00DF8" w:rsidP="00D934C4">
            <w:pPr>
              <w:jc w:val="right"/>
              <w:rPr>
                <w:rFonts w:cs="Calibri"/>
                <w:b/>
                <w:color w:val="000000"/>
                <w:lang w:eastAsia="en-GB"/>
              </w:rPr>
            </w:pPr>
            <w:r w:rsidRPr="00EB2995">
              <w:rPr>
                <w:rFonts w:cs="Calibri"/>
                <w:b/>
                <w:color w:val="000000"/>
                <w:lang w:eastAsia="en-GB"/>
              </w:rPr>
              <w:t>(72.3)</w:t>
            </w:r>
          </w:p>
        </w:tc>
        <w:tc>
          <w:tcPr>
            <w:tcW w:w="5811" w:type="dxa"/>
            <w:tcBorders>
              <w:top w:val="nil"/>
              <w:left w:val="nil"/>
              <w:bottom w:val="nil"/>
              <w:right w:val="nil"/>
            </w:tcBorders>
            <w:shd w:val="clear" w:color="auto" w:fill="auto"/>
            <w:noWrap/>
            <w:vAlign w:val="bottom"/>
            <w:hideMark/>
          </w:tcPr>
          <w:p w:rsidR="00C00DF8" w:rsidRPr="00EB2995" w:rsidRDefault="00C00DF8" w:rsidP="00D934C4">
            <w:pPr>
              <w:rPr>
                <w:rFonts w:cs="Calibri"/>
                <w:b/>
                <w:bCs/>
                <w:color w:val="000000"/>
                <w:lang w:eastAsia="en-GB"/>
              </w:rPr>
            </w:pPr>
            <w:r w:rsidRPr="00EB2995">
              <w:rPr>
                <w:rFonts w:cs="Calibri"/>
                <w:b/>
                <w:bCs/>
                <w:color w:val="000000"/>
                <w:lang w:eastAsia="en-GB"/>
              </w:rPr>
              <w:t>Total</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00DF8" w:rsidRPr="00EB2995" w:rsidRDefault="00C00DF8" w:rsidP="00D934C4">
            <w:pPr>
              <w:jc w:val="right"/>
              <w:rPr>
                <w:rFonts w:cs="Calibri"/>
                <w:b/>
                <w:color w:val="000000"/>
                <w:lang w:eastAsia="en-GB"/>
              </w:rPr>
            </w:pPr>
            <w:r w:rsidRPr="00EB2995">
              <w:rPr>
                <w:rFonts w:cs="Calibri"/>
                <w:b/>
                <w:bCs/>
                <w:color w:val="000000"/>
              </w:rPr>
              <w:t>(75.4)</w:t>
            </w:r>
          </w:p>
        </w:tc>
      </w:tr>
    </w:tbl>
    <w:p w:rsidR="00C00DF8" w:rsidRPr="00C00DF8" w:rsidRDefault="00C00DF8" w:rsidP="00C00DF8"/>
    <w:p w:rsidR="00F72906" w:rsidRDefault="00F72906" w:rsidP="00C00DF8">
      <w:pPr>
        <w:pStyle w:val="Heading3"/>
      </w:pPr>
      <w:r>
        <w:t>Note 2</w:t>
      </w:r>
      <w:r w:rsidR="007058D0">
        <w:t>1</w:t>
      </w:r>
      <w:r>
        <w:t xml:space="preserve"> – Deployment of Dedicated Schools Grant </w:t>
      </w:r>
    </w:p>
    <w:p w:rsidR="00F72906" w:rsidRDefault="00F72906" w:rsidP="00F72906">
      <w:r>
        <w:t xml:space="preserve">The Council’s expenditure on schools is funded by the Dedicated Schools Grant (DSG) provided by the </w:t>
      </w:r>
      <w:r w:rsidR="00C00DF8">
        <w:t>Department for Education (DfE).</w:t>
      </w:r>
    </w:p>
    <w:p w:rsidR="00F72906" w:rsidRDefault="00F72906" w:rsidP="00F72906">
      <w:r>
        <w:t>The DSG is ring-fenced and can only be applied to meet expenditure properly included in the Schools Budget as defined in the Schools and Early Years Fina</w:t>
      </w:r>
      <w:r w:rsidR="00C00DF8">
        <w:t>nce (England) Regulations 2011.</w:t>
      </w:r>
    </w:p>
    <w:p w:rsidR="00F72906" w:rsidRDefault="00F72906" w:rsidP="00F72906">
      <w:r>
        <w:t xml:space="preserve">In 2019/20, as in previous years, an element of the DSG was recouped by the DfE to fund </w:t>
      </w:r>
      <w:r w:rsidR="00C00DF8">
        <w:t>academy schools in the borough.</w:t>
      </w:r>
    </w:p>
    <w:p w:rsidR="00F72906" w:rsidRDefault="00F72906" w:rsidP="00F72906">
      <w:r>
        <w:t>The Schools Budget includes elements for a range of educational services provided on an authority-wide basis and for the Individual Schools Budget (ISB), which is divided into a budget share for each maintained school.</w:t>
      </w:r>
      <w:r w:rsidR="00C00DF8">
        <w:t xml:space="preserve">  </w:t>
      </w:r>
    </w:p>
    <w:p w:rsidR="00F72906" w:rsidRDefault="00F72906" w:rsidP="00F72906">
      <w:r>
        <w:t>The DSG received in 2019/20 was deployed as follows:</w:t>
      </w:r>
    </w:p>
    <w:tbl>
      <w:tblPr>
        <w:tblW w:w="10065" w:type="dxa"/>
        <w:tblLook w:val="04A0" w:firstRow="1" w:lastRow="0" w:firstColumn="1" w:lastColumn="0" w:noHBand="0" w:noVBand="1"/>
      </w:tblPr>
      <w:tblGrid>
        <w:gridCol w:w="266"/>
        <w:gridCol w:w="5274"/>
        <w:gridCol w:w="1341"/>
        <w:gridCol w:w="1451"/>
        <w:gridCol w:w="1734"/>
      </w:tblGrid>
      <w:tr w:rsidR="00C00DF8" w:rsidRPr="001E3529" w:rsidTr="00D934C4">
        <w:trPr>
          <w:trHeight w:val="417"/>
        </w:trPr>
        <w:tc>
          <w:tcPr>
            <w:tcW w:w="5539" w:type="dxa"/>
            <w:gridSpan w:val="2"/>
            <w:tcBorders>
              <w:top w:val="nil"/>
              <w:left w:val="nil"/>
              <w:bottom w:val="nil"/>
              <w:right w:val="nil"/>
            </w:tcBorders>
            <w:shd w:val="clear" w:color="auto" w:fill="auto"/>
            <w:noWrap/>
            <w:vAlign w:val="center"/>
            <w:hideMark/>
          </w:tcPr>
          <w:p w:rsidR="00C00DF8" w:rsidRPr="001E3529" w:rsidRDefault="00C00DF8" w:rsidP="00D934C4">
            <w:pPr>
              <w:rPr>
                <w:rFonts w:cs="Calibri"/>
                <w:b/>
                <w:bCs/>
                <w:color w:val="000000"/>
                <w:lang w:eastAsia="en-GB"/>
              </w:rPr>
            </w:pPr>
          </w:p>
        </w:tc>
        <w:tc>
          <w:tcPr>
            <w:tcW w:w="1341" w:type="dxa"/>
            <w:tcBorders>
              <w:top w:val="nil"/>
              <w:left w:val="nil"/>
              <w:bottom w:val="nil"/>
              <w:right w:val="nil"/>
            </w:tcBorders>
            <w:shd w:val="clear" w:color="auto" w:fill="auto"/>
            <w:vAlign w:val="center"/>
            <w:hideMark/>
          </w:tcPr>
          <w:p w:rsidR="00C00DF8" w:rsidRPr="001E3529" w:rsidRDefault="00C00DF8" w:rsidP="00D934C4">
            <w:pPr>
              <w:jc w:val="right"/>
              <w:rPr>
                <w:rFonts w:cs="Calibri"/>
                <w:b/>
                <w:bCs/>
                <w:color w:val="000000"/>
                <w:lang w:eastAsia="en-GB"/>
              </w:rPr>
            </w:pPr>
            <w:r w:rsidRPr="001E3529">
              <w:rPr>
                <w:rFonts w:cs="Calibri"/>
                <w:b/>
                <w:bCs/>
                <w:color w:val="000000"/>
                <w:lang w:eastAsia="en-GB"/>
              </w:rPr>
              <w:t>Central</w:t>
            </w:r>
          </w:p>
        </w:tc>
        <w:tc>
          <w:tcPr>
            <w:tcW w:w="1451" w:type="dxa"/>
            <w:tcBorders>
              <w:top w:val="nil"/>
              <w:left w:val="nil"/>
              <w:bottom w:val="nil"/>
              <w:right w:val="nil"/>
            </w:tcBorders>
            <w:shd w:val="clear" w:color="auto" w:fill="auto"/>
            <w:vAlign w:val="center"/>
            <w:hideMark/>
          </w:tcPr>
          <w:p w:rsidR="00C00DF8" w:rsidRPr="001E3529" w:rsidRDefault="00C00DF8" w:rsidP="00D934C4">
            <w:pPr>
              <w:jc w:val="right"/>
              <w:rPr>
                <w:rFonts w:cs="Calibri"/>
                <w:b/>
                <w:bCs/>
                <w:color w:val="000000"/>
                <w:lang w:eastAsia="en-GB"/>
              </w:rPr>
            </w:pPr>
            <w:r w:rsidRPr="001E3529">
              <w:rPr>
                <w:rFonts w:cs="Calibri"/>
                <w:b/>
                <w:bCs/>
                <w:color w:val="000000"/>
                <w:lang w:eastAsia="en-GB"/>
              </w:rPr>
              <w:t>Schools</w:t>
            </w:r>
          </w:p>
        </w:tc>
        <w:tc>
          <w:tcPr>
            <w:tcW w:w="1734" w:type="dxa"/>
            <w:tcBorders>
              <w:top w:val="nil"/>
              <w:left w:val="nil"/>
              <w:bottom w:val="nil"/>
              <w:right w:val="nil"/>
            </w:tcBorders>
            <w:shd w:val="clear" w:color="auto" w:fill="auto"/>
            <w:vAlign w:val="center"/>
            <w:hideMark/>
          </w:tcPr>
          <w:p w:rsidR="00C00DF8" w:rsidRPr="001E3529" w:rsidRDefault="00C00DF8" w:rsidP="00D934C4">
            <w:pPr>
              <w:jc w:val="right"/>
              <w:rPr>
                <w:rFonts w:cs="Calibri"/>
                <w:b/>
                <w:bCs/>
                <w:color w:val="000000"/>
                <w:lang w:eastAsia="en-GB"/>
              </w:rPr>
            </w:pPr>
            <w:r w:rsidRPr="001E3529">
              <w:rPr>
                <w:rFonts w:cs="Calibri"/>
                <w:b/>
                <w:bCs/>
                <w:color w:val="000000"/>
                <w:lang w:eastAsia="en-GB"/>
              </w:rPr>
              <w:t>Total</w:t>
            </w:r>
          </w:p>
        </w:tc>
      </w:tr>
      <w:tr w:rsidR="00C00DF8" w:rsidRPr="001E3529" w:rsidTr="00D934C4">
        <w:trPr>
          <w:trHeight w:val="417"/>
        </w:trPr>
        <w:tc>
          <w:tcPr>
            <w:tcW w:w="265" w:type="dxa"/>
            <w:tcBorders>
              <w:top w:val="nil"/>
              <w:left w:val="nil"/>
              <w:bottom w:val="nil"/>
              <w:right w:val="nil"/>
            </w:tcBorders>
            <w:shd w:val="clear" w:color="auto" w:fill="auto"/>
            <w:noWrap/>
            <w:vAlign w:val="center"/>
            <w:hideMark/>
          </w:tcPr>
          <w:p w:rsidR="00C00DF8" w:rsidRPr="001E3529" w:rsidRDefault="00C00DF8" w:rsidP="00D934C4">
            <w:pPr>
              <w:jc w:val="center"/>
              <w:rPr>
                <w:rFonts w:cs="Calibri"/>
                <w:b/>
                <w:bCs/>
                <w:color w:val="000000"/>
                <w:lang w:eastAsia="en-GB"/>
              </w:rPr>
            </w:pPr>
          </w:p>
        </w:tc>
        <w:tc>
          <w:tcPr>
            <w:tcW w:w="5274" w:type="dxa"/>
            <w:tcBorders>
              <w:top w:val="nil"/>
              <w:left w:val="nil"/>
              <w:bottom w:val="nil"/>
              <w:right w:val="nil"/>
            </w:tcBorders>
            <w:shd w:val="clear" w:color="auto" w:fill="auto"/>
            <w:noWrap/>
            <w:vAlign w:val="center"/>
            <w:hideMark/>
          </w:tcPr>
          <w:p w:rsidR="00C00DF8" w:rsidRPr="001E3529" w:rsidRDefault="00C00DF8" w:rsidP="00D934C4">
            <w:pPr>
              <w:rPr>
                <w:rFonts w:cs="Calibri"/>
                <w:lang w:eastAsia="en-GB"/>
              </w:rPr>
            </w:pPr>
          </w:p>
        </w:tc>
        <w:tc>
          <w:tcPr>
            <w:tcW w:w="1341" w:type="dxa"/>
            <w:tcBorders>
              <w:top w:val="nil"/>
              <w:left w:val="nil"/>
              <w:bottom w:val="nil"/>
              <w:right w:val="nil"/>
            </w:tcBorders>
            <w:shd w:val="clear" w:color="auto" w:fill="auto"/>
            <w:vAlign w:val="center"/>
            <w:hideMark/>
          </w:tcPr>
          <w:p w:rsidR="00C00DF8" w:rsidRPr="001E3529" w:rsidRDefault="00C00DF8" w:rsidP="00D934C4">
            <w:pPr>
              <w:jc w:val="right"/>
              <w:rPr>
                <w:rFonts w:cs="Calibri"/>
                <w:b/>
                <w:bCs/>
                <w:color w:val="000000"/>
                <w:lang w:eastAsia="en-GB"/>
              </w:rPr>
            </w:pPr>
            <w:r w:rsidRPr="001E3529">
              <w:rPr>
                <w:rFonts w:cs="Calibri"/>
                <w:b/>
                <w:bCs/>
                <w:color w:val="000000"/>
                <w:lang w:eastAsia="en-GB"/>
              </w:rPr>
              <w:t>Expenditure</w:t>
            </w:r>
          </w:p>
        </w:tc>
        <w:tc>
          <w:tcPr>
            <w:tcW w:w="1451" w:type="dxa"/>
            <w:tcBorders>
              <w:top w:val="nil"/>
              <w:left w:val="nil"/>
              <w:bottom w:val="nil"/>
              <w:right w:val="nil"/>
            </w:tcBorders>
            <w:shd w:val="clear" w:color="auto" w:fill="auto"/>
            <w:vAlign w:val="center"/>
            <w:hideMark/>
          </w:tcPr>
          <w:p w:rsidR="00C00DF8" w:rsidRPr="001E3529" w:rsidRDefault="00C00DF8" w:rsidP="00D934C4">
            <w:pPr>
              <w:jc w:val="right"/>
              <w:rPr>
                <w:rFonts w:cs="Calibri"/>
                <w:b/>
                <w:bCs/>
                <w:color w:val="000000"/>
                <w:lang w:eastAsia="en-GB"/>
              </w:rPr>
            </w:pPr>
            <w:r w:rsidRPr="001E3529">
              <w:rPr>
                <w:rFonts w:cs="Calibri"/>
                <w:b/>
                <w:bCs/>
                <w:color w:val="000000"/>
                <w:lang w:eastAsia="en-GB"/>
              </w:rPr>
              <w:t>Budget</w:t>
            </w:r>
          </w:p>
        </w:tc>
        <w:tc>
          <w:tcPr>
            <w:tcW w:w="1734" w:type="dxa"/>
            <w:tcBorders>
              <w:top w:val="nil"/>
              <w:left w:val="nil"/>
              <w:bottom w:val="nil"/>
              <w:right w:val="nil"/>
            </w:tcBorders>
            <w:shd w:val="clear" w:color="auto" w:fill="auto"/>
            <w:vAlign w:val="center"/>
            <w:hideMark/>
          </w:tcPr>
          <w:p w:rsidR="00C00DF8" w:rsidRPr="001E3529" w:rsidRDefault="00C00DF8" w:rsidP="00D934C4">
            <w:pPr>
              <w:jc w:val="right"/>
              <w:rPr>
                <w:rFonts w:cs="Calibri"/>
                <w:b/>
                <w:bCs/>
                <w:color w:val="000000"/>
                <w:lang w:eastAsia="en-GB"/>
              </w:rPr>
            </w:pPr>
          </w:p>
        </w:tc>
      </w:tr>
      <w:tr w:rsidR="00C00DF8" w:rsidRPr="001E3529" w:rsidTr="00D934C4">
        <w:trPr>
          <w:trHeight w:val="166"/>
        </w:trPr>
        <w:tc>
          <w:tcPr>
            <w:tcW w:w="265" w:type="dxa"/>
            <w:tcBorders>
              <w:top w:val="nil"/>
              <w:left w:val="nil"/>
              <w:bottom w:val="single" w:sz="4" w:space="0" w:color="auto"/>
              <w:right w:val="nil"/>
            </w:tcBorders>
            <w:shd w:val="clear" w:color="auto" w:fill="auto"/>
            <w:noWrap/>
            <w:vAlign w:val="center"/>
            <w:hideMark/>
          </w:tcPr>
          <w:p w:rsidR="00C00DF8" w:rsidRPr="001E3529" w:rsidRDefault="00C00DF8" w:rsidP="00D934C4">
            <w:pPr>
              <w:rPr>
                <w:rFonts w:cs="Calibri"/>
                <w:color w:val="000000"/>
                <w:lang w:eastAsia="en-GB"/>
              </w:rPr>
            </w:pPr>
            <w:r w:rsidRPr="001E3529">
              <w:rPr>
                <w:rFonts w:cs="Calibri"/>
                <w:color w:val="000000"/>
                <w:lang w:eastAsia="en-GB"/>
              </w:rPr>
              <w:t> </w:t>
            </w:r>
          </w:p>
        </w:tc>
        <w:tc>
          <w:tcPr>
            <w:tcW w:w="5274" w:type="dxa"/>
            <w:tcBorders>
              <w:top w:val="nil"/>
              <w:left w:val="nil"/>
              <w:bottom w:val="single" w:sz="4" w:space="0" w:color="auto"/>
              <w:right w:val="nil"/>
            </w:tcBorders>
            <w:shd w:val="clear" w:color="auto" w:fill="auto"/>
            <w:noWrap/>
            <w:vAlign w:val="center"/>
            <w:hideMark/>
          </w:tcPr>
          <w:p w:rsidR="00C00DF8" w:rsidRPr="001E3529" w:rsidRDefault="00C00DF8" w:rsidP="00D934C4">
            <w:pPr>
              <w:jc w:val="center"/>
              <w:rPr>
                <w:rFonts w:cs="Calibri"/>
                <w:b/>
                <w:bCs/>
                <w:color w:val="000000"/>
                <w:lang w:eastAsia="en-GB"/>
              </w:rPr>
            </w:pPr>
            <w:r w:rsidRPr="001E3529">
              <w:rPr>
                <w:rFonts w:cs="Calibri"/>
                <w:b/>
                <w:bCs/>
                <w:color w:val="000000"/>
                <w:lang w:eastAsia="en-GB"/>
              </w:rPr>
              <w:t> </w:t>
            </w:r>
          </w:p>
        </w:tc>
        <w:tc>
          <w:tcPr>
            <w:tcW w:w="1341" w:type="dxa"/>
            <w:tcBorders>
              <w:top w:val="nil"/>
              <w:left w:val="nil"/>
              <w:bottom w:val="single" w:sz="4" w:space="0" w:color="auto"/>
              <w:right w:val="nil"/>
            </w:tcBorders>
            <w:shd w:val="clear" w:color="auto" w:fill="auto"/>
            <w:noWrap/>
            <w:vAlign w:val="center"/>
            <w:hideMark/>
          </w:tcPr>
          <w:p w:rsidR="00C00DF8" w:rsidRPr="001E3529" w:rsidRDefault="00C00DF8" w:rsidP="00D934C4">
            <w:pPr>
              <w:jc w:val="right"/>
              <w:rPr>
                <w:rFonts w:cs="Calibri"/>
                <w:b/>
                <w:bCs/>
                <w:color w:val="000000"/>
                <w:lang w:eastAsia="en-GB"/>
              </w:rPr>
            </w:pPr>
            <w:r w:rsidRPr="001E3529">
              <w:rPr>
                <w:rFonts w:cs="Calibri"/>
                <w:b/>
                <w:bCs/>
                <w:color w:val="000000"/>
                <w:lang w:eastAsia="en-GB"/>
              </w:rPr>
              <w:t> £m</w:t>
            </w:r>
          </w:p>
        </w:tc>
        <w:tc>
          <w:tcPr>
            <w:tcW w:w="1451" w:type="dxa"/>
            <w:tcBorders>
              <w:top w:val="nil"/>
              <w:left w:val="nil"/>
              <w:bottom w:val="single" w:sz="4" w:space="0" w:color="auto"/>
              <w:right w:val="nil"/>
            </w:tcBorders>
            <w:shd w:val="clear" w:color="auto" w:fill="auto"/>
            <w:vAlign w:val="center"/>
            <w:hideMark/>
          </w:tcPr>
          <w:p w:rsidR="00C00DF8" w:rsidRPr="001E3529" w:rsidRDefault="00C00DF8" w:rsidP="00D934C4">
            <w:pPr>
              <w:jc w:val="right"/>
              <w:rPr>
                <w:rFonts w:cs="Calibri"/>
                <w:b/>
                <w:bCs/>
                <w:color w:val="000000"/>
                <w:lang w:eastAsia="en-GB"/>
              </w:rPr>
            </w:pPr>
            <w:r w:rsidRPr="001E3529">
              <w:rPr>
                <w:rFonts w:cs="Calibri"/>
                <w:b/>
                <w:bCs/>
                <w:color w:val="000000"/>
                <w:lang w:eastAsia="en-GB"/>
              </w:rPr>
              <w:t>£m </w:t>
            </w:r>
          </w:p>
        </w:tc>
        <w:tc>
          <w:tcPr>
            <w:tcW w:w="1734" w:type="dxa"/>
            <w:tcBorders>
              <w:top w:val="nil"/>
              <w:left w:val="nil"/>
              <w:bottom w:val="single" w:sz="4" w:space="0" w:color="auto"/>
              <w:right w:val="nil"/>
            </w:tcBorders>
            <w:shd w:val="clear" w:color="auto" w:fill="auto"/>
            <w:noWrap/>
            <w:vAlign w:val="center"/>
            <w:hideMark/>
          </w:tcPr>
          <w:p w:rsidR="00C00DF8" w:rsidRPr="001E3529" w:rsidRDefault="00C00DF8" w:rsidP="00D934C4">
            <w:pPr>
              <w:jc w:val="right"/>
              <w:rPr>
                <w:rFonts w:cs="Calibri"/>
                <w:b/>
                <w:bCs/>
                <w:color w:val="000000"/>
                <w:lang w:eastAsia="en-GB"/>
              </w:rPr>
            </w:pPr>
            <w:r w:rsidRPr="001E3529">
              <w:rPr>
                <w:rFonts w:cs="Calibri"/>
                <w:b/>
                <w:bCs/>
                <w:color w:val="000000"/>
                <w:lang w:eastAsia="en-GB"/>
              </w:rPr>
              <w:t>£m </w:t>
            </w:r>
          </w:p>
        </w:tc>
      </w:tr>
      <w:tr w:rsidR="00C00DF8" w:rsidRPr="001E3529" w:rsidTr="00D934C4">
        <w:trPr>
          <w:trHeight w:val="417"/>
        </w:trPr>
        <w:tc>
          <w:tcPr>
            <w:tcW w:w="265" w:type="dxa"/>
            <w:tcBorders>
              <w:top w:val="nil"/>
              <w:left w:val="nil"/>
              <w:bottom w:val="nil"/>
              <w:right w:val="nil"/>
            </w:tcBorders>
            <w:shd w:val="clear" w:color="auto" w:fill="auto"/>
            <w:noWrap/>
            <w:vAlign w:val="center"/>
            <w:hideMark/>
          </w:tcPr>
          <w:p w:rsidR="00C00DF8" w:rsidRPr="001E3529" w:rsidRDefault="00C00DF8" w:rsidP="00D934C4">
            <w:pPr>
              <w:jc w:val="center"/>
              <w:rPr>
                <w:rFonts w:cs="Calibri"/>
                <w:b/>
                <w:bCs/>
                <w:color w:val="000000"/>
                <w:lang w:eastAsia="en-GB"/>
              </w:rPr>
            </w:pPr>
          </w:p>
        </w:tc>
        <w:tc>
          <w:tcPr>
            <w:tcW w:w="5274" w:type="dxa"/>
            <w:tcBorders>
              <w:top w:val="nil"/>
              <w:left w:val="nil"/>
              <w:bottom w:val="nil"/>
              <w:right w:val="nil"/>
            </w:tcBorders>
            <w:shd w:val="clear" w:color="auto" w:fill="auto"/>
            <w:noWrap/>
            <w:vAlign w:val="center"/>
            <w:hideMark/>
          </w:tcPr>
          <w:p w:rsidR="00C00DF8" w:rsidRPr="001E3529" w:rsidRDefault="00C00DF8" w:rsidP="00D934C4">
            <w:pPr>
              <w:jc w:val="both"/>
              <w:rPr>
                <w:rFonts w:cs="Calibri"/>
                <w:lang w:eastAsia="en-GB"/>
              </w:rPr>
            </w:pPr>
            <w:r w:rsidRPr="001E3529">
              <w:rPr>
                <w:rFonts w:cs="Calibri"/>
                <w:lang w:eastAsia="en-GB"/>
              </w:rPr>
              <w:t>Final DSG for 2019-20 before academy recoupment</w:t>
            </w:r>
          </w:p>
        </w:tc>
        <w:tc>
          <w:tcPr>
            <w:tcW w:w="1341" w:type="dxa"/>
            <w:tcBorders>
              <w:top w:val="nil"/>
              <w:left w:val="nil"/>
              <w:bottom w:val="nil"/>
              <w:right w:val="nil"/>
            </w:tcBorders>
            <w:shd w:val="clear" w:color="auto" w:fill="auto"/>
            <w:noWrap/>
            <w:vAlign w:val="center"/>
            <w:hideMark/>
          </w:tcPr>
          <w:p w:rsidR="00C00DF8" w:rsidRPr="001E3529" w:rsidRDefault="00C00DF8" w:rsidP="00D934C4">
            <w:pPr>
              <w:jc w:val="both"/>
              <w:rPr>
                <w:rFonts w:cs="Calibri"/>
                <w:lang w:eastAsia="en-GB"/>
              </w:rPr>
            </w:pPr>
          </w:p>
        </w:tc>
        <w:tc>
          <w:tcPr>
            <w:tcW w:w="1451" w:type="dxa"/>
            <w:tcBorders>
              <w:top w:val="nil"/>
              <w:left w:val="nil"/>
              <w:bottom w:val="nil"/>
              <w:right w:val="nil"/>
            </w:tcBorders>
            <w:shd w:val="clear" w:color="auto" w:fill="auto"/>
            <w:noWrap/>
            <w:vAlign w:val="center"/>
            <w:hideMark/>
          </w:tcPr>
          <w:p w:rsidR="00C00DF8" w:rsidRPr="001E3529" w:rsidRDefault="00C00DF8" w:rsidP="00D934C4">
            <w:pPr>
              <w:jc w:val="right"/>
              <w:rPr>
                <w:rFonts w:cs="Calibri"/>
                <w:lang w:eastAsia="en-GB"/>
              </w:rPr>
            </w:pPr>
          </w:p>
        </w:tc>
        <w:tc>
          <w:tcPr>
            <w:tcW w:w="1734" w:type="dxa"/>
            <w:tcBorders>
              <w:top w:val="nil"/>
              <w:left w:val="nil"/>
              <w:bottom w:val="nil"/>
              <w:right w:val="nil"/>
            </w:tcBorders>
            <w:shd w:val="clear" w:color="auto" w:fill="auto"/>
            <w:noWrap/>
            <w:vAlign w:val="center"/>
          </w:tcPr>
          <w:p w:rsidR="00C00DF8" w:rsidRPr="001E3529" w:rsidRDefault="00C00DF8" w:rsidP="00D934C4">
            <w:pPr>
              <w:jc w:val="right"/>
              <w:rPr>
                <w:rFonts w:cs="Calibri"/>
                <w:lang w:eastAsia="en-GB"/>
              </w:rPr>
            </w:pPr>
            <w:r w:rsidRPr="001E3529">
              <w:rPr>
                <w:rFonts w:cs="Calibri"/>
                <w:lang w:eastAsia="en-GB"/>
              </w:rPr>
              <w:t>312.3</w:t>
            </w:r>
          </w:p>
        </w:tc>
      </w:tr>
      <w:tr w:rsidR="00C00DF8" w:rsidRPr="001E3529" w:rsidTr="00D934C4">
        <w:trPr>
          <w:trHeight w:val="417"/>
        </w:trPr>
        <w:tc>
          <w:tcPr>
            <w:tcW w:w="265" w:type="dxa"/>
            <w:tcBorders>
              <w:top w:val="nil"/>
              <w:left w:val="nil"/>
              <w:bottom w:val="nil"/>
              <w:right w:val="nil"/>
            </w:tcBorders>
            <w:shd w:val="clear" w:color="auto" w:fill="auto"/>
            <w:noWrap/>
            <w:vAlign w:val="center"/>
            <w:hideMark/>
          </w:tcPr>
          <w:p w:rsidR="00C00DF8" w:rsidRPr="001E3529" w:rsidRDefault="00C00DF8" w:rsidP="00D934C4">
            <w:pPr>
              <w:jc w:val="right"/>
              <w:rPr>
                <w:rFonts w:cs="Calibri"/>
                <w:color w:val="000000"/>
                <w:lang w:eastAsia="en-GB"/>
              </w:rPr>
            </w:pPr>
          </w:p>
        </w:tc>
        <w:tc>
          <w:tcPr>
            <w:tcW w:w="5274" w:type="dxa"/>
            <w:tcBorders>
              <w:top w:val="nil"/>
              <w:left w:val="nil"/>
              <w:bottom w:val="nil"/>
              <w:right w:val="nil"/>
            </w:tcBorders>
            <w:shd w:val="clear" w:color="auto" w:fill="auto"/>
            <w:noWrap/>
            <w:vAlign w:val="center"/>
            <w:hideMark/>
          </w:tcPr>
          <w:p w:rsidR="00C00DF8" w:rsidRPr="001E3529" w:rsidRDefault="00C00DF8" w:rsidP="00D934C4">
            <w:pPr>
              <w:jc w:val="both"/>
              <w:rPr>
                <w:rFonts w:cs="Calibri"/>
                <w:lang w:eastAsia="en-GB"/>
              </w:rPr>
            </w:pPr>
            <w:r w:rsidRPr="001E3529">
              <w:rPr>
                <w:rFonts w:cs="Calibri"/>
                <w:lang w:eastAsia="en-GB"/>
              </w:rPr>
              <w:t>Academy recoupment figure for 2019-20</w:t>
            </w:r>
          </w:p>
        </w:tc>
        <w:tc>
          <w:tcPr>
            <w:tcW w:w="1341" w:type="dxa"/>
            <w:tcBorders>
              <w:top w:val="nil"/>
              <w:left w:val="nil"/>
              <w:bottom w:val="nil"/>
              <w:right w:val="nil"/>
            </w:tcBorders>
            <w:shd w:val="clear" w:color="auto" w:fill="auto"/>
            <w:noWrap/>
            <w:vAlign w:val="center"/>
            <w:hideMark/>
          </w:tcPr>
          <w:p w:rsidR="00C00DF8" w:rsidRPr="001E3529" w:rsidRDefault="00C00DF8" w:rsidP="00D934C4">
            <w:pPr>
              <w:jc w:val="both"/>
              <w:rPr>
                <w:rFonts w:cs="Calibri"/>
                <w:lang w:eastAsia="en-GB"/>
              </w:rPr>
            </w:pPr>
          </w:p>
        </w:tc>
        <w:tc>
          <w:tcPr>
            <w:tcW w:w="1451" w:type="dxa"/>
            <w:tcBorders>
              <w:top w:val="nil"/>
              <w:left w:val="nil"/>
              <w:bottom w:val="nil"/>
              <w:right w:val="nil"/>
            </w:tcBorders>
            <w:shd w:val="clear" w:color="auto" w:fill="auto"/>
            <w:noWrap/>
            <w:vAlign w:val="center"/>
            <w:hideMark/>
          </w:tcPr>
          <w:p w:rsidR="00C00DF8" w:rsidRPr="001E3529" w:rsidRDefault="00C00DF8" w:rsidP="00D934C4">
            <w:pPr>
              <w:jc w:val="right"/>
              <w:rPr>
                <w:rFonts w:cs="Calibri"/>
                <w:lang w:eastAsia="en-GB"/>
              </w:rPr>
            </w:pPr>
          </w:p>
        </w:tc>
        <w:tc>
          <w:tcPr>
            <w:tcW w:w="1734" w:type="dxa"/>
            <w:tcBorders>
              <w:top w:val="nil"/>
              <w:left w:val="nil"/>
              <w:bottom w:val="single" w:sz="4" w:space="0" w:color="auto"/>
              <w:right w:val="nil"/>
            </w:tcBorders>
            <w:shd w:val="clear" w:color="auto" w:fill="auto"/>
            <w:noWrap/>
            <w:vAlign w:val="center"/>
          </w:tcPr>
          <w:p w:rsidR="00C00DF8" w:rsidRPr="001E3529" w:rsidRDefault="00C00DF8" w:rsidP="00D934C4">
            <w:pPr>
              <w:jc w:val="right"/>
              <w:rPr>
                <w:rFonts w:cs="Calibri"/>
                <w:lang w:eastAsia="en-GB"/>
              </w:rPr>
            </w:pPr>
            <w:r w:rsidRPr="001E3529">
              <w:rPr>
                <w:rFonts w:cs="Calibri"/>
                <w:lang w:eastAsia="en-GB"/>
              </w:rPr>
              <w:t>(121.8)</w:t>
            </w:r>
          </w:p>
        </w:tc>
      </w:tr>
      <w:tr w:rsidR="00C00DF8" w:rsidRPr="001E3529" w:rsidTr="00D934C4">
        <w:trPr>
          <w:trHeight w:val="417"/>
        </w:trPr>
        <w:tc>
          <w:tcPr>
            <w:tcW w:w="265" w:type="dxa"/>
            <w:tcBorders>
              <w:top w:val="nil"/>
              <w:left w:val="nil"/>
              <w:bottom w:val="nil"/>
              <w:right w:val="nil"/>
            </w:tcBorders>
            <w:shd w:val="clear" w:color="auto" w:fill="auto"/>
            <w:noWrap/>
            <w:vAlign w:val="center"/>
            <w:hideMark/>
          </w:tcPr>
          <w:p w:rsidR="00C00DF8" w:rsidRPr="001E3529" w:rsidRDefault="00C00DF8" w:rsidP="00D934C4">
            <w:pPr>
              <w:jc w:val="right"/>
              <w:rPr>
                <w:rFonts w:cs="Calibri"/>
                <w:color w:val="000000"/>
                <w:lang w:eastAsia="en-GB"/>
              </w:rPr>
            </w:pPr>
          </w:p>
        </w:tc>
        <w:tc>
          <w:tcPr>
            <w:tcW w:w="5274" w:type="dxa"/>
            <w:tcBorders>
              <w:top w:val="nil"/>
              <w:left w:val="nil"/>
              <w:bottom w:val="nil"/>
              <w:right w:val="nil"/>
            </w:tcBorders>
            <w:shd w:val="clear" w:color="auto" w:fill="auto"/>
            <w:noWrap/>
            <w:vAlign w:val="center"/>
            <w:hideMark/>
          </w:tcPr>
          <w:p w:rsidR="00C00DF8" w:rsidRPr="00C05AD5" w:rsidRDefault="00C00DF8" w:rsidP="00D934C4">
            <w:pPr>
              <w:jc w:val="both"/>
              <w:rPr>
                <w:rFonts w:cs="Calibri"/>
                <w:b/>
                <w:lang w:eastAsia="en-GB"/>
              </w:rPr>
            </w:pPr>
            <w:r w:rsidRPr="00C05AD5">
              <w:rPr>
                <w:rFonts w:cs="Calibri"/>
                <w:b/>
                <w:lang w:eastAsia="en-GB"/>
              </w:rPr>
              <w:t>Total DSG after recoupment for 2019-20</w:t>
            </w:r>
          </w:p>
        </w:tc>
        <w:tc>
          <w:tcPr>
            <w:tcW w:w="1341" w:type="dxa"/>
            <w:tcBorders>
              <w:top w:val="nil"/>
              <w:left w:val="nil"/>
              <w:bottom w:val="nil"/>
              <w:right w:val="nil"/>
            </w:tcBorders>
            <w:shd w:val="clear" w:color="auto" w:fill="auto"/>
            <w:noWrap/>
            <w:vAlign w:val="center"/>
            <w:hideMark/>
          </w:tcPr>
          <w:p w:rsidR="00C00DF8" w:rsidRPr="00C05AD5" w:rsidRDefault="00C00DF8" w:rsidP="00D934C4">
            <w:pPr>
              <w:jc w:val="both"/>
              <w:rPr>
                <w:rFonts w:cs="Calibri"/>
                <w:b/>
                <w:lang w:eastAsia="en-GB"/>
              </w:rPr>
            </w:pPr>
          </w:p>
        </w:tc>
        <w:tc>
          <w:tcPr>
            <w:tcW w:w="1451" w:type="dxa"/>
            <w:tcBorders>
              <w:top w:val="nil"/>
              <w:left w:val="nil"/>
              <w:bottom w:val="nil"/>
              <w:right w:val="nil"/>
            </w:tcBorders>
            <w:shd w:val="clear" w:color="auto" w:fill="auto"/>
            <w:noWrap/>
            <w:vAlign w:val="center"/>
            <w:hideMark/>
          </w:tcPr>
          <w:p w:rsidR="00C00DF8" w:rsidRPr="00C05AD5" w:rsidRDefault="00C00DF8" w:rsidP="00D934C4">
            <w:pPr>
              <w:jc w:val="right"/>
              <w:rPr>
                <w:rFonts w:cs="Calibri"/>
                <w:b/>
                <w:lang w:eastAsia="en-GB"/>
              </w:rPr>
            </w:pPr>
          </w:p>
        </w:tc>
        <w:tc>
          <w:tcPr>
            <w:tcW w:w="1734" w:type="dxa"/>
            <w:tcBorders>
              <w:top w:val="nil"/>
              <w:left w:val="nil"/>
              <w:bottom w:val="nil"/>
              <w:right w:val="nil"/>
            </w:tcBorders>
            <w:shd w:val="clear" w:color="auto" w:fill="auto"/>
            <w:noWrap/>
            <w:vAlign w:val="center"/>
          </w:tcPr>
          <w:p w:rsidR="00C00DF8" w:rsidRPr="00C05AD5" w:rsidRDefault="00C00DF8" w:rsidP="00D934C4">
            <w:pPr>
              <w:jc w:val="right"/>
              <w:rPr>
                <w:rFonts w:cs="Calibri"/>
                <w:b/>
                <w:lang w:eastAsia="en-GB"/>
              </w:rPr>
            </w:pPr>
            <w:r w:rsidRPr="00C05AD5">
              <w:rPr>
                <w:rFonts w:cs="Calibri"/>
                <w:b/>
                <w:lang w:eastAsia="en-GB"/>
              </w:rPr>
              <w:t>190.5</w:t>
            </w:r>
          </w:p>
        </w:tc>
      </w:tr>
      <w:tr w:rsidR="00C00DF8" w:rsidRPr="001E3529" w:rsidTr="00D934C4">
        <w:trPr>
          <w:trHeight w:val="417"/>
        </w:trPr>
        <w:tc>
          <w:tcPr>
            <w:tcW w:w="265" w:type="dxa"/>
            <w:tcBorders>
              <w:top w:val="nil"/>
              <w:left w:val="nil"/>
              <w:bottom w:val="nil"/>
              <w:right w:val="nil"/>
            </w:tcBorders>
            <w:shd w:val="clear" w:color="auto" w:fill="auto"/>
            <w:noWrap/>
            <w:vAlign w:val="center"/>
            <w:hideMark/>
          </w:tcPr>
          <w:p w:rsidR="00C00DF8" w:rsidRPr="001E3529" w:rsidRDefault="00C00DF8" w:rsidP="00D934C4">
            <w:pPr>
              <w:jc w:val="right"/>
              <w:rPr>
                <w:rFonts w:cs="Calibri"/>
                <w:color w:val="000000"/>
                <w:lang w:eastAsia="en-GB"/>
              </w:rPr>
            </w:pPr>
          </w:p>
        </w:tc>
        <w:tc>
          <w:tcPr>
            <w:tcW w:w="5274" w:type="dxa"/>
            <w:tcBorders>
              <w:top w:val="nil"/>
              <w:left w:val="nil"/>
              <w:bottom w:val="nil"/>
              <w:right w:val="nil"/>
            </w:tcBorders>
            <w:shd w:val="clear" w:color="auto" w:fill="auto"/>
            <w:noWrap/>
            <w:vAlign w:val="center"/>
            <w:hideMark/>
          </w:tcPr>
          <w:p w:rsidR="00C00DF8" w:rsidRPr="001E3529" w:rsidRDefault="00C00DF8" w:rsidP="00D934C4">
            <w:pPr>
              <w:jc w:val="both"/>
              <w:rPr>
                <w:rFonts w:cs="Calibri"/>
                <w:lang w:eastAsia="en-GB"/>
              </w:rPr>
            </w:pPr>
            <w:r w:rsidRPr="001E3529">
              <w:rPr>
                <w:rFonts w:cs="Calibri"/>
                <w:lang w:eastAsia="en-GB"/>
              </w:rPr>
              <w:t>Plus: Brought Forward from 2018-19</w:t>
            </w:r>
          </w:p>
        </w:tc>
        <w:tc>
          <w:tcPr>
            <w:tcW w:w="1341" w:type="dxa"/>
            <w:tcBorders>
              <w:top w:val="nil"/>
              <w:left w:val="nil"/>
              <w:bottom w:val="nil"/>
              <w:right w:val="nil"/>
            </w:tcBorders>
            <w:shd w:val="clear" w:color="auto" w:fill="auto"/>
            <w:noWrap/>
            <w:vAlign w:val="center"/>
            <w:hideMark/>
          </w:tcPr>
          <w:p w:rsidR="00C00DF8" w:rsidRPr="001E3529" w:rsidRDefault="00C00DF8" w:rsidP="00D934C4">
            <w:pPr>
              <w:jc w:val="both"/>
              <w:rPr>
                <w:rFonts w:cs="Calibri"/>
                <w:lang w:eastAsia="en-GB"/>
              </w:rPr>
            </w:pPr>
          </w:p>
        </w:tc>
        <w:tc>
          <w:tcPr>
            <w:tcW w:w="1451" w:type="dxa"/>
            <w:tcBorders>
              <w:top w:val="nil"/>
              <w:left w:val="nil"/>
              <w:bottom w:val="nil"/>
              <w:right w:val="nil"/>
            </w:tcBorders>
            <w:shd w:val="clear" w:color="auto" w:fill="auto"/>
            <w:noWrap/>
            <w:vAlign w:val="center"/>
            <w:hideMark/>
          </w:tcPr>
          <w:p w:rsidR="00C00DF8" w:rsidRPr="001E3529" w:rsidRDefault="00C00DF8" w:rsidP="00D934C4">
            <w:pPr>
              <w:jc w:val="right"/>
              <w:rPr>
                <w:rFonts w:cs="Calibri"/>
                <w:lang w:eastAsia="en-GB"/>
              </w:rPr>
            </w:pPr>
          </w:p>
        </w:tc>
        <w:tc>
          <w:tcPr>
            <w:tcW w:w="1734" w:type="dxa"/>
            <w:tcBorders>
              <w:top w:val="nil"/>
              <w:left w:val="nil"/>
              <w:bottom w:val="nil"/>
              <w:right w:val="nil"/>
            </w:tcBorders>
            <w:shd w:val="clear" w:color="auto" w:fill="auto"/>
            <w:noWrap/>
            <w:vAlign w:val="center"/>
          </w:tcPr>
          <w:p w:rsidR="00C00DF8" w:rsidRPr="001E3529" w:rsidRDefault="00C00DF8" w:rsidP="00D934C4">
            <w:pPr>
              <w:jc w:val="right"/>
              <w:rPr>
                <w:rFonts w:cs="Calibri"/>
                <w:lang w:eastAsia="en-GB"/>
              </w:rPr>
            </w:pPr>
            <w:r w:rsidRPr="001E3529">
              <w:rPr>
                <w:rFonts w:cs="Calibri"/>
                <w:lang w:eastAsia="en-GB"/>
              </w:rPr>
              <w:t>2.4</w:t>
            </w:r>
          </w:p>
        </w:tc>
      </w:tr>
      <w:tr w:rsidR="00C00DF8" w:rsidRPr="001E3529" w:rsidTr="00D934C4">
        <w:trPr>
          <w:trHeight w:val="417"/>
        </w:trPr>
        <w:tc>
          <w:tcPr>
            <w:tcW w:w="265" w:type="dxa"/>
            <w:tcBorders>
              <w:top w:val="nil"/>
              <w:left w:val="nil"/>
              <w:bottom w:val="nil"/>
              <w:right w:val="nil"/>
            </w:tcBorders>
            <w:shd w:val="clear" w:color="auto" w:fill="auto"/>
            <w:noWrap/>
            <w:vAlign w:val="center"/>
            <w:hideMark/>
          </w:tcPr>
          <w:p w:rsidR="00C00DF8" w:rsidRPr="001E3529" w:rsidRDefault="00C00DF8" w:rsidP="00D934C4">
            <w:pPr>
              <w:jc w:val="right"/>
              <w:rPr>
                <w:rFonts w:cs="Calibri"/>
                <w:color w:val="000000"/>
                <w:lang w:eastAsia="en-GB"/>
              </w:rPr>
            </w:pPr>
          </w:p>
        </w:tc>
        <w:tc>
          <w:tcPr>
            <w:tcW w:w="5274" w:type="dxa"/>
            <w:tcBorders>
              <w:top w:val="nil"/>
              <w:left w:val="nil"/>
              <w:bottom w:val="nil"/>
              <w:right w:val="nil"/>
            </w:tcBorders>
            <w:shd w:val="clear" w:color="auto" w:fill="auto"/>
            <w:noWrap/>
            <w:vAlign w:val="center"/>
            <w:hideMark/>
          </w:tcPr>
          <w:p w:rsidR="00C00DF8" w:rsidRPr="001E3529" w:rsidRDefault="00C00DF8" w:rsidP="00D934C4">
            <w:pPr>
              <w:jc w:val="both"/>
              <w:rPr>
                <w:rFonts w:cs="Calibri"/>
                <w:i/>
                <w:lang w:eastAsia="en-GB"/>
              </w:rPr>
            </w:pPr>
            <w:r w:rsidRPr="001E3529">
              <w:rPr>
                <w:rFonts w:cs="Calibri"/>
                <w:i/>
                <w:lang w:eastAsia="en-GB"/>
              </w:rPr>
              <w:t>Less: Carry Forward to 2020-21 agreed in advance</w:t>
            </w:r>
          </w:p>
        </w:tc>
        <w:tc>
          <w:tcPr>
            <w:tcW w:w="1341" w:type="dxa"/>
            <w:tcBorders>
              <w:top w:val="nil"/>
              <w:left w:val="nil"/>
              <w:bottom w:val="nil"/>
              <w:right w:val="nil"/>
            </w:tcBorders>
            <w:shd w:val="clear" w:color="auto" w:fill="auto"/>
            <w:noWrap/>
            <w:vAlign w:val="center"/>
            <w:hideMark/>
          </w:tcPr>
          <w:p w:rsidR="00C00DF8" w:rsidRPr="001E3529" w:rsidRDefault="00C00DF8" w:rsidP="00D934C4">
            <w:pPr>
              <w:jc w:val="both"/>
              <w:rPr>
                <w:rFonts w:cs="Calibri"/>
                <w:i/>
                <w:lang w:eastAsia="en-GB"/>
              </w:rPr>
            </w:pPr>
          </w:p>
        </w:tc>
        <w:tc>
          <w:tcPr>
            <w:tcW w:w="1451" w:type="dxa"/>
            <w:tcBorders>
              <w:top w:val="nil"/>
              <w:left w:val="nil"/>
              <w:bottom w:val="nil"/>
              <w:right w:val="nil"/>
            </w:tcBorders>
            <w:shd w:val="clear" w:color="auto" w:fill="auto"/>
            <w:noWrap/>
            <w:vAlign w:val="center"/>
            <w:hideMark/>
          </w:tcPr>
          <w:p w:rsidR="00C00DF8" w:rsidRPr="001E3529" w:rsidRDefault="00C00DF8" w:rsidP="00D934C4">
            <w:pPr>
              <w:jc w:val="right"/>
              <w:rPr>
                <w:rFonts w:cs="Calibri"/>
                <w:i/>
                <w:lang w:eastAsia="en-GB"/>
              </w:rPr>
            </w:pPr>
          </w:p>
        </w:tc>
        <w:tc>
          <w:tcPr>
            <w:tcW w:w="1734" w:type="dxa"/>
            <w:tcBorders>
              <w:top w:val="nil"/>
              <w:left w:val="nil"/>
              <w:bottom w:val="single" w:sz="4" w:space="0" w:color="auto"/>
              <w:right w:val="nil"/>
            </w:tcBorders>
            <w:shd w:val="clear" w:color="auto" w:fill="auto"/>
            <w:noWrap/>
            <w:vAlign w:val="center"/>
          </w:tcPr>
          <w:p w:rsidR="00C00DF8" w:rsidRPr="001E3529" w:rsidRDefault="00C00DF8" w:rsidP="00D934C4">
            <w:pPr>
              <w:jc w:val="right"/>
              <w:rPr>
                <w:rFonts w:cs="Calibri"/>
                <w:i/>
                <w:lang w:eastAsia="en-GB"/>
              </w:rPr>
            </w:pPr>
            <w:r w:rsidRPr="001E3529">
              <w:rPr>
                <w:rFonts w:cs="Calibri"/>
                <w:i/>
                <w:lang w:eastAsia="en-GB"/>
              </w:rPr>
              <w:t>(1.0)</w:t>
            </w:r>
          </w:p>
        </w:tc>
      </w:tr>
      <w:tr w:rsidR="00C00DF8" w:rsidRPr="001E3529" w:rsidTr="00D934C4">
        <w:trPr>
          <w:trHeight w:val="417"/>
        </w:trPr>
        <w:tc>
          <w:tcPr>
            <w:tcW w:w="265" w:type="dxa"/>
            <w:tcBorders>
              <w:top w:val="nil"/>
              <w:left w:val="nil"/>
              <w:bottom w:val="nil"/>
              <w:right w:val="nil"/>
            </w:tcBorders>
            <w:shd w:val="clear" w:color="auto" w:fill="auto"/>
            <w:noWrap/>
            <w:vAlign w:val="center"/>
            <w:hideMark/>
          </w:tcPr>
          <w:p w:rsidR="00C00DF8" w:rsidRPr="001E3529" w:rsidRDefault="00C00DF8" w:rsidP="00D934C4">
            <w:pPr>
              <w:jc w:val="right"/>
              <w:rPr>
                <w:rFonts w:cs="Calibri"/>
                <w:color w:val="000000"/>
                <w:lang w:eastAsia="en-GB"/>
              </w:rPr>
            </w:pPr>
          </w:p>
        </w:tc>
        <w:tc>
          <w:tcPr>
            <w:tcW w:w="5274" w:type="dxa"/>
            <w:tcBorders>
              <w:top w:val="nil"/>
              <w:left w:val="nil"/>
              <w:bottom w:val="nil"/>
              <w:right w:val="nil"/>
            </w:tcBorders>
            <w:shd w:val="clear" w:color="auto" w:fill="auto"/>
            <w:noWrap/>
            <w:vAlign w:val="center"/>
            <w:hideMark/>
          </w:tcPr>
          <w:p w:rsidR="00C00DF8" w:rsidRPr="00C05AD5" w:rsidRDefault="00C00DF8" w:rsidP="00D934C4">
            <w:pPr>
              <w:jc w:val="both"/>
              <w:rPr>
                <w:rFonts w:cs="Calibri"/>
                <w:b/>
                <w:lang w:eastAsia="en-GB"/>
              </w:rPr>
            </w:pPr>
            <w:r w:rsidRPr="00C05AD5">
              <w:rPr>
                <w:rFonts w:cs="Calibri"/>
                <w:b/>
                <w:lang w:eastAsia="en-GB"/>
              </w:rPr>
              <w:t>Agreed initial budgeted distribution in 2019-20</w:t>
            </w:r>
          </w:p>
        </w:tc>
        <w:tc>
          <w:tcPr>
            <w:tcW w:w="1341" w:type="dxa"/>
            <w:tcBorders>
              <w:top w:val="nil"/>
              <w:left w:val="nil"/>
              <w:bottom w:val="nil"/>
              <w:right w:val="nil"/>
            </w:tcBorders>
            <w:shd w:val="clear" w:color="auto" w:fill="auto"/>
            <w:noWrap/>
            <w:vAlign w:val="center"/>
          </w:tcPr>
          <w:p w:rsidR="00C00DF8" w:rsidRPr="00C05AD5" w:rsidRDefault="00C00DF8" w:rsidP="00D934C4">
            <w:pPr>
              <w:jc w:val="right"/>
              <w:rPr>
                <w:rFonts w:cs="Calibri"/>
                <w:b/>
                <w:lang w:eastAsia="en-GB"/>
              </w:rPr>
            </w:pPr>
            <w:r w:rsidRPr="00C05AD5">
              <w:rPr>
                <w:rFonts w:cs="Calibri"/>
                <w:b/>
                <w:lang w:eastAsia="en-GB"/>
              </w:rPr>
              <w:t>43.6</w:t>
            </w:r>
          </w:p>
        </w:tc>
        <w:tc>
          <w:tcPr>
            <w:tcW w:w="1451" w:type="dxa"/>
            <w:tcBorders>
              <w:top w:val="nil"/>
              <w:left w:val="nil"/>
              <w:bottom w:val="nil"/>
              <w:right w:val="nil"/>
            </w:tcBorders>
            <w:shd w:val="clear" w:color="auto" w:fill="auto"/>
            <w:noWrap/>
            <w:vAlign w:val="center"/>
          </w:tcPr>
          <w:p w:rsidR="00C00DF8" w:rsidRPr="00C05AD5" w:rsidRDefault="00C00DF8" w:rsidP="00D934C4">
            <w:pPr>
              <w:jc w:val="right"/>
              <w:rPr>
                <w:rFonts w:cs="Calibri"/>
                <w:b/>
                <w:lang w:eastAsia="en-GB"/>
              </w:rPr>
            </w:pPr>
            <w:r w:rsidRPr="00C05AD5">
              <w:rPr>
                <w:rFonts w:cs="Calibri"/>
                <w:b/>
                <w:lang w:eastAsia="en-GB"/>
              </w:rPr>
              <w:t>148.3</w:t>
            </w:r>
          </w:p>
        </w:tc>
        <w:tc>
          <w:tcPr>
            <w:tcW w:w="1734" w:type="dxa"/>
            <w:tcBorders>
              <w:top w:val="nil"/>
              <w:left w:val="nil"/>
              <w:bottom w:val="nil"/>
              <w:right w:val="nil"/>
            </w:tcBorders>
            <w:shd w:val="clear" w:color="auto" w:fill="auto"/>
            <w:noWrap/>
            <w:vAlign w:val="center"/>
          </w:tcPr>
          <w:p w:rsidR="00C00DF8" w:rsidRPr="00C05AD5" w:rsidRDefault="00C00DF8" w:rsidP="00D934C4">
            <w:pPr>
              <w:jc w:val="right"/>
              <w:rPr>
                <w:rFonts w:cs="Calibri"/>
                <w:b/>
                <w:lang w:eastAsia="en-GB"/>
              </w:rPr>
            </w:pPr>
            <w:r w:rsidRPr="00C05AD5">
              <w:rPr>
                <w:rFonts w:cs="Calibri"/>
                <w:b/>
                <w:lang w:eastAsia="en-GB"/>
              </w:rPr>
              <w:t>191.9</w:t>
            </w:r>
          </w:p>
        </w:tc>
      </w:tr>
      <w:tr w:rsidR="00C00DF8" w:rsidRPr="001E3529" w:rsidTr="00D934C4">
        <w:trPr>
          <w:trHeight w:val="417"/>
        </w:trPr>
        <w:tc>
          <w:tcPr>
            <w:tcW w:w="265" w:type="dxa"/>
            <w:tcBorders>
              <w:top w:val="nil"/>
              <w:left w:val="nil"/>
              <w:bottom w:val="nil"/>
              <w:right w:val="nil"/>
            </w:tcBorders>
            <w:shd w:val="clear" w:color="auto" w:fill="auto"/>
            <w:noWrap/>
            <w:vAlign w:val="center"/>
            <w:hideMark/>
          </w:tcPr>
          <w:p w:rsidR="00C00DF8" w:rsidRPr="001E3529" w:rsidRDefault="00C00DF8" w:rsidP="00D934C4">
            <w:pPr>
              <w:jc w:val="right"/>
              <w:rPr>
                <w:rFonts w:cs="Calibri"/>
                <w:color w:val="000000"/>
                <w:lang w:eastAsia="en-GB"/>
              </w:rPr>
            </w:pPr>
          </w:p>
        </w:tc>
        <w:tc>
          <w:tcPr>
            <w:tcW w:w="5274" w:type="dxa"/>
            <w:tcBorders>
              <w:top w:val="nil"/>
              <w:left w:val="nil"/>
              <w:bottom w:val="nil"/>
              <w:right w:val="nil"/>
            </w:tcBorders>
            <w:shd w:val="clear" w:color="auto" w:fill="auto"/>
            <w:noWrap/>
            <w:vAlign w:val="center"/>
            <w:hideMark/>
          </w:tcPr>
          <w:p w:rsidR="00C00DF8" w:rsidRPr="001E3529" w:rsidRDefault="00C00DF8" w:rsidP="00D934C4">
            <w:pPr>
              <w:jc w:val="both"/>
              <w:rPr>
                <w:rFonts w:cs="Calibri"/>
                <w:lang w:eastAsia="en-GB"/>
              </w:rPr>
            </w:pPr>
            <w:r w:rsidRPr="001E3529">
              <w:rPr>
                <w:rFonts w:cs="Calibri"/>
                <w:lang w:eastAsia="en-GB"/>
              </w:rPr>
              <w:t>In year adjustments</w:t>
            </w:r>
          </w:p>
        </w:tc>
        <w:tc>
          <w:tcPr>
            <w:tcW w:w="1341" w:type="dxa"/>
            <w:tcBorders>
              <w:top w:val="nil"/>
              <w:left w:val="nil"/>
              <w:bottom w:val="single" w:sz="4" w:space="0" w:color="auto"/>
              <w:right w:val="nil"/>
            </w:tcBorders>
            <w:shd w:val="clear" w:color="auto" w:fill="auto"/>
            <w:noWrap/>
            <w:vAlign w:val="center"/>
          </w:tcPr>
          <w:p w:rsidR="00C00DF8" w:rsidRPr="001E3529" w:rsidRDefault="00C00DF8" w:rsidP="00D934C4">
            <w:pPr>
              <w:jc w:val="right"/>
              <w:rPr>
                <w:rFonts w:cs="Calibri"/>
                <w:lang w:eastAsia="en-GB"/>
              </w:rPr>
            </w:pPr>
            <w:r w:rsidRPr="001E3529">
              <w:rPr>
                <w:rFonts w:cs="Calibri"/>
                <w:lang w:eastAsia="en-GB"/>
              </w:rPr>
              <w:t>(0.4)</w:t>
            </w:r>
          </w:p>
        </w:tc>
        <w:tc>
          <w:tcPr>
            <w:tcW w:w="1451" w:type="dxa"/>
            <w:tcBorders>
              <w:top w:val="nil"/>
              <w:left w:val="nil"/>
              <w:bottom w:val="single" w:sz="4" w:space="0" w:color="auto"/>
              <w:right w:val="nil"/>
            </w:tcBorders>
            <w:shd w:val="clear" w:color="auto" w:fill="auto"/>
            <w:noWrap/>
            <w:vAlign w:val="center"/>
          </w:tcPr>
          <w:p w:rsidR="00C00DF8" w:rsidRPr="001E3529" w:rsidRDefault="00C00DF8" w:rsidP="00D934C4">
            <w:pPr>
              <w:jc w:val="right"/>
              <w:rPr>
                <w:rFonts w:cs="Calibri"/>
                <w:lang w:eastAsia="en-GB"/>
              </w:rPr>
            </w:pPr>
            <w:r w:rsidRPr="001E3529">
              <w:rPr>
                <w:rFonts w:cs="Calibri"/>
                <w:lang w:eastAsia="en-GB"/>
              </w:rPr>
              <w:t>(1.2)</w:t>
            </w:r>
          </w:p>
        </w:tc>
        <w:tc>
          <w:tcPr>
            <w:tcW w:w="1734" w:type="dxa"/>
            <w:tcBorders>
              <w:top w:val="nil"/>
              <w:left w:val="nil"/>
              <w:bottom w:val="single" w:sz="4" w:space="0" w:color="auto"/>
              <w:right w:val="nil"/>
            </w:tcBorders>
            <w:shd w:val="clear" w:color="auto" w:fill="auto"/>
            <w:noWrap/>
            <w:vAlign w:val="center"/>
          </w:tcPr>
          <w:p w:rsidR="00C00DF8" w:rsidRPr="001E3529" w:rsidRDefault="00C00DF8" w:rsidP="00D934C4">
            <w:pPr>
              <w:jc w:val="right"/>
              <w:rPr>
                <w:rFonts w:cs="Calibri"/>
                <w:lang w:eastAsia="en-GB"/>
              </w:rPr>
            </w:pPr>
            <w:r w:rsidRPr="001E3529">
              <w:rPr>
                <w:rFonts w:cs="Calibri"/>
                <w:lang w:eastAsia="en-GB"/>
              </w:rPr>
              <w:t>(1.6)</w:t>
            </w:r>
          </w:p>
        </w:tc>
      </w:tr>
      <w:tr w:rsidR="00C00DF8" w:rsidRPr="001E3529" w:rsidTr="00D934C4">
        <w:trPr>
          <w:trHeight w:val="417"/>
        </w:trPr>
        <w:tc>
          <w:tcPr>
            <w:tcW w:w="265" w:type="dxa"/>
            <w:tcBorders>
              <w:top w:val="nil"/>
              <w:left w:val="nil"/>
              <w:bottom w:val="nil"/>
              <w:right w:val="nil"/>
            </w:tcBorders>
            <w:shd w:val="clear" w:color="auto" w:fill="auto"/>
            <w:noWrap/>
            <w:vAlign w:val="center"/>
            <w:hideMark/>
          </w:tcPr>
          <w:p w:rsidR="00C00DF8" w:rsidRPr="001E3529" w:rsidRDefault="00C00DF8" w:rsidP="00D934C4">
            <w:pPr>
              <w:jc w:val="right"/>
              <w:rPr>
                <w:rFonts w:cs="Calibri"/>
                <w:color w:val="000000"/>
                <w:lang w:eastAsia="en-GB"/>
              </w:rPr>
            </w:pPr>
          </w:p>
        </w:tc>
        <w:tc>
          <w:tcPr>
            <w:tcW w:w="5274" w:type="dxa"/>
            <w:tcBorders>
              <w:top w:val="nil"/>
              <w:left w:val="nil"/>
              <w:bottom w:val="nil"/>
              <w:right w:val="nil"/>
            </w:tcBorders>
            <w:shd w:val="clear" w:color="auto" w:fill="auto"/>
            <w:noWrap/>
            <w:vAlign w:val="center"/>
            <w:hideMark/>
          </w:tcPr>
          <w:p w:rsidR="00C00DF8" w:rsidRPr="00C05AD5" w:rsidRDefault="00C00DF8" w:rsidP="00D934C4">
            <w:pPr>
              <w:jc w:val="both"/>
              <w:rPr>
                <w:rFonts w:cs="Calibri"/>
                <w:b/>
                <w:lang w:eastAsia="en-GB"/>
              </w:rPr>
            </w:pPr>
            <w:r w:rsidRPr="00C05AD5">
              <w:rPr>
                <w:rFonts w:cs="Calibri"/>
                <w:b/>
                <w:lang w:eastAsia="en-GB"/>
              </w:rPr>
              <w:t>Final budgeted distribution for 2019-20</w:t>
            </w:r>
          </w:p>
        </w:tc>
        <w:tc>
          <w:tcPr>
            <w:tcW w:w="1341" w:type="dxa"/>
            <w:tcBorders>
              <w:top w:val="nil"/>
              <w:left w:val="nil"/>
              <w:bottom w:val="nil"/>
              <w:right w:val="nil"/>
            </w:tcBorders>
            <w:shd w:val="clear" w:color="auto" w:fill="auto"/>
            <w:noWrap/>
            <w:vAlign w:val="center"/>
          </w:tcPr>
          <w:p w:rsidR="00C00DF8" w:rsidRPr="00C05AD5" w:rsidRDefault="00C00DF8" w:rsidP="00D934C4">
            <w:pPr>
              <w:jc w:val="right"/>
              <w:rPr>
                <w:rFonts w:cs="Calibri"/>
                <w:b/>
                <w:lang w:eastAsia="en-GB"/>
              </w:rPr>
            </w:pPr>
            <w:r w:rsidRPr="00C05AD5">
              <w:rPr>
                <w:rFonts w:cs="Calibri"/>
                <w:b/>
                <w:lang w:eastAsia="en-GB"/>
              </w:rPr>
              <w:t>43.2</w:t>
            </w:r>
          </w:p>
        </w:tc>
        <w:tc>
          <w:tcPr>
            <w:tcW w:w="1451" w:type="dxa"/>
            <w:tcBorders>
              <w:top w:val="nil"/>
              <w:left w:val="nil"/>
              <w:bottom w:val="nil"/>
              <w:right w:val="nil"/>
            </w:tcBorders>
            <w:shd w:val="clear" w:color="auto" w:fill="auto"/>
            <w:noWrap/>
            <w:vAlign w:val="center"/>
          </w:tcPr>
          <w:p w:rsidR="00C00DF8" w:rsidRPr="00C05AD5" w:rsidRDefault="00C00DF8" w:rsidP="00D934C4">
            <w:pPr>
              <w:jc w:val="right"/>
              <w:rPr>
                <w:rFonts w:cs="Calibri"/>
                <w:b/>
                <w:lang w:eastAsia="en-GB"/>
              </w:rPr>
            </w:pPr>
            <w:r w:rsidRPr="00C05AD5">
              <w:rPr>
                <w:rFonts w:cs="Calibri"/>
                <w:b/>
                <w:lang w:eastAsia="en-GB"/>
              </w:rPr>
              <w:t>147.1</w:t>
            </w:r>
          </w:p>
        </w:tc>
        <w:tc>
          <w:tcPr>
            <w:tcW w:w="1734" w:type="dxa"/>
            <w:tcBorders>
              <w:top w:val="nil"/>
              <w:left w:val="nil"/>
              <w:bottom w:val="nil"/>
              <w:right w:val="nil"/>
            </w:tcBorders>
            <w:shd w:val="clear" w:color="auto" w:fill="auto"/>
            <w:noWrap/>
            <w:vAlign w:val="center"/>
          </w:tcPr>
          <w:p w:rsidR="00C00DF8" w:rsidRPr="00C05AD5" w:rsidRDefault="00C00DF8" w:rsidP="00D934C4">
            <w:pPr>
              <w:jc w:val="right"/>
              <w:rPr>
                <w:rFonts w:cs="Calibri"/>
                <w:b/>
                <w:lang w:eastAsia="en-GB"/>
              </w:rPr>
            </w:pPr>
            <w:r w:rsidRPr="00C05AD5">
              <w:rPr>
                <w:rFonts w:cs="Calibri"/>
                <w:b/>
                <w:lang w:eastAsia="en-GB"/>
              </w:rPr>
              <w:t>190.3</w:t>
            </w:r>
          </w:p>
        </w:tc>
      </w:tr>
      <w:tr w:rsidR="00C00DF8" w:rsidRPr="001E3529" w:rsidTr="00D934C4">
        <w:trPr>
          <w:trHeight w:val="417"/>
        </w:trPr>
        <w:tc>
          <w:tcPr>
            <w:tcW w:w="265" w:type="dxa"/>
            <w:tcBorders>
              <w:top w:val="nil"/>
              <w:left w:val="nil"/>
              <w:bottom w:val="nil"/>
              <w:right w:val="nil"/>
            </w:tcBorders>
            <w:shd w:val="clear" w:color="auto" w:fill="auto"/>
            <w:noWrap/>
            <w:vAlign w:val="center"/>
            <w:hideMark/>
          </w:tcPr>
          <w:p w:rsidR="00C00DF8" w:rsidRPr="001E3529" w:rsidRDefault="00C00DF8" w:rsidP="00D934C4">
            <w:pPr>
              <w:jc w:val="right"/>
              <w:rPr>
                <w:rFonts w:cs="Calibri"/>
                <w:color w:val="000000"/>
                <w:lang w:eastAsia="en-GB"/>
              </w:rPr>
            </w:pPr>
          </w:p>
        </w:tc>
        <w:tc>
          <w:tcPr>
            <w:tcW w:w="5274" w:type="dxa"/>
            <w:tcBorders>
              <w:top w:val="nil"/>
              <w:left w:val="nil"/>
              <w:bottom w:val="nil"/>
              <w:right w:val="nil"/>
            </w:tcBorders>
            <w:shd w:val="clear" w:color="auto" w:fill="auto"/>
            <w:noWrap/>
            <w:vAlign w:val="center"/>
            <w:hideMark/>
          </w:tcPr>
          <w:p w:rsidR="00C00DF8" w:rsidRPr="001E3529" w:rsidRDefault="00C00DF8" w:rsidP="00D934C4">
            <w:pPr>
              <w:jc w:val="both"/>
              <w:rPr>
                <w:rFonts w:cs="Calibri"/>
                <w:lang w:eastAsia="en-GB"/>
              </w:rPr>
            </w:pPr>
            <w:r w:rsidRPr="001E3529">
              <w:rPr>
                <w:rFonts w:cs="Calibri"/>
                <w:lang w:eastAsia="en-GB"/>
              </w:rPr>
              <w:t>Less: Actual Central Expenditure</w:t>
            </w:r>
          </w:p>
        </w:tc>
        <w:tc>
          <w:tcPr>
            <w:tcW w:w="1341" w:type="dxa"/>
            <w:tcBorders>
              <w:top w:val="nil"/>
              <w:left w:val="nil"/>
              <w:bottom w:val="nil"/>
              <w:right w:val="nil"/>
            </w:tcBorders>
            <w:shd w:val="clear" w:color="auto" w:fill="auto"/>
            <w:noWrap/>
            <w:vAlign w:val="center"/>
          </w:tcPr>
          <w:p w:rsidR="00C00DF8" w:rsidRPr="001E3529" w:rsidRDefault="00C00DF8" w:rsidP="00D934C4">
            <w:pPr>
              <w:jc w:val="right"/>
              <w:rPr>
                <w:rFonts w:cs="Calibri"/>
                <w:lang w:eastAsia="en-GB"/>
              </w:rPr>
            </w:pPr>
            <w:r w:rsidRPr="001E3529">
              <w:rPr>
                <w:rFonts w:cs="Calibri"/>
                <w:lang w:eastAsia="en-GB"/>
              </w:rPr>
              <w:t>(49.1)</w:t>
            </w:r>
          </w:p>
        </w:tc>
        <w:tc>
          <w:tcPr>
            <w:tcW w:w="1451" w:type="dxa"/>
            <w:tcBorders>
              <w:top w:val="nil"/>
              <w:left w:val="nil"/>
              <w:bottom w:val="nil"/>
              <w:right w:val="nil"/>
            </w:tcBorders>
            <w:shd w:val="clear" w:color="auto" w:fill="auto"/>
            <w:noWrap/>
            <w:vAlign w:val="center"/>
          </w:tcPr>
          <w:p w:rsidR="00C00DF8" w:rsidRPr="001E3529" w:rsidRDefault="00C00DF8" w:rsidP="00D934C4">
            <w:pPr>
              <w:jc w:val="right"/>
              <w:rPr>
                <w:rFonts w:cs="Calibri"/>
                <w:lang w:eastAsia="en-GB"/>
              </w:rPr>
            </w:pPr>
          </w:p>
        </w:tc>
        <w:tc>
          <w:tcPr>
            <w:tcW w:w="1734" w:type="dxa"/>
            <w:tcBorders>
              <w:top w:val="nil"/>
              <w:left w:val="nil"/>
              <w:bottom w:val="nil"/>
              <w:right w:val="nil"/>
            </w:tcBorders>
            <w:shd w:val="clear" w:color="auto" w:fill="auto"/>
            <w:noWrap/>
            <w:vAlign w:val="center"/>
          </w:tcPr>
          <w:p w:rsidR="00C00DF8" w:rsidRPr="001E3529" w:rsidRDefault="00C00DF8" w:rsidP="00D934C4">
            <w:pPr>
              <w:jc w:val="right"/>
              <w:rPr>
                <w:rFonts w:cs="Calibri"/>
                <w:lang w:eastAsia="en-GB"/>
              </w:rPr>
            </w:pPr>
            <w:r w:rsidRPr="001E3529">
              <w:rPr>
                <w:rFonts w:cs="Calibri"/>
                <w:lang w:eastAsia="en-GB"/>
              </w:rPr>
              <w:t>(49.1)</w:t>
            </w:r>
          </w:p>
        </w:tc>
      </w:tr>
      <w:tr w:rsidR="00C00DF8" w:rsidRPr="001E3529" w:rsidTr="00D934C4">
        <w:trPr>
          <w:trHeight w:val="417"/>
        </w:trPr>
        <w:tc>
          <w:tcPr>
            <w:tcW w:w="265" w:type="dxa"/>
            <w:tcBorders>
              <w:top w:val="nil"/>
              <w:left w:val="nil"/>
              <w:bottom w:val="nil"/>
              <w:right w:val="nil"/>
            </w:tcBorders>
            <w:shd w:val="clear" w:color="auto" w:fill="auto"/>
            <w:noWrap/>
            <w:vAlign w:val="center"/>
            <w:hideMark/>
          </w:tcPr>
          <w:p w:rsidR="00C00DF8" w:rsidRPr="001E3529" w:rsidRDefault="00C00DF8" w:rsidP="00D934C4">
            <w:pPr>
              <w:jc w:val="right"/>
              <w:rPr>
                <w:rFonts w:cs="Calibri"/>
                <w:color w:val="000000"/>
                <w:lang w:eastAsia="en-GB"/>
              </w:rPr>
            </w:pPr>
          </w:p>
        </w:tc>
        <w:tc>
          <w:tcPr>
            <w:tcW w:w="5274" w:type="dxa"/>
            <w:tcBorders>
              <w:top w:val="nil"/>
              <w:left w:val="nil"/>
              <w:bottom w:val="nil"/>
              <w:right w:val="nil"/>
            </w:tcBorders>
            <w:shd w:val="clear" w:color="auto" w:fill="auto"/>
            <w:noWrap/>
            <w:vAlign w:val="center"/>
            <w:hideMark/>
          </w:tcPr>
          <w:p w:rsidR="00C00DF8" w:rsidRPr="001E3529" w:rsidRDefault="00C00DF8" w:rsidP="00D934C4">
            <w:pPr>
              <w:jc w:val="both"/>
              <w:rPr>
                <w:rFonts w:cs="Calibri"/>
                <w:lang w:eastAsia="en-GB"/>
              </w:rPr>
            </w:pPr>
            <w:r w:rsidRPr="001E3529">
              <w:rPr>
                <w:rFonts w:cs="Calibri"/>
                <w:lang w:eastAsia="en-GB"/>
              </w:rPr>
              <w:t>Less: Actual ISB deployed to schools</w:t>
            </w:r>
          </w:p>
        </w:tc>
        <w:tc>
          <w:tcPr>
            <w:tcW w:w="1341" w:type="dxa"/>
            <w:tcBorders>
              <w:top w:val="nil"/>
              <w:left w:val="nil"/>
              <w:bottom w:val="nil"/>
              <w:right w:val="nil"/>
            </w:tcBorders>
            <w:shd w:val="clear" w:color="auto" w:fill="auto"/>
            <w:noWrap/>
            <w:vAlign w:val="center"/>
          </w:tcPr>
          <w:p w:rsidR="00C00DF8" w:rsidRPr="001E3529" w:rsidRDefault="00C00DF8" w:rsidP="00D934C4">
            <w:pPr>
              <w:jc w:val="both"/>
              <w:rPr>
                <w:rFonts w:cs="Calibri"/>
                <w:lang w:eastAsia="en-GB"/>
              </w:rPr>
            </w:pPr>
          </w:p>
        </w:tc>
        <w:tc>
          <w:tcPr>
            <w:tcW w:w="1451" w:type="dxa"/>
            <w:tcBorders>
              <w:top w:val="nil"/>
              <w:left w:val="nil"/>
              <w:bottom w:val="nil"/>
              <w:right w:val="nil"/>
            </w:tcBorders>
            <w:shd w:val="clear" w:color="auto" w:fill="auto"/>
            <w:noWrap/>
            <w:vAlign w:val="center"/>
          </w:tcPr>
          <w:p w:rsidR="00C00DF8" w:rsidRPr="001E3529" w:rsidRDefault="00C00DF8" w:rsidP="00D934C4">
            <w:pPr>
              <w:jc w:val="right"/>
              <w:rPr>
                <w:rFonts w:cs="Calibri"/>
                <w:lang w:eastAsia="en-GB"/>
              </w:rPr>
            </w:pPr>
            <w:r w:rsidRPr="001E3529">
              <w:rPr>
                <w:rFonts w:cs="Calibri"/>
                <w:lang w:eastAsia="en-GB"/>
              </w:rPr>
              <w:t>(147.1)</w:t>
            </w:r>
          </w:p>
        </w:tc>
        <w:tc>
          <w:tcPr>
            <w:tcW w:w="1734" w:type="dxa"/>
            <w:tcBorders>
              <w:top w:val="nil"/>
              <w:left w:val="nil"/>
              <w:bottom w:val="nil"/>
              <w:right w:val="nil"/>
            </w:tcBorders>
            <w:shd w:val="clear" w:color="auto" w:fill="auto"/>
            <w:noWrap/>
            <w:vAlign w:val="center"/>
          </w:tcPr>
          <w:p w:rsidR="00C00DF8" w:rsidRPr="001E3529" w:rsidRDefault="00C00DF8" w:rsidP="00D934C4">
            <w:pPr>
              <w:jc w:val="right"/>
              <w:rPr>
                <w:rFonts w:cs="Calibri"/>
                <w:lang w:eastAsia="en-GB"/>
              </w:rPr>
            </w:pPr>
            <w:r w:rsidRPr="001E3529">
              <w:rPr>
                <w:rFonts w:cs="Calibri"/>
                <w:lang w:eastAsia="en-GB"/>
              </w:rPr>
              <w:t>(147.1)</w:t>
            </w:r>
          </w:p>
        </w:tc>
      </w:tr>
      <w:tr w:rsidR="00C00DF8" w:rsidRPr="001E3529" w:rsidTr="00D934C4">
        <w:trPr>
          <w:trHeight w:val="417"/>
        </w:trPr>
        <w:tc>
          <w:tcPr>
            <w:tcW w:w="265" w:type="dxa"/>
            <w:tcBorders>
              <w:top w:val="nil"/>
              <w:left w:val="nil"/>
              <w:bottom w:val="nil"/>
              <w:right w:val="nil"/>
            </w:tcBorders>
            <w:shd w:val="clear" w:color="auto" w:fill="auto"/>
            <w:noWrap/>
            <w:vAlign w:val="center"/>
            <w:hideMark/>
          </w:tcPr>
          <w:p w:rsidR="00C00DF8" w:rsidRPr="001E3529" w:rsidRDefault="00C00DF8" w:rsidP="00D934C4">
            <w:pPr>
              <w:jc w:val="right"/>
              <w:rPr>
                <w:rFonts w:cs="Calibri"/>
                <w:color w:val="000000"/>
                <w:lang w:eastAsia="en-GB"/>
              </w:rPr>
            </w:pPr>
          </w:p>
        </w:tc>
        <w:tc>
          <w:tcPr>
            <w:tcW w:w="5274" w:type="dxa"/>
            <w:tcBorders>
              <w:top w:val="nil"/>
              <w:left w:val="nil"/>
              <w:bottom w:val="nil"/>
              <w:right w:val="nil"/>
            </w:tcBorders>
            <w:shd w:val="clear" w:color="auto" w:fill="auto"/>
            <w:noWrap/>
            <w:vAlign w:val="center"/>
            <w:hideMark/>
          </w:tcPr>
          <w:p w:rsidR="00C00DF8" w:rsidRPr="00C05AD5" w:rsidRDefault="00C00DF8" w:rsidP="00D934C4">
            <w:pPr>
              <w:jc w:val="both"/>
              <w:rPr>
                <w:rFonts w:cs="Calibri"/>
                <w:b/>
                <w:lang w:eastAsia="en-GB"/>
              </w:rPr>
            </w:pPr>
            <w:r w:rsidRPr="00C05AD5">
              <w:rPr>
                <w:rFonts w:cs="Calibri"/>
                <w:b/>
                <w:lang w:eastAsia="en-GB"/>
              </w:rPr>
              <w:t>Carry Forward to 2020-21</w:t>
            </w:r>
          </w:p>
        </w:tc>
        <w:tc>
          <w:tcPr>
            <w:tcW w:w="1341" w:type="dxa"/>
            <w:tcBorders>
              <w:top w:val="single" w:sz="4" w:space="0" w:color="auto"/>
              <w:left w:val="nil"/>
              <w:bottom w:val="single" w:sz="4" w:space="0" w:color="auto"/>
              <w:right w:val="nil"/>
            </w:tcBorders>
            <w:shd w:val="clear" w:color="auto" w:fill="auto"/>
            <w:noWrap/>
            <w:vAlign w:val="center"/>
          </w:tcPr>
          <w:p w:rsidR="00C00DF8" w:rsidRPr="00C05AD5" w:rsidRDefault="00C00DF8" w:rsidP="00D934C4">
            <w:pPr>
              <w:jc w:val="right"/>
              <w:rPr>
                <w:rFonts w:cs="Calibri"/>
                <w:b/>
                <w:bCs/>
                <w:lang w:eastAsia="en-GB"/>
              </w:rPr>
            </w:pPr>
            <w:r w:rsidRPr="00C05AD5">
              <w:rPr>
                <w:rFonts w:cs="Calibri"/>
                <w:b/>
                <w:bCs/>
                <w:lang w:eastAsia="en-GB"/>
              </w:rPr>
              <w:t>(5.9)</w:t>
            </w:r>
          </w:p>
        </w:tc>
        <w:tc>
          <w:tcPr>
            <w:tcW w:w="1451" w:type="dxa"/>
            <w:tcBorders>
              <w:top w:val="single" w:sz="4" w:space="0" w:color="auto"/>
              <w:left w:val="nil"/>
              <w:bottom w:val="single" w:sz="4" w:space="0" w:color="auto"/>
              <w:right w:val="nil"/>
            </w:tcBorders>
            <w:shd w:val="clear" w:color="auto" w:fill="auto"/>
            <w:noWrap/>
            <w:vAlign w:val="center"/>
          </w:tcPr>
          <w:p w:rsidR="00C00DF8" w:rsidRPr="00C05AD5" w:rsidRDefault="00C00DF8" w:rsidP="00D934C4">
            <w:pPr>
              <w:jc w:val="right"/>
              <w:rPr>
                <w:rFonts w:cs="Calibri"/>
                <w:b/>
                <w:bCs/>
                <w:lang w:eastAsia="en-GB"/>
              </w:rPr>
            </w:pPr>
            <w:r w:rsidRPr="00C05AD5">
              <w:rPr>
                <w:rFonts w:cs="Calibri"/>
                <w:b/>
                <w:bCs/>
                <w:lang w:eastAsia="en-GB"/>
              </w:rPr>
              <w:t>0.0</w:t>
            </w:r>
          </w:p>
        </w:tc>
        <w:tc>
          <w:tcPr>
            <w:tcW w:w="1734" w:type="dxa"/>
            <w:tcBorders>
              <w:top w:val="single" w:sz="4" w:space="0" w:color="auto"/>
              <w:left w:val="nil"/>
              <w:bottom w:val="single" w:sz="4" w:space="0" w:color="auto"/>
              <w:right w:val="nil"/>
            </w:tcBorders>
            <w:shd w:val="clear" w:color="auto" w:fill="auto"/>
            <w:noWrap/>
            <w:vAlign w:val="center"/>
          </w:tcPr>
          <w:p w:rsidR="00C00DF8" w:rsidRPr="00C05AD5" w:rsidRDefault="00C00DF8" w:rsidP="00D934C4">
            <w:pPr>
              <w:jc w:val="right"/>
              <w:rPr>
                <w:rFonts w:cs="Calibri"/>
                <w:b/>
                <w:bCs/>
                <w:lang w:eastAsia="en-GB"/>
              </w:rPr>
            </w:pPr>
            <w:r w:rsidRPr="00C05AD5">
              <w:rPr>
                <w:rFonts w:cs="Calibri"/>
                <w:b/>
                <w:bCs/>
                <w:lang w:eastAsia="en-GB"/>
              </w:rPr>
              <w:t>(5.9)</w:t>
            </w:r>
          </w:p>
        </w:tc>
      </w:tr>
      <w:tr w:rsidR="00C00DF8" w:rsidRPr="001E3529" w:rsidTr="00D934C4">
        <w:trPr>
          <w:trHeight w:val="417"/>
        </w:trPr>
        <w:tc>
          <w:tcPr>
            <w:tcW w:w="265" w:type="dxa"/>
            <w:tcBorders>
              <w:top w:val="nil"/>
              <w:left w:val="nil"/>
              <w:bottom w:val="nil"/>
              <w:right w:val="nil"/>
            </w:tcBorders>
            <w:shd w:val="clear" w:color="auto" w:fill="auto"/>
            <w:noWrap/>
            <w:vAlign w:val="center"/>
          </w:tcPr>
          <w:p w:rsidR="00C00DF8" w:rsidRPr="001E3529" w:rsidRDefault="00C00DF8" w:rsidP="00D934C4">
            <w:pPr>
              <w:jc w:val="right"/>
              <w:rPr>
                <w:rFonts w:cs="Calibri"/>
                <w:color w:val="000000"/>
                <w:lang w:eastAsia="en-GB"/>
              </w:rPr>
            </w:pPr>
          </w:p>
        </w:tc>
        <w:tc>
          <w:tcPr>
            <w:tcW w:w="5274" w:type="dxa"/>
            <w:tcBorders>
              <w:top w:val="nil"/>
              <w:left w:val="nil"/>
              <w:bottom w:val="nil"/>
              <w:right w:val="nil"/>
            </w:tcBorders>
            <w:shd w:val="clear" w:color="auto" w:fill="auto"/>
            <w:noWrap/>
            <w:vAlign w:val="center"/>
          </w:tcPr>
          <w:p w:rsidR="00C00DF8" w:rsidRPr="001E3529" w:rsidRDefault="00C00DF8" w:rsidP="00D934C4">
            <w:pPr>
              <w:jc w:val="both"/>
              <w:rPr>
                <w:rFonts w:cs="Calibri"/>
                <w:i/>
                <w:color w:val="000000"/>
                <w:lang w:eastAsia="en-GB"/>
              </w:rPr>
            </w:pPr>
            <w:r w:rsidRPr="001E3529">
              <w:rPr>
                <w:rFonts w:cs="Calibri"/>
                <w:i/>
                <w:color w:val="000000"/>
                <w:lang w:eastAsia="en-GB"/>
              </w:rPr>
              <w:t>Plus: Carry Forward to 2020-21 agreed in advance</w:t>
            </w:r>
          </w:p>
        </w:tc>
        <w:tc>
          <w:tcPr>
            <w:tcW w:w="1341" w:type="dxa"/>
            <w:tcBorders>
              <w:top w:val="single" w:sz="4" w:space="0" w:color="auto"/>
              <w:left w:val="nil"/>
              <w:bottom w:val="double" w:sz="6" w:space="0" w:color="auto"/>
              <w:right w:val="nil"/>
            </w:tcBorders>
            <w:shd w:val="clear" w:color="auto" w:fill="auto"/>
            <w:noWrap/>
            <w:vAlign w:val="center"/>
          </w:tcPr>
          <w:p w:rsidR="00C00DF8" w:rsidRPr="001E3529" w:rsidRDefault="00C00DF8" w:rsidP="00D934C4">
            <w:pPr>
              <w:jc w:val="right"/>
              <w:rPr>
                <w:rFonts w:cs="Calibri"/>
                <w:b/>
                <w:bCs/>
                <w:i/>
                <w:color w:val="FF0000"/>
                <w:lang w:eastAsia="en-GB"/>
              </w:rPr>
            </w:pPr>
          </w:p>
        </w:tc>
        <w:tc>
          <w:tcPr>
            <w:tcW w:w="1451" w:type="dxa"/>
            <w:tcBorders>
              <w:top w:val="single" w:sz="4" w:space="0" w:color="auto"/>
              <w:left w:val="nil"/>
              <w:bottom w:val="double" w:sz="6" w:space="0" w:color="auto"/>
              <w:right w:val="nil"/>
            </w:tcBorders>
            <w:shd w:val="clear" w:color="auto" w:fill="auto"/>
            <w:noWrap/>
            <w:vAlign w:val="center"/>
          </w:tcPr>
          <w:p w:rsidR="00C00DF8" w:rsidRPr="001E3529" w:rsidRDefault="00C00DF8" w:rsidP="00D934C4">
            <w:pPr>
              <w:jc w:val="right"/>
              <w:rPr>
                <w:rFonts w:cs="Calibri"/>
                <w:b/>
                <w:bCs/>
                <w:i/>
                <w:color w:val="000000"/>
                <w:lang w:eastAsia="en-GB"/>
              </w:rPr>
            </w:pPr>
          </w:p>
        </w:tc>
        <w:tc>
          <w:tcPr>
            <w:tcW w:w="1734" w:type="dxa"/>
            <w:tcBorders>
              <w:top w:val="single" w:sz="4" w:space="0" w:color="auto"/>
              <w:left w:val="nil"/>
              <w:bottom w:val="double" w:sz="6" w:space="0" w:color="auto"/>
              <w:right w:val="nil"/>
            </w:tcBorders>
            <w:shd w:val="clear" w:color="auto" w:fill="auto"/>
            <w:noWrap/>
            <w:vAlign w:val="center"/>
          </w:tcPr>
          <w:p w:rsidR="00C00DF8" w:rsidRPr="001E3529" w:rsidRDefault="00C00DF8" w:rsidP="00D934C4">
            <w:pPr>
              <w:jc w:val="right"/>
              <w:rPr>
                <w:rFonts w:cs="Calibri"/>
                <w:b/>
                <w:bCs/>
                <w:i/>
                <w:color w:val="FF0000"/>
                <w:lang w:eastAsia="en-GB"/>
              </w:rPr>
            </w:pPr>
            <w:r w:rsidRPr="001E3529">
              <w:rPr>
                <w:rFonts w:cs="Calibri"/>
                <w:b/>
                <w:bCs/>
                <w:i/>
                <w:color w:val="FF0000"/>
                <w:lang w:eastAsia="en-GB"/>
              </w:rPr>
              <w:t>1.0</w:t>
            </w:r>
          </w:p>
        </w:tc>
      </w:tr>
      <w:tr w:rsidR="00C00DF8" w:rsidRPr="001E3529" w:rsidTr="00D934C4">
        <w:trPr>
          <w:trHeight w:val="417"/>
        </w:trPr>
        <w:tc>
          <w:tcPr>
            <w:tcW w:w="265" w:type="dxa"/>
            <w:tcBorders>
              <w:top w:val="nil"/>
              <w:left w:val="nil"/>
              <w:bottom w:val="nil"/>
              <w:right w:val="nil"/>
            </w:tcBorders>
            <w:shd w:val="clear" w:color="auto" w:fill="auto"/>
            <w:noWrap/>
            <w:vAlign w:val="center"/>
          </w:tcPr>
          <w:p w:rsidR="00C00DF8" w:rsidRPr="001E3529" w:rsidRDefault="00C00DF8" w:rsidP="00D934C4">
            <w:pPr>
              <w:jc w:val="right"/>
              <w:rPr>
                <w:rFonts w:cs="Calibri"/>
                <w:color w:val="000000"/>
                <w:lang w:eastAsia="en-GB"/>
              </w:rPr>
            </w:pPr>
          </w:p>
        </w:tc>
        <w:tc>
          <w:tcPr>
            <w:tcW w:w="5274" w:type="dxa"/>
            <w:tcBorders>
              <w:top w:val="nil"/>
              <w:left w:val="nil"/>
              <w:bottom w:val="nil"/>
              <w:right w:val="nil"/>
            </w:tcBorders>
            <w:shd w:val="clear" w:color="auto" w:fill="auto"/>
            <w:noWrap/>
            <w:vAlign w:val="center"/>
          </w:tcPr>
          <w:p w:rsidR="00C00DF8" w:rsidRPr="001E3529" w:rsidRDefault="00C00DF8" w:rsidP="00D934C4">
            <w:pPr>
              <w:jc w:val="both"/>
              <w:rPr>
                <w:rFonts w:cs="Calibri"/>
                <w:color w:val="000000"/>
                <w:lang w:eastAsia="en-GB"/>
              </w:rPr>
            </w:pPr>
            <w:r w:rsidRPr="001E3529">
              <w:rPr>
                <w:rFonts w:cs="Calibri"/>
                <w:color w:val="000000"/>
                <w:lang w:eastAsia="en-GB"/>
              </w:rPr>
              <w:t>Final Carry Forward to 2020-21</w:t>
            </w:r>
          </w:p>
        </w:tc>
        <w:tc>
          <w:tcPr>
            <w:tcW w:w="1341" w:type="dxa"/>
            <w:tcBorders>
              <w:top w:val="single" w:sz="4" w:space="0" w:color="auto"/>
              <w:left w:val="nil"/>
              <w:bottom w:val="double" w:sz="6" w:space="0" w:color="auto"/>
              <w:right w:val="nil"/>
            </w:tcBorders>
            <w:shd w:val="clear" w:color="auto" w:fill="auto"/>
            <w:noWrap/>
            <w:vAlign w:val="center"/>
          </w:tcPr>
          <w:p w:rsidR="00C00DF8" w:rsidRPr="001E3529" w:rsidRDefault="00C00DF8" w:rsidP="00D934C4">
            <w:pPr>
              <w:jc w:val="right"/>
              <w:rPr>
                <w:rFonts w:cs="Calibri"/>
                <w:b/>
                <w:bCs/>
                <w:color w:val="FF0000"/>
                <w:lang w:eastAsia="en-GB"/>
              </w:rPr>
            </w:pPr>
          </w:p>
        </w:tc>
        <w:tc>
          <w:tcPr>
            <w:tcW w:w="1451" w:type="dxa"/>
            <w:tcBorders>
              <w:top w:val="single" w:sz="4" w:space="0" w:color="auto"/>
              <w:left w:val="nil"/>
              <w:bottom w:val="double" w:sz="6" w:space="0" w:color="auto"/>
              <w:right w:val="nil"/>
            </w:tcBorders>
            <w:shd w:val="clear" w:color="auto" w:fill="auto"/>
            <w:noWrap/>
            <w:vAlign w:val="center"/>
          </w:tcPr>
          <w:p w:rsidR="00C00DF8" w:rsidRPr="001E3529" w:rsidRDefault="00C00DF8" w:rsidP="00D934C4">
            <w:pPr>
              <w:jc w:val="right"/>
              <w:rPr>
                <w:rFonts w:cs="Calibri"/>
                <w:b/>
                <w:bCs/>
                <w:color w:val="000000"/>
                <w:lang w:eastAsia="en-GB"/>
              </w:rPr>
            </w:pPr>
          </w:p>
        </w:tc>
        <w:tc>
          <w:tcPr>
            <w:tcW w:w="1734" w:type="dxa"/>
            <w:tcBorders>
              <w:top w:val="single" w:sz="4" w:space="0" w:color="auto"/>
              <w:left w:val="nil"/>
              <w:bottom w:val="double" w:sz="6" w:space="0" w:color="auto"/>
              <w:right w:val="nil"/>
            </w:tcBorders>
            <w:shd w:val="clear" w:color="auto" w:fill="auto"/>
            <w:noWrap/>
            <w:vAlign w:val="center"/>
          </w:tcPr>
          <w:p w:rsidR="00C00DF8" w:rsidRPr="001E3529" w:rsidRDefault="00C00DF8" w:rsidP="00D934C4">
            <w:pPr>
              <w:jc w:val="right"/>
              <w:rPr>
                <w:rFonts w:cs="Calibri"/>
                <w:b/>
                <w:bCs/>
                <w:color w:val="FF0000"/>
                <w:lang w:eastAsia="en-GB"/>
              </w:rPr>
            </w:pPr>
            <w:r w:rsidRPr="001E3529">
              <w:rPr>
                <w:rFonts w:cs="Calibri"/>
                <w:b/>
                <w:bCs/>
                <w:color w:val="FF0000"/>
                <w:lang w:eastAsia="en-GB"/>
              </w:rPr>
              <w:t>(4.9)</w:t>
            </w:r>
          </w:p>
        </w:tc>
      </w:tr>
    </w:tbl>
    <w:p w:rsidR="00C00DF8" w:rsidRDefault="00C00DF8" w:rsidP="00F72906"/>
    <w:p w:rsidR="00F72906" w:rsidRDefault="00F72906" w:rsidP="00C00DF8">
      <w:pPr>
        <w:pStyle w:val="Heading3"/>
      </w:pPr>
      <w:r>
        <w:t>Note 2</w:t>
      </w:r>
      <w:r w:rsidR="007058D0">
        <w:t>2</w:t>
      </w:r>
      <w:r>
        <w:t xml:space="preserve"> – Related Party Transactions</w:t>
      </w:r>
    </w:p>
    <w:p w:rsidR="00F72906" w:rsidRDefault="00F72906" w:rsidP="00F72906">
      <w:r>
        <w:t>The Council is required to disclose material transactions with related parties – bodies or individuals that have the potential to control or influence the Council or to be controlle</w:t>
      </w:r>
      <w:r w:rsidR="00C00DF8">
        <w:t>d or influenced by the Council.</w:t>
      </w:r>
    </w:p>
    <w:p w:rsidR="00F72906" w:rsidRDefault="00F72906" w:rsidP="00F72906">
      <w:r>
        <w:t>Councillors and Chief Officers complete related par</w:t>
      </w:r>
      <w:r w:rsidR="00C00DF8">
        <w:t>ty transaction forms each year.</w:t>
      </w:r>
    </w:p>
    <w:p w:rsidR="00F72906" w:rsidRDefault="00F72906" w:rsidP="00F72906">
      <w:r>
        <w:t>A number of voluntary organisations that received grants from the London Borough of Brent in 2019/20 have Brent Members as Di</w:t>
      </w:r>
      <w:r w:rsidR="00C00DF8">
        <w:t>rectors, Trustees or employees.</w:t>
      </w:r>
    </w:p>
    <w:p w:rsidR="00F72906" w:rsidRDefault="00F72906" w:rsidP="00F72906">
      <w:r>
        <w:t>There were no material transactions disclosed in the Declarations of Related Party Transactions for</w:t>
      </w:r>
      <w:r w:rsidR="00C00DF8">
        <w:t xml:space="preserve"> 2019/20 obtained from Members.</w:t>
      </w:r>
    </w:p>
    <w:p w:rsidR="00F72906" w:rsidRDefault="00F72906" w:rsidP="00F72906">
      <w:r>
        <w:t>London Borough of Brent Pension Fund - administrative support is provided to the Fund. The Pension Fund’s accounts are shown separately in this document. The Council charged the Pension Fund £0.997m for administering the fund in 2019/20 (£0. 916m was charged in 201</w:t>
      </w:r>
      <w:r w:rsidR="00C00DF8">
        <w:t xml:space="preserve">8/19). </w:t>
      </w:r>
    </w:p>
    <w:p w:rsidR="00F72906" w:rsidRDefault="00F72906" w:rsidP="00F72906">
      <w:r>
        <w:t xml:space="preserve">Pooled Budgets - Details of partnerships with NHS Brent CCG and the North West London Mental Health Trust are shown in Note 16 to </w:t>
      </w:r>
      <w:r w:rsidR="00C00DF8">
        <w:t xml:space="preserve">the Core Financial Statements. </w:t>
      </w:r>
    </w:p>
    <w:p w:rsidR="00F72906" w:rsidRDefault="00F72906" w:rsidP="00F72906">
      <w:r>
        <w:t>Subsidiary Companies - Brent has a number of subsidiaries including First Wave Housing (FWH) (formerly Brent Housing Partnership (BHP)), LGA Digital and I4B Holdings Limited (formerly In</w:t>
      </w:r>
      <w:r w:rsidR="00C00DF8">
        <w:t>vesting 4 Brent Limited (I4B)).</w:t>
      </w:r>
    </w:p>
    <w:p w:rsidR="00F72906" w:rsidRPr="00C00DF8" w:rsidRDefault="00C00DF8" w:rsidP="00F72906">
      <w:pPr>
        <w:rPr>
          <w:b/>
        </w:rPr>
      </w:pPr>
      <w:r>
        <w:rPr>
          <w:b/>
        </w:rPr>
        <w:t>FWH</w:t>
      </w:r>
    </w:p>
    <w:p w:rsidR="00F72906" w:rsidRDefault="00F72906" w:rsidP="00F72906">
      <w:r>
        <w:t>Total expenditure transactions with the Council this year were £2.5m, of which £0.7m was charged as part of the current SLA agreement and £1.8m for costs paid by the Council on behalf of FWH and recharged back. The Council also received £ 2.04m in interest for loans to FWH in 2019/20 (£2.08m in 2018/19). As of 31st March 2020, there were outstanding loans to Brent Council totalling £ 36.8m (£37.7m in 2018/19), which are secured against the company’s 332 properties. The board of directors for FWH housing include the Strategic Director for Children and Young Peopl</w:t>
      </w:r>
      <w:r w:rsidR="00C00DF8">
        <w:t xml:space="preserve">e and Councillor George Crane. </w:t>
      </w:r>
    </w:p>
    <w:p w:rsidR="00F72906" w:rsidRPr="00C00DF8" w:rsidRDefault="00F72906" w:rsidP="00F72906">
      <w:pPr>
        <w:rPr>
          <w:b/>
        </w:rPr>
      </w:pPr>
      <w:r w:rsidRPr="00C00DF8">
        <w:rPr>
          <w:b/>
        </w:rPr>
        <w:t>I4B</w:t>
      </w:r>
    </w:p>
    <w:p w:rsidR="00F72906" w:rsidRDefault="00F72906" w:rsidP="00F72906">
      <w:r>
        <w:t xml:space="preserve">I4B Holdings Limited is a company wholly owned by Brent Council that was incorporated on the 16 December 2016. The primary purpose of the company is to deliver the housing options defined in the </w:t>
      </w:r>
      <w:r>
        <w:lastRenderedPageBreak/>
        <w:t>Temporary Accommodation reform plan. As at 31st March 2020, Brent Council had provided loans totalling £107.4m to I4B (£79.3m in 2018/19), which are secured against the company’s 280 properties. The board of directors for I4B includes the Strategic Director for Children and Young People and the director for Performance Policy &amp; Partnerships as w</w:t>
      </w:r>
      <w:r w:rsidR="00C00DF8">
        <w:t>ell as Councillor George Crane.</w:t>
      </w:r>
    </w:p>
    <w:p w:rsidR="00F72906" w:rsidRPr="00C00DF8" w:rsidRDefault="00C00DF8" w:rsidP="00F72906">
      <w:pPr>
        <w:rPr>
          <w:b/>
        </w:rPr>
      </w:pPr>
      <w:r>
        <w:rPr>
          <w:b/>
        </w:rPr>
        <w:t xml:space="preserve">LGA digital </w:t>
      </w:r>
    </w:p>
    <w:p w:rsidR="00F72906" w:rsidRDefault="00F72906" w:rsidP="00F72906">
      <w:r>
        <w:t>The council entered into an agreement to partner with the Local Government Association for the provision of ICT services, including the implementation of new infrastructure for their offices, the hosting of their ICT services at the Brent Data Centres, and the ongoing provision of ICT support se</w:t>
      </w:r>
      <w:r w:rsidR="00C00DF8">
        <w:t xml:space="preserve">rvices on the 27 January 2016. </w:t>
      </w:r>
    </w:p>
    <w:p w:rsidR="00F72906" w:rsidRDefault="00F72906" w:rsidP="00F72906">
      <w:r>
        <w:t>The council established a company that is 50% owned by the council and 50% by the Local Government Association to facilitate this arrangement. The board of directors for this organisatio</w:t>
      </w:r>
      <w:r w:rsidR="00C00DF8">
        <w:t>n includes the Finance Director</w:t>
      </w:r>
    </w:p>
    <w:p w:rsidR="00F72906" w:rsidRPr="00C00DF8" w:rsidRDefault="00F72906" w:rsidP="00F72906">
      <w:pPr>
        <w:rPr>
          <w:b/>
        </w:rPr>
      </w:pPr>
      <w:r w:rsidRPr="00C00DF8">
        <w:rPr>
          <w:b/>
        </w:rPr>
        <w:t>Barham Park</w:t>
      </w:r>
    </w:p>
    <w:p w:rsidR="00F72906" w:rsidRDefault="00F72906" w:rsidP="00F72906">
      <w:r>
        <w:t>Barham Park Trust is a charity that that is controlled by the council as a result of the council appointing all the trustees and is included in Brent's Group accounts as a subsidiary. Brent held £0.5m on b</w:t>
      </w:r>
      <w:r w:rsidR="00C00DF8">
        <w:t>ehalf of the Barham Park Trust.</w:t>
      </w:r>
    </w:p>
    <w:p w:rsidR="00F72906" w:rsidRDefault="00F72906" w:rsidP="00F72906">
      <w:r>
        <w:t xml:space="preserve">The Group Accounts can be found later in this document and combine the accounts of Brent, FWH, I4B, Barham Park </w:t>
      </w:r>
      <w:r w:rsidR="00C00DF8">
        <w:t>Trust and LGA Digital Services.</w:t>
      </w:r>
    </w:p>
    <w:p w:rsidR="00F72906" w:rsidRPr="00C00DF8" w:rsidRDefault="00C00DF8" w:rsidP="00F72906">
      <w:pPr>
        <w:rPr>
          <w:b/>
        </w:rPr>
      </w:pPr>
      <w:r>
        <w:rPr>
          <w:b/>
        </w:rPr>
        <w:t>Locata</w:t>
      </w:r>
    </w:p>
    <w:p w:rsidR="00F72906" w:rsidRDefault="00F72906" w:rsidP="00F72906">
      <w:r>
        <w:t>Brent, in partnership with other London boroughs and Housing Associations, is operating a joint lettings scheme for housing tenants. A company called Locata (Housing Services) Limited has</w:t>
      </w:r>
      <w:r w:rsidR="00C00DF8">
        <w:t xml:space="preserve"> been set up for this purpose. </w:t>
      </w:r>
    </w:p>
    <w:p w:rsidR="00F72906" w:rsidRDefault="00F72906" w:rsidP="00F72906">
      <w:r>
        <w:t xml:space="preserve">Brent is liable to contribute to the debts and liabilities of Locata up to £10, if it was wound up. </w:t>
      </w:r>
    </w:p>
    <w:p w:rsidR="00F72906" w:rsidRDefault="00F72906" w:rsidP="00F72906">
      <w:r>
        <w:t>Locata’s accounts have not been consolidated into Brent’s group accounts because the sums involved are not material to the Council’s accounts and because Brent has limited influence on the company (less than 20</w:t>
      </w:r>
      <w:r w:rsidR="00C00DF8">
        <w:t>% voting rights).</w:t>
      </w:r>
    </w:p>
    <w:p w:rsidR="00C00DF8" w:rsidRDefault="00F72906" w:rsidP="00F72906">
      <w:pPr>
        <w:sectPr w:rsidR="00C00DF8" w:rsidSect="00DC2F2A">
          <w:pgSz w:w="11906" w:h="16838"/>
          <w:pgMar w:top="1440" w:right="1440" w:bottom="1440" w:left="709" w:header="708" w:footer="708" w:gutter="0"/>
          <w:cols w:space="708"/>
          <w:docGrid w:linePitch="360"/>
        </w:sectPr>
      </w:pPr>
      <w:r>
        <w:t>A copy of Locata’s accounts can be obtained from Companies Ho</w:t>
      </w:r>
      <w:r w:rsidR="00C00DF8">
        <w:t>use: www.companieshouse.gov.uk.</w:t>
      </w:r>
    </w:p>
    <w:p w:rsidR="00F72906" w:rsidRDefault="00F72906" w:rsidP="00F72906"/>
    <w:p w:rsidR="00F72906" w:rsidRDefault="007058D0" w:rsidP="00C00DF8">
      <w:pPr>
        <w:pStyle w:val="Heading3"/>
      </w:pPr>
      <w:r>
        <w:t>Note 23</w:t>
      </w:r>
      <w:r w:rsidR="00F72906">
        <w:t xml:space="preserve"> – Capital Expenditure and Capital Financing</w:t>
      </w:r>
    </w:p>
    <w:p w:rsidR="00C00DF8" w:rsidRDefault="00C00DF8" w:rsidP="00F72906"/>
    <w:tbl>
      <w:tblPr>
        <w:tblW w:w="11500" w:type="dxa"/>
        <w:tblLook w:val="04A0" w:firstRow="1" w:lastRow="0" w:firstColumn="1" w:lastColumn="0" w:noHBand="0" w:noVBand="1"/>
        <w:tblCaption w:val="Note 23"/>
      </w:tblPr>
      <w:tblGrid>
        <w:gridCol w:w="1136"/>
        <w:gridCol w:w="1136"/>
        <w:gridCol w:w="1136"/>
        <w:gridCol w:w="4684"/>
        <w:gridCol w:w="1136"/>
        <w:gridCol w:w="1136"/>
        <w:gridCol w:w="1136"/>
      </w:tblGrid>
      <w:tr w:rsidR="007058D0" w:rsidRPr="007D1F2E" w:rsidTr="007058D0">
        <w:trPr>
          <w:trHeight w:val="285"/>
          <w:tblHeader/>
        </w:trPr>
        <w:tc>
          <w:tcPr>
            <w:tcW w:w="1136" w:type="dxa"/>
            <w:tcBorders>
              <w:top w:val="nil"/>
              <w:left w:val="nil"/>
              <w:bottom w:val="nil"/>
              <w:right w:val="nil"/>
            </w:tcBorders>
            <w:shd w:val="clear" w:color="000000" w:fill="FFFFFF"/>
            <w:noWrap/>
            <w:vAlign w:val="center"/>
            <w:hideMark/>
          </w:tcPr>
          <w:p w:rsidR="007058D0" w:rsidRPr="007D1F2E" w:rsidRDefault="007058D0" w:rsidP="00891A96">
            <w:pPr>
              <w:jc w:val="right"/>
              <w:rPr>
                <w:rFonts w:cs="Calibri"/>
                <w:b/>
                <w:bCs/>
                <w:color w:val="000000"/>
                <w:sz w:val="20"/>
                <w:szCs w:val="20"/>
                <w:lang w:eastAsia="en-GB"/>
              </w:rPr>
            </w:pPr>
            <w:r w:rsidRPr="007D1F2E">
              <w:rPr>
                <w:rFonts w:cs="Calibri"/>
                <w:b/>
                <w:bCs/>
                <w:color w:val="000000"/>
                <w:sz w:val="20"/>
                <w:szCs w:val="20"/>
                <w:lang w:eastAsia="en-GB"/>
              </w:rPr>
              <w:t>2018/19</w:t>
            </w:r>
          </w:p>
        </w:tc>
        <w:tc>
          <w:tcPr>
            <w:tcW w:w="1136" w:type="dxa"/>
            <w:tcBorders>
              <w:top w:val="nil"/>
              <w:left w:val="nil"/>
              <w:bottom w:val="nil"/>
              <w:right w:val="nil"/>
            </w:tcBorders>
            <w:shd w:val="clear" w:color="000000" w:fill="FFFFFF"/>
            <w:noWrap/>
            <w:vAlign w:val="center"/>
            <w:hideMark/>
          </w:tcPr>
          <w:p w:rsidR="007058D0" w:rsidRPr="007D1F2E" w:rsidRDefault="007058D0" w:rsidP="00891A96">
            <w:pPr>
              <w:jc w:val="right"/>
              <w:rPr>
                <w:rFonts w:cs="Calibri"/>
                <w:b/>
                <w:bCs/>
                <w:color w:val="000000"/>
                <w:sz w:val="20"/>
                <w:szCs w:val="20"/>
                <w:lang w:eastAsia="en-GB"/>
              </w:rPr>
            </w:pPr>
            <w:r w:rsidRPr="007D1F2E">
              <w:rPr>
                <w:rFonts w:cs="Calibri"/>
                <w:b/>
                <w:bCs/>
                <w:color w:val="000000"/>
                <w:sz w:val="20"/>
                <w:szCs w:val="20"/>
                <w:lang w:eastAsia="en-GB"/>
              </w:rPr>
              <w:t>2018/19</w:t>
            </w:r>
          </w:p>
        </w:tc>
        <w:tc>
          <w:tcPr>
            <w:tcW w:w="1136" w:type="dxa"/>
            <w:tcBorders>
              <w:top w:val="nil"/>
              <w:left w:val="nil"/>
              <w:bottom w:val="nil"/>
              <w:right w:val="nil"/>
            </w:tcBorders>
            <w:shd w:val="clear" w:color="000000" w:fill="FFFFFF"/>
            <w:noWrap/>
            <w:vAlign w:val="center"/>
            <w:hideMark/>
          </w:tcPr>
          <w:p w:rsidR="007058D0" w:rsidRPr="007D1F2E" w:rsidRDefault="007058D0" w:rsidP="00891A96">
            <w:pPr>
              <w:jc w:val="right"/>
              <w:rPr>
                <w:rFonts w:cs="Calibri"/>
                <w:b/>
                <w:bCs/>
                <w:color w:val="000000"/>
                <w:sz w:val="20"/>
                <w:szCs w:val="20"/>
                <w:lang w:eastAsia="en-GB"/>
              </w:rPr>
            </w:pPr>
            <w:r w:rsidRPr="007D1F2E">
              <w:rPr>
                <w:rFonts w:cs="Calibri"/>
                <w:b/>
                <w:bCs/>
                <w:color w:val="000000"/>
                <w:sz w:val="20"/>
                <w:szCs w:val="20"/>
                <w:lang w:eastAsia="en-GB"/>
              </w:rPr>
              <w:t>2018/19</w:t>
            </w:r>
          </w:p>
        </w:tc>
        <w:tc>
          <w:tcPr>
            <w:tcW w:w="4684" w:type="dxa"/>
            <w:tcBorders>
              <w:top w:val="nil"/>
              <w:left w:val="nil"/>
              <w:bottom w:val="nil"/>
              <w:right w:val="nil"/>
            </w:tcBorders>
            <w:shd w:val="clear" w:color="000000" w:fill="FFFFFF"/>
            <w:vAlign w:val="center"/>
            <w:hideMark/>
          </w:tcPr>
          <w:p w:rsidR="007058D0" w:rsidRPr="007D1F2E" w:rsidRDefault="007058D0" w:rsidP="00891A96">
            <w:pPr>
              <w:rPr>
                <w:rFonts w:cs="Calibri"/>
                <w:color w:val="000000"/>
                <w:sz w:val="20"/>
                <w:szCs w:val="20"/>
                <w:lang w:eastAsia="en-GB"/>
              </w:rPr>
            </w:pPr>
            <w:r w:rsidRPr="007D1F2E">
              <w:rPr>
                <w:rFonts w:cs="Calibri"/>
                <w:color w:val="000000"/>
                <w:sz w:val="20"/>
                <w:szCs w:val="20"/>
                <w:lang w:eastAsia="en-GB"/>
              </w:rPr>
              <w:t> </w:t>
            </w:r>
          </w:p>
        </w:tc>
        <w:tc>
          <w:tcPr>
            <w:tcW w:w="1136" w:type="dxa"/>
            <w:tcBorders>
              <w:top w:val="nil"/>
              <w:left w:val="nil"/>
              <w:bottom w:val="nil"/>
              <w:right w:val="nil"/>
            </w:tcBorders>
            <w:shd w:val="clear" w:color="000000" w:fill="FFFFFF"/>
            <w:noWrap/>
            <w:vAlign w:val="center"/>
            <w:hideMark/>
          </w:tcPr>
          <w:p w:rsidR="007058D0" w:rsidRPr="007D1F2E" w:rsidRDefault="007058D0" w:rsidP="00891A96">
            <w:pPr>
              <w:jc w:val="right"/>
              <w:rPr>
                <w:rFonts w:cs="Calibri"/>
                <w:b/>
                <w:bCs/>
                <w:color w:val="000000"/>
                <w:sz w:val="20"/>
                <w:szCs w:val="20"/>
                <w:lang w:eastAsia="en-GB"/>
              </w:rPr>
            </w:pPr>
            <w:r w:rsidRPr="007D1F2E">
              <w:rPr>
                <w:rFonts w:cs="Calibri"/>
                <w:b/>
                <w:bCs/>
                <w:color w:val="000000"/>
                <w:sz w:val="20"/>
                <w:szCs w:val="20"/>
                <w:lang w:eastAsia="en-GB"/>
              </w:rPr>
              <w:t>2019/20</w:t>
            </w:r>
          </w:p>
        </w:tc>
        <w:tc>
          <w:tcPr>
            <w:tcW w:w="1136" w:type="dxa"/>
            <w:tcBorders>
              <w:top w:val="nil"/>
              <w:left w:val="nil"/>
              <w:bottom w:val="nil"/>
              <w:right w:val="nil"/>
            </w:tcBorders>
            <w:shd w:val="clear" w:color="000000" w:fill="FFFFFF"/>
            <w:noWrap/>
            <w:vAlign w:val="center"/>
            <w:hideMark/>
          </w:tcPr>
          <w:p w:rsidR="007058D0" w:rsidRPr="007D1F2E" w:rsidRDefault="007058D0" w:rsidP="00891A96">
            <w:pPr>
              <w:jc w:val="right"/>
              <w:rPr>
                <w:rFonts w:cs="Calibri"/>
                <w:b/>
                <w:bCs/>
                <w:color w:val="000000"/>
                <w:sz w:val="20"/>
                <w:szCs w:val="20"/>
                <w:lang w:eastAsia="en-GB"/>
              </w:rPr>
            </w:pPr>
            <w:r w:rsidRPr="007D1F2E">
              <w:rPr>
                <w:rFonts w:cs="Calibri"/>
                <w:b/>
                <w:bCs/>
                <w:color w:val="000000"/>
                <w:sz w:val="20"/>
                <w:szCs w:val="20"/>
                <w:lang w:eastAsia="en-GB"/>
              </w:rPr>
              <w:t>2019/20</w:t>
            </w:r>
          </w:p>
        </w:tc>
        <w:tc>
          <w:tcPr>
            <w:tcW w:w="1136" w:type="dxa"/>
            <w:tcBorders>
              <w:top w:val="nil"/>
              <w:left w:val="nil"/>
              <w:bottom w:val="nil"/>
              <w:right w:val="nil"/>
            </w:tcBorders>
            <w:shd w:val="clear" w:color="000000" w:fill="FFFFFF"/>
            <w:noWrap/>
            <w:vAlign w:val="center"/>
            <w:hideMark/>
          </w:tcPr>
          <w:p w:rsidR="007058D0" w:rsidRPr="007D1F2E" w:rsidRDefault="007058D0" w:rsidP="00891A96">
            <w:pPr>
              <w:jc w:val="right"/>
              <w:rPr>
                <w:rFonts w:cs="Calibri"/>
                <w:b/>
                <w:bCs/>
                <w:color w:val="000000"/>
                <w:sz w:val="20"/>
                <w:szCs w:val="20"/>
                <w:lang w:eastAsia="en-GB"/>
              </w:rPr>
            </w:pPr>
            <w:r w:rsidRPr="007D1F2E">
              <w:rPr>
                <w:rFonts w:cs="Calibri"/>
                <w:b/>
                <w:bCs/>
                <w:color w:val="000000"/>
                <w:sz w:val="20"/>
                <w:szCs w:val="20"/>
                <w:lang w:eastAsia="en-GB"/>
              </w:rPr>
              <w:t>2019/20</w:t>
            </w:r>
          </w:p>
        </w:tc>
      </w:tr>
      <w:tr w:rsidR="007058D0" w:rsidRPr="007D1F2E" w:rsidTr="007058D0">
        <w:trPr>
          <w:trHeight w:val="345"/>
          <w:tblHeader/>
        </w:trPr>
        <w:tc>
          <w:tcPr>
            <w:tcW w:w="1136" w:type="dxa"/>
            <w:tcBorders>
              <w:top w:val="nil"/>
              <w:left w:val="nil"/>
              <w:bottom w:val="nil"/>
              <w:right w:val="nil"/>
            </w:tcBorders>
            <w:shd w:val="clear" w:color="000000" w:fill="FFFFFF"/>
            <w:noWrap/>
            <w:vAlign w:val="center"/>
            <w:hideMark/>
          </w:tcPr>
          <w:p w:rsidR="007058D0" w:rsidRPr="007D1F2E" w:rsidRDefault="007058D0" w:rsidP="00891A96">
            <w:pPr>
              <w:jc w:val="right"/>
              <w:rPr>
                <w:rFonts w:cs="Calibri"/>
                <w:b/>
                <w:bCs/>
                <w:color w:val="000000"/>
                <w:sz w:val="20"/>
                <w:szCs w:val="20"/>
                <w:lang w:eastAsia="en-GB"/>
              </w:rPr>
            </w:pPr>
            <w:r w:rsidRPr="007D1F2E">
              <w:rPr>
                <w:rFonts w:cs="Calibri"/>
                <w:b/>
                <w:bCs/>
                <w:color w:val="000000"/>
                <w:sz w:val="20"/>
                <w:szCs w:val="20"/>
                <w:lang w:eastAsia="en-GB"/>
              </w:rPr>
              <w:t>£m</w:t>
            </w:r>
          </w:p>
        </w:tc>
        <w:tc>
          <w:tcPr>
            <w:tcW w:w="1136" w:type="dxa"/>
            <w:tcBorders>
              <w:top w:val="nil"/>
              <w:left w:val="nil"/>
              <w:bottom w:val="nil"/>
              <w:right w:val="nil"/>
            </w:tcBorders>
            <w:shd w:val="clear" w:color="000000" w:fill="FFFFFF"/>
            <w:noWrap/>
            <w:vAlign w:val="center"/>
            <w:hideMark/>
          </w:tcPr>
          <w:p w:rsidR="007058D0" w:rsidRPr="007D1F2E" w:rsidRDefault="007058D0" w:rsidP="00891A96">
            <w:pPr>
              <w:jc w:val="right"/>
              <w:rPr>
                <w:rFonts w:cs="Calibri"/>
                <w:b/>
                <w:bCs/>
                <w:color w:val="000000"/>
                <w:sz w:val="20"/>
                <w:szCs w:val="20"/>
                <w:lang w:eastAsia="en-GB"/>
              </w:rPr>
            </w:pPr>
            <w:r w:rsidRPr="007D1F2E">
              <w:rPr>
                <w:rFonts w:cs="Calibri"/>
                <w:b/>
                <w:bCs/>
                <w:color w:val="000000"/>
                <w:sz w:val="20"/>
                <w:szCs w:val="20"/>
                <w:lang w:eastAsia="en-GB"/>
              </w:rPr>
              <w:t>£m</w:t>
            </w:r>
          </w:p>
        </w:tc>
        <w:tc>
          <w:tcPr>
            <w:tcW w:w="1136" w:type="dxa"/>
            <w:tcBorders>
              <w:top w:val="nil"/>
              <w:left w:val="nil"/>
              <w:bottom w:val="nil"/>
              <w:right w:val="nil"/>
            </w:tcBorders>
            <w:shd w:val="clear" w:color="000000" w:fill="FFFFFF"/>
            <w:noWrap/>
            <w:vAlign w:val="center"/>
            <w:hideMark/>
          </w:tcPr>
          <w:p w:rsidR="007058D0" w:rsidRPr="007D1F2E" w:rsidRDefault="007058D0" w:rsidP="00891A96">
            <w:pPr>
              <w:jc w:val="right"/>
              <w:rPr>
                <w:rFonts w:cs="Calibri"/>
                <w:b/>
                <w:bCs/>
                <w:color w:val="000000"/>
                <w:sz w:val="20"/>
                <w:szCs w:val="20"/>
                <w:lang w:eastAsia="en-GB"/>
              </w:rPr>
            </w:pPr>
            <w:r w:rsidRPr="007D1F2E">
              <w:rPr>
                <w:rFonts w:cs="Calibri"/>
                <w:b/>
                <w:bCs/>
                <w:color w:val="000000"/>
                <w:sz w:val="20"/>
                <w:szCs w:val="20"/>
                <w:lang w:eastAsia="en-GB"/>
              </w:rPr>
              <w:t>£m</w:t>
            </w:r>
          </w:p>
        </w:tc>
        <w:tc>
          <w:tcPr>
            <w:tcW w:w="4684" w:type="dxa"/>
            <w:tcBorders>
              <w:top w:val="nil"/>
              <w:left w:val="nil"/>
              <w:bottom w:val="nil"/>
              <w:right w:val="nil"/>
            </w:tcBorders>
            <w:shd w:val="clear" w:color="000000" w:fill="FFFFFF"/>
            <w:vAlign w:val="center"/>
            <w:hideMark/>
          </w:tcPr>
          <w:p w:rsidR="007058D0" w:rsidRPr="007D1F2E" w:rsidRDefault="007058D0" w:rsidP="00891A96">
            <w:pPr>
              <w:rPr>
                <w:rFonts w:cs="Calibri"/>
                <w:color w:val="000000"/>
                <w:sz w:val="20"/>
                <w:szCs w:val="20"/>
                <w:lang w:eastAsia="en-GB"/>
              </w:rPr>
            </w:pPr>
            <w:r w:rsidRPr="007D1F2E">
              <w:rPr>
                <w:rFonts w:cs="Calibri"/>
                <w:color w:val="000000"/>
                <w:sz w:val="20"/>
                <w:szCs w:val="20"/>
                <w:lang w:eastAsia="en-GB"/>
              </w:rPr>
              <w:t> </w:t>
            </w:r>
          </w:p>
        </w:tc>
        <w:tc>
          <w:tcPr>
            <w:tcW w:w="1136" w:type="dxa"/>
            <w:tcBorders>
              <w:top w:val="nil"/>
              <w:left w:val="nil"/>
              <w:bottom w:val="nil"/>
              <w:right w:val="nil"/>
            </w:tcBorders>
            <w:shd w:val="clear" w:color="000000" w:fill="FFFFFF"/>
            <w:noWrap/>
            <w:vAlign w:val="center"/>
            <w:hideMark/>
          </w:tcPr>
          <w:p w:rsidR="007058D0" w:rsidRPr="007D1F2E" w:rsidRDefault="007058D0" w:rsidP="00891A96">
            <w:pPr>
              <w:jc w:val="right"/>
              <w:rPr>
                <w:rFonts w:cs="Calibri"/>
                <w:b/>
                <w:bCs/>
                <w:color w:val="000000"/>
                <w:sz w:val="20"/>
                <w:szCs w:val="20"/>
                <w:lang w:eastAsia="en-GB"/>
              </w:rPr>
            </w:pPr>
            <w:r w:rsidRPr="007D1F2E">
              <w:rPr>
                <w:rFonts w:cs="Calibri"/>
                <w:b/>
                <w:bCs/>
                <w:color w:val="000000"/>
                <w:sz w:val="20"/>
                <w:szCs w:val="20"/>
                <w:lang w:eastAsia="en-GB"/>
              </w:rPr>
              <w:t>£m</w:t>
            </w:r>
          </w:p>
        </w:tc>
        <w:tc>
          <w:tcPr>
            <w:tcW w:w="1136" w:type="dxa"/>
            <w:tcBorders>
              <w:top w:val="nil"/>
              <w:left w:val="nil"/>
              <w:bottom w:val="nil"/>
              <w:right w:val="nil"/>
            </w:tcBorders>
            <w:shd w:val="clear" w:color="000000" w:fill="FFFFFF"/>
            <w:noWrap/>
            <w:vAlign w:val="center"/>
            <w:hideMark/>
          </w:tcPr>
          <w:p w:rsidR="007058D0" w:rsidRPr="007D1F2E" w:rsidRDefault="007058D0" w:rsidP="00891A96">
            <w:pPr>
              <w:jc w:val="right"/>
              <w:rPr>
                <w:rFonts w:cs="Calibri"/>
                <w:b/>
                <w:bCs/>
                <w:color w:val="000000"/>
                <w:sz w:val="20"/>
                <w:szCs w:val="20"/>
                <w:lang w:eastAsia="en-GB"/>
              </w:rPr>
            </w:pPr>
            <w:r w:rsidRPr="007D1F2E">
              <w:rPr>
                <w:rFonts w:cs="Calibri"/>
                <w:b/>
                <w:bCs/>
                <w:color w:val="000000"/>
                <w:sz w:val="20"/>
                <w:szCs w:val="20"/>
                <w:lang w:eastAsia="en-GB"/>
              </w:rPr>
              <w:t>£m</w:t>
            </w:r>
          </w:p>
        </w:tc>
        <w:tc>
          <w:tcPr>
            <w:tcW w:w="1136" w:type="dxa"/>
            <w:tcBorders>
              <w:top w:val="nil"/>
              <w:left w:val="nil"/>
              <w:bottom w:val="nil"/>
              <w:right w:val="nil"/>
            </w:tcBorders>
            <w:shd w:val="clear" w:color="000000" w:fill="FFFFFF"/>
            <w:noWrap/>
            <w:vAlign w:val="center"/>
            <w:hideMark/>
          </w:tcPr>
          <w:p w:rsidR="007058D0" w:rsidRPr="007D1F2E" w:rsidRDefault="007058D0" w:rsidP="00891A96">
            <w:pPr>
              <w:jc w:val="right"/>
              <w:rPr>
                <w:rFonts w:cs="Calibri"/>
                <w:b/>
                <w:bCs/>
                <w:color w:val="000000"/>
                <w:sz w:val="20"/>
                <w:szCs w:val="20"/>
                <w:lang w:eastAsia="en-GB"/>
              </w:rPr>
            </w:pPr>
            <w:r w:rsidRPr="007D1F2E">
              <w:rPr>
                <w:rFonts w:cs="Calibri"/>
                <w:b/>
                <w:bCs/>
                <w:color w:val="000000"/>
                <w:sz w:val="20"/>
                <w:szCs w:val="20"/>
                <w:lang w:eastAsia="en-GB"/>
              </w:rPr>
              <w:t>£m</w:t>
            </w:r>
          </w:p>
        </w:tc>
      </w:tr>
      <w:tr w:rsidR="007058D0" w:rsidRPr="007D1F2E" w:rsidTr="007058D0">
        <w:trPr>
          <w:trHeight w:val="1110"/>
          <w:tblHeader/>
        </w:trPr>
        <w:tc>
          <w:tcPr>
            <w:tcW w:w="1136" w:type="dxa"/>
            <w:tcBorders>
              <w:top w:val="nil"/>
              <w:left w:val="nil"/>
              <w:bottom w:val="nil"/>
              <w:right w:val="nil"/>
            </w:tcBorders>
            <w:shd w:val="clear" w:color="000000" w:fill="FFFFFF"/>
            <w:noWrap/>
            <w:vAlign w:val="center"/>
            <w:hideMark/>
          </w:tcPr>
          <w:p w:rsidR="007058D0" w:rsidRPr="007D1F2E" w:rsidRDefault="007058D0" w:rsidP="00891A96">
            <w:pPr>
              <w:jc w:val="right"/>
              <w:rPr>
                <w:rFonts w:cs="Calibri"/>
                <w:b/>
                <w:bCs/>
                <w:color w:val="000000"/>
                <w:sz w:val="20"/>
                <w:szCs w:val="20"/>
                <w:lang w:eastAsia="en-GB"/>
              </w:rPr>
            </w:pPr>
            <w:r>
              <w:rPr>
                <w:rFonts w:cs="Calibri"/>
                <w:b/>
                <w:bCs/>
                <w:color w:val="000000"/>
                <w:sz w:val="20"/>
                <w:szCs w:val="20"/>
                <w:lang w:eastAsia="en-GB"/>
              </w:rPr>
              <w:t>HRA</w:t>
            </w:r>
          </w:p>
        </w:tc>
        <w:tc>
          <w:tcPr>
            <w:tcW w:w="1136" w:type="dxa"/>
            <w:tcBorders>
              <w:top w:val="nil"/>
              <w:left w:val="nil"/>
              <w:bottom w:val="nil"/>
              <w:right w:val="nil"/>
            </w:tcBorders>
            <w:shd w:val="clear" w:color="000000" w:fill="FFFFFF"/>
            <w:noWrap/>
            <w:vAlign w:val="center"/>
            <w:hideMark/>
          </w:tcPr>
          <w:p w:rsidR="007058D0" w:rsidRPr="007D1F2E" w:rsidRDefault="007058D0" w:rsidP="00891A96">
            <w:pPr>
              <w:jc w:val="right"/>
              <w:rPr>
                <w:rFonts w:cs="Calibri"/>
                <w:b/>
                <w:bCs/>
                <w:color w:val="000000"/>
                <w:sz w:val="20"/>
                <w:szCs w:val="20"/>
                <w:lang w:eastAsia="en-GB"/>
              </w:rPr>
            </w:pPr>
            <w:r>
              <w:rPr>
                <w:rFonts w:cs="Calibri"/>
                <w:b/>
                <w:bCs/>
                <w:color w:val="000000"/>
                <w:sz w:val="20"/>
                <w:szCs w:val="20"/>
                <w:lang w:eastAsia="en-GB"/>
              </w:rPr>
              <w:t>GF</w:t>
            </w:r>
          </w:p>
        </w:tc>
        <w:tc>
          <w:tcPr>
            <w:tcW w:w="1136" w:type="dxa"/>
            <w:tcBorders>
              <w:top w:val="nil"/>
              <w:left w:val="nil"/>
              <w:bottom w:val="nil"/>
              <w:right w:val="nil"/>
            </w:tcBorders>
            <w:shd w:val="clear" w:color="000000" w:fill="FFFFFF"/>
            <w:noWrap/>
            <w:vAlign w:val="center"/>
            <w:hideMark/>
          </w:tcPr>
          <w:p w:rsidR="007058D0" w:rsidRPr="007D1F2E" w:rsidRDefault="007058D0" w:rsidP="00891A96">
            <w:pPr>
              <w:jc w:val="right"/>
              <w:rPr>
                <w:rFonts w:cs="Calibri"/>
                <w:b/>
                <w:bCs/>
                <w:color w:val="000000"/>
                <w:sz w:val="20"/>
                <w:szCs w:val="20"/>
                <w:lang w:eastAsia="en-GB"/>
              </w:rPr>
            </w:pPr>
            <w:r w:rsidRPr="007D1F2E">
              <w:rPr>
                <w:rFonts w:cs="Calibri"/>
                <w:b/>
                <w:bCs/>
                <w:color w:val="000000"/>
                <w:sz w:val="20"/>
                <w:szCs w:val="20"/>
                <w:lang w:eastAsia="en-GB"/>
              </w:rPr>
              <w:t>Total</w:t>
            </w:r>
          </w:p>
        </w:tc>
        <w:tc>
          <w:tcPr>
            <w:tcW w:w="4684" w:type="dxa"/>
            <w:tcBorders>
              <w:top w:val="nil"/>
              <w:left w:val="nil"/>
              <w:bottom w:val="nil"/>
              <w:right w:val="nil"/>
            </w:tcBorders>
            <w:shd w:val="clear" w:color="000000" w:fill="FFFFFF"/>
            <w:vAlign w:val="center"/>
            <w:hideMark/>
          </w:tcPr>
          <w:p w:rsidR="007058D0" w:rsidRPr="007D1F2E" w:rsidRDefault="007058D0" w:rsidP="00891A96">
            <w:pPr>
              <w:ind w:left="318"/>
              <w:rPr>
                <w:rFonts w:cs="Calibri"/>
                <w:b/>
                <w:bCs/>
                <w:color w:val="000000"/>
                <w:sz w:val="20"/>
                <w:szCs w:val="20"/>
                <w:lang w:eastAsia="en-GB"/>
              </w:rPr>
            </w:pPr>
            <w:r w:rsidRPr="007D1F2E">
              <w:rPr>
                <w:rFonts w:cs="Calibri"/>
                <w:b/>
                <w:bCs/>
                <w:color w:val="000000"/>
                <w:sz w:val="20"/>
                <w:szCs w:val="20"/>
                <w:lang w:eastAsia="en-GB"/>
              </w:rPr>
              <w:t>Capital Investment</w:t>
            </w:r>
          </w:p>
        </w:tc>
        <w:tc>
          <w:tcPr>
            <w:tcW w:w="1136" w:type="dxa"/>
            <w:tcBorders>
              <w:top w:val="nil"/>
              <w:left w:val="nil"/>
              <w:bottom w:val="nil"/>
              <w:right w:val="nil"/>
            </w:tcBorders>
            <w:shd w:val="clear" w:color="000000" w:fill="FFFFFF"/>
            <w:noWrap/>
            <w:vAlign w:val="center"/>
            <w:hideMark/>
          </w:tcPr>
          <w:p w:rsidR="007058D0" w:rsidRPr="007D1F2E" w:rsidRDefault="007058D0" w:rsidP="00891A96">
            <w:pPr>
              <w:jc w:val="right"/>
              <w:rPr>
                <w:rFonts w:cs="Calibri"/>
                <w:b/>
                <w:bCs/>
                <w:color w:val="000000"/>
                <w:sz w:val="20"/>
                <w:szCs w:val="20"/>
                <w:lang w:eastAsia="en-GB"/>
              </w:rPr>
            </w:pPr>
            <w:r>
              <w:rPr>
                <w:rFonts w:cs="Calibri"/>
                <w:b/>
                <w:bCs/>
                <w:color w:val="000000"/>
                <w:sz w:val="20"/>
                <w:szCs w:val="20"/>
                <w:lang w:eastAsia="en-GB"/>
              </w:rPr>
              <w:t>HRA</w:t>
            </w:r>
          </w:p>
        </w:tc>
        <w:tc>
          <w:tcPr>
            <w:tcW w:w="1136" w:type="dxa"/>
            <w:tcBorders>
              <w:top w:val="nil"/>
              <w:left w:val="nil"/>
              <w:bottom w:val="nil"/>
              <w:right w:val="nil"/>
            </w:tcBorders>
            <w:shd w:val="clear" w:color="000000" w:fill="FFFFFF"/>
            <w:noWrap/>
            <w:vAlign w:val="center"/>
            <w:hideMark/>
          </w:tcPr>
          <w:p w:rsidR="007058D0" w:rsidRPr="007D1F2E" w:rsidRDefault="007058D0" w:rsidP="00891A96">
            <w:pPr>
              <w:jc w:val="right"/>
              <w:rPr>
                <w:rFonts w:cs="Calibri"/>
                <w:b/>
                <w:bCs/>
                <w:color w:val="000000"/>
                <w:sz w:val="20"/>
                <w:szCs w:val="20"/>
                <w:lang w:eastAsia="en-GB"/>
              </w:rPr>
            </w:pPr>
            <w:r>
              <w:rPr>
                <w:rFonts w:cs="Calibri"/>
                <w:b/>
                <w:bCs/>
                <w:color w:val="000000"/>
                <w:sz w:val="20"/>
                <w:szCs w:val="20"/>
                <w:lang w:eastAsia="en-GB"/>
              </w:rPr>
              <w:t>GF</w:t>
            </w:r>
          </w:p>
        </w:tc>
        <w:tc>
          <w:tcPr>
            <w:tcW w:w="1136" w:type="dxa"/>
            <w:tcBorders>
              <w:top w:val="nil"/>
              <w:left w:val="nil"/>
              <w:bottom w:val="nil"/>
              <w:right w:val="nil"/>
            </w:tcBorders>
            <w:shd w:val="clear" w:color="000000" w:fill="FFFFFF"/>
            <w:noWrap/>
            <w:vAlign w:val="center"/>
            <w:hideMark/>
          </w:tcPr>
          <w:p w:rsidR="007058D0" w:rsidRPr="007D1F2E" w:rsidRDefault="007058D0" w:rsidP="00891A96">
            <w:pPr>
              <w:jc w:val="right"/>
              <w:rPr>
                <w:rFonts w:cs="Calibri"/>
                <w:b/>
                <w:bCs/>
                <w:color w:val="000000"/>
                <w:sz w:val="20"/>
                <w:szCs w:val="20"/>
                <w:lang w:eastAsia="en-GB"/>
              </w:rPr>
            </w:pPr>
            <w:r w:rsidRPr="007D1F2E">
              <w:rPr>
                <w:rFonts w:cs="Calibri"/>
                <w:b/>
                <w:bCs/>
                <w:color w:val="000000"/>
                <w:sz w:val="20"/>
                <w:szCs w:val="20"/>
                <w:lang w:eastAsia="en-GB"/>
              </w:rPr>
              <w:t>Total</w:t>
            </w:r>
          </w:p>
        </w:tc>
      </w:tr>
      <w:tr w:rsidR="007058D0" w:rsidRPr="007D1F2E" w:rsidTr="00891A96">
        <w:trPr>
          <w:trHeight w:val="285"/>
        </w:trPr>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058D0" w:rsidRPr="007D1F2E" w:rsidRDefault="007058D0" w:rsidP="00891A96">
            <w:pPr>
              <w:jc w:val="right"/>
              <w:rPr>
                <w:rFonts w:ascii="Arial" w:hAnsi="Arial" w:cs="Arial"/>
                <w:b/>
                <w:bCs/>
                <w:color w:val="000000"/>
                <w:sz w:val="18"/>
                <w:szCs w:val="18"/>
                <w:lang w:eastAsia="en-GB"/>
              </w:rPr>
            </w:pPr>
            <w:r w:rsidRPr="007D1F2E">
              <w:rPr>
                <w:rFonts w:ascii="Arial" w:hAnsi="Arial" w:cs="Arial"/>
                <w:b/>
                <w:bCs/>
                <w:color w:val="000000"/>
                <w:sz w:val="18"/>
                <w:szCs w:val="18"/>
                <w:lang w:eastAsia="en-GB"/>
              </w:rPr>
              <w:t>148.6</w:t>
            </w:r>
          </w:p>
        </w:tc>
        <w:tc>
          <w:tcPr>
            <w:tcW w:w="1136" w:type="dxa"/>
            <w:tcBorders>
              <w:top w:val="single" w:sz="4" w:space="0" w:color="auto"/>
              <w:left w:val="nil"/>
              <w:bottom w:val="single" w:sz="4" w:space="0" w:color="auto"/>
              <w:right w:val="single" w:sz="4" w:space="0" w:color="auto"/>
            </w:tcBorders>
            <w:shd w:val="clear" w:color="000000" w:fill="FFFFFF"/>
            <w:noWrap/>
            <w:vAlign w:val="center"/>
            <w:hideMark/>
          </w:tcPr>
          <w:p w:rsidR="007058D0" w:rsidRPr="007D1F2E" w:rsidRDefault="007058D0" w:rsidP="00891A96">
            <w:pPr>
              <w:jc w:val="right"/>
              <w:rPr>
                <w:rFonts w:ascii="Arial" w:hAnsi="Arial" w:cs="Arial"/>
                <w:b/>
                <w:bCs/>
                <w:color w:val="000000"/>
                <w:sz w:val="18"/>
                <w:szCs w:val="18"/>
                <w:lang w:eastAsia="en-GB"/>
              </w:rPr>
            </w:pPr>
            <w:r w:rsidRPr="007D1F2E">
              <w:rPr>
                <w:rFonts w:ascii="Arial" w:hAnsi="Arial" w:cs="Arial"/>
                <w:b/>
                <w:bCs/>
                <w:color w:val="000000"/>
                <w:sz w:val="18"/>
                <w:szCs w:val="18"/>
                <w:lang w:eastAsia="en-GB"/>
              </w:rPr>
              <w:t>524.1</w:t>
            </w:r>
          </w:p>
        </w:tc>
        <w:tc>
          <w:tcPr>
            <w:tcW w:w="1136" w:type="dxa"/>
            <w:tcBorders>
              <w:top w:val="single" w:sz="4" w:space="0" w:color="auto"/>
              <w:left w:val="nil"/>
              <w:bottom w:val="single" w:sz="4" w:space="0" w:color="auto"/>
              <w:right w:val="single" w:sz="4" w:space="0" w:color="auto"/>
            </w:tcBorders>
            <w:shd w:val="clear" w:color="000000" w:fill="FFFFFF"/>
            <w:noWrap/>
            <w:vAlign w:val="center"/>
            <w:hideMark/>
          </w:tcPr>
          <w:p w:rsidR="007058D0" w:rsidRPr="007D1F2E" w:rsidRDefault="007058D0" w:rsidP="00891A96">
            <w:pPr>
              <w:jc w:val="right"/>
              <w:rPr>
                <w:rFonts w:ascii="Arial" w:hAnsi="Arial" w:cs="Arial"/>
                <w:b/>
                <w:bCs/>
                <w:color w:val="000000"/>
                <w:sz w:val="18"/>
                <w:szCs w:val="18"/>
                <w:lang w:eastAsia="en-GB"/>
              </w:rPr>
            </w:pPr>
            <w:r w:rsidRPr="007D1F2E">
              <w:rPr>
                <w:rFonts w:ascii="Arial" w:hAnsi="Arial" w:cs="Arial"/>
                <w:b/>
                <w:bCs/>
                <w:color w:val="000000"/>
                <w:sz w:val="18"/>
                <w:szCs w:val="18"/>
                <w:lang w:eastAsia="en-GB"/>
              </w:rPr>
              <w:t>672.7</w:t>
            </w:r>
          </w:p>
        </w:tc>
        <w:tc>
          <w:tcPr>
            <w:tcW w:w="4684" w:type="dxa"/>
            <w:tcBorders>
              <w:top w:val="nil"/>
              <w:left w:val="nil"/>
              <w:bottom w:val="nil"/>
              <w:right w:val="nil"/>
            </w:tcBorders>
            <w:shd w:val="clear" w:color="000000" w:fill="FFFFFF"/>
            <w:vAlign w:val="center"/>
            <w:hideMark/>
          </w:tcPr>
          <w:p w:rsidR="007058D0" w:rsidRPr="007D1F2E" w:rsidRDefault="007058D0" w:rsidP="00891A96">
            <w:pPr>
              <w:rPr>
                <w:rFonts w:ascii="Arial" w:hAnsi="Arial" w:cs="Arial"/>
                <w:b/>
                <w:bCs/>
                <w:color w:val="000000"/>
                <w:sz w:val="18"/>
                <w:szCs w:val="18"/>
                <w:lang w:eastAsia="en-GB"/>
              </w:rPr>
            </w:pPr>
            <w:r w:rsidRPr="007D1F2E">
              <w:rPr>
                <w:rFonts w:ascii="Arial" w:hAnsi="Arial" w:cs="Arial"/>
                <w:b/>
                <w:bCs/>
                <w:color w:val="000000"/>
                <w:sz w:val="18"/>
                <w:szCs w:val="18"/>
                <w:lang w:eastAsia="en-GB"/>
              </w:rPr>
              <w:t>Opening Capital Financing Requirement</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058D0" w:rsidRPr="007D1F2E" w:rsidRDefault="007058D0" w:rsidP="00891A96">
            <w:pPr>
              <w:jc w:val="right"/>
              <w:rPr>
                <w:rFonts w:ascii="Arial" w:hAnsi="Arial" w:cs="Arial"/>
                <w:b/>
                <w:bCs/>
                <w:color w:val="000000"/>
                <w:sz w:val="18"/>
                <w:szCs w:val="18"/>
                <w:lang w:eastAsia="en-GB"/>
              </w:rPr>
            </w:pPr>
            <w:r w:rsidRPr="007D1F2E">
              <w:rPr>
                <w:rFonts w:ascii="Arial" w:hAnsi="Arial" w:cs="Arial"/>
                <w:b/>
                <w:bCs/>
                <w:color w:val="000000"/>
                <w:sz w:val="18"/>
                <w:szCs w:val="18"/>
                <w:lang w:eastAsia="en-GB"/>
              </w:rPr>
              <w:t>159.9</w:t>
            </w:r>
          </w:p>
        </w:tc>
        <w:tc>
          <w:tcPr>
            <w:tcW w:w="1136" w:type="dxa"/>
            <w:tcBorders>
              <w:top w:val="single" w:sz="4" w:space="0" w:color="auto"/>
              <w:left w:val="nil"/>
              <w:bottom w:val="single" w:sz="4" w:space="0" w:color="auto"/>
              <w:right w:val="single" w:sz="4" w:space="0" w:color="auto"/>
            </w:tcBorders>
            <w:shd w:val="clear" w:color="000000" w:fill="FFFFFF"/>
            <w:noWrap/>
            <w:vAlign w:val="center"/>
            <w:hideMark/>
          </w:tcPr>
          <w:p w:rsidR="007058D0" w:rsidRPr="007D1F2E" w:rsidRDefault="007058D0" w:rsidP="00891A96">
            <w:pPr>
              <w:jc w:val="right"/>
              <w:rPr>
                <w:rFonts w:ascii="Arial" w:hAnsi="Arial" w:cs="Arial"/>
                <w:b/>
                <w:bCs/>
                <w:color w:val="000000"/>
                <w:sz w:val="18"/>
                <w:szCs w:val="18"/>
                <w:lang w:eastAsia="en-GB"/>
              </w:rPr>
            </w:pPr>
            <w:r w:rsidRPr="007D1F2E">
              <w:rPr>
                <w:rFonts w:ascii="Arial" w:hAnsi="Arial" w:cs="Arial"/>
                <w:b/>
                <w:bCs/>
                <w:color w:val="000000"/>
                <w:sz w:val="18"/>
                <w:szCs w:val="18"/>
                <w:lang w:eastAsia="en-GB"/>
              </w:rPr>
              <w:t>528.9</w:t>
            </w:r>
          </w:p>
        </w:tc>
        <w:tc>
          <w:tcPr>
            <w:tcW w:w="1136" w:type="dxa"/>
            <w:tcBorders>
              <w:top w:val="single" w:sz="4" w:space="0" w:color="auto"/>
              <w:left w:val="nil"/>
              <w:bottom w:val="single" w:sz="4" w:space="0" w:color="auto"/>
              <w:right w:val="single" w:sz="4" w:space="0" w:color="auto"/>
            </w:tcBorders>
            <w:shd w:val="clear" w:color="000000" w:fill="FFFFFF"/>
            <w:noWrap/>
            <w:vAlign w:val="center"/>
            <w:hideMark/>
          </w:tcPr>
          <w:p w:rsidR="007058D0" w:rsidRPr="007D1F2E" w:rsidRDefault="007058D0" w:rsidP="00891A96">
            <w:pPr>
              <w:jc w:val="right"/>
              <w:rPr>
                <w:rFonts w:ascii="Arial" w:hAnsi="Arial" w:cs="Arial"/>
                <w:b/>
                <w:bCs/>
                <w:color w:val="000000"/>
                <w:sz w:val="18"/>
                <w:szCs w:val="18"/>
                <w:lang w:eastAsia="en-GB"/>
              </w:rPr>
            </w:pPr>
            <w:r w:rsidRPr="007D1F2E">
              <w:rPr>
                <w:rFonts w:ascii="Arial" w:hAnsi="Arial" w:cs="Arial"/>
                <w:b/>
                <w:bCs/>
                <w:color w:val="000000"/>
                <w:sz w:val="18"/>
                <w:szCs w:val="18"/>
                <w:lang w:eastAsia="en-GB"/>
              </w:rPr>
              <w:t>688.8</w:t>
            </w:r>
          </w:p>
        </w:tc>
      </w:tr>
      <w:tr w:rsidR="007058D0" w:rsidRPr="007D1F2E" w:rsidTr="00891A96">
        <w:trPr>
          <w:trHeight w:val="285"/>
        </w:trPr>
        <w:tc>
          <w:tcPr>
            <w:tcW w:w="1136" w:type="dxa"/>
            <w:tcBorders>
              <w:top w:val="nil"/>
              <w:left w:val="nil"/>
              <w:bottom w:val="nil"/>
              <w:right w:val="nil"/>
            </w:tcBorders>
            <w:shd w:val="clear" w:color="000000" w:fill="FFFFFF"/>
            <w:noWrap/>
            <w:vAlign w:val="center"/>
            <w:hideMark/>
          </w:tcPr>
          <w:p w:rsidR="007058D0" w:rsidRPr="007D1F2E" w:rsidRDefault="007058D0" w:rsidP="00891A96">
            <w:pPr>
              <w:jc w:val="right"/>
              <w:rPr>
                <w:rFonts w:ascii="Arial" w:hAnsi="Arial" w:cs="Arial"/>
                <w:b/>
                <w:bCs/>
                <w:color w:val="000000"/>
                <w:sz w:val="18"/>
                <w:szCs w:val="18"/>
                <w:lang w:eastAsia="en-GB"/>
              </w:rPr>
            </w:pPr>
            <w:r w:rsidRPr="007D1F2E">
              <w:rPr>
                <w:rFonts w:ascii="Arial" w:hAnsi="Arial" w:cs="Arial"/>
                <w:b/>
                <w:bCs/>
                <w:color w:val="000000"/>
                <w:sz w:val="18"/>
                <w:szCs w:val="18"/>
                <w:lang w:eastAsia="en-GB"/>
              </w:rPr>
              <w:t> </w:t>
            </w:r>
          </w:p>
        </w:tc>
        <w:tc>
          <w:tcPr>
            <w:tcW w:w="1136" w:type="dxa"/>
            <w:tcBorders>
              <w:top w:val="nil"/>
              <w:left w:val="nil"/>
              <w:bottom w:val="nil"/>
              <w:right w:val="nil"/>
            </w:tcBorders>
            <w:shd w:val="clear" w:color="000000" w:fill="FFFFFF"/>
            <w:noWrap/>
            <w:vAlign w:val="center"/>
            <w:hideMark/>
          </w:tcPr>
          <w:p w:rsidR="007058D0" w:rsidRPr="007D1F2E" w:rsidRDefault="007058D0" w:rsidP="00891A96">
            <w:pPr>
              <w:jc w:val="right"/>
              <w:rPr>
                <w:rFonts w:ascii="Arial" w:hAnsi="Arial" w:cs="Arial"/>
                <w:b/>
                <w:bCs/>
                <w:color w:val="000000"/>
                <w:sz w:val="18"/>
                <w:szCs w:val="18"/>
                <w:lang w:eastAsia="en-GB"/>
              </w:rPr>
            </w:pPr>
            <w:r w:rsidRPr="007D1F2E">
              <w:rPr>
                <w:rFonts w:ascii="Arial" w:hAnsi="Arial" w:cs="Arial"/>
                <w:b/>
                <w:bCs/>
                <w:color w:val="000000"/>
                <w:sz w:val="18"/>
                <w:szCs w:val="18"/>
                <w:lang w:eastAsia="en-GB"/>
              </w:rPr>
              <w:t> </w:t>
            </w:r>
          </w:p>
        </w:tc>
        <w:tc>
          <w:tcPr>
            <w:tcW w:w="1136" w:type="dxa"/>
            <w:tcBorders>
              <w:top w:val="nil"/>
              <w:left w:val="nil"/>
              <w:bottom w:val="nil"/>
              <w:right w:val="nil"/>
            </w:tcBorders>
            <w:shd w:val="clear" w:color="000000" w:fill="FFFFFF"/>
            <w:noWrap/>
            <w:vAlign w:val="center"/>
            <w:hideMark/>
          </w:tcPr>
          <w:p w:rsidR="007058D0" w:rsidRPr="007D1F2E" w:rsidRDefault="007058D0" w:rsidP="00891A96">
            <w:pPr>
              <w:jc w:val="right"/>
              <w:rPr>
                <w:rFonts w:ascii="Arial" w:hAnsi="Arial" w:cs="Arial"/>
                <w:b/>
                <w:bCs/>
                <w:color w:val="000000"/>
                <w:sz w:val="18"/>
                <w:szCs w:val="18"/>
                <w:lang w:eastAsia="en-GB"/>
              </w:rPr>
            </w:pPr>
            <w:r w:rsidRPr="007D1F2E">
              <w:rPr>
                <w:rFonts w:ascii="Arial" w:hAnsi="Arial" w:cs="Arial"/>
                <w:b/>
                <w:bCs/>
                <w:color w:val="000000"/>
                <w:sz w:val="18"/>
                <w:szCs w:val="18"/>
                <w:lang w:eastAsia="en-GB"/>
              </w:rPr>
              <w:t> </w:t>
            </w:r>
          </w:p>
        </w:tc>
        <w:tc>
          <w:tcPr>
            <w:tcW w:w="4684" w:type="dxa"/>
            <w:tcBorders>
              <w:top w:val="nil"/>
              <w:left w:val="nil"/>
              <w:bottom w:val="nil"/>
              <w:right w:val="nil"/>
            </w:tcBorders>
            <w:shd w:val="clear" w:color="000000" w:fill="FFFFFF"/>
            <w:vAlign w:val="center"/>
            <w:hideMark/>
          </w:tcPr>
          <w:p w:rsidR="007058D0" w:rsidRPr="007D1F2E" w:rsidRDefault="007058D0" w:rsidP="00891A96">
            <w:pPr>
              <w:rPr>
                <w:rFonts w:ascii="Arial" w:hAnsi="Arial" w:cs="Arial"/>
                <w:b/>
                <w:bCs/>
                <w:color w:val="000000"/>
                <w:sz w:val="18"/>
                <w:szCs w:val="18"/>
                <w:lang w:eastAsia="en-GB"/>
              </w:rPr>
            </w:pPr>
            <w:r w:rsidRPr="007D1F2E">
              <w:rPr>
                <w:rFonts w:ascii="Arial" w:hAnsi="Arial" w:cs="Arial"/>
                <w:b/>
                <w:bCs/>
                <w:color w:val="000000"/>
                <w:sz w:val="18"/>
                <w:szCs w:val="18"/>
                <w:lang w:eastAsia="en-GB"/>
              </w:rPr>
              <w:t> </w:t>
            </w:r>
          </w:p>
        </w:tc>
        <w:tc>
          <w:tcPr>
            <w:tcW w:w="1136" w:type="dxa"/>
            <w:tcBorders>
              <w:top w:val="nil"/>
              <w:left w:val="nil"/>
              <w:bottom w:val="nil"/>
              <w:right w:val="nil"/>
            </w:tcBorders>
            <w:shd w:val="clear" w:color="000000" w:fill="FFFFFF"/>
            <w:noWrap/>
            <w:vAlign w:val="center"/>
            <w:hideMark/>
          </w:tcPr>
          <w:p w:rsidR="007058D0" w:rsidRPr="007D1F2E" w:rsidRDefault="007058D0" w:rsidP="00891A96">
            <w:pPr>
              <w:jc w:val="right"/>
              <w:rPr>
                <w:rFonts w:ascii="Arial" w:hAnsi="Arial" w:cs="Arial"/>
                <w:b/>
                <w:bCs/>
                <w:color w:val="000000"/>
                <w:sz w:val="18"/>
                <w:szCs w:val="18"/>
                <w:lang w:eastAsia="en-GB"/>
              </w:rPr>
            </w:pPr>
            <w:r w:rsidRPr="007D1F2E">
              <w:rPr>
                <w:rFonts w:ascii="Arial" w:hAnsi="Arial" w:cs="Arial"/>
                <w:b/>
                <w:bCs/>
                <w:color w:val="000000"/>
                <w:sz w:val="18"/>
                <w:szCs w:val="18"/>
                <w:lang w:eastAsia="en-GB"/>
              </w:rPr>
              <w:t> </w:t>
            </w:r>
          </w:p>
        </w:tc>
        <w:tc>
          <w:tcPr>
            <w:tcW w:w="1136" w:type="dxa"/>
            <w:tcBorders>
              <w:top w:val="nil"/>
              <w:left w:val="nil"/>
              <w:bottom w:val="nil"/>
              <w:right w:val="nil"/>
            </w:tcBorders>
            <w:shd w:val="clear" w:color="000000" w:fill="FFFFFF"/>
            <w:noWrap/>
            <w:vAlign w:val="center"/>
            <w:hideMark/>
          </w:tcPr>
          <w:p w:rsidR="007058D0" w:rsidRPr="007D1F2E" w:rsidRDefault="007058D0" w:rsidP="00891A96">
            <w:pPr>
              <w:jc w:val="right"/>
              <w:rPr>
                <w:rFonts w:ascii="Arial" w:hAnsi="Arial" w:cs="Arial"/>
                <w:b/>
                <w:bCs/>
                <w:color w:val="000000"/>
                <w:sz w:val="18"/>
                <w:szCs w:val="18"/>
                <w:lang w:eastAsia="en-GB"/>
              </w:rPr>
            </w:pPr>
            <w:r w:rsidRPr="007D1F2E">
              <w:rPr>
                <w:rFonts w:ascii="Arial" w:hAnsi="Arial" w:cs="Arial"/>
                <w:b/>
                <w:bCs/>
                <w:color w:val="000000"/>
                <w:sz w:val="18"/>
                <w:szCs w:val="18"/>
                <w:lang w:eastAsia="en-GB"/>
              </w:rPr>
              <w:t> </w:t>
            </w:r>
          </w:p>
        </w:tc>
        <w:tc>
          <w:tcPr>
            <w:tcW w:w="1136" w:type="dxa"/>
            <w:tcBorders>
              <w:top w:val="nil"/>
              <w:left w:val="nil"/>
              <w:bottom w:val="nil"/>
              <w:right w:val="nil"/>
            </w:tcBorders>
            <w:shd w:val="clear" w:color="000000" w:fill="FFFFFF"/>
            <w:noWrap/>
            <w:vAlign w:val="center"/>
            <w:hideMark/>
          </w:tcPr>
          <w:p w:rsidR="007058D0" w:rsidRPr="007D1F2E" w:rsidRDefault="007058D0" w:rsidP="00891A96">
            <w:pPr>
              <w:jc w:val="right"/>
              <w:rPr>
                <w:rFonts w:ascii="Arial" w:hAnsi="Arial" w:cs="Arial"/>
                <w:b/>
                <w:bCs/>
                <w:color w:val="000000"/>
                <w:sz w:val="18"/>
                <w:szCs w:val="18"/>
                <w:lang w:eastAsia="en-GB"/>
              </w:rPr>
            </w:pPr>
            <w:r w:rsidRPr="007D1F2E">
              <w:rPr>
                <w:rFonts w:ascii="Arial" w:hAnsi="Arial" w:cs="Arial"/>
                <w:b/>
                <w:bCs/>
                <w:color w:val="000000"/>
                <w:sz w:val="18"/>
                <w:szCs w:val="18"/>
                <w:lang w:eastAsia="en-GB"/>
              </w:rPr>
              <w:t> </w:t>
            </w:r>
          </w:p>
        </w:tc>
      </w:tr>
      <w:tr w:rsidR="007058D0" w:rsidRPr="007D1F2E" w:rsidTr="00891A96">
        <w:trPr>
          <w:trHeight w:val="285"/>
        </w:trPr>
        <w:tc>
          <w:tcPr>
            <w:tcW w:w="1136" w:type="dxa"/>
            <w:tcBorders>
              <w:top w:val="nil"/>
              <w:left w:val="nil"/>
              <w:bottom w:val="nil"/>
              <w:right w:val="nil"/>
            </w:tcBorders>
            <w:shd w:val="clear" w:color="000000" w:fill="FFFFFF"/>
            <w:noWrap/>
            <w:vAlign w:val="center"/>
            <w:hideMark/>
          </w:tcPr>
          <w:p w:rsidR="007058D0" w:rsidRPr="007D1F2E" w:rsidRDefault="007058D0" w:rsidP="00891A96">
            <w:pPr>
              <w:jc w:val="right"/>
              <w:rPr>
                <w:rFonts w:ascii="Arial" w:hAnsi="Arial" w:cs="Arial"/>
                <w:b/>
                <w:bCs/>
                <w:color w:val="000000"/>
                <w:sz w:val="18"/>
                <w:szCs w:val="18"/>
                <w:lang w:eastAsia="en-GB"/>
              </w:rPr>
            </w:pPr>
            <w:r w:rsidRPr="007D1F2E">
              <w:rPr>
                <w:rFonts w:ascii="Arial" w:hAnsi="Arial" w:cs="Arial"/>
                <w:b/>
                <w:bCs/>
                <w:color w:val="000000"/>
                <w:sz w:val="18"/>
                <w:szCs w:val="18"/>
                <w:lang w:eastAsia="en-GB"/>
              </w:rPr>
              <w:t> </w:t>
            </w:r>
          </w:p>
        </w:tc>
        <w:tc>
          <w:tcPr>
            <w:tcW w:w="1136" w:type="dxa"/>
            <w:tcBorders>
              <w:top w:val="nil"/>
              <w:left w:val="nil"/>
              <w:bottom w:val="nil"/>
              <w:right w:val="nil"/>
            </w:tcBorders>
            <w:shd w:val="clear" w:color="000000" w:fill="FFFFFF"/>
            <w:noWrap/>
            <w:vAlign w:val="center"/>
            <w:hideMark/>
          </w:tcPr>
          <w:p w:rsidR="007058D0" w:rsidRPr="007D1F2E" w:rsidRDefault="007058D0" w:rsidP="00891A96">
            <w:pPr>
              <w:jc w:val="right"/>
              <w:rPr>
                <w:rFonts w:ascii="Arial" w:hAnsi="Arial" w:cs="Arial"/>
                <w:b/>
                <w:bCs/>
                <w:color w:val="000000"/>
                <w:sz w:val="18"/>
                <w:szCs w:val="18"/>
                <w:lang w:eastAsia="en-GB"/>
              </w:rPr>
            </w:pPr>
            <w:r w:rsidRPr="007D1F2E">
              <w:rPr>
                <w:rFonts w:ascii="Arial" w:hAnsi="Arial" w:cs="Arial"/>
                <w:b/>
                <w:bCs/>
                <w:color w:val="000000"/>
                <w:sz w:val="18"/>
                <w:szCs w:val="18"/>
                <w:lang w:eastAsia="en-GB"/>
              </w:rPr>
              <w:t> </w:t>
            </w:r>
          </w:p>
        </w:tc>
        <w:tc>
          <w:tcPr>
            <w:tcW w:w="1136" w:type="dxa"/>
            <w:tcBorders>
              <w:top w:val="nil"/>
              <w:left w:val="nil"/>
              <w:bottom w:val="nil"/>
              <w:right w:val="nil"/>
            </w:tcBorders>
            <w:shd w:val="clear" w:color="000000" w:fill="FFFFFF"/>
            <w:noWrap/>
            <w:vAlign w:val="center"/>
            <w:hideMark/>
          </w:tcPr>
          <w:p w:rsidR="007058D0" w:rsidRPr="007D1F2E" w:rsidRDefault="007058D0" w:rsidP="00891A96">
            <w:pPr>
              <w:jc w:val="right"/>
              <w:rPr>
                <w:rFonts w:ascii="Arial" w:hAnsi="Arial" w:cs="Arial"/>
                <w:b/>
                <w:bCs/>
                <w:color w:val="000000"/>
                <w:sz w:val="18"/>
                <w:szCs w:val="18"/>
                <w:lang w:eastAsia="en-GB"/>
              </w:rPr>
            </w:pPr>
            <w:r w:rsidRPr="007D1F2E">
              <w:rPr>
                <w:rFonts w:ascii="Arial" w:hAnsi="Arial" w:cs="Arial"/>
                <w:b/>
                <w:bCs/>
                <w:color w:val="000000"/>
                <w:sz w:val="18"/>
                <w:szCs w:val="18"/>
                <w:lang w:eastAsia="en-GB"/>
              </w:rPr>
              <w:t> </w:t>
            </w:r>
          </w:p>
        </w:tc>
        <w:tc>
          <w:tcPr>
            <w:tcW w:w="4684" w:type="dxa"/>
            <w:tcBorders>
              <w:top w:val="nil"/>
              <w:left w:val="nil"/>
              <w:bottom w:val="nil"/>
              <w:right w:val="nil"/>
            </w:tcBorders>
            <w:shd w:val="clear" w:color="000000" w:fill="FFFFFF"/>
            <w:vAlign w:val="center"/>
            <w:hideMark/>
          </w:tcPr>
          <w:p w:rsidR="007058D0" w:rsidRPr="007D1F2E" w:rsidRDefault="007058D0" w:rsidP="00891A96">
            <w:pPr>
              <w:rPr>
                <w:rFonts w:ascii="Arial" w:hAnsi="Arial" w:cs="Arial"/>
                <w:b/>
                <w:bCs/>
                <w:color w:val="000000"/>
                <w:sz w:val="18"/>
                <w:szCs w:val="18"/>
                <w:lang w:eastAsia="en-GB"/>
              </w:rPr>
            </w:pPr>
            <w:r w:rsidRPr="007D1F2E">
              <w:rPr>
                <w:rFonts w:ascii="Arial" w:hAnsi="Arial" w:cs="Arial"/>
                <w:b/>
                <w:bCs/>
                <w:color w:val="000000"/>
                <w:sz w:val="18"/>
                <w:szCs w:val="18"/>
                <w:lang w:eastAsia="en-GB"/>
              </w:rPr>
              <w:t>Capital Investment:</w:t>
            </w:r>
          </w:p>
        </w:tc>
        <w:tc>
          <w:tcPr>
            <w:tcW w:w="1136" w:type="dxa"/>
            <w:tcBorders>
              <w:top w:val="nil"/>
              <w:left w:val="nil"/>
              <w:bottom w:val="nil"/>
              <w:right w:val="nil"/>
            </w:tcBorders>
            <w:shd w:val="clear" w:color="000000" w:fill="FFFFFF"/>
            <w:noWrap/>
            <w:vAlign w:val="center"/>
            <w:hideMark/>
          </w:tcPr>
          <w:p w:rsidR="007058D0" w:rsidRPr="007D1F2E" w:rsidRDefault="007058D0" w:rsidP="00891A96">
            <w:pPr>
              <w:jc w:val="right"/>
              <w:rPr>
                <w:rFonts w:ascii="Arial" w:hAnsi="Arial" w:cs="Arial"/>
                <w:b/>
                <w:bCs/>
                <w:color w:val="000000"/>
                <w:sz w:val="18"/>
                <w:szCs w:val="18"/>
                <w:lang w:eastAsia="en-GB"/>
              </w:rPr>
            </w:pPr>
            <w:r w:rsidRPr="007D1F2E">
              <w:rPr>
                <w:rFonts w:ascii="Arial" w:hAnsi="Arial" w:cs="Arial"/>
                <w:b/>
                <w:bCs/>
                <w:color w:val="000000"/>
                <w:sz w:val="18"/>
                <w:szCs w:val="18"/>
                <w:lang w:eastAsia="en-GB"/>
              </w:rPr>
              <w:t> </w:t>
            </w:r>
          </w:p>
        </w:tc>
        <w:tc>
          <w:tcPr>
            <w:tcW w:w="1136" w:type="dxa"/>
            <w:tcBorders>
              <w:top w:val="nil"/>
              <w:left w:val="nil"/>
              <w:bottom w:val="nil"/>
              <w:right w:val="nil"/>
            </w:tcBorders>
            <w:shd w:val="clear" w:color="000000" w:fill="FFFFFF"/>
            <w:noWrap/>
            <w:vAlign w:val="center"/>
            <w:hideMark/>
          </w:tcPr>
          <w:p w:rsidR="007058D0" w:rsidRPr="007D1F2E" w:rsidRDefault="007058D0" w:rsidP="00891A96">
            <w:pPr>
              <w:jc w:val="right"/>
              <w:rPr>
                <w:rFonts w:ascii="Arial" w:hAnsi="Arial" w:cs="Arial"/>
                <w:b/>
                <w:bCs/>
                <w:color w:val="000000"/>
                <w:sz w:val="18"/>
                <w:szCs w:val="18"/>
                <w:lang w:eastAsia="en-GB"/>
              </w:rPr>
            </w:pPr>
            <w:r w:rsidRPr="007D1F2E">
              <w:rPr>
                <w:rFonts w:ascii="Arial" w:hAnsi="Arial" w:cs="Arial"/>
                <w:b/>
                <w:bCs/>
                <w:color w:val="000000"/>
                <w:sz w:val="18"/>
                <w:szCs w:val="18"/>
                <w:lang w:eastAsia="en-GB"/>
              </w:rPr>
              <w:t> </w:t>
            </w:r>
          </w:p>
        </w:tc>
        <w:tc>
          <w:tcPr>
            <w:tcW w:w="1136" w:type="dxa"/>
            <w:tcBorders>
              <w:top w:val="nil"/>
              <w:left w:val="nil"/>
              <w:bottom w:val="nil"/>
              <w:right w:val="nil"/>
            </w:tcBorders>
            <w:shd w:val="clear" w:color="000000" w:fill="FFFFFF"/>
            <w:noWrap/>
            <w:vAlign w:val="center"/>
            <w:hideMark/>
          </w:tcPr>
          <w:p w:rsidR="007058D0" w:rsidRPr="007D1F2E" w:rsidRDefault="007058D0" w:rsidP="00891A96">
            <w:pPr>
              <w:jc w:val="right"/>
              <w:rPr>
                <w:rFonts w:ascii="Arial" w:hAnsi="Arial" w:cs="Arial"/>
                <w:b/>
                <w:bCs/>
                <w:color w:val="000000"/>
                <w:sz w:val="18"/>
                <w:szCs w:val="18"/>
                <w:lang w:eastAsia="en-GB"/>
              </w:rPr>
            </w:pPr>
            <w:r w:rsidRPr="007D1F2E">
              <w:rPr>
                <w:rFonts w:ascii="Arial" w:hAnsi="Arial" w:cs="Arial"/>
                <w:b/>
                <w:bCs/>
                <w:color w:val="000000"/>
                <w:sz w:val="18"/>
                <w:szCs w:val="18"/>
                <w:lang w:eastAsia="en-GB"/>
              </w:rPr>
              <w:t> </w:t>
            </w:r>
          </w:p>
        </w:tc>
      </w:tr>
      <w:tr w:rsidR="007058D0" w:rsidRPr="007D1F2E" w:rsidTr="00891A96">
        <w:trPr>
          <w:trHeight w:val="645"/>
        </w:trPr>
        <w:tc>
          <w:tcPr>
            <w:tcW w:w="1136" w:type="dxa"/>
            <w:tcBorders>
              <w:top w:val="nil"/>
              <w:left w:val="nil"/>
              <w:bottom w:val="nil"/>
              <w:right w:val="nil"/>
            </w:tcBorders>
            <w:shd w:val="clear" w:color="000000" w:fill="FFFFFF"/>
            <w:noWrap/>
            <w:vAlign w:val="center"/>
            <w:hideMark/>
          </w:tcPr>
          <w:p w:rsidR="007058D0" w:rsidRPr="007D1F2E" w:rsidRDefault="007058D0" w:rsidP="00891A96">
            <w:pPr>
              <w:jc w:val="right"/>
              <w:rPr>
                <w:rFonts w:ascii="Arial" w:hAnsi="Arial" w:cs="Arial"/>
                <w:b/>
                <w:bCs/>
                <w:color w:val="000000"/>
                <w:sz w:val="18"/>
                <w:szCs w:val="18"/>
                <w:lang w:eastAsia="en-GB"/>
              </w:rPr>
            </w:pPr>
            <w:r w:rsidRPr="007D1F2E">
              <w:rPr>
                <w:rFonts w:ascii="Arial" w:hAnsi="Arial" w:cs="Arial"/>
                <w:b/>
                <w:bCs/>
                <w:color w:val="000000"/>
                <w:sz w:val="18"/>
                <w:szCs w:val="18"/>
                <w:lang w:eastAsia="en-GB"/>
              </w:rPr>
              <w:t>34.1</w:t>
            </w:r>
          </w:p>
        </w:tc>
        <w:tc>
          <w:tcPr>
            <w:tcW w:w="1136" w:type="dxa"/>
            <w:tcBorders>
              <w:top w:val="nil"/>
              <w:left w:val="nil"/>
              <w:bottom w:val="nil"/>
              <w:right w:val="nil"/>
            </w:tcBorders>
            <w:shd w:val="clear" w:color="000000" w:fill="FFFFFF"/>
            <w:noWrap/>
            <w:vAlign w:val="center"/>
            <w:hideMark/>
          </w:tcPr>
          <w:p w:rsidR="007058D0" w:rsidRPr="007D1F2E" w:rsidRDefault="007058D0" w:rsidP="00891A96">
            <w:pPr>
              <w:jc w:val="right"/>
              <w:rPr>
                <w:rFonts w:ascii="Arial" w:hAnsi="Arial" w:cs="Arial"/>
                <w:b/>
                <w:bCs/>
                <w:color w:val="000000"/>
                <w:sz w:val="18"/>
                <w:szCs w:val="18"/>
                <w:lang w:eastAsia="en-GB"/>
              </w:rPr>
            </w:pPr>
            <w:r w:rsidRPr="007D1F2E">
              <w:rPr>
                <w:rFonts w:ascii="Arial" w:hAnsi="Arial" w:cs="Arial"/>
                <w:b/>
                <w:bCs/>
                <w:color w:val="000000"/>
                <w:sz w:val="18"/>
                <w:szCs w:val="18"/>
                <w:lang w:eastAsia="en-GB"/>
              </w:rPr>
              <w:t>73.2</w:t>
            </w:r>
          </w:p>
        </w:tc>
        <w:tc>
          <w:tcPr>
            <w:tcW w:w="1136" w:type="dxa"/>
            <w:tcBorders>
              <w:top w:val="nil"/>
              <w:left w:val="nil"/>
              <w:bottom w:val="nil"/>
              <w:right w:val="nil"/>
            </w:tcBorders>
            <w:shd w:val="clear" w:color="000000" w:fill="FFFFFF"/>
            <w:noWrap/>
            <w:vAlign w:val="center"/>
            <w:hideMark/>
          </w:tcPr>
          <w:p w:rsidR="007058D0" w:rsidRPr="007D1F2E" w:rsidRDefault="007058D0" w:rsidP="00891A96">
            <w:pPr>
              <w:jc w:val="right"/>
              <w:rPr>
                <w:rFonts w:ascii="Arial" w:hAnsi="Arial" w:cs="Arial"/>
                <w:b/>
                <w:bCs/>
                <w:color w:val="000000"/>
                <w:sz w:val="18"/>
                <w:szCs w:val="18"/>
                <w:lang w:eastAsia="en-GB"/>
              </w:rPr>
            </w:pPr>
            <w:r w:rsidRPr="007D1F2E">
              <w:rPr>
                <w:rFonts w:ascii="Arial" w:hAnsi="Arial" w:cs="Arial"/>
                <w:b/>
                <w:bCs/>
                <w:color w:val="000000"/>
                <w:sz w:val="18"/>
                <w:szCs w:val="18"/>
                <w:lang w:eastAsia="en-GB"/>
              </w:rPr>
              <w:t>107.3</w:t>
            </w:r>
          </w:p>
        </w:tc>
        <w:tc>
          <w:tcPr>
            <w:tcW w:w="4684" w:type="dxa"/>
            <w:tcBorders>
              <w:top w:val="nil"/>
              <w:left w:val="nil"/>
              <w:bottom w:val="nil"/>
              <w:right w:val="nil"/>
            </w:tcBorders>
            <w:shd w:val="clear" w:color="000000" w:fill="FFFFFF"/>
            <w:vAlign w:val="center"/>
            <w:hideMark/>
          </w:tcPr>
          <w:p w:rsidR="007058D0" w:rsidRPr="007D1F2E" w:rsidRDefault="007058D0" w:rsidP="00891A96">
            <w:pPr>
              <w:ind w:left="34"/>
              <w:rPr>
                <w:rFonts w:ascii="Arial" w:hAnsi="Arial" w:cs="Arial"/>
                <w:color w:val="000000"/>
                <w:sz w:val="18"/>
                <w:szCs w:val="18"/>
                <w:lang w:eastAsia="en-GB"/>
              </w:rPr>
            </w:pPr>
            <w:r w:rsidRPr="007D1F2E">
              <w:rPr>
                <w:rFonts w:ascii="Arial" w:hAnsi="Arial" w:cs="Arial"/>
                <w:color w:val="000000"/>
                <w:sz w:val="18"/>
                <w:szCs w:val="18"/>
                <w:lang w:eastAsia="en-GB"/>
              </w:rPr>
              <w:t>Property, Plant &amp; Equipment</w:t>
            </w:r>
          </w:p>
        </w:tc>
        <w:tc>
          <w:tcPr>
            <w:tcW w:w="1136" w:type="dxa"/>
            <w:tcBorders>
              <w:top w:val="nil"/>
              <w:left w:val="nil"/>
              <w:bottom w:val="nil"/>
              <w:right w:val="nil"/>
            </w:tcBorders>
            <w:shd w:val="clear" w:color="000000" w:fill="FFFFFF"/>
            <w:noWrap/>
            <w:vAlign w:val="center"/>
            <w:hideMark/>
          </w:tcPr>
          <w:p w:rsidR="007058D0" w:rsidRPr="007D1F2E" w:rsidRDefault="007058D0" w:rsidP="00891A96">
            <w:pPr>
              <w:jc w:val="right"/>
              <w:rPr>
                <w:rFonts w:ascii="Arial" w:hAnsi="Arial" w:cs="Arial"/>
                <w:b/>
                <w:bCs/>
                <w:color w:val="000000"/>
                <w:sz w:val="18"/>
                <w:szCs w:val="18"/>
                <w:lang w:eastAsia="en-GB"/>
              </w:rPr>
            </w:pPr>
            <w:r w:rsidRPr="007D1F2E">
              <w:rPr>
                <w:rFonts w:ascii="Arial" w:hAnsi="Arial" w:cs="Arial"/>
                <w:b/>
                <w:bCs/>
                <w:color w:val="000000"/>
                <w:sz w:val="18"/>
                <w:szCs w:val="18"/>
                <w:lang w:eastAsia="en-GB"/>
              </w:rPr>
              <w:t>110.5</w:t>
            </w:r>
          </w:p>
        </w:tc>
        <w:tc>
          <w:tcPr>
            <w:tcW w:w="1136" w:type="dxa"/>
            <w:tcBorders>
              <w:top w:val="nil"/>
              <w:left w:val="nil"/>
              <w:bottom w:val="nil"/>
              <w:right w:val="nil"/>
            </w:tcBorders>
            <w:shd w:val="clear" w:color="000000" w:fill="FFFFFF"/>
            <w:noWrap/>
            <w:vAlign w:val="center"/>
            <w:hideMark/>
          </w:tcPr>
          <w:p w:rsidR="007058D0" w:rsidRPr="007D1F2E" w:rsidRDefault="007058D0" w:rsidP="00891A96">
            <w:pPr>
              <w:jc w:val="right"/>
              <w:rPr>
                <w:rFonts w:ascii="Arial" w:hAnsi="Arial" w:cs="Arial"/>
                <w:b/>
                <w:bCs/>
                <w:color w:val="000000"/>
                <w:sz w:val="18"/>
                <w:szCs w:val="18"/>
                <w:lang w:eastAsia="en-GB"/>
              </w:rPr>
            </w:pPr>
            <w:r w:rsidRPr="007D1F2E">
              <w:rPr>
                <w:rFonts w:ascii="Arial" w:hAnsi="Arial" w:cs="Arial"/>
                <w:b/>
                <w:bCs/>
                <w:color w:val="000000"/>
                <w:sz w:val="18"/>
                <w:szCs w:val="18"/>
                <w:lang w:eastAsia="en-GB"/>
              </w:rPr>
              <w:t>55.3</w:t>
            </w:r>
          </w:p>
        </w:tc>
        <w:tc>
          <w:tcPr>
            <w:tcW w:w="1136" w:type="dxa"/>
            <w:tcBorders>
              <w:top w:val="nil"/>
              <w:left w:val="nil"/>
              <w:bottom w:val="nil"/>
              <w:right w:val="nil"/>
            </w:tcBorders>
            <w:shd w:val="clear" w:color="000000" w:fill="FFFFFF"/>
            <w:noWrap/>
            <w:vAlign w:val="center"/>
            <w:hideMark/>
          </w:tcPr>
          <w:p w:rsidR="007058D0" w:rsidRPr="007D1F2E" w:rsidRDefault="007058D0" w:rsidP="00891A96">
            <w:pPr>
              <w:jc w:val="right"/>
              <w:rPr>
                <w:rFonts w:ascii="Arial" w:hAnsi="Arial" w:cs="Arial"/>
                <w:b/>
                <w:bCs/>
                <w:color w:val="000000"/>
                <w:sz w:val="18"/>
                <w:szCs w:val="18"/>
                <w:lang w:eastAsia="en-GB"/>
              </w:rPr>
            </w:pPr>
            <w:r w:rsidRPr="007D1F2E">
              <w:rPr>
                <w:rFonts w:ascii="Arial" w:hAnsi="Arial" w:cs="Arial"/>
                <w:b/>
                <w:bCs/>
                <w:color w:val="000000"/>
                <w:sz w:val="18"/>
                <w:szCs w:val="18"/>
                <w:lang w:eastAsia="en-GB"/>
              </w:rPr>
              <w:t>165.8</w:t>
            </w:r>
          </w:p>
        </w:tc>
      </w:tr>
      <w:tr w:rsidR="007058D0" w:rsidRPr="007D1F2E" w:rsidTr="00891A96">
        <w:trPr>
          <w:trHeight w:val="285"/>
        </w:trPr>
        <w:tc>
          <w:tcPr>
            <w:tcW w:w="1136" w:type="dxa"/>
            <w:tcBorders>
              <w:top w:val="nil"/>
              <w:left w:val="nil"/>
              <w:bottom w:val="nil"/>
              <w:right w:val="nil"/>
            </w:tcBorders>
            <w:shd w:val="clear" w:color="000000" w:fill="FFFFFF"/>
            <w:noWrap/>
            <w:vAlign w:val="center"/>
            <w:hideMark/>
          </w:tcPr>
          <w:p w:rsidR="007058D0" w:rsidRPr="007D1F2E" w:rsidRDefault="007058D0" w:rsidP="00891A96">
            <w:pPr>
              <w:jc w:val="right"/>
              <w:rPr>
                <w:rFonts w:ascii="Arial" w:hAnsi="Arial" w:cs="Arial"/>
                <w:b/>
                <w:bCs/>
                <w:color w:val="000000"/>
                <w:sz w:val="18"/>
                <w:szCs w:val="18"/>
                <w:lang w:eastAsia="en-GB"/>
              </w:rPr>
            </w:pPr>
            <w:r w:rsidRPr="007D1F2E">
              <w:rPr>
                <w:rFonts w:ascii="Arial" w:hAnsi="Arial" w:cs="Arial"/>
                <w:b/>
                <w:bCs/>
                <w:color w:val="000000"/>
                <w:sz w:val="18"/>
                <w:szCs w:val="18"/>
                <w:lang w:eastAsia="en-GB"/>
              </w:rPr>
              <w:t>3.4</w:t>
            </w:r>
          </w:p>
        </w:tc>
        <w:tc>
          <w:tcPr>
            <w:tcW w:w="1136" w:type="dxa"/>
            <w:tcBorders>
              <w:top w:val="nil"/>
              <w:left w:val="nil"/>
              <w:bottom w:val="nil"/>
              <w:right w:val="nil"/>
            </w:tcBorders>
            <w:shd w:val="clear" w:color="000000" w:fill="FFFFFF"/>
            <w:noWrap/>
            <w:vAlign w:val="center"/>
            <w:hideMark/>
          </w:tcPr>
          <w:p w:rsidR="007058D0" w:rsidRPr="007D1F2E" w:rsidRDefault="007058D0" w:rsidP="00891A96">
            <w:pPr>
              <w:jc w:val="right"/>
              <w:rPr>
                <w:rFonts w:ascii="Arial" w:hAnsi="Arial" w:cs="Arial"/>
                <w:b/>
                <w:bCs/>
                <w:color w:val="000000"/>
                <w:sz w:val="18"/>
                <w:szCs w:val="18"/>
                <w:lang w:eastAsia="en-GB"/>
              </w:rPr>
            </w:pPr>
            <w:r w:rsidRPr="007D1F2E">
              <w:rPr>
                <w:rFonts w:ascii="Arial" w:hAnsi="Arial" w:cs="Arial"/>
                <w:b/>
                <w:bCs/>
                <w:color w:val="000000"/>
                <w:sz w:val="18"/>
                <w:szCs w:val="18"/>
                <w:lang w:eastAsia="en-GB"/>
              </w:rPr>
              <w:t>7.5</w:t>
            </w:r>
          </w:p>
        </w:tc>
        <w:tc>
          <w:tcPr>
            <w:tcW w:w="1136" w:type="dxa"/>
            <w:tcBorders>
              <w:top w:val="nil"/>
              <w:left w:val="nil"/>
              <w:bottom w:val="nil"/>
              <w:right w:val="nil"/>
            </w:tcBorders>
            <w:shd w:val="clear" w:color="000000" w:fill="FFFFFF"/>
            <w:noWrap/>
            <w:vAlign w:val="center"/>
            <w:hideMark/>
          </w:tcPr>
          <w:p w:rsidR="007058D0" w:rsidRPr="007D1F2E" w:rsidRDefault="007058D0" w:rsidP="00891A96">
            <w:pPr>
              <w:jc w:val="right"/>
              <w:rPr>
                <w:rFonts w:ascii="Arial" w:hAnsi="Arial" w:cs="Arial"/>
                <w:b/>
                <w:bCs/>
                <w:color w:val="000000"/>
                <w:sz w:val="18"/>
                <w:szCs w:val="18"/>
                <w:lang w:eastAsia="en-GB"/>
              </w:rPr>
            </w:pPr>
            <w:r w:rsidRPr="007D1F2E">
              <w:rPr>
                <w:rFonts w:ascii="Arial" w:hAnsi="Arial" w:cs="Arial"/>
                <w:b/>
                <w:bCs/>
                <w:color w:val="000000"/>
                <w:sz w:val="18"/>
                <w:szCs w:val="18"/>
                <w:lang w:eastAsia="en-GB"/>
              </w:rPr>
              <w:t>10.9</w:t>
            </w:r>
          </w:p>
        </w:tc>
        <w:tc>
          <w:tcPr>
            <w:tcW w:w="4684" w:type="dxa"/>
            <w:tcBorders>
              <w:top w:val="nil"/>
              <w:left w:val="nil"/>
              <w:bottom w:val="nil"/>
              <w:right w:val="nil"/>
            </w:tcBorders>
            <w:shd w:val="clear" w:color="000000" w:fill="FFFFFF"/>
            <w:vAlign w:val="center"/>
            <w:hideMark/>
          </w:tcPr>
          <w:p w:rsidR="007058D0" w:rsidRPr="007D1F2E" w:rsidRDefault="007058D0" w:rsidP="00891A96">
            <w:pPr>
              <w:rPr>
                <w:rFonts w:ascii="Arial" w:hAnsi="Arial" w:cs="Arial"/>
                <w:color w:val="000000"/>
                <w:sz w:val="18"/>
                <w:szCs w:val="18"/>
                <w:lang w:eastAsia="en-GB"/>
              </w:rPr>
            </w:pPr>
            <w:r w:rsidRPr="007D1F2E">
              <w:rPr>
                <w:rFonts w:ascii="Arial" w:hAnsi="Arial" w:cs="Arial"/>
                <w:color w:val="000000"/>
                <w:sz w:val="18"/>
                <w:szCs w:val="18"/>
                <w:lang w:eastAsia="en-GB"/>
              </w:rPr>
              <w:t>REFCUS</w:t>
            </w:r>
          </w:p>
        </w:tc>
        <w:tc>
          <w:tcPr>
            <w:tcW w:w="1136" w:type="dxa"/>
            <w:tcBorders>
              <w:top w:val="nil"/>
              <w:left w:val="nil"/>
              <w:bottom w:val="nil"/>
              <w:right w:val="nil"/>
            </w:tcBorders>
            <w:shd w:val="clear" w:color="000000" w:fill="FFFFFF"/>
            <w:noWrap/>
            <w:vAlign w:val="center"/>
            <w:hideMark/>
          </w:tcPr>
          <w:p w:rsidR="007058D0" w:rsidRPr="007D1F2E" w:rsidRDefault="007058D0" w:rsidP="00891A96">
            <w:pPr>
              <w:jc w:val="right"/>
              <w:rPr>
                <w:rFonts w:ascii="Arial" w:hAnsi="Arial" w:cs="Arial"/>
                <w:b/>
                <w:bCs/>
                <w:color w:val="000000"/>
                <w:sz w:val="18"/>
                <w:szCs w:val="18"/>
                <w:lang w:eastAsia="en-GB"/>
              </w:rPr>
            </w:pPr>
            <w:r w:rsidRPr="007D1F2E">
              <w:rPr>
                <w:rFonts w:ascii="Arial" w:hAnsi="Arial" w:cs="Arial"/>
                <w:b/>
                <w:bCs/>
                <w:color w:val="000000"/>
                <w:sz w:val="18"/>
                <w:szCs w:val="18"/>
                <w:lang w:eastAsia="en-GB"/>
              </w:rPr>
              <w:t>0.0</w:t>
            </w:r>
          </w:p>
        </w:tc>
        <w:tc>
          <w:tcPr>
            <w:tcW w:w="1136" w:type="dxa"/>
            <w:tcBorders>
              <w:top w:val="nil"/>
              <w:left w:val="nil"/>
              <w:bottom w:val="nil"/>
              <w:right w:val="nil"/>
            </w:tcBorders>
            <w:shd w:val="clear" w:color="000000" w:fill="FFFFFF"/>
            <w:noWrap/>
            <w:vAlign w:val="center"/>
            <w:hideMark/>
          </w:tcPr>
          <w:p w:rsidR="007058D0" w:rsidRPr="007D1F2E" w:rsidRDefault="007058D0" w:rsidP="00891A96">
            <w:pPr>
              <w:jc w:val="right"/>
              <w:rPr>
                <w:rFonts w:ascii="Arial" w:hAnsi="Arial" w:cs="Arial"/>
                <w:b/>
                <w:bCs/>
                <w:color w:val="000000"/>
                <w:sz w:val="18"/>
                <w:szCs w:val="18"/>
                <w:lang w:eastAsia="en-GB"/>
              </w:rPr>
            </w:pPr>
            <w:r w:rsidRPr="007D1F2E">
              <w:rPr>
                <w:rFonts w:ascii="Arial" w:hAnsi="Arial" w:cs="Arial"/>
                <w:b/>
                <w:bCs/>
                <w:color w:val="000000"/>
                <w:sz w:val="18"/>
                <w:szCs w:val="18"/>
                <w:lang w:eastAsia="en-GB"/>
              </w:rPr>
              <w:t>7.7</w:t>
            </w:r>
          </w:p>
        </w:tc>
        <w:tc>
          <w:tcPr>
            <w:tcW w:w="1136" w:type="dxa"/>
            <w:tcBorders>
              <w:top w:val="nil"/>
              <w:left w:val="nil"/>
              <w:bottom w:val="nil"/>
              <w:right w:val="nil"/>
            </w:tcBorders>
            <w:shd w:val="clear" w:color="000000" w:fill="FFFFFF"/>
            <w:noWrap/>
            <w:vAlign w:val="center"/>
            <w:hideMark/>
          </w:tcPr>
          <w:p w:rsidR="007058D0" w:rsidRPr="007D1F2E" w:rsidRDefault="007058D0" w:rsidP="00891A96">
            <w:pPr>
              <w:jc w:val="right"/>
              <w:rPr>
                <w:rFonts w:ascii="Arial" w:hAnsi="Arial" w:cs="Arial"/>
                <w:b/>
                <w:bCs/>
                <w:color w:val="000000"/>
                <w:sz w:val="18"/>
                <w:szCs w:val="18"/>
                <w:lang w:eastAsia="en-GB"/>
              </w:rPr>
            </w:pPr>
            <w:r w:rsidRPr="007D1F2E">
              <w:rPr>
                <w:rFonts w:ascii="Arial" w:hAnsi="Arial" w:cs="Arial"/>
                <w:b/>
                <w:bCs/>
                <w:color w:val="000000"/>
                <w:sz w:val="18"/>
                <w:szCs w:val="18"/>
                <w:lang w:eastAsia="en-GB"/>
              </w:rPr>
              <w:t>7.7</w:t>
            </w:r>
          </w:p>
        </w:tc>
      </w:tr>
      <w:tr w:rsidR="007058D0" w:rsidRPr="007D1F2E" w:rsidTr="00891A96">
        <w:trPr>
          <w:trHeight w:val="285"/>
        </w:trPr>
        <w:tc>
          <w:tcPr>
            <w:tcW w:w="1136" w:type="dxa"/>
            <w:tcBorders>
              <w:top w:val="nil"/>
              <w:left w:val="nil"/>
              <w:bottom w:val="nil"/>
              <w:right w:val="nil"/>
            </w:tcBorders>
            <w:shd w:val="clear" w:color="000000" w:fill="FFFFFF"/>
            <w:noWrap/>
            <w:vAlign w:val="center"/>
            <w:hideMark/>
          </w:tcPr>
          <w:p w:rsidR="007058D0" w:rsidRPr="007D1F2E" w:rsidRDefault="007058D0" w:rsidP="00891A96">
            <w:pPr>
              <w:jc w:val="right"/>
              <w:rPr>
                <w:rFonts w:ascii="Arial" w:hAnsi="Arial" w:cs="Arial"/>
                <w:b/>
                <w:bCs/>
                <w:color w:val="000000"/>
                <w:sz w:val="18"/>
                <w:szCs w:val="18"/>
                <w:lang w:eastAsia="en-GB"/>
              </w:rPr>
            </w:pPr>
            <w:r w:rsidRPr="007D1F2E">
              <w:rPr>
                <w:rFonts w:ascii="Arial" w:hAnsi="Arial" w:cs="Arial"/>
                <w:b/>
                <w:bCs/>
                <w:color w:val="000000"/>
                <w:sz w:val="18"/>
                <w:szCs w:val="18"/>
                <w:lang w:eastAsia="en-GB"/>
              </w:rPr>
              <w:t>0.0</w:t>
            </w:r>
          </w:p>
        </w:tc>
        <w:tc>
          <w:tcPr>
            <w:tcW w:w="1136" w:type="dxa"/>
            <w:tcBorders>
              <w:top w:val="nil"/>
              <w:left w:val="nil"/>
              <w:bottom w:val="nil"/>
              <w:right w:val="nil"/>
            </w:tcBorders>
            <w:shd w:val="clear" w:color="000000" w:fill="FFFFFF"/>
            <w:noWrap/>
            <w:vAlign w:val="center"/>
            <w:hideMark/>
          </w:tcPr>
          <w:p w:rsidR="007058D0" w:rsidRPr="007D1F2E" w:rsidRDefault="007058D0" w:rsidP="00891A96">
            <w:pPr>
              <w:jc w:val="right"/>
              <w:rPr>
                <w:rFonts w:ascii="Arial" w:hAnsi="Arial" w:cs="Arial"/>
                <w:b/>
                <w:bCs/>
                <w:color w:val="000000"/>
                <w:sz w:val="18"/>
                <w:szCs w:val="18"/>
                <w:lang w:eastAsia="en-GB"/>
              </w:rPr>
            </w:pPr>
            <w:r w:rsidRPr="007D1F2E">
              <w:rPr>
                <w:rFonts w:ascii="Arial" w:hAnsi="Arial" w:cs="Arial"/>
                <w:b/>
                <w:bCs/>
                <w:color w:val="000000"/>
                <w:sz w:val="18"/>
                <w:szCs w:val="18"/>
                <w:lang w:eastAsia="en-GB"/>
              </w:rPr>
              <w:t>(0.0)</w:t>
            </w:r>
          </w:p>
        </w:tc>
        <w:tc>
          <w:tcPr>
            <w:tcW w:w="1136" w:type="dxa"/>
            <w:tcBorders>
              <w:top w:val="nil"/>
              <w:left w:val="nil"/>
              <w:bottom w:val="nil"/>
              <w:right w:val="nil"/>
            </w:tcBorders>
            <w:shd w:val="clear" w:color="000000" w:fill="FFFFFF"/>
            <w:noWrap/>
            <w:vAlign w:val="center"/>
            <w:hideMark/>
          </w:tcPr>
          <w:p w:rsidR="007058D0" w:rsidRPr="007D1F2E" w:rsidRDefault="007058D0" w:rsidP="00891A96">
            <w:pPr>
              <w:jc w:val="right"/>
              <w:rPr>
                <w:rFonts w:ascii="Arial" w:hAnsi="Arial" w:cs="Arial"/>
                <w:b/>
                <w:bCs/>
                <w:color w:val="000000"/>
                <w:sz w:val="18"/>
                <w:szCs w:val="18"/>
                <w:lang w:eastAsia="en-GB"/>
              </w:rPr>
            </w:pPr>
            <w:r w:rsidRPr="007D1F2E">
              <w:rPr>
                <w:rFonts w:ascii="Arial" w:hAnsi="Arial" w:cs="Arial"/>
                <w:b/>
                <w:bCs/>
                <w:color w:val="000000"/>
                <w:sz w:val="18"/>
                <w:szCs w:val="18"/>
                <w:lang w:eastAsia="en-GB"/>
              </w:rPr>
              <w:t>(0.0)</w:t>
            </w:r>
          </w:p>
        </w:tc>
        <w:tc>
          <w:tcPr>
            <w:tcW w:w="4684" w:type="dxa"/>
            <w:tcBorders>
              <w:top w:val="nil"/>
              <w:left w:val="nil"/>
              <w:bottom w:val="nil"/>
              <w:right w:val="nil"/>
            </w:tcBorders>
            <w:shd w:val="clear" w:color="000000" w:fill="FFFFFF"/>
            <w:vAlign w:val="center"/>
            <w:hideMark/>
          </w:tcPr>
          <w:p w:rsidR="007058D0" w:rsidRPr="007D1F2E" w:rsidRDefault="007058D0" w:rsidP="00891A96">
            <w:pPr>
              <w:rPr>
                <w:rFonts w:ascii="Arial" w:hAnsi="Arial" w:cs="Arial"/>
                <w:color w:val="000000"/>
                <w:sz w:val="18"/>
                <w:szCs w:val="18"/>
                <w:lang w:eastAsia="en-GB"/>
              </w:rPr>
            </w:pPr>
            <w:r w:rsidRPr="007D1F2E">
              <w:rPr>
                <w:rFonts w:ascii="Arial" w:hAnsi="Arial" w:cs="Arial"/>
                <w:color w:val="000000"/>
                <w:sz w:val="18"/>
                <w:szCs w:val="18"/>
                <w:lang w:eastAsia="en-GB"/>
              </w:rPr>
              <w:t>Non-Enhancing</w:t>
            </w:r>
          </w:p>
        </w:tc>
        <w:tc>
          <w:tcPr>
            <w:tcW w:w="1136" w:type="dxa"/>
            <w:tcBorders>
              <w:top w:val="nil"/>
              <w:left w:val="nil"/>
              <w:bottom w:val="nil"/>
              <w:right w:val="nil"/>
            </w:tcBorders>
            <w:shd w:val="clear" w:color="000000" w:fill="FFFFFF"/>
            <w:noWrap/>
            <w:vAlign w:val="center"/>
            <w:hideMark/>
          </w:tcPr>
          <w:p w:rsidR="007058D0" w:rsidRPr="007D1F2E" w:rsidRDefault="007058D0" w:rsidP="00891A96">
            <w:pPr>
              <w:jc w:val="right"/>
              <w:rPr>
                <w:rFonts w:ascii="Arial" w:hAnsi="Arial" w:cs="Arial"/>
                <w:b/>
                <w:bCs/>
                <w:color w:val="000000"/>
                <w:sz w:val="18"/>
                <w:szCs w:val="18"/>
                <w:lang w:eastAsia="en-GB"/>
              </w:rPr>
            </w:pPr>
            <w:r w:rsidRPr="007D1F2E">
              <w:rPr>
                <w:rFonts w:ascii="Arial" w:hAnsi="Arial" w:cs="Arial"/>
                <w:b/>
                <w:bCs/>
                <w:color w:val="000000"/>
                <w:sz w:val="18"/>
                <w:szCs w:val="18"/>
                <w:lang w:eastAsia="en-GB"/>
              </w:rPr>
              <w:t>0.0</w:t>
            </w:r>
          </w:p>
        </w:tc>
        <w:tc>
          <w:tcPr>
            <w:tcW w:w="1136" w:type="dxa"/>
            <w:tcBorders>
              <w:top w:val="nil"/>
              <w:left w:val="nil"/>
              <w:bottom w:val="nil"/>
              <w:right w:val="nil"/>
            </w:tcBorders>
            <w:shd w:val="clear" w:color="000000" w:fill="FFFFFF"/>
            <w:noWrap/>
            <w:vAlign w:val="center"/>
            <w:hideMark/>
          </w:tcPr>
          <w:p w:rsidR="007058D0" w:rsidRPr="007D1F2E" w:rsidRDefault="007058D0" w:rsidP="00891A96">
            <w:pPr>
              <w:jc w:val="right"/>
              <w:rPr>
                <w:rFonts w:ascii="Arial" w:hAnsi="Arial" w:cs="Arial"/>
                <w:b/>
                <w:bCs/>
                <w:color w:val="000000"/>
                <w:sz w:val="18"/>
                <w:szCs w:val="18"/>
                <w:lang w:eastAsia="en-GB"/>
              </w:rPr>
            </w:pPr>
            <w:r w:rsidRPr="007D1F2E">
              <w:rPr>
                <w:rFonts w:ascii="Arial" w:hAnsi="Arial" w:cs="Arial"/>
                <w:b/>
                <w:bCs/>
                <w:color w:val="000000"/>
                <w:sz w:val="18"/>
                <w:szCs w:val="18"/>
                <w:lang w:eastAsia="en-GB"/>
              </w:rPr>
              <w:t>1.0</w:t>
            </w:r>
          </w:p>
        </w:tc>
        <w:tc>
          <w:tcPr>
            <w:tcW w:w="1136" w:type="dxa"/>
            <w:tcBorders>
              <w:top w:val="nil"/>
              <w:left w:val="nil"/>
              <w:bottom w:val="nil"/>
              <w:right w:val="nil"/>
            </w:tcBorders>
            <w:shd w:val="clear" w:color="000000" w:fill="FFFFFF"/>
            <w:noWrap/>
            <w:vAlign w:val="center"/>
            <w:hideMark/>
          </w:tcPr>
          <w:p w:rsidR="007058D0" w:rsidRPr="007D1F2E" w:rsidRDefault="007058D0" w:rsidP="00891A96">
            <w:pPr>
              <w:jc w:val="right"/>
              <w:rPr>
                <w:rFonts w:ascii="Arial" w:hAnsi="Arial" w:cs="Arial"/>
                <w:b/>
                <w:bCs/>
                <w:color w:val="000000"/>
                <w:sz w:val="18"/>
                <w:szCs w:val="18"/>
                <w:lang w:eastAsia="en-GB"/>
              </w:rPr>
            </w:pPr>
            <w:r w:rsidRPr="007D1F2E">
              <w:rPr>
                <w:rFonts w:ascii="Arial" w:hAnsi="Arial" w:cs="Arial"/>
                <w:b/>
                <w:bCs/>
                <w:color w:val="000000"/>
                <w:sz w:val="18"/>
                <w:szCs w:val="18"/>
                <w:lang w:eastAsia="en-GB"/>
              </w:rPr>
              <w:t>1.0</w:t>
            </w:r>
          </w:p>
        </w:tc>
      </w:tr>
      <w:tr w:rsidR="007058D0" w:rsidRPr="007D1F2E" w:rsidTr="00891A96">
        <w:trPr>
          <w:trHeight w:val="285"/>
        </w:trPr>
        <w:tc>
          <w:tcPr>
            <w:tcW w:w="1136" w:type="dxa"/>
            <w:tcBorders>
              <w:top w:val="nil"/>
              <w:left w:val="nil"/>
              <w:bottom w:val="nil"/>
              <w:right w:val="nil"/>
            </w:tcBorders>
            <w:shd w:val="clear" w:color="000000" w:fill="FFFFFF"/>
            <w:noWrap/>
            <w:vAlign w:val="center"/>
            <w:hideMark/>
          </w:tcPr>
          <w:p w:rsidR="007058D0" w:rsidRPr="007D1F2E" w:rsidRDefault="007058D0" w:rsidP="00891A96">
            <w:pPr>
              <w:jc w:val="right"/>
              <w:rPr>
                <w:rFonts w:ascii="Arial" w:hAnsi="Arial" w:cs="Arial"/>
                <w:b/>
                <w:bCs/>
                <w:color w:val="000000"/>
                <w:sz w:val="18"/>
                <w:szCs w:val="18"/>
                <w:lang w:eastAsia="en-GB"/>
              </w:rPr>
            </w:pPr>
            <w:r w:rsidRPr="007D1F2E">
              <w:rPr>
                <w:rFonts w:ascii="Arial" w:hAnsi="Arial" w:cs="Arial"/>
                <w:b/>
                <w:bCs/>
                <w:color w:val="000000"/>
                <w:sz w:val="18"/>
                <w:szCs w:val="18"/>
                <w:lang w:eastAsia="en-GB"/>
              </w:rPr>
              <w:t>0.0</w:t>
            </w:r>
          </w:p>
        </w:tc>
        <w:tc>
          <w:tcPr>
            <w:tcW w:w="1136" w:type="dxa"/>
            <w:tcBorders>
              <w:top w:val="nil"/>
              <w:left w:val="nil"/>
              <w:bottom w:val="nil"/>
              <w:right w:val="nil"/>
            </w:tcBorders>
            <w:shd w:val="clear" w:color="000000" w:fill="FFFFFF"/>
            <w:noWrap/>
            <w:vAlign w:val="center"/>
            <w:hideMark/>
          </w:tcPr>
          <w:p w:rsidR="007058D0" w:rsidRPr="007D1F2E" w:rsidRDefault="007058D0" w:rsidP="00891A96">
            <w:pPr>
              <w:jc w:val="right"/>
              <w:rPr>
                <w:rFonts w:ascii="Arial" w:hAnsi="Arial" w:cs="Arial"/>
                <w:b/>
                <w:bCs/>
                <w:color w:val="000000"/>
                <w:sz w:val="18"/>
                <w:szCs w:val="18"/>
                <w:lang w:eastAsia="en-GB"/>
              </w:rPr>
            </w:pPr>
            <w:r w:rsidRPr="007D1F2E">
              <w:rPr>
                <w:rFonts w:ascii="Arial" w:hAnsi="Arial" w:cs="Arial"/>
                <w:b/>
                <w:bCs/>
                <w:color w:val="000000"/>
                <w:sz w:val="18"/>
                <w:szCs w:val="18"/>
                <w:lang w:eastAsia="en-GB"/>
              </w:rPr>
              <w:t>32.9</w:t>
            </w:r>
          </w:p>
        </w:tc>
        <w:tc>
          <w:tcPr>
            <w:tcW w:w="1136" w:type="dxa"/>
            <w:tcBorders>
              <w:top w:val="nil"/>
              <w:left w:val="nil"/>
              <w:bottom w:val="nil"/>
              <w:right w:val="nil"/>
            </w:tcBorders>
            <w:shd w:val="clear" w:color="000000" w:fill="FFFFFF"/>
            <w:noWrap/>
            <w:vAlign w:val="center"/>
            <w:hideMark/>
          </w:tcPr>
          <w:p w:rsidR="007058D0" w:rsidRPr="007D1F2E" w:rsidRDefault="007058D0" w:rsidP="00891A96">
            <w:pPr>
              <w:jc w:val="right"/>
              <w:rPr>
                <w:rFonts w:ascii="Arial" w:hAnsi="Arial" w:cs="Arial"/>
                <w:b/>
                <w:bCs/>
                <w:color w:val="000000"/>
                <w:sz w:val="18"/>
                <w:szCs w:val="18"/>
                <w:lang w:eastAsia="en-GB"/>
              </w:rPr>
            </w:pPr>
            <w:r w:rsidRPr="007D1F2E">
              <w:rPr>
                <w:rFonts w:ascii="Arial" w:hAnsi="Arial" w:cs="Arial"/>
                <w:b/>
                <w:bCs/>
                <w:color w:val="000000"/>
                <w:sz w:val="18"/>
                <w:szCs w:val="18"/>
                <w:lang w:eastAsia="en-GB"/>
              </w:rPr>
              <w:t>32.9</w:t>
            </w:r>
          </w:p>
        </w:tc>
        <w:tc>
          <w:tcPr>
            <w:tcW w:w="4684" w:type="dxa"/>
            <w:tcBorders>
              <w:top w:val="nil"/>
              <w:left w:val="nil"/>
              <w:bottom w:val="nil"/>
              <w:right w:val="nil"/>
            </w:tcBorders>
            <w:shd w:val="clear" w:color="000000" w:fill="FFFFFF"/>
            <w:vAlign w:val="center"/>
            <w:hideMark/>
          </w:tcPr>
          <w:p w:rsidR="007058D0" w:rsidRPr="007D1F2E" w:rsidRDefault="007058D0" w:rsidP="00891A96">
            <w:pPr>
              <w:rPr>
                <w:rFonts w:ascii="Arial" w:hAnsi="Arial" w:cs="Arial"/>
                <w:color w:val="000000"/>
                <w:sz w:val="18"/>
                <w:szCs w:val="18"/>
                <w:lang w:eastAsia="en-GB"/>
              </w:rPr>
            </w:pPr>
            <w:r w:rsidRPr="007D1F2E">
              <w:rPr>
                <w:rFonts w:ascii="Arial" w:hAnsi="Arial" w:cs="Arial"/>
                <w:color w:val="000000"/>
                <w:sz w:val="18"/>
                <w:szCs w:val="18"/>
                <w:lang w:eastAsia="en-GB"/>
              </w:rPr>
              <w:t>Loans to Third Parties</w:t>
            </w:r>
          </w:p>
        </w:tc>
        <w:tc>
          <w:tcPr>
            <w:tcW w:w="1136" w:type="dxa"/>
            <w:tcBorders>
              <w:top w:val="nil"/>
              <w:left w:val="nil"/>
              <w:bottom w:val="nil"/>
              <w:right w:val="nil"/>
            </w:tcBorders>
            <w:shd w:val="clear" w:color="000000" w:fill="FFFFFF"/>
            <w:noWrap/>
            <w:vAlign w:val="center"/>
            <w:hideMark/>
          </w:tcPr>
          <w:p w:rsidR="007058D0" w:rsidRPr="007D1F2E" w:rsidRDefault="007058D0" w:rsidP="00891A96">
            <w:pPr>
              <w:jc w:val="right"/>
              <w:rPr>
                <w:rFonts w:ascii="Arial" w:hAnsi="Arial" w:cs="Arial"/>
                <w:b/>
                <w:bCs/>
                <w:color w:val="000000"/>
                <w:sz w:val="18"/>
                <w:szCs w:val="18"/>
                <w:lang w:eastAsia="en-GB"/>
              </w:rPr>
            </w:pPr>
            <w:r w:rsidRPr="007D1F2E">
              <w:rPr>
                <w:rFonts w:ascii="Arial" w:hAnsi="Arial" w:cs="Arial"/>
                <w:b/>
                <w:bCs/>
                <w:color w:val="000000"/>
                <w:sz w:val="18"/>
                <w:szCs w:val="18"/>
                <w:lang w:eastAsia="en-GB"/>
              </w:rPr>
              <w:t>0.0</w:t>
            </w:r>
          </w:p>
        </w:tc>
        <w:tc>
          <w:tcPr>
            <w:tcW w:w="1136" w:type="dxa"/>
            <w:tcBorders>
              <w:top w:val="nil"/>
              <w:left w:val="nil"/>
              <w:bottom w:val="nil"/>
              <w:right w:val="nil"/>
            </w:tcBorders>
            <w:shd w:val="clear" w:color="000000" w:fill="FFFFFF"/>
            <w:noWrap/>
            <w:vAlign w:val="center"/>
            <w:hideMark/>
          </w:tcPr>
          <w:p w:rsidR="007058D0" w:rsidRPr="007D1F2E" w:rsidRDefault="007058D0" w:rsidP="00891A96">
            <w:pPr>
              <w:jc w:val="right"/>
              <w:rPr>
                <w:rFonts w:ascii="Arial" w:hAnsi="Arial" w:cs="Arial"/>
                <w:b/>
                <w:bCs/>
                <w:color w:val="000000"/>
                <w:sz w:val="18"/>
                <w:szCs w:val="18"/>
                <w:lang w:eastAsia="en-GB"/>
              </w:rPr>
            </w:pPr>
            <w:r w:rsidRPr="007D1F2E">
              <w:rPr>
                <w:rFonts w:ascii="Arial" w:hAnsi="Arial" w:cs="Arial"/>
                <w:b/>
                <w:bCs/>
                <w:color w:val="000000"/>
                <w:sz w:val="18"/>
                <w:szCs w:val="18"/>
                <w:lang w:eastAsia="en-GB"/>
              </w:rPr>
              <w:t>57.5</w:t>
            </w:r>
          </w:p>
        </w:tc>
        <w:tc>
          <w:tcPr>
            <w:tcW w:w="1136" w:type="dxa"/>
            <w:tcBorders>
              <w:top w:val="nil"/>
              <w:left w:val="nil"/>
              <w:bottom w:val="nil"/>
              <w:right w:val="nil"/>
            </w:tcBorders>
            <w:shd w:val="clear" w:color="000000" w:fill="FFFFFF"/>
            <w:noWrap/>
            <w:vAlign w:val="center"/>
            <w:hideMark/>
          </w:tcPr>
          <w:p w:rsidR="007058D0" w:rsidRPr="007D1F2E" w:rsidRDefault="007058D0" w:rsidP="00891A96">
            <w:pPr>
              <w:jc w:val="right"/>
              <w:rPr>
                <w:rFonts w:ascii="Arial" w:hAnsi="Arial" w:cs="Arial"/>
                <w:b/>
                <w:bCs/>
                <w:color w:val="000000"/>
                <w:sz w:val="18"/>
                <w:szCs w:val="18"/>
                <w:lang w:eastAsia="en-GB"/>
              </w:rPr>
            </w:pPr>
            <w:r w:rsidRPr="007D1F2E">
              <w:rPr>
                <w:rFonts w:ascii="Arial" w:hAnsi="Arial" w:cs="Arial"/>
                <w:b/>
                <w:bCs/>
                <w:color w:val="000000"/>
                <w:sz w:val="18"/>
                <w:szCs w:val="18"/>
                <w:lang w:eastAsia="en-GB"/>
              </w:rPr>
              <w:t>57.5</w:t>
            </w:r>
          </w:p>
        </w:tc>
      </w:tr>
      <w:tr w:rsidR="007058D0" w:rsidRPr="007D1F2E" w:rsidTr="00891A96">
        <w:trPr>
          <w:trHeight w:val="300"/>
        </w:trPr>
        <w:tc>
          <w:tcPr>
            <w:tcW w:w="1136" w:type="dxa"/>
            <w:tcBorders>
              <w:top w:val="nil"/>
              <w:left w:val="nil"/>
              <w:bottom w:val="nil"/>
              <w:right w:val="nil"/>
            </w:tcBorders>
            <w:shd w:val="clear" w:color="000000" w:fill="FFFFFF"/>
            <w:noWrap/>
            <w:vAlign w:val="center"/>
            <w:hideMark/>
          </w:tcPr>
          <w:p w:rsidR="007058D0" w:rsidRPr="007D1F2E" w:rsidRDefault="007058D0" w:rsidP="00891A96">
            <w:pPr>
              <w:jc w:val="right"/>
              <w:rPr>
                <w:rFonts w:ascii="Arial" w:hAnsi="Arial" w:cs="Arial"/>
                <w:b/>
                <w:bCs/>
                <w:color w:val="000000"/>
                <w:sz w:val="18"/>
                <w:szCs w:val="18"/>
                <w:lang w:eastAsia="en-GB"/>
              </w:rPr>
            </w:pPr>
            <w:r w:rsidRPr="007D1F2E">
              <w:rPr>
                <w:rFonts w:ascii="Arial" w:hAnsi="Arial" w:cs="Arial"/>
                <w:b/>
                <w:bCs/>
                <w:color w:val="000000"/>
                <w:sz w:val="18"/>
                <w:szCs w:val="18"/>
                <w:lang w:eastAsia="en-GB"/>
              </w:rPr>
              <w:t> </w:t>
            </w:r>
          </w:p>
        </w:tc>
        <w:tc>
          <w:tcPr>
            <w:tcW w:w="1136" w:type="dxa"/>
            <w:tcBorders>
              <w:top w:val="nil"/>
              <w:left w:val="nil"/>
              <w:bottom w:val="nil"/>
              <w:right w:val="nil"/>
            </w:tcBorders>
            <w:shd w:val="clear" w:color="000000" w:fill="FFFFFF"/>
            <w:noWrap/>
            <w:vAlign w:val="center"/>
            <w:hideMark/>
          </w:tcPr>
          <w:p w:rsidR="007058D0" w:rsidRPr="007D1F2E" w:rsidRDefault="007058D0" w:rsidP="00891A96">
            <w:pPr>
              <w:jc w:val="right"/>
              <w:rPr>
                <w:rFonts w:ascii="Arial" w:hAnsi="Arial" w:cs="Arial"/>
                <w:b/>
                <w:bCs/>
                <w:color w:val="000000"/>
                <w:sz w:val="18"/>
                <w:szCs w:val="18"/>
                <w:lang w:eastAsia="en-GB"/>
              </w:rPr>
            </w:pPr>
            <w:r w:rsidRPr="007D1F2E">
              <w:rPr>
                <w:rFonts w:ascii="Arial" w:hAnsi="Arial" w:cs="Arial"/>
                <w:b/>
                <w:bCs/>
                <w:color w:val="000000"/>
                <w:sz w:val="18"/>
                <w:szCs w:val="18"/>
                <w:lang w:eastAsia="en-GB"/>
              </w:rPr>
              <w:t> </w:t>
            </w:r>
          </w:p>
        </w:tc>
        <w:tc>
          <w:tcPr>
            <w:tcW w:w="1136" w:type="dxa"/>
            <w:tcBorders>
              <w:top w:val="nil"/>
              <w:left w:val="nil"/>
              <w:bottom w:val="nil"/>
              <w:right w:val="nil"/>
            </w:tcBorders>
            <w:shd w:val="clear" w:color="000000" w:fill="FFFFFF"/>
            <w:noWrap/>
            <w:vAlign w:val="center"/>
            <w:hideMark/>
          </w:tcPr>
          <w:p w:rsidR="007058D0" w:rsidRPr="007D1F2E" w:rsidRDefault="007058D0" w:rsidP="00891A96">
            <w:pPr>
              <w:jc w:val="right"/>
              <w:rPr>
                <w:rFonts w:ascii="Arial" w:hAnsi="Arial" w:cs="Arial"/>
                <w:b/>
                <w:bCs/>
                <w:color w:val="000000"/>
                <w:sz w:val="18"/>
                <w:szCs w:val="18"/>
                <w:lang w:eastAsia="en-GB"/>
              </w:rPr>
            </w:pPr>
            <w:r w:rsidRPr="007D1F2E">
              <w:rPr>
                <w:rFonts w:ascii="Arial" w:hAnsi="Arial" w:cs="Arial"/>
                <w:b/>
                <w:bCs/>
                <w:color w:val="000000"/>
                <w:sz w:val="18"/>
                <w:szCs w:val="18"/>
                <w:lang w:eastAsia="en-GB"/>
              </w:rPr>
              <w:t> </w:t>
            </w:r>
          </w:p>
        </w:tc>
        <w:tc>
          <w:tcPr>
            <w:tcW w:w="4684" w:type="dxa"/>
            <w:tcBorders>
              <w:top w:val="nil"/>
              <w:left w:val="nil"/>
              <w:bottom w:val="nil"/>
              <w:right w:val="nil"/>
            </w:tcBorders>
            <w:shd w:val="clear" w:color="000000" w:fill="FFFFFF"/>
            <w:vAlign w:val="center"/>
            <w:hideMark/>
          </w:tcPr>
          <w:p w:rsidR="007058D0" w:rsidRPr="007D1F2E" w:rsidRDefault="007058D0" w:rsidP="00891A96">
            <w:pPr>
              <w:rPr>
                <w:rFonts w:ascii="Arial" w:hAnsi="Arial" w:cs="Arial"/>
                <w:color w:val="000000"/>
                <w:sz w:val="18"/>
                <w:szCs w:val="18"/>
                <w:lang w:eastAsia="en-GB"/>
              </w:rPr>
            </w:pPr>
            <w:r w:rsidRPr="007D1F2E">
              <w:rPr>
                <w:rFonts w:ascii="Arial" w:hAnsi="Arial" w:cs="Arial"/>
                <w:color w:val="000000"/>
                <w:sz w:val="18"/>
                <w:szCs w:val="18"/>
                <w:lang w:eastAsia="en-GB"/>
              </w:rPr>
              <w:t> </w:t>
            </w:r>
          </w:p>
        </w:tc>
        <w:tc>
          <w:tcPr>
            <w:tcW w:w="1136" w:type="dxa"/>
            <w:tcBorders>
              <w:top w:val="nil"/>
              <w:left w:val="nil"/>
              <w:bottom w:val="nil"/>
              <w:right w:val="nil"/>
            </w:tcBorders>
            <w:shd w:val="clear" w:color="000000" w:fill="FFFFFF"/>
            <w:noWrap/>
            <w:vAlign w:val="center"/>
            <w:hideMark/>
          </w:tcPr>
          <w:p w:rsidR="007058D0" w:rsidRPr="007D1F2E" w:rsidRDefault="007058D0" w:rsidP="00891A96">
            <w:pPr>
              <w:jc w:val="right"/>
              <w:rPr>
                <w:rFonts w:ascii="Arial" w:hAnsi="Arial" w:cs="Arial"/>
                <w:b/>
                <w:bCs/>
                <w:color w:val="000000"/>
                <w:sz w:val="18"/>
                <w:szCs w:val="18"/>
                <w:lang w:eastAsia="en-GB"/>
              </w:rPr>
            </w:pPr>
            <w:r w:rsidRPr="007D1F2E">
              <w:rPr>
                <w:rFonts w:ascii="Arial" w:hAnsi="Arial" w:cs="Arial"/>
                <w:b/>
                <w:bCs/>
                <w:color w:val="000000"/>
                <w:sz w:val="18"/>
                <w:szCs w:val="18"/>
                <w:lang w:eastAsia="en-GB"/>
              </w:rPr>
              <w:t> </w:t>
            </w:r>
          </w:p>
        </w:tc>
        <w:tc>
          <w:tcPr>
            <w:tcW w:w="1136" w:type="dxa"/>
            <w:tcBorders>
              <w:top w:val="nil"/>
              <w:left w:val="nil"/>
              <w:bottom w:val="nil"/>
              <w:right w:val="nil"/>
            </w:tcBorders>
            <w:shd w:val="clear" w:color="000000" w:fill="FFFFFF"/>
            <w:noWrap/>
            <w:vAlign w:val="center"/>
            <w:hideMark/>
          </w:tcPr>
          <w:p w:rsidR="007058D0" w:rsidRPr="007D1F2E" w:rsidRDefault="007058D0" w:rsidP="00891A96">
            <w:pPr>
              <w:jc w:val="right"/>
              <w:rPr>
                <w:rFonts w:ascii="Arial" w:hAnsi="Arial" w:cs="Arial"/>
                <w:b/>
                <w:bCs/>
                <w:color w:val="000000"/>
                <w:sz w:val="18"/>
                <w:szCs w:val="18"/>
                <w:lang w:eastAsia="en-GB"/>
              </w:rPr>
            </w:pPr>
            <w:r w:rsidRPr="007D1F2E">
              <w:rPr>
                <w:rFonts w:ascii="Arial" w:hAnsi="Arial" w:cs="Arial"/>
                <w:b/>
                <w:bCs/>
                <w:color w:val="000000"/>
                <w:sz w:val="18"/>
                <w:szCs w:val="18"/>
                <w:lang w:eastAsia="en-GB"/>
              </w:rPr>
              <w:t> </w:t>
            </w:r>
          </w:p>
        </w:tc>
        <w:tc>
          <w:tcPr>
            <w:tcW w:w="1136" w:type="dxa"/>
            <w:tcBorders>
              <w:top w:val="nil"/>
              <w:left w:val="nil"/>
              <w:bottom w:val="nil"/>
              <w:right w:val="nil"/>
            </w:tcBorders>
            <w:shd w:val="clear" w:color="000000" w:fill="FFFFFF"/>
            <w:noWrap/>
            <w:vAlign w:val="center"/>
            <w:hideMark/>
          </w:tcPr>
          <w:p w:rsidR="007058D0" w:rsidRPr="007D1F2E" w:rsidRDefault="007058D0" w:rsidP="00891A96">
            <w:pPr>
              <w:jc w:val="right"/>
              <w:rPr>
                <w:rFonts w:ascii="Arial" w:hAnsi="Arial" w:cs="Arial"/>
                <w:b/>
                <w:bCs/>
                <w:color w:val="000000"/>
                <w:sz w:val="18"/>
                <w:szCs w:val="18"/>
                <w:lang w:eastAsia="en-GB"/>
              </w:rPr>
            </w:pPr>
            <w:r w:rsidRPr="007D1F2E">
              <w:rPr>
                <w:rFonts w:ascii="Arial" w:hAnsi="Arial" w:cs="Arial"/>
                <w:b/>
                <w:bCs/>
                <w:color w:val="000000"/>
                <w:sz w:val="18"/>
                <w:szCs w:val="18"/>
                <w:lang w:eastAsia="en-GB"/>
              </w:rPr>
              <w:t> </w:t>
            </w:r>
          </w:p>
        </w:tc>
      </w:tr>
      <w:tr w:rsidR="007058D0" w:rsidRPr="007D1F2E" w:rsidTr="00891A96">
        <w:trPr>
          <w:trHeight w:val="300"/>
        </w:trPr>
        <w:tc>
          <w:tcPr>
            <w:tcW w:w="1136" w:type="dxa"/>
            <w:tcBorders>
              <w:top w:val="nil"/>
              <w:left w:val="nil"/>
              <w:bottom w:val="nil"/>
              <w:right w:val="nil"/>
            </w:tcBorders>
            <w:shd w:val="clear" w:color="000000" w:fill="FFFFFF"/>
            <w:noWrap/>
            <w:vAlign w:val="center"/>
            <w:hideMark/>
          </w:tcPr>
          <w:p w:rsidR="007058D0" w:rsidRPr="007D1F2E" w:rsidRDefault="007058D0" w:rsidP="00891A96">
            <w:pPr>
              <w:jc w:val="right"/>
              <w:rPr>
                <w:rFonts w:ascii="Arial" w:hAnsi="Arial" w:cs="Arial"/>
                <w:b/>
                <w:bCs/>
                <w:color w:val="000000"/>
                <w:sz w:val="18"/>
                <w:szCs w:val="18"/>
                <w:lang w:eastAsia="en-GB"/>
              </w:rPr>
            </w:pPr>
            <w:r w:rsidRPr="007D1F2E">
              <w:rPr>
                <w:rFonts w:ascii="Arial" w:hAnsi="Arial" w:cs="Arial"/>
                <w:b/>
                <w:bCs/>
                <w:color w:val="000000"/>
                <w:sz w:val="18"/>
                <w:szCs w:val="18"/>
                <w:lang w:eastAsia="en-GB"/>
              </w:rPr>
              <w:t>0.0</w:t>
            </w:r>
          </w:p>
        </w:tc>
        <w:tc>
          <w:tcPr>
            <w:tcW w:w="1136" w:type="dxa"/>
            <w:tcBorders>
              <w:top w:val="nil"/>
              <w:left w:val="nil"/>
              <w:bottom w:val="nil"/>
              <w:right w:val="nil"/>
            </w:tcBorders>
            <w:shd w:val="clear" w:color="000000" w:fill="FFFFFF"/>
            <w:noWrap/>
            <w:vAlign w:val="center"/>
            <w:hideMark/>
          </w:tcPr>
          <w:p w:rsidR="007058D0" w:rsidRPr="007D1F2E" w:rsidRDefault="007058D0" w:rsidP="00891A96">
            <w:pPr>
              <w:jc w:val="right"/>
              <w:rPr>
                <w:rFonts w:ascii="Arial" w:hAnsi="Arial" w:cs="Arial"/>
                <w:b/>
                <w:bCs/>
                <w:color w:val="000000"/>
                <w:sz w:val="18"/>
                <w:szCs w:val="18"/>
                <w:lang w:eastAsia="en-GB"/>
              </w:rPr>
            </w:pPr>
            <w:r w:rsidRPr="007D1F2E">
              <w:rPr>
                <w:rFonts w:ascii="Arial" w:hAnsi="Arial" w:cs="Arial"/>
                <w:b/>
                <w:bCs/>
                <w:color w:val="000000"/>
                <w:sz w:val="18"/>
                <w:szCs w:val="18"/>
                <w:lang w:eastAsia="en-GB"/>
              </w:rPr>
              <w:t>(9.9)</w:t>
            </w:r>
          </w:p>
        </w:tc>
        <w:tc>
          <w:tcPr>
            <w:tcW w:w="1136" w:type="dxa"/>
            <w:tcBorders>
              <w:top w:val="nil"/>
              <w:left w:val="nil"/>
              <w:bottom w:val="nil"/>
              <w:right w:val="nil"/>
            </w:tcBorders>
            <w:shd w:val="clear" w:color="000000" w:fill="FFFFFF"/>
            <w:noWrap/>
            <w:vAlign w:val="center"/>
            <w:hideMark/>
          </w:tcPr>
          <w:p w:rsidR="007058D0" w:rsidRPr="007D1F2E" w:rsidRDefault="007058D0" w:rsidP="00891A96">
            <w:pPr>
              <w:jc w:val="right"/>
              <w:rPr>
                <w:rFonts w:ascii="Arial" w:hAnsi="Arial" w:cs="Arial"/>
                <w:b/>
                <w:bCs/>
                <w:color w:val="000000"/>
                <w:sz w:val="18"/>
                <w:szCs w:val="18"/>
                <w:lang w:eastAsia="en-GB"/>
              </w:rPr>
            </w:pPr>
            <w:r w:rsidRPr="007D1F2E">
              <w:rPr>
                <w:rFonts w:ascii="Arial" w:hAnsi="Arial" w:cs="Arial"/>
                <w:b/>
                <w:bCs/>
                <w:color w:val="000000"/>
                <w:sz w:val="18"/>
                <w:szCs w:val="18"/>
                <w:lang w:eastAsia="en-GB"/>
              </w:rPr>
              <w:t>(9.9)</w:t>
            </w:r>
          </w:p>
        </w:tc>
        <w:tc>
          <w:tcPr>
            <w:tcW w:w="4684" w:type="dxa"/>
            <w:tcBorders>
              <w:top w:val="nil"/>
              <w:left w:val="nil"/>
              <w:bottom w:val="nil"/>
              <w:right w:val="nil"/>
            </w:tcBorders>
            <w:shd w:val="clear" w:color="000000" w:fill="FFFFFF"/>
            <w:vAlign w:val="center"/>
            <w:hideMark/>
          </w:tcPr>
          <w:p w:rsidR="007058D0" w:rsidRPr="007D1F2E" w:rsidRDefault="007058D0" w:rsidP="00891A96">
            <w:pPr>
              <w:rPr>
                <w:rFonts w:ascii="Arial" w:hAnsi="Arial" w:cs="Arial"/>
                <w:b/>
                <w:bCs/>
                <w:color w:val="000000"/>
                <w:sz w:val="18"/>
                <w:szCs w:val="18"/>
                <w:lang w:eastAsia="en-GB"/>
              </w:rPr>
            </w:pPr>
            <w:r w:rsidRPr="007D1F2E">
              <w:rPr>
                <w:rFonts w:ascii="Arial" w:hAnsi="Arial" w:cs="Arial"/>
                <w:b/>
                <w:bCs/>
                <w:color w:val="000000"/>
                <w:sz w:val="18"/>
                <w:szCs w:val="18"/>
                <w:lang w:eastAsia="en-GB"/>
              </w:rPr>
              <w:t>Minimum Revenue Provision</w:t>
            </w:r>
          </w:p>
        </w:tc>
        <w:tc>
          <w:tcPr>
            <w:tcW w:w="1136" w:type="dxa"/>
            <w:tcBorders>
              <w:top w:val="nil"/>
              <w:left w:val="nil"/>
              <w:bottom w:val="nil"/>
              <w:right w:val="nil"/>
            </w:tcBorders>
            <w:shd w:val="clear" w:color="000000" w:fill="FFFFFF"/>
            <w:noWrap/>
            <w:vAlign w:val="center"/>
            <w:hideMark/>
          </w:tcPr>
          <w:p w:rsidR="007058D0" w:rsidRPr="007D1F2E" w:rsidRDefault="007058D0" w:rsidP="00891A96">
            <w:pPr>
              <w:jc w:val="right"/>
              <w:rPr>
                <w:rFonts w:ascii="Arial" w:hAnsi="Arial" w:cs="Arial"/>
                <w:b/>
                <w:bCs/>
                <w:color w:val="000000"/>
                <w:sz w:val="18"/>
                <w:szCs w:val="18"/>
                <w:lang w:eastAsia="en-GB"/>
              </w:rPr>
            </w:pPr>
            <w:r w:rsidRPr="007D1F2E">
              <w:rPr>
                <w:rFonts w:ascii="Arial" w:hAnsi="Arial" w:cs="Arial"/>
                <w:b/>
                <w:bCs/>
                <w:color w:val="000000"/>
                <w:sz w:val="18"/>
                <w:szCs w:val="18"/>
                <w:lang w:eastAsia="en-GB"/>
              </w:rPr>
              <w:t>0.0</w:t>
            </w:r>
          </w:p>
        </w:tc>
        <w:tc>
          <w:tcPr>
            <w:tcW w:w="1136" w:type="dxa"/>
            <w:tcBorders>
              <w:top w:val="nil"/>
              <w:left w:val="nil"/>
              <w:bottom w:val="nil"/>
              <w:right w:val="nil"/>
            </w:tcBorders>
            <w:shd w:val="clear" w:color="000000" w:fill="FFFFFF"/>
            <w:noWrap/>
            <w:vAlign w:val="center"/>
            <w:hideMark/>
          </w:tcPr>
          <w:p w:rsidR="007058D0" w:rsidRPr="007D1F2E" w:rsidRDefault="007058D0" w:rsidP="00891A96">
            <w:pPr>
              <w:jc w:val="right"/>
              <w:rPr>
                <w:rFonts w:ascii="Arial" w:hAnsi="Arial" w:cs="Arial"/>
                <w:b/>
                <w:bCs/>
                <w:color w:val="000000"/>
                <w:sz w:val="18"/>
                <w:szCs w:val="18"/>
                <w:lang w:eastAsia="en-GB"/>
              </w:rPr>
            </w:pPr>
            <w:r w:rsidRPr="007D1F2E">
              <w:rPr>
                <w:rFonts w:ascii="Arial" w:hAnsi="Arial" w:cs="Arial"/>
                <w:b/>
                <w:bCs/>
                <w:color w:val="000000"/>
                <w:sz w:val="18"/>
                <w:szCs w:val="18"/>
                <w:lang w:eastAsia="en-GB"/>
              </w:rPr>
              <w:t>(10.6)</w:t>
            </w:r>
          </w:p>
        </w:tc>
        <w:tc>
          <w:tcPr>
            <w:tcW w:w="1136" w:type="dxa"/>
            <w:tcBorders>
              <w:top w:val="nil"/>
              <w:left w:val="nil"/>
              <w:bottom w:val="nil"/>
              <w:right w:val="nil"/>
            </w:tcBorders>
            <w:shd w:val="clear" w:color="000000" w:fill="FFFFFF"/>
            <w:noWrap/>
            <w:vAlign w:val="center"/>
            <w:hideMark/>
          </w:tcPr>
          <w:p w:rsidR="007058D0" w:rsidRPr="007D1F2E" w:rsidRDefault="007058D0" w:rsidP="00891A96">
            <w:pPr>
              <w:jc w:val="right"/>
              <w:rPr>
                <w:rFonts w:ascii="Arial" w:hAnsi="Arial" w:cs="Arial"/>
                <w:b/>
                <w:bCs/>
                <w:color w:val="000000"/>
                <w:sz w:val="18"/>
                <w:szCs w:val="18"/>
                <w:lang w:eastAsia="en-GB"/>
              </w:rPr>
            </w:pPr>
            <w:r w:rsidRPr="007D1F2E">
              <w:rPr>
                <w:rFonts w:ascii="Arial" w:hAnsi="Arial" w:cs="Arial"/>
                <w:b/>
                <w:bCs/>
                <w:color w:val="000000"/>
                <w:sz w:val="18"/>
                <w:szCs w:val="18"/>
                <w:lang w:eastAsia="en-GB"/>
              </w:rPr>
              <w:t>(10.6)</w:t>
            </w:r>
          </w:p>
        </w:tc>
      </w:tr>
      <w:tr w:rsidR="007058D0" w:rsidRPr="007D1F2E" w:rsidTr="00891A96">
        <w:trPr>
          <w:trHeight w:val="285"/>
        </w:trPr>
        <w:tc>
          <w:tcPr>
            <w:tcW w:w="1136" w:type="dxa"/>
            <w:tcBorders>
              <w:top w:val="nil"/>
              <w:left w:val="nil"/>
              <w:bottom w:val="nil"/>
              <w:right w:val="nil"/>
            </w:tcBorders>
            <w:shd w:val="clear" w:color="000000" w:fill="FFFFFF"/>
            <w:noWrap/>
            <w:vAlign w:val="center"/>
            <w:hideMark/>
          </w:tcPr>
          <w:p w:rsidR="007058D0" w:rsidRPr="007D1F2E" w:rsidRDefault="007058D0" w:rsidP="00891A96">
            <w:pPr>
              <w:jc w:val="right"/>
              <w:rPr>
                <w:rFonts w:ascii="Arial" w:hAnsi="Arial" w:cs="Arial"/>
                <w:b/>
                <w:bCs/>
                <w:color w:val="000000"/>
                <w:sz w:val="18"/>
                <w:szCs w:val="18"/>
                <w:lang w:eastAsia="en-GB"/>
              </w:rPr>
            </w:pPr>
            <w:r w:rsidRPr="007D1F2E">
              <w:rPr>
                <w:rFonts w:ascii="Arial" w:hAnsi="Arial" w:cs="Arial"/>
                <w:b/>
                <w:bCs/>
                <w:color w:val="000000"/>
                <w:sz w:val="18"/>
                <w:szCs w:val="18"/>
                <w:lang w:eastAsia="en-GB"/>
              </w:rPr>
              <w:t> </w:t>
            </w:r>
          </w:p>
        </w:tc>
        <w:tc>
          <w:tcPr>
            <w:tcW w:w="1136" w:type="dxa"/>
            <w:tcBorders>
              <w:top w:val="nil"/>
              <w:left w:val="nil"/>
              <w:bottom w:val="nil"/>
              <w:right w:val="nil"/>
            </w:tcBorders>
            <w:shd w:val="clear" w:color="000000" w:fill="FFFFFF"/>
            <w:noWrap/>
            <w:vAlign w:val="center"/>
            <w:hideMark/>
          </w:tcPr>
          <w:p w:rsidR="007058D0" w:rsidRPr="007D1F2E" w:rsidRDefault="007058D0" w:rsidP="00891A96">
            <w:pPr>
              <w:jc w:val="right"/>
              <w:rPr>
                <w:rFonts w:ascii="Arial" w:hAnsi="Arial" w:cs="Arial"/>
                <w:b/>
                <w:bCs/>
                <w:color w:val="000000"/>
                <w:sz w:val="18"/>
                <w:szCs w:val="18"/>
                <w:lang w:eastAsia="en-GB"/>
              </w:rPr>
            </w:pPr>
            <w:r w:rsidRPr="007D1F2E">
              <w:rPr>
                <w:rFonts w:ascii="Arial" w:hAnsi="Arial" w:cs="Arial"/>
                <w:b/>
                <w:bCs/>
                <w:color w:val="000000"/>
                <w:sz w:val="18"/>
                <w:szCs w:val="18"/>
                <w:lang w:eastAsia="en-GB"/>
              </w:rPr>
              <w:t> </w:t>
            </w:r>
          </w:p>
        </w:tc>
        <w:tc>
          <w:tcPr>
            <w:tcW w:w="1136" w:type="dxa"/>
            <w:tcBorders>
              <w:top w:val="nil"/>
              <w:left w:val="nil"/>
              <w:bottom w:val="nil"/>
              <w:right w:val="nil"/>
            </w:tcBorders>
            <w:shd w:val="clear" w:color="000000" w:fill="FFFFFF"/>
            <w:noWrap/>
            <w:vAlign w:val="center"/>
            <w:hideMark/>
          </w:tcPr>
          <w:p w:rsidR="007058D0" w:rsidRPr="007D1F2E" w:rsidRDefault="007058D0" w:rsidP="00891A96">
            <w:pPr>
              <w:jc w:val="right"/>
              <w:rPr>
                <w:rFonts w:ascii="Arial" w:hAnsi="Arial" w:cs="Arial"/>
                <w:b/>
                <w:bCs/>
                <w:color w:val="000000"/>
                <w:sz w:val="18"/>
                <w:szCs w:val="18"/>
                <w:lang w:eastAsia="en-GB"/>
              </w:rPr>
            </w:pPr>
            <w:r w:rsidRPr="007D1F2E">
              <w:rPr>
                <w:rFonts w:ascii="Arial" w:hAnsi="Arial" w:cs="Arial"/>
                <w:b/>
                <w:bCs/>
                <w:color w:val="000000"/>
                <w:sz w:val="18"/>
                <w:szCs w:val="18"/>
                <w:lang w:eastAsia="en-GB"/>
              </w:rPr>
              <w:t> </w:t>
            </w:r>
          </w:p>
        </w:tc>
        <w:tc>
          <w:tcPr>
            <w:tcW w:w="4684" w:type="dxa"/>
            <w:tcBorders>
              <w:top w:val="nil"/>
              <w:left w:val="nil"/>
              <w:bottom w:val="nil"/>
              <w:right w:val="nil"/>
            </w:tcBorders>
            <w:shd w:val="clear" w:color="000000" w:fill="FFFFFF"/>
            <w:vAlign w:val="center"/>
            <w:hideMark/>
          </w:tcPr>
          <w:p w:rsidR="007058D0" w:rsidRPr="007D1F2E" w:rsidRDefault="007058D0" w:rsidP="00891A96">
            <w:pPr>
              <w:rPr>
                <w:rFonts w:ascii="Arial" w:hAnsi="Arial" w:cs="Arial"/>
                <w:color w:val="000000"/>
                <w:sz w:val="18"/>
                <w:szCs w:val="18"/>
                <w:lang w:eastAsia="en-GB"/>
              </w:rPr>
            </w:pPr>
            <w:r w:rsidRPr="007D1F2E">
              <w:rPr>
                <w:rFonts w:ascii="Arial" w:hAnsi="Arial" w:cs="Arial"/>
                <w:color w:val="000000"/>
                <w:sz w:val="18"/>
                <w:szCs w:val="18"/>
                <w:lang w:eastAsia="en-GB"/>
              </w:rPr>
              <w:t> </w:t>
            </w:r>
          </w:p>
        </w:tc>
        <w:tc>
          <w:tcPr>
            <w:tcW w:w="1136" w:type="dxa"/>
            <w:tcBorders>
              <w:top w:val="nil"/>
              <w:left w:val="nil"/>
              <w:bottom w:val="nil"/>
              <w:right w:val="nil"/>
            </w:tcBorders>
            <w:shd w:val="clear" w:color="000000" w:fill="FFFFFF"/>
            <w:noWrap/>
            <w:vAlign w:val="center"/>
            <w:hideMark/>
          </w:tcPr>
          <w:p w:rsidR="007058D0" w:rsidRPr="007D1F2E" w:rsidRDefault="007058D0" w:rsidP="00891A96">
            <w:pPr>
              <w:jc w:val="right"/>
              <w:rPr>
                <w:rFonts w:ascii="Arial" w:hAnsi="Arial" w:cs="Arial"/>
                <w:b/>
                <w:bCs/>
                <w:color w:val="000000"/>
                <w:sz w:val="18"/>
                <w:szCs w:val="18"/>
                <w:lang w:eastAsia="en-GB"/>
              </w:rPr>
            </w:pPr>
            <w:r w:rsidRPr="007D1F2E">
              <w:rPr>
                <w:rFonts w:ascii="Arial" w:hAnsi="Arial" w:cs="Arial"/>
                <w:b/>
                <w:bCs/>
                <w:color w:val="000000"/>
                <w:sz w:val="18"/>
                <w:szCs w:val="18"/>
                <w:lang w:eastAsia="en-GB"/>
              </w:rPr>
              <w:t> </w:t>
            </w:r>
          </w:p>
        </w:tc>
        <w:tc>
          <w:tcPr>
            <w:tcW w:w="1136" w:type="dxa"/>
            <w:tcBorders>
              <w:top w:val="nil"/>
              <w:left w:val="nil"/>
              <w:bottom w:val="nil"/>
              <w:right w:val="nil"/>
            </w:tcBorders>
            <w:shd w:val="clear" w:color="000000" w:fill="FFFFFF"/>
            <w:noWrap/>
            <w:vAlign w:val="center"/>
            <w:hideMark/>
          </w:tcPr>
          <w:p w:rsidR="007058D0" w:rsidRPr="007D1F2E" w:rsidRDefault="007058D0" w:rsidP="00891A96">
            <w:pPr>
              <w:jc w:val="right"/>
              <w:rPr>
                <w:rFonts w:ascii="Arial" w:hAnsi="Arial" w:cs="Arial"/>
                <w:b/>
                <w:bCs/>
                <w:color w:val="000000"/>
                <w:sz w:val="18"/>
                <w:szCs w:val="18"/>
                <w:lang w:eastAsia="en-GB"/>
              </w:rPr>
            </w:pPr>
            <w:r w:rsidRPr="007D1F2E">
              <w:rPr>
                <w:rFonts w:ascii="Arial" w:hAnsi="Arial" w:cs="Arial"/>
                <w:b/>
                <w:bCs/>
                <w:color w:val="000000"/>
                <w:sz w:val="18"/>
                <w:szCs w:val="18"/>
                <w:lang w:eastAsia="en-GB"/>
              </w:rPr>
              <w:t> </w:t>
            </w:r>
          </w:p>
        </w:tc>
        <w:tc>
          <w:tcPr>
            <w:tcW w:w="1136" w:type="dxa"/>
            <w:tcBorders>
              <w:top w:val="nil"/>
              <w:left w:val="nil"/>
              <w:bottom w:val="nil"/>
              <w:right w:val="nil"/>
            </w:tcBorders>
            <w:shd w:val="clear" w:color="000000" w:fill="FFFFFF"/>
            <w:noWrap/>
            <w:vAlign w:val="center"/>
            <w:hideMark/>
          </w:tcPr>
          <w:p w:rsidR="007058D0" w:rsidRPr="007D1F2E" w:rsidRDefault="007058D0" w:rsidP="00891A96">
            <w:pPr>
              <w:jc w:val="right"/>
              <w:rPr>
                <w:rFonts w:ascii="Arial" w:hAnsi="Arial" w:cs="Arial"/>
                <w:b/>
                <w:bCs/>
                <w:color w:val="000000"/>
                <w:sz w:val="18"/>
                <w:szCs w:val="18"/>
                <w:lang w:eastAsia="en-GB"/>
              </w:rPr>
            </w:pPr>
            <w:r w:rsidRPr="007D1F2E">
              <w:rPr>
                <w:rFonts w:ascii="Arial" w:hAnsi="Arial" w:cs="Arial"/>
                <w:b/>
                <w:bCs/>
                <w:color w:val="000000"/>
                <w:sz w:val="18"/>
                <w:szCs w:val="18"/>
                <w:lang w:eastAsia="en-GB"/>
              </w:rPr>
              <w:t> </w:t>
            </w:r>
          </w:p>
        </w:tc>
      </w:tr>
      <w:tr w:rsidR="007058D0" w:rsidRPr="007D1F2E" w:rsidTr="00891A96">
        <w:trPr>
          <w:trHeight w:val="285"/>
        </w:trPr>
        <w:tc>
          <w:tcPr>
            <w:tcW w:w="1136" w:type="dxa"/>
            <w:tcBorders>
              <w:top w:val="nil"/>
              <w:left w:val="nil"/>
              <w:bottom w:val="nil"/>
              <w:right w:val="nil"/>
            </w:tcBorders>
            <w:shd w:val="clear" w:color="000000" w:fill="FFFFFF"/>
            <w:noWrap/>
            <w:vAlign w:val="center"/>
            <w:hideMark/>
          </w:tcPr>
          <w:p w:rsidR="007058D0" w:rsidRPr="007D1F2E" w:rsidRDefault="007058D0" w:rsidP="00891A96">
            <w:pPr>
              <w:jc w:val="right"/>
              <w:rPr>
                <w:rFonts w:ascii="Arial" w:hAnsi="Arial" w:cs="Arial"/>
                <w:b/>
                <w:bCs/>
                <w:color w:val="000000"/>
                <w:sz w:val="18"/>
                <w:szCs w:val="18"/>
                <w:lang w:eastAsia="en-GB"/>
              </w:rPr>
            </w:pPr>
            <w:r w:rsidRPr="007D1F2E">
              <w:rPr>
                <w:rFonts w:ascii="Arial" w:hAnsi="Arial" w:cs="Arial"/>
                <w:b/>
                <w:bCs/>
                <w:color w:val="000000"/>
                <w:sz w:val="18"/>
                <w:szCs w:val="18"/>
                <w:lang w:eastAsia="en-GB"/>
              </w:rPr>
              <w:t> </w:t>
            </w:r>
          </w:p>
        </w:tc>
        <w:tc>
          <w:tcPr>
            <w:tcW w:w="1136" w:type="dxa"/>
            <w:tcBorders>
              <w:top w:val="nil"/>
              <w:left w:val="nil"/>
              <w:bottom w:val="nil"/>
              <w:right w:val="nil"/>
            </w:tcBorders>
            <w:shd w:val="clear" w:color="000000" w:fill="FFFFFF"/>
            <w:noWrap/>
            <w:vAlign w:val="center"/>
            <w:hideMark/>
          </w:tcPr>
          <w:p w:rsidR="007058D0" w:rsidRPr="007D1F2E" w:rsidRDefault="007058D0" w:rsidP="00891A96">
            <w:pPr>
              <w:jc w:val="right"/>
              <w:rPr>
                <w:rFonts w:ascii="Arial" w:hAnsi="Arial" w:cs="Arial"/>
                <w:b/>
                <w:bCs/>
                <w:color w:val="000000"/>
                <w:sz w:val="18"/>
                <w:szCs w:val="18"/>
                <w:lang w:eastAsia="en-GB"/>
              </w:rPr>
            </w:pPr>
            <w:r w:rsidRPr="007D1F2E">
              <w:rPr>
                <w:rFonts w:ascii="Arial" w:hAnsi="Arial" w:cs="Arial"/>
                <w:b/>
                <w:bCs/>
                <w:color w:val="000000"/>
                <w:sz w:val="18"/>
                <w:szCs w:val="18"/>
                <w:lang w:eastAsia="en-GB"/>
              </w:rPr>
              <w:t> </w:t>
            </w:r>
          </w:p>
        </w:tc>
        <w:tc>
          <w:tcPr>
            <w:tcW w:w="1136" w:type="dxa"/>
            <w:tcBorders>
              <w:top w:val="nil"/>
              <w:left w:val="nil"/>
              <w:bottom w:val="nil"/>
              <w:right w:val="nil"/>
            </w:tcBorders>
            <w:shd w:val="clear" w:color="000000" w:fill="FFFFFF"/>
            <w:noWrap/>
            <w:vAlign w:val="center"/>
            <w:hideMark/>
          </w:tcPr>
          <w:p w:rsidR="007058D0" w:rsidRPr="007D1F2E" w:rsidRDefault="007058D0" w:rsidP="00891A96">
            <w:pPr>
              <w:jc w:val="right"/>
              <w:rPr>
                <w:rFonts w:ascii="Arial" w:hAnsi="Arial" w:cs="Arial"/>
                <w:b/>
                <w:bCs/>
                <w:color w:val="000000"/>
                <w:sz w:val="18"/>
                <w:szCs w:val="18"/>
                <w:lang w:eastAsia="en-GB"/>
              </w:rPr>
            </w:pPr>
            <w:r w:rsidRPr="007D1F2E">
              <w:rPr>
                <w:rFonts w:ascii="Arial" w:hAnsi="Arial" w:cs="Arial"/>
                <w:b/>
                <w:bCs/>
                <w:color w:val="000000"/>
                <w:sz w:val="18"/>
                <w:szCs w:val="18"/>
                <w:lang w:eastAsia="en-GB"/>
              </w:rPr>
              <w:t> </w:t>
            </w:r>
          </w:p>
        </w:tc>
        <w:tc>
          <w:tcPr>
            <w:tcW w:w="4684" w:type="dxa"/>
            <w:tcBorders>
              <w:top w:val="nil"/>
              <w:left w:val="nil"/>
              <w:bottom w:val="nil"/>
              <w:right w:val="nil"/>
            </w:tcBorders>
            <w:shd w:val="clear" w:color="000000" w:fill="FFFFFF"/>
            <w:vAlign w:val="center"/>
            <w:hideMark/>
          </w:tcPr>
          <w:p w:rsidR="007058D0" w:rsidRPr="007D1F2E" w:rsidRDefault="007058D0" w:rsidP="00891A96">
            <w:pPr>
              <w:rPr>
                <w:rFonts w:ascii="Arial" w:hAnsi="Arial" w:cs="Arial"/>
                <w:b/>
                <w:bCs/>
                <w:color w:val="000000"/>
                <w:sz w:val="18"/>
                <w:szCs w:val="18"/>
                <w:lang w:eastAsia="en-GB"/>
              </w:rPr>
            </w:pPr>
            <w:r w:rsidRPr="007D1F2E">
              <w:rPr>
                <w:rFonts w:ascii="Arial" w:hAnsi="Arial" w:cs="Arial"/>
                <w:b/>
                <w:bCs/>
                <w:color w:val="000000"/>
                <w:sz w:val="18"/>
                <w:szCs w:val="18"/>
                <w:lang w:eastAsia="en-GB"/>
              </w:rPr>
              <w:t>Sources of Finance:</w:t>
            </w:r>
          </w:p>
        </w:tc>
        <w:tc>
          <w:tcPr>
            <w:tcW w:w="1136" w:type="dxa"/>
            <w:tcBorders>
              <w:top w:val="nil"/>
              <w:left w:val="nil"/>
              <w:bottom w:val="nil"/>
              <w:right w:val="nil"/>
            </w:tcBorders>
            <w:shd w:val="clear" w:color="000000" w:fill="FFFFFF"/>
            <w:noWrap/>
            <w:vAlign w:val="center"/>
            <w:hideMark/>
          </w:tcPr>
          <w:p w:rsidR="007058D0" w:rsidRPr="007D1F2E" w:rsidRDefault="007058D0" w:rsidP="00891A96">
            <w:pPr>
              <w:jc w:val="right"/>
              <w:rPr>
                <w:rFonts w:ascii="Arial" w:hAnsi="Arial" w:cs="Arial"/>
                <w:b/>
                <w:bCs/>
                <w:color w:val="000000"/>
                <w:sz w:val="18"/>
                <w:szCs w:val="18"/>
                <w:lang w:eastAsia="en-GB"/>
              </w:rPr>
            </w:pPr>
            <w:r w:rsidRPr="007D1F2E">
              <w:rPr>
                <w:rFonts w:ascii="Arial" w:hAnsi="Arial" w:cs="Arial"/>
                <w:b/>
                <w:bCs/>
                <w:color w:val="000000"/>
                <w:sz w:val="18"/>
                <w:szCs w:val="18"/>
                <w:lang w:eastAsia="en-GB"/>
              </w:rPr>
              <w:t> </w:t>
            </w:r>
          </w:p>
        </w:tc>
        <w:tc>
          <w:tcPr>
            <w:tcW w:w="1136" w:type="dxa"/>
            <w:tcBorders>
              <w:top w:val="nil"/>
              <w:left w:val="nil"/>
              <w:bottom w:val="nil"/>
              <w:right w:val="nil"/>
            </w:tcBorders>
            <w:shd w:val="clear" w:color="000000" w:fill="FFFFFF"/>
            <w:noWrap/>
            <w:vAlign w:val="center"/>
            <w:hideMark/>
          </w:tcPr>
          <w:p w:rsidR="007058D0" w:rsidRPr="007D1F2E" w:rsidRDefault="007058D0" w:rsidP="00891A96">
            <w:pPr>
              <w:jc w:val="right"/>
              <w:rPr>
                <w:rFonts w:ascii="Arial" w:hAnsi="Arial" w:cs="Arial"/>
                <w:b/>
                <w:bCs/>
                <w:color w:val="000000"/>
                <w:sz w:val="18"/>
                <w:szCs w:val="18"/>
                <w:lang w:eastAsia="en-GB"/>
              </w:rPr>
            </w:pPr>
            <w:r w:rsidRPr="007D1F2E">
              <w:rPr>
                <w:rFonts w:ascii="Arial" w:hAnsi="Arial" w:cs="Arial"/>
                <w:b/>
                <w:bCs/>
                <w:color w:val="000000"/>
                <w:sz w:val="18"/>
                <w:szCs w:val="18"/>
                <w:lang w:eastAsia="en-GB"/>
              </w:rPr>
              <w:t> </w:t>
            </w:r>
          </w:p>
        </w:tc>
        <w:tc>
          <w:tcPr>
            <w:tcW w:w="1136" w:type="dxa"/>
            <w:tcBorders>
              <w:top w:val="nil"/>
              <w:left w:val="nil"/>
              <w:bottom w:val="nil"/>
              <w:right w:val="nil"/>
            </w:tcBorders>
            <w:shd w:val="clear" w:color="000000" w:fill="FFFFFF"/>
            <w:noWrap/>
            <w:vAlign w:val="center"/>
            <w:hideMark/>
          </w:tcPr>
          <w:p w:rsidR="007058D0" w:rsidRPr="007D1F2E" w:rsidRDefault="007058D0" w:rsidP="00891A96">
            <w:pPr>
              <w:jc w:val="right"/>
              <w:rPr>
                <w:rFonts w:ascii="Arial" w:hAnsi="Arial" w:cs="Arial"/>
                <w:b/>
                <w:bCs/>
                <w:color w:val="000000"/>
                <w:sz w:val="18"/>
                <w:szCs w:val="18"/>
                <w:lang w:eastAsia="en-GB"/>
              </w:rPr>
            </w:pPr>
            <w:r w:rsidRPr="007D1F2E">
              <w:rPr>
                <w:rFonts w:ascii="Arial" w:hAnsi="Arial" w:cs="Arial"/>
                <w:b/>
                <w:bCs/>
                <w:color w:val="000000"/>
                <w:sz w:val="18"/>
                <w:szCs w:val="18"/>
                <w:lang w:eastAsia="en-GB"/>
              </w:rPr>
              <w:t> </w:t>
            </w:r>
          </w:p>
        </w:tc>
      </w:tr>
      <w:tr w:rsidR="007058D0" w:rsidRPr="007D1F2E" w:rsidTr="00891A96">
        <w:trPr>
          <w:trHeight w:val="285"/>
        </w:trPr>
        <w:tc>
          <w:tcPr>
            <w:tcW w:w="1136" w:type="dxa"/>
            <w:tcBorders>
              <w:top w:val="nil"/>
              <w:left w:val="nil"/>
              <w:bottom w:val="nil"/>
              <w:right w:val="nil"/>
            </w:tcBorders>
            <w:shd w:val="clear" w:color="000000" w:fill="FFFFFF"/>
            <w:noWrap/>
            <w:vAlign w:val="center"/>
            <w:hideMark/>
          </w:tcPr>
          <w:p w:rsidR="007058D0" w:rsidRPr="007D1F2E" w:rsidRDefault="007058D0" w:rsidP="00891A96">
            <w:pPr>
              <w:jc w:val="right"/>
              <w:rPr>
                <w:rFonts w:ascii="Arial" w:hAnsi="Arial" w:cs="Arial"/>
                <w:b/>
                <w:bCs/>
                <w:color w:val="000000"/>
                <w:sz w:val="18"/>
                <w:szCs w:val="18"/>
                <w:lang w:eastAsia="en-GB"/>
              </w:rPr>
            </w:pPr>
            <w:r w:rsidRPr="007D1F2E">
              <w:rPr>
                <w:rFonts w:ascii="Arial" w:hAnsi="Arial" w:cs="Arial"/>
                <w:b/>
                <w:bCs/>
                <w:color w:val="000000"/>
                <w:sz w:val="18"/>
                <w:szCs w:val="18"/>
                <w:lang w:eastAsia="en-GB"/>
              </w:rPr>
              <w:t>(4.8)</w:t>
            </w:r>
          </w:p>
        </w:tc>
        <w:tc>
          <w:tcPr>
            <w:tcW w:w="1136" w:type="dxa"/>
            <w:tcBorders>
              <w:top w:val="nil"/>
              <w:left w:val="nil"/>
              <w:bottom w:val="nil"/>
              <w:right w:val="nil"/>
            </w:tcBorders>
            <w:shd w:val="clear" w:color="000000" w:fill="FFFFFF"/>
            <w:noWrap/>
            <w:vAlign w:val="center"/>
            <w:hideMark/>
          </w:tcPr>
          <w:p w:rsidR="007058D0" w:rsidRPr="007D1F2E" w:rsidRDefault="007058D0" w:rsidP="00891A96">
            <w:pPr>
              <w:jc w:val="right"/>
              <w:rPr>
                <w:rFonts w:ascii="Arial" w:hAnsi="Arial" w:cs="Arial"/>
                <w:b/>
                <w:bCs/>
                <w:color w:val="000000"/>
                <w:sz w:val="18"/>
                <w:szCs w:val="18"/>
                <w:lang w:eastAsia="en-GB"/>
              </w:rPr>
            </w:pPr>
            <w:r w:rsidRPr="007D1F2E">
              <w:rPr>
                <w:rFonts w:ascii="Arial" w:hAnsi="Arial" w:cs="Arial"/>
                <w:b/>
                <w:bCs/>
                <w:color w:val="000000"/>
                <w:sz w:val="18"/>
                <w:szCs w:val="18"/>
                <w:lang w:eastAsia="en-GB"/>
              </w:rPr>
              <w:t>(18.8)</w:t>
            </w:r>
          </w:p>
        </w:tc>
        <w:tc>
          <w:tcPr>
            <w:tcW w:w="1136" w:type="dxa"/>
            <w:tcBorders>
              <w:top w:val="nil"/>
              <w:left w:val="nil"/>
              <w:bottom w:val="nil"/>
              <w:right w:val="nil"/>
            </w:tcBorders>
            <w:shd w:val="clear" w:color="000000" w:fill="FFFFFF"/>
            <w:noWrap/>
            <w:vAlign w:val="center"/>
            <w:hideMark/>
          </w:tcPr>
          <w:p w:rsidR="007058D0" w:rsidRPr="007D1F2E" w:rsidRDefault="007058D0" w:rsidP="00891A96">
            <w:pPr>
              <w:jc w:val="right"/>
              <w:rPr>
                <w:rFonts w:ascii="Arial" w:hAnsi="Arial" w:cs="Arial"/>
                <w:b/>
                <w:bCs/>
                <w:color w:val="000000"/>
                <w:sz w:val="18"/>
                <w:szCs w:val="18"/>
                <w:lang w:eastAsia="en-GB"/>
              </w:rPr>
            </w:pPr>
            <w:r w:rsidRPr="007D1F2E">
              <w:rPr>
                <w:rFonts w:ascii="Arial" w:hAnsi="Arial" w:cs="Arial"/>
                <w:b/>
                <w:bCs/>
                <w:color w:val="000000"/>
                <w:sz w:val="18"/>
                <w:szCs w:val="18"/>
                <w:lang w:eastAsia="en-GB"/>
              </w:rPr>
              <w:t>(23.6)</w:t>
            </w:r>
          </w:p>
        </w:tc>
        <w:tc>
          <w:tcPr>
            <w:tcW w:w="4684" w:type="dxa"/>
            <w:tcBorders>
              <w:top w:val="nil"/>
              <w:left w:val="nil"/>
              <w:bottom w:val="nil"/>
              <w:right w:val="nil"/>
            </w:tcBorders>
            <w:shd w:val="clear" w:color="000000" w:fill="FFFFFF"/>
            <w:vAlign w:val="center"/>
            <w:hideMark/>
          </w:tcPr>
          <w:p w:rsidR="007058D0" w:rsidRPr="007D1F2E" w:rsidRDefault="007058D0" w:rsidP="00891A96">
            <w:pPr>
              <w:rPr>
                <w:rFonts w:ascii="Arial" w:hAnsi="Arial" w:cs="Arial"/>
                <w:color w:val="000000"/>
                <w:sz w:val="18"/>
                <w:szCs w:val="18"/>
                <w:lang w:eastAsia="en-GB"/>
              </w:rPr>
            </w:pPr>
            <w:r w:rsidRPr="007D1F2E">
              <w:rPr>
                <w:rFonts w:ascii="Arial" w:hAnsi="Arial" w:cs="Arial"/>
                <w:color w:val="000000"/>
                <w:sz w:val="18"/>
                <w:szCs w:val="18"/>
                <w:lang w:eastAsia="en-GB"/>
              </w:rPr>
              <w:t>Capital Receipts</w:t>
            </w:r>
          </w:p>
        </w:tc>
        <w:tc>
          <w:tcPr>
            <w:tcW w:w="1136" w:type="dxa"/>
            <w:tcBorders>
              <w:top w:val="nil"/>
              <w:left w:val="nil"/>
              <w:bottom w:val="nil"/>
              <w:right w:val="nil"/>
            </w:tcBorders>
            <w:shd w:val="clear" w:color="000000" w:fill="FFFFFF"/>
            <w:noWrap/>
            <w:vAlign w:val="center"/>
            <w:hideMark/>
          </w:tcPr>
          <w:p w:rsidR="007058D0" w:rsidRPr="007D1F2E" w:rsidRDefault="007058D0" w:rsidP="00891A96">
            <w:pPr>
              <w:jc w:val="right"/>
              <w:rPr>
                <w:rFonts w:ascii="Arial" w:hAnsi="Arial" w:cs="Arial"/>
                <w:b/>
                <w:bCs/>
                <w:color w:val="000000"/>
                <w:sz w:val="18"/>
                <w:szCs w:val="18"/>
                <w:lang w:eastAsia="en-GB"/>
              </w:rPr>
            </w:pPr>
            <w:r w:rsidRPr="007D1F2E">
              <w:rPr>
                <w:rFonts w:ascii="Arial" w:hAnsi="Arial" w:cs="Arial"/>
                <w:b/>
                <w:bCs/>
                <w:color w:val="000000"/>
                <w:sz w:val="18"/>
                <w:szCs w:val="18"/>
                <w:lang w:eastAsia="en-GB"/>
              </w:rPr>
              <w:t>(6.9)</w:t>
            </w:r>
          </w:p>
        </w:tc>
        <w:tc>
          <w:tcPr>
            <w:tcW w:w="1136" w:type="dxa"/>
            <w:tcBorders>
              <w:top w:val="nil"/>
              <w:left w:val="nil"/>
              <w:bottom w:val="nil"/>
              <w:right w:val="nil"/>
            </w:tcBorders>
            <w:shd w:val="clear" w:color="000000" w:fill="FFFFFF"/>
            <w:noWrap/>
            <w:vAlign w:val="center"/>
            <w:hideMark/>
          </w:tcPr>
          <w:p w:rsidR="007058D0" w:rsidRPr="007D1F2E" w:rsidRDefault="007058D0" w:rsidP="00891A96">
            <w:pPr>
              <w:jc w:val="right"/>
              <w:rPr>
                <w:rFonts w:ascii="Arial" w:hAnsi="Arial" w:cs="Arial"/>
                <w:b/>
                <w:bCs/>
                <w:color w:val="000000"/>
                <w:sz w:val="18"/>
                <w:szCs w:val="18"/>
                <w:lang w:eastAsia="en-GB"/>
              </w:rPr>
            </w:pPr>
            <w:r w:rsidRPr="007D1F2E">
              <w:rPr>
                <w:rFonts w:ascii="Arial" w:hAnsi="Arial" w:cs="Arial"/>
                <w:b/>
                <w:bCs/>
                <w:color w:val="000000"/>
                <w:sz w:val="18"/>
                <w:szCs w:val="18"/>
                <w:lang w:eastAsia="en-GB"/>
              </w:rPr>
              <w:t>(8.7)</w:t>
            </w:r>
          </w:p>
        </w:tc>
        <w:tc>
          <w:tcPr>
            <w:tcW w:w="1136" w:type="dxa"/>
            <w:tcBorders>
              <w:top w:val="nil"/>
              <w:left w:val="nil"/>
              <w:bottom w:val="nil"/>
              <w:right w:val="nil"/>
            </w:tcBorders>
            <w:shd w:val="clear" w:color="000000" w:fill="FFFFFF"/>
            <w:noWrap/>
            <w:vAlign w:val="center"/>
            <w:hideMark/>
          </w:tcPr>
          <w:p w:rsidR="007058D0" w:rsidRPr="007D1F2E" w:rsidRDefault="007058D0" w:rsidP="00891A96">
            <w:pPr>
              <w:jc w:val="right"/>
              <w:rPr>
                <w:rFonts w:ascii="Arial" w:hAnsi="Arial" w:cs="Arial"/>
                <w:b/>
                <w:bCs/>
                <w:color w:val="000000"/>
                <w:sz w:val="18"/>
                <w:szCs w:val="18"/>
                <w:lang w:eastAsia="en-GB"/>
              </w:rPr>
            </w:pPr>
            <w:r w:rsidRPr="007D1F2E">
              <w:rPr>
                <w:rFonts w:ascii="Arial" w:hAnsi="Arial" w:cs="Arial"/>
                <w:b/>
                <w:bCs/>
                <w:color w:val="000000"/>
                <w:sz w:val="18"/>
                <w:szCs w:val="18"/>
                <w:lang w:eastAsia="en-GB"/>
              </w:rPr>
              <w:t>(15.6)</w:t>
            </w:r>
          </w:p>
        </w:tc>
      </w:tr>
      <w:tr w:rsidR="007058D0" w:rsidRPr="007D1F2E" w:rsidTr="00891A96">
        <w:trPr>
          <w:trHeight w:val="285"/>
        </w:trPr>
        <w:tc>
          <w:tcPr>
            <w:tcW w:w="1136" w:type="dxa"/>
            <w:tcBorders>
              <w:top w:val="nil"/>
              <w:left w:val="nil"/>
              <w:bottom w:val="nil"/>
              <w:right w:val="nil"/>
            </w:tcBorders>
            <w:shd w:val="clear" w:color="000000" w:fill="FFFFFF"/>
            <w:noWrap/>
            <w:vAlign w:val="center"/>
            <w:hideMark/>
          </w:tcPr>
          <w:p w:rsidR="007058D0" w:rsidRPr="007D1F2E" w:rsidRDefault="007058D0" w:rsidP="00891A96">
            <w:pPr>
              <w:jc w:val="right"/>
              <w:rPr>
                <w:rFonts w:ascii="Arial" w:hAnsi="Arial" w:cs="Arial"/>
                <w:b/>
                <w:bCs/>
                <w:color w:val="000000"/>
                <w:sz w:val="18"/>
                <w:szCs w:val="18"/>
                <w:lang w:eastAsia="en-GB"/>
              </w:rPr>
            </w:pPr>
            <w:r w:rsidRPr="007D1F2E">
              <w:rPr>
                <w:rFonts w:ascii="Arial" w:hAnsi="Arial" w:cs="Arial"/>
                <w:b/>
                <w:bCs/>
                <w:color w:val="000000"/>
                <w:sz w:val="18"/>
                <w:szCs w:val="18"/>
                <w:lang w:eastAsia="en-GB"/>
              </w:rPr>
              <w:t>(0.4)</w:t>
            </w:r>
          </w:p>
        </w:tc>
        <w:tc>
          <w:tcPr>
            <w:tcW w:w="1136" w:type="dxa"/>
            <w:tcBorders>
              <w:top w:val="nil"/>
              <w:left w:val="nil"/>
              <w:bottom w:val="nil"/>
              <w:right w:val="nil"/>
            </w:tcBorders>
            <w:shd w:val="clear" w:color="000000" w:fill="FFFFFF"/>
            <w:noWrap/>
            <w:vAlign w:val="center"/>
            <w:hideMark/>
          </w:tcPr>
          <w:p w:rsidR="007058D0" w:rsidRPr="007D1F2E" w:rsidRDefault="007058D0" w:rsidP="00891A96">
            <w:pPr>
              <w:jc w:val="right"/>
              <w:rPr>
                <w:rFonts w:ascii="Arial" w:hAnsi="Arial" w:cs="Arial"/>
                <w:b/>
                <w:bCs/>
                <w:color w:val="000000"/>
                <w:sz w:val="18"/>
                <w:szCs w:val="18"/>
                <w:lang w:eastAsia="en-GB"/>
              </w:rPr>
            </w:pPr>
            <w:r w:rsidRPr="007D1F2E">
              <w:rPr>
                <w:rFonts w:ascii="Arial" w:hAnsi="Arial" w:cs="Arial"/>
                <w:b/>
                <w:bCs/>
                <w:color w:val="000000"/>
                <w:sz w:val="18"/>
                <w:szCs w:val="18"/>
                <w:lang w:eastAsia="en-GB"/>
              </w:rPr>
              <w:t>(31.2)</w:t>
            </w:r>
          </w:p>
        </w:tc>
        <w:tc>
          <w:tcPr>
            <w:tcW w:w="1136" w:type="dxa"/>
            <w:tcBorders>
              <w:top w:val="nil"/>
              <w:left w:val="nil"/>
              <w:bottom w:val="nil"/>
              <w:right w:val="nil"/>
            </w:tcBorders>
            <w:shd w:val="clear" w:color="000000" w:fill="FFFFFF"/>
            <w:noWrap/>
            <w:vAlign w:val="center"/>
            <w:hideMark/>
          </w:tcPr>
          <w:p w:rsidR="007058D0" w:rsidRPr="007D1F2E" w:rsidRDefault="007058D0" w:rsidP="00891A96">
            <w:pPr>
              <w:jc w:val="right"/>
              <w:rPr>
                <w:rFonts w:ascii="Arial" w:hAnsi="Arial" w:cs="Arial"/>
                <w:b/>
                <w:bCs/>
                <w:color w:val="000000"/>
                <w:sz w:val="18"/>
                <w:szCs w:val="18"/>
                <w:lang w:eastAsia="en-GB"/>
              </w:rPr>
            </w:pPr>
            <w:r w:rsidRPr="007D1F2E">
              <w:rPr>
                <w:rFonts w:ascii="Arial" w:hAnsi="Arial" w:cs="Arial"/>
                <w:b/>
                <w:bCs/>
                <w:color w:val="000000"/>
                <w:sz w:val="18"/>
                <w:szCs w:val="18"/>
                <w:lang w:eastAsia="en-GB"/>
              </w:rPr>
              <w:t>(31.6)</w:t>
            </w:r>
          </w:p>
        </w:tc>
        <w:tc>
          <w:tcPr>
            <w:tcW w:w="4684" w:type="dxa"/>
            <w:tcBorders>
              <w:top w:val="nil"/>
              <w:left w:val="nil"/>
              <w:bottom w:val="nil"/>
              <w:right w:val="nil"/>
            </w:tcBorders>
            <w:shd w:val="clear" w:color="000000" w:fill="FFFFFF"/>
            <w:vAlign w:val="center"/>
            <w:hideMark/>
          </w:tcPr>
          <w:p w:rsidR="007058D0" w:rsidRPr="007D1F2E" w:rsidRDefault="007058D0" w:rsidP="00891A96">
            <w:pPr>
              <w:rPr>
                <w:rFonts w:ascii="Arial" w:hAnsi="Arial" w:cs="Arial"/>
                <w:color w:val="000000"/>
                <w:sz w:val="18"/>
                <w:szCs w:val="18"/>
                <w:lang w:eastAsia="en-GB"/>
              </w:rPr>
            </w:pPr>
            <w:r w:rsidRPr="007D1F2E">
              <w:rPr>
                <w:rFonts w:ascii="Arial" w:hAnsi="Arial" w:cs="Arial"/>
                <w:color w:val="000000"/>
                <w:sz w:val="18"/>
                <w:szCs w:val="18"/>
                <w:lang w:eastAsia="en-GB"/>
              </w:rPr>
              <w:t>Grants</w:t>
            </w:r>
          </w:p>
        </w:tc>
        <w:tc>
          <w:tcPr>
            <w:tcW w:w="1136" w:type="dxa"/>
            <w:tcBorders>
              <w:top w:val="nil"/>
              <w:left w:val="nil"/>
              <w:bottom w:val="nil"/>
              <w:right w:val="nil"/>
            </w:tcBorders>
            <w:shd w:val="clear" w:color="000000" w:fill="FFFFFF"/>
            <w:noWrap/>
            <w:vAlign w:val="center"/>
            <w:hideMark/>
          </w:tcPr>
          <w:p w:rsidR="007058D0" w:rsidRPr="007D1F2E" w:rsidRDefault="007058D0" w:rsidP="00891A96">
            <w:pPr>
              <w:jc w:val="right"/>
              <w:rPr>
                <w:rFonts w:ascii="Arial" w:hAnsi="Arial" w:cs="Arial"/>
                <w:b/>
                <w:bCs/>
                <w:color w:val="000000"/>
                <w:sz w:val="18"/>
                <w:szCs w:val="18"/>
                <w:lang w:eastAsia="en-GB"/>
              </w:rPr>
            </w:pPr>
            <w:r w:rsidRPr="007D1F2E">
              <w:rPr>
                <w:rFonts w:ascii="Arial" w:hAnsi="Arial" w:cs="Arial"/>
                <w:b/>
                <w:bCs/>
                <w:color w:val="000000"/>
                <w:sz w:val="18"/>
                <w:szCs w:val="18"/>
                <w:lang w:eastAsia="en-GB"/>
              </w:rPr>
              <w:t>(15.4)</w:t>
            </w:r>
          </w:p>
        </w:tc>
        <w:tc>
          <w:tcPr>
            <w:tcW w:w="1136" w:type="dxa"/>
            <w:tcBorders>
              <w:top w:val="nil"/>
              <w:left w:val="nil"/>
              <w:bottom w:val="nil"/>
              <w:right w:val="nil"/>
            </w:tcBorders>
            <w:shd w:val="clear" w:color="000000" w:fill="FFFFFF"/>
            <w:noWrap/>
            <w:vAlign w:val="center"/>
            <w:hideMark/>
          </w:tcPr>
          <w:p w:rsidR="007058D0" w:rsidRPr="007D1F2E" w:rsidRDefault="007058D0" w:rsidP="00891A96">
            <w:pPr>
              <w:jc w:val="right"/>
              <w:rPr>
                <w:rFonts w:ascii="Arial" w:hAnsi="Arial" w:cs="Arial"/>
                <w:b/>
                <w:bCs/>
                <w:color w:val="000000"/>
                <w:sz w:val="18"/>
                <w:szCs w:val="18"/>
                <w:lang w:eastAsia="en-GB"/>
              </w:rPr>
            </w:pPr>
            <w:r w:rsidRPr="007D1F2E">
              <w:rPr>
                <w:rFonts w:ascii="Arial" w:hAnsi="Arial" w:cs="Arial"/>
                <w:b/>
                <w:bCs/>
                <w:color w:val="000000"/>
                <w:sz w:val="18"/>
                <w:szCs w:val="18"/>
                <w:lang w:eastAsia="en-GB"/>
              </w:rPr>
              <w:t>(24.0)</w:t>
            </w:r>
          </w:p>
        </w:tc>
        <w:tc>
          <w:tcPr>
            <w:tcW w:w="1136" w:type="dxa"/>
            <w:tcBorders>
              <w:top w:val="nil"/>
              <w:left w:val="nil"/>
              <w:bottom w:val="nil"/>
              <w:right w:val="nil"/>
            </w:tcBorders>
            <w:shd w:val="clear" w:color="000000" w:fill="FFFFFF"/>
            <w:noWrap/>
            <w:vAlign w:val="center"/>
            <w:hideMark/>
          </w:tcPr>
          <w:p w:rsidR="007058D0" w:rsidRPr="007D1F2E" w:rsidRDefault="007058D0" w:rsidP="00891A96">
            <w:pPr>
              <w:jc w:val="right"/>
              <w:rPr>
                <w:rFonts w:ascii="Arial" w:hAnsi="Arial" w:cs="Arial"/>
                <w:b/>
                <w:bCs/>
                <w:color w:val="000000"/>
                <w:sz w:val="18"/>
                <w:szCs w:val="18"/>
                <w:lang w:eastAsia="en-GB"/>
              </w:rPr>
            </w:pPr>
            <w:r w:rsidRPr="007D1F2E">
              <w:rPr>
                <w:rFonts w:ascii="Arial" w:hAnsi="Arial" w:cs="Arial"/>
                <w:b/>
                <w:bCs/>
                <w:color w:val="000000"/>
                <w:sz w:val="18"/>
                <w:szCs w:val="18"/>
                <w:lang w:eastAsia="en-GB"/>
              </w:rPr>
              <w:t>(39.4)</w:t>
            </w:r>
          </w:p>
        </w:tc>
      </w:tr>
      <w:tr w:rsidR="007058D0" w:rsidRPr="007D1F2E" w:rsidTr="00891A96">
        <w:trPr>
          <w:trHeight w:val="285"/>
        </w:trPr>
        <w:tc>
          <w:tcPr>
            <w:tcW w:w="1136" w:type="dxa"/>
            <w:tcBorders>
              <w:top w:val="nil"/>
              <w:left w:val="nil"/>
              <w:bottom w:val="nil"/>
              <w:right w:val="nil"/>
            </w:tcBorders>
            <w:shd w:val="clear" w:color="000000" w:fill="FFFFFF"/>
            <w:noWrap/>
            <w:vAlign w:val="center"/>
            <w:hideMark/>
          </w:tcPr>
          <w:p w:rsidR="007058D0" w:rsidRPr="007D1F2E" w:rsidRDefault="007058D0" w:rsidP="00891A96">
            <w:pPr>
              <w:jc w:val="right"/>
              <w:rPr>
                <w:rFonts w:ascii="Arial" w:hAnsi="Arial" w:cs="Arial"/>
                <w:b/>
                <w:bCs/>
                <w:color w:val="000000"/>
                <w:sz w:val="18"/>
                <w:szCs w:val="18"/>
                <w:lang w:eastAsia="en-GB"/>
              </w:rPr>
            </w:pPr>
            <w:r w:rsidRPr="007D1F2E">
              <w:rPr>
                <w:rFonts w:ascii="Arial" w:hAnsi="Arial" w:cs="Arial"/>
                <w:b/>
                <w:bCs/>
                <w:color w:val="000000"/>
                <w:sz w:val="18"/>
                <w:szCs w:val="18"/>
                <w:lang w:eastAsia="en-GB"/>
              </w:rPr>
              <w:t>0.0</w:t>
            </w:r>
          </w:p>
        </w:tc>
        <w:tc>
          <w:tcPr>
            <w:tcW w:w="1136" w:type="dxa"/>
            <w:tcBorders>
              <w:top w:val="nil"/>
              <w:left w:val="nil"/>
              <w:bottom w:val="nil"/>
              <w:right w:val="nil"/>
            </w:tcBorders>
            <w:shd w:val="clear" w:color="000000" w:fill="FFFFFF"/>
            <w:noWrap/>
            <w:vAlign w:val="center"/>
            <w:hideMark/>
          </w:tcPr>
          <w:p w:rsidR="007058D0" w:rsidRPr="007D1F2E" w:rsidRDefault="007058D0" w:rsidP="00891A96">
            <w:pPr>
              <w:jc w:val="right"/>
              <w:rPr>
                <w:rFonts w:ascii="Arial" w:hAnsi="Arial" w:cs="Arial"/>
                <w:b/>
                <w:bCs/>
                <w:color w:val="000000"/>
                <w:sz w:val="18"/>
                <w:szCs w:val="18"/>
                <w:lang w:eastAsia="en-GB"/>
              </w:rPr>
            </w:pPr>
            <w:r w:rsidRPr="007D1F2E">
              <w:rPr>
                <w:rFonts w:ascii="Arial" w:hAnsi="Arial" w:cs="Arial"/>
                <w:b/>
                <w:bCs/>
                <w:color w:val="000000"/>
                <w:sz w:val="18"/>
                <w:szCs w:val="18"/>
                <w:lang w:eastAsia="en-GB"/>
              </w:rPr>
              <w:t>(10.9)</w:t>
            </w:r>
          </w:p>
        </w:tc>
        <w:tc>
          <w:tcPr>
            <w:tcW w:w="1136" w:type="dxa"/>
            <w:tcBorders>
              <w:top w:val="nil"/>
              <w:left w:val="nil"/>
              <w:bottom w:val="nil"/>
              <w:right w:val="nil"/>
            </w:tcBorders>
            <w:shd w:val="clear" w:color="000000" w:fill="FFFFFF"/>
            <w:noWrap/>
            <w:vAlign w:val="center"/>
            <w:hideMark/>
          </w:tcPr>
          <w:p w:rsidR="007058D0" w:rsidRPr="007D1F2E" w:rsidRDefault="007058D0" w:rsidP="00891A96">
            <w:pPr>
              <w:jc w:val="right"/>
              <w:rPr>
                <w:rFonts w:ascii="Arial" w:hAnsi="Arial" w:cs="Arial"/>
                <w:b/>
                <w:bCs/>
                <w:color w:val="000000"/>
                <w:sz w:val="18"/>
                <w:szCs w:val="18"/>
                <w:lang w:eastAsia="en-GB"/>
              </w:rPr>
            </w:pPr>
            <w:r w:rsidRPr="007D1F2E">
              <w:rPr>
                <w:rFonts w:ascii="Arial" w:hAnsi="Arial" w:cs="Arial"/>
                <w:b/>
                <w:bCs/>
                <w:color w:val="000000"/>
                <w:sz w:val="18"/>
                <w:szCs w:val="18"/>
                <w:lang w:eastAsia="en-GB"/>
              </w:rPr>
              <w:t>(10.9)</w:t>
            </w:r>
          </w:p>
        </w:tc>
        <w:tc>
          <w:tcPr>
            <w:tcW w:w="4684" w:type="dxa"/>
            <w:tcBorders>
              <w:top w:val="nil"/>
              <w:left w:val="nil"/>
              <w:bottom w:val="nil"/>
              <w:right w:val="nil"/>
            </w:tcBorders>
            <w:shd w:val="clear" w:color="000000" w:fill="FFFFFF"/>
            <w:vAlign w:val="center"/>
            <w:hideMark/>
          </w:tcPr>
          <w:p w:rsidR="007058D0" w:rsidRPr="007D1F2E" w:rsidRDefault="007058D0" w:rsidP="00891A96">
            <w:pPr>
              <w:rPr>
                <w:rFonts w:ascii="Arial" w:hAnsi="Arial" w:cs="Arial"/>
                <w:color w:val="000000"/>
                <w:sz w:val="18"/>
                <w:szCs w:val="18"/>
                <w:lang w:eastAsia="en-GB"/>
              </w:rPr>
            </w:pPr>
            <w:r w:rsidRPr="007D1F2E">
              <w:rPr>
                <w:rFonts w:ascii="Arial" w:hAnsi="Arial" w:cs="Arial"/>
                <w:color w:val="000000"/>
                <w:sz w:val="18"/>
                <w:szCs w:val="18"/>
                <w:lang w:eastAsia="en-GB"/>
              </w:rPr>
              <w:t>S106 &amp; CIL</w:t>
            </w:r>
          </w:p>
        </w:tc>
        <w:tc>
          <w:tcPr>
            <w:tcW w:w="1136" w:type="dxa"/>
            <w:tcBorders>
              <w:top w:val="nil"/>
              <w:left w:val="nil"/>
              <w:bottom w:val="nil"/>
              <w:right w:val="nil"/>
            </w:tcBorders>
            <w:shd w:val="clear" w:color="000000" w:fill="FFFFFF"/>
            <w:noWrap/>
            <w:vAlign w:val="center"/>
            <w:hideMark/>
          </w:tcPr>
          <w:p w:rsidR="007058D0" w:rsidRPr="007D1F2E" w:rsidRDefault="007058D0" w:rsidP="00891A96">
            <w:pPr>
              <w:jc w:val="right"/>
              <w:rPr>
                <w:rFonts w:ascii="Arial" w:hAnsi="Arial" w:cs="Arial"/>
                <w:b/>
                <w:bCs/>
                <w:color w:val="000000"/>
                <w:sz w:val="18"/>
                <w:szCs w:val="18"/>
                <w:lang w:eastAsia="en-GB"/>
              </w:rPr>
            </w:pPr>
            <w:r w:rsidRPr="007D1F2E">
              <w:rPr>
                <w:rFonts w:ascii="Arial" w:hAnsi="Arial" w:cs="Arial"/>
                <w:b/>
                <w:bCs/>
                <w:color w:val="000000"/>
                <w:sz w:val="18"/>
                <w:szCs w:val="18"/>
                <w:lang w:eastAsia="en-GB"/>
              </w:rPr>
              <w:t>(0.4)</w:t>
            </w:r>
          </w:p>
        </w:tc>
        <w:tc>
          <w:tcPr>
            <w:tcW w:w="1136" w:type="dxa"/>
            <w:tcBorders>
              <w:top w:val="nil"/>
              <w:left w:val="nil"/>
              <w:bottom w:val="nil"/>
              <w:right w:val="nil"/>
            </w:tcBorders>
            <w:shd w:val="clear" w:color="000000" w:fill="FFFFFF"/>
            <w:noWrap/>
            <w:vAlign w:val="center"/>
            <w:hideMark/>
          </w:tcPr>
          <w:p w:rsidR="007058D0" w:rsidRPr="007D1F2E" w:rsidRDefault="007058D0" w:rsidP="00891A96">
            <w:pPr>
              <w:jc w:val="right"/>
              <w:rPr>
                <w:rFonts w:ascii="Arial" w:hAnsi="Arial" w:cs="Arial"/>
                <w:b/>
                <w:bCs/>
                <w:color w:val="000000"/>
                <w:sz w:val="18"/>
                <w:szCs w:val="18"/>
                <w:lang w:eastAsia="en-GB"/>
              </w:rPr>
            </w:pPr>
            <w:r w:rsidRPr="007D1F2E">
              <w:rPr>
                <w:rFonts w:ascii="Arial" w:hAnsi="Arial" w:cs="Arial"/>
                <w:b/>
                <w:bCs/>
                <w:color w:val="000000"/>
                <w:sz w:val="18"/>
                <w:szCs w:val="18"/>
                <w:lang w:eastAsia="en-GB"/>
              </w:rPr>
              <w:t>(6.3)</w:t>
            </w:r>
          </w:p>
        </w:tc>
        <w:tc>
          <w:tcPr>
            <w:tcW w:w="1136" w:type="dxa"/>
            <w:tcBorders>
              <w:top w:val="nil"/>
              <w:left w:val="nil"/>
              <w:bottom w:val="nil"/>
              <w:right w:val="nil"/>
            </w:tcBorders>
            <w:shd w:val="clear" w:color="000000" w:fill="FFFFFF"/>
            <w:noWrap/>
            <w:vAlign w:val="center"/>
            <w:hideMark/>
          </w:tcPr>
          <w:p w:rsidR="007058D0" w:rsidRPr="007D1F2E" w:rsidRDefault="007058D0" w:rsidP="00891A96">
            <w:pPr>
              <w:jc w:val="right"/>
              <w:rPr>
                <w:rFonts w:ascii="Arial" w:hAnsi="Arial" w:cs="Arial"/>
                <w:b/>
                <w:bCs/>
                <w:color w:val="000000"/>
                <w:sz w:val="18"/>
                <w:szCs w:val="18"/>
                <w:lang w:eastAsia="en-GB"/>
              </w:rPr>
            </w:pPr>
            <w:r w:rsidRPr="007D1F2E">
              <w:rPr>
                <w:rFonts w:ascii="Arial" w:hAnsi="Arial" w:cs="Arial"/>
                <w:b/>
                <w:bCs/>
                <w:color w:val="000000"/>
                <w:sz w:val="18"/>
                <w:szCs w:val="18"/>
                <w:lang w:eastAsia="en-GB"/>
              </w:rPr>
              <w:t>(6.6)</w:t>
            </w:r>
          </w:p>
        </w:tc>
      </w:tr>
      <w:tr w:rsidR="007058D0" w:rsidRPr="007D1F2E" w:rsidTr="00891A96">
        <w:trPr>
          <w:trHeight w:val="285"/>
        </w:trPr>
        <w:tc>
          <w:tcPr>
            <w:tcW w:w="1136" w:type="dxa"/>
            <w:tcBorders>
              <w:top w:val="nil"/>
              <w:left w:val="nil"/>
              <w:bottom w:val="nil"/>
              <w:right w:val="nil"/>
            </w:tcBorders>
            <w:shd w:val="clear" w:color="000000" w:fill="FFFFFF"/>
            <w:noWrap/>
            <w:vAlign w:val="center"/>
            <w:hideMark/>
          </w:tcPr>
          <w:p w:rsidR="007058D0" w:rsidRPr="007D1F2E" w:rsidRDefault="007058D0" w:rsidP="00891A96">
            <w:pPr>
              <w:jc w:val="right"/>
              <w:rPr>
                <w:rFonts w:ascii="Arial" w:hAnsi="Arial" w:cs="Arial"/>
                <w:b/>
                <w:bCs/>
                <w:color w:val="000000"/>
                <w:sz w:val="18"/>
                <w:szCs w:val="18"/>
                <w:lang w:eastAsia="en-GB"/>
              </w:rPr>
            </w:pPr>
            <w:r w:rsidRPr="007D1F2E">
              <w:rPr>
                <w:rFonts w:ascii="Arial" w:hAnsi="Arial" w:cs="Arial"/>
                <w:b/>
                <w:bCs/>
                <w:color w:val="000000"/>
                <w:sz w:val="18"/>
                <w:szCs w:val="18"/>
                <w:lang w:eastAsia="en-GB"/>
              </w:rPr>
              <w:t>(21.0)</w:t>
            </w:r>
          </w:p>
        </w:tc>
        <w:tc>
          <w:tcPr>
            <w:tcW w:w="1136" w:type="dxa"/>
            <w:tcBorders>
              <w:top w:val="nil"/>
              <w:left w:val="nil"/>
              <w:bottom w:val="nil"/>
              <w:right w:val="nil"/>
            </w:tcBorders>
            <w:shd w:val="clear" w:color="000000" w:fill="FFFFFF"/>
            <w:noWrap/>
            <w:vAlign w:val="center"/>
            <w:hideMark/>
          </w:tcPr>
          <w:p w:rsidR="007058D0" w:rsidRPr="007D1F2E" w:rsidRDefault="007058D0" w:rsidP="00891A96">
            <w:pPr>
              <w:jc w:val="right"/>
              <w:rPr>
                <w:rFonts w:ascii="Arial" w:hAnsi="Arial" w:cs="Arial"/>
                <w:b/>
                <w:bCs/>
                <w:color w:val="000000"/>
                <w:sz w:val="18"/>
                <w:szCs w:val="18"/>
                <w:lang w:eastAsia="en-GB"/>
              </w:rPr>
            </w:pPr>
            <w:r w:rsidRPr="007D1F2E">
              <w:rPr>
                <w:rFonts w:ascii="Arial" w:hAnsi="Arial" w:cs="Arial"/>
                <w:b/>
                <w:bCs/>
                <w:color w:val="000000"/>
                <w:sz w:val="18"/>
                <w:szCs w:val="18"/>
                <w:lang w:eastAsia="en-GB"/>
              </w:rPr>
              <w:t>0.0</w:t>
            </w:r>
          </w:p>
        </w:tc>
        <w:tc>
          <w:tcPr>
            <w:tcW w:w="1136" w:type="dxa"/>
            <w:tcBorders>
              <w:top w:val="nil"/>
              <w:left w:val="nil"/>
              <w:bottom w:val="nil"/>
              <w:right w:val="nil"/>
            </w:tcBorders>
            <w:shd w:val="clear" w:color="000000" w:fill="FFFFFF"/>
            <w:noWrap/>
            <w:vAlign w:val="center"/>
            <w:hideMark/>
          </w:tcPr>
          <w:p w:rsidR="007058D0" w:rsidRPr="007D1F2E" w:rsidRDefault="007058D0" w:rsidP="00891A96">
            <w:pPr>
              <w:jc w:val="right"/>
              <w:rPr>
                <w:rFonts w:ascii="Arial" w:hAnsi="Arial" w:cs="Arial"/>
                <w:b/>
                <w:bCs/>
                <w:color w:val="000000"/>
                <w:sz w:val="18"/>
                <w:szCs w:val="18"/>
                <w:lang w:eastAsia="en-GB"/>
              </w:rPr>
            </w:pPr>
            <w:r w:rsidRPr="007D1F2E">
              <w:rPr>
                <w:rFonts w:ascii="Arial" w:hAnsi="Arial" w:cs="Arial"/>
                <w:b/>
                <w:bCs/>
                <w:color w:val="000000"/>
                <w:sz w:val="18"/>
                <w:szCs w:val="18"/>
                <w:lang w:eastAsia="en-GB"/>
              </w:rPr>
              <w:t>(21.0)</w:t>
            </w:r>
          </w:p>
        </w:tc>
        <w:tc>
          <w:tcPr>
            <w:tcW w:w="4684" w:type="dxa"/>
            <w:tcBorders>
              <w:top w:val="nil"/>
              <w:left w:val="nil"/>
              <w:bottom w:val="nil"/>
              <w:right w:val="nil"/>
            </w:tcBorders>
            <w:shd w:val="clear" w:color="000000" w:fill="FFFFFF"/>
            <w:vAlign w:val="center"/>
            <w:hideMark/>
          </w:tcPr>
          <w:p w:rsidR="007058D0" w:rsidRPr="007D1F2E" w:rsidRDefault="007058D0" w:rsidP="00891A96">
            <w:pPr>
              <w:rPr>
                <w:rFonts w:ascii="Arial" w:hAnsi="Arial" w:cs="Arial"/>
                <w:color w:val="000000"/>
                <w:sz w:val="18"/>
                <w:szCs w:val="18"/>
                <w:lang w:eastAsia="en-GB"/>
              </w:rPr>
            </w:pPr>
            <w:r w:rsidRPr="007D1F2E">
              <w:rPr>
                <w:rFonts w:ascii="Arial" w:hAnsi="Arial" w:cs="Arial"/>
                <w:color w:val="000000"/>
                <w:sz w:val="18"/>
                <w:szCs w:val="18"/>
                <w:lang w:eastAsia="en-GB"/>
              </w:rPr>
              <w:t>Major Repairs Reserve</w:t>
            </w:r>
          </w:p>
        </w:tc>
        <w:tc>
          <w:tcPr>
            <w:tcW w:w="1136" w:type="dxa"/>
            <w:tcBorders>
              <w:top w:val="nil"/>
              <w:left w:val="nil"/>
              <w:bottom w:val="nil"/>
              <w:right w:val="nil"/>
            </w:tcBorders>
            <w:shd w:val="clear" w:color="000000" w:fill="FFFFFF"/>
            <w:noWrap/>
            <w:vAlign w:val="center"/>
            <w:hideMark/>
          </w:tcPr>
          <w:p w:rsidR="007058D0" w:rsidRPr="007D1F2E" w:rsidRDefault="007058D0" w:rsidP="00891A96">
            <w:pPr>
              <w:jc w:val="right"/>
              <w:rPr>
                <w:rFonts w:ascii="Arial" w:hAnsi="Arial" w:cs="Arial"/>
                <w:b/>
                <w:bCs/>
                <w:color w:val="000000"/>
                <w:sz w:val="18"/>
                <w:szCs w:val="18"/>
                <w:lang w:eastAsia="en-GB"/>
              </w:rPr>
            </w:pPr>
            <w:r w:rsidRPr="007D1F2E">
              <w:rPr>
                <w:rFonts w:ascii="Arial" w:hAnsi="Arial" w:cs="Arial"/>
                <w:b/>
                <w:bCs/>
                <w:color w:val="000000"/>
                <w:sz w:val="18"/>
                <w:szCs w:val="18"/>
                <w:lang w:eastAsia="en-GB"/>
              </w:rPr>
              <w:t>(15.7)</w:t>
            </w:r>
          </w:p>
        </w:tc>
        <w:tc>
          <w:tcPr>
            <w:tcW w:w="1136" w:type="dxa"/>
            <w:tcBorders>
              <w:top w:val="nil"/>
              <w:left w:val="nil"/>
              <w:bottom w:val="nil"/>
              <w:right w:val="nil"/>
            </w:tcBorders>
            <w:shd w:val="clear" w:color="000000" w:fill="FFFFFF"/>
            <w:noWrap/>
            <w:vAlign w:val="center"/>
            <w:hideMark/>
          </w:tcPr>
          <w:p w:rsidR="007058D0" w:rsidRPr="007D1F2E" w:rsidRDefault="007058D0" w:rsidP="00891A96">
            <w:pPr>
              <w:jc w:val="right"/>
              <w:rPr>
                <w:rFonts w:ascii="Arial" w:hAnsi="Arial" w:cs="Arial"/>
                <w:b/>
                <w:bCs/>
                <w:color w:val="000000"/>
                <w:sz w:val="18"/>
                <w:szCs w:val="18"/>
                <w:lang w:eastAsia="en-GB"/>
              </w:rPr>
            </w:pPr>
            <w:r w:rsidRPr="007D1F2E">
              <w:rPr>
                <w:rFonts w:ascii="Arial" w:hAnsi="Arial" w:cs="Arial"/>
                <w:b/>
                <w:bCs/>
                <w:color w:val="000000"/>
                <w:sz w:val="18"/>
                <w:szCs w:val="18"/>
                <w:lang w:eastAsia="en-GB"/>
              </w:rPr>
              <w:t>0.0</w:t>
            </w:r>
          </w:p>
        </w:tc>
        <w:tc>
          <w:tcPr>
            <w:tcW w:w="1136" w:type="dxa"/>
            <w:tcBorders>
              <w:top w:val="nil"/>
              <w:left w:val="nil"/>
              <w:bottom w:val="nil"/>
              <w:right w:val="nil"/>
            </w:tcBorders>
            <w:shd w:val="clear" w:color="000000" w:fill="FFFFFF"/>
            <w:noWrap/>
            <w:vAlign w:val="center"/>
            <w:hideMark/>
          </w:tcPr>
          <w:p w:rsidR="007058D0" w:rsidRPr="007D1F2E" w:rsidRDefault="007058D0" w:rsidP="00891A96">
            <w:pPr>
              <w:jc w:val="right"/>
              <w:rPr>
                <w:rFonts w:ascii="Arial" w:hAnsi="Arial" w:cs="Arial"/>
                <w:b/>
                <w:bCs/>
                <w:color w:val="000000"/>
                <w:sz w:val="18"/>
                <w:szCs w:val="18"/>
                <w:lang w:eastAsia="en-GB"/>
              </w:rPr>
            </w:pPr>
            <w:r w:rsidRPr="007D1F2E">
              <w:rPr>
                <w:rFonts w:ascii="Arial" w:hAnsi="Arial" w:cs="Arial"/>
                <w:b/>
                <w:bCs/>
                <w:color w:val="000000"/>
                <w:sz w:val="18"/>
                <w:szCs w:val="18"/>
                <w:lang w:eastAsia="en-GB"/>
              </w:rPr>
              <w:t>(15.7)</w:t>
            </w:r>
          </w:p>
        </w:tc>
      </w:tr>
      <w:tr w:rsidR="007058D0" w:rsidRPr="007D1F2E" w:rsidTr="00891A96">
        <w:trPr>
          <w:trHeight w:val="285"/>
        </w:trPr>
        <w:tc>
          <w:tcPr>
            <w:tcW w:w="1136" w:type="dxa"/>
            <w:tcBorders>
              <w:top w:val="nil"/>
              <w:left w:val="nil"/>
              <w:bottom w:val="nil"/>
              <w:right w:val="nil"/>
            </w:tcBorders>
            <w:shd w:val="clear" w:color="000000" w:fill="FFFFFF"/>
            <w:noWrap/>
            <w:vAlign w:val="center"/>
            <w:hideMark/>
          </w:tcPr>
          <w:p w:rsidR="007058D0" w:rsidRPr="007D1F2E" w:rsidRDefault="007058D0" w:rsidP="00891A96">
            <w:pPr>
              <w:jc w:val="right"/>
              <w:rPr>
                <w:rFonts w:ascii="Arial" w:hAnsi="Arial" w:cs="Arial"/>
                <w:b/>
                <w:bCs/>
                <w:color w:val="000000"/>
                <w:sz w:val="18"/>
                <w:szCs w:val="18"/>
                <w:lang w:eastAsia="en-GB"/>
              </w:rPr>
            </w:pPr>
            <w:r w:rsidRPr="007D1F2E">
              <w:rPr>
                <w:rFonts w:ascii="Arial" w:hAnsi="Arial" w:cs="Arial"/>
                <w:b/>
                <w:bCs/>
                <w:color w:val="000000"/>
                <w:sz w:val="18"/>
                <w:szCs w:val="18"/>
                <w:lang w:eastAsia="en-GB"/>
              </w:rPr>
              <w:t>0.0</w:t>
            </w:r>
          </w:p>
        </w:tc>
        <w:tc>
          <w:tcPr>
            <w:tcW w:w="1136" w:type="dxa"/>
            <w:tcBorders>
              <w:top w:val="nil"/>
              <w:left w:val="nil"/>
              <w:bottom w:val="nil"/>
              <w:right w:val="nil"/>
            </w:tcBorders>
            <w:shd w:val="clear" w:color="000000" w:fill="FFFFFF"/>
            <w:noWrap/>
            <w:vAlign w:val="center"/>
            <w:hideMark/>
          </w:tcPr>
          <w:p w:rsidR="007058D0" w:rsidRPr="007D1F2E" w:rsidRDefault="007058D0" w:rsidP="00891A96">
            <w:pPr>
              <w:jc w:val="right"/>
              <w:rPr>
                <w:rFonts w:ascii="Arial" w:hAnsi="Arial" w:cs="Arial"/>
                <w:b/>
                <w:bCs/>
                <w:color w:val="000000"/>
                <w:sz w:val="18"/>
                <w:szCs w:val="18"/>
                <w:lang w:eastAsia="en-GB"/>
              </w:rPr>
            </w:pPr>
            <w:r w:rsidRPr="007D1F2E">
              <w:rPr>
                <w:rFonts w:ascii="Arial" w:hAnsi="Arial" w:cs="Arial"/>
                <w:b/>
                <w:bCs/>
                <w:color w:val="000000"/>
                <w:sz w:val="18"/>
                <w:szCs w:val="18"/>
                <w:lang w:eastAsia="en-GB"/>
              </w:rPr>
              <w:t>(38.1)</w:t>
            </w:r>
          </w:p>
        </w:tc>
        <w:tc>
          <w:tcPr>
            <w:tcW w:w="1136" w:type="dxa"/>
            <w:tcBorders>
              <w:top w:val="nil"/>
              <w:left w:val="nil"/>
              <w:bottom w:val="nil"/>
              <w:right w:val="nil"/>
            </w:tcBorders>
            <w:shd w:val="clear" w:color="000000" w:fill="FFFFFF"/>
            <w:noWrap/>
            <w:vAlign w:val="center"/>
            <w:hideMark/>
          </w:tcPr>
          <w:p w:rsidR="007058D0" w:rsidRPr="007D1F2E" w:rsidRDefault="007058D0" w:rsidP="00891A96">
            <w:pPr>
              <w:jc w:val="right"/>
              <w:rPr>
                <w:rFonts w:ascii="Arial" w:hAnsi="Arial" w:cs="Arial"/>
                <w:b/>
                <w:bCs/>
                <w:color w:val="000000"/>
                <w:sz w:val="18"/>
                <w:szCs w:val="18"/>
                <w:lang w:eastAsia="en-GB"/>
              </w:rPr>
            </w:pPr>
            <w:r w:rsidRPr="007D1F2E">
              <w:rPr>
                <w:rFonts w:ascii="Arial" w:hAnsi="Arial" w:cs="Arial"/>
                <w:b/>
                <w:bCs/>
                <w:color w:val="000000"/>
                <w:sz w:val="18"/>
                <w:szCs w:val="18"/>
                <w:lang w:eastAsia="en-GB"/>
              </w:rPr>
              <w:t>(38.1)</w:t>
            </w:r>
          </w:p>
        </w:tc>
        <w:tc>
          <w:tcPr>
            <w:tcW w:w="4684" w:type="dxa"/>
            <w:tcBorders>
              <w:top w:val="nil"/>
              <w:left w:val="nil"/>
              <w:bottom w:val="nil"/>
              <w:right w:val="nil"/>
            </w:tcBorders>
            <w:shd w:val="clear" w:color="000000" w:fill="FFFFFF"/>
            <w:vAlign w:val="center"/>
            <w:hideMark/>
          </w:tcPr>
          <w:p w:rsidR="007058D0" w:rsidRPr="007D1F2E" w:rsidRDefault="007058D0" w:rsidP="00891A96">
            <w:pPr>
              <w:rPr>
                <w:rFonts w:ascii="Arial" w:hAnsi="Arial" w:cs="Arial"/>
                <w:color w:val="000000"/>
                <w:sz w:val="18"/>
                <w:szCs w:val="18"/>
                <w:lang w:eastAsia="en-GB"/>
              </w:rPr>
            </w:pPr>
            <w:r w:rsidRPr="007D1F2E">
              <w:rPr>
                <w:rFonts w:ascii="Arial" w:hAnsi="Arial" w:cs="Arial"/>
                <w:color w:val="000000"/>
                <w:sz w:val="18"/>
                <w:szCs w:val="18"/>
                <w:lang w:eastAsia="en-GB"/>
              </w:rPr>
              <w:t>Earmarked Reserves</w:t>
            </w:r>
          </w:p>
        </w:tc>
        <w:tc>
          <w:tcPr>
            <w:tcW w:w="1136" w:type="dxa"/>
            <w:tcBorders>
              <w:top w:val="nil"/>
              <w:left w:val="nil"/>
              <w:bottom w:val="nil"/>
              <w:right w:val="nil"/>
            </w:tcBorders>
            <w:shd w:val="clear" w:color="000000" w:fill="FFFFFF"/>
            <w:noWrap/>
            <w:vAlign w:val="center"/>
            <w:hideMark/>
          </w:tcPr>
          <w:p w:rsidR="007058D0" w:rsidRPr="007D1F2E" w:rsidRDefault="007058D0" w:rsidP="00891A96">
            <w:pPr>
              <w:jc w:val="right"/>
              <w:rPr>
                <w:rFonts w:ascii="Arial" w:hAnsi="Arial" w:cs="Arial"/>
                <w:b/>
                <w:bCs/>
                <w:color w:val="000000"/>
                <w:sz w:val="18"/>
                <w:szCs w:val="18"/>
                <w:lang w:eastAsia="en-GB"/>
              </w:rPr>
            </w:pPr>
            <w:r w:rsidRPr="007D1F2E">
              <w:rPr>
                <w:rFonts w:ascii="Arial" w:hAnsi="Arial" w:cs="Arial"/>
                <w:b/>
                <w:bCs/>
                <w:color w:val="000000"/>
                <w:sz w:val="18"/>
                <w:szCs w:val="18"/>
                <w:lang w:eastAsia="en-GB"/>
              </w:rPr>
              <w:t>(2.0)</w:t>
            </w:r>
          </w:p>
        </w:tc>
        <w:tc>
          <w:tcPr>
            <w:tcW w:w="1136" w:type="dxa"/>
            <w:tcBorders>
              <w:top w:val="nil"/>
              <w:left w:val="nil"/>
              <w:bottom w:val="nil"/>
              <w:right w:val="nil"/>
            </w:tcBorders>
            <w:shd w:val="clear" w:color="000000" w:fill="FFFFFF"/>
            <w:noWrap/>
            <w:vAlign w:val="center"/>
            <w:hideMark/>
          </w:tcPr>
          <w:p w:rsidR="007058D0" w:rsidRPr="007D1F2E" w:rsidRDefault="007058D0" w:rsidP="00891A96">
            <w:pPr>
              <w:jc w:val="right"/>
              <w:rPr>
                <w:rFonts w:ascii="Arial" w:hAnsi="Arial" w:cs="Arial"/>
                <w:b/>
                <w:bCs/>
                <w:color w:val="000000"/>
                <w:sz w:val="18"/>
                <w:szCs w:val="18"/>
                <w:lang w:eastAsia="en-GB"/>
              </w:rPr>
            </w:pPr>
            <w:r w:rsidRPr="007D1F2E">
              <w:rPr>
                <w:rFonts w:ascii="Arial" w:hAnsi="Arial" w:cs="Arial"/>
                <w:b/>
                <w:bCs/>
                <w:color w:val="000000"/>
                <w:sz w:val="18"/>
                <w:szCs w:val="18"/>
                <w:lang w:eastAsia="en-GB"/>
              </w:rPr>
              <w:t>(9.0)</w:t>
            </w:r>
          </w:p>
        </w:tc>
        <w:tc>
          <w:tcPr>
            <w:tcW w:w="1136" w:type="dxa"/>
            <w:tcBorders>
              <w:top w:val="nil"/>
              <w:left w:val="nil"/>
              <w:bottom w:val="nil"/>
              <w:right w:val="nil"/>
            </w:tcBorders>
            <w:shd w:val="clear" w:color="000000" w:fill="FFFFFF"/>
            <w:noWrap/>
            <w:vAlign w:val="center"/>
            <w:hideMark/>
          </w:tcPr>
          <w:p w:rsidR="007058D0" w:rsidRPr="007D1F2E" w:rsidRDefault="007058D0" w:rsidP="00891A96">
            <w:pPr>
              <w:jc w:val="right"/>
              <w:rPr>
                <w:rFonts w:ascii="Arial" w:hAnsi="Arial" w:cs="Arial"/>
                <w:b/>
                <w:bCs/>
                <w:color w:val="000000"/>
                <w:sz w:val="18"/>
                <w:szCs w:val="18"/>
                <w:lang w:eastAsia="en-GB"/>
              </w:rPr>
            </w:pPr>
            <w:r w:rsidRPr="007D1F2E">
              <w:rPr>
                <w:rFonts w:ascii="Arial" w:hAnsi="Arial" w:cs="Arial"/>
                <w:b/>
                <w:bCs/>
                <w:color w:val="000000"/>
                <w:sz w:val="18"/>
                <w:szCs w:val="18"/>
                <w:lang w:eastAsia="en-GB"/>
              </w:rPr>
              <w:t>(11.0)</w:t>
            </w:r>
          </w:p>
        </w:tc>
      </w:tr>
      <w:tr w:rsidR="007058D0" w:rsidRPr="007D1F2E" w:rsidTr="00891A96">
        <w:trPr>
          <w:trHeight w:val="285"/>
        </w:trPr>
        <w:tc>
          <w:tcPr>
            <w:tcW w:w="1136" w:type="dxa"/>
            <w:tcBorders>
              <w:top w:val="nil"/>
              <w:left w:val="nil"/>
              <w:bottom w:val="nil"/>
              <w:right w:val="nil"/>
            </w:tcBorders>
            <w:shd w:val="clear" w:color="000000" w:fill="FFFFFF"/>
            <w:noWrap/>
            <w:vAlign w:val="center"/>
            <w:hideMark/>
          </w:tcPr>
          <w:p w:rsidR="007058D0" w:rsidRPr="007D1F2E" w:rsidRDefault="007058D0" w:rsidP="00891A96">
            <w:pPr>
              <w:jc w:val="right"/>
              <w:rPr>
                <w:rFonts w:ascii="Arial" w:hAnsi="Arial" w:cs="Arial"/>
                <w:color w:val="000000"/>
                <w:sz w:val="18"/>
                <w:szCs w:val="18"/>
                <w:lang w:eastAsia="en-GB"/>
              </w:rPr>
            </w:pPr>
            <w:r w:rsidRPr="007D1F2E">
              <w:rPr>
                <w:rFonts w:ascii="Arial" w:hAnsi="Arial" w:cs="Arial"/>
                <w:color w:val="000000"/>
                <w:sz w:val="18"/>
                <w:szCs w:val="18"/>
                <w:lang w:eastAsia="en-GB"/>
              </w:rPr>
              <w:lastRenderedPageBreak/>
              <w:t> </w:t>
            </w:r>
          </w:p>
        </w:tc>
        <w:tc>
          <w:tcPr>
            <w:tcW w:w="1136" w:type="dxa"/>
            <w:tcBorders>
              <w:top w:val="nil"/>
              <w:left w:val="nil"/>
              <w:bottom w:val="nil"/>
              <w:right w:val="nil"/>
            </w:tcBorders>
            <w:shd w:val="clear" w:color="000000" w:fill="FFFFFF"/>
            <w:noWrap/>
            <w:vAlign w:val="center"/>
            <w:hideMark/>
          </w:tcPr>
          <w:p w:rsidR="007058D0" w:rsidRPr="007D1F2E" w:rsidRDefault="007058D0" w:rsidP="00891A96">
            <w:pPr>
              <w:jc w:val="right"/>
              <w:rPr>
                <w:rFonts w:ascii="Arial" w:hAnsi="Arial" w:cs="Arial"/>
                <w:color w:val="000000"/>
                <w:sz w:val="18"/>
                <w:szCs w:val="18"/>
                <w:lang w:eastAsia="en-GB"/>
              </w:rPr>
            </w:pPr>
            <w:r w:rsidRPr="007D1F2E">
              <w:rPr>
                <w:rFonts w:ascii="Arial" w:hAnsi="Arial" w:cs="Arial"/>
                <w:color w:val="000000"/>
                <w:sz w:val="18"/>
                <w:szCs w:val="18"/>
                <w:lang w:eastAsia="en-GB"/>
              </w:rPr>
              <w:t> </w:t>
            </w:r>
          </w:p>
        </w:tc>
        <w:tc>
          <w:tcPr>
            <w:tcW w:w="1136" w:type="dxa"/>
            <w:tcBorders>
              <w:top w:val="nil"/>
              <w:left w:val="nil"/>
              <w:bottom w:val="nil"/>
              <w:right w:val="nil"/>
            </w:tcBorders>
            <w:shd w:val="clear" w:color="000000" w:fill="FFFFFF"/>
            <w:noWrap/>
            <w:vAlign w:val="center"/>
            <w:hideMark/>
          </w:tcPr>
          <w:p w:rsidR="007058D0" w:rsidRPr="007D1F2E" w:rsidRDefault="007058D0" w:rsidP="00891A96">
            <w:pPr>
              <w:jc w:val="right"/>
              <w:rPr>
                <w:rFonts w:ascii="Arial" w:hAnsi="Arial" w:cs="Arial"/>
                <w:b/>
                <w:bCs/>
                <w:color w:val="000000"/>
                <w:sz w:val="18"/>
                <w:szCs w:val="18"/>
                <w:lang w:eastAsia="en-GB"/>
              </w:rPr>
            </w:pPr>
            <w:r w:rsidRPr="007D1F2E">
              <w:rPr>
                <w:rFonts w:ascii="Arial" w:hAnsi="Arial" w:cs="Arial"/>
                <w:b/>
                <w:bCs/>
                <w:color w:val="000000"/>
                <w:sz w:val="18"/>
                <w:szCs w:val="18"/>
                <w:lang w:eastAsia="en-GB"/>
              </w:rPr>
              <w:t> </w:t>
            </w:r>
          </w:p>
        </w:tc>
        <w:tc>
          <w:tcPr>
            <w:tcW w:w="4684" w:type="dxa"/>
            <w:tcBorders>
              <w:top w:val="nil"/>
              <w:left w:val="nil"/>
              <w:bottom w:val="nil"/>
              <w:right w:val="nil"/>
            </w:tcBorders>
            <w:shd w:val="clear" w:color="000000" w:fill="FFFFFF"/>
            <w:vAlign w:val="center"/>
            <w:hideMark/>
          </w:tcPr>
          <w:p w:rsidR="007058D0" w:rsidRPr="007D1F2E" w:rsidRDefault="007058D0" w:rsidP="00891A96">
            <w:pPr>
              <w:rPr>
                <w:rFonts w:ascii="Arial" w:hAnsi="Arial" w:cs="Arial"/>
                <w:color w:val="000000"/>
                <w:sz w:val="18"/>
                <w:szCs w:val="18"/>
                <w:lang w:eastAsia="en-GB"/>
              </w:rPr>
            </w:pPr>
            <w:r w:rsidRPr="007D1F2E">
              <w:rPr>
                <w:rFonts w:ascii="Arial" w:hAnsi="Arial" w:cs="Arial"/>
                <w:color w:val="000000"/>
                <w:sz w:val="18"/>
                <w:szCs w:val="18"/>
                <w:lang w:eastAsia="en-GB"/>
              </w:rPr>
              <w:t> </w:t>
            </w:r>
          </w:p>
        </w:tc>
        <w:tc>
          <w:tcPr>
            <w:tcW w:w="1136" w:type="dxa"/>
            <w:tcBorders>
              <w:top w:val="nil"/>
              <w:left w:val="nil"/>
              <w:bottom w:val="nil"/>
              <w:right w:val="nil"/>
            </w:tcBorders>
            <w:shd w:val="clear" w:color="000000" w:fill="FFFFFF"/>
            <w:noWrap/>
            <w:vAlign w:val="center"/>
            <w:hideMark/>
          </w:tcPr>
          <w:p w:rsidR="007058D0" w:rsidRPr="007D1F2E" w:rsidRDefault="007058D0" w:rsidP="00891A96">
            <w:pPr>
              <w:jc w:val="right"/>
              <w:rPr>
                <w:rFonts w:ascii="Arial" w:hAnsi="Arial" w:cs="Arial"/>
                <w:color w:val="000000"/>
                <w:sz w:val="18"/>
                <w:szCs w:val="18"/>
                <w:lang w:eastAsia="en-GB"/>
              </w:rPr>
            </w:pPr>
            <w:r w:rsidRPr="007D1F2E">
              <w:rPr>
                <w:rFonts w:ascii="Arial" w:hAnsi="Arial" w:cs="Arial"/>
                <w:color w:val="000000"/>
                <w:sz w:val="18"/>
                <w:szCs w:val="18"/>
                <w:lang w:eastAsia="en-GB"/>
              </w:rPr>
              <w:t> </w:t>
            </w:r>
          </w:p>
        </w:tc>
        <w:tc>
          <w:tcPr>
            <w:tcW w:w="1136" w:type="dxa"/>
            <w:tcBorders>
              <w:top w:val="nil"/>
              <w:left w:val="nil"/>
              <w:bottom w:val="nil"/>
              <w:right w:val="nil"/>
            </w:tcBorders>
            <w:shd w:val="clear" w:color="000000" w:fill="FFFFFF"/>
            <w:noWrap/>
            <w:vAlign w:val="center"/>
            <w:hideMark/>
          </w:tcPr>
          <w:p w:rsidR="007058D0" w:rsidRPr="007D1F2E" w:rsidRDefault="007058D0" w:rsidP="00891A96">
            <w:pPr>
              <w:jc w:val="right"/>
              <w:rPr>
                <w:rFonts w:ascii="Arial" w:hAnsi="Arial" w:cs="Arial"/>
                <w:color w:val="000000"/>
                <w:sz w:val="18"/>
                <w:szCs w:val="18"/>
                <w:lang w:eastAsia="en-GB"/>
              </w:rPr>
            </w:pPr>
            <w:r w:rsidRPr="007D1F2E">
              <w:rPr>
                <w:rFonts w:ascii="Arial" w:hAnsi="Arial" w:cs="Arial"/>
                <w:color w:val="000000"/>
                <w:sz w:val="18"/>
                <w:szCs w:val="18"/>
                <w:lang w:eastAsia="en-GB"/>
              </w:rPr>
              <w:t> </w:t>
            </w:r>
          </w:p>
        </w:tc>
        <w:tc>
          <w:tcPr>
            <w:tcW w:w="1136" w:type="dxa"/>
            <w:tcBorders>
              <w:top w:val="nil"/>
              <w:left w:val="nil"/>
              <w:bottom w:val="nil"/>
              <w:right w:val="nil"/>
            </w:tcBorders>
            <w:shd w:val="clear" w:color="000000" w:fill="FFFFFF"/>
            <w:noWrap/>
            <w:vAlign w:val="center"/>
            <w:hideMark/>
          </w:tcPr>
          <w:p w:rsidR="007058D0" w:rsidRPr="007D1F2E" w:rsidRDefault="007058D0" w:rsidP="00891A96">
            <w:pPr>
              <w:jc w:val="right"/>
              <w:rPr>
                <w:rFonts w:ascii="Arial" w:hAnsi="Arial" w:cs="Arial"/>
                <w:b/>
                <w:bCs/>
                <w:color w:val="000000"/>
                <w:sz w:val="18"/>
                <w:szCs w:val="18"/>
                <w:lang w:eastAsia="en-GB"/>
              </w:rPr>
            </w:pPr>
            <w:r w:rsidRPr="007D1F2E">
              <w:rPr>
                <w:rFonts w:ascii="Arial" w:hAnsi="Arial" w:cs="Arial"/>
                <w:b/>
                <w:bCs/>
                <w:color w:val="000000"/>
                <w:sz w:val="18"/>
                <w:szCs w:val="18"/>
                <w:lang w:eastAsia="en-GB"/>
              </w:rPr>
              <w:t> </w:t>
            </w:r>
          </w:p>
        </w:tc>
      </w:tr>
      <w:tr w:rsidR="007058D0" w:rsidRPr="007D1F2E" w:rsidTr="00891A96">
        <w:trPr>
          <w:trHeight w:val="525"/>
        </w:trPr>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058D0" w:rsidRPr="007D1F2E" w:rsidRDefault="007058D0" w:rsidP="00891A96">
            <w:pPr>
              <w:jc w:val="right"/>
              <w:rPr>
                <w:rFonts w:ascii="Arial" w:hAnsi="Arial" w:cs="Arial"/>
                <w:b/>
                <w:bCs/>
                <w:color w:val="000000"/>
                <w:sz w:val="18"/>
                <w:szCs w:val="18"/>
                <w:lang w:eastAsia="en-GB"/>
              </w:rPr>
            </w:pPr>
            <w:r w:rsidRPr="007D1F2E">
              <w:rPr>
                <w:rFonts w:ascii="Arial" w:hAnsi="Arial" w:cs="Arial"/>
                <w:b/>
                <w:bCs/>
                <w:color w:val="000000"/>
                <w:sz w:val="18"/>
                <w:szCs w:val="18"/>
                <w:lang w:eastAsia="en-GB"/>
              </w:rPr>
              <w:t>159.9</w:t>
            </w:r>
          </w:p>
        </w:tc>
        <w:tc>
          <w:tcPr>
            <w:tcW w:w="1136" w:type="dxa"/>
            <w:tcBorders>
              <w:top w:val="single" w:sz="4" w:space="0" w:color="auto"/>
              <w:left w:val="nil"/>
              <w:bottom w:val="single" w:sz="4" w:space="0" w:color="auto"/>
              <w:right w:val="single" w:sz="4" w:space="0" w:color="auto"/>
            </w:tcBorders>
            <w:shd w:val="clear" w:color="000000" w:fill="FFFFFF"/>
            <w:noWrap/>
            <w:vAlign w:val="center"/>
            <w:hideMark/>
          </w:tcPr>
          <w:p w:rsidR="007058D0" w:rsidRPr="007D1F2E" w:rsidRDefault="007058D0" w:rsidP="00891A96">
            <w:pPr>
              <w:jc w:val="right"/>
              <w:rPr>
                <w:rFonts w:ascii="Arial" w:hAnsi="Arial" w:cs="Arial"/>
                <w:b/>
                <w:bCs/>
                <w:color w:val="000000"/>
                <w:sz w:val="18"/>
                <w:szCs w:val="18"/>
                <w:lang w:eastAsia="en-GB"/>
              </w:rPr>
            </w:pPr>
            <w:r w:rsidRPr="007D1F2E">
              <w:rPr>
                <w:rFonts w:ascii="Arial" w:hAnsi="Arial" w:cs="Arial"/>
                <w:b/>
                <w:bCs/>
                <w:color w:val="000000"/>
                <w:sz w:val="18"/>
                <w:szCs w:val="18"/>
                <w:lang w:eastAsia="en-GB"/>
              </w:rPr>
              <w:t>528.9</w:t>
            </w:r>
          </w:p>
        </w:tc>
        <w:tc>
          <w:tcPr>
            <w:tcW w:w="1136" w:type="dxa"/>
            <w:tcBorders>
              <w:top w:val="single" w:sz="4" w:space="0" w:color="auto"/>
              <w:left w:val="nil"/>
              <w:bottom w:val="single" w:sz="4" w:space="0" w:color="auto"/>
              <w:right w:val="single" w:sz="4" w:space="0" w:color="auto"/>
            </w:tcBorders>
            <w:shd w:val="clear" w:color="000000" w:fill="FFFFFF"/>
            <w:noWrap/>
            <w:vAlign w:val="center"/>
            <w:hideMark/>
          </w:tcPr>
          <w:p w:rsidR="007058D0" w:rsidRPr="007D1F2E" w:rsidRDefault="007058D0" w:rsidP="00891A96">
            <w:pPr>
              <w:jc w:val="right"/>
              <w:rPr>
                <w:rFonts w:ascii="Arial" w:hAnsi="Arial" w:cs="Arial"/>
                <w:b/>
                <w:bCs/>
                <w:color w:val="000000"/>
                <w:sz w:val="18"/>
                <w:szCs w:val="18"/>
                <w:lang w:eastAsia="en-GB"/>
              </w:rPr>
            </w:pPr>
            <w:r w:rsidRPr="007D1F2E">
              <w:rPr>
                <w:rFonts w:ascii="Arial" w:hAnsi="Arial" w:cs="Arial"/>
                <w:b/>
                <w:bCs/>
                <w:color w:val="000000"/>
                <w:sz w:val="18"/>
                <w:szCs w:val="18"/>
                <w:lang w:eastAsia="en-GB"/>
              </w:rPr>
              <w:t>688.8</w:t>
            </w:r>
          </w:p>
        </w:tc>
        <w:tc>
          <w:tcPr>
            <w:tcW w:w="4684" w:type="dxa"/>
            <w:tcBorders>
              <w:top w:val="nil"/>
              <w:left w:val="nil"/>
              <w:bottom w:val="nil"/>
              <w:right w:val="nil"/>
            </w:tcBorders>
            <w:shd w:val="clear" w:color="000000" w:fill="FFFFFF"/>
            <w:vAlign w:val="center"/>
            <w:hideMark/>
          </w:tcPr>
          <w:p w:rsidR="007058D0" w:rsidRPr="007D1F2E" w:rsidRDefault="007058D0" w:rsidP="00891A96">
            <w:pPr>
              <w:rPr>
                <w:rFonts w:ascii="Arial" w:hAnsi="Arial" w:cs="Arial"/>
                <w:b/>
                <w:bCs/>
                <w:color w:val="000000"/>
                <w:sz w:val="18"/>
                <w:szCs w:val="18"/>
                <w:lang w:eastAsia="en-GB"/>
              </w:rPr>
            </w:pPr>
            <w:r w:rsidRPr="007D1F2E">
              <w:rPr>
                <w:rFonts w:ascii="Arial" w:hAnsi="Arial" w:cs="Arial"/>
                <w:b/>
                <w:bCs/>
                <w:color w:val="000000"/>
                <w:sz w:val="18"/>
                <w:szCs w:val="18"/>
                <w:lang w:eastAsia="en-GB"/>
              </w:rPr>
              <w:t>Closing Capital Financing Requirement</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058D0" w:rsidRPr="007D1F2E" w:rsidRDefault="007058D0" w:rsidP="00891A96">
            <w:pPr>
              <w:jc w:val="right"/>
              <w:rPr>
                <w:rFonts w:ascii="Arial" w:hAnsi="Arial" w:cs="Arial"/>
                <w:b/>
                <w:bCs/>
                <w:color w:val="000000"/>
                <w:sz w:val="18"/>
                <w:szCs w:val="18"/>
                <w:lang w:eastAsia="en-GB"/>
              </w:rPr>
            </w:pPr>
            <w:r w:rsidRPr="007D1F2E">
              <w:rPr>
                <w:rFonts w:ascii="Arial" w:hAnsi="Arial" w:cs="Arial"/>
                <w:b/>
                <w:bCs/>
                <w:color w:val="000000"/>
                <w:sz w:val="18"/>
                <w:szCs w:val="18"/>
                <w:lang w:eastAsia="en-GB"/>
              </w:rPr>
              <w:t>230.1</w:t>
            </w:r>
          </w:p>
        </w:tc>
        <w:tc>
          <w:tcPr>
            <w:tcW w:w="1136" w:type="dxa"/>
            <w:tcBorders>
              <w:top w:val="single" w:sz="4" w:space="0" w:color="auto"/>
              <w:left w:val="nil"/>
              <w:bottom w:val="single" w:sz="4" w:space="0" w:color="auto"/>
              <w:right w:val="single" w:sz="4" w:space="0" w:color="auto"/>
            </w:tcBorders>
            <w:shd w:val="clear" w:color="000000" w:fill="FFFFFF"/>
            <w:noWrap/>
            <w:vAlign w:val="center"/>
            <w:hideMark/>
          </w:tcPr>
          <w:p w:rsidR="007058D0" w:rsidRPr="007D1F2E" w:rsidRDefault="007058D0" w:rsidP="00891A96">
            <w:pPr>
              <w:jc w:val="right"/>
              <w:rPr>
                <w:rFonts w:ascii="Arial" w:hAnsi="Arial" w:cs="Arial"/>
                <w:b/>
                <w:bCs/>
                <w:color w:val="000000"/>
                <w:sz w:val="18"/>
                <w:szCs w:val="18"/>
                <w:lang w:eastAsia="en-GB"/>
              </w:rPr>
            </w:pPr>
            <w:r w:rsidRPr="007D1F2E">
              <w:rPr>
                <w:rFonts w:ascii="Arial" w:hAnsi="Arial" w:cs="Arial"/>
                <w:b/>
                <w:bCs/>
                <w:color w:val="000000"/>
                <w:sz w:val="18"/>
                <w:szCs w:val="18"/>
                <w:lang w:eastAsia="en-GB"/>
              </w:rPr>
              <w:t>591.7</w:t>
            </w:r>
          </w:p>
        </w:tc>
        <w:tc>
          <w:tcPr>
            <w:tcW w:w="1136" w:type="dxa"/>
            <w:tcBorders>
              <w:top w:val="single" w:sz="4" w:space="0" w:color="auto"/>
              <w:left w:val="nil"/>
              <w:bottom w:val="single" w:sz="4" w:space="0" w:color="auto"/>
              <w:right w:val="single" w:sz="4" w:space="0" w:color="auto"/>
            </w:tcBorders>
            <w:shd w:val="clear" w:color="000000" w:fill="FFFFFF"/>
            <w:noWrap/>
            <w:vAlign w:val="center"/>
            <w:hideMark/>
          </w:tcPr>
          <w:p w:rsidR="007058D0" w:rsidRPr="007D1F2E" w:rsidRDefault="007058D0" w:rsidP="00891A96">
            <w:pPr>
              <w:jc w:val="right"/>
              <w:rPr>
                <w:rFonts w:ascii="Arial" w:hAnsi="Arial" w:cs="Arial"/>
                <w:b/>
                <w:bCs/>
                <w:color w:val="000000"/>
                <w:sz w:val="18"/>
                <w:szCs w:val="18"/>
                <w:lang w:eastAsia="en-GB"/>
              </w:rPr>
            </w:pPr>
            <w:r w:rsidRPr="007D1F2E">
              <w:rPr>
                <w:rFonts w:ascii="Arial" w:hAnsi="Arial" w:cs="Arial"/>
                <w:b/>
                <w:bCs/>
                <w:color w:val="000000"/>
                <w:sz w:val="18"/>
                <w:szCs w:val="18"/>
                <w:lang w:eastAsia="en-GB"/>
              </w:rPr>
              <w:t>821.8</w:t>
            </w:r>
          </w:p>
        </w:tc>
      </w:tr>
      <w:tr w:rsidR="007058D0" w:rsidRPr="007D1F2E" w:rsidTr="00891A96">
        <w:trPr>
          <w:trHeight w:val="285"/>
        </w:trPr>
        <w:tc>
          <w:tcPr>
            <w:tcW w:w="1136" w:type="dxa"/>
            <w:tcBorders>
              <w:top w:val="nil"/>
              <w:left w:val="nil"/>
              <w:bottom w:val="nil"/>
              <w:right w:val="nil"/>
            </w:tcBorders>
            <w:shd w:val="clear" w:color="000000" w:fill="FFFFFF"/>
            <w:noWrap/>
            <w:vAlign w:val="center"/>
            <w:hideMark/>
          </w:tcPr>
          <w:p w:rsidR="007058D0" w:rsidRPr="007D1F2E" w:rsidRDefault="007058D0" w:rsidP="00891A96">
            <w:pPr>
              <w:jc w:val="right"/>
              <w:rPr>
                <w:rFonts w:ascii="Arial" w:hAnsi="Arial" w:cs="Arial"/>
                <w:color w:val="000000"/>
                <w:sz w:val="18"/>
                <w:szCs w:val="18"/>
                <w:lang w:eastAsia="en-GB"/>
              </w:rPr>
            </w:pPr>
            <w:r w:rsidRPr="007D1F2E">
              <w:rPr>
                <w:rFonts w:ascii="Arial" w:hAnsi="Arial" w:cs="Arial"/>
                <w:color w:val="000000"/>
                <w:sz w:val="18"/>
                <w:szCs w:val="18"/>
                <w:lang w:eastAsia="en-GB"/>
              </w:rPr>
              <w:t> </w:t>
            </w:r>
          </w:p>
        </w:tc>
        <w:tc>
          <w:tcPr>
            <w:tcW w:w="1136" w:type="dxa"/>
            <w:tcBorders>
              <w:top w:val="nil"/>
              <w:left w:val="nil"/>
              <w:bottom w:val="nil"/>
              <w:right w:val="nil"/>
            </w:tcBorders>
            <w:shd w:val="clear" w:color="000000" w:fill="FFFFFF"/>
            <w:noWrap/>
            <w:vAlign w:val="center"/>
            <w:hideMark/>
          </w:tcPr>
          <w:p w:rsidR="007058D0" w:rsidRPr="007D1F2E" w:rsidRDefault="007058D0" w:rsidP="00891A96">
            <w:pPr>
              <w:jc w:val="right"/>
              <w:rPr>
                <w:rFonts w:ascii="Arial" w:hAnsi="Arial" w:cs="Arial"/>
                <w:color w:val="000000"/>
                <w:sz w:val="18"/>
                <w:szCs w:val="18"/>
                <w:lang w:eastAsia="en-GB"/>
              </w:rPr>
            </w:pPr>
            <w:r w:rsidRPr="007D1F2E">
              <w:rPr>
                <w:rFonts w:ascii="Arial" w:hAnsi="Arial" w:cs="Arial"/>
                <w:color w:val="000000"/>
                <w:sz w:val="18"/>
                <w:szCs w:val="18"/>
                <w:lang w:eastAsia="en-GB"/>
              </w:rPr>
              <w:t> </w:t>
            </w:r>
          </w:p>
        </w:tc>
        <w:tc>
          <w:tcPr>
            <w:tcW w:w="1136" w:type="dxa"/>
            <w:tcBorders>
              <w:top w:val="nil"/>
              <w:left w:val="nil"/>
              <w:bottom w:val="nil"/>
              <w:right w:val="nil"/>
            </w:tcBorders>
            <w:shd w:val="clear" w:color="000000" w:fill="FFFFFF"/>
            <w:noWrap/>
            <w:vAlign w:val="center"/>
            <w:hideMark/>
          </w:tcPr>
          <w:p w:rsidR="007058D0" w:rsidRPr="007D1F2E" w:rsidRDefault="007058D0" w:rsidP="00891A96">
            <w:pPr>
              <w:jc w:val="right"/>
              <w:rPr>
                <w:rFonts w:ascii="Arial" w:hAnsi="Arial" w:cs="Arial"/>
                <w:color w:val="000000"/>
                <w:sz w:val="18"/>
                <w:szCs w:val="18"/>
                <w:lang w:eastAsia="en-GB"/>
              </w:rPr>
            </w:pPr>
            <w:r w:rsidRPr="007D1F2E">
              <w:rPr>
                <w:rFonts w:ascii="Arial" w:hAnsi="Arial" w:cs="Arial"/>
                <w:color w:val="000000"/>
                <w:sz w:val="18"/>
                <w:szCs w:val="18"/>
                <w:lang w:eastAsia="en-GB"/>
              </w:rPr>
              <w:t> </w:t>
            </w:r>
          </w:p>
        </w:tc>
        <w:tc>
          <w:tcPr>
            <w:tcW w:w="4684" w:type="dxa"/>
            <w:tcBorders>
              <w:top w:val="nil"/>
              <w:left w:val="nil"/>
              <w:bottom w:val="nil"/>
              <w:right w:val="nil"/>
            </w:tcBorders>
            <w:shd w:val="clear" w:color="000000" w:fill="FFFFFF"/>
            <w:vAlign w:val="center"/>
            <w:hideMark/>
          </w:tcPr>
          <w:p w:rsidR="007058D0" w:rsidRPr="007D1F2E" w:rsidRDefault="007058D0" w:rsidP="00891A96">
            <w:pPr>
              <w:rPr>
                <w:rFonts w:ascii="Arial" w:hAnsi="Arial" w:cs="Arial"/>
                <w:color w:val="000000"/>
                <w:sz w:val="18"/>
                <w:szCs w:val="18"/>
                <w:lang w:eastAsia="en-GB"/>
              </w:rPr>
            </w:pPr>
            <w:r w:rsidRPr="007D1F2E">
              <w:rPr>
                <w:rFonts w:ascii="Arial" w:hAnsi="Arial" w:cs="Arial"/>
                <w:color w:val="000000"/>
                <w:sz w:val="18"/>
                <w:szCs w:val="18"/>
                <w:lang w:eastAsia="en-GB"/>
              </w:rPr>
              <w:t> </w:t>
            </w:r>
          </w:p>
        </w:tc>
        <w:tc>
          <w:tcPr>
            <w:tcW w:w="1136" w:type="dxa"/>
            <w:tcBorders>
              <w:top w:val="nil"/>
              <w:left w:val="nil"/>
              <w:bottom w:val="nil"/>
              <w:right w:val="nil"/>
            </w:tcBorders>
            <w:shd w:val="clear" w:color="000000" w:fill="FFFFFF"/>
            <w:noWrap/>
            <w:vAlign w:val="center"/>
            <w:hideMark/>
          </w:tcPr>
          <w:p w:rsidR="007058D0" w:rsidRPr="007D1F2E" w:rsidRDefault="007058D0" w:rsidP="00891A96">
            <w:pPr>
              <w:jc w:val="right"/>
              <w:rPr>
                <w:rFonts w:ascii="Arial" w:hAnsi="Arial" w:cs="Arial"/>
                <w:color w:val="000000"/>
                <w:sz w:val="18"/>
                <w:szCs w:val="18"/>
                <w:lang w:eastAsia="en-GB"/>
              </w:rPr>
            </w:pPr>
            <w:r w:rsidRPr="007D1F2E">
              <w:rPr>
                <w:rFonts w:ascii="Arial" w:hAnsi="Arial" w:cs="Arial"/>
                <w:color w:val="000000"/>
                <w:sz w:val="18"/>
                <w:szCs w:val="18"/>
                <w:lang w:eastAsia="en-GB"/>
              </w:rPr>
              <w:t> </w:t>
            </w:r>
          </w:p>
        </w:tc>
        <w:tc>
          <w:tcPr>
            <w:tcW w:w="1136" w:type="dxa"/>
            <w:tcBorders>
              <w:top w:val="nil"/>
              <w:left w:val="nil"/>
              <w:bottom w:val="nil"/>
              <w:right w:val="nil"/>
            </w:tcBorders>
            <w:shd w:val="clear" w:color="000000" w:fill="FFFFFF"/>
            <w:noWrap/>
            <w:vAlign w:val="center"/>
            <w:hideMark/>
          </w:tcPr>
          <w:p w:rsidR="007058D0" w:rsidRPr="007D1F2E" w:rsidRDefault="007058D0" w:rsidP="00891A96">
            <w:pPr>
              <w:jc w:val="right"/>
              <w:rPr>
                <w:rFonts w:ascii="Arial" w:hAnsi="Arial" w:cs="Arial"/>
                <w:color w:val="000000"/>
                <w:sz w:val="18"/>
                <w:szCs w:val="18"/>
                <w:lang w:eastAsia="en-GB"/>
              </w:rPr>
            </w:pPr>
            <w:r w:rsidRPr="007D1F2E">
              <w:rPr>
                <w:rFonts w:ascii="Arial" w:hAnsi="Arial" w:cs="Arial"/>
                <w:color w:val="000000"/>
                <w:sz w:val="18"/>
                <w:szCs w:val="18"/>
                <w:lang w:eastAsia="en-GB"/>
              </w:rPr>
              <w:t> </w:t>
            </w:r>
          </w:p>
        </w:tc>
        <w:tc>
          <w:tcPr>
            <w:tcW w:w="1136" w:type="dxa"/>
            <w:tcBorders>
              <w:top w:val="nil"/>
              <w:left w:val="nil"/>
              <w:bottom w:val="nil"/>
              <w:right w:val="nil"/>
            </w:tcBorders>
            <w:shd w:val="clear" w:color="000000" w:fill="FFFFFF"/>
            <w:noWrap/>
            <w:vAlign w:val="center"/>
            <w:hideMark/>
          </w:tcPr>
          <w:p w:rsidR="007058D0" w:rsidRPr="007D1F2E" w:rsidRDefault="007058D0" w:rsidP="00891A96">
            <w:pPr>
              <w:jc w:val="right"/>
              <w:rPr>
                <w:rFonts w:ascii="Arial" w:hAnsi="Arial" w:cs="Arial"/>
                <w:color w:val="000000"/>
                <w:sz w:val="18"/>
                <w:szCs w:val="18"/>
                <w:lang w:eastAsia="en-GB"/>
              </w:rPr>
            </w:pPr>
            <w:r w:rsidRPr="007D1F2E">
              <w:rPr>
                <w:rFonts w:ascii="Arial" w:hAnsi="Arial" w:cs="Arial"/>
                <w:color w:val="000000"/>
                <w:sz w:val="18"/>
                <w:szCs w:val="18"/>
                <w:lang w:eastAsia="en-GB"/>
              </w:rPr>
              <w:t> </w:t>
            </w:r>
          </w:p>
        </w:tc>
      </w:tr>
      <w:tr w:rsidR="007058D0" w:rsidRPr="007D1F2E" w:rsidTr="00891A96">
        <w:trPr>
          <w:trHeight w:val="285"/>
        </w:trPr>
        <w:tc>
          <w:tcPr>
            <w:tcW w:w="1136" w:type="dxa"/>
            <w:tcBorders>
              <w:top w:val="nil"/>
              <w:left w:val="nil"/>
              <w:bottom w:val="nil"/>
              <w:right w:val="nil"/>
            </w:tcBorders>
            <w:shd w:val="clear" w:color="000000" w:fill="FFFFFF"/>
            <w:noWrap/>
            <w:vAlign w:val="center"/>
            <w:hideMark/>
          </w:tcPr>
          <w:p w:rsidR="007058D0" w:rsidRPr="007D1F2E" w:rsidRDefault="007058D0" w:rsidP="00891A96">
            <w:pPr>
              <w:jc w:val="right"/>
              <w:rPr>
                <w:rFonts w:ascii="Arial" w:hAnsi="Arial" w:cs="Arial"/>
                <w:color w:val="000000"/>
                <w:sz w:val="18"/>
                <w:szCs w:val="18"/>
                <w:lang w:eastAsia="en-GB"/>
              </w:rPr>
            </w:pPr>
            <w:r w:rsidRPr="007D1F2E">
              <w:rPr>
                <w:rFonts w:ascii="Arial" w:hAnsi="Arial" w:cs="Arial"/>
                <w:color w:val="000000"/>
                <w:sz w:val="18"/>
                <w:szCs w:val="18"/>
                <w:lang w:eastAsia="en-GB"/>
              </w:rPr>
              <w:t> </w:t>
            </w:r>
          </w:p>
        </w:tc>
        <w:tc>
          <w:tcPr>
            <w:tcW w:w="1136" w:type="dxa"/>
            <w:tcBorders>
              <w:top w:val="nil"/>
              <w:left w:val="nil"/>
              <w:bottom w:val="nil"/>
              <w:right w:val="nil"/>
            </w:tcBorders>
            <w:shd w:val="clear" w:color="000000" w:fill="FFFFFF"/>
            <w:noWrap/>
            <w:vAlign w:val="center"/>
            <w:hideMark/>
          </w:tcPr>
          <w:p w:rsidR="007058D0" w:rsidRPr="007D1F2E" w:rsidRDefault="007058D0" w:rsidP="00891A96">
            <w:pPr>
              <w:jc w:val="right"/>
              <w:rPr>
                <w:rFonts w:ascii="Arial" w:hAnsi="Arial" w:cs="Arial"/>
                <w:color w:val="000000"/>
                <w:sz w:val="18"/>
                <w:szCs w:val="18"/>
                <w:lang w:eastAsia="en-GB"/>
              </w:rPr>
            </w:pPr>
            <w:r w:rsidRPr="007D1F2E">
              <w:rPr>
                <w:rFonts w:ascii="Arial" w:hAnsi="Arial" w:cs="Arial"/>
                <w:color w:val="000000"/>
                <w:sz w:val="18"/>
                <w:szCs w:val="18"/>
                <w:lang w:eastAsia="en-GB"/>
              </w:rPr>
              <w:t> </w:t>
            </w:r>
          </w:p>
        </w:tc>
        <w:tc>
          <w:tcPr>
            <w:tcW w:w="1136" w:type="dxa"/>
            <w:tcBorders>
              <w:top w:val="nil"/>
              <w:left w:val="nil"/>
              <w:bottom w:val="nil"/>
              <w:right w:val="nil"/>
            </w:tcBorders>
            <w:shd w:val="clear" w:color="000000" w:fill="FFFFFF"/>
            <w:noWrap/>
            <w:vAlign w:val="center"/>
            <w:hideMark/>
          </w:tcPr>
          <w:p w:rsidR="007058D0" w:rsidRPr="007D1F2E" w:rsidRDefault="007058D0" w:rsidP="00891A96">
            <w:pPr>
              <w:jc w:val="right"/>
              <w:rPr>
                <w:rFonts w:ascii="Arial" w:hAnsi="Arial" w:cs="Arial"/>
                <w:color w:val="000000"/>
                <w:sz w:val="18"/>
                <w:szCs w:val="18"/>
                <w:lang w:eastAsia="en-GB"/>
              </w:rPr>
            </w:pPr>
            <w:r w:rsidRPr="007D1F2E">
              <w:rPr>
                <w:rFonts w:ascii="Arial" w:hAnsi="Arial" w:cs="Arial"/>
                <w:color w:val="000000"/>
                <w:sz w:val="18"/>
                <w:szCs w:val="18"/>
                <w:lang w:eastAsia="en-GB"/>
              </w:rPr>
              <w:t> </w:t>
            </w:r>
          </w:p>
        </w:tc>
        <w:tc>
          <w:tcPr>
            <w:tcW w:w="4684" w:type="dxa"/>
            <w:tcBorders>
              <w:top w:val="nil"/>
              <w:left w:val="nil"/>
              <w:bottom w:val="nil"/>
              <w:right w:val="nil"/>
            </w:tcBorders>
            <w:shd w:val="clear" w:color="000000" w:fill="FFFFFF"/>
            <w:vAlign w:val="center"/>
            <w:hideMark/>
          </w:tcPr>
          <w:p w:rsidR="007058D0" w:rsidRPr="007D1F2E" w:rsidRDefault="007058D0" w:rsidP="00891A96">
            <w:pPr>
              <w:rPr>
                <w:rFonts w:ascii="Arial" w:hAnsi="Arial" w:cs="Arial"/>
                <w:b/>
                <w:bCs/>
                <w:i/>
                <w:iCs/>
                <w:color w:val="000000"/>
                <w:sz w:val="18"/>
                <w:szCs w:val="18"/>
                <w:lang w:eastAsia="en-GB"/>
              </w:rPr>
            </w:pPr>
            <w:r w:rsidRPr="007D1F2E">
              <w:rPr>
                <w:rFonts w:ascii="Arial" w:hAnsi="Arial" w:cs="Arial"/>
                <w:b/>
                <w:bCs/>
                <w:i/>
                <w:iCs/>
                <w:color w:val="000000"/>
                <w:sz w:val="18"/>
                <w:szCs w:val="18"/>
                <w:lang w:eastAsia="en-GB"/>
              </w:rPr>
              <w:t>Explanation of movements in year:</w:t>
            </w:r>
          </w:p>
        </w:tc>
        <w:tc>
          <w:tcPr>
            <w:tcW w:w="1136" w:type="dxa"/>
            <w:tcBorders>
              <w:top w:val="nil"/>
              <w:left w:val="nil"/>
              <w:bottom w:val="nil"/>
              <w:right w:val="nil"/>
            </w:tcBorders>
            <w:shd w:val="clear" w:color="000000" w:fill="FFFFFF"/>
            <w:noWrap/>
            <w:vAlign w:val="center"/>
            <w:hideMark/>
          </w:tcPr>
          <w:p w:rsidR="007058D0" w:rsidRPr="007D1F2E" w:rsidRDefault="007058D0" w:rsidP="00891A96">
            <w:pPr>
              <w:jc w:val="right"/>
              <w:rPr>
                <w:rFonts w:ascii="Arial" w:hAnsi="Arial" w:cs="Arial"/>
                <w:color w:val="000000"/>
                <w:sz w:val="18"/>
                <w:szCs w:val="18"/>
                <w:lang w:eastAsia="en-GB"/>
              </w:rPr>
            </w:pPr>
            <w:r w:rsidRPr="007D1F2E">
              <w:rPr>
                <w:rFonts w:ascii="Arial" w:hAnsi="Arial" w:cs="Arial"/>
                <w:color w:val="000000"/>
                <w:sz w:val="18"/>
                <w:szCs w:val="18"/>
                <w:lang w:eastAsia="en-GB"/>
              </w:rPr>
              <w:t> </w:t>
            </w:r>
          </w:p>
        </w:tc>
        <w:tc>
          <w:tcPr>
            <w:tcW w:w="1136" w:type="dxa"/>
            <w:tcBorders>
              <w:top w:val="nil"/>
              <w:left w:val="nil"/>
              <w:bottom w:val="nil"/>
              <w:right w:val="nil"/>
            </w:tcBorders>
            <w:shd w:val="clear" w:color="000000" w:fill="FFFFFF"/>
            <w:noWrap/>
            <w:vAlign w:val="center"/>
            <w:hideMark/>
          </w:tcPr>
          <w:p w:rsidR="007058D0" w:rsidRPr="007D1F2E" w:rsidRDefault="007058D0" w:rsidP="00891A96">
            <w:pPr>
              <w:jc w:val="right"/>
              <w:rPr>
                <w:rFonts w:ascii="Arial" w:hAnsi="Arial" w:cs="Arial"/>
                <w:color w:val="000000"/>
                <w:sz w:val="18"/>
                <w:szCs w:val="18"/>
                <w:lang w:eastAsia="en-GB"/>
              </w:rPr>
            </w:pPr>
            <w:r w:rsidRPr="007D1F2E">
              <w:rPr>
                <w:rFonts w:ascii="Arial" w:hAnsi="Arial" w:cs="Arial"/>
                <w:color w:val="000000"/>
                <w:sz w:val="18"/>
                <w:szCs w:val="18"/>
                <w:lang w:eastAsia="en-GB"/>
              </w:rPr>
              <w:t> </w:t>
            </w:r>
          </w:p>
        </w:tc>
        <w:tc>
          <w:tcPr>
            <w:tcW w:w="1136" w:type="dxa"/>
            <w:tcBorders>
              <w:top w:val="nil"/>
              <w:left w:val="nil"/>
              <w:bottom w:val="nil"/>
              <w:right w:val="nil"/>
            </w:tcBorders>
            <w:shd w:val="clear" w:color="000000" w:fill="FFFFFF"/>
            <w:noWrap/>
            <w:vAlign w:val="center"/>
            <w:hideMark/>
          </w:tcPr>
          <w:p w:rsidR="007058D0" w:rsidRPr="007D1F2E" w:rsidRDefault="007058D0" w:rsidP="00891A96">
            <w:pPr>
              <w:jc w:val="right"/>
              <w:rPr>
                <w:rFonts w:ascii="Arial" w:hAnsi="Arial" w:cs="Arial"/>
                <w:color w:val="000000"/>
                <w:sz w:val="18"/>
                <w:szCs w:val="18"/>
                <w:lang w:eastAsia="en-GB"/>
              </w:rPr>
            </w:pPr>
            <w:r w:rsidRPr="007D1F2E">
              <w:rPr>
                <w:rFonts w:ascii="Arial" w:hAnsi="Arial" w:cs="Arial"/>
                <w:color w:val="000000"/>
                <w:sz w:val="18"/>
                <w:szCs w:val="18"/>
                <w:lang w:eastAsia="en-GB"/>
              </w:rPr>
              <w:t> </w:t>
            </w:r>
          </w:p>
        </w:tc>
      </w:tr>
      <w:tr w:rsidR="007058D0" w:rsidRPr="007D1F2E" w:rsidTr="00891A96">
        <w:trPr>
          <w:trHeight w:val="285"/>
        </w:trPr>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058D0" w:rsidRPr="007D1F2E" w:rsidRDefault="007058D0" w:rsidP="00891A96">
            <w:pPr>
              <w:jc w:val="right"/>
              <w:rPr>
                <w:rFonts w:ascii="Arial" w:hAnsi="Arial" w:cs="Arial"/>
                <w:b/>
                <w:bCs/>
                <w:color w:val="000000"/>
                <w:sz w:val="18"/>
                <w:szCs w:val="18"/>
                <w:lang w:eastAsia="en-GB"/>
              </w:rPr>
            </w:pPr>
            <w:r w:rsidRPr="007D1F2E">
              <w:rPr>
                <w:rFonts w:ascii="Arial" w:hAnsi="Arial" w:cs="Arial"/>
                <w:b/>
                <w:bCs/>
                <w:color w:val="000000"/>
                <w:sz w:val="18"/>
                <w:szCs w:val="18"/>
                <w:lang w:eastAsia="en-GB"/>
              </w:rPr>
              <w:t>11.3</w:t>
            </w:r>
          </w:p>
        </w:tc>
        <w:tc>
          <w:tcPr>
            <w:tcW w:w="1136" w:type="dxa"/>
            <w:tcBorders>
              <w:top w:val="single" w:sz="4" w:space="0" w:color="auto"/>
              <w:left w:val="nil"/>
              <w:bottom w:val="single" w:sz="4" w:space="0" w:color="auto"/>
              <w:right w:val="single" w:sz="4" w:space="0" w:color="auto"/>
            </w:tcBorders>
            <w:shd w:val="clear" w:color="000000" w:fill="FFFFFF"/>
            <w:noWrap/>
            <w:vAlign w:val="center"/>
            <w:hideMark/>
          </w:tcPr>
          <w:p w:rsidR="007058D0" w:rsidRPr="007D1F2E" w:rsidRDefault="007058D0" w:rsidP="00891A96">
            <w:pPr>
              <w:jc w:val="right"/>
              <w:rPr>
                <w:rFonts w:ascii="Arial" w:hAnsi="Arial" w:cs="Arial"/>
                <w:b/>
                <w:bCs/>
                <w:color w:val="000000"/>
                <w:sz w:val="18"/>
                <w:szCs w:val="18"/>
                <w:lang w:eastAsia="en-GB"/>
              </w:rPr>
            </w:pPr>
            <w:r w:rsidRPr="007D1F2E">
              <w:rPr>
                <w:rFonts w:ascii="Arial" w:hAnsi="Arial" w:cs="Arial"/>
                <w:b/>
                <w:bCs/>
                <w:color w:val="000000"/>
                <w:sz w:val="18"/>
                <w:szCs w:val="18"/>
                <w:lang w:eastAsia="en-GB"/>
              </w:rPr>
              <w:t>4.8</w:t>
            </w:r>
          </w:p>
        </w:tc>
        <w:tc>
          <w:tcPr>
            <w:tcW w:w="1136" w:type="dxa"/>
            <w:tcBorders>
              <w:top w:val="single" w:sz="4" w:space="0" w:color="auto"/>
              <w:left w:val="nil"/>
              <w:bottom w:val="single" w:sz="4" w:space="0" w:color="auto"/>
              <w:right w:val="single" w:sz="4" w:space="0" w:color="auto"/>
            </w:tcBorders>
            <w:shd w:val="clear" w:color="000000" w:fill="FFFFFF"/>
            <w:noWrap/>
            <w:vAlign w:val="center"/>
            <w:hideMark/>
          </w:tcPr>
          <w:p w:rsidR="007058D0" w:rsidRPr="007D1F2E" w:rsidRDefault="007058D0" w:rsidP="00891A96">
            <w:pPr>
              <w:jc w:val="right"/>
              <w:rPr>
                <w:rFonts w:ascii="Arial" w:hAnsi="Arial" w:cs="Arial"/>
                <w:b/>
                <w:bCs/>
                <w:color w:val="000000"/>
                <w:sz w:val="18"/>
                <w:szCs w:val="18"/>
                <w:lang w:eastAsia="en-GB"/>
              </w:rPr>
            </w:pPr>
            <w:r w:rsidRPr="007D1F2E">
              <w:rPr>
                <w:rFonts w:ascii="Arial" w:hAnsi="Arial" w:cs="Arial"/>
                <w:b/>
                <w:bCs/>
                <w:color w:val="000000"/>
                <w:sz w:val="18"/>
                <w:szCs w:val="18"/>
                <w:lang w:eastAsia="en-GB"/>
              </w:rPr>
              <w:t>16.1</w:t>
            </w:r>
          </w:p>
        </w:tc>
        <w:tc>
          <w:tcPr>
            <w:tcW w:w="4684" w:type="dxa"/>
            <w:tcBorders>
              <w:top w:val="nil"/>
              <w:left w:val="nil"/>
              <w:bottom w:val="nil"/>
              <w:right w:val="nil"/>
            </w:tcBorders>
            <w:shd w:val="clear" w:color="000000" w:fill="FFFFFF"/>
            <w:vAlign w:val="center"/>
            <w:hideMark/>
          </w:tcPr>
          <w:p w:rsidR="007058D0" w:rsidRPr="007D1F2E" w:rsidRDefault="007058D0" w:rsidP="00891A96">
            <w:pPr>
              <w:rPr>
                <w:rFonts w:ascii="Arial" w:hAnsi="Arial" w:cs="Arial"/>
                <w:color w:val="000000"/>
                <w:sz w:val="18"/>
                <w:szCs w:val="18"/>
                <w:lang w:eastAsia="en-GB"/>
              </w:rPr>
            </w:pPr>
            <w:r w:rsidRPr="007D1F2E">
              <w:rPr>
                <w:rFonts w:ascii="Arial" w:hAnsi="Arial" w:cs="Arial"/>
                <w:color w:val="000000"/>
                <w:sz w:val="18"/>
                <w:szCs w:val="18"/>
                <w:lang w:eastAsia="en-GB"/>
              </w:rPr>
              <w:t xml:space="preserve"> (Decrease) / Increase in the underlying need to borrow</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058D0" w:rsidRPr="007D1F2E" w:rsidRDefault="007058D0" w:rsidP="00891A96">
            <w:pPr>
              <w:jc w:val="right"/>
              <w:rPr>
                <w:rFonts w:ascii="Arial" w:hAnsi="Arial" w:cs="Arial"/>
                <w:b/>
                <w:bCs/>
                <w:color w:val="000000"/>
                <w:sz w:val="18"/>
                <w:szCs w:val="18"/>
                <w:lang w:eastAsia="en-GB"/>
              </w:rPr>
            </w:pPr>
            <w:r w:rsidRPr="007D1F2E">
              <w:rPr>
                <w:rFonts w:ascii="Arial" w:hAnsi="Arial" w:cs="Arial"/>
                <w:b/>
                <w:bCs/>
                <w:color w:val="000000"/>
                <w:sz w:val="18"/>
                <w:szCs w:val="18"/>
                <w:lang w:eastAsia="en-GB"/>
              </w:rPr>
              <w:t>70.2</w:t>
            </w:r>
          </w:p>
        </w:tc>
        <w:tc>
          <w:tcPr>
            <w:tcW w:w="1136" w:type="dxa"/>
            <w:tcBorders>
              <w:top w:val="single" w:sz="4" w:space="0" w:color="auto"/>
              <w:left w:val="nil"/>
              <w:bottom w:val="single" w:sz="4" w:space="0" w:color="auto"/>
              <w:right w:val="single" w:sz="4" w:space="0" w:color="auto"/>
            </w:tcBorders>
            <w:shd w:val="clear" w:color="000000" w:fill="FFFFFF"/>
            <w:noWrap/>
            <w:vAlign w:val="center"/>
            <w:hideMark/>
          </w:tcPr>
          <w:p w:rsidR="007058D0" w:rsidRPr="007D1F2E" w:rsidRDefault="007058D0" w:rsidP="00891A96">
            <w:pPr>
              <w:jc w:val="right"/>
              <w:rPr>
                <w:rFonts w:ascii="Arial" w:hAnsi="Arial" w:cs="Arial"/>
                <w:b/>
                <w:bCs/>
                <w:color w:val="000000"/>
                <w:sz w:val="18"/>
                <w:szCs w:val="18"/>
                <w:lang w:eastAsia="en-GB"/>
              </w:rPr>
            </w:pPr>
            <w:r w:rsidRPr="007D1F2E">
              <w:rPr>
                <w:rFonts w:ascii="Arial" w:hAnsi="Arial" w:cs="Arial"/>
                <w:b/>
                <w:bCs/>
                <w:color w:val="000000"/>
                <w:sz w:val="18"/>
                <w:szCs w:val="18"/>
                <w:lang w:eastAsia="en-GB"/>
              </w:rPr>
              <w:t>62.9</w:t>
            </w:r>
          </w:p>
        </w:tc>
        <w:tc>
          <w:tcPr>
            <w:tcW w:w="1136" w:type="dxa"/>
            <w:tcBorders>
              <w:top w:val="single" w:sz="4" w:space="0" w:color="auto"/>
              <w:left w:val="nil"/>
              <w:bottom w:val="single" w:sz="4" w:space="0" w:color="auto"/>
              <w:right w:val="single" w:sz="4" w:space="0" w:color="auto"/>
            </w:tcBorders>
            <w:shd w:val="clear" w:color="000000" w:fill="FFFFFF"/>
            <w:noWrap/>
            <w:vAlign w:val="center"/>
            <w:hideMark/>
          </w:tcPr>
          <w:p w:rsidR="007058D0" w:rsidRPr="007D1F2E" w:rsidRDefault="007058D0" w:rsidP="00891A96">
            <w:pPr>
              <w:jc w:val="right"/>
              <w:rPr>
                <w:rFonts w:ascii="Arial" w:hAnsi="Arial" w:cs="Arial"/>
                <w:b/>
                <w:bCs/>
                <w:color w:val="000000"/>
                <w:sz w:val="18"/>
                <w:szCs w:val="18"/>
                <w:lang w:eastAsia="en-GB"/>
              </w:rPr>
            </w:pPr>
            <w:r w:rsidRPr="007D1F2E">
              <w:rPr>
                <w:rFonts w:ascii="Arial" w:hAnsi="Arial" w:cs="Arial"/>
                <w:b/>
                <w:bCs/>
                <w:color w:val="000000"/>
                <w:sz w:val="18"/>
                <w:szCs w:val="18"/>
                <w:lang w:eastAsia="en-GB"/>
              </w:rPr>
              <w:t>133.1</w:t>
            </w:r>
          </w:p>
        </w:tc>
      </w:tr>
    </w:tbl>
    <w:p w:rsidR="007058D0" w:rsidRDefault="007058D0" w:rsidP="00F72906">
      <w:pPr>
        <w:sectPr w:rsidR="007058D0" w:rsidSect="00C00DF8">
          <w:pgSz w:w="16838" w:h="11906" w:orient="landscape"/>
          <w:pgMar w:top="709" w:right="1440" w:bottom="1440" w:left="1440" w:header="708" w:footer="708" w:gutter="0"/>
          <w:cols w:space="708"/>
          <w:docGrid w:linePitch="360"/>
        </w:sectPr>
      </w:pPr>
    </w:p>
    <w:p w:rsidR="00F72906" w:rsidRDefault="00F72906" w:rsidP="00C00DF8">
      <w:pPr>
        <w:pStyle w:val="Heading2"/>
      </w:pPr>
      <w:bookmarkStart w:id="15" w:name="_Toc61870285"/>
      <w:r>
        <w:lastRenderedPageBreak/>
        <w:t>Financial Instruments</w:t>
      </w:r>
      <w:bookmarkEnd w:id="15"/>
    </w:p>
    <w:p w:rsidR="00F72906" w:rsidRDefault="007058D0" w:rsidP="00D934C4">
      <w:pPr>
        <w:pStyle w:val="Heading3"/>
      </w:pPr>
      <w:r>
        <w:t>Note 24</w:t>
      </w:r>
      <w:r w:rsidR="00F72906">
        <w:t xml:space="preserve"> – Financial Instruments Categories</w:t>
      </w:r>
    </w:p>
    <w:p w:rsidR="00F72906" w:rsidRDefault="00F72906" w:rsidP="00F72906">
      <w:r>
        <w:t>A financial instrument is a contract that gives rise to a financial asset of one entity and a financial liability or equity instrument of another entity.  Non-exchange transactions, such as those relating to taxes, benefits and government grants, do not give rise to financial instruments. Fair value is defined as the price that would be received to sell an asset, or paid to transfer a liability, in an orderly transaction between market participants at the measurement date. The fair value of a financial asset is the price that would be recei</w:t>
      </w:r>
      <w:r w:rsidR="00D934C4">
        <w:t>ved if it were sold.</w:t>
      </w:r>
    </w:p>
    <w:p w:rsidR="00F72906" w:rsidRPr="00D934C4" w:rsidRDefault="00F72906" w:rsidP="00F72906">
      <w:pPr>
        <w:rPr>
          <w:b/>
          <w:u w:val="single"/>
        </w:rPr>
      </w:pPr>
      <w:r w:rsidRPr="00D934C4">
        <w:rPr>
          <w:u w:val="single"/>
        </w:rPr>
        <w:t>Financial</w:t>
      </w:r>
      <w:r w:rsidRPr="00D934C4">
        <w:rPr>
          <w:b/>
          <w:u w:val="single"/>
        </w:rPr>
        <w:t xml:space="preserve"> </w:t>
      </w:r>
      <w:r w:rsidRPr="00D934C4">
        <w:rPr>
          <w:u w:val="single"/>
        </w:rPr>
        <w:t>Liabilities</w:t>
      </w:r>
      <w:r w:rsidRPr="00D934C4">
        <w:rPr>
          <w:b/>
          <w:u w:val="single"/>
        </w:rPr>
        <w:t xml:space="preserve"> </w:t>
      </w:r>
    </w:p>
    <w:p w:rsidR="00F72906" w:rsidRDefault="00F72906" w:rsidP="00F72906">
      <w:r>
        <w:t>A financial liability is an obligation to transfer economic benefits controlled by the Council and can be represented by a contractual obligation to deliver cash or financial assets or an obligation to exchange financial assets and liabilities with another entity that is potentially unfavourable to the Council.</w:t>
      </w:r>
    </w:p>
    <w:p w:rsidR="00F72906" w:rsidRDefault="00F72906" w:rsidP="00F72906">
      <w:r>
        <w:t>The majority of the Council’s financial liabilities held during the year are measured at amortised cost and comprised:</w:t>
      </w:r>
    </w:p>
    <w:p w:rsidR="00F72906" w:rsidRDefault="00F72906" w:rsidP="00F72906">
      <w:r>
        <w:t>•</w:t>
      </w:r>
      <w:r>
        <w:tab/>
        <w:t>Long-term loans from the Public Works Loan Board and commercial lenders,</w:t>
      </w:r>
    </w:p>
    <w:p w:rsidR="00F72906" w:rsidRDefault="00F72906" w:rsidP="00F72906">
      <w:r>
        <w:t>•</w:t>
      </w:r>
      <w:r>
        <w:tab/>
        <w:t>Short-term loans from other local authorities,</w:t>
      </w:r>
    </w:p>
    <w:p w:rsidR="00F72906" w:rsidRDefault="00F72906" w:rsidP="00F72906">
      <w:r>
        <w:t>•</w:t>
      </w:r>
      <w:r>
        <w:tab/>
        <w:t>Overdraft with NatWest Bank,</w:t>
      </w:r>
    </w:p>
    <w:p w:rsidR="00F72906" w:rsidRDefault="00F72906" w:rsidP="00F72906">
      <w:r>
        <w:t>•</w:t>
      </w:r>
      <w:r>
        <w:tab/>
        <w:t>Lease payables detailed in note 29,</w:t>
      </w:r>
    </w:p>
    <w:p w:rsidR="00F72906" w:rsidRDefault="00F72906" w:rsidP="00F72906">
      <w:r>
        <w:t>•</w:t>
      </w:r>
      <w:r>
        <w:tab/>
        <w:t>Private Finance Initiative contracts detailed in note 30, and</w:t>
      </w:r>
    </w:p>
    <w:p w:rsidR="00F72906" w:rsidRDefault="00F72906" w:rsidP="00F72906">
      <w:r>
        <w:t>•</w:t>
      </w:r>
      <w:r>
        <w:tab/>
        <w:t>Trade payables for goods and services received.</w:t>
      </w:r>
    </w:p>
    <w:p w:rsidR="00F72906" w:rsidRDefault="00F72906" w:rsidP="00F72906"/>
    <w:p w:rsidR="00D4571A" w:rsidRDefault="00F72906" w:rsidP="00F72906">
      <w:pPr>
        <w:rPr>
          <w:u w:val="single"/>
        </w:rPr>
      </w:pPr>
      <w:r w:rsidRPr="00D934C4">
        <w:rPr>
          <w:u w:val="single"/>
        </w:rPr>
        <w:t>Financial Assets</w:t>
      </w:r>
    </w:p>
    <w:p w:rsidR="00F72906" w:rsidRDefault="00F72906" w:rsidP="00F72906">
      <w:r>
        <w:t>A financial asset is a right to future economic benefits controlled by the Council that is represented by cash, equity instruments or a contractual right to receive cash or other financial assets or a right to exchange financial assets and liabilities with another entity that is potentially favourable to the Council.  The financial assets held by the Council during the year are accounted for under the following classifications under the Code of Practice:</w:t>
      </w:r>
    </w:p>
    <w:p w:rsidR="00F72906" w:rsidRDefault="00F72906" w:rsidP="00F72906">
      <w:r>
        <w:t xml:space="preserve">- Amortised cost (where cash flows are solely payments of principal and interest and the Council’s business model is to collect those cash flow) comprising: </w:t>
      </w:r>
    </w:p>
    <w:p w:rsidR="00F72906" w:rsidRDefault="00F72906" w:rsidP="00F72906">
      <w:r>
        <w:t>•</w:t>
      </w:r>
      <w:r>
        <w:tab/>
        <w:t>cash in hand,</w:t>
      </w:r>
    </w:p>
    <w:p w:rsidR="00F72906" w:rsidRDefault="00F72906" w:rsidP="00F72906">
      <w:r>
        <w:t>•</w:t>
      </w:r>
      <w:r>
        <w:tab/>
        <w:t>bank current and deposit accounts with NatWest bank,</w:t>
      </w:r>
    </w:p>
    <w:p w:rsidR="00F72906" w:rsidRDefault="00F72906" w:rsidP="00F72906">
      <w:r>
        <w:t>•</w:t>
      </w:r>
      <w:r>
        <w:tab/>
        <w:t>loans to small companies and housing associations,</w:t>
      </w:r>
    </w:p>
    <w:p w:rsidR="00F72906" w:rsidRDefault="00F72906" w:rsidP="00F72906">
      <w:r>
        <w:t>•</w:t>
      </w:r>
      <w:r>
        <w:tab/>
        <w:t>lease receivables detailed in note 29, and</w:t>
      </w:r>
    </w:p>
    <w:p w:rsidR="00F72906" w:rsidRDefault="00F72906" w:rsidP="00F72906">
      <w:r>
        <w:t>•</w:t>
      </w:r>
      <w:r>
        <w:tab/>
        <w:t>Trade receivables for goods and services provided.</w:t>
      </w:r>
    </w:p>
    <w:p w:rsidR="00F72906" w:rsidRDefault="00F72906" w:rsidP="00F72906">
      <w:r>
        <w:t xml:space="preserve">- Fair value through other comprehensive income (where cash flows are solely payments of principal and interest and the Council’s business model is to both collect those cash flows and sell the instrument; and </w:t>
      </w:r>
      <w:r>
        <w:lastRenderedPageBreak/>
        <w:t xml:space="preserve">equity investments that the Council has elected into this category). The Council does not currently hold any financial assets with this category. </w:t>
      </w:r>
    </w:p>
    <w:p w:rsidR="00F72906" w:rsidRDefault="00F72906" w:rsidP="00F72906">
      <w:r>
        <w:t>- Fair value through profit and loss (all other financial assets) comprising:</w:t>
      </w:r>
    </w:p>
    <w:p w:rsidR="00F72906" w:rsidRDefault="00D934C4" w:rsidP="00F72906">
      <w:r>
        <w:t>•</w:t>
      </w:r>
      <w:r>
        <w:tab/>
        <w:t>Money market funds</w:t>
      </w:r>
    </w:p>
    <w:p w:rsidR="00D934C4" w:rsidRDefault="00D934C4" w:rsidP="00F72906"/>
    <w:p w:rsidR="00F72906" w:rsidRDefault="00F72906" w:rsidP="00F72906">
      <w:r>
        <w:t>Financial Liabilities - The financial liabilities disclosed on the balance sheet are analysed across the following categories:</w:t>
      </w:r>
    </w:p>
    <w:tbl>
      <w:tblPr>
        <w:tblW w:w="10051" w:type="dxa"/>
        <w:tblCellMar>
          <w:left w:w="0" w:type="dxa"/>
          <w:right w:w="0" w:type="dxa"/>
        </w:tblCellMar>
        <w:tblLook w:val="04A0" w:firstRow="1" w:lastRow="0" w:firstColumn="1" w:lastColumn="0" w:noHBand="0" w:noVBand="1"/>
        <w:tblCaption w:val="Financial liabilities"/>
      </w:tblPr>
      <w:tblGrid>
        <w:gridCol w:w="4058"/>
        <w:gridCol w:w="1494"/>
        <w:gridCol w:w="1494"/>
        <w:gridCol w:w="1502"/>
        <w:gridCol w:w="1486"/>
        <w:gridCol w:w="60"/>
      </w:tblGrid>
      <w:tr w:rsidR="007058D0" w:rsidTr="007058D0">
        <w:trPr>
          <w:trHeight w:val="255"/>
          <w:tblHeader/>
        </w:trPr>
        <w:tc>
          <w:tcPr>
            <w:tcW w:w="4058" w:type="dxa"/>
            <w:tcBorders>
              <w:top w:val="single" w:sz="8" w:space="0" w:color="auto"/>
              <w:left w:val="single" w:sz="8" w:space="0" w:color="auto"/>
              <w:bottom w:val="nil"/>
              <w:right w:val="nil"/>
            </w:tcBorders>
            <w:shd w:val="clear" w:color="auto" w:fill="FFFFFF"/>
            <w:noWrap/>
            <w:tcMar>
              <w:top w:w="0" w:type="dxa"/>
              <w:left w:w="108" w:type="dxa"/>
              <w:bottom w:w="0" w:type="dxa"/>
              <w:right w:w="108" w:type="dxa"/>
            </w:tcMar>
            <w:vAlign w:val="bottom"/>
            <w:hideMark/>
          </w:tcPr>
          <w:p w:rsidR="007058D0" w:rsidRDefault="007058D0" w:rsidP="00891A96">
            <w:pPr>
              <w:rPr>
                <w:b/>
                <w:bCs/>
                <w:color w:val="000000"/>
                <w:sz w:val="20"/>
                <w:szCs w:val="20"/>
                <w:lang w:eastAsia="en-GB"/>
              </w:rPr>
            </w:pPr>
            <w:r>
              <w:rPr>
                <w:b/>
                <w:bCs/>
                <w:color w:val="000000"/>
                <w:sz w:val="20"/>
                <w:szCs w:val="20"/>
                <w:lang w:eastAsia="en-GB"/>
              </w:rPr>
              <w:t>Financial Liabilities</w:t>
            </w:r>
          </w:p>
        </w:tc>
        <w:tc>
          <w:tcPr>
            <w:tcW w:w="2988" w:type="dxa"/>
            <w:gridSpan w:val="2"/>
            <w:tcBorders>
              <w:top w:val="single" w:sz="8" w:space="0" w:color="auto"/>
              <w:left w:val="single" w:sz="8" w:space="0" w:color="auto"/>
              <w:bottom w:val="nil"/>
              <w:right w:val="single" w:sz="8" w:space="0" w:color="000000"/>
            </w:tcBorders>
            <w:shd w:val="clear" w:color="auto" w:fill="FFFFFF"/>
            <w:noWrap/>
            <w:tcMar>
              <w:top w:w="0" w:type="dxa"/>
              <w:left w:w="108" w:type="dxa"/>
              <w:bottom w:w="0" w:type="dxa"/>
              <w:right w:w="108" w:type="dxa"/>
            </w:tcMar>
            <w:vAlign w:val="bottom"/>
            <w:hideMark/>
          </w:tcPr>
          <w:p w:rsidR="007058D0" w:rsidRDefault="007058D0" w:rsidP="00891A96">
            <w:pPr>
              <w:jc w:val="center"/>
              <w:rPr>
                <w:b/>
                <w:bCs/>
                <w:color w:val="000000"/>
                <w:sz w:val="20"/>
                <w:szCs w:val="20"/>
                <w:lang w:eastAsia="en-GB"/>
              </w:rPr>
            </w:pPr>
            <w:r>
              <w:rPr>
                <w:b/>
                <w:bCs/>
                <w:color w:val="000000"/>
                <w:sz w:val="20"/>
                <w:szCs w:val="20"/>
                <w:lang w:eastAsia="en-GB"/>
              </w:rPr>
              <w:t>Long term</w:t>
            </w:r>
          </w:p>
        </w:tc>
        <w:tc>
          <w:tcPr>
            <w:tcW w:w="2988" w:type="dxa"/>
            <w:gridSpan w:val="2"/>
            <w:tcBorders>
              <w:top w:val="single" w:sz="8" w:space="0" w:color="auto"/>
              <w:left w:val="nil"/>
              <w:bottom w:val="nil"/>
              <w:right w:val="single" w:sz="8" w:space="0" w:color="000000"/>
            </w:tcBorders>
            <w:shd w:val="clear" w:color="auto" w:fill="FFFFFF"/>
            <w:noWrap/>
            <w:tcMar>
              <w:top w:w="0" w:type="dxa"/>
              <w:left w:w="108" w:type="dxa"/>
              <w:bottom w:w="0" w:type="dxa"/>
              <w:right w:w="108" w:type="dxa"/>
            </w:tcMar>
            <w:vAlign w:val="bottom"/>
            <w:hideMark/>
          </w:tcPr>
          <w:p w:rsidR="007058D0" w:rsidRDefault="007058D0" w:rsidP="00891A96">
            <w:pPr>
              <w:jc w:val="center"/>
              <w:rPr>
                <w:b/>
                <w:bCs/>
                <w:color w:val="000000"/>
                <w:sz w:val="20"/>
                <w:szCs w:val="20"/>
                <w:lang w:eastAsia="en-GB"/>
              </w:rPr>
            </w:pPr>
            <w:r>
              <w:rPr>
                <w:b/>
                <w:bCs/>
                <w:color w:val="000000"/>
                <w:sz w:val="20"/>
                <w:szCs w:val="20"/>
                <w:lang w:eastAsia="en-GB"/>
              </w:rPr>
              <w:t>Short Term</w:t>
            </w:r>
          </w:p>
        </w:tc>
        <w:tc>
          <w:tcPr>
            <w:tcW w:w="15" w:type="dxa"/>
            <w:vAlign w:val="center"/>
            <w:hideMark/>
          </w:tcPr>
          <w:p w:rsidR="007058D0" w:rsidRDefault="007058D0" w:rsidP="00891A96">
            <w:r>
              <w:t> </w:t>
            </w:r>
          </w:p>
        </w:tc>
      </w:tr>
      <w:tr w:rsidR="007058D0" w:rsidTr="007058D0">
        <w:trPr>
          <w:trHeight w:val="823"/>
          <w:tblHeader/>
        </w:trPr>
        <w:tc>
          <w:tcPr>
            <w:tcW w:w="4058" w:type="dxa"/>
            <w:tcBorders>
              <w:top w:val="nil"/>
              <w:left w:val="single" w:sz="8" w:space="0" w:color="auto"/>
              <w:bottom w:val="nil"/>
              <w:right w:val="nil"/>
            </w:tcBorders>
            <w:shd w:val="clear" w:color="auto" w:fill="FFFFFF"/>
            <w:noWrap/>
            <w:tcMar>
              <w:top w:w="0" w:type="dxa"/>
              <w:left w:w="108" w:type="dxa"/>
              <w:bottom w:w="0" w:type="dxa"/>
              <w:right w:w="108" w:type="dxa"/>
            </w:tcMar>
            <w:vAlign w:val="bottom"/>
            <w:hideMark/>
          </w:tcPr>
          <w:p w:rsidR="007058D0" w:rsidRDefault="007058D0" w:rsidP="00891A96">
            <w:pPr>
              <w:rPr>
                <w:color w:val="000000"/>
                <w:sz w:val="20"/>
                <w:szCs w:val="20"/>
                <w:lang w:eastAsia="en-GB"/>
              </w:rPr>
            </w:pPr>
            <w:r>
              <w:rPr>
                <w:color w:val="000000"/>
                <w:sz w:val="20"/>
                <w:szCs w:val="20"/>
                <w:lang w:eastAsia="en-GB"/>
              </w:rPr>
              <w:t> </w:t>
            </w:r>
          </w:p>
        </w:tc>
        <w:tc>
          <w:tcPr>
            <w:tcW w:w="1494" w:type="dxa"/>
            <w:tcBorders>
              <w:top w:val="nil"/>
              <w:left w:val="single" w:sz="8" w:space="0" w:color="auto"/>
              <w:bottom w:val="nil"/>
              <w:right w:val="nil"/>
            </w:tcBorders>
            <w:shd w:val="clear" w:color="auto" w:fill="FFFFFF"/>
            <w:noWrap/>
            <w:tcMar>
              <w:top w:w="0" w:type="dxa"/>
              <w:left w:w="108" w:type="dxa"/>
              <w:bottom w:w="0" w:type="dxa"/>
              <w:right w:w="108" w:type="dxa"/>
            </w:tcMar>
            <w:vAlign w:val="bottom"/>
            <w:hideMark/>
          </w:tcPr>
          <w:p w:rsidR="007058D0" w:rsidRDefault="007058D0" w:rsidP="00891A96">
            <w:pPr>
              <w:jc w:val="center"/>
              <w:rPr>
                <w:color w:val="000000"/>
                <w:sz w:val="20"/>
                <w:szCs w:val="20"/>
                <w:lang w:eastAsia="en-GB"/>
              </w:rPr>
            </w:pPr>
            <w:r>
              <w:rPr>
                <w:color w:val="000000"/>
                <w:sz w:val="20"/>
                <w:szCs w:val="20"/>
                <w:lang w:eastAsia="en-GB"/>
              </w:rPr>
              <w:t>31/03/2020</w:t>
            </w:r>
          </w:p>
        </w:tc>
        <w:tc>
          <w:tcPr>
            <w:tcW w:w="1494" w:type="dxa"/>
            <w:tcBorders>
              <w:top w:val="nil"/>
              <w:left w:val="nil"/>
              <w:bottom w:val="nil"/>
              <w:right w:val="single" w:sz="8" w:space="0" w:color="auto"/>
            </w:tcBorders>
            <w:shd w:val="clear" w:color="auto" w:fill="FFFFFF"/>
            <w:noWrap/>
            <w:tcMar>
              <w:top w:w="0" w:type="dxa"/>
              <w:left w:w="108" w:type="dxa"/>
              <w:bottom w:w="0" w:type="dxa"/>
              <w:right w:w="108" w:type="dxa"/>
            </w:tcMar>
            <w:vAlign w:val="bottom"/>
            <w:hideMark/>
          </w:tcPr>
          <w:p w:rsidR="007058D0" w:rsidRDefault="007058D0" w:rsidP="00891A96">
            <w:pPr>
              <w:jc w:val="center"/>
              <w:rPr>
                <w:color w:val="000000"/>
                <w:sz w:val="20"/>
                <w:szCs w:val="20"/>
                <w:lang w:eastAsia="en-GB"/>
              </w:rPr>
            </w:pPr>
            <w:r>
              <w:rPr>
                <w:color w:val="000000"/>
                <w:sz w:val="20"/>
                <w:szCs w:val="20"/>
                <w:lang w:eastAsia="en-GB"/>
              </w:rPr>
              <w:t>31/03/2019</w:t>
            </w:r>
          </w:p>
        </w:tc>
        <w:tc>
          <w:tcPr>
            <w:tcW w:w="1502" w:type="dxa"/>
            <w:shd w:val="clear" w:color="auto" w:fill="FFFFFF"/>
            <w:noWrap/>
            <w:tcMar>
              <w:top w:w="0" w:type="dxa"/>
              <w:left w:w="108" w:type="dxa"/>
              <w:bottom w:w="0" w:type="dxa"/>
              <w:right w:w="108" w:type="dxa"/>
            </w:tcMar>
            <w:vAlign w:val="bottom"/>
            <w:hideMark/>
          </w:tcPr>
          <w:p w:rsidR="007058D0" w:rsidRDefault="007058D0" w:rsidP="00891A96">
            <w:pPr>
              <w:jc w:val="center"/>
              <w:rPr>
                <w:color w:val="000000"/>
                <w:sz w:val="20"/>
                <w:szCs w:val="20"/>
                <w:lang w:eastAsia="en-GB"/>
              </w:rPr>
            </w:pPr>
            <w:r>
              <w:rPr>
                <w:color w:val="000000"/>
                <w:sz w:val="20"/>
                <w:szCs w:val="20"/>
                <w:lang w:eastAsia="en-GB"/>
              </w:rPr>
              <w:t>31/03/2020</w:t>
            </w:r>
          </w:p>
        </w:tc>
        <w:tc>
          <w:tcPr>
            <w:tcW w:w="1503" w:type="dxa"/>
            <w:gridSpan w:val="2"/>
            <w:tcBorders>
              <w:top w:val="nil"/>
              <w:left w:val="nil"/>
              <w:bottom w:val="nil"/>
              <w:right w:val="single" w:sz="8" w:space="0" w:color="auto"/>
            </w:tcBorders>
            <w:shd w:val="clear" w:color="auto" w:fill="FFFFFF"/>
            <w:noWrap/>
            <w:tcMar>
              <w:top w:w="0" w:type="dxa"/>
              <w:left w:w="108" w:type="dxa"/>
              <w:bottom w:w="0" w:type="dxa"/>
              <w:right w:w="108" w:type="dxa"/>
            </w:tcMar>
            <w:vAlign w:val="bottom"/>
            <w:hideMark/>
          </w:tcPr>
          <w:p w:rsidR="007058D0" w:rsidRDefault="007058D0" w:rsidP="00891A96">
            <w:pPr>
              <w:jc w:val="center"/>
              <w:rPr>
                <w:color w:val="000000"/>
                <w:sz w:val="20"/>
                <w:szCs w:val="20"/>
                <w:lang w:eastAsia="en-GB"/>
              </w:rPr>
            </w:pPr>
            <w:r>
              <w:rPr>
                <w:color w:val="000000"/>
                <w:sz w:val="20"/>
                <w:szCs w:val="20"/>
                <w:lang w:eastAsia="en-GB"/>
              </w:rPr>
              <w:t>31/03/2019</w:t>
            </w:r>
          </w:p>
        </w:tc>
      </w:tr>
      <w:tr w:rsidR="007058D0" w:rsidTr="007058D0">
        <w:trPr>
          <w:trHeight w:val="211"/>
          <w:tblHeader/>
        </w:trPr>
        <w:tc>
          <w:tcPr>
            <w:tcW w:w="4058" w:type="dxa"/>
            <w:tcBorders>
              <w:top w:val="nil"/>
              <w:left w:val="single" w:sz="8" w:space="0" w:color="auto"/>
              <w:bottom w:val="single" w:sz="8" w:space="0" w:color="auto"/>
              <w:right w:val="nil"/>
            </w:tcBorders>
            <w:shd w:val="clear" w:color="auto" w:fill="FFFFFF"/>
            <w:noWrap/>
            <w:tcMar>
              <w:top w:w="0" w:type="dxa"/>
              <w:left w:w="108" w:type="dxa"/>
              <w:bottom w:w="0" w:type="dxa"/>
              <w:right w:w="108" w:type="dxa"/>
            </w:tcMar>
            <w:vAlign w:val="bottom"/>
            <w:hideMark/>
          </w:tcPr>
          <w:p w:rsidR="007058D0" w:rsidRDefault="007058D0" w:rsidP="00891A96">
            <w:pPr>
              <w:rPr>
                <w:color w:val="000000"/>
                <w:sz w:val="20"/>
                <w:szCs w:val="20"/>
                <w:lang w:eastAsia="en-GB"/>
              </w:rPr>
            </w:pPr>
            <w:r>
              <w:rPr>
                <w:color w:val="000000"/>
                <w:sz w:val="20"/>
                <w:szCs w:val="20"/>
                <w:lang w:eastAsia="en-GB"/>
              </w:rPr>
              <w:t> </w:t>
            </w:r>
          </w:p>
        </w:tc>
        <w:tc>
          <w:tcPr>
            <w:tcW w:w="1494" w:type="dxa"/>
            <w:tcBorders>
              <w:top w:val="nil"/>
              <w:left w:val="single" w:sz="8" w:space="0" w:color="auto"/>
              <w:bottom w:val="nil"/>
              <w:right w:val="nil"/>
            </w:tcBorders>
            <w:shd w:val="clear" w:color="auto" w:fill="FFFFFF"/>
            <w:noWrap/>
            <w:tcMar>
              <w:top w:w="0" w:type="dxa"/>
              <w:left w:w="108" w:type="dxa"/>
              <w:bottom w:w="0" w:type="dxa"/>
              <w:right w:w="108" w:type="dxa"/>
            </w:tcMar>
            <w:vAlign w:val="bottom"/>
            <w:hideMark/>
          </w:tcPr>
          <w:p w:rsidR="007058D0" w:rsidRDefault="007058D0" w:rsidP="00891A96">
            <w:pPr>
              <w:jc w:val="center"/>
              <w:rPr>
                <w:color w:val="000000"/>
                <w:sz w:val="20"/>
                <w:szCs w:val="20"/>
                <w:lang w:eastAsia="en-GB"/>
              </w:rPr>
            </w:pPr>
            <w:r>
              <w:rPr>
                <w:color w:val="000000"/>
                <w:sz w:val="20"/>
                <w:szCs w:val="20"/>
                <w:lang w:eastAsia="en-GB"/>
              </w:rPr>
              <w:t>£m</w:t>
            </w:r>
          </w:p>
        </w:tc>
        <w:tc>
          <w:tcPr>
            <w:tcW w:w="1494" w:type="dxa"/>
            <w:tcBorders>
              <w:top w:val="nil"/>
              <w:left w:val="nil"/>
              <w:bottom w:val="nil"/>
              <w:right w:val="single" w:sz="8" w:space="0" w:color="auto"/>
            </w:tcBorders>
            <w:shd w:val="clear" w:color="auto" w:fill="FFFFFF"/>
            <w:noWrap/>
            <w:tcMar>
              <w:top w:w="0" w:type="dxa"/>
              <w:left w:w="108" w:type="dxa"/>
              <w:bottom w:w="0" w:type="dxa"/>
              <w:right w:w="108" w:type="dxa"/>
            </w:tcMar>
            <w:vAlign w:val="bottom"/>
            <w:hideMark/>
          </w:tcPr>
          <w:p w:rsidR="007058D0" w:rsidRDefault="007058D0" w:rsidP="00891A96">
            <w:pPr>
              <w:jc w:val="center"/>
              <w:rPr>
                <w:color w:val="000000"/>
                <w:sz w:val="20"/>
                <w:szCs w:val="20"/>
                <w:lang w:eastAsia="en-GB"/>
              </w:rPr>
            </w:pPr>
            <w:r>
              <w:rPr>
                <w:color w:val="000000"/>
                <w:sz w:val="20"/>
                <w:szCs w:val="20"/>
                <w:lang w:eastAsia="en-GB"/>
              </w:rPr>
              <w:t>£m</w:t>
            </w:r>
          </w:p>
        </w:tc>
        <w:tc>
          <w:tcPr>
            <w:tcW w:w="1502" w:type="dxa"/>
            <w:shd w:val="clear" w:color="auto" w:fill="FFFFFF"/>
            <w:noWrap/>
            <w:tcMar>
              <w:top w:w="0" w:type="dxa"/>
              <w:left w:w="108" w:type="dxa"/>
              <w:bottom w:w="0" w:type="dxa"/>
              <w:right w:w="108" w:type="dxa"/>
            </w:tcMar>
            <w:vAlign w:val="bottom"/>
            <w:hideMark/>
          </w:tcPr>
          <w:p w:rsidR="007058D0" w:rsidRDefault="007058D0" w:rsidP="00891A96">
            <w:pPr>
              <w:jc w:val="center"/>
              <w:rPr>
                <w:color w:val="000000"/>
                <w:sz w:val="20"/>
                <w:szCs w:val="20"/>
                <w:lang w:eastAsia="en-GB"/>
              </w:rPr>
            </w:pPr>
            <w:r>
              <w:rPr>
                <w:color w:val="000000"/>
                <w:sz w:val="20"/>
                <w:szCs w:val="20"/>
                <w:lang w:eastAsia="en-GB"/>
              </w:rPr>
              <w:t>£m</w:t>
            </w:r>
          </w:p>
        </w:tc>
        <w:tc>
          <w:tcPr>
            <w:tcW w:w="1503" w:type="dxa"/>
            <w:gridSpan w:val="2"/>
            <w:tcBorders>
              <w:top w:val="nil"/>
              <w:left w:val="nil"/>
              <w:bottom w:val="nil"/>
              <w:right w:val="single" w:sz="8" w:space="0" w:color="auto"/>
            </w:tcBorders>
            <w:shd w:val="clear" w:color="auto" w:fill="FFFFFF"/>
            <w:noWrap/>
            <w:tcMar>
              <w:top w:w="0" w:type="dxa"/>
              <w:left w:w="108" w:type="dxa"/>
              <w:bottom w:w="0" w:type="dxa"/>
              <w:right w:w="108" w:type="dxa"/>
            </w:tcMar>
            <w:vAlign w:val="bottom"/>
            <w:hideMark/>
          </w:tcPr>
          <w:p w:rsidR="007058D0" w:rsidRDefault="007058D0" w:rsidP="00891A96">
            <w:pPr>
              <w:jc w:val="center"/>
              <w:rPr>
                <w:color w:val="000000"/>
                <w:sz w:val="20"/>
                <w:szCs w:val="20"/>
                <w:lang w:eastAsia="en-GB"/>
              </w:rPr>
            </w:pPr>
            <w:r>
              <w:rPr>
                <w:color w:val="000000"/>
                <w:sz w:val="20"/>
                <w:szCs w:val="20"/>
                <w:lang w:eastAsia="en-GB"/>
              </w:rPr>
              <w:t>£m</w:t>
            </w:r>
          </w:p>
        </w:tc>
      </w:tr>
      <w:tr w:rsidR="007058D0" w:rsidTr="00891A96">
        <w:trPr>
          <w:trHeight w:val="211"/>
        </w:trPr>
        <w:tc>
          <w:tcPr>
            <w:tcW w:w="4058" w:type="dxa"/>
            <w:tcBorders>
              <w:top w:val="nil"/>
              <w:left w:val="single" w:sz="8" w:space="0" w:color="auto"/>
              <w:bottom w:val="nil"/>
              <w:right w:val="nil"/>
            </w:tcBorders>
            <w:shd w:val="clear" w:color="auto" w:fill="FFFFFF"/>
            <w:noWrap/>
            <w:tcMar>
              <w:top w:w="0" w:type="dxa"/>
              <w:left w:w="108" w:type="dxa"/>
              <w:bottom w:w="0" w:type="dxa"/>
              <w:right w:w="108" w:type="dxa"/>
            </w:tcMar>
            <w:vAlign w:val="bottom"/>
            <w:hideMark/>
          </w:tcPr>
          <w:p w:rsidR="007058D0" w:rsidRDefault="007058D0" w:rsidP="00891A96">
            <w:pPr>
              <w:rPr>
                <w:color w:val="000000"/>
                <w:sz w:val="20"/>
                <w:szCs w:val="20"/>
                <w:lang w:eastAsia="en-GB"/>
              </w:rPr>
            </w:pPr>
            <w:r>
              <w:rPr>
                <w:color w:val="000000"/>
                <w:sz w:val="20"/>
                <w:szCs w:val="20"/>
                <w:lang w:eastAsia="en-GB"/>
              </w:rPr>
              <w:t>Loans at amortised cost:</w:t>
            </w:r>
          </w:p>
        </w:tc>
        <w:tc>
          <w:tcPr>
            <w:tcW w:w="1494" w:type="dxa"/>
            <w:tcBorders>
              <w:top w:val="single" w:sz="8" w:space="0" w:color="auto"/>
              <w:left w:val="single" w:sz="8" w:space="0" w:color="auto"/>
              <w:bottom w:val="nil"/>
              <w:right w:val="nil"/>
            </w:tcBorders>
            <w:shd w:val="clear" w:color="auto" w:fill="FFFFFF"/>
            <w:noWrap/>
            <w:tcMar>
              <w:top w:w="0" w:type="dxa"/>
              <w:left w:w="108" w:type="dxa"/>
              <w:bottom w:w="0" w:type="dxa"/>
              <w:right w:w="108" w:type="dxa"/>
            </w:tcMar>
            <w:vAlign w:val="bottom"/>
            <w:hideMark/>
          </w:tcPr>
          <w:p w:rsidR="007058D0" w:rsidRDefault="007058D0" w:rsidP="007B70DC">
            <w:pPr>
              <w:jc w:val="right"/>
              <w:rPr>
                <w:color w:val="000000"/>
                <w:sz w:val="20"/>
                <w:szCs w:val="20"/>
                <w:lang w:eastAsia="en-GB"/>
              </w:rPr>
            </w:pPr>
            <w:r>
              <w:rPr>
                <w:color w:val="000000"/>
                <w:sz w:val="20"/>
                <w:szCs w:val="20"/>
                <w:lang w:eastAsia="en-GB"/>
              </w:rPr>
              <w:t> </w:t>
            </w:r>
          </w:p>
        </w:tc>
        <w:tc>
          <w:tcPr>
            <w:tcW w:w="1494" w:type="dxa"/>
            <w:tcBorders>
              <w:top w:val="single" w:sz="8" w:space="0" w:color="auto"/>
              <w:left w:val="nil"/>
              <w:bottom w:val="nil"/>
              <w:right w:val="single" w:sz="8" w:space="0" w:color="auto"/>
            </w:tcBorders>
            <w:shd w:val="clear" w:color="auto" w:fill="FFFFFF"/>
            <w:noWrap/>
            <w:tcMar>
              <w:top w:w="0" w:type="dxa"/>
              <w:left w:w="108" w:type="dxa"/>
              <w:bottom w:w="0" w:type="dxa"/>
              <w:right w:w="108" w:type="dxa"/>
            </w:tcMar>
            <w:vAlign w:val="bottom"/>
            <w:hideMark/>
          </w:tcPr>
          <w:p w:rsidR="007058D0" w:rsidRDefault="007058D0" w:rsidP="007B70DC">
            <w:pPr>
              <w:jc w:val="right"/>
              <w:rPr>
                <w:color w:val="000000"/>
                <w:sz w:val="20"/>
                <w:szCs w:val="20"/>
                <w:lang w:eastAsia="en-GB"/>
              </w:rPr>
            </w:pPr>
            <w:r>
              <w:rPr>
                <w:color w:val="000000"/>
                <w:sz w:val="20"/>
                <w:szCs w:val="20"/>
                <w:lang w:eastAsia="en-GB"/>
              </w:rPr>
              <w:t> </w:t>
            </w:r>
          </w:p>
        </w:tc>
        <w:tc>
          <w:tcPr>
            <w:tcW w:w="1502" w:type="dxa"/>
            <w:tcBorders>
              <w:top w:val="single" w:sz="8" w:space="0" w:color="auto"/>
              <w:left w:val="nil"/>
              <w:bottom w:val="nil"/>
              <w:right w:val="nil"/>
            </w:tcBorders>
            <w:shd w:val="clear" w:color="auto" w:fill="FFFFFF"/>
            <w:noWrap/>
            <w:tcMar>
              <w:top w:w="0" w:type="dxa"/>
              <w:left w:w="108" w:type="dxa"/>
              <w:bottom w:w="0" w:type="dxa"/>
              <w:right w:w="108" w:type="dxa"/>
            </w:tcMar>
            <w:vAlign w:val="bottom"/>
            <w:hideMark/>
          </w:tcPr>
          <w:p w:rsidR="007058D0" w:rsidRDefault="007058D0" w:rsidP="007B70DC">
            <w:pPr>
              <w:jc w:val="right"/>
              <w:rPr>
                <w:color w:val="000000"/>
                <w:sz w:val="20"/>
                <w:szCs w:val="20"/>
                <w:lang w:eastAsia="en-GB"/>
              </w:rPr>
            </w:pPr>
            <w:r>
              <w:rPr>
                <w:color w:val="000000"/>
                <w:sz w:val="20"/>
                <w:szCs w:val="20"/>
                <w:lang w:eastAsia="en-GB"/>
              </w:rPr>
              <w:t> </w:t>
            </w:r>
          </w:p>
        </w:tc>
        <w:tc>
          <w:tcPr>
            <w:tcW w:w="1503" w:type="dxa"/>
            <w:gridSpan w:val="2"/>
            <w:tcBorders>
              <w:top w:val="single" w:sz="8" w:space="0" w:color="auto"/>
              <w:left w:val="nil"/>
              <w:bottom w:val="nil"/>
              <w:right w:val="single" w:sz="8" w:space="0" w:color="auto"/>
            </w:tcBorders>
            <w:shd w:val="clear" w:color="auto" w:fill="FFFFFF"/>
            <w:noWrap/>
            <w:tcMar>
              <w:top w:w="0" w:type="dxa"/>
              <w:left w:w="108" w:type="dxa"/>
              <w:bottom w:w="0" w:type="dxa"/>
              <w:right w:w="108" w:type="dxa"/>
            </w:tcMar>
            <w:vAlign w:val="bottom"/>
            <w:hideMark/>
          </w:tcPr>
          <w:p w:rsidR="007058D0" w:rsidRDefault="007058D0" w:rsidP="007B70DC">
            <w:pPr>
              <w:jc w:val="right"/>
              <w:rPr>
                <w:color w:val="000000"/>
                <w:sz w:val="20"/>
                <w:szCs w:val="20"/>
                <w:lang w:eastAsia="en-GB"/>
              </w:rPr>
            </w:pPr>
            <w:r>
              <w:rPr>
                <w:color w:val="000000"/>
                <w:sz w:val="20"/>
                <w:szCs w:val="20"/>
                <w:lang w:eastAsia="en-GB"/>
              </w:rPr>
              <w:t> </w:t>
            </w:r>
          </w:p>
        </w:tc>
      </w:tr>
      <w:tr w:rsidR="007058D0" w:rsidTr="00891A96">
        <w:trPr>
          <w:trHeight w:val="211"/>
        </w:trPr>
        <w:tc>
          <w:tcPr>
            <w:tcW w:w="4058" w:type="dxa"/>
            <w:tcBorders>
              <w:top w:val="nil"/>
              <w:left w:val="single" w:sz="8" w:space="0" w:color="auto"/>
              <w:bottom w:val="nil"/>
              <w:right w:val="nil"/>
            </w:tcBorders>
            <w:shd w:val="clear" w:color="auto" w:fill="FFFFFF"/>
            <w:noWrap/>
            <w:tcMar>
              <w:top w:w="0" w:type="dxa"/>
              <w:left w:w="108" w:type="dxa"/>
              <w:bottom w:w="0" w:type="dxa"/>
              <w:right w:w="108" w:type="dxa"/>
            </w:tcMar>
            <w:vAlign w:val="bottom"/>
            <w:hideMark/>
          </w:tcPr>
          <w:p w:rsidR="007058D0" w:rsidRDefault="007058D0" w:rsidP="00891A96">
            <w:pPr>
              <w:rPr>
                <w:color w:val="000000"/>
                <w:sz w:val="20"/>
                <w:szCs w:val="20"/>
                <w:lang w:eastAsia="en-GB"/>
              </w:rPr>
            </w:pPr>
            <w:r>
              <w:rPr>
                <w:color w:val="000000"/>
                <w:sz w:val="20"/>
                <w:szCs w:val="20"/>
                <w:lang w:eastAsia="en-GB"/>
              </w:rPr>
              <w:t>- Principal sum borrowed</w:t>
            </w:r>
          </w:p>
        </w:tc>
        <w:tc>
          <w:tcPr>
            <w:tcW w:w="1494" w:type="dxa"/>
            <w:tcBorders>
              <w:top w:val="nil"/>
              <w:left w:val="single" w:sz="8" w:space="0" w:color="auto"/>
              <w:bottom w:val="nil"/>
              <w:right w:val="nil"/>
            </w:tcBorders>
            <w:shd w:val="clear" w:color="auto" w:fill="FFFFFF"/>
            <w:noWrap/>
            <w:tcMar>
              <w:top w:w="0" w:type="dxa"/>
              <w:left w:w="108" w:type="dxa"/>
              <w:bottom w:w="0" w:type="dxa"/>
              <w:right w:w="108" w:type="dxa"/>
            </w:tcMar>
            <w:vAlign w:val="bottom"/>
            <w:hideMark/>
          </w:tcPr>
          <w:p w:rsidR="007058D0" w:rsidRDefault="007058D0" w:rsidP="007B70DC">
            <w:pPr>
              <w:jc w:val="right"/>
              <w:rPr>
                <w:color w:val="000000"/>
                <w:sz w:val="20"/>
                <w:szCs w:val="20"/>
                <w:lang w:eastAsia="en-GB"/>
              </w:rPr>
            </w:pPr>
            <w:r>
              <w:rPr>
                <w:color w:val="000000"/>
                <w:sz w:val="20"/>
                <w:szCs w:val="20"/>
                <w:lang w:eastAsia="en-GB"/>
              </w:rPr>
              <w:t xml:space="preserve">462.1 </w:t>
            </w:r>
          </w:p>
        </w:tc>
        <w:tc>
          <w:tcPr>
            <w:tcW w:w="1494" w:type="dxa"/>
            <w:tcBorders>
              <w:top w:val="nil"/>
              <w:left w:val="nil"/>
              <w:bottom w:val="nil"/>
              <w:right w:val="single" w:sz="8" w:space="0" w:color="auto"/>
            </w:tcBorders>
            <w:shd w:val="clear" w:color="auto" w:fill="FFFFFF"/>
            <w:noWrap/>
            <w:tcMar>
              <w:top w:w="0" w:type="dxa"/>
              <w:left w:w="108" w:type="dxa"/>
              <w:bottom w:w="0" w:type="dxa"/>
              <w:right w:w="108" w:type="dxa"/>
            </w:tcMar>
            <w:vAlign w:val="bottom"/>
            <w:hideMark/>
          </w:tcPr>
          <w:p w:rsidR="007058D0" w:rsidRDefault="007058D0" w:rsidP="007B70DC">
            <w:pPr>
              <w:jc w:val="right"/>
              <w:rPr>
                <w:color w:val="000000"/>
                <w:sz w:val="20"/>
                <w:szCs w:val="20"/>
                <w:lang w:eastAsia="en-GB"/>
              </w:rPr>
            </w:pPr>
            <w:r>
              <w:rPr>
                <w:color w:val="000000"/>
                <w:sz w:val="20"/>
                <w:szCs w:val="20"/>
                <w:lang w:eastAsia="en-GB"/>
              </w:rPr>
              <w:t xml:space="preserve">385.8 </w:t>
            </w:r>
          </w:p>
        </w:tc>
        <w:tc>
          <w:tcPr>
            <w:tcW w:w="1502" w:type="dxa"/>
            <w:shd w:val="clear" w:color="auto" w:fill="FFFFFF"/>
            <w:noWrap/>
            <w:tcMar>
              <w:top w:w="0" w:type="dxa"/>
              <w:left w:w="108" w:type="dxa"/>
              <w:bottom w:w="0" w:type="dxa"/>
              <w:right w:w="108" w:type="dxa"/>
            </w:tcMar>
            <w:vAlign w:val="bottom"/>
            <w:hideMark/>
          </w:tcPr>
          <w:p w:rsidR="007058D0" w:rsidRDefault="007058D0" w:rsidP="007B70DC">
            <w:pPr>
              <w:jc w:val="right"/>
              <w:rPr>
                <w:color w:val="000000"/>
                <w:sz w:val="20"/>
                <w:szCs w:val="20"/>
                <w:lang w:eastAsia="en-GB"/>
              </w:rPr>
            </w:pPr>
            <w:r>
              <w:rPr>
                <w:color w:val="000000"/>
                <w:sz w:val="20"/>
                <w:szCs w:val="20"/>
                <w:lang w:eastAsia="en-GB"/>
              </w:rPr>
              <w:t xml:space="preserve">136.7 </w:t>
            </w:r>
          </w:p>
        </w:tc>
        <w:tc>
          <w:tcPr>
            <w:tcW w:w="1503" w:type="dxa"/>
            <w:gridSpan w:val="2"/>
            <w:tcBorders>
              <w:top w:val="nil"/>
              <w:left w:val="nil"/>
              <w:bottom w:val="nil"/>
              <w:right w:val="single" w:sz="8" w:space="0" w:color="auto"/>
            </w:tcBorders>
            <w:shd w:val="clear" w:color="auto" w:fill="FFFFFF"/>
            <w:noWrap/>
            <w:tcMar>
              <w:top w:w="0" w:type="dxa"/>
              <w:left w:w="108" w:type="dxa"/>
              <w:bottom w:w="0" w:type="dxa"/>
              <w:right w:w="108" w:type="dxa"/>
            </w:tcMar>
            <w:vAlign w:val="bottom"/>
            <w:hideMark/>
          </w:tcPr>
          <w:p w:rsidR="007058D0" w:rsidRDefault="007058D0" w:rsidP="007B70DC">
            <w:pPr>
              <w:jc w:val="right"/>
              <w:rPr>
                <w:color w:val="000000"/>
                <w:sz w:val="20"/>
                <w:szCs w:val="20"/>
                <w:lang w:eastAsia="en-GB"/>
              </w:rPr>
            </w:pPr>
            <w:r>
              <w:rPr>
                <w:color w:val="000000"/>
                <w:sz w:val="20"/>
                <w:szCs w:val="20"/>
                <w:lang w:eastAsia="en-GB"/>
              </w:rPr>
              <w:t xml:space="preserve">10.5 </w:t>
            </w:r>
          </w:p>
        </w:tc>
      </w:tr>
      <w:tr w:rsidR="007058D0" w:rsidTr="00891A96">
        <w:trPr>
          <w:trHeight w:val="478"/>
        </w:trPr>
        <w:tc>
          <w:tcPr>
            <w:tcW w:w="4058" w:type="dxa"/>
            <w:tcBorders>
              <w:top w:val="nil"/>
              <w:left w:val="single" w:sz="8" w:space="0" w:color="auto"/>
              <w:bottom w:val="nil"/>
              <w:right w:val="nil"/>
            </w:tcBorders>
            <w:shd w:val="clear" w:color="auto" w:fill="FFFFFF"/>
            <w:noWrap/>
            <w:tcMar>
              <w:top w:w="0" w:type="dxa"/>
              <w:left w:w="108" w:type="dxa"/>
              <w:bottom w:w="0" w:type="dxa"/>
              <w:right w:w="108" w:type="dxa"/>
            </w:tcMar>
            <w:vAlign w:val="bottom"/>
            <w:hideMark/>
          </w:tcPr>
          <w:p w:rsidR="007058D0" w:rsidRDefault="007058D0" w:rsidP="00891A96">
            <w:pPr>
              <w:rPr>
                <w:color w:val="000000"/>
                <w:sz w:val="20"/>
                <w:szCs w:val="20"/>
                <w:lang w:eastAsia="en-GB"/>
              </w:rPr>
            </w:pPr>
            <w:r>
              <w:rPr>
                <w:color w:val="000000"/>
                <w:sz w:val="20"/>
                <w:szCs w:val="20"/>
                <w:lang w:eastAsia="en-GB"/>
              </w:rPr>
              <w:t> - Accrued Interest</w:t>
            </w:r>
          </w:p>
        </w:tc>
        <w:tc>
          <w:tcPr>
            <w:tcW w:w="1494" w:type="dxa"/>
            <w:tcBorders>
              <w:top w:val="nil"/>
              <w:left w:val="single" w:sz="8" w:space="0" w:color="auto"/>
              <w:bottom w:val="nil"/>
              <w:right w:val="nil"/>
            </w:tcBorders>
            <w:shd w:val="clear" w:color="auto" w:fill="FFFFFF"/>
            <w:noWrap/>
            <w:tcMar>
              <w:top w:w="0" w:type="dxa"/>
              <w:left w:w="108" w:type="dxa"/>
              <w:bottom w:w="0" w:type="dxa"/>
              <w:right w:w="108" w:type="dxa"/>
            </w:tcMar>
            <w:vAlign w:val="bottom"/>
            <w:hideMark/>
          </w:tcPr>
          <w:p w:rsidR="007058D0" w:rsidRDefault="007058D0" w:rsidP="007B70DC">
            <w:pPr>
              <w:jc w:val="right"/>
              <w:rPr>
                <w:color w:val="000000"/>
                <w:sz w:val="20"/>
                <w:szCs w:val="20"/>
                <w:lang w:eastAsia="en-GB"/>
              </w:rPr>
            </w:pPr>
            <w:r>
              <w:rPr>
                <w:color w:val="000000"/>
                <w:sz w:val="20"/>
                <w:szCs w:val="20"/>
                <w:lang w:eastAsia="en-GB"/>
              </w:rPr>
              <w:t xml:space="preserve">-   </w:t>
            </w:r>
          </w:p>
        </w:tc>
        <w:tc>
          <w:tcPr>
            <w:tcW w:w="1494" w:type="dxa"/>
            <w:tcBorders>
              <w:top w:val="nil"/>
              <w:left w:val="nil"/>
              <w:bottom w:val="nil"/>
              <w:right w:val="single" w:sz="8" w:space="0" w:color="auto"/>
            </w:tcBorders>
            <w:shd w:val="clear" w:color="auto" w:fill="FFFFFF"/>
            <w:noWrap/>
            <w:tcMar>
              <w:top w:w="0" w:type="dxa"/>
              <w:left w:w="108" w:type="dxa"/>
              <w:bottom w:w="0" w:type="dxa"/>
              <w:right w:w="108" w:type="dxa"/>
            </w:tcMar>
            <w:vAlign w:val="bottom"/>
            <w:hideMark/>
          </w:tcPr>
          <w:p w:rsidR="007058D0" w:rsidRDefault="007058D0" w:rsidP="007B70DC">
            <w:pPr>
              <w:jc w:val="right"/>
              <w:rPr>
                <w:color w:val="000000"/>
                <w:sz w:val="20"/>
                <w:szCs w:val="20"/>
                <w:lang w:eastAsia="en-GB"/>
              </w:rPr>
            </w:pPr>
            <w:r>
              <w:rPr>
                <w:color w:val="000000"/>
                <w:sz w:val="20"/>
                <w:szCs w:val="20"/>
                <w:lang w:eastAsia="en-GB"/>
              </w:rPr>
              <w:t xml:space="preserve">-   </w:t>
            </w:r>
          </w:p>
        </w:tc>
        <w:tc>
          <w:tcPr>
            <w:tcW w:w="1502" w:type="dxa"/>
            <w:shd w:val="clear" w:color="auto" w:fill="FFFFFF"/>
            <w:noWrap/>
            <w:tcMar>
              <w:top w:w="0" w:type="dxa"/>
              <w:left w:w="108" w:type="dxa"/>
              <w:bottom w:w="0" w:type="dxa"/>
              <w:right w:w="108" w:type="dxa"/>
            </w:tcMar>
            <w:vAlign w:val="bottom"/>
            <w:hideMark/>
          </w:tcPr>
          <w:p w:rsidR="007058D0" w:rsidRDefault="007058D0" w:rsidP="007B70DC">
            <w:pPr>
              <w:jc w:val="right"/>
              <w:rPr>
                <w:color w:val="000000"/>
                <w:sz w:val="20"/>
                <w:szCs w:val="20"/>
                <w:lang w:eastAsia="en-GB"/>
              </w:rPr>
            </w:pPr>
            <w:r>
              <w:rPr>
                <w:color w:val="000000"/>
                <w:sz w:val="20"/>
                <w:szCs w:val="20"/>
                <w:lang w:eastAsia="en-GB"/>
              </w:rPr>
              <w:t xml:space="preserve">4.2 </w:t>
            </w:r>
          </w:p>
        </w:tc>
        <w:tc>
          <w:tcPr>
            <w:tcW w:w="1503" w:type="dxa"/>
            <w:gridSpan w:val="2"/>
            <w:tcBorders>
              <w:top w:val="nil"/>
              <w:left w:val="nil"/>
              <w:bottom w:val="nil"/>
              <w:right w:val="single" w:sz="8" w:space="0" w:color="auto"/>
            </w:tcBorders>
            <w:shd w:val="clear" w:color="auto" w:fill="FFFFFF"/>
            <w:noWrap/>
            <w:tcMar>
              <w:top w:w="0" w:type="dxa"/>
              <w:left w:w="108" w:type="dxa"/>
              <w:bottom w:w="0" w:type="dxa"/>
              <w:right w:w="108" w:type="dxa"/>
            </w:tcMar>
            <w:vAlign w:val="bottom"/>
            <w:hideMark/>
          </w:tcPr>
          <w:p w:rsidR="007058D0" w:rsidRDefault="007058D0" w:rsidP="007B70DC">
            <w:pPr>
              <w:jc w:val="right"/>
              <w:rPr>
                <w:color w:val="000000"/>
                <w:sz w:val="20"/>
                <w:szCs w:val="20"/>
                <w:lang w:eastAsia="en-GB"/>
              </w:rPr>
            </w:pPr>
            <w:r>
              <w:rPr>
                <w:color w:val="000000"/>
                <w:sz w:val="20"/>
                <w:szCs w:val="20"/>
                <w:lang w:eastAsia="en-GB"/>
              </w:rPr>
              <w:t xml:space="preserve">3.9 </w:t>
            </w:r>
          </w:p>
        </w:tc>
      </w:tr>
      <w:tr w:rsidR="007058D0" w:rsidTr="00891A96">
        <w:trPr>
          <w:trHeight w:val="211"/>
        </w:trPr>
        <w:tc>
          <w:tcPr>
            <w:tcW w:w="4058" w:type="dxa"/>
            <w:tcBorders>
              <w:top w:val="single" w:sz="8" w:space="0" w:color="auto"/>
              <w:left w:val="single" w:sz="8" w:space="0" w:color="auto"/>
              <w:bottom w:val="nil"/>
              <w:right w:val="nil"/>
            </w:tcBorders>
            <w:shd w:val="clear" w:color="auto" w:fill="FFFFFF"/>
            <w:noWrap/>
            <w:tcMar>
              <w:top w:w="0" w:type="dxa"/>
              <w:left w:w="108" w:type="dxa"/>
              <w:bottom w:w="0" w:type="dxa"/>
              <w:right w:w="108" w:type="dxa"/>
            </w:tcMar>
            <w:vAlign w:val="bottom"/>
            <w:hideMark/>
          </w:tcPr>
          <w:p w:rsidR="007058D0" w:rsidRDefault="007058D0" w:rsidP="00891A96">
            <w:pPr>
              <w:rPr>
                <w:b/>
                <w:bCs/>
                <w:color w:val="000000"/>
                <w:sz w:val="20"/>
                <w:szCs w:val="20"/>
                <w:lang w:eastAsia="en-GB"/>
              </w:rPr>
            </w:pPr>
            <w:r>
              <w:rPr>
                <w:b/>
                <w:bCs/>
                <w:color w:val="000000"/>
                <w:sz w:val="20"/>
                <w:szCs w:val="20"/>
                <w:lang w:eastAsia="en-GB"/>
              </w:rPr>
              <w:t>Total Borrowing*</w:t>
            </w:r>
          </w:p>
        </w:tc>
        <w:tc>
          <w:tcPr>
            <w:tcW w:w="1494" w:type="dxa"/>
            <w:tcBorders>
              <w:top w:val="single" w:sz="8" w:space="0" w:color="auto"/>
              <w:left w:val="single" w:sz="8" w:space="0" w:color="auto"/>
              <w:bottom w:val="single" w:sz="8" w:space="0" w:color="auto"/>
              <w:right w:val="nil"/>
            </w:tcBorders>
            <w:shd w:val="clear" w:color="auto" w:fill="FFFFFF"/>
            <w:noWrap/>
            <w:tcMar>
              <w:top w:w="0" w:type="dxa"/>
              <w:left w:w="108" w:type="dxa"/>
              <w:bottom w:w="0" w:type="dxa"/>
              <w:right w:w="108" w:type="dxa"/>
            </w:tcMar>
            <w:vAlign w:val="bottom"/>
            <w:hideMark/>
          </w:tcPr>
          <w:p w:rsidR="007058D0" w:rsidRDefault="007058D0" w:rsidP="007B70DC">
            <w:pPr>
              <w:jc w:val="right"/>
              <w:rPr>
                <w:b/>
                <w:bCs/>
                <w:color w:val="000000"/>
                <w:sz w:val="20"/>
                <w:szCs w:val="20"/>
                <w:lang w:eastAsia="en-GB"/>
              </w:rPr>
            </w:pPr>
            <w:r>
              <w:rPr>
                <w:b/>
                <w:bCs/>
                <w:color w:val="000000"/>
                <w:sz w:val="20"/>
                <w:szCs w:val="20"/>
                <w:lang w:eastAsia="en-GB"/>
              </w:rPr>
              <w:t xml:space="preserve">462.1 </w:t>
            </w:r>
          </w:p>
        </w:tc>
        <w:tc>
          <w:tcPr>
            <w:tcW w:w="1494"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7058D0" w:rsidRDefault="007058D0" w:rsidP="007B70DC">
            <w:pPr>
              <w:jc w:val="right"/>
              <w:rPr>
                <w:b/>
                <w:bCs/>
                <w:color w:val="000000"/>
                <w:sz w:val="20"/>
                <w:szCs w:val="20"/>
                <w:lang w:eastAsia="en-GB"/>
              </w:rPr>
            </w:pPr>
            <w:r>
              <w:rPr>
                <w:b/>
                <w:bCs/>
                <w:color w:val="000000"/>
                <w:sz w:val="20"/>
                <w:szCs w:val="20"/>
                <w:lang w:eastAsia="en-GB"/>
              </w:rPr>
              <w:t xml:space="preserve">385.8 </w:t>
            </w:r>
          </w:p>
        </w:tc>
        <w:tc>
          <w:tcPr>
            <w:tcW w:w="1502" w:type="dxa"/>
            <w:tcBorders>
              <w:top w:val="single" w:sz="8" w:space="0" w:color="auto"/>
              <w:left w:val="nil"/>
              <w:bottom w:val="single" w:sz="8" w:space="0" w:color="auto"/>
              <w:right w:val="nil"/>
            </w:tcBorders>
            <w:shd w:val="clear" w:color="auto" w:fill="FFFFFF"/>
            <w:noWrap/>
            <w:tcMar>
              <w:top w:w="0" w:type="dxa"/>
              <w:left w:w="108" w:type="dxa"/>
              <w:bottom w:w="0" w:type="dxa"/>
              <w:right w:w="108" w:type="dxa"/>
            </w:tcMar>
            <w:vAlign w:val="bottom"/>
            <w:hideMark/>
          </w:tcPr>
          <w:p w:rsidR="007058D0" w:rsidRDefault="007058D0" w:rsidP="007B70DC">
            <w:pPr>
              <w:jc w:val="right"/>
              <w:rPr>
                <w:b/>
                <w:bCs/>
                <w:color w:val="000000"/>
                <w:sz w:val="20"/>
                <w:szCs w:val="20"/>
                <w:lang w:eastAsia="en-GB"/>
              </w:rPr>
            </w:pPr>
            <w:r>
              <w:rPr>
                <w:b/>
                <w:bCs/>
                <w:color w:val="000000"/>
                <w:sz w:val="20"/>
                <w:szCs w:val="20"/>
                <w:lang w:eastAsia="en-GB"/>
              </w:rPr>
              <w:t xml:space="preserve">140.9 </w:t>
            </w:r>
          </w:p>
        </w:tc>
        <w:tc>
          <w:tcPr>
            <w:tcW w:w="1503" w:type="dxa"/>
            <w:gridSpan w:val="2"/>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7058D0" w:rsidRDefault="007058D0" w:rsidP="007B70DC">
            <w:pPr>
              <w:jc w:val="right"/>
              <w:rPr>
                <w:b/>
                <w:bCs/>
                <w:color w:val="000000"/>
                <w:sz w:val="20"/>
                <w:szCs w:val="20"/>
                <w:lang w:eastAsia="en-GB"/>
              </w:rPr>
            </w:pPr>
            <w:r>
              <w:rPr>
                <w:b/>
                <w:bCs/>
                <w:color w:val="000000"/>
                <w:sz w:val="20"/>
                <w:szCs w:val="20"/>
                <w:lang w:eastAsia="en-GB"/>
              </w:rPr>
              <w:t xml:space="preserve">14.4 </w:t>
            </w:r>
          </w:p>
        </w:tc>
      </w:tr>
      <w:tr w:rsidR="007058D0" w:rsidTr="00891A96">
        <w:trPr>
          <w:trHeight w:val="211"/>
        </w:trPr>
        <w:tc>
          <w:tcPr>
            <w:tcW w:w="4058" w:type="dxa"/>
            <w:tcBorders>
              <w:top w:val="single" w:sz="8" w:space="0" w:color="auto"/>
              <w:left w:val="single" w:sz="8" w:space="0" w:color="auto"/>
              <w:bottom w:val="nil"/>
              <w:right w:val="nil"/>
            </w:tcBorders>
            <w:shd w:val="clear" w:color="auto" w:fill="FFFFFF"/>
            <w:noWrap/>
            <w:tcMar>
              <w:top w:w="0" w:type="dxa"/>
              <w:left w:w="108" w:type="dxa"/>
              <w:bottom w:w="0" w:type="dxa"/>
              <w:right w:w="108" w:type="dxa"/>
            </w:tcMar>
            <w:vAlign w:val="bottom"/>
            <w:hideMark/>
          </w:tcPr>
          <w:p w:rsidR="007058D0" w:rsidRDefault="007058D0" w:rsidP="00891A96">
            <w:pPr>
              <w:rPr>
                <w:color w:val="000000"/>
                <w:sz w:val="20"/>
                <w:szCs w:val="20"/>
                <w:lang w:eastAsia="en-GB"/>
              </w:rPr>
            </w:pPr>
            <w:r>
              <w:rPr>
                <w:color w:val="000000"/>
                <w:sz w:val="20"/>
                <w:szCs w:val="20"/>
                <w:lang w:eastAsia="en-GB"/>
              </w:rPr>
              <w:t xml:space="preserve">Liabilities at Amortised Cost: </w:t>
            </w:r>
          </w:p>
        </w:tc>
        <w:tc>
          <w:tcPr>
            <w:tcW w:w="1494" w:type="dxa"/>
            <w:tcBorders>
              <w:top w:val="nil"/>
              <w:left w:val="single" w:sz="8" w:space="0" w:color="auto"/>
              <w:bottom w:val="nil"/>
              <w:right w:val="nil"/>
            </w:tcBorders>
            <w:shd w:val="clear" w:color="auto" w:fill="FFFFFF"/>
            <w:noWrap/>
            <w:tcMar>
              <w:top w:w="0" w:type="dxa"/>
              <w:left w:w="108" w:type="dxa"/>
              <w:bottom w:w="0" w:type="dxa"/>
              <w:right w:w="108" w:type="dxa"/>
            </w:tcMar>
            <w:vAlign w:val="bottom"/>
            <w:hideMark/>
          </w:tcPr>
          <w:p w:rsidR="007058D0" w:rsidRDefault="007058D0" w:rsidP="007B70DC">
            <w:pPr>
              <w:jc w:val="right"/>
              <w:rPr>
                <w:color w:val="000000"/>
                <w:sz w:val="20"/>
                <w:szCs w:val="20"/>
                <w:lang w:eastAsia="en-GB"/>
              </w:rPr>
            </w:pPr>
            <w:r>
              <w:rPr>
                <w:color w:val="000000"/>
                <w:sz w:val="20"/>
                <w:szCs w:val="20"/>
                <w:lang w:eastAsia="en-GB"/>
              </w:rPr>
              <w:t xml:space="preserve">-   </w:t>
            </w:r>
          </w:p>
        </w:tc>
        <w:tc>
          <w:tcPr>
            <w:tcW w:w="1494" w:type="dxa"/>
            <w:tcBorders>
              <w:top w:val="nil"/>
              <w:left w:val="nil"/>
              <w:bottom w:val="nil"/>
              <w:right w:val="single" w:sz="8" w:space="0" w:color="auto"/>
            </w:tcBorders>
            <w:shd w:val="clear" w:color="auto" w:fill="FFFFFF"/>
            <w:noWrap/>
            <w:tcMar>
              <w:top w:w="0" w:type="dxa"/>
              <w:left w:w="108" w:type="dxa"/>
              <w:bottom w:w="0" w:type="dxa"/>
              <w:right w:w="108" w:type="dxa"/>
            </w:tcMar>
            <w:vAlign w:val="bottom"/>
            <w:hideMark/>
          </w:tcPr>
          <w:p w:rsidR="007058D0" w:rsidRDefault="007058D0" w:rsidP="007B70DC">
            <w:pPr>
              <w:jc w:val="right"/>
              <w:rPr>
                <w:color w:val="000000"/>
                <w:sz w:val="20"/>
                <w:szCs w:val="20"/>
                <w:lang w:eastAsia="en-GB"/>
              </w:rPr>
            </w:pPr>
            <w:r>
              <w:rPr>
                <w:color w:val="000000"/>
                <w:sz w:val="20"/>
                <w:szCs w:val="20"/>
                <w:lang w:eastAsia="en-GB"/>
              </w:rPr>
              <w:t xml:space="preserve">-   </w:t>
            </w:r>
          </w:p>
        </w:tc>
        <w:tc>
          <w:tcPr>
            <w:tcW w:w="1502" w:type="dxa"/>
            <w:shd w:val="clear" w:color="auto" w:fill="FFFFFF"/>
            <w:noWrap/>
            <w:tcMar>
              <w:top w:w="0" w:type="dxa"/>
              <w:left w:w="108" w:type="dxa"/>
              <w:bottom w:w="0" w:type="dxa"/>
              <w:right w:w="108" w:type="dxa"/>
            </w:tcMar>
            <w:vAlign w:val="bottom"/>
            <w:hideMark/>
          </w:tcPr>
          <w:p w:rsidR="007058D0" w:rsidRDefault="007058D0" w:rsidP="007B70DC">
            <w:pPr>
              <w:jc w:val="right"/>
              <w:rPr>
                <w:color w:val="000000"/>
                <w:sz w:val="20"/>
                <w:szCs w:val="20"/>
                <w:lang w:eastAsia="en-GB"/>
              </w:rPr>
            </w:pPr>
            <w:r>
              <w:rPr>
                <w:color w:val="000000"/>
                <w:sz w:val="20"/>
                <w:szCs w:val="20"/>
                <w:lang w:eastAsia="en-GB"/>
              </w:rPr>
              <w:t xml:space="preserve">-   </w:t>
            </w:r>
          </w:p>
        </w:tc>
        <w:tc>
          <w:tcPr>
            <w:tcW w:w="1503" w:type="dxa"/>
            <w:gridSpan w:val="2"/>
            <w:tcBorders>
              <w:top w:val="nil"/>
              <w:left w:val="nil"/>
              <w:bottom w:val="nil"/>
              <w:right w:val="single" w:sz="8" w:space="0" w:color="auto"/>
            </w:tcBorders>
            <w:shd w:val="clear" w:color="auto" w:fill="FFFFFF"/>
            <w:noWrap/>
            <w:tcMar>
              <w:top w:w="0" w:type="dxa"/>
              <w:left w:w="108" w:type="dxa"/>
              <w:bottom w:w="0" w:type="dxa"/>
              <w:right w:w="108" w:type="dxa"/>
            </w:tcMar>
            <w:vAlign w:val="bottom"/>
            <w:hideMark/>
          </w:tcPr>
          <w:p w:rsidR="007058D0" w:rsidRDefault="007058D0" w:rsidP="007B70DC">
            <w:pPr>
              <w:jc w:val="right"/>
              <w:rPr>
                <w:color w:val="000000"/>
                <w:sz w:val="20"/>
                <w:szCs w:val="20"/>
                <w:lang w:eastAsia="en-GB"/>
              </w:rPr>
            </w:pPr>
            <w:r>
              <w:rPr>
                <w:color w:val="000000"/>
                <w:sz w:val="20"/>
                <w:szCs w:val="20"/>
                <w:lang w:eastAsia="en-GB"/>
              </w:rPr>
              <w:t xml:space="preserve">-   </w:t>
            </w:r>
          </w:p>
        </w:tc>
      </w:tr>
      <w:tr w:rsidR="007058D0" w:rsidTr="00891A96">
        <w:trPr>
          <w:trHeight w:val="211"/>
        </w:trPr>
        <w:tc>
          <w:tcPr>
            <w:tcW w:w="4058" w:type="dxa"/>
            <w:tcBorders>
              <w:top w:val="nil"/>
              <w:left w:val="single" w:sz="8" w:space="0" w:color="auto"/>
              <w:bottom w:val="nil"/>
              <w:right w:val="nil"/>
            </w:tcBorders>
            <w:shd w:val="clear" w:color="auto" w:fill="FFFFFF"/>
            <w:noWrap/>
            <w:tcMar>
              <w:top w:w="0" w:type="dxa"/>
              <w:left w:w="108" w:type="dxa"/>
              <w:bottom w:w="0" w:type="dxa"/>
              <w:right w:w="108" w:type="dxa"/>
            </w:tcMar>
            <w:vAlign w:val="bottom"/>
            <w:hideMark/>
          </w:tcPr>
          <w:p w:rsidR="007058D0" w:rsidRDefault="007058D0" w:rsidP="00891A96">
            <w:pPr>
              <w:rPr>
                <w:color w:val="000000"/>
                <w:sz w:val="20"/>
                <w:szCs w:val="20"/>
                <w:lang w:eastAsia="en-GB"/>
              </w:rPr>
            </w:pPr>
            <w:r>
              <w:rPr>
                <w:color w:val="000000"/>
                <w:sz w:val="20"/>
                <w:szCs w:val="20"/>
                <w:lang w:eastAsia="en-GB"/>
              </w:rPr>
              <w:t> - Finance Leases</w:t>
            </w:r>
          </w:p>
        </w:tc>
        <w:tc>
          <w:tcPr>
            <w:tcW w:w="1494" w:type="dxa"/>
            <w:tcBorders>
              <w:top w:val="nil"/>
              <w:left w:val="single" w:sz="8" w:space="0" w:color="auto"/>
              <w:bottom w:val="nil"/>
              <w:right w:val="nil"/>
            </w:tcBorders>
            <w:shd w:val="clear" w:color="auto" w:fill="FFFFFF"/>
            <w:noWrap/>
            <w:tcMar>
              <w:top w:w="0" w:type="dxa"/>
              <w:left w:w="108" w:type="dxa"/>
              <w:bottom w:w="0" w:type="dxa"/>
              <w:right w:w="108" w:type="dxa"/>
            </w:tcMar>
            <w:vAlign w:val="bottom"/>
            <w:hideMark/>
          </w:tcPr>
          <w:p w:rsidR="007058D0" w:rsidRDefault="007058D0" w:rsidP="007B70DC">
            <w:pPr>
              <w:jc w:val="right"/>
              <w:rPr>
                <w:color w:val="000000"/>
                <w:sz w:val="20"/>
                <w:szCs w:val="20"/>
                <w:lang w:eastAsia="en-GB"/>
              </w:rPr>
            </w:pPr>
            <w:r>
              <w:rPr>
                <w:color w:val="000000"/>
                <w:sz w:val="20"/>
                <w:szCs w:val="20"/>
                <w:lang w:eastAsia="en-GB"/>
              </w:rPr>
              <w:t xml:space="preserve">2.4 </w:t>
            </w:r>
          </w:p>
        </w:tc>
        <w:tc>
          <w:tcPr>
            <w:tcW w:w="1494" w:type="dxa"/>
            <w:tcBorders>
              <w:top w:val="nil"/>
              <w:left w:val="nil"/>
              <w:bottom w:val="nil"/>
              <w:right w:val="single" w:sz="8" w:space="0" w:color="auto"/>
            </w:tcBorders>
            <w:shd w:val="clear" w:color="auto" w:fill="FFFFFF"/>
            <w:noWrap/>
            <w:tcMar>
              <w:top w:w="0" w:type="dxa"/>
              <w:left w:w="108" w:type="dxa"/>
              <w:bottom w:w="0" w:type="dxa"/>
              <w:right w:w="108" w:type="dxa"/>
            </w:tcMar>
            <w:vAlign w:val="bottom"/>
            <w:hideMark/>
          </w:tcPr>
          <w:p w:rsidR="007058D0" w:rsidRDefault="007058D0" w:rsidP="007B70DC">
            <w:pPr>
              <w:ind w:left="424"/>
              <w:jc w:val="right"/>
              <w:rPr>
                <w:color w:val="000000"/>
                <w:sz w:val="20"/>
                <w:szCs w:val="20"/>
                <w:lang w:eastAsia="en-GB"/>
              </w:rPr>
            </w:pPr>
            <w:r>
              <w:rPr>
                <w:color w:val="000000"/>
                <w:sz w:val="20"/>
                <w:szCs w:val="20"/>
                <w:lang w:eastAsia="en-GB"/>
              </w:rPr>
              <w:t xml:space="preserve">3.6 </w:t>
            </w:r>
          </w:p>
        </w:tc>
        <w:tc>
          <w:tcPr>
            <w:tcW w:w="1502" w:type="dxa"/>
            <w:shd w:val="clear" w:color="auto" w:fill="FFFFFF"/>
            <w:noWrap/>
            <w:tcMar>
              <w:top w:w="0" w:type="dxa"/>
              <w:left w:w="108" w:type="dxa"/>
              <w:bottom w:w="0" w:type="dxa"/>
              <w:right w:w="108" w:type="dxa"/>
            </w:tcMar>
            <w:vAlign w:val="bottom"/>
            <w:hideMark/>
          </w:tcPr>
          <w:p w:rsidR="007058D0" w:rsidRDefault="007058D0" w:rsidP="007B70DC">
            <w:pPr>
              <w:ind w:left="461"/>
              <w:jc w:val="right"/>
              <w:rPr>
                <w:color w:val="000000"/>
                <w:sz w:val="20"/>
                <w:szCs w:val="20"/>
                <w:lang w:eastAsia="en-GB"/>
              </w:rPr>
            </w:pPr>
            <w:r>
              <w:rPr>
                <w:color w:val="000000"/>
                <w:sz w:val="20"/>
                <w:szCs w:val="20"/>
                <w:lang w:eastAsia="en-GB"/>
              </w:rPr>
              <w:t xml:space="preserve">-   </w:t>
            </w:r>
          </w:p>
        </w:tc>
        <w:tc>
          <w:tcPr>
            <w:tcW w:w="1503" w:type="dxa"/>
            <w:gridSpan w:val="2"/>
            <w:tcBorders>
              <w:top w:val="nil"/>
              <w:left w:val="nil"/>
              <w:bottom w:val="nil"/>
              <w:right w:val="single" w:sz="8" w:space="0" w:color="auto"/>
            </w:tcBorders>
            <w:shd w:val="clear" w:color="auto" w:fill="FFFFFF"/>
            <w:noWrap/>
            <w:tcMar>
              <w:top w:w="0" w:type="dxa"/>
              <w:left w:w="108" w:type="dxa"/>
              <w:bottom w:w="0" w:type="dxa"/>
              <w:right w:w="108" w:type="dxa"/>
            </w:tcMar>
            <w:vAlign w:val="bottom"/>
            <w:hideMark/>
          </w:tcPr>
          <w:p w:rsidR="007058D0" w:rsidRDefault="007058D0" w:rsidP="007B70DC">
            <w:pPr>
              <w:ind w:left="504"/>
              <w:jc w:val="right"/>
              <w:rPr>
                <w:color w:val="000000"/>
                <w:sz w:val="20"/>
                <w:szCs w:val="20"/>
                <w:lang w:eastAsia="en-GB"/>
              </w:rPr>
            </w:pPr>
            <w:r>
              <w:rPr>
                <w:color w:val="000000"/>
                <w:sz w:val="20"/>
                <w:szCs w:val="20"/>
                <w:lang w:eastAsia="en-GB"/>
              </w:rPr>
              <w:t xml:space="preserve">-   </w:t>
            </w:r>
          </w:p>
        </w:tc>
      </w:tr>
      <w:tr w:rsidR="007058D0" w:rsidTr="00891A96">
        <w:trPr>
          <w:trHeight w:val="222"/>
        </w:trPr>
        <w:tc>
          <w:tcPr>
            <w:tcW w:w="4058" w:type="dxa"/>
            <w:tcBorders>
              <w:top w:val="nil"/>
              <w:left w:val="single" w:sz="8" w:space="0" w:color="auto"/>
              <w:bottom w:val="nil"/>
              <w:right w:val="nil"/>
            </w:tcBorders>
            <w:shd w:val="clear" w:color="auto" w:fill="FFFFFF"/>
            <w:noWrap/>
            <w:tcMar>
              <w:top w:w="0" w:type="dxa"/>
              <w:left w:w="108" w:type="dxa"/>
              <w:bottom w:w="0" w:type="dxa"/>
              <w:right w:w="108" w:type="dxa"/>
            </w:tcMar>
            <w:vAlign w:val="bottom"/>
            <w:hideMark/>
          </w:tcPr>
          <w:p w:rsidR="007058D0" w:rsidRDefault="007058D0" w:rsidP="00891A96">
            <w:pPr>
              <w:rPr>
                <w:color w:val="000000"/>
                <w:sz w:val="20"/>
                <w:szCs w:val="20"/>
                <w:lang w:eastAsia="en-GB"/>
              </w:rPr>
            </w:pPr>
            <w:r>
              <w:rPr>
                <w:color w:val="000000"/>
                <w:sz w:val="20"/>
                <w:szCs w:val="20"/>
                <w:lang w:eastAsia="en-GB"/>
              </w:rPr>
              <w:t> - PFI Arrangements</w:t>
            </w:r>
          </w:p>
        </w:tc>
        <w:tc>
          <w:tcPr>
            <w:tcW w:w="1494" w:type="dxa"/>
            <w:tcBorders>
              <w:top w:val="nil"/>
              <w:left w:val="single" w:sz="8" w:space="0" w:color="auto"/>
              <w:bottom w:val="nil"/>
              <w:right w:val="nil"/>
            </w:tcBorders>
            <w:shd w:val="clear" w:color="auto" w:fill="FFFFFF"/>
            <w:noWrap/>
            <w:tcMar>
              <w:top w:w="0" w:type="dxa"/>
              <w:left w:w="108" w:type="dxa"/>
              <w:bottom w:w="0" w:type="dxa"/>
              <w:right w:w="108" w:type="dxa"/>
            </w:tcMar>
            <w:vAlign w:val="bottom"/>
            <w:hideMark/>
          </w:tcPr>
          <w:p w:rsidR="007058D0" w:rsidRDefault="007058D0" w:rsidP="007B70DC">
            <w:pPr>
              <w:jc w:val="right"/>
              <w:rPr>
                <w:color w:val="000000"/>
                <w:sz w:val="20"/>
                <w:szCs w:val="20"/>
                <w:lang w:eastAsia="en-GB"/>
              </w:rPr>
            </w:pPr>
            <w:r>
              <w:rPr>
                <w:color w:val="000000"/>
                <w:sz w:val="20"/>
                <w:szCs w:val="20"/>
                <w:lang w:eastAsia="en-GB"/>
              </w:rPr>
              <w:t xml:space="preserve">23.5 </w:t>
            </w:r>
          </w:p>
        </w:tc>
        <w:tc>
          <w:tcPr>
            <w:tcW w:w="1494" w:type="dxa"/>
            <w:tcBorders>
              <w:top w:val="nil"/>
              <w:left w:val="nil"/>
              <w:bottom w:val="nil"/>
              <w:right w:val="single" w:sz="8" w:space="0" w:color="auto"/>
            </w:tcBorders>
            <w:shd w:val="clear" w:color="auto" w:fill="FFFFFF"/>
            <w:noWrap/>
            <w:tcMar>
              <w:top w:w="0" w:type="dxa"/>
              <w:left w:w="108" w:type="dxa"/>
              <w:bottom w:w="0" w:type="dxa"/>
              <w:right w:w="108" w:type="dxa"/>
            </w:tcMar>
            <w:vAlign w:val="bottom"/>
            <w:hideMark/>
          </w:tcPr>
          <w:p w:rsidR="007058D0" w:rsidRDefault="007058D0" w:rsidP="007B70DC">
            <w:pPr>
              <w:jc w:val="right"/>
              <w:rPr>
                <w:color w:val="000000"/>
                <w:sz w:val="20"/>
                <w:szCs w:val="20"/>
                <w:lang w:eastAsia="en-GB"/>
              </w:rPr>
            </w:pPr>
            <w:r>
              <w:rPr>
                <w:color w:val="000000"/>
                <w:sz w:val="20"/>
                <w:szCs w:val="20"/>
                <w:lang w:eastAsia="en-GB"/>
              </w:rPr>
              <w:t xml:space="preserve">24.7 </w:t>
            </w:r>
          </w:p>
        </w:tc>
        <w:tc>
          <w:tcPr>
            <w:tcW w:w="1502" w:type="dxa"/>
            <w:shd w:val="clear" w:color="auto" w:fill="FFFFFF"/>
            <w:noWrap/>
            <w:tcMar>
              <w:top w:w="0" w:type="dxa"/>
              <w:left w:w="108" w:type="dxa"/>
              <w:bottom w:w="0" w:type="dxa"/>
              <w:right w:w="108" w:type="dxa"/>
            </w:tcMar>
            <w:vAlign w:val="bottom"/>
            <w:hideMark/>
          </w:tcPr>
          <w:p w:rsidR="007058D0" w:rsidRDefault="007058D0" w:rsidP="007B70DC">
            <w:pPr>
              <w:jc w:val="right"/>
              <w:rPr>
                <w:color w:val="000000"/>
                <w:sz w:val="20"/>
                <w:szCs w:val="20"/>
                <w:lang w:eastAsia="en-GB"/>
              </w:rPr>
            </w:pPr>
            <w:r>
              <w:rPr>
                <w:color w:val="000000"/>
                <w:sz w:val="20"/>
                <w:szCs w:val="20"/>
                <w:lang w:eastAsia="en-GB"/>
              </w:rPr>
              <w:t xml:space="preserve">-   </w:t>
            </w:r>
          </w:p>
        </w:tc>
        <w:tc>
          <w:tcPr>
            <w:tcW w:w="1503" w:type="dxa"/>
            <w:gridSpan w:val="2"/>
            <w:tcBorders>
              <w:top w:val="nil"/>
              <w:left w:val="nil"/>
              <w:bottom w:val="nil"/>
              <w:right w:val="single" w:sz="8" w:space="0" w:color="auto"/>
            </w:tcBorders>
            <w:shd w:val="clear" w:color="auto" w:fill="FFFFFF"/>
            <w:noWrap/>
            <w:tcMar>
              <w:top w:w="0" w:type="dxa"/>
              <w:left w:w="108" w:type="dxa"/>
              <w:bottom w:w="0" w:type="dxa"/>
              <w:right w:w="108" w:type="dxa"/>
            </w:tcMar>
            <w:vAlign w:val="bottom"/>
            <w:hideMark/>
          </w:tcPr>
          <w:p w:rsidR="007058D0" w:rsidRDefault="007058D0" w:rsidP="007B70DC">
            <w:pPr>
              <w:jc w:val="right"/>
              <w:rPr>
                <w:color w:val="000000"/>
                <w:sz w:val="20"/>
                <w:szCs w:val="20"/>
                <w:lang w:eastAsia="en-GB"/>
              </w:rPr>
            </w:pPr>
            <w:r>
              <w:rPr>
                <w:color w:val="000000"/>
                <w:sz w:val="20"/>
                <w:szCs w:val="20"/>
                <w:lang w:eastAsia="en-GB"/>
              </w:rPr>
              <w:t xml:space="preserve">-   </w:t>
            </w:r>
          </w:p>
        </w:tc>
      </w:tr>
      <w:tr w:rsidR="007058D0" w:rsidTr="00891A96">
        <w:trPr>
          <w:trHeight w:val="222"/>
        </w:trPr>
        <w:tc>
          <w:tcPr>
            <w:tcW w:w="4058" w:type="dxa"/>
            <w:tcBorders>
              <w:top w:val="nil"/>
              <w:left w:val="single" w:sz="8" w:space="0" w:color="auto"/>
              <w:bottom w:val="single" w:sz="8" w:space="0" w:color="auto"/>
              <w:right w:val="nil"/>
            </w:tcBorders>
            <w:shd w:val="clear" w:color="auto" w:fill="FFFFFF"/>
            <w:noWrap/>
            <w:tcMar>
              <w:top w:w="0" w:type="dxa"/>
              <w:left w:w="108" w:type="dxa"/>
              <w:bottom w:w="0" w:type="dxa"/>
              <w:right w:w="108" w:type="dxa"/>
            </w:tcMar>
            <w:vAlign w:val="bottom"/>
            <w:hideMark/>
          </w:tcPr>
          <w:p w:rsidR="007058D0" w:rsidRDefault="007058D0" w:rsidP="00891A96">
            <w:pPr>
              <w:rPr>
                <w:color w:val="000000"/>
                <w:sz w:val="20"/>
                <w:szCs w:val="20"/>
                <w:lang w:eastAsia="en-GB"/>
              </w:rPr>
            </w:pPr>
            <w:r>
              <w:rPr>
                <w:color w:val="000000"/>
                <w:sz w:val="20"/>
                <w:szCs w:val="20"/>
                <w:lang w:eastAsia="en-GB"/>
              </w:rPr>
              <w:t>- Other</w:t>
            </w:r>
          </w:p>
        </w:tc>
        <w:tc>
          <w:tcPr>
            <w:tcW w:w="1494" w:type="dxa"/>
            <w:tcBorders>
              <w:top w:val="nil"/>
              <w:left w:val="single" w:sz="8" w:space="0" w:color="auto"/>
              <w:bottom w:val="nil"/>
              <w:right w:val="nil"/>
            </w:tcBorders>
            <w:shd w:val="clear" w:color="auto" w:fill="FFFFFF"/>
            <w:noWrap/>
            <w:tcMar>
              <w:top w:w="0" w:type="dxa"/>
              <w:left w:w="108" w:type="dxa"/>
              <w:bottom w:w="0" w:type="dxa"/>
              <w:right w:w="108" w:type="dxa"/>
            </w:tcMar>
            <w:vAlign w:val="bottom"/>
            <w:hideMark/>
          </w:tcPr>
          <w:p w:rsidR="007058D0" w:rsidRDefault="007058D0" w:rsidP="007B70DC">
            <w:pPr>
              <w:jc w:val="right"/>
              <w:rPr>
                <w:color w:val="000000"/>
                <w:sz w:val="20"/>
                <w:szCs w:val="20"/>
                <w:lang w:eastAsia="en-GB"/>
              </w:rPr>
            </w:pPr>
            <w:r>
              <w:rPr>
                <w:color w:val="000000"/>
                <w:sz w:val="20"/>
                <w:szCs w:val="20"/>
                <w:lang w:eastAsia="en-GB"/>
              </w:rPr>
              <w:t xml:space="preserve">4.0 </w:t>
            </w:r>
          </w:p>
        </w:tc>
        <w:tc>
          <w:tcPr>
            <w:tcW w:w="1494" w:type="dxa"/>
            <w:tcBorders>
              <w:top w:val="nil"/>
              <w:left w:val="nil"/>
              <w:bottom w:val="nil"/>
              <w:right w:val="single" w:sz="8" w:space="0" w:color="auto"/>
            </w:tcBorders>
            <w:shd w:val="clear" w:color="auto" w:fill="FFFFFF"/>
            <w:noWrap/>
            <w:tcMar>
              <w:top w:w="0" w:type="dxa"/>
              <w:left w:w="108" w:type="dxa"/>
              <w:bottom w:w="0" w:type="dxa"/>
              <w:right w:w="108" w:type="dxa"/>
            </w:tcMar>
            <w:vAlign w:val="bottom"/>
            <w:hideMark/>
          </w:tcPr>
          <w:p w:rsidR="007058D0" w:rsidRDefault="007058D0" w:rsidP="007B70DC">
            <w:pPr>
              <w:jc w:val="right"/>
              <w:rPr>
                <w:color w:val="000000"/>
                <w:sz w:val="20"/>
                <w:szCs w:val="20"/>
                <w:lang w:eastAsia="en-GB"/>
              </w:rPr>
            </w:pPr>
            <w:r>
              <w:rPr>
                <w:color w:val="000000"/>
                <w:sz w:val="20"/>
                <w:szCs w:val="20"/>
                <w:lang w:eastAsia="en-GB"/>
              </w:rPr>
              <w:t xml:space="preserve">4.9 </w:t>
            </w:r>
          </w:p>
        </w:tc>
        <w:tc>
          <w:tcPr>
            <w:tcW w:w="1502" w:type="dxa"/>
            <w:shd w:val="clear" w:color="auto" w:fill="FFFFFF"/>
            <w:noWrap/>
            <w:tcMar>
              <w:top w:w="0" w:type="dxa"/>
              <w:left w:w="108" w:type="dxa"/>
              <w:bottom w:w="0" w:type="dxa"/>
              <w:right w:w="108" w:type="dxa"/>
            </w:tcMar>
            <w:vAlign w:val="bottom"/>
            <w:hideMark/>
          </w:tcPr>
          <w:p w:rsidR="007058D0" w:rsidRDefault="007058D0" w:rsidP="007B70DC">
            <w:pPr>
              <w:jc w:val="right"/>
              <w:rPr>
                <w:color w:val="000000"/>
                <w:sz w:val="20"/>
                <w:szCs w:val="20"/>
                <w:lang w:eastAsia="en-GB"/>
              </w:rPr>
            </w:pPr>
            <w:r>
              <w:rPr>
                <w:color w:val="000000"/>
                <w:sz w:val="20"/>
                <w:szCs w:val="20"/>
                <w:lang w:eastAsia="en-GB"/>
              </w:rPr>
              <w:t xml:space="preserve">-   </w:t>
            </w:r>
          </w:p>
        </w:tc>
        <w:tc>
          <w:tcPr>
            <w:tcW w:w="1503" w:type="dxa"/>
            <w:gridSpan w:val="2"/>
            <w:tcBorders>
              <w:top w:val="nil"/>
              <w:left w:val="nil"/>
              <w:bottom w:val="nil"/>
              <w:right w:val="single" w:sz="8" w:space="0" w:color="auto"/>
            </w:tcBorders>
            <w:shd w:val="clear" w:color="auto" w:fill="FFFFFF"/>
            <w:noWrap/>
            <w:tcMar>
              <w:top w:w="0" w:type="dxa"/>
              <w:left w:w="108" w:type="dxa"/>
              <w:bottom w:w="0" w:type="dxa"/>
              <w:right w:w="108" w:type="dxa"/>
            </w:tcMar>
            <w:vAlign w:val="bottom"/>
            <w:hideMark/>
          </w:tcPr>
          <w:p w:rsidR="007058D0" w:rsidRDefault="007058D0" w:rsidP="007B70DC">
            <w:pPr>
              <w:ind w:left="504"/>
              <w:jc w:val="right"/>
              <w:rPr>
                <w:color w:val="000000"/>
                <w:sz w:val="20"/>
                <w:szCs w:val="20"/>
                <w:lang w:eastAsia="en-GB"/>
              </w:rPr>
            </w:pPr>
            <w:r>
              <w:rPr>
                <w:color w:val="000000"/>
                <w:sz w:val="20"/>
                <w:szCs w:val="20"/>
                <w:lang w:eastAsia="en-GB"/>
              </w:rPr>
              <w:t xml:space="preserve">-   </w:t>
            </w:r>
          </w:p>
        </w:tc>
      </w:tr>
      <w:tr w:rsidR="007058D0" w:rsidTr="00891A96">
        <w:trPr>
          <w:trHeight w:val="211"/>
        </w:trPr>
        <w:tc>
          <w:tcPr>
            <w:tcW w:w="4058" w:type="dxa"/>
            <w:tcBorders>
              <w:top w:val="nil"/>
              <w:left w:val="single" w:sz="8" w:space="0" w:color="auto"/>
              <w:bottom w:val="single" w:sz="8" w:space="0" w:color="auto"/>
              <w:right w:val="nil"/>
            </w:tcBorders>
            <w:shd w:val="clear" w:color="auto" w:fill="FFFFFF"/>
            <w:noWrap/>
            <w:tcMar>
              <w:top w:w="0" w:type="dxa"/>
              <w:left w:w="108" w:type="dxa"/>
              <w:bottom w:w="0" w:type="dxa"/>
              <w:right w:w="108" w:type="dxa"/>
            </w:tcMar>
            <w:vAlign w:val="bottom"/>
            <w:hideMark/>
          </w:tcPr>
          <w:p w:rsidR="007058D0" w:rsidRDefault="007058D0" w:rsidP="00891A96">
            <w:pPr>
              <w:rPr>
                <w:b/>
                <w:bCs/>
                <w:color w:val="000000"/>
                <w:sz w:val="20"/>
                <w:szCs w:val="20"/>
                <w:lang w:eastAsia="en-GB"/>
              </w:rPr>
            </w:pPr>
            <w:r>
              <w:rPr>
                <w:b/>
                <w:bCs/>
                <w:color w:val="000000"/>
                <w:sz w:val="20"/>
                <w:szCs w:val="20"/>
                <w:lang w:eastAsia="en-GB"/>
              </w:rPr>
              <w:t>Total Other Long Term Liabilities</w:t>
            </w:r>
          </w:p>
        </w:tc>
        <w:tc>
          <w:tcPr>
            <w:tcW w:w="1494" w:type="dxa"/>
            <w:tcBorders>
              <w:top w:val="single" w:sz="8" w:space="0" w:color="auto"/>
              <w:left w:val="single" w:sz="8" w:space="0" w:color="auto"/>
              <w:bottom w:val="single" w:sz="8" w:space="0" w:color="auto"/>
              <w:right w:val="nil"/>
            </w:tcBorders>
            <w:shd w:val="clear" w:color="auto" w:fill="FFFFFF"/>
            <w:noWrap/>
            <w:tcMar>
              <w:top w:w="0" w:type="dxa"/>
              <w:left w:w="108" w:type="dxa"/>
              <w:bottom w:w="0" w:type="dxa"/>
              <w:right w:w="108" w:type="dxa"/>
            </w:tcMar>
            <w:vAlign w:val="bottom"/>
            <w:hideMark/>
          </w:tcPr>
          <w:p w:rsidR="007058D0" w:rsidRDefault="007058D0" w:rsidP="007B70DC">
            <w:pPr>
              <w:jc w:val="right"/>
              <w:rPr>
                <w:b/>
                <w:bCs/>
                <w:color w:val="000000"/>
                <w:sz w:val="20"/>
                <w:szCs w:val="20"/>
                <w:lang w:eastAsia="en-GB"/>
              </w:rPr>
            </w:pPr>
            <w:r>
              <w:rPr>
                <w:b/>
                <w:bCs/>
                <w:color w:val="000000"/>
                <w:sz w:val="20"/>
                <w:szCs w:val="20"/>
                <w:lang w:eastAsia="en-GB"/>
              </w:rPr>
              <w:t xml:space="preserve">30.0 </w:t>
            </w:r>
          </w:p>
        </w:tc>
        <w:tc>
          <w:tcPr>
            <w:tcW w:w="1494"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7058D0" w:rsidRDefault="007058D0" w:rsidP="007B70DC">
            <w:pPr>
              <w:jc w:val="right"/>
              <w:rPr>
                <w:b/>
                <w:bCs/>
                <w:color w:val="000000"/>
                <w:sz w:val="20"/>
                <w:szCs w:val="20"/>
                <w:lang w:eastAsia="en-GB"/>
              </w:rPr>
            </w:pPr>
            <w:r>
              <w:rPr>
                <w:b/>
                <w:bCs/>
                <w:color w:val="000000"/>
                <w:sz w:val="20"/>
                <w:szCs w:val="20"/>
                <w:lang w:eastAsia="en-GB"/>
              </w:rPr>
              <w:t xml:space="preserve">33.2 </w:t>
            </w:r>
          </w:p>
        </w:tc>
        <w:tc>
          <w:tcPr>
            <w:tcW w:w="1502" w:type="dxa"/>
            <w:tcBorders>
              <w:top w:val="single" w:sz="8" w:space="0" w:color="auto"/>
              <w:left w:val="nil"/>
              <w:bottom w:val="single" w:sz="8" w:space="0" w:color="auto"/>
              <w:right w:val="nil"/>
            </w:tcBorders>
            <w:shd w:val="clear" w:color="auto" w:fill="FFFFFF"/>
            <w:noWrap/>
            <w:tcMar>
              <w:top w:w="0" w:type="dxa"/>
              <w:left w:w="108" w:type="dxa"/>
              <w:bottom w:w="0" w:type="dxa"/>
              <w:right w:w="108" w:type="dxa"/>
            </w:tcMar>
            <w:vAlign w:val="bottom"/>
            <w:hideMark/>
          </w:tcPr>
          <w:p w:rsidR="007058D0" w:rsidRDefault="007058D0" w:rsidP="007B70DC">
            <w:pPr>
              <w:jc w:val="right"/>
              <w:rPr>
                <w:b/>
                <w:bCs/>
                <w:color w:val="000000"/>
                <w:sz w:val="20"/>
                <w:szCs w:val="20"/>
                <w:lang w:eastAsia="en-GB"/>
              </w:rPr>
            </w:pPr>
            <w:r>
              <w:rPr>
                <w:b/>
                <w:bCs/>
                <w:color w:val="000000"/>
                <w:sz w:val="20"/>
                <w:szCs w:val="20"/>
                <w:lang w:eastAsia="en-GB"/>
              </w:rPr>
              <w:t xml:space="preserve">-   </w:t>
            </w:r>
          </w:p>
        </w:tc>
        <w:tc>
          <w:tcPr>
            <w:tcW w:w="1503" w:type="dxa"/>
            <w:gridSpan w:val="2"/>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7058D0" w:rsidRDefault="007058D0" w:rsidP="007B70DC">
            <w:pPr>
              <w:jc w:val="right"/>
              <w:rPr>
                <w:b/>
                <w:bCs/>
                <w:color w:val="000000"/>
                <w:sz w:val="20"/>
                <w:szCs w:val="20"/>
                <w:lang w:eastAsia="en-GB"/>
              </w:rPr>
            </w:pPr>
            <w:r>
              <w:rPr>
                <w:b/>
                <w:bCs/>
                <w:color w:val="000000"/>
                <w:sz w:val="20"/>
                <w:szCs w:val="20"/>
                <w:lang w:eastAsia="en-GB"/>
              </w:rPr>
              <w:t xml:space="preserve">-   </w:t>
            </w:r>
          </w:p>
        </w:tc>
      </w:tr>
      <w:tr w:rsidR="007058D0" w:rsidTr="00891A96">
        <w:trPr>
          <w:trHeight w:val="211"/>
        </w:trPr>
        <w:tc>
          <w:tcPr>
            <w:tcW w:w="4058" w:type="dxa"/>
            <w:tcBorders>
              <w:top w:val="nil"/>
              <w:left w:val="single" w:sz="8" w:space="0" w:color="auto"/>
              <w:bottom w:val="nil"/>
              <w:right w:val="nil"/>
            </w:tcBorders>
            <w:shd w:val="clear" w:color="auto" w:fill="FFFFFF"/>
            <w:noWrap/>
            <w:tcMar>
              <w:top w:w="0" w:type="dxa"/>
              <w:left w:w="108" w:type="dxa"/>
              <w:bottom w:w="0" w:type="dxa"/>
              <w:right w:w="108" w:type="dxa"/>
            </w:tcMar>
            <w:vAlign w:val="bottom"/>
            <w:hideMark/>
          </w:tcPr>
          <w:p w:rsidR="007058D0" w:rsidRDefault="007058D0" w:rsidP="00891A96">
            <w:pPr>
              <w:rPr>
                <w:color w:val="000000"/>
                <w:sz w:val="20"/>
                <w:szCs w:val="20"/>
                <w:lang w:eastAsia="en-GB"/>
              </w:rPr>
            </w:pPr>
            <w:r>
              <w:rPr>
                <w:color w:val="000000"/>
                <w:sz w:val="20"/>
                <w:szCs w:val="20"/>
                <w:lang w:eastAsia="en-GB"/>
              </w:rPr>
              <w:t>Liabilities at Amortised Cost</w:t>
            </w:r>
          </w:p>
        </w:tc>
        <w:tc>
          <w:tcPr>
            <w:tcW w:w="1494" w:type="dxa"/>
            <w:tcBorders>
              <w:top w:val="nil"/>
              <w:left w:val="single" w:sz="8" w:space="0" w:color="auto"/>
              <w:bottom w:val="nil"/>
              <w:right w:val="nil"/>
            </w:tcBorders>
            <w:shd w:val="clear" w:color="auto" w:fill="FFFFFF"/>
            <w:noWrap/>
            <w:tcMar>
              <w:top w:w="0" w:type="dxa"/>
              <w:left w:w="108" w:type="dxa"/>
              <w:bottom w:w="0" w:type="dxa"/>
              <w:right w:w="108" w:type="dxa"/>
            </w:tcMar>
            <w:vAlign w:val="bottom"/>
            <w:hideMark/>
          </w:tcPr>
          <w:p w:rsidR="007058D0" w:rsidRDefault="007058D0" w:rsidP="007B70DC">
            <w:pPr>
              <w:jc w:val="right"/>
              <w:rPr>
                <w:color w:val="000000"/>
                <w:sz w:val="20"/>
                <w:szCs w:val="20"/>
                <w:lang w:eastAsia="en-GB"/>
              </w:rPr>
            </w:pPr>
            <w:r>
              <w:rPr>
                <w:color w:val="000000"/>
                <w:sz w:val="20"/>
                <w:szCs w:val="20"/>
                <w:lang w:eastAsia="en-GB"/>
              </w:rPr>
              <w:t xml:space="preserve">-   </w:t>
            </w:r>
          </w:p>
        </w:tc>
        <w:tc>
          <w:tcPr>
            <w:tcW w:w="1494" w:type="dxa"/>
            <w:tcBorders>
              <w:top w:val="nil"/>
              <w:left w:val="nil"/>
              <w:bottom w:val="nil"/>
              <w:right w:val="single" w:sz="8" w:space="0" w:color="auto"/>
            </w:tcBorders>
            <w:shd w:val="clear" w:color="auto" w:fill="FFFFFF"/>
            <w:noWrap/>
            <w:tcMar>
              <w:top w:w="0" w:type="dxa"/>
              <w:left w:w="108" w:type="dxa"/>
              <w:bottom w:w="0" w:type="dxa"/>
              <w:right w:w="108" w:type="dxa"/>
            </w:tcMar>
            <w:vAlign w:val="bottom"/>
            <w:hideMark/>
          </w:tcPr>
          <w:p w:rsidR="007058D0" w:rsidRDefault="007058D0" w:rsidP="007B70DC">
            <w:pPr>
              <w:jc w:val="right"/>
              <w:rPr>
                <w:color w:val="000000"/>
                <w:sz w:val="20"/>
                <w:szCs w:val="20"/>
                <w:lang w:eastAsia="en-GB"/>
              </w:rPr>
            </w:pPr>
            <w:r>
              <w:rPr>
                <w:color w:val="000000"/>
                <w:sz w:val="20"/>
                <w:szCs w:val="20"/>
                <w:lang w:eastAsia="en-GB"/>
              </w:rPr>
              <w:t xml:space="preserve">-   </w:t>
            </w:r>
          </w:p>
        </w:tc>
        <w:tc>
          <w:tcPr>
            <w:tcW w:w="1502" w:type="dxa"/>
            <w:shd w:val="clear" w:color="auto" w:fill="FFFFFF"/>
            <w:noWrap/>
            <w:tcMar>
              <w:top w:w="0" w:type="dxa"/>
              <w:left w:w="108" w:type="dxa"/>
              <w:bottom w:w="0" w:type="dxa"/>
              <w:right w:w="108" w:type="dxa"/>
            </w:tcMar>
            <w:vAlign w:val="bottom"/>
            <w:hideMark/>
          </w:tcPr>
          <w:p w:rsidR="007058D0" w:rsidRDefault="007058D0" w:rsidP="007B70DC">
            <w:pPr>
              <w:jc w:val="right"/>
              <w:rPr>
                <w:color w:val="000000"/>
                <w:sz w:val="20"/>
                <w:szCs w:val="20"/>
                <w:lang w:eastAsia="en-GB"/>
              </w:rPr>
            </w:pPr>
            <w:r>
              <w:rPr>
                <w:color w:val="000000"/>
                <w:sz w:val="20"/>
                <w:szCs w:val="20"/>
                <w:lang w:eastAsia="en-GB"/>
              </w:rPr>
              <w:t xml:space="preserve">-   </w:t>
            </w:r>
          </w:p>
        </w:tc>
        <w:tc>
          <w:tcPr>
            <w:tcW w:w="1503" w:type="dxa"/>
            <w:gridSpan w:val="2"/>
            <w:tcBorders>
              <w:top w:val="nil"/>
              <w:left w:val="nil"/>
              <w:bottom w:val="nil"/>
              <w:right w:val="single" w:sz="8" w:space="0" w:color="auto"/>
            </w:tcBorders>
            <w:shd w:val="clear" w:color="auto" w:fill="FFFFFF"/>
            <w:noWrap/>
            <w:tcMar>
              <w:top w:w="0" w:type="dxa"/>
              <w:left w:w="108" w:type="dxa"/>
              <w:bottom w:w="0" w:type="dxa"/>
              <w:right w:w="108" w:type="dxa"/>
            </w:tcMar>
            <w:vAlign w:val="bottom"/>
            <w:hideMark/>
          </w:tcPr>
          <w:p w:rsidR="007058D0" w:rsidRDefault="007058D0" w:rsidP="007B70DC">
            <w:pPr>
              <w:jc w:val="right"/>
              <w:rPr>
                <w:color w:val="000000"/>
                <w:sz w:val="20"/>
                <w:szCs w:val="20"/>
                <w:lang w:eastAsia="en-GB"/>
              </w:rPr>
            </w:pPr>
            <w:r>
              <w:rPr>
                <w:color w:val="000000"/>
                <w:sz w:val="20"/>
                <w:szCs w:val="20"/>
                <w:lang w:eastAsia="en-GB"/>
              </w:rPr>
              <w:t xml:space="preserve">-   </w:t>
            </w:r>
          </w:p>
        </w:tc>
      </w:tr>
      <w:tr w:rsidR="007058D0" w:rsidRPr="00500991" w:rsidTr="00891A96">
        <w:trPr>
          <w:trHeight w:val="211"/>
        </w:trPr>
        <w:tc>
          <w:tcPr>
            <w:tcW w:w="4058" w:type="dxa"/>
            <w:tcBorders>
              <w:top w:val="nil"/>
              <w:left w:val="single" w:sz="8" w:space="0" w:color="auto"/>
              <w:bottom w:val="nil"/>
              <w:right w:val="nil"/>
            </w:tcBorders>
            <w:shd w:val="clear" w:color="auto" w:fill="FFFFFF"/>
            <w:noWrap/>
            <w:tcMar>
              <w:top w:w="0" w:type="dxa"/>
              <w:left w:w="108" w:type="dxa"/>
              <w:bottom w:w="0" w:type="dxa"/>
              <w:right w:w="108" w:type="dxa"/>
            </w:tcMar>
            <w:vAlign w:val="bottom"/>
            <w:hideMark/>
          </w:tcPr>
          <w:p w:rsidR="007058D0" w:rsidRPr="00500991" w:rsidRDefault="007058D0" w:rsidP="00891A96">
            <w:pPr>
              <w:rPr>
                <w:color w:val="000000"/>
                <w:sz w:val="20"/>
                <w:szCs w:val="20"/>
                <w:lang w:eastAsia="en-GB"/>
              </w:rPr>
            </w:pPr>
            <w:r w:rsidRPr="00500991">
              <w:rPr>
                <w:color w:val="000000"/>
                <w:sz w:val="20"/>
                <w:szCs w:val="20"/>
                <w:lang w:eastAsia="en-GB"/>
              </w:rPr>
              <w:t>Trade Payables</w:t>
            </w:r>
          </w:p>
        </w:tc>
        <w:tc>
          <w:tcPr>
            <w:tcW w:w="1494" w:type="dxa"/>
            <w:tcBorders>
              <w:top w:val="nil"/>
              <w:left w:val="single" w:sz="8" w:space="0" w:color="auto"/>
              <w:bottom w:val="nil"/>
              <w:right w:val="nil"/>
            </w:tcBorders>
            <w:shd w:val="clear" w:color="auto" w:fill="FFFFFF"/>
            <w:noWrap/>
            <w:tcMar>
              <w:top w:w="0" w:type="dxa"/>
              <w:left w:w="108" w:type="dxa"/>
              <w:bottom w:w="0" w:type="dxa"/>
              <w:right w:w="108" w:type="dxa"/>
            </w:tcMar>
            <w:vAlign w:val="bottom"/>
            <w:hideMark/>
          </w:tcPr>
          <w:p w:rsidR="007058D0" w:rsidRPr="00500991" w:rsidRDefault="007058D0" w:rsidP="007B70DC">
            <w:pPr>
              <w:jc w:val="right"/>
              <w:rPr>
                <w:color w:val="000000"/>
                <w:sz w:val="20"/>
                <w:szCs w:val="20"/>
                <w:lang w:eastAsia="en-GB"/>
              </w:rPr>
            </w:pPr>
            <w:r w:rsidRPr="00500991">
              <w:rPr>
                <w:color w:val="000000"/>
                <w:sz w:val="20"/>
                <w:szCs w:val="20"/>
                <w:lang w:eastAsia="en-GB"/>
              </w:rPr>
              <w:t xml:space="preserve">-   </w:t>
            </w:r>
          </w:p>
        </w:tc>
        <w:tc>
          <w:tcPr>
            <w:tcW w:w="1494" w:type="dxa"/>
            <w:tcBorders>
              <w:top w:val="nil"/>
              <w:left w:val="nil"/>
              <w:bottom w:val="nil"/>
              <w:right w:val="single" w:sz="8" w:space="0" w:color="auto"/>
            </w:tcBorders>
            <w:shd w:val="clear" w:color="auto" w:fill="FFFFFF"/>
            <w:noWrap/>
            <w:tcMar>
              <w:top w:w="0" w:type="dxa"/>
              <w:left w:w="108" w:type="dxa"/>
              <w:bottom w:w="0" w:type="dxa"/>
              <w:right w:w="108" w:type="dxa"/>
            </w:tcMar>
            <w:vAlign w:val="bottom"/>
            <w:hideMark/>
          </w:tcPr>
          <w:p w:rsidR="007058D0" w:rsidRPr="00500991" w:rsidRDefault="007058D0" w:rsidP="007B70DC">
            <w:pPr>
              <w:jc w:val="right"/>
              <w:rPr>
                <w:color w:val="000000"/>
                <w:sz w:val="20"/>
                <w:szCs w:val="20"/>
                <w:lang w:eastAsia="en-GB"/>
              </w:rPr>
            </w:pPr>
            <w:r w:rsidRPr="00500991">
              <w:rPr>
                <w:color w:val="000000"/>
                <w:sz w:val="20"/>
                <w:szCs w:val="20"/>
                <w:lang w:eastAsia="en-GB"/>
              </w:rPr>
              <w:t xml:space="preserve">-   </w:t>
            </w:r>
          </w:p>
        </w:tc>
        <w:tc>
          <w:tcPr>
            <w:tcW w:w="1502" w:type="dxa"/>
            <w:shd w:val="clear" w:color="auto" w:fill="FFFFFF"/>
            <w:noWrap/>
            <w:tcMar>
              <w:top w:w="0" w:type="dxa"/>
              <w:left w:w="108" w:type="dxa"/>
              <w:bottom w:w="0" w:type="dxa"/>
              <w:right w:w="108" w:type="dxa"/>
            </w:tcMar>
            <w:vAlign w:val="bottom"/>
            <w:hideMark/>
          </w:tcPr>
          <w:p w:rsidR="007058D0" w:rsidRPr="00500991" w:rsidRDefault="007058D0" w:rsidP="007B70DC">
            <w:pPr>
              <w:jc w:val="right"/>
              <w:rPr>
                <w:color w:val="000000"/>
                <w:sz w:val="20"/>
                <w:szCs w:val="20"/>
                <w:lang w:eastAsia="en-GB"/>
              </w:rPr>
            </w:pPr>
            <w:r w:rsidRPr="00500991">
              <w:rPr>
                <w:color w:val="000000"/>
                <w:sz w:val="20"/>
                <w:szCs w:val="20"/>
                <w:lang w:eastAsia="en-GB"/>
              </w:rPr>
              <w:t xml:space="preserve">125.0 </w:t>
            </w:r>
          </w:p>
        </w:tc>
        <w:tc>
          <w:tcPr>
            <w:tcW w:w="1503" w:type="dxa"/>
            <w:gridSpan w:val="2"/>
            <w:tcBorders>
              <w:top w:val="nil"/>
              <w:left w:val="nil"/>
              <w:bottom w:val="nil"/>
              <w:right w:val="single" w:sz="8" w:space="0" w:color="auto"/>
            </w:tcBorders>
            <w:shd w:val="clear" w:color="auto" w:fill="FFFFFF"/>
            <w:noWrap/>
            <w:tcMar>
              <w:top w:w="0" w:type="dxa"/>
              <w:left w:w="108" w:type="dxa"/>
              <w:bottom w:w="0" w:type="dxa"/>
              <w:right w:w="108" w:type="dxa"/>
            </w:tcMar>
            <w:vAlign w:val="bottom"/>
            <w:hideMark/>
          </w:tcPr>
          <w:p w:rsidR="007058D0" w:rsidRPr="00500991" w:rsidRDefault="007058D0" w:rsidP="007B70DC">
            <w:pPr>
              <w:jc w:val="right"/>
              <w:rPr>
                <w:color w:val="000000"/>
                <w:sz w:val="20"/>
                <w:szCs w:val="20"/>
                <w:lang w:eastAsia="en-GB"/>
              </w:rPr>
            </w:pPr>
            <w:r w:rsidRPr="00500991">
              <w:rPr>
                <w:color w:val="000000"/>
                <w:sz w:val="20"/>
                <w:szCs w:val="20"/>
                <w:lang w:eastAsia="en-GB"/>
              </w:rPr>
              <w:t xml:space="preserve">143.9 </w:t>
            </w:r>
          </w:p>
        </w:tc>
      </w:tr>
      <w:tr w:rsidR="007058D0" w:rsidRPr="00500991" w:rsidTr="00891A96">
        <w:trPr>
          <w:trHeight w:val="211"/>
        </w:trPr>
        <w:tc>
          <w:tcPr>
            <w:tcW w:w="4058" w:type="dxa"/>
            <w:tcBorders>
              <w:top w:val="nil"/>
              <w:left w:val="single" w:sz="8" w:space="0" w:color="auto"/>
              <w:bottom w:val="nil"/>
              <w:right w:val="nil"/>
            </w:tcBorders>
            <w:shd w:val="clear" w:color="auto" w:fill="FFFFFF"/>
            <w:noWrap/>
            <w:tcMar>
              <w:top w:w="0" w:type="dxa"/>
              <w:left w:w="108" w:type="dxa"/>
              <w:bottom w:w="0" w:type="dxa"/>
              <w:right w:w="108" w:type="dxa"/>
            </w:tcMar>
            <w:vAlign w:val="bottom"/>
            <w:hideMark/>
          </w:tcPr>
          <w:p w:rsidR="007058D0" w:rsidRPr="00500991" w:rsidRDefault="007058D0" w:rsidP="00891A96">
            <w:pPr>
              <w:rPr>
                <w:color w:val="000000"/>
                <w:sz w:val="20"/>
                <w:szCs w:val="20"/>
                <w:lang w:eastAsia="en-GB"/>
              </w:rPr>
            </w:pPr>
            <w:r w:rsidRPr="00500991">
              <w:rPr>
                <w:color w:val="000000"/>
                <w:sz w:val="20"/>
                <w:szCs w:val="20"/>
                <w:lang w:eastAsia="en-GB"/>
              </w:rPr>
              <w:t>Finance Leases</w:t>
            </w:r>
          </w:p>
        </w:tc>
        <w:tc>
          <w:tcPr>
            <w:tcW w:w="1494" w:type="dxa"/>
            <w:tcBorders>
              <w:top w:val="nil"/>
              <w:left w:val="single" w:sz="8" w:space="0" w:color="auto"/>
              <w:bottom w:val="nil"/>
              <w:right w:val="nil"/>
            </w:tcBorders>
            <w:shd w:val="clear" w:color="auto" w:fill="FFFFFF"/>
            <w:noWrap/>
            <w:tcMar>
              <w:top w:w="0" w:type="dxa"/>
              <w:left w:w="108" w:type="dxa"/>
              <w:bottom w:w="0" w:type="dxa"/>
              <w:right w:w="108" w:type="dxa"/>
            </w:tcMar>
            <w:vAlign w:val="bottom"/>
            <w:hideMark/>
          </w:tcPr>
          <w:p w:rsidR="007058D0" w:rsidRPr="00500991" w:rsidRDefault="007058D0" w:rsidP="007B70DC">
            <w:pPr>
              <w:jc w:val="right"/>
              <w:rPr>
                <w:color w:val="000000"/>
                <w:sz w:val="20"/>
                <w:szCs w:val="20"/>
                <w:lang w:eastAsia="en-GB"/>
              </w:rPr>
            </w:pPr>
            <w:r w:rsidRPr="00500991">
              <w:rPr>
                <w:color w:val="000000"/>
                <w:sz w:val="20"/>
                <w:szCs w:val="20"/>
                <w:lang w:eastAsia="en-GB"/>
              </w:rPr>
              <w:t xml:space="preserve">-   </w:t>
            </w:r>
          </w:p>
        </w:tc>
        <w:tc>
          <w:tcPr>
            <w:tcW w:w="1494" w:type="dxa"/>
            <w:tcBorders>
              <w:top w:val="nil"/>
              <w:left w:val="nil"/>
              <w:bottom w:val="nil"/>
              <w:right w:val="single" w:sz="8" w:space="0" w:color="auto"/>
            </w:tcBorders>
            <w:shd w:val="clear" w:color="auto" w:fill="FFFFFF"/>
            <w:noWrap/>
            <w:tcMar>
              <w:top w:w="0" w:type="dxa"/>
              <w:left w:w="108" w:type="dxa"/>
              <w:bottom w:w="0" w:type="dxa"/>
              <w:right w:w="108" w:type="dxa"/>
            </w:tcMar>
            <w:vAlign w:val="bottom"/>
            <w:hideMark/>
          </w:tcPr>
          <w:p w:rsidR="007058D0" w:rsidRPr="00500991" w:rsidRDefault="007058D0" w:rsidP="007B70DC">
            <w:pPr>
              <w:jc w:val="right"/>
              <w:rPr>
                <w:color w:val="000000"/>
                <w:sz w:val="20"/>
                <w:szCs w:val="20"/>
                <w:lang w:eastAsia="en-GB"/>
              </w:rPr>
            </w:pPr>
            <w:r w:rsidRPr="00500991">
              <w:rPr>
                <w:color w:val="000000"/>
                <w:sz w:val="20"/>
                <w:szCs w:val="20"/>
                <w:lang w:eastAsia="en-GB"/>
              </w:rPr>
              <w:t xml:space="preserve">-   </w:t>
            </w:r>
          </w:p>
        </w:tc>
        <w:tc>
          <w:tcPr>
            <w:tcW w:w="1502" w:type="dxa"/>
            <w:shd w:val="clear" w:color="auto" w:fill="FFFFFF"/>
            <w:noWrap/>
            <w:tcMar>
              <w:top w:w="0" w:type="dxa"/>
              <w:left w:w="108" w:type="dxa"/>
              <w:bottom w:w="0" w:type="dxa"/>
              <w:right w:w="108" w:type="dxa"/>
            </w:tcMar>
            <w:vAlign w:val="bottom"/>
            <w:hideMark/>
          </w:tcPr>
          <w:p w:rsidR="007058D0" w:rsidRPr="00500991" w:rsidRDefault="007058D0" w:rsidP="007B70DC">
            <w:pPr>
              <w:jc w:val="right"/>
              <w:rPr>
                <w:color w:val="000000"/>
                <w:sz w:val="20"/>
                <w:szCs w:val="20"/>
                <w:lang w:eastAsia="en-GB"/>
              </w:rPr>
            </w:pPr>
            <w:r w:rsidRPr="00500991">
              <w:rPr>
                <w:color w:val="000000"/>
                <w:sz w:val="20"/>
                <w:szCs w:val="20"/>
                <w:lang w:eastAsia="en-GB"/>
              </w:rPr>
              <w:t xml:space="preserve">1.1 </w:t>
            </w:r>
          </w:p>
        </w:tc>
        <w:tc>
          <w:tcPr>
            <w:tcW w:w="1503" w:type="dxa"/>
            <w:gridSpan w:val="2"/>
            <w:tcBorders>
              <w:top w:val="nil"/>
              <w:left w:val="nil"/>
              <w:bottom w:val="nil"/>
              <w:right w:val="single" w:sz="8" w:space="0" w:color="auto"/>
            </w:tcBorders>
            <w:shd w:val="clear" w:color="auto" w:fill="FFFFFF"/>
            <w:noWrap/>
            <w:tcMar>
              <w:top w:w="0" w:type="dxa"/>
              <w:left w:w="108" w:type="dxa"/>
              <w:bottom w:w="0" w:type="dxa"/>
              <w:right w:w="108" w:type="dxa"/>
            </w:tcMar>
            <w:vAlign w:val="bottom"/>
            <w:hideMark/>
          </w:tcPr>
          <w:p w:rsidR="007058D0" w:rsidRPr="00500991" w:rsidRDefault="007058D0" w:rsidP="007B70DC">
            <w:pPr>
              <w:jc w:val="right"/>
              <w:rPr>
                <w:color w:val="000000"/>
                <w:sz w:val="20"/>
                <w:szCs w:val="20"/>
                <w:lang w:eastAsia="en-GB"/>
              </w:rPr>
            </w:pPr>
            <w:r w:rsidRPr="00500991">
              <w:rPr>
                <w:color w:val="000000"/>
                <w:sz w:val="20"/>
                <w:szCs w:val="20"/>
                <w:lang w:eastAsia="en-GB"/>
              </w:rPr>
              <w:t xml:space="preserve">1.1 </w:t>
            </w:r>
          </w:p>
        </w:tc>
      </w:tr>
      <w:tr w:rsidR="007058D0" w:rsidRPr="00500991" w:rsidTr="00891A96">
        <w:trPr>
          <w:trHeight w:val="211"/>
        </w:trPr>
        <w:tc>
          <w:tcPr>
            <w:tcW w:w="4058" w:type="dxa"/>
            <w:tcBorders>
              <w:top w:val="nil"/>
              <w:left w:val="single" w:sz="8" w:space="0" w:color="auto"/>
              <w:bottom w:val="single" w:sz="8" w:space="0" w:color="auto"/>
              <w:right w:val="nil"/>
            </w:tcBorders>
            <w:shd w:val="clear" w:color="auto" w:fill="FFFFFF"/>
            <w:noWrap/>
            <w:tcMar>
              <w:top w:w="0" w:type="dxa"/>
              <w:left w:w="108" w:type="dxa"/>
              <w:bottom w:w="0" w:type="dxa"/>
              <w:right w:w="108" w:type="dxa"/>
            </w:tcMar>
            <w:vAlign w:val="bottom"/>
            <w:hideMark/>
          </w:tcPr>
          <w:p w:rsidR="007058D0" w:rsidRPr="00500991" w:rsidRDefault="007058D0" w:rsidP="00891A96">
            <w:pPr>
              <w:rPr>
                <w:color w:val="000000"/>
                <w:sz w:val="20"/>
                <w:szCs w:val="20"/>
                <w:lang w:eastAsia="en-GB"/>
              </w:rPr>
            </w:pPr>
            <w:r w:rsidRPr="00500991">
              <w:rPr>
                <w:color w:val="000000"/>
                <w:sz w:val="20"/>
                <w:szCs w:val="20"/>
                <w:lang w:eastAsia="en-GB"/>
              </w:rPr>
              <w:t>PFI Arrangements</w:t>
            </w:r>
          </w:p>
        </w:tc>
        <w:tc>
          <w:tcPr>
            <w:tcW w:w="1494" w:type="dxa"/>
            <w:tcBorders>
              <w:top w:val="nil"/>
              <w:left w:val="single" w:sz="8" w:space="0" w:color="auto"/>
              <w:bottom w:val="nil"/>
              <w:right w:val="nil"/>
            </w:tcBorders>
            <w:shd w:val="clear" w:color="auto" w:fill="FFFFFF"/>
            <w:noWrap/>
            <w:tcMar>
              <w:top w:w="0" w:type="dxa"/>
              <w:left w:w="108" w:type="dxa"/>
              <w:bottom w:w="0" w:type="dxa"/>
              <w:right w:w="108" w:type="dxa"/>
            </w:tcMar>
            <w:vAlign w:val="bottom"/>
            <w:hideMark/>
          </w:tcPr>
          <w:p w:rsidR="007058D0" w:rsidRPr="00500991" w:rsidRDefault="007058D0" w:rsidP="007B70DC">
            <w:pPr>
              <w:jc w:val="right"/>
              <w:rPr>
                <w:color w:val="000000"/>
                <w:sz w:val="20"/>
                <w:szCs w:val="20"/>
                <w:lang w:eastAsia="en-GB"/>
              </w:rPr>
            </w:pPr>
            <w:r w:rsidRPr="00500991">
              <w:rPr>
                <w:color w:val="000000"/>
                <w:sz w:val="20"/>
                <w:szCs w:val="20"/>
                <w:lang w:eastAsia="en-GB"/>
              </w:rPr>
              <w:t xml:space="preserve">-   </w:t>
            </w:r>
          </w:p>
        </w:tc>
        <w:tc>
          <w:tcPr>
            <w:tcW w:w="1494" w:type="dxa"/>
            <w:tcBorders>
              <w:top w:val="nil"/>
              <w:left w:val="nil"/>
              <w:bottom w:val="nil"/>
              <w:right w:val="single" w:sz="8" w:space="0" w:color="auto"/>
            </w:tcBorders>
            <w:shd w:val="clear" w:color="auto" w:fill="FFFFFF"/>
            <w:noWrap/>
            <w:tcMar>
              <w:top w:w="0" w:type="dxa"/>
              <w:left w:w="108" w:type="dxa"/>
              <w:bottom w:w="0" w:type="dxa"/>
              <w:right w:w="108" w:type="dxa"/>
            </w:tcMar>
            <w:vAlign w:val="bottom"/>
            <w:hideMark/>
          </w:tcPr>
          <w:p w:rsidR="007058D0" w:rsidRPr="00500991" w:rsidRDefault="007058D0" w:rsidP="007B70DC">
            <w:pPr>
              <w:jc w:val="right"/>
              <w:rPr>
                <w:color w:val="000000"/>
                <w:sz w:val="20"/>
                <w:szCs w:val="20"/>
                <w:lang w:eastAsia="en-GB"/>
              </w:rPr>
            </w:pPr>
            <w:r w:rsidRPr="00500991">
              <w:rPr>
                <w:color w:val="000000"/>
                <w:sz w:val="20"/>
                <w:szCs w:val="20"/>
                <w:lang w:eastAsia="en-GB"/>
              </w:rPr>
              <w:t xml:space="preserve">-   </w:t>
            </w:r>
          </w:p>
        </w:tc>
        <w:tc>
          <w:tcPr>
            <w:tcW w:w="1502" w:type="dxa"/>
            <w:shd w:val="clear" w:color="auto" w:fill="FFFFFF"/>
            <w:noWrap/>
            <w:tcMar>
              <w:top w:w="0" w:type="dxa"/>
              <w:left w:w="108" w:type="dxa"/>
              <w:bottom w:w="0" w:type="dxa"/>
              <w:right w:w="108" w:type="dxa"/>
            </w:tcMar>
            <w:vAlign w:val="bottom"/>
            <w:hideMark/>
          </w:tcPr>
          <w:p w:rsidR="007058D0" w:rsidRPr="00500991" w:rsidRDefault="007058D0" w:rsidP="007B70DC">
            <w:pPr>
              <w:jc w:val="right"/>
              <w:rPr>
                <w:color w:val="000000"/>
                <w:sz w:val="20"/>
                <w:szCs w:val="20"/>
                <w:lang w:eastAsia="en-GB"/>
              </w:rPr>
            </w:pPr>
            <w:r w:rsidRPr="00500991">
              <w:rPr>
                <w:color w:val="000000"/>
                <w:sz w:val="20"/>
                <w:szCs w:val="20"/>
                <w:lang w:eastAsia="en-GB"/>
              </w:rPr>
              <w:t xml:space="preserve">1.1 </w:t>
            </w:r>
          </w:p>
        </w:tc>
        <w:tc>
          <w:tcPr>
            <w:tcW w:w="1503" w:type="dxa"/>
            <w:gridSpan w:val="2"/>
            <w:tcBorders>
              <w:top w:val="nil"/>
              <w:left w:val="nil"/>
              <w:bottom w:val="nil"/>
              <w:right w:val="single" w:sz="8" w:space="0" w:color="auto"/>
            </w:tcBorders>
            <w:shd w:val="clear" w:color="auto" w:fill="FFFFFF"/>
            <w:noWrap/>
            <w:tcMar>
              <w:top w:w="0" w:type="dxa"/>
              <w:left w:w="108" w:type="dxa"/>
              <w:bottom w:w="0" w:type="dxa"/>
              <w:right w:w="108" w:type="dxa"/>
            </w:tcMar>
            <w:vAlign w:val="bottom"/>
            <w:hideMark/>
          </w:tcPr>
          <w:p w:rsidR="007058D0" w:rsidRPr="00500991" w:rsidRDefault="007058D0" w:rsidP="007B70DC">
            <w:pPr>
              <w:jc w:val="right"/>
              <w:rPr>
                <w:color w:val="000000"/>
                <w:sz w:val="20"/>
                <w:szCs w:val="20"/>
                <w:lang w:eastAsia="en-GB"/>
              </w:rPr>
            </w:pPr>
            <w:r w:rsidRPr="00500991">
              <w:rPr>
                <w:color w:val="000000"/>
                <w:sz w:val="20"/>
                <w:szCs w:val="20"/>
                <w:lang w:eastAsia="en-GB"/>
              </w:rPr>
              <w:t xml:space="preserve">1.8 </w:t>
            </w:r>
          </w:p>
        </w:tc>
      </w:tr>
      <w:tr w:rsidR="007058D0" w:rsidRPr="00500991" w:rsidTr="00891A96">
        <w:trPr>
          <w:trHeight w:val="211"/>
        </w:trPr>
        <w:tc>
          <w:tcPr>
            <w:tcW w:w="4058" w:type="dxa"/>
            <w:tcBorders>
              <w:top w:val="nil"/>
              <w:left w:val="single" w:sz="8" w:space="0" w:color="auto"/>
              <w:bottom w:val="single" w:sz="8" w:space="0" w:color="auto"/>
              <w:right w:val="nil"/>
            </w:tcBorders>
            <w:shd w:val="clear" w:color="auto" w:fill="FFFFFF"/>
            <w:noWrap/>
            <w:tcMar>
              <w:top w:w="0" w:type="dxa"/>
              <w:left w:w="108" w:type="dxa"/>
              <w:bottom w:w="0" w:type="dxa"/>
              <w:right w:w="108" w:type="dxa"/>
            </w:tcMar>
            <w:vAlign w:val="bottom"/>
            <w:hideMark/>
          </w:tcPr>
          <w:p w:rsidR="007058D0" w:rsidRPr="00500991" w:rsidRDefault="007058D0" w:rsidP="00891A96">
            <w:pPr>
              <w:rPr>
                <w:b/>
                <w:bCs/>
                <w:color w:val="000000"/>
                <w:sz w:val="20"/>
                <w:szCs w:val="20"/>
                <w:lang w:eastAsia="en-GB"/>
              </w:rPr>
            </w:pPr>
            <w:r w:rsidRPr="00500991">
              <w:rPr>
                <w:b/>
                <w:bCs/>
                <w:color w:val="000000"/>
                <w:sz w:val="20"/>
                <w:szCs w:val="20"/>
                <w:lang w:eastAsia="en-GB"/>
              </w:rPr>
              <w:t>Included in Creditors**</w:t>
            </w:r>
          </w:p>
        </w:tc>
        <w:tc>
          <w:tcPr>
            <w:tcW w:w="1494" w:type="dxa"/>
            <w:tcBorders>
              <w:top w:val="single" w:sz="8" w:space="0" w:color="auto"/>
              <w:left w:val="single" w:sz="8" w:space="0" w:color="auto"/>
              <w:bottom w:val="single" w:sz="8" w:space="0" w:color="auto"/>
              <w:right w:val="nil"/>
            </w:tcBorders>
            <w:shd w:val="clear" w:color="auto" w:fill="FFFFFF"/>
            <w:noWrap/>
            <w:tcMar>
              <w:top w:w="0" w:type="dxa"/>
              <w:left w:w="108" w:type="dxa"/>
              <w:bottom w:w="0" w:type="dxa"/>
              <w:right w:w="108" w:type="dxa"/>
            </w:tcMar>
            <w:vAlign w:val="bottom"/>
            <w:hideMark/>
          </w:tcPr>
          <w:p w:rsidR="007058D0" w:rsidRPr="00500991" w:rsidRDefault="007058D0" w:rsidP="007B70DC">
            <w:pPr>
              <w:jc w:val="right"/>
              <w:rPr>
                <w:b/>
                <w:bCs/>
                <w:color w:val="000000"/>
                <w:sz w:val="20"/>
                <w:szCs w:val="20"/>
                <w:lang w:eastAsia="en-GB"/>
              </w:rPr>
            </w:pPr>
            <w:r w:rsidRPr="00500991">
              <w:rPr>
                <w:b/>
                <w:bCs/>
                <w:color w:val="000000"/>
                <w:sz w:val="20"/>
                <w:szCs w:val="20"/>
                <w:lang w:eastAsia="en-GB"/>
              </w:rPr>
              <w:t xml:space="preserve">-   </w:t>
            </w:r>
          </w:p>
        </w:tc>
        <w:tc>
          <w:tcPr>
            <w:tcW w:w="1494"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7058D0" w:rsidRPr="00500991" w:rsidRDefault="007058D0" w:rsidP="007B70DC">
            <w:pPr>
              <w:jc w:val="right"/>
              <w:rPr>
                <w:b/>
                <w:bCs/>
                <w:color w:val="000000"/>
                <w:sz w:val="20"/>
                <w:szCs w:val="20"/>
                <w:lang w:eastAsia="en-GB"/>
              </w:rPr>
            </w:pPr>
            <w:r w:rsidRPr="00500991">
              <w:rPr>
                <w:b/>
                <w:bCs/>
                <w:color w:val="000000"/>
                <w:sz w:val="20"/>
                <w:szCs w:val="20"/>
                <w:lang w:eastAsia="en-GB"/>
              </w:rPr>
              <w:t xml:space="preserve">-   </w:t>
            </w:r>
          </w:p>
        </w:tc>
        <w:tc>
          <w:tcPr>
            <w:tcW w:w="1502" w:type="dxa"/>
            <w:tcBorders>
              <w:top w:val="single" w:sz="8" w:space="0" w:color="auto"/>
              <w:left w:val="nil"/>
              <w:bottom w:val="single" w:sz="8" w:space="0" w:color="auto"/>
              <w:right w:val="nil"/>
            </w:tcBorders>
            <w:shd w:val="clear" w:color="auto" w:fill="FFFFFF"/>
            <w:noWrap/>
            <w:tcMar>
              <w:top w:w="0" w:type="dxa"/>
              <w:left w:w="108" w:type="dxa"/>
              <w:bottom w:w="0" w:type="dxa"/>
              <w:right w:w="108" w:type="dxa"/>
            </w:tcMar>
            <w:vAlign w:val="bottom"/>
            <w:hideMark/>
          </w:tcPr>
          <w:p w:rsidR="007058D0" w:rsidRPr="00500991" w:rsidRDefault="007058D0" w:rsidP="007B70DC">
            <w:pPr>
              <w:jc w:val="right"/>
              <w:rPr>
                <w:b/>
                <w:bCs/>
                <w:color w:val="000000"/>
                <w:sz w:val="20"/>
                <w:szCs w:val="20"/>
                <w:lang w:eastAsia="en-GB"/>
              </w:rPr>
            </w:pPr>
            <w:r>
              <w:rPr>
                <w:b/>
                <w:bCs/>
                <w:color w:val="000000"/>
                <w:sz w:val="20"/>
                <w:szCs w:val="20"/>
                <w:lang w:eastAsia="en-GB"/>
              </w:rPr>
              <w:t>127.2</w:t>
            </w:r>
            <w:r w:rsidRPr="00500991">
              <w:rPr>
                <w:b/>
                <w:bCs/>
                <w:color w:val="000000"/>
                <w:sz w:val="20"/>
                <w:szCs w:val="20"/>
                <w:lang w:eastAsia="en-GB"/>
              </w:rPr>
              <w:t xml:space="preserve"> </w:t>
            </w:r>
          </w:p>
        </w:tc>
        <w:tc>
          <w:tcPr>
            <w:tcW w:w="1503" w:type="dxa"/>
            <w:gridSpan w:val="2"/>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7058D0" w:rsidRPr="00500991" w:rsidRDefault="007058D0" w:rsidP="007B70DC">
            <w:pPr>
              <w:jc w:val="right"/>
              <w:rPr>
                <w:b/>
                <w:bCs/>
                <w:color w:val="000000"/>
                <w:sz w:val="20"/>
                <w:szCs w:val="20"/>
                <w:lang w:eastAsia="en-GB"/>
              </w:rPr>
            </w:pPr>
            <w:r w:rsidRPr="00500991">
              <w:rPr>
                <w:b/>
                <w:bCs/>
                <w:color w:val="000000"/>
                <w:sz w:val="20"/>
                <w:szCs w:val="20"/>
                <w:lang w:eastAsia="en-GB"/>
              </w:rPr>
              <w:t xml:space="preserve">146.8 </w:t>
            </w:r>
          </w:p>
        </w:tc>
      </w:tr>
      <w:tr w:rsidR="007058D0" w:rsidRPr="00500991" w:rsidTr="00891A96">
        <w:trPr>
          <w:trHeight w:val="211"/>
        </w:trPr>
        <w:tc>
          <w:tcPr>
            <w:tcW w:w="4058" w:type="dxa"/>
            <w:tcBorders>
              <w:top w:val="nil"/>
              <w:left w:val="single" w:sz="8" w:space="0" w:color="auto"/>
              <w:bottom w:val="single" w:sz="8" w:space="0" w:color="auto"/>
              <w:right w:val="nil"/>
            </w:tcBorders>
            <w:shd w:val="clear" w:color="auto" w:fill="FFFFFF"/>
            <w:noWrap/>
            <w:tcMar>
              <w:top w:w="0" w:type="dxa"/>
              <w:left w:w="108" w:type="dxa"/>
              <w:bottom w:w="0" w:type="dxa"/>
              <w:right w:w="108" w:type="dxa"/>
            </w:tcMar>
            <w:vAlign w:val="bottom"/>
            <w:hideMark/>
          </w:tcPr>
          <w:p w:rsidR="007058D0" w:rsidRPr="00500991" w:rsidRDefault="007058D0" w:rsidP="00891A96">
            <w:pPr>
              <w:rPr>
                <w:color w:val="000000"/>
                <w:sz w:val="20"/>
                <w:szCs w:val="20"/>
                <w:lang w:eastAsia="en-GB"/>
              </w:rPr>
            </w:pPr>
            <w:r w:rsidRPr="00500991">
              <w:rPr>
                <w:color w:val="000000"/>
                <w:sz w:val="20"/>
                <w:szCs w:val="20"/>
                <w:lang w:eastAsia="en-GB"/>
              </w:rPr>
              <w:t xml:space="preserve">At amortised cost: </w:t>
            </w:r>
          </w:p>
          <w:p w:rsidR="007058D0" w:rsidRPr="00500991" w:rsidRDefault="007058D0" w:rsidP="00891A96">
            <w:pPr>
              <w:rPr>
                <w:b/>
                <w:bCs/>
                <w:color w:val="000000"/>
                <w:sz w:val="20"/>
                <w:szCs w:val="20"/>
                <w:lang w:eastAsia="en-GB"/>
              </w:rPr>
            </w:pPr>
            <w:r w:rsidRPr="00500991">
              <w:rPr>
                <w:color w:val="000000"/>
                <w:sz w:val="20"/>
                <w:szCs w:val="20"/>
                <w:lang w:eastAsia="en-GB"/>
              </w:rPr>
              <w:t>- Bank current account overdraft</w:t>
            </w:r>
          </w:p>
        </w:tc>
        <w:tc>
          <w:tcPr>
            <w:tcW w:w="1494" w:type="dxa"/>
            <w:tcBorders>
              <w:top w:val="nil"/>
              <w:left w:val="single" w:sz="8" w:space="0" w:color="auto"/>
              <w:bottom w:val="single" w:sz="8" w:space="0" w:color="auto"/>
              <w:right w:val="nil"/>
            </w:tcBorders>
            <w:shd w:val="clear" w:color="auto" w:fill="FFFFFF"/>
            <w:noWrap/>
            <w:tcMar>
              <w:top w:w="0" w:type="dxa"/>
              <w:left w:w="108" w:type="dxa"/>
              <w:bottom w:w="0" w:type="dxa"/>
              <w:right w:w="108" w:type="dxa"/>
            </w:tcMar>
            <w:vAlign w:val="bottom"/>
            <w:hideMark/>
          </w:tcPr>
          <w:p w:rsidR="007058D0" w:rsidRPr="00500991" w:rsidRDefault="007058D0" w:rsidP="007B70DC">
            <w:pPr>
              <w:jc w:val="right"/>
              <w:rPr>
                <w:b/>
                <w:bCs/>
                <w:color w:val="000000"/>
                <w:sz w:val="20"/>
                <w:szCs w:val="20"/>
                <w:lang w:eastAsia="en-GB"/>
              </w:rPr>
            </w:pPr>
            <w:r w:rsidRPr="00500991">
              <w:rPr>
                <w:color w:val="000000"/>
                <w:sz w:val="20"/>
                <w:szCs w:val="20"/>
                <w:lang w:eastAsia="en-GB"/>
              </w:rPr>
              <w:t xml:space="preserve">-   </w:t>
            </w:r>
          </w:p>
        </w:tc>
        <w:tc>
          <w:tcPr>
            <w:tcW w:w="149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7058D0" w:rsidRPr="00500991" w:rsidRDefault="007058D0" w:rsidP="007B70DC">
            <w:pPr>
              <w:jc w:val="right"/>
              <w:rPr>
                <w:b/>
                <w:bCs/>
                <w:color w:val="000000"/>
                <w:sz w:val="20"/>
                <w:szCs w:val="20"/>
                <w:lang w:eastAsia="en-GB"/>
              </w:rPr>
            </w:pPr>
            <w:r w:rsidRPr="00500991">
              <w:rPr>
                <w:color w:val="000000"/>
                <w:sz w:val="20"/>
                <w:szCs w:val="20"/>
                <w:lang w:eastAsia="en-GB"/>
              </w:rPr>
              <w:t xml:space="preserve">-   </w:t>
            </w:r>
          </w:p>
        </w:tc>
        <w:tc>
          <w:tcPr>
            <w:tcW w:w="1502" w:type="dxa"/>
            <w:tcBorders>
              <w:top w:val="nil"/>
              <w:left w:val="nil"/>
              <w:bottom w:val="single" w:sz="8" w:space="0" w:color="auto"/>
              <w:right w:val="nil"/>
            </w:tcBorders>
            <w:shd w:val="clear" w:color="auto" w:fill="FFFFFF"/>
            <w:noWrap/>
            <w:tcMar>
              <w:top w:w="0" w:type="dxa"/>
              <w:left w:w="108" w:type="dxa"/>
              <w:bottom w:w="0" w:type="dxa"/>
              <w:right w:w="108" w:type="dxa"/>
            </w:tcMar>
            <w:vAlign w:val="bottom"/>
            <w:hideMark/>
          </w:tcPr>
          <w:p w:rsidR="007058D0" w:rsidRPr="00500991" w:rsidRDefault="007058D0" w:rsidP="007B70DC">
            <w:pPr>
              <w:jc w:val="right"/>
              <w:rPr>
                <w:b/>
                <w:bCs/>
                <w:color w:val="000000"/>
                <w:sz w:val="20"/>
                <w:szCs w:val="20"/>
                <w:lang w:eastAsia="en-GB"/>
              </w:rPr>
            </w:pPr>
            <w:r w:rsidRPr="00500991">
              <w:rPr>
                <w:color w:val="000000"/>
                <w:sz w:val="20"/>
                <w:szCs w:val="20"/>
                <w:lang w:eastAsia="en-GB"/>
              </w:rPr>
              <w:t xml:space="preserve">13.8   </w:t>
            </w:r>
          </w:p>
        </w:tc>
        <w:tc>
          <w:tcPr>
            <w:tcW w:w="1503" w:type="dxa"/>
            <w:gridSpan w:val="2"/>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7058D0" w:rsidRPr="00500991" w:rsidRDefault="007058D0" w:rsidP="007B70DC">
            <w:pPr>
              <w:jc w:val="right"/>
              <w:rPr>
                <w:b/>
                <w:bCs/>
                <w:color w:val="000000"/>
                <w:sz w:val="20"/>
                <w:szCs w:val="20"/>
                <w:lang w:eastAsia="en-GB"/>
              </w:rPr>
            </w:pPr>
            <w:r w:rsidRPr="00500991">
              <w:rPr>
                <w:color w:val="000000"/>
                <w:sz w:val="20"/>
                <w:szCs w:val="20"/>
                <w:lang w:eastAsia="en-GB"/>
              </w:rPr>
              <w:t xml:space="preserve">33.3   </w:t>
            </w:r>
          </w:p>
        </w:tc>
      </w:tr>
      <w:tr w:rsidR="007058D0" w:rsidRPr="00500991" w:rsidTr="00891A96">
        <w:trPr>
          <w:trHeight w:val="211"/>
        </w:trPr>
        <w:tc>
          <w:tcPr>
            <w:tcW w:w="4058" w:type="dxa"/>
            <w:tcBorders>
              <w:top w:val="nil"/>
              <w:left w:val="single" w:sz="8" w:space="0" w:color="auto"/>
              <w:bottom w:val="single" w:sz="8" w:space="0" w:color="auto"/>
              <w:right w:val="nil"/>
            </w:tcBorders>
            <w:shd w:val="clear" w:color="auto" w:fill="FFFFFF"/>
            <w:noWrap/>
            <w:tcMar>
              <w:top w:w="0" w:type="dxa"/>
              <w:left w:w="108" w:type="dxa"/>
              <w:bottom w:w="0" w:type="dxa"/>
              <w:right w:w="108" w:type="dxa"/>
            </w:tcMar>
            <w:vAlign w:val="bottom"/>
            <w:hideMark/>
          </w:tcPr>
          <w:p w:rsidR="007058D0" w:rsidRPr="00500991" w:rsidRDefault="007058D0" w:rsidP="00891A96">
            <w:pPr>
              <w:rPr>
                <w:b/>
                <w:bCs/>
                <w:color w:val="000000"/>
                <w:sz w:val="20"/>
                <w:szCs w:val="20"/>
                <w:lang w:eastAsia="en-GB"/>
              </w:rPr>
            </w:pPr>
            <w:r w:rsidRPr="00500991">
              <w:rPr>
                <w:b/>
                <w:bCs/>
                <w:color w:val="000000"/>
                <w:sz w:val="20"/>
                <w:szCs w:val="20"/>
                <w:lang w:eastAsia="en-GB"/>
              </w:rPr>
              <w:t>Included in Cash &amp; Cash Equivalents</w:t>
            </w:r>
          </w:p>
        </w:tc>
        <w:tc>
          <w:tcPr>
            <w:tcW w:w="1494" w:type="dxa"/>
            <w:tcBorders>
              <w:top w:val="nil"/>
              <w:left w:val="single" w:sz="8" w:space="0" w:color="auto"/>
              <w:bottom w:val="single" w:sz="8" w:space="0" w:color="auto"/>
              <w:right w:val="nil"/>
            </w:tcBorders>
            <w:shd w:val="clear" w:color="auto" w:fill="FFFFFF"/>
            <w:noWrap/>
            <w:tcMar>
              <w:top w:w="0" w:type="dxa"/>
              <w:left w:w="108" w:type="dxa"/>
              <w:bottom w:w="0" w:type="dxa"/>
              <w:right w:w="108" w:type="dxa"/>
            </w:tcMar>
            <w:vAlign w:val="bottom"/>
            <w:hideMark/>
          </w:tcPr>
          <w:p w:rsidR="007058D0" w:rsidRPr="00500991" w:rsidRDefault="007058D0" w:rsidP="007B70DC">
            <w:pPr>
              <w:jc w:val="right"/>
              <w:rPr>
                <w:b/>
                <w:bCs/>
                <w:color w:val="000000"/>
                <w:sz w:val="20"/>
                <w:szCs w:val="20"/>
                <w:lang w:eastAsia="en-GB"/>
              </w:rPr>
            </w:pPr>
            <w:r w:rsidRPr="00500991">
              <w:rPr>
                <w:b/>
                <w:bCs/>
                <w:color w:val="000000"/>
                <w:sz w:val="20"/>
                <w:szCs w:val="20"/>
                <w:lang w:eastAsia="en-GB"/>
              </w:rPr>
              <w:t xml:space="preserve">-   </w:t>
            </w:r>
          </w:p>
        </w:tc>
        <w:tc>
          <w:tcPr>
            <w:tcW w:w="149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7058D0" w:rsidRPr="00500991" w:rsidRDefault="007058D0" w:rsidP="007B70DC">
            <w:pPr>
              <w:jc w:val="right"/>
              <w:rPr>
                <w:b/>
                <w:bCs/>
                <w:color w:val="000000"/>
                <w:sz w:val="20"/>
                <w:szCs w:val="20"/>
                <w:lang w:eastAsia="en-GB"/>
              </w:rPr>
            </w:pPr>
            <w:r w:rsidRPr="00500991">
              <w:rPr>
                <w:b/>
                <w:bCs/>
                <w:color w:val="000000"/>
                <w:sz w:val="20"/>
                <w:szCs w:val="20"/>
                <w:lang w:eastAsia="en-GB"/>
              </w:rPr>
              <w:t xml:space="preserve">-   </w:t>
            </w:r>
          </w:p>
        </w:tc>
        <w:tc>
          <w:tcPr>
            <w:tcW w:w="1502" w:type="dxa"/>
            <w:tcBorders>
              <w:top w:val="nil"/>
              <w:left w:val="nil"/>
              <w:bottom w:val="single" w:sz="8" w:space="0" w:color="auto"/>
              <w:right w:val="nil"/>
            </w:tcBorders>
            <w:shd w:val="clear" w:color="auto" w:fill="FFFFFF"/>
            <w:noWrap/>
            <w:tcMar>
              <w:top w:w="0" w:type="dxa"/>
              <w:left w:w="108" w:type="dxa"/>
              <w:bottom w:w="0" w:type="dxa"/>
              <w:right w:w="108" w:type="dxa"/>
            </w:tcMar>
            <w:vAlign w:val="bottom"/>
            <w:hideMark/>
          </w:tcPr>
          <w:p w:rsidR="007058D0" w:rsidRPr="00500991" w:rsidRDefault="007058D0" w:rsidP="007B70DC">
            <w:pPr>
              <w:jc w:val="right"/>
              <w:rPr>
                <w:b/>
                <w:bCs/>
                <w:color w:val="000000"/>
                <w:sz w:val="20"/>
                <w:szCs w:val="20"/>
                <w:lang w:eastAsia="en-GB"/>
              </w:rPr>
            </w:pPr>
            <w:r w:rsidRPr="00500991">
              <w:rPr>
                <w:b/>
                <w:bCs/>
                <w:color w:val="000000"/>
                <w:sz w:val="20"/>
                <w:szCs w:val="20"/>
                <w:lang w:eastAsia="en-GB"/>
              </w:rPr>
              <w:t xml:space="preserve">13.8 </w:t>
            </w:r>
          </w:p>
        </w:tc>
        <w:tc>
          <w:tcPr>
            <w:tcW w:w="1503" w:type="dxa"/>
            <w:gridSpan w:val="2"/>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7058D0" w:rsidRPr="00500991" w:rsidRDefault="007058D0" w:rsidP="007B70DC">
            <w:pPr>
              <w:ind w:left="403"/>
              <w:jc w:val="right"/>
              <w:rPr>
                <w:b/>
                <w:bCs/>
                <w:color w:val="000000"/>
                <w:sz w:val="20"/>
                <w:szCs w:val="20"/>
                <w:lang w:eastAsia="en-GB"/>
              </w:rPr>
            </w:pPr>
            <w:r w:rsidRPr="00500991">
              <w:rPr>
                <w:b/>
                <w:bCs/>
                <w:color w:val="000000"/>
                <w:sz w:val="20"/>
                <w:szCs w:val="20"/>
                <w:lang w:eastAsia="en-GB"/>
              </w:rPr>
              <w:t xml:space="preserve">33.3 </w:t>
            </w:r>
          </w:p>
        </w:tc>
      </w:tr>
      <w:tr w:rsidR="007058D0" w:rsidRPr="00500991" w:rsidTr="00891A96">
        <w:trPr>
          <w:trHeight w:val="211"/>
        </w:trPr>
        <w:tc>
          <w:tcPr>
            <w:tcW w:w="4058" w:type="dxa"/>
            <w:tcBorders>
              <w:top w:val="nil"/>
              <w:left w:val="single" w:sz="8" w:space="0" w:color="auto"/>
              <w:bottom w:val="single" w:sz="8" w:space="0" w:color="auto"/>
              <w:right w:val="nil"/>
            </w:tcBorders>
            <w:shd w:val="clear" w:color="auto" w:fill="FFFFFF"/>
            <w:noWrap/>
            <w:tcMar>
              <w:top w:w="0" w:type="dxa"/>
              <w:left w:w="108" w:type="dxa"/>
              <w:bottom w:w="0" w:type="dxa"/>
              <w:right w:w="108" w:type="dxa"/>
            </w:tcMar>
            <w:vAlign w:val="bottom"/>
            <w:hideMark/>
          </w:tcPr>
          <w:p w:rsidR="007058D0" w:rsidRPr="00500991" w:rsidRDefault="007058D0" w:rsidP="00891A96">
            <w:pPr>
              <w:rPr>
                <w:b/>
                <w:bCs/>
                <w:color w:val="000000"/>
                <w:sz w:val="20"/>
                <w:szCs w:val="20"/>
                <w:lang w:eastAsia="en-GB"/>
              </w:rPr>
            </w:pPr>
            <w:r w:rsidRPr="00500991">
              <w:rPr>
                <w:b/>
                <w:bCs/>
                <w:color w:val="000000"/>
                <w:sz w:val="20"/>
                <w:szCs w:val="20"/>
                <w:lang w:eastAsia="en-GB"/>
              </w:rPr>
              <w:t>Total Financial Liabilities</w:t>
            </w:r>
          </w:p>
        </w:tc>
        <w:tc>
          <w:tcPr>
            <w:tcW w:w="1494" w:type="dxa"/>
            <w:tcBorders>
              <w:top w:val="nil"/>
              <w:left w:val="single" w:sz="8" w:space="0" w:color="auto"/>
              <w:bottom w:val="single" w:sz="8" w:space="0" w:color="auto"/>
              <w:right w:val="nil"/>
            </w:tcBorders>
            <w:shd w:val="clear" w:color="auto" w:fill="FFFFFF"/>
            <w:noWrap/>
            <w:tcMar>
              <w:top w:w="0" w:type="dxa"/>
              <w:left w:w="108" w:type="dxa"/>
              <w:bottom w:w="0" w:type="dxa"/>
              <w:right w:w="108" w:type="dxa"/>
            </w:tcMar>
            <w:vAlign w:val="bottom"/>
            <w:hideMark/>
          </w:tcPr>
          <w:p w:rsidR="007058D0" w:rsidRPr="00500991" w:rsidRDefault="007058D0" w:rsidP="007B70DC">
            <w:pPr>
              <w:jc w:val="right"/>
              <w:rPr>
                <w:b/>
                <w:bCs/>
                <w:color w:val="000000"/>
                <w:sz w:val="20"/>
                <w:szCs w:val="20"/>
                <w:lang w:eastAsia="en-GB"/>
              </w:rPr>
            </w:pPr>
            <w:r w:rsidRPr="00500991">
              <w:rPr>
                <w:b/>
                <w:bCs/>
                <w:color w:val="000000"/>
                <w:sz w:val="20"/>
                <w:szCs w:val="20"/>
                <w:lang w:eastAsia="en-GB"/>
              </w:rPr>
              <w:t xml:space="preserve">492.0 </w:t>
            </w:r>
          </w:p>
        </w:tc>
        <w:tc>
          <w:tcPr>
            <w:tcW w:w="149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7058D0" w:rsidRPr="00500991" w:rsidRDefault="007058D0" w:rsidP="007B70DC">
            <w:pPr>
              <w:jc w:val="right"/>
              <w:rPr>
                <w:b/>
                <w:bCs/>
                <w:color w:val="000000"/>
                <w:sz w:val="20"/>
                <w:szCs w:val="20"/>
                <w:lang w:eastAsia="en-GB"/>
              </w:rPr>
            </w:pPr>
            <w:r w:rsidRPr="00500991">
              <w:rPr>
                <w:b/>
                <w:bCs/>
                <w:color w:val="000000"/>
                <w:sz w:val="20"/>
                <w:szCs w:val="20"/>
                <w:lang w:eastAsia="en-GB"/>
              </w:rPr>
              <w:t xml:space="preserve">419.0 </w:t>
            </w:r>
          </w:p>
        </w:tc>
        <w:tc>
          <w:tcPr>
            <w:tcW w:w="1502" w:type="dxa"/>
            <w:tcBorders>
              <w:top w:val="nil"/>
              <w:left w:val="nil"/>
              <w:bottom w:val="single" w:sz="8" w:space="0" w:color="auto"/>
              <w:right w:val="nil"/>
            </w:tcBorders>
            <w:shd w:val="clear" w:color="auto" w:fill="FFFFFF"/>
            <w:noWrap/>
            <w:tcMar>
              <w:top w:w="0" w:type="dxa"/>
              <w:left w:w="108" w:type="dxa"/>
              <w:bottom w:w="0" w:type="dxa"/>
              <w:right w:w="108" w:type="dxa"/>
            </w:tcMar>
            <w:vAlign w:val="bottom"/>
            <w:hideMark/>
          </w:tcPr>
          <w:p w:rsidR="007058D0" w:rsidRPr="00500991" w:rsidRDefault="007058D0" w:rsidP="007B70DC">
            <w:pPr>
              <w:jc w:val="right"/>
              <w:rPr>
                <w:b/>
                <w:bCs/>
                <w:color w:val="000000"/>
                <w:sz w:val="20"/>
                <w:szCs w:val="20"/>
                <w:lang w:eastAsia="en-GB"/>
              </w:rPr>
            </w:pPr>
            <w:r w:rsidRPr="00500991">
              <w:rPr>
                <w:b/>
                <w:bCs/>
                <w:color w:val="000000"/>
                <w:sz w:val="20"/>
                <w:szCs w:val="20"/>
                <w:lang w:eastAsia="en-GB"/>
              </w:rPr>
              <w:t xml:space="preserve">282.0 </w:t>
            </w:r>
          </w:p>
        </w:tc>
        <w:tc>
          <w:tcPr>
            <w:tcW w:w="1503" w:type="dxa"/>
            <w:gridSpan w:val="2"/>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7058D0" w:rsidRPr="00500991" w:rsidRDefault="007058D0" w:rsidP="007B70DC">
            <w:pPr>
              <w:jc w:val="right"/>
              <w:rPr>
                <w:b/>
                <w:bCs/>
                <w:color w:val="000000"/>
                <w:sz w:val="20"/>
                <w:szCs w:val="20"/>
                <w:lang w:eastAsia="en-GB"/>
              </w:rPr>
            </w:pPr>
            <w:r w:rsidRPr="00500991">
              <w:rPr>
                <w:b/>
                <w:bCs/>
                <w:color w:val="000000"/>
                <w:sz w:val="20"/>
                <w:szCs w:val="20"/>
                <w:lang w:eastAsia="en-GB"/>
              </w:rPr>
              <w:t xml:space="preserve">194.5 </w:t>
            </w:r>
          </w:p>
        </w:tc>
      </w:tr>
    </w:tbl>
    <w:p w:rsidR="00D934C4" w:rsidRDefault="00D934C4" w:rsidP="00F72906"/>
    <w:p w:rsidR="00F72906" w:rsidRDefault="00F72906" w:rsidP="00F72906">
      <w:r>
        <w:t>* The total short-term borrowing includes £7.9m (2018/19: £14.4m) representing accrued interest and principal repayments due within 12</w:t>
      </w:r>
      <w:r w:rsidR="00D934C4">
        <w:t xml:space="preserve"> months on long-term borrowing.</w:t>
      </w:r>
    </w:p>
    <w:p w:rsidR="00F72906" w:rsidRDefault="00F72906" w:rsidP="00F72906">
      <w:r>
        <w:lastRenderedPageBreak/>
        <w:t xml:space="preserve">Financial Assets – The financial assets disclosed on the balance sheet are analysed across the following categories: </w:t>
      </w:r>
    </w:p>
    <w:tbl>
      <w:tblPr>
        <w:tblW w:w="10088" w:type="dxa"/>
        <w:tblCellMar>
          <w:left w:w="0" w:type="dxa"/>
          <w:right w:w="0" w:type="dxa"/>
        </w:tblCellMar>
        <w:tblLook w:val="04A0" w:firstRow="1" w:lastRow="0" w:firstColumn="1" w:lastColumn="0" w:noHBand="0" w:noVBand="1"/>
        <w:tblCaption w:val="Financial Assets"/>
      </w:tblPr>
      <w:tblGrid>
        <w:gridCol w:w="3818"/>
        <w:gridCol w:w="1433"/>
        <w:gridCol w:w="1673"/>
        <w:gridCol w:w="1489"/>
        <w:gridCol w:w="1675"/>
      </w:tblGrid>
      <w:tr w:rsidR="007058D0" w:rsidRPr="00561707" w:rsidTr="007058D0">
        <w:trPr>
          <w:trHeight w:val="296"/>
          <w:tblHeader/>
        </w:trPr>
        <w:tc>
          <w:tcPr>
            <w:tcW w:w="3818" w:type="dxa"/>
            <w:tcBorders>
              <w:top w:val="single" w:sz="8" w:space="0" w:color="auto"/>
              <w:left w:val="single" w:sz="8" w:space="0" w:color="auto"/>
              <w:bottom w:val="nil"/>
              <w:right w:val="nil"/>
            </w:tcBorders>
            <w:shd w:val="clear" w:color="auto" w:fill="FFFFFF"/>
            <w:noWrap/>
            <w:tcMar>
              <w:top w:w="0" w:type="dxa"/>
              <w:left w:w="108" w:type="dxa"/>
              <w:bottom w:w="0" w:type="dxa"/>
              <w:right w:w="108" w:type="dxa"/>
            </w:tcMar>
            <w:vAlign w:val="bottom"/>
            <w:hideMark/>
          </w:tcPr>
          <w:p w:rsidR="007058D0" w:rsidRPr="00561707" w:rsidRDefault="007058D0" w:rsidP="00891A96">
            <w:pPr>
              <w:rPr>
                <w:b/>
                <w:bCs/>
                <w:color w:val="000000"/>
                <w:sz w:val="20"/>
                <w:szCs w:val="20"/>
                <w:lang w:eastAsia="en-GB"/>
              </w:rPr>
            </w:pPr>
            <w:r w:rsidRPr="00561707">
              <w:rPr>
                <w:b/>
                <w:bCs/>
                <w:color w:val="000000"/>
                <w:sz w:val="20"/>
                <w:szCs w:val="20"/>
                <w:lang w:eastAsia="en-GB"/>
              </w:rPr>
              <w:t>Financial Assets</w:t>
            </w:r>
          </w:p>
        </w:tc>
        <w:tc>
          <w:tcPr>
            <w:tcW w:w="3106" w:type="dxa"/>
            <w:gridSpan w:val="2"/>
            <w:tcBorders>
              <w:top w:val="single" w:sz="8" w:space="0" w:color="auto"/>
              <w:left w:val="single" w:sz="8" w:space="0" w:color="auto"/>
              <w:bottom w:val="nil"/>
              <w:right w:val="single" w:sz="8" w:space="0" w:color="000000"/>
            </w:tcBorders>
            <w:shd w:val="clear" w:color="auto" w:fill="FFFFFF"/>
            <w:noWrap/>
            <w:tcMar>
              <w:top w:w="0" w:type="dxa"/>
              <w:left w:w="108" w:type="dxa"/>
              <w:bottom w:w="0" w:type="dxa"/>
              <w:right w:w="108" w:type="dxa"/>
            </w:tcMar>
            <w:vAlign w:val="bottom"/>
            <w:hideMark/>
          </w:tcPr>
          <w:p w:rsidR="007058D0" w:rsidRPr="00561707" w:rsidRDefault="007058D0" w:rsidP="00891A96">
            <w:pPr>
              <w:jc w:val="center"/>
              <w:rPr>
                <w:b/>
                <w:bCs/>
                <w:color w:val="000000"/>
                <w:sz w:val="20"/>
                <w:szCs w:val="20"/>
                <w:lang w:eastAsia="en-GB"/>
              </w:rPr>
            </w:pPr>
            <w:r w:rsidRPr="00561707">
              <w:rPr>
                <w:b/>
                <w:bCs/>
                <w:color w:val="000000"/>
                <w:sz w:val="20"/>
                <w:szCs w:val="20"/>
                <w:lang w:eastAsia="en-GB"/>
              </w:rPr>
              <w:t>Long term</w:t>
            </w:r>
          </w:p>
        </w:tc>
        <w:tc>
          <w:tcPr>
            <w:tcW w:w="3164" w:type="dxa"/>
            <w:gridSpan w:val="2"/>
            <w:tcBorders>
              <w:top w:val="single" w:sz="8" w:space="0" w:color="auto"/>
              <w:left w:val="nil"/>
              <w:bottom w:val="nil"/>
              <w:right w:val="single" w:sz="8" w:space="0" w:color="000000"/>
            </w:tcBorders>
            <w:shd w:val="clear" w:color="auto" w:fill="FFFFFF"/>
            <w:noWrap/>
            <w:tcMar>
              <w:top w:w="0" w:type="dxa"/>
              <w:left w:w="108" w:type="dxa"/>
              <w:bottom w:w="0" w:type="dxa"/>
              <w:right w:w="108" w:type="dxa"/>
            </w:tcMar>
            <w:vAlign w:val="bottom"/>
            <w:hideMark/>
          </w:tcPr>
          <w:p w:rsidR="007058D0" w:rsidRPr="00561707" w:rsidRDefault="007058D0" w:rsidP="00891A96">
            <w:pPr>
              <w:jc w:val="center"/>
              <w:rPr>
                <w:b/>
                <w:bCs/>
                <w:color w:val="000000"/>
                <w:sz w:val="20"/>
                <w:szCs w:val="20"/>
                <w:lang w:eastAsia="en-GB"/>
              </w:rPr>
            </w:pPr>
            <w:r w:rsidRPr="00561707">
              <w:rPr>
                <w:b/>
                <w:bCs/>
                <w:color w:val="000000"/>
                <w:sz w:val="20"/>
                <w:szCs w:val="20"/>
                <w:lang w:eastAsia="en-GB"/>
              </w:rPr>
              <w:t>Short Term</w:t>
            </w:r>
          </w:p>
        </w:tc>
      </w:tr>
      <w:tr w:rsidR="007058D0" w:rsidRPr="00561707" w:rsidTr="007058D0">
        <w:trPr>
          <w:trHeight w:val="244"/>
          <w:tblHeader/>
        </w:trPr>
        <w:tc>
          <w:tcPr>
            <w:tcW w:w="3818" w:type="dxa"/>
            <w:tcBorders>
              <w:top w:val="nil"/>
              <w:left w:val="single" w:sz="8" w:space="0" w:color="auto"/>
              <w:bottom w:val="nil"/>
              <w:right w:val="nil"/>
            </w:tcBorders>
            <w:shd w:val="clear" w:color="auto" w:fill="FFFFFF"/>
            <w:noWrap/>
            <w:tcMar>
              <w:top w:w="0" w:type="dxa"/>
              <w:left w:w="108" w:type="dxa"/>
              <w:bottom w:w="0" w:type="dxa"/>
              <w:right w:w="108" w:type="dxa"/>
            </w:tcMar>
            <w:vAlign w:val="bottom"/>
            <w:hideMark/>
          </w:tcPr>
          <w:p w:rsidR="007058D0" w:rsidRPr="00561707" w:rsidRDefault="007058D0" w:rsidP="00891A96">
            <w:pPr>
              <w:rPr>
                <w:color w:val="000000"/>
                <w:sz w:val="20"/>
                <w:szCs w:val="20"/>
                <w:lang w:eastAsia="en-GB"/>
              </w:rPr>
            </w:pPr>
            <w:r w:rsidRPr="00561707">
              <w:rPr>
                <w:color w:val="000000"/>
                <w:sz w:val="20"/>
                <w:szCs w:val="20"/>
                <w:lang w:eastAsia="en-GB"/>
              </w:rPr>
              <w:t> </w:t>
            </w:r>
          </w:p>
        </w:tc>
        <w:tc>
          <w:tcPr>
            <w:tcW w:w="1433" w:type="dxa"/>
            <w:tcBorders>
              <w:top w:val="nil"/>
              <w:left w:val="single" w:sz="8" w:space="0" w:color="auto"/>
              <w:bottom w:val="nil"/>
              <w:right w:val="nil"/>
            </w:tcBorders>
            <w:shd w:val="clear" w:color="auto" w:fill="FFFFFF"/>
            <w:noWrap/>
            <w:tcMar>
              <w:top w:w="0" w:type="dxa"/>
              <w:left w:w="108" w:type="dxa"/>
              <w:bottom w:w="0" w:type="dxa"/>
              <w:right w:w="108" w:type="dxa"/>
            </w:tcMar>
            <w:vAlign w:val="bottom"/>
            <w:hideMark/>
          </w:tcPr>
          <w:p w:rsidR="007058D0" w:rsidRPr="00561707" w:rsidRDefault="007058D0" w:rsidP="00891A96">
            <w:pPr>
              <w:jc w:val="center"/>
              <w:rPr>
                <w:color w:val="000000"/>
                <w:sz w:val="20"/>
                <w:szCs w:val="20"/>
                <w:lang w:eastAsia="en-GB"/>
              </w:rPr>
            </w:pPr>
            <w:r w:rsidRPr="00561707">
              <w:rPr>
                <w:color w:val="000000"/>
                <w:sz w:val="20"/>
                <w:szCs w:val="20"/>
                <w:lang w:eastAsia="en-GB"/>
              </w:rPr>
              <w:t>31/03/2020</w:t>
            </w:r>
          </w:p>
        </w:tc>
        <w:tc>
          <w:tcPr>
            <w:tcW w:w="1673" w:type="dxa"/>
            <w:tcBorders>
              <w:top w:val="nil"/>
              <w:left w:val="nil"/>
              <w:bottom w:val="nil"/>
              <w:right w:val="single" w:sz="8" w:space="0" w:color="auto"/>
            </w:tcBorders>
            <w:shd w:val="clear" w:color="auto" w:fill="FFFFFF"/>
            <w:noWrap/>
            <w:tcMar>
              <w:top w:w="0" w:type="dxa"/>
              <w:left w:w="108" w:type="dxa"/>
              <w:bottom w:w="0" w:type="dxa"/>
              <w:right w:w="108" w:type="dxa"/>
            </w:tcMar>
            <w:vAlign w:val="bottom"/>
            <w:hideMark/>
          </w:tcPr>
          <w:p w:rsidR="007058D0" w:rsidRPr="00561707" w:rsidRDefault="007058D0" w:rsidP="00891A96">
            <w:pPr>
              <w:jc w:val="center"/>
              <w:rPr>
                <w:color w:val="000000"/>
                <w:sz w:val="20"/>
                <w:szCs w:val="20"/>
                <w:lang w:eastAsia="en-GB"/>
              </w:rPr>
            </w:pPr>
            <w:r w:rsidRPr="00561707">
              <w:rPr>
                <w:color w:val="000000"/>
                <w:sz w:val="20"/>
                <w:szCs w:val="20"/>
                <w:lang w:eastAsia="en-GB"/>
              </w:rPr>
              <w:t>31/03/2019</w:t>
            </w:r>
          </w:p>
        </w:tc>
        <w:tc>
          <w:tcPr>
            <w:tcW w:w="1489" w:type="dxa"/>
            <w:shd w:val="clear" w:color="auto" w:fill="FFFFFF"/>
            <w:noWrap/>
            <w:tcMar>
              <w:top w:w="0" w:type="dxa"/>
              <w:left w:w="108" w:type="dxa"/>
              <w:bottom w:w="0" w:type="dxa"/>
              <w:right w:w="108" w:type="dxa"/>
            </w:tcMar>
            <w:vAlign w:val="bottom"/>
            <w:hideMark/>
          </w:tcPr>
          <w:p w:rsidR="007058D0" w:rsidRPr="00561707" w:rsidRDefault="007058D0" w:rsidP="00891A96">
            <w:pPr>
              <w:jc w:val="center"/>
              <w:rPr>
                <w:color w:val="000000"/>
                <w:sz w:val="20"/>
                <w:szCs w:val="20"/>
                <w:lang w:eastAsia="en-GB"/>
              </w:rPr>
            </w:pPr>
            <w:r w:rsidRPr="00561707">
              <w:rPr>
                <w:color w:val="000000"/>
                <w:sz w:val="20"/>
                <w:szCs w:val="20"/>
                <w:lang w:eastAsia="en-GB"/>
              </w:rPr>
              <w:t>31/03/2020</w:t>
            </w:r>
          </w:p>
        </w:tc>
        <w:tc>
          <w:tcPr>
            <w:tcW w:w="1675" w:type="dxa"/>
            <w:tcBorders>
              <w:top w:val="nil"/>
              <w:left w:val="nil"/>
              <w:bottom w:val="nil"/>
              <w:right w:val="single" w:sz="8" w:space="0" w:color="auto"/>
            </w:tcBorders>
            <w:shd w:val="clear" w:color="auto" w:fill="FFFFFF"/>
            <w:noWrap/>
            <w:tcMar>
              <w:top w:w="0" w:type="dxa"/>
              <w:left w:w="108" w:type="dxa"/>
              <w:bottom w:w="0" w:type="dxa"/>
              <w:right w:w="108" w:type="dxa"/>
            </w:tcMar>
            <w:vAlign w:val="bottom"/>
            <w:hideMark/>
          </w:tcPr>
          <w:p w:rsidR="007058D0" w:rsidRPr="00561707" w:rsidRDefault="007058D0" w:rsidP="00891A96">
            <w:pPr>
              <w:jc w:val="center"/>
              <w:rPr>
                <w:color w:val="000000"/>
                <w:sz w:val="20"/>
                <w:szCs w:val="20"/>
                <w:lang w:eastAsia="en-GB"/>
              </w:rPr>
            </w:pPr>
            <w:r w:rsidRPr="00561707">
              <w:rPr>
                <w:color w:val="000000"/>
                <w:sz w:val="20"/>
                <w:szCs w:val="20"/>
                <w:lang w:eastAsia="en-GB"/>
              </w:rPr>
              <w:t>31/03/2019</w:t>
            </w:r>
          </w:p>
        </w:tc>
      </w:tr>
      <w:tr w:rsidR="007058D0" w:rsidRPr="00561707" w:rsidTr="007058D0">
        <w:trPr>
          <w:trHeight w:val="245"/>
          <w:tblHeader/>
        </w:trPr>
        <w:tc>
          <w:tcPr>
            <w:tcW w:w="3818" w:type="dxa"/>
            <w:tcBorders>
              <w:top w:val="nil"/>
              <w:left w:val="single" w:sz="8" w:space="0" w:color="auto"/>
              <w:bottom w:val="single" w:sz="8" w:space="0" w:color="auto"/>
              <w:right w:val="nil"/>
            </w:tcBorders>
            <w:shd w:val="clear" w:color="auto" w:fill="FFFFFF"/>
            <w:noWrap/>
            <w:tcMar>
              <w:top w:w="0" w:type="dxa"/>
              <w:left w:w="108" w:type="dxa"/>
              <w:bottom w:w="0" w:type="dxa"/>
              <w:right w:w="108" w:type="dxa"/>
            </w:tcMar>
            <w:vAlign w:val="bottom"/>
            <w:hideMark/>
          </w:tcPr>
          <w:p w:rsidR="007058D0" w:rsidRPr="00561707" w:rsidRDefault="007058D0" w:rsidP="00891A96">
            <w:pPr>
              <w:rPr>
                <w:color w:val="000000"/>
                <w:sz w:val="20"/>
                <w:szCs w:val="20"/>
                <w:lang w:eastAsia="en-GB"/>
              </w:rPr>
            </w:pPr>
            <w:r w:rsidRPr="00561707">
              <w:rPr>
                <w:color w:val="000000"/>
                <w:sz w:val="20"/>
                <w:szCs w:val="20"/>
                <w:lang w:eastAsia="en-GB"/>
              </w:rPr>
              <w:t> </w:t>
            </w:r>
          </w:p>
        </w:tc>
        <w:tc>
          <w:tcPr>
            <w:tcW w:w="1433" w:type="dxa"/>
            <w:tcBorders>
              <w:top w:val="nil"/>
              <w:left w:val="single" w:sz="8" w:space="0" w:color="auto"/>
              <w:bottom w:val="single" w:sz="8" w:space="0" w:color="auto"/>
              <w:right w:val="nil"/>
            </w:tcBorders>
            <w:shd w:val="clear" w:color="auto" w:fill="FFFFFF"/>
            <w:noWrap/>
            <w:tcMar>
              <w:top w:w="0" w:type="dxa"/>
              <w:left w:w="108" w:type="dxa"/>
              <w:bottom w:w="0" w:type="dxa"/>
              <w:right w:w="108" w:type="dxa"/>
            </w:tcMar>
            <w:vAlign w:val="bottom"/>
            <w:hideMark/>
          </w:tcPr>
          <w:p w:rsidR="007058D0" w:rsidRPr="00561707" w:rsidRDefault="007058D0" w:rsidP="00891A96">
            <w:pPr>
              <w:jc w:val="center"/>
              <w:rPr>
                <w:color w:val="000000"/>
                <w:sz w:val="20"/>
                <w:szCs w:val="20"/>
                <w:lang w:eastAsia="en-GB"/>
              </w:rPr>
            </w:pPr>
            <w:r w:rsidRPr="00561707">
              <w:rPr>
                <w:color w:val="000000"/>
                <w:sz w:val="20"/>
                <w:szCs w:val="20"/>
                <w:lang w:eastAsia="en-GB"/>
              </w:rPr>
              <w:t>£m</w:t>
            </w:r>
          </w:p>
        </w:tc>
        <w:tc>
          <w:tcPr>
            <w:tcW w:w="167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7058D0" w:rsidRPr="00561707" w:rsidRDefault="007058D0" w:rsidP="00891A96">
            <w:pPr>
              <w:jc w:val="center"/>
              <w:rPr>
                <w:color w:val="000000"/>
                <w:sz w:val="20"/>
                <w:szCs w:val="20"/>
                <w:lang w:eastAsia="en-GB"/>
              </w:rPr>
            </w:pPr>
            <w:r w:rsidRPr="00561707">
              <w:rPr>
                <w:color w:val="000000"/>
                <w:sz w:val="20"/>
                <w:szCs w:val="20"/>
                <w:lang w:eastAsia="en-GB"/>
              </w:rPr>
              <w:t>£m</w:t>
            </w:r>
          </w:p>
        </w:tc>
        <w:tc>
          <w:tcPr>
            <w:tcW w:w="1489" w:type="dxa"/>
            <w:tcBorders>
              <w:top w:val="nil"/>
              <w:left w:val="nil"/>
              <w:bottom w:val="single" w:sz="8" w:space="0" w:color="auto"/>
              <w:right w:val="nil"/>
            </w:tcBorders>
            <w:shd w:val="clear" w:color="auto" w:fill="FFFFFF"/>
            <w:noWrap/>
            <w:tcMar>
              <w:top w:w="0" w:type="dxa"/>
              <w:left w:w="108" w:type="dxa"/>
              <w:bottom w:w="0" w:type="dxa"/>
              <w:right w:w="108" w:type="dxa"/>
            </w:tcMar>
            <w:vAlign w:val="bottom"/>
            <w:hideMark/>
          </w:tcPr>
          <w:p w:rsidR="007058D0" w:rsidRPr="00561707" w:rsidRDefault="007058D0" w:rsidP="00891A96">
            <w:pPr>
              <w:jc w:val="center"/>
              <w:rPr>
                <w:color w:val="000000"/>
                <w:sz w:val="20"/>
                <w:szCs w:val="20"/>
                <w:lang w:eastAsia="en-GB"/>
              </w:rPr>
            </w:pPr>
            <w:r w:rsidRPr="00561707">
              <w:rPr>
                <w:color w:val="000000"/>
                <w:sz w:val="20"/>
                <w:szCs w:val="20"/>
                <w:lang w:eastAsia="en-GB"/>
              </w:rPr>
              <w:t>£m</w:t>
            </w:r>
          </w:p>
        </w:tc>
        <w:tc>
          <w:tcPr>
            <w:tcW w:w="16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7058D0" w:rsidRPr="00561707" w:rsidRDefault="007058D0" w:rsidP="00891A96">
            <w:pPr>
              <w:jc w:val="center"/>
              <w:rPr>
                <w:color w:val="000000"/>
                <w:sz w:val="20"/>
                <w:szCs w:val="20"/>
                <w:lang w:eastAsia="en-GB"/>
              </w:rPr>
            </w:pPr>
            <w:r w:rsidRPr="00561707">
              <w:rPr>
                <w:color w:val="000000"/>
                <w:sz w:val="20"/>
                <w:szCs w:val="20"/>
                <w:lang w:eastAsia="en-GB"/>
              </w:rPr>
              <w:t>£m</w:t>
            </w:r>
          </w:p>
        </w:tc>
      </w:tr>
      <w:tr w:rsidR="007058D0" w:rsidRPr="00561707" w:rsidTr="00891A96">
        <w:trPr>
          <w:trHeight w:val="245"/>
        </w:trPr>
        <w:tc>
          <w:tcPr>
            <w:tcW w:w="3818" w:type="dxa"/>
            <w:tcBorders>
              <w:top w:val="nil"/>
              <w:left w:val="single" w:sz="8" w:space="0" w:color="auto"/>
              <w:bottom w:val="nil"/>
              <w:right w:val="nil"/>
            </w:tcBorders>
            <w:shd w:val="clear" w:color="auto" w:fill="FFFFFF"/>
            <w:noWrap/>
            <w:tcMar>
              <w:top w:w="0" w:type="dxa"/>
              <w:left w:w="108" w:type="dxa"/>
              <w:bottom w:w="0" w:type="dxa"/>
              <w:right w:w="108" w:type="dxa"/>
            </w:tcMar>
            <w:vAlign w:val="bottom"/>
            <w:hideMark/>
          </w:tcPr>
          <w:p w:rsidR="007058D0" w:rsidRPr="00561707" w:rsidRDefault="007058D0" w:rsidP="00891A96">
            <w:pPr>
              <w:rPr>
                <w:color w:val="000000"/>
                <w:sz w:val="20"/>
                <w:szCs w:val="20"/>
                <w:lang w:eastAsia="en-GB"/>
              </w:rPr>
            </w:pPr>
            <w:r w:rsidRPr="00561707">
              <w:rPr>
                <w:color w:val="000000"/>
                <w:sz w:val="20"/>
                <w:szCs w:val="20"/>
                <w:lang w:eastAsia="en-GB"/>
              </w:rPr>
              <w:t xml:space="preserve">At amortised cost: </w:t>
            </w:r>
          </w:p>
        </w:tc>
        <w:tc>
          <w:tcPr>
            <w:tcW w:w="1433" w:type="dxa"/>
            <w:tcBorders>
              <w:top w:val="nil"/>
              <w:left w:val="single" w:sz="8" w:space="0" w:color="auto"/>
              <w:bottom w:val="nil"/>
              <w:right w:val="nil"/>
            </w:tcBorders>
            <w:shd w:val="clear" w:color="auto" w:fill="FFFFFF"/>
            <w:noWrap/>
            <w:tcMar>
              <w:top w:w="0" w:type="dxa"/>
              <w:left w:w="108" w:type="dxa"/>
              <w:bottom w:w="0" w:type="dxa"/>
              <w:right w:w="108" w:type="dxa"/>
            </w:tcMar>
            <w:vAlign w:val="bottom"/>
            <w:hideMark/>
          </w:tcPr>
          <w:p w:rsidR="007058D0" w:rsidRPr="00561707" w:rsidRDefault="007058D0" w:rsidP="007B70DC">
            <w:pPr>
              <w:ind w:left="312"/>
              <w:jc w:val="right"/>
              <w:rPr>
                <w:color w:val="000000"/>
                <w:sz w:val="20"/>
                <w:szCs w:val="20"/>
                <w:lang w:eastAsia="en-GB"/>
              </w:rPr>
            </w:pPr>
            <w:r w:rsidRPr="00561707">
              <w:rPr>
                <w:color w:val="000000"/>
                <w:sz w:val="20"/>
                <w:szCs w:val="20"/>
                <w:lang w:eastAsia="en-GB"/>
              </w:rPr>
              <w:t> </w:t>
            </w:r>
          </w:p>
        </w:tc>
        <w:tc>
          <w:tcPr>
            <w:tcW w:w="1673" w:type="dxa"/>
            <w:tcBorders>
              <w:top w:val="nil"/>
              <w:left w:val="nil"/>
              <w:bottom w:val="nil"/>
              <w:right w:val="single" w:sz="8" w:space="0" w:color="auto"/>
            </w:tcBorders>
            <w:shd w:val="clear" w:color="auto" w:fill="FFFFFF"/>
            <w:noWrap/>
            <w:tcMar>
              <w:top w:w="0" w:type="dxa"/>
              <w:left w:w="108" w:type="dxa"/>
              <w:bottom w:w="0" w:type="dxa"/>
              <w:right w:w="108" w:type="dxa"/>
            </w:tcMar>
            <w:vAlign w:val="bottom"/>
            <w:hideMark/>
          </w:tcPr>
          <w:p w:rsidR="007058D0" w:rsidRPr="00561707" w:rsidRDefault="007058D0" w:rsidP="007B70DC">
            <w:pPr>
              <w:jc w:val="right"/>
              <w:rPr>
                <w:color w:val="000000"/>
                <w:sz w:val="20"/>
                <w:szCs w:val="20"/>
                <w:lang w:eastAsia="en-GB"/>
              </w:rPr>
            </w:pPr>
            <w:r w:rsidRPr="00561707">
              <w:rPr>
                <w:color w:val="000000"/>
                <w:sz w:val="20"/>
                <w:szCs w:val="20"/>
                <w:lang w:eastAsia="en-GB"/>
              </w:rPr>
              <w:t> </w:t>
            </w:r>
          </w:p>
        </w:tc>
        <w:tc>
          <w:tcPr>
            <w:tcW w:w="1489" w:type="dxa"/>
            <w:shd w:val="clear" w:color="auto" w:fill="FFFFFF"/>
            <w:noWrap/>
            <w:tcMar>
              <w:top w:w="0" w:type="dxa"/>
              <w:left w:w="108" w:type="dxa"/>
              <w:bottom w:w="0" w:type="dxa"/>
              <w:right w:w="108" w:type="dxa"/>
            </w:tcMar>
            <w:vAlign w:val="bottom"/>
            <w:hideMark/>
          </w:tcPr>
          <w:p w:rsidR="007058D0" w:rsidRPr="00561707" w:rsidRDefault="007058D0" w:rsidP="007B70DC">
            <w:pPr>
              <w:jc w:val="right"/>
              <w:rPr>
                <w:color w:val="000000"/>
                <w:sz w:val="20"/>
                <w:szCs w:val="20"/>
                <w:lang w:eastAsia="en-GB"/>
              </w:rPr>
            </w:pPr>
            <w:r w:rsidRPr="00561707">
              <w:rPr>
                <w:color w:val="000000"/>
                <w:sz w:val="20"/>
                <w:szCs w:val="20"/>
                <w:lang w:eastAsia="en-GB"/>
              </w:rPr>
              <w:t> </w:t>
            </w:r>
          </w:p>
        </w:tc>
        <w:tc>
          <w:tcPr>
            <w:tcW w:w="1675" w:type="dxa"/>
            <w:tcBorders>
              <w:top w:val="nil"/>
              <w:left w:val="nil"/>
              <w:bottom w:val="nil"/>
              <w:right w:val="single" w:sz="8" w:space="0" w:color="auto"/>
            </w:tcBorders>
            <w:shd w:val="clear" w:color="auto" w:fill="FFFFFF"/>
            <w:noWrap/>
            <w:tcMar>
              <w:top w:w="0" w:type="dxa"/>
              <w:left w:w="108" w:type="dxa"/>
              <w:bottom w:w="0" w:type="dxa"/>
              <w:right w:w="108" w:type="dxa"/>
            </w:tcMar>
            <w:vAlign w:val="bottom"/>
            <w:hideMark/>
          </w:tcPr>
          <w:p w:rsidR="007058D0" w:rsidRPr="00561707" w:rsidRDefault="007058D0" w:rsidP="007B70DC">
            <w:pPr>
              <w:jc w:val="right"/>
              <w:rPr>
                <w:color w:val="000000"/>
                <w:sz w:val="20"/>
                <w:szCs w:val="20"/>
                <w:lang w:eastAsia="en-GB"/>
              </w:rPr>
            </w:pPr>
            <w:r w:rsidRPr="00561707">
              <w:rPr>
                <w:color w:val="000000"/>
                <w:sz w:val="20"/>
                <w:szCs w:val="20"/>
                <w:lang w:eastAsia="en-GB"/>
              </w:rPr>
              <w:t> </w:t>
            </w:r>
          </w:p>
        </w:tc>
      </w:tr>
      <w:tr w:rsidR="007058D0" w:rsidRPr="00561707" w:rsidTr="00891A96">
        <w:trPr>
          <w:trHeight w:val="68"/>
        </w:trPr>
        <w:tc>
          <w:tcPr>
            <w:tcW w:w="3818" w:type="dxa"/>
            <w:tcBorders>
              <w:top w:val="nil"/>
              <w:left w:val="single" w:sz="8" w:space="0" w:color="auto"/>
              <w:bottom w:val="nil"/>
              <w:right w:val="nil"/>
            </w:tcBorders>
            <w:shd w:val="clear" w:color="auto" w:fill="FFFFFF"/>
            <w:noWrap/>
            <w:tcMar>
              <w:top w:w="0" w:type="dxa"/>
              <w:left w:w="108" w:type="dxa"/>
              <w:bottom w:w="0" w:type="dxa"/>
              <w:right w:w="108" w:type="dxa"/>
            </w:tcMar>
            <w:vAlign w:val="bottom"/>
            <w:hideMark/>
          </w:tcPr>
          <w:p w:rsidR="007058D0" w:rsidRPr="00561707" w:rsidRDefault="007058D0" w:rsidP="00891A96">
            <w:pPr>
              <w:rPr>
                <w:color w:val="000000"/>
                <w:sz w:val="20"/>
                <w:szCs w:val="20"/>
                <w:lang w:eastAsia="en-GB"/>
              </w:rPr>
            </w:pPr>
            <w:r w:rsidRPr="00561707">
              <w:rPr>
                <w:color w:val="000000"/>
                <w:sz w:val="20"/>
                <w:szCs w:val="20"/>
                <w:lang w:eastAsia="en-GB"/>
              </w:rPr>
              <w:t xml:space="preserve">- Loans </w:t>
            </w:r>
          </w:p>
        </w:tc>
        <w:tc>
          <w:tcPr>
            <w:tcW w:w="1433" w:type="dxa"/>
            <w:tcBorders>
              <w:top w:val="nil"/>
              <w:left w:val="single" w:sz="8" w:space="0" w:color="auto"/>
              <w:bottom w:val="nil"/>
              <w:right w:val="nil"/>
            </w:tcBorders>
            <w:shd w:val="clear" w:color="auto" w:fill="FFFFFF"/>
            <w:noWrap/>
            <w:tcMar>
              <w:top w:w="0" w:type="dxa"/>
              <w:left w:w="108" w:type="dxa"/>
              <w:bottom w:w="0" w:type="dxa"/>
              <w:right w:w="108" w:type="dxa"/>
            </w:tcMar>
            <w:vAlign w:val="bottom"/>
            <w:hideMark/>
          </w:tcPr>
          <w:p w:rsidR="007058D0" w:rsidRPr="00561707" w:rsidRDefault="007058D0" w:rsidP="007B70DC">
            <w:pPr>
              <w:ind w:left="312"/>
              <w:jc w:val="right"/>
              <w:rPr>
                <w:sz w:val="20"/>
                <w:szCs w:val="20"/>
                <w:lang w:eastAsia="en-GB"/>
              </w:rPr>
            </w:pPr>
            <w:r w:rsidRPr="00561707">
              <w:rPr>
                <w:sz w:val="20"/>
                <w:szCs w:val="20"/>
                <w:lang w:eastAsia="en-GB"/>
              </w:rPr>
              <w:t xml:space="preserve">-   </w:t>
            </w:r>
          </w:p>
        </w:tc>
        <w:tc>
          <w:tcPr>
            <w:tcW w:w="1673" w:type="dxa"/>
            <w:tcBorders>
              <w:top w:val="nil"/>
              <w:left w:val="nil"/>
              <w:bottom w:val="nil"/>
              <w:right w:val="single" w:sz="8" w:space="0" w:color="auto"/>
            </w:tcBorders>
            <w:shd w:val="clear" w:color="auto" w:fill="FFFFFF"/>
            <w:noWrap/>
            <w:tcMar>
              <w:top w:w="0" w:type="dxa"/>
              <w:left w:w="108" w:type="dxa"/>
              <w:bottom w:w="0" w:type="dxa"/>
              <w:right w:w="108" w:type="dxa"/>
            </w:tcMar>
            <w:vAlign w:val="bottom"/>
            <w:hideMark/>
          </w:tcPr>
          <w:p w:rsidR="007058D0" w:rsidRPr="00561707" w:rsidRDefault="007058D0" w:rsidP="007B70DC">
            <w:pPr>
              <w:jc w:val="right"/>
              <w:rPr>
                <w:sz w:val="20"/>
                <w:szCs w:val="20"/>
                <w:lang w:eastAsia="en-GB"/>
              </w:rPr>
            </w:pPr>
            <w:r w:rsidRPr="00561707">
              <w:rPr>
                <w:sz w:val="20"/>
                <w:szCs w:val="20"/>
                <w:lang w:eastAsia="en-GB"/>
              </w:rPr>
              <w:t xml:space="preserve">-   </w:t>
            </w:r>
          </w:p>
        </w:tc>
        <w:tc>
          <w:tcPr>
            <w:tcW w:w="1489" w:type="dxa"/>
            <w:shd w:val="clear" w:color="auto" w:fill="FFFFFF"/>
            <w:noWrap/>
            <w:tcMar>
              <w:top w:w="0" w:type="dxa"/>
              <w:left w:w="108" w:type="dxa"/>
              <w:bottom w:w="0" w:type="dxa"/>
              <w:right w:w="108" w:type="dxa"/>
            </w:tcMar>
            <w:vAlign w:val="bottom"/>
            <w:hideMark/>
          </w:tcPr>
          <w:p w:rsidR="007058D0" w:rsidRPr="00561707" w:rsidRDefault="007058D0" w:rsidP="007B70DC">
            <w:pPr>
              <w:jc w:val="right"/>
              <w:rPr>
                <w:sz w:val="20"/>
                <w:szCs w:val="20"/>
                <w:lang w:eastAsia="en-GB"/>
              </w:rPr>
            </w:pPr>
            <w:r w:rsidRPr="00561707">
              <w:rPr>
                <w:sz w:val="20"/>
                <w:szCs w:val="20"/>
                <w:lang w:eastAsia="en-GB"/>
              </w:rPr>
              <w:t xml:space="preserve">- </w:t>
            </w:r>
          </w:p>
        </w:tc>
        <w:tc>
          <w:tcPr>
            <w:tcW w:w="1675" w:type="dxa"/>
            <w:tcBorders>
              <w:top w:val="nil"/>
              <w:left w:val="nil"/>
              <w:bottom w:val="nil"/>
              <w:right w:val="single" w:sz="8" w:space="0" w:color="auto"/>
            </w:tcBorders>
            <w:shd w:val="clear" w:color="auto" w:fill="FFFFFF"/>
            <w:noWrap/>
            <w:tcMar>
              <w:top w:w="0" w:type="dxa"/>
              <w:left w:w="108" w:type="dxa"/>
              <w:bottom w:w="0" w:type="dxa"/>
              <w:right w:w="108" w:type="dxa"/>
            </w:tcMar>
            <w:vAlign w:val="bottom"/>
            <w:hideMark/>
          </w:tcPr>
          <w:p w:rsidR="007058D0" w:rsidRPr="00561707" w:rsidRDefault="007058D0" w:rsidP="007B70DC">
            <w:pPr>
              <w:jc w:val="right"/>
              <w:rPr>
                <w:sz w:val="20"/>
                <w:szCs w:val="20"/>
                <w:lang w:eastAsia="en-GB"/>
              </w:rPr>
            </w:pPr>
            <w:r w:rsidRPr="00561707">
              <w:rPr>
                <w:sz w:val="20"/>
                <w:szCs w:val="20"/>
                <w:lang w:eastAsia="en-GB"/>
              </w:rPr>
              <w:t xml:space="preserve">61.0 </w:t>
            </w:r>
          </w:p>
        </w:tc>
      </w:tr>
      <w:tr w:rsidR="007058D0" w:rsidRPr="00561707" w:rsidTr="00891A96">
        <w:trPr>
          <w:trHeight w:val="245"/>
        </w:trPr>
        <w:tc>
          <w:tcPr>
            <w:tcW w:w="3818" w:type="dxa"/>
            <w:tcBorders>
              <w:top w:val="nil"/>
              <w:left w:val="single" w:sz="8" w:space="0" w:color="auto"/>
              <w:bottom w:val="nil"/>
              <w:right w:val="nil"/>
            </w:tcBorders>
            <w:shd w:val="clear" w:color="auto" w:fill="FFFFFF"/>
            <w:noWrap/>
            <w:tcMar>
              <w:top w:w="0" w:type="dxa"/>
              <w:left w:w="108" w:type="dxa"/>
              <w:bottom w:w="0" w:type="dxa"/>
              <w:right w:w="108" w:type="dxa"/>
            </w:tcMar>
            <w:vAlign w:val="bottom"/>
            <w:hideMark/>
          </w:tcPr>
          <w:p w:rsidR="007058D0" w:rsidRPr="00561707" w:rsidRDefault="007058D0" w:rsidP="00891A96">
            <w:pPr>
              <w:rPr>
                <w:color w:val="000000"/>
                <w:sz w:val="20"/>
                <w:szCs w:val="20"/>
                <w:lang w:eastAsia="en-GB"/>
              </w:rPr>
            </w:pPr>
            <w:r w:rsidRPr="00561707">
              <w:rPr>
                <w:color w:val="000000"/>
                <w:sz w:val="20"/>
                <w:szCs w:val="20"/>
                <w:lang w:eastAsia="en-GB"/>
              </w:rPr>
              <w:t>- Other Investments</w:t>
            </w:r>
          </w:p>
        </w:tc>
        <w:tc>
          <w:tcPr>
            <w:tcW w:w="1433" w:type="dxa"/>
            <w:tcBorders>
              <w:top w:val="nil"/>
              <w:left w:val="single" w:sz="8" w:space="0" w:color="auto"/>
              <w:bottom w:val="nil"/>
              <w:right w:val="nil"/>
            </w:tcBorders>
            <w:shd w:val="clear" w:color="auto" w:fill="FFFFFF"/>
            <w:noWrap/>
            <w:tcMar>
              <w:top w:w="0" w:type="dxa"/>
              <w:left w:w="108" w:type="dxa"/>
              <w:bottom w:w="0" w:type="dxa"/>
              <w:right w:w="108" w:type="dxa"/>
            </w:tcMar>
            <w:vAlign w:val="bottom"/>
            <w:hideMark/>
          </w:tcPr>
          <w:p w:rsidR="007058D0" w:rsidRPr="00561707" w:rsidRDefault="007058D0" w:rsidP="007B70DC">
            <w:pPr>
              <w:ind w:left="312"/>
              <w:jc w:val="right"/>
              <w:rPr>
                <w:sz w:val="20"/>
                <w:szCs w:val="20"/>
                <w:lang w:eastAsia="en-GB"/>
              </w:rPr>
            </w:pPr>
            <w:r w:rsidRPr="00561707">
              <w:rPr>
                <w:sz w:val="20"/>
                <w:szCs w:val="20"/>
                <w:lang w:eastAsia="en-GB"/>
              </w:rPr>
              <w:t xml:space="preserve">0.3 </w:t>
            </w:r>
          </w:p>
        </w:tc>
        <w:tc>
          <w:tcPr>
            <w:tcW w:w="1673" w:type="dxa"/>
            <w:tcBorders>
              <w:top w:val="nil"/>
              <w:left w:val="nil"/>
              <w:bottom w:val="nil"/>
              <w:right w:val="single" w:sz="8" w:space="0" w:color="auto"/>
            </w:tcBorders>
            <w:shd w:val="clear" w:color="auto" w:fill="FFFFFF"/>
            <w:noWrap/>
            <w:tcMar>
              <w:top w:w="0" w:type="dxa"/>
              <w:left w:w="108" w:type="dxa"/>
              <w:bottom w:w="0" w:type="dxa"/>
              <w:right w:w="108" w:type="dxa"/>
            </w:tcMar>
            <w:vAlign w:val="bottom"/>
            <w:hideMark/>
          </w:tcPr>
          <w:p w:rsidR="007058D0" w:rsidRPr="00561707" w:rsidRDefault="007058D0" w:rsidP="007B70DC">
            <w:pPr>
              <w:jc w:val="right"/>
              <w:rPr>
                <w:sz w:val="20"/>
                <w:szCs w:val="20"/>
                <w:lang w:eastAsia="en-GB"/>
              </w:rPr>
            </w:pPr>
            <w:r w:rsidRPr="00561707">
              <w:rPr>
                <w:sz w:val="20"/>
                <w:szCs w:val="20"/>
                <w:lang w:eastAsia="en-GB"/>
              </w:rPr>
              <w:t xml:space="preserve">0.3 </w:t>
            </w:r>
          </w:p>
        </w:tc>
        <w:tc>
          <w:tcPr>
            <w:tcW w:w="1489" w:type="dxa"/>
            <w:shd w:val="clear" w:color="auto" w:fill="FFFFFF"/>
            <w:noWrap/>
            <w:tcMar>
              <w:top w:w="0" w:type="dxa"/>
              <w:left w:w="108" w:type="dxa"/>
              <w:bottom w:w="0" w:type="dxa"/>
              <w:right w:w="108" w:type="dxa"/>
            </w:tcMar>
            <w:vAlign w:val="bottom"/>
            <w:hideMark/>
          </w:tcPr>
          <w:p w:rsidR="007058D0" w:rsidRPr="00561707" w:rsidRDefault="007058D0" w:rsidP="007B70DC">
            <w:pPr>
              <w:jc w:val="right"/>
              <w:rPr>
                <w:sz w:val="20"/>
                <w:szCs w:val="20"/>
                <w:lang w:eastAsia="en-GB"/>
              </w:rPr>
            </w:pPr>
            <w:r w:rsidRPr="00561707">
              <w:rPr>
                <w:sz w:val="20"/>
                <w:szCs w:val="20"/>
                <w:lang w:eastAsia="en-GB"/>
              </w:rPr>
              <w:t xml:space="preserve">-   </w:t>
            </w:r>
          </w:p>
        </w:tc>
        <w:tc>
          <w:tcPr>
            <w:tcW w:w="1675" w:type="dxa"/>
            <w:tcBorders>
              <w:top w:val="nil"/>
              <w:left w:val="nil"/>
              <w:bottom w:val="nil"/>
              <w:right w:val="single" w:sz="8" w:space="0" w:color="auto"/>
            </w:tcBorders>
            <w:shd w:val="clear" w:color="auto" w:fill="FFFFFF"/>
            <w:noWrap/>
            <w:tcMar>
              <w:top w:w="0" w:type="dxa"/>
              <w:left w:w="108" w:type="dxa"/>
              <w:bottom w:w="0" w:type="dxa"/>
              <w:right w:w="108" w:type="dxa"/>
            </w:tcMar>
            <w:vAlign w:val="bottom"/>
            <w:hideMark/>
          </w:tcPr>
          <w:p w:rsidR="007058D0" w:rsidRPr="00561707" w:rsidRDefault="007058D0" w:rsidP="007B70DC">
            <w:pPr>
              <w:jc w:val="right"/>
              <w:rPr>
                <w:sz w:val="20"/>
                <w:szCs w:val="20"/>
                <w:lang w:eastAsia="en-GB"/>
              </w:rPr>
            </w:pPr>
            <w:r w:rsidRPr="00561707">
              <w:rPr>
                <w:sz w:val="20"/>
                <w:szCs w:val="20"/>
                <w:lang w:eastAsia="en-GB"/>
              </w:rPr>
              <w:t xml:space="preserve">-   </w:t>
            </w:r>
          </w:p>
        </w:tc>
      </w:tr>
      <w:tr w:rsidR="007058D0" w:rsidRPr="00561707" w:rsidTr="00891A96">
        <w:trPr>
          <w:trHeight w:val="245"/>
        </w:trPr>
        <w:tc>
          <w:tcPr>
            <w:tcW w:w="3818" w:type="dxa"/>
            <w:tcBorders>
              <w:top w:val="nil"/>
              <w:left w:val="single" w:sz="8" w:space="0" w:color="auto"/>
              <w:bottom w:val="nil"/>
              <w:right w:val="nil"/>
            </w:tcBorders>
            <w:shd w:val="clear" w:color="auto" w:fill="FFFFFF"/>
            <w:noWrap/>
            <w:tcMar>
              <w:top w:w="0" w:type="dxa"/>
              <w:left w:w="108" w:type="dxa"/>
              <w:bottom w:w="0" w:type="dxa"/>
              <w:right w:w="108" w:type="dxa"/>
            </w:tcMar>
            <w:vAlign w:val="bottom"/>
            <w:hideMark/>
          </w:tcPr>
          <w:p w:rsidR="007058D0" w:rsidRPr="00561707" w:rsidRDefault="007058D0" w:rsidP="00891A96">
            <w:pPr>
              <w:rPr>
                <w:color w:val="000000"/>
                <w:sz w:val="20"/>
                <w:szCs w:val="20"/>
                <w:lang w:eastAsia="en-GB"/>
              </w:rPr>
            </w:pPr>
            <w:r w:rsidRPr="00561707">
              <w:rPr>
                <w:color w:val="000000"/>
                <w:sz w:val="20"/>
                <w:szCs w:val="20"/>
                <w:lang w:eastAsia="en-GB"/>
              </w:rPr>
              <w:t>- Accrued Interest</w:t>
            </w:r>
          </w:p>
        </w:tc>
        <w:tc>
          <w:tcPr>
            <w:tcW w:w="1433" w:type="dxa"/>
            <w:tcBorders>
              <w:top w:val="nil"/>
              <w:left w:val="single" w:sz="8" w:space="0" w:color="auto"/>
              <w:bottom w:val="nil"/>
              <w:right w:val="nil"/>
            </w:tcBorders>
            <w:shd w:val="clear" w:color="auto" w:fill="FFFFFF"/>
            <w:noWrap/>
            <w:tcMar>
              <w:top w:w="0" w:type="dxa"/>
              <w:left w:w="108" w:type="dxa"/>
              <w:bottom w:w="0" w:type="dxa"/>
              <w:right w:w="108" w:type="dxa"/>
            </w:tcMar>
            <w:vAlign w:val="bottom"/>
            <w:hideMark/>
          </w:tcPr>
          <w:p w:rsidR="007058D0" w:rsidRPr="00561707" w:rsidRDefault="007058D0" w:rsidP="007B70DC">
            <w:pPr>
              <w:ind w:left="312"/>
              <w:jc w:val="right"/>
              <w:rPr>
                <w:sz w:val="20"/>
                <w:szCs w:val="20"/>
                <w:lang w:eastAsia="en-GB"/>
              </w:rPr>
            </w:pPr>
            <w:r w:rsidRPr="00561707">
              <w:rPr>
                <w:sz w:val="20"/>
                <w:szCs w:val="20"/>
                <w:lang w:eastAsia="en-GB"/>
              </w:rPr>
              <w:t xml:space="preserve">-   </w:t>
            </w:r>
          </w:p>
        </w:tc>
        <w:tc>
          <w:tcPr>
            <w:tcW w:w="1673" w:type="dxa"/>
            <w:tcBorders>
              <w:top w:val="nil"/>
              <w:left w:val="nil"/>
              <w:bottom w:val="nil"/>
              <w:right w:val="single" w:sz="8" w:space="0" w:color="auto"/>
            </w:tcBorders>
            <w:shd w:val="clear" w:color="auto" w:fill="FFFFFF"/>
            <w:noWrap/>
            <w:tcMar>
              <w:top w:w="0" w:type="dxa"/>
              <w:left w:w="108" w:type="dxa"/>
              <w:bottom w:w="0" w:type="dxa"/>
              <w:right w:w="108" w:type="dxa"/>
            </w:tcMar>
            <w:vAlign w:val="bottom"/>
            <w:hideMark/>
          </w:tcPr>
          <w:p w:rsidR="007058D0" w:rsidRPr="00561707" w:rsidRDefault="007058D0" w:rsidP="007B70DC">
            <w:pPr>
              <w:jc w:val="right"/>
              <w:rPr>
                <w:sz w:val="20"/>
                <w:szCs w:val="20"/>
                <w:lang w:eastAsia="en-GB"/>
              </w:rPr>
            </w:pPr>
            <w:r w:rsidRPr="00561707">
              <w:rPr>
                <w:sz w:val="20"/>
                <w:szCs w:val="20"/>
                <w:lang w:eastAsia="en-GB"/>
              </w:rPr>
              <w:t xml:space="preserve">-   </w:t>
            </w:r>
          </w:p>
        </w:tc>
        <w:tc>
          <w:tcPr>
            <w:tcW w:w="1489" w:type="dxa"/>
            <w:shd w:val="clear" w:color="auto" w:fill="FFFFFF"/>
            <w:noWrap/>
            <w:tcMar>
              <w:top w:w="0" w:type="dxa"/>
              <w:left w:w="108" w:type="dxa"/>
              <w:bottom w:w="0" w:type="dxa"/>
              <w:right w:w="108" w:type="dxa"/>
            </w:tcMar>
            <w:vAlign w:val="bottom"/>
            <w:hideMark/>
          </w:tcPr>
          <w:p w:rsidR="007058D0" w:rsidRPr="00561707" w:rsidRDefault="007058D0" w:rsidP="007B70DC">
            <w:pPr>
              <w:jc w:val="right"/>
              <w:rPr>
                <w:sz w:val="20"/>
                <w:szCs w:val="20"/>
                <w:lang w:eastAsia="en-GB"/>
              </w:rPr>
            </w:pPr>
            <w:r w:rsidRPr="00561707">
              <w:rPr>
                <w:sz w:val="20"/>
                <w:szCs w:val="20"/>
                <w:lang w:eastAsia="en-GB"/>
              </w:rPr>
              <w:t xml:space="preserve">-   </w:t>
            </w:r>
          </w:p>
        </w:tc>
        <w:tc>
          <w:tcPr>
            <w:tcW w:w="1675" w:type="dxa"/>
            <w:tcBorders>
              <w:top w:val="nil"/>
              <w:left w:val="nil"/>
              <w:bottom w:val="nil"/>
              <w:right w:val="single" w:sz="8" w:space="0" w:color="auto"/>
            </w:tcBorders>
            <w:shd w:val="clear" w:color="auto" w:fill="FFFFFF"/>
            <w:noWrap/>
            <w:tcMar>
              <w:top w:w="0" w:type="dxa"/>
              <w:left w:w="108" w:type="dxa"/>
              <w:bottom w:w="0" w:type="dxa"/>
              <w:right w:w="108" w:type="dxa"/>
            </w:tcMar>
            <w:vAlign w:val="bottom"/>
            <w:hideMark/>
          </w:tcPr>
          <w:p w:rsidR="007058D0" w:rsidRPr="00561707" w:rsidRDefault="007058D0" w:rsidP="007B70DC">
            <w:pPr>
              <w:jc w:val="right"/>
              <w:rPr>
                <w:sz w:val="20"/>
                <w:szCs w:val="20"/>
                <w:lang w:eastAsia="en-GB"/>
              </w:rPr>
            </w:pPr>
            <w:r w:rsidRPr="00561707">
              <w:rPr>
                <w:sz w:val="20"/>
                <w:szCs w:val="20"/>
                <w:lang w:eastAsia="en-GB"/>
              </w:rPr>
              <w:t>-</w:t>
            </w:r>
          </w:p>
        </w:tc>
      </w:tr>
      <w:tr w:rsidR="007058D0" w:rsidRPr="00561707" w:rsidTr="00891A96">
        <w:trPr>
          <w:trHeight w:val="245"/>
        </w:trPr>
        <w:tc>
          <w:tcPr>
            <w:tcW w:w="3818" w:type="dxa"/>
            <w:tcBorders>
              <w:top w:val="nil"/>
              <w:left w:val="single" w:sz="8" w:space="0" w:color="auto"/>
              <w:bottom w:val="nil"/>
              <w:right w:val="nil"/>
            </w:tcBorders>
            <w:shd w:val="clear" w:color="auto" w:fill="FFFFFF"/>
            <w:noWrap/>
            <w:tcMar>
              <w:top w:w="0" w:type="dxa"/>
              <w:left w:w="108" w:type="dxa"/>
              <w:bottom w:w="0" w:type="dxa"/>
              <w:right w:w="108" w:type="dxa"/>
            </w:tcMar>
            <w:vAlign w:val="bottom"/>
            <w:hideMark/>
          </w:tcPr>
          <w:p w:rsidR="007058D0" w:rsidRPr="00561707" w:rsidRDefault="007058D0" w:rsidP="00891A96">
            <w:pPr>
              <w:rPr>
                <w:color w:val="000000"/>
                <w:sz w:val="20"/>
                <w:szCs w:val="20"/>
                <w:lang w:eastAsia="en-GB"/>
              </w:rPr>
            </w:pPr>
            <w:r w:rsidRPr="00561707">
              <w:rPr>
                <w:color w:val="000000"/>
                <w:sz w:val="20"/>
                <w:szCs w:val="20"/>
                <w:lang w:eastAsia="en-GB"/>
              </w:rPr>
              <w:t xml:space="preserve">At fair value through profit &amp; loss: </w:t>
            </w:r>
          </w:p>
        </w:tc>
        <w:tc>
          <w:tcPr>
            <w:tcW w:w="1433" w:type="dxa"/>
            <w:tcBorders>
              <w:top w:val="nil"/>
              <w:left w:val="single" w:sz="8" w:space="0" w:color="auto"/>
              <w:bottom w:val="nil"/>
              <w:right w:val="nil"/>
            </w:tcBorders>
            <w:shd w:val="clear" w:color="auto" w:fill="FFFFFF"/>
            <w:noWrap/>
            <w:tcMar>
              <w:top w:w="0" w:type="dxa"/>
              <w:left w:w="108" w:type="dxa"/>
              <w:bottom w:w="0" w:type="dxa"/>
              <w:right w:w="108" w:type="dxa"/>
            </w:tcMar>
            <w:vAlign w:val="bottom"/>
            <w:hideMark/>
          </w:tcPr>
          <w:p w:rsidR="007058D0" w:rsidRPr="00561707" w:rsidRDefault="007058D0" w:rsidP="007B70DC">
            <w:pPr>
              <w:ind w:left="312"/>
              <w:jc w:val="right"/>
              <w:rPr>
                <w:sz w:val="20"/>
                <w:szCs w:val="20"/>
                <w:lang w:eastAsia="en-GB"/>
              </w:rPr>
            </w:pPr>
            <w:r w:rsidRPr="00561707">
              <w:rPr>
                <w:color w:val="000000"/>
                <w:sz w:val="20"/>
                <w:szCs w:val="20"/>
                <w:lang w:eastAsia="en-GB"/>
              </w:rPr>
              <w:t> </w:t>
            </w:r>
          </w:p>
        </w:tc>
        <w:tc>
          <w:tcPr>
            <w:tcW w:w="1673" w:type="dxa"/>
            <w:tcBorders>
              <w:top w:val="nil"/>
              <w:left w:val="nil"/>
              <w:bottom w:val="nil"/>
              <w:right w:val="single" w:sz="8" w:space="0" w:color="auto"/>
            </w:tcBorders>
            <w:shd w:val="clear" w:color="auto" w:fill="FFFFFF"/>
            <w:noWrap/>
            <w:tcMar>
              <w:top w:w="0" w:type="dxa"/>
              <w:left w:w="108" w:type="dxa"/>
              <w:bottom w:w="0" w:type="dxa"/>
              <w:right w:w="108" w:type="dxa"/>
            </w:tcMar>
            <w:vAlign w:val="bottom"/>
            <w:hideMark/>
          </w:tcPr>
          <w:p w:rsidR="007058D0" w:rsidRPr="00561707" w:rsidRDefault="007058D0" w:rsidP="007B70DC">
            <w:pPr>
              <w:jc w:val="right"/>
              <w:rPr>
                <w:sz w:val="20"/>
                <w:szCs w:val="20"/>
                <w:lang w:eastAsia="en-GB"/>
              </w:rPr>
            </w:pPr>
            <w:r w:rsidRPr="00561707">
              <w:rPr>
                <w:color w:val="000000"/>
                <w:sz w:val="20"/>
                <w:szCs w:val="20"/>
                <w:lang w:eastAsia="en-GB"/>
              </w:rPr>
              <w:t> </w:t>
            </w:r>
          </w:p>
        </w:tc>
        <w:tc>
          <w:tcPr>
            <w:tcW w:w="1489" w:type="dxa"/>
            <w:shd w:val="clear" w:color="auto" w:fill="FFFFFF"/>
            <w:noWrap/>
            <w:tcMar>
              <w:top w:w="0" w:type="dxa"/>
              <w:left w:w="108" w:type="dxa"/>
              <w:bottom w:w="0" w:type="dxa"/>
              <w:right w:w="108" w:type="dxa"/>
            </w:tcMar>
            <w:vAlign w:val="bottom"/>
            <w:hideMark/>
          </w:tcPr>
          <w:p w:rsidR="007058D0" w:rsidRPr="00561707" w:rsidRDefault="007058D0" w:rsidP="007B70DC">
            <w:pPr>
              <w:jc w:val="right"/>
              <w:rPr>
                <w:sz w:val="20"/>
                <w:szCs w:val="20"/>
                <w:lang w:eastAsia="en-GB"/>
              </w:rPr>
            </w:pPr>
            <w:r w:rsidRPr="00561707">
              <w:rPr>
                <w:color w:val="000000"/>
                <w:sz w:val="20"/>
                <w:szCs w:val="20"/>
                <w:lang w:eastAsia="en-GB"/>
              </w:rPr>
              <w:t> </w:t>
            </w:r>
          </w:p>
        </w:tc>
        <w:tc>
          <w:tcPr>
            <w:tcW w:w="1675" w:type="dxa"/>
            <w:tcBorders>
              <w:top w:val="nil"/>
              <w:left w:val="nil"/>
              <w:bottom w:val="nil"/>
              <w:right w:val="single" w:sz="8" w:space="0" w:color="auto"/>
            </w:tcBorders>
            <w:shd w:val="clear" w:color="auto" w:fill="FFFFFF"/>
            <w:noWrap/>
            <w:tcMar>
              <w:top w:w="0" w:type="dxa"/>
              <w:left w:w="108" w:type="dxa"/>
              <w:bottom w:w="0" w:type="dxa"/>
              <w:right w:w="108" w:type="dxa"/>
            </w:tcMar>
            <w:vAlign w:val="bottom"/>
            <w:hideMark/>
          </w:tcPr>
          <w:p w:rsidR="007058D0" w:rsidRPr="00561707" w:rsidRDefault="007058D0" w:rsidP="007B70DC">
            <w:pPr>
              <w:jc w:val="right"/>
              <w:rPr>
                <w:sz w:val="20"/>
                <w:szCs w:val="20"/>
                <w:lang w:eastAsia="en-GB"/>
              </w:rPr>
            </w:pPr>
            <w:r w:rsidRPr="00561707">
              <w:rPr>
                <w:color w:val="000000"/>
                <w:sz w:val="20"/>
                <w:szCs w:val="20"/>
                <w:lang w:eastAsia="en-GB"/>
              </w:rPr>
              <w:t> </w:t>
            </w:r>
          </w:p>
        </w:tc>
      </w:tr>
      <w:tr w:rsidR="007058D0" w:rsidRPr="00561707" w:rsidTr="00891A96">
        <w:trPr>
          <w:trHeight w:val="245"/>
        </w:trPr>
        <w:tc>
          <w:tcPr>
            <w:tcW w:w="3818" w:type="dxa"/>
            <w:tcBorders>
              <w:top w:val="nil"/>
              <w:left w:val="single" w:sz="8" w:space="0" w:color="auto"/>
              <w:bottom w:val="nil"/>
              <w:right w:val="nil"/>
            </w:tcBorders>
            <w:shd w:val="clear" w:color="auto" w:fill="FFFFFF"/>
            <w:noWrap/>
            <w:tcMar>
              <w:top w:w="0" w:type="dxa"/>
              <w:left w:w="108" w:type="dxa"/>
              <w:bottom w:w="0" w:type="dxa"/>
              <w:right w:w="108" w:type="dxa"/>
            </w:tcMar>
            <w:vAlign w:val="bottom"/>
            <w:hideMark/>
          </w:tcPr>
          <w:p w:rsidR="007058D0" w:rsidRPr="00561707" w:rsidRDefault="007058D0" w:rsidP="00891A96">
            <w:pPr>
              <w:rPr>
                <w:color w:val="000000"/>
                <w:sz w:val="20"/>
                <w:szCs w:val="20"/>
                <w:lang w:eastAsia="en-GB"/>
              </w:rPr>
            </w:pPr>
            <w:r w:rsidRPr="00561707">
              <w:rPr>
                <w:color w:val="000000"/>
                <w:sz w:val="20"/>
                <w:szCs w:val="20"/>
                <w:lang w:eastAsia="en-GB"/>
              </w:rPr>
              <w:t>- Investments in Subsidiaries</w:t>
            </w:r>
          </w:p>
        </w:tc>
        <w:tc>
          <w:tcPr>
            <w:tcW w:w="1433" w:type="dxa"/>
            <w:tcBorders>
              <w:top w:val="nil"/>
              <w:left w:val="single" w:sz="8" w:space="0" w:color="auto"/>
              <w:bottom w:val="nil"/>
              <w:right w:val="nil"/>
            </w:tcBorders>
            <w:shd w:val="clear" w:color="auto" w:fill="FFFFFF"/>
            <w:noWrap/>
            <w:tcMar>
              <w:top w:w="0" w:type="dxa"/>
              <w:left w:w="108" w:type="dxa"/>
              <w:bottom w:w="0" w:type="dxa"/>
              <w:right w:w="108" w:type="dxa"/>
            </w:tcMar>
            <w:vAlign w:val="bottom"/>
            <w:hideMark/>
          </w:tcPr>
          <w:p w:rsidR="007058D0" w:rsidRPr="00561707" w:rsidRDefault="007058D0" w:rsidP="007B70DC">
            <w:pPr>
              <w:ind w:left="312"/>
              <w:jc w:val="right"/>
              <w:rPr>
                <w:sz w:val="20"/>
                <w:szCs w:val="20"/>
                <w:lang w:eastAsia="en-GB"/>
              </w:rPr>
            </w:pPr>
            <w:r w:rsidRPr="00561707">
              <w:rPr>
                <w:sz w:val="20"/>
                <w:szCs w:val="20"/>
                <w:lang w:eastAsia="en-GB"/>
              </w:rPr>
              <w:t xml:space="preserve">62.1 </w:t>
            </w:r>
          </w:p>
        </w:tc>
        <w:tc>
          <w:tcPr>
            <w:tcW w:w="1673" w:type="dxa"/>
            <w:tcBorders>
              <w:top w:val="nil"/>
              <w:left w:val="nil"/>
              <w:bottom w:val="nil"/>
              <w:right w:val="single" w:sz="8" w:space="0" w:color="auto"/>
            </w:tcBorders>
            <w:shd w:val="clear" w:color="auto" w:fill="FFFFFF"/>
            <w:noWrap/>
            <w:tcMar>
              <w:top w:w="0" w:type="dxa"/>
              <w:left w:w="108" w:type="dxa"/>
              <w:bottom w:w="0" w:type="dxa"/>
              <w:right w:w="108" w:type="dxa"/>
            </w:tcMar>
            <w:vAlign w:val="bottom"/>
            <w:hideMark/>
          </w:tcPr>
          <w:p w:rsidR="007058D0" w:rsidRPr="00561707" w:rsidRDefault="007058D0" w:rsidP="007B70DC">
            <w:pPr>
              <w:jc w:val="right"/>
              <w:rPr>
                <w:sz w:val="20"/>
                <w:szCs w:val="20"/>
                <w:lang w:eastAsia="en-GB"/>
              </w:rPr>
            </w:pPr>
            <w:r w:rsidRPr="00561707">
              <w:rPr>
                <w:sz w:val="20"/>
                <w:szCs w:val="20"/>
                <w:lang w:eastAsia="en-GB"/>
              </w:rPr>
              <w:t xml:space="preserve">23.1 </w:t>
            </w:r>
          </w:p>
        </w:tc>
        <w:tc>
          <w:tcPr>
            <w:tcW w:w="1489" w:type="dxa"/>
            <w:shd w:val="clear" w:color="auto" w:fill="FFFFFF"/>
            <w:noWrap/>
            <w:tcMar>
              <w:top w:w="0" w:type="dxa"/>
              <w:left w:w="108" w:type="dxa"/>
              <w:bottom w:w="0" w:type="dxa"/>
              <w:right w:w="108" w:type="dxa"/>
            </w:tcMar>
            <w:vAlign w:val="bottom"/>
            <w:hideMark/>
          </w:tcPr>
          <w:p w:rsidR="007058D0" w:rsidRPr="00561707" w:rsidRDefault="007058D0" w:rsidP="007B70DC">
            <w:pPr>
              <w:jc w:val="right"/>
              <w:rPr>
                <w:sz w:val="20"/>
                <w:szCs w:val="20"/>
                <w:lang w:eastAsia="en-GB"/>
              </w:rPr>
            </w:pPr>
            <w:r w:rsidRPr="00561707">
              <w:rPr>
                <w:sz w:val="20"/>
                <w:szCs w:val="20"/>
                <w:lang w:eastAsia="en-GB"/>
              </w:rPr>
              <w:t xml:space="preserve">-   </w:t>
            </w:r>
          </w:p>
        </w:tc>
        <w:tc>
          <w:tcPr>
            <w:tcW w:w="1675" w:type="dxa"/>
            <w:tcBorders>
              <w:top w:val="nil"/>
              <w:left w:val="nil"/>
              <w:bottom w:val="nil"/>
              <w:right w:val="single" w:sz="8" w:space="0" w:color="auto"/>
            </w:tcBorders>
            <w:shd w:val="clear" w:color="auto" w:fill="FFFFFF"/>
            <w:noWrap/>
            <w:tcMar>
              <w:top w:w="0" w:type="dxa"/>
              <w:left w:w="108" w:type="dxa"/>
              <w:bottom w:w="0" w:type="dxa"/>
              <w:right w:w="108" w:type="dxa"/>
            </w:tcMar>
            <w:vAlign w:val="bottom"/>
            <w:hideMark/>
          </w:tcPr>
          <w:p w:rsidR="007058D0" w:rsidRPr="00561707" w:rsidRDefault="007058D0" w:rsidP="007B70DC">
            <w:pPr>
              <w:jc w:val="right"/>
              <w:rPr>
                <w:sz w:val="20"/>
                <w:szCs w:val="20"/>
                <w:lang w:eastAsia="en-GB"/>
              </w:rPr>
            </w:pPr>
            <w:r w:rsidRPr="00561707">
              <w:rPr>
                <w:sz w:val="20"/>
                <w:szCs w:val="20"/>
                <w:lang w:eastAsia="en-GB"/>
              </w:rPr>
              <w:t xml:space="preserve">-   </w:t>
            </w:r>
          </w:p>
        </w:tc>
      </w:tr>
      <w:tr w:rsidR="007058D0" w:rsidRPr="00561707" w:rsidTr="00891A96">
        <w:trPr>
          <w:trHeight w:val="245"/>
        </w:trPr>
        <w:tc>
          <w:tcPr>
            <w:tcW w:w="3818" w:type="dxa"/>
            <w:tcBorders>
              <w:top w:val="single" w:sz="8" w:space="0" w:color="auto"/>
              <w:left w:val="single" w:sz="8" w:space="0" w:color="auto"/>
              <w:bottom w:val="single" w:sz="8" w:space="0" w:color="auto"/>
              <w:right w:val="nil"/>
            </w:tcBorders>
            <w:shd w:val="clear" w:color="auto" w:fill="FFFFFF"/>
            <w:noWrap/>
            <w:tcMar>
              <w:top w:w="0" w:type="dxa"/>
              <w:left w:w="108" w:type="dxa"/>
              <w:bottom w:w="0" w:type="dxa"/>
              <w:right w:w="108" w:type="dxa"/>
            </w:tcMar>
            <w:vAlign w:val="bottom"/>
            <w:hideMark/>
          </w:tcPr>
          <w:p w:rsidR="007058D0" w:rsidRPr="00561707" w:rsidRDefault="007058D0" w:rsidP="00891A96">
            <w:pPr>
              <w:rPr>
                <w:b/>
                <w:bCs/>
                <w:color w:val="000000"/>
                <w:sz w:val="20"/>
                <w:szCs w:val="20"/>
                <w:lang w:eastAsia="en-GB"/>
              </w:rPr>
            </w:pPr>
            <w:r w:rsidRPr="00561707">
              <w:rPr>
                <w:b/>
                <w:bCs/>
                <w:color w:val="000000"/>
                <w:sz w:val="20"/>
                <w:szCs w:val="20"/>
                <w:lang w:eastAsia="en-GB"/>
              </w:rPr>
              <w:t>Total Investments*</w:t>
            </w:r>
          </w:p>
        </w:tc>
        <w:tc>
          <w:tcPr>
            <w:tcW w:w="1433" w:type="dxa"/>
            <w:tcBorders>
              <w:top w:val="single" w:sz="8" w:space="0" w:color="auto"/>
              <w:left w:val="single" w:sz="8" w:space="0" w:color="auto"/>
              <w:bottom w:val="single" w:sz="8" w:space="0" w:color="auto"/>
              <w:right w:val="nil"/>
            </w:tcBorders>
            <w:shd w:val="clear" w:color="auto" w:fill="FFFFFF"/>
            <w:noWrap/>
            <w:tcMar>
              <w:top w:w="0" w:type="dxa"/>
              <w:left w:w="108" w:type="dxa"/>
              <w:bottom w:w="0" w:type="dxa"/>
              <w:right w:w="108" w:type="dxa"/>
            </w:tcMar>
            <w:vAlign w:val="bottom"/>
            <w:hideMark/>
          </w:tcPr>
          <w:p w:rsidR="007058D0" w:rsidRPr="00561707" w:rsidRDefault="007058D0" w:rsidP="007B70DC">
            <w:pPr>
              <w:ind w:left="312"/>
              <w:jc w:val="right"/>
              <w:rPr>
                <w:b/>
                <w:bCs/>
                <w:sz w:val="20"/>
                <w:szCs w:val="20"/>
                <w:lang w:eastAsia="en-GB"/>
              </w:rPr>
            </w:pPr>
            <w:r w:rsidRPr="00561707">
              <w:rPr>
                <w:b/>
                <w:bCs/>
                <w:sz w:val="20"/>
                <w:szCs w:val="20"/>
                <w:lang w:eastAsia="en-GB"/>
              </w:rPr>
              <w:t xml:space="preserve">62.6 </w:t>
            </w:r>
          </w:p>
        </w:tc>
        <w:tc>
          <w:tcPr>
            <w:tcW w:w="1673"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7058D0" w:rsidRPr="00561707" w:rsidRDefault="007058D0" w:rsidP="007B70DC">
            <w:pPr>
              <w:jc w:val="right"/>
              <w:rPr>
                <w:b/>
                <w:bCs/>
                <w:sz w:val="20"/>
                <w:szCs w:val="20"/>
                <w:lang w:eastAsia="en-GB"/>
              </w:rPr>
            </w:pPr>
            <w:r w:rsidRPr="00561707">
              <w:rPr>
                <w:b/>
                <w:bCs/>
                <w:sz w:val="20"/>
                <w:szCs w:val="20"/>
                <w:lang w:eastAsia="en-GB"/>
              </w:rPr>
              <w:t xml:space="preserve">23.4 </w:t>
            </w:r>
          </w:p>
        </w:tc>
        <w:tc>
          <w:tcPr>
            <w:tcW w:w="1489" w:type="dxa"/>
            <w:tcBorders>
              <w:top w:val="single" w:sz="8" w:space="0" w:color="auto"/>
              <w:left w:val="nil"/>
              <w:bottom w:val="single" w:sz="8" w:space="0" w:color="auto"/>
              <w:right w:val="nil"/>
            </w:tcBorders>
            <w:shd w:val="clear" w:color="auto" w:fill="FFFFFF"/>
            <w:noWrap/>
            <w:tcMar>
              <w:top w:w="0" w:type="dxa"/>
              <w:left w:w="108" w:type="dxa"/>
              <w:bottom w:w="0" w:type="dxa"/>
              <w:right w:w="108" w:type="dxa"/>
            </w:tcMar>
            <w:vAlign w:val="bottom"/>
            <w:hideMark/>
          </w:tcPr>
          <w:p w:rsidR="007058D0" w:rsidRPr="00561707" w:rsidRDefault="007058D0" w:rsidP="007B70DC">
            <w:pPr>
              <w:jc w:val="right"/>
              <w:rPr>
                <w:b/>
                <w:bCs/>
                <w:sz w:val="20"/>
                <w:szCs w:val="20"/>
                <w:lang w:eastAsia="en-GB"/>
              </w:rPr>
            </w:pPr>
            <w:r w:rsidRPr="00561707">
              <w:rPr>
                <w:b/>
                <w:bCs/>
                <w:sz w:val="20"/>
                <w:szCs w:val="20"/>
                <w:lang w:eastAsia="en-GB"/>
              </w:rPr>
              <w:t>0.0</w:t>
            </w:r>
          </w:p>
        </w:tc>
        <w:tc>
          <w:tcPr>
            <w:tcW w:w="1675"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7058D0" w:rsidRPr="00561707" w:rsidRDefault="007058D0" w:rsidP="007B70DC">
            <w:pPr>
              <w:jc w:val="right"/>
              <w:rPr>
                <w:b/>
                <w:bCs/>
                <w:sz w:val="20"/>
                <w:szCs w:val="20"/>
                <w:lang w:eastAsia="en-GB"/>
              </w:rPr>
            </w:pPr>
            <w:r w:rsidRPr="00561707">
              <w:rPr>
                <w:b/>
                <w:bCs/>
                <w:sz w:val="20"/>
                <w:szCs w:val="20"/>
                <w:lang w:eastAsia="en-GB"/>
              </w:rPr>
              <w:t xml:space="preserve">61.0 </w:t>
            </w:r>
          </w:p>
        </w:tc>
      </w:tr>
      <w:tr w:rsidR="007058D0" w:rsidRPr="00561707" w:rsidTr="00891A96">
        <w:trPr>
          <w:trHeight w:val="258"/>
        </w:trPr>
        <w:tc>
          <w:tcPr>
            <w:tcW w:w="3818" w:type="dxa"/>
            <w:tcBorders>
              <w:top w:val="nil"/>
              <w:left w:val="single" w:sz="8" w:space="0" w:color="auto"/>
              <w:bottom w:val="nil"/>
              <w:right w:val="nil"/>
            </w:tcBorders>
            <w:shd w:val="clear" w:color="auto" w:fill="FFFFFF"/>
            <w:noWrap/>
            <w:tcMar>
              <w:top w:w="0" w:type="dxa"/>
              <w:left w:w="108" w:type="dxa"/>
              <w:bottom w:w="0" w:type="dxa"/>
              <w:right w:w="108" w:type="dxa"/>
            </w:tcMar>
            <w:vAlign w:val="bottom"/>
            <w:hideMark/>
          </w:tcPr>
          <w:p w:rsidR="007058D0" w:rsidRPr="00561707" w:rsidRDefault="007058D0" w:rsidP="00891A96">
            <w:pPr>
              <w:rPr>
                <w:color w:val="000000"/>
                <w:sz w:val="20"/>
                <w:szCs w:val="20"/>
                <w:lang w:eastAsia="en-GB"/>
              </w:rPr>
            </w:pPr>
            <w:r w:rsidRPr="00561707">
              <w:rPr>
                <w:color w:val="000000"/>
                <w:sz w:val="20"/>
                <w:szCs w:val="20"/>
                <w:lang w:eastAsia="en-GB"/>
              </w:rPr>
              <w:t xml:space="preserve">At amortised cost: </w:t>
            </w:r>
          </w:p>
        </w:tc>
        <w:tc>
          <w:tcPr>
            <w:tcW w:w="1433" w:type="dxa"/>
            <w:tcBorders>
              <w:top w:val="nil"/>
              <w:left w:val="single" w:sz="8" w:space="0" w:color="auto"/>
              <w:bottom w:val="nil"/>
              <w:right w:val="nil"/>
            </w:tcBorders>
            <w:shd w:val="clear" w:color="auto" w:fill="FFFFFF"/>
            <w:noWrap/>
            <w:tcMar>
              <w:top w:w="0" w:type="dxa"/>
              <w:left w:w="108" w:type="dxa"/>
              <w:bottom w:w="0" w:type="dxa"/>
              <w:right w:w="108" w:type="dxa"/>
            </w:tcMar>
            <w:vAlign w:val="bottom"/>
          </w:tcPr>
          <w:p w:rsidR="007058D0" w:rsidRPr="00561707" w:rsidRDefault="007058D0" w:rsidP="007B70DC">
            <w:pPr>
              <w:ind w:left="312"/>
              <w:jc w:val="right"/>
              <w:rPr>
                <w:sz w:val="20"/>
                <w:szCs w:val="20"/>
                <w:lang w:eastAsia="en-GB"/>
              </w:rPr>
            </w:pPr>
          </w:p>
        </w:tc>
        <w:tc>
          <w:tcPr>
            <w:tcW w:w="1673" w:type="dxa"/>
            <w:tcBorders>
              <w:top w:val="nil"/>
              <w:left w:val="nil"/>
              <w:bottom w:val="nil"/>
              <w:right w:val="single" w:sz="8" w:space="0" w:color="auto"/>
            </w:tcBorders>
            <w:shd w:val="clear" w:color="auto" w:fill="FFFFFF"/>
            <w:noWrap/>
            <w:tcMar>
              <w:top w:w="0" w:type="dxa"/>
              <w:left w:w="108" w:type="dxa"/>
              <w:bottom w:w="0" w:type="dxa"/>
              <w:right w:w="108" w:type="dxa"/>
            </w:tcMar>
            <w:vAlign w:val="bottom"/>
          </w:tcPr>
          <w:p w:rsidR="007058D0" w:rsidRPr="00561707" w:rsidRDefault="007058D0" w:rsidP="007B70DC">
            <w:pPr>
              <w:jc w:val="right"/>
              <w:rPr>
                <w:sz w:val="20"/>
                <w:szCs w:val="20"/>
                <w:lang w:eastAsia="en-GB"/>
              </w:rPr>
            </w:pPr>
          </w:p>
        </w:tc>
        <w:tc>
          <w:tcPr>
            <w:tcW w:w="1489" w:type="dxa"/>
            <w:shd w:val="clear" w:color="auto" w:fill="FFFFFF"/>
            <w:noWrap/>
            <w:tcMar>
              <w:top w:w="0" w:type="dxa"/>
              <w:left w:w="108" w:type="dxa"/>
              <w:bottom w:w="0" w:type="dxa"/>
              <w:right w:w="108" w:type="dxa"/>
            </w:tcMar>
            <w:vAlign w:val="bottom"/>
            <w:hideMark/>
          </w:tcPr>
          <w:p w:rsidR="007058D0" w:rsidRPr="00561707" w:rsidRDefault="007058D0" w:rsidP="007B70DC">
            <w:pPr>
              <w:jc w:val="right"/>
              <w:rPr>
                <w:sz w:val="20"/>
                <w:szCs w:val="20"/>
                <w:lang w:eastAsia="en-GB"/>
              </w:rPr>
            </w:pPr>
          </w:p>
        </w:tc>
        <w:tc>
          <w:tcPr>
            <w:tcW w:w="1675" w:type="dxa"/>
            <w:tcBorders>
              <w:top w:val="nil"/>
              <w:left w:val="nil"/>
              <w:bottom w:val="nil"/>
              <w:right w:val="single" w:sz="8" w:space="0" w:color="auto"/>
            </w:tcBorders>
            <w:shd w:val="clear" w:color="auto" w:fill="FFFFFF"/>
            <w:noWrap/>
            <w:tcMar>
              <w:top w:w="0" w:type="dxa"/>
              <w:left w:w="108" w:type="dxa"/>
              <w:bottom w:w="0" w:type="dxa"/>
              <w:right w:w="108" w:type="dxa"/>
            </w:tcMar>
            <w:vAlign w:val="bottom"/>
            <w:hideMark/>
          </w:tcPr>
          <w:p w:rsidR="007058D0" w:rsidRPr="00561707" w:rsidRDefault="007058D0" w:rsidP="007B70DC">
            <w:pPr>
              <w:jc w:val="right"/>
              <w:rPr>
                <w:sz w:val="20"/>
                <w:szCs w:val="20"/>
                <w:lang w:eastAsia="en-GB"/>
              </w:rPr>
            </w:pPr>
          </w:p>
        </w:tc>
      </w:tr>
      <w:tr w:rsidR="007058D0" w:rsidRPr="00561707" w:rsidTr="00891A96">
        <w:trPr>
          <w:trHeight w:val="258"/>
        </w:trPr>
        <w:tc>
          <w:tcPr>
            <w:tcW w:w="3818" w:type="dxa"/>
            <w:tcBorders>
              <w:top w:val="nil"/>
              <w:left w:val="single" w:sz="8" w:space="0" w:color="auto"/>
              <w:bottom w:val="nil"/>
              <w:right w:val="nil"/>
            </w:tcBorders>
            <w:shd w:val="clear" w:color="auto" w:fill="FFFFFF"/>
            <w:noWrap/>
            <w:tcMar>
              <w:top w:w="0" w:type="dxa"/>
              <w:left w:w="108" w:type="dxa"/>
              <w:bottom w:w="0" w:type="dxa"/>
              <w:right w:w="108" w:type="dxa"/>
            </w:tcMar>
            <w:vAlign w:val="bottom"/>
            <w:hideMark/>
          </w:tcPr>
          <w:p w:rsidR="007058D0" w:rsidRPr="00561707" w:rsidRDefault="007058D0" w:rsidP="00891A96">
            <w:pPr>
              <w:rPr>
                <w:color w:val="000000"/>
                <w:sz w:val="20"/>
                <w:szCs w:val="20"/>
                <w:lang w:eastAsia="en-GB"/>
              </w:rPr>
            </w:pPr>
            <w:r w:rsidRPr="00561707">
              <w:rPr>
                <w:color w:val="000000"/>
                <w:sz w:val="20"/>
                <w:szCs w:val="20"/>
                <w:lang w:eastAsia="en-GB"/>
              </w:rPr>
              <w:t>- Cash in Hand</w:t>
            </w:r>
          </w:p>
        </w:tc>
        <w:tc>
          <w:tcPr>
            <w:tcW w:w="1433" w:type="dxa"/>
            <w:tcBorders>
              <w:top w:val="nil"/>
              <w:left w:val="single" w:sz="8" w:space="0" w:color="auto"/>
              <w:bottom w:val="nil"/>
              <w:right w:val="nil"/>
            </w:tcBorders>
            <w:shd w:val="clear" w:color="auto" w:fill="FFFFFF"/>
            <w:noWrap/>
            <w:tcMar>
              <w:top w:w="0" w:type="dxa"/>
              <w:left w:w="108" w:type="dxa"/>
              <w:bottom w:w="0" w:type="dxa"/>
              <w:right w:w="108" w:type="dxa"/>
            </w:tcMar>
            <w:vAlign w:val="bottom"/>
            <w:hideMark/>
          </w:tcPr>
          <w:p w:rsidR="007058D0" w:rsidRPr="00561707" w:rsidRDefault="007058D0" w:rsidP="007B70DC">
            <w:pPr>
              <w:ind w:left="312"/>
              <w:jc w:val="right"/>
              <w:rPr>
                <w:sz w:val="20"/>
                <w:szCs w:val="20"/>
                <w:lang w:eastAsia="en-GB"/>
              </w:rPr>
            </w:pPr>
            <w:r w:rsidRPr="00561707">
              <w:rPr>
                <w:sz w:val="20"/>
                <w:szCs w:val="20"/>
                <w:lang w:eastAsia="en-GB"/>
              </w:rPr>
              <w:t xml:space="preserve">-   </w:t>
            </w:r>
          </w:p>
        </w:tc>
        <w:tc>
          <w:tcPr>
            <w:tcW w:w="1673" w:type="dxa"/>
            <w:tcBorders>
              <w:top w:val="nil"/>
              <w:left w:val="nil"/>
              <w:bottom w:val="nil"/>
              <w:right w:val="single" w:sz="8" w:space="0" w:color="auto"/>
            </w:tcBorders>
            <w:shd w:val="clear" w:color="auto" w:fill="FFFFFF"/>
            <w:noWrap/>
            <w:tcMar>
              <w:top w:w="0" w:type="dxa"/>
              <w:left w:w="108" w:type="dxa"/>
              <w:bottom w:w="0" w:type="dxa"/>
              <w:right w:w="108" w:type="dxa"/>
            </w:tcMar>
            <w:vAlign w:val="bottom"/>
            <w:hideMark/>
          </w:tcPr>
          <w:p w:rsidR="007058D0" w:rsidRPr="00561707" w:rsidRDefault="007058D0" w:rsidP="007B70DC">
            <w:pPr>
              <w:jc w:val="right"/>
              <w:rPr>
                <w:sz w:val="20"/>
                <w:szCs w:val="20"/>
                <w:lang w:eastAsia="en-GB"/>
              </w:rPr>
            </w:pPr>
            <w:r w:rsidRPr="00561707">
              <w:rPr>
                <w:sz w:val="20"/>
                <w:szCs w:val="20"/>
                <w:lang w:eastAsia="en-GB"/>
              </w:rPr>
              <w:t xml:space="preserve">-   </w:t>
            </w:r>
          </w:p>
        </w:tc>
        <w:tc>
          <w:tcPr>
            <w:tcW w:w="1489" w:type="dxa"/>
            <w:shd w:val="clear" w:color="auto" w:fill="FFFFFF"/>
            <w:noWrap/>
            <w:tcMar>
              <w:top w:w="0" w:type="dxa"/>
              <w:left w:w="108" w:type="dxa"/>
              <w:bottom w:w="0" w:type="dxa"/>
              <w:right w:w="108" w:type="dxa"/>
            </w:tcMar>
            <w:vAlign w:val="bottom"/>
            <w:hideMark/>
          </w:tcPr>
          <w:p w:rsidR="007058D0" w:rsidRPr="00561707" w:rsidRDefault="007058D0" w:rsidP="007B70DC">
            <w:pPr>
              <w:jc w:val="right"/>
              <w:rPr>
                <w:sz w:val="20"/>
                <w:szCs w:val="20"/>
                <w:lang w:eastAsia="en-GB"/>
              </w:rPr>
            </w:pPr>
            <w:r w:rsidRPr="00561707">
              <w:rPr>
                <w:sz w:val="20"/>
                <w:szCs w:val="20"/>
                <w:lang w:eastAsia="en-GB"/>
              </w:rPr>
              <w:t xml:space="preserve">28.0 </w:t>
            </w:r>
          </w:p>
        </w:tc>
        <w:tc>
          <w:tcPr>
            <w:tcW w:w="1675" w:type="dxa"/>
            <w:tcBorders>
              <w:top w:val="nil"/>
              <w:left w:val="nil"/>
              <w:bottom w:val="nil"/>
              <w:right w:val="single" w:sz="8" w:space="0" w:color="auto"/>
            </w:tcBorders>
            <w:shd w:val="clear" w:color="auto" w:fill="FFFFFF"/>
            <w:noWrap/>
            <w:tcMar>
              <w:top w:w="0" w:type="dxa"/>
              <w:left w:w="108" w:type="dxa"/>
              <w:bottom w:w="0" w:type="dxa"/>
              <w:right w:w="108" w:type="dxa"/>
            </w:tcMar>
            <w:vAlign w:val="bottom"/>
            <w:hideMark/>
          </w:tcPr>
          <w:p w:rsidR="007058D0" w:rsidRPr="00561707" w:rsidRDefault="007058D0" w:rsidP="007B70DC">
            <w:pPr>
              <w:jc w:val="right"/>
              <w:rPr>
                <w:sz w:val="20"/>
                <w:szCs w:val="20"/>
                <w:lang w:eastAsia="en-GB"/>
              </w:rPr>
            </w:pPr>
            <w:r w:rsidRPr="00561707">
              <w:rPr>
                <w:sz w:val="20"/>
                <w:szCs w:val="20"/>
                <w:lang w:eastAsia="en-GB"/>
              </w:rPr>
              <w:t xml:space="preserve">24.4 </w:t>
            </w:r>
          </w:p>
        </w:tc>
      </w:tr>
      <w:tr w:rsidR="007058D0" w:rsidRPr="00561707" w:rsidTr="00891A96">
        <w:trPr>
          <w:trHeight w:val="245"/>
        </w:trPr>
        <w:tc>
          <w:tcPr>
            <w:tcW w:w="3818" w:type="dxa"/>
            <w:tcBorders>
              <w:top w:val="nil"/>
              <w:left w:val="single" w:sz="8" w:space="0" w:color="auto"/>
              <w:bottom w:val="nil"/>
              <w:right w:val="nil"/>
            </w:tcBorders>
            <w:shd w:val="clear" w:color="auto" w:fill="FFFFFF"/>
            <w:noWrap/>
            <w:tcMar>
              <w:top w:w="0" w:type="dxa"/>
              <w:left w:w="108" w:type="dxa"/>
              <w:bottom w:w="0" w:type="dxa"/>
              <w:right w:w="108" w:type="dxa"/>
            </w:tcMar>
            <w:vAlign w:val="bottom"/>
            <w:hideMark/>
          </w:tcPr>
          <w:p w:rsidR="007058D0" w:rsidRPr="00561707" w:rsidRDefault="007058D0" w:rsidP="00891A96">
            <w:pPr>
              <w:rPr>
                <w:color w:val="000000"/>
                <w:sz w:val="20"/>
                <w:szCs w:val="20"/>
                <w:lang w:eastAsia="en-GB"/>
              </w:rPr>
            </w:pPr>
            <w:r w:rsidRPr="00561707">
              <w:rPr>
                <w:color w:val="000000"/>
                <w:sz w:val="20"/>
                <w:szCs w:val="20"/>
                <w:lang w:eastAsia="en-GB"/>
              </w:rPr>
              <w:t>- School Bank Accounts</w:t>
            </w:r>
          </w:p>
        </w:tc>
        <w:tc>
          <w:tcPr>
            <w:tcW w:w="1433" w:type="dxa"/>
            <w:tcBorders>
              <w:top w:val="nil"/>
              <w:left w:val="single" w:sz="8" w:space="0" w:color="auto"/>
              <w:bottom w:val="nil"/>
              <w:right w:val="nil"/>
            </w:tcBorders>
            <w:shd w:val="clear" w:color="auto" w:fill="FFFFFF"/>
            <w:noWrap/>
            <w:tcMar>
              <w:top w:w="0" w:type="dxa"/>
              <w:left w:w="108" w:type="dxa"/>
              <w:bottom w:w="0" w:type="dxa"/>
              <w:right w:w="108" w:type="dxa"/>
            </w:tcMar>
            <w:vAlign w:val="bottom"/>
            <w:hideMark/>
          </w:tcPr>
          <w:p w:rsidR="007058D0" w:rsidRPr="00561707" w:rsidRDefault="007058D0" w:rsidP="007B70DC">
            <w:pPr>
              <w:ind w:left="312"/>
              <w:jc w:val="right"/>
              <w:rPr>
                <w:sz w:val="20"/>
                <w:szCs w:val="20"/>
                <w:lang w:eastAsia="en-GB"/>
              </w:rPr>
            </w:pPr>
            <w:r w:rsidRPr="00561707">
              <w:rPr>
                <w:sz w:val="20"/>
                <w:szCs w:val="20"/>
                <w:lang w:eastAsia="en-GB"/>
              </w:rPr>
              <w:t xml:space="preserve">-   </w:t>
            </w:r>
          </w:p>
        </w:tc>
        <w:tc>
          <w:tcPr>
            <w:tcW w:w="1673" w:type="dxa"/>
            <w:tcBorders>
              <w:top w:val="nil"/>
              <w:left w:val="nil"/>
              <w:bottom w:val="nil"/>
              <w:right w:val="single" w:sz="8" w:space="0" w:color="auto"/>
            </w:tcBorders>
            <w:shd w:val="clear" w:color="auto" w:fill="FFFFFF"/>
            <w:noWrap/>
            <w:tcMar>
              <w:top w:w="0" w:type="dxa"/>
              <w:left w:w="108" w:type="dxa"/>
              <w:bottom w:w="0" w:type="dxa"/>
              <w:right w:w="108" w:type="dxa"/>
            </w:tcMar>
            <w:vAlign w:val="bottom"/>
            <w:hideMark/>
          </w:tcPr>
          <w:p w:rsidR="007058D0" w:rsidRPr="00561707" w:rsidRDefault="007058D0" w:rsidP="007B70DC">
            <w:pPr>
              <w:jc w:val="right"/>
              <w:rPr>
                <w:sz w:val="20"/>
                <w:szCs w:val="20"/>
                <w:lang w:eastAsia="en-GB"/>
              </w:rPr>
            </w:pPr>
            <w:r w:rsidRPr="00561707">
              <w:rPr>
                <w:sz w:val="20"/>
                <w:szCs w:val="20"/>
                <w:lang w:eastAsia="en-GB"/>
              </w:rPr>
              <w:t xml:space="preserve">-   </w:t>
            </w:r>
          </w:p>
        </w:tc>
        <w:tc>
          <w:tcPr>
            <w:tcW w:w="1489" w:type="dxa"/>
            <w:shd w:val="clear" w:color="auto" w:fill="FFFFFF"/>
            <w:noWrap/>
            <w:tcMar>
              <w:top w:w="0" w:type="dxa"/>
              <w:left w:w="108" w:type="dxa"/>
              <w:bottom w:w="0" w:type="dxa"/>
              <w:right w:w="108" w:type="dxa"/>
            </w:tcMar>
            <w:vAlign w:val="bottom"/>
            <w:hideMark/>
          </w:tcPr>
          <w:p w:rsidR="007058D0" w:rsidRPr="00561707" w:rsidRDefault="007058D0" w:rsidP="007B70DC">
            <w:pPr>
              <w:jc w:val="right"/>
              <w:rPr>
                <w:sz w:val="20"/>
                <w:szCs w:val="20"/>
                <w:lang w:eastAsia="en-GB"/>
              </w:rPr>
            </w:pPr>
            <w:r w:rsidRPr="00561707">
              <w:rPr>
                <w:sz w:val="20"/>
                <w:szCs w:val="20"/>
                <w:lang w:eastAsia="en-GB"/>
              </w:rPr>
              <w:t xml:space="preserve">11.3 </w:t>
            </w:r>
          </w:p>
        </w:tc>
        <w:tc>
          <w:tcPr>
            <w:tcW w:w="1675" w:type="dxa"/>
            <w:tcBorders>
              <w:top w:val="nil"/>
              <w:left w:val="nil"/>
              <w:bottom w:val="nil"/>
              <w:right w:val="single" w:sz="8" w:space="0" w:color="auto"/>
            </w:tcBorders>
            <w:shd w:val="clear" w:color="auto" w:fill="FFFFFF"/>
            <w:noWrap/>
            <w:tcMar>
              <w:top w:w="0" w:type="dxa"/>
              <w:left w:w="108" w:type="dxa"/>
              <w:bottom w:w="0" w:type="dxa"/>
              <w:right w:w="108" w:type="dxa"/>
            </w:tcMar>
            <w:vAlign w:val="bottom"/>
            <w:hideMark/>
          </w:tcPr>
          <w:p w:rsidR="007058D0" w:rsidRPr="00561707" w:rsidRDefault="007058D0" w:rsidP="007B70DC">
            <w:pPr>
              <w:jc w:val="right"/>
              <w:rPr>
                <w:sz w:val="20"/>
                <w:szCs w:val="20"/>
                <w:lang w:eastAsia="en-GB"/>
              </w:rPr>
            </w:pPr>
            <w:r w:rsidRPr="00561707">
              <w:rPr>
                <w:sz w:val="20"/>
                <w:szCs w:val="20"/>
                <w:lang w:eastAsia="en-GB"/>
              </w:rPr>
              <w:t xml:space="preserve">20.2 </w:t>
            </w:r>
          </w:p>
        </w:tc>
      </w:tr>
      <w:tr w:rsidR="007058D0" w:rsidRPr="00561707" w:rsidTr="00891A96">
        <w:trPr>
          <w:trHeight w:val="245"/>
        </w:trPr>
        <w:tc>
          <w:tcPr>
            <w:tcW w:w="3818" w:type="dxa"/>
            <w:tcBorders>
              <w:top w:val="nil"/>
              <w:left w:val="single" w:sz="8" w:space="0" w:color="auto"/>
              <w:bottom w:val="nil"/>
              <w:right w:val="nil"/>
            </w:tcBorders>
            <w:shd w:val="clear" w:color="auto" w:fill="FFFFFF"/>
            <w:noWrap/>
            <w:tcMar>
              <w:top w:w="0" w:type="dxa"/>
              <w:left w:w="108" w:type="dxa"/>
              <w:bottom w:w="0" w:type="dxa"/>
              <w:right w:w="108" w:type="dxa"/>
            </w:tcMar>
            <w:vAlign w:val="bottom"/>
            <w:hideMark/>
          </w:tcPr>
          <w:p w:rsidR="007058D0" w:rsidRPr="00561707" w:rsidRDefault="007058D0" w:rsidP="00891A96">
            <w:pPr>
              <w:rPr>
                <w:color w:val="000000"/>
                <w:sz w:val="20"/>
                <w:szCs w:val="20"/>
                <w:lang w:eastAsia="en-GB"/>
              </w:rPr>
            </w:pPr>
            <w:r w:rsidRPr="00561707">
              <w:rPr>
                <w:color w:val="000000"/>
                <w:sz w:val="20"/>
                <w:szCs w:val="20"/>
                <w:lang w:eastAsia="en-GB"/>
              </w:rPr>
              <w:t>- Deposit with the UK DMO</w:t>
            </w:r>
          </w:p>
        </w:tc>
        <w:tc>
          <w:tcPr>
            <w:tcW w:w="1433" w:type="dxa"/>
            <w:tcBorders>
              <w:top w:val="nil"/>
              <w:left w:val="single" w:sz="8" w:space="0" w:color="auto"/>
              <w:bottom w:val="nil"/>
              <w:right w:val="nil"/>
            </w:tcBorders>
            <w:shd w:val="clear" w:color="auto" w:fill="FFFFFF"/>
            <w:noWrap/>
            <w:tcMar>
              <w:top w:w="0" w:type="dxa"/>
              <w:left w:w="108" w:type="dxa"/>
              <w:bottom w:w="0" w:type="dxa"/>
              <w:right w:w="108" w:type="dxa"/>
            </w:tcMar>
            <w:vAlign w:val="bottom"/>
            <w:hideMark/>
          </w:tcPr>
          <w:p w:rsidR="007058D0" w:rsidRPr="00561707" w:rsidRDefault="007058D0" w:rsidP="007B70DC">
            <w:pPr>
              <w:ind w:left="312"/>
              <w:jc w:val="right"/>
              <w:rPr>
                <w:sz w:val="20"/>
                <w:szCs w:val="20"/>
                <w:lang w:eastAsia="en-GB"/>
              </w:rPr>
            </w:pPr>
            <w:r w:rsidRPr="00561707">
              <w:rPr>
                <w:sz w:val="20"/>
                <w:szCs w:val="20"/>
                <w:lang w:eastAsia="en-GB"/>
              </w:rPr>
              <w:t xml:space="preserve">-   </w:t>
            </w:r>
          </w:p>
        </w:tc>
        <w:tc>
          <w:tcPr>
            <w:tcW w:w="1673" w:type="dxa"/>
            <w:tcBorders>
              <w:top w:val="nil"/>
              <w:left w:val="nil"/>
              <w:bottom w:val="nil"/>
              <w:right w:val="single" w:sz="8" w:space="0" w:color="auto"/>
            </w:tcBorders>
            <w:shd w:val="clear" w:color="auto" w:fill="FFFFFF"/>
            <w:noWrap/>
            <w:tcMar>
              <w:top w:w="0" w:type="dxa"/>
              <w:left w:w="108" w:type="dxa"/>
              <w:bottom w:w="0" w:type="dxa"/>
              <w:right w:w="108" w:type="dxa"/>
            </w:tcMar>
            <w:vAlign w:val="bottom"/>
            <w:hideMark/>
          </w:tcPr>
          <w:p w:rsidR="007058D0" w:rsidRPr="00561707" w:rsidRDefault="007058D0" w:rsidP="007B70DC">
            <w:pPr>
              <w:jc w:val="right"/>
              <w:rPr>
                <w:sz w:val="20"/>
                <w:szCs w:val="20"/>
                <w:lang w:eastAsia="en-GB"/>
              </w:rPr>
            </w:pPr>
            <w:r w:rsidRPr="00561707">
              <w:rPr>
                <w:sz w:val="20"/>
                <w:szCs w:val="20"/>
                <w:lang w:eastAsia="en-GB"/>
              </w:rPr>
              <w:t xml:space="preserve">-   </w:t>
            </w:r>
          </w:p>
        </w:tc>
        <w:tc>
          <w:tcPr>
            <w:tcW w:w="1489" w:type="dxa"/>
            <w:shd w:val="clear" w:color="auto" w:fill="FFFFFF"/>
            <w:noWrap/>
            <w:tcMar>
              <w:top w:w="0" w:type="dxa"/>
              <w:left w:w="108" w:type="dxa"/>
              <w:bottom w:w="0" w:type="dxa"/>
              <w:right w:w="108" w:type="dxa"/>
            </w:tcMar>
            <w:vAlign w:val="bottom"/>
            <w:hideMark/>
          </w:tcPr>
          <w:p w:rsidR="007058D0" w:rsidRPr="00561707" w:rsidRDefault="007058D0" w:rsidP="007B70DC">
            <w:pPr>
              <w:jc w:val="right"/>
              <w:rPr>
                <w:sz w:val="20"/>
                <w:szCs w:val="20"/>
                <w:lang w:eastAsia="en-GB"/>
              </w:rPr>
            </w:pPr>
            <w:r w:rsidRPr="00561707">
              <w:rPr>
                <w:sz w:val="20"/>
                <w:szCs w:val="20"/>
                <w:lang w:eastAsia="en-GB"/>
              </w:rPr>
              <w:t>104.7</w:t>
            </w:r>
          </w:p>
        </w:tc>
        <w:tc>
          <w:tcPr>
            <w:tcW w:w="1675" w:type="dxa"/>
            <w:tcBorders>
              <w:top w:val="nil"/>
              <w:left w:val="nil"/>
              <w:bottom w:val="nil"/>
              <w:right w:val="single" w:sz="8" w:space="0" w:color="auto"/>
            </w:tcBorders>
            <w:shd w:val="clear" w:color="auto" w:fill="FFFFFF"/>
            <w:noWrap/>
            <w:tcMar>
              <w:top w:w="0" w:type="dxa"/>
              <w:left w:w="108" w:type="dxa"/>
              <w:bottom w:w="0" w:type="dxa"/>
              <w:right w:w="108" w:type="dxa"/>
            </w:tcMar>
            <w:vAlign w:val="bottom"/>
            <w:hideMark/>
          </w:tcPr>
          <w:p w:rsidR="007058D0" w:rsidRPr="00561707" w:rsidRDefault="007058D0" w:rsidP="007B70DC">
            <w:pPr>
              <w:jc w:val="right"/>
              <w:rPr>
                <w:sz w:val="20"/>
                <w:szCs w:val="20"/>
                <w:lang w:eastAsia="en-GB"/>
              </w:rPr>
            </w:pPr>
            <w:r w:rsidRPr="00561707">
              <w:rPr>
                <w:sz w:val="20"/>
                <w:szCs w:val="20"/>
                <w:lang w:eastAsia="en-GB"/>
              </w:rPr>
              <w:t xml:space="preserve">-   </w:t>
            </w:r>
          </w:p>
        </w:tc>
      </w:tr>
      <w:tr w:rsidR="007058D0" w:rsidRPr="00561707" w:rsidTr="00891A96">
        <w:trPr>
          <w:trHeight w:val="245"/>
        </w:trPr>
        <w:tc>
          <w:tcPr>
            <w:tcW w:w="3818" w:type="dxa"/>
            <w:tcBorders>
              <w:top w:val="nil"/>
              <w:left w:val="single" w:sz="8" w:space="0" w:color="auto"/>
              <w:bottom w:val="nil"/>
              <w:right w:val="nil"/>
            </w:tcBorders>
            <w:shd w:val="clear" w:color="auto" w:fill="FFFFFF"/>
            <w:noWrap/>
            <w:tcMar>
              <w:top w:w="0" w:type="dxa"/>
              <w:left w:w="108" w:type="dxa"/>
              <w:bottom w:w="0" w:type="dxa"/>
              <w:right w:w="108" w:type="dxa"/>
            </w:tcMar>
            <w:vAlign w:val="bottom"/>
            <w:hideMark/>
          </w:tcPr>
          <w:p w:rsidR="007058D0" w:rsidRPr="00561707" w:rsidRDefault="007058D0" w:rsidP="00891A96">
            <w:pPr>
              <w:rPr>
                <w:color w:val="000000"/>
                <w:sz w:val="20"/>
                <w:szCs w:val="20"/>
                <w:lang w:eastAsia="en-GB"/>
              </w:rPr>
            </w:pPr>
            <w:r w:rsidRPr="00561707">
              <w:rPr>
                <w:color w:val="000000"/>
                <w:sz w:val="20"/>
                <w:szCs w:val="20"/>
                <w:lang w:eastAsia="en-GB"/>
              </w:rPr>
              <w:t>At fair value through profit &amp; loss:</w:t>
            </w:r>
          </w:p>
        </w:tc>
        <w:tc>
          <w:tcPr>
            <w:tcW w:w="1433" w:type="dxa"/>
            <w:tcBorders>
              <w:top w:val="nil"/>
              <w:left w:val="single" w:sz="8" w:space="0" w:color="auto"/>
              <w:bottom w:val="nil"/>
              <w:right w:val="nil"/>
            </w:tcBorders>
            <w:shd w:val="clear" w:color="auto" w:fill="FFFFFF"/>
            <w:noWrap/>
            <w:tcMar>
              <w:top w:w="0" w:type="dxa"/>
              <w:left w:w="108" w:type="dxa"/>
              <w:bottom w:w="0" w:type="dxa"/>
              <w:right w:w="108" w:type="dxa"/>
            </w:tcMar>
            <w:vAlign w:val="bottom"/>
          </w:tcPr>
          <w:p w:rsidR="007058D0" w:rsidRPr="00561707" w:rsidRDefault="007058D0" w:rsidP="007B70DC">
            <w:pPr>
              <w:ind w:left="312"/>
              <w:jc w:val="right"/>
              <w:rPr>
                <w:sz w:val="20"/>
                <w:szCs w:val="20"/>
                <w:lang w:eastAsia="en-GB"/>
              </w:rPr>
            </w:pPr>
          </w:p>
        </w:tc>
        <w:tc>
          <w:tcPr>
            <w:tcW w:w="1673" w:type="dxa"/>
            <w:tcBorders>
              <w:top w:val="nil"/>
              <w:left w:val="nil"/>
              <w:bottom w:val="nil"/>
              <w:right w:val="single" w:sz="8" w:space="0" w:color="auto"/>
            </w:tcBorders>
            <w:shd w:val="clear" w:color="auto" w:fill="FFFFFF"/>
            <w:noWrap/>
            <w:tcMar>
              <w:top w:w="0" w:type="dxa"/>
              <w:left w:w="108" w:type="dxa"/>
              <w:bottom w:w="0" w:type="dxa"/>
              <w:right w:w="108" w:type="dxa"/>
            </w:tcMar>
            <w:vAlign w:val="bottom"/>
          </w:tcPr>
          <w:p w:rsidR="007058D0" w:rsidRPr="00561707" w:rsidRDefault="007058D0" w:rsidP="007B70DC">
            <w:pPr>
              <w:jc w:val="right"/>
              <w:rPr>
                <w:sz w:val="20"/>
                <w:szCs w:val="20"/>
                <w:lang w:eastAsia="en-GB"/>
              </w:rPr>
            </w:pPr>
          </w:p>
        </w:tc>
        <w:tc>
          <w:tcPr>
            <w:tcW w:w="1489" w:type="dxa"/>
            <w:shd w:val="clear" w:color="auto" w:fill="FFFFFF"/>
            <w:noWrap/>
            <w:tcMar>
              <w:top w:w="0" w:type="dxa"/>
              <w:left w:w="108" w:type="dxa"/>
              <w:bottom w:w="0" w:type="dxa"/>
              <w:right w:w="108" w:type="dxa"/>
            </w:tcMar>
            <w:vAlign w:val="bottom"/>
            <w:hideMark/>
          </w:tcPr>
          <w:p w:rsidR="007058D0" w:rsidRPr="00561707" w:rsidRDefault="007058D0" w:rsidP="007B70DC">
            <w:pPr>
              <w:jc w:val="right"/>
              <w:rPr>
                <w:sz w:val="20"/>
                <w:szCs w:val="20"/>
                <w:lang w:eastAsia="en-GB"/>
              </w:rPr>
            </w:pPr>
          </w:p>
        </w:tc>
        <w:tc>
          <w:tcPr>
            <w:tcW w:w="1675" w:type="dxa"/>
            <w:tcBorders>
              <w:top w:val="nil"/>
              <w:left w:val="nil"/>
              <w:bottom w:val="nil"/>
              <w:right w:val="single" w:sz="8" w:space="0" w:color="auto"/>
            </w:tcBorders>
            <w:shd w:val="clear" w:color="auto" w:fill="FFFFFF"/>
            <w:noWrap/>
            <w:tcMar>
              <w:top w:w="0" w:type="dxa"/>
              <w:left w:w="108" w:type="dxa"/>
              <w:bottom w:w="0" w:type="dxa"/>
              <w:right w:w="108" w:type="dxa"/>
            </w:tcMar>
            <w:vAlign w:val="bottom"/>
            <w:hideMark/>
          </w:tcPr>
          <w:p w:rsidR="007058D0" w:rsidRPr="00561707" w:rsidRDefault="007058D0" w:rsidP="007B70DC">
            <w:pPr>
              <w:jc w:val="right"/>
              <w:rPr>
                <w:sz w:val="20"/>
                <w:szCs w:val="20"/>
                <w:lang w:eastAsia="en-GB"/>
              </w:rPr>
            </w:pPr>
          </w:p>
        </w:tc>
      </w:tr>
      <w:tr w:rsidR="007058D0" w:rsidRPr="00561707" w:rsidTr="00891A96">
        <w:trPr>
          <w:trHeight w:val="245"/>
        </w:trPr>
        <w:tc>
          <w:tcPr>
            <w:tcW w:w="3818" w:type="dxa"/>
            <w:tcBorders>
              <w:top w:val="nil"/>
              <w:left w:val="single" w:sz="8" w:space="0" w:color="auto"/>
              <w:bottom w:val="single" w:sz="8" w:space="0" w:color="auto"/>
              <w:right w:val="nil"/>
            </w:tcBorders>
            <w:shd w:val="clear" w:color="auto" w:fill="FFFFFF"/>
            <w:noWrap/>
            <w:tcMar>
              <w:top w:w="0" w:type="dxa"/>
              <w:left w:w="108" w:type="dxa"/>
              <w:bottom w:w="0" w:type="dxa"/>
              <w:right w:w="108" w:type="dxa"/>
            </w:tcMar>
            <w:vAlign w:val="bottom"/>
            <w:hideMark/>
          </w:tcPr>
          <w:p w:rsidR="007058D0" w:rsidRPr="00561707" w:rsidRDefault="007058D0" w:rsidP="00891A96">
            <w:pPr>
              <w:rPr>
                <w:color w:val="000000"/>
                <w:sz w:val="20"/>
                <w:szCs w:val="20"/>
                <w:lang w:eastAsia="en-GB"/>
              </w:rPr>
            </w:pPr>
            <w:r w:rsidRPr="00561707">
              <w:rPr>
                <w:color w:val="000000"/>
                <w:sz w:val="20"/>
                <w:szCs w:val="20"/>
                <w:lang w:eastAsia="en-GB"/>
              </w:rPr>
              <w:t>- Money Market Funds</w:t>
            </w:r>
          </w:p>
        </w:tc>
        <w:tc>
          <w:tcPr>
            <w:tcW w:w="1433" w:type="dxa"/>
            <w:tcBorders>
              <w:top w:val="nil"/>
              <w:left w:val="single" w:sz="8" w:space="0" w:color="auto"/>
              <w:bottom w:val="nil"/>
              <w:right w:val="nil"/>
            </w:tcBorders>
            <w:shd w:val="clear" w:color="auto" w:fill="FFFFFF"/>
            <w:noWrap/>
            <w:tcMar>
              <w:top w:w="0" w:type="dxa"/>
              <w:left w:w="108" w:type="dxa"/>
              <w:bottom w:w="0" w:type="dxa"/>
              <w:right w:w="108" w:type="dxa"/>
            </w:tcMar>
            <w:vAlign w:val="bottom"/>
            <w:hideMark/>
          </w:tcPr>
          <w:p w:rsidR="007058D0" w:rsidRPr="00561707" w:rsidRDefault="007058D0" w:rsidP="007B70DC">
            <w:pPr>
              <w:ind w:left="312"/>
              <w:jc w:val="right"/>
              <w:rPr>
                <w:sz w:val="20"/>
                <w:szCs w:val="20"/>
                <w:lang w:eastAsia="en-GB"/>
              </w:rPr>
            </w:pPr>
            <w:r w:rsidRPr="00561707">
              <w:rPr>
                <w:sz w:val="20"/>
                <w:szCs w:val="20"/>
                <w:lang w:eastAsia="en-GB"/>
              </w:rPr>
              <w:t xml:space="preserve">-   </w:t>
            </w:r>
          </w:p>
        </w:tc>
        <w:tc>
          <w:tcPr>
            <w:tcW w:w="1673" w:type="dxa"/>
            <w:tcBorders>
              <w:top w:val="nil"/>
              <w:left w:val="nil"/>
              <w:bottom w:val="nil"/>
              <w:right w:val="single" w:sz="8" w:space="0" w:color="auto"/>
            </w:tcBorders>
            <w:shd w:val="clear" w:color="auto" w:fill="FFFFFF"/>
            <w:noWrap/>
            <w:tcMar>
              <w:top w:w="0" w:type="dxa"/>
              <w:left w:w="108" w:type="dxa"/>
              <w:bottom w:w="0" w:type="dxa"/>
              <w:right w:w="108" w:type="dxa"/>
            </w:tcMar>
            <w:vAlign w:val="bottom"/>
            <w:hideMark/>
          </w:tcPr>
          <w:p w:rsidR="007058D0" w:rsidRPr="00561707" w:rsidRDefault="007058D0" w:rsidP="007B70DC">
            <w:pPr>
              <w:jc w:val="right"/>
              <w:rPr>
                <w:sz w:val="20"/>
                <w:szCs w:val="20"/>
                <w:lang w:eastAsia="en-GB"/>
              </w:rPr>
            </w:pPr>
            <w:r w:rsidRPr="00561707">
              <w:rPr>
                <w:sz w:val="20"/>
                <w:szCs w:val="20"/>
                <w:lang w:eastAsia="en-GB"/>
              </w:rPr>
              <w:t xml:space="preserve">-   </w:t>
            </w:r>
          </w:p>
        </w:tc>
        <w:tc>
          <w:tcPr>
            <w:tcW w:w="1489" w:type="dxa"/>
            <w:shd w:val="clear" w:color="auto" w:fill="FFFFFF"/>
            <w:noWrap/>
            <w:tcMar>
              <w:top w:w="0" w:type="dxa"/>
              <w:left w:w="108" w:type="dxa"/>
              <w:bottom w:w="0" w:type="dxa"/>
              <w:right w:w="108" w:type="dxa"/>
            </w:tcMar>
            <w:vAlign w:val="bottom"/>
            <w:hideMark/>
          </w:tcPr>
          <w:p w:rsidR="007058D0" w:rsidRPr="00561707" w:rsidRDefault="007058D0" w:rsidP="007B70DC">
            <w:pPr>
              <w:jc w:val="right"/>
              <w:rPr>
                <w:sz w:val="20"/>
                <w:szCs w:val="20"/>
                <w:lang w:eastAsia="en-GB"/>
              </w:rPr>
            </w:pPr>
            <w:r w:rsidRPr="00561707">
              <w:rPr>
                <w:sz w:val="20"/>
                <w:szCs w:val="20"/>
                <w:lang w:eastAsia="en-GB"/>
              </w:rPr>
              <w:t xml:space="preserve">5.0 </w:t>
            </w:r>
          </w:p>
        </w:tc>
        <w:tc>
          <w:tcPr>
            <w:tcW w:w="1675" w:type="dxa"/>
            <w:tcBorders>
              <w:top w:val="nil"/>
              <w:left w:val="nil"/>
              <w:bottom w:val="nil"/>
              <w:right w:val="single" w:sz="8" w:space="0" w:color="auto"/>
            </w:tcBorders>
            <w:shd w:val="clear" w:color="auto" w:fill="FFFFFF"/>
            <w:noWrap/>
            <w:tcMar>
              <w:top w:w="0" w:type="dxa"/>
              <w:left w:w="108" w:type="dxa"/>
              <w:bottom w:w="0" w:type="dxa"/>
              <w:right w:w="108" w:type="dxa"/>
            </w:tcMar>
            <w:vAlign w:val="bottom"/>
            <w:hideMark/>
          </w:tcPr>
          <w:p w:rsidR="007058D0" w:rsidRPr="00561707" w:rsidRDefault="007058D0" w:rsidP="007B70DC">
            <w:pPr>
              <w:jc w:val="right"/>
              <w:rPr>
                <w:sz w:val="20"/>
                <w:szCs w:val="20"/>
                <w:lang w:eastAsia="en-GB"/>
              </w:rPr>
            </w:pPr>
            <w:r w:rsidRPr="00561707">
              <w:rPr>
                <w:sz w:val="20"/>
                <w:szCs w:val="20"/>
                <w:lang w:eastAsia="en-GB"/>
              </w:rPr>
              <w:t xml:space="preserve">42.0 </w:t>
            </w:r>
          </w:p>
        </w:tc>
      </w:tr>
      <w:tr w:rsidR="007058D0" w:rsidRPr="00561707" w:rsidTr="00891A96">
        <w:trPr>
          <w:trHeight w:val="245"/>
        </w:trPr>
        <w:tc>
          <w:tcPr>
            <w:tcW w:w="3818" w:type="dxa"/>
            <w:tcBorders>
              <w:top w:val="nil"/>
              <w:left w:val="single" w:sz="8" w:space="0" w:color="auto"/>
              <w:bottom w:val="single" w:sz="8" w:space="0" w:color="auto"/>
              <w:right w:val="nil"/>
            </w:tcBorders>
            <w:shd w:val="clear" w:color="auto" w:fill="FFFFFF"/>
            <w:noWrap/>
            <w:tcMar>
              <w:top w:w="0" w:type="dxa"/>
              <w:left w:w="108" w:type="dxa"/>
              <w:bottom w:w="0" w:type="dxa"/>
              <w:right w:w="108" w:type="dxa"/>
            </w:tcMar>
            <w:vAlign w:val="bottom"/>
            <w:hideMark/>
          </w:tcPr>
          <w:p w:rsidR="007058D0" w:rsidRPr="00561707" w:rsidRDefault="007058D0" w:rsidP="00891A96">
            <w:pPr>
              <w:rPr>
                <w:b/>
                <w:bCs/>
                <w:color w:val="000000"/>
                <w:sz w:val="20"/>
                <w:szCs w:val="20"/>
                <w:lang w:eastAsia="en-GB"/>
              </w:rPr>
            </w:pPr>
            <w:r w:rsidRPr="00561707">
              <w:rPr>
                <w:b/>
                <w:bCs/>
                <w:color w:val="000000"/>
                <w:sz w:val="20"/>
                <w:szCs w:val="20"/>
                <w:lang w:eastAsia="en-GB"/>
              </w:rPr>
              <w:t>Total Cash and Cash Equivalents</w:t>
            </w:r>
          </w:p>
        </w:tc>
        <w:tc>
          <w:tcPr>
            <w:tcW w:w="1433" w:type="dxa"/>
            <w:tcBorders>
              <w:top w:val="single" w:sz="8" w:space="0" w:color="auto"/>
              <w:left w:val="single" w:sz="8" w:space="0" w:color="auto"/>
              <w:bottom w:val="single" w:sz="8" w:space="0" w:color="auto"/>
              <w:right w:val="nil"/>
            </w:tcBorders>
            <w:shd w:val="clear" w:color="auto" w:fill="FFFFFF"/>
            <w:noWrap/>
            <w:tcMar>
              <w:top w:w="0" w:type="dxa"/>
              <w:left w:w="108" w:type="dxa"/>
              <w:bottom w:w="0" w:type="dxa"/>
              <w:right w:w="108" w:type="dxa"/>
            </w:tcMar>
            <w:vAlign w:val="bottom"/>
            <w:hideMark/>
          </w:tcPr>
          <w:p w:rsidR="007058D0" w:rsidRPr="00561707" w:rsidRDefault="007058D0" w:rsidP="007B70DC">
            <w:pPr>
              <w:ind w:left="312"/>
              <w:jc w:val="right"/>
              <w:rPr>
                <w:b/>
                <w:bCs/>
                <w:sz w:val="20"/>
                <w:szCs w:val="20"/>
                <w:lang w:eastAsia="en-GB"/>
              </w:rPr>
            </w:pPr>
            <w:r w:rsidRPr="00561707">
              <w:rPr>
                <w:b/>
                <w:bCs/>
                <w:sz w:val="20"/>
                <w:szCs w:val="20"/>
                <w:lang w:eastAsia="en-GB"/>
              </w:rPr>
              <w:t xml:space="preserve">-   </w:t>
            </w:r>
          </w:p>
        </w:tc>
        <w:tc>
          <w:tcPr>
            <w:tcW w:w="1673"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7058D0" w:rsidRPr="00561707" w:rsidRDefault="007058D0" w:rsidP="007B70DC">
            <w:pPr>
              <w:jc w:val="right"/>
              <w:rPr>
                <w:b/>
                <w:bCs/>
                <w:sz w:val="20"/>
                <w:szCs w:val="20"/>
                <w:lang w:eastAsia="en-GB"/>
              </w:rPr>
            </w:pPr>
            <w:r w:rsidRPr="00561707">
              <w:rPr>
                <w:b/>
                <w:bCs/>
                <w:sz w:val="20"/>
                <w:szCs w:val="20"/>
                <w:lang w:eastAsia="en-GB"/>
              </w:rPr>
              <w:t xml:space="preserve">-   </w:t>
            </w:r>
          </w:p>
        </w:tc>
        <w:tc>
          <w:tcPr>
            <w:tcW w:w="1489" w:type="dxa"/>
            <w:tcBorders>
              <w:top w:val="single" w:sz="8" w:space="0" w:color="auto"/>
              <w:left w:val="nil"/>
              <w:bottom w:val="single" w:sz="8" w:space="0" w:color="auto"/>
              <w:right w:val="nil"/>
            </w:tcBorders>
            <w:shd w:val="clear" w:color="auto" w:fill="FFFFFF"/>
            <w:noWrap/>
            <w:tcMar>
              <w:top w:w="0" w:type="dxa"/>
              <w:left w:w="108" w:type="dxa"/>
              <w:bottom w:w="0" w:type="dxa"/>
              <w:right w:w="108" w:type="dxa"/>
            </w:tcMar>
            <w:vAlign w:val="bottom"/>
            <w:hideMark/>
          </w:tcPr>
          <w:p w:rsidR="007058D0" w:rsidRPr="00561707" w:rsidRDefault="007058D0" w:rsidP="007B70DC">
            <w:pPr>
              <w:jc w:val="right"/>
              <w:rPr>
                <w:b/>
                <w:bCs/>
                <w:sz w:val="20"/>
                <w:szCs w:val="20"/>
                <w:lang w:eastAsia="en-GB"/>
              </w:rPr>
            </w:pPr>
            <w:r w:rsidRPr="00561707">
              <w:rPr>
                <w:b/>
                <w:bCs/>
                <w:sz w:val="20"/>
                <w:szCs w:val="20"/>
              </w:rPr>
              <w:t xml:space="preserve">149.0 </w:t>
            </w:r>
          </w:p>
        </w:tc>
        <w:tc>
          <w:tcPr>
            <w:tcW w:w="1675"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7058D0" w:rsidRPr="00561707" w:rsidRDefault="007058D0" w:rsidP="007B70DC">
            <w:pPr>
              <w:jc w:val="right"/>
              <w:rPr>
                <w:b/>
                <w:bCs/>
                <w:sz w:val="20"/>
                <w:szCs w:val="20"/>
                <w:lang w:eastAsia="en-GB"/>
              </w:rPr>
            </w:pPr>
            <w:r w:rsidRPr="00561707">
              <w:rPr>
                <w:b/>
                <w:bCs/>
                <w:sz w:val="20"/>
                <w:szCs w:val="20"/>
                <w:lang w:eastAsia="en-GB"/>
              </w:rPr>
              <w:t xml:space="preserve">86.6 </w:t>
            </w:r>
          </w:p>
        </w:tc>
      </w:tr>
      <w:tr w:rsidR="007058D0" w:rsidRPr="00561707" w:rsidTr="00891A96">
        <w:trPr>
          <w:trHeight w:val="245"/>
        </w:trPr>
        <w:tc>
          <w:tcPr>
            <w:tcW w:w="3818" w:type="dxa"/>
            <w:tcBorders>
              <w:top w:val="nil"/>
              <w:left w:val="single" w:sz="8" w:space="0" w:color="auto"/>
              <w:bottom w:val="nil"/>
              <w:right w:val="nil"/>
            </w:tcBorders>
            <w:shd w:val="clear" w:color="auto" w:fill="FFFFFF"/>
            <w:noWrap/>
            <w:tcMar>
              <w:top w:w="0" w:type="dxa"/>
              <w:left w:w="108" w:type="dxa"/>
              <w:bottom w:w="0" w:type="dxa"/>
              <w:right w:w="108" w:type="dxa"/>
            </w:tcMar>
            <w:vAlign w:val="bottom"/>
            <w:hideMark/>
          </w:tcPr>
          <w:p w:rsidR="007058D0" w:rsidRPr="00561707" w:rsidRDefault="007058D0" w:rsidP="00891A96">
            <w:pPr>
              <w:rPr>
                <w:color w:val="000000"/>
                <w:sz w:val="20"/>
                <w:szCs w:val="20"/>
                <w:lang w:eastAsia="en-GB"/>
              </w:rPr>
            </w:pPr>
            <w:r w:rsidRPr="00561707">
              <w:rPr>
                <w:color w:val="000000"/>
                <w:sz w:val="20"/>
                <w:szCs w:val="20"/>
                <w:lang w:eastAsia="en-GB"/>
              </w:rPr>
              <w:t xml:space="preserve">At amortised cost: </w:t>
            </w:r>
          </w:p>
        </w:tc>
        <w:tc>
          <w:tcPr>
            <w:tcW w:w="1433" w:type="dxa"/>
            <w:tcBorders>
              <w:top w:val="nil"/>
              <w:left w:val="single" w:sz="8" w:space="0" w:color="auto"/>
              <w:bottom w:val="nil"/>
              <w:right w:val="nil"/>
            </w:tcBorders>
            <w:shd w:val="clear" w:color="auto" w:fill="FFFFFF"/>
            <w:noWrap/>
            <w:tcMar>
              <w:top w:w="0" w:type="dxa"/>
              <w:left w:w="108" w:type="dxa"/>
              <w:bottom w:w="0" w:type="dxa"/>
              <w:right w:w="108" w:type="dxa"/>
            </w:tcMar>
            <w:vAlign w:val="bottom"/>
            <w:hideMark/>
          </w:tcPr>
          <w:p w:rsidR="007058D0" w:rsidRPr="00561707" w:rsidRDefault="007058D0" w:rsidP="007B70DC">
            <w:pPr>
              <w:ind w:left="312"/>
              <w:jc w:val="right"/>
              <w:rPr>
                <w:sz w:val="20"/>
                <w:szCs w:val="20"/>
                <w:lang w:eastAsia="en-GB"/>
              </w:rPr>
            </w:pPr>
            <w:r w:rsidRPr="00561707">
              <w:rPr>
                <w:sz w:val="20"/>
                <w:szCs w:val="20"/>
                <w:lang w:eastAsia="en-GB"/>
              </w:rPr>
              <w:t xml:space="preserve">-   </w:t>
            </w:r>
          </w:p>
        </w:tc>
        <w:tc>
          <w:tcPr>
            <w:tcW w:w="1673" w:type="dxa"/>
            <w:tcBorders>
              <w:top w:val="nil"/>
              <w:left w:val="nil"/>
              <w:bottom w:val="nil"/>
              <w:right w:val="single" w:sz="8" w:space="0" w:color="auto"/>
            </w:tcBorders>
            <w:shd w:val="clear" w:color="auto" w:fill="FFFFFF"/>
            <w:noWrap/>
            <w:tcMar>
              <w:top w:w="0" w:type="dxa"/>
              <w:left w:w="108" w:type="dxa"/>
              <w:bottom w:w="0" w:type="dxa"/>
              <w:right w:w="108" w:type="dxa"/>
            </w:tcMar>
            <w:vAlign w:val="bottom"/>
            <w:hideMark/>
          </w:tcPr>
          <w:p w:rsidR="007058D0" w:rsidRPr="00561707" w:rsidRDefault="007058D0" w:rsidP="007B70DC">
            <w:pPr>
              <w:jc w:val="right"/>
              <w:rPr>
                <w:sz w:val="20"/>
                <w:szCs w:val="20"/>
                <w:lang w:eastAsia="en-GB"/>
              </w:rPr>
            </w:pPr>
            <w:r w:rsidRPr="00561707">
              <w:rPr>
                <w:sz w:val="20"/>
                <w:szCs w:val="20"/>
                <w:lang w:eastAsia="en-GB"/>
              </w:rPr>
              <w:t xml:space="preserve">-   </w:t>
            </w:r>
          </w:p>
        </w:tc>
        <w:tc>
          <w:tcPr>
            <w:tcW w:w="1489" w:type="dxa"/>
            <w:shd w:val="clear" w:color="auto" w:fill="FFFFFF"/>
            <w:noWrap/>
            <w:tcMar>
              <w:top w:w="0" w:type="dxa"/>
              <w:left w:w="108" w:type="dxa"/>
              <w:bottom w:w="0" w:type="dxa"/>
              <w:right w:w="108" w:type="dxa"/>
            </w:tcMar>
            <w:vAlign w:val="bottom"/>
            <w:hideMark/>
          </w:tcPr>
          <w:p w:rsidR="007058D0" w:rsidRPr="00561707" w:rsidRDefault="007058D0" w:rsidP="007B70DC">
            <w:pPr>
              <w:jc w:val="right"/>
              <w:rPr>
                <w:sz w:val="20"/>
                <w:szCs w:val="20"/>
                <w:lang w:eastAsia="en-GB"/>
              </w:rPr>
            </w:pPr>
            <w:r w:rsidRPr="00561707">
              <w:rPr>
                <w:sz w:val="20"/>
                <w:szCs w:val="20"/>
                <w:lang w:eastAsia="en-GB"/>
              </w:rPr>
              <w:t xml:space="preserve">-   </w:t>
            </w:r>
          </w:p>
        </w:tc>
        <w:tc>
          <w:tcPr>
            <w:tcW w:w="1675" w:type="dxa"/>
            <w:tcBorders>
              <w:top w:val="nil"/>
              <w:left w:val="nil"/>
              <w:bottom w:val="nil"/>
              <w:right w:val="single" w:sz="8" w:space="0" w:color="auto"/>
            </w:tcBorders>
            <w:shd w:val="clear" w:color="auto" w:fill="FFFFFF"/>
            <w:noWrap/>
            <w:tcMar>
              <w:top w:w="0" w:type="dxa"/>
              <w:left w:w="108" w:type="dxa"/>
              <w:bottom w:w="0" w:type="dxa"/>
              <w:right w:w="108" w:type="dxa"/>
            </w:tcMar>
            <w:vAlign w:val="bottom"/>
            <w:hideMark/>
          </w:tcPr>
          <w:p w:rsidR="007058D0" w:rsidRPr="00561707" w:rsidRDefault="007058D0" w:rsidP="007B70DC">
            <w:pPr>
              <w:jc w:val="right"/>
              <w:rPr>
                <w:sz w:val="20"/>
                <w:szCs w:val="20"/>
                <w:lang w:eastAsia="en-GB"/>
              </w:rPr>
            </w:pPr>
            <w:r w:rsidRPr="00561707">
              <w:rPr>
                <w:sz w:val="20"/>
                <w:szCs w:val="20"/>
                <w:lang w:eastAsia="en-GB"/>
              </w:rPr>
              <w:t xml:space="preserve">-   </w:t>
            </w:r>
          </w:p>
        </w:tc>
      </w:tr>
      <w:tr w:rsidR="007058D0" w:rsidRPr="00561707" w:rsidTr="00891A96">
        <w:trPr>
          <w:trHeight w:val="245"/>
        </w:trPr>
        <w:tc>
          <w:tcPr>
            <w:tcW w:w="3818" w:type="dxa"/>
            <w:tcBorders>
              <w:top w:val="nil"/>
              <w:left w:val="single" w:sz="8" w:space="0" w:color="auto"/>
              <w:bottom w:val="nil"/>
              <w:right w:val="nil"/>
            </w:tcBorders>
            <w:shd w:val="clear" w:color="auto" w:fill="FFFFFF"/>
            <w:noWrap/>
            <w:tcMar>
              <w:top w:w="0" w:type="dxa"/>
              <w:left w:w="108" w:type="dxa"/>
              <w:bottom w:w="0" w:type="dxa"/>
              <w:right w:w="108" w:type="dxa"/>
            </w:tcMar>
            <w:vAlign w:val="bottom"/>
            <w:hideMark/>
          </w:tcPr>
          <w:p w:rsidR="007058D0" w:rsidRPr="00561707" w:rsidRDefault="007058D0" w:rsidP="00891A96">
            <w:pPr>
              <w:rPr>
                <w:color w:val="000000"/>
                <w:sz w:val="20"/>
                <w:szCs w:val="20"/>
                <w:lang w:eastAsia="en-GB"/>
              </w:rPr>
            </w:pPr>
            <w:r w:rsidRPr="00561707">
              <w:rPr>
                <w:color w:val="000000"/>
                <w:sz w:val="20"/>
                <w:szCs w:val="20"/>
                <w:lang w:eastAsia="en-GB"/>
              </w:rPr>
              <w:t>- Loans made for service purposes</w:t>
            </w:r>
          </w:p>
        </w:tc>
        <w:tc>
          <w:tcPr>
            <w:tcW w:w="1433" w:type="dxa"/>
            <w:tcBorders>
              <w:top w:val="nil"/>
              <w:left w:val="single" w:sz="8" w:space="0" w:color="auto"/>
              <w:bottom w:val="nil"/>
              <w:right w:val="nil"/>
            </w:tcBorders>
            <w:shd w:val="clear" w:color="auto" w:fill="FFFFFF"/>
            <w:noWrap/>
            <w:tcMar>
              <w:top w:w="0" w:type="dxa"/>
              <w:left w:w="108" w:type="dxa"/>
              <w:bottom w:w="0" w:type="dxa"/>
              <w:right w:w="108" w:type="dxa"/>
            </w:tcMar>
            <w:vAlign w:val="bottom"/>
            <w:hideMark/>
          </w:tcPr>
          <w:p w:rsidR="007058D0" w:rsidRPr="00561707" w:rsidRDefault="007058D0" w:rsidP="007B70DC">
            <w:pPr>
              <w:ind w:left="312"/>
              <w:jc w:val="right"/>
              <w:rPr>
                <w:sz w:val="20"/>
                <w:szCs w:val="20"/>
                <w:lang w:eastAsia="en-GB"/>
              </w:rPr>
            </w:pPr>
            <w:r w:rsidRPr="00561707">
              <w:rPr>
                <w:sz w:val="20"/>
                <w:szCs w:val="20"/>
                <w:lang w:eastAsia="en-GB"/>
              </w:rPr>
              <w:t xml:space="preserve">128.1 </w:t>
            </w:r>
          </w:p>
        </w:tc>
        <w:tc>
          <w:tcPr>
            <w:tcW w:w="1673" w:type="dxa"/>
            <w:tcBorders>
              <w:top w:val="nil"/>
              <w:left w:val="nil"/>
              <w:bottom w:val="nil"/>
              <w:right w:val="single" w:sz="8" w:space="0" w:color="auto"/>
            </w:tcBorders>
            <w:shd w:val="clear" w:color="auto" w:fill="FFFFFF"/>
            <w:noWrap/>
            <w:tcMar>
              <w:top w:w="0" w:type="dxa"/>
              <w:left w:w="108" w:type="dxa"/>
              <w:bottom w:w="0" w:type="dxa"/>
              <w:right w:w="108" w:type="dxa"/>
            </w:tcMar>
            <w:vAlign w:val="bottom"/>
            <w:hideMark/>
          </w:tcPr>
          <w:p w:rsidR="007058D0" w:rsidRPr="00561707" w:rsidRDefault="007058D0" w:rsidP="007B70DC">
            <w:pPr>
              <w:jc w:val="right"/>
              <w:rPr>
                <w:sz w:val="20"/>
                <w:szCs w:val="20"/>
                <w:lang w:eastAsia="en-GB"/>
              </w:rPr>
            </w:pPr>
            <w:r w:rsidRPr="00561707">
              <w:rPr>
                <w:sz w:val="20"/>
                <w:szCs w:val="20"/>
                <w:lang w:eastAsia="en-GB"/>
              </w:rPr>
              <w:t xml:space="preserve">111.5 </w:t>
            </w:r>
          </w:p>
        </w:tc>
        <w:tc>
          <w:tcPr>
            <w:tcW w:w="1489" w:type="dxa"/>
            <w:shd w:val="clear" w:color="auto" w:fill="FFFFFF"/>
            <w:noWrap/>
            <w:tcMar>
              <w:top w:w="0" w:type="dxa"/>
              <w:left w:w="108" w:type="dxa"/>
              <w:bottom w:w="0" w:type="dxa"/>
              <w:right w:w="108" w:type="dxa"/>
            </w:tcMar>
            <w:vAlign w:val="bottom"/>
            <w:hideMark/>
          </w:tcPr>
          <w:p w:rsidR="007058D0" w:rsidRPr="00561707" w:rsidRDefault="007058D0" w:rsidP="007B70DC">
            <w:pPr>
              <w:jc w:val="right"/>
              <w:rPr>
                <w:sz w:val="20"/>
                <w:szCs w:val="20"/>
                <w:lang w:eastAsia="en-GB"/>
              </w:rPr>
            </w:pPr>
            <w:r w:rsidRPr="00561707">
              <w:rPr>
                <w:sz w:val="20"/>
                <w:szCs w:val="20"/>
                <w:lang w:eastAsia="en-GB"/>
              </w:rPr>
              <w:t xml:space="preserve">1.4 </w:t>
            </w:r>
          </w:p>
        </w:tc>
        <w:tc>
          <w:tcPr>
            <w:tcW w:w="1675" w:type="dxa"/>
            <w:tcBorders>
              <w:top w:val="nil"/>
              <w:left w:val="nil"/>
              <w:bottom w:val="nil"/>
              <w:right w:val="single" w:sz="8" w:space="0" w:color="auto"/>
            </w:tcBorders>
            <w:shd w:val="clear" w:color="auto" w:fill="FFFFFF"/>
            <w:noWrap/>
            <w:tcMar>
              <w:top w:w="0" w:type="dxa"/>
              <w:left w:w="108" w:type="dxa"/>
              <w:bottom w:w="0" w:type="dxa"/>
              <w:right w:w="108" w:type="dxa"/>
            </w:tcMar>
            <w:vAlign w:val="bottom"/>
            <w:hideMark/>
          </w:tcPr>
          <w:p w:rsidR="007058D0" w:rsidRPr="00561707" w:rsidRDefault="007058D0" w:rsidP="007B70DC">
            <w:pPr>
              <w:jc w:val="right"/>
              <w:rPr>
                <w:sz w:val="20"/>
                <w:szCs w:val="20"/>
                <w:lang w:eastAsia="en-GB"/>
              </w:rPr>
            </w:pPr>
            <w:r w:rsidRPr="00561707">
              <w:rPr>
                <w:sz w:val="20"/>
                <w:szCs w:val="20"/>
                <w:lang w:eastAsia="en-GB"/>
              </w:rPr>
              <w:t xml:space="preserve">1.0 </w:t>
            </w:r>
          </w:p>
        </w:tc>
      </w:tr>
      <w:tr w:rsidR="007058D0" w:rsidRPr="00561707" w:rsidTr="00891A96">
        <w:trPr>
          <w:trHeight w:val="245"/>
        </w:trPr>
        <w:tc>
          <w:tcPr>
            <w:tcW w:w="3818" w:type="dxa"/>
            <w:tcBorders>
              <w:top w:val="nil"/>
              <w:left w:val="single" w:sz="8" w:space="0" w:color="auto"/>
              <w:bottom w:val="nil"/>
              <w:right w:val="nil"/>
            </w:tcBorders>
            <w:shd w:val="clear" w:color="auto" w:fill="FFFFFF"/>
            <w:noWrap/>
            <w:tcMar>
              <w:top w:w="0" w:type="dxa"/>
              <w:left w:w="108" w:type="dxa"/>
              <w:bottom w:w="0" w:type="dxa"/>
              <w:right w:w="108" w:type="dxa"/>
            </w:tcMar>
            <w:vAlign w:val="bottom"/>
            <w:hideMark/>
          </w:tcPr>
          <w:p w:rsidR="007058D0" w:rsidRPr="00561707" w:rsidRDefault="007058D0" w:rsidP="00891A96">
            <w:pPr>
              <w:rPr>
                <w:color w:val="000000"/>
                <w:sz w:val="20"/>
                <w:szCs w:val="20"/>
                <w:lang w:eastAsia="en-GB"/>
              </w:rPr>
            </w:pPr>
            <w:r w:rsidRPr="00561707">
              <w:rPr>
                <w:color w:val="000000"/>
                <w:sz w:val="20"/>
                <w:szCs w:val="20"/>
                <w:lang w:eastAsia="en-GB"/>
              </w:rPr>
              <w:t>- Trade Receivables</w:t>
            </w:r>
          </w:p>
        </w:tc>
        <w:tc>
          <w:tcPr>
            <w:tcW w:w="1433" w:type="dxa"/>
            <w:tcBorders>
              <w:top w:val="nil"/>
              <w:left w:val="single" w:sz="8" w:space="0" w:color="auto"/>
              <w:bottom w:val="nil"/>
              <w:right w:val="nil"/>
            </w:tcBorders>
            <w:shd w:val="clear" w:color="auto" w:fill="FFFFFF"/>
            <w:noWrap/>
            <w:tcMar>
              <w:top w:w="0" w:type="dxa"/>
              <w:left w:w="108" w:type="dxa"/>
              <w:bottom w:w="0" w:type="dxa"/>
              <w:right w:w="108" w:type="dxa"/>
            </w:tcMar>
            <w:vAlign w:val="bottom"/>
            <w:hideMark/>
          </w:tcPr>
          <w:p w:rsidR="007058D0" w:rsidRPr="00561707" w:rsidRDefault="007058D0" w:rsidP="007B70DC">
            <w:pPr>
              <w:ind w:left="312"/>
              <w:jc w:val="right"/>
              <w:rPr>
                <w:sz w:val="20"/>
                <w:szCs w:val="20"/>
                <w:lang w:eastAsia="en-GB"/>
              </w:rPr>
            </w:pPr>
            <w:r w:rsidRPr="00561707">
              <w:rPr>
                <w:sz w:val="20"/>
                <w:szCs w:val="20"/>
                <w:lang w:eastAsia="en-GB"/>
              </w:rPr>
              <w:t xml:space="preserve">-   </w:t>
            </w:r>
          </w:p>
        </w:tc>
        <w:tc>
          <w:tcPr>
            <w:tcW w:w="1673" w:type="dxa"/>
            <w:tcBorders>
              <w:top w:val="nil"/>
              <w:left w:val="nil"/>
              <w:bottom w:val="nil"/>
              <w:right w:val="single" w:sz="8" w:space="0" w:color="auto"/>
            </w:tcBorders>
            <w:shd w:val="clear" w:color="auto" w:fill="FFFFFF"/>
            <w:noWrap/>
            <w:tcMar>
              <w:top w:w="0" w:type="dxa"/>
              <w:left w:w="108" w:type="dxa"/>
              <w:bottom w:w="0" w:type="dxa"/>
              <w:right w:w="108" w:type="dxa"/>
            </w:tcMar>
            <w:vAlign w:val="bottom"/>
            <w:hideMark/>
          </w:tcPr>
          <w:p w:rsidR="007058D0" w:rsidRPr="00561707" w:rsidRDefault="007058D0" w:rsidP="007B70DC">
            <w:pPr>
              <w:jc w:val="right"/>
              <w:rPr>
                <w:sz w:val="20"/>
                <w:szCs w:val="20"/>
                <w:lang w:eastAsia="en-GB"/>
              </w:rPr>
            </w:pPr>
            <w:r w:rsidRPr="00561707">
              <w:rPr>
                <w:sz w:val="20"/>
                <w:szCs w:val="20"/>
                <w:lang w:eastAsia="en-GB"/>
              </w:rPr>
              <w:t xml:space="preserve">-   </w:t>
            </w:r>
          </w:p>
        </w:tc>
        <w:tc>
          <w:tcPr>
            <w:tcW w:w="1489" w:type="dxa"/>
            <w:shd w:val="clear" w:color="auto" w:fill="FFFFFF"/>
            <w:noWrap/>
            <w:tcMar>
              <w:top w:w="0" w:type="dxa"/>
              <w:left w:w="108" w:type="dxa"/>
              <w:bottom w:w="0" w:type="dxa"/>
              <w:right w:w="108" w:type="dxa"/>
            </w:tcMar>
            <w:vAlign w:val="bottom"/>
            <w:hideMark/>
          </w:tcPr>
          <w:p w:rsidR="007058D0" w:rsidRPr="00561707" w:rsidRDefault="007058D0" w:rsidP="007B70DC">
            <w:pPr>
              <w:jc w:val="right"/>
              <w:rPr>
                <w:sz w:val="20"/>
                <w:szCs w:val="20"/>
                <w:lang w:eastAsia="en-GB"/>
              </w:rPr>
            </w:pPr>
            <w:r>
              <w:rPr>
                <w:sz w:val="20"/>
                <w:szCs w:val="20"/>
                <w:lang w:eastAsia="en-GB"/>
              </w:rPr>
              <w:t>155.2</w:t>
            </w:r>
            <w:r w:rsidRPr="00561707">
              <w:rPr>
                <w:sz w:val="20"/>
                <w:szCs w:val="20"/>
                <w:lang w:eastAsia="en-GB"/>
              </w:rPr>
              <w:t xml:space="preserve"> </w:t>
            </w:r>
          </w:p>
        </w:tc>
        <w:tc>
          <w:tcPr>
            <w:tcW w:w="1675" w:type="dxa"/>
            <w:tcBorders>
              <w:top w:val="nil"/>
              <w:left w:val="nil"/>
              <w:bottom w:val="nil"/>
              <w:right w:val="single" w:sz="8" w:space="0" w:color="auto"/>
            </w:tcBorders>
            <w:shd w:val="clear" w:color="auto" w:fill="FFFFFF"/>
            <w:noWrap/>
            <w:tcMar>
              <w:top w:w="0" w:type="dxa"/>
              <w:left w:w="108" w:type="dxa"/>
              <w:bottom w:w="0" w:type="dxa"/>
              <w:right w:w="108" w:type="dxa"/>
            </w:tcMar>
            <w:vAlign w:val="bottom"/>
            <w:hideMark/>
          </w:tcPr>
          <w:p w:rsidR="007058D0" w:rsidRPr="00561707" w:rsidRDefault="007058D0" w:rsidP="007B70DC">
            <w:pPr>
              <w:jc w:val="right"/>
              <w:rPr>
                <w:sz w:val="20"/>
                <w:szCs w:val="20"/>
                <w:lang w:eastAsia="en-GB"/>
              </w:rPr>
            </w:pPr>
            <w:r w:rsidRPr="00561707">
              <w:rPr>
                <w:sz w:val="20"/>
                <w:szCs w:val="20"/>
                <w:lang w:eastAsia="en-GB"/>
              </w:rPr>
              <w:t xml:space="preserve">107.3 </w:t>
            </w:r>
          </w:p>
        </w:tc>
      </w:tr>
      <w:tr w:rsidR="007058D0" w:rsidRPr="00561707" w:rsidTr="00891A96">
        <w:trPr>
          <w:trHeight w:val="245"/>
        </w:trPr>
        <w:tc>
          <w:tcPr>
            <w:tcW w:w="3818" w:type="dxa"/>
            <w:tcBorders>
              <w:top w:val="nil"/>
              <w:left w:val="single" w:sz="8" w:space="0" w:color="auto"/>
              <w:bottom w:val="nil"/>
              <w:right w:val="nil"/>
            </w:tcBorders>
            <w:shd w:val="clear" w:color="auto" w:fill="FFFFFF"/>
            <w:noWrap/>
            <w:tcMar>
              <w:top w:w="0" w:type="dxa"/>
              <w:left w:w="108" w:type="dxa"/>
              <w:bottom w:w="0" w:type="dxa"/>
              <w:right w:w="108" w:type="dxa"/>
            </w:tcMar>
            <w:vAlign w:val="bottom"/>
            <w:hideMark/>
          </w:tcPr>
          <w:p w:rsidR="007058D0" w:rsidRPr="00561707" w:rsidRDefault="007058D0" w:rsidP="00891A96">
            <w:pPr>
              <w:rPr>
                <w:color w:val="000000"/>
                <w:sz w:val="20"/>
                <w:szCs w:val="20"/>
                <w:lang w:eastAsia="en-GB"/>
              </w:rPr>
            </w:pPr>
            <w:r w:rsidRPr="00561707">
              <w:rPr>
                <w:color w:val="000000"/>
                <w:sz w:val="20"/>
                <w:szCs w:val="20"/>
                <w:lang w:eastAsia="en-GB"/>
              </w:rPr>
              <w:t>- Lease Receivables</w:t>
            </w:r>
          </w:p>
        </w:tc>
        <w:tc>
          <w:tcPr>
            <w:tcW w:w="1433" w:type="dxa"/>
            <w:tcBorders>
              <w:top w:val="nil"/>
              <w:left w:val="single" w:sz="8" w:space="0" w:color="auto"/>
              <w:bottom w:val="nil"/>
              <w:right w:val="nil"/>
            </w:tcBorders>
            <w:shd w:val="clear" w:color="auto" w:fill="FFFFFF"/>
            <w:noWrap/>
            <w:tcMar>
              <w:top w:w="0" w:type="dxa"/>
              <w:left w:w="108" w:type="dxa"/>
              <w:bottom w:w="0" w:type="dxa"/>
              <w:right w:w="108" w:type="dxa"/>
            </w:tcMar>
            <w:vAlign w:val="bottom"/>
            <w:hideMark/>
          </w:tcPr>
          <w:p w:rsidR="007058D0" w:rsidRPr="00561707" w:rsidRDefault="007058D0" w:rsidP="007B70DC">
            <w:pPr>
              <w:ind w:left="312"/>
              <w:jc w:val="right"/>
              <w:rPr>
                <w:sz w:val="20"/>
                <w:szCs w:val="20"/>
                <w:lang w:eastAsia="en-GB"/>
              </w:rPr>
            </w:pPr>
            <w:r w:rsidRPr="00561707">
              <w:rPr>
                <w:sz w:val="20"/>
                <w:szCs w:val="20"/>
                <w:lang w:eastAsia="en-GB"/>
              </w:rPr>
              <w:t>3.2</w:t>
            </w:r>
          </w:p>
        </w:tc>
        <w:tc>
          <w:tcPr>
            <w:tcW w:w="1673" w:type="dxa"/>
            <w:tcBorders>
              <w:top w:val="nil"/>
              <w:left w:val="nil"/>
              <w:bottom w:val="nil"/>
              <w:right w:val="single" w:sz="8" w:space="0" w:color="auto"/>
            </w:tcBorders>
            <w:shd w:val="clear" w:color="auto" w:fill="FFFFFF"/>
            <w:noWrap/>
            <w:tcMar>
              <w:top w:w="0" w:type="dxa"/>
              <w:left w:w="108" w:type="dxa"/>
              <w:bottom w:w="0" w:type="dxa"/>
              <w:right w:w="108" w:type="dxa"/>
            </w:tcMar>
            <w:vAlign w:val="bottom"/>
            <w:hideMark/>
          </w:tcPr>
          <w:p w:rsidR="007058D0" w:rsidRPr="00561707" w:rsidRDefault="007058D0" w:rsidP="007B70DC">
            <w:pPr>
              <w:jc w:val="right"/>
              <w:rPr>
                <w:sz w:val="20"/>
                <w:szCs w:val="20"/>
                <w:lang w:eastAsia="en-GB"/>
              </w:rPr>
            </w:pPr>
            <w:r w:rsidRPr="00561707">
              <w:rPr>
                <w:sz w:val="20"/>
                <w:szCs w:val="20"/>
                <w:lang w:eastAsia="en-GB"/>
              </w:rPr>
              <w:t>3.2</w:t>
            </w:r>
          </w:p>
        </w:tc>
        <w:tc>
          <w:tcPr>
            <w:tcW w:w="1489" w:type="dxa"/>
            <w:shd w:val="clear" w:color="auto" w:fill="FFFFFF"/>
            <w:noWrap/>
            <w:tcMar>
              <w:top w:w="0" w:type="dxa"/>
              <w:left w:w="108" w:type="dxa"/>
              <w:bottom w:w="0" w:type="dxa"/>
              <w:right w:w="108" w:type="dxa"/>
            </w:tcMar>
            <w:vAlign w:val="bottom"/>
            <w:hideMark/>
          </w:tcPr>
          <w:p w:rsidR="007058D0" w:rsidRPr="00561707" w:rsidRDefault="007058D0" w:rsidP="007B70DC">
            <w:pPr>
              <w:jc w:val="right"/>
              <w:rPr>
                <w:sz w:val="20"/>
                <w:szCs w:val="20"/>
                <w:lang w:eastAsia="en-GB"/>
              </w:rPr>
            </w:pPr>
            <w:r w:rsidRPr="00561707">
              <w:rPr>
                <w:sz w:val="20"/>
                <w:szCs w:val="20"/>
                <w:lang w:eastAsia="en-GB"/>
              </w:rPr>
              <w:t xml:space="preserve">-   </w:t>
            </w:r>
          </w:p>
        </w:tc>
        <w:tc>
          <w:tcPr>
            <w:tcW w:w="1675" w:type="dxa"/>
            <w:tcBorders>
              <w:top w:val="nil"/>
              <w:left w:val="nil"/>
              <w:bottom w:val="nil"/>
              <w:right w:val="single" w:sz="8" w:space="0" w:color="auto"/>
            </w:tcBorders>
            <w:shd w:val="clear" w:color="auto" w:fill="FFFFFF"/>
            <w:noWrap/>
            <w:tcMar>
              <w:top w:w="0" w:type="dxa"/>
              <w:left w:w="108" w:type="dxa"/>
              <w:bottom w:w="0" w:type="dxa"/>
              <w:right w:w="108" w:type="dxa"/>
            </w:tcMar>
            <w:vAlign w:val="bottom"/>
            <w:hideMark/>
          </w:tcPr>
          <w:p w:rsidR="007058D0" w:rsidRPr="00561707" w:rsidRDefault="007058D0" w:rsidP="007B70DC">
            <w:pPr>
              <w:jc w:val="right"/>
              <w:rPr>
                <w:sz w:val="20"/>
                <w:szCs w:val="20"/>
                <w:lang w:eastAsia="en-GB"/>
              </w:rPr>
            </w:pPr>
            <w:r w:rsidRPr="00561707">
              <w:rPr>
                <w:sz w:val="20"/>
                <w:szCs w:val="20"/>
                <w:lang w:eastAsia="en-GB"/>
              </w:rPr>
              <w:t xml:space="preserve">-   </w:t>
            </w:r>
          </w:p>
        </w:tc>
      </w:tr>
      <w:tr w:rsidR="007058D0" w:rsidRPr="00561707" w:rsidTr="00891A96">
        <w:trPr>
          <w:trHeight w:val="245"/>
        </w:trPr>
        <w:tc>
          <w:tcPr>
            <w:tcW w:w="3818" w:type="dxa"/>
            <w:tcBorders>
              <w:top w:val="nil"/>
              <w:left w:val="single" w:sz="8" w:space="0" w:color="auto"/>
              <w:bottom w:val="nil"/>
              <w:right w:val="nil"/>
            </w:tcBorders>
            <w:shd w:val="clear" w:color="auto" w:fill="FFFFFF"/>
            <w:noWrap/>
            <w:tcMar>
              <w:top w:w="0" w:type="dxa"/>
              <w:left w:w="108" w:type="dxa"/>
              <w:bottom w:w="0" w:type="dxa"/>
              <w:right w:w="108" w:type="dxa"/>
            </w:tcMar>
            <w:vAlign w:val="bottom"/>
            <w:hideMark/>
          </w:tcPr>
          <w:p w:rsidR="007058D0" w:rsidRPr="00561707" w:rsidRDefault="007058D0" w:rsidP="00891A96">
            <w:pPr>
              <w:rPr>
                <w:color w:val="000000"/>
                <w:sz w:val="20"/>
                <w:szCs w:val="20"/>
                <w:lang w:eastAsia="en-GB"/>
              </w:rPr>
            </w:pPr>
            <w:r w:rsidRPr="00561707">
              <w:rPr>
                <w:color w:val="000000"/>
                <w:sz w:val="20"/>
                <w:szCs w:val="20"/>
                <w:lang w:eastAsia="en-GB"/>
              </w:rPr>
              <w:t>- PFI</w:t>
            </w:r>
          </w:p>
        </w:tc>
        <w:tc>
          <w:tcPr>
            <w:tcW w:w="1433" w:type="dxa"/>
            <w:tcBorders>
              <w:top w:val="nil"/>
              <w:left w:val="single" w:sz="8" w:space="0" w:color="auto"/>
              <w:bottom w:val="nil"/>
              <w:right w:val="nil"/>
            </w:tcBorders>
            <w:shd w:val="clear" w:color="auto" w:fill="FFFFFF"/>
            <w:noWrap/>
            <w:tcMar>
              <w:top w:w="0" w:type="dxa"/>
              <w:left w:w="108" w:type="dxa"/>
              <w:bottom w:w="0" w:type="dxa"/>
              <w:right w:w="108" w:type="dxa"/>
            </w:tcMar>
            <w:vAlign w:val="bottom"/>
            <w:hideMark/>
          </w:tcPr>
          <w:p w:rsidR="007058D0" w:rsidRPr="00561707" w:rsidRDefault="007058D0" w:rsidP="007B70DC">
            <w:pPr>
              <w:ind w:left="312"/>
              <w:jc w:val="right"/>
              <w:rPr>
                <w:sz w:val="20"/>
                <w:szCs w:val="20"/>
                <w:lang w:eastAsia="en-GB"/>
              </w:rPr>
            </w:pPr>
            <w:r w:rsidRPr="00561707">
              <w:rPr>
                <w:sz w:val="20"/>
                <w:szCs w:val="20"/>
                <w:lang w:eastAsia="en-GB"/>
              </w:rPr>
              <w:t>0.9</w:t>
            </w:r>
          </w:p>
        </w:tc>
        <w:tc>
          <w:tcPr>
            <w:tcW w:w="1673" w:type="dxa"/>
            <w:tcBorders>
              <w:top w:val="nil"/>
              <w:left w:val="nil"/>
              <w:bottom w:val="nil"/>
              <w:right w:val="single" w:sz="8" w:space="0" w:color="auto"/>
            </w:tcBorders>
            <w:shd w:val="clear" w:color="auto" w:fill="FFFFFF"/>
            <w:noWrap/>
            <w:tcMar>
              <w:top w:w="0" w:type="dxa"/>
              <w:left w:w="108" w:type="dxa"/>
              <w:bottom w:w="0" w:type="dxa"/>
              <w:right w:w="108" w:type="dxa"/>
            </w:tcMar>
            <w:vAlign w:val="bottom"/>
            <w:hideMark/>
          </w:tcPr>
          <w:p w:rsidR="007058D0" w:rsidRPr="00561707" w:rsidRDefault="007058D0" w:rsidP="007B70DC">
            <w:pPr>
              <w:jc w:val="right"/>
              <w:rPr>
                <w:sz w:val="20"/>
                <w:szCs w:val="20"/>
                <w:lang w:eastAsia="en-GB"/>
              </w:rPr>
            </w:pPr>
            <w:r w:rsidRPr="00561707">
              <w:rPr>
                <w:sz w:val="20"/>
                <w:szCs w:val="20"/>
                <w:lang w:eastAsia="en-GB"/>
              </w:rPr>
              <w:t>0.9</w:t>
            </w:r>
          </w:p>
        </w:tc>
        <w:tc>
          <w:tcPr>
            <w:tcW w:w="1489" w:type="dxa"/>
            <w:shd w:val="clear" w:color="auto" w:fill="FFFFFF"/>
            <w:noWrap/>
            <w:tcMar>
              <w:top w:w="0" w:type="dxa"/>
              <w:left w:w="108" w:type="dxa"/>
              <w:bottom w:w="0" w:type="dxa"/>
              <w:right w:w="108" w:type="dxa"/>
            </w:tcMar>
            <w:vAlign w:val="bottom"/>
            <w:hideMark/>
          </w:tcPr>
          <w:p w:rsidR="007058D0" w:rsidRPr="00561707" w:rsidRDefault="007058D0" w:rsidP="007B70DC">
            <w:pPr>
              <w:jc w:val="right"/>
              <w:rPr>
                <w:sz w:val="20"/>
                <w:szCs w:val="20"/>
                <w:lang w:eastAsia="en-GB"/>
              </w:rPr>
            </w:pPr>
            <w:r w:rsidRPr="00561707">
              <w:rPr>
                <w:sz w:val="20"/>
                <w:szCs w:val="20"/>
                <w:lang w:eastAsia="en-GB"/>
              </w:rPr>
              <w:t xml:space="preserve">-   </w:t>
            </w:r>
          </w:p>
        </w:tc>
        <w:tc>
          <w:tcPr>
            <w:tcW w:w="1675" w:type="dxa"/>
            <w:tcBorders>
              <w:top w:val="nil"/>
              <w:left w:val="nil"/>
              <w:bottom w:val="nil"/>
              <w:right w:val="single" w:sz="8" w:space="0" w:color="auto"/>
            </w:tcBorders>
            <w:shd w:val="clear" w:color="auto" w:fill="FFFFFF"/>
            <w:noWrap/>
            <w:tcMar>
              <w:top w:w="0" w:type="dxa"/>
              <w:left w:w="108" w:type="dxa"/>
              <w:bottom w:w="0" w:type="dxa"/>
              <w:right w:w="108" w:type="dxa"/>
            </w:tcMar>
            <w:vAlign w:val="bottom"/>
            <w:hideMark/>
          </w:tcPr>
          <w:p w:rsidR="007058D0" w:rsidRPr="00561707" w:rsidRDefault="007058D0" w:rsidP="007B70DC">
            <w:pPr>
              <w:jc w:val="right"/>
              <w:rPr>
                <w:sz w:val="20"/>
                <w:szCs w:val="20"/>
                <w:lang w:eastAsia="en-GB"/>
              </w:rPr>
            </w:pPr>
            <w:r w:rsidRPr="00561707">
              <w:rPr>
                <w:sz w:val="20"/>
                <w:szCs w:val="20"/>
                <w:lang w:eastAsia="en-GB"/>
              </w:rPr>
              <w:t xml:space="preserve">-   </w:t>
            </w:r>
          </w:p>
        </w:tc>
      </w:tr>
      <w:tr w:rsidR="007058D0" w:rsidRPr="00561707" w:rsidTr="00891A96">
        <w:trPr>
          <w:trHeight w:val="245"/>
        </w:trPr>
        <w:tc>
          <w:tcPr>
            <w:tcW w:w="3818" w:type="dxa"/>
            <w:tcBorders>
              <w:top w:val="nil"/>
              <w:left w:val="single" w:sz="8" w:space="0" w:color="auto"/>
              <w:bottom w:val="nil"/>
              <w:right w:val="nil"/>
            </w:tcBorders>
            <w:shd w:val="clear" w:color="auto" w:fill="FFFFFF"/>
            <w:noWrap/>
            <w:tcMar>
              <w:top w:w="0" w:type="dxa"/>
              <w:left w:w="108" w:type="dxa"/>
              <w:bottom w:w="0" w:type="dxa"/>
              <w:right w:w="108" w:type="dxa"/>
            </w:tcMar>
            <w:vAlign w:val="bottom"/>
            <w:hideMark/>
          </w:tcPr>
          <w:p w:rsidR="007058D0" w:rsidRPr="00561707" w:rsidRDefault="007058D0" w:rsidP="00891A96">
            <w:pPr>
              <w:rPr>
                <w:color w:val="000000"/>
                <w:sz w:val="20"/>
                <w:szCs w:val="20"/>
                <w:lang w:eastAsia="en-GB"/>
              </w:rPr>
            </w:pPr>
            <w:r w:rsidRPr="00561707">
              <w:rPr>
                <w:color w:val="000000"/>
                <w:sz w:val="20"/>
                <w:szCs w:val="20"/>
                <w:lang w:eastAsia="en-GB"/>
              </w:rPr>
              <w:t>- Accrued Interest</w:t>
            </w:r>
          </w:p>
        </w:tc>
        <w:tc>
          <w:tcPr>
            <w:tcW w:w="1433" w:type="dxa"/>
            <w:tcBorders>
              <w:top w:val="nil"/>
              <w:left w:val="single" w:sz="8" w:space="0" w:color="auto"/>
              <w:bottom w:val="single" w:sz="8" w:space="0" w:color="auto"/>
              <w:right w:val="nil"/>
            </w:tcBorders>
            <w:shd w:val="clear" w:color="auto" w:fill="FFFFFF"/>
            <w:noWrap/>
            <w:tcMar>
              <w:top w:w="0" w:type="dxa"/>
              <w:left w:w="108" w:type="dxa"/>
              <w:bottom w:w="0" w:type="dxa"/>
              <w:right w:w="108" w:type="dxa"/>
            </w:tcMar>
            <w:vAlign w:val="bottom"/>
            <w:hideMark/>
          </w:tcPr>
          <w:p w:rsidR="007058D0" w:rsidRPr="00561707" w:rsidRDefault="007058D0" w:rsidP="007B70DC">
            <w:pPr>
              <w:ind w:left="312"/>
              <w:jc w:val="right"/>
              <w:rPr>
                <w:sz w:val="20"/>
                <w:szCs w:val="20"/>
                <w:lang w:eastAsia="en-GB"/>
              </w:rPr>
            </w:pPr>
            <w:r w:rsidRPr="00561707">
              <w:rPr>
                <w:sz w:val="20"/>
                <w:szCs w:val="20"/>
                <w:lang w:eastAsia="en-GB"/>
              </w:rPr>
              <w:t xml:space="preserve">-   </w:t>
            </w:r>
          </w:p>
        </w:tc>
        <w:tc>
          <w:tcPr>
            <w:tcW w:w="167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7058D0" w:rsidRPr="00561707" w:rsidRDefault="007058D0" w:rsidP="007B70DC">
            <w:pPr>
              <w:jc w:val="right"/>
              <w:rPr>
                <w:sz w:val="20"/>
                <w:szCs w:val="20"/>
                <w:lang w:eastAsia="en-GB"/>
              </w:rPr>
            </w:pPr>
            <w:r w:rsidRPr="00561707">
              <w:rPr>
                <w:sz w:val="20"/>
                <w:szCs w:val="20"/>
                <w:lang w:eastAsia="en-GB"/>
              </w:rPr>
              <w:t xml:space="preserve">-   </w:t>
            </w:r>
          </w:p>
        </w:tc>
        <w:tc>
          <w:tcPr>
            <w:tcW w:w="1489" w:type="dxa"/>
            <w:tcBorders>
              <w:top w:val="nil"/>
              <w:left w:val="nil"/>
              <w:bottom w:val="single" w:sz="8" w:space="0" w:color="auto"/>
              <w:right w:val="nil"/>
            </w:tcBorders>
            <w:shd w:val="clear" w:color="auto" w:fill="FFFFFF"/>
            <w:noWrap/>
            <w:tcMar>
              <w:top w:w="0" w:type="dxa"/>
              <w:left w:w="108" w:type="dxa"/>
              <w:bottom w:w="0" w:type="dxa"/>
              <w:right w:w="108" w:type="dxa"/>
            </w:tcMar>
            <w:vAlign w:val="bottom"/>
            <w:hideMark/>
          </w:tcPr>
          <w:p w:rsidR="007058D0" w:rsidRPr="00561707" w:rsidRDefault="007058D0" w:rsidP="007B70DC">
            <w:pPr>
              <w:jc w:val="right"/>
              <w:rPr>
                <w:sz w:val="20"/>
                <w:szCs w:val="20"/>
                <w:lang w:eastAsia="en-GB"/>
              </w:rPr>
            </w:pPr>
            <w:r w:rsidRPr="00561707">
              <w:rPr>
                <w:sz w:val="20"/>
                <w:szCs w:val="20"/>
                <w:lang w:eastAsia="en-GB"/>
              </w:rPr>
              <w:t xml:space="preserve">0.2 </w:t>
            </w:r>
          </w:p>
        </w:tc>
        <w:tc>
          <w:tcPr>
            <w:tcW w:w="16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7058D0" w:rsidRPr="00561707" w:rsidRDefault="007058D0" w:rsidP="007B70DC">
            <w:pPr>
              <w:jc w:val="right"/>
              <w:rPr>
                <w:sz w:val="20"/>
                <w:szCs w:val="20"/>
                <w:lang w:eastAsia="en-GB"/>
              </w:rPr>
            </w:pPr>
            <w:r w:rsidRPr="00561707">
              <w:rPr>
                <w:sz w:val="20"/>
                <w:szCs w:val="20"/>
                <w:lang w:eastAsia="en-GB"/>
              </w:rPr>
              <w:t xml:space="preserve">-   </w:t>
            </w:r>
          </w:p>
        </w:tc>
      </w:tr>
      <w:tr w:rsidR="007058D0" w:rsidRPr="00561707" w:rsidTr="00891A96">
        <w:trPr>
          <w:trHeight w:val="245"/>
        </w:trPr>
        <w:tc>
          <w:tcPr>
            <w:tcW w:w="3818" w:type="dxa"/>
            <w:tcBorders>
              <w:top w:val="single" w:sz="8" w:space="0" w:color="auto"/>
              <w:left w:val="single" w:sz="8" w:space="0" w:color="auto"/>
              <w:bottom w:val="single" w:sz="8" w:space="0" w:color="auto"/>
              <w:right w:val="nil"/>
            </w:tcBorders>
            <w:shd w:val="clear" w:color="auto" w:fill="FFFFFF"/>
            <w:noWrap/>
            <w:tcMar>
              <w:top w:w="0" w:type="dxa"/>
              <w:left w:w="108" w:type="dxa"/>
              <w:bottom w:w="0" w:type="dxa"/>
              <w:right w:w="108" w:type="dxa"/>
            </w:tcMar>
            <w:vAlign w:val="bottom"/>
            <w:hideMark/>
          </w:tcPr>
          <w:p w:rsidR="007058D0" w:rsidRPr="00561707" w:rsidRDefault="007058D0" w:rsidP="00891A96">
            <w:pPr>
              <w:rPr>
                <w:b/>
                <w:bCs/>
                <w:color w:val="000000"/>
                <w:sz w:val="20"/>
                <w:szCs w:val="20"/>
                <w:lang w:eastAsia="en-GB"/>
              </w:rPr>
            </w:pPr>
            <w:r w:rsidRPr="00561707">
              <w:rPr>
                <w:b/>
                <w:bCs/>
                <w:color w:val="000000"/>
                <w:sz w:val="20"/>
                <w:szCs w:val="20"/>
                <w:lang w:eastAsia="en-GB"/>
              </w:rPr>
              <w:t>Included in Debtors**</w:t>
            </w:r>
          </w:p>
        </w:tc>
        <w:tc>
          <w:tcPr>
            <w:tcW w:w="1433" w:type="dxa"/>
            <w:tcBorders>
              <w:top w:val="nil"/>
              <w:left w:val="single" w:sz="8" w:space="0" w:color="auto"/>
              <w:bottom w:val="single" w:sz="8" w:space="0" w:color="auto"/>
              <w:right w:val="nil"/>
            </w:tcBorders>
            <w:shd w:val="clear" w:color="auto" w:fill="FFFFFF"/>
            <w:noWrap/>
            <w:tcMar>
              <w:top w:w="0" w:type="dxa"/>
              <w:left w:w="108" w:type="dxa"/>
              <w:bottom w:w="0" w:type="dxa"/>
              <w:right w:w="108" w:type="dxa"/>
            </w:tcMar>
            <w:vAlign w:val="bottom"/>
            <w:hideMark/>
          </w:tcPr>
          <w:p w:rsidR="007058D0" w:rsidRPr="00561707" w:rsidRDefault="007058D0" w:rsidP="007B70DC">
            <w:pPr>
              <w:ind w:left="312"/>
              <w:jc w:val="right"/>
              <w:rPr>
                <w:b/>
                <w:bCs/>
                <w:sz w:val="20"/>
                <w:szCs w:val="20"/>
                <w:lang w:eastAsia="en-GB"/>
              </w:rPr>
            </w:pPr>
            <w:r w:rsidRPr="00561707">
              <w:rPr>
                <w:b/>
                <w:bCs/>
                <w:sz w:val="20"/>
                <w:szCs w:val="20"/>
                <w:lang w:eastAsia="en-GB"/>
              </w:rPr>
              <w:t xml:space="preserve">132.3 </w:t>
            </w:r>
          </w:p>
        </w:tc>
        <w:tc>
          <w:tcPr>
            <w:tcW w:w="167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7058D0" w:rsidRPr="00561707" w:rsidRDefault="007058D0" w:rsidP="007B70DC">
            <w:pPr>
              <w:jc w:val="right"/>
              <w:rPr>
                <w:b/>
                <w:bCs/>
                <w:sz w:val="20"/>
                <w:szCs w:val="20"/>
                <w:lang w:eastAsia="en-GB"/>
              </w:rPr>
            </w:pPr>
            <w:r w:rsidRPr="00561707">
              <w:rPr>
                <w:b/>
                <w:bCs/>
                <w:sz w:val="20"/>
                <w:szCs w:val="20"/>
                <w:lang w:eastAsia="en-GB"/>
              </w:rPr>
              <w:t xml:space="preserve">115.6 </w:t>
            </w:r>
          </w:p>
        </w:tc>
        <w:tc>
          <w:tcPr>
            <w:tcW w:w="1489" w:type="dxa"/>
            <w:tcBorders>
              <w:top w:val="nil"/>
              <w:left w:val="nil"/>
              <w:bottom w:val="single" w:sz="8" w:space="0" w:color="auto"/>
              <w:right w:val="nil"/>
            </w:tcBorders>
            <w:shd w:val="clear" w:color="auto" w:fill="FFFFFF"/>
            <w:noWrap/>
            <w:tcMar>
              <w:top w:w="0" w:type="dxa"/>
              <w:left w:w="108" w:type="dxa"/>
              <w:bottom w:w="0" w:type="dxa"/>
              <w:right w:w="108" w:type="dxa"/>
            </w:tcMar>
            <w:vAlign w:val="bottom"/>
            <w:hideMark/>
          </w:tcPr>
          <w:p w:rsidR="007058D0" w:rsidRPr="00561707" w:rsidRDefault="007058D0" w:rsidP="007B70DC">
            <w:pPr>
              <w:jc w:val="right"/>
              <w:rPr>
                <w:b/>
                <w:bCs/>
                <w:sz w:val="20"/>
                <w:szCs w:val="20"/>
                <w:lang w:eastAsia="en-GB"/>
              </w:rPr>
            </w:pPr>
            <w:r>
              <w:rPr>
                <w:b/>
                <w:bCs/>
                <w:sz w:val="20"/>
                <w:szCs w:val="20"/>
                <w:lang w:eastAsia="en-GB"/>
              </w:rPr>
              <w:t>156.8</w:t>
            </w:r>
            <w:r w:rsidRPr="00561707">
              <w:rPr>
                <w:b/>
                <w:bCs/>
                <w:sz w:val="20"/>
                <w:szCs w:val="20"/>
                <w:lang w:eastAsia="en-GB"/>
              </w:rPr>
              <w:t xml:space="preserve"> </w:t>
            </w:r>
          </w:p>
        </w:tc>
        <w:tc>
          <w:tcPr>
            <w:tcW w:w="16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7058D0" w:rsidRPr="00561707" w:rsidRDefault="007058D0" w:rsidP="007B70DC">
            <w:pPr>
              <w:jc w:val="right"/>
              <w:rPr>
                <w:b/>
                <w:bCs/>
                <w:sz w:val="20"/>
                <w:szCs w:val="20"/>
                <w:lang w:eastAsia="en-GB"/>
              </w:rPr>
            </w:pPr>
            <w:r w:rsidRPr="00561707">
              <w:rPr>
                <w:b/>
                <w:bCs/>
                <w:sz w:val="20"/>
                <w:szCs w:val="20"/>
                <w:lang w:eastAsia="en-GB"/>
              </w:rPr>
              <w:t xml:space="preserve">108.3 </w:t>
            </w:r>
          </w:p>
        </w:tc>
      </w:tr>
      <w:tr w:rsidR="007058D0" w:rsidTr="00891A96">
        <w:trPr>
          <w:trHeight w:val="245"/>
        </w:trPr>
        <w:tc>
          <w:tcPr>
            <w:tcW w:w="3818" w:type="dxa"/>
            <w:tcBorders>
              <w:top w:val="nil"/>
              <w:left w:val="single" w:sz="8" w:space="0" w:color="auto"/>
              <w:bottom w:val="single" w:sz="8" w:space="0" w:color="auto"/>
              <w:right w:val="nil"/>
            </w:tcBorders>
            <w:shd w:val="clear" w:color="auto" w:fill="FFFFFF"/>
            <w:noWrap/>
            <w:tcMar>
              <w:top w:w="0" w:type="dxa"/>
              <w:left w:w="108" w:type="dxa"/>
              <w:bottom w:w="0" w:type="dxa"/>
              <w:right w:w="108" w:type="dxa"/>
            </w:tcMar>
            <w:vAlign w:val="bottom"/>
            <w:hideMark/>
          </w:tcPr>
          <w:p w:rsidR="007058D0" w:rsidRPr="00561707" w:rsidRDefault="007058D0" w:rsidP="00891A96">
            <w:pPr>
              <w:rPr>
                <w:b/>
                <w:bCs/>
                <w:color w:val="000000"/>
                <w:sz w:val="20"/>
                <w:szCs w:val="20"/>
                <w:lang w:eastAsia="en-GB"/>
              </w:rPr>
            </w:pPr>
            <w:r w:rsidRPr="00561707">
              <w:rPr>
                <w:b/>
                <w:bCs/>
                <w:color w:val="000000"/>
                <w:sz w:val="20"/>
                <w:szCs w:val="20"/>
                <w:lang w:eastAsia="en-GB"/>
              </w:rPr>
              <w:t>Total Financial Assets</w:t>
            </w:r>
          </w:p>
        </w:tc>
        <w:tc>
          <w:tcPr>
            <w:tcW w:w="1433" w:type="dxa"/>
            <w:tcBorders>
              <w:top w:val="nil"/>
              <w:left w:val="single" w:sz="8" w:space="0" w:color="auto"/>
              <w:bottom w:val="single" w:sz="8" w:space="0" w:color="auto"/>
              <w:right w:val="nil"/>
            </w:tcBorders>
            <w:noWrap/>
            <w:tcMar>
              <w:top w:w="0" w:type="dxa"/>
              <w:left w:w="108" w:type="dxa"/>
              <w:bottom w:w="0" w:type="dxa"/>
              <w:right w:w="108" w:type="dxa"/>
            </w:tcMar>
            <w:vAlign w:val="bottom"/>
            <w:hideMark/>
          </w:tcPr>
          <w:p w:rsidR="007058D0" w:rsidRPr="00561707" w:rsidRDefault="007058D0" w:rsidP="007B70DC">
            <w:pPr>
              <w:ind w:left="312"/>
              <w:jc w:val="right"/>
              <w:rPr>
                <w:b/>
                <w:bCs/>
                <w:sz w:val="20"/>
                <w:szCs w:val="20"/>
                <w:lang w:eastAsia="en-GB"/>
              </w:rPr>
            </w:pPr>
            <w:r w:rsidRPr="00561707">
              <w:rPr>
                <w:b/>
                <w:bCs/>
                <w:sz w:val="20"/>
                <w:szCs w:val="20"/>
                <w:lang w:eastAsia="en-GB"/>
              </w:rPr>
              <w:t xml:space="preserve">194.6 </w:t>
            </w:r>
          </w:p>
        </w:tc>
        <w:tc>
          <w:tcPr>
            <w:tcW w:w="167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58D0" w:rsidRPr="00561707" w:rsidRDefault="007058D0" w:rsidP="007B70DC">
            <w:pPr>
              <w:jc w:val="right"/>
              <w:rPr>
                <w:b/>
                <w:bCs/>
                <w:sz w:val="20"/>
                <w:szCs w:val="20"/>
                <w:lang w:eastAsia="en-GB"/>
              </w:rPr>
            </w:pPr>
            <w:r w:rsidRPr="00561707">
              <w:rPr>
                <w:b/>
                <w:bCs/>
                <w:sz w:val="20"/>
                <w:szCs w:val="20"/>
                <w:lang w:eastAsia="en-GB"/>
              </w:rPr>
              <w:t xml:space="preserve">139.0 </w:t>
            </w:r>
          </w:p>
        </w:tc>
        <w:tc>
          <w:tcPr>
            <w:tcW w:w="1489" w:type="dxa"/>
            <w:tcBorders>
              <w:top w:val="nil"/>
              <w:left w:val="nil"/>
              <w:bottom w:val="single" w:sz="8" w:space="0" w:color="auto"/>
              <w:right w:val="nil"/>
            </w:tcBorders>
            <w:shd w:val="clear" w:color="auto" w:fill="FFFFFF"/>
            <w:noWrap/>
            <w:tcMar>
              <w:top w:w="0" w:type="dxa"/>
              <w:left w:w="108" w:type="dxa"/>
              <w:bottom w:w="0" w:type="dxa"/>
              <w:right w:w="108" w:type="dxa"/>
            </w:tcMar>
            <w:vAlign w:val="bottom"/>
            <w:hideMark/>
          </w:tcPr>
          <w:p w:rsidR="007058D0" w:rsidRPr="00561707" w:rsidRDefault="007058D0" w:rsidP="007B70DC">
            <w:pPr>
              <w:jc w:val="right"/>
              <w:rPr>
                <w:b/>
                <w:bCs/>
                <w:sz w:val="20"/>
                <w:szCs w:val="20"/>
                <w:lang w:eastAsia="en-GB"/>
              </w:rPr>
            </w:pPr>
            <w:r w:rsidRPr="00561707">
              <w:rPr>
                <w:b/>
                <w:bCs/>
                <w:sz w:val="20"/>
                <w:szCs w:val="20"/>
                <w:lang w:eastAsia="en-GB"/>
              </w:rPr>
              <w:t>30</w:t>
            </w:r>
            <w:r>
              <w:rPr>
                <w:b/>
                <w:bCs/>
                <w:sz w:val="20"/>
                <w:szCs w:val="20"/>
                <w:lang w:eastAsia="en-GB"/>
              </w:rPr>
              <w:t>7.4</w:t>
            </w:r>
            <w:r w:rsidRPr="00561707">
              <w:rPr>
                <w:b/>
                <w:bCs/>
                <w:sz w:val="20"/>
                <w:szCs w:val="20"/>
                <w:lang w:eastAsia="en-GB"/>
              </w:rPr>
              <w:t xml:space="preserve"> </w:t>
            </w:r>
          </w:p>
        </w:tc>
        <w:tc>
          <w:tcPr>
            <w:tcW w:w="16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7058D0" w:rsidRPr="00561707" w:rsidRDefault="007058D0" w:rsidP="007B70DC">
            <w:pPr>
              <w:jc w:val="right"/>
              <w:rPr>
                <w:b/>
                <w:bCs/>
                <w:sz w:val="20"/>
                <w:szCs w:val="20"/>
                <w:lang w:eastAsia="en-GB"/>
              </w:rPr>
            </w:pPr>
            <w:r w:rsidRPr="00561707">
              <w:rPr>
                <w:b/>
                <w:bCs/>
                <w:sz w:val="20"/>
                <w:szCs w:val="20"/>
                <w:lang w:eastAsia="en-GB"/>
              </w:rPr>
              <w:t xml:space="preserve">255.9 </w:t>
            </w:r>
          </w:p>
        </w:tc>
      </w:tr>
    </w:tbl>
    <w:p w:rsidR="00F72906" w:rsidRDefault="00F72906" w:rsidP="00F72906">
      <w:r>
        <w:t xml:space="preserve">* The total short-term investments includes £0.0m (2018/19: £0.03m) </w:t>
      </w:r>
      <w:r w:rsidR="00D934C4">
        <w:t xml:space="preserve">representing accrued interest. </w:t>
      </w:r>
    </w:p>
    <w:p w:rsidR="00F72906" w:rsidRDefault="007058D0" w:rsidP="00D934C4">
      <w:pPr>
        <w:pStyle w:val="Heading3"/>
      </w:pPr>
      <w:r>
        <w:t>Note 25</w:t>
      </w:r>
      <w:r w:rsidR="00F72906">
        <w:t xml:space="preserve"> - Material Soft Loans made by the Council</w:t>
      </w:r>
    </w:p>
    <w:p w:rsidR="00F72906" w:rsidRDefault="00F72906" w:rsidP="00F72906">
      <w:r>
        <w:t>Soft loans are those advanced at below market rates in support of the Council’s service priorities.  The loan to i4B to acquire properties to support the Council’s homelessness agenda is deemed a material soft loan.  The movements on material soft loan balance are as follows:</w:t>
      </w:r>
    </w:p>
    <w:tbl>
      <w:tblPr>
        <w:tblW w:w="8505" w:type="dxa"/>
        <w:tblLook w:val="04A0" w:firstRow="1" w:lastRow="0" w:firstColumn="1" w:lastColumn="0" w:noHBand="0" w:noVBand="1"/>
      </w:tblPr>
      <w:tblGrid>
        <w:gridCol w:w="1206"/>
        <w:gridCol w:w="1207"/>
        <w:gridCol w:w="1207"/>
        <w:gridCol w:w="1206"/>
        <w:gridCol w:w="1207"/>
        <w:gridCol w:w="1206"/>
        <w:gridCol w:w="1266"/>
      </w:tblGrid>
      <w:tr w:rsidR="00D934C4" w:rsidRPr="001E3529" w:rsidTr="00D934C4">
        <w:trPr>
          <w:trHeight w:hRule="exact" w:val="284"/>
        </w:trPr>
        <w:tc>
          <w:tcPr>
            <w:tcW w:w="1206" w:type="dxa"/>
            <w:tcBorders>
              <w:top w:val="nil"/>
              <w:left w:val="nil"/>
              <w:bottom w:val="nil"/>
              <w:right w:val="nil"/>
            </w:tcBorders>
            <w:shd w:val="clear" w:color="000000" w:fill="FFFFFF"/>
            <w:noWrap/>
            <w:vAlign w:val="center"/>
            <w:hideMark/>
          </w:tcPr>
          <w:p w:rsidR="00D934C4" w:rsidRPr="001E3529" w:rsidRDefault="00D934C4" w:rsidP="00D934C4">
            <w:pPr>
              <w:rPr>
                <w:rFonts w:cs="Calibri"/>
                <w:color w:val="000000"/>
                <w:lang w:eastAsia="en-GB"/>
              </w:rPr>
            </w:pPr>
            <w:r w:rsidRPr="001E3529">
              <w:rPr>
                <w:rFonts w:cs="Calibri"/>
                <w:color w:val="000000"/>
                <w:lang w:eastAsia="en-GB"/>
              </w:rPr>
              <w:t> </w:t>
            </w:r>
          </w:p>
        </w:tc>
        <w:tc>
          <w:tcPr>
            <w:tcW w:w="1207" w:type="dxa"/>
            <w:tcBorders>
              <w:top w:val="nil"/>
              <w:left w:val="nil"/>
              <w:bottom w:val="nil"/>
              <w:right w:val="nil"/>
            </w:tcBorders>
            <w:shd w:val="clear" w:color="000000" w:fill="FFFFFF"/>
            <w:noWrap/>
            <w:vAlign w:val="center"/>
            <w:hideMark/>
          </w:tcPr>
          <w:p w:rsidR="00D934C4" w:rsidRPr="001E3529" w:rsidRDefault="00D934C4" w:rsidP="00D934C4">
            <w:pPr>
              <w:rPr>
                <w:rFonts w:cs="Calibri"/>
                <w:color w:val="000000"/>
                <w:lang w:eastAsia="en-GB"/>
              </w:rPr>
            </w:pPr>
            <w:r w:rsidRPr="001E3529">
              <w:rPr>
                <w:rFonts w:cs="Calibri"/>
                <w:color w:val="000000"/>
                <w:lang w:eastAsia="en-GB"/>
              </w:rPr>
              <w:t> </w:t>
            </w:r>
          </w:p>
        </w:tc>
        <w:tc>
          <w:tcPr>
            <w:tcW w:w="1207" w:type="dxa"/>
            <w:tcBorders>
              <w:top w:val="nil"/>
              <w:left w:val="nil"/>
              <w:bottom w:val="nil"/>
              <w:right w:val="nil"/>
            </w:tcBorders>
            <w:shd w:val="clear" w:color="000000" w:fill="FFFFFF"/>
            <w:noWrap/>
            <w:vAlign w:val="center"/>
            <w:hideMark/>
          </w:tcPr>
          <w:p w:rsidR="00D934C4" w:rsidRPr="001E3529" w:rsidRDefault="00D934C4" w:rsidP="00D934C4">
            <w:pPr>
              <w:rPr>
                <w:rFonts w:cs="Calibri"/>
                <w:color w:val="000000"/>
                <w:lang w:eastAsia="en-GB"/>
              </w:rPr>
            </w:pPr>
            <w:r w:rsidRPr="001E3529">
              <w:rPr>
                <w:rFonts w:cs="Calibri"/>
                <w:color w:val="000000"/>
                <w:lang w:eastAsia="en-GB"/>
              </w:rPr>
              <w:t> </w:t>
            </w:r>
          </w:p>
        </w:tc>
        <w:tc>
          <w:tcPr>
            <w:tcW w:w="1206" w:type="dxa"/>
            <w:tcBorders>
              <w:top w:val="nil"/>
              <w:left w:val="nil"/>
              <w:bottom w:val="nil"/>
              <w:right w:val="nil"/>
            </w:tcBorders>
            <w:shd w:val="clear" w:color="000000" w:fill="FFFFFF"/>
            <w:noWrap/>
            <w:vAlign w:val="center"/>
            <w:hideMark/>
          </w:tcPr>
          <w:p w:rsidR="00D934C4" w:rsidRPr="001E3529" w:rsidRDefault="00D934C4" w:rsidP="00D934C4">
            <w:pPr>
              <w:rPr>
                <w:rFonts w:cs="Calibri"/>
                <w:color w:val="000000"/>
                <w:lang w:eastAsia="en-GB"/>
              </w:rPr>
            </w:pPr>
            <w:r w:rsidRPr="001E3529">
              <w:rPr>
                <w:rFonts w:cs="Calibri"/>
                <w:color w:val="000000"/>
                <w:lang w:eastAsia="en-GB"/>
              </w:rPr>
              <w:t> </w:t>
            </w:r>
          </w:p>
        </w:tc>
        <w:tc>
          <w:tcPr>
            <w:tcW w:w="1207" w:type="dxa"/>
            <w:tcBorders>
              <w:top w:val="nil"/>
              <w:left w:val="nil"/>
              <w:bottom w:val="nil"/>
              <w:right w:val="nil"/>
            </w:tcBorders>
            <w:shd w:val="clear" w:color="000000" w:fill="FFFFFF"/>
            <w:noWrap/>
            <w:vAlign w:val="center"/>
            <w:hideMark/>
          </w:tcPr>
          <w:p w:rsidR="00D934C4" w:rsidRPr="001E3529" w:rsidRDefault="00D934C4" w:rsidP="00D934C4">
            <w:pPr>
              <w:rPr>
                <w:rFonts w:cs="Calibri"/>
                <w:color w:val="000000"/>
                <w:lang w:eastAsia="en-GB"/>
              </w:rPr>
            </w:pPr>
            <w:r w:rsidRPr="001E3529">
              <w:rPr>
                <w:rFonts w:cs="Calibri"/>
                <w:color w:val="000000"/>
                <w:lang w:eastAsia="en-GB"/>
              </w:rPr>
              <w:t> </w:t>
            </w:r>
          </w:p>
        </w:tc>
        <w:tc>
          <w:tcPr>
            <w:tcW w:w="1206" w:type="dxa"/>
            <w:tcBorders>
              <w:top w:val="nil"/>
              <w:left w:val="nil"/>
              <w:bottom w:val="nil"/>
              <w:right w:val="nil"/>
            </w:tcBorders>
            <w:shd w:val="clear" w:color="000000" w:fill="FFFFFF"/>
            <w:noWrap/>
            <w:vAlign w:val="center"/>
            <w:hideMark/>
          </w:tcPr>
          <w:p w:rsidR="00D934C4" w:rsidRPr="001E3529" w:rsidRDefault="00D934C4" w:rsidP="00D934C4">
            <w:pPr>
              <w:jc w:val="right"/>
              <w:rPr>
                <w:rFonts w:cs="Calibri"/>
                <w:b/>
                <w:bCs/>
                <w:color w:val="000000"/>
                <w:lang w:eastAsia="en-GB"/>
              </w:rPr>
            </w:pPr>
            <w:r w:rsidRPr="001E3529">
              <w:rPr>
                <w:rFonts w:cs="Calibri"/>
                <w:b/>
                <w:bCs/>
                <w:color w:val="000000"/>
                <w:lang w:eastAsia="en-GB"/>
              </w:rPr>
              <w:t>2018/19</w:t>
            </w:r>
          </w:p>
        </w:tc>
        <w:tc>
          <w:tcPr>
            <w:tcW w:w="1266" w:type="dxa"/>
            <w:tcBorders>
              <w:top w:val="nil"/>
              <w:left w:val="nil"/>
              <w:bottom w:val="nil"/>
              <w:right w:val="nil"/>
            </w:tcBorders>
            <w:shd w:val="clear" w:color="000000" w:fill="FFFFFF"/>
            <w:noWrap/>
            <w:vAlign w:val="center"/>
            <w:hideMark/>
          </w:tcPr>
          <w:p w:rsidR="00D934C4" w:rsidRPr="001E3529" w:rsidRDefault="00D934C4" w:rsidP="00D934C4">
            <w:pPr>
              <w:jc w:val="right"/>
              <w:rPr>
                <w:rFonts w:cs="Calibri"/>
                <w:b/>
                <w:bCs/>
                <w:color w:val="000000"/>
                <w:lang w:eastAsia="en-GB"/>
              </w:rPr>
            </w:pPr>
            <w:r w:rsidRPr="001E3529">
              <w:rPr>
                <w:rFonts w:cs="Calibri"/>
                <w:b/>
                <w:bCs/>
                <w:color w:val="000000"/>
                <w:lang w:eastAsia="en-GB"/>
              </w:rPr>
              <w:t>2019/20</w:t>
            </w:r>
          </w:p>
        </w:tc>
      </w:tr>
      <w:tr w:rsidR="00D934C4" w:rsidRPr="001E3529" w:rsidTr="00D934C4">
        <w:trPr>
          <w:trHeight w:hRule="exact" w:val="284"/>
        </w:trPr>
        <w:tc>
          <w:tcPr>
            <w:tcW w:w="1206" w:type="dxa"/>
            <w:tcBorders>
              <w:top w:val="nil"/>
              <w:left w:val="nil"/>
              <w:bottom w:val="nil"/>
              <w:right w:val="nil"/>
            </w:tcBorders>
            <w:shd w:val="clear" w:color="000000" w:fill="FFFFFF"/>
            <w:noWrap/>
            <w:vAlign w:val="center"/>
            <w:hideMark/>
          </w:tcPr>
          <w:p w:rsidR="00D934C4" w:rsidRPr="001E3529" w:rsidRDefault="00D934C4" w:rsidP="00D934C4">
            <w:pPr>
              <w:rPr>
                <w:rFonts w:cs="Calibri"/>
                <w:color w:val="000000"/>
                <w:lang w:eastAsia="en-GB"/>
              </w:rPr>
            </w:pPr>
            <w:r w:rsidRPr="001E3529">
              <w:rPr>
                <w:rFonts w:cs="Calibri"/>
                <w:color w:val="000000"/>
                <w:lang w:eastAsia="en-GB"/>
              </w:rPr>
              <w:t> </w:t>
            </w:r>
          </w:p>
        </w:tc>
        <w:tc>
          <w:tcPr>
            <w:tcW w:w="1207" w:type="dxa"/>
            <w:tcBorders>
              <w:top w:val="nil"/>
              <w:left w:val="nil"/>
              <w:bottom w:val="nil"/>
              <w:right w:val="nil"/>
            </w:tcBorders>
            <w:shd w:val="clear" w:color="000000" w:fill="FFFFFF"/>
            <w:noWrap/>
            <w:vAlign w:val="center"/>
            <w:hideMark/>
          </w:tcPr>
          <w:p w:rsidR="00D934C4" w:rsidRPr="001E3529" w:rsidRDefault="00D934C4" w:rsidP="00D934C4">
            <w:pPr>
              <w:rPr>
                <w:rFonts w:cs="Calibri"/>
                <w:color w:val="000000"/>
                <w:lang w:eastAsia="en-GB"/>
              </w:rPr>
            </w:pPr>
            <w:r w:rsidRPr="001E3529">
              <w:rPr>
                <w:rFonts w:cs="Calibri"/>
                <w:color w:val="000000"/>
                <w:lang w:eastAsia="en-GB"/>
              </w:rPr>
              <w:t> </w:t>
            </w:r>
          </w:p>
        </w:tc>
        <w:tc>
          <w:tcPr>
            <w:tcW w:w="1207" w:type="dxa"/>
            <w:tcBorders>
              <w:top w:val="nil"/>
              <w:left w:val="nil"/>
              <w:bottom w:val="nil"/>
              <w:right w:val="nil"/>
            </w:tcBorders>
            <w:shd w:val="clear" w:color="000000" w:fill="FFFFFF"/>
            <w:noWrap/>
            <w:vAlign w:val="center"/>
            <w:hideMark/>
          </w:tcPr>
          <w:p w:rsidR="00D934C4" w:rsidRPr="001E3529" w:rsidRDefault="00D934C4" w:rsidP="00D934C4">
            <w:pPr>
              <w:rPr>
                <w:rFonts w:cs="Calibri"/>
                <w:color w:val="000000"/>
                <w:lang w:eastAsia="en-GB"/>
              </w:rPr>
            </w:pPr>
            <w:r w:rsidRPr="001E3529">
              <w:rPr>
                <w:rFonts w:cs="Calibri"/>
                <w:color w:val="000000"/>
                <w:lang w:eastAsia="en-GB"/>
              </w:rPr>
              <w:t> </w:t>
            </w:r>
          </w:p>
        </w:tc>
        <w:tc>
          <w:tcPr>
            <w:tcW w:w="1206" w:type="dxa"/>
            <w:tcBorders>
              <w:top w:val="nil"/>
              <w:left w:val="nil"/>
              <w:bottom w:val="nil"/>
              <w:right w:val="nil"/>
            </w:tcBorders>
            <w:shd w:val="clear" w:color="000000" w:fill="FFFFFF"/>
            <w:noWrap/>
            <w:vAlign w:val="center"/>
            <w:hideMark/>
          </w:tcPr>
          <w:p w:rsidR="00D934C4" w:rsidRPr="001E3529" w:rsidRDefault="00D934C4" w:rsidP="00D934C4">
            <w:pPr>
              <w:rPr>
                <w:rFonts w:cs="Calibri"/>
                <w:color w:val="000000"/>
                <w:lang w:eastAsia="en-GB"/>
              </w:rPr>
            </w:pPr>
            <w:r w:rsidRPr="001E3529">
              <w:rPr>
                <w:rFonts w:cs="Calibri"/>
                <w:color w:val="000000"/>
                <w:lang w:eastAsia="en-GB"/>
              </w:rPr>
              <w:t> </w:t>
            </w:r>
          </w:p>
        </w:tc>
        <w:tc>
          <w:tcPr>
            <w:tcW w:w="1207" w:type="dxa"/>
            <w:tcBorders>
              <w:top w:val="nil"/>
              <w:left w:val="nil"/>
              <w:bottom w:val="nil"/>
              <w:right w:val="nil"/>
            </w:tcBorders>
            <w:shd w:val="clear" w:color="000000" w:fill="FFFFFF"/>
            <w:noWrap/>
            <w:vAlign w:val="center"/>
            <w:hideMark/>
          </w:tcPr>
          <w:p w:rsidR="00D934C4" w:rsidRPr="001E3529" w:rsidRDefault="00D934C4" w:rsidP="00D934C4">
            <w:pPr>
              <w:rPr>
                <w:rFonts w:cs="Calibri"/>
                <w:color w:val="000000"/>
                <w:lang w:eastAsia="en-GB"/>
              </w:rPr>
            </w:pPr>
            <w:r w:rsidRPr="001E3529">
              <w:rPr>
                <w:rFonts w:cs="Calibri"/>
                <w:color w:val="000000"/>
                <w:lang w:eastAsia="en-GB"/>
              </w:rPr>
              <w:t> </w:t>
            </w:r>
          </w:p>
        </w:tc>
        <w:tc>
          <w:tcPr>
            <w:tcW w:w="1206" w:type="dxa"/>
            <w:tcBorders>
              <w:top w:val="nil"/>
              <w:left w:val="nil"/>
              <w:bottom w:val="nil"/>
              <w:right w:val="nil"/>
            </w:tcBorders>
            <w:shd w:val="clear" w:color="000000" w:fill="FFFFFF"/>
            <w:noWrap/>
            <w:vAlign w:val="center"/>
            <w:hideMark/>
          </w:tcPr>
          <w:p w:rsidR="00D934C4" w:rsidRPr="001E3529" w:rsidRDefault="00D934C4" w:rsidP="00D934C4">
            <w:pPr>
              <w:jc w:val="right"/>
              <w:rPr>
                <w:rFonts w:cs="Calibri"/>
                <w:b/>
                <w:bCs/>
                <w:color w:val="000000"/>
                <w:lang w:eastAsia="en-GB"/>
              </w:rPr>
            </w:pPr>
            <w:r w:rsidRPr="001E3529">
              <w:rPr>
                <w:rFonts w:cs="Calibri"/>
                <w:b/>
                <w:bCs/>
                <w:color w:val="000000"/>
                <w:lang w:eastAsia="en-GB"/>
              </w:rPr>
              <w:t>£m</w:t>
            </w:r>
          </w:p>
        </w:tc>
        <w:tc>
          <w:tcPr>
            <w:tcW w:w="1266" w:type="dxa"/>
            <w:tcBorders>
              <w:top w:val="nil"/>
              <w:left w:val="nil"/>
              <w:bottom w:val="nil"/>
              <w:right w:val="nil"/>
            </w:tcBorders>
            <w:shd w:val="clear" w:color="000000" w:fill="FFFFFF"/>
            <w:noWrap/>
            <w:vAlign w:val="center"/>
            <w:hideMark/>
          </w:tcPr>
          <w:p w:rsidR="00D934C4" w:rsidRPr="001E3529" w:rsidRDefault="00D934C4" w:rsidP="00D934C4">
            <w:pPr>
              <w:jc w:val="right"/>
              <w:rPr>
                <w:rFonts w:cs="Calibri"/>
                <w:b/>
                <w:bCs/>
                <w:color w:val="000000"/>
                <w:lang w:eastAsia="en-GB"/>
              </w:rPr>
            </w:pPr>
            <w:r w:rsidRPr="001E3529">
              <w:rPr>
                <w:rFonts w:cs="Calibri"/>
                <w:b/>
                <w:bCs/>
                <w:color w:val="000000"/>
                <w:lang w:eastAsia="en-GB"/>
              </w:rPr>
              <w:t>£m</w:t>
            </w:r>
          </w:p>
        </w:tc>
      </w:tr>
      <w:tr w:rsidR="00D934C4" w:rsidRPr="001E3529" w:rsidTr="00D934C4">
        <w:trPr>
          <w:trHeight w:hRule="exact" w:val="284"/>
        </w:trPr>
        <w:tc>
          <w:tcPr>
            <w:tcW w:w="3620" w:type="dxa"/>
            <w:gridSpan w:val="3"/>
            <w:tcBorders>
              <w:top w:val="nil"/>
              <w:left w:val="nil"/>
              <w:bottom w:val="nil"/>
              <w:right w:val="nil"/>
            </w:tcBorders>
            <w:shd w:val="clear" w:color="000000" w:fill="FFFFFF"/>
            <w:noWrap/>
            <w:vAlign w:val="center"/>
            <w:hideMark/>
          </w:tcPr>
          <w:p w:rsidR="00D934C4" w:rsidRPr="001E3529" w:rsidRDefault="00D934C4" w:rsidP="00D934C4">
            <w:pPr>
              <w:rPr>
                <w:rFonts w:cs="Calibri"/>
                <w:b/>
                <w:bCs/>
                <w:color w:val="000000"/>
                <w:lang w:eastAsia="en-GB"/>
              </w:rPr>
            </w:pPr>
            <w:r w:rsidRPr="001E3529">
              <w:rPr>
                <w:rFonts w:cs="Calibri"/>
                <w:b/>
                <w:bCs/>
                <w:color w:val="000000"/>
                <w:lang w:eastAsia="en-GB"/>
              </w:rPr>
              <w:lastRenderedPageBreak/>
              <w:t>Balance at start of year:</w:t>
            </w:r>
          </w:p>
        </w:tc>
        <w:tc>
          <w:tcPr>
            <w:tcW w:w="1206" w:type="dxa"/>
            <w:tcBorders>
              <w:top w:val="nil"/>
              <w:left w:val="nil"/>
              <w:bottom w:val="nil"/>
              <w:right w:val="nil"/>
            </w:tcBorders>
            <w:shd w:val="clear" w:color="000000" w:fill="FFFFFF"/>
            <w:noWrap/>
            <w:vAlign w:val="center"/>
            <w:hideMark/>
          </w:tcPr>
          <w:p w:rsidR="00D934C4" w:rsidRPr="001E3529" w:rsidRDefault="00D934C4" w:rsidP="00D934C4">
            <w:pPr>
              <w:rPr>
                <w:rFonts w:cs="Calibri"/>
                <w:b/>
                <w:bCs/>
                <w:color w:val="000000"/>
                <w:lang w:eastAsia="en-GB"/>
              </w:rPr>
            </w:pPr>
            <w:r w:rsidRPr="001E3529">
              <w:rPr>
                <w:rFonts w:cs="Calibri"/>
                <w:b/>
                <w:bCs/>
                <w:color w:val="000000"/>
                <w:lang w:eastAsia="en-GB"/>
              </w:rPr>
              <w:t> </w:t>
            </w:r>
          </w:p>
        </w:tc>
        <w:tc>
          <w:tcPr>
            <w:tcW w:w="1207" w:type="dxa"/>
            <w:tcBorders>
              <w:top w:val="nil"/>
              <w:left w:val="nil"/>
              <w:bottom w:val="nil"/>
              <w:right w:val="nil"/>
            </w:tcBorders>
            <w:shd w:val="clear" w:color="000000" w:fill="FFFFFF"/>
            <w:noWrap/>
            <w:vAlign w:val="center"/>
            <w:hideMark/>
          </w:tcPr>
          <w:p w:rsidR="00D934C4" w:rsidRPr="001E3529" w:rsidRDefault="00D934C4" w:rsidP="00D934C4">
            <w:pPr>
              <w:rPr>
                <w:rFonts w:cs="Calibri"/>
                <w:color w:val="000000"/>
                <w:lang w:eastAsia="en-GB"/>
              </w:rPr>
            </w:pPr>
            <w:r w:rsidRPr="001E3529">
              <w:rPr>
                <w:rFonts w:cs="Calibri"/>
                <w:color w:val="000000"/>
                <w:lang w:eastAsia="en-GB"/>
              </w:rPr>
              <w:t> </w:t>
            </w:r>
          </w:p>
        </w:tc>
        <w:tc>
          <w:tcPr>
            <w:tcW w:w="1206" w:type="dxa"/>
            <w:tcBorders>
              <w:top w:val="nil"/>
              <w:left w:val="nil"/>
              <w:bottom w:val="nil"/>
              <w:right w:val="nil"/>
            </w:tcBorders>
            <w:shd w:val="clear" w:color="000000" w:fill="FFFFFF"/>
            <w:noWrap/>
            <w:vAlign w:val="center"/>
            <w:hideMark/>
          </w:tcPr>
          <w:p w:rsidR="00D934C4" w:rsidRPr="001E3529" w:rsidRDefault="00D934C4" w:rsidP="00D934C4">
            <w:pPr>
              <w:jc w:val="right"/>
              <w:rPr>
                <w:rFonts w:cs="Calibri"/>
                <w:b/>
                <w:bCs/>
                <w:color w:val="000000"/>
                <w:lang w:eastAsia="en-GB"/>
              </w:rPr>
            </w:pPr>
            <w:r w:rsidRPr="001E3529">
              <w:rPr>
                <w:rFonts w:cs="Calibri"/>
                <w:b/>
                <w:bCs/>
                <w:color w:val="000000"/>
                <w:lang w:eastAsia="en-GB"/>
              </w:rPr>
              <w:t> </w:t>
            </w:r>
          </w:p>
        </w:tc>
        <w:tc>
          <w:tcPr>
            <w:tcW w:w="1266" w:type="dxa"/>
            <w:tcBorders>
              <w:top w:val="nil"/>
              <w:left w:val="nil"/>
              <w:bottom w:val="nil"/>
              <w:right w:val="nil"/>
            </w:tcBorders>
            <w:shd w:val="clear" w:color="000000" w:fill="FFFFFF"/>
            <w:noWrap/>
            <w:vAlign w:val="center"/>
            <w:hideMark/>
          </w:tcPr>
          <w:p w:rsidR="00D934C4" w:rsidRPr="001E3529" w:rsidRDefault="00D934C4" w:rsidP="00D934C4">
            <w:pPr>
              <w:rPr>
                <w:rFonts w:cs="Calibri"/>
                <w:color w:val="000000"/>
                <w:lang w:eastAsia="en-GB"/>
              </w:rPr>
            </w:pPr>
            <w:r w:rsidRPr="001E3529">
              <w:rPr>
                <w:rFonts w:cs="Calibri"/>
                <w:color w:val="000000"/>
                <w:lang w:eastAsia="en-GB"/>
              </w:rPr>
              <w:t> </w:t>
            </w:r>
          </w:p>
        </w:tc>
      </w:tr>
      <w:tr w:rsidR="00D934C4" w:rsidRPr="001E3529" w:rsidTr="00D934C4">
        <w:trPr>
          <w:trHeight w:hRule="exact" w:val="284"/>
        </w:trPr>
        <w:tc>
          <w:tcPr>
            <w:tcW w:w="1206" w:type="dxa"/>
            <w:tcBorders>
              <w:top w:val="nil"/>
              <w:left w:val="nil"/>
              <w:bottom w:val="nil"/>
              <w:right w:val="nil"/>
            </w:tcBorders>
            <w:shd w:val="clear" w:color="000000" w:fill="FFFFFF"/>
            <w:noWrap/>
            <w:vAlign w:val="center"/>
            <w:hideMark/>
          </w:tcPr>
          <w:p w:rsidR="00D934C4" w:rsidRPr="001E3529" w:rsidRDefault="00D934C4" w:rsidP="00D934C4">
            <w:pPr>
              <w:rPr>
                <w:rFonts w:cs="Calibri"/>
                <w:color w:val="000000"/>
                <w:lang w:eastAsia="en-GB"/>
              </w:rPr>
            </w:pPr>
            <w:r w:rsidRPr="001E3529">
              <w:rPr>
                <w:rFonts w:cs="Calibri"/>
                <w:color w:val="000000"/>
                <w:lang w:eastAsia="en-GB"/>
              </w:rPr>
              <w:t> </w:t>
            </w:r>
          </w:p>
        </w:tc>
        <w:tc>
          <w:tcPr>
            <w:tcW w:w="1207" w:type="dxa"/>
            <w:tcBorders>
              <w:top w:val="nil"/>
              <w:left w:val="nil"/>
              <w:bottom w:val="nil"/>
              <w:right w:val="nil"/>
            </w:tcBorders>
            <w:shd w:val="clear" w:color="000000" w:fill="FFFFFF"/>
            <w:noWrap/>
            <w:vAlign w:val="center"/>
            <w:hideMark/>
          </w:tcPr>
          <w:p w:rsidR="00D934C4" w:rsidRPr="001E3529" w:rsidRDefault="00D934C4" w:rsidP="00D934C4">
            <w:pPr>
              <w:rPr>
                <w:rFonts w:cs="Calibri"/>
                <w:color w:val="000000"/>
                <w:lang w:eastAsia="en-GB"/>
              </w:rPr>
            </w:pPr>
            <w:r w:rsidRPr="001E3529">
              <w:rPr>
                <w:rFonts w:cs="Calibri"/>
                <w:color w:val="000000"/>
                <w:lang w:eastAsia="en-GB"/>
              </w:rPr>
              <w:t> </w:t>
            </w:r>
          </w:p>
        </w:tc>
        <w:tc>
          <w:tcPr>
            <w:tcW w:w="1207" w:type="dxa"/>
            <w:tcBorders>
              <w:top w:val="nil"/>
              <w:left w:val="nil"/>
              <w:bottom w:val="nil"/>
              <w:right w:val="nil"/>
            </w:tcBorders>
            <w:shd w:val="clear" w:color="000000" w:fill="FFFFFF"/>
            <w:noWrap/>
            <w:vAlign w:val="center"/>
            <w:hideMark/>
          </w:tcPr>
          <w:p w:rsidR="00D934C4" w:rsidRPr="001E3529" w:rsidRDefault="00D934C4" w:rsidP="00D934C4">
            <w:pPr>
              <w:rPr>
                <w:rFonts w:cs="Calibri"/>
                <w:color w:val="000000"/>
                <w:lang w:eastAsia="en-GB"/>
              </w:rPr>
            </w:pPr>
            <w:r w:rsidRPr="001E3529">
              <w:rPr>
                <w:rFonts w:cs="Calibri"/>
                <w:color w:val="000000"/>
                <w:lang w:eastAsia="en-GB"/>
              </w:rPr>
              <w:t> </w:t>
            </w:r>
          </w:p>
        </w:tc>
        <w:tc>
          <w:tcPr>
            <w:tcW w:w="1206" w:type="dxa"/>
            <w:tcBorders>
              <w:top w:val="nil"/>
              <w:left w:val="nil"/>
              <w:bottom w:val="nil"/>
              <w:right w:val="nil"/>
            </w:tcBorders>
            <w:shd w:val="clear" w:color="000000" w:fill="FFFFFF"/>
            <w:noWrap/>
            <w:vAlign w:val="center"/>
            <w:hideMark/>
          </w:tcPr>
          <w:p w:rsidR="00D934C4" w:rsidRPr="001E3529" w:rsidRDefault="00D934C4" w:rsidP="00D934C4">
            <w:pPr>
              <w:rPr>
                <w:rFonts w:cs="Calibri"/>
                <w:color w:val="000000"/>
                <w:lang w:eastAsia="en-GB"/>
              </w:rPr>
            </w:pPr>
            <w:r w:rsidRPr="001E3529">
              <w:rPr>
                <w:rFonts w:cs="Calibri"/>
                <w:color w:val="000000"/>
                <w:lang w:eastAsia="en-GB"/>
              </w:rPr>
              <w:t> </w:t>
            </w:r>
          </w:p>
        </w:tc>
        <w:tc>
          <w:tcPr>
            <w:tcW w:w="1207" w:type="dxa"/>
            <w:tcBorders>
              <w:top w:val="nil"/>
              <w:left w:val="nil"/>
              <w:bottom w:val="nil"/>
              <w:right w:val="nil"/>
            </w:tcBorders>
            <w:shd w:val="clear" w:color="000000" w:fill="FFFFFF"/>
            <w:noWrap/>
            <w:vAlign w:val="center"/>
            <w:hideMark/>
          </w:tcPr>
          <w:p w:rsidR="00D934C4" w:rsidRPr="001E3529" w:rsidRDefault="00D934C4" w:rsidP="00D934C4">
            <w:pPr>
              <w:rPr>
                <w:rFonts w:cs="Calibri"/>
                <w:color w:val="000000"/>
                <w:lang w:eastAsia="en-GB"/>
              </w:rPr>
            </w:pPr>
            <w:r w:rsidRPr="001E3529">
              <w:rPr>
                <w:rFonts w:cs="Calibri"/>
                <w:color w:val="000000"/>
                <w:lang w:eastAsia="en-GB"/>
              </w:rPr>
              <w:t> </w:t>
            </w:r>
          </w:p>
        </w:tc>
        <w:tc>
          <w:tcPr>
            <w:tcW w:w="1206" w:type="dxa"/>
            <w:tcBorders>
              <w:top w:val="nil"/>
              <w:left w:val="nil"/>
              <w:bottom w:val="nil"/>
              <w:right w:val="nil"/>
            </w:tcBorders>
            <w:shd w:val="clear" w:color="000000" w:fill="FFFFFF"/>
            <w:noWrap/>
            <w:vAlign w:val="center"/>
            <w:hideMark/>
          </w:tcPr>
          <w:p w:rsidR="00D934C4" w:rsidRPr="001E3529" w:rsidRDefault="00D934C4" w:rsidP="00D934C4">
            <w:pPr>
              <w:rPr>
                <w:rFonts w:cs="Calibri"/>
                <w:color w:val="000000"/>
                <w:lang w:eastAsia="en-GB"/>
              </w:rPr>
            </w:pPr>
            <w:r w:rsidRPr="001E3529">
              <w:rPr>
                <w:rFonts w:cs="Calibri"/>
                <w:color w:val="000000"/>
                <w:lang w:eastAsia="en-GB"/>
              </w:rPr>
              <w:t> </w:t>
            </w:r>
          </w:p>
        </w:tc>
        <w:tc>
          <w:tcPr>
            <w:tcW w:w="1266" w:type="dxa"/>
            <w:tcBorders>
              <w:top w:val="nil"/>
              <w:left w:val="nil"/>
              <w:bottom w:val="nil"/>
              <w:right w:val="nil"/>
            </w:tcBorders>
            <w:shd w:val="clear" w:color="000000" w:fill="FFFFFF"/>
            <w:noWrap/>
            <w:vAlign w:val="center"/>
            <w:hideMark/>
          </w:tcPr>
          <w:p w:rsidR="00D934C4" w:rsidRPr="001E3529" w:rsidRDefault="00D934C4" w:rsidP="00D934C4">
            <w:pPr>
              <w:rPr>
                <w:rFonts w:cs="Calibri"/>
                <w:color w:val="000000"/>
                <w:lang w:eastAsia="en-GB"/>
              </w:rPr>
            </w:pPr>
            <w:r w:rsidRPr="001E3529">
              <w:rPr>
                <w:rFonts w:cs="Calibri"/>
                <w:color w:val="000000"/>
                <w:lang w:eastAsia="en-GB"/>
              </w:rPr>
              <w:t> </w:t>
            </w:r>
          </w:p>
        </w:tc>
      </w:tr>
      <w:tr w:rsidR="00D934C4" w:rsidRPr="001E3529" w:rsidTr="00D934C4">
        <w:trPr>
          <w:trHeight w:hRule="exact" w:val="284"/>
        </w:trPr>
        <w:tc>
          <w:tcPr>
            <w:tcW w:w="2413" w:type="dxa"/>
            <w:gridSpan w:val="2"/>
            <w:tcBorders>
              <w:top w:val="nil"/>
              <w:left w:val="nil"/>
              <w:bottom w:val="nil"/>
              <w:right w:val="nil"/>
            </w:tcBorders>
            <w:shd w:val="clear" w:color="000000" w:fill="FFFFFF"/>
            <w:noWrap/>
            <w:vAlign w:val="center"/>
            <w:hideMark/>
          </w:tcPr>
          <w:p w:rsidR="00D934C4" w:rsidRPr="001E3529" w:rsidRDefault="00D934C4" w:rsidP="00D934C4">
            <w:pPr>
              <w:rPr>
                <w:rFonts w:cs="Calibri"/>
                <w:b/>
                <w:bCs/>
                <w:color w:val="000000"/>
                <w:lang w:eastAsia="en-GB"/>
              </w:rPr>
            </w:pPr>
            <w:r w:rsidRPr="001E3529">
              <w:rPr>
                <w:rFonts w:cs="Calibri"/>
                <w:b/>
                <w:bCs/>
                <w:color w:val="000000"/>
                <w:lang w:eastAsia="en-GB"/>
              </w:rPr>
              <w:t>Opening balance</w:t>
            </w:r>
          </w:p>
        </w:tc>
        <w:tc>
          <w:tcPr>
            <w:tcW w:w="1207" w:type="dxa"/>
            <w:tcBorders>
              <w:top w:val="nil"/>
              <w:left w:val="nil"/>
              <w:bottom w:val="nil"/>
              <w:right w:val="nil"/>
            </w:tcBorders>
            <w:shd w:val="clear" w:color="000000" w:fill="FFFFFF"/>
            <w:noWrap/>
            <w:vAlign w:val="center"/>
            <w:hideMark/>
          </w:tcPr>
          <w:p w:rsidR="00D934C4" w:rsidRPr="001E3529" w:rsidRDefault="00D934C4" w:rsidP="00D934C4">
            <w:pPr>
              <w:rPr>
                <w:rFonts w:cs="Calibri"/>
                <w:color w:val="000000"/>
                <w:lang w:eastAsia="en-GB"/>
              </w:rPr>
            </w:pPr>
            <w:r w:rsidRPr="001E3529">
              <w:rPr>
                <w:rFonts w:cs="Calibri"/>
                <w:color w:val="000000"/>
                <w:lang w:eastAsia="en-GB"/>
              </w:rPr>
              <w:t> </w:t>
            </w:r>
          </w:p>
        </w:tc>
        <w:tc>
          <w:tcPr>
            <w:tcW w:w="1206" w:type="dxa"/>
            <w:tcBorders>
              <w:top w:val="nil"/>
              <w:left w:val="nil"/>
              <w:bottom w:val="nil"/>
              <w:right w:val="nil"/>
            </w:tcBorders>
            <w:shd w:val="clear" w:color="000000" w:fill="FFFFFF"/>
            <w:noWrap/>
            <w:vAlign w:val="center"/>
            <w:hideMark/>
          </w:tcPr>
          <w:p w:rsidR="00D934C4" w:rsidRPr="001E3529" w:rsidRDefault="00D934C4" w:rsidP="00D934C4">
            <w:pPr>
              <w:rPr>
                <w:rFonts w:cs="Calibri"/>
                <w:color w:val="000000"/>
                <w:lang w:eastAsia="en-GB"/>
              </w:rPr>
            </w:pPr>
            <w:r w:rsidRPr="001E3529">
              <w:rPr>
                <w:rFonts w:cs="Calibri"/>
                <w:color w:val="000000"/>
                <w:lang w:eastAsia="en-GB"/>
              </w:rPr>
              <w:t> </w:t>
            </w:r>
          </w:p>
        </w:tc>
        <w:tc>
          <w:tcPr>
            <w:tcW w:w="1207" w:type="dxa"/>
            <w:tcBorders>
              <w:top w:val="nil"/>
              <w:left w:val="nil"/>
              <w:bottom w:val="nil"/>
              <w:right w:val="nil"/>
            </w:tcBorders>
            <w:shd w:val="clear" w:color="000000" w:fill="FFFFFF"/>
            <w:noWrap/>
            <w:vAlign w:val="center"/>
            <w:hideMark/>
          </w:tcPr>
          <w:p w:rsidR="00D934C4" w:rsidRPr="001E3529" w:rsidRDefault="00D934C4" w:rsidP="00D934C4">
            <w:pPr>
              <w:rPr>
                <w:rFonts w:cs="Calibri"/>
                <w:color w:val="000000"/>
                <w:lang w:eastAsia="en-GB"/>
              </w:rPr>
            </w:pPr>
            <w:r w:rsidRPr="001E3529">
              <w:rPr>
                <w:rFonts w:cs="Calibri"/>
                <w:color w:val="000000"/>
                <w:lang w:eastAsia="en-GB"/>
              </w:rPr>
              <w:t> </w:t>
            </w:r>
          </w:p>
        </w:tc>
        <w:tc>
          <w:tcPr>
            <w:tcW w:w="1206" w:type="dxa"/>
            <w:tcBorders>
              <w:top w:val="nil"/>
              <w:left w:val="nil"/>
              <w:bottom w:val="nil"/>
              <w:right w:val="nil"/>
            </w:tcBorders>
            <w:shd w:val="clear" w:color="000000" w:fill="FFFFFF"/>
            <w:noWrap/>
            <w:vAlign w:val="center"/>
            <w:hideMark/>
          </w:tcPr>
          <w:p w:rsidR="00D934C4" w:rsidRPr="001E3529" w:rsidRDefault="00D934C4" w:rsidP="00D934C4">
            <w:pPr>
              <w:jc w:val="right"/>
              <w:rPr>
                <w:rFonts w:cs="Calibri"/>
                <w:b/>
                <w:bCs/>
                <w:color w:val="000000"/>
                <w:lang w:eastAsia="en-GB"/>
              </w:rPr>
            </w:pPr>
            <w:r w:rsidRPr="001E3529">
              <w:rPr>
                <w:rFonts w:cs="Calibri"/>
                <w:b/>
                <w:bCs/>
                <w:color w:val="000000"/>
                <w:lang w:eastAsia="en-GB"/>
              </w:rPr>
              <w:t>33.5</w:t>
            </w:r>
          </w:p>
        </w:tc>
        <w:tc>
          <w:tcPr>
            <w:tcW w:w="1266" w:type="dxa"/>
            <w:tcBorders>
              <w:top w:val="nil"/>
              <w:left w:val="nil"/>
              <w:bottom w:val="nil"/>
              <w:right w:val="nil"/>
            </w:tcBorders>
            <w:shd w:val="clear" w:color="000000" w:fill="FFFFFF"/>
            <w:noWrap/>
            <w:vAlign w:val="center"/>
            <w:hideMark/>
          </w:tcPr>
          <w:p w:rsidR="00D934C4" w:rsidRPr="001E3529" w:rsidRDefault="00D934C4" w:rsidP="00D934C4">
            <w:pPr>
              <w:jc w:val="right"/>
              <w:rPr>
                <w:rFonts w:cs="Calibri"/>
                <w:b/>
                <w:bCs/>
                <w:color w:val="000000"/>
                <w:lang w:eastAsia="en-GB"/>
              </w:rPr>
            </w:pPr>
            <w:r w:rsidRPr="001E3529">
              <w:rPr>
                <w:rFonts w:cs="Calibri"/>
                <w:b/>
                <w:bCs/>
                <w:color w:val="000000"/>
                <w:lang w:eastAsia="en-GB"/>
              </w:rPr>
              <w:t>56.3</w:t>
            </w:r>
          </w:p>
        </w:tc>
      </w:tr>
      <w:tr w:rsidR="00D934C4" w:rsidRPr="001E3529" w:rsidTr="00D934C4">
        <w:trPr>
          <w:trHeight w:hRule="exact" w:val="284"/>
        </w:trPr>
        <w:tc>
          <w:tcPr>
            <w:tcW w:w="6033" w:type="dxa"/>
            <w:gridSpan w:val="5"/>
            <w:tcBorders>
              <w:top w:val="nil"/>
              <w:left w:val="nil"/>
              <w:bottom w:val="nil"/>
              <w:right w:val="nil"/>
            </w:tcBorders>
            <w:shd w:val="clear" w:color="000000" w:fill="FFFFFF"/>
            <w:noWrap/>
            <w:vAlign w:val="center"/>
            <w:hideMark/>
          </w:tcPr>
          <w:p w:rsidR="00D934C4" w:rsidRPr="001E3529" w:rsidRDefault="00D934C4" w:rsidP="00D934C4">
            <w:pPr>
              <w:rPr>
                <w:rFonts w:cs="Calibri"/>
                <w:color w:val="000000"/>
                <w:lang w:eastAsia="en-GB"/>
              </w:rPr>
            </w:pPr>
            <w:r w:rsidRPr="001E3529">
              <w:rPr>
                <w:rFonts w:cs="Calibri"/>
                <w:color w:val="000000"/>
                <w:lang w:eastAsia="en-GB"/>
              </w:rPr>
              <w:t>Nominal value of new loans granted in the year</w:t>
            </w:r>
          </w:p>
        </w:tc>
        <w:tc>
          <w:tcPr>
            <w:tcW w:w="1206" w:type="dxa"/>
            <w:tcBorders>
              <w:top w:val="nil"/>
              <w:left w:val="nil"/>
              <w:bottom w:val="nil"/>
              <w:right w:val="nil"/>
            </w:tcBorders>
            <w:shd w:val="clear" w:color="000000" w:fill="FFFFFF"/>
            <w:noWrap/>
            <w:vAlign w:val="center"/>
            <w:hideMark/>
          </w:tcPr>
          <w:p w:rsidR="00D934C4" w:rsidRPr="001E3529" w:rsidRDefault="00D934C4" w:rsidP="00D934C4">
            <w:pPr>
              <w:jc w:val="right"/>
              <w:rPr>
                <w:rFonts w:cs="Calibri"/>
                <w:color w:val="000000"/>
                <w:lang w:eastAsia="en-GB"/>
              </w:rPr>
            </w:pPr>
            <w:r w:rsidRPr="001E3529">
              <w:rPr>
                <w:rFonts w:cs="Calibri"/>
                <w:color w:val="000000"/>
                <w:lang w:eastAsia="en-GB"/>
              </w:rPr>
              <w:t>32.4</w:t>
            </w:r>
          </w:p>
        </w:tc>
        <w:tc>
          <w:tcPr>
            <w:tcW w:w="1266" w:type="dxa"/>
            <w:tcBorders>
              <w:top w:val="nil"/>
              <w:left w:val="nil"/>
              <w:bottom w:val="nil"/>
              <w:right w:val="nil"/>
            </w:tcBorders>
            <w:shd w:val="clear" w:color="000000" w:fill="FFFFFF"/>
            <w:noWrap/>
            <w:vAlign w:val="center"/>
            <w:hideMark/>
          </w:tcPr>
          <w:p w:rsidR="00D934C4" w:rsidRPr="001E3529" w:rsidRDefault="00D934C4" w:rsidP="00D934C4">
            <w:pPr>
              <w:jc w:val="right"/>
              <w:rPr>
                <w:rFonts w:cs="Calibri"/>
                <w:color w:val="000000"/>
                <w:lang w:eastAsia="en-GB"/>
              </w:rPr>
            </w:pPr>
            <w:r w:rsidRPr="001E3529">
              <w:rPr>
                <w:rFonts w:cs="Calibri"/>
                <w:color w:val="000000"/>
                <w:lang w:eastAsia="en-GB"/>
              </w:rPr>
              <w:t>28.0</w:t>
            </w:r>
          </w:p>
        </w:tc>
      </w:tr>
      <w:tr w:rsidR="00D934C4" w:rsidRPr="001E3529" w:rsidTr="00D934C4">
        <w:trPr>
          <w:trHeight w:hRule="exact" w:val="284"/>
        </w:trPr>
        <w:tc>
          <w:tcPr>
            <w:tcW w:w="4826" w:type="dxa"/>
            <w:gridSpan w:val="4"/>
            <w:tcBorders>
              <w:top w:val="nil"/>
              <w:left w:val="nil"/>
              <w:bottom w:val="nil"/>
              <w:right w:val="nil"/>
            </w:tcBorders>
            <w:shd w:val="clear" w:color="000000" w:fill="FFFFFF"/>
            <w:noWrap/>
            <w:vAlign w:val="center"/>
            <w:hideMark/>
          </w:tcPr>
          <w:p w:rsidR="00D934C4" w:rsidRPr="001E3529" w:rsidRDefault="00D934C4" w:rsidP="00D934C4">
            <w:pPr>
              <w:rPr>
                <w:rFonts w:cs="Calibri"/>
                <w:color w:val="000000"/>
                <w:lang w:eastAsia="en-GB"/>
              </w:rPr>
            </w:pPr>
            <w:r w:rsidRPr="001E3529">
              <w:rPr>
                <w:rFonts w:cs="Calibri"/>
                <w:color w:val="000000"/>
                <w:lang w:eastAsia="en-GB"/>
              </w:rPr>
              <w:t>Fair value adjustment on initial recognition</w:t>
            </w:r>
          </w:p>
        </w:tc>
        <w:tc>
          <w:tcPr>
            <w:tcW w:w="1207" w:type="dxa"/>
            <w:tcBorders>
              <w:top w:val="nil"/>
              <w:left w:val="nil"/>
              <w:bottom w:val="nil"/>
              <w:right w:val="nil"/>
            </w:tcBorders>
            <w:shd w:val="clear" w:color="000000" w:fill="FFFFFF"/>
            <w:noWrap/>
            <w:vAlign w:val="center"/>
            <w:hideMark/>
          </w:tcPr>
          <w:p w:rsidR="00D934C4" w:rsidRPr="001E3529" w:rsidRDefault="00D934C4" w:rsidP="00D934C4">
            <w:pPr>
              <w:rPr>
                <w:rFonts w:cs="Calibri"/>
                <w:color w:val="000000"/>
                <w:lang w:eastAsia="en-GB"/>
              </w:rPr>
            </w:pPr>
            <w:r w:rsidRPr="001E3529">
              <w:rPr>
                <w:rFonts w:cs="Calibri"/>
                <w:color w:val="000000"/>
                <w:lang w:eastAsia="en-GB"/>
              </w:rPr>
              <w:t> </w:t>
            </w:r>
          </w:p>
        </w:tc>
        <w:tc>
          <w:tcPr>
            <w:tcW w:w="1206" w:type="dxa"/>
            <w:tcBorders>
              <w:top w:val="nil"/>
              <w:left w:val="nil"/>
              <w:bottom w:val="nil"/>
              <w:right w:val="nil"/>
            </w:tcBorders>
            <w:shd w:val="clear" w:color="000000" w:fill="FFFFFF"/>
            <w:noWrap/>
            <w:vAlign w:val="center"/>
            <w:hideMark/>
          </w:tcPr>
          <w:p w:rsidR="00D934C4" w:rsidRPr="001E3529" w:rsidRDefault="00D934C4" w:rsidP="00D934C4">
            <w:pPr>
              <w:jc w:val="right"/>
              <w:rPr>
                <w:rFonts w:cs="Calibri"/>
                <w:color w:val="000000"/>
                <w:lang w:eastAsia="en-GB"/>
              </w:rPr>
            </w:pPr>
            <w:r w:rsidRPr="001E3529">
              <w:rPr>
                <w:rFonts w:cs="Calibri"/>
                <w:color w:val="000000"/>
                <w:lang w:eastAsia="en-GB"/>
              </w:rPr>
              <w:t>(10.4)</w:t>
            </w:r>
          </w:p>
        </w:tc>
        <w:tc>
          <w:tcPr>
            <w:tcW w:w="1266" w:type="dxa"/>
            <w:tcBorders>
              <w:top w:val="nil"/>
              <w:left w:val="nil"/>
              <w:bottom w:val="nil"/>
              <w:right w:val="nil"/>
            </w:tcBorders>
            <w:shd w:val="clear" w:color="000000" w:fill="FFFFFF"/>
            <w:noWrap/>
            <w:vAlign w:val="center"/>
            <w:hideMark/>
          </w:tcPr>
          <w:p w:rsidR="00D934C4" w:rsidRPr="001E3529" w:rsidRDefault="00D934C4" w:rsidP="00D934C4">
            <w:pPr>
              <w:jc w:val="right"/>
              <w:rPr>
                <w:rFonts w:cs="Calibri"/>
                <w:color w:val="000000"/>
                <w:lang w:eastAsia="en-GB"/>
              </w:rPr>
            </w:pPr>
            <w:r w:rsidRPr="001E3529">
              <w:rPr>
                <w:rFonts w:cs="Calibri"/>
                <w:color w:val="000000"/>
                <w:lang w:eastAsia="en-GB"/>
              </w:rPr>
              <w:t>(10.2)</w:t>
            </w:r>
          </w:p>
        </w:tc>
      </w:tr>
      <w:tr w:rsidR="00D934C4" w:rsidRPr="001E3529" w:rsidTr="00D934C4">
        <w:trPr>
          <w:trHeight w:hRule="exact" w:val="284"/>
        </w:trPr>
        <w:tc>
          <w:tcPr>
            <w:tcW w:w="2413" w:type="dxa"/>
            <w:gridSpan w:val="2"/>
            <w:tcBorders>
              <w:top w:val="nil"/>
              <w:left w:val="nil"/>
              <w:bottom w:val="nil"/>
              <w:right w:val="nil"/>
            </w:tcBorders>
            <w:shd w:val="clear" w:color="000000" w:fill="FFFFFF"/>
            <w:noWrap/>
            <w:vAlign w:val="center"/>
            <w:hideMark/>
          </w:tcPr>
          <w:p w:rsidR="00D934C4" w:rsidRPr="001E3529" w:rsidRDefault="00D934C4" w:rsidP="00D934C4">
            <w:pPr>
              <w:rPr>
                <w:rFonts w:cs="Calibri"/>
                <w:color w:val="000000"/>
                <w:lang w:eastAsia="en-GB"/>
              </w:rPr>
            </w:pPr>
            <w:r w:rsidRPr="001E3529">
              <w:rPr>
                <w:rFonts w:cs="Calibri"/>
                <w:color w:val="000000"/>
                <w:lang w:eastAsia="en-GB"/>
              </w:rPr>
              <w:t>Loans repaid</w:t>
            </w:r>
          </w:p>
        </w:tc>
        <w:tc>
          <w:tcPr>
            <w:tcW w:w="1207" w:type="dxa"/>
            <w:tcBorders>
              <w:top w:val="nil"/>
              <w:left w:val="nil"/>
              <w:bottom w:val="nil"/>
              <w:right w:val="nil"/>
            </w:tcBorders>
            <w:shd w:val="clear" w:color="000000" w:fill="FFFFFF"/>
            <w:noWrap/>
            <w:vAlign w:val="center"/>
            <w:hideMark/>
          </w:tcPr>
          <w:p w:rsidR="00D934C4" w:rsidRPr="001E3529" w:rsidRDefault="00D934C4" w:rsidP="00D934C4">
            <w:pPr>
              <w:rPr>
                <w:rFonts w:cs="Calibri"/>
                <w:color w:val="000000"/>
                <w:lang w:eastAsia="en-GB"/>
              </w:rPr>
            </w:pPr>
            <w:r w:rsidRPr="001E3529">
              <w:rPr>
                <w:rFonts w:cs="Calibri"/>
                <w:color w:val="000000"/>
                <w:lang w:eastAsia="en-GB"/>
              </w:rPr>
              <w:t> </w:t>
            </w:r>
          </w:p>
        </w:tc>
        <w:tc>
          <w:tcPr>
            <w:tcW w:w="1206" w:type="dxa"/>
            <w:tcBorders>
              <w:top w:val="nil"/>
              <w:left w:val="nil"/>
              <w:bottom w:val="nil"/>
              <w:right w:val="nil"/>
            </w:tcBorders>
            <w:shd w:val="clear" w:color="000000" w:fill="FFFFFF"/>
            <w:noWrap/>
            <w:vAlign w:val="center"/>
            <w:hideMark/>
          </w:tcPr>
          <w:p w:rsidR="00D934C4" w:rsidRPr="001E3529" w:rsidRDefault="00D934C4" w:rsidP="00D934C4">
            <w:pPr>
              <w:rPr>
                <w:rFonts w:cs="Calibri"/>
                <w:color w:val="000000"/>
                <w:lang w:eastAsia="en-GB"/>
              </w:rPr>
            </w:pPr>
            <w:r w:rsidRPr="001E3529">
              <w:rPr>
                <w:rFonts w:cs="Calibri"/>
                <w:color w:val="000000"/>
                <w:lang w:eastAsia="en-GB"/>
              </w:rPr>
              <w:t> </w:t>
            </w:r>
          </w:p>
        </w:tc>
        <w:tc>
          <w:tcPr>
            <w:tcW w:w="1207" w:type="dxa"/>
            <w:tcBorders>
              <w:top w:val="nil"/>
              <w:left w:val="nil"/>
              <w:bottom w:val="nil"/>
              <w:right w:val="nil"/>
            </w:tcBorders>
            <w:shd w:val="clear" w:color="000000" w:fill="FFFFFF"/>
            <w:noWrap/>
            <w:vAlign w:val="center"/>
            <w:hideMark/>
          </w:tcPr>
          <w:p w:rsidR="00D934C4" w:rsidRPr="001E3529" w:rsidRDefault="00D934C4" w:rsidP="00D934C4">
            <w:pPr>
              <w:rPr>
                <w:rFonts w:cs="Calibri"/>
                <w:color w:val="000000"/>
                <w:lang w:eastAsia="en-GB"/>
              </w:rPr>
            </w:pPr>
            <w:r w:rsidRPr="001E3529">
              <w:rPr>
                <w:rFonts w:cs="Calibri"/>
                <w:color w:val="000000"/>
                <w:lang w:eastAsia="en-GB"/>
              </w:rPr>
              <w:t> </w:t>
            </w:r>
          </w:p>
        </w:tc>
        <w:tc>
          <w:tcPr>
            <w:tcW w:w="1206" w:type="dxa"/>
            <w:tcBorders>
              <w:top w:val="nil"/>
              <w:left w:val="nil"/>
              <w:bottom w:val="nil"/>
              <w:right w:val="nil"/>
            </w:tcBorders>
            <w:shd w:val="clear" w:color="000000" w:fill="FFFFFF"/>
            <w:noWrap/>
            <w:vAlign w:val="center"/>
            <w:hideMark/>
          </w:tcPr>
          <w:p w:rsidR="00D934C4" w:rsidRPr="001E3529" w:rsidRDefault="00D934C4" w:rsidP="00D934C4">
            <w:pPr>
              <w:jc w:val="right"/>
              <w:rPr>
                <w:rFonts w:cs="Calibri"/>
                <w:color w:val="000000"/>
                <w:lang w:eastAsia="en-GB"/>
              </w:rPr>
            </w:pPr>
            <w:r w:rsidRPr="001E3529">
              <w:rPr>
                <w:rFonts w:cs="Calibri"/>
                <w:color w:val="000000"/>
                <w:lang w:eastAsia="en-GB"/>
              </w:rPr>
              <w:t>0.0</w:t>
            </w:r>
          </w:p>
        </w:tc>
        <w:tc>
          <w:tcPr>
            <w:tcW w:w="1266" w:type="dxa"/>
            <w:tcBorders>
              <w:top w:val="nil"/>
              <w:left w:val="nil"/>
              <w:bottom w:val="nil"/>
              <w:right w:val="nil"/>
            </w:tcBorders>
            <w:shd w:val="clear" w:color="000000" w:fill="FFFFFF"/>
            <w:noWrap/>
            <w:vAlign w:val="center"/>
            <w:hideMark/>
          </w:tcPr>
          <w:p w:rsidR="00D934C4" w:rsidRPr="001E3529" w:rsidRDefault="00D934C4" w:rsidP="00D934C4">
            <w:pPr>
              <w:jc w:val="right"/>
              <w:rPr>
                <w:rFonts w:cs="Calibri"/>
                <w:color w:val="000000"/>
                <w:lang w:eastAsia="en-GB"/>
              </w:rPr>
            </w:pPr>
            <w:r w:rsidRPr="001E3529">
              <w:rPr>
                <w:rFonts w:cs="Calibri"/>
                <w:color w:val="000000"/>
                <w:lang w:eastAsia="en-GB"/>
              </w:rPr>
              <w:t>0.0</w:t>
            </w:r>
          </w:p>
        </w:tc>
      </w:tr>
      <w:tr w:rsidR="00D934C4" w:rsidRPr="001E3529" w:rsidTr="00D934C4">
        <w:trPr>
          <w:trHeight w:hRule="exact" w:val="284"/>
        </w:trPr>
        <w:tc>
          <w:tcPr>
            <w:tcW w:w="2413" w:type="dxa"/>
            <w:gridSpan w:val="2"/>
            <w:tcBorders>
              <w:top w:val="nil"/>
              <w:left w:val="nil"/>
              <w:bottom w:val="nil"/>
              <w:right w:val="nil"/>
            </w:tcBorders>
            <w:shd w:val="clear" w:color="000000" w:fill="FFFFFF"/>
            <w:noWrap/>
            <w:vAlign w:val="center"/>
            <w:hideMark/>
          </w:tcPr>
          <w:p w:rsidR="00D934C4" w:rsidRPr="001E3529" w:rsidRDefault="00D934C4" w:rsidP="00D934C4">
            <w:pPr>
              <w:rPr>
                <w:rFonts w:cs="Calibri"/>
                <w:color w:val="000000"/>
                <w:lang w:eastAsia="en-GB"/>
              </w:rPr>
            </w:pPr>
            <w:r w:rsidRPr="001E3529">
              <w:rPr>
                <w:rFonts w:cs="Calibri"/>
                <w:color w:val="000000"/>
                <w:lang w:eastAsia="en-GB"/>
              </w:rPr>
              <w:t>Impairment losses</w:t>
            </w:r>
          </w:p>
        </w:tc>
        <w:tc>
          <w:tcPr>
            <w:tcW w:w="1207" w:type="dxa"/>
            <w:tcBorders>
              <w:top w:val="nil"/>
              <w:left w:val="nil"/>
              <w:bottom w:val="nil"/>
              <w:right w:val="nil"/>
            </w:tcBorders>
            <w:shd w:val="clear" w:color="000000" w:fill="FFFFFF"/>
            <w:noWrap/>
            <w:vAlign w:val="center"/>
            <w:hideMark/>
          </w:tcPr>
          <w:p w:rsidR="00D934C4" w:rsidRPr="001E3529" w:rsidRDefault="00D934C4" w:rsidP="00D934C4">
            <w:pPr>
              <w:rPr>
                <w:rFonts w:cs="Calibri"/>
                <w:color w:val="000000"/>
                <w:lang w:eastAsia="en-GB"/>
              </w:rPr>
            </w:pPr>
            <w:r w:rsidRPr="001E3529">
              <w:rPr>
                <w:rFonts w:cs="Calibri"/>
                <w:color w:val="000000"/>
                <w:lang w:eastAsia="en-GB"/>
              </w:rPr>
              <w:t> </w:t>
            </w:r>
          </w:p>
        </w:tc>
        <w:tc>
          <w:tcPr>
            <w:tcW w:w="1206" w:type="dxa"/>
            <w:tcBorders>
              <w:top w:val="nil"/>
              <w:left w:val="nil"/>
              <w:bottom w:val="nil"/>
              <w:right w:val="nil"/>
            </w:tcBorders>
            <w:shd w:val="clear" w:color="000000" w:fill="FFFFFF"/>
            <w:noWrap/>
            <w:vAlign w:val="center"/>
            <w:hideMark/>
          </w:tcPr>
          <w:p w:rsidR="00D934C4" w:rsidRPr="001E3529" w:rsidRDefault="00D934C4" w:rsidP="00D934C4">
            <w:pPr>
              <w:rPr>
                <w:rFonts w:cs="Calibri"/>
                <w:color w:val="000000"/>
                <w:lang w:eastAsia="en-GB"/>
              </w:rPr>
            </w:pPr>
            <w:r w:rsidRPr="001E3529">
              <w:rPr>
                <w:rFonts w:cs="Calibri"/>
                <w:color w:val="000000"/>
                <w:lang w:eastAsia="en-GB"/>
              </w:rPr>
              <w:t> </w:t>
            </w:r>
          </w:p>
        </w:tc>
        <w:tc>
          <w:tcPr>
            <w:tcW w:w="1207" w:type="dxa"/>
            <w:tcBorders>
              <w:top w:val="nil"/>
              <w:left w:val="nil"/>
              <w:bottom w:val="nil"/>
              <w:right w:val="nil"/>
            </w:tcBorders>
            <w:shd w:val="clear" w:color="000000" w:fill="FFFFFF"/>
            <w:noWrap/>
            <w:vAlign w:val="center"/>
            <w:hideMark/>
          </w:tcPr>
          <w:p w:rsidR="00D934C4" w:rsidRPr="001E3529" w:rsidRDefault="00D934C4" w:rsidP="00D934C4">
            <w:pPr>
              <w:rPr>
                <w:rFonts w:cs="Calibri"/>
                <w:color w:val="000000"/>
                <w:lang w:eastAsia="en-GB"/>
              </w:rPr>
            </w:pPr>
            <w:r w:rsidRPr="001E3529">
              <w:rPr>
                <w:rFonts w:cs="Calibri"/>
                <w:color w:val="000000"/>
                <w:lang w:eastAsia="en-GB"/>
              </w:rPr>
              <w:t> </w:t>
            </w:r>
          </w:p>
        </w:tc>
        <w:tc>
          <w:tcPr>
            <w:tcW w:w="1206" w:type="dxa"/>
            <w:tcBorders>
              <w:top w:val="nil"/>
              <w:left w:val="nil"/>
              <w:bottom w:val="nil"/>
              <w:right w:val="nil"/>
            </w:tcBorders>
            <w:shd w:val="clear" w:color="000000" w:fill="FFFFFF"/>
            <w:noWrap/>
            <w:vAlign w:val="center"/>
            <w:hideMark/>
          </w:tcPr>
          <w:p w:rsidR="00D934C4" w:rsidRPr="001E3529" w:rsidRDefault="00D934C4" w:rsidP="00D934C4">
            <w:pPr>
              <w:jc w:val="right"/>
              <w:rPr>
                <w:rFonts w:cs="Calibri"/>
                <w:color w:val="000000"/>
                <w:lang w:eastAsia="en-GB"/>
              </w:rPr>
            </w:pPr>
            <w:r w:rsidRPr="001E3529">
              <w:rPr>
                <w:rFonts w:cs="Calibri"/>
                <w:color w:val="000000"/>
                <w:lang w:eastAsia="en-GB"/>
              </w:rPr>
              <w:t>0.0</w:t>
            </w:r>
          </w:p>
        </w:tc>
        <w:tc>
          <w:tcPr>
            <w:tcW w:w="1266" w:type="dxa"/>
            <w:tcBorders>
              <w:top w:val="nil"/>
              <w:left w:val="nil"/>
              <w:bottom w:val="nil"/>
              <w:right w:val="nil"/>
            </w:tcBorders>
            <w:shd w:val="clear" w:color="000000" w:fill="FFFFFF"/>
            <w:noWrap/>
            <w:vAlign w:val="center"/>
            <w:hideMark/>
          </w:tcPr>
          <w:p w:rsidR="00D934C4" w:rsidRPr="001E3529" w:rsidRDefault="00D934C4" w:rsidP="00D934C4">
            <w:pPr>
              <w:jc w:val="right"/>
              <w:rPr>
                <w:rFonts w:cs="Calibri"/>
                <w:color w:val="000000"/>
                <w:lang w:eastAsia="en-GB"/>
              </w:rPr>
            </w:pPr>
            <w:r w:rsidRPr="001E3529">
              <w:rPr>
                <w:rFonts w:cs="Calibri"/>
                <w:color w:val="000000"/>
                <w:lang w:eastAsia="en-GB"/>
              </w:rPr>
              <w:t>0.0</w:t>
            </w:r>
          </w:p>
        </w:tc>
      </w:tr>
      <w:tr w:rsidR="00D934C4" w:rsidRPr="001E3529" w:rsidTr="00D934C4">
        <w:trPr>
          <w:trHeight w:hRule="exact" w:val="284"/>
        </w:trPr>
        <w:tc>
          <w:tcPr>
            <w:tcW w:w="3620" w:type="dxa"/>
            <w:gridSpan w:val="3"/>
            <w:tcBorders>
              <w:top w:val="nil"/>
              <w:left w:val="nil"/>
              <w:bottom w:val="nil"/>
              <w:right w:val="nil"/>
            </w:tcBorders>
            <w:shd w:val="clear" w:color="000000" w:fill="FFFFFF"/>
            <w:noWrap/>
            <w:vAlign w:val="center"/>
            <w:hideMark/>
          </w:tcPr>
          <w:p w:rsidR="00D934C4" w:rsidRPr="001E3529" w:rsidRDefault="00D934C4" w:rsidP="00D934C4">
            <w:pPr>
              <w:rPr>
                <w:rFonts w:cs="Calibri"/>
                <w:color w:val="000000"/>
                <w:lang w:eastAsia="en-GB"/>
              </w:rPr>
            </w:pPr>
            <w:r w:rsidRPr="001E3529">
              <w:rPr>
                <w:rFonts w:cs="Calibri"/>
                <w:color w:val="000000"/>
                <w:lang w:eastAsia="en-GB"/>
              </w:rPr>
              <w:t>Increase in discounted Amount</w:t>
            </w:r>
          </w:p>
        </w:tc>
        <w:tc>
          <w:tcPr>
            <w:tcW w:w="1206" w:type="dxa"/>
            <w:tcBorders>
              <w:top w:val="nil"/>
              <w:left w:val="nil"/>
              <w:bottom w:val="nil"/>
              <w:right w:val="nil"/>
            </w:tcBorders>
            <w:shd w:val="clear" w:color="000000" w:fill="FFFFFF"/>
            <w:noWrap/>
            <w:vAlign w:val="center"/>
            <w:hideMark/>
          </w:tcPr>
          <w:p w:rsidR="00D934C4" w:rsidRPr="001E3529" w:rsidRDefault="00D934C4" w:rsidP="00D934C4">
            <w:pPr>
              <w:rPr>
                <w:rFonts w:cs="Calibri"/>
                <w:color w:val="000000"/>
                <w:lang w:eastAsia="en-GB"/>
              </w:rPr>
            </w:pPr>
            <w:r w:rsidRPr="001E3529">
              <w:rPr>
                <w:rFonts w:cs="Calibri"/>
                <w:color w:val="000000"/>
                <w:lang w:eastAsia="en-GB"/>
              </w:rPr>
              <w:t> </w:t>
            </w:r>
          </w:p>
        </w:tc>
        <w:tc>
          <w:tcPr>
            <w:tcW w:w="1207" w:type="dxa"/>
            <w:tcBorders>
              <w:top w:val="nil"/>
              <w:left w:val="nil"/>
              <w:bottom w:val="nil"/>
              <w:right w:val="nil"/>
            </w:tcBorders>
            <w:shd w:val="clear" w:color="000000" w:fill="FFFFFF"/>
            <w:noWrap/>
            <w:vAlign w:val="center"/>
            <w:hideMark/>
          </w:tcPr>
          <w:p w:rsidR="00D934C4" w:rsidRPr="001E3529" w:rsidRDefault="00D934C4" w:rsidP="00D934C4">
            <w:pPr>
              <w:rPr>
                <w:rFonts w:cs="Calibri"/>
                <w:color w:val="000000"/>
                <w:lang w:eastAsia="en-GB"/>
              </w:rPr>
            </w:pPr>
            <w:r w:rsidRPr="001E3529">
              <w:rPr>
                <w:rFonts w:cs="Calibri"/>
                <w:color w:val="000000"/>
                <w:lang w:eastAsia="en-GB"/>
              </w:rPr>
              <w:t> </w:t>
            </w:r>
          </w:p>
        </w:tc>
        <w:tc>
          <w:tcPr>
            <w:tcW w:w="1206" w:type="dxa"/>
            <w:tcBorders>
              <w:top w:val="nil"/>
              <w:left w:val="nil"/>
              <w:bottom w:val="nil"/>
              <w:right w:val="nil"/>
            </w:tcBorders>
            <w:shd w:val="clear" w:color="000000" w:fill="FFFFFF"/>
            <w:noWrap/>
            <w:vAlign w:val="center"/>
            <w:hideMark/>
          </w:tcPr>
          <w:p w:rsidR="00D934C4" w:rsidRPr="001E3529" w:rsidRDefault="00D934C4" w:rsidP="00D934C4">
            <w:pPr>
              <w:jc w:val="right"/>
              <w:rPr>
                <w:rFonts w:cs="Calibri"/>
                <w:color w:val="000000"/>
                <w:lang w:eastAsia="en-GB"/>
              </w:rPr>
            </w:pPr>
            <w:r w:rsidRPr="001E3529">
              <w:rPr>
                <w:rFonts w:cs="Calibri"/>
                <w:color w:val="000000"/>
                <w:lang w:eastAsia="en-GB"/>
              </w:rPr>
              <w:t>0.0</w:t>
            </w:r>
          </w:p>
        </w:tc>
        <w:tc>
          <w:tcPr>
            <w:tcW w:w="1266" w:type="dxa"/>
            <w:tcBorders>
              <w:top w:val="nil"/>
              <w:left w:val="nil"/>
              <w:bottom w:val="nil"/>
              <w:right w:val="nil"/>
            </w:tcBorders>
            <w:shd w:val="clear" w:color="000000" w:fill="FFFFFF"/>
            <w:noWrap/>
            <w:vAlign w:val="center"/>
            <w:hideMark/>
          </w:tcPr>
          <w:p w:rsidR="00D934C4" w:rsidRPr="001E3529" w:rsidRDefault="00D934C4" w:rsidP="00D934C4">
            <w:pPr>
              <w:jc w:val="right"/>
              <w:rPr>
                <w:rFonts w:cs="Calibri"/>
                <w:color w:val="000000"/>
                <w:lang w:eastAsia="en-GB"/>
              </w:rPr>
            </w:pPr>
            <w:r w:rsidRPr="001E3529">
              <w:rPr>
                <w:rFonts w:cs="Calibri"/>
                <w:color w:val="000000"/>
                <w:lang w:eastAsia="en-GB"/>
              </w:rPr>
              <w:t>0.0</w:t>
            </w:r>
          </w:p>
        </w:tc>
      </w:tr>
      <w:tr w:rsidR="00D934C4" w:rsidRPr="001E3529" w:rsidTr="00D934C4">
        <w:trPr>
          <w:trHeight w:hRule="exact" w:val="284"/>
        </w:trPr>
        <w:tc>
          <w:tcPr>
            <w:tcW w:w="2413" w:type="dxa"/>
            <w:gridSpan w:val="2"/>
            <w:tcBorders>
              <w:top w:val="nil"/>
              <w:left w:val="nil"/>
              <w:bottom w:val="nil"/>
              <w:right w:val="nil"/>
            </w:tcBorders>
            <w:shd w:val="clear" w:color="000000" w:fill="FFFFFF"/>
            <w:noWrap/>
            <w:vAlign w:val="center"/>
            <w:hideMark/>
          </w:tcPr>
          <w:p w:rsidR="00D934C4" w:rsidRPr="001E3529" w:rsidRDefault="00D934C4" w:rsidP="00D934C4">
            <w:pPr>
              <w:rPr>
                <w:rFonts w:cs="Calibri"/>
                <w:color w:val="000000"/>
                <w:lang w:eastAsia="en-GB"/>
              </w:rPr>
            </w:pPr>
            <w:r w:rsidRPr="001E3529">
              <w:rPr>
                <w:rFonts w:cs="Calibri"/>
                <w:color w:val="000000"/>
                <w:lang w:eastAsia="en-GB"/>
              </w:rPr>
              <w:t>Other changes</w:t>
            </w:r>
          </w:p>
        </w:tc>
        <w:tc>
          <w:tcPr>
            <w:tcW w:w="1207" w:type="dxa"/>
            <w:tcBorders>
              <w:top w:val="nil"/>
              <w:left w:val="nil"/>
              <w:bottom w:val="nil"/>
              <w:right w:val="nil"/>
            </w:tcBorders>
            <w:shd w:val="clear" w:color="000000" w:fill="FFFFFF"/>
            <w:noWrap/>
            <w:vAlign w:val="center"/>
            <w:hideMark/>
          </w:tcPr>
          <w:p w:rsidR="00D934C4" w:rsidRPr="001E3529" w:rsidRDefault="00D934C4" w:rsidP="00D934C4">
            <w:pPr>
              <w:rPr>
                <w:rFonts w:cs="Calibri"/>
                <w:color w:val="000000"/>
                <w:lang w:eastAsia="en-GB"/>
              </w:rPr>
            </w:pPr>
            <w:r w:rsidRPr="001E3529">
              <w:rPr>
                <w:rFonts w:cs="Calibri"/>
                <w:color w:val="000000"/>
                <w:lang w:eastAsia="en-GB"/>
              </w:rPr>
              <w:t> </w:t>
            </w:r>
          </w:p>
        </w:tc>
        <w:tc>
          <w:tcPr>
            <w:tcW w:w="1206" w:type="dxa"/>
            <w:tcBorders>
              <w:top w:val="nil"/>
              <w:left w:val="nil"/>
              <w:bottom w:val="nil"/>
              <w:right w:val="nil"/>
            </w:tcBorders>
            <w:shd w:val="clear" w:color="000000" w:fill="FFFFFF"/>
            <w:noWrap/>
            <w:vAlign w:val="center"/>
            <w:hideMark/>
          </w:tcPr>
          <w:p w:rsidR="00D934C4" w:rsidRPr="001E3529" w:rsidRDefault="00D934C4" w:rsidP="00D934C4">
            <w:pPr>
              <w:rPr>
                <w:rFonts w:cs="Calibri"/>
                <w:color w:val="000000"/>
                <w:lang w:eastAsia="en-GB"/>
              </w:rPr>
            </w:pPr>
            <w:r w:rsidRPr="001E3529">
              <w:rPr>
                <w:rFonts w:cs="Calibri"/>
                <w:color w:val="000000"/>
                <w:lang w:eastAsia="en-GB"/>
              </w:rPr>
              <w:t> </w:t>
            </w:r>
          </w:p>
        </w:tc>
        <w:tc>
          <w:tcPr>
            <w:tcW w:w="1207" w:type="dxa"/>
            <w:tcBorders>
              <w:top w:val="nil"/>
              <w:left w:val="nil"/>
              <w:bottom w:val="nil"/>
              <w:right w:val="nil"/>
            </w:tcBorders>
            <w:shd w:val="clear" w:color="000000" w:fill="FFFFFF"/>
            <w:noWrap/>
            <w:vAlign w:val="center"/>
            <w:hideMark/>
          </w:tcPr>
          <w:p w:rsidR="00D934C4" w:rsidRPr="001E3529" w:rsidRDefault="00D934C4" w:rsidP="00D934C4">
            <w:pPr>
              <w:rPr>
                <w:rFonts w:cs="Calibri"/>
                <w:b/>
                <w:bCs/>
                <w:color w:val="000000"/>
                <w:lang w:eastAsia="en-GB"/>
              </w:rPr>
            </w:pPr>
            <w:r w:rsidRPr="001E3529">
              <w:rPr>
                <w:rFonts w:cs="Calibri"/>
                <w:b/>
                <w:bCs/>
                <w:color w:val="000000"/>
                <w:lang w:eastAsia="en-GB"/>
              </w:rPr>
              <w:t> </w:t>
            </w:r>
          </w:p>
        </w:tc>
        <w:tc>
          <w:tcPr>
            <w:tcW w:w="1206" w:type="dxa"/>
            <w:tcBorders>
              <w:top w:val="nil"/>
              <w:left w:val="nil"/>
              <w:bottom w:val="nil"/>
              <w:right w:val="nil"/>
            </w:tcBorders>
            <w:shd w:val="clear" w:color="000000" w:fill="FFFFFF"/>
            <w:noWrap/>
            <w:vAlign w:val="center"/>
            <w:hideMark/>
          </w:tcPr>
          <w:p w:rsidR="00D934C4" w:rsidRPr="001E3529" w:rsidRDefault="00D934C4" w:rsidP="00D934C4">
            <w:pPr>
              <w:jc w:val="right"/>
              <w:rPr>
                <w:rFonts w:cs="Calibri"/>
                <w:color w:val="000000"/>
                <w:lang w:eastAsia="en-GB"/>
              </w:rPr>
            </w:pPr>
            <w:r w:rsidRPr="001E3529">
              <w:rPr>
                <w:rFonts w:cs="Calibri"/>
                <w:color w:val="000000"/>
                <w:lang w:eastAsia="en-GB"/>
              </w:rPr>
              <w:t>0.8</w:t>
            </w:r>
          </w:p>
        </w:tc>
        <w:tc>
          <w:tcPr>
            <w:tcW w:w="1266" w:type="dxa"/>
            <w:tcBorders>
              <w:top w:val="nil"/>
              <w:left w:val="nil"/>
              <w:bottom w:val="nil"/>
              <w:right w:val="nil"/>
            </w:tcBorders>
            <w:shd w:val="clear" w:color="000000" w:fill="FFFFFF"/>
            <w:noWrap/>
            <w:vAlign w:val="center"/>
            <w:hideMark/>
          </w:tcPr>
          <w:p w:rsidR="00D934C4" w:rsidRPr="001E3529" w:rsidRDefault="00D934C4" w:rsidP="00D934C4">
            <w:pPr>
              <w:jc w:val="right"/>
              <w:rPr>
                <w:rFonts w:cs="Calibri"/>
                <w:color w:val="000000"/>
                <w:lang w:eastAsia="en-GB"/>
              </w:rPr>
            </w:pPr>
            <w:r w:rsidRPr="001E3529">
              <w:rPr>
                <w:rFonts w:cs="Calibri"/>
                <w:color w:val="000000"/>
                <w:lang w:eastAsia="en-GB"/>
              </w:rPr>
              <w:t>1.1</w:t>
            </w:r>
          </w:p>
        </w:tc>
      </w:tr>
      <w:tr w:rsidR="00D934C4" w:rsidRPr="001E3529" w:rsidTr="00D934C4">
        <w:trPr>
          <w:trHeight w:hRule="exact" w:val="284"/>
        </w:trPr>
        <w:tc>
          <w:tcPr>
            <w:tcW w:w="3620" w:type="dxa"/>
            <w:gridSpan w:val="3"/>
            <w:tcBorders>
              <w:top w:val="nil"/>
              <w:left w:val="nil"/>
              <w:bottom w:val="nil"/>
              <w:right w:val="nil"/>
            </w:tcBorders>
            <w:shd w:val="clear" w:color="000000" w:fill="FFFFFF"/>
            <w:noWrap/>
            <w:vAlign w:val="center"/>
            <w:hideMark/>
          </w:tcPr>
          <w:p w:rsidR="00D934C4" w:rsidRPr="001E3529" w:rsidRDefault="00D934C4" w:rsidP="00D934C4">
            <w:pPr>
              <w:rPr>
                <w:rFonts w:cs="Calibri"/>
                <w:b/>
                <w:bCs/>
                <w:color w:val="000000"/>
                <w:lang w:eastAsia="en-GB"/>
              </w:rPr>
            </w:pPr>
            <w:r w:rsidRPr="001E3529">
              <w:rPr>
                <w:rFonts w:cs="Calibri"/>
                <w:b/>
                <w:bCs/>
                <w:color w:val="000000"/>
                <w:lang w:eastAsia="en-GB"/>
              </w:rPr>
              <w:t>Closing balance at end of year</w:t>
            </w:r>
          </w:p>
        </w:tc>
        <w:tc>
          <w:tcPr>
            <w:tcW w:w="1206" w:type="dxa"/>
            <w:tcBorders>
              <w:top w:val="nil"/>
              <w:left w:val="nil"/>
              <w:bottom w:val="nil"/>
              <w:right w:val="nil"/>
            </w:tcBorders>
            <w:shd w:val="clear" w:color="000000" w:fill="FFFFFF"/>
            <w:noWrap/>
            <w:vAlign w:val="center"/>
            <w:hideMark/>
          </w:tcPr>
          <w:p w:rsidR="00D934C4" w:rsidRPr="001E3529" w:rsidRDefault="00D934C4" w:rsidP="00D934C4">
            <w:pPr>
              <w:rPr>
                <w:rFonts w:cs="Calibri"/>
                <w:b/>
                <w:bCs/>
                <w:color w:val="000000"/>
                <w:lang w:eastAsia="en-GB"/>
              </w:rPr>
            </w:pPr>
            <w:r w:rsidRPr="001E3529">
              <w:rPr>
                <w:rFonts w:cs="Calibri"/>
                <w:b/>
                <w:bCs/>
                <w:color w:val="000000"/>
                <w:lang w:eastAsia="en-GB"/>
              </w:rPr>
              <w:t> </w:t>
            </w:r>
          </w:p>
        </w:tc>
        <w:tc>
          <w:tcPr>
            <w:tcW w:w="1207" w:type="dxa"/>
            <w:tcBorders>
              <w:top w:val="nil"/>
              <w:left w:val="nil"/>
              <w:bottom w:val="nil"/>
              <w:right w:val="nil"/>
            </w:tcBorders>
            <w:shd w:val="clear" w:color="000000" w:fill="FFFFFF"/>
            <w:noWrap/>
            <w:vAlign w:val="center"/>
            <w:hideMark/>
          </w:tcPr>
          <w:p w:rsidR="00D934C4" w:rsidRPr="001E3529" w:rsidRDefault="00D934C4" w:rsidP="00D934C4">
            <w:pPr>
              <w:rPr>
                <w:rFonts w:cs="Calibri"/>
                <w:color w:val="000000"/>
                <w:lang w:eastAsia="en-GB"/>
              </w:rPr>
            </w:pPr>
            <w:r w:rsidRPr="001E3529">
              <w:rPr>
                <w:rFonts w:cs="Calibri"/>
                <w:color w:val="000000"/>
                <w:lang w:eastAsia="en-GB"/>
              </w:rPr>
              <w:t> </w:t>
            </w:r>
          </w:p>
        </w:tc>
        <w:tc>
          <w:tcPr>
            <w:tcW w:w="1206" w:type="dxa"/>
            <w:tcBorders>
              <w:top w:val="nil"/>
              <w:left w:val="nil"/>
              <w:bottom w:val="nil"/>
              <w:right w:val="nil"/>
            </w:tcBorders>
            <w:shd w:val="clear" w:color="000000" w:fill="FFFFFF"/>
            <w:noWrap/>
            <w:vAlign w:val="center"/>
            <w:hideMark/>
          </w:tcPr>
          <w:p w:rsidR="00D934C4" w:rsidRPr="001E3529" w:rsidRDefault="00D934C4" w:rsidP="00D934C4">
            <w:pPr>
              <w:jc w:val="right"/>
              <w:rPr>
                <w:rFonts w:cs="Calibri"/>
                <w:b/>
                <w:bCs/>
                <w:color w:val="000000"/>
                <w:lang w:eastAsia="en-GB"/>
              </w:rPr>
            </w:pPr>
            <w:r w:rsidRPr="001E3529">
              <w:rPr>
                <w:rFonts w:cs="Calibri"/>
                <w:b/>
                <w:bCs/>
                <w:color w:val="000000"/>
                <w:lang w:eastAsia="en-GB"/>
              </w:rPr>
              <w:t>56.3</w:t>
            </w:r>
          </w:p>
        </w:tc>
        <w:tc>
          <w:tcPr>
            <w:tcW w:w="1266" w:type="dxa"/>
            <w:tcBorders>
              <w:top w:val="nil"/>
              <w:left w:val="nil"/>
              <w:bottom w:val="nil"/>
              <w:right w:val="nil"/>
            </w:tcBorders>
            <w:shd w:val="clear" w:color="000000" w:fill="FFFFFF"/>
            <w:noWrap/>
            <w:vAlign w:val="center"/>
            <w:hideMark/>
          </w:tcPr>
          <w:p w:rsidR="00D934C4" w:rsidRPr="001E3529" w:rsidRDefault="00D934C4" w:rsidP="00D934C4">
            <w:pPr>
              <w:jc w:val="right"/>
              <w:rPr>
                <w:rFonts w:cs="Calibri"/>
                <w:b/>
                <w:bCs/>
                <w:color w:val="000000"/>
                <w:lang w:eastAsia="en-GB"/>
              </w:rPr>
            </w:pPr>
            <w:r w:rsidRPr="001E3529">
              <w:rPr>
                <w:rFonts w:cs="Calibri"/>
                <w:b/>
                <w:color w:val="000000"/>
                <w:lang w:eastAsia="en-GB"/>
              </w:rPr>
              <w:t>75.2</w:t>
            </w:r>
          </w:p>
        </w:tc>
      </w:tr>
      <w:tr w:rsidR="00D934C4" w:rsidRPr="001E3529" w:rsidTr="00D934C4">
        <w:trPr>
          <w:trHeight w:hRule="exact" w:val="284"/>
        </w:trPr>
        <w:tc>
          <w:tcPr>
            <w:tcW w:w="1206" w:type="dxa"/>
            <w:tcBorders>
              <w:top w:val="nil"/>
              <w:left w:val="nil"/>
              <w:bottom w:val="nil"/>
              <w:right w:val="nil"/>
            </w:tcBorders>
            <w:shd w:val="clear" w:color="000000" w:fill="FFFFFF"/>
            <w:noWrap/>
            <w:vAlign w:val="center"/>
            <w:hideMark/>
          </w:tcPr>
          <w:p w:rsidR="00D934C4" w:rsidRPr="001E3529" w:rsidRDefault="00D934C4" w:rsidP="00D934C4">
            <w:pPr>
              <w:rPr>
                <w:rFonts w:cs="Calibri"/>
                <w:color w:val="000000"/>
                <w:lang w:eastAsia="en-GB"/>
              </w:rPr>
            </w:pPr>
            <w:r w:rsidRPr="001E3529">
              <w:rPr>
                <w:rFonts w:cs="Calibri"/>
                <w:color w:val="000000"/>
                <w:lang w:eastAsia="en-GB"/>
              </w:rPr>
              <w:t> </w:t>
            </w:r>
          </w:p>
        </w:tc>
        <w:tc>
          <w:tcPr>
            <w:tcW w:w="1207" w:type="dxa"/>
            <w:tcBorders>
              <w:top w:val="nil"/>
              <w:left w:val="nil"/>
              <w:bottom w:val="nil"/>
              <w:right w:val="nil"/>
            </w:tcBorders>
            <w:shd w:val="clear" w:color="000000" w:fill="FFFFFF"/>
            <w:noWrap/>
            <w:vAlign w:val="center"/>
            <w:hideMark/>
          </w:tcPr>
          <w:p w:rsidR="00D934C4" w:rsidRPr="001E3529" w:rsidRDefault="00D934C4" w:rsidP="00D934C4">
            <w:pPr>
              <w:rPr>
                <w:rFonts w:cs="Calibri"/>
                <w:color w:val="000000"/>
                <w:lang w:eastAsia="en-GB"/>
              </w:rPr>
            </w:pPr>
            <w:r w:rsidRPr="001E3529">
              <w:rPr>
                <w:rFonts w:cs="Calibri"/>
                <w:color w:val="000000"/>
                <w:lang w:eastAsia="en-GB"/>
              </w:rPr>
              <w:t> </w:t>
            </w:r>
          </w:p>
        </w:tc>
        <w:tc>
          <w:tcPr>
            <w:tcW w:w="1207" w:type="dxa"/>
            <w:tcBorders>
              <w:top w:val="nil"/>
              <w:left w:val="nil"/>
              <w:bottom w:val="nil"/>
              <w:right w:val="nil"/>
            </w:tcBorders>
            <w:shd w:val="clear" w:color="000000" w:fill="FFFFFF"/>
            <w:noWrap/>
            <w:vAlign w:val="center"/>
            <w:hideMark/>
          </w:tcPr>
          <w:p w:rsidR="00D934C4" w:rsidRPr="001E3529" w:rsidRDefault="00D934C4" w:rsidP="00D934C4">
            <w:pPr>
              <w:rPr>
                <w:rFonts w:cs="Calibri"/>
                <w:color w:val="000000"/>
                <w:lang w:eastAsia="en-GB"/>
              </w:rPr>
            </w:pPr>
            <w:r w:rsidRPr="001E3529">
              <w:rPr>
                <w:rFonts w:cs="Calibri"/>
                <w:color w:val="000000"/>
                <w:lang w:eastAsia="en-GB"/>
              </w:rPr>
              <w:t> </w:t>
            </w:r>
          </w:p>
        </w:tc>
        <w:tc>
          <w:tcPr>
            <w:tcW w:w="1206" w:type="dxa"/>
            <w:tcBorders>
              <w:top w:val="nil"/>
              <w:left w:val="nil"/>
              <w:bottom w:val="nil"/>
              <w:right w:val="nil"/>
            </w:tcBorders>
            <w:shd w:val="clear" w:color="000000" w:fill="FFFFFF"/>
            <w:noWrap/>
            <w:vAlign w:val="center"/>
            <w:hideMark/>
          </w:tcPr>
          <w:p w:rsidR="00D934C4" w:rsidRPr="001E3529" w:rsidRDefault="00D934C4" w:rsidP="00D934C4">
            <w:pPr>
              <w:rPr>
                <w:rFonts w:cs="Calibri"/>
                <w:color w:val="000000"/>
                <w:lang w:eastAsia="en-GB"/>
              </w:rPr>
            </w:pPr>
            <w:r w:rsidRPr="001E3529">
              <w:rPr>
                <w:rFonts w:cs="Calibri"/>
                <w:color w:val="000000"/>
                <w:lang w:eastAsia="en-GB"/>
              </w:rPr>
              <w:t> </w:t>
            </w:r>
          </w:p>
        </w:tc>
        <w:tc>
          <w:tcPr>
            <w:tcW w:w="1207" w:type="dxa"/>
            <w:tcBorders>
              <w:top w:val="nil"/>
              <w:left w:val="nil"/>
              <w:bottom w:val="nil"/>
              <w:right w:val="nil"/>
            </w:tcBorders>
            <w:shd w:val="clear" w:color="000000" w:fill="FFFFFF"/>
            <w:noWrap/>
            <w:vAlign w:val="center"/>
            <w:hideMark/>
          </w:tcPr>
          <w:p w:rsidR="00D934C4" w:rsidRPr="001E3529" w:rsidRDefault="00D934C4" w:rsidP="00D934C4">
            <w:pPr>
              <w:rPr>
                <w:rFonts w:cs="Calibri"/>
                <w:color w:val="000000"/>
                <w:lang w:eastAsia="en-GB"/>
              </w:rPr>
            </w:pPr>
          </w:p>
        </w:tc>
        <w:tc>
          <w:tcPr>
            <w:tcW w:w="1206" w:type="dxa"/>
            <w:tcBorders>
              <w:top w:val="nil"/>
              <w:left w:val="nil"/>
              <w:bottom w:val="nil"/>
              <w:right w:val="nil"/>
            </w:tcBorders>
            <w:shd w:val="clear" w:color="000000" w:fill="FFFFFF"/>
            <w:noWrap/>
            <w:vAlign w:val="center"/>
            <w:hideMark/>
          </w:tcPr>
          <w:p w:rsidR="00D934C4" w:rsidRPr="001E3529" w:rsidRDefault="00D934C4" w:rsidP="00D934C4">
            <w:pPr>
              <w:jc w:val="right"/>
              <w:rPr>
                <w:rFonts w:cs="Calibri"/>
                <w:color w:val="000000"/>
                <w:lang w:eastAsia="en-GB"/>
              </w:rPr>
            </w:pPr>
            <w:r w:rsidRPr="001E3529">
              <w:rPr>
                <w:rFonts w:cs="Calibri"/>
                <w:color w:val="000000"/>
                <w:lang w:eastAsia="en-GB"/>
              </w:rPr>
              <w:t> </w:t>
            </w:r>
          </w:p>
        </w:tc>
        <w:tc>
          <w:tcPr>
            <w:tcW w:w="1266" w:type="dxa"/>
            <w:tcBorders>
              <w:top w:val="nil"/>
              <w:left w:val="nil"/>
              <w:bottom w:val="nil"/>
              <w:right w:val="nil"/>
            </w:tcBorders>
            <w:shd w:val="clear" w:color="000000" w:fill="FFFFFF"/>
            <w:noWrap/>
            <w:vAlign w:val="center"/>
            <w:hideMark/>
          </w:tcPr>
          <w:p w:rsidR="00D934C4" w:rsidRPr="001E3529" w:rsidRDefault="00D934C4" w:rsidP="00D934C4">
            <w:pPr>
              <w:jc w:val="right"/>
              <w:rPr>
                <w:rFonts w:cs="Calibri"/>
                <w:color w:val="000000"/>
                <w:lang w:eastAsia="en-GB"/>
              </w:rPr>
            </w:pPr>
            <w:r w:rsidRPr="001E3529">
              <w:rPr>
                <w:rFonts w:cs="Calibri"/>
                <w:color w:val="000000"/>
                <w:lang w:eastAsia="en-GB"/>
              </w:rPr>
              <w:t> </w:t>
            </w:r>
          </w:p>
        </w:tc>
      </w:tr>
      <w:tr w:rsidR="00D934C4" w:rsidRPr="001E3529" w:rsidTr="00D934C4">
        <w:trPr>
          <w:trHeight w:hRule="exact" w:val="284"/>
        </w:trPr>
        <w:tc>
          <w:tcPr>
            <w:tcW w:w="3620" w:type="dxa"/>
            <w:gridSpan w:val="3"/>
            <w:tcBorders>
              <w:top w:val="nil"/>
              <w:left w:val="nil"/>
              <w:bottom w:val="nil"/>
              <w:right w:val="nil"/>
            </w:tcBorders>
            <w:shd w:val="clear" w:color="000000" w:fill="FFFFFF"/>
            <w:noWrap/>
            <w:vAlign w:val="center"/>
            <w:hideMark/>
          </w:tcPr>
          <w:p w:rsidR="00D934C4" w:rsidRPr="001E3529" w:rsidRDefault="00D934C4" w:rsidP="00D934C4">
            <w:pPr>
              <w:rPr>
                <w:rFonts w:cs="Calibri"/>
                <w:color w:val="000000"/>
                <w:lang w:eastAsia="en-GB"/>
              </w:rPr>
            </w:pPr>
            <w:r w:rsidRPr="001E3529">
              <w:rPr>
                <w:rFonts w:cs="Calibri"/>
                <w:color w:val="000000"/>
                <w:lang w:eastAsia="en-GB"/>
              </w:rPr>
              <w:t>Nominal value at 31 March</w:t>
            </w:r>
          </w:p>
        </w:tc>
        <w:tc>
          <w:tcPr>
            <w:tcW w:w="1206" w:type="dxa"/>
            <w:tcBorders>
              <w:top w:val="nil"/>
              <w:left w:val="nil"/>
              <w:bottom w:val="nil"/>
              <w:right w:val="nil"/>
            </w:tcBorders>
            <w:shd w:val="clear" w:color="000000" w:fill="FFFFFF"/>
            <w:noWrap/>
            <w:vAlign w:val="center"/>
            <w:hideMark/>
          </w:tcPr>
          <w:p w:rsidR="00D934C4" w:rsidRPr="001E3529" w:rsidRDefault="00D934C4" w:rsidP="00D934C4">
            <w:pPr>
              <w:rPr>
                <w:rFonts w:cs="Calibri"/>
                <w:color w:val="000000"/>
                <w:lang w:eastAsia="en-GB"/>
              </w:rPr>
            </w:pPr>
            <w:r w:rsidRPr="001E3529">
              <w:rPr>
                <w:rFonts w:cs="Calibri"/>
                <w:color w:val="000000"/>
                <w:lang w:eastAsia="en-GB"/>
              </w:rPr>
              <w:t> </w:t>
            </w:r>
          </w:p>
        </w:tc>
        <w:tc>
          <w:tcPr>
            <w:tcW w:w="1207" w:type="dxa"/>
            <w:tcBorders>
              <w:top w:val="nil"/>
              <w:left w:val="nil"/>
              <w:bottom w:val="nil"/>
              <w:right w:val="nil"/>
            </w:tcBorders>
            <w:shd w:val="clear" w:color="000000" w:fill="FFFFFF"/>
            <w:noWrap/>
            <w:vAlign w:val="center"/>
            <w:hideMark/>
          </w:tcPr>
          <w:p w:rsidR="00D934C4" w:rsidRPr="001E3529" w:rsidRDefault="00D934C4" w:rsidP="00D934C4">
            <w:pPr>
              <w:rPr>
                <w:rFonts w:cs="Calibri"/>
                <w:color w:val="000000"/>
                <w:lang w:eastAsia="en-GB"/>
              </w:rPr>
            </w:pPr>
            <w:r w:rsidRPr="001E3529">
              <w:rPr>
                <w:rFonts w:cs="Calibri"/>
                <w:color w:val="000000"/>
                <w:lang w:eastAsia="en-GB"/>
              </w:rPr>
              <w:t> </w:t>
            </w:r>
          </w:p>
        </w:tc>
        <w:tc>
          <w:tcPr>
            <w:tcW w:w="1206" w:type="dxa"/>
            <w:tcBorders>
              <w:top w:val="nil"/>
              <w:left w:val="nil"/>
              <w:bottom w:val="nil"/>
              <w:right w:val="nil"/>
            </w:tcBorders>
            <w:shd w:val="clear" w:color="000000" w:fill="FFFFFF"/>
            <w:noWrap/>
            <w:vAlign w:val="center"/>
            <w:hideMark/>
          </w:tcPr>
          <w:p w:rsidR="00D934C4" w:rsidRPr="001E3529" w:rsidRDefault="00D934C4" w:rsidP="00D934C4">
            <w:pPr>
              <w:jc w:val="right"/>
              <w:rPr>
                <w:rFonts w:cs="Calibri"/>
                <w:b/>
                <w:color w:val="000000"/>
                <w:lang w:eastAsia="en-GB"/>
              </w:rPr>
            </w:pPr>
            <w:r w:rsidRPr="001E3529">
              <w:rPr>
                <w:rFonts w:cs="Calibri"/>
                <w:b/>
                <w:color w:val="000000"/>
                <w:lang w:eastAsia="en-GB"/>
              </w:rPr>
              <w:t>79.3</w:t>
            </w:r>
          </w:p>
        </w:tc>
        <w:tc>
          <w:tcPr>
            <w:tcW w:w="1266" w:type="dxa"/>
            <w:tcBorders>
              <w:top w:val="nil"/>
              <w:left w:val="nil"/>
              <w:bottom w:val="nil"/>
              <w:right w:val="nil"/>
            </w:tcBorders>
            <w:shd w:val="clear" w:color="000000" w:fill="FFFFFF"/>
            <w:noWrap/>
            <w:vAlign w:val="center"/>
            <w:hideMark/>
          </w:tcPr>
          <w:p w:rsidR="00D934C4" w:rsidRPr="001E3529" w:rsidRDefault="00D934C4" w:rsidP="00D934C4">
            <w:pPr>
              <w:jc w:val="right"/>
              <w:rPr>
                <w:rFonts w:cs="Calibri"/>
                <w:color w:val="000000"/>
                <w:lang w:eastAsia="en-GB"/>
              </w:rPr>
            </w:pPr>
            <w:r w:rsidRPr="001E3529">
              <w:rPr>
                <w:rFonts w:cs="Calibri"/>
                <w:b/>
                <w:bCs/>
                <w:color w:val="000000"/>
                <w:lang w:eastAsia="en-GB"/>
              </w:rPr>
              <w:t>107.4</w:t>
            </w:r>
          </w:p>
        </w:tc>
      </w:tr>
    </w:tbl>
    <w:p w:rsidR="00D934C4" w:rsidRDefault="00D934C4" w:rsidP="00F72906"/>
    <w:p w:rsidR="00F72906" w:rsidRPr="00D934C4" w:rsidRDefault="00F72906" w:rsidP="00F72906">
      <w:pPr>
        <w:rPr>
          <w:u w:val="single"/>
        </w:rPr>
      </w:pPr>
      <w:r w:rsidRPr="00D934C4">
        <w:rPr>
          <w:u w:val="single"/>
        </w:rPr>
        <w:t>Offsetting Financial Assets and Liabilities</w:t>
      </w:r>
    </w:p>
    <w:p w:rsidR="00F72906" w:rsidRDefault="00F72906" w:rsidP="00F72906">
      <w:r>
        <w:t xml:space="preserve">Financial assets and liabilities are set off against each other where the Council has a legally enforceable right to sell off and it intends to either settle on a net basis or to realise the asset and settle the liability simultaneously. The only item offset on the balance sheet is the bank overdraft, which is shown within cash and cash equivalents. </w:t>
      </w:r>
    </w:p>
    <w:p w:rsidR="00D934C4" w:rsidRDefault="00F72906" w:rsidP="00F72906">
      <w:pPr>
        <w:sectPr w:rsidR="00D934C4" w:rsidSect="00C00DF8">
          <w:pgSz w:w="11906" w:h="16838"/>
          <w:pgMar w:top="1440" w:right="1440" w:bottom="1440" w:left="709" w:header="708" w:footer="708" w:gutter="0"/>
          <w:cols w:space="708"/>
          <w:docGrid w:linePitch="360"/>
        </w:sectPr>
      </w:pPr>
      <w:r>
        <w:t>The Council had no other financial assets or liabilities subject to an enforceable master netting ar</w:t>
      </w:r>
      <w:r w:rsidR="00D934C4">
        <w:t>rangement or similar agreement.</w:t>
      </w:r>
    </w:p>
    <w:p w:rsidR="00F72906" w:rsidRDefault="00F72906" w:rsidP="00F72906"/>
    <w:p w:rsidR="00F72906" w:rsidRPr="00D934C4" w:rsidRDefault="00F72906" w:rsidP="00F72906">
      <w:pPr>
        <w:rPr>
          <w:u w:val="single"/>
        </w:rPr>
      </w:pPr>
      <w:r w:rsidRPr="00D934C4">
        <w:rPr>
          <w:u w:val="single"/>
        </w:rPr>
        <w:t>Gains and Losses of Financial Instruments</w:t>
      </w:r>
    </w:p>
    <w:p w:rsidR="00F72906" w:rsidRDefault="00F72906" w:rsidP="00F72906">
      <w:r>
        <w:t>The gains and losses recognised in the Comprehensive Income and Expenditure Statement in relation to financial instruments consist of the following:</w:t>
      </w:r>
    </w:p>
    <w:tbl>
      <w:tblPr>
        <w:tblW w:w="14580" w:type="dxa"/>
        <w:tblLook w:val="04A0" w:firstRow="1" w:lastRow="0" w:firstColumn="1" w:lastColumn="0" w:noHBand="0" w:noVBand="1"/>
      </w:tblPr>
      <w:tblGrid>
        <w:gridCol w:w="3912"/>
        <w:gridCol w:w="1474"/>
        <w:gridCol w:w="1456"/>
        <w:gridCol w:w="1456"/>
        <w:gridCol w:w="948"/>
        <w:gridCol w:w="1474"/>
        <w:gridCol w:w="1456"/>
        <w:gridCol w:w="1456"/>
        <w:gridCol w:w="948"/>
      </w:tblGrid>
      <w:tr w:rsidR="00D934C4" w:rsidRPr="00EB2995" w:rsidTr="00D934C4">
        <w:trPr>
          <w:trHeight w:hRule="exact" w:val="284"/>
        </w:trPr>
        <w:tc>
          <w:tcPr>
            <w:tcW w:w="3912"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D934C4" w:rsidRPr="00EB2995" w:rsidRDefault="00D934C4" w:rsidP="00D934C4">
            <w:pPr>
              <w:rPr>
                <w:rFonts w:cs="Calibri"/>
                <w:color w:val="000000"/>
                <w:sz w:val="20"/>
                <w:szCs w:val="20"/>
                <w:lang w:eastAsia="en-GB"/>
              </w:rPr>
            </w:pPr>
            <w:r w:rsidRPr="00EB2995">
              <w:rPr>
                <w:rFonts w:cs="Calibri"/>
                <w:color w:val="000000"/>
                <w:sz w:val="20"/>
                <w:szCs w:val="20"/>
                <w:lang w:eastAsia="en-GB"/>
              </w:rPr>
              <w:t> </w:t>
            </w:r>
          </w:p>
        </w:tc>
        <w:tc>
          <w:tcPr>
            <w:tcW w:w="5334" w:type="dxa"/>
            <w:gridSpan w:val="4"/>
            <w:tcBorders>
              <w:top w:val="single" w:sz="8" w:space="0" w:color="auto"/>
              <w:left w:val="nil"/>
              <w:bottom w:val="single" w:sz="8" w:space="0" w:color="auto"/>
              <w:right w:val="single" w:sz="8" w:space="0" w:color="auto"/>
            </w:tcBorders>
            <w:shd w:val="clear" w:color="000000" w:fill="FFFFFF"/>
            <w:noWrap/>
            <w:vAlign w:val="center"/>
            <w:hideMark/>
          </w:tcPr>
          <w:p w:rsidR="00D934C4" w:rsidRPr="00EB2995" w:rsidRDefault="00D934C4" w:rsidP="00D934C4">
            <w:pPr>
              <w:jc w:val="center"/>
              <w:rPr>
                <w:rFonts w:cs="Calibri"/>
                <w:color w:val="000000"/>
                <w:sz w:val="20"/>
                <w:szCs w:val="20"/>
                <w:lang w:eastAsia="en-GB"/>
              </w:rPr>
            </w:pPr>
            <w:r w:rsidRPr="00EB2995">
              <w:rPr>
                <w:rFonts w:cs="Calibri"/>
                <w:color w:val="000000"/>
                <w:sz w:val="20"/>
                <w:szCs w:val="20"/>
                <w:lang w:eastAsia="en-GB"/>
              </w:rPr>
              <w:t>2019/20</w:t>
            </w:r>
          </w:p>
        </w:tc>
        <w:tc>
          <w:tcPr>
            <w:tcW w:w="5334" w:type="dxa"/>
            <w:gridSpan w:val="4"/>
            <w:tcBorders>
              <w:top w:val="single" w:sz="8" w:space="0" w:color="auto"/>
              <w:left w:val="nil"/>
              <w:bottom w:val="single" w:sz="8" w:space="0" w:color="auto"/>
              <w:right w:val="single" w:sz="8" w:space="0" w:color="auto"/>
            </w:tcBorders>
            <w:shd w:val="clear" w:color="000000" w:fill="FFFFFF"/>
            <w:noWrap/>
            <w:vAlign w:val="center"/>
            <w:hideMark/>
          </w:tcPr>
          <w:p w:rsidR="00D934C4" w:rsidRPr="00EB2995" w:rsidRDefault="00D934C4" w:rsidP="00D934C4">
            <w:pPr>
              <w:jc w:val="center"/>
              <w:rPr>
                <w:rFonts w:cs="Calibri"/>
                <w:color w:val="000000"/>
                <w:sz w:val="20"/>
                <w:szCs w:val="20"/>
                <w:lang w:eastAsia="en-GB"/>
              </w:rPr>
            </w:pPr>
            <w:r w:rsidRPr="00EB2995">
              <w:rPr>
                <w:rFonts w:cs="Calibri"/>
                <w:color w:val="000000"/>
                <w:sz w:val="20"/>
                <w:szCs w:val="20"/>
                <w:lang w:eastAsia="en-GB"/>
              </w:rPr>
              <w:t>2018/19</w:t>
            </w:r>
          </w:p>
        </w:tc>
      </w:tr>
      <w:tr w:rsidR="00D934C4" w:rsidRPr="00EB2995" w:rsidTr="00D934C4">
        <w:trPr>
          <w:trHeight w:hRule="exact" w:val="284"/>
        </w:trPr>
        <w:tc>
          <w:tcPr>
            <w:tcW w:w="3912" w:type="dxa"/>
            <w:tcBorders>
              <w:top w:val="nil"/>
              <w:left w:val="single" w:sz="8" w:space="0" w:color="auto"/>
              <w:bottom w:val="single" w:sz="8" w:space="0" w:color="auto"/>
              <w:right w:val="single" w:sz="8" w:space="0" w:color="auto"/>
            </w:tcBorders>
            <w:shd w:val="clear" w:color="auto" w:fill="auto"/>
            <w:noWrap/>
            <w:vAlign w:val="center"/>
            <w:hideMark/>
          </w:tcPr>
          <w:p w:rsidR="00D934C4" w:rsidRPr="00EB2995" w:rsidRDefault="00D934C4" w:rsidP="00D934C4">
            <w:pPr>
              <w:rPr>
                <w:rFonts w:cs="Calibri"/>
                <w:color w:val="000000"/>
                <w:lang w:eastAsia="en-GB"/>
              </w:rPr>
            </w:pPr>
            <w:r w:rsidRPr="00EB2995">
              <w:rPr>
                <w:rFonts w:cs="Calibri"/>
                <w:color w:val="000000"/>
                <w:lang w:eastAsia="en-GB"/>
              </w:rPr>
              <w:t> </w:t>
            </w:r>
          </w:p>
        </w:tc>
        <w:tc>
          <w:tcPr>
            <w:tcW w:w="1474" w:type="dxa"/>
            <w:tcBorders>
              <w:top w:val="nil"/>
              <w:left w:val="nil"/>
              <w:bottom w:val="single" w:sz="8" w:space="0" w:color="auto"/>
              <w:right w:val="single" w:sz="8" w:space="0" w:color="auto"/>
            </w:tcBorders>
            <w:shd w:val="clear" w:color="auto" w:fill="auto"/>
            <w:noWrap/>
            <w:vAlign w:val="center"/>
            <w:hideMark/>
          </w:tcPr>
          <w:p w:rsidR="00D934C4" w:rsidRPr="00EB2995" w:rsidRDefault="00D934C4" w:rsidP="00D934C4">
            <w:pPr>
              <w:jc w:val="center"/>
              <w:rPr>
                <w:rFonts w:cs="Calibri"/>
                <w:color w:val="000000"/>
                <w:lang w:eastAsia="en-GB"/>
              </w:rPr>
            </w:pPr>
            <w:r w:rsidRPr="00EB2995">
              <w:rPr>
                <w:rFonts w:cs="Calibri"/>
                <w:color w:val="000000"/>
                <w:lang w:eastAsia="en-GB"/>
              </w:rPr>
              <w:t>Financial Liabilities</w:t>
            </w:r>
          </w:p>
        </w:tc>
        <w:tc>
          <w:tcPr>
            <w:tcW w:w="2912" w:type="dxa"/>
            <w:gridSpan w:val="2"/>
            <w:tcBorders>
              <w:top w:val="single" w:sz="8" w:space="0" w:color="auto"/>
              <w:left w:val="nil"/>
              <w:bottom w:val="single" w:sz="8" w:space="0" w:color="auto"/>
              <w:right w:val="single" w:sz="8" w:space="0" w:color="000000"/>
            </w:tcBorders>
            <w:shd w:val="clear" w:color="auto" w:fill="auto"/>
            <w:noWrap/>
            <w:vAlign w:val="center"/>
            <w:hideMark/>
          </w:tcPr>
          <w:p w:rsidR="00D934C4" w:rsidRPr="00EB2995" w:rsidRDefault="00D934C4" w:rsidP="00D934C4">
            <w:pPr>
              <w:jc w:val="center"/>
              <w:rPr>
                <w:rFonts w:cs="Calibri"/>
                <w:color w:val="000000"/>
                <w:lang w:eastAsia="en-GB"/>
              </w:rPr>
            </w:pPr>
            <w:r w:rsidRPr="00EB2995">
              <w:rPr>
                <w:rFonts w:cs="Calibri"/>
                <w:color w:val="000000"/>
                <w:lang w:eastAsia="en-GB"/>
              </w:rPr>
              <w:t>Financial Assets</w:t>
            </w:r>
          </w:p>
        </w:tc>
        <w:tc>
          <w:tcPr>
            <w:tcW w:w="948" w:type="dxa"/>
            <w:vMerge w:val="restart"/>
            <w:tcBorders>
              <w:top w:val="nil"/>
              <w:left w:val="single" w:sz="8" w:space="0" w:color="auto"/>
              <w:bottom w:val="single" w:sz="8" w:space="0" w:color="000000"/>
              <w:right w:val="single" w:sz="8" w:space="0" w:color="auto"/>
            </w:tcBorders>
            <w:shd w:val="clear" w:color="auto" w:fill="auto"/>
            <w:vAlign w:val="center"/>
            <w:hideMark/>
          </w:tcPr>
          <w:p w:rsidR="00D934C4" w:rsidRPr="00EB2995" w:rsidRDefault="00D934C4" w:rsidP="00D934C4">
            <w:pPr>
              <w:jc w:val="center"/>
              <w:rPr>
                <w:rFonts w:cs="Calibri"/>
                <w:b/>
                <w:color w:val="000000"/>
                <w:lang w:eastAsia="en-GB"/>
              </w:rPr>
            </w:pPr>
            <w:r w:rsidRPr="00EB2995">
              <w:rPr>
                <w:rFonts w:cs="Calibri"/>
                <w:b/>
                <w:color w:val="000000"/>
                <w:lang w:eastAsia="en-GB"/>
              </w:rPr>
              <w:t>Total £m</w:t>
            </w:r>
          </w:p>
        </w:tc>
        <w:tc>
          <w:tcPr>
            <w:tcW w:w="1474" w:type="dxa"/>
            <w:tcBorders>
              <w:top w:val="nil"/>
              <w:left w:val="nil"/>
              <w:bottom w:val="single" w:sz="8" w:space="0" w:color="auto"/>
              <w:right w:val="nil"/>
            </w:tcBorders>
            <w:shd w:val="clear" w:color="auto" w:fill="auto"/>
            <w:noWrap/>
            <w:vAlign w:val="center"/>
            <w:hideMark/>
          </w:tcPr>
          <w:p w:rsidR="00D934C4" w:rsidRPr="00EB2995" w:rsidRDefault="00D934C4" w:rsidP="00D934C4">
            <w:pPr>
              <w:jc w:val="center"/>
              <w:rPr>
                <w:rFonts w:cs="Calibri"/>
                <w:color w:val="000000"/>
                <w:lang w:eastAsia="en-GB"/>
              </w:rPr>
            </w:pPr>
            <w:r w:rsidRPr="00EB2995">
              <w:rPr>
                <w:rFonts w:cs="Calibri"/>
                <w:color w:val="000000"/>
                <w:lang w:eastAsia="en-GB"/>
              </w:rPr>
              <w:t>Financial Liabilities</w:t>
            </w:r>
          </w:p>
        </w:tc>
        <w:tc>
          <w:tcPr>
            <w:tcW w:w="2912"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D934C4" w:rsidRPr="00EB2995" w:rsidRDefault="00D934C4" w:rsidP="00D934C4">
            <w:pPr>
              <w:jc w:val="center"/>
              <w:rPr>
                <w:rFonts w:cs="Calibri"/>
                <w:color w:val="000000"/>
                <w:lang w:eastAsia="en-GB"/>
              </w:rPr>
            </w:pPr>
            <w:r w:rsidRPr="00EB2995">
              <w:rPr>
                <w:rFonts w:cs="Calibri"/>
                <w:color w:val="000000"/>
                <w:lang w:eastAsia="en-GB"/>
              </w:rPr>
              <w:t>Financial Assets</w:t>
            </w:r>
          </w:p>
        </w:tc>
        <w:tc>
          <w:tcPr>
            <w:tcW w:w="948" w:type="dxa"/>
            <w:vMerge w:val="restart"/>
            <w:tcBorders>
              <w:top w:val="nil"/>
              <w:left w:val="single" w:sz="8" w:space="0" w:color="auto"/>
              <w:right w:val="single" w:sz="8" w:space="0" w:color="auto"/>
            </w:tcBorders>
            <w:shd w:val="clear" w:color="auto" w:fill="auto"/>
            <w:vAlign w:val="center"/>
            <w:hideMark/>
          </w:tcPr>
          <w:p w:rsidR="00D934C4" w:rsidRPr="00EB2995" w:rsidRDefault="00D934C4" w:rsidP="00D934C4">
            <w:pPr>
              <w:jc w:val="center"/>
              <w:rPr>
                <w:rFonts w:cs="Calibri"/>
                <w:b/>
                <w:color w:val="000000"/>
                <w:lang w:eastAsia="en-GB"/>
              </w:rPr>
            </w:pPr>
            <w:r w:rsidRPr="00EB2995">
              <w:rPr>
                <w:rFonts w:cs="Calibri"/>
                <w:b/>
                <w:color w:val="000000"/>
                <w:lang w:eastAsia="en-GB"/>
              </w:rPr>
              <w:t>Total £m</w:t>
            </w:r>
          </w:p>
        </w:tc>
      </w:tr>
      <w:tr w:rsidR="00D934C4" w:rsidRPr="00EB2995" w:rsidTr="00D934C4">
        <w:trPr>
          <w:trHeight w:hRule="exact" w:val="1356"/>
        </w:trPr>
        <w:tc>
          <w:tcPr>
            <w:tcW w:w="3912" w:type="dxa"/>
            <w:tcBorders>
              <w:top w:val="nil"/>
              <w:left w:val="single" w:sz="8" w:space="0" w:color="auto"/>
              <w:bottom w:val="single" w:sz="8" w:space="0" w:color="auto"/>
              <w:right w:val="single" w:sz="8" w:space="0" w:color="auto"/>
            </w:tcBorders>
            <w:shd w:val="clear" w:color="auto" w:fill="auto"/>
            <w:noWrap/>
            <w:vAlign w:val="center"/>
            <w:hideMark/>
          </w:tcPr>
          <w:p w:rsidR="00D934C4" w:rsidRPr="00EB2995" w:rsidRDefault="00D934C4" w:rsidP="00D934C4">
            <w:pPr>
              <w:rPr>
                <w:rFonts w:cs="Calibri"/>
                <w:color w:val="000000"/>
                <w:lang w:eastAsia="en-GB"/>
              </w:rPr>
            </w:pPr>
            <w:r w:rsidRPr="00EB2995">
              <w:rPr>
                <w:rFonts w:cs="Calibri"/>
                <w:color w:val="000000"/>
                <w:lang w:eastAsia="en-GB"/>
              </w:rPr>
              <w:t> </w:t>
            </w:r>
          </w:p>
        </w:tc>
        <w:tc>
          <w:tcPr>
            <w:tcW w:w="1474" w:type="dxa"/>
            <w:tcBorders>
              <w:top w:val="nil"/>
              <w:left w:val="nil"/>
              <w:bottom w:val="single" w:sz="8" w:space="0" w:color="auto"/>
              <w:right w:val="single" w:sz="8" w:space="0" w:color="auto"/>
            </w:tcBorders>
            <w:shd w:val="clear" w:color="auto" w:fill="auto"/>
            <w:vAlign w:val="center"/>
            <w:hideMark/>
          </w:tcPr>
          <w:p w:rsidR="00D934C4" w:rsidRPr="00EB2995" w:rsidRDefault="00D934C4" w:rsidP="00D934C4">
            <w:pPr>
              <w:jc w:val="center"/>
              <w:rPr>
                <w:rFonts w:cs="Calibri"/>
                <w:color w:val="000000"/>
                <w:lang w:eastAsia="en-GB"/>
              </w:rPr>
            </w:pPr>
            <w:r w:rsidRPr="00EB2995">
              <w:rPr>
                <w:rFonts w:cs="Calibri"/>
                <w:color w:val="000000"/>
                <w:lang w:eastAsia="en-GB"/>
              </w:rPr>
              <w:t>Amortised Cost £m</w:t>
            </w:r>
          </w:p>
        </w:tc>
        <w:tc>
          <w:tcPr>
            <w:tcW w:w="1456" w:type="dxa"/>
            <w:tcBorders>
              <w:top w:val="nil"/>
              <w:left w:val="nil"/>
              <w:bottom w:val="single" w:sz="8" w:space="0" w:color="auto"/>
              <w:right w:val="single" w:sz="8" w:space="0" w:color="auto"/>
            </w:tcBorders>
            <w:shd w:val="clear" w:color="auto" w:fill="auto"/>
            <w:vAlign w:val="center"/>
            <w:hideMark/>
          </w:tcPr>
          <w:p w:rsidR="00D934C4" w:rsidRPr="00EB2995" w:rsidRDefault="00D934C4" w:rsidP="00D934C4">
            <w:pPr>
              <w:jc w:val="center"/>
              <w:rPr>
                <w:rFonts w:cs="Calibri"/>
                <w:color w:val="000000"/>
                <w:lang w:eastAsia="en-GB"/>
              </w:rPr>
            </w:pPr>
            <w:r w:rsidRPr="00EB2995">
              <w:rPr>
                <w:rFonts w:cs="Calibri"/>
                <w:color w:val="000000"/>
                <w:lang w:eastAsia="en-GB"/>
              </w:rPr>
              <w:t>Amortised Cost £m</w:t>
            </w:r>
          </w:p>
        </w:tc>
        <w:tc>
          <w:tcPr>
            <w:tcW w:w="1456" w:type="dxa"/>
            <w:tcBorders>
              <w:top w:val="nil"/>
              <w:left w:val="nil"/>
              <w:bottom w:val="single" w:sz="8" w:space="0" w:color="auto"/>
              <w:right w:val="single" w:sz="8" w:space="0" w:color="auto"/>
            </w:tcBorders>
            <w:shd w:val="clear" w:color="auto" w:fill="auto"/>
            <w:vAlign w:val="center"/>
            <w:hideMark/>
          </w:tcPr>
          <w:p w:rsidR="00D934C4" w:rsidRPr="00EB2995" w:rsidRDefault="00D934C4" w:rsidP="00D934C4">
            <w:pPr>
              <w:jc w:val="center"/>
              <w:rPr>
                <w:rFonts w:cs="Calibri"/>
                <w:color w:val="000000"/>
                <w:lang w:eastAsia="en-GB"/>
              </w:rPr>
            </w:pPr>
            <w:r w:rsidRPr="00EB2995">
              <w:rPr>
                <w:rFonts w:cs="Calibri"/>
                <w:color w:val="000000"/>
                <w:lang w:eastAsia="en-GB"/>
              </w:rPr>
              <w:t>Fair Value through Profit &amp; Loss £m</w:t>
            </w:r>
          </w:p>
        </w:tc>
        <w:tc>
          <w:tcPr>
            <w:tcW w:w="948" w:type="dxa"/>
            <w:vMerge/>
            <w:tcBorders>
              <w:top w:val="nil"/>
              <w:left w:val="single" w:sz="8" w:space="0" w:color="auto"/>
              <w:bottom w:val="single" w:sz="8" w:space="0" w:color="000000"/>
              <w:right w:val="single" w:sz="8" w:space="0" w:color="auto"/>
            </w:tcBorders>
            <w:vAlign w:val="center"/>
            <w:hideMark/>
          </w:tcPr>
          <w:p w:rsidR="00D934C4" w:rsidRPr="00EB2995" w:rsidRDefault="00D934C4" w:rsidP="00D934C4">
            <w:pPr>
              <w:jc w:val="center"/>
              <w:rPr>
                <w:rFonts w:cs="Calibri"/>
                <w:b/>
                <w:color w:val="000000"/>
                <w:lang w:eastAsia="en-GB"/>
              </w:rPr>
            </w:pPr>
          </w:p>
        </w:tc>
        <w:tc>
          <w:tcPr>
            <w:tcW w:w="1474" w:type="dxa"/>
            <w:tcBorders>
              <w:top w:val="nil"/>
              <w:left w:val="nil"/>
              <w:bottom w:val="single" w:sz="8" w:space="0" w:color="auto"/>
              <w:right w:val="single" w:sz="8" w:space="0" w:color="auto"/>
            </w:tcBorders>
            <w:shd w:val="clear" w:color="auto" w:fill="auto"/>
            <w:vAlign w:val="center"/>
            <w:hideMark/>
          </w:tcPr>
          <w:p w:rsidR="00D934C4" w:rsidRPr="00EB2995" w:rsidRDefault="00D934C4" w:rsidP="00D934C4">
            <w:pPr>
              <w:jc w:val="center"/>
              <w:rPr>
                <w:rFonts w:cs="Calibri"/>
                <w:color w:val="000000"/>
                <w:lang w:eastAsia="en-GB"/>
              </w:rPr>
            </w:pPr>
            <w:r w:rsidRPr="00EB2995">
              <w:rPr>
                <w:rFonts w:cs="Calibri"/>
                <w:color w:val="000000"/>
                <w:lang w:eastAsia="en-GB"/>
              </w:rPr>
              <w:t>Amortised Cost £m</w:t>
            </w:r>
          </w:p>
        </w:tc>
        <w:tc>
          <w:tcPr>
            <w:tcW w:w="1456" w:type="dxa"/>
            <w:tcBorders>
              <w:top w:val="nil"/>
              <w:left w:val="nil"/>
              <w:bottom w:val="single" w:sz="8" w:space="0" w:color="auto"/>
              <w:right w:val="single" w:sz="8" w:space="0" w:color="auto"/>
            </w:tcBorders>
            <w:shd w:val="clear" w:color="auto" w:fill="auto"/>
            <w:vAlign w:val="center"/>
            <w:hideMark/>
          </w:tcPr>
          <w:p w:rsidR="00D934C4" w:rsidRPr="00EB2995" w:rsidRDefault="00D934C4" w:rsidP="00D934C4">
            <w:pPr>
              <w:jc w:val="center"/>
              <w:rPr>
                <w:rFonts w:cs="Calibri"/>
                <w:color w:val="000000"/>
                <w:lang w:eastAsia="en-GB"/>
              </w:rPr>
            </w:pPr>
            <w:r w:rsidRPr="00EB2995">
              <w:rPr>
                <w:rFonts w:cs="Calibri"/>
                <w:color w:val="000000"/>
                <w:lang w:eastAsia="en-GB"/>
              </w:rPr>
              <w:t>Amortised Cost £m</w:t>
            </w:r>
          </w:p>
        </w:tc>
        <w:tc>
          <w:tcPr>
            <w:tcW w:w="1456" w:type="dxa"/>
            <w:tcBorders>
              <w:top w:val="nil"/>
              <w:left w:val="nil"/>
              <w:bottom w:val="single" w:sz="8" w:space="0" w:color="auto"/>
              <w:right w:val="single" w:sz="8" w:space="0" w:color="auto"/>
            </w:tcBorders>
            <w:shd w:val="clear" w:color="auto" w:fill="auto"/>
            <w:vAlign w:val="center"/>
            <w:hideMark/>
          </w:tcPr>
          <w:p w:rsidR="00D934C4" w:rsidRPr="00EB2995" w:rsidRDefault="00D934C4" w:rsidP="00D934C4">
            <w:pPr>
              <w:jc w:val="center"/>
              <w:rPr>
                <w:rFonts w:cs="Calibri"/>
                <w:color w:val="000000"/>
                <w:lang w:eastAsia="en-GB"/>
              </w:rPr>
            </w:pPr>
            <w:r w:rsidRPr="00EB2995">
              <w:rPr>
                <w:rFonts w:cs="Calibri"/>
                <w:color w:val="000000"/>
                <w:lang w:eastAsia="en-GB"/>
              </w:rPr>
              <w:t>Fair Value through Profit &amp; Loss £m</w:t>
            </w:r>
          </w:p>
        </w:tc>
        <w:tc>
          <w:tcPr>
            <w:tcW w:w="948" w:type="dxa"/>
            <w:vMerge/>
            <w:tcBorders>
              <w:left w:val="single" w:sz="8" w:space="0" w:color="auto"/>
              <w:bottom w:val="single" w:sz="8" w:space="0" w:color="000000"/>
              <w:right w:val="single" w:sz="8" w:space="0" w:color="auto"/>
            </w:tcBorders>
            <w:vAlign w:val="center"/>
            <w:hideMark/>
          </w:tcPr>
          <w:p w:rsidR="00D934C4" w:rsidRPr="00EB2995" w:rsidRDefault="00D934C4" w:rsidP="00D934C4">
            <w:pPr>
              <w:jc w:val="center"/>
              <w:rPr>
                <w:rFonts w:cs="Calibri"/>
                <w:b/>
                <w:color w:val="000000"/>
                <w:lang w:eastAsia="en-GB"/>
              </w:rPr>
            </w:pPr>
          </w:p>
        </w:tc>
      </w:tr>
      <w:tr w:rsidR="00D934C4" w:rsidRPr="00EB2995" w:rsidTr="00D934C4">
        <w:trPr>
          <w:trHeight w:hRule="exact" w:val="284"/>
        </w:trPr>
        <w:tc>
          <w:tcPr>
            <w:tcW w:w="3912" w:type="dxa"/>
            <w:tcBorders>
              <w:top w:val="nil"/>
              <w:left w:val="single" w:sz="8" w:space="0" w:color="auto"/>
              <w:bottom w:val="nil"/>
              <w:right w:val="single" w:sz="8" w:space="0" w:color="auto"/>
            </w:tcBorders>
            <w:shd w:val="clear" w:color="auto" w:fill="auto"/>
            <w:noWrap/>
            <w:vAlign w:val="center"/>
            <w:hideMark/>
          </w:tcPr>
          <w:p w:rsidR="00D934C4" w:rsidRPr="00EB2995" w:rsidRDefault="00D934C4" w:rsidP="00D934C4">
            <w:pPr>
              <w:rPr>
                <w:rFonts w:cs="Calibri"/>
                <w:color w:val="000000"/>
                <w:lang w:eastAsia="en-GB"/>
              </w:rPr>
            </w:pPr>
            <w:r w:rsidRPr="00EB2995">
              <w:rPr>
                <w:rFonts w:cs="Calibri"/>
                <w:color w:val="000000"/>
                <w:lang w:eastAsia="en-GB"/>
              </w:rPr>
              <w:t>Interest Expense</w:t>
            </w:r>
          </w:p>
        </w:tc>
        <w:tc>
          <w:tcPr>
            <w:tcW w:w="1474" w:type="dxa"/>
            <w:tcBorders>
              <w:top w:val="nil"/>
              <w:left w:val="nil"/>
              <w:bottom w:val="nil"/>
              <w:right w:val="single" w:sz="8" w:space="0" w:color="auto"/>
            </w:tcBorders>
            <w:shd w:val="clear" w:color="auto" w:fill="auto"/>
            <w:noWrap/>
            <w:vAlign w:val="center"/>
            <w:hideMark/>
          </w:tcPr>
          <w:p w:rsidR="00D934C4" w:rsidRPr="00EB2995" w:rsidRDefault="00D934C4" w:rsidP="00D934C4">
            <w:pPr>
              <w:jc w:val="right"/>
              <w:rPr>
                <w:rFonts w:cs="Calibri"/>
                <w:color w:val="000000"/>
                <w:lang w:eastAsia="en-GB"/>
              </w:rPr>
            </w:pPr>
            <w:r w:rsidRPr="00EB2995">
              <w:rPr>
                <w:rFonts w:cs="Calibri"/>
                <w:color w:val="000000"/>
                <w:lang w:eastAsia="en-GB"/>
              </w:rPr>
              <w:t xml:space="preserve">23.1 </w:t>
            </w:r>
          </w:p>
        </w:tc>
        <w:tc>
          <w:tcPr>
            <w:tcW w:w="1456" w:type="dxa"/>
            <w:tcBorders>
              <w:top w:val="nil"/>
              <w:left w:val="nil"/>
              <w:bottom w:val="nil"/>
              <w:right w:val="single" w:sz="8" w:space="0" w:color="auto"/>
            </w:tcBorders>
            <w:shd w:val="clear" w:color="auto" w:fill="auto"/>
            <w:noWrap/>
            <w:vAlign w:val="center"/>
          </w:tcPr>
          <w:p w:rsidR="00D934C4" w:rsidRPr="00EB2995" w:rsidRDefault="00D934C4" w:rsidP="00D934C4">
            <w:pPr>
              <w:jc w:val="right"/>
              <w:rPr>
                <w:rFonts w:cs="Calibri"/>
                <w:color w:val="000000"/>
                <w:lang w:eastAsia="en-GB"/>
              </w:rPr>
            </w:pPr>
          </w:p>
        </w:tc>
        <w:tc>
          <w:tcPr>
            <w:tcW w:w="1456" w:type="dxa"/>
            <w:tcBorders>
              <w:top w:val="nil"/>
              <w:left w:val="nil"/>
              <w:bottom w:val="nil"/>
              <w:right w:val="single" w:sz="8" w:space="0" w:color="auto"/>
            </w:tcBorders>
            <w:shd w:val="clear" w:color="auto" w:fill="auto"/>
            <w:noWrap/>
            <w:vAlign w:val="center"/>
          </w:tcPr>
          <w:p w:rsidR="00D934C4" w:rsidRPr="00EB2995" w:rsidRDefault="00D934C4" w:rsidP="00D934C4">
            <w:pPr>
              <w:jc w:val="right"/>
              <w:rPr>
                <w:rFonts w:cs="Calibri"/>
                <w:color w:val="000000"/>
                <w:lang w:eastAsia="en-GB"/>
              </w:rPr>
            </w:pPr>
          </w:p>
        </w:tc>
        <w:tc>
          <w:tcPr>
            <w:tcW w:w="948" w:type="dxa"/>
            <w:tcBorders>
              <w:top w:val="nil"/>
              <w:left w:val="nil"/>
              <w:bottom w:val="nil"/>
              <w:right w:val="single" w:sz="8" w:space="0" w:color="auto"/>
            </w:tcBorders>
            <w:shd w:val="clear" w:color="auto" w:fill="auto"/>
            <w:noWrap/>
            <w:vAlign w:val="center"/>
            <w:hideMark/>
          </w:tcPr>
          <w:p w:rsidR="00D934C4" w:rsidRPr="00EB2995" w:rsidRDefault="00D934C4" w:rsidP="00D934C4">
            <w:pPr>
              <w:jc w:val="right"/>
              <w:rPr>
                <w:rFonts w:cs="Calibri"/>
                <w:b/>
                <w:color w:val="000000"/>
                <w:lang w:eastAsia="en-GB"/>
              </w:rPr>
            </w:pPr>
            <w:r w:rsidRPr="00EB2995">
              <w:rPr>
                <w:rFonts w:cs="Calibri"/>
                <w:b/>
                <w:color w:val="000000"/>
                <w:lang w:eastAsia="en-GB"/>
              </w:rPr>
              <w:t xml:space="preserve">23.1 </w:t>
            </w:r>
          </w:p>
        </w:tc>
        <w:tc>
          <w:tcPr>
            <w:tcW w:w="1474" w:type="dxa"/>
            <w:tcBorders>
              <w:top w:val="nil"/>
              <w:left w:val="nil"/>
              <w:bottom w:val="nil"/>
              <w:right w:val="single" w:sz="8" w:space="0" w:color="auto"/>
            </w:tcBorders>
            <w:shd w:val="clear" w:color="auto" w:fill="auto"/>
            <w:noWrap/>
            <w:vAlign w:val="center"/>
            <w:hideMark/>
          </w:tcPr>
          <w:p w:rsidR="00D934C4" w:rsidRPr="00EB2995" w:rsidRDefault="00D934C4" w:rsidP="00D934C4">
            <w:pPr>
              <w:jc w:val="right"/>
              <w:rPr>
                <w:rFonts w:cs="Calibri"/>
                <w:color w:val="000000"/>
                <w:lang w:eastAsia="en-GB"/>
              </w:rPr>
            </w:pPr>
            <w:r w:rsidRPr="00EB2995">
              <w:rPr>
                <w:rFonts w:cs="Calibri"/>
                <w:color w:val="000000"/>
                <w:lang w:eastAsia="en-GB"/>
              </w:rPr>
              <w:t xml:space="preserve">20.7 </w:t>
            </w:r>
          </w:p>
        </w:tc>
        <w:tc>
          <w:tcPr>
            <w:tcW w:w="1456" w:type="dxa"/>
            <w:tcBorders>
              <w:top w:val="nil"/>
              <w:left w:val="nil"/>
              <w:bottom w:val="nil"/>
              <w:right w:val="single" w:sz="8" w:space="0" w:color="auto"/>
            </w:tcBorders>
            <w:shd w:val="clear" w:color="auto" w:fill="auto"/>
            <w:noWrap/>
            <w:vAlign w:val="center"/>
          </w:tcPr>
          <w:p w:rsidR="00D934C4" w:rsidRPr="00EB2995" w:rsidRDefault="00D934C4" w:rsidP="00D934C4">
            <w:pPr>
              <w:jc w:val="right"/>
              <w:rPr>
                <w:rFonts w:cs="Calibri"/>
                <w:color w:val="000000"/>
                <w:lang w:eastAsia="en-GB"/>
              </w:rPr>
            </w:pPr>
          </w:p>
        </w:tc>
        <w:tc>
          <w:tcPr>
            <w:tcW w:w="1456" w:type="dxa"/>
            <w:tcBorders>
              <w:top w:val="nil"/>
              <w:left w:val="nil"/>
              <w:bottom w:val="nil"/>
              <w:right w:val="single" w:sz="8" w:space="0" w:color="auto"/>
            </w:tcBorders>
            <w:shd w:val="clear" w:color="auto" w:fill="auto"/>
            <w:noWrap/>
            <w:vAlign w:val="center"/>
          </w:tcPr>
          <w:p w:rsidR="00D934C4" w:rsidRPr="00EB2995" w:rsidRDefault="00D934C4" w:rsidP="00D934C4">
            <w:pPr>
              <w:jc w:val="right"/>
              <w:rPr>
                <w:rFonts w:cs="Calibri"/>
                <w:color w:val="000000"/>
                <w:lang w:eastAsia="en-GB"/>
              </w:rPr>
            </w:pPr>
          </w:p>
        </w:tc>
        <w:tc>
          <w:tcPr>
            <w:tcW w:w="948" w:type="dxa"/>
            <w:tcBorders>
              <w:top w:val="nil"/>
              <w:left w:val="nil"/>
              <w:bottom w:val="nil"/>
              <w:right w:val="single" w:sz="8" w:space="0" w:color="auto"/>
            </w:tcBorders>
            <w:shd w:val="clear" w:color="auto" w:fill="auto"/>
            <w:noWrap/>
            <w:vAlign w:val="center"/>
            <w:hideMark/>
          </w:tcPr>
          <w:p w:rsidR="00D934C4" w:rsidRPr="00EB2995" w:rsidRDefault="00D934C4" w:rsidP="00D934C4">
            <w:pPr>
              <w:jc w:val="right"/>
              <w:rPr>
                <w:rFonts w:cs="Calibri"/>
                <w:b/>
                <w:color w:val="000000"/>
                <w:lang w:eastAsia="en-GB"/>
              </w:rPr>
            </w:pPr>
            <w:r w:rsidRPr="00EB2995">
              <w:rPr>
                <w:rFonts w:cs="Calibri"/>
                <w:b/>
                <w:color w:val="000000"/>
                <w:lang w:eastAsia="en-GB"/>
              </w:rPr>
              <w:t xml:space="preserve">20.7 </w:t>
            </w:r>
          </w:p>
        </w:tc>
      </w:tr>
      <w:tr w:rsidR="00D934C4" w:rsidRPr="00EB2995" w:rsidTr="00D934C4">
        <w:trPr>
          <w:trHeight w:hRule="exact" w:val="284"/>
        </w:trPr>
        <w:tc>
          <w:tcPr>
            <w:tcW w:w="391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934C4" w:rsidRPr="00EB2995" w:rsidRDefault="00D934C4" w:rsidP="00D934C4">
            <w:pPr>
              <w:rPr>
                <w:rFonts w:cs="Calibri"/>
                <w:b/>
                <w:bCs/>
                <w:color w:val="000000"/>
                <w:lang w:eastAsia="en-GB"/>
              </w:rPr>
            </w:pPr>
            <w:r w:rsidRPr="00EB2995">
              <w:rPr>
                <w:rFonts w:cs="Calibri"/>
                <w:b/>
                <w:bCs/>
                <w:color w:val="000000"/>
                <w:lang w:eastAsia="en-GB"/>
              </w:rPr>
              <w:t>Interest payable and similar charges</w:t>
            </w:r>
          </w:p>
        </w:tc>
        <w:tc>
          <w:tcPr>
            <w:tcW w:w="1474" w:type="dxa"/>
            <w:tcBorders>
              <w:top w:val="single" w:sz="8" w:space="0" w:color="auto"/>
              <w:left w:val="nil"/>
              <w:bottom w:val="single" w:sz="8" w:space="0" w:color="auto"/>
              <w:right w:val="single" w:sz="8" w:space="0" w:color="auto"/>
            </w:tcBorders>
            <w:shd w:val="clear" w:color="auto" w:fill="auto"/>
            <w:noWrap/>
            <w:vAlign w:val="center"/>
            <w:hideMark/>
          </w:tcPr>
          <w:p w:rsidR="00D934C4" w:rsidRPr="00EB2995" w:rsidRDefault="00D934C4" w:rsidP="00D934C4">
            <w:pPr>
              <w:jc w:val="right"/>
              <w:rPr>
                <w:rFonts w:cs="Calibri"/>
                <w:b/>
                <w:bCs/>
                <w:color w:val="000000"/>
                <w:lang w:eastAsia="en-GB"/>
              </w:rPr>
            </w:pPr>
            <w:r w:rsidRPr="00EB2995">
              <w:rPr>
                <w:rFonts w:cs="Calibri"/>
                <w:b/>
                <w:bCs/>
                <w:color w:val="000000"/>
                <w:lang w:eastAsia="en-GB"/>
              </w:rPr>
              <w:t xml:space="preserve">23.1 </w:t>
            </w:r>
          </w:p>
        </w:tc>
        <w:tc>
          <w:tcPr>
            <w:tcW w:w="1456" w:type="dxa"/>
            <w:tcBorders>
              <w:top w:val="single" w:sz="8" w:space="0" w:color="auto"/>
              <w:left w:val="nil"/>
              <w:bottom w:val="single" w:sz="8" w:space="0" w:color="auto"/>
              <w:right w:val="single" w:sz="8" w:space="0" w:color="auto"/>
            </w:tcBorders>
            <w:shd w:val="clear" w:color="auto" w:fill="auto"/>
            <w:noWrap/>
            <w:vAlign w:val="center"/>
          </w:tcPr>
          <w:p w:rsidR="00D934C4" w:rsidRPr="00EB2995" w:rsidRDefault="00D934C4" w:rsidP="00D934C4">
            <w:pPr>
              <w:jc w:val="right"/>
              <w:rPr>
                <w:rFonts w:cs="Calibri"/>
                <w:b/>
                <w:bCs/>
                <w:color w:val="000000"/>
                <w:lang w:eastAsia="en-GB"/>
              </w:rPr>
            </w:pPr>
          </w:p>
        </w:tc>
        <w:tc>
          <w:tcPr>
            <w:tcW w:w="1456" w:type="dxa"/>
            <w:tcBorders>
              <w:top w:val="single" w:sz="8" w:space="0" w:color="auto"/>
              <w:left w:val="nil"/>
              <w:bottom w:val="single" w:sz="8" w:space="0" w:color="auto"/>
              <w:right w:val="single" w:sz="8" w:space="0" w:color="auto"/>
            </w:tcBorders>
            <w:shd w:val="clear" w:color="auto" w:fill="auto"/>
            <w:noWrap/>
            <w:vAlign w:val="center"/>
          </w:tcPr>
          <w:p w:rsidR="00D934C4" w:rsidRPr="00EB2995" w:rsidRDefault="00D934C4" w:rsidP="00D934C4">
            <w:pPr>
              <w:jc w:val="right"/>
              <w:rPr>
                <w:rFonts w:cs="Calibri"/>
                <w:b/>
                <w:bCs/>
                <w:color w:val="000000"/>
                <w:lang w:eastAsia="en-GB"/>
              </w:rPr>
            </w:pPr>
          </w:p>
        </w:tc>
        <w:tc>
          <w:tcPr>
            <w:tcW w:w="948" w:type="dxa"/>
            <w:tcBorders>
              <w:top w:val="single" w:sz="8" w:space="0" w:color="auto"/>
              <w:left w:val="nil"/>
              <w:bottom w:val="single" w:sz="8" w:space="0" w:color="auto"/>
              <w:right w:val="single" w:sz="8" w:space="0" w:color="auto"/>
            </w:tcBorders>
            <w:shd w:val="clear" w:color="auto" w:fill="auto"/>
            <w:noWrap/>
            <w:vAlign w:val="center"/>
            <w:hideMark/>
          </w:tcPr>
          <w:p w:rsidR="00D934C4" w:rsidRPr="00EB2995" w:rsidRDefault="00D934C4" w:rsidP="00D934C4">
            <w:pPr>
              <w:jc w:val="right"/>
              <w:rPr>
                <w:rFonts w:cs="Calibri"/>
                <w:b/>
                <w:bCs/>
                <w:color w:val="000000"/>
                <w:lang w:eastAsia="en-GB"/>
              </w:rPr>
            </w:pPr>
            <w:r w:rsidRPr="00EB2995">
              <w:rPr>
                <w:rFonts w:cs="Calibri"/>
                <w:b/>
                <w:bCs/>
                <w:color w:val="000000"/>
                <w:lang w:eastAsia="en-GB"/>
              </w:rPr>
              <w:t xml:space="preserve">23.1 </w:t>
            </w:r>
          </w:p>
        </w:tc>
        <w:tc>
          <w:tcPr>
            <w:tcW w:w="1474" w:type="dxa"/>
            <w:tcBorders>
              <w:top w:val="single" w:sz="8" w:space="0" w:color="auto"/>
              <w:left w:val="nil"/>
              <w:bottom w:val="single" w:sz="8" w:space="0" w:color="auto"/>
              <w:right w:val="single" w:sz="8" w:space="0" w:color="auto"/>
            </w:tcBorders>
            <w:shd w:val="clear" w:color="auto" w:fill="auto"/>
            <w:noWrap/>
            <w:vAlign w:val="center"/>
            <w:hideMark/>
          </w:tcPr>
          <w:p w:rsidR="00D934C4" w:rsidRPr="00EB2995" w:rsidRDefault="00D934C4" w:rsidP="00D934C4">
            <w:pPr>
              <w:jc w:val="right"/>
              <w:rPr>
                <w:rFonts w:cs="Calibri"/>
                <w:b/>
                <w:bCs/>
                <w:color w:val="000000"/>
                <w:lang w:eastAsia="en-GB"/>
              </w:rPr>
            </w:pPr>
            <w:r w:rsidRPr="00EB2995">
              <w:rPr>
                <w:rFonts w:cs="Calibri"/>
                <w:b/>
                <w:bCs/>
                <w:color w:val="000000"/>
                <w:lang w:eastAsia="en-GB"/>
              </w:rPr>
              <w:t xml:space="preserve">20.7 </w:t>
            </w:r>
          </w:p>
        </w:tc>
        <w:tc>
          <w:tcPr>
            <w:tcW w:w="1456" w:type="dxa"/>
            <w:tcBorders>
              <w:top w:val="single" w:sz="8" w:space="0" w:color="auto"/>
              <w:left w:val="nil"/>
              <w:bottom w:val="single" w:sz="8" w:space="0" w:color="auto"/>
              <w:right w:val="single" w:sz="8" w:space="0" w:color="auto"/>
            </w:tcBorders>
            <w:shd w:val="clear" w:color="auto" w:fill="auto"/>
            <w:noWrap/>
            <w:vAlign w:val="center"/>
          </w:tcPr>
          <w:p w:rsidR="00D934C4" w:rsidRPr="00EB2995" w:rsidRDefault="00D934C4" w:rsidP="00D934C4">
            <w:pPr>
              <w:jc w:val="right"/>
              <w:rPr>
                <w:rFonts w:cs="Calibri"/>
                <w:b/>
                <w:bCs/>
                <w:color w:val="000000"/>
                <w:lang w:eastAsia="en-GB"/>
              </w:rPr>
            </w:pPr>
          </w:p>
        </w:tc>
        <w:tc>
          <w:tcPr>
            <w:tcW w:w="1456" w:type="dxa"/>
            <w:tcBorders>
              <w:top w:val="single" w:sz="8" w:space="0" w:color="auto"/>
              <w:left w:val="nil"/>
              <w:bottom w:val="single" w:sz="8" w:space="0" w:color="auto"/>
              <w:right w:val="single" w:sz="8" w:space="0" w:color="auto"/>
            </w:tcBorders>
            <w:shd w:val="clear" w:color="auto" w:fill="auto"/>
            <w:noWrap/>
            <w:vAlign w:val="center"/>
          </w:tcPr>
          <w:p w:rsidR="00D934C4" w:rsidRPr="00EB2995" w:rsidRDefault="00D934C4" w:rsidP="00D934C4">
            <w:pPr>
              <w:jc w:val="right"/>
              <w:rPr>
                <w:rFonts w:cs="Calibri"/>
                <w:b/>
                <w:bCs/>
                <w:color w:val="000000"/>
                <w:lang w:eastAsia="en-GB"/>
              </w:rPr>
            </w:pPr>
          </w:p>
        </w:tc>
        <w:tc>
          <w:tcPr>
            <w:tcW w:w="948" w:type="dxa"/>
            <w:tcBorders>
              <w:top w:val="single" w:sz="8" w:space="0" w:color="auto"/>
              <w:left w:val="nil"/>
              <w:bottom w:val="single" w:sz="8" w:space="0" w:color="auto"/>
              <w:right w:val="single" w:sz="8" w:space="0" w:color="auto"/>
            </w:tcBorders>
            <w:shd w:val="clear" w:color="auto" w:fill="auto"/>
            <w:noWrap/>
            <w:vAlign w:val="center"/>
            <w:hideMark/>
          </w:tcPr>
          <w:p w:rsidR="00D934C4" w:rsidRPr="00EB2995" w:rsidRDefault="00D934C4" w:rsidP="00D934C4">
            <w:pPr>
              <w:jc w:val="right"/>
              <w:rPr>
                <w:rFonts w:cs="Calibri"/>
                <w:b/>
                <w:bCs/>
                <w:color w:val="000000"/>
                <w:lang w:eastAsia="en-GB"/>
              </w:rPr>
            </w:pPr>
            <w:r w:rsidRPr="00EB2995">
              <w:rPr>
                <w:rFonts w:cs="Calibri"/>
                <w:b/>
                <w:bCs/>
                <w:color w:val="000000"/>
                <w:lang w:eastAsia="en-GB"/>
              </w:rPr>
              <w:t xml:space="preserve">20.7 </w:t>
            </w:r>
          </w:p>
        </w:tc>
      </w:tr>
      <w:tr w:rsidR="00D934C4" w:rsidRPr="00EB2995" w:rsidTr="00D934C4">
        <w:trPr>
          <w:trHeight w:hRule="exact" w:val="284"/>
        </w:trPr>
        <w:tc>
          <w:tcPr>
            <w:tcW w:w="3912" w:type="dxa"/>
            <w:tcBorders>
              <w:top w:val="nil"/>
              <w:left w:val="single" w:sz="8" w:space="0" w:color="auto"/>
              <w:bottom w:val="nil"/>
              <w:right w:val="single" w:sz="8" w:space="0" w:color="auto"/>
            </w:tcBorders>
            <w:shd w:val="clear" w:color="auto" w:fill="auto"/>
            <w:noWrap/>
            <w:vAlign w:val="center"/>
            <w:hideMark/>
          </w:tcPr>
          <w:p w:rsidR="00D934C4" w:rsidRPr="00EB2995" w:rsidRDefault="00D934C4" w:rsidP="00D934C4">
            <w:pPr>
              <w:rPr>
                <w:rFonts w:cs="Calibri"/>
                <w:color w:val="000000"/>
                <w:lang w:eastAsia="en-GB"/>
              </w:rPr>
            </w:pPr>
            <w:r w:rsidRPr="00EB2995">
              <w:rPr>
                <w:rFonts w:cs="Calibri"/>
                <w:color w:val="000000"/>
                <w:lang w:eastAsia="en-GB"/>
              </w:rPr>
              <w:t>Interest income</w:t>
            </w:r>
          </w:p>
        </w:tc>
        <w:tc>
          <w:tcPr>
            <w:tcW w:w="1474" w:type="dxa"/>
            <w:tcBorders>
              <w:top w:val="nil"/>
              <w:left w:val="nil"/>
              <w:bottom w:val="nil"/>
              <w:right w:val="single" w:sz="8" w:space="0" w:color="auto"/>
            </w:tcBorders>
            <w:shd w:val="clear" w:color="auto" w:fill="auto"/>
            <w:noWrap/>
            <w:vAlign w:val="center"/>
          </w:tcPr>
          <w:p w:rsidR="00D934C4" w:rsidRPr="00EB2995" w:rsidRDefault="00D934C4" w:rsidP="00D934C4">
            <w:pPr>
              <w:jc w:val="right"/>
              <w:rPr>
                <w:rFonts w:cs="Calibri"/>
                <w:color w:val="000000"/>
                <w:lang w:eastAsia="en-GB"/>
              </w:rPr>
            </w:pPr>
          </w:p>
        </w:tc>
        <w:tc>
          <w:tcPr>
            <w:tcW w:w="1456" w:type="dxa"/>
            <w:tcBorders>
              <w:top w:val="nil"/>
              <w:left w:val="nil"/>
              <w:bottom w:val="nil"/>
              <w:right w:val="single" w:sz="8" w:space="0" w:color="auto"/>
            </w:tcBorders>
            <w:shd w:val="clear" w:color="auto" w:fill="auto"/>
            <w:noWrap/>
            <w:vAlign w:val="center"/>
            <w:hideMark/>
          </w:tcPr>
          <w:p w:rsidR="00D934C4" w:rsidRPr="00EB2995" w:rsidRDefault="00D934C4" w:rsidP="00D934C4">
            <w:pPr>
              <w:jc w:val="right"/>
              <w:rPr>
                <w:rFonts w:cs="Calibri"/>
                <w:color w:val="000000"/>
                <w:lang w:eastAsia="en-GB"/>
              </w:rPr>
            </w:pPr>
            <w:r w:rsidRPr="00EB2995">
              <w:rPr>
                <w:rFonts w:cs="Calibri"/>
                <w:color w:val="000000"/>
                <w:lang w:eastAsia="en-GB"/>
              </w:rPr>
              <w:t xml:space="preserve">(6.8) </w:t>
            </w:r>
          </w:p>
        </w:tc>
        <w:tc>
          <w:tcPr>
            <w:tcW w:w="1456" w:type="dxa"/>
            <w:tcBorders>
              <w:top w:val="nil"/>
              <w:left w:val="nil"/>
              <w:bottom w:val="nil"/>
              <w:right w:val="single" w:sz="8" w:space="0" w:color="auto"/>
            </w:tcBorders>
            <w:shd w:val="clear" w:color="auto" w:fill="auto"/>
            <w:noWrap/>
            <w:vAlign w:val="center"/>
            <w:hideMark/>
          </w:tcPr>
          <w:p w:rsidR="00D934C4" w:rsidRPr="00EB2995" w:rsidRDefault="00D934C4" w:rsidP="00D934C4">
            <w:pPr>
              <w:jc w:val="right"/>
              <w:rPr>
                <w:rFonts w:cs="Calibri"/>
                <w:color w:val="000000"/>
                <w:lang w:eastAsia="en-GB"/>
              </w:rPr>
            </w:pPr>
            <w:r w:rsidRPr="00EB2995">
              <w:rPr>
                <w:rFonts w:cs="Calibri"/>
                <w:color w:val="000000"/>
                <w:lang w:eastAsia="en-GB"/>
              </w:rPr>
              <w:t xml:space="preserve">   </w:t>
            </w:r>
          </w:p>
        </w:tc>
        <w:tc>
          <w:tcPr>
            <w:tcW w:w="948" w:type="dxa"/>
            <w:tcBorders>
              <w:top w:val="nil"/>
              <w:left w:val="nil"/>
              <w:bottom w:val="nil"/>
              <w:right w:val="single" w:sz="8" w:space="0" w:color="auto"/>
            </w:tcBorders>
            <w:shd w:val="clear" w:color="auto" w:fill="auto"/>
            <w:noWrap/>
            <w:vAlign w:val="center"/>
            <w:hideMark/>
          </w:tcPr>
          <w:p w:rsidR="00D934C4" w:rsidRPr="00EB2995" w:rsidRDefault="00D934C4" w:rsidP="00D934C4">
            <w:pPr>
              <w:jc w:val="right"/>
              <w:rPr>
                <w:rFonts w:cs="Calibri"/>
                <w:b/>
                <w:color w:val="000000"/>
                <w:lang w:eastAsia="en-GB"/>
              </w:rPr>
            </w:pPr>
            <w:r w:rsidRPr="00EB2995">
              <w:rPr>
                <w:rFonts w:cs="Calibri"/>
                <w:b/>
                <w:color w:val="000000"/>
                <w:lang w:eastAsia="en-GB"/>
              </w:rPr>
              <w:t xml:space="preserve">(6.8) </w:t>
            </w:r>
          </w:p>
        </w:tc>
        <w:tc>
          <w:tcPr>
            <w:tcW w:w="1474" w:type="dxa"/>
            <w:tcBorders>
              <w:top w:val="nil"/>
              <w:left w:val="nil"/>
              <w:bottom w:val="nil"/>
              <w:right w:val="single" w:sz="8" w:space="0" w:color="auto"/>
            </w:tcBorders>
            <w:shd w:val="clear" w:color="auto" w:fill="auto"/>
            <w:noWrap/>
            <w:vAlign w:val="center"/>
          </w:tcPr>
          <w:p w:rsidR="00D934C4" w:rsidRPr="00EB2995" w:rsidRDefault="00D934C4" w:rsidP="00D934C4">
            <w:pPr>
              <w:jc w:val="right"/>
              <w:rPr>
                <w:rFonts w:cs="Calibri"/>
                <w:color w:val="000000"/>
                <w:lang w:eastAsia="en-GB"/>
              </w:rPr>
            </w:pPr>
          </w:p>
        </w:tc>
        <w:tc>
          <w:tcPr>
            <w:tcW w:w="1456" w:type="dxa"/>
            <w:tcBorders>
              <w:top w:val="nil"/>
              <w:left w:val="nil"/>
              <w:bottom w:val="nil"/>
              <w:right w:val="single" w:sz="8" w:space="0" w:color="auto"/>
            </w:tcBorders>
            <w:shd w:val="clear" w:color="auto" w:fill="auto"/>
            <w:noWrap/>
            <w:vAlign w:val="center"/>
            <w:hideMark/>
          </w:tcPr>
          <w:p w:rsidR="00D934C4" w:rsidRPr="00EB2995" w:rsidRDefault="00D934C4" w:rsidP="00D934C4">
            <w:pPr>
              <w:jc w:val="right"/>
              <w:rPr>
                <w:rFonts w:cs="Calibri"/>
                <w:color w:val="000000"/>
                <w:lang w:eastAsia="en-GB"/>
              </w:rPr>
            </w:pPr>
            <w:r w:rsidRPr="00EB2995">
              <w:rPr>
                <w:rFonts w:cs="Calibri"/>
                <w:color w:val="000000"/>
                <w:lang w:eastAsia="en-GB"/>
              </w:rPr>
              <w:t xml:space="preserve">(6.4) </w:t>
            </w:r>
          </w:p>
        </w:tc>
        <w:tc>
          <w:tcPr>
            <w:tcW w:w="1456" w:type="dxa"/>
            <w:tcBorders>
              <w:top w:val="nil"/>
              <w:left w:val="nil"/>
              <w:bottom w:val="nil"/>
              <w:right w:val="single" w:sz="8" w:space="0" w:color="auto"/>
            </w:tcBorders>
            <w:shd w:val="clear" w:color="auto" w:fill="auto"/>
            <w:noWrap/>
            <w:vAlign w:val="center"/>
            <w:hideMark/>
          </w:tcPr>
          <w:p w:rsidR="00D934C4" w:rsidRPr="00EB2995" w:rsidRDefault="00D934C4" w:rsidP="00D934C4">
            <w:pPr>
              <w:jc w:val="right"/>
              <w:rPr>
                <w:rFonts w:cs="Calibri"/>
                <w:color w:val="000000"/>
                <w:lang w:eastAsia="en-GB"/>
              </w:rPr>
            </w:pPr>
            <w:r w:rsidRPr="00EB2995">
              <w:rPr>
                <w:rFonts w:cs="Calibri"/>
                <w:color w:val="000000"/>
                <w:lang w:eastAsia="en-GB"/>
              </w:rPr>
              <w:t xml:space="preserve">  </w:t>
            </w:r>
          </w:p>
        </w:tc>
        <w:tc>
          <w:tcPr>
            <w:tcW w:w="948" w:type="dxa"/>
            <w:tcBorders>
              <w:top w:val="nil"/>
              <w:left w:val="nil"/>
              <w:bottom w:val="nil"/>
              <w:right w:val="single" w:sz="8" w:space="0" w:color="auto"/>
            </w:tcBorders>
            <w:shd w:val="clear" w:color="auto" w:fill="auto"/>
            <w:noWrap/>
            <w:vAlign w:val="center"/>
            <w:hideMark/>
          </w:tcPr>
          <w:p w:rsidR="00D934C4" w:rsidRPr="00EB2995" w:rsidRDefault="00D934C4" w:rsidP="00D934C4">
            <w:pPr>
              <w:jc w:val="right"/>
              <w:rPr>
                <w:rFonts w:cs="Calibri"/>
                <w:b/>
                <w:color w:val="000000"/>
                <w:lang w:eastAsia="en-GB"/>
              </w:rPr>
            </w:pPr>
            <w:r w:rsidRPr="00EB2995">
              <w:rPr>
                <w:rFonts w:cs="Calibri"/>
                <w:b/>
                <w:color w:val="000000"/>
                <w:lang w:eastAsia="en-GB"/>
              </w:rPr>
              <w:t xml:space="preserve">(6.4) </w:t>
            </w:r>
          </w:p>
        </w:tc>
      </w:tr>
      <w:tr w:rsidR="00D934C4" w:rsidRPr="00EB2995" w:rsidTr="00D934C4">
        <w:trPr>
          <w:trHeight w:hRule="exact" w:val="284"/>
        </w:trPr>
        <w:tc>
          <w:tcPr>
            <w:tcW w:w="3912" w:type="dxa"/>
            <w:tcBorders>
              <w:top w:val="nil"/>
              <w:left w:val="single" w:sz="8" w:space="0" w:color="auto"/>
              <w:bottom w:val="nil"/>
              <w:right w:val="single" w:sz="8" w:space="0" w:color="auto"/>
            </w:tcBorders>
            <w:shd w:val="clear" w:color="auto" w:fill="auto"/>
            <w:noWrap/>
            <w:vAlign w:val="center"/>
            <w:hideMark/>
          </w:tcPr>
          <w:p w:rsidR="00D934C4" w:rsidRPr="00EB2995" w:rsidRDefault="00D934C4" w:rsidP="00D934C4">
            <w:pPr>
              <w:rPr>
                <w:rFonts w:cs="Calibri"/>
                <w:color w:val="000000"/>
                <w:lang w:eastAsia="en-GB"/>
              </w:rPr>
            </w:pPr>
            <w:r w:rsidRPr="00EB2995">
              <w:rPr>
                <w:rFonts w:cs="Calibri"/>
                <w:color w:val="000000"/>
                <w:lang w:eastAsia="en-GB"/>
              </w:rPr>
              <w:t>Dividend income</w:t>
            </w:r>
          </w:p>
        </w:tc>
        <w:tc>
          <w:tcPr>
            <w:tcW w:w="1474" w:type="dxa"/>
            <w:tcBorders>
              <w:top w:val="nil"/>
              <w:left w:val="nil"/>
              <w:bottom w:val="nil"/>
              <w:right w:val="single" w:sz="8" w:space="0" w:color="auto"/>
            </w:tcBorders>
            <w:shd w:val="clear" w:color="auto" w:fill="auto"/>
            <w:noWrap/>
            <w:vAlign w:val="center"/>
          </w:tcPr>
          <w:p w:rsidR="00D934C4" w:rsidRPr="00EB2995" w:rsidRDefault="00D934C4" w:rsidP="00D934C4">
            <w:pPr>
              <w:jc w:val="right"/>
              <w:rPr>
                <w:rFonts w:cs="Calibri"/>
                <w:color w:val="000000"/>
                <w:lang w:eastAsia="en-GB"/>
              </w:rPr>
            </w:pPr>
          </w:p>
        </w:tc>
        <w:tc>
          <w:tcPr>
            <w:tcW w:w="1456" w:type="dxa"/>
            <w:tcBorders>
              <w:top w:val="nil"/>
              <w:left w:val="nil"/>
              <w:bottom w:val="nil"/>
              <w:right w:val="single" w:sz="8" w:space="0" w:color="auto"/>
            </w:tcBorders>
            <w:shd w:val="clear" w:color="auto" w:fill="auto"/>
            <w:noWrap/>
            <w:vAlign w:val="center"/>
            <w:hideMark/>
          </w:tcPr>
          <w:p w:rsidR="00D934C4" w:rsidRPr="00EB2995" w:rsidRDefault="00D934C4" w:rsidP="00D934C4">
            <w:pPr>
              <w:jc w:val="right"/>
              <w:rPr>
                <w:rFonts w:cs="Calibri"/>
                <w:color w:val="000000"/>
                <w:lang w:eastAsia="en-GB"/>
              </w:rPr>
            </w:pPr>
            <w:r w:rsidRPr="00EB2995">
              <w:rPr>
                <w:rFonts w:cs="Calibri"/>
                <w:color w:val="000000"/>
                <w:lang w:eastAsia="en-GB"/>
              </w:rPr>
              <w:t xml:space="preserve">   </w:t>
            </w:r>
          </w:p>
        </w:tc>
        <w:tc>
          <w:tcPr>
            <w:tcW w:w="1456" w:type="dxa"/>
            <w:tcBorders>
              <w:top w:val="nil"/>
              <w:left w:val="nil"/>
              <w:bottom w:val="nil"/>
              <w:right w:val="single" w:sz="8" w:space="0" w:color="auto"/>
            </w:tcBorders>
            <w:shd w:val="clear" w:color="auto" w:fill="auto"/>
            <w:noWrap/>
            <w:vAlign w:val="center"/>
            <w:hideMark/>
          </w:tcPr>
          <w:p w:rsidR="00D934C4" w:rsidRPr="00EB2995" w:rsidRDefault="00D934C4" w:rsidP="00D934C4">
            <w:pPr>
              <w:jc w:val="right"/>
              <w:rPr>
                <w:rFonts w:cs="Calibri"/>
                <w:color w:val="000000"/>
                <w:lang w:eastAsia="en-GB"/>
              </w:rPr>
            </w:pPr>
            <w:r w:rsidRPr="00EB2995">
              <w:rPr>
                <w:rFonts w:cs="Calibri"/>
                <w:color w:val="000000"/>
                <w:lang w:eastAsia="en-GB"/>
              </w:rPr>
              <w:t xml:space="preserve">(0.5) </w:t>
            </w:r>
          </w:p>
        </w:tc>
        <w:tc>
          <w:tcPr>
            <w:tcW w:w="948" w:type="dxa"/>
            <w:tcBorders>
              <w:top w:val="nil"/>
              <w:left w:val="nil"/>
              <w:bottom w:val="nil"/>
              <w:right w:val="single" w:sz="8" w:space="0" w:color="auto"/>
            </w:tcBorders>
            <w:shd w:val="clear" w:color="auto" w:fill="auto"/>
            <w:noWrap/>
            <w:vAlign w:val="center"/>
            <w:hideMark/>
          </w:tcPr>
          <w:p w:rsidR="00D934C4" w:rsidRPr="00EB2995" w:rsidRDefault="00D934C4" w:rsidP="00D934C4">
            <w:pPr>
              <w:jc w:val="right"/>
              <w:rPr>
                <w:rFonts w:cs="Calibri"/>
                <w:b/>
                <w:color w:val="000000"/>
                <w:lang w:eastAsia="en-GB"/>
              </w:rPr>
            </w:pPr>
            <w:r w:rsidRPr="00EB2995">
              <w:rPr>
                <w:rFonts w:cs="Calibri"/>
                <w:b/>
                <w:color w:val="000000"/>
                <w:lang w:eastAsia="en-GB"/>
              </w:rPr>
              <w:t xml:space="preserve">(0.5) </w:t>
            </w:r>
          </w:p>
        </w:tc>
        <w:tc>
          <w:tcPr>
            <w:tcW w:w="1474" w:type="dxa"/>
            <w:tcBorders>
              <w:top w:val="nil"/>
              <w:left w:val="nil"/>
              <w:bottom w:val="nil"/>
              <w:right w:val="single" w:sz="8" w:space="0" w:color="auto"/>
            </w:tcBorders>
            <w:shd w:val="clear" w:color="auto" w:fill="auto"/>
            <w:noWrap/>
            <w:vAlign w:val="center"/>
          </w:tcPr>
          <w:p w:rsidR="00D934C4" w:rsidRPr="00EB2995" w:rsidRDefault="00D934C4" w:rsidP="00D934C4">
            <w:pPr>
              <w:jc w:val="right"/>
              <w:rPr>
                <w:rFonts w:cs="Calibri"/>
                <w:color w:val="000000"/>
                <w:lang w:eastAsia="en-GB"/>
              </w:rPr>
            </w:pPr>
          </w:p>
        </w:tc>
        <w:tc>
          <w:tcPr>
            <w:tcW w:w="1456" w:type="dxa"/>
            <w:tcBorders>
              <w:top w:val="nil"/>
              <w:left w:val="nil"/>
              <w:bottom w:val="nil"/>
              <w:right w:val="single" w:sz="8" w:space="0" w:color="auto"/>
            </w:tcBorders>
            <w:shd w:val="clear" w:color="auto" w:fill="auto"/>
            <w:noWrap/>
            <w:vAlign w:val="center"/>
            <w:hideMark/>
          </w:tcPr>
          <w:p w:rsidR="00D934C4" w:rsidRPr="00EB2995" w:rsidRDefault="00D934C4" w:rsidP="00D934C4">
            <w:pPr>
              <w:jc w:val="right"/>
              <w:rPr>
                <w:rFonts w:cs="Calibri"/>
                <w:color w:val="000000"/>
                <w:lang w:eastAsia="en-GB"/>
              </w:rPr>
            </w:pPr>
            <w:r w:rsidRPr="00EB2995">
              <w:rPr>
                <w:rFonts w:cs="Calibri"/>
                <w:color w:val="000000"/>
                <w:lang w:eastAsia="en-GB"/>
              </w:rPr>
              <w:t xml:space="preserve">   </w:t>
            </w:r>
          </w:p>
        </w:tc>
        <w:tc>
          <w:tcPr>
            <w:tcW w:w="1456" w:type="dxa"/>
            <w:tcBorders>
              <w:top w:val="nil"/>
              <w:left w:val="nil"/>
              <w:bottom w:val="nil"/>
              <w:right w:val="single" w:sz="8" w:space="0" w:color="auto"/>
            </w:tcBorders>
            <w:shd w:val="clear" w:color="auto" w:fill="auto"/>
            <w:noWrap/>
            <w:vAlign w:val="center"/>
            <w:hideMark/>
          </w:tcPr>
          <w:p w:rsidR="00D934C4" w:rsidRPr="00EB2995" w:rsidRDefault="00D934C4" w:rsidP="00D934C4">
            <w:pPr>
              <w:jc w:val="right"/>
              <w:rPr>
                <w:rFonts w:cs="Calibri"/>
                <w:color w:val="000000"/>
                <w:lang w:eastAsia="en-GB"/>
              </w:rPr>
            </w:pPr>
            <w:r w:rsidRPr="00EB2995">
              <w:rPr>
                <w:rFonts w:cs="Calibri"/>
                <w:color w:val="000000"/>
                <w:lang w:eastAsia="en-GB"/>
              </w:rPr>
              <w:t xml:space="preserve">(0.2) </w:t>
            </w:r>
          </w:p>
        </w:tc>
        <w:tc>
          <w:tcPr>
            <w:tcW w:w="948" w:type="dxa"/>
            <w:tcBorders>
              <w:top w:val="nil"/>
              <w:left w:val="nil"/>
              <w:bottom w:val="nil"/>
              <w:right w:val="single" w:sz="8" w:space="0" w:color="auto"/>
            </w:tcBorders>
            <w:shd w:val="clear" w:color="auto" w:fill="auto"/>
            <w:noWrap/>
            <w:vAlign w:val="center"/>
            <w:hideMark/>
          </w:tcPr>
          <w:p w:rsidR="00D934C4" w:rsidRPr="00EB2995" w:rsidRDefault="00D934C4" w:rsidP="00D934C4">
            <w:pPr>
              <w:jc w:val="right"/>
              <w:rPr>
                <w:rFonts w:cs="Calibri"/>
                <w:b/>
                <w:color w:val="000000"/>
                <w:lang w:eastAsia="en-GB"/>
              </w:rPr>
            </w:pPr>
            <w:r w:rsidRPr="00EB2995">
              <w:rPr>
                <w:rFonts w:cs="Calibri"/>
                <w:b/>
                <w:color w:val="000000"/>
                <w:lang w:eastAsia="en-GB"/>
              </w:rPr>
              <w:t xml:space="preserve">(0.2) </w:t>
            </w:r>
          </w:p>
        </w:tc>
      </w:tr>
      <w:tr w:rsidR="00D934C4" w:rsidRPr="00EB2995" w:rsidTr="00D934C4">
        <w:trPr>
          <w:trHeight w:hRule="exact" w:val="284"/>
        </w:trPr>
        <w:tc>
          <w:tcPr>
            <w:tcW w:w="391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934C4" w:rsidRPr="00EB2995" w:rsidRDefault="00D934C4" w:rsidP="00D934C4">
            <w:pPr>
              <w:rPr>
                <w:rFonts w:cs="Calibri"/>
                <w:b/>
                <w:bCs/>
                <w:color w:val="000000"/>
                <w:lang w:eastAsia="en-GB"/>
              </w:rPr>
            </w:pPr>
            <w:r w:rsidRPr="00EB2995">
              <w:rPr>
                <w:rFonts w:cs="Calibri"/>
                <w:b/>
                <w:bCs/>
                <w:color w:val="000000"/>
                <w:lang w:eastAsia="en-GB"/>
              </w:rPr>
              <w:t>Interest &amp; Investment Income</w:t>
            </w:r>
          </w:p>
        </w:tc>
        <w:tc>
          <w:tcPr>
            <w:tcW w:w="1474" w:type="dxa"/>
            <w:tcBorders>
              <w:top w:val="single" w:sz="8" w:space="0" w:color="auto"/>
              <w:left w:val="nil"/>
              <w:bottom w:val="single" w:sz="8" w:space="0" w:color="auto"/>
              <w:right w:val="single" w:sz="8" w:space="0" w:color="auto"/>
            </w:tcBorders>
            <w:shd w:val="clear" w:color="auto" w:fill="auto"/>
            <w:noWrap/>
            <w:vAlign w:val="center"/>
          </w:tcPr>
          <w:p w:rsidR="00D934C4" w:rsidRPr="00EB2995" w:rsidRDefault="00D934C4" w:rsidP="00D934C4">
            <w:pPr>
              <w:jc w:val="right"/>
              <w:rPr>
                <w:rFonts w:cs="Calibri"/>
                <w:b/>
                <w:bCs/>
                <w:color w:val="000000"/>
                <w:lang w:eastAsia="en-GB"/>
              </w:rPr>
            </w:pPr>
            <w:r w:rsidRPr="00EB2995">
              <w:rPr>
                <w:rFonts w:cs="Calibri"/>
                <w:b/>
                <w:bCs/>
                <w:color w:val="000000"/>
                <w:lang w:eastAsia="en-GB"/>
              </w:rPr>
              <w:t>0.0</w:t>
            </w:r>
          </w:p>
        </w:tc>
        <w:tc>
          <w:tcPr>
            <w:tcW w:w="1456" w:type="dxa"/>
            <w:tcBorders>
              <w:top w:val="single" w:sz="8" w:space="0" w:color="auto"/>
              <w:left w:val="nil"/>
              <w:bottom w:val="single" w:sz="8" w:space="0" w:color="auto"/>
              <w:right w:val="single" w:sz="8" w:space="0" w:color="auto"/>
            </w:tcBorders>
            <w:shd w:val="clear" w:color="auto" w:fill="auto"/>
            <w:noWrap/>
            <w:vAlign w:val="center"/>
            <w:hideMark/>
          </w:tcPr>
          <w:p w:rsidR="00D934C4" w:rsidRPr="00EB2995" w:rsidRDefault="00D934C4" w:rsidP="00D934C4">
            <w:pPr>
              <w:jc w:val="right"/>
              <w:rPr>
                <w:rFonts w:cs="Calibri"/>
                <w:b/>
                <w:bCs/>
                <w:color w:val="000000"/>
                <w:lang w:eastAsia="en-GB"/>
              </w:rPr>
            </w:pPr>
            <w:r w:rsidRPr="00EB2995">
              <w:rPr>
                <w:rFonts w:cs="Calibri"/>
                <w:b/>
                <w:bCs/>
                <w:color w:val="000000"/>
                <w:lang w:eastAsia="en-GB"/>
              </w:rPr>
              <w:t xml:space="preserve">(6.8) </w:t>
            </w:r>
          </w:p>
        </w:tc>
        <w:tc>
          <w:tcPr>
            <w:tcW w:w="1456" w:type="dxa"/>
            <w:tcBorders>
              <w:top w:val="single" w:sz="8" w:space="0" w:color="auto"/>
              <w:left w:val="nil"/>
              <w:bottom w:val="single" w:sz="8" w:space="0" w:color="auto"/>
              <w:right w:val="single" w:sz="8" w:space="0" w:color="auto"/>
            </w:tcBorders>
            <w:shd w:val="clear" w:color="auto" w:fill="auto"/>
            <w:noWrap/>
            <w:vAlign w:val="center"/>
            <w:hideMark/>
          </w:tcPr>
          <w:p w:rsidR="00D934C4" w:rsidRPr="00EB2995" w:rsidRDefault="00D934C4" w:rsidP="00D934C4">
            <w:pPr>
              <w:jc w:val="right"/>
              <w:rPr>
                <w:rFonts w:cs="Calibri"/>
                <w:b/>
                <w:bCs/>
                <w:color w:val="000000"/>
                <w:lang w:eastAsia="en-GB"/>
              </w:rPr>
            </w:pPr>
            <w:r w:rsidRPr="00EB2995">
              <w:rPr>
                <w:rFonts w:cs="Calibri"/>
                <w:b/>
                <w:bCs/>
                <w:color w:val="000000"/>
                <w:lang w:eastAsia="en-GB"/>
              </w:rPr>
              <w:t xml:space="preserve"> (0.5) </w:t>
            </w:r>
          </w:p>
        </w:tc>
        <w:tc>
          <w:tcPr>
            <w:tcW w:w="948" w:type="dxa"/>
            <w:tcBorders>
              <w:top w:val="single" w:sz="8" w:space="0" w:color="auto"/>
              <w:left w:val="nil"/>
              <w:bottom w:val="single" w:sz="8" w:space="0" w:color="auto"/>
              <w:right w:val="single" w:sz="8" w:space="0" w:color="auto"/>
            </w:tcBorders>
            <w:shd w:val="clear" w:color="auto" w:fill="auto"/>
            <w:noWrap/>
            <w:vAlign w:val="center"/>
            <w:hideMark/>
          </w:tcPr>
          <w:p w:rsidR="00D934C4" w:rsidRPr="00EB2995" w:rsidRDefault="00D934C4" w:rsidP="00D934C4">
            <w:pPr>
              <w:jc w:val="right"/>
              <w:rPr>
                <w:rFonts w:cs="Calibri"/>
                <w:b/>
                <w:bCs/>
                <w:color w:val="000000"/>
                <w:lang w:eastAsia="en-GB"/>
              </w:rPr>
            </w:pPr>
            <w:r w:rsidRPr="00EB2995">
              <w:rPr>
                <w:rFonts w:cs="Calibri"/>
                <w:b/>
                <w:bCs/>
                <w:color w:val="000000"/>
                <w:lang w:eastAsia="en-GB"/>
              </w:rPr>
              <w:t xml:space="preserve">(7.3) </w:t>
            </w:r>
          </w:p>
        </w:tc>
        <w:tc>
          <w:tcPr>
            <w:tcW w:w="1474" w:type="dxa"/>
            <w:tcBorders>
              <w:top w:val="single" w:sz="8" w:space="0" w:color="auto"/>
              <w:left w:val="nil"/>
              <w:bottom w:val="single" w:sz="8" w:space="0" w:color="auto"/>
              <w:right w:val="single" w:sz="8" w:space="0" w:color="auto"/>
            </w:tcBorders>
            <w:shd w:val="clear" w:color="auto" w:fill="auto"/>
            <w:noWrap/>
            <w:vAlign w:val="center"/>
          </w:tcPr>
          <w:p w:rsidR="00D934C4" w:rsidRPr="00EB2995" w:rsidRDefault="00D934C4" w:rsidP="00D934C4">
            <w:pPr>
              <w:jc w:val="right"/>
              <w:rPr>
                <w:rFonts w:cs="Calibri"/>
                <w:b/>
                <w:bCs/>
                <w:color w:val="000000"/>
                <w:lang w:eastAsia="en-GB"/>
              </w:rPr>
            </w:pPr>
            <w:r w:rsidRPr="00EB2995">
              <w:rPr>
                <w:rFonts w:cs="Calibri"/>
                <w:b/>
                <w:bCs/>
                <w:color w:val="000000"/>
                <w:lang w:eastAsia="en-GB"/>
              </w:rPr>
              <w:t>0.0</w:t>
            </w:r>
          </w:p>
        </w:tc>
        <w:tc>
          <w:tcPr>
            <w:tcW w:w="1456" w:type="dxa"/>
            <w:tcBorders>
              <w:top w:val="single" w:sz="8" w:space="0" w:color="auto"/>
              <w:left w:val="nil"/>
              <w:bottom w:val="single" w:sz="8" w:space="0" w:color="auto"/>
              <w:right w:val="single" w:sz="8" w:space="0" w:color="auto"/>
            </w:tcBorders>
            <w:shd w:val="clear" w:color="auto" w:fill="auto"/>
            <w:noWrap/>
            <w:vAlign w:val="center"/>
            <w:hideMark/>
          </w:tcPr>
          <w:p w:rsidR="00D934C4" w:rsidRPr="00EB2995" w:rsidRDefault="00D934C4" w:rsidP="00D934C4">
            <w:pPr>
              <w:jc w:val="right"/>
              <w:rPr>
                <w:rFonts w:cs="Calibri"/>
                <w:b/>
                <w:bCs/>
                <w:color w:val="000000"/>
                <w:lang w:eastAsia="en-GB"/>
              </w:rPr>
            </w:pPr>
            <w:r w:rsidRPr="00EB2995">
              <w:rPr>
                <w:rFonts w:cs="Calibri"/>
                <w:b/>
                <w:bCs/>
                <w:color w:val="000000"/>
                <w:lang w:eastAsia="en-GB"/>
              </w:rPr>
              <w:t xml:space="preserve"> (6.4) </w:t>
            </w:r>
          </w:p>
        </w:tc>
        <w:tc>
          <w:tcPr>
            <w:tcW w:w="1456" w:type="dxa"/>
            <w:tcBorders>
              <w:top w:val="single" w:sz="8" w:space="0" w:color="auto"/>
              <w:left w:val="nil"/>
              <w:bottom w:val="single" w:sz="8" w:space="0" w:color="auto"/>
              <w:right w:val="single" w:sz="8" w:space="0" w:color="auto"/>
            </w:tcBorders>
            <w:shd w:val="clear" w:color="auto" w:fill="auto"/>
            <w:noWrap/>
            <w:vAlign w:val="center"/>
            <w:hideMark/>
          </w:tcPr>
          <w:p w:rsidR="00D934C4" w:rsidRPr="00EB2995" w:rsidRDefault="00D934C4" w:rsidP="00D934C4">
            <w:pPr>
              <w:jc w:val="right"/>
              <w:rPr>
                <w:rFonts w:cs="Calibri"/>
                <w:b/>
                <w:bCs/>
                <w:color w:val="000000"/>
                <w:lang w:eastAsia="en-GB"/>
              </w:rPr>
            </w:pPr>
            <w:r w:rsidRPr="00EB2995">
              <w:rPr>
                <w:rFonts w:cs="Calibri"/>
                <w:b/>
                <w:bCs/>
                <w:color w:val="000000"/>
                <w:lang w:eastAsia="en-GB"/>
              </w:rPr>
              <w:t xml:space="preserve">(0.2) </w:t>
            </w:r>
          </w:p>
        </w:tc>
        <w:tc>
          <w:tcPr>
            <w:tcW w:w="948" w:type="dxa"/>
            <w:tcBorders>
              <w:top w:val="single" w:sz="8" w:space="0" w:color="auto"/>
              <w:left w:val="nil"/>
              <w:bottom w:val="single" w:sz="8" w:space="0" w:color="auto"/>
              <w:right w:val="single" w:sz="8" w:space="0" w:color="auto"/>
            </w:tcBorders>
            <w:shd w:val="clear" w:color="auto" w:fill="auto"/>
            <w:noWrap/>
            <w:vAlign w:val="center"/>
            <w:hideMark/>
          </w:tcPr>
          <w:p w:rsidR="00D934C4" w:rsidRPr="00EB2995" w:rsidRDefault="00D934C4" w:rsidP="00D934C4">
            <w:pPr>
              <w:jc w:val="right"/>
              <w:rPr>
                <w:rFonts w:cs="Calibri"/>
                <w:b/>
                <w:bCs/>
                <w:color w:val="000000"/>
                <w:lang w:eastAsia="en-GB"/>
              </w:rPr>
            </w:pPr>
            <w:r w:rsidRPr="00EB2995">
              <w:rPr>
                <w:rFonts w:cs="Calibri"/>
                <w:b/>
                <w:bCs/>
                <w:color w:val="000000"/>
                <w:lang w:eastAsia="en-GB"/>
              </w:rPr>
              <w:t xml:space="preserve">(6.6) </w:t>
            </w:r>
          </w:p>
        </w:tc>
      </w:tr>
      <w:tr w:rsidR="00D934C4" w:rsidRPr="00EB2995" w:rsidTr="00D934C4">
        <w:trPr>
          <w:trHeight w:hRule="exact" w:val="857"/>
        </w:trPr>
        <w:tc>
          <w:tcPr>
            <w:tcW w:w="3912" w:type="dxa"/>
            <w:tcBorders>
              <w:top w:val="nil"/>
              <w:left w:val="single" w:sz="8" w:space="0" w:color="auto"/>
              <w:bottom w:val="single" w:sz="8" w:space="0" w:color="auto"/>
              <w:right w:val="single" w:sz="8" w:space="0" w:color="auto"/>
            </w:tcBorders>
            <w:shd w:val="clear" w:color="auto" w:fill="auto"/>
            <w:vAlign w:val="center"/>
            <w:hideMark/>
          </w:tcPr>
          <w:p w:rsidR="00D934C4" w:rsidRPr="00EB2995" w:rsidRDefault="00D934C4" w:rsidP="00D934C4">
            <w:pPr>
              <w:rPr>
                <w:rFonts w:cs="Calibri"/>
                <w:b/>
                <w:bCs/>
                <w:color w:val="000000"/>
                <w:lang w:eastAsia="en-GB"/>
              </w:rPr>
            </w:pPr>
            <w:r w:rsidRPr="00EB2995">
              <w:rPr>
                <w:rFonts w:cs="Calibri"/>
                <w:b/>
                <w:bCs/>
                <w:color w:val="000000"/>
                <w:lang w:eastAsia="en-GB"/>
              </w:rPr>
              <w:t>Net Impact on (surplus)/deficit on provision on services</w:t>
            </w:r>
          </w:p>
        </w:tc>
        <w:tc>
          <w:tcPr>
            <w:tcW w:w="1474" w:type="dxa"/>
            <w:tcBorders>
              <w:top w:val="nil"/>
              <w:left w:val="nil"/>
              <w:bottom w:val="single" w:sz="8" w:space="0" w:color="auto"/>
              <w:right w:val="single" w:sz="8" w:space="0" w:color="auto"/>
            </w:tcBorders>
            <w:shd w:val="clear" w:color="auto" w:fill="auto"/>
            <w:noWrap/>
            <w:vAlign w:val="center"/>
            <w:hideMark/>
          </w:tcPr>
          <w:p w:rsidR="00D934C4" w:rsidRPr="00EB2995" w:rsidRDefault="00D934C4" w:rsidP="00D934C4">
            <w:pPr>
              <w:jc w:val="right"/>
              <w:rPr>
                <w:rFonts w:cs="Calibri"/>
                <w:b/>
                <w:bCs/>
                <w:color w:val="000000"/>
                <w:lang w:eastAsia="en-GB"/>
              </w:rPr>
            </w:pPr>
            <w:r w:rsidRPr="00EB2995">
              <w:rPr>
                <w:rFonts w:cs="Calibri"/>
                <w:b/>
                <w:bCs/>
                <w:color w:val="000000"/>
                <w:lang w:eastAsia="en-GB"/>
              </w:rPr>
              <w:t xml:space="preserve">23.1 </w:t>
            </w:r>
          </w:p>
        </w:tc>
        <w:tc>
          <w:tcPr>
            <w:tcW w:w="1456" w:type="dxa"/>
            <w:tcBorders>
              <w:top w:val="nil"/>
              <w:left w:val="nil"/>
              <w:bottom w:val="single" w:sz="8" w:space="0" w:color="auto"/>
              <w:right w:val="single" w:sz="8" w:space="0" w:color="auto"/>
            </w:tcBorders>
            <w:shd w:val="clear" w:color="auto" w:fill="auto"/>
            <w:noWrap/>
            <w:vAlign w:val="center"/>
            <w:hideMark/>
          </w:tcPr>
          <w:p w:rsidR="00D934C4" w:rsidRPr="00EB2995" w:rsidRDefault="00D934C4" w:rsidP="00D934C4">
            <w:pPr>
              <w:jc w:val="right"/>
              <w:rPr>
                <w:rFonts w:cs="Calibri"/>
                <w:b/>
                <w:bCs/>
                <w:color w:val="000000"/>
                <w:lang w:eastAsia="en-GB"/>
              </w:rPr>
            </w:pPr>
            <w:r w:rsidRPr="00EB2995">
              <w:rPr>
                <w:rFonts w:cs="Calibri"/>
                <w:b/>
                <w:bCs/>
                <w:color w:val="000000"/>
                <w:lang w:eastAsia="en-GB"/>
              </w:rPr>
              <w:t xml:space="preserve">(6.8) </w:t>
            </w:r>
          </w:p>
        </w:tc>
        <w:tc>
          <w:tcPr>
            <w:tcW w:w="1456" w:type="dxa"/>
            <w:tcBorders>
              <w:top w:val="nil"/>
              <w:left w:val="nil"/>
              <w:bottom w:val="single" w:sz="8" w:space="0" w:color="auto"/>
              <w:right w:val="single" w:sz="8" w:space="0" w:color="auto"/>
            </w:tcBorders>
            <w:shd w:val="clear" w:color="auto" w:fill="auto"/>
            <w:noWrap/>
            <w:vAlign w:val="center"/>
            <w:hideMark/>
          </w:tcPr>
          <w:p w:rsidR="00D934C4" w:rsidRPr="00EB2995" w:rsidRDefault="00D934C4" w:rsidP="00D934C4">
            <w:pPr>
              <w:jc w:val="right"/>
              <w:rPr>
                <w:rFonts w:cs="Calibri"/>
                <w:b/>
                <w:bCs/>
                <w:color w:val="000000"/>
                <w:lang w:eastAsia="en-GB"/>
              </w:rPr>
            </w:pPr>
            <w:r w:rsidRPr="00EB2995">
              <w:rPr>
                <w:rFonts w:cs="Calibri"/>
                <w:b/>
                <w:bCs/>
                <w:color w:val="000000"/>
                <w:lang w:eastAsia="en-GB"/>
              </w:rPr>
              <w:t>(0.5)</w:t>
            </w:r>
          </w:p>
        </w:tc>
        <w:tc>
          <w:tcPr>
            <w:tcW w:w="948" w:type="dxa"/>
            <w:tcBorders>
              <w:top w:val="nil"/>
              <w:left w:val="nil"/>
              <w:bottom w:val="single" w:sz="8" w:space="0" w:color="auto"/>
              <w:right w:val="single" w:sz="8" w:space="0" w:color="auto"/>
            </w:tcBorders>
            <w:shd w:val="clear" w:color="auto" w:fill="auto"/>
            <w:noWrap/>
            <w:vAlign w:val="center"/>
            <w:hideMark/>
          </w:tcPr>
          <w:p w:rsidR="00D934C4" w:rsidRPr="00EB2995" w:rsidRDefault="00D934C4" w:rsidP="00D934C4">
            <w:pPr>
              <w:jc w:val="right"/>
              <w:rPr>
                <w:rFonts w:cs="Calibri"/>
                <w:b/>
                <w:bCs/>
                <w:color w:val="000000"/>
                <w:lang w:eastAsia="en-GB"/>
              </w:rPr>
            </w:pPr>
            <w:r w:rsidRPr="00EB2995">
              <w:rPr>
                <w:rFonts w:cs="Calibri"/>
                <w:b/>
                <w:bCs/>
                <w:color w:val="000000"/>
                <w:lang w:eastAsia="en-GB"/>
              </w:rPr>
              <w:t xml:space="preserve">15.8 </w:t>
            </w:r>
          </w:p>
        </w:tc>
        <w:tc>
          <w:tcPr>
            <w:tcW w:w="1474" w:type="dxa"/>
            <w:tcBorders>
              <w:top w:val="nil"/>
              <w:left w:val="nil"/>
              <w:bottom w:val="single" w:sz="8" w:space="0" w:color="auto"/>
              <w:right w:val="single" w:sz="8" w:space="0" w:color="auto"/>
            </w:tcBorders>
            <w:shd w:val="clear" w:color="auto" w:fill="auto"/>
            <w:noWrap/>
            <w:vAlign w:val="center"/>
            <w:hideMark/>
          </w:tcPr>
          <w:p w:rsidR="00D934C4" w:rsidRPr="00EB2995" w:rsidRDefault="00D934C4" w:rsidP="00D934C4">
            <w:pPr>
              <w:jc w:val="right"/>
              <w:rPr>
                <w:rFonts w:cs="Calibri"/>
                <w:b/>
                <w:bCs/>
                <w:color w:val="000000"/>
                <w:lang w:eastAsia="en-GB"/>
              </w:rPr>
            </w:pPr>
            <w:r w:rsidRPr="00EB2995">
              <w:rPr>
                <w:rFonts w:cs="Calibri"/>
                <w:b/>
                <w:bCs/>
                <w:color w:val="000000"/>
                <w:lang w:eastAsia="en-GB"/>
              </w:rPr>
              <w:t xml:space="preserve">20.7 </w:t>
            </w:r>
          </w:p>
        </w:tc>
        <w:tc>
          <w:tcPr>
            <w:tcW w:w="1456" w:type="dxa"/>
            <w:tcBorders>
              <w:top w:val="nil"/>
              <w:left w:val="nil"/>
              <w:bottom w:val="single" w:sz="8" w:space="0" w:color="auto"/>
              <w:right w:val="single" w:sz="8" w:space="0" w:color="auto"/>
            </w:tcBorders>
            <w:shd w:val="clear" w:color="auto" w:fill="auto"/>
            <w:noWrap/>
            <w:vAlign w:val="center"/>
            <w:hideMark/>
          </w:tcPr>
          <w:p w:rsidR="00D934C4" w:rsidRPr="00EB2995" w:rsidRDefault="00D934C4" w:rsidP="00D934C4">
            <w:pPr>
              <w:jc w:val="right"/>
              <w:rPr>
                <w:rFonts w:cs="Calibri"/>
                <w:b/>
                <w:bCs/>
                <w:color w:val="000000"/>
                <w:lang w:eastAsia="en-GB"/>
              </w:rPr>
            </w:pPr>
            <w:r w:rsidRPr="00EB2995">
              <w:rPr>
                <w:rFonts w:cs="Calibri"/>
                <w:b/>
                <w:bCs/>
                <w:color w:val="000000"/>
                <w:lang w:eastAsia="en-GB"/>
              </w:rPr>
              <w:t xml:space="preserve"> (6.4) </w:t>
            </w:r>
          </w:p>
        </w:tc>
        <w:tc>
          <w:tcPr>
            <w:tcW w:w="1456" w:type="dxa"/>
            <w:tcBorders>
              <w:top w:val="nil"/>
              <w:left w:val="nil"/>
              <w:bottom w:val="single" w:sz="8" w:space="0" w:color="auto"/>
              <w:right w:val="single" w:sz="8" w:space="0" w:color="auto"/>
            </w:tcBorders>
            <w:shd w:val="clear" w:color="auto" w:fill="auto"/>
            <w:noWrap/>
            <w:vAlign w:val="center"/>
            <w:hideMark/>
          </w:tcPr>
          <w:p w:rsidR="00D934C4" w:rsidRPr="00EB2995" w:rsidRDefault="00D934C4" w:rsidP="00D934C4">
            <w:pPr>
              <w:jc w:val="right"/>
              <w:rPr>
                <w:rFonts w:cs="Calibri"/>
                <w:b/>
                <w:bCs/>
                <w:color w:val="000000"/>
                <w:lang w:eastAsia="en-GB"/>
              </w:rPr>
            </w:pPr>
            <w:r w:rsidRPr="00EB2995">
              <w:rPr>
                <w:rFonts w:cs="Calibri"/>
                <w:b/>
                <w:bCs/>
                <w:color w:val="000000"/>
                <w:lang w:eastAsia="en-GB"/>
              </w:rPr>
              <w:t xml:space="preserve">(0.2) </w:t>
            </w:r>
          </w:p>
        </w:tc>
        <w:tc>
          <w:tcPr>
            <w:tcW w:w="948" w:type="dxa"/>
            <w:tcBorders>
              <w:top w:val="nil"/>
              <w:left w:val="nil"/>
              <w:bottom w:val="single" w:sz="8" w:space="0" w:color="auto"/>
              <w:right w:val="single" w:sz="8" w:space="0" w:color="auto"/>
            </w:tcBorders>
            <w:shd w:val="clear" w:color="auto" w:fill="auto"/>
            <w:noWrap/>
            <w:vAlign w:val="center"/>
            <w:hideMark/>
          </w:tcPr>
          <w:p w:rsidR="00D934C4" w:rsidRPr="00EB2995" w:rsidRDefault="00D934C4" w:rsidP="00D934C4">
            <w:pPr>
              <w:jc w:val="right"/>
              <w:rPr>
                <w:rFonts w:cs="Calibri"/>
                <w:b/>
                <w:bCs/>
                <w:color w:val="000000"/>
                <w:lang w:eastAsia="en-GB"/>
              </w:rPr>
            </w:pPr>
            <w:r w:rsidRPr="00EB2995">
              <w:rPr>
                <w:rFonts w:cs="Calibri"/>
                <w:b/>
                <w:bCs/>
                <w:color w:val="000000"/>
                <w:lang w:eastAsia="en-GB"/>
              </w:rPr>
              <w:t xml:space="preserve">14.1 </w:t>
            </w:r>
          </w:p>
        </w:tc>
      </w:tr>
      <w:tr w:rsidR="00D934C4" w:rsidRPr="00EB2995" w:rsidTr="00D934C4">
        <w:trPr>
          <w:trHeight w:hRule="exact" w:val="284"/>
        </w:trPr>
        <w:tc>
          <w:tcPr>
            <w:tcW w:w="3912" w:type="dxa"/>
            <w:tcBorders>
              <w:top w:val="nil"/>
              <w:left w:val="single" w:sz="8" w:space="0" w:color="auto"/>
              <w:bottom w:val="single" w:sz="8" w:space="0" w:color="auto"/>
              <w:right w:val="single" w:sz="8" w:space="0" w:color="auto"/>
            </w:tcBorders>
            <w:shd w:val="clear" w:color="auto" w:fill="auto"/>
            <w:noWrap/>
            <w:vAlign w:val="center"/>
            <w:hideMark/>
          </w:tcPr>
          <w:p w:rsidR="00D934C4" w:rsidRPr="00EB2995" w:rsidRDefault="00D934C4" w:rsidP="00D934C4">
            <w:pPr>
              <w:rPr>
                <w:rFonts w:cs="Calibri"/>
                <w:b/>
                <w:bCs/>
                <w:color w:val="000000"/>
                <w:lang w:eastAsia="en-GB"/>
              </w:rPr>
            </w:pPr>
            <w:r w:rsidRPr="00EB2995">
              <w:rPr>
                <w:rFonts w:cs="Calibri"/>
                <w:b/>
                <w:bCs/>
                <w:color w:val="000000"/>
                <w:lang w:eastAsia="en-GB"/>
              </w:rPr>
              <w:t>Impact on other comprehensive income</w:t>
            </w:r>
          </w:p>
        </w:tc>
        <w:tc>
          <w:tcPr>
            <w:tcW w:w="1474" w:type="dxa"/>
            <w:tcBorders>
              <w:top w:val="nil"/>
              <w:left w:val="nil"/>
              <w:bottom w:val="single" w:sz="8" w:space="0" w:color="auto"/>
              <w:right w:val="single" w:sz="8" w:space="0" w:color="auto"/>
            </w:tcBorders>
            <w:shd w:val="clear" w:color="auto" w:fill="auto"/>
            <w:noWrap/>
            <w:vAlign w:val="center"/>
            <w:hideMark/>
          </w:tcPr>
          <w:p w:rsidR="00D934C4" w:rsidRPr="00EB2995" w:rsidRDefault="00D934C4" w:rsidP="00D934C4">
            <w:pPr>
              <w:jc w:val="right"/>
              <w:rPr>
                <w:rFonts w:cs="Calibri"/>
                <w:b/>
                <w:bCs/>
                <w:color w:val="000000"/>
                <w:lang w:eastAsia="en-GB"/>
              </w:rPr>
            </w:pPr>
            <w:r w:rsidRPr="00EB2995">
              <w:rPr>
                <w:rFonts w:cs="Calibri"/>
                <w:b/>
                <w:bCs/>
                <w:color w:val="000000"/>
                <w:lang w:eastAsia="en-GB"/>
              </w:rPr>
              <w:t xml:space="preserve">0.0   </w:t>
            </w:r>
          </w:p>
        </w:tc>
        <w:tc>
          <w:tcPr>
            <w:tcW w:w="1456" w:type="dxa"/>
            <w:tcBorders>
              <w:top w:val="nil"/>
              <w:left w:val="nil"/>
              <w:bottom w:val="single" w:sz="8" w:space="0" w:color="auto"/>
              <w:right w:val="single" w:sz="8" w:space="0" w:color="auto"/>
            </w:tcBorders>
            <w:shd w:val="clear" w:color="auto" w:fill="auto"/>
            <w:noWrap/>
            <w:hideMark/>
          </w:tcPr>
          <w:p w:rsidR="00D934C4" w:rsidRPr="00EB2995" w:rsidRDefault="00D934C4" w:rsidP="00D934C4">
            <w:pPr>
              <w:jc w:val="right"/>
              <w:rPr>
                <w:rFonts w:cs="Calibri"/>
                <w:b/>
                <w:bCs/>
                <w:color w:val="000000"/>
                <w:lang w:eastAsia="en-GB"/>
              </w:rPr>
            </w:pPr>
            <w:r w:rsidRPr="00EB2995">
              <w:rPr>
                <w:rFonts w:cs="Calibri"/>
                <w:b/>
                <w:bCs/>
                <w:color w:val="000000"/>
                <w:lang w:eastAsia="en-GB"/>
              </w:rPr>
              <w:t>0.0</w:t>
            </w:r>
          </w:p>
        </w:tc>
        <w:tc>
          <w:tcPr>
            <w:tcW w:w="1456" w:type="dxa"/>
            <w:tcBorders>
              <w:top w:val="nil"/>
              <w:left w:val="nil"/>
              <w:bottom w:val="single" w:sz="8" w:space="0" w:color="auto"/>
              <w:right w:val="single" w:sz="8" w:space="0" w:color="auto"/>
            </w:tcBorders>
            <w:shd w:val="clear" w:color="auto" w:fill="auto"/>
            <w:noWrap/>
            <w:hideMark/>
          </w:tcPr>
          <w:p w:rsidR="00D934C4" w:rsidRPr="00EB2995" w:rsidRDefault="00D934C4" w:rsidP="00D934C4">
            <w:pPr>
              <w:jc w:val="right"/>
              <w:rPr>
                <w:rFonts w:cs="Calibri"/>
                <w:b/>
                <w:bCs/>
                <w:color w:val="000000"/>
                <w:lang w:eastAsia="en-GB"/>
              </w:rPr>
            </w:pPr>
            <w:r w:rsidRPr="00EB2995">
              <w:rPr>
                <w:rFonts w:cs="Calibri"/>
                <w:b/>
                <w:bCs/>
                <w:color w:val="000000"/>
                <w:lang w:eastAsia="en-GB"/>
              </w:rPr>
              <w:t>0.0</w:t>
            </w:r>
          </w:p>
        </w:tc>
        <w:tc>
          <w:tcPr>
            <w:tcW w:w="948" w:type="dxa"/>
            <w:tcBorders>
              <w:top w:val="nil"/>
              <w:left w:val="nil"/>
              <w:bottom w:val="single" w:sz="8" w:space="0" w:color="auto"/>
              <w:right w:val="single" w:sz="8" w:space="0" w:color="auto"/>
            </w:tcBorders>
            <w:shd w:val="clear" w:color="auto" w:fill="auto"/>
            <w:noWrap/>
            <w:hideMark/>
          </w:tcPr>
          <w:p w:rsidR="00D934C4" w:rsidRPr="00EB2995" w:rsidRDefault="00D934C4" w:rsidP="00D934C4">
            <w:pPr>
              <w:jc w:val="right"/>
              <w:rPr>
                <w:rFonts w:cs="Calibri"/>
                <w:b/>
                <w:bCs/>
                <w:color w:val="000000"/>
                <w:lang w:eastAsia="en-GB"/>
              </w:rPr>
            </w:pPr>
            <w:r w:rsidRPr="00EB2995">
              <w:rPr>
                <w:rFonts w:cs="Calibri"/>
                <w:b/>
                <w:bCs/>
                <w:color w:val="000000"/>
                <w:lang w:eastAsia="en-GB"/>
              </w:rPr>
              <w:t>0.0</w:t>
            </w:r>
          </w:p>
        </w:tc>
        <w:tc>
          <w:tcPr>
            <w:tcW w:w="1474" w:type="dxa"/>
            <w:tcBorders>
              <w:top w:val="nil"/>
              <w:left w:val="nil"/>
              <w:bottom w:val="single" w:sz="8" w:space="0" w:color="auto"/>
              <w:right w:val="single" w:sz="8" w:space="0" w:color="auto"/>
            </w:tcBorders>
            <w:shd w:val="clear" w:color="auto" w:fill="auto"/>
            <w:noWrap/>
            <w:hideMark/>
          </w:tcPr>
          <w:p w:rsidR="00D934C4" w:rsidRPr="00EB2995" w:rsidRDefault="00D934C4" w:rsidP="00D934C4">
            <w:pPr>
              <w:jc w:val="right"/>
              <w:rPr>
                <w:rFonts w:cs="Calibri"/>
                <w:b/>
                <w:bCs/>
                <w:color w:val="000000"/>
                <w:lang w:eastAsia="en-GB"/>
              </w:rPr>
            </w:pPr>
            <w:r w:rsidRPr="00EB2995">
              <w:rPr>
                <w:rFonts w:cs="Calibri"/>
                <w:b/>
                <w:bCs/>
                <w:color w:val="000000"/>
                <w:lang w:eastAsia="en-GB"/>
              </w:rPr>
              <w:t>0.0</w:t>
            </w:r>
          </w:p>
        </w:tc>
        <w:tc>
          <w:tcPr>
            <w:tcW w:w="1456" w:type="dxa"/>
            <w:tcBorders>
              <w:top w:val="nil"/>
              <w:left w:val="nil"/>
              <w:bottom w:val="single" w:sz="8" w:space="0" w:color="auto"/>
              <w:right w:val="single" w:sz="8" w:space="0" w:color="auto"/>
            </w:tcBorders>
            <w:shd w:val="clear" w:color="auto" w:fill="auto"/>
            <w:noWrap/>
            <w:hideMark/>
          </w:tcPr>
          <w:p w:rsidR="00D934C4" w:rsidRPr="00EB2995" w:rsidRDefault="00D934C4" w:rsidP="00D934C4">
            <w:pPr>
              <w:jc w:val="right"/>
              <w:rPr>
                <w:rFonts w:cs="Calibri"/>
                <w:b/>
                <w:bCs/>
                <w:color w:val="000000"/>
                <w:lang w:eastAsia="en-GB"/>
              </w:rPr>
            </w:pPr>
            <w:r w:rsidRPr="00EB2995">
              <w:rPr>
                <w:rFonts w:cs="Calibri"/>
                <w:b/>
                <w:bCs/>
                <w:color w:val="000000"/>
                <w:lang w:eastAsia="en-GB"/>
              </w:rPr>
              <w:t>0.0</w:t>
            </w:r>
          </w:p>
        </w:tc>
        <w:tc>
          <w:tcPr>
            <w:tcW w:w="1456" w:type="dxa"/>
            <w:tcBorders>
              <w:top w:val="nil"/>
              <w:left w:val="nil"/>
              <w:bottom w:val="single" w:sz="8" w:space="0" w:color="auto"/>
              <w:right w:val="single" w:sz="8" w:space="0" w:color="auto"/>
            </w:tcBorders>
            <w:shd w:val="clear" w:color="auto" w:fill="auto"/>
            <w:noWrap/>
            <w:hideMark/>
          </w:tcPr>
          <w:p w:rsidR="00D934C4" w:rsidRPr="00EB2995" w:rsidRDefault="00D934C4" w:rsidP="00D934C4">
            <w:pPr>
              <w:jc w:val="right"/>
              <w:rPr>
                <w:rFonts w:cs="Calibri"/>
                <w:b/>
                <w:bCs/>
                <w:color w:val="000000"/>
                <w:lang w:eastAsia="en-GB"/>
              </w:rPr>
            </w:pPr>
            <w:r w:rsidRPr="00EB2995">
              <w:rPr>
                <w:rFonts w:cs="Calibri"/>
                <w:b/>
                <w:bCs/>
                <w:color w:val="000000"/>
                <w:lang w:eastAsia="en-GB"/>
              </w:rPr>
              <w:t>0.0</w:t>
            </w:r>
          </w:p>
        </w:tc>
        <w:tc>
          <w:tcPr>
            <w:tcW w:w="948" w:type="dxa"/>
            <w:tcBorders>
              <w:top w:val="nil"/>
              <w:left w:val="nil"/>
              <w:bottom w:val="single" w:sz="8" w:space="0" w:color="auto"/>
              <w:right w:val="single" w:sz="8" w:space="0" w:color="auto"/>
            </w:tcBorders>
            <w:shd w:val="clear" w:color="auto" w:fill="auto"/>
            <w:noWrap/>
            <w:hideMark/>
          </w:tcPr>
          <w:p w:rsidR="00D934C4" w:rsidRPr="00EB2995" w:rsidRDefault="00D934C4" w:rsidP="00D934C4">
            <w:pPr>
              <w:jc w:val="right"/>
              <w:rPr>
                <w:rFonts w:cs="Calibri"/>
                <w:b/>
                <w:bCs/>
                <w:color w:val="000000"/>
                <w:lang w:eastAsia="en-GB"/>
              </w:rPr>
            </w:pPr>
            <w:r w:rsidRPr="00EB2995">
              <w:rPr>
                <w:rFonts w:cs="Calibri"/>
                <w:b/>
                <w:bCs/>
                <w:color w:val="000000"/>
                <w:lang w:eastAsia="en-GB"/>
              </w:rPr>
              <w:t>0.0</w:t>
            </w:r>
          </w:p>
        </w:tc>
      </w:tr>
      <w:tr w:rsidR="00D934C4" w:rsidRPr="00EB2995" w:rsidTr="00D934C4">
        <w:trPr>
          <w:trHeight w:hRule="exact" w:val="284"/>
        </w:trPr>
        <w:tc>
          <w:tcPr>
            <w:tcW w:w="3912" w:type="dxa"/>
            <w:tcBorders>
              <w:top w:val="nil"/>
              <w:left w:val="single" w:sz="8" w:space="0" w:color="auto"/>
              <w:bottom w:val="single" w:sz="8" w:space="0" w:color="auto"/>
              <w:right w:val="single" w:sz="8" w:space="0" w:color="auto"/>
            </w:tcBorders>
            <w:shd w:val="clear" w:color="auto" w:fill="auto"/>
            <w:noWrap/>
            <w:vAlign w:val="center"/>
            <w:hideMark/>
          </w:tcPr>
          <w:p w:rsidR="00D934C4" w:rsidRPr="00EB2995" w:rsidRDefault="00D934C4" w:rsidP="00D934C4">
            <w:pPr>
              <w:rPr>
                <w:rFonts w:cs="Calibri"/>
                <w:b/>
                <w:bCs/>
                <w:color w:val="000000"/>
                <w:lang w:eastAsia="en-GB"/>
              </w:rPr>
            </w:pPr>
            <w:r w:rsidRPr="00EB2995">
              <w:rPr>
                <w:rFonts w:cs="Calibri"/>
                <w:b/>
                <w:bCs/>
                <w:color w:val="000000"/>
                <w:lang w:eastAsia="en-GB"/>
              </w:rPr>
              <w:t>Net (Gain)/loss for the year</w:t>
            </w:r>
          </w:p>
        </w:tc>
        <w:tc>
          <w:tcPr>
            <w:tcW w:w="1474" w:type="dxa"/>
            <w:tcBorders>
              <w:top w:val="nil"/>
              <w:left w:val="nil"/>
              <w:bottom w:val="single" w:sz="8" w:space="0" w:color="auto"/>
              <w:right w:val="single" w:sz="8" w:space="0" w:color="auto"/>
            </w:tcBorders>
            <w:shd w:val="clear" w:color="auto" w:fill="auto"/>
            <w:noWrap/>
            <w:vAlign w:val="center"/>
            <w:hideMark/>
          </w:tcPr>
          <w:p w:rsidR="00D934C4" w:rsidRPr="00EB2995" w:rsidRDefault="00D934C4" w:rsidP="00D934C4">
            <w:pPr>
              <w:jc w:val="right"/>
              <w:rPr>
                <w:rFonts w:cs="Calibri"/>
                <w:b/>
                <w:bCs/>
                <w:color w:val="000000"/>
                <w:lang w:eastAsia="en-GB"/>
              </w:rPr>
            </w:pPr>
            <w:r w:rsidRPr="00EB2995">
              <w:rPr>
                <w:rFonts w:cs="Calibri"/>
                <w:b/>
                <w:bCs/>
                <w:color w:val="000000"/>
                <w:lang w:eastAsia="en-GB"/>
              </w:rPr>
              <w:t xml:space="preserve">23.1 </w:t>
            </w:r>
          </w:p>
        </w:tc>
        <w:tc>
          <w:tcPr>
            <w:tcW w:w="1456" w:type="dxa"/>
            <w:tcBorders>
              <w:top w:val="nil"/>
              <w:left w:val="nil"/>
              <w:bottom w:val="single" w:sz="8" w:space="0" w:color="auto"/>
              <w:right w:val="single" w:sz="8" w:space="0" w:color="auto"/>
            </w:tcBorders>
            <w:shd w:val="clear" w:color="auto" w:fill="auto"/>
            <w:noWrap/>
            <w:vAlign w:val="center"/>
            <w:hideMark/>
          </w:tcPr>
          <w:p w:rsidR="00D934C4" w:rsidRPr="00EB2995" w:rsidRDefault="00D934C4" w:rsidP="00D934C4">
            <w:pPr>
              <w:jc w:val="right"/>
              <w:rPr>
                <w:rFonts w:cs="Calibri"/>
                <w:b/>
                <w:bCs/>
                <w:color w:val="000000"/>
                <w:lang w:eastAsia="en-GB"/>
              </w:rPr>
            </w:pPr>
            <w:r w:rsidRPr="00EB2995">
              <w:rPr>
                <w:rFonts w:cs="Calibri"/>
                <w:b/>
                <w:bCs/>
                <w:color w:val="000000"/>
                <w:lang w:eastAsia="en-GB"/>
              </w:rPr>
              <w:t>(6.8)</w:t>
            </w:r>
          </w:p>
        </w:tc>
        <w:tc>
          <w:tcPr>
            <w:tcW w:w="1456" w:type="dxa"/>
            <w:tcBorders>
              <w:top w:val="nil"/>
              <w:left w:val="nil"/>
              <w:bottom w:val="single" w:sz="8" w:space="0" w:color="auto"/>
              <w:right w:val="single" w:sz="8" w:space="0" w:color="auto"/>
            </w:tcBorders>
            <w:shd w:val="clear" w:color="auto" w:fill="auto"/>
            <w:noWrap/>
            <w:vAlign w:val="center"/>
            <w:hideMark/>
          </w:tcPr>
          <w:p w:rsidR="00D934C4" w:rsidRPr="00EB2995" w:rsidRDefault="00D934C4" w:rsidP="00D934C4">
            <w:pPr>
              <w:jc w:val="right"/>
              <w:rPr>
                <w:rFonts w:cs="Calibri"/>
                <w:b/>
                <w:bCs/>
                <w:color w:val="000000"/>
                <w:lang w:eastAsia="en-GB"/>
              </w:rPr>
            </w:pPr>
            <w:r w:rsidRPr="00EB2995">
              <w:rPr>
                <w:rFonts w:cs="Calibri"/>
                <w:b/>
                <w:bCs/>
                <w:color w:val="000000"/>
                <w:lang w:eastAsia="en-GB"/>
              </w:rPr>
              <w:t>(0.5)</w:t>
            </w:r>
          </w:p>
        </w:tc>
        <w:tc>
          <w:tcPr>
            <w:tcW w:w="948" w:type="dxa"/>
            <w:tcBorders>
              <w:top w:val="nil"/>
              <w:left w:val="nil"/>
              <w:bottom w:val="single" w:sz="8" w:space="0" w:color="auto"/>
              <w:right w:val="single" w:sz="8" w:space="0" w:color="auto"/>
            </w:tcBorders>
            <w:shd w:val="clear" w:color="auto" w:fill="auto"/>
            <w:noWrap/>
            <w:vAlign w:val="center"/>
            <w:hideMark/>
          </w:tcPr>
          <w:p w:rsidR="00D934C4" w:rsidRPr="00EB2995" w:rsidRDefault="00D934C4" w:rsidP="00D934C4">
            <w:pPr>
              <w:jc w:val="right"/>
              <w:rPr>
                <w:rFonts w:cs="Calibri"/>
                <w:b/>
                <w:bCs/>
                <w:color w:val="000000"/>
                <w:lang w:eastAsia="en-GB"/>
              </w:rPr>
            </w:pPr>
            <w:r w:rsidRPr="00EB2995">
              <w:rPr>
                <w:rFonts w:cs="Calibri"/>
                <w:b/>
                <w:bCs/>
                <w:color w:val="000000"/>
                <w:lang w:eastAsia="en-GB"/>
              </w:rPr>
              <w:t xml:space="preserve">15.8 </w:t>
            </w:r>
          </w:p>
        </w:tc>
        <w:tc>
          <w:tcPr>
            <w:tcW w:w="1474" w:type="dxa"/>
            <w:tcBorders>
              <w:top w:val="nil"/>
              <w:left w:val="nil"/>
              <w:bottom w:val="single" w:sz="8" w:space="0" w:color="auto"/>
              <w:right w:val="single" w:sz="8" w:space="0" w:color="auto"/>
            </w:tcBorders>
            <w:shd w:val="clear" w:color="auto" w:fill="auto"/>
            <w:noWrap/>
            <w:vAlign w:val="center"/>
            <w:hideMark/>
          </w:tcPr>
          <w:p w:rsidR="00D934C4" w:rsidRPr="00EB2995" w:rsidRDefault="00D934C4" w:rsidP="00D934C4">
            <w:pPr>
              <w:jc w:val="right"/>
              <w:rPr>
                <w:rFonts w:cs="Calibri"/>
                <w:b/>
                <w:bCs/>
                <w:color w:val="000000"/>
                <w:lang w:eastAsia="en-GB"/>
              </w:rPr>
            </w:pPr>
            <w:r w:rsidRPr="00EB2995">
              <w:rPr>
                <w:rFonts w:cs="Calibri"/>
                <w:b/>
                <w:bCs/>
                <w:color w:val="000000"/>
                <w:lang w:eastAsia="en-GB"/>
              </w:rPr>
              <w:t xml:space="preserve">20.7 </w:t>
            </w:r>
          </w:p>
        </w:tc>
        <w:tc>
          <w:tcPr>
            <w:tcW w:w="1456" w:type="dxa"/>
            <w:tcBorders>
              <w:top w:val="nil"/>
              <w:left w:val="nil"/>
              <w:bottom w:val="single" w:sz="8" w:space="0" w:color="auto"/>
              <w:right w:val="single" w:sz="8" w:space="0" w:color="auto"/>
            </w:tcBorders>
            <w:shd w:val="clear" w:color="auto" w:fill="auto"/>
            <w:noWrap/>
            <w:vAlign w:val="center"/>
            <w:hideMark/>
          </w:tcPr>
          <w:p w:rsidR="00D934C4" w:rsidRPr="00EB2995" w:rsidRDefault="00D934C4" w:rsidP="00D934C4">
            <w:pPr>
              <w:jc w:val="right"/>
              <w:rPr>
                <w:rFonts w:cs="Calibri"/>
                <w:b/>
                <w:bCs/>
                <w:color w:val="000000"/>
                <w:lang w:eastAsia="en-GB"/>
              </w:rPr>
            </w:pPr>
            <w:r w:rsidRPr="00EB2995">
              <w:rPr>
                <w:rFonts w:cs="Calibri"/>
                <w:b/>
                <w:bCs/>
                <w:color w:val="000000"/>
                <w:lang w:eastAsia="en-GB"/>
              </w:rPr>
              <w:t xml:space="preserve"> (6.4) </w:t>
            </w:r>
          </w:p>
        </w:tc>
        <w:tc>
          <w:tcPr>
            <w:tcW w:w="1456" w:type="dxa"/>
            <w:tcBorders>
              <w:top w:val="nil"/>
              <w:left w:val="nil"/>
              <w:bottom w:val="single" w:sz="8" w:space="0" w:color="auto"/>
              <w:right w:val="single" w:sz="8" w:space="0" w:color="auto"/>
            </w:tcBorders>
            <w:shd w:val="clear" w:color="auto" w:fill="auto"/>
            <w:noWrap/>
            <w:vAlign w:val="center"/>
            <w:hideMark/>
          </w:tcPr>
          <w:p w:rsidR="00D934C4" w:rsidRPr="00EB2995" w:rsidRDefault="00D934C4" w:rsidP="00D934C4">
            <w:pPr>
              <w:jc w:val="right"/>
              <w:rPr>
                <w:rFonts w:cs="Calibri"/>
                <w:b/>
                <w:bCs/>
                <w:color w:val="000000"/>
                <w:lang w:eastAsia="en-GB"/>
              </w:rPr>
            </w:pPr>
            <w:r w:rsidRPr="00EB2995">
              <w:rPr>
                <w:rFonts w:cs="Calibri"/>
                <w:b/>
                <w:bCs/>
                <w:color w:val="000000"/>
                <w:lang w:eastAsia="en-GB"/>
              </w:rPr>
              <w:t xml:space="preserve">(0.2) </w:t>
            </w:r>
          </w:p>
        </w:tc>
        <w:tc>
          <w:tcPr>
            <w:tcW w:w="948" w:type="dxa"/>
            <w:tcBorders>
              <w:top w:val="nil"/>
              <w:left w:val="nil"/>
              <w:bottom w:val="single" w:sz="8" w:space="0" w:color="auto"/>
              <w:right w:val="single" w:sz="8" w:space="0" w:color="auto"/>
            </w:tcBorders>
            <w:shd w:val="clear" w:color="auto" w:fill="auto"/>
            <w:noWrap/>
            <w:vAlign w:val="center"/>
            <w:hideMark/>
          </w:tcPr>
          <w:p w:rsidR="00D934C4" w:rsidRPr="00EB2995" w:rsidRDefault="00D934C4" w:rsidP="00D934C4">
            <w:pPr>
              <w:jc w:val="right"/>
              <w:rPr>
                <w:rFonts w:cs="Calibri"/>
                <w:b/>
                <w:bCs/>
                <w:color w:val="000000"/>
                <w:lang w:eastAsia="en-GB"/>
              </w:rPr>
            </w:pPr>
            <w:r w:rsidRPr="00EB2995">
              <w:rPr>
                <w:rFonts w:cs="Calibri"/>
                <w:b/>
                <w:bCs/>
                <w:color w:val="000000"/>
                <w:lang w:eastAsia="en-GB"/>
              </w:rPr>
              <w:t xml:space="preserve">14.1 </w:t>
            </w:r>
          </w:p>
        </w:tc>
      </w:tr>
    </w:tbl>
    <w:p w:rsidR="00F72906" w:rsidRDefault="00F72906" w:rsidP="00F72906"/>
    <w:p w:rsidR="00D934C4" w:rsidRDefault="00D934C4" w:rsidP="00D934C4">
      <w:pPr>
        <w:pStyle w:val="Heading3"/>
        <w:sectPr w:rsidR="00D934C4" w:rsidSect="00D934C4">
          <w:pgSz w:w="16838" w:h="11906" w:orient="landscape"/>
          <w:pgMar w:top="709" w:right="1440" w:bottom="1440" w:left="1440" w:header="708" w:footer="708" w:gutter="0"/>
          <w:cols w:space="708"/>
          <w:docGrid w:linePitch="360"/>
        </w:sectPr>
      </w:pPr>
    </w:p>
    <w:p w:rsidR="00F72906" w:rsidRDefault="00F72906" w:rsidP="00D934C4">
      <w:pPr>
        <w:pStyle w:val="Heading3"/>
      </w:pPr>
      <w:r>
        <w:lastRenderedPageBreak/>
        <w:t>Note 27 – Fair Values of Assets and Liabilities</w:t>
      </w:r>
    </w:p>
    <w:p w:rsidR="00F72906" w:rsidRDefault="00F72906" w:rsidP="00F72906">
      <w:r>
        <w:t>The fair value of a financial instrument is the price that would be received when selling an asset, or the price that would be paid when transferring a liability, to another market participant in an arms’-length transaction. Where liabilities are held as an asset by another party, such as the council’s borrowing, the fair value is estimated</w:t>
      </w:r>
      <w:r w:rsidR="00D934C4">
        <w:t xml:space="preserve"> from the holder’s perspective.</w:t>
      </w:r>
    </w:p>
    <w:p w:rsidR="00D934C4" w:rsidRDefault="00D934C4" w:rsidP="00F72906"/>
    <w:p w:rsidR="00F72906" w:rsidRDefault="00F72906" w:rsidP="00F72906">
      <w:r>
        <w:t>Financial instruments, except those classified at amortised cost, are carried in the Balance Sheet at fair value. For most assets, including shares in money market funds, the fair value i</w:t>
      </w:r>
      <w:r w:rsidR="00D934C4">
        <w:t xml:space="preserve">s taken from the market price. </w:t>
      </w:r>
    </w:p>
    <w:p w:rsidR="00D934C4" w:rsidRDefault="00D934C4" w:rsidP="00F72906"/>
    <w:p w:rsidR="00F72906" w:rsidRDefault="00F72906" w:rsidP="00F72906">
      <w:r>
        <w:t>Financial instruments classified at amortised cost are carried in the Balance Sheet at their amortised cost.  Their fair values disclosed below have been estimated by calculating the net present value of the remaining contractual cash flows at 31st March 2020, using the following methods and assumptions:</w:t>
      </w:r>
    </w:p>
    <w:p w:rsidR="00F72906" w:rsidRDefault="00F72906" w:rsidP="00F72906">
      <w:r>
        <w:t>•</w:t>
      </w:r>
      <w:r>
        <w:tab/>
        <w:t>Loans borrowed by the Council have been valued by discounting the contractual cash flows over the whole life of the instrument at the appropriate market rate for local authority loans.</w:t>
      </w:r>
    </w:p>
    <w:p w:rsidR="00F72906" w:rsidRDefault="00F72906" w:rsidP="00F72906">
      <w:r>
        <w:t>•</w:t>
      </w:r>
      <w:r>
        <w:tab/>
        <w:t>The value of “Lender’s Option Borrower’s Option” (LOBO) loans have been increased by the value of the embedded options.  Lenders’ options to propose an increase to the interest rate on the loan have been valued according to a proprietary model for Bermudan cancellable swaps.  Borrower’s contingent options to accept the increased rate or repay the loan have been valued at zero, on the assumption that lenders will only exercise their options when market rates have risen above the contractual loan rate.</w:t>
      </w:r>
    </w:p>
    <w:p w:rsidR="00F72906" w:rsidRDefault="00F72906" w:rsidP="00F72906">
      <w:r>
        <w:t>•</w:t>
      </w:r>
      <w:r>
        <w:tab/>
        <w:t>The fair values of other long-term loans and investments have been discounted at the market rates for similar instruments with similar remaining terms to maturity on 31st March 2020.</w:t>
      </w:r>
    </w:p>
    <w:p w:rsidR="00F72906" w:rsidRDefault="00F72906" w:rsidP="00F72906">
      <w:r>
        <w:t>•</w:t>
      </w:r>
      <w:r>
        <w:tab/>
        <w:t>The fair values of finance lease assets and liabilities and of PFI scheme liabilities have been calculated by discounting the contractual cash flows (excluding service charge elements) at the appropriate AA-rated corporate bond yield.</w:t>
      </w:r>
    </w:p>
    <w:p w:rsidR="00F72906" w:rsidRDefault="00F72906" w:rsidP="00F72906">
      <w:r>
        <w:t>•</w:t>
      </w:r>
      <w:r>
        <w:tab/>
        <w:t>No early repayment or impairment is recognised for any financial instrument.</w:t>
      </w:r>
    </w:p>
    <w:p w:rsidR="00F72906" w:rsidRDefault="00F72906" w:rsidP="00F72906">
      <w:r>
        <w:t>•</w:t>
      </w:r>
      <w:r>
        <w:tab/>
        <w:t>The fair value of short-term instruments, including trade payables and receivables, is assumed to approximate to the carrying amount given the</w:t>
      </w:r>
      <w:r w:rsidR="00D934C4">
        <w:t xml:space="preserve"> low interest rate environment.</w:t>
      </w:r>
    </w:p>
    <w:p w:rsidR="00D934C4" w:rsidRDefault="00D934C4" w:rsidP="00F72906"/>
    <w:p w:rsidR="00F72906" w:rsidRDefault="00F72906" w:rsidP="00F72906">
      <w:r>
        <w:t>Fair values are shown in the table below, split by their level in the fair value hierarchy:</w:t>
      </w:r>
    </w:p>
    <w:p w:rsidR="00F72906" w:rsidRDefault="00F72906" w:rsidP="00F72906">
      <w:r>
        <w:t>•</w:t>
      </w:r>
      <w:r>
        <w:tab/>
        <w:t>Level 1 – fair value is only derived from quoted prices in active markets for identical assets or liabilities, e.g. bond prices</w:t>
      </w:r>
    </w:p>
    <w:p w:rsidR="00F72906" w:rsidRDefault="00F72906" w:rsidP="00F72906">
      <w:r>
        <w:t>•</w:t>
      </w:r>
      <w:r>
        <w:tab/>
        <w:t>Level 2 – fair value is calculated from inputs other than quoted prices that are observable for the asset or liability, e.g. interest rates or yields for similar instruments</w:t>
      </w:r>
    </w:p>
    <w:p w:rsidR="00F72906" w:rsidRDefault="00F72906" w:rsidP="00F72906">
      <w:r>
        <w:t>•</w:t>
      </w:r>
      <w:r>
        <w:tab/>
        <w:t>Level 3 – fair value is determined using unobservable inputs, e.g. non-market data such as cash flow forecasts or estimated creditworthiness</w:t>
      </w:r>
    </w:p>
    <w:p w:rsidR="00DA081D" w:rsidRDefault="00DA081D">
      <w:pPr>
        <w:rPr>
          <w:u w:val="single"/>
        </w:rPr>
      </w:pPr>
      <w:r>
        <w:rPr>
          <w:u w:val="single"/>
        </w:rPr>
        <w:br w:type="page"/>
      </w:r>
    </w:p>
    <w:p w:rsidR="00F72906" w:rsidRPr="00D934C4" w:rsidRDefault="00F72906" w:rsidP="00F72906">
      <w:pPr>
        <w:rPr>
          <w:u w:val="single"/>
        </w:rPr>
      </w:pPr>
      <w:r w:rsidRPr="00D934C4">
        <w:rPr>
          <w:u w:val="single"/>
        </w:rPr>
        <w:lastRenderedPageBreak/>
        <w:t>Financial Liabilities</w:t>
      </w:r>
    </w:p>
    <w:tbl>
      <w:tblPr>
        <w:tblW w:w="10320" w:type="dxa"/>
        <w:tblLook w:val="04A0" w:firstRow="1" w:lastRow="0" w:firstColumn="1" w:lastColumn="0" w:noHBand="0" w:noVBand="1"/>
      </w:tblPr>
      <w:tblGrid>
        <w:gridCol w:w="3544"/>
        <w:gridCol w:w="1276"/>
        <w:gridCol w:w="1417"/>
        <w:gridCol w:w="1361"/>
        <w:gridCol w:w="1361"/>
        <w:gridCol w:w="1361"/>
      </w:tblGrid>
      <w:tr w:rsidR="00DA081D" w:rsidRPr="00EB2995" w:rsidTr="00AF73B9">
        <w:trPr>
          <w:trHeight w:val="525"/>
        </w:trPr>
        <w:tc>
          <w:tcPr>
            <w:tcW w:w="3544" w:type="dxa"/>
            <w:vMerge w:val="restart"/>
            <w:tcBorders>
              <w:top w:val="nil"/>
              <w:left w:val="nil"/>
              <w:bottom w:val="single" w:sz="4" w:space="0" w:color="000000"/>
              <w:right w:val="single" w:sz="4" w:space="0" w:color="auto"/>
            </w:tcBorders>
            <w:shd w:val="clear" w:color="000000" w:fill="FFFFFF"/>
            <w:noWrap/>
            <w:vAlign w:val="center"/>
            <w:hideMark/>
          </w:tcPr>
          <w:p w:rsidR="00DA081D" w:rsidRPr="00EB2995" w:rsidRDefault="00DA081D" w:rsidP="00AF73B9">
            <w:pPr>
              <w:jc w:val="center"/>
              <w:rPr>
                <w:rFonts w:cs="Calibri"/>
                <w:color w:val="000000"/>
                <w:sz w:val="20"/>
                <w:szCs w:val="20"/>
                <w:lang w:eastAsia="en-GB"/>
              </w:rPr>
            </w:pPr>
            <w:r w:rsidRPr="00EB2995">
              <w:rPr>
                <w:rFonts w:cs="Calibri"/>
                <w:color w:val="000000"/>
                <w:sz w:val="20"/>
                <w:szCs w:val="20"/>
                <w:lang w:eastAsia="en-GB"/>
              </w:rPr>
              <w:t> </w:t>
            </w:r>
          </w:p>
        </w:tc>
        <w:tc>
          <w:tcPr>
            <w:tcW w:w="127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A081D" w:rsidRPr="00EB2995" w:rsidRDefault="00DA081D" w:rsidP="00AF73B9">
            <w:pPr>
              <w:jc w:val="center"/>
              <w:rPr>
                <w:rFonts w:cs="Calibri"/>
                <w:color w:val="000000"/>
                <w:sz w:val="20"/>
                <w:szCs w:val="20"/>
                <w:lang w:eastAsia="en-GB"/>
              </w:rPr>
            </w:pPr>
            <w:r w:rsidRPr="00EB2995">
              <w:rPr>
                <w:rFonts w:cs="Calibri"/>
                <w:color w:val="000000"/>
                <w:sz w:val="20"/>
                <w:szCs w:val="20"/>
                <w:lang w:eastAsia="en-GB"/>
              </w:rPr>
              <w:t>Fair Value Level</w:t>
            </w:r>
          </w:p>
        </w:tc>
        <w:tc>
          <w:tcPr>
            <w:tcW w:w="1417" w:type="dxa"/>
            <w:tcBorders>
              <w:top w:val="single" w:sz="4" w:space="0" w:color="auto"/>
              <w:left w:val="nil"/>
              <w:bottom w:val="nil"/>
              <w:right w:val="single" w:sz="4" w:space="0" w:color="auto"/>
            </w:tcBorders>
            <w:shd w:val="clear" w:color="000000" w:fill="FFFFFF"/>
            <w:vAlign w:val="center"/>
            <w:hideMark/>
          </w:tcPr>
          <w:p w:rsidR="00DA081D" w:rsidRPr="00EB2995" w:rsidRDefault="00DA081D" w:rsidP="00AF73B9">
            <w:pPr>
              <w:jc w:val="center"/>
              <w:rPr>
                <w:rFonts w:cs="Calibri"/>
                <w:color w:val="000000"/>
                <w:sz w:val="20"/>
                <w:szCs w:val="20"/>
                <w:lang w:eastAsia="en-GB"/>
              </w:rPr>
            </w:pPr>
            <w:r w:rsidRPr="00EB2995">
              <w:rPr>
                <w:rFonts w:cs="Calibri"/>
                <w:color w:val="000000"/>
                <w:sz w:val="20"/>
                <w:szCs w:val="20"/>
                <w:lang w:eastAsia="en-GB"/>
              </w:rPr>
              <w:t>Balance sheet 2019/20</w:t>
            </w:r>
          </w:p>
        </w:tc>
        <w:tc>
          <w:tcPr>
            <w:tcW w:w="1361" w:type="dxa"/>
            <w:tcBorders>
              <w:top w:val="single" w:sz="4" w:space="0" w:color="auto"/>
              <w:left w:val="nil"/>
              <w:bottom w:val="nil"/>
              <w:right w:val="single" w:sz="4" w:space="0" w:color="auto"/>
            </w:tcBorders>
            <w:shd w:val="clear" w:color="000000" w:fill="FFFFFF"/>
            <w:vAlign w:val="center"/>
            <w:hideMark/>
          </w:tcPr>
          <w:p w:rsidR="00DA081D" w:rsidRPr="00EB2995" w:rsidRDefault="00DA081D" w:rsidP="00AF73B9">
            <w:pPr>
              <w:jc w:val="center"/>
              <w:rPr>
                <w:rFonts w:cs="Calibri"/>
                <w:color w:val="000000"/>
                <w:sz w:val="20"/>
                <w:szCs w:val="20"/>
                <w:lang w:eastAsia="en-GB"/>
              </w:rPr>
            </w:pPr>
            <w:r w:rsidRPr="00EB2995">
              <w:rPr>
                <w:rFonts w:cs="Calibri"/>
                <w:color w:val="000000"/>
                <w:sz w:val="20"/>
                <w:szCs w:val="20"/>
                <w:lang w:eastAsia="en-GB"/>
              </w:rPr>
              <w:t>Fair Value 2019/20</w:t>
            </w:r>
          </w:p>
        </w:tc>
        <w:tc>
          <w:tcPr>
            <w:tcW w:w="1361" w:type="dxa"/>
            <w:tcBorders>
              <w:top w:val="single" w:sz="4" w:space="0" w:color="auto"/>
              <w:left w:val="nil"/>
              <w:bottom w:val="nil"/>
              <w:right w:val="single" w:sz="4" w:space="0" w:color="auto"/>
            </w:tcBorders>
            <w:shd w:val="clear" w:color="000000" w:fill="FFFFFF"/>
            <w:vAlign w:val="center"/>
            <w:hideMark/>
          </w:tcPr>
          <w:p w:rsidR="00DA081D" w:rsidRPr="00EB2995" w:rsidRDefault="00DA081D" w:rsidP="00AF73B9">
            <w:pPr>
              <w:jc w:val="center"/>
              <w:rPr>
                <w:rFonts w:cs="Calibri"/>
                <w:color w:val="000000"/>
                <w:sz w:val="20"/>
                <w:szCs w:val="20"/>
                <w:lang w:eastAsia="en-GB"/>
              </w:rPr>
            </w:pPr>
            <w:r w:rsidRPr="00EB2995">
              <w:rPr>
                <w:rFonts w:cs="Calibri"/>
                <w:color w:val="000000"/>
                <w:sz w:val="20"/>
                <w:szCs w:val="20"/>
                <w:lang w:eastAsia="en-GB"/>
              </w:rPr>
              <w:t>Balance Sheet 2018/19</w:t>
            </w:r>
          </w:p>
        </w:tc>
        <w:tc>
          <w:tcPr>
            <w:tcW w:w="1361" w:type="dxa"/>
            <w:tcBorders>
              <w:top w:val="single" w:sz="4" w:space="0" w:color="auto"/>
              <w:left w:val="nil"/>
              <w:bottom w:val="nil"/>
              <w:right w:val="single" w:sz="4" w:space="0" w:color="auto"/>
            </w:tcBorders>
            <w:shd w:val="clear" w:color="000000" w:fill="FFFFFF"/>
            <w:vAlign w:val="center"/>
            <w:hideMark/>
          </w:tcPr>
          <w:p w:rsidR="00DA081D" w:rsidRPr="00EB2995" w:rsidRDefault="00DA081D" w:rsidP="00AF73B9">
            <w:pPr>
              <w:jc w:val="center"/>
              <w:rPr>
                <w:rFonts w:cs="Calibri"/>
                <w:color w:val="000000"/>
                <w:sz w:val="20"/>
                <w:szCs w:val="20"/>
                <w:lang w:eastAsia="en-GB"/>
              </w:rPr>
            </w:pPr>
            <w:r w:rsidRPr="00EB2995">
              <w:rPr>
                <w:rFonts w:cs="Calibri"/>
                <w:color w:val="000000"/>
                <w:sz w:val="20"/>
                <w:szCs w:val="20"/>
                <w:lang w:eastAsia="en-GB"/>
              </w:rPr>
              <w:t>Fair Value 2018/19</w:t>
            </w:r>
          </w:p>
        </w:tc>
      </w:tr>
      <w:tr w:rsidR="00DA081D" w:rsidRPr="00EB2995" w:rsidTr="00AF73B9">
        <w:trPr>
          <w:trHeight w:val="300"/>
        </w:trPr>
        <w:tc>
          <w:tcPr>
            <w:tcW w:w="3544" w:type="dxa"/>
            <w:vMerge/>
            <w:tcBorders>
              <w:top w:val="nil"/>
              <w:left w:val="nil"/>
              <w:bottom w:val="single" w:sz="4" w:space="0" w:color="000000"/>
              <w:right w:val="single" w:sz="4" w:space="0" w:color="auto"/>
            </w:tcBorders>
            <w:vAlign w:val="center"/>
            <w:hideMark/>
          </w:tcPr>
          <w:p w:rsidR="00DA081D" w:rsidRPr="00EB2995" w:rsidRDefault="00DA081D" w:rsidP="00AF73B9">
            <w:pPr>
              <w:rPr>
                <w:rFonts w:cs="Calibri"/>
                <w:color w:val="000000"/>
                <w:sz w:val="20"/>
                <w:szCs w:val="20"/>
                <w:lang w:eastAsia="en-GB"/>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DA081D" w:rsidRPr="00EB2995" w:rsidRDefault="00DA081D" w:rsidP="00AF73B9">
            <w:pPr>
              <w:rPr>
                <w:rFonts w:cs="Calibri"/>
                <w:color w:val="000000"/>
                <w:sz w:val="20"/>
                <w:szCs w:val="20"/>
                <w:lang w:eastAsia="en-GB"/>
              </w:rPr>
            </w:pPr>
          </w:p>
        </w:tc>
        <w:tc>
          <w:tcPr>
            <w:tcW w:w="1417" w:type="dxa"/>
            <w:tcBorders>
              <w:top w:val="nil"/>
              <w:left w:val="nil"/>
              <w:bottom w:val="single" w:sz="4" w:space="0" w:color="auto"/>
              <w:right w:val="single" w:sz="4" w:space="0" w:color="auto"/>
            </w:tcBorders>
            <w:shd w:val="clear" w:color="000000" w:fill="FFFFFF"/>
            <w:noWrap/>
            <w:vAlign w:val="center"/>
            <w:hideMark/>
          </w:tcPr>
          <w:p w:rsidR="00DA081D" w:rsidRPr="00EB2995" w:rsidRDefault="00DA081D" w:rsidP="00AF73B9">
            <w:pPr>
              <w:jc w:val="center"/>
              <w:rPr>
                <w:rFonts w:cs="Calibri"/>
                <w:color w:val="000000"/>
                <w:sz w:val="20"/>
                <w:szCs w:val="20"/>
                <w:lang w:eastAsia="en-GB"/>
              </w:rPr>
            </w:pPr>
            <w:r w:rsidRPr="00EB2995">
              <w:rPr>
                <w:rFonts w:cs="Calibri"/>
                <w:color w:val="000000"/>
                <w:sz w:val="20"/>
                <w:szCs w:val="20"/>
                <w:lang w:eastAsia="en-GB"/>
              </w:rPr>
              <w:t>£m</w:t>
            </w:r>
          </w:p>
        </w:tc>
        <w:tc>
          <w:tcPr>
            <w:tcW w:w="1361" w:type="dxa"/>
            <w:tcBorders>
              <w:top w:val="nil"/>
              <w:left w:val="nil"/>
              <w:bottom w:val="single" w:sz="4" w:space="0" w:color="auto"/>
              <w:right w:val="single" w:sz="4" w:space="0" w:color="auto"/>
            </w:tcBorders>
            <w:shd w:val="clear" w:color="000000" w:fill="FFFFFF"/>
            <w:noWrap/>
            <w:vAlign w:val="center"/>
            <w:hideMark/>
          </w:tcPr>
          <w:p w:rsidR="00DA081D" w:rsidRPr="00EB2995" w:rsidRDefault="00DA081D" w:rsidP="00AF73B9">
            <w:pPr>
              <w:jc w:val="center"/>
              <w:rPr>
                <w:rFonts w:cs="Calibri"/>
                <w:color w:val="000000"/>
                <w:sz w:val="20"/>
                <w:szCs w:val="20"/>
                <w:lang w:eastAsia="en-GB"/>
              </w:rPr>
            </w:pPr>
            <w:r w:rsidRPr="00EB2995">
              <w:rPr>
                <w:rFonts w:cs="Calibri"/>
                <w:color w:val="000000"/>
                <w:sz w:val="20"/>
                <w:szCs w:val="20"/>
                <w:lang w:eastAsia="en-GB"/>
              </w:rPr>
              <w:t>£m</w:t>
            </w:r>
          </w:p>
        </w:tc>
        <w:tc>
          <w:tcPr>
            <w:tcW w:w="1361" w:type="dxa"/>
            <w:tcBorders>
              <w:top w:val="nil"/>
              <w:left w:val="nil"/>
              <w:bottom w:val="single" w:sz="4" w:space="0" w:color="auto"/>
              <w:right w:val="single" w:sz="4" w:space="0" w:color="auto"/>
            </w:tcBorders>
            <w:shd w:val="clear" w:color="000000" w:fill="FFFFFF"/>
            <w:noWrap/>
            <w:vAlign w:val="center"/>
            <w:hideMark/>
          </w:tcPr>
          <w:p w:rsidR="00DA081D" w:rsidRPr="00EB2995" w:rsidRDefault="00DA081D" w:rsidP="00AF73B9">
            <w:pPr>
              <w:jc w:val="center"/>
              <w:rPr>
                <w:rFonts w:cs="Calibri"/>
                <w:color w:val="000000"/>
                <w:sz w:val="20"/>
                <w:szCs w:val="20"/>
                <w:lang w:eastAsia="en-GB"/>
              </w:rPr>
            </w:pPr>
            <w:r w:rsidRPr="00EB2995">
              <w:rPr>
                <w:rFonts w:cs="Calibri"/>
                <w:color w:val="000000"/>
                <w:sz w:val="20"/>
                <w:szCs w:val="20"/>
                <w:lang w:eastAsia="en-GB"/>
              </w:rPr>
              <w:t>£m</w:t>
            </w:r>
          </w:p>
        </w:tc>
        <w:tc>
          <w:tcPr>
            <w:tcW w:w="1361" w:type="dxa"/>
            <w:tcBorders>
              <w:top w:val="nil"/>
              <w:left w:val="nil"/>
              <w:bottom w:val="single" w:sz="4" w:space="0" w:color="auto"/>
              <w:right w:val="single" w:sz="4" w:space="0" w:color="auto"/>
            </w:tcBorders>
            <w:shd w:val="clear" w:color="000000" w:fill="FFFFFF"/>
            <w:noWrap/>
            <w:vAlign w:val="center"/>
            <w:hideMark/>
          </w:tcPr>
          <w:p w:rsidR="00DA081D" w:rsidRPr="00EB2995" w:rsidRDefault="00DA081D" w:rsidP="00AF73B9">
            <w:pPr>
              <w:jc w:val="center"/>
              <w:rPr>
                <w:rFonts w:cs="Calibri"/>
                <w:color w:val="000000"/>
                <w:sz w:val="20"/>
                <w:szCs w:val="20"/>
                <w:lang w:eastAsia="en-GB"/>
              </w:rPr>
            </w:pPr>
            <w:r w:rsidRPr="00EB2995">
              <w:rPr>
                <w:rFonts w:cs="Calibri"/>
                <w:color w:val="000000"/>
                <w:sz w:val="20"/>
                <w:szCs w:val="20"/>
                <w:lang w:eastAsia="en-GB"/>
              </w:rPr>
              <w:t>£m</w:t>
            </w:r>
          </w:p>
        </w:tc>
      </w:tr>
      <w:tr w:rsidR="00DA081D" w:rsidRPr="00EB2995" w:rsidTr="00AF73B9">
        <w:trPr>
          <w:trHeight w:val="300"/>
        </w:trPr>
        <w:tc>
          <w:tcPr>
            <w:tcW w:w="3544" w:type="dxa"/>
            <w:tcBorders>
              <w:top w:val="nil"/>
              <w:left w:val="single" w:sz="4" w:space="0" w:color="auto"/>
              <w:bottom w:val="nil"/>
              <w:right w:val="nil"/>
            </w:tcBorders>
            <w:shd w:val="clear" w:color="000000" w:fill="FFFFFF"/>
            <w:noWrap/>
            <w:vAlign w:val="center"/>
            <w:hideMark/>
          </w:tcPr>
          <w:p w:rsidR="00DA081D" w:rsidRPr="00EB2995" w:rsidRDefault="00DA081D" w:rsidP="00AF73B9">
            <w:pPr>
              <w:rPr>
                <w:rFonts w:cs="Calibri"/>
                <w:color w:val="000000"/>
                <w:sz w:val="20"/>
                <w:szCs w:val="20"/>
                <w:lang w:eastAsia="en-GB"/>
              </w:rPr>
            </w:pPr>
            <w:r w:rsidRPr="00EB2995">
              <w:rPr>
                <w:rFonts w:cs="Calibri"/>
                <w:color w:val="000000"/>
                <w:sz w:val="20"/>
                <w:szCs w:val="20"/>
                <w:lang w:eastAsia="en-GB"/>
              </w:rPr>
              <w:t xml:space="preserve">Financial Liabilities held at amortised cost: </w:t>
            </w:r>
          </w:p>
        </w:tc>
        <w:tc>
          <w:tcPr>
            <w:tcW w:w="1276" w:type="dxa"/>
            <w:tcBorders>
              <w:top w:val="nil"/>
              <w:left w:val="single" w:sz="4" w:space="0" w:color="auto"/>
              <w:bottom w:val="nil"/>
              <w:right w:val="single" w:sz="4" w:space="0" w:color="auto"/>
            </w:tcBorders>
            <w:shd w:val="clear" w:color="000000" w:fill="FFFFFF"/>
            <w:noWrap/>
            <w:vAlign w:val="center"/>
            <w:hideMark/>
          </w:tcPr>
          <w:p w:rsidR="00DA081D" w:rsidRPr="00EB2995" w:rsidRDefault="00DA081D" w:rsidP="00AF73B9">
            <w:pPr>
              <w:jc w:val="center"/>
              <w:rPr>
                <w:rFonts w:cs="Calibri"/>
                <w:color w:val="000000"/>
                <w:sz w:val="20"/>
                <w:szCs w:val="20"/>
                <w:lang w:eastAsia="en-GB"/>
              </w:rPr>
            </w:pPr>
            <w:r w:rsidRPr="00EB2995">
              <w:rPr>
                <w:rFonts w:cs="Calibri"/>
                <w:color w:val="000000"/>
                <w:sz w:val="20"/>
                <w:szCs w:val="20"/>
                <w:lang w:eastAsia="en-GB"/>
              </w:rPr>
              <w:t> </w:t>
            </w:r>
          </w:p>
        </w:tc>
        <w:tc>
          <w:tcPr>
            <w:tcW w:w="1417" w:type="dxa"/>
            <w:tcBorders>
              <w:top w:val="nil"/>
              <w:left w:val="nil"/>
              <w:bottom w:val="nil"/>
              <w:right w:val="single" w:sz="4" w:space="0" w:color="auto"/>
            </w:tcBorders>
            <w:shd w:val="clear" w:color="000000" w:fill="FFFFFF"/>
            <w:noWrap/>
            <w:vAlign w:val="center"/>
            <w:hideMark/>
          </w:tcPr>
          <w:p w:rsidR="00DA081D" w:rsidRPr="00EB2995" w:rsidRDefault="00DA081D" w:rsidP="00AF73B9">
            <w:pPr>
              <w:jc w:val="center"/>
              <w:rPr>
                <w:rFonts w:cs="Calibri"/>
                <w:color w:val="000000"/>
                <w:sz w:val="20"/>
                <w:szCs w:val="20"/>
                <w:lang w:eastAsia="en-GB"/>
              </w:rPr>
            </w:pPr>
            <w:r w:rsidRPr="00EB2995">
              <w:rPr>
                <w:rFonts w:cs="Calibri"/>
                <w:color w:val="000000"/>
                <w:sz w:val="20"/>
                <w:szCs w:val="20"/>
                <w:lang w:eastAsia="en-GB"/>
              </w:rPr>
              <w:t> </w:t>
            </w:r>
          </w:p>
        </w:tc>
        <w:tc>
          <w:tcPr>
            <w:tcW w:w="1361" w:type="dxa"/>
            <w:tcBorders>
              <w:top w:val="nil"/>
              <w:left w:val="nil"/>
              <w:bottom w:val="nil"/>
              <w:right w:val="single" w:sz="4" w:space="0" w:color="auto"/>
            </w:tcBorders>
            <w:shd w:val="clear" w:color="000000" w:fill="FFFFFF"/>
            <w:noWrap/>
            <w:vAlign w:val="center"/>
            <w:hideMark/>
          </w:tcPr>
          <w:p w:rsidR="00DA081D" w:rsidRPr="00EB2995" w:rsidRDefault="00DA081D" w:rsidP="00AF73B9">
            <w:pPr>
              <w:rPr>
                <w:rFonts w:cs="Calibri"/>
                <w:color w:val="000000"/>
                <w:sz w:val="20"/>
                <w:szCs w:val="20"/>
                <w:lang w:eastAsia="en-GB"/>
              </w:rPr>
            </w:pPr>
            <w:r w:rsidRPr="00EB2995">
              <w:rPr>
                <w:rFonts w:cs="Calibri"/>
                <w:color w:val="000000"/>
                <w:sz w:val="20"/>
                <w:szCs w:val="20"/>
                <w:lang w:eastAsia="en-GB"/>
              </w:rPr>
              <w:t> </w:t>
            </w:r>
          </w:p>
        </w:tc>
        <w:tc>
          <w:tcPr>
            <w:tcW w:w="1361" w:type="dxa"/>
            <w:tcBorders>
              <w:top w:val="nil"/>
              <w:left w:val="nil"/>
              <w:bottom w:val="nil"/>
              <w:right w:val="single" w:sz="4" w:space="0" w:color="auto"/>
            </w:tcBorders>
            <w:shd w:val="clear" w:color="000000" w:fill="FFFFFF"/>
            <w:noWrap/>
            <w:vAlign w:val="center"/>
            <w:hideMark/>
          </w:tcPr>
          <w:p w:rsidR="00DA081D" w:rsidRPr="00EB2995" w:rsidRDefault="00DA081D" w:rsidP="00AF73B9">
            <w:pPr>
              <w:rPr>
                <w:rFonts w:cs="Calibri"/>
                <w:color w:val="000000"/>
                <w:sz w:val="20"/>
                <w:szCs w:val="20"/>
                <w:lang w:eastAsia="en-GB"/>
              </w:rPr>
            </w:pPr>
            <w:r w:rsidRPr="00EB2995">
              <w:rPr>
                <w:rFonts w:cs="Calibri"/>
                <w:color w:val="000000"/>
                <w:sz w:val="20"/>
                <w:szCs w:val="20"/>
                <w:lang w:eastAsia="en-GB"/>
              </w:rPr>
              <w:t> </w:t>
            </w:r>
          </w:p>
        </w:tc>
        <w:tc>
          <w:tcPr>
            <w:tcW w:w="1361" w:type="dxa"/>
            <w:tcBorders>
              <w:top w:val="nil"/>
              <w:left w:val="nil"/>
              <w:bottom w:val="nil"/>
              <w:right w:val="single" w:sz="4" w:space="0" w:color="auto"/>
            </w:tcBorders>
            <w:shd w:val="clear" w:color="000000" w:fill="FFFFFF"/>
            <w:noWrap/>
            <w:vAlign w:val="center"/>
            <w:hideMark/>
          </w:tcPr>
          <w:p w:rsidR="00DA081D" w:rsidRPr="00EB2995" w:rsidRDefault="00DA081D" w:rsidP="00AF73B9">
            <w:pPr>
              <w:rPr>
                <w:rFonts w:cs="Calibri"/>
                <w:color w:val="000000"/>
                <w:sz w:val="20"/>
                <w:szCs w:val="20"/>
                <w:lang w:eastAsia="en-GB"/>
              </w:rPr>
            </w:pPr>
            <w:r w:rsidRPr="00EB2995">
              <w:rPr>
                <w:rFonts w:cs="Calibri"/>
                <w:color w:val="000000"/>
                <w:sz w:val="20"/>
                <w:szCs w:val="20"/>
                <w:lang w:eastAsia="en-GB"/>
              </w:rPr>
              <w:t> </w:t>
            </w:r>
          </w:p>
        </w:tc>
      </w:tr>
      <w:tr w:rsidR="00DA081D" w:rsidRPr="00EB2995" w:rsidTr="00AF73B9">
        <w:trPr>
          <w:trHeight w:val="300"/>
        </w:trPr>
        <w:tc>
          <w:tcPr>
            <w:tcW w:w="3544" w:type="dxa"/>
            <w:tcBorders>
              <w:top w:val="nil"/>
              <w:left w:val="single" w:sz="4" w:space="0" w:color="auto"/>
              <w:bottom w:val="nil"/>
              <w:right w:val="nil"/>
            </w:tcBorders>
            <w:shd w:val="clear" w:color="000000" w:fill="FFFFFF"/>
            <w:noWrap/>
            <w:vAlign w:val="center"/>
            <w:hideMark/>
          </w:tcPr>
          <w:p w:rsidR="00DA081D" w:rsidRPr="00EB2995" w:rsidRDefault="00DA081D" w:rsidP="00AF73B9">
            <w:pPr>
              <w:rPr>
                <w:rFonts w:cs="Calibri"/>
                <w:color w:val="000000"/>
                <w:sz w:val="20"/>
                <w:szCs w:val="20"/>
                <w:lang w:eastAsia="en-GB"/>
              </w:rPr>
            </w:pPr>
            <w:r w:rsidRPr="00EB2995">
              <w:rPr>
                <w:rFonts w:cs="Calibri"/>
                <w:color w:val="000000"/>
                <w:sz w:val="20"/>
                <w:szCs w:val="20"/>
                <w:lang w:eastAsia="en-GB"/>
              </w:rPr>
              <w:t>Loans from the PWLB</w:t>
            </w:r>
          </w:p>
        </w:tc>
        <w:tc>
          <w:tcPr>
            <w:tcW w:w="1276" w:type="dxa"/>
            <w:tcBorders>
              <w:top w:val="nil"/>
              <w:left w:val="single" w:sz="4" w:space="0" w:color="auto"/>
              <w:bottom w:val="nil"/>
              <w:right w:val="single" w:sz="4" w:space="0" w:color="auto"/>
            </w:tcBorders>
            <w:shd w:val="clear" w:color="000000" w:fill="FFFFFF"/>
            <w:noWrap/>
            <w:vAlign w:val="center"/>
            <w:hideMark/>
          </w:tcPr>
          <w:p w:rsidR="00DA081D" w:rsidRPr="00EB2995" w:rsidRDefault="00DA081D" w:rsidP="00AF73B9">
            <w:pPr>
              <w:jc w:val="center"/>
              <w:rPr>
                <w:rFonts w:cs="Calibri"/>
                <w:color w:val="000000"/>
                <w:sz w:val="20"/>
                <w:szCs w:val="20"/>
                <w:lang w:eastAsia="en-GB"/>
              </w:rPr>
            </w:pPr>
            <w:r w:rsidRPr="00EB2995">
              <w:rPr>
                <w:rFonts w:cs="Calibri"/>
                <w:color w:val="000000"/>
                <w:sz w:val="20"/>
                <w:szCs w:val="20"/>
                <w:lang w:eastAsia="en-GB"/>
              </w:rPr>
              <w:t>2</w:t>
            </w:r>
          </w:p>
        </w:tc>
        <w:tc>
          <w:tcPr>
            <w:tcW w:w="1417" w:type="dxa"/>
            <w:tcBorders>
              <w:top w:val="nil"/>
              <w:left w:val="nil"/>
              <w:bottom w:val="nil"/>
              <w:right w:val="single" w:sz="4" w:space="0" w:color="auto"/>
            </w:tcBorders>
            <w:shd w:val="clear" w:color="000000" w:fill="FFFFFF"/>
            <w:noWrap/>
            <w:vAlign w:val="center"/>
            <w:hideMark/>
          </w:tcPr>
          <w:p w:rsidR="00DA081D" w:rsidRPr="00EB2995" w:rsidRDefault="00DA081D" w:rsidP="00AF73B9">
            <w:pPr>
              <w:jc w:val="right"/>
              <w:rPr>
                <w:rFonts w:cs="Calibri"/>
                <w:color w:val="000000"/>
                <w:sz w:val="20"/>
                <w:szCs w:val="20"/>
                <w:lang w:eastAsia="en-GB"/>
              </w:rPr>
            </w:pPr>
            <w:r w:rsidRPr="00EB2995">
              <w:rPr>
                <w:rFonts w:cs="Calibri"/>
                <w:color w:val="000000"/>
                <w:sz w:val="20"/>
                <w:szCs w:val="20"/>
              </w:rPr>
              <w:t>300.3</w:t>
            </w:r>
          </w:p>
        </w:tc>
        <w:tc>
          <w:tcPr>
            <w:tcW w:w="1361" w:type="dxa"/>
            <w:tcBorders>
              <w:top w:val="nil"/>
              <w:left w:val="nil"/>
              <w:bottom w:val="nil"/>
              <w:right w:val="single" w:sz="4" w:space="0" w:color="auto"/>
            </w:tcBorders>
            <w:shd w:val="clear" w:color="000000" w:fill="FFFFFF"/>
            <w:noWrap/>
            <w:vAlign w:val="center"/>
            <w:hideMark/>
          </w:tcPr>
          <w:p w:rsidR="00DA081D" w:rsidRPr="00EB2995" w:rsidRDefault="00DA081D" w:rsidP="00AF73B9">
            <w:pPr>
              <w:jc w:val="right"/>
              <w:rPr>
                <w:rFonts w:cs="Calibri"/>
                <w:color w:val="000000"/>
                <w:sz w:val="20"/>
                <w:szCs w:val="20"/>
                <w:lang w:eastAsia="en-GB"/>
              </w:rPr>
            </w:pPr>
            <w:r w:rsidRPr="00EB2995">
              <w:rPr>
                <w:rFonts w:cs="Calibri"/>
                <w:color w:val="000000"/>
                <w:sz w:val="20"/>
                <w:szCs w:val="20"/>
              </w:rPr>
              <w:t>490.9</w:t>
            </w:r>
          </w:p>
        </w:tc>
        <w:tc>
          <w:tcPr>
            <w:tcW w:w="1361" w:type="dxa"/>
            <w:tcBorders>
              <w:top w:val="nil"/>
              <w:left w:val="nil"/>
              <w:bottom w:val="nil"/>
              <w:right w:val="single" w:sz="4" w:space="0" w:color="auto"/>
            </w:tcBorders>
            <w:shd w:val="clear" w:color="000000" w:fill="FFFFFF"/>
            <w:noWrap/>
            <w:vAlign w:val="center"/>
            <w:hideMark/>
          </w:tcPr>
          <w:p w:rsidR="00DA081D" w:rsidRPr="00EB2995" w:rsidRDefault="00DA081D" w:rsidP="00AF73B9">
            <w:pPr>
              <w:jc w:val="right"/>
              <w:rPr>
                <w:rFonts w:cs="Calibri"/>
                <w:color w:val="000000"/>
                <w:sz w:val="20"/>
                <w:szCs w:val="20"/>
                <w:lang w:eastAsia="en-GB"/>
              </w:rPr>
            </w:pPr>
            <w:r w:rsidRPr="00EB2995">
              <w:rPr>
                <w:rFonts w:cs="Calibri"/>
                <w:color w:val="000000"/>
                <w:sz w:val="20"/>
                <w:szCs w:val="20"/>
              </w:rPr>
              <w:t>313.9</w:t>
            </w:r>
          </w:p>
        </w:tc>
        <w:tc>
          <w:tcPr>
            <w:tcW w:w="1361" w:type="dxa"/>
            <w:tcBorders>
              <w:top w:val="nil"/>
              <w:left w:val="nil"/>
              <w:bottom w:val="nil"/>
              <w:right w:val="single" w:sz="4" w:space="0" w:color="auto"/>
            </w:tcBorders>
            <w:shd w:val="clear" w:color="000000" w:fill="FFFFFF"/>
            <w:noWrap/>
            <w:vAlign w:val="center"/>
            <w:hideMark/>
          </w:tcPr>
          <w:p w:rsidR="00DA081D" w:rsidRPr="00EB2995" w:rsidRDefault="00DA081D" w:rsidP="00AF73B9">
            <w:pPr>
              <w:jc w:val="right"/>
              <w:rPr>
                <w:rFonts w:cs="Calibri"/>
                <w:color w:val="000000"/>
                <w:sz w:val="20"/>
                <w:szCs w:val="20"/>
                <w:lang w:eastAsia="en-GB"/>
              </w:rPr>
            </w:pPr>
            <w:r w:rsidRPr="00EB2995">
              <w:rPr>
                <w:rFonts w:cs="Calibri"/>
                <w:color w:val="000000"/>
                <w:sz w:val="20"/>
                <w:szCs w:val="20"/>
              </w:rPr>
              <w:t>489.4</w:t>
            </w:r>
          </w:p>
        </w:tc>
      </w:tr>
      <w:tr w:rsidR="00DA081D" w:rsidRPr="00EB2995" w:rsidTr="00AF73B9">
        <w:trPr>
          <w:trHeight w:val="300"/>
        </w:trPr>
        <w:tc>
          <w:tcPr>
            <w:tcW w:w="3544" w:type="dxa"/>
            <w:tcBorders>
              <w:top w:val="nil"/>
              <w:left w:val="single" w:sz="4" w:space="0" w:color="auto"/>
              <w:bottom w:val="nil"/>
              <w:right w:val="nil"/>
            </w:tcBorders>
            <w:shd w:val="clear" w:color="000000" w:fill="FFFFFF"/>
            <w:noWrap/>
            <w:vAlign w:val="center"/>
            <w:hideMark/>
          </w:tcPr>
          <w:p w:rsidR="00DA081D" w:rsidRPr="00EB2995" w:rsidRDefault="00DA081D" w:rsidP="00AF73B9">
            <w:pPr>
              <w:rPr>
                <w:rFonts w:cs="Calibri"/>
                <w:color w:val="000000"/>
                <w:sz w:val="20"/>
                <w:szCs w:val="20"/>
                <w:lang w:eastAsia="en-GB"/>
              </w:rPr>
            </w:pPr>
            <w:r w:rsidRPr="00EB2995">
              <w:rPr>
                <w:rFonts w:cs="Calibri"/>
                <w:color w:val="000000"/>
                <w:sz w:val="20"/>
                <w:szCs w:val="20"/>
                <w:lang w:eastAsia="en-GB"/>
              </w:rPr>
              <w:t>LOBO loans</w:t>
            </w:r>
          </w:p>
        </w:tc>
        <w:tc>
          <w:tcPr>
            <w:tcW w:w="1276" w:type="dxa"/>
            <w:tcBorders>
              <w:top w:val="nil"/>
              <w:left w:val="single" w:sz="4" w:space="0" w:color="auto"/>
              <w:bottom w:val="nil"/>
              <w:right w:val="single" w:sz="4" w:space="0" w:color="auto"/>
            </w:tcBorders>
            <w:shd w:val="clear" w:color="000000" w:fill="FFFFFF"/>
            <w:noWrap/>
            <w:vAlign w:val="center"/>
            <w:hideMark/>
          </w:tcPr>
          <w:p w:rsidR="00DA081D" w:rsidRPr="00EB2995" w:rsidRDefault="00DA081D" w:rsidP="00AF73B9">
            <w:pPr>
              <w:jc w:val="center"/>
              <w:rPr>
                <w:rFonts w:cs="Calibri"/>
                <w:color w:val="000000"/>
                <w:sz w:val="20"/>
                <w:szCs w:val="20"/>
                <w:lang w:eastAsia="en-GB"/>
              </w:rPr>
            </w:pPr>
            <w:r w:rsidRPr="00EB2995">
              <w:rPr>
                <w:rFonts w:cs="Calibri"/>
                <w:color w:val="000000"/>
                <w:sz w:val="20"/>
                <w:szCs w:val="20"/>
                <w:lang w:eastAsia="en-GB"/>
              </w:rPr>
              <w:t>2</w:t>
            </w:r>
          </w:p>
        </w:tc>
        <w:tc>
          <w:tcPr>
            <w:tcW w:w="1417" w:type="dxa"/>
            <w:tcBorders>
              <w:top w:val="nil"/>
              <w:left w:val="nil"/>
              <w:bottom w:val="nil"/>
              <w:right w:val="single" w:sz="4" w:space="0" w:color="auto"/>
            </w:tcBorders>
            <w:shd w:val="clear" w:color="000000" w:fill="FFFFFF"/>
            <w:noWrap/>
            <w:vAlign w:val="center"/>
            <w:hideMark/>
          </w:tcPr>
          <w:p w:rsidR="00DA081D" w:rsidRPr="00EB2995" w:rsidRDefault="00DA081D" w:rsidP="00AF73B9">
            <w:pPr>
              <w:jc w:val="right"/>
              <w:rPr>
                <w:rFonts w:cs="Calibri"/>
                <w:color w:val="000000"/>
                <w:sz w:val="20"/>
                <w:szCs w:val="20"/>
                <w:lang w:eastAsia="en-GB"/>
              </w:rPr>
            </w:pPr>
            <w:r w:rsidRPr="00EB2995">
              <w:rPr>
                <w:rFonts w:cs="Calibri"/>
                <w:color w:val="000000"/>
                <w:sz w:val="20"/>
                <w:szCs w:val="20"/>
              </w:rPr>
              <w:t>70.5</w:t>
            </w:r>
          </w:p>
        </w:tc>
        <w:tc>
          <w:tcPr>
            <w:tcW w:w="1361" w:type="dxa"/>
            <w:tcBorders>
              <w:top w:val="nil"/>
              <w:left w:val="nil"/>
              <w:bottom w:val="nil"/>
              <w:right w:val="single" w:sz="4" w:space="0" w:color="auto"/>
            </w:tcBorders>
            <w:shd w:val="clear" w:color="000000" w:fill="FFFFFF"/>
            <w:noWrap/>
            <w:vAlign w:val="center"/>
            <w:hideMark/>
          </w:tcPr>
          <w:p w:rsidR="00DA081D" w:rsidRPr="00EB2995" w:rsidRDefault="00DA081D" w:rsidP="00AF73B9">
            <w:pPr>
              <w:jc w:val="right"/>
              <w:rPr>
                <w:rFonts w:cs="Calibri"/>
                <w:color w:val="000000"/>
                <w:sz w:val="20"/>
                <w:szCs w:val="20"/>
                <w:lang w:eastAsia="en-GB"/>
              </w:rPr>
            </w:pPr>
            <w:r w:rsidRPr="00EB2995">
              <w:rPr>
                <w:rFonts w:cs="Calibri"/>
                <w:color w:val="000000"/>
                <w:sz w:val="20"/>
                <w:szCs w:val="20"/>
              </w:rPr>
              <w:t>139.8</w:t>
            </w:r>
          </w:p>
        </w:tc>
        <w:tc>
          <w:tcPr>
            <w:tcW w:w="1361" w:type="dxa"/>
            <w:tcBorders>
              <w:top w:val="nil"/>
              <w:left w:val="nil"/>
              <w:bottom w:val="nil"/>
              <w:right w:val="single" w:sz="4" w:space="0" w:color="auto"/>
            </w:tcBorders>
            <w:shd w:val="clear" w:color="000000" w:fill="FFFFFF"/>
            <w:noWrap/>
            <w:vAlign w:val="center"/>
            <w:hideMark/>
          </w:tcPr>
          <w:p w:rsidR="00DA081D" w:rsidRPr="00EB2995" w:rsidRDefault="00DA081D" w:rsidP="00AF73B9">
            <w:pPr>
              <w:jc w:val="right"/>
              <w:rPr>
                <w:rFonts w:cs="Calibri"/>
                <w:color w:val="000000"/>
                <w:sz w:val="20"/>
                <w:szCs w:val="20"/>
                <w:lang w:eastAsia="en-GB"/>
              </w:rPr>
            </w:pPr>
            <w:r w:rsidRPr="00EB2995">
              <w:rPr>
                <w:rFonts w:cs="Calibri"/>
                <w:color w:val="000000"/>
                <w:sz w:val="20"/>
                <w:szCs w:val="20"/>
              </w:rPr>
              <w:t>71.2</w:t>
            </w:r>
          </w:p>
        </w:tc>
        <w:tc>
          <w:tcPr>
            <w:tcW w:w="1361" w:type="dxa"/>
            <w:tcBorders>
              <w:top w:val="nil"/>
              <w:left w:val="nil"/>
              <w:bottom w:val="nil"/>
              <w:right w:val="single" w:sz="4" w:space="0" w:color="auto"/>
            </w:tcBorders>
            <w:shd w:val="clear" w:color="000000" w:fill="FFFFFF"/>
            <w:noWrap/>
            <w:vAlign w:val="center"/>
            <w:hideMark/>
          </w:tcPr>
          <w:p w:rsidR="00DA081D" w:rsidRPr="00EB2995" w:rsidRDefault="00DA081D" w:rsidP="00AF73B9">
            <w:pPr>
              <w:jc w:val="right"/>
              <w:rPr>
                <w:rFonts w:cs="Calibri"/>
                <w:color w:val="000000"/>
                <w:sz w:val="20"/>
                <w:szCs w:val="20"/>
                <w:lang w:eastAsia="en-GB"/>
              </w:rPr>
            </w:pPr>
            <w:r w:rsidRPr="00EB2995">
              <w:rPr>
                <w:rFonts w:cs="Calibri"/>
                <w:color w:val="000000"/>
                <w:sz w:val="20"/>
                <w:szCs w:val="20"/>
              </w:rPr>
              <w:t>126.5</w:t>
            </w:r>
          </w:p>
        </w:tc>
      </w:tr>
      <w:tr w:rsidR="00DA081D" w:rsidRPr="00EB2995" w:rsidTr="00AF73B9">
        <w:trPr>
          <w:trHeight w:val="300"/>
        </w:trPr>
        <w:tc>
          <w:tcPr>
            <w:tcW w:w="3544" w:type="dxa"/>
            <w:tcBorders>
              <w:top w:val="nil"/>
              <w:left w:val="single" w:sz="4" w:space="0" w:color="auto"/>
              <w:bottom w:val="nil"/>
              <w:right w:val="nil"/>
            </w:tcBorders>
            <w:shd w:val="clear" w:color="000000" w:fill="FFFFFF"/>
            <w:noWrap/>
            <w:vAlign w:val="center"/>
            <w:hideMark/>
          </w:tcPr>
          <w:p w:rsidR="00DA081D" w:rsidRPr="00EB2995" w:rsidRDefault="00DA081D" w:rsidP="00AF73B9">
            <w:pPr>
              <w:rPr>
                <w:rFonts w:cs="Calibri"/>
                <w:color w:val="000000"/>
                <w:sz w:val="20"/>
                <w:szCs w:val="20"/>
                <w:lang w:eastAsia="en-GB"/>
              </w:rPr>
            </w:pPr>
            <w:r w:rsidRPr="00EB2995">
              <w:rPr>
                <w:rFonts w:cs="Calibri"/>
                <w:color w:val="000000"/>
                <w:sz w:val="20"/>
                <w:szCs w:val="20"/>
                <w:lang w:eastAsia="en-GB"/>
              </w:rPr>
              <w:t>Other long-term loans</w:t>
            </w:r>
          </w:p>
        </w:tc>
        <w:tc>
          <w:tcPr>
            <w:tcW w:w="1276" w:type="dxa"/>
            <w:tcBorders>
              <w:top w:val="nil"/>
              <w:left w:val="single" w:sz="4" w:space="0" w:color="auto"/>
              <w:bottom w:val="nil"/>
              <w:right w:val="single" w:sz="4" w:space="0" w:color="auto"/>
            </w:tcBorders>
            <w:shd w:val="clear" w:color="000000" w:fill="FFFFFF"/>
            <w:noWrap/>
            <w:vAlign w:val="center"/>
            <w:hideMark/>
          </w:tcPr>
          <w:p w:rsidR="00DA081D" w:rsidRPr="00EB2995" w:rsidRDefault="00DA081D" w:rsidP="00AF73B9">
            <w:pPr>
              <w:jc w:val="center"/>
              <w:rPr>
                <w:rFonts w:cs="Calibri"/>
                <w:color w:val="000000"/>
                <w:sz w:val="20"/>
                <w:szCs w:val="20"/>
                <w:lang w:eastAsia="en-GB"/>
              </w:rPr>
            </w:pPr>
            <w:r w:rsidRPr="00EB2995">
              <w:rPr>
                <w:rFonts w:cs="Calibri"/>
                <w:color w:val="000000"/>
                <w:sz w:val="20"/>
                <w:szCs w:val="20"/>
                <w:lang w:eastAsia="en-GB"/>
              </w:rPr>
              <w:t>2</w:t>
            </w:r>
          </w:p>
        </w:tc>
        <w:tc>
          <w:tcPr>
            <w:tcW w:w="1417" w:type="dxa"/>
            <w:tcBorders>
              <w:top w:val="nil"/>
              <w:left w:val="nil"/>
              <w:bottom w:val="nil"/>
              <w:right w:val="single" w:sz="4" w:space="0" w:color="auto"/>
            </w:tcBorders>
            <w:shd w:val="clear" w:color="000000" w:fill="FFFFFF"/>
            <w:noWrap/>
            <w:vAlign w:val="center"/>
            <w:hideMark/>
          </w:tcPr>
          <w:p w:rsidR="00DA081D" w:rsidRPr="00EB2995" w:rsidRDefault="00DA081D" w:rsidP="00AF73B9">
            <w:pPr>
              <w:jc w:val="right"/>
              <w:rPr>
                <w:rFonts w:cs="Calibri"/>
                <w:color w:val="000000"/>
                <w:sz w:val="20"/>
                <w:szCs w:val="20"/>
                <w:lang w:eastAsia="en-GB"/>
              </w:rPr>
            </w:pPr>
            <w:r w:rsidRPr="00EB2995">
              <w:rPr>
                <w:rFonts w:cs="Calibri"/>
                <w:color w:val="000000"/>
                <w:sz w:val="20"/>
                <w:szCs w:val="20"/>
              </w:rPr>
              <w:t>95.0</w:t>
            </w:r>
          </w:p>
        </w:tc>
        <w:tc>
          <w:tcPr>
            <w:tcW w:w="1361" w:type="dxa"/>
            <w:tcBorders>
              <w:top w:val="nil"/>
              <w:left w:val="nil"/>
              <w:bottom w:val="nil"/>
              <w:right w:val="single" w:sz="4" w:space="0" w:color="auto"/>
            </w:tcBorders>
            <w:shd w:val="clear" w:color="000000" w:fill="FFFFFF"/>
            <w:noWrap/>
            <w:vAlign w:val="center"/>
            <w:hideMark/>
          </w:tcPr>
          <w:p w:rsidR="00DA081D" w:rsidRPr="00EB2995" w:rsidRDefault="00DA081D" w:rsidP="00AF73B9">
            <w:pPr>
              <w:jc w:val="right"/>
              <w:rPr>
                <w:rFonts w:cs="Calibri"/>
                <w:color w:val="000000"/>
                <w:sz w:val="20"/>
                <w:szCs w:val="20"/>
                <w:lang w:eastAsia="en-GB"/>
              </w:rPr>
            </w:pPr>
            <w:r w:rsidRPr="00EB2995">
              <w:rPr>
                <w:rFonts w:cs="Calibri"/>
                <w:color w:val="000000"/>
                <w:sz w:val="20"/>
                <w:szCs w:val="20"/>
              </w:rPr>
              <w:t>101.6</w:t>
            </w:r>
          </w:p>
        </w:tc>
        <w:tc>
          <w:tcPr>
            <w:tcW w:w="1361" w:type="dxa"/>
            <w:tcBorders>
              <w:top w:val="nil"/>
              <w:left w:val="nil"/>
              <w:bottom w:val="nil"/>
              <w:right w:val="single" w:sz="4" w:space="0" w:color="auto"/>
            </w:tcBorders>
            <w:shd w:val="clear" w:color="000000" w:fill="FFFFFF"/>
            <w:noWrap/>
            <w:vAlign w:val="center"/>
            <w:hideMark/>
          </w:tcPr>
          <w:p w:rsidR="00DA081D" w:rsidRPr="00EB2995" w:rsidRDefault="00DA081D" w:rsidP="00AF73B9">
            <w:pPr>
              <w:jc w:val="right"/>
              <w:rPr>
                <w:rFonts w:cs="Calibri"/>
                <w:color w:val="000000"/>
                <w:sz w:val="20"/>
                <w:szCs w:val="20"/>
                <w:lang w:eastAsia="en-GB"/>
              </w:rPr>
            </w:pPr>
            <w:r w:rsidRPr="00EB2995">
              <w:rPr>
                <w:rFonts w:cs="Calibri"/>
                <w:color w:val="000000"/>
                <w:sz w:val="20"/>
                <w:szCs w:val="20"/>
              </w:rPr>
              <w:t>15.1</w:t>
            </w:r>
          </w:p>
        </w:tc>
        <w:tc>
          <w:tcPr>
            <w:tcW w:w="1361" w:type="dxa"/>
            <w:tcBorders>
              <w:top w:val="nil"/>
              <w:left w:val="nil"/>
              <w:bottom w:val="nil"/>
              <w:right w:val="single" w:sz="4" w:space="0" w:color="auto"/>
            </w:tcBorders>
            <w:shd w:val="clear" w:color="000000" w:fill="FFFFFF"/>
            <w:noWrap/>
            <w:vAlign w:val="center"/>
            <w:hideMark/>
          </w:tcPr>
          <w:p w:rsidR="00DA081D" w:rsidRPr="00EB2995" w:rsidRDefault="00DA081D" w:rsidP="00AF73B9">
            <w:pPr>
              <w:jc w:val="right"/>
              <w:rPr>
                <w:rFonts w:cs="Calibri"/>
                <w:color w:val="000000"/>
                <w:sz w:val="20"/>
                <w:szCs w:val="20"/>
                <w:lang w:eastAsia="en-GB"/>
              </w:rPr>
            </w:pPr>
            <w:r w:rsidRPr="00EB2995">
              <w:rPr>
                <w:rFonts w:cs="Calibri"/>
                <w:color w:val="000000"/>
                <w:sz w:val="20"/>
                <w:szCs w:val="20"/>
              </w:rPr>
              <w:t>22.3</w:t>
            </w:r>
          </w:p>
        </w:tc>
      </w:tr>
      <w:tr w:rsidR="00DA081D" w:rsidRPr="00EB2995" w:rsidTr="00AF73B9">
        <w:trPr>
          <w:trHeight w:val="300"/>
        </w:trPr>
        <w:tc>
          <w:tcPr>
            <w:tcW w:w="3544" w:type="dxa"/>
            <w:tcBorders>
              <w:top w:val="nil"/>
              <w:left w:val="single" w:sz="4" w:space="0" w:color="auto"/>
              <w:bottom w:val="nil"/>
              <w:right w:val="nil"/>
            </w:tcBorders>
            <w:shd w:val="clear" w:color="000000" w:fill="FFFFFF"/>
            <w:noWrap/>
            <w:vAlign w:val="center"/>
            <w:hideMark/>
          </w:tcPr>
          <w:p w:rsidR="00DA081D" w:rsidRPr="00EB2995" w:rsidRDefault="00DA081D" w:rsidP="00AF73B9">
            <w:pPr>
              <w:rPr>
                <w:rFonts w:cs="Calibri"/>
                <w:color w:val="000000"/>
                <w:sz w:val="20"/>
                <w:szCs w:val="20"/>
                <w:lang w:eastAsia="en-GB"/>
              </w:rPr>
            </w:pPr>
            <w:r w:rsidRPr="00EB2995">
              <w:rPr>
                <w:rFonts w:cs="Calibri"/>
                <w:color w:val="000000"/>
                <w:sz w:val="20"/>
                <w:szCs w:val="20"/>
                <w:lang w:eastAsia="en-GB"/>
              </w:rPr>
              <w:t>Lease payables and PFI liabilities</w:t>
            </w:r>
          </w:p>
        </w:tc>
        <w:tc>
          <w:tcPr>
            <w:tcW w:w="1276" w:type="dxa"/>
            <w:tcBorders>
              <w:top w:val="nil"/>
              <w:left w:val="single" w:sz="4" w:space="0" w:color="auto"/>
              <w:bottom w:val="nil"/>
              <w:right w:val="single" w:sz="4" w:space="0" w:color="auto"/>
            </w:tcBorders>
            <w:shd w:val="clear" w:color="000000" w:fill="FFFFFF"/>
            <w:noWrap/>
            <w:vAlign w:val="center"/>
            <w:hideMark/>
          </w:tcPr>
          <w:p w:rsidR="00DA081D" w:rsidRPr="00EB2995" w:rsidRDefault="00DA081D" w:rsidP="00AF73B9">
            <w:pPr>
              <w:jc w:val="center"/>
              <w:rPr>
                <w:rFonts w:cs="Calibri"/>
                <w:color w:val="000000"/>
                <w:sz w:val="20"/>
                <w:szCs w:val="20"/>
                <w:lang w:eastAsia="en-GB"/>
              </w:rPr>
            </w:pPr>
            <w:r w:rsidRPr="00EB2995">
              <w:rPr>
                <w:rFonts w:cs="Calibri"/>
                <w:color w:val="000000"/>
                <w:sz w:val="20"/>
                <w:szCs w:val="20"/>
                <w:lang w:eastAsia="en-GB"/>
              </w:rPr>
              <w:t>2</w:t>
            </w:r>
          </w:p>
        </w:tc>
        <w:tc>
          <w:tcPr>
            <w:tcW w:w="1417" w:type="dxa"/>
            <w:tcBorders>
              <w:top w:val="nil"/>
              <w:left w:val="nil"/>
              <w:bottom w:val="nil"/>
              <w:right w:val="single" w:sz="4" w:space="0" w:color="auto"/>
            </w:tcBorders>
            <w:shd w:val="clear" w:color="000000" w:fill="FFFFFF"/>
            <w:noWrap/>
            <w:vAlign w:val="center"/>
            <w:hideMark/>
          </w:tcPr>
          <w:p w:rsidR="00DA081D" w:rsidRPr="00EB2995" w:rsidRDefault="00DA081D" w:rsidP="00AF73B9">
            <w:pPr>
              <w:jc w:val="right"/>
              <w:rPr>
                <w:rFonts w:cs="Calibri"/>
                <w:sz w:val="20"/>
                <w:szCs w:val="20"/>
                <w:lang w:eastAsia="en-GB"/>
              </w:rPr>
            </w:pPr>
            <w:r w:rsidRPr="00EB2995">
              <w:rPr>
                <w:rFonts w:cs="Calibri"/>
                <w:color w:val="000000"/>
                <w:sz w:val="20"/>
                <w:szCs w:val="20"/>
              </w:rPr>
              <w:t>31.1</w:t>
            </w:r>
          </w:p>
        </w:tc>
        <w:tc>
          <w:tcPr>
            <w:tcW w:w="1361" w:type="dxa"/>
            <w:tcBorders>
              <w:top w:val="nil"/>
              <w:left w:val="nil"/>
              <w:bottom w:val="nil"/>
              <w:right w:val="single" w:sz="4" w:space="0" w:color="auto"/>
            </w:tcBorders>
            <w:shd w:val="clear" w:color="000000" w:fill="FFFFFF"/>
            <w:noWrap/>
            <w:vAlign w:val="center"/>
            <w:hideMark/>
          </w:tcPr>
          <w:p w:rsidR="00DA081D" w:rsidRPr="00EB2995" w:rsidRDefault="00DA081D" w:rsidP="00AF73B9">
            <w:pPr>
              <w:jc w:val="right"/>
              <w:rPr>
                <w:rFonts w:cs="Calibri"/>
                <w:sz w:val="20"/>
                <w:szCs w:val="20"/>
                <w:lang w:eastAsia="en-GB"/>
              </w:rPr>
            </w:pPr>
            <w:r w:rsidRPr="00EB2995">
              <w:rPr>
                <w:rFonts w:cs="Calibri"/>
                <w:sz w:val="20"/>
                <w:szCs w:val="20"/>
                <w:lang w:eastAsia="en-GB"/>
              </w:rPr>
              <w:t>31.1</w:t>
            </w:r>
          </w:p>
        </w:tc>
        <w:tc>
          <w:tcPr>
            <w:tcW w:w="1361" w:type="dxa"/>
            <w:tcBorders>
              <w:top w:val="nil"/>
              <w:left w:val="nil"/>
              <w:bottom w:val="nil"/>
              <w:right w:val="single" w:sz="4" w:space="0" w:color="auto"/>
            </w:tcBorders>
            <w:shd w:val="clear" w:color="000000" w:fill="FFFFFF"/>
            <w:noWrap/>
            <w:vAlign w:val="center"/>
            <w:hideMark/>
          </w:tcPr>
          <w:p w:rsidR="00DA081D" w:rsidRPr="00EB2995" w:rsidRDefault="00DA081D" w:rsidP="00AF73B9">
            <w:pPr>
              <w:jc w:val="right"/>
              <w:rPr>
                <w:rFonts w:cs="Calibri"/>
                <w:color w:val="000000"/>
                <w:sz w:val="20"/>
                <w:szCs w:val="20"/>
                <w:lang w:eastAsia="en-GB"/>
              </w:rPr>
            </w:pPr>
            <w:r w:rsidRPr="00EB2995">
              <w:rPr>
                <w:rFonts w:cs="Calibri"/>
                <w:color w:val="000000"/>
                <w:sz w:val="20"/>
                <w:szCs w:val="20"/>
              </w:rPr>
              <w:t>31.2</w:t>
            </w:r>
          </w:p>
        </w:tc>
        <w:tc>
          <w:tcPr>
            <w:tcW w:w="1361" w:type="dxa"/>
            <w:tcBorders>
              <w:top w:val="nil"/>
              <w:left w:val="nil"/>
              <w:bottom w:val="nil"/>
              <w:right w:val="single" w:sz="4" w:space="0" w:color="auto"/>
            </w:tcBorders>
            <w:shd w:val="clear" w:color="000000" w:fill="FFFFFF"/>
            <w:noWrap/>
            <w:vAlign w:val="center"/>
            <w:hideMark/>
          </w:tcPr>
          <w:p w:rsidR="00DA081D" w:rsidRPr="00EB2995" w:rsidRDefault="00DA081D" w:rsidP="00AF73B9">
            <w:pPr>
              <w:jc w:val="right"/>
              <w:rPr>
                <w:rFonts w:cs="Calibri"/>
                <w:color w:val="000000"/>
                <w:sz w:val="20"/>
                <w:szCs w:val="20"/>
                <w:lang w:eastAsia="en-GB"/>
              </w:rPr>
            </w:pPr>
            <w:r w:rsidRPr="00EB2995">
              <w:rPr>
                <w:rFonts w:cs="Calibri"/>
                <w:color w:val="000000"/>
                <w:sz w:val="20"/>
                <w:szCs w:val="20"/>
              </w:rPr>
              <w:t>31.2</w:t>
            </w:r>
          </w:p>
        </w:tc>
      </w:tr>
      <w:tr w:rsidR="00DA081D" w:rsidRPr="00EB2995" w:rsidTr="00AF73B9">
        <w:trPr>
          <w:trHeight w:val="300"/>
        </w:trPr>
        <w:tc>
          <w:tcPr>
            <w:tcW w:w="3544" w:type="dxa"/>
            <w:tcBorders>
              <w:top w:val="nil"/>
              <w:left w:val="single" w:sz="4" w:space="0" w:color="auto"/>
              <w:bottom w:val="nil"/>
              <w:right w:val="nil"/>
            </w:tcBorders>
            <w:shd w:val="clear" w:color="000000" w:fill="FFFFFF"/>
            <w:noWrap/>
            <w:vAlign w:val="center"/>
            <w:hideMark/>
          </w:tcPr>
          <w:p w:rsidR="00DA081D" w:rsidRPr="00EB2995" w:rsidRDefault="00DA081D" w:rsidP="00AF73B9">
            <w:pPr>
              <w:rPr>
                <w:rFonts w:cs="Calibri"/>
                <w:color w:val="000000"/>
                <w:sz w:val="20"/>
                <w:szCs w:val="20"/>
                <w:lang w:eastAsia="en-GB"/>
              </w:rPr>
            </w:pPr>
            <w:r w:rsidRPr="00EB2995">
              <w:rPr>
                <w:rFonts w:cs="Calibri"/>
                <w:color w:val="000000"/>
                <w:sz w:val="20"/>
                <w:szCs w:val="20"/>
                <w:lang w:eastAsia="en-GB"/>
              </w:rPr>
              <w:t>Loans from Local Authorities</w:t>
            </w:r>
          </w:p>
        </w:tc>
        <w:tc>
          <w:tcPr>
            <w:tcW w:w="1276" w:type="dxa"/>
            <w:tcBorders>
              <w:top w:val="nil"/>
              <w:left w:val="single" w:sz="4" w:space="0" w:color="auto"/>
              <w:bottom w:val="nil"/>
              <w:right w:val="single" w:sz="4" w:space="0" w:color="auto"/>
            </w:tcBorders>
            <w:shd w:val="clear" w:color="000000" w:fill="FFFFFF"/>
            <w:noWrap/>
            <w:vAlign w:val="center"/>
            <w:hideMark/>
          </w:tcPr>
          <w:p w:rsidR="00DA081D" w:rsidRPr="00EB2995" w:rsidRDefault="00DA081D" w:rsidP="00AF73B9">
            <w:pPr>
              <w:jc w:val="center"/>
              <w:rPr>
                <w:rFonts w:cs="Calibri"/>
                <w:color w:val="000000"/>
                <w:sz w:val="20"/>
                <w:szCs w:val="20"/>
                <w:lang w:eastAsia="en-GB"/>
              </w:rPr>
            </w:pPr>
            <w:r w:rsidRPr="00EB2995">
              <w:rPr>
                <w:rFonts w:cs="Calibri"/>
                <w:color w:val="000000"/>
                <w:sz w:val="20"/>
                <w:szCs w:val="20"/>
                <w:lang w:eastAsia="en-GB"/>
              </w:rPr>
              <w:t>2</w:t>
            </w:r>
          </w:p>
        </w:tc>
        <w:tc>
          <w:tcPr>
            <w:tcW w:w="1417" w:type="dxa"/>
            <w:tcBorders>
              <w:top w:val="nil"/>
              <w:left w:val="nil"/>
              <w:bottom w:val="nil"/>
              <w:right w:val="single" w:sz="4" w:space="0" w:color="auto"/>
            </w:tcBorders>
            <w:shd w:val="clear" w:color="000000" w:fill="FFFFFF"/>
            <w:noWrap/>
            <w:vAlign w:val="center"/>
            <w:hideMark/>
          </w:tcPr>
          <w:p w:rsidR="00DA081D" w:rsidRPr="00EB2995" w:rsidRDefault="00DA081D" w:rsidP="00AF73B9">
            <w:pPr>
              <w:jc w:val="right"/>
              <w:rPr>
                <w:rFonts w:cs="Calibri"/>
                <w:sz w:val="20"/>
                <w:szCs w:val="20"/>
                <w:lang w:eastAsia="en-GB"/>
              </w:rPr>
            </w:pPr>
            <w:r w:rsidRPr="00EB2995">
              <w:rPr>
                <w:rFonts w:cs="Calibri"/>
                <w:color w:val="000000"/>
                <w:sz w:val="20"/>
                <w:szCs w:val="20"/>
              </w:rPr>
              <w:t>137.2</w:t>
            </w:r>
          </w:p>
        </w:tc>
        <w:tc>
          <w:tcPr>
            <w:tcW w:w="1361" w:type="dxa"/>
            <w:tcBorders>
              <w:top w:val="nil"/>
              <w:left w:val="nil"/>
              <w:bottom w:val="nil"/>
              <w:right w:val="single" w:sz="4" w:space="0" w:color="auto"/>
            </w:tcBorders>
            <w:shd w:val="clear" w:color="000000" w:fill="FFFFFF"/>
            <w:noWrap/>
            <w:vAlign w:val="center"/>
            <w:hideMark/>
          </w:tcPr>
          <w:p w:rsidR="00DA081D" w:rsidRPr="00EB2995" w:rsidRDefault="00DA081D" w:rsidP="00AF73B9">
            <w:pPr>
              <w:jc w:val="right"/>
              <w:rPr>
                <w:rFonts w:cs="Calibri"/>
                <w:sz w:val="20"/>
                <w:szCs w:val="20"/>
                <w:lang w:eastAsia="en-GB"/>
              </w:rPr>
            </w:pPr>
            <w:r w:rsidRPr="00EB2995">
              <w:rPr>
                <w:rFonts w:cs="Calibri"/>
                <w:color w:val="000000"/>
                <w:sz w:val="20"/>
                <w:szCs w:val="20"/>
              </w:rPr>
              <w:t>137.2</w:t>
            </w:r>
          </w:p>
        </w:tc>
        <w:tc>
          <w:tcPr>
            <w:tcW w:w="1361" w:type="dxa"/>
            <w:tcBorders>
              <w:top w:val="nil"/>
              <w:left w:val="nil"/>
              <w:bottom w:val="nil"/>
              <w:right w:val="single" w:sz="4" w:space="0" w:color="auto"/>
            </w:tcBorders>
            <w:shd w:val="clear" w:color="000000" w:fill="FFFFFF"/>
            <w:noWrap/>
            <w:vAlign w:val="center"/>
            <w:hideMark/>
          </w:tcPr>
          <w:p w:rsidR="00DA081D" w:rsidRPr="00EB2995" w:rsidRDefault="00DA081D" w:rsidP="00AF73B9">
            <w:pPr>
              <w:jc w:val="right"/>
              <w:rPr>
                <w:rFonts w:cs="Calibri"/>
                <w:color w:val="000000"/>
                <w:sz w:val="20"/>
                <w:szCs w:val="20"/>
                <w:lang w:eastAsia="en-GB"/>
              </w:rPr>
            </w:pPr>
            <w:r w:rsidRPr="00EB2995">
              <w:rPr>
                <w:rFonts w:cs="Calibri"/>
                <w:color w:val="000000"/>
                <w:sz w:val="20"/>
                <w:szCs w:val="20"/>
              </w:rPr>
              <w:t>0.0</w:t>
            </w:r>
          </w:p>
        </w:tc>
        <w:tc>
          <w:tcPr>
            <w:tcW w:w="1361" w:type="dxa"/>
            <w:tcBorders>
              <w:top w:val="nil"/>
              <w:left w:val="nil"/>
              <w:bottom w:val="nil"/>
              <w:right w:val="single" w:sz="4" w:space="0" w:color="auto"/>
            </w:tcBorders>
            <w:shd w:val="clear" w:color="000000" w:fill="FFFFFF"/>
            <w:noWrap/>
            <w:vAlign w:val="center"/>
            <w:hideMark/>
          </w:tcPr>
          <w:p w:rsidR="00DA081D" w:rsidRPr="00EB2995" w:rsidRDefault="00DA081D" w:rsidP="00AF73B9">
            <w:pPr>
              <w:jc w:val="right"/>
              <w:rPr>
                <w:rFonts w:cs="Calibri"/>
                <w:color w:val="000000"/>
                <w:sz w:val="20"/>
                <w:szCs w:val="20"/>
                <w:lang w:eastAsia="en-GB"/>
              </w:rPr>
            </w:pPr>
            <w:r w:rsidRPr="00EB2995">
              <w:rPr>
                <w:rFonts w:cs="Calibri"/>
                <w:color w:val="000000"/>
                <w:sz w:val="20"/>
                <w:szCs w:val="20"/>
              </w:rPr>
              <w:t>0.0</w:t>
            </w:r>
          </w:p>
        </w:tc>
      </w:tr>
      <w:tr w:rsidR="00DA081D" w:rsidRPr="00EB2995" w:rsidTr="00AF73B9">
        <w:trPr>
          <w:trHeight w:val="300"/>
        </w:trPr>
        <w:tc>
          <w:tcPr>
            <w:tcW w:w="3544" w:type="dxa"/>
            <w:tcBorders>
              <w:top w:val="nil"/>
              <w:left w:val="single" w:sz="4" w:space="0" w:color="auto"/>
              <w:bottom w:val="single" w:sz="4" w:space="0" w:color="auto"/>
              <w:right w:val="nil"/>
            </w:tcBorders>
            <w:shd w:val="clear" w:color="000000" w:fill="FFFFFF"/>
            <w:noWrap/>
            <w:vAlign w:val="center"/>
            <w:hideMark/>
          </w:tcPr>
          <w:p w:rsidR="00DA081D" w:rsidRPr="00EB2995" w:rsidRDefault="00DA081D" w:rsidP="00AF73B9">
            <w:pPr>
              <w:rPr>
                <w:rFonts w:cs="Calibri"/>
                <w:color w:val="000000"/>
                <w:sz w:val="20"/>
                <w:szCs w:val="20"/>
                <w:lang w:eastAsia="en-GB"/>
              </w:rPr>
            </w:pPr>
            <w:r w:rsidRPr="00EB2995">
              <w:rPr>
                <w:rFonts w:cs="Calibri"/>
                <w:color w:val="000000"/>
                <w:sz w:val="20"/>
                <w:szCs w:val="20"/>
                <w:lang w:eastAsia="en-GB"/>
              </w:rPr>
              <w:t>Short-term creditors</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rsidR="00DA081D" w:rsidRPr="00EB2995" w:rsidRDefault="00DA081D" w:rsidP="00AF73B9">
            <w:pPr>
              <w:jc w:val="center"/>
              <w:rPr>
                <w:rFonts w:cs="Calibri"/>
                <w:color w:val="000000"/>
                <w:sz w:val="20"/>
                <w:szCs w:val="20"/>
                <w:lang w:eastAsia="en-GB"/>
              </w:rPr>
            </w:pPr>
            <w:r w:rsidRPr="00EB2995">
              <w:rPr>
                <w:rFonts w:cs="Calibri"/>
                <w:color w:val="000000"/>
                <w:sz w:val="20"/>
                <w:szCs w:val="20"/>
                <w:lang w:eastAsia="en-GB"/>
              </w:rPr>
              <w:t>N/A</w:t>
            </w:r>
          </w:p>
        </w:tc>
        <w:tc>
          <w:tcPr>
            <w:tcW w:w="1417" w:type="dxa"/>
            <w:tcBorders>
              <w:top w:val="nil"/>
              <w:left w:val="nil"/>
              <w:bottom w:val="nil"/>
              <w:right w:val="single" w:sz="4" w:space="0" w:color="auto"/>
            </w:tcBorders>
            <w:shd w:val="clear" w:color="000000" w:fill="FFFFFF"/>
            <w:noWrap/>
            <w:vAlign w:val="center"/>
            <w:hideMark/>
          </w:tcPr>
          <w:p w:rsidR="00DA081D" w:rsidRPr="00EB2995" w:rsidRDefault="00DA081D" w:rsidP="00AF73B9">
            <w:pPr>
              <w:jc w:val="right"/>
              <w:rPr>
                <w:rFonts w:cs="Calibri"/>
                <w:sz w:val="20"/>
                <w:szCs w:val="20"/>
                <w:lang w:eastAsia="en-GB"/>
              </w:rPr>
            </w:pPr>
            <w:r w:rsidRPr="00EB2995">
              <w:rPr>
                <w:rFonts w:cs="Calibri"/>
                <w:color w:val="000000"/>
                <w:sz w:val="20"/>
                <w:szCs w:val="20"/>
              </w:rPr>
              <w:t>124.3</w:t>
            </w:r>
          </w:p>
        </w:tc>
        <w:tc>
          <w:tcPr>
            <w:tcW w:w="1361" w:type="dxa"/>
            <w:tcBorders>
              <w:top w:val="nil"/>
              <w:left w:val="nil"/>
              <w:bottom w:val="nil"/>
              <w:right w:val="single" w:sz="4" w:space="0" w:color="auto"/>
            </w:tcBorders>
            <w:shd w:val="clear" w:color="000000" w:fill="FFFFFF"/>
            <w:noWrap/>
            <w:vAlign w:val="center"/>
            <w:hideMark/>
          </w:tcPr>
          <w:p w:rsidR="00DA081D" w:rsidRPr="00EB2995" w:rsidRDefault="00DA081D" w:rsidP="00AF73B9">
            <w:pPr>
              <w:jc w:val="right"/>
              <w:rPr>
                <w:rFonts w:cs="Calibri"/>
                <w:sz w:val="20"/>
                <w:szCs w:val="20"/>
                <w:lang w:eastAsia="en-GB"/>
              </w:rPr>
            </w:pPr>
            <w:r w:rsidRPr="00EB2995">
              <w:rPr>
                <w:rFonts w:cs="Calibri"/>
                <w:color w:val="000000"/>
                <w:sz w:val="20"/>
                <w:szCs w:val="20"/>
              </w:rPr>
              <w:t>124.3</w:t>
            </w:r>
          </w:p>
        </w:tc>
        <w:tc>
          <w:tcPr>
            <w:tcW w:w="1361" w:type="dxa"/>
            <w:tcBorders>
              <w:top w:val="nil"/>
              <w:left w:val="nil"/>
              <w:bottom w:val="nil"/>
              <w:right w:val="single" w:sz="4" w:space="0" w:color="auto"/>
            </w:tcBorders>
            <w:shd w:val="clear" w:color="000000" w:fill="FFFFFF"/>
            <w:noWrap/>
            <w:vAlign w:val="center"/>
            <w:hideMark/>
          </w:tcPr>
          <w:p w:rsidR="00DA081D" w:rsidRPr="00EB2995" w:rsidRDefault="00DA081D" w:rsidP="00AF73B9">
            <w:pPr>
              <w:jc w:val="right"/>
              <w:rPr>
                <w:rFonts w:cs="Calibri"/>
                <w:color w:val="000000"/>
                <w:sz w:val="20"/>
                <w:szCs w:val="20"/>
                <w:lang w:eastAsia="en-GB"/>
              </w:rPr>
            </w:pPr>
            <w:r w:rsidRPr="00EB2995">
              <w:rPr>
                <w:rFonts w:cs="Calibri"/>
                <w:color w:val="000000"/>
                <w:sz w:val="20"/>
                <w:szCs w:val="20"/>
              </w:rPr>
              <w:t>148.7</w:t>
            </w:r>
          </w:p>
        </w:tc>
        <w:tc>
          <w:tcPr>
            <w:tcW w:w="1361" w:type="dxa"/>
            <w:tcBorders>
              <w:top w:val="nil"/>
              <w:left w:val="nil"/>
              <w:bottom w:val="nil"/>
              <w:right w:val="single" w:sz="4" w:space="0" w:color="auto"/>
            </w:tcBorders>
            <w:shd w:val="clear" w:color="000000" w:fill="FFFFFF"/>
            <w:noWrap/>
            <w:vAlign w:val="center"/>
            <w:hideMark/>
          </w:tcPr>
          <w:p w:rsidR="00DA081D" w:rsidRPr="00EB2995" w:rsidRDefault="00DA081D" w:rsidP="00AF73B9">
            <w:pPr>
              <w:jc w:val="right"/>
              <w:rPr>
                <w:rFonts w:cs="Calibri"/>
                <w:color w:val="000000"/>
                <w:sz w:val="20"/>
                <w:szCs w:val="20"/>
                <w:lang w:eastAsia="en-GB"/>
              </w:rPr>
            </w:pPr>
            <w:r w:rsidRPr="00EB2995">
              <w:rPr>
                <w:rFonts w:cs="Calibri"/>
                <w:color w:val="000000"/>
                <w:sz w:val="20"/>
                <w:szCs w:val="20"/>
              </w:rPr>
              <w:t>148.7</w:t>
            </w:r>
          </w:p>
        </w:tc>
      </w:tr>
      <w:tr w:rsidR="00DA081D" w:rsidRPr="00EB2995" w:rsidTr="00AF73B9">
        <w:trPr>
          <w:trHeight w:val="300"/>
        </w:trPr>
        <w:tc>
          <w:tcPr>
            <w:tcW w:w="3544" w:type="dxa"/>
            <w:tcBorders>
              <w:top w:val="nil"/>
              <w:left w:val="single" w:sz="4" w:space="0" w:color="auto"/>
              <w:bottom w:val="single" w:sz="4" w:space="0" w:color="auto"/>
              <w:right w:val="nil"/>
            </w:tcBorders>
            <w:shd w:val="clear" w:color="000000" w:fill="FFFFFF"/>
            <w:noWrap/>
            <w:vAlign w:val="center"/>
            <w:hideMark/>
          </w:tcPr>
          <w:p w:rsidR="00DA081D" w:rsidRPr="00EB2995" w:rsidRDefault="00DA081D" w:rsidP="00AF73B9">
            <w:pPr>
              <w:rPr>
                <w:rFonts w:cs="Calibri"/>
                <w:color w:val="000000"/>
                <w:sz w:val="20"/>
                <w:szCs w:val="20"/>
                <w:lang w:eastAsia="en-GB"/>
              </w:rPr>
            </w:pPr>
            <w:r w:rsidRPr="00EB2995">
              <w:rPr>
                <w:rFonts w:cs="Calibri"/>
                <w:color w:val="000000"/>
                <w:sz w:val="20"/>
                <w:szCs w:val="20"/>
                <w:lang w:eastAsia="en-GB"/>
              </w:rPr>
              <w:t>Total</w:t>
            </w:r>
          </w:p>
        </w:tc>
        <w:tc>
          <w:tcPr>
            <w:tcW w:w="1276" w:type="dxa"/>
            <w:tcBorders>
              <w:top w:val="nil"/>
              <w:left w:val="nil"/>
              <w:bottom w:val="single" w:sz="4" w:space="0" w:color="auto"/>
              <w:right w:val="single" w:sz="4" w:space="0" w:color="auto"/>
            </w:tcBorders>
            <w:shd w:val="clear" w:color="000000" w:fill="FFFFFF"/>
            <w:noWrap/>
            <w:vAlign w:val="center"/>
            <w:hideMark/>
          </w:tcPr>
          <w:p w:rsidR="00DA081D" w:rsidRPr="00EB2995" w:rsidRDefault="00DA081D" w:rsidP="00AF73B9">
            <w:pPr>
              <w:rPr>
                <w:rFonts w:cs="Calibri"/>
                <w:color w:val="000000"/>
                <w:sz w:val="20"/>
                <w:szCs w:val="20"/>
                <w:lang w:eastAsia="en-GB"/>
              </w:rPr>
            </w:pPr>
            <w:r w:rsidRPr="00EB2995">
              <w:rPr>
                <w:rFonts w:cs="Calibri"/>
                <w:color w:val="000000"/>
                <w:sz w:val="20"/>
                <w:szCs w:val="20"/>
                <w:lang w:eastAsia="en-GB"/>
              </w:rPr>
              <w:t> </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rsidR="00DA081D" w:rsidRPr="00EB2995" w:rsidRDefault="00DA081D" w:rsidP="00AF73B9">
            <w:pPr>
              <w:jc w:val="right"/>
              <w:rPr>
                <w:rFonts w:cs="Calibri"/>
                <w:b/>
                <w:bCs/>
                <w:color w:val="000000"/>
                <w:sz w:val="20"/>
                <w:szCs w:val="20"/>
                <w:lang w:eastAsia="en-GB"/>
              </w:rPr>
            </w:pPr>
            <w:r w:rsidRPr="00EB2995">
              <w:rPr>
                <w:rFonts w:cs="Calibri"/>
                <w:b/>
                <w:bCs/>
                <w:color w:val="000000"/>
                <w:sz w:val="20"/>
                <w:szCs w:val="20"/>
              </w:rPr>
              <w:t>758.4</w:t>
            </w:r>
          </w:p>
        </w:tc>
        <w:tc>
          <w:tcPr>
            <w:tcW w:w="1361" w:type="dxa"/>
            <w:tcBorders>
              <w:top w:val="single" w:sz="4" w:space="0" w:color="auto"/>
              <w:left w:val="nil"/>
              <w:bottom w:val="single" w:sz="4" w:space="0" w:color="auto"/>
              <w:right w:val="single" w:sz="4" w:space="0" w:color="auto"/>
            </w:tcBorders>
            <w:shd w:val="clear" w:color="000000" w:fill="FFFFFF"/>
            <w:noWrap/>
            <w:vAlign w:val="center"/>
            <w:hideMark/>
          </w:tcPr>
          <w:p w:rsidR="00DA081D" w:rsidRPr="00EB2995" w:rsidRDefault="00DA081D" w:rsidP="00AF73B9">
            <w:pPr>
              <w:jc w:val="right"/>
              <w:rPr>
                <w:rFonts w:cs="Calibri"/>
                <w:b/>
                <w:bCs/>
                <w:color w:val="000000"/>
                <w:sz w:val="20"/>
                <w:szCs w:val="20"/>
                <w:lang w:eastAsia="en-GB"/>
              </w:rPr>
            </w:pPr>
            <w:r w:rsidRPr="00EB2995">
              <w:rPr>
                <w:rFonts w:cs="Calibri"/>
                <w:b/>
                <w:bCs/>
                <w:color w:val="000000"/>
                <w:sz w:val="20"/>
                <w:szCs w:val="20"/>
              </w:rPr>
              <w:t>1,024.9</w:t>
            </w:r>
          </w:p>
        </w:tc>
        <w:tc>
          <w:tcPr>
            <w:tcW w:w="1361" w:type="dxa"/>
            <w:tcBorders>
              <w:top w:val="single" w:sz="4" w:space="0" w:color="auto"/>
              <w:left w:val="nil"/>
              <w:bottom w:val="single" w:sz="4" w:space="0" w:color="auto"/>
              <w:right w:val="single" w:sz="4" w:space="0" w:color="auto"/>
            </w:tcBorders>
            <w:shd w:val="clear" w:color="000000" w:fill="FFFFFF"/>
            <w:noWrap/>
            <w:vAlign w:val="center"/>
            <w:hideMark/>
          </w:tcPr>
          <w:p w:rsidR="00DA081D" w:rsidRPr="00EB2995" w:rsidRDefault="00DA081D" w:rsidP="00AF73B9">
            <w:pPr>
              <w:jc w:val="right"/>
              <w:rPr>
                <w:rFonts w:cs="Calibri"/>
                <w:b/>
                <w:bCs/>
                <w:color w:val="000000"/>
                <w:sz w:val="20"/>
                <w:szCs w:val="20"/>
                <w:lang w:eastAsia="en-GB"/>
              </w:rPr>
            </w:pPr>
            <w:r w:rsidRPr="00EB2995">
              <w:rPr>
                <w:rFonts w:cs="Calibri"/>
                <w:b/>
                <w:bCs/>
                <w:color w:val="000000"/>
                <w:sz w:val="20"/>
                <w:szCs w:val="20"/>
              </w:rPr>
              <w:t>580.1</w:t>
            </w:r>
          </w:p>
        </w:tc>
        <w:tc>
          <w:tcPr>
            <w:tcW w:w="1361" w:type="dxa"/>
            <w:tcBorders>
              <w:top w:val="single" w:sz="4" w:space="0" w:color="auto"/>
              <w:left w:val="nil"/>
              <w:bottom w:val="single" w:sz="4" w:space="0" w:color="auto"/>
              <w:right w:val="single" w:sz="4" w:space="0" w:color="auto"/>
            </w:tcBorders>
            <w:shd w:val="clear" w:color="000000" w:fill="FFFFFF"/>
            <w:noWrap/>
            <w:vAlign w:val="center"/>
            <w:hideMark/>
          </w:tcPr>
          <w:p w:rsidR="00DA081D" w:rsidRPr="00EB2995" w:rsidRDefault="00DA081D" w:rsidP="00AF73B9">
            <w:pPr>
              <w:jc w:val="right"/>
              <w:rPr>
                <w:rFonts w:cs="Calibri"/>
                <w:b/>
                <w:bCs/>
                <w:color w:val="000000"/>
                <w:sz w:val="20"/>
                <w:szCs w:val="20"/>
                <w:lang w:eastAsia="en-GB"/>
              </w:rPr>
            </w:pPr>
            <w:r w:rsidRPr="00EB2995">
              <w:rPr>
                <w:rFonts w:cs="Calibri"/>
                <w:b/>
                <w:bCs/>
                <w:color w:val="000000"/>
                <w:sz w:val="20"/>
                <w:szCs w:val="20"/>
              </w:rPr>
              <w:t>818.1</w:t>
            </w:r>
          </w:p>
        </w:tc>
      </w:tr>
    </w:tbl>
    <w:p w:rsidR="00F72906" w:rsidRDefault="00F72906" w:rsidP="00F72906">
      <w:r>
        <w:t>The fair value of financial liabilities is higher than the carrying amount because the authority’s portfolio of loans includes a number of loans where the interest rate payable is higher than the rates available for similar lo</w:t>
      </w:r>
      <w:r w:rsidR="00DA081D">
        <w:t xml:space="preserve">ans at the Balance Sheet date. </w:t>
      </w:r>
    </w:p>
    <w:p w:rsidR="00F72906" w:rsidRPr="00DA081D" w:rsidRDefault="00F72906" w:rsidP="00F72906">
      <w:pPr>
        <w:rPr>
          <w:u w:val="single"/>
        </w:rPr>
      </w:pPr>
      <w:r w:rsidRPr="00DA081D">
        <w:rPr>
          <w:u w:val="single"/>
        </w:rPr>
        <w:t>Financial Assets</w:t>
      </w:r>
    </w:p>
    <w:tbl>
      <w:tblPr>
        <w:tblW w:w="10369" w:type="dxa"/>
        <w:tblLook w:val="04A0" w:firstRow="1" w:lastRow="0" w:firstColumn="1" w:lastColumn="0" w:noHBand="0" w:noVBand="1"/>
        <w:tblCaption w:val="Financial assets"/>
      </w:tblPr>
      <w:tblGrid>
        <w:gridCol w:w="3686"/>
        <w:gridCol w:w="1110"/>
        <w:gridCol w:w="1238"/>
        <w:gridCol w:w="1539"/>
        <w:gridCol w:w="1478"/>
        <w:gridCol w:w="1318"/>
      </w:tblGrid>
      <w:tr w:rsidR="007058D0" w:rsidRPr="00EB2995" w:rsidTr="007058D0">
        <w:trPr>
          <w:trHeight w:val="525"/>
          <w:tblHeader/>
        </w:trPr>
        <w:tc>
          <w:tcPr>
            <w:tcW w:w="3686" w:type="dxa"/>
            <w:vMerge w:val="restart"/>
            <w:tcBorders>
              <w:top w:val="nil"/>
              <w:left w:val="nil"/>
              <w:bottom w:val="nil"/>
              <w:right w:val="nil"/>
            </w:tcBorders>
            <w:shd w:val="clear" w:color="000000" w:fill="FFFFFF"/>
            <w:noWrap/>
            <w:vAlign w:val="center"/>
            <w:hideMark/>
          </w:tcPr>
          <w:p w:rsidR="007058D0" w:rsidRPr="00EB2995" w:rsidRDefault="007058D0" w:rsidP="00891A96">
            <w:pPr>
              <w:jc w:val="center"/>
              <w:rPr>
                <w:rFonts w:cs="Calibri"/>
                <w:color w:val="000000"/>
                <w:sz w:val="20"/>
                <w:szCs w:val="20"/>
                <w:lang w:eastAsia="en-GB"/>
              </w:rPr>
            </w:pPr>
            <w:r w:rsidRPr="00EB2995">
              <w:rPr>
                <w:rFonts w:cs="Calibri"/>
                <w:color w:val="000000"/>
                <w:sz w:val="20"/>
                <w:szCs w:val="20"/>
                <w:lang w:eastAsia="en-GB"/>
              </w:rPr>
              <w:t> </w:t>
            </w:r>
          </w:p>
        </w:tc>
        <w:tc>
          <w:tcPr>
            <w:tcW w:w="1110" w:type="dxa"/>
            <w:vMerge w:val="restart"/>
            <w:tcBorders>
              <w:top w:val="nil"/>
              <w:left w:val="nil"/>
              <w:bottom w:val="single" w:sz="4" w:space="0" w:color="000000"/>
              <w:right w:val="nil"/>
            </w:tcBorders>
            <w:shd w:val="clear" w:color="000000" w:fill="FFFFFF"/>
            <w:vAlign w:val="center"/>
            <w:hideMark/>
          </w:tcPr>
          <w:p w:rsidR="007058D0" w:rsidRPr="00EB2995" w:rsidRDefault="007058D0" w:rsidP="00891A96">
            <w:pPr>
              <w:jc w:val="center"/>
              <w:rPr>
                <w:rFonts w:cs="Calibri"/>
                <w:color w:val="000000"/>
                <w:sz w:val="20"/>
                <w:szCs w:val="20"/>
                <w:lang w:eastAsia="en-GB"/>
              </w:rPr>
            </w:pPr>
            <w:r w:rsidRPr="00EB2995">
              <w:rPr>
                <w:rFonts w:cs="Calibri"/>
                <w:color w:val="000000"/>
                <w:sz w:val="20"/>
                <w:szCs w:val="20"/>
                <w:lang w:eastAsia="en-GB"/>
              </w:rPr>
              <w:t>Fair Value Level</w:t>
            </w:r>
          </w:p>
        </w:tc>
        <w:tc>
          <w:tcPr>
            <w:tcW w:w="1238" w:type="dxa"/>
            <w:tcBorders>
              <w:top w:val="nil"/>
              <w:left w:val="nil"/>
              <w:bottom w:val="nil"/>
              <w:right w:val="nil"/>
            </w:tcBorders>
            <w:shd w:val="clear" w:color="000000" w:fill="FFFFFF"/>
            <w:vAlign w:val="center"/>
            <w:hideMark/>
          </w:tcPr>
          <w:p w:rsidR="007058D0" w:rsidRPr="00EB2995" w:rsidRDefault="007058D0" w:rsidP="00891A96">
            <w:pPr>
              <w:jc w:val="center"/>
              <w:rPr>
                <w:rFonts w:cs="Calibri"/>
                <w:color w:val="000000"/>
                <w:sz w:val="20"/>
                <w:szCs w:val="20"/>
                <w:lang w:eastAsia="en-GB"/>
              </w:rPr>
            </w:pPr>
            <w:r w:rsidRPr="00EB2995">
              <w:rPr>
                <w:rFonts w:cs="Calibri"/>
                <w:color w:val="000000"/>
                <w:sz w:val="20"/>
                <w:szCs w:val="20"/>
                <w:lang w:eastAsia="en-GB"/>
              </w:rPr>
              <w:t>Balance sheet 2019/20</w:t>
            </w:r>
          </w:p>
        </w:tc>
        <w:tc>
          <w:tcPr>
            <w:tcW w:w="1539" w:type="dxa"/>
            <w:tcBorders>
              <w:top w:val="nil"/>
              <w:left w:val="nil"/>
              <w:bottom w:val="nil"/>
              <w:right w:val="nil"/>
            </w:tcBorders>
            <w:shd w:val="clear" w:color="000000" w:fill="FFFFFF"/>
            <w:vAlign w:val="center"/>
            <w:hideMark/>
          </w:tcPr>
          <w:p w:rsidR="007058D0" w:rsidRPr="00EB2995" w:rsidRDefault="007058D0" w:rsidP="00891A96">
            <w:pPr>
              <w:jc w:val="center"/>
              <w:rPr>
                <w:rFonts w:cs="Calibri"/>
                <w:color w:val="000000"/>
                <w:sz w:val="20"/>
                <w:szCs w:val="20"/>
                <w:lang w:eastAsia="en-GB"/>
              </w:rPr>
            </w:pPr>
            <w:r w:rsidRPr="00EB2995">
              <w:rPr>
                <w:rFonts w:cs="Calibri"/>
                <w:color w:val="000000"/>
                <w:sz w:val="20"/>
                <w:szCs w:val="20"/>
                <w:lang w:eastAsia="en-GB"/>
              </w:rPr>
              <w:t>Fair Value 2019/20</w:t>
            </w:r>
          </w:p>
        </w:tc>
        <w:tc>
          <w:tcPr>
            <w:tcW w:w="1478" w:type="dxa"/>
            <w:tcBorders>
              <w:top w:val="nil"/>
              <w:left w:val="nil"/>
              <w:bottom w:val="nil"/>
              <w:right w:val="nil"/>
            </w:tcBorders>
            <w:shd w:val="clear" w:color="000000" w:fill="FFFFFF"/>
            <w:vAlign w:val="center"/>
            <w:hideMark/>
          </w:tcPr>
          <w:p w:rsidR="007058D0" w:rsidRPr="00EB2995" w:rsidRDefault="007058D0" w:rsidP="00891A96">
            <w:pPr>
              <w:jc w:val="center"/>
              <w:rPr>
                <w:rFonts w:cs="Calibri"/>
                <w:color w:val="000000"/>
                <w:sz w:val="20"/>
                <w:szCs w:val="20"/>
                <w:lang w:eastAsia="en-GB"/>
              </w:rPr>
            </w:pPr>
            <w:r w:rsidRPr="00EB2995">
              <w:rPr>
                <w:rFonts w:cs="Calibri"/>
                <w:color w:val="000000"/>
                <w:sz w:val="20"/>
                <w:szCs w:val="20"/>
                <w:lang w:eastAsia="en-GB"/>
              </w:rPr>
              <w:t>Balance Sheet 2018/19</w:t>
            </w:r>
          </w:p>
        </w:tc>
        <w:tc>
          <w:tcPr>
            <w:tcW w:w="1318" w:type="dxa"/>
            <w:tcBorders>
              <w:top w:val="nil"/>
              <w:left w:val="nil"/>
              <w:bottom w:val="nil"/>
              <w:right w:val="nil"/>
            </w:tcBorders>
            <w:shd w:val="clear" w:color="000000" w:fill="FFFFFF"/>
            <w:vAlign w:val="center"/>
            <w:hideMark/>
          </w:tcPr>
          <w:p w:rsidR="007058D0" w:rsidRPr="00EB2995" w:rsidRDefault="007058D0" w:rsidP="00891A96">
            <w:pPr>
              <w:jc w:val="center"/>
              <w:rPr>
                <w:rFonts w:cs="Calibri"/>
                <w:color w:val="000000"/>
                <w:sz w:val="20"/>
                <w:szCs w:val="20"/>
                <w:lang w:eastAsia="en-GB"/>
              </w:rPr>
            </w:pPr>
            <w:r w:rsidRPr="00EB2995">
              <w:rPr>
                <w:rFonts w:cs="Calibri"/>
                <w:color w:val="000000"/>
                <w:sz w:val="20"/>
                <w:szCs w:val="20"/>
                <w:lang w:eastAsia="en-GB"/>
              </w:rPr>
              <w:t>Fair Value 2018/19</w:t>
            </w:r>
          </w:p>
        </w:tc>
      </w:tr>
      <w:tr w:rsidR="007058D0" w:rsidRPr="00EB2995" w:rsidTr="007058D0">
        <w:trPr>
          <w:trHeight w:val="285"/>
          <w:tblHeader/>
        </w:trPr>
        <w:tc>
          <w:tcPr>
            <w:tcW w:w="3686" w:type="dxa"/>
            <w:vMerge/>
            <w:tcBorders>
              <w:top w:val="nil"/>
              <w:left w:val="nil"/>
              <w:bottom w:val="nil"/>
              <w:right w:val="nil"/>
            </w:tcBorders>
            <w:vAlign w:val="center"/>
            <w:hideMark/>
          </w:tcPr>
          <w:p w:rsidR="007058D0" w:rsidRPr="00EB2995" w:rsidRDefault="007058D0" w:rsidP="00891A96">
            <w:pPr>
              <w:rPr>
                <w:rFonts w:cs="Calibri"/>
                <w:color w:val="000000"/>
                <w:sz w:val="20"/>
                <w:szCs w:val="20"/>
                <w:lang w:eastAsia="en-GB"/>
              </w:rPr>
            </w:pPr>
          </w:p>
        </w:tc>
        <w:tc>
          <w:tcPr>
            <w:tcW w:w="1110" w:type="dxa"/>
            <w:vMerge/>
            <w:tcBorders>
              <w:top w:val="nil"/>
              <w:left w:val="nil"/>
              <w:bottom w:val="single" w:sz="4" w:space="0" w:color="000000"/>
              <w:right w:val="nil"/>
            </w:tcBorders>
            <w:vAlign w:val="center"/>
            <w:hideMark/>
          </w:tcPr>
          <w:p w:rsidR="007058D0" w:rsidRPr="00EB2995" w:rsidRDefault="007058D0" w:rsidP="00891A96">
            <w:pPr>
              <w:rPr>
                <w:rFonts w:cs="Calibri"/>
                <w:color w:val="000000"/>
                <w:sz w:val="20"/>
                <w:szCs w:val="20"/>
                <w:lang w:eastAsia="en-GB"/>
              </w:rPr>
            </w:pPr>
          </w:p>
        </w:tc>
        <w:tc>
          <w:tcPr>
            <w:tcW w:w="1238" w:type="dxa"/>
            <w:tcBorders>
              <w:top w:val="nil"/>
              <w:left w:val="nil"/>
              <w:bottom w:val="nil"/>
              <w:right w:val="nil"/>
            </w:tcBorders>
            <w:shd w:val="clear" w:color="000000" w:fill="FFFFFF"/>
            <w:noWrap/>
            <w:vAlign w:val="center"/>
            <w:hideMark/>
          </w:tcPr>
          <w:p w:rsidR="007058D0" w:rsidRPr="00EB2995" w:rsidRDefault="007058D0" w:rsidP="00891A96">
            <w:pPr>
              <w:jc w:val="center"/>
              <w:rPr>
                <w:rFonts w:cs="Calibri"/>
                <w:color w:val="000000"/>
                <w:sz w:val="20"/>
                <w:szCs w:val="20"/>
                <w:lang w:eastAsia="en-GB"/>
              </w:rPr>
            </w:pPr>
            <w:r w:rsidRPr="00EB2995">
              <w:rPr>
                <w:rFonts w:cs="Calibri"/>
                <w:color w:val="000000"/>
                <w:sz w:val="20"/>
                <w:szCs w:val="20"/>
                <w:lang w:eastAsia="en-GB"/>
              </w:rPr>
              <w:t>£m</w:t>
            </w:r>
          </w:p>
        </w:tc>
        <w:tc>
          <w:tcPr>
            <w:tcW w:w="1539" w:type="dxa"/>
            <w:tcBorders>
              <w:top w:val="nil"/>
              <w:left w:val="nil"/>
              <w:bottom w:val="nil"/>
              <w:right w:val="nil"/>
            </w:tcBorders>
            <w:shd w:val="clear" w:color="000000" w:fill="FFFFFF"/>
            <w:noWrap/>
            <w:vAlign w:val="center"/>
            <w:hideMark/>
          </w:tcPr>
          <w:p w:rsidR="007058D0" w:rsidRPr="00EB2995" w:rsidRDefault="007058D0" w:rsidP="00891A96">
            <w:pPr>
              <w:jc w:val="center"/>
              <w:rPr>
                <w:rFonts w:cs="Calibri"/>
                <w:color w:val="000000"/>
                <w:sz w:val="20"/>
                <w:szCs w:val="20"/>
                <w:lang w:eastAsia="en-GB"/>
              </w:rPr>
            </w:pPr>
            <w:r w:rsidRPr="00EB2995">
              <w:rPr>
                <w:rFonts w:cs="Calibri"/>
                <w:color w:val="000000"/>
                <w:sz w:val="20"/>
                <w:szCs w:val="20"/>
                <w:lang w:eastAsia="en-GB"/>
              </w:rPr>
              <w:t>£m</w:t>
            </w:r>
          </w:p>
        </w:tc>
        <w:tc>
          <w:tcPr>
            <w:tcW w:w="1478" w:type="dxa"/>
            <w:tcBorders>
              <w:top w:val="nil"/>
              <w:left w:val="nil"/>
              <w:bottom w:val="nil"/>
              <w:right w:val="nil"/>
            </w:tcBorders>
            <w:shd w:val="clear" w:color="000000" w:fill="FFFFFF"/>
            <w:noWrap/>
            <w:vAlign w:val="center"/>
            <w:hideMark/>
          </w:tcPr>
          <w:p w:rsidR="007058D0" w:rsidRPr="00EB2995" w:rsidRDefault="007058D0" w:rsidP="00891A96">
            <w:pPr>
              <w:jc w:val="center"/>
              <w:rPr>
                <w:rFonts w:cs="Calibri"/>
                <w:color w:val="000000"/>
                <w:sz w:val="20"/>
                <w:szCs w:val="20"/>
                <w:lang w:eastAsia="en-GB"/>
              </w:rPr>
            </w:pPr>
            <w:r w:rsidRPr="00EB2995">
              <w:rPr>
                <w:rFonts w:cs="Calibri"/>
                <w:color w:val="000000"/>
                <w:sz w:val="20"/>
                <w:szCs w:val="20"/>
                <w:lang w:eastAsia="en-GB"/>
              </w:rPr>
              <w:t>£m</w:t>
            </w:r>
          </w:p>
        </w:tc>
        <w:tc>
          <w:tcPr>
            <w:tcW w:w="1318" w:type="dxa"/>
            <w:tcBorders>
              <w:top w:val="nil"/>
              <w:left w:val="nil"/>
              <w:bottom w:val="nil"/>
              <w:right w:val="nil"/>
            </w:tcBorders>
            <w:shd w:val="clear" w:color="000000" w:fill="FFFFFF"/>
            <w:noWrap/>
            <w:vAlign w:val="center"/>
            <w:hideMark/>
          </w:tcPr>
          <w:p w:rsidR="007058D0" w:rsidRPr="00EB2995" w:rsidRDefault="007058D0" w:rsidP="00891A96">
            <w:pPr>
              <w:jc w:val="center"/>
              <w:rPr>
                <w:rFonts w:cs="Calibri"/>
                <w:color w:val="000000"/>
                <w:sz w:val="20"/>
                <w:szCs w:val="20"/>
                <w:lang w:eastAsia="en-GB"/>
              </w:rPr>
            </w:pPr>
            <w:r w:rsidRPr="00EB2995">
              <w:rPr>
                <w:rFonts w:cs="Calibri"/>
                <w:color w:val="000000"/>
                <w:sz w:val="20"/>
                <w:szCs w:val="20"/>
                <w:lang w:eastAsia="en-GB"/>
              </w:rPr>
              <w:t>£m</w:t>
            </w:r>
          </w:p>
        </w:tc>
      </w:tr>
      <w:tr w:rsidR="007058D0" w:rsidRPr="00EB2995" w:rsidTr="00891A96">
        <w:trPr>
          <w:trHeight w:val="285"/>
        </w:trPr>
        <w:tc>
          <w:tcPr>
            <w:tcW w:w="3686" w:type="dxa"/>
            <w:tcBorders>
              <w:top w:val="nil"/>
              <w:left w:val="nil"/>
              <w:bottom w:val="nil"/>
              <w:right w:val="nil"/>
            </w:tcBorders>
            <w:shd w:val="clear" w:color="000000" w:fill="FFFFFF"/>
            <w:noWrap/>
            <w:vAlign w:val="center"/>
            <w:hideMark/>
          </w:tcPr>
          <w:p w:rsidR="007058D0" w:rsidRPr="00EB2995" w:rsidRDefault="007058D0" w:rsidP="00891A96">
            <w:pPr>
              <w:rPr>
                <w:rFonts w:cs="Calibri"/>
                <w:b/>
                <w:bCs/>
                <w:color w:val="000000"/>
                <w:sz w:val="20"/>
                <w:szCs w:val="20"/>
                <w:lang w:eastAsia="en-GB"/>
              </w:rPr>
            </w:pPr>
            <w:r w:rsidRPr="00EB2995">
              <w:rPr>
                <w:rFonts w:cs="Calibri"/>
                <w:b/>
                <w:bCs/>
                <w:color w:val="000000"/>
                <w:sz w:val="20"/>
                <w:szCs w:val="20"/>
                <w:lang w:eastAsia="en-GB"/>
              </w:rPr>
              <w:t xml:space="preserve">Financial Assets held at fair value: </w:t>
            </w:r>
          </w:p>
        </w:tc>
        <w:tc>
          <w:tcPr>
            <w:tcW w:w="1110" w:type="dxa"/>
            <w:tcBorders>
              <w:top w:val="nil"/>
              <w:left w:val="single" w:sz="4" w:space="0" w:color="auto"/>
              <w:bottom w:val="nil"/>
              <w:right w:val="single" w:sz="4" w:space="0" w:color="auto"/>
            </w:tcBorders>
            <w:shd w:val="clear" w:color="000000" w:fill="FFFFFF"/>
            <w:noWrap/>
            <w:vAlign w:val="center"/>
            <w:hideMark/>
          </w:tcPr>
          <w:p w:rsidR="007058D0" w:rsidRPr="00EB2995" w:rsidRDefault="007058D0" w:rsidP="00891A96">
            <w:pPr>
              <w:jc w:val="center"/>
              <w:rPr>
                <w:rFonts w:cs="Calibri"/>
                <w:color w:val="000000"/>
                <w:sz w:val="20"/>
                <w:szCs w:val="20"/>
                <w:lang w:eastAsia="en-GB"/>
              </w:rPr>
            </w:pPr>
          </w:p>
        </w:tc>
        <w:tc>
          <w:tcPr>
            <w:tcW w:w="1238" w:type="dxa"/>
            <w:tcBorders>
              <w:top w:val="single" w:sz="4" w:space="0" w:color="auto"/>
              <w:left w:val="nil"/>
              <w:bottom w:val="nil"/>
              <w:right w:val="single" w:sz="4" w:space="0" w:color="auto"/>
            </w:tcBorders>
            <w:shd w:val="clear" w:color="000000" w:fill="FFFFFF"/>
            <w:noWrap/>
            <w:vAlign w:val="center"/>
            <w:hideMark/>
          </w:tcPr>
          <w:p w:rsidR="007058D0" w:rsidRPr="00EB2995" w:rsidRDefault="007058D0" w:rsidP="00891A96">
            <w:pPr>
              <w:jc w:val="right"/>
              <w:rPr>
                <w:rFonts w:cs="Calibri"/>
                <w:color w:val="000000"/>
                <w:sz w:val="20"/>
                <w:szCs w:val="20"/>
                <w:lang w:eastAsia="en-GB"/>
              </w:rPr>
            </w:pPr>
            <w:r w:rsidRPr="00EB2995">
              <w:rPr>
                <w:rFonts w:cs="Calibri"/>
                <w:color w:val="000000"/>
                <w:sz w:val="20"/>
                <w:szCs w:val="20"/>
                <w:lang w:eastAsia="en-GB"/>
              </w:rPr>
              <w:t> </w:t>
            </w:r>
          </w:p>
        </w:tc>
        <w:tc>
          <w:tcPr>
            <w:tcW w:w="1539" w:type="dxa"/>
            <w:tcBorders>
              <w:top w:val="single" w:sz="4" w:space="0" w:color="auto"/>
              <w:left w:val="nil"/>
              <w:bottom w:val="nil"/>
              <w:right w:val="single" w:sz="4" w:space="0" w:color="auto"/>
            </w:tcBorders>
            <w:shd w:val="clear" w:color="000000" w:fill="FFFFFF"/>
            <w:noWrap/>
            <w:vAlign w:val="center"/>
            <w:hideMark/>
          </w:tcPr>
          <w:p w:rsidR="007058D0" w:rsidRPr="00EB2995" w:rsidRDefault="007058D0" w:rsidP="00891A96">
            <w:pPr>
              <w:jc w:val="right"/>
              <w:rPr>
                <w:rFonts w:cs="Calibri"/>
                <w:color w:val="000000"/>
                <w:sz w:val="20"/>
                <w:szCs w:val="20"/>
                <w:lang w:eastAsia="en-GB"/>
              </w:rPr>
            </w:pPr>
            <w:r w:rsidRPr="00EB2995">
              <w:rPr>
                <w:rFonts w:cs="Calibri"/>
                <w:color w:val="000000"/>
                <w:sz w:val="20"/>
                <w:szCs w:val="20"/>
                <w:lang w:eastAsia="en-GB"/>
              </w:rPr>
              <w:t> </w:t>
            </w:r>
          </w:p>
        </w:tc>
        <w:tc>
          <w:tcPr>
            <w:tcW w:w="1478" w:type="dxa"/>
            <w:tcBorders>
              <w:top w:val="single" w:sz="4" w:space="0" w:color="auto"/>
              <w:left w:val="nil"/>
              <w:bottom w:val="nil"/>
              <w:right w:val="single" w:sz="4" w:space="0" w:color="auto"/>
            </w:tcBorders>
            <w:shd w:val="clear" w:color="000000" w:fill="FFFFFF"/>
            <w:noWrap/>
            <w:vAlign w:val="center"/>
            <w:hideMark/>
          </w:tcPr>
          <w:p w:rsidR="007058D0" w:rsidRPr="00EB2995" w:rsidRDefault="007058D0" w:rsidP="00891A96">
            <w:pPr>
              <w:jc w:val="right"/>
              <w:rPr>
                <w:rFonts w:cs="Calibri"/>
                <w:color w:val="000000"/>
                <w:sz w:val="20"/>
                <w:szCs w:val="20"/>
                <w:lang w:eastAsia="en-GB"/>
              </w:rPr>
            </w:pPr>
            <w:r w:rsidRPr="00EB2995">
              <w:rPr>
                <w:rFonts w:cs="Calibri"/>
                <w:color w:val="000000"/>
                <w:sz w:val="20"/>
                <w:szCs w:val="20"/>
                <w:lang w:eastAsia="en-GB"/>
              </w:rPr>
              <w:t> </w:t>
            </w:r>
          </w:p>
        </w:tc>
        <w:tc>
          <w:tcPr>
            <w:tcW w:w="1318" w:type="dxa"/>
            <w:tcBorders>
              <w:top w:val="single" w:sz="4" w:space="0" w:color="auto"/>
              <w:left w:val="nil"/>
              <w:bottom w:val="nil"/>
              <w:right w:val="single" w:sz="4" w:space="0" w:color="auto"/>
            </w:tcBorders>
            <w:shd w:val="clear" w:color="000000" w:fill="FFFFFF"/>
            <w:noWrap/>
            <w:vAlign w:val="center"/>
            <w:hideMark/>
          </w:tcPr>
          <w:p w:rsidR="007058D0" w:rsidRPr="00EB2995" w:rsidRDefault="007058D0" w:rsidP="00891A96">
            <w:pPr>
              <w:jc w:val="right"/>
              <w:rPr>
                <w:rFonts w:cs="Calibri"/>
                <w:color w:val="000000"/>
                <w:sz w:val="20"/>
                <w:szCs w:val="20"/>
                <w:lang w:eastAsia="en-GB"/>
              </w:rPr>
            </w:pPr>
            <w:r w:rsidRPr="00EB2995">
              <w:rPr>
                <w:rFonts w:cs="Calibri"/>
                <w:color w:val="000000"/>
                <w:sz w:val="20"/>
                <w:szCs w:val="20"/>
                <w:lang w:eastAsia="en-GB"/>
              </w:rPr>
              <w:t> </w:t>
            </w:r>
          </w:p>
        </w:tc>
      </w:tr>
      <w:tr w:rsidR="007058D0" w:rsidRPr="00EB2995" w:rsidTr="00891A96">
        <w:trPr>
          <w:trHeight w:val="285"/>
        </w:trPr>
        <w:tc>
          <w:tcPr>
            <w:tcW w:w="3686" w:type="dxa"/>
            <w:tcBorders>
              <w:top w:val="nil"/>
              <w:left w:val="nil"/>
              <w:bottom w:val="nil"/>
              <w:right w:val="nil"/>
            </w:tcBorders>
            <w:shd w:val="clear" w:color="000000" w:fill="FFFFFF"/>
            <w:noWrap/>
            <w:vAlign w:val="center"/>
            <w:hideMark/>
          </w:tcPr>
          <w:p w:rsidR="007058D0" w:rsidRPr="00EB2995" w:rsidRDefault="007058D0" w:rsidP="00891A96">
            <w:pPr>
              <w:rPr>
                <w:rFonts w:cs="Calibri"/>
                <w:color w:val="000000"/>
                <w:sz w:val="20"/>
                <w:szCs w:val="20"/>
                <w:lang w:eastAsia="en-GB"/>
              </w:rPr>
            </w:pPr>
            <w:r w:rsidRPr="00EB2995">
              <w:rPr>
                <w:rFonts w:cs="Calibri"/>
                <w:color w:val="000000"/>
                <w:sz w:val="20"/>
                <w:szCs w:val="20"/>
                <w:lang w:eastAsia="en-GB"/>
              </w:rPr>
              <w:t>Money Market Funds</w:t>
            </w:r>
          </w:p>
        </w:tc>
        <w:tc>
          <w:tcPr>
            <w:tcW w:w="1110" w:type="dxa"/>
            <w:tcBorders>
              <w:top w:val="nil"/>
              <w:left w:val="single" w:sz="4" w:space="0" w:color="auto"/>
              <w:bottom w:val="nil"/>
              <w:right w:val="single" w:sz="4" w:space="0" w:color="auto"/>
            </w:tcBorders>
            <w:shd w:val="clear" w:color="000000" w:fill="FFFFFF"/>
            <w:noWrap/>
            <w:vAlign w:val="center"/>
            <w:hideMark/>
          </w:tcPr>
          <w:p w:rsidR="007058D0" w:rsidRPr="00EB2995" w:rsidRDefault="007058D0" w:rsidP="00891A96">
            <w:pPr>
              <w:ind w:left="-583" w:firstLine="583"/>
              <w:jc w:val="center"/>
              <w:rPr>
                <w:rFonts w:cs="Calibri"/>
                <w:color w:val="000000"/>
                <w:sz w:val="20"/>
                <w:szCs w:val="20"/>
                <w:lang w:eastAsia="en-GB"/>
              </w:rPr>
            </w:pPr>
            <w:r w:rsidRPr="00EB2995">
              <w:rPr>
                <w:rFonts w:cs="Calibri"/>
                <w:color w:val="000000"/>
                <w:sz w:val="20"/>
                <w:szCs w:val="20"/>
                <w:lang w:eastAsia="en-GB"/>
              </w:rPr>
              <w:t>1</w:t>
            </w:r>
          </w:p>
        </w:tc>
        <w:tc>
          <w:tcPr>
            <w:tcW w:w="1238" w:type="dxa"/>
            <w:tcBorders>
              <w:top w:val="nil"/>
              <w:left w:val="nil"/>
              <w:bottom w:val="nil"/>
              <w:right w:val="single" w:sz="4" w:space="0" w:color="auto"/>
            </w:tcBorders>
            <w:shd w:val="clear" w:color="000000" w:fill="FFFFFF"/>
            <w:noWrap/>
            <w:vAlign w:val="center"/>
            <w:hideMark/>
          </w:tcPr>
          <w:p w:rsidR="007058D0" w:rsidRPr="00EB2995" w:rsidRDefault="007058D0" w:rsidP="00891A96">
            <w:pPr>
              <w:jc w:val="right"/>
              <w:rPr>
                <w:rFonts w:cs="Calibri"/>
                <w:color w:val="000000"/>
                <w:sz w:val="20"/>
                <w:szCs w:val="20"/>
                <w:lang w:eastAsia="en-GB"/>
              </w:rPr>
            </w:pPr>
            <w:r w:rsidRPr="00EB2995">
              <w:rPr>
                <w:rFonts w:cs="Calibri"/>
                <w:color w:val="000000"/>
                <w:sz w:val="20"/>
                <w:szCs w:val="20"/>
                <w:lang w:eastAsia="en-GB"/>
              </w:rPr>
              <w:t xml:space="preserve">5.0 </w:t>
            </w:r>
          </w:p>
        </w:tc>
        <w:tc>
          <w:tcPr>
            <w:tcW w:w="1539" w:type="dxa"/>
            <w:tcBorders>
              <w:top w:val="nil"/>
              <w:left w:val="nil"/>
              <w:bottom w:val="nil"/>
              <w:right w:val="single" w:sz="4" w:space="0" w:color="auto"/>
            </w:tcBorders>
            <w:shd w:val="clear" w:color="000000" w:fill="FFFFFF"/>
            <w:noWrap/>
            <w:vAlign w:val="center"/>
            <w:hideMark/>
          </w:tcPr>
          <w:p w:rsidR="007058D0" w:rsidRPr="00EB2995" w:rsidRDefault="007058D0" w:rsidP="00891A96">
            <w:pPr>
              <w:jc w:val="right"/>
              <w:rPr>
                <w:rFonts w:cs="Calibri"/>
                <w:color w:val="000000"/>
                <w:sz w:val="20"/>
                <w:szCs w:val="20"/>
                <w:lang w:eastAsia="en-GB"/>
              </w:rPr>
            </w:pPr>
            <w:r w:rsidRPr="00EB2995">
              <w:rPr>
                <w:rFonts w:cs="Calibri"/>
                <w:color w:val="000000"/>
                <w:sz w:val="20"/>
                <w:szCs w:val="20"/>
                <w:lang w:eastAsia="en-GB"/>
              </w:rPr>
              <w:t xml:space="preserve">5.0 </w:t>
            </w:r>
          </w:p>
        </w:tc>
        <w:tc>
          <w:tcPr>
            <w:tcW w:w="1478" w:type="dxa"/>
            <w:tcBorders>
              <w:top w:val="nil"/>
              <w:left w:val="nil"/>
              <w:bottom w:val="nil"/>
              <w:right w:val="single" w:sz="4" w:space="0" w:color="auto"/>
            </w:tcBorders>
            <w:shd w:val="clear" w:color="000000" w:fill="FFFFFF"/>
            <w:noWrap/>
            <w:vAlign w:val="center"/>
            <w:hideMark/>
          </w:tcPr>
          <w:p w:rsidR="007058D0" w:rsidRPr="00EB2995" w:rsidRDefault="007058D0" w:rsidP="00891A96">
            <w:pPr>
              <w:jc w:val="right"/>
              <w:rPr>
                <w:rFonts w:cs="Calibri"/>
                <w:color w:val="000000"/>
                <w:sz w:val="20"/>
                <w:szCs w:val="20"/>
                <w:lang w:eastAsia="en-GB"/>
              </w:rPr>
            </w:pPr>
            <w:r w:rsidRPr="00EB2995">
              <w:rPr>
                <w:rFonts w:cs="Calibri"/>
                <w:color w:val="000000"/>
                <w:sz w:val="20"/>
                <w:szCs w:val="20"/>
                <w:lang w:eastAsia="en-GB"/>
              </w:rPr>
              <w:t xml:space="preserve">42.0 </w:t>
            </w:r>
          </w:p>
        </w:tc>
        <w:tc>
          <w:tcPr>
            <w:tcW w:w="1318" w:type="dxa"/>
            <w:tcBorders>
              <w:top w:val="nil"/>
              <w:left w:val="nil"/>
              <w:bottom w:val="nil"/>
              <w:right w:val="single" w:sz="4" w:space="0" w:color="auto"/>
            </w:tcBorders>
            <w:shd w:val="clear" w:color="000000" w:fill="FFFFFF"/>
            <w:noWrap/>
            <w:vAlign w:val="center"/>
            <w:hideMark/>
          </w:tcPr>
          <w:p w:rsidR="007058D0" w:rsidRPr="00EB2995" w:rsidRDefault="007058D0" w:rsidP="00891A96">
            <w:pPr>
              <w:jc w:val="right"/>
              <w:rPr>
                <w:rFonts w:cs="Calibri"/>
                <w:color w:val="000000"/>
                <w:sz w:val="20"/>
                <w:szCs w:val="20"/>
                <w:lang w:eastAsia="en-GB"/>
              </w:rPr>
            </w:pPr>
            <w:r w:rsidRPr="00EB2995">
              <w:rPr>
                <w:rFonts w:cs="Calibri"/>
                <w:color w:val="000000"/>
                <w:sz w:val="20"/>
                <w:szCs w:val="20"/>
                <w:lang w:eastAsia="en-GB"/>
              </w:rPr>
              <w:t xml:space="preserve">42.0 </w:t>
            </w:r>
          </w:p>
        </w:tc>
      </w:tr>
      <w:tr w:rsidR="007058D0" w:rsidRPr="00EB2995" w:rsidTr="00891A96">
        <w:trPr>
          <w:trHeight w:val="285"/>
        </w:trPr>
        <w:tc>
          <w:tcPr>
            <w:tcW w:w="3686" w:type="dxa"/>
            <w:tcBorders>
              <w:top w:val="nil"/>
              <w:left w:val="nil"/>
              <w:bottom w:val="nil"/>
              <w:right w:val="nil"/>
            </w:tcBorders>
            <w:shd w:val="clear" w:color="000000" w:fill="FFFFFF"/>
            <w:noWrap/>
            <w:vAlign w:val="center"/>
            <w:hideMark/>
          </w:tcPr>
          <w:p w:rsidR="007058D0" w:rsidRPr="00EB2995" w:rsidRDefault="007058D0" w:rsidP="00891A96">
            <w:pPr>
              <w:rPr>
                <w:rFonts w:cs="Calibri"/>
                <w:b/>
                <w:bCs/>
                <w:color w:val="000000"/>
                <w:sz w:val="20"/>
                <w:szCs w:val="20"/>
                <w:lang w:eastAsia="en-GB"/>
              </w:rPr>
            </w:pPr>
            <w:r w:rsidRPr="00EB2995">
              <w:rPr>
                <w:rFonts w:cs="Calibri"/>
                <w:b/>
                <w:bCs/>
                <w:color w:val="000000"/>
                <w:sz w:val="20"/>
                <w:szCs w:val="20"/>
                <w:lang w:eastAsia="en-GB"/>
              </w:rPr>
              <w:t xml:space="preserve">Financial Assets held at amortised cost: </w:t>
            </w:r>
          </w:p>
        </w:tc>
        <w:tc>
          <w:tcPr>
            <w:tcW w:w="1110" w:type="dxa"/>
            <w:tcBorders>
              <w:top w:val="nil"/>
              <w:left w:val="single" w:sz="4" w:space="0" w:color="auto"/>
              <w:bottom w:val="nil"/>
              <w:right w:val="single" w:sz="4" w:space="0" w:color="auto"/>
            </w:tcBorders>
            <w:shd w:val="clear" w:color="000000" w:fill="FFFFFF"/>
            <w:noWrap/>
            <w:vAlign w:val="center"/>
            <w:hideMark/>
          </w:tcPr>
          <w:p w:rsidR="007058D0" w:rsidRPr="00EB2995" w:rsidRDefault="007058D0" w:rsidP="00891A96">
            <w:pPr>
              <w:jc w:val="center"/>
              <w:rPr>
                <w:rFonts w:cs="Calibri"/>
                <w:color w:val="000000"/>
                <w:sz w:val="20"/>
                <w:szCs w:val="20"/>
                <w:lang w:eastAsia="en-GB"/>
              </w:rPr>
            </w:pPr>
          </w:p>
        </w:tc>
        <w:tc>
          <w:tcPr>
            <w:tcW w:w="1238" w:type="dxa"/>
            <w:tcBorders>
              <w:top w:val="nil"/>
              <w:left w:val="nil"/>
              <w:bottom w:val="nil"/>
              <w:right w:val="single" w:sz="4" w:space="0" w:color="auto"/>
            </w:tcBorders>
            <w:shd w:val="clear" w:color="000000" w:fill="FFFFFF"/>
            <w:noWrap/>
            <w:vAlign w:val="center"/>
          </w:tcPr>
          <w:p w:rsidR="007058D0" w:rsidRPr="00EB2995" w:rsidRDefault="007058D0" w:rsidP="00891A96">
            <w:pPr>
              <w:jc w:val="right"/>
              <w:rPr>
                <w:rFonts w:cs="Calibri"/>
                <w:color w:val="000000"/>
                <w:sz w:val="20"/>
                <w:szCs w:val="20"/>
                <w:lang w:eastAsia="en-GB"/>
              </w:rPr>
            </w:pPr>
          </w:p>
        </w:tc>
        <w:tc>
          <w:tcPr>
            <w:tcW w:w="1539" w:type="dxa"/>
            <w:tcBorders>
              <w:top w:val="nil"/>
              <w:left w:val="nil"/>
              <w:bottom w:val="nil"/>
              <w:right w:val="single" w:sz="4" w:space="0" w:color="auto"/>
            </w:tcBorders>
            <w:shd w:val="clear" w:color="000000" w:fill="FFFFFF"/>
            <w:noWrap/>
            <w:vAlign w:val="center"/>
          </w:tcPr>
          <w:p w:rsidR="007058D0" w:rsidRPr="00EB2995" w:rsidRDefault="007058D0" w:rsidP="00891A96">
            <w:pPr>
              <w:jc w:val="right"/>
              <w:rPr>
                <w:rFonts w:cs="Calibri"/>
                <w:color w:val="000000"/>
                <w:sz w:val="20"/>
                <w:szCs w:val="20"/>
                <w:lang w:eastAsia="en-GB"/>
              </w:rPr>
            </w:pPr>
          </w:p>
        </w:tc>
        <w:tc>
          <w:tcPr>
            <w:tcW w:w="1478" w:type="dxa"/>
            <w:tcBorders>
              <w:top w:val="nil"/>
              <w:left w:val="nil"/>
              <w:bottom w:val="nil"/>
              <w:right w:val="single" w:sz="4" w:space="0" w:color="auto"/>
            </w:tcBorders>
            <w:shd w:val="clear" w:color="000000" w:fill="FFFFFF"/>
            <w:noWrap/>
            <w:vAlign w:val="center"/>
          </w:tcPr>
          <w:p w:rsidR="007058D0" w:rsidRPr="00EB2995" w:rsidRDefault="007058D0" w:rsidP="00891A96">
            <w:pPr>
              <w:jc w:val="right"/>
              <w:rPr>
                <w:rFonts w:cs="Calibri"/>
                <w:color w:val="000000"/>
                <w:sz w:val="20"/>
                <w:szCs w:val="20"/>
                <w:lang w:eastAsia="en-GB"/>
              </w:rPr>
            </w:pPr>
          </w:p>
        </w:tc>
        <w:tc>
          <w:tcPr>
            <w:tcW w:w="1318" w:type="dxa"/>
            <w:tcBorders>
              <w:top w:val="nil"/>
              <w:left w:val="nil"/>
              <w:bottom w:val="nil"/>
              <w:right w:val="single" w:sz="4" w:space="0" w:color="auto"/>
            </w:tcBorders>
            <w:shd w:val="clear" w:color="000000" w:fill="FFFFFF"/>
            <w:noWrap/>
            <w:vAlign w:val="center"/>
          </w:tcPr>
          <w:p w:rsidR="007058D0" w:rsidRPr="00EB2995" w:rsidRDefault="007058D0" w:rsidP="00891A96">
            <w:pPr>
              <w:jc w:val="right"/>
              <w:rPr>
                <w:rFonts w:cs="Calibri"/>
                <w:color w:val="000000"/>
                <w:sz w:val="20"/>
                <w:szCs w:val="20"/>
                <w:lang w:eastAsia="en-GB"/>
              </w:rPr>
            </w:pPr>
          </w:p>
        </w:tc>
      </w:tr>
      <w:tr w:rsidR="007058D0" w:rsidRPr="00EB2995" w:rsidTr="00891A96">
        <w:trPr>
          <w:trHeight w:val="285"/>
        </w:trPr>
        <w:tc>
          <w:tcPr>
            <w:tcW w:w="3686" w:type="dxa"/>
            <w:tcBorders>
              <w:top w:val="nil"/>
              <w:left w:val="nil"/>
              <w:bottom w:val="nil"/>
              <w:right w:val="nil"/>
            </w:tcBorders>
            <w:shd w:val="clear" w:color="000000" w:fill="FFFFFF"/>
            <w:noWrap/>
            <w:vAlign w:val="center"/>
            <w:hideMark/>
          </w:tcPr>
          <w:p w:rsidR="007058D0" w:rsidRPr="00EB2995" w:rsidRDefault="007058D0" w:rsidP="00891A96">
            <w:pPr>
              <w:rPr>
                <w:rFonts w:cs="Calibri"/>
                <w:color w:val="000000"/>
                <w:sz w:val="20"/>
                <w:szCs w:val="20"/>
                <w:lang w:eastAsia="en-GB"/>
              </w:rPr>
            </w:pPr>
            <w:r w:rsidRPr="00EB2995">
              <w:rPr>
                <w:rFonts w:cs="Calibri"/>
                <w:color w:val="000000"/>
                <w:sz w:val="20"/>
                <w:szCs w:val="20"/>
                <w:lang w:eastAsia="en-GB"/>
              </w:rPr>
              <w:t xml:space="preserve">Lease receivables </w:t>
            </w:r>
          </w:p>
        </w:tc>
        <w:tc>
          <w:tcPr>
            <w:tcW w:w="1110" w:type="dxa"/>
            <w:tcBorders>
              <w:top w:val="nil"/>
              <w:left w:val="single" w:sz="4" w:space="0" w:color="auto"/>
              <w:bottom w:val="nil"/>
              <w:right w:val="single" w:sz="4" w:space="0" w:color="auto"/>
            </w:tcBorders>
            <w:shd w:val="clear" w:color="000000" w:fill="FFFFFF"/>
            <w:noWrap/>
            <w:vAlign w:val="center"/>
            <w:hideMark/>
          </w:tcPr>
          <w:p w:rsidR="007058D0" w:rsidRPr="00EB2995" w:rsidRDefault="007058D0" w:rsidP="00891A96">
            <w:pPr>
              <w:jc w:val="center"/>
              <w:rPr>
                <w:rFonts w:cs="Calibri"/>
                <w:sz w:val="20"/>
                <w:szCs w:val="20"/>
                <w:lang w:eastAsia="en-GB"/>
              </w:rPr>
            </w:pPr>
            <w:r w:rsidRPr="00EB2995">
              <w:rPr>
                <w:rFonts w:cs="Calibri"/>
                <w:sz w:val="20"/>
                <w:szCs w:val="20"/>
                <w:lang w:eastAsia="en-GB"/>
              </w:rPr>
              <w:t>2</w:t>
            </w:r>
          </w:p>
        </w:tc>
        <w:tc>
          <w:tcPr>
            <w:tcW w:w="1238" w:type="dxa"/>
            <w:tcBorders>
              <w:top w:val="nil"/>
              <w:left w:val="nil"/>
              <w:bottom w:val="nil"/>
              <w:right w:val="single" w:sz="4" w:space="0" w:color="auto"/>
            </w:tcBorders>
            <w:shd w:val="clear" w:color="000000" w:fill="FFFFFF"/>
            <w:noWrap/>
            <w:vAlign w:val="center"/>
            <w:hideMark/>
          </w:tcPr>
          <w:p w:rsidR="007058D0" w:rsidRPr="00EB2995" w:rsidRDefault="007058D0" w:rsidP="00891A96">
            <w:pPr>
              <w:jc w:val="right"/>
              <w:rPr>
                <w:rFonts w:cs="Calibri"/>
                <w:color w:val="000000"/>
                <w:sz w:val="20"/>
                <w:szCs w:val="20"/>
                <w:lang w:eastAsia="en-GB"/>
              </w:rPr>
            </w:pPr>
            <w:r w:rsidRPr="00EB2995">
              <w:rPr>
                <w:rFonts w:cs="Calibri"/>
                <w:color w:val="000000"/>
                <w:sz w:val="20"/>
                <w:szCs w:val="20"/>
                <w:lang w:eastAsia="en-GB"/>
              </w:rPr>
              <w:t xml:space="preserve">0.0   </w:t>
            </w:r>
          </w:p>
        </w:tc>
        <w:tc>
          <w:tcPr>
            <w:tcW w:w="1539" w:type="dxa"/>
            <w:tcBorders>
              <w:top w:val="nil"/>
              <w:left w:val="nil"/>
              <w:bottom w:val="nil"/>
              <w:right w:val="single" w:sz="4" w:space="0" w:color="auto"/>
            </w:tcBorders>
            <w:shd w:val="clear" w:color="000000" w:fill="FFFFFF"/>
            <w:noWrap/>
            <w:vAlign w:val="center"/>
            <w:hideMark/>
          </w:tcPr>
          <w:p w:rsidR="007058D0" w:rsidRPr="00EB2995" w:rsidRDefault="007058D0" w:rsidP="00891A96">
            <w:pPr>
              <w:jc w:val="right"/>
              <w:rPr>
                <w:rFonts w:cs="Calibri"/>
                <w:color w:val="000000"/>
                <w:sz w:val="20"/>
                <w:szCs w:val="20"/>
                <w:lang w:eastAsia="en-GB"/>
              </w:rPr>
            </w:pPr>
            <w:r w:rsidRPr="00EB2995">
              <w:rPr>
                <w:rFonts w:cs="Calibri"/>
                <w:color w:val="000000"/>
                <w:sz w:val="20"/>
                <w:szCs w:val="20"/>
                <w:lang w:eastAsia="en-GB"/>
              </w:rPr>
              <w:t xml:space="preserve">0.0   </w:t>
            </w:r>
          </w:p>
        </w:tc>
        <w:tc>
          <w:tcPr>
            <w:tcW w:w="1478" w:type="dxa"/>
            <w:tcBorders>
              <w:top w:val="nil"/>
              <w:left w:val="nil"/>
              <w:bottom w:val="nil"/>
              <w:right w:val="single" w:sz="4" w:space="0" w:color="auto"/>
            </w:tcBorders>
            <w:shd w:val="clear" w:color="000000" w:fill="FFFFFF"/>
            <w:noWrap/>
            <w:vAlign w:val="center"/>
            <w:hideMark/>
          </w:tcPr>
          <w:p w:rsidR="007058D0" w:rsidRPr="00EB2995" w:rsidRDefault="007058D0" w:rsidP="007B70DC">
            <w:pPr>
              <w:jc w:val="right"/>
              <w:rPr>
                <w:rFonts w:cs="Calibri"/>
                <w:color w:val="000000"/>
                <w:sz w:val="20"/>
                <w:szCs w:val="20"/>
                <w:lang w:eastAsia="en-GB"/>
              </w:rPr>
            </w:pPr>
            <w:r w:rsidRPr="00EB2995">
              <w:rPr>
                <w:rFonts w:cs="Calibri"/>
                <w:color w:val="000000"/>
                <w:sz w:val="20"/>
                <w:szCs w:val="20"/>
                <w:lang w:eastAsia="en-GB"/>
              </w:rPr>
              <w:t xml:space="preserve">0.0 </w:t>
            </w:r>
          </w:p>
        </w:tc>
        <w:tc>
          <w:tcPr>
            <w:tcW w:w="1318" w:type="dxa"/>
            <w:tcBorders>
              <w:top w:val="nil"/>
              <w:left w:val="nil"/>
              <w:bottom w:val="nil"/>
              <w:right w:val="single" w:sz="4" w:space="0" w:color="auto"/>
            </w:tcBorders>
            <w:shd w:val="clear" w:color="000000" w:fill="FFFFFF"/>
            <w:noWrap/>
            <w:vAlign w:val="center"/>
            <w:hideMark/>
          </w:tcPr>
          <w:p w:rsidR="007058D0" w:rsidRPr="00EB2995" w:rsidRDefault="007058D0" w:rsidP="007B70DC">
            <w:pPr>
              <w:jc w:val="right"/>
              <w:rPr>
                <w:rFonts w:cs="Calibri"/>
                <w:color w:val="000000"/>
                <w:sz w:val="20"/>
                <w:szCs w:val="20"/>
                <w:lang w:eastAsia="en-GB"/>
              </w:rPr>
            </w:pPr>
            <w:r w:rsidRPr="00EB2995">
              <w:rPr>
                <w:rFonts w:cs="Calibri"/>
                <w:color w:val="000000"/>
                <w:sz w:val="20"/>
                <w:szCs w:val="20"/>
                <w:lang w:eastAsia="en-GB"/>
              </w:rPr>
              <w:t xml:space="preserve">0.0 </w:t>
            </w:r>
          </w:p>
        </w:tc>
      </w:tr>
      <w:tr w:rsidR="007058D0" w:rsidRPr="00EB2995" w:rsidTr="00891A96">
        <w:trPr>
          <w:trHeight w:val="285"/>
        </w:trPr>
        <w:tc>
          <w:tcPr>
            <w:tcW w:w="3686" w:type="dxa"/>
            <w:tcBorders>
              <w:top w:val="nil"/>
              <w:left w:val="nil"/>
              <w:bottom w:val="nil"/>
              <w:right w:val="nil"/>
            </w:tcBorders>
            <w:shd w:val="clear" w:color="000000" w:fill="FFFFFF"/>
            <w:noWrap/>
            <w:vAlign w:val="center"/>
            <w:hideMark/>
          </w:tcPr>
          <w:p w:rsidR="007058D0" w:rsidRPr="00EB2995" w:rsidRDefault="007058D0" w:rsidP="00891A96">
            <w:pPr>
              <w:rPr>
                <w:rFonts w:cs="Calibri"/>
                <w:color w:val="000000"/>
                <w:sz w:val="20"/>
                <w:szCs w:val="20"/>
                <w:lang w:eastAsia="en-GB"/>
              </w:rPr>
            </w:pPr>
            <w:r w:rsidRPr="00EB2995">
              <w:rPr>
                <w:rFonts w:cs="Calibri"/>
                <w:color w:val="000000"/>
                <w:sz w:val="20"/>
                <w:szCs w:val="20"/>
                <w:lang w:eastAsia="en-GB"/>
              </w:rPr>
              <w:t>Long-term investments</w:t>
            </w:r>
          </w:p>
        </w:tc>
        <w:tc>
          <w:tcPr>
            <w:tcW w:w="1110" w:type="dxa"/>
            <w:tcBorders>
              <w:top w:val="nil"/>
              <w:left w:val="single" w:sz="4" w:space="0" w:color="auto"/>
              <w:bottom w:val="nil"/>
              <w:right w:val="single" w:sz="4" w:space="0" w:color="auto"/>
            </w:tcBorders>
            <w:shd w:val="clear" w:color="000000" w:fill="FFFFFF"/>
            <w:noWrap/>
            <w:vAlign w:val="center"/>
            <w:hideMark/>
          </w:tcPr>
          <w:p w:rsidR="007058D0" w:rsidRPr="00EB2995" w:rsidRDefault="007058D0" w:rsidP="00891A96">
            <w:pPr>
              <w:jc w:val="center"/>
              <w:rPr>
                <w:rFonts w:cs="Calibri"/>
                <w:color w:val="000000"/>
                <w:sz w:val="20"/>
                <w:szCs w:val="20"/>
                <w:lang w:eastAsia="en-GB"/>
              </w:rPr>
            </w:pPr>
            <w:r w:rsidRPr="00EB2995">
              <w:rPr>
                <w:rFonts w:cs="Calibri"/>
                <w:color w:val="000000"/>
                <w:sz w:val="20"/>
                <w:szCs w:val="20"/>
                <w:lang w:eastAsia="en-GB"/>
              </w:rPr>
              <w:t>N/A</w:t>
            </w:r>
          </w:p>
        </w:tc>
        <w:tc>
          <w:tcPr>
            <w:tcW w:w="1238" w:type="dxa"/>
            <w:tcBorders>
              <w:top w:val="nil"/>
              <w:left w:val="nil"/>
              <w:bottom w:val="nil"/>
              <w:right w:val="single" w:sz="4" w:space="0" w:color="auto"/>
            </w:tcBorders>
            <w:shd w:val="clear" w:color="000000" w:fill="FFFFFF"/>
            <w:noWrap/>
            <w:vAlign w:val="center"/>
            <w:hideMark/>
          </w:tcPr>
          <w:p w:rsidR="007058D0" w:rsidRPr="00EB2995" w:rsidRDefault="007058D0" w:rsidP="00891A96">
            <w:pPr>
              <w:jc w:val="right"/>
              <w:rPr>
                <w:rFonts w:cs="Calibri"/>
                <w:color w:val="000000"/>
                <w:sz w:val="20"/>
                <w:szCs w:val="20"/>
                <w:lang w:eastAsia="en-GB"/>
              </w:rPr>
            </w:pPr>
            <w:r w:rsidRPr="00EB2995">
              <w:rPr>
                <w:rFonts w:cs="Calibri"/>
                <w:color w:val="000000"/>
                <w:sz w:val="20"/>
                <w:szCs w:val="20"/>
                <w:lang w:eastAsia="en-GB"/>
              </w:rPr>
              <w:t xml:space="preserve">62.4 </w:t>
            </w:r>
          </w:p>
        </w:tc>
        <w:tc>
          <w:tcPr>
            <w:tcW w:w="1539" w:type="dxa"/>
            <w:tcBorders>
              <w:top w:val="nil"/>
              <w:left w:val="nil"/>
              <w:bottom w:val="nil"/>
              <w:right w:val="single" w:sz="4" w:space="0" w:color="auto"/>
            </w:tcBorders>
            <w:shd w:val="clear" w:color="000000" w:fill="FFFFFF"/>
            <w:noWrap/>
            <w:vAlign w:val="center"/>
            <w:hideMark/>
          </w:tcPr>
          <w:p w:rsidR="007058D0" w:rsidRPr="00EB2995" w:rsidRDefault="007058D0" w:rsidP="00891A96">
            <w:pPr>
              <w:jc w:val="right"/>
              <w:rPr>
                <w:rFonts w:cs="Calibri"/>
                <w:color w:val="000000"/>
                <w:sz w:val="20"/>
                <w:szCs w:val="20"/>
                <w:lang w:eastAsia="en-GB"/>
              </w:rPr>
            </w:pPr>
            <w:r w:rsidRPr="00EB2995">
              <w:rPr>
                <w:rFonts w:cs="Calibri"/>
                <w:color w:val="000000"/>
                <w:sz w:val="20"/>
                <w:szCs w:val="20"/>
                <w:lang w:eastAsia="en-GB"/>
              </w:rPr>
              <w:t xml:space="preserve">62.4 </w:t>
            </w:r>
          </w:p>
        </w:tc>
        <w:tc>
          <w:tcPr>
            <w:tcW w:w="1478" w:type="dxa"/>
            <w:tcBorders>
              <w:top w:val="nil"/>
              <w:left w:val="nil"/>
              <w:bottom w:val="nil"/>
              <w:right w:val="single" w:sz="4" w:space="0" w:color="auto"/>
            </w:tcBorders>
            <w:shd w:val="clear" w:color="000000" w:fill="FFFFFF"/>
            <w:noWrap/>
            <w:vAlign w:val="center"/>
            <w:hideMark/>
          </w:tcPr>
          <w:p w:rsidR="007058D0" w:rsidRPr="00EB2995" w:rsidRDefault="007058D0" w:rsidP="00891A96">
            <w:pPr>
              <w:jc w:val="right"/>
              <w:rPr>
                <w:rFonts w:cs="Calibri"/>
                <w:color w:val="000000"/>
                <w:sz w:val="20"/>
                <w:szCs w:val="20"/>
                <w:lang w:eastAsia="en-GB"/>
              </w:rPr>
            </w:pPr>
            <w:r w:rsidRPr="00EB2995">
              <w:rPr>
                <w:rFonts w:cs="Calibri"/>
                <w:color w:val="000000"/>
                <w:sz w:val="20"/>
                <w:szCs w:val="20"/>
                <w:lang w:eastAsia="en-GB"/>
              </w:rPr>
              <w:t xml:space="preserve">23.4 </w:t>
            </w:r>
          </w:p>
        </w:tc>
        <w:tc>
          <w:tcPr>
            <w:tcW w:w="1318" w:type="dxa"/>
            <w:tcBorders>
              <w:top w:val="nil"/>
              <w:left w:val="nil"/>
              <w:bottom w:val="nil"/>
              <w:right w:val="single" w:sz="4" w:space="0" w:color="auto"/>
            </w:tcBorders>
            <w:shd w:val="clear" w:color="000000" w:fill="FFFFFF"/>
            <w:noWrap/>
            <w:vAlign w:val="center"/>
            <w:hideMark/>
          </w:tcPr>
          <w:p w:rsidR="007058D0" w:rsidRPr="00EB2995" w:rsidRDefault="007058D0" w:rsidP="00891A96">
            <w:pPr>
              <w:jc w:val="right"/>
              <w:rPr>
                <w:rFonts w:cs="Calibri"/>
                <w:color w:val="000000"/>
                <w:sz w:val="20"/>
                <w:szCs w:val="20"/>
                <w:lang w:eastAsia="en-GB"/>
              </w:rPr>
            </w:pPr>
            <w:r w:rsidRPr="00EB2995">
              <w:rPr>
                <w:rFonts w:cs="Calibri"/>
                <w:color w:val="000000"/>
                <w:sz w:val="20"/>
                <w:szCs w:val="20"/>
                <w:lang w:eastAsia="en-GB"/>
              </w:rPr>
              <w:t xml:space="preserve">23.4 </w:t>
            </w:r>
          </w:p>
        </w:tc>
      </w:tr>
      <w:tr w:rsidR="007058D0" w:rsidRPr="00EB2995" w:rsidTr="00891A96">
        <w:trPr>
          <w:trHeight w:val="285"/>
        </w:trPr>
        <w:tc>
          <w:tcPr>
            <w:tcW w:w="3686" w:type="dxa"/>
            <w:tcBorders>
              <w:top w:val="nil"/>
              <w:left w:val="nil"/>
              <w:bottom w:val="nil"/>
              <w:right w:val="nil"/>
            </w:tcBorders>
            <w:shd w:val="clear" w:color="000000" w:fill="FFFFFF"/>
            <w:noWrap/>
            <w:vAlign w:val="center"/>
            <w:hideMark/>
          </w:tcPr>
          <w:p w:rsidR="007058D0" w:rsidRPr="00EB2995" w:rsidRDefault="007058D0" w:rsidP="00891A96">
            <w:pPr>
              <w:rPr>
                <w:rFonts w:cs="Calibri"/>
                <w:color w:val="000000"/>
                <w:sz w:val="20"/>
                <w:szCs w:val="20"/>
                <w:lang w:eastAsia="en-GB"/>
              </w:rPr>
            </w:pPr>
            <w:r w:rsidRPr="00EB2995">
              <w:rPr>
                <w:rFonts w:cs="Calibri"/>
                <w:color w:val="000000"/>
                <w:sz w:val="20"/>
                <w:szCs w:val="20"/>
                <w:lang w:eastAsia="en-GB"/>
              </w:rPr>
              <w:t>Long-term debtors</w:t>
            </w:r>
          </w:p>
        </w:tc>
        <w:tc>
          <w:tcPr>
            <w:tcW w:w="1110" w:type="dxa"/>
            <w:tcBorders>
              <w:top w:val="nil"/>
              <w:left w:val="single" w:sz="4" w:space="0" w:color="auto"/>
              <w:bottom w:val="nil"/>
              <w:right w:val="single" w:sz="4" w:space="0" w:color="auto"/>
            </w:tcBorders>
            <w:shd w:val="clear" w:color="000000" w:fill="FFFFFF"/>
            <w:noWrap/>
            <w:vAlign w:val="center"/>
            <w:hideMark/>
          </w:tcPr>
          <w:p w:rsidR="007058D0" w:rsidRPr="00EB2995" w:rsidRDefault="007058D0" w:rsidP="00891A96">
            <w:pPr>
              <w:jc w:val="center"/>
              <w:rPr>
                <w:rFonts w:cs="Calibri"/>
                <w:color w:val="000000"/>
                <w:sz w:val="20"/>
                <w:szCs w:val="20"/>
                <w:lang w:eastAsia="en-GB"/>
              </w:rPr>
            </w:pPr>
            <w:r w:rsidRPr="00EB2995">
              <w:rPr>
                <w:rFonts w:cs="Calibri"/>
                <w:color w:val="000000"/>
                <w:sz w:val="20"/>
                <w:szCs w:val="20"/>
                <w:lang w:eastAsia="en-GB"/>
              </w:rPr>
              <w:t>N/A</w:t>
            </w:r>
          </w:p>
        </w:tc>
        <w:tc>
          <w:tcPr>
            <w:tcW w:w="1238" w:type="dxa"/>
            <w:tcBorders>
              <w:top w:val="nil"/>
              <w:left w:val="nil"/>
              <w:bottom w:val="nil"/>
              <w:right w:val="single" w:sz="4" w:space="0" w:color="auto"/>
            </w:tcBorders>
            <w:shd w:val="clear" w:color="000000" w:fill="FFFFFF"/>
            <w:noWrap/>
            <w:vAlign w:val="center"/>
            <w:hideMark/>
          </w:tcPr>
          <w:p w:rsidR="007058D0" w:rsidRPr="00EB2995" w:rsidRDefault="007058D0" w:rsidP="00891A96">
            <w:pPr>
              <w:jc w:val="right"/>
              <w:rPr>
                <w:rFonts w:cs="Calibri"/>
                <w:color w:val="000000"/>
                <w:sz w:val="20"/>
                <w:szCs w:val="20"/>
                <w:lang w:eastAsia="en-GB"/>
              </w:rPr>
            </w:pPr>
            <w:r w:rsidRPr="00EB2995">
              <w:rPr>
                <w:rFonts w:cs="Calibri"/>
                <w:color w:val="000000"/>
                <w:sz w:val="20"/>
                <w:szCs w:val="20"/>
              </w:rPr>
              <w:t xml:space="preserve">128.1 </w:t>
            </w:r>
          </w:p>
        </w:tc>
        <w:tc>
          <w:tcPr>
            <w:tcW w:w="1539" w:type="dxa"/>
            <w:tcBorders>
              <w:top w:val="nil"/>
              <w:left w:val="nil"/>
              <w:bottom w:val="nil"/>
              <w:right w:val="single" w:sz="4" w:space="0" w:color="auto"/>
            </w:tcBorders>
            <w:shd w:val="clear" w:color="000000" w:fill="FFFFFF"/>
            <w:noWrap/>
            <w:vAlign w:val="center"/>
            <w:hideMark/>
          </w:tcPr>
          <w:p w:rsidR="007058D0" w:rsidRPr="00EB2995" w:rsidRDefault="007058D0" w:rsidP="00891A96">
            <w:pPr>
              <w:jc w:val="right"/>
              <w:rPr>
                <w:rFonts w:cs="Calibri"/>
                <w:color w:val="000000"/>
                <w:sz w:val="20"/>
                <w:szCs w:val="20"/>
                <w:lang w:eastAsia="en-GB"/>
              </w:rPr>
            </w:pPr>
            <w:r w:rsidRPr="00EB2995">
              <w:rPr>
                <w:rFonts w:cs="Calibri"/>
                <w:color w:val="000000"/>
                <w:sz w:val="20"/>
                <w:szCs w:val="20"/>
              </w:rPr>
              <w:t xml:space="preserve">128.1 </w:t>
            </w:r>
          </w:p>
        </w:tc>
        <w:tc>
          <w:tcPr>
            <w:tcW w:w="1478" w:type="dxa"/>
            <w:tcBorders>
              <w:top w:val="nil"/>
              <w:left w:val="nil"/>
              <w:bottom w:val="nil"/>
              <w:right w:val="single" w:sz="4" w:space="0" w:color="auto"/>
            </w:tcBorders>
            <w:shd w:val="clear" w:color="000000" w:fill="FFFFFF"/>
            <w:noWrap/>
            <w:vAlign w:val="center"/>
            <w:hideMark/>
          </w:tcPr>
          <w:p w:rsidR="007058D0" w:rsidRPr="00EB2995" w:rsidRDefault="007058D0" w:rsidP="00891A96">
            <w:pPr>
              <w:jc w:val="right"/>
              <w:rPr>
                <w:rFonts w:cs="Calibri"/>
                <w:color w:val="000000"/>
                <w:sz w:val="20"/>
                <w:szCs w:val="20"/>
                <w:lang w:eastAsia="en-GB"/>
              </w:rPr>
            </w:pPr>
            <w:r w:rsidRPr="00EB2995">
              <w:rPr>
                <w:rFonts w:cs="Calibri"/>
                <w:color w:val="000000"/>
                <w:sz w:val="20"/>
                <w:szCs w:val="20"/>
              </w:rPr>
              <w:t xml:space="preserve">111.5 </w:t>
            </w:r>
          </w:p>
        </w:tc>
        <w:tc>
          <w:tcPr>
            <w:tcW w:w="1318" w:type="dxa"/>
            <w:tcBorders>
              <w:top w:val="nil"/>
              <w:left w:val="nil"/>
              <w:bottom w:val="nil"/>
              <w:right w:val="single" w:sz="4" w:space="0" w:color="auto"/>
            </w:tcBorders>
            <w:shd w:val="clear" w:color="000000" w:fill="FFFFFF"/>
            <w:noWrap/>
            <w:vAlign w:val="center"/>
            <w:hideMark/>
          </w:tcPr>
          <w:p w:rsidR="007058D0" w:rsidRPr="00EB2995" w:rsidRDefault="007058D0" w:rsidP="00891A96">
            <w:pPr>
              <w:jc w:val="right"/>
              <w:rPr>
                <w:rFonts w:cs="Calibri"/>
                <w:color w:val="000000"/>
                <w:sz w:val="20"/>
                <w:szCs w:val="20"/>
                <w:lang w:eastAsia="en-GB"/>
              </w:rPr>
            </w:pPr>
            <w:r w:rsidRPr="00EB2995">
              <w:rPr>
                <w:rFonts w:cs="Calibri"/>
                <w:color w:val="000000"/>
                <w:sz w:val="20"/>
                <w:szCs w:val="20"/>
              </w:rPr>
              <w:t xml:space="preserve">111.5 </w:t>
            </w:r>
          </w:p>
        </w:tc>
      </w:tr>
      <w:tr w:rsidR="007058D0" w:rsidRPr="00EB2995" w:rsidTr="00891A96">
        <w:trPr>
          <w:trHeight w:val="285"/>
        </w:trPr>
        <w:tc>
          <w:tcPr>
            <w:tcW w:w="3686" w:type="dxa"/>
            <w:tcBorders>
              <w:top w:val="nil"/>
              <w:left w:val="nil"/>
              <w:bottom w:val="nil"/>
              <w:right w:val="nil"/>
            </w:tcBorders>
            <w:shd w:val="clear" w:color="000000" w:fill="FFFFFF"/>
            <w:noWrap/>
            <w:vAlign w:val="center"/>
            <w:hideMark/>
          </w:tcPr>
          <w:p w:rsidR="007058D0" w:rsidRPr="00EB2995" w:rsidRDefault="007058D0" w:rsidP="00891A96">
            <w:pPr>
              <w:rPr>
                <w:rFonts w:cs="Calibri"/>
                <w:color w:val="000000"/>
                <w:sz w:val="20"/>
                <w:szCs w:val="20"/>
                <w:lang w:eastAsia="en-GB"/>
              </w:rPr>
            </w:pPr>
            <w:r w:rsidRPr="00EB2995">
              <w:rPr>
                <w:rFonts w:cs="Calibri"/>
                <w:color w:val="000000"/>
                <w:sz w:val="20"/>
                <w:szCs w:val="20"/>
                <w:lang w:eastAsia="en-GB"/>
              </w:rPr>
              <w:t>Short-term deposits with Local Authorities</w:t>
            </w:r>
          </w:p>
        </w:tc>
        <w:tc>
          <w:tcPr>
            <w:tcW w:w="1110" w:type="dxa"/>
            <w:tcBorders>
              <w:top w:val="nil"/>
              <w:left w:val="single" w:sz="4" w:space="0" w:color="auto"/>
              <w:bottom w:val="nil"/>
              <w:right w:val="single" w:sz="4" w:space="0" w:color="auto"/>
            </w:tcBorders>
            <w:shd w:val="clear" w:color="000000" w:fill="FFFFFF"/>
            <w:noWrap/>
            <w:vAlign w:val="center"/>
            <w:hideMark/>
          </w:tcPr>
          <w:p w:rsidR="007058D0" w:rsidRPr="00EB2995" w:rsidRDefault="007058D0" w:rsidP="00891A96">
            <w:pPr>
              <w:jc w:val="center"/>
              <w:rPr>
                <w:rFonts w:cs="Calibri"/>
                <w:color w:val="000000"/>
                <w:sz w:val="20"/>
                <w:szCs w:val="20"/>
                <w:lang w:eastAsia="en-GB"/>
              </w:rPr>
            </w:pPr>
            <w:r w:rsidRPr="00EB2995">
              <w:rPr>
                <w:rFonts w:cs="Calibri"/>
                <w:color w:val="000000"/>
                <w:sz w:val="20"/>
                <w:szCs w:val="20"/>
                <w:lang w:eastAsia="en-GB"/>
              </w:rPr>
              <w:t>N/A</w:t>
            </w:r>
          </w:p>
        </w:tc>
        <w:tc>
          <w:tcPr>
            <w:tcW w:w="1238" w:type="dxa"/>
            <w:tcBorders>
              <w:top w:val="nil"/>
              <w:left w:val="nil"/>
              <w:bottom w:val="nil"/>
              <w:right w:val="single" w:sz="4" w:space="0" w:color="auto"/>
            </w:tcBorders>
            <w:shd w:val="clear" w:color="000000" w:fill="FFFFFF"/>
            <w:noWrap/>
            <w:vAlign w:val="center"/>
            <w:hideMark/>
          </w:tcPr>
          <w:p w:rsidR="007058D0" w:rsidRPr="00EB2995" w:rsidRDefault="007B70DC" w:rsidP="007B70DC">
            <w:pPr>
              <w:jc w:val="right"/>
              <w:rPr>
                <w:rFonts w:cs="Calibri"/>
                <w:color w:val="000000"/>
                <w:sz w:val="20"/>
                <w:szCs w:val="20"/>
                <w:lang w:eastAsia="en-GB"/>
              </w:rPr>
            </w:pPr>
            <w:r>
              <w:rPr>
                <w:rFonts w:cs="Calibri"/>
                <w:color w:val="000000"/>
                <w:sz w:val="20"/>
                <w:szCs w:val="20"/>
                <w:lang w:eastAsia="en-GB"/>
              </w:rPr>
              <w:t>0.0</w:t>
            </w:r>
            <w:r w:rsidR="007058D0" w:rsidRPr="00EB2995">
              <w:rPr>
                <w:rFonts w:cs="Calibri"/>
                <w:color w:val="000000"/>
                <w:sz w:val="20"/>
                <w:szCs w:val="20"/>
                <w:lang w:eastAsia="en-GB"/>
              </w:rPr>
              <w:t xml:space="preserve"> </w:t>
            </w:r>
          </w:p>
        </w:tc>
        <w:tc>
          <w:tcPr>
            <w:tcW w:w="1539" w:type="dxa"/>
            <w:tcBorders>
              <w:top w:val="nil"/>
              <w:left w:val="nil"/>
              <w:bottom w:val="nil"/>
              <w:right w:val="single" w:sz="4" w:space="0" w:color="auto"/>
            </w:tcBorders>
            <w:shd w:val="clear" w:color="000000" w:fill="FFFFFF"/>
            <w:noWrap/>
            <w:vAlign w:val="center"/>
            <w:hideMark/>
          </w:tcPr>
          <w:p w:rsidR="007058D0" w:rsidRPr="00EB2995" w:rsidRDefault="007058D0" w:rsidP="007B70DC">
            <w:pPr>
              <w:jc w:val="right"/>
              <w:rPr>
                <w:rFonts w:cs="Calibri"/>
                <w:color w:val="000000"/>
                <w:sz w:val="20"/>
                <w:szCs w:val="20"/>
                <w:lang w:eastAsia="en-GB"/>
              </w:rPr>
            </w:pPr>
            <w:r w:rsidRPr="00EB2995">
              <w:rPr>
                <w:rFonts w:cs="Calibri"/>
                <w:color w:val="000000"/>
                <w:sz w:val="20"/>
                <w:szCs w:val="20"/>
                <w:lang w:eastAsia="en-GB"/>
              </w:rPr>
              <w:t xml:space="preserve">0.0 </w:t>
            </w:r>
          </w:p>
        </w:tc>
        <w:tc>
          <w:tcPr>
            <w:tcW w:w="1478" w:type="dxa"/>
            <w:tcBorders>
              <w:top w:val="nil"/>
              <w:left w:val="nil"/>
              <w:bottom w:val="nil"/>
              <w:right w:val="single" w:sz="4" w:space="0" w:color="auto"/>
            </w:tcBorders>
            <w:shd w:val="clear" w:color="000000" w:fill="FFFFFF"/>
            <w:noWrap/>
            <w:vAlign w:val="center"/>
            <w:hideMark/>
          </w:tcPr>
          <w:p w:rsidR="007058D0" w:rsidRPr="00EB2995" w:rsidRDefault="007058D0" w:rsidP="00891A96">
            <w:pPr>
              <w:jc w:val="right"/>
              <w:rPr>
                <w:rFonts w:cs="Calibri"/>
                <w:color w:val="000000"/>
                <w:sz w:val="20"/>
                <w:szCs w:val="20"/>
                <w:lang w:eastAsia="en-GB"/>
              </w:rPr>
            </w:pPr>
            <w:r w:rsidRPr="00EB2995">
              <w:rPr>
                <w:rFonts w:cs="Calibri"/>
                <w:color w:val="000000"/>
                <w:sz w:val="20"/>
                <w:szCs w:val="20"/>
                <w:lang w:eastAsia="en-GB"/>
              </w:rPr>
              <w:t xml:space="preserve">61.0 </w:t>
            </w:r>
          </w:p>
        </w:tc>
        <w:tc>
          <w:tcPr>
            <w:tcW w:w="1318" w:type="dxa"/>
            <w:tcBorders>
              <w:top w:val="nil"/>
              <w:left w:val="nil"/>
              <w:bottom w:val="nil"/>
              <w:right w:val="single" w:sz="4" w:space="0" w:color="auto"/>
            </w:tcBorders>
            <w:shd w:val="clear" w:color="000000" w:fill="FFFFFF"/>
            <w:noWrap/>
            <w:vAlign w:val="center"/>
            <w:hideMark/>
          </w:tcPr>
          <w:p w:rsidR="007058D0" w:rsidRPr="00EB2995" w:rsidRDefault="007058D0" w:rsidP="00891A96">
            <w:pPr>
              <w:jc w:val="right"/>
              <w:rPr>
                <w:rFonts w:cs="Calibri"/>
                <w:color w:val="000000"/>
                <w:sz w:val="20"/>
                <w:szCs w:val="20"/>
                <w:lang w:eastAsia="en-GB"/>
              </w:rPr>
            </w:pPr>
            <w:r w:rsidRPr="00EB2995">
              <w:rPr>
                <w:rFonts w:cs="Calibri"/>
                <w:color w:val="000000"/>
                <w:sz w:val="20"/>
                <w:szCs w:val="20"/>
                <w:lang w:eastAsia="en-GB"/>
              </w:rPr>
              <w:t xml:space="preserve">61.0 </w:t>
            </w:r>
          </w:p>
        </w:tc>
      </w:tr>
      <w:tr w:rsidR="007058D0" w:rsidRPr="00EB2995" w:rsidTr="00891A96">
        <w:trPr>
          <w:trHeight w:val="555"/>
        </w:trPr>
        <w:tc>
          <w:tcPr>
            <w:tcW w:w="3686" w:type="dxa"/>
            <w:tcBorders>
              <w:top w:val="nil"/>
              <w:left w:val="nil"/>
              <w:bottom w:val="nil"/>
              <w:right w:val="nil"/>
            </w:tcBorders>
            <w:shd w:val="clear" w:color="000000" w:fill="FFFFFF"/>
            <w:noWrap/>
            <w:vAlign w:val="center"/>
            <w:hideMark/>
          </w:tcPr>
          <w:p w:rsidR="007058D0" w:rsidRPr="00EB2995" w:rsidRDefault="007058D0" w:rsidP="00891A96">
            <w:pPr>
              <w:rPr>
                <w:rFonts w:cs="Calibri"/>
                <w:color w:val="000000"/>
                <w:sz w:val="20"/>
                <w:szCs w:val="20"/>
                <w:lang w:eastAsia="en-GB"/>
              </w:rPr>
            </w:pPr>
            <w:r w:rsidRPr="00EB2995">
              <w:rPr>
                <w:rFonts w:cs="Calibri"/>
                <w:color w:val="000000"/>
                <w:sz w:val="20"/>
                <w:szCs w:val="20"/>
                <w:lang w:eastAsia="en-GB"/>
              </w:rPr>
              <w:t>Short-term debtors</w:t>
            </w:r>
          </w:p>
        </w:tc>
        <w:tc>
          <w:tcPr>
            <w:tcW w:w="1110" w:type="dxa"/>
            <w:tcBorders>
              <w:top w:val="nil"/>
              <w:left w:val="single" w:sz="4" w:space="0" w:color="auto"/>
              <w:bottom w:val="nil"/>
              <w:right w:val="single" w:sz="4" w:space="0" w:color="auto"/>
            </w:tcBorders>
            <w:shd w:val="clear" w:color="000000" w:fill="FFFFFF"/>
            <w:noWrap/>
            <w:vAlign w:val="center"/>
            <w:hideMark/>
          </w:tcPr>
          <w:p w:rsidR="007058D0" w:rsidRPr="00EB2995" w:rsidRDefault="007058D0" w:rsidP="00891A96">
            <w:pPr>
              <w:jc w:val="center"/>
              <w:rPr>
                <w:rFonts w:cs="Calibri"/>
                <w:color w:val="000000"/>
                <w:sz w:val="20"/>
                <w:szCs w:val="20"/>
                <w:lang w:eastAsia="en-GB"/>
              </w:rPr>
            </w:pPr>
            <w:r w:rsidRPr="00EB2995">
              <w:rPr>
                <w:rFonts w:cs="Calibri"/>
                <w:color w:val="000000"/>
                <w:sz w:val="20"/>
                <w:szCs w:val="20"/>
                <w:lang w:eastAsia="en-GB"/>
              </w:rPr>
              <w:t>N/A</w:t>
            </w:r>
          </w:p>
        </w:tc>
        <w:tc>
          <w:tcPr>
            <w:tcW w:w="1238" w:type="dxa"/>
            <w:tcBorders>
              <w:top w:val="nil"/>
              <w:left w:val="nil"/>
              <w:bottom w:val="nil"/>
              <w:right w:val="single" w:sz="4" w:space="0" w:color="auto"/>
            </w:tcBorders>
            <w:shd w:val="clear" w:color="000000" w:fill="FFFFFF"/>
            <w:noWrap/>
            <w:vAlign w:val="center"/>
            <w:hideMark/>
          </w:tcPr>
          <w:p w:rsidR="007058D0" w:rsidRPr="00EB2995" w:rsidRDefault="007058D0" w:rsidP="00891A96">
            <w:pPr>
              <w:jc w:val="right"/>
              <w:rPr>
                <w:rFonts w:cs="Calibri"/>
                <w:color w:val="000000"/>
                <w:sz w:val="20"/>
                <w:szCs w:val="20"/>
                <w:lang w:eastAsia="en-GB"/>
              </w:rPr>
            </w:pPr>
            <w:r>
              <w:rPr>
                <w:rFonts w:cs="Calibri"/>
                <w:color w:val="000000"/>
                <w:sz w:val="20"/>
                <w:szCs w:val="20"/>
                <w:lang w:eastAsia="en-GB"/>
              </w:rPr>
              <w:t>156.8</w:t>
            </w:r>
            <w:r w:rsidRPr="00EB2995">
              <w:rPr>
                <w:rFonts w:cs="Calibri"/>
                <w:color w:val="000000"/>
                <w:sz w:val="20"/>
                <w:szCs w:val="20"/>
                <w:lang w:eastAsia="en-GB"/>
              </w:rPr>
              <w:t xml:space="preserve"> </w:t>
            </w:r>
          </w:p>
        </w:tc>
        <w:tc>
          <w:tcPr>
            <w:tcW w:w="1539" w:type="dxa"/>
            <w:tcBorders>
              <w:top w:val="nil"/>
              <w:left w:val="nil"/>
              <w:bottom w:val="nil"/>
              <w:right w:val="single" w:sz="4" w:space="0" w:color="auto"/>
            </w:tcBorders>
            <w:shd w:val="clear" w:color="000000" w:fill="FFFFFF"/>
            <w:noWrap/>
            <w:vAlign w:val="center"/>
            <w:hideMark/>
          </w:tcPr>
          <w:p w:rsidR="007058D0" w:rsidRPr="00EB2995" w:rsidRDefault="007058D0" w:rsidP="00891A96">
            <w:pPr>
              <w:jc w:val="right"/>
              <w:rPr>
                <w:rFonts w:cs="Calibri"/>
                <w:color w:val="000000"/>
                <w:sz w:val="20"/>
                <w:szCs w:val="20"/>
                <w:lang w:eastAsia="en-GB"/>
              </w:rPr>
            </w:pPr>
            <w:r>
              <w:rPr>
                <w:rFonts w:cs="Calibri"/>
                <w:color w:val="000000"/>
                <w:sz w:val="20"/>
                <w:szCs w:val="20"/>
                <w:lang w:eastAsia="en-GB"/>
              </w:rPr>
              <w:t>156.8</w:t>
            </w:r>
            <w:r w:rsidRPr="00EB2995">
              <w:rPr>
                <w:rFonts w:cs="Calibri"/>
                <w:color w:val="000000"/>
                <w:sz w:val="20"/>
                <w:szCs w:val="20"/>
                <w:lang w:eastAsia="en-GB"/>
              </w:rPr>
              <w:t xml:space="preserve"> </w:t>
            </w:r>
          </w:p>
        </w:tc>
        <w:tc>
          <w:tcPr>
            <w:tcW w:w="1478" w:type="dxa"/>
            <w:tcBorders>
              <w:top w:val="nil"/>
              <w:left w:val="nil"/>
              <w:bottom w:val="nil"/>
              <w:right w:val="single" w:sz="4" w:space="0" w:color="auto"/>
            </w:tcBorders>
            <w:shd w:val="clear" w:color="000000" w:fill="FFFFFF"/>
            <w:noWrap/>
            <w:vAlign w:val="center"/>
            <w:hideMark/>
          </w:tcPr>
          <w:p w:rsidR="007058D0" w:rsidRPr="00EB2995" w:rsidRDefault="007058D0" w:rsidP="00891A96">
            <w:pPr>
              <w:jc w:val="right"/>
              <w:rPr>
                <w:rFonts w:cs="Calibri"/>
                <w:color w:val="000000"/>
                <w:sz w:val="20"/>
                <w:szCs w:val="20"/>
                <w:lang w:eastAsia="en-GB"/>
              </w:rPr>
            </w:pPr>
            <w:r w:rsidRPr="00EB2995">
              <w:rPr>
                <w:rFonts w:cs="Calibri"/>
                <w:color w:val="000000"/>
                <w:sz w:val="20"/>
                <w:szCs w:val="20"/>
                <w:lang w:eastAsia="en-GB"/>
              </w:rPr>
              <w:t xml:space="preserve">108.3 </w:t>
            </w:r>
          </w:p>
        </w:tc>
        <w:tc>
          <w:tcPr>
            <w:tcW w:w="1318" w:type="dxa"/>
            <w:tcBorders>
              <w:top w:val="nil"/>
              <w:left w:val="nil"/>
              <w:bottom w:val="nil"/>
              <w:right w:val="single" w:sz="4" w:space="0" w:color="auto"/>
            </w:tcBorders>
            <w:shd w:val="clear" w:color="000000" w:fill="FFFFFF"/>
            <w:noWrap/>
            <w:vAlign w:val="center"/>
            <w:hideMark/>
          </w:tcPr>
          <w:p w:rsidR="007058D0" w:rsidRPr="00EB2995" w:rsidRDefault="007058D0" w:rsidP="00891A96">
            <w:pPr>
              <w:jc w:val="right"/>
              <w:rPr>
                <w:rFonts w:cs="Calibri"/>
                <w:color w:val="000000"/>
                <w:sz w:val="20"/>
                <w:szCs w:val="20"/>
                <w:lang w:eastAsia="en-GB"/>
              </w:rPr>
            </w:pPr>
            <w:r w:rsidRPr="00EB2995">
              <w:rPr>
                <w:rFonts w:cs="Calibri"/>
                <w:color w:val="000000"/>
                <w:sz w:val="20"/>
                <w:szCs w:val="20"/>
                <w:lang w:eastAsia="en-GB"/>
              </w:rPr>
              <w:t xml:space="preserve">108.3 </w:t>
            </w:r>
          </w:p>
        </w:tc>
      </w:tr>
      <w:tr w:rsidR="007058D0" w:rsidRPr="00EB2995" w:rsidTr="00891A96">
        <w:trPr>
          <w:trHeight w:val="390"/>
        </w:trPr>
        <w:tc>
          <w:tcPr>
            <w:tcW w:w="3686" w:type="dxa"/>
            <w:tcBorders>
              <w:top w:val="nil"/>
              <w:left w:val="nil"/>
              <w:bottom w:val="nil"/>
              <w:right w:val="nil"/>
            </w:tcBorders>
            <w:shd w:val="clear" w:color="000000" w:fill="FFFFFF"/>
            <w:noWrap/>
            <w:vAlign w:val="center"/>
            <w:hideMark/>
          </w:tcPr>
          <w:p w:rsidR="007058D0" w:rsidRPr="00EB2995" w:rsidRDefault="007058D0" w:rsidP="00891A96">
            <w:pPr>
              <w:rPr>
                <w:rFonts w:cs="Calibri"/>
                <w:color w:val="000000"/>
                <w:sz w:val="20"/>
                <w:szCs w:val="20"/>
                <w:lang w:eastAsia="en-GB"/>
              </w:rPr>
            </w:pPr>
            <w:r w:rsidRPr="00EB2995">
              <w:rPr>
                <w:rFonts w:cs="Calibri"/>
                <w:color w:val="000000"/>
                <w:sz w:val="20"/>
                <w:szCs w:val="20"/>
                <w:lang w:eastAsia="en-GB"/>
              </w:rPr>
              <w:t>Cash and cash equivalents</w:t>
            </w:r>
          </w:p>
        </w:tc>
        <w:tc>
          <w:tcPr>
            <w:tcW w:w="1110" w:type="dxa"/>
            <w:tcBorders>
              <w:top w:val="nil"/>
              <w:left w:val="single" w:sz="4" w:space="0" w:color="auto"/>
              <w:bottom w:val="single" w:sz="4" w:space="0" w:color="auto"/>
              <w:right w:val="single" w:sz="4" w:space="0" w:color="auto"/>
            </w:tcBorders>
            <w:shd w:val="clear" w:color="000000" w:fill="FFFFFF"/>
            <w:noWrap/>
            <w:vAlign w:val="center"/>
            <w:hideMark/>
          </w:tcPr>
          <w:p w:rsidR="007058D0" w:rsidRPr="00EB2995" w:rsidRDefault="007058D0" w:rsidP="00891A96">
            <w:pPr>
              <w:jc w:val="center"/>
              <w:rPr>
                <w:rFonts w:cs="Calibri"/>
                <w:color w:val="000000"/>
                <w:sz w:val="20"/>
                <w:szCs w:val="20"/>
                <w:lang w:eastAsia="en-GB"/>
              </w:rPr>
            </w:pPr>
            <w:r w:rsidRPr="00EB2995">
              <w:rPr>
                <w:rFonts w:cs="Calibri"/>
                <w:color w:val="000000"/>
                <w:sz w:val="20"/>
                <w:szCs w:val="20"/>
                <w:lang w:eastAsia="en-GB"/>
              </w:rPr>
              <w:t>N/A</w:t>
            </w:r>
          </w:p>
        </w:tc>
        <w:tc>
          <w:tcPr>
            <w:tcW w:w="1238" w:type="dxa"/>
            <w:tcBorders>
              <w:top w:val="nil"/>
              <w:left w:val="nil"/>
              <w:bottom w:val="nil"/>
              <w:right w:val="single" w:sz="4" w:space="0" w:color="auto"/>
            </w:tcBorders>
            <w:shd w:val="clear" w:color="000000" w:fill="FFFFFF"/>
            <w:noWrap/>
            <w:vAlign w:val="center"/>
            <w:hideMark/>
          </w:tcPr>
          <w:p w:rsidR="007058D0" w:rsidRPr="00EB2995" w:rsidRDefault="007058D0" w:rsidP="00891A96">
            <w:pPr>
              <w:jc w:val="right"/>
              <w:rPr>
                <w:rFonts w:cs="Calibri"/>
                <w:color w:val="000000"/>
                <w:sz w:val="20"/>
                <w:szCs w:val="20"/>
                <w:lang w:eastAsia="en-GB"/>
              </w:rPr>
            </w:pPr>
            <w:r>
              <w:rPr>
                <w:rFonts w:cs="Calibri"/>
                <w:color w:val="000000"/>
                <w:sz w:val="20"/>
                <w:szCs w:val="20"/>
                <w:lang w:eastAsia="en-GB"/>
              </w:rPr>
              <w:t>130.2</w:t>
            </w:r>
            <w:r w:rsidRPr="00EB2995">
              <w:rPr>
                <w:rFonts w:cs="Calibri"/>
                <w:color w:val="000000"/>
                <w:sz w:val="20"/>
                <w:szCs w:val="20"/>
                <w:lang w:eastAsia="en-GB"/>
              </w:rPr>
              <w:t xml:space="preserve"> </w:t>
            </w:r>
          </w:p>
        </w:tc>
        <w:tc>
          <w:tcPr>
            <w:tcW w:w="1539" w:type="dxa"/>
            <w:tcBorders>
              <w:top w:val="nil"/>
              <w:left w:val="nil"/>
              <w:bottom w:val="nil"/>
              <w:right w:val="single" w:sz="4" w:space="0" w:color="auto"/>
            </w:tcBorders>
            <w:shd w:val="clear" w:color="000000" w:fill="FFFFFF"/>
            <w:noWrap/>
            <w:vAlign w:val="center"/>
            <w:hideMark/>
          </w:tcPr>
          <w:p w:rsidR="007058D0" w:rsidRPr="00EB2995" w:rsidRDefault="007058D0" w:rsidP="00891A96">
            <w:pPr>
              <w:jc w:val="right"/>
              <w:rPr>
                <w:rFonts w:cs="Calibri"/>
                <w:color w:val="000000"/>
                <w:sz w:val="20"/>
                <w:szCs w:val="20"/>
                <w:lang w:eastAsia="en-GB"/>
              </w:rPr>
            </w:pPr>
            <w:r>
              <w:rPr>
                <w:rFonts w:cs="Calibri"/>
                <w:color w:val="000000"/>
                <w:sz w:val="20"/>
                <w:szCs w:val="20"/>
                <w:lang w:eastAsia="en-GB"/>
              </w:rPr>
              <w:t>130.2</w:t>
            </w:r>
            <w:r w:rsidRPr="00EB2995">
              <w:rPr>
                <w:rFonts w:cs="Calibri"/>
                <w:color w:val="000000"/>
                <w:sz w:val="20"/>
                <w:szCs w:val="20"/>
                <w:lang w:eastAsia="en-GB"/>
              </w:rPr>
              <w:t xml:space="preserve"> </w:t>
            </w:r>
          </w:p>
        </w:tc>
        <w:tc>
          <w:tcPr>
            <w:tcW w:w="1478" w:type="dxa"/>
            <w:tcBorders>
              <w:top w:val="nil"/>
              <w:left w:val="nil"/>
              <w:bottom w:val="nil"/>
              <w:right w:val="single" w:sz="4" w:space="0" w:color="auto"/>
            </w:tcBorders>
            <w:shd w:val="clear" w:color="000000" w:fill="FFFFFF"/>
            <w:noWrap/>
            <w:vAlign w:val="center"/>
            <w:hideMark/>
          </w:tcPr>
          <w:p w:rsidR="007058D0" w:rsidRPr="00EB2995" w:rsidRDefault="007058D0" w:rsidP="00891A96">
            <w:pPr>
              <w:jc w:val="right"/>
              <w:rPr>
                <w:rFonts w:cs="Calibri"/>
                <w:color w:val="000000"/>
                <w:sz w:val="20"/>
                <w:szCs w:val="20"/>
                <w:lang w:eastAsia="en-GB"/>
              </w:rPr>
            </w:pPr>
            <w:r w:rsidRPr="00EB2995">
              <w:rPr>
                <w:rFonts w:cs="Calibri"/>
                <w:color w:val="000000"/>
                <w:sz w:val="20"/>
                <w:szCs w:val="20"/>
                <w:lang w:eastAsia="en-GB"/>
              </w:rPr>
              <w:t xml:space="preserve">11.3 </w:t>
            </w:r>
          </w:p>
        </w:tc>
        <w:tc>
          <w:tcPr>
            <w:tcW w:w="1318" w:type="dxa"/>
            <w:tcBorders>
              <w:top w:val="nil"/>
              <w:left w:val="nil"/>
              <w:bottom w:val="nil"/>
              <w:right w:val="single" w:sz="4" w:space="0" w:color="auto"/>
            </w:tcBorders>
            <w:shd w:val="clear" w:color="000000" w:fill="FFFFFF"/>
            <w:noWrap/>
            <w:vAlign w:val="center"/>
            <w:hideMark/>
          </w:tcPr>
          <w:p w:rsidR="007058D0" w:rsidRPr="00EB2995" w:rsidRDefault="007058D0" w:rsidP="00891A96">
            <w:pPr>
              <w:jc w:val="right"/>
              <w:rPr>
                <w:rFonts w:cs="Calibri"/>
                <w:color w:val="000000"/>
                <w:sz w:val="20"/>
                <w:szCs w:val="20"/>
                <w:lang w:eastAsia="en-GB"/>
              </w:rPr>
            </w:pPr>
            <w:r w:rsidRPr="00EB2995">
              <w:rPr>
                <w:rFonts w:cs="Calibri"/>
                <w:color w:val="000000"/>
                <w:sz w:val="20"/>
                <w:szCs w:val="20"/>
                <w:lang w:eastAsia="en-GB"/>
              </w:rPr>
              <w:t xml:space="preserve">11.3 </w:t>
            </w:r>
          </w:p>
        </w:tc>
      </w:tr>
      <w:tr w:rsidR="007058D0" w:rsidRPr="00EB2995" w:rsidTr="00891A96">
        <w:trPr>
          <w:trHeight w:val="285"/>
        </w:trPr>
        <w:tc>
          <w:tcPr>
            <w:tcW w:w="3686" w:type="dxa"/>
            <w:tcBorders>
              <w:top w:val="nil"/>
              <w:left w:val="nil"/>
              <w:bottom w:val="nil"/>
              <w:right w:val="nil"/>
            </w:tcBorders>
            <w:shd w:val="clear" w:color="000000" w:fill="FFFFFF"/>
            <w:noWrap/>
            <w:vAlign w:val="center"/>
            <w:hideMark/>
          </w:tcPr>
          <w:p w:rsidR="007058D0" w:rsidRPr="00EB2995" w:rsidRDefault="007058D0" w:rsidP="00891A96">
            <w:pPr>
              <w:rPr>
                <w:rFonts w:cs="Calibri"/>
                <w:b/>
                <w:bCs/>
                <w:color w:val="000000"/>
                <w:sz w:val="20"/>
                <w:szCs w:val="20"/>
                <w:lang w:eastAsia="en-GB"/>
              </w:rPr>
            </w:pPr>
            <w:r w:rsidRPr="00EB2995">
              <w:rPr>
                <w:rFonts w:cs="Calibri"/>
                <w:b/>
                <w:bCs/>
                <w:color w:val="000000"/>
                <w:sz w:val="20"/>
                <w:szCs w:val="20"/>
                <w:lang w:eastAsia="en-GB"/>
              </w:rPr>
              <w:t>Total</w:t>
            </w:r>
          </w:p>
        </w:tc>
        <w:tc>
          <w:tcPr>
            <w:tcW w:w="1110" w:type="dxa"/>
            <w:tcBorders>
              <w:top w:val="nil"/>
              <w:left w:val="nil"/>
              <w:bottom w:val="nil"/>
              <w:right w:val="nil"/>
            </w:tcBorders>
            <w:shd w:val="clear" w:color="000000" w:fill="FFFFFF"/>
            <w:noWrap/>
            <w:vAlign w:val="center"/>
            <w:hideMark/>
          </w:tcPr>
          <w:p w:rsidR="007058D0" w:rsidRPr="00EB2995" w:rsidRDefault="007058D0" w:rsidP="00891A96">
            <w:pPr>
              <w:rPr>
                <w:rFonts w:cs="Calibri"/>
                <w:b/>
                <w:bCs/>
                <w:color w:val="000000"/>
                <w:sz w:val="20"/>
                <w:szCs w:val="20"/>
                <w:lang w:eastAsia="en-GB"/>
              </w:rPr>
            </w:pPr>
            <w:r w:rsidRPr="00EB2995">
              <w:rPr>
                <w:rFonts w:cs="Calibri"/>
                <w:b/>
                <w:bCs/>
                <w:color w:val="000000"/>
                <w:sz w:val="20"/>
                <w:szCs w:val="20"/>
                <w:lang w:eastAsia="en-GB"/>
              </w:rPr>
              <w:t> </w:t>
            </w:r>
          </w:p>
        </w:tc>
        <w:tc>
          <w:tcPr>
            <w:tcW w:w="123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058D0" w:rsidRPr="00EB2995" w:rsidRDefault="007058D0" w:rsidP="00891A96">
            <w:pPr>
              <w:jc w:val="right"/>
              <w:rPr>
                <w:rFonts w:cs="Calibri"/>
                <w:b/>
                <w:bCs/>
                <w:color w:val="000000"/>
                <w:sz w:val="20"/>
                <w:szCs w:val="20"/>
                <w:lang w:eastAsia="en-GB"/>
              </w:rPr>
            </w:pPr>
            <w:r w:rsidRPr="00EB2995">
              <w:rPr>
                <w:rFonts w:cs="Calibri"/>
                <w:b/>
                <w:bCs/>
                <w:color w:val="000000"/>
                <w:sz w:val="20"/>
                <w:szCs w:val="20"/>
                <w:lang w:eastAsia="en-GB"/>
              </w:rPr>
              <w:t>48</w:t>
            </w:r>
            <w:r>
              <w:rPr>
                <w:rFonts w:cs="Calibri"/>
                <w:b/>
                <w:bCs/>
                <w:color w:val="000000"/>
                <w:sz w:val="20"/>
                <w:szCs w:val="20"/>
                <w:lang w:eastAsia="en-GB"/>
              </w:rPr>
              <w:t>2.5</w:t>
            </w:r>
            <w:r w:rsidRPr="00EB2995">
              <w:rPr>
                <w:rFonts w:cs="Calibri"/>
                <w:b/>
                <w:bCs/>
                <w:color w:val="000000"/>
                <w:sz w:val="20"/>
                <w:szCs w:val="20"/>
                <w:lang w:eastAsia="en-GB"/>
              </w:rPr>
              <w:t xml:space="preserve"> </w:t>
            </w:r>
          </w:p>
        </w:tc>
        <w:tc>
          <w:tcPr>
            <w:tcW w:w="1539" w:type="dxa"/>
            <w:tcBorders>
              <w:top w:val="single" w:sz="4" w:space="0" w:color="auto"/>
              <w:left w:val="nil"/>
              <w:bottom w:val="single" w:sz="4" w:space="0" w:color="auto"/>
              <w:right w:val="single" w:sz="4" w:space="0" w:color="auto"/>
            </w:tcBorders>
            <w:shd w:val="clear" w:color="000000" w:fill="FFFFFF"/>
            <w:noWrap/>
            <w:vAlign w:val="center"/>
            <w:hideMark/>
          </w:tcPr>
          <w:p w:rsidR="007058D0" w:rsidRPr="00EB2995" w:rsidRDefault="007058D0" w:rsidP="00891A96">
            <w:pPr>
              <w:jc w:val="right"/>
              <w:rPr>
                <w:rFonts w:cs="Calibri"/>
                <w:b/>
                <w:bCs/>
                <w:color w:val="000000"/>
                <w:sz w:val="20"/>
                <w:szCs w:val="20"/>
                <w:lang w:eastAsia="en-GB"/>
              </w:rPr>
            </w:pPr>
            <w:r w:rsidRPr="00EB2995">
              <w:rPr>
                <w:rFonts w:cs="Calibri"/>
                <w:b/>
                <w:bCs/>
                <w:color w:val="000000"/>
                <w:sz w:val="20"/>
                <w:szCs w:val="20"/>
                <w:lang w:eastAsia="en-GB"/>
              </w:rPr>
              <w:t>48</w:t>
            </w:r>
            <w:r>
              <w:rPr>
                <w:rFonts w:cs="Calibri"/>
                <w:b/>
                <w:bCs/>
                <w:color w:val="000000"/>
                <w:sz w:val="20"/>
                <w:szCs w:val="20"/>
                <w:lang w:eastAsia="en-GB"/>
              </w:rPr>
              <w:t>2.5</w:t>
            </w:r>
            <w:r w:rsidRPr="00EB2995">
              <w:rPr>
                <w:rFonts w:cs="Calibri"/>
                <w:b/>
                <w:bCs/>
                <w:color w:val="000000"/>
                <w:sz w:val="20"/>
                <w:szCs w:val="20"/>
                <w:lang w:eastAsia="en-GB"/>
              </w:rPr>
              <w:t xml:space="preserve"> </w:t>
            </w:r>
          </w:p>
        </w:tc>
        <w:tc>
          <w:tcPr>
            <w:tcW w:w="1478" w:type="dxa"/>
            <w:tcBorders>
              <w:top w:val="single" w:sz="4" w:space="0" w:color="auto"/>
              <w:left w:val="nil"/>
              <w:bottom w:val="single" w:sz="4" w:space="0" w:color="auto"/>
              <w:right w:val="single" w:sz="4" w:space="0" w:color="auto"/>
            </w:tcBorders>
            <w:shd w:val="clear" w:color="000000" w:fill="FFFFFF"/>
            <w:noWrap/>
            <w:vAlign w:val="center"/>
            <w:hideMark/>
          </w:tcPr>
          <w:p w:rsidR="007058D0" w:rsidRPr="00EB2995" w:rsidRDefault="007058D0" w:rsidP="00891A96">
            <w:pPr>
              <w:jc w:val="right"/>
              <w:rPr>
                <w:rFonts w:cs="Calibri"/>
                <w:b/>
                <w:bCs/>
                <w:color w:val="000000"/>
                <w:sz w:val="20"/>
                <w:szCs w:val="20"/>
                <w:lang w:eastAsia="en-GB"/>
              </w:rPr>
            </w:pPr>
            <w:r w:rsidRPr="00EB2995">
              <w:rPr>
                <w:rFonts w:cs="Calibri"/>
                <w:b/>
                <w:bCs/>
                <w:color w:val="000000"/>
                <w:sz w:val="20"/>
                <w:szCs w:val="20"/>
                <w:lang w:eastAsia="en-GB"/>
              </w:rPr>
              <w:t xml:space="preserve">357.5 </w:t>
            </w:r>
          </w:p>
        </w:tc>
        <w:tc>
          <w:tcPr>
            <w:tcW w:w="1318" w:type="dxa"/>
            <w:tcBorders>
              <w:top w:val="single" w:sz="4" w:space="0" w:color="auto"/>
              <w:left w:val="nil"/>
              <w:bottom w:val="single" w:sz="4" w:space="0" w:color="auto"/>
              <w:right w:val="single" w:sz="4" w:space="0" w:color="auto"/>
            </w:tcBorders>
            <w:shd w:val="clear" w:color="000000" w:fill="FFFFFF"/>
            <w:noWrap/>
            <w:vAlign w:val="center"/>
            <w:hideMark/>
          </w:tcPr>
          <w:p w:rsidR="007058D0" w:rsidRPr="00EB2995" w:rsidRDefault="007058D0" w:rsidP="00891A96">
            <w:pPr>
              <w:jc w:val="right"/>
              <w:rPr>
                <w:rFonts w:cs="Calibri"/>
                <w:b/>
                <w:bCs/>
                <w:color w:val="000000"/>
                <w:sz w:val="20"/>
                <w:szCs w:val="20"/>
                <w:lang w:eastAsia="en-GB"/>
              </w:rPr>
            </w:pPr>
            <w:r w:rsidRPr="00EB2995">
              <w:rPr>
                <w:rFonts w:cs="Calibri"/>
                <w:b/>
                <w:bCs/>
                <w:color w:val="000000"/>
                <w:sz w:val="20"/>
                <w:szCs w:val="20"/>
                <w:lang w:eastAsia="en-GB"/>
              </w:rPr>
              <w:t xml:space="preserve">357.5 </w:t>
            </w:r>
          </w:p>
        </w:tc>
      </w:tr>
    </w:tbl>
    <w:p w:rsidR="007058D0" w:rsidRDefault="007058D0" w:rsidP="00F72906"/>
    <w:p w:rsidR="007058D0" w:rsidRDefault="007058D0" w:rsidP="00F72906"/>
    <w:p w:rsidR="00F72906" w:rsidRDefault="00F72906" w:rsidP="00F72906">
      <w:r>
        <w:lastRenderedPageBreak/>
        <w:t>* The fair value of short-term financial assets held at amortised cost, including trade receivables, is assumed to approximate to the carrying amount.</w:t>
      </w:r>
    </w:p>
    <w:p w:rsidR="00F72906" w:rsidRDefault="00F72906" w:rsidP="00F72906"/>
    <w:p w:rsidR="00F72906" w:rsidRPr="00DA081D" w:rsidRDefault="00F72906" w:rsidP="00F72906">
      <w:pPr>
        <w:rPr>
          <w:u w:val="single"/>
        </w:rPr>
      </w:pPr>
      <w:r w:rsidRPr="00DA081D">
        <w:rPr>
          <w:u w:val="single"/>
        </w:rPr>
        <w:t>Risks</w:t>
      </w:r>
    </w:p>
    <w:p w:rsidR="00F72906" w:rsidRDefault="00F72906" w:rsidP="00F72906">
      <w:r>
        <w:t>The Council complies with CIPFA’s Code of Practice on Treasury Management and Prudential Code for Capital Finance in Local Authorities, both revised in December 2017.</w:t>
      </w:r>
    </w:p>
    <w:p w:rsidR="00F72906" w:rsidRDefault="00F72906" w:rsidP="00F72906">
      <w:r>
        <w:t>In line with the Treasury Management Code, the Council approves a Treasury Management Strategy before the commencement of each financial year. The Strategy sets out the parameters for the management of risks associated with financial instruments. The Council also produces Treasury Management Practices specifying the practical arrangements to be f</w:t>
      </w:r>
      <w:r w:rsidR="00DA081D">
        <w:t xml:space="preserve">ollowed to manage these risks. </w:t>
      </w:r>
    </w:p>
    <w:p w:rsidR="00F72906" w:rsidRDefault="00F72906" w:rsidP="00F72906">
      <w:r>
        <w:t>The Treasury Management Strategy includes an Investment Strategy in compliance with the Ministry for Housing, Communities and Local Government Guidance on Local Government Investments.  This Guidance emphasises that priority is to be given to security and liquidity, rather than yield.  The Council’s Treasury Management Strategy and its Treasury Management Practices seek to achieve a suitable balance b</w:t>
      </w:r>
      <w:r w:rsidR="00DA081D">
        <w:t>etween risk and return or cost.</w:t>
      </w:r>
    </w:p>
    <w:p w:rsidR="00F72906" w:rsidRDefault="00F72906" w:rsidP="00F72906">
      <w:r>
        <w:t>The main risks covered are:</w:t>
      </w:r>
    </w:p>
    <w:p w:rsidR="00F72906" w:rsidRDefault="00F72906" w:rsidP="00F72906">
      <w:r>
        <w:t>•</w:t>
      </w:r>
      <w:r>
        <w:tab/>
        <w:t>Credit Risk: The possibility that the counterparty to a financial asset will fail to meet its contractual obligations, causing a loss to the Council.</w:t>
      </w:r>
    </w:p>
    <w:p w:rsidR="00F72906" w:rsidRDefault="00F72906" w:rsidP="00F72906">
      <w:r>
        <w:t>•</w:t>
      </w:r>
      <w:r>
        <w:tab/>
        <w:t>Liquidity Risk: The possibility that the Council might not have the cash available to make contracted payments on time.</w:t>
      </w:r>
    </w:p>
    <w:p w:rsidR="00F72906" w:rsidRDefault="00F72906" w:rsidP="00F72906">
      <w:r>
        <w:t>•</w:t>
      </w:r>
      <w:r>
        <w:tab/>
        <w:t>Market Risk: The possibility that an unplanned financial loss will materialise because of changes in market variables such as interest rates or equity prices.</w:t>
      </w:r>
    </w:p>
    <w:p w:rsidR="00F72906" w:rsidRDefault="00F72906" w:rsidP="00F72906"/>
    <w:p w:rsidR="00F72906" w:rsidRPr="00DA081D" w:rsidRDefault="00F72906" w:rsidP="00F72906">
      <w:pPr>
        <w:rPr>
          <w:u w:val="single"/>
        </w:rPr>
      </w:pPr>
      <w:r w:rsidRPr="00DA081D">
        <w:rPr>
          <w:u w:val="single"/>
        </w:rPr>
        <w:t>Cr</w:t>
      </w:r>
      <w:r w:rsidR="00DA081D" w:rsidRPr="00DA081D">
        <w:rPr>
          <w:u w:val="single"/>
        </w:rPr>
        <w:t>edit Risk: Treasury Investments</w:t>
      </w:r>
    </w:p>
    <w:p w:rsidR="00F72906" w:rsidRDefault="00F72906" w:rsidP="00F72906">
      <w:r>
        <w:t xml:space="preserve">The Council manages credit risk by ensuring that treasury investments are only placed with organisations of high credit quality as set out in the Treasury Management Strategy.  These include commercial entities with a minimum long-term credit rating of A-, the UK government, other local authorities, housing associations and organisations without credit ratings upon which the Council has received independent investment advice. Recognising that credit ratings are imperfect predictors of default, the Council has regard to other measures including credit default swap and equity prices when selecting commercial entities for investment. </w:t>
      </w:r>
    </w:p>
    <w:p w:rsidR="00F72906" w:rsidRDefault="00F72906" w:rsidP="00F72906">
      <w:r>
        <w:t>•</w:t>
      </w:r>
      <w:r>
        <w:tab/>
        <w:t>Up to £20m can be invested with a single pre-selected UK banking group (or individually rated banks within that group).</w:t>
      </w:r>
    </w:p>
    <w:p w:rsidR="00F72906" w:rsidRDefault="00F72906" w:rsidP="00F72906">
      <w:r>
        <w:t>•</w:t>
      </w:r>
      <w:r>
        <w:tab/>
        <w:t>Up to £20m can be invested with pre-selected overseas banks.</w:t>
      </w:r>
    </w:p>
    <w:p w:rsidR="00F72906" w:rsidRDefault="00F72906" w:rsidP="00F72906">
      <w:r>
        <w:t>•</w:t>
      </w:r>
      <w:r>
        <w:tab/>
        <w:t>Up to £20m can be invested with money market funds with a minimum long-term credit rating of A-.</w:t>
      </w:r>
    </w:p>
    <w:p w:rsidR="00F72906" w:rsidRDefault="00F72906" w:rsidP="00F72906">
      <w:r>
        <w:t>•</w:t>
      </w:r>
      <w:r>
        <w:tab/>
        <w:t>Up to £20m can be invested with other individual local authorities, housing associations or UK government bodies.</w:t>
      </w:r>
    </w:p>
    <w:p w:rsidR="00F72906" w:rsidRDefault="00F72906" w:rsidP="00F72906">
      <w:r>
        <w:t>•</w:t>
      </w:r>
      <w:r>
        <w:tab/>
        <w:t xml:space="preserve">The Council’s maximum exposure to credit risk in relation to its investments in banks and building societies cannot be assessed generally as the risk of any institution failing to make interest payments or </w:t>
      </w:r>
      <w:r>
        <w:lastRenderedPageBreak/>
        <w:t>repay the principal sum will be specific to each individual institution. Recent experience has shown that it is rare for such entities to be unable to meet their commitments. A risk of non-recoverability applies to all of the Council’s deposits, but there was no evidence as at the 31 March 2020 that this was likely to crystallise. The Council’s direct exposure to banks and building societies on 31 March 2020 was limited to Heritable Bank and a marginal net amount with the Royal Bank of Scotland.</w:t>
      </w:r>
    </w:p>
    <w:p w:rsidR="00F72906" w:rsidRDefault="00F72906" w:rsidP="00F72906"/>
    <w:p w:rsidR="00F72906" w:rsidRDefault="00F72906" w:rsidP="00F72906">
      <w:r>
        <w:t>The table below summarises the credit risk exposures of the Council’s treasury investment portfolio by credit rating and remaining time to maturity:</w:t>
      </w:r>
    </w:p>
    <w:tbl>
      <w:tblPr>
        <w:tblW w:w="7100" w:type="dxa"/>
        <w:tblLook w:val="04A0" w:firstRow="1" w:lastRow="0" w:firstColumn="1" w:lastColumn="0" w:noHBand="0" w:noVBand="1"/>
      </w:tblPr>
      <w:tblGrid>
        <w:gridCol w:w="4060"/>
        <w:gridCol w:w="1520"/>
        <w:gridCol w:w="1520"/>
      </w:tblGrid>
      <w:tr w:rsidR="00DA081D" w:rsidRPr="00EB2995" w:rsidTr="00AF73B9">
        <w:trPr>
          <w:trHeight w:val="975"/>
        </w:trPr>
        <w:tc>
          <w:tcPr>
            <w:tcW w:w="4060" w:type="dxa"/>
            <w:vMerge w:val="restart"/>
            <w:tcBorders>
              <w:top w:val="nil"/>
              <w:left w:val="nil"/>
              <w:bottom w:val="nil"/>
              <w:right w:val="nil"/>
            </w:tcBorders>
            <w:shd w:val="clear" w:color="000000" w:fill="FFFFFF"/>
            <w:vAlign w:val="center"/>
            <w:hideMark/>
          </w:tcPr>
          <w:p w:rsidR="00DA081D" w:rsidRPr="00EB2995" w:rsidRDefault="00DA081D" w:rsidP="00AF73B9">
            <w:pPr>
              <w:jc w:val="center"/>
              <w:rPr>
                <w:rFonts w:cs="Calibri"/>
                <w:b/>
                <w:bCs/>
                <w:color w:val="000000"/>
                <w:sz w:val="20"/>
                <w:szCs w:val="20"/>
                <w:lang w:eastAsia="en-GB"/>
              </w:rPr>
            </w:pPr>
            <w:r w:rsidRPr="00EB2995">
              <w:rPr>
                <w:rFonts w:cs="Calibri"/>
                <w:b/>
                <w:bCs/>
                <w:color w:val="000000"/>
                <w:sz w:val="20"/>
                <w:szCs w:val="20"/>
                <w:lang w:eastAsia="en-GB"/>
              </w:rPr>
              <w:t>Credit Rating</w:t>
            </w:r>
          </w:p>
        </w:tc>
        <w:tc>
          <w:tcPr>
            <w:tcW w:w="3040" w:type="dxa"/>
            <w:gridSpan w:val="2"/>
            <w:tcBorders>
              <w:top w:val="nil"/>
              <w:left w:val="nil"/>
              <w:bottom w:val="nil"/>
              <w:right w:val="nil"/>
            </w:tcBorders>
            <w:shd w:val="clear" w:color="000000" w:fill="FFFFFF"/>
            <w:vAlign w:val="center"/>
            <w:hideMark/>
          </w:tcPr>
          <w:p w:rsidR="00DA081D" w:rsidRPr="00EB2995" w:rsidRDefault="00DA081D" w:rsidP="00AF73B9">
            <w:pPr>
              <w:jc w:val="center"/>
              <w:rPr>
                <w:rFonts w:cs="Calibri"/>
                <w:b/>
                <w:bCs/>
                <w:color w:val="000000"/>
                <w:sz w:val="20"/>
                <w:szCs w:val="20"/>
                <w:lang w:eastAsia="en-GB"/>
              </w:rPr>
            </w:pPr>
            <w:r w:rsidRPr="00EB2995">
              <w:rPr>
                <w:rFonts w:cs="Calibri"/>
                <w:b/>
                <w:bCs/>
                <w:color w:val="000000"/>
                <w:sz w:val="20"/>
                <w:szCs w:val="20"/>
                <w:lang w:eastAsia="en-GB"/>
              </w:rPr>
              <w:t>Short Term</w:t>
            </w:r>
          </w:p>
        </w:tc>
      </w:tr>
      <w:tr w:rsidR="00DA081D" w:rsidRPr="00EB2995" w:rsidTr="00AF73B9">
        <w:trPr>
          <w:trHeight w:val="285"/>
        </w:trPr>
        <w:tc>
          <w:tcPr>
            <w:tcW w:w="4060" w:type="dxa"/>
            <w:vMerge/>
            <w:tcBorders>
              <w:top w:val="nil"/>
              <w:left w:val="nil"/>
              <w:bottom w:val="nil"/>
              <w:right w:val="nil"/>
            </w:tcBorders>
            <w:vAlign w:val="center"/>
            <w:hideMark/>
          </w:tcPr>
          <w:p w:rsidR="00DA081D" w:rsidRPr="00EB2995" w:rsidRDefault="00DA081D" w:rsidP="00AF73B9">
            <w:pPr>
              <w:rPr>
                <w:rFonts w:cs="Calibri"/>
                <w:b/>
                <w:bCs/>
                <w:color w:val="000000"/>
                <w:sz w:val="20"/>
                <w:szCs w:val="20"/>
                <w:lang w:eastAsia="en-GB"/>
              </w:rPr>
            </w:pPr>
          </w:p>
        </w:tc>
        <w:tc>
          <w:tcPr>
            <w:tcW w:w="1520" w:type="dxa"/>
            <w:tcBorders>
              <w:top w:val="nil"/>
              <w:left w:val="nil"/>
              <w:bottom w:val="nil"/>
              <w:right w:val="nil"/>
            </w:tcBorders>
            <w:shd w:val="clear" w:color="000000" w:fill="FFFFFF"/>
            <w:vAlign w:val="center"/>
            <w:hideMark/>
          </w:tcPr>
          <w:p w:rsidR="00DA081D" w:rsidRPr="00EB2995" w:rsidRDefault="00DA081D" w:rsidP="00AF73B9">
            <w:pPr>
              <w:jc w:val="right"/>
              <w:rPr>
                <w:rFonts w:cs="Calibri"/>
                <w:b/>
                <w:bCs/>
                <w:color w:val="000000"/>
                <w:sz w:val="20"/>
                <w:szCs w:val="20"/>
                <w:lang w:eastAsia="en-GB"/>
              </w:rPr>
            </w:pPr>
            <w:r w:rsidRPr="00EB2995">
              <w:rPr>
                <w:rFonts w:cs="Calibri"/>
                <w:b/>
                <w:bCs/>
                <w:color w:val="000000"/>
                <w:sz w:val="20"/>
                <w:szCs w:val="20"/>
                <w:lang w:eastAsia="en-GB"/>
              </w:rPr>
              <w:t>31-Mar-2020</w:t>
            </w:r>
          </w:p>
        </w:tc>
        <w:tc>
          <w:tcPr>
            <w:tcW w:w="1520" w:type="dxa"/>
            <w:tcBorders>
              <w:top w:val="nil"/>
              <w:left w:val="nil"/>
              <w:bottom w:val="nil"/>
              <w:right w:val="nil"/>
            </w:tcBorders>
            <w:shd w:val="clear" w:color="000000" w:fill="FFFFFF"/>
            <w:vAlign w:val="center"/>
            <w:hideMark/>
          </w:tcPr>
          <w:p w:rsidR="00DA081D" w:rsidRPr="00EB2995" w:rsidRDefault="00DA081D" w:rsidP="00AF73B9">
            <w:pPr>
              <w:jc w:val="right"/>
              <w:rPr>
                <w:rFonts w:cs="Calibri"/>
                <w:b/>
                <w:bCs/>
                <w:color w:val="000000"/>
                <w:sz w:val="20"/>
                <w:szCs w:val="20"/>
                <w:lang w:eastAsia="en-GB"/>
              </w:rPr>
            </w:pPr>
            <w:r w:rsidRPr="00EB2995">
              <w:rPr>
                <w:rFonts w:cs="Calibri"/>
                <w:b/>
                <w:bCs/>
                <w:color w:val="000000"/>
                <w:sz w:val="20"/>
                <w:szCs w:val="20"/>
                <w:lang w:eastAsia="en-GB"/>
              </w:rPr>
              <w:t>31-Mar-2019</w:t>
            </w:r>
          </w:p>
        </w:tc>
      </w:tr>
      <w:tr w:rsidR="00DA081D" w:rsidRPr="00EB2995" w:rsidTr="00AF73B9">
        <w:trPr>
          <w:trHeight w:val="345"/>
        </w:trPr>
        <w:tc>
          <w:tcPr>
            <w:tcW w:w="4060" w:type="dxa"/>
            <w:vMerge/>
            <w:tcBorders>
              <w:top w:val="nil"/>
              <w:left w:val="nil"/>
              <w:bottom w:val="nil"/>
              <w:right w:val="nil"/>
            </w:tcBorders>
            <w:vAlign w:val="center"/>
            <w:hideMark/>
          </w:tcPr>
          <w:p w:rsidR="00DA081D" w:rsidRPr="00EB2995" w:rsidRDefault="00DA081D" w:rsidP="00AF73B9">
            <w:pPr>
              <w:rPr>
                <w:rFonts w:cs="Calibri"/>
                <w:b/>
                <w:bCs/>
                <w:color w:val="000000"/>
                <w:sz w:val="20"/>
                <w:szCs w:val="20"/>
                <w:lang w:eastAsia="en-GB"/>
              </w:rPr>
            </w:pPr>
          </w:p>
        </w:tc>
        <w:tc>
          <w:tcPr>
            <w:tcW w:w="1520" w:type="dxa"/>
            <w:tcBorders>
              <w:top w:val="nil"/>
              <w:left w:val="nil"/>
              <w:bottom w:val="single" w:sz="8" w:space="0" w:color="auto"/>
              <w:right w:val="nil"/>
            </w:tcBorders>
            <w:shd w:val="clear" w:color="000000" w:fill="FFFFFF"/>
            <w:vAlign w:val="center"/>
            <w:hideMark/>
          </w:tcPr>
          <w:p w:rsidR="00DA081D" w:rsidRPr="00EB2995" w:rsidRDefault="00DA081D" w:rsidP="00AF73B9">
            <w:pPr>
              <w:jc w:val="right"/>
              <w:rPr>
                <w:rFonts w:cs="Calibri"/>
                <w:b/>
                <w:bCs/>
                <w:color w:val="000000"/>
                <w:sz w:val="20"/>
                <w:szCs w:val="20"/>
                <w:lang w:eastAsia="en-GB"/>
              </w:rPr>
            </w:pPr>
            <w:r w:rsidRPr="00EB2995">
              <w:rPr>
                <w:rFonts w:cs="Calibri"/>
                <w:b/>
                <w:bCs/>
                <w:color w:val="000000"/>
                <w:sz w:val="20"/>
                <w:szCs w:val="20"/>
                <w:lang w:eastAsia="en-GB"/>
              </w:rPr>
              <w:t>£m</w:t>
            </w:r>
          </w:p>
        </w:tc>
        <w:tc>
          <w:tcPr>
            <w:tcW w:w="1520" w:type="dxa"/>
            <w:tcBorders>
              <w:top w:val="nil"/>
              <w:left w:val="nil"/>
              <w:bottom w:val="single" w:sz="8" w:space="0" w:color="auto"/>
              <w:right w:val="nil"/>
            </w:tcBorders>
            <w:shd w:val="clear" w:color="000000" w:fill="FFFFFF"/>
            <w:vAlign w:val="center"/>
            <w:hideMark/>
          </w:tcPr>
          <w:p w:rsidR="00DA081D" w:rsidRPr="00EB2995" w:rsidRDefault="00DA081D" w:rsidP="00AF73B9">
            <w:pPr>
              <w:jc w:val="right"/>
              <w:rPr>
                <w:rFonts w:cs="Calibri"/>
                <w:b/>
                <w:bCs/>
                <w:color w:val="000000"/>
                <w:sz w:val="20"/>
                <w:szCs w:val="20"/>
                <w:lang w:eastAsia="en-GB"/>
              </w:rPr>
            </w:pPr>
            <w:r w:rsidRPr="00EB2995">
              <w:rPr>
                <w:rFonts w:cs="Calibri"/>
                <w:b/>
                <w:bCs/>
                <w:color w:val="000000"/>
                <w:sz w:val="20"/>
                <w:szCs w:val="20"/>
                <w:lang w:eastAsia="en-GB"/>
              </w:rPr>
              <w:t>£m</w:t>
            </w:r>
          </w:p>
        </w:tc>
      </w:tr>
      <w:tr w:rsidR="00DA081D" w:rsidRPr="00EB2995" w:rsidTr="00AF73B9">
        <w:trPr>
          <w:trHeight w:val="1110"/>
        </w:trPr>
        <w:tc>
          <w:tcPr>
            <w:tcW w:w="4060" w:type="dxa"/>
            <w:tcBorders>
              <w:top w:val="nil"/>
              <w:left w:val="nil"/>
              <w:bottom w:val="nil"/>
              <w:right w:val="single" w:sz="8" w:space="0" w:color="auto"/>
            </w:tcBorders>
            <w:shd w:val="clear" w:color="000000" w:fill="FFFFFF"/>
            <w:vAlign w:val="center"/>
            <w:hideMark/>
          </w:tcPr>
          <w:p w:rsidR="00DA081D" w:rsidRPr="00EB2995" w:rsidRDefault="00DA081D" w:rsidP="00AF73B9">
            <w:pPr>
              <w:jc w:val="center"/>
              <w:rPr>
                <w:rFonts w:cs="Calibri"/>
                <w:color w:val="000000"/>
                <w:sz w:val="20"/>
                <w:szCs w:val="20"/>
                <w:lang w:eastAsia="en-GB"/>
              </w:rPr>
            </w:pPr>
            <w:r w:rsidRPr="00EB2995">
              <w:rPr>
                <w:rFonts w:cs="Calibri"/>
                <w:color w:val="000000"/>
                <w:sz w:val="20"/>
                <w:szCs w:val="20"/>
                <w:lang w:eastAsia="en-GB"/>
              </w:rPr>
              <w:t>AAA</w:t>
            </w:r>
          </w:p>
        </w:tc>
        <w:tc>
          <w:tcPr>
            <w:tcW w:w="1520" w:type="dxa"/>
            <w:tcBorders>
              <w:top w:val="nil"/>
              <w:left w:val="nil"/>
              <w:bottom w:val="nil"/>
              <w:right w:val="single" w:sz="8" w:space="0" w:color="auto"/>
            </w:tcBorders>
            <w:shd w:val="clear" w:color="000000" w:fill="FFFFFF"/>
            <w:vAlign w:val="center"/>
            <w:hideMark/>
          </w:tcPr>
          <w:p w:rsidR="00DA081D" w:rsidRPr="00EB2995" w:rsidRDefault="00DA081D" w:rsidP="00AF73B9">
            <w:pPr>
              <w:jc w:val="right"/>
              <w:rPr>
                <w:rFonts w:cs="Calibri"/>
                <w:color w:val="000000"/>
                <w:sz w:val="20"/>
                <w:szCs w:val="20"/>
                <w:lang w:eastAsia="en-GB"/>
              </w:rPr>
            </w:pPr>
            <w:r w:rsidRPr="00EB2995">
              <w:rPr>
                <w:rFonts w:cs="Calibri"/>
                <w:color w:val="000000"/>
                <w:sz w:val="20"/>
                <w:szCs w:val="20"/>
                <w:lang w:eastAsia="en-GB"/>
              </w:rPr>
              <w:t>5.0</w:t>
            </w:r>
          </w:p>
        </w:tc>
        <w:tc>
          <w:tcPr>
            <w:tcW w:w="1520" w:type="dxa"/>
            <w:tcBorders>
              <w:top w:val="nil"/>
              <w:left w:val="nil"/>
              <w:bottom w:val="nil"/>
              <w:right w:val="single" w:sz="8" w:space="0" w:color="auto"/>
            </w:tcBorders>
            <w:shd w:val="clear" w:color="000000" w:fill="FFFFFF"/>
            <w:vAlign w:val="center"/>
            <w:hideMark/>
          </w:tcPr>
          <w:p w:rsidR="00DA081D" w:rsidRPr="00EB2995" w:rsidRDefault="00DA081D" w:rsidP="00AF73B9">
            <w:pPr>
              <w:jc w:val="right"/>
              <w:rPr>
                <w:rFonts w:cs="Calibri"/>
                <w:color w:val="000000"/>
                <w:sz w:val="20"/>
                <w:szCs w:val="20"/>
                <w:lang w:eastAsia="en-GB"/>
              </w:rPr>
            </w:pPr>
            <w:r w:rsidRPr="00EB2995">
              <w:rPr>
                <w:rFonts w:cs="Calibri"/>
                <w:color w:val="000000"/>
                <w:sz w:val="20"/>
                <w:szCs w:val="20"/>
                <w:lang w:eastAsia="en-GB"/>
              </w:rPr>
              <w:t>35.2</w:t>
            </w:r>
          </w:p>
        </w:tc>
      </w:tr>
      <w:tr w:rsidR="00DA081D" w:rsidRPr="00EB2995" w:rsidTr="00AF73B9">
        <w:trPr>
          <w:trHeight w:val="285"/>
        </w:trPr>
        <w:tc>
          <w:tcPr>
            <w:tcW w:w="4060" w:type="dxa"/>
            <w:tcBorders>
              <w:top w:val="nil"/>
              <w:left w:val="nil"/>
              <w:bottom w:val="nil"/>
              <w:right w:val="single" w:sz="8" w:space="0" w:color="auto"/>
            </w:tcBorders>
            <w:shd w:val="clear" w:color="000000" w:fill="FFFFFF"/>
            <w:vAlign w:val="center"/>
            <w:hideMark/>
          </w:tcPr>
          <w:p w:rsidR="00DA081D" w:rsidRPr="00EB2995" w:rsidRDefault="00DA081D" w:rsidP="00AF73B9">
            <w:pPr>
              <w:jc w:val="center"/>
              <w:rPr>
                <w:rFonts w:cs="Calibri"/>
                <w:color w:val="000000"/>
                <w:sz w:val="20"/>
                <w:szCs w:val="20"/>
                <w:lang w:eastAsia="en-GB"/>
              </w:rPr>
            </w:pPr>
            <w:r w:rsidRPr="00EB2995">
              <w:rPr>
                <w:rFonts w:cs="Calibri"/>
                <w:color w:val="000000"/>
                <w:sz w:val="20"/>
                <w:szCs w:val="20"/>
                <w:lang w:eastAsia="en-GB"/>
              </w:rPr>
              <w:t>AA-</w:t>
            </w:r>
          </w:p>
        </w:tc>
        <w:tc>
          <w:tcPr>
            <w:tcW w:w="1520" w:type="dxa"/>
            <w:tcBorders>
              <w:top w:val="nil"/>
              <w:left w:val="nil"/>
              <w:bottom w:val="nil"/>
              <w:right w:val="single" w:sz="8" w:space="0" w:color="auto"/>
            </w:tcBorders>
            <w:shd w:val="clear" w:color="000000" w:fill="FFFFFF"/>
            <w:vAlign w:val="center"/>
            <w:hideMark/>
          </w:tcPr>
          <w:p w:rsidR="00DA081D" w:rsidRPr="00EB2995" w:rsidRDefault="00DA081D" w:rsidP="00AF73B9">
            <w:pPr>
              <w:jc w:val="right"/>
              <w:rPr>
                <w:rFonts w:cs="Calibri"/>
                <w:color w:val="000000"/>
                <w:sz w:val="20"/>
                <w:szCs w:val="20"/>
                <w:lang w:eastAsia="en-GB"/>
              </w:rPr>
            </w:pPr>
            <w:r w:rsidRPr="00EB2995">
              <w:rPr>
                <w:rFonts w:cs="Calibri"/>
                <w:color w:val="000000"/>
                <w:sz w:val="20"/>
                <w:szCs w:val="20"/>
                <w:lang w:eastAsia="en-GB"/>
              </w:rPr>
              <w:t>0.0</w:t>
            </w:r>
          </w:p>
        </w:tc>
        <w:tc>
          <w:tcPr>
            <w:tcW w:w="1520" w:type="dxa"/>
            <w:tcBorders>
              <w:top w:val="nil"/>
              <w:left w:val="nil"/>
              <w:bottom w:val="nil"/>
              <w:right w:val="single" w:sz="8" w:space="0" w:color="auto"/>
            </w:tcBorders>
            <w:shd w:val="clear" w:color="000000" w:fill="FFFFFF"/>
            <w:vAlign w:val="center"/>
            <w:hideMark/>
          </w:tcPr>
          <w:p w:rsidR="00DA081D" w:rsidRPr="00EB2995" w:rsidRDefault="00DA081D" w:rsidP="00AF73B9">
            <w:pPr>
              <w:jc w:val="right"/>
              <w:rPr>
                <w:rFonts w:cs="Calibri"/>
                <w:color w:val="000000"/>
                <w:sz w:val="20"/>
                <w:szCs w:val="20"/>
                <w:lang w:eastAsia="en-GB"/>
              </w:rPr>
            </w:pPr>
            <w:r w:rsidRPr="00EB2995">
              <w:rPr>
                <w:rFonts w:cs="Calibri"/>
                <w:color w:val="000000"/>
                <w:sz w:val="20"/>
                <w:szCs w:val="20"/>
                <w:lang w:eastAsia="en-GB"/>
              </w:rPr>
              <w:t>0</w:t>
            </w:r>
          </w:p>
        </w:tc>
      </w:tr>
      <w:tr w:rsidR="00DA081D" w:rsidRPr="00EB2995" w:rsidTr="00AF73B9">
        <w:trPr>
          <w:trHeight w:val="285"/>
        </w:trPr>
        <w:tc>
          <w:tcPr>
            <w:tcW w:w="4060" w:type="dxa"/>
            <w:tcBorders>
              <w:top w:val="nil"/>
              <w:left w:val="nil"/>
              <w:bottom w:val="nil"/>
              <w:right w:val="single" w:sz="8" w:space="0" w:color="auto"/>
            </w:tcBorders>
            <w:shd w:val="clear" w:color="000000" w:fill="FFFFFF"/>
            <w:vAlign w:val="center"/>
            <w:hideMark/>
          </w:tcPr>
          <w:p w:rsidR="00DA081D" w:rsidRPr="00EB2995" w:rsidRDefault="00DA081D" w:rsidP="00AF73B9">
            <w:pPr>
              <w:jc w:val="center"/>
              <w:rPr>
                <w:rFonts w:cs="Calibri"/>
                <w:color w:val="000000"/>
                <w:sz w:val="20"/>
                <w:szCs w:val="20"/>
                <w:lang w:eastAsia="en-GB"/>
              </w:rPr>
            </w:pPr>
            <w:r w:rsidRPr="00EB2995">
              <w:rPr>
                <w:rFonts w:cs="Calibri"/>
                <w:color w:val="000000"/>
                <w:sz w:val="20"/>
                <w:szCs w:val="20"/>
                <w:lang w:eastAsia="en-GB"/>
              </w:rPr>
              <w:t>A</w:t>
            </w:r>
          </w:p>
        </w:tc>
        <w:tc>
          <w:tcPr>
            <w:tcW w:w="1520" w:type="dxa"/>
            <w:tcBorders>
              <w:top w:val="nil"/>
              <w:left w:val="nil"/>
              <w:bottom w:val="nil"/>
              <w:right w:val="single" w:sz="8" w:space="0" w:color="auto"/>
            </w:tcBorders>
            <w:shd w:val="clear" w:color="000000" w:fill="FFFFFF"/>
            <w:vAlign w:val="center"/>
            <w:hideMark/>
          </w:tcPr>
          <w:p w:rsidR="00DA081D" w:rsidRPr="00EB2995" w:rsidRDefault="00DA081D" w:rsidP="00AF73B9">
            <w:pPr>
              <w:jc w:val="right"/>
              <w:rPr>
                <w:rFonts w:cs="Calibri"/>
                <w:color w:val="000000"/>
                <w:sz w:val="20"/>
                <w:szCs w:val="20"/>
                <w:lang w:eastAsia="en-GB"/>
              </w:rPr>
            </w:pPr>
            <w:r w:rsidRPr="00EB2995">
              <w:rPr>
                <w:rFonts w:cs="Calibri"/>
                <w:color w:val="000000"/>
                <w:sz w:val="20"/>
                <w:szCs w:val="20"/>
                <w:lang w:eastAsia="en-GB"/>
              </w:rPr>
              <w:t>0.0</w:t>
            </w:r>
          </w:p>
        </w:tc>
        <w:tc>
          <w:tcPr>
            <w:tcW w:w="1520" w:type="dxa"/>
            <w:tcBorders>
              <w:top w:val="nil"/>
              <w:left w:val="nil"/>
              <w:bottom w:val="nil"/>
              <w:right w:val="single" w:sz="8" w:space="0" w:color="auto"/>
            </w:tcBorders>
            <w:shd w:val="clear" w:color="000000" w:fill="FFFFFF"/>
            <w:vAlign w:val="center"/>
            <w:hideMark/>
          </w:tcPr>
          <w:p w:rsidR="00DA081D" w:rsidRPr="00EB2995" w:rsidRDefault="00DA081D" w:rsidP="00AF73B9">
            <w:pPr>
              <w:jc w:val="right"/>
              <w:rPr>
                <w:rFonts w:cs="Calibri"/>
                <w:color w:val="000000"/>
                <w:sz w:val="20"/>
                <w:szCs w:val="20"/>
                <w:lang w:eastAsia="en-GB"/>
              </w:rPr>
            </w:pPr>
            <w:r w:rsidRPr="00EB2995">
              <w:rPr>
                <w:rFonts w:cs="Calibri"/>
                <w:color w:val="000000"/>
                <w:sz w:val="20"/>
                <w:szCs w:val="20"/>
                <w:lang w:eastAsia="en-GB"/>
              </w:rPr>
              <w:t>0</w:t>
            </w:r>
          </w:p>
        </w:tc>
      </w:tr>
      <w:tr w:rsidR="00DA081D" w:rsidRPr="00EB2995" w:rsidTr="00AF73B9">
        <w:trPr>
          <w:trHeight w:val="285"/>
        </w:trPr>
        <w:tc>
          <w:tcPr>
            <w:tcW w:w="4060" w:type="dxa"/>
            <w:tcBorders>
              <w:top w:val="nil"/>
              <w:left w:val="nil"/>
              <w:bottom w:val="nil"/>
              <w:right w:val="single" w:sz="8" w:space="0" w:color="auto"/>
            </w:tcBorders>
            <w:shd w:val="clear" w:color="000000" w:fill="FFFFFF"/>
            <w:vAlign w:val="center"/>
            <w:hideMark/>
          </w:tcPr>
          <w:p w:rsidR="00DA081D" w:rsidRPr="00EB2995" w:rsidRDefault="00DA081D" w:rsidP="00AF73B9">
            <w:pPr>
              <w:jc w:val="center"/>
              <w:rPr>
                <w:rFonts w:cs="Calibri"/>
                <w:color w:val="000000"/>
                <w:sz w:val="20"/>
                <w:szCs w:val="20"/>
                <w:lang w:eastAsia="en-GB"/>
              </w:rPr>
            </w:pPr>
            <w:r w:rsidRPr="00EB2995">
              <w:rPr>
                <w:rFonts w:cs="Calibri"/>
                <w:color w:val="000000"/>
                <w:sz w:val="20"/>
                <w:szCs w:val="20"/>
                <w:lang w:eastAsia="en-GB"/>
              </w:rPr>
              <w:t>Unrated Local Authorities</w:t>
            </w:r>
          </w:p>
        </w:tc>
        <w:tc>
          <w:tcPr>
            <w:tcW w:w="1520" w:type="dxa"/>
            <w:tcBorders>
              <w:top w:val="nil"/>
              <w:left w:val="nil"/>
              <w:bottom w:val="nil"/>
              <w:right w:val="single" w:sz="8" w:space="0" w:color="auto"/>
            </w:tcBorders>
            <w:shd w:val="clear" w:color="000000" w:fill="FFFFFF"/>
            <w:vAlign w:val="center"/>
            <w:hideMark/>
          </w:tcPr>
          <w:p w:rsidR="00DA081D" w:rsidRPr="00EB2995" w:rsidRDefault="00DA081D" w:rsidP="00AF73B9">
            <w:pPr>
              <w:jc w:val="right"/>
              <w:rPr>
                <w:rFonts w:cs="Calibri"/>
                <w:color w:val="000000"/>
                <w:sz w:val="20"/>
                <w:szCs w:val="20"/>
                <w:lang w:eastAsia="en-GB"/>
              </w:rPr>
            </w:pPr>
            <w:r w:rsidRPr="00EB2995">
              <w:rPr>
                <w:rFonts w:cs="Calibri"/>
                <w:color w:val="000000"/>
                <w:sz w:val="20"/>
                <w:szCs w:val="20"/>
                <w:lang w:eastAsia="en-GB"/>
              </w:rPr>
              <w:t>0.0</w:t>
            </w:r>
          </w:p>
        </w:tc>
        <w:tc>
          <w:tcPr>
            <w:tcW w:w="1520" w:type="dxa"/>
            <w:tcBorders>
              <w:top w:val="nil"/>
              <w:left w:val="nil"/>
              <w:bottom w:val="nil"/>
              <w:right w:val="single" w:sz="8" w:space="0" w:color="auto"/>
            </w:tcBorders>
            <w:shd w:val="clear" w:color="000000" w:fill="FFFFFF"/>
            <w:vAlign w:val="center"/>
            <w:hideMark/>
          </w:tcPr>
          <w:p w:rsidR="00DA081D" w:rsidRPr="00EB2995" w:rsidRDefault="00DA081D" w:rsidP="00AF73B9">
            <w:pPr>
              <w:jc w:val="right"/>
              <w:rPr>
                <w:rFonts w:cs="Calibri"/>
                <w:color w:val="000000"/>
                <w:sz w:val="20"/>
                <w:szCs w:val="20"/>
                <w:lang w:eastAsia="en-GB"/>
              </w:rPr>
            </w:pPr>
            <w:r w:rsidRPr="00EB2995">
              <w:rPr>
                <w:rFonts w:cs="Calibri"/>
                <w:color w:val="000000"/>
                <w:sz w:val="20"/>
                <w:szCs w:val="20"/>
                <w:lang w:eastAsia="en-GB"/>
              </w:rPr>
              <w:t>105</w:t>
            </w:r>
          </w:p>
        </w:tc>
      </w:tr>
      <w:tr w:rsidR="00DA081D" w:rsidRPr="00EB2995" w:rsidTr="00AF73B9">
        <w:trPr>
          <w:trHeight w:val="645"/>
        </w:trPr>
        <w:tc>
          <w:tcPr>
            <w:tcW w:w="4060" w:type="dxa"/>
            <w:tcBorders>
              <w:top w:val="nil"/>
              <w:left w:val="nil"/>
              <w:bottom w:val="nil"/>
              <w:right w:val="single" w:sz="8" w:space="0" w:color="auto"/>
            </w:tcBorders>
            <w:shd w:val="clear" w:color="000000" w:fill="FFFFFF"/>
            <w:vAlign w:val="center"/>
            <w:hideMark/>
          </w:tcPr>
          <w:p w:rsidR="00DA081D" w:rsidRPr="00EB2995" w:rsidRDefault="00DA081D" w:rsidP="00AF73B9">
            <w:pPr>
              <w:jc w:val="center"/>
              <w:rPr>
                <w:rFonts w:cs="Calibri"/>
                <w:color w:val="000000"/>
                <w:sz w:val="20"/>
                <w:szCs w:val="20"/>
                <w:lang w:eastAsia="en-GB"/>
              </w:rPr>
            </w:pPr>
            <w:r w:rsidRPr="00EB2995">
              <w:rPr>
                <w:rFonts w:cs="Calibri"/>
                <w:color w:val="000000"/>
                <w:sz w:val="20"/>
                <w:szCs w:val="20"/>
                <w:lang w:eastAsia="en-GB"/>
              </w:rPr>
              <w:t>Debt Management Office</w:t>
            </w:r>
          </w:p>
        </w:tc>
        <w:tc>
          <w:tcPr>
            <w:tcW w:w="1520" w:type="dxa"/>
            <w:tcBorders>
              <w:top w:val="nil"/>
              <w:left w:val="nil"/>
              <w:bottom w:val="nil"/>
              <w:right w:val="single" w:sz="8" w:space="0" w:color="auto"/>
            </w:tcBorders>
            <w:shd w:val="clear" w:color="000000" w:fill="FFFFFF"/>
            <w:vAlign w:val="center"/>
            <w:hideMark/>
          </w:tcPr>
          <w:p w:rsidR="00DA081D" w:rsidRPr="00EB2995" w:rsidRDefault="00DA081D" w:rsidP="00AF73B9">
            <w:pPr>
              <w:jc w:val="right"/>
              <w:rPr>
                <w:rFonts w:cs="Calibri"/>
                <w:color w:val="000000"/>
                <w:sz w:val="20"/>
                <w:szCs w:val="20"/>
                <w:lang w:eastAsia="en-GB"/>
              </w:rPr>
            </w:pPr>
            <w:r w:rsidRPr="00EB2995">
              <w:rPr>
                <w:rFonts w:cs="Calibri"/>
                <w:color w:val="000000"/>
                <w:sz w:val="20"/>
                <w:szCs w:val="20"/>
                <w:lang w:eastAsia="en-GB"/>
              </w:rPr>
              <w:t>104.7</w:t>
            </w:r>
          </w:p>
        </w:tc>
        <w:tc>
          <w:tcPr>
            <w:tcW w:w="1520" w:type="dxa"/>
            <w:tcBorders>
              <w:top w:val="nil"/>
              <w:left w:val="nil"/>
              <w:bottom w:val="nil"/>
              <w:right w:val="single" w:sz="8" w:space="0" w:color="auto"/>
            </w:tcBorders>
            <w:shd w:val="clear" w:color="000000" w:fill="FFFFFF"/>
            <w:vAlign w:val="center"/>
            <w:hideMark/>
          </w:tcPr>
          <w:p w:rsidR="00DA081D" w:rsidRPr="00EB2995" w:rsidRDefault="00DA081D" w:rsidP="00AF73B9">
            <w:pPr>
              <w:jc w:val="right"/>
              <w:rPr>
                <w:rFonts w:cs="Calibri"/>
                <w:color w:val="000000"/>
                <w:sz w:val="20"/>
                <w:szCs w:val="20"/>
                <w:lang w:eastAsia="en-GB"/>
              </w:rPr>
            </w:pPr>
            <w:r w:rsidRPr="00EB2995">
              <w:rPr>
                <w:rFonts w:cs="Calibri"/>
                <w:color w:val="000000"/>
                <w:sz w:val="20"/>
                <w:szCs w:val="20"/>
                <w:lang w:eastAsia="en-GB"/>
              </w:rPr>
              <w:t>0</w:t>
            </w:r>
          </w:p>
        </w:tc>
      </w:tr>
      <w:tr w:rsidR="00DA081D" w:rsidRPr="00EB2995" w:rsidTr="00AF73B9">
        <w:trPr>
          <w:trHeight w:val="285"/>
        </w:trPr>
        <w:tc>
          <w:tcPr>
            <w:tcW w:w="4060" w:type="dxa"/>
            <w:tcBorders>
              <w:top w:val="nil"/>
              <w:left w:val="nil"/>
              <w:bottom w:val="nil"/>
              <w:right w:val="single" w:sz="8" w:space="0" w:color="auto"/>
            </w:tcBorders>
            <w:shd w:val="clear" w:color="000000" w:fill="FFFFFF"/>
            <w:vAlign w:val="center"/>
            <w:hideMark/>
          </w:tcPr>
          <w:p w:rsidR="00DA081D" w:rsidRPr="00EB2995" w:rsidRDefault="00DA081D" w:rsidP="00AF73B9">
            <w:pPr>
              <w:jc w:val="center"/>
              <w:rPr>
                <w:rFonts w:cs="Calibri"/>
                <w:color w:val="000000"/>
                <w:sz w:val="20"/>
                <w:szCs w:val="20"/>
                <w:lang w:eastAsia="en-GB"/>
              </w:rPr>
            </w:pPr>
            <w:r w:rsidRPr="00EB2995">
              <w:rPr>
                <w:rFonts w:cs="Calibri"/>
                <w:color w:val="000000"/>
                <w:sz w:val="20"/>
                <w:szCs w:val="20"/>
                <w:lang w:eastAsia="en-GB"/>
              </w:rPr>
              <w:t>Residual Iceland Banks</w:t>
            </w:r>
          </w:p>
        </w:tc>
        <w:tc>
          <w:tcPr>
            <w:tcW w:w="1520" w:type="dxa"/>
            <w:tcBorders>
              <w:top w:val="nil"/>
              <w:left w:val="nil"/>
              <w:bottom w:val="nil"/>
              <w:right w:val="single" w:sz="8" w:space="0" w:color="auto"/>
            </w:tcBorders>
            <w:shd w:val="clear" w:color="000000" w:fill="FFFFFF"/>
            <w:vAlign w:val="center"/>
            <w:hideMark/>
          </w:tcPr>
          <w:p w:rsidR="00DA081D" w:rsidRPr="00EB2995" w:rsidRDefault="00DA081D" w:rsidP="00AF73B9">
            <w:pPr>
              <w:jc w:val="right"/>
              <w:rPr>
                <w:rFonts w:cs="Calibri"/>
                <w:color w:val="000000"/>
                <w:sz w:val="20"/>
                <w:szCs w:val="20"/>
                <w:lang w:eastAsia="en-GB"/>
              </w:rPr>
            </w:pPr>
            <w:r w:rsidRPr="00EB2995">
              <w:rPr>
                <w:rFonts w:cs="Calibri"/>
                <w:color w:val="000000"/>
                <w:sz w:val="20"/>
                <w:szCs w:val="20"/>
                <w:lang w:eastAsia="en-GB"/>
              </w:rPr>
              <w:t>0.2</w:t>
            </w:r>
          </w:p>
        </w:tc>
        <w:tc>
          <w:tcPr>
            <w:tcW w:w="1520" w:type="dxa"/>
            <w:tcBorders>
              <w:top w:val="nil"/>
              <w:left w:val="nil"/>
              <w:bottom w:val="single" w:sz="8" w:space="0" w:color="auto"/>
              <w:right w:val="single" w:sz="8" w:space="0" w:color="auto"/>
            </w:tcBorders>
            <w:shd w:val="clear" w:color="000000" w:fill="FFFFFF"/>
            <w:vAlign w:val="center"/>
            <w:hideMark/>
          </w:tcPr>
          <w:p w:rsidR="00DA081D" w:rsidRPr="00EB2995" w:rsidRDefault="00DA081D" w:rsidP="00AF73B9">
            <w:pPr>
              <w:jc w:val="right"/>
              <w:rPr>
                <w:rFonts w:cs="Calibri"/>
                <w:color w:val="000000"/>
                <w:sz w:val="20"/>
                <w:szCs w:val="20"/>
                <w:lang w:eastAsia="en-GB"/>
              </w:rPr>
            </w:pPr>
            <w:r w:rsidRPr="00EB2995">
              <w:rPr>
                <w:rFonts w:cs="Calibri"/>
                <w:color w:val="000000"/>
                <w:sz w:val="20"/>
                <w:szCs w:val="20"/>
                <w:lang w:eastAsia="en-GB"/>
              </w:rPr>
              <w:t>0.2</w:t>
            </w:r>
          </w:p>
        </w:tc>
      </w:tr>
      <w:tr w:rsidR="00DA081D" w:rsidRPr="00EB2995" w:rsidTr="00AF73B9">
        <w:trPr>
          <w:trHeight w:val="285"/>
        </w:trPr>
        <w:tc>
          <w:tcPr>
            <w:tcW w:w="4060" w:type="dxa"/>
            <w:tcBorders>
              <w:top w:val="nil"/>
              <w:left w:val="nil"/>
              <w:bottom w:val="nil"/>
              <w:right w:val="single" w:sz="8" w:space="0" w:color="auto"/>
            </w:tcBorders>
            <w:shd w:val="clear" w:color="000000" w:fill="FFFFFF"/>
            <w:vAlign w:val="center"/>
            <w:hideMark/>
          </w:tcPr>
          <w:p w:rsidR="00DA081D" w:rsidRPr="00EB2995" w:rsidRDefault="00DA081D" w:rsidP="00AF73B9">
            <w:pPr>
              <w:jc w:val="center"/>
              <w:rPr>
                <w:rFonts w:cs="Calibri"/>
                <w:color w:val="000000"/>
                <w:sz w:val="20"/>
                <w:szCs w:val="20"/>
                <w:lang w:eastAsia="en-GB"/>
              </w:rPr>
            </w:pPr>
            <w:r w:rsidRPr="00EB2995">
              <w:rPr>
                <w:rFonts w:cs="Calibri"/>
                <w:color w:val="000000"/>
                <w:sz w:val="20"/>
                <w:szCs w:val="20"/>
                <w:lang w:eastAsia="en-GB"/>
              </w:rPr>
              <w:t>Total Investments</w:t>
            </w:r>
          </w:p>
        </w:tc>
        <w:tc>
          <w:tcPr>
            <w:tcW w:w="1520" w:type="dxa"/>
            <w:tcBorders>
              <w:top w:val="single" w:sz="8" w:space="0" w:color="auto"/>
              <w:left w:val="nil"/>
              <w:bottom w:val="single" w:sz="8" w:space="0" w:color="auto"/>
              <w:right w:val="single" w:sz="8" w:space="0" w:color="auto"/>
            </w:tcBorders>
            <w:shd w:val="clear" w:color="000000" w:fill="FFFFFF"/>
            <w:vAlign w:val="center"/>
            <w:hideMark/>
          </w:tcPr>
          <w:p w:rsidR="00DA081D" w:rsidRPr="00EB2995" w:rsidRDefault="00DA081D" w:rsidP="00AF73B9">
            <w:pPr>
              <w:jc w:val="right"/>
              <w:rPr>
                <w:rFonts w:cs="Calibri"/>
                <w:b/>
                <w:bCs/>
                <w:color w:val="000000"/>
                <w:sz w:val="20"/>
                <w:szCs w:val="20"/>
                <w:lang w:eastAsia="en-GB"/>
              </w:rPr>
            </w:pPr>
            <w:r w:rsidRPr="00EB2995">
              <w:rPr>
                <w:rFonts w:cs="Calibri"/>
                <w:b/>
                <w:bCs/>
                <w:color w:val="000000"/>
                <w:sz w:val="20"/>
                <w:szCs w:val="20"/>
                <w:lang w:eastAsia="en-GB"/>
              </w:rPr>
              <w:t>109.9</w:t>
            </w:r>
          </w:p>
        </w:tc>
        <w:tc>
          <w:tcPr>
            <w:tcW w:w="1520" w:type="dxa"/>
            <w:tcBorders>
              <w:top w:val="nil"/>
              <w:left w:val="nil"/>
              <w:bottom w:val="single" w:sz="8" w:space="0" w:color="auto"/>
              <w:right w:val="single" w:sz="8" w:space="0" w:color="auto"/>
            </w:tcBorders>
            <w:shd w:val="clear" w:color="000000" w:fill="FFFFFF"/>
            <w:vAlign w:val="center"/>
            <w:hideMark/>
          </w:tcPr>
          <w:p w:rsidR="00DA081D" w:rsidRPr="00EB2995" w:rsidRDefault="00DA081D" w:rsidP="00AF73B9">
            <w:pPr>
              <w:jc w:val="right"/>
              <w:rPr>
                <w:rFonts w:cs="Calibri"/>
                <w:b/>
                <w:bCs/>
                <w:color w:val="000000"/>
                <w:sz w:val="20"/>
                <w:szCs w:val="20"/>
                <w:lang w:eastAsia="en-GB"/>
              </w:rPr>
            </w:pPr>
            <w:r w:rsidRPr="00EB2995">
              <w:rPr>
                <w:rFonts w:cs="Calibri"/>
                <w:b/>
                <w:bCs/>
                <w:color w:val="000000"/>
                <w:sz w:val="20"/>
                <w:szCs w:val="20"/>
                <w:lang w:eastAsia="en-GB"/>
              </w:rPr>
              <w:t>140.4</w:t>
            </w:r>
          </w:p>
        </w:tc>
      </w:tr>
    </w:tbl>
    <w:p w:rsidR="00F72906" w:rsidRDefault="00F72906" w:rsidP="00F72906"/>
    <w:p w:rsidR="00F72906" w:rsidRDefault="00F72906" w:rsidP="00F72906">
      <w:r>
        <w:t xml:space="preserve">Credit risk arises from deposits with banks and financial institutions, as well as credit exposures to the Council’s customers. Deposits are not made with banks and financial institutions unless they meet the minimum requirements of the Approved List for Investments, which governs lending to banks and financial institutions, including building societies, government authorities and supranational institutions. The Council combines long-term, short-term and individual ratings to reduce the risk of default. To further reduce risk, the Council only makes new investments with financial institutions through marketable instruments, which could be sold at short notice </w:t>
      </w:r>
      <w:r w:rsidR="00DA081D">
        <w:t>to minimise prospective losses.</w:t>
      </w:r>
    </w:p>
    <w:p w:rsidR="00F72906" w:rsidRDefault="00F72906" w:rsidP="00F72906">
      <w:r>
        <w:t>Loss allowance on treasury investments have been calculated by reference to historic default data published by credit ratings. The Council expects some losses from non-performance by its Icelandic counterparty in relation to deposits, and has allowed for this in the impairment calculation. The Council does not expect any losses from non-performance by other counterparties. The resulting loss allowance was immaterial so no adjustment</w:t>
      </w:r>
      <w:r w:rsidR="00DA081D">
        <w:t xml:space="preserve"> has been made in the accounts.</w:t>
      </w:r>
    </w:p>
    <w:p w:rsidR="00DA081D" w:rsidRDefault="00DA081D" w:rsidP="00F72906"/>
    <w:p w:rsidR="00F72906" w:rsidRPr="00DA081D" w:rsidRDefault="00DA081D" w:rsidP="00F72906">
      <w:pPr>
        <w:rPr>
          <w:b/>
        </w:rPr>
      </w:pPr>
      <w:r>
        <w:rPr>
          <w:b/>
        </w:rPr>
        <w:t>Heritable Bank</w:t>
      </w:r>
    </w:p>
    <w:p w:rsidR="00F72906" w:rsidRDefault="00F72906" w:rsidP="00F72906">
      <w:r>
        <w:lastRenderedPageBreak/>
        <w:t>Heritable bank is a UK registered bank under Scots law.  The company was placed in administration on 7 October 2008.   As at 31 March 2020, the Council had recovered £9.8m of the original £10m deposit and a further repayment may arise subject to the result of court action. The impairment made by the Council is essentially the bala</w:t>
      </w:r>
      <w:r w:rsidR="00DA081D">
        <w:t>nce of the deposit outstanding.</w:t>
      </w:r>
    </w:p>
    <w:p w:rsidR="00F72906" w:rsidRPr="00DA081D" w:rsidRDefault="00F72906" w:rsidP="00F72906">
      <w:pPr>
        <w:rPr>
          <w:u w:val="single"/>
        </w:rPr>
      </w:pPr>
      <w:r w:rsidRPr="00DA081D">
        <w:rPr>
          <w:u w:val="single"/>
        </w:rPr>
        <w:t>Credit Risk: Trade Receivables</w:t>
      </w:r>
    </w:p>
    <w:p w:rsidR="00F72906" w:rsidRDefault="00F72906" w:rsidP="00F72906">
      <w:r>
        <w:t>Trade debtors are general debtors to the Council, and do not include government departments, other local authorities or housing rents. The Council does not generally allow credit for its trade debtors. During the reporting period the council h</w:t>
      </w:r>
      <w:r w:rsidR="00DA081D">
        <w:t xml:space="preserve">eld no collateral as security. </w:t>
      </w:r>
    </w:p>
    <w:p w:rsidR="00F72906" w:rsidRDefault="00F72906" w:rsidP="00F72906">
      <w:r>
        <w:t>The following analysis summarises the Authority’s potential maximum exposure to credit risk. 10.5% is the element which has not been provided for, based on historical experience of default.</w:t>
      </w:r>
    </w:p>
    <w:tbl>
      <w:tblPr>
        <w:tblW w:w="8821" w:type="dxa"/>
        <w:tblLook w:val="04A0" w:firstRow="1" w:lastRow="0" w:firstColumn="1" w:lastColumn="0" w:noHBand="0" w:noVBand="1"/>
      </w:tblPr>
      <w:tblGrid>
        <w:gridCol w:w="4740"/>
        <w:gridCol w:w="1361"/>
        <w:gridCol w:w="1360"/>
        <w:gridCol w:w="1360"/>
      </w:tblGrid>
      <w:tr w:rsidR="00DA081D" w:rsidRPr="00EB2995" w:rsidTr="00AF73B9">
        <w:trPr>
          <w:trHeight w:val="975"/>
        </w:trPr>
        <w:tc>
          <w:tcPr>
            <w:tcW w:w="4740" w:type="dxa"/>
            <w:vMerge w:val="restart"/>
            <w:tcBorders>
              <w:top w:val="nil"/>
              <w:left w:val="nil"/>
              <w:bottom w:val="nil"/>
              <w:right w:val="nil"/>
            </w:tcBorders>
            <w:shd w:val="clear" w:color="auto" w:fill="auto"/>
            <w:vAlign w:val="bottom"/>
            <w:hideMark/>
          </w:tcPr>
          <w:p w:rsidR="00DA081D" w:rsidRPr="00EB2995" w:rsidRDefault="00DA081D" w:rsidP="00AF73B9">
            <w:pPr>
              <w:jc w:val="center"/>
              <w:rPr>
                <w:rFonts w:cs="Calibri"/>
                <w:color w:val="000000"/>
                <w:sz w:val="20"/>
                <w:szCs w:val="20"/>
                <w:lang w:eastAsia="en-GB"/>
              </w:rPr>
            </w:pPr>
            <w:r w:rsidRPr="00EB2995">
              <w:rPr>
                <w:rFonts w:cs="Calibri"/>
                <w:color w:val="000000"/>
                <w:sz w:val="20"/>
                <w:szCs w:val="20"/>
                <w:lang w:eastAsia="en-GB"/>
              </w:rPr>
              <w:t> </w:t>
            </w:r>
          </w:p>
        </w:tc>
        <w:tc>
          <w:tcPr>
            <w:tcW w:w="1361" w:type="dxa"/>
            <w:tcBorders>
              <w:top w:val="nil"/>
              <w:left w:val="nil"/>
              <w:bottom w:val="nil"/>
              <w:right w:val="nil"/>
            </w:tcBorders>
            <w:shd w:val="clear" w:color="auto" w:fill="auto"/>
            <w:vAlign w:val="center"/>
            <w:hideMark/>
          </w:tcPr>
          <w:p w:rsidR="00DA081D" w:rsidRPr="00EB2995" w:rsidRDefault="00DA081D" w:rsidP="00AF73B9">
            <w:pPr>
              <w:jc w:val="right"/>
              <w:rPr>
                <w:rFonts w:cs="Calibri"/>
                <w:b/>
                <w:bCs/>
                <w:color w:val="000000"/>
                <w:sz w:val="20"/>
                <w:szCs w:val="20"/>
                <w:lang w:eastAsia="en-GB"/>
              </w:rPr>
            </w:pPr>
            <w:r w:rsidRPr="00EB2995">
              <w:rPr>
                <w:rFonts w:cs="Calibri"/>
                <w:b/>
                <w:bCs/>
                <w:color w:val="000000"/>
                <w:sz w:val="20"/>
                <w:szCs w:val="20"/>
                <w:lang w:eastAsia="en-GB"/>
              </w:rPr>
              <w:t>Amount at 31 March 2020</w:t>
            </w:r>
          </w:p>
        </w:tc>
        <w:tc>
          <w:tcPr>
            <w:tcW w:w="1360" w:type="dxa"/>
            <w:tcBorders>
              <w:top w:val="nil"/>
              <w:left w:val="nil"/>
              <w:bottom w:val="nil"/>
              <w:right w:val="nil"/>
            </w:tcBorders>
            <w:shd w:val="clear" w:color="auto" w:fill="auto"/>
            <w:vAlign w:val="center"/>
            <w:hideMark/>
          </w:tcPr>
          <w:p w:rsidR="00DA081D" w:rsidRPr="00EB2995" w:rsidRDefault="00DA081D" w:rsidP="00AF73B9">
            <w:pPr>
              <w:jc w:val="center"/>
              <w:rPr>
                <w:rFonts w:cs="Calibri"/>
                <w:b/>
                <w:bCs/>
                <w:color w:val="000000"/>
                <w:sz w:val="20"/>
                <w:szCs w:val="20"/>
                <w:lang w:eastAsia="en-GB"/>
              </w:rPr>
            </w:pPr>
            <w:r w:rsidRPr="00EB2995">
              <w:rPr>
                <w:rFonts w:cs="Calibri"/>
                <w:b/>
                <w:bCs/>
                <w:color w:val="000000"/>
                <w:sz w:val="20"/>
                <w:szCs w:val="20"/>
                <w:lang w:eastAsia="en-GB"/>
              </w:rPr>
              <w:t>Historical experience of default</w:t>
            </w:r>
          </w:p>
        </w:tc>
        <w:tc>
          <w:tcPr>
            <w:tcW w:w="1360" w:type="dxa"/>
            <w:tcBorders>
              <w:top w:val="nil"/>
              <w:left w:val="nil"/>
              <w:bottom w:val="nil"/>
              <w:right w:val="nil"/>
            </w:tcBorders>
            <w:shd w:val="clear" w:color="auto" w:fill="auto"/>
            <w:vAlign w:val="center"/>
            <w:hideMark/>
          </w:tcPr>
          <w:p w:rsidR="00DA081D" w:rsidRPr="00EB2995" w:rsidRDefault="00DA081D" w:rsidP="00AF73B9">
            <w:pPr>
              <w:jc w:val="right"/>
              <w:rPr>
                <w:rFonts w:cs="Calibri"/>
                <w:b/>
                <w:bCs/>
                <w:color w:val="000000"/>
                <w:sz w:val="20"/>
                <w:szCs w:val="20"/>
                <w:lang w:eastAsia="en-GB"/>
              </w:rPr>
            </w:pPr>
            <w:r w:rsidRPr="00EB2995">
              <w:rPr>
                <w:rFonts w:cs="Calibri"/>
                <w:b/>
                <w:bCs/>
                <w:color w:val="000000"/>
                <w:sz w:val="20"/>
                <w:szCs w:val="20"/>
                <w:lang w:eastAsia="en-GB"/>
              </w:rPr>
              <w:t>Estimated maximum exposure to default</w:t>
            </w:r>
          </w:p>
        </w:tc>
      </w:tr>
      <w:tr w:rsidR="00DA081D" w:rsidRPr="00EB2995" w:rsidTr="00AF73B9">
        <w:trPr>
          <w:trHeight w:val="285"/>
        </w:trPr>
        <w:tc>
          <w:tcPr>
            <w:tcW w:w="4740" w:type="dxa"/>
            <w:vMerge/>
            <w:tcBorders>
              <w:top w:val="nil"/>
              <w:left w:val="nil"/>
              <w:bottom w:val="nil"/>
              <w:right w:val="nil"/>
            </w:tcBorders>
            <w:shd w:val="clear" w:color="auto" w:fill="auto"/>
            <w:vAlign w:val="center"/>
            <w:hideMark/>
          </w:tcPr>
          <w:p w:rsidR="00DA081D" w:rsidRPr="00EB2995" w:rsidRDefault="00DA081D" w:rsidP="00AF73B9">
            <w:pPr>
              <w:rPr>
                <w:rFonts w:cs="Calibri"/>
                <w:color w:val="000000"/>
                <w:sz w:val="20"/>
                <w:szCs w:val="20"/>
                <w:lang w:eastAsia="en-GB"/>
              </w:rPr>
            </w:pPr>
          </w:p>
        </w:tc>
        <w:tc>
          <w:tcPr>
            <w:tcW w:w="1361" w:type="dxa"/>
            <w:tcBorders>
              <w:top w:val="nil"/>
              <w:left w:val="nil"/>
              <w:bottom w:val="nil"/>
              <w:right w:val="nil"/>
            </w:tcBorders>
            <w:shd w:val="clear" w:color="auto" w:fill="auto"/>
            <w:vAlign w:val="center"/>
            <w:hideMark/>
          </w:tcPr>
          <w:p w:rsidR="00DA081D" w:rsidRPr="00EB2995" w:rsidRDefault="00DA081D" w:rsidP="00AF73B9">
            <w:pPr>
              <w:jc w:val="right"/>
              <w:rPr>
                <w:rFonts w:cs="Calibri"/>
                <w:b/>
                <w:bCs/>
                <w:color w:val="000000"/>
                <w:sz w:val="20"/>
                <w:szCs w:val="20"/>
                <w:lang w:eastAsia="en-GB"/>
              </w:rPr>
            </w:pPr>
            <w:r w:rsidRPr="00EB2995">
              <w:rPr>
                <w:rFonts w:cs="Calibri"/>
                <w:b/>
                <w:bCs/>
                <w:color w:val="000000"/>
                <w:sz w:val="20"/>
                <w:szCs w:val="20"/>
                <w:lang w:eastAsia="en-GB"/>
              </w:rPr>
              <w:t>£m</w:t>
            </w:r>
          </w:p>
        </w:tc>
        <w:tc>
          <w:tcPr>
            <w:tcW w:w="1360" w:type="dxa"/>
            <w:tcBorders>
              <w:top w:val="nil"/>
              <w:left w:val="nil"/>
              <w:bottom w:val="nil"/>
              <w:right w:val="nil"/>
            </w:tcBorders>
            <w:shd w:val="clear" w:color="auto" w:fill="auto"/>
            <w:vAlign w:val="center"/>
            <w:hideMark/>
          </w:tcPr>
          <w:p w:rsidR="00DA081D" w:rsidRPr="00EB2995" w:rsidRDefault="00DA081D" w:rsidP="00AF73B9">
            <w:pPr>
              <w:jc w:val="center"/>
              <w:rPr>
                <w:rFonts w:cs="Calibri"/>
                <w:b/>
                <w:bCs/>
                <w:color w:val="000000"/>
                <w:sz w:val="20"/>
                <w:szCs w:val="20"/>
                <w:lang w:eastAsia="en-GB"/>
              </w:rPr>
            </w:pPr>
            <w:r w:rsidRPr="00EB2995">
              <w:rPr>
                <w:rFonts w:cs="Calibri"/>
                <w:b/>
                <w:bCs/>
                <w:color w:val="000000"/>
                <w:sz w:val="20"/>
                <w:szCs w:val="20"/>
                <w:lang w:eastAsia="en-GB"/>
              </w:rPr>
              <w:t>%</w:t>
            </w:r>
          </w:p>
        </w:tc>
        <w:tc>
          <w:tcPr>
            <w:tcW w:w="1360" w:type="dxa"/>
            <w:tcBorders>
              <w:top w:val="nil"/>
              <w:left w:val="nil"/>
              <w:bottom w:val="nil"/>
              <w:right w:val="nil"/>
            </w:tcBorders>
            <w:shd w:val="clear" w:color="auto" w:fill="auto"/>
            <w:vAlign w:val="center"/>
            <w:hideMark/>
          </w:tcPr>
          <w:p w:rsidR="00DA081D" w:rsidRPr="00EB2995" w:rsidRDefault="00DA081D" w:rsidP="00AF73B9">
            <w:pPr>
              <w:jc w:val="right"/>
              <w:rPr>
                <w:rFonts w:cs="Calibri"/>
                <w:b/>
                <w:bCs/>
                <w:color w:val="000000"/>
                <w:sz w:val="20"/>
                <w:szCs w:val="20"/>
                <w:lang w:eastAsia="en-GB"/>
              </w:rPr>
            </w:pPr>
            <w:r w:rsidRPr="00EB2995">
              <w:rPr>
                <w:rFonts w:cs="Calibri"/>
                <w:b/>
                <w:bCs/>
                <w:color w:val="000000"/>
                <w:sz w:val="20"/>
                <w:szCs w:val="20"/>
                <w:lang w:eastAsia="en-GB"/>
              </w:rPr>
              <w:t>£m</w:t>
            </w:r>
          </w:p>
        </w:tc>
      </w:tr>
      <w:tr w:rsidR="00DA081D" w:rsidRPr="00EB2995" w:rsidTr="00AF73B9">
        <w:trPr>
          <w:trHeight w:val="345"/>
        </w:trPr>
        <w:tc>
          <w:tcPr>
            <w:tcW w:w="4740" w:type="dxa"/>
            <w:vMerge/>
            <w:tcBorders>
              <w:top w:val="nil"/>
              <w:left w:val="nil"/>
              <w:bottom w:val="nil"/>
              <w:right w:val="nil"/>
            </w:tcBorders>
            <w:shd w:val="clear" w:color="auto" w:fill="auto"/>
            <w:vAlign w:val="center"/>
            <w:hideMark/>
          </w:tcPr>
          <w:p w:rsidR="00DA081D" w:rsidRPr="00EB2995" w:rsidRDefault="00DA081D" w:rsidP="00AF73B9">
            <w:pPr>
              <w:rPr>
                <w:rFonts w:cs="Calibri"/>
                <w:color w:val="000000"/>
                <w:sz w:val="20"/>
                <w:szCs w:val="20"/>
                <w:lang w:eastAsia="en-GB"/>
              </w:rPr>
            </w:pPr>
          </w:p>
        </w:tc>
        <w:tc>
          <w:tcPr>
            <w:tcW w:w="1361" w:type="dxa"/>
            <w:tcBorders>
              <w:top w:val="nil"/>
              <w:left w:val="nil"/>
              <w:bottom w:val="single" w:sz="8" w:space="0" w:color="auto"/>
              <w:right w:val="nil"/>
            </w:tcBorders>
            <w:shd w:val="clear" w:color="auto" w:fill="auto"/>
            <w:vAlign w:val="center"/>
            <w:hideMark/>
          </w:tcPr>
          <w:p w:rsidR="00DA081D" w:rsidRPr="00EB2995" w:rsidRDefault="00DA081D" w:rsidP="00AF73B9">
            <w:pPr>
              <w:jc w:val="center"/>
              <w:rPr>
                <w:rFonts w:cs="Calibri"/>
                <w:color w:val="000000"/>
                <w:sz w:val="20"/>
                <w:szCs w:val="20"/>
                <w:lang w:eastAsia="en-GB"/>
              </w:rPr>
            </w:pPr>
            <w:r w:rsidRPr="00EB2995">
              <w:rPr>
                <w:rFonts w:cs="Calibri"/>
                <w:color w:val="000000"/>
                <w:sz w:val="20"/>
                <w:szCs w:val="20"/>
                <w:lang w:eastAsia="en-GB"/>
              </w:rPr>
              <w:t>(a)</w:t>
            </w:r>
          </w:p>
        </w:tc>
        <w:tc>
          <w:tcPr>
            <w:tcW w:w="1360" w:type="dxa"/>
            <w:tcBorders>
              <w:top w:val="nil"/>
              <w:left w:val="nil"/>
              <w:bottom w:val="single" w:sz="8" w:space="0" w:color="auto"/>
              <w:right w:val="nil"/>
            </w:tcBorders>
            <w:shd w:val="clear" w:color="auto" w:fill="auto"/>
            <w:vAlign w:val="center"/>
            <w:hideMark/>
          </w:tcPr>
          <w:p w:rsidR="00DA081D" w:rsidRPr="00EB2995" w:rsidRDefault="00DA081D" w:rsidP="00AF73B9">
            <w:pPr>
              <w:jc w:val="center"/>
              <w:rPr>
                <w:rFonts w:cs="Calibri"/>
                <w:color w:val="000000"/>
                <w:sz w:val="20"/>
                <w:szCs w:val="20"/>
                <w:lang w:eastAsia="en-GB"/>
              </w:rPr>
            </w:pPr>
            <w:r w:rsidRPr="00EB2995">
              <w:rPr>
                <w:rFonts w:cs="Calibri"/>
                <w:color w:val="000000"/>
                <w:sz w:val="20"/>
                <w:szCs w:val="20"/>
                <w:lang w:eastAsia="en-GB"/>
              </w:rPr>
              <w:t>(b)</w:t>
            </w:r>
          </w:p>
        </w:tc>
        <w:tc>
          <w:tcPr>
            <w:tcW w:w="1360" w:type="dxa"/>
            <w:tcBorders>
              <w:top w:val="nil"/>
              <w:left w:val="nil"/>
              <w:bottom w:val="single" w:sz="8" w:space="0" w:color="auto"/>
              <w:right w:val="nil"/>
            </w:tcBorders>
            <w:shd w:val="clear" w:color="auto" w:fill="auto"/>
            <w:vAlign w:val="bottom"/>
            <w:hideMark/>
          </w:tcPr>
          <w:p w:rsidR="00DA081D" w:rsidRPr="00EB2995" w:rsidRDefault="00DA081D" w:rsidP="00AF73B9">
            <w:pPr>
              <w:rPr>
                <w:rFonts w:cs="Calibri"/>
                <w:color w:val="000000"/>
                <w:sz w:val="20"/>
                <w:szCs w:val="20"/>
                <w:lang w:eastAsia="en-GB"/>
              </w:rPr>
            </w:pPr>
            <w:r w:rsidRPr="00EB2995">
              <w:rPr>
                <w:rFonts w:cs="Calibri"/>
                <w:color w:val="000000"/>
                <w:sz w:val="20"/>
                <w:szCs w:val="20"/>
                <w:lang w:eastAsia="en-GB"/>
              </w:rPr>
              <w:t> </w:t>
            </w:r>
          </w:p>
        </w:tc>
      </w:tr>
      <w:tr w:rsidR="00DA081D" w:rsidRPr="00EB2995" w:rsidTr="00AF73B9">
        <w:trPr>
          <w:trHeight w:val="397"/>
        </w:trPr>
        <w:tc>
          <w:tcPr>
            <w:tcW w:w="4740" w:type="dxa"/>
            <w:tcBorders>
              <w:top w:val="nil"/>
              <w:left w:val="nil"/>
              <w:bottom w:val="nil"/>
              <w:right w:val="single" w:sz="8" w:space="0" w:color="auto"/>
            </w:tcBorders>
            <w:shd w:val="clear" w:color="auto" w:fill="auto"/>
            <w:vAlign w:val="center"/>
            <w:hideMark/>
          </w:tcPr>
          <w:p w:rsidR="00DA081D" w:rsidRPr="00EB2995" w:rsidRDefault="00DA081D" w:rsidP="00AF73B9">
            <w:pPr>
              <w:jc w:val="both"/>
              <w:rPr>
                <w:rFonts w:cs="Calibri"/>
                <w:color w:val="000000"/>
                <w:sz w:val="20"/>
                <w:szCs w:val="20"/>
                <w:lang w:eastAsia="en-GB"/>
              </w:rPr>
            </w:pPr>
            <w:r w:rsidRPr="00EB2995">
              <w:rPr>
                <w:rFonts w:cs="Calibri"/>
                <w:color w:val="000000"/>
                <w:sz w:val="20"/>
                <w:szCs w:val="20"/>
                <w:lang w:eastAsia="en-GB"/>
              </w:rPr>
              <w:t>Deposits with banks and financial institutions</w:t>
            </w:r>
          </w:p>
        </w:tc>
        <w:tc>
          <w:tcPr>
            <w:tcW w:w="1361" w:type="dxa"/>
            <w:tcBorders>
              <w:top w:val="nil"/>
              <w:left w:val="nil"/>
              <w:bottom w:val="nil"/>
              <w:right w:val="single" w:sz="8" w:space="0" w:color="auto"/>
            </w:tcBorders>
            <w:shd w:val="clear" w:color="auto" w:fill="auto"/>
            <w:vAlign w:val="center"/>
            <w:hideMark/>
          </w:tcPr>
          <w:p w:rsidR="00DA081D" w:rsidRPr="00EB2995" w:rsidRDefault="00DA081D" w:rsidP="00AF73B9">
            <w:pPr>
              <w:jc w:val="center"/>
              <w:rPr>
                <w:rFonts w:cs="Calibri"/>
                <w:color w:val="000000"/>
                <w:sz w:val="20"/>
                <w:szCs w:val="20"/>
                <w:lang w:eastAsia="en-GB"/>
              </w:rPr>
            </w:pPr>
            <w:r w:rsidRPr="00EB2995">
              <w:rPr>
                <w:rFonts w:cs="Calibri"/>
                <w:color w:val="000000"/>
                <w:sz w:val="20"/>
                <w:szCs w:val="20"/>
                <w:lang w:eastAsia="en-GB"/>
              </w:rPr>
              <w:t xml:space="preserve">  0.2</w:t>
            </w:r>
          </w:p>
        </w:tc>
        <w:tc>
          <w:tcPr>
            <w:tcW w:w="1360" w:type="dxa"/>
            <w:vMerge w:val="restart"/>
            <w:tcBorders>
              <w:top w:val="nil"/>
              <w:left w:val="single" w:sz="8" w:space="0" w:color="auto"/>
              <w:bottom w:val="single" w:sz="8" w:space="0" w:color="000000"/>
              <w:right w:val="single" w:sz="8" w:space="0" w:color="auto"/>
            </w:tcBorders>
            <w:shd w:val="clear" w:color="auto" w:fill="auto"/>
            <w:vAlign w:val="center"/>
            <w:hideMark/>
          </w:tcPr>
          <w:p w:rsidR="00DA081D" w:rsidRPr="00EB2995" w:rsidRDefault="00DA081D" w:rsidP="00AF73B9">
            <w:pPr>
              <w:jc w:val="center"/>
              <w:rPr>
                <w:rFonts w:cs="Calibri"/>
                <w:color w:val="000000"/>
                <w:sz w:val="20"/>
                <w:szCs w:val="20"/>
                <w:lang w:eastAsia="en-GB"/>
              </w:rPr>
            </w:pPr>
            <w:r w:rsidRPr="00EB2995">
              <w:rPr>
                <w:rFonts w:cs="Calibri"/>
                <w:color w:val="000000"/>
                <w:sz w:val="20"/>
                <w:szCs w:val="20"/>
                <w:lang w:eastAsia="en-GB"/>
              </w:rPr>
              <w:t>-10.48%</w:t>
            </w:r>
          </w:p>
        </w:tc>
        <w:tc>
          <w:tcPr>
            <w:tcW w:w="1360" w:type="dxa"/>
            <w:tcBorders>
              <w:top w:val="nil"/>
              <w:left w:val="nil"/>
              <w:bottom w:val="nil"/>
              <w:right w:val="single" w:sz="8" w:space="0" w:color="auto"/>
            </w:tcBorders>
            <w:shd w:val="clear" w:color="auto" w:fill="auto"/>
            <w:vAlign w:val="center"/>
            <w:hideMark/>
          </w:tcPr>
          <w:p w:rsidR="00DA081D" w:rsidRPr="00EB2995" w:rsidRDefault="00DA081D" w:rsidP="00AF73B9">
            <w:pPr>
              <w:jc w:val="center"/>
              <w:rPr>
                <w:rFonts w:cs="Calibri"/>
                <w:b/>
                <w:bCs/>
                <w:color w:val="000000"/>
                <w:sz w:val="20"/>
                <w:szCs w:val="20"/>
                <w:lang w:eastAsia="en-GB"/>
              </w:rPr>
            </w:pPr>
            <w:r w:rsidRPr="00EB2995">
              <w:rPr>
                <w:rFonts w:cs="Calibri"/>
                <w:b/>
                <w:bCs/>
                <w:color w:val="000000"/>
                <w:sz w:val="20"/>
                <w:szCs w:val="20"/>
                <w:lang w:eastAsia="en-GB"/>
              </w:rPr>
              <w:t>(0.0)</w:t>
            </w:r>
          </w:p>
        </w:tc>
      </w:tr>
      <w:tr w:rsidR="00DA081D" w:rsidRPr="00EB2995" w:rsidTr="00AF73B9">
        <w:trPr>
          <w:trHeight w:val="285"/>
        </w:trPr>
        <w:tc>
          <w:tcPr>
            <w:tcW w:w="4740" w:type="dxa"/>
            <w:tcBorders>
              <w:top w:val="nil"/>
              <w:left w:val="nil"/>
              <w:bottom w:val="nil"/>
              <w:right w:val="single" w:sz="8" w:space="0" w:color="auto"/>
            </w:tcBorders>
            <w:shd w:val="clear" w:color="auto" w:fill="auto"/>
            <w:vAlign w:val="center"/>
            <w:hideMark/>
          </w:tcPr>
          <w:p w:rsidR="00DA081D" w:rsidRPr="00EB2995" w:rsidRDefault="00DA081D" w:rsidP="00AF73B9">
            <w:pPr>
              <w:jc w:val="both"/>
              <w:rPr>
                <w:rFonts w:cs="Calibri"/>
                <w:color w:val="000000"/>
                <w:sz w:val="20"/>
                <w:szCs w:val="20"/>
                <w:lang w:eastAsia="en-GB"/>
              </w:rPr>
            </w:pPr>
            <w:r w:rsidRPr="00EB2995">
              <w:rPr>
                <w:rFonts w:cs="Calibri"/>
                <w:color w:val="000000"/>
                <w:sz w:val="20"/>
                <w:szCs w:val="20"/>
                <w:lang w:eastAsia="en-GB"/>
              </w:rPr>
              <w:t>Trade debtors</w:t>
            </w:r>
          </w:p>
        </w:tc>
        <w:tc>
          <w:tcPr>
            <w:tcW w:w="1361" w:type="dxa"/>
            <w:tcBorders>
              <w:top w:val="nil"/>
              <w:left w:val="nil"/>
              <w:bottom w:val="single" w:sz="8" w:space="0" w:color="auto"/>
              <w:right w:val="single" w:sz="8" w:space="0" w:color="auto"/>
            </w:tcBorders>
            <w:shd w:val="clear" w:color="auto" w:fill="auto"/>
            <w:vAlign w:val="center"/>
            <w:hideMark/>
          </w:tcPr>
          <w:p w:rsidR="00DA081D" w:rsidRPr="00EB2995" w:rsidRDefault="00DA081D" w:rsidP="00AF73B9">
            <w:pPr>
              <w:jc w:val="center"/>
              <w:rPr>
                <w:rFonts w:cs="Calibri"/>
                <w:color w:val="000000"/>
                <w:sz w:val="20"/>
                <w:szCs w:val="20"/>
                <w:lang w:eastAsia="en-GB"/>
              </w:rPr>
            </w:pPr>
            <w:r w:rsidRPr="00EB2995">
              <w:rPr>
                <w:rFonts w:cs="Calibri"/>
                <w:color w:val="000000"/>
                <w:sz w:val="20"/>
                <w:szCs w:val="20"/>
                <w:lang w:eastAsia="en-GB"/>
              </w:rPr>
              <w:t>63.8</w:t>
            </w:r>
          </w:p>
        </w:tc>
        <w:tc>
          <w:tcPr>
            <w:tcW w:w="1360" w:type="dxa"/>
            <w:vMerge/>
            <w:tcBorders>
              <w:top w:val="nil"/>
              <w:left w:val="single" w:sz="8" w:space="0" w:color="auto"/>
              <w:bottom w:val="single" w:sz="8" w:space="0" w:color="000000"/>
              <w:right w:val="single" w:sz="8" w:space="0" w:color="auto"/>
            </w:tcBorders>
            <w:shd w:val="clear" w:color="auto" w:fill="auto"/>
            <w:vAlign w:val="center"/>
            <w:hideMark/>
          </w:tcPr>
          <w:p w:rsidR="00DA081D" w:rsidRPr="00EB2995" w:rsidRDefault="00DA081D" w:rsidP="00AF73B9">
            <w:pPr>
              <w:rPr>
                <w:rFonts w:cs="Calibri"/>
                <w:color w:val="000000"/>
                <w:sz w:val="20"/>
                <w:szCs w:val="20"/>
                <w:lang w:eastAsia="en-GB"/>
              </w:rPr>
            </w:pPr>
          </w:p>
        </w:tc>
        <w:tc>
          <w:tcPr>
            <w:tcW w:w="1360" w:type="dxa"/>
            <w:tcBorders>
              <w:top w:val="nil"/>
              <w:left w:val="nil"/>
              <w:bottom w:val="single" w:sz="8" w:space="0" w:color="auto"/>
              <w:right w:val="single" w:sz="8" w:space="0" w:color="auto"/>
            </w:tcBorders>
            <w:shd w:val="clear" w:color="auto" w:fill="auto"/>
            <w:vAlign w:val="center"/>
            <w:hideMark/>
          </w:tcPr>
          <w:p w:rsidR="00DA081D" w:rsidRPr="00EB2995" w:rsidRDefault="00DA081D" w:rsidP="00AF73B9">
            <w:pPr>
              <w:jc w:val="center"/>
              <w:rPr>
                <w:rFonts w:cs="Calibri"/>
                <w:b/>
                <w:bCs/>
                <w:color w:val="000000"/>
                <w:sz w:val="20"/>
                <w:szCs w:val="20"/>
                <w:lang w:eastAsia="en-GB"/>
              </w:rPr>
            </w:pPr>
            <w:r w:rsidRPr="00EB2995">
              <w:rPr>
                <w:rFonts w:cs="Calibri"/>
                <w:b/>
                <w:bCs/>
                <w:color w:val="000000"/>
                <w:sz w:val="20"/>
                <w:szCs w:val="20"/>
                <w:lang w:eastAsia="en-GB"/>
              </w:rPr>
              <w:t>(6.7)</w:t>
            </w:r>
          </w:p>
        </w:tc>
      </w:tr>
      <w:tr w:rsidR="00DA081D" w:rsidRPr="00EB2995" w:rsidTr="00AF73B9">
        <w:trPr>
          <w:trHeight w:val="285"/>
        </w:trPr>
        <w:tc>
          <w:tcPr>
            <w:tcW w:w="4740" w:type="dxa"/>
            <w:tcBorders>
              <w:top w:val="nil"/>
              <w:left w:val="nil"/>
              <w:bottom w:val="nil"/>
              <w:right w:val="single" w:sz="8" w:space="0" w:color="auto"/>
            </w:tcBorders>
            <w:shd w:val="clear" w:color="auto" w:fill="auto"/>
            <w:hideMark/>
          </w:tcPr>
          <w:p w:rsidR="00DA081D" w:rsidRPr="00EB2995" w:rsidRDefault="00DA081D" w:rsidP="00AF73B9">
            <w:pPr>
              <w:rPr>
                <w:rFonts w:cs="Calibri"/>
                <w:color w:val="000000"/>
                <w:sz w:val="20"/>
                <w:szCs w:val="20"/>
                <w:lang w:eastAsia="en-GB"/>
              </w:rPr>
            </w:pPr>
            <w:r w:rsidRPr="00EB2995">
              <w:rPr>
                <w:rFonts w:cs="Calibri"/>
                <w:color w:val="000000"/>
                <w:sz w:val="20"/>
                <w:szCs w:val="20"/>
                <w:lang w:eastAsia="en-GB"/>
              </w:rPr>
              <w:t> </w:t>
            </w:r>
          </w:p>
        </w:tc>
        <w:tc>
          <w:tcPr>
            <w:tcW w:w="1361" w:type="dxa"/>
            <w:tcBorders>
              <w:top w:val="nil"/>
              <w:left w:val="nil"/>
              <w:bottom w:val="single" w:sz="8" w:space="0" w:color="auto"/>
              <w:right w:val="single" w:sz="8" w:space="0" w:color="auto"/>
            </w:tcBorders>
            <w:shd w:val="clear" w:color="auto" w:fill="auto"/>
            <w:vAlign w:val="center"/>
            <w:hideMark/>
          </w:tcPr>
          <w:p w:rsidR="00DA081D" w:rsidRPr="00EB2995" w:rsidRDefault="00DA081D" w:rsidP="00AF73B9">
            <w:pPr>
              <w:jc w:val="center"/>
              <w:rPr>
                <w:rFonts w:cs="Calibri"/>
                <w:b/>
                <w:bCs/>
                <w:color w:val="000000"/>
                <w:sz w:val="20"/>
                <w:szCs w:val="20"/>
                <w:lang w:eastAsia="en-GB"/>
              </w:rPr>
            </w:pPr>
            <w:r w:rsidRPr="00EB2995">
              <w:rPr>
                <w:rFonts w:cs="Calibri"/>
                <w:b/>
                <w:bCs/>
                <w:color w:val="000000"/>
                <w:sz w:val="20"/>
                <w:szCs w:val="20"/>
                <w:lang w:eastAsia="en-GB"/>
              </w:rPr>
              <w:t>64.0</w:t>
            </w:r>
          </w:p>
        </w:tc>
        <w:tc>
          <w:tcPr>
            <w:tcW w:w="1360" w:type="dxa"/>
            <w:tcBorders>
              <w:top w:val="nil"/>
              <w:left w:val="nil"/>
              <w:bottom w:val="single" w:sz="8" w:space="0" w:color="auto"/>
              <w:right w:val="single" w:sz="8" w:space="0" w:color="auto"/>
            </w:tcBorders>
            <w:shd w:val="clear" w:color="auto" w:fill="auto"/>
            <w:vAlign w:val="center"/>
            <w:hideMark/>
          </w:tcPr>
          <w:p w:rsidR="00DA081D" w:rsidRPr="00EB2995" w:rsidRDefault="00DA081D" w:rsidP="00AF73B9">
            <w:pPr>
              <w:jc w:val="center"/>
              <w:rPr>
                <w:rFonts w:cs="Calibri"/>
                <w:b/>
                <w:bCs/>
                <w:color w:val="000000"/>
                <w:sz w:val="20"/>
                <w:szCs w:val="20"/>
                <w:lang w:eastAsia="en-GB"/>
              </w:rPr>
            </w:pPr>
            <w:r w:rsidRPr="00EB2995">
              <w:rPr>
                <w:rFonts w:cs="Calibri"/>
                <w:b/>
                <w:bCs/>
                <w:color w:val="000000"/>
                <w:sz w:val="20"/>
                <w:szCs w:val="20"/>
                <w:lang w:eastAsia="en-GB"/>
              </w:rPr>
              <w:t> </w:t>
            </w:r>
          </w:p>
        </w:tc>
        <w:tc>
          <w:tcPr>
            <w:tcW w:w="1360" w:type="dxa"/>
            <w:tcBorders>
              <w:top w:val="nil"/>
              <w:left w:val="nil"/>
              <w:bottom w:val="single" w:sz="8" w:space="0" w:color="auto"/>
              <w:right w:val="single" w:sz="8" w:space="0" w:color="auto"/>
            </w:tcBorders>
            <w:shd w:val="clear" w:color="auto" w:fill="auto"/>
            <w:vAlign w:val="center"/>
            <w:hideMark/>
          </w:tcPr>
          <w:p w:rsidR="00DA081D" w:rsidRPr="00EB2995" w:rsidRDefault="00DA081D" w:rsidP="00AF73B9">
            <w:pPr>
              <w:jc w:val="center"/>
              <w:rPr>
                <w:rFonts w:cs="Calibri"/>
                <w:b/>
                <w:bCs/>
                <w:color w:val="000000"/>
                <w:sz w:val="20"/>
                <w:szCs w:val="20"/>
                <w:lang w:eastAsia="en-GB"/>
              </w:rPr>
            </w:pPr>
            <w:r w:rsidRPr="00EB2995">
              <w:rPr>
                <w:rFonts w:cs="Calibri"/>
                <w:b/>
                <w:bCs/>
                <w:color w:val="000000"/>
                <w:sz w:val="20"/>
                <w:szCs w:val="20"/>
                <w:lang w:eastAsia="en-GB"/>
              </w:rPr>
              <w:t>(6.7)</w:t>
            </w:r>
          </w:p>
        </w:tc>
      </w:tr>
    </w:tbl>
    <w:p w:rsidR="00F72906" w:rsidRDefault="00F72906" w:rsidP="00F72906"/>
    <w:p w:rsidR="00F72906" w:rsidRDefault="00F72906" w:rsidP="00F72906">
      <w:r>
        <w:t>The Council’s credit risk on lease receivables is mitigated by its legal ownership of the assets leased, which can be repossessed if the debtor defaults on the lease contract. Loss allowances for receivables have been calculated based on historic information. Debts are deemed to be overdue when they are at leas</w:t>
      </w:r>
      <w:r w:rsidR="00DA081D">
        <w:t xml:space="preserve">t 30 days past their due date. </w:t>
      </w:r>
    </w:p>
    <w:p w:rsidR="00F72906" w:rsidRPr="00DA081D" w:rsidRDefault="00DA081D" w:rsidP="00F72906">
      <w:pPr>
        <w:rPr>
          <w:u w:val="single"/>
        </w:rPr>
      </w:pPr>
      <w:r>
        <w:rPr>
          <w:u w:val="single"/>
        </w:rPr>
        <w:t xml:space="preserve">Liquidity Risk </w:t>
      </w:r>
    </w:p>
    <w:p w:rsidR="00DA081D" w:rsidRDefault="00F72906" w:rsidP="00F72906">
      <w:r>
        <w:t xml:space="preserve">The Council has ready access to borrowing at favourable rates from the Public Works Loan Board and other local authorities and private investors, and at higher rates from banks and building societies.  There is no perceived risk that the Council will be unable to raise finance to meet its commitments.  It is however exposed to the risk that it will need to refinance a significant proportion of its borrowing at a time of unfavourably high interest rates.  This risk is managed by maintaining a spread of fixed rate loans and ensuring loans mature at different times. </w:t>
      </w:r>
    </w:p>
    <w:p w:rsidR="00DA081D" w:rsidRDefault="00DA081D">
      <w:r>
        <w:br w:type="page"/>
      </w:r>
    </w:p>
    <w:p w:rsidR="00F72906" w:rsidRDefault="00F72906" w:rsidP="00F72906"/>
    <w:p w:rsidR="00F72906" w:rsidRDefault="00F72906" w:rsidP="00F72906">
      <w:r>
        <w:t>The maturity analysis of principal sums borrowed is as follows:</w:t>
      </w:r>
    </w:p>
    <w:tbl>
      <w:tblPr>
        <w:tblW w:w="5060" w:type="dxa"/>
        <w:tblLook w:val="04A0" w:firstRow="1" w:lastRow="0" w:firstColumn="1" w:lastColumn="0" w:noHBand="0" w:noVBand="1"/>
      </w:tblPr>
      <w:tblGrid>
        <w:gridCol w:w="3800"/>
        <w:gridCol w:w="1260"/>
      </w:tblGrid>
      <w:tr w:rsidR="00DA081D" w:rsidRPr="00EB2995" w:rsidTr="00AF73B9">
        <w:trPr>
          <w:trHeight w:val="345"/>
        </w:trPr>
        <w:tc>
          <w:tcPr>
            <w:tcW w:w="3800" w:type="dxa"/>
            <w:tcBorders>
              <w:top w:val="nil"/>
              <w:left w:val="nil"/>
              <w:bottom w:val="nil"/>
              <w:right w:val="nil"/>
            </w:tcBorders>
            <w:shd w:val="clear" w:color="000000" w:fill="FFFFFF"/>
            <w:hideMark/>
          </w:tcPr>
          <w:p w:rsidR="00DA081D" w:rsidRPr="00EB2995" w:rsidRDefault="00DA081D" w:rsidP="00AF73B9">
            <w:pPr>
              <w:rPr>
                <w:rFonts w:cs="Calibri"/>
                <w:color w:val="000000"/>
                <w:sz w:val="20"/>
                <w:szCs w:val="20"/>
                <w:lang w:eastAsia="en-GB"/>
              </w:rPr>
            </w:pPr>
            <w:r w:rsidRPr="00EB2995">
              <w:rPr>
                <w:rFonts w:cs="Calibri"/>
                <w:color w:val="000000"/>
                <w:sz w:val="20"/>
                <w:szCs w:val="20"/>
                <w:lang w:eastAsia="en-GB"/>
              </w:rPr>
              <w:t> </w:t>
            </w:r>
          </w:p>
        </w:tc>
        <w:tc>
          <w:tcPr>
            <w:tcW w:w="1260" w:type="dxa"/>
            <w:tcBorders>
              <w:top w:val="nil"/>
              <w:left w:val="nil"/>
              <w:bottom w:val="single" w:sz="8" w:space="0" w:color="auto"/>
              <w:right w:val="nil"/>
            </w:tcBorders>
            <w:shd w:val="clear" w:color="000000" w:fill="FFFFFF"/>
            <w:vAlign w:val="center"/>
            <w:hideMark/>
          </w:tcPr>
          <w:p w:rsidR="00DA081D" w:rsidRPr="00EB2995" w:rsidRDefault="00DA081D" w:rsidP="00AF73B9">
            <w:pPr>
              <w:jc w:val="center"/>
              <w:rPr>
                <w:rFonts w:cs="Calibri"/>
                <w:b/>
                <w:bCs/>
                <w:color w:val="000000"/>
                <w:sz w:val="20"/>
                <w:szCs w:val="20"/>
                <w:lang w:eastAsia="en-GB"/>
              </w:rPr>
            </w:pPr>
            <w:r w:rsidRPr="00EB2995">
              <w:rPr>
                <w:rFonts w:cs="Calibri"/>
                <w:b/>
                <w:bCs/>
                <w:color w:val="000000"/>
                <w:sz w:val="20"/>
                <w:szCs w:val="20"/>
                <w:lang w:eastAsia="en-GB"/>
              </w:rPr>
              <w:t>£m</w:t>
            </w:r>
          </w:p>
        </w:tc>
      </w:tr>
      <w:tr w:rsidR="00DA081D" w:rsidRPr="00EB2995" w:rsidTr="00AF73B9">
        <w:trPr>
          <w:trHeight w:val="1110"/>
        </w:trPr>
        <w:tc>
          <w:tcPr>
            <w:tcW w:w="3800" w:type="dxa"/>
            <w:tcBorders>
              <w:top w:val="nil"/>
              <w:left w:val="nil"/>
              <w:bottom w:val="nil"/>
              <w:right w:val="single" w:sz="8" w:space="0" w:color="auto"/>
            </w:tcBorders>
            <w:shd w:val="clear" w:color="000000" w:fill="FFFFFF"/>
            <w:vAlign w:val="center"/>
            <w:hideMark/>
          </w:tcPr>
          <w:p w:rsidR="00DA081D" w:rsidRPr="00EB2995" w:rsidRDefault="00DA081D" w:rsidP="00AF73B9">
            <w:pPr>
              <w:jc w:val="both"/>
              <w:rPr>
                <w:rFonts w:cs="Calibri"/>
                <w:color w:val="000000"/>
                <w:sz w:val="20"/>
                <w:szCs w:val="20"/>
                <w:lang w:eastAsia="en-GB"/>
              </w:rPr>
            </w:pPr>
            <w:r w:rsidRPr="00EB2995">
              <w:rPr>
                <w:rFonts w:cs="Calibri"/>
                <w:color w:val="000000"/>
                <w:sz w:val="20"/>
                <w:szCs w:val="20"/>
                <w:lang w:eastAsia="en-GB"/>
              </w:rPr>
              <w:t>Less than one year</w:t>
            </w:r>
          </w:p>
        </w:tc>
        <w:tc>
          <w:tcPr>
            <w:tcW w:w="1260" w:type="dxa"/>
            <w:tcBorders>
              <w:top w:val="nil"/>
              <w:left w:val="nil"/>
              <w:bottom w:val="nil"/>
              <w:right w:val="single" w:sz="8" w:space="0" w:color="auto"/>
            </w:tcBorders>
            <w:shd w:val="clear" w:color="000000" w:fill="FFFFFF"/>
            <w:vAlign w:val="center"/>
            <w:hideMark/>
          </w:tcPr>
          <w:p w:rsidR="00DA081D" w:rsidRPr="00EB2995" w:rsidRDefault="00DA081D" w:rsidP="00AF73B9">
            <w:pPr>
              <w:jc w:val="right"/>
              <w:rPr>
                <w:rFonts w:cs="Calibri"/>
                <w:color w:val="000000"/>
                <w:sz w:val="20"/>
                <w:szCs w:val="20"/>
                <w:lang w:eastAsia="en-GB"/>
              </w:rPr>
            </w:pPr>
            <w:r w:rsidRPr="00EB2995">
              <w:rPr>
                <w:rFonts w:cs="Calibri"/>
                <w:color w:val="000000"/>
                <w:sz w:val="20"/>
                <w:szCs w:val="20"/>
                <w:lang w:eastAsia="en-GB"/>
              </w:rPr>
              <w:t>167.7</w:t>
            </w:r>
          </w:p>
        </w:tc>
      </w:tr>
      <w:tr w:rsidR="00DA081D" w:rsidRPr="00EB2995" w:rsidTr="00AF73B9">
        <w:trPr>
          <w:trHeight w:val="285"/>
        </w:trPr>
        <w:tc>
          <w:tcPr>
            <w:tcW w:w="3800" w:type="dxa"/>
            <w:tcBorders>
              <w:top w:val="nil"/>
              <w:left w:val="nil"/>
              <w:bottom w:val="nil"/>
              <w:right w:val="single" w:sz="8" w:space="0" w:color="auto"/>
            </w:tcBorders>
            <w:shd w:val="clear" w:color="000000" w:fill="FFFFFF"/>
            <w:vAlign w:val="center"/>
            <w:hideMark/>
          </w:tcPr>
          <w:p w:rsidR="00DA081D" w:rsidRPr="00EB2995" w:rsidRDefault="00DA081D" w:rsidP="00AF73B9">
            <w:pPr>
              <w:jc w:val="both"/>
              <w:rPr>
                <w:rFonts w:cs="Calibri"/>
                <w:color w:val="000000"/>
                <w:sz w:val="20"/>
                <w:szCs w:val="20"/>
                <w:lang w:eastAsia="en-GB"/>
              </w:rPr>
            </w:pPr>
            <w:r w:rsidRPr="00EB2995">
              <w:rPr>
                <w:rFonts w:cs="Calibri"/>
                <w:color w:val="000000"/>
                <w:sz w:val="20"/>
                <w:szCs w:val="20"/>
                <w:lang w:eastAsia="en-GB"/>
              </w:rPr>
              <w:t>Between one and two years</w:t>
            </w:r>
          </w:p>
        </w:tc>
        <w:tc>
          <w:tcPr>
            <w:tcW w:w="1260" w:type="dxa"/>
            <w:tcBorders>
              <w:top w:val="nil"/>
              <w:left w:val="nil"/>
              <w:bottom w:val="nil"/>
              <w:right w:val="single" w:sz="8" w:space="0" w:color="auto"/>
            </w:tcBorders>
            <w:shd w:val="clear" w:color="000000" w:fill="FFFFFF"/>
            <w:vAlign w:val="center"/>
            <w:hideMark/>
          </w:tcPr>
          <w:p w:rsidR="00DA081D" w:rsidRPr="00EB2995" w:rsidRDefault="00DA081D" w:rsidP="00AF73B9">
            <w:pPr>
              <w:jc w:val="right"/>
              <w:rPr>
                <w:rFonts w:cs="Calibri"/>
                <w:color w:val="000000"/>
                <w:sz w:val="20"/>
                <w:szCs w:val="20"/>
                <w:lang w:eastAsia="en-GB"/>
              </w:rPr>
            </w:pPr>
            <w:r w:rsidRPr="00EB2995">
              <w:rPr>
                <w:rFonts w:cs="Calibri"/>
                <w:color w:val="000000"/>
                <w:sz w:val="20"/>
                <w:szCs w:val="20"/>
                <w:lang w:eastAsia="en-GB"/>
              </w:rPr>
              <w:t>15.6</w:t>
            </w:r>
          </w:p>
        </w:tc>
      </w:tr>
      <w:tr w:rsidR="00DA081D" w:rsidRPr="00EB2995" w:rsidTr="00AF73B9">
        <w:trPr>
          <w:trHeight w:val="285"/>
        </w:trPr>
        <w:tc>
          <w:tcPr>
            <w:tcW w:w="3800" w:type="dxa"/>
            <w:tcBorders>
              <w:top w:val="nil"/>
              <w:left w:val="nil"/>
              <w:bottom w:val="nil"/>
              <w:right w:val="single" w:sz="8" w:space="0" w:color="auto"/>
            </w:tcBorders>
            <w:shd w:val="clear" w:color="000000" w:fill="FFFFFF"/>
            <w:vAlign w:val="center"/>
            <w:hideMark/>
          </w:tcPr>
          <w:p w:rsidR="00DA081D" w:rsidRPr="00EB2995" w:rsidRDefault="00DA081D" w:rsidP="00AF73B9">
            <w:pPr>
              <w:jc w:val="both"/>
              <w:rPr>
                <w:rFonts w:cs="Calibri"/>
                <w:color w:val="000000"/>
                <w:sz w:val="20"/>
                <w:szCs w:val="20"/>
                <w:lang w:eastAsia="en-GB"/>
              </w:rPr>
            </w:pPr>
            <w:r w:rsidRPr="00EB2995">
              <w:rPr>
                <w:rFonts w:cs="Calibri"/>
                <w:color w:val="000000"/>
                <w:sz w:val="20"/>
                <w:szCs w:val="20"/>
                <w:lang w:eastAsia="en-GB"/>
              </w:rPr>
              <w:t>Between two and five years</w:t>
            </w:r>
          </w:p>
        </w:tc>
        <w:tc>
          <w:tcPr>
            <w:tcW w:w="1260" w:type="dxa"/>
            <w:tcBorders>
              <w:top w:val="nil"/>
              <w:left w:val="nil"/>
              <w:bottom w:val="nil"/>
              <w:right w:val="single" w:sz="8" w:space="0" w:color="auto"/>
            </w:tcBorders>
            <w:shd w:val="clear" w:color="000000" w:fill="FFFFFF"/>
            <w:vAlign w:val="center"/>
            <w:hideMark/>
          </w:tcPr>
          <w:p w:rsidR="00DA081D" w:rsidRPr="00EB2995" w:rsidRDefault="00DA081D" w:rsidP="00AF73B9">
            <w:pPr>
              <w:jc w:val="right"/>
              <w:rPr>
                <w:rFonts w:cs="Calibri"/>
                <w:color w:val="000000"/>
                <w:sz w:val="20"/>
                <w:szCs w:val="20"/>
                <w:lang w:eastAsia="en-GB"/>
              </w:rPr>
            </w:pPr>
            <w:r w:rsidRPr="00EB2995">
              <w:rPr>
                <w:rFonts w:cs="Calibri"/>
                <w:color w:val="000000"/>
                <w:sz w:val="20"/>
                <w:szCs w:val="20"/>
                <w:lang w:eastAsia="en-GB"/>
              </w:rPr>
              <w:t>32.7</w:t>
            </w:r>
          </w:p>
        </w:tc>
      </w:tr>
      <w:tr w:rsidR="00DA081D" w:rsidRPr="00EB2995" w:rsidTr="00AF73B9">
        <w:trPr>
          <w:trHeight w:val="285"/>
        </w:trPr>
        <w:tc>
          <w:tcPr>
            <w:tcW w:w="3800" w:type="dxa"/>
            <w:tcBorders>
              <w:top w:val="nil"/>
              <w:left w:val="nil"/>
              <w:bottom w:val="nil"/>
              <w:right w:val="single" w:sz="8" w:space="0" w:color="auto"/>
            </w:tcBorders>
            <w:shd w:val="clear" w:color="000000" w:fill="FFFFFF"/>
            <w:vAlign w:val="center"/>
            <w:hideMark/>
          </w:tcPr>
          <w:p w:rsidR="00DA081D" w:rsidRPr="00EB2995" w:rsidRDefault="00DA081D" w:rsidP="00AF73B9">
            <w:pPr>
              <w:jc w:val="both"/>
              <w:rPr>
                <w:rFonts w:cs="Calibri"/>
                <w:color w:val="000000"/>
                <w:sz w:val="20"/>
                <w:szCs w:val="20"/>
                <w:lang w:eastAsia="en-GB"/>
              </w:rPr>
            </w:pPr>
            <w:r w:rsidRPr="00EB2995">
              <w:rPr>
                <w:rFonts w:cs="Calibri"/>
                <w:color w:val="000000"/>
                <w:sz w:val="20"/>
                <w:szCs w:val="20"/>
                <w:lang w:eastAsia="en-GB"/>
              </w:rPr>
              <w:t>Between five and ten years</w:t>
            </w:r>
          </w:p>
        </w:tc>
        <w:tc>
          <w:tcPr>
            <w:tcW w:w="1260" w:type="dxa"/>
            <w:tcBorders>
              <w:top w:val="nil"/>
              <w:left w:val="nil"/>
              <w:bottom w:val="nil"/>
              <w:right w:val="single" w:sz="8" w:space="0" w:color="auto"/>
            </w:tcBorders>
            <w:shd w:val="clear" w:color="000000" w:fill="FFFFFF"/>
            <w:vAlign w:val="center"/>
            <w:hideMark/>
          </w:tcPr>
          <w:p w:rsidR="00DA081D" w:rsidRPr="00EB2995" w:rsidRDefault="00DA081D" w:rsidP="00AF73B9">
            <w:pPr>
              <w:jc w:val="right"/>
              <w:rPr>
                <w:rFonts w:cs="Calibri"/>
                <w:color w:val="000000"/>
                <w:sz w:val="20"/>
                <w:szCs w:val="20"/>
                <w:lang w:eastAsia="en-GB"/>
              </w:rPr>
            </w:pPr>
            <w:r w:rsidRPr="00EB2995">
              <w:rPr>
                <w:rFonts w:cs="Calibri"/>
                <w:color w:val="000000"/>
                <w:sz w:val="20"/>
                <w:szCs w:val="20"/>
                <w:lang w:eastAsia="en-GB"/>
              </w:rPr>
              <w:t>4.5</w:t>
            </w:r>
          </w:p>
        </w:tc>
      </w:tr>
      <w:tr w:rsidR="00DA081D" w:rsidRPr="00EB2995" w:rsidTr="00AF73B9">
        <w:trPr>
          <w:trHeight w:val="645"/>
        </w:trPr>
        <w:tc>
          <w:tcPr>
            <w:tcW w:w="3800" w:type="dxa"/>
            <w:tcBorders>
              <w:top w:val="nil"/>
              <w:left w:val="nil"/>
              <w:bottom w:val="nil"/>
              <w:right w:val="single" w:sz="8" w:space="0" w:color="auto"/>
            </w:tcBorders>
            <w:shd w:val="clear" w:color="000000" w:fill="FFFFFF"/>
            <w:vAlign w:val="center"/>
            <w:hideMark/>
          </w:tcPr>
          <w:p w:rsidR="00DA081D" w:rsidRPr="00EB2995" w:rsidRDefault="00DA081D" w:rsidP="00AF73B9">
            <w:pPr>
              <w:jc w:val="both"/>
              <w:rPr>
                <w:rFonts w:cs="Calibri"/>
                <w:color w:val="000000"/>
                <w:sz w:val="20"/>
                <w:szCs w:val="20"/>
                <w:lang w:eastAsia="en-GB"/>
              </w:rPr>
            </w:pPr>
            <w:r w:rsidRPr="00EB2995">
              <w:rPr>
                <w:rFonts w:cs="Calibri"/>
                <w:color w:val="000000"/>
                <w:sz w:val="20"/>
                <w:szCs w:val="20"/>
                <w:lang w:eastAsia="en-GB"/>
              </w:rPr>
              <w:t>Between ten and twenty years</w:t>
            </w:r>
          </w:p>
        </w:tc>
        <w:tc>
          <w:tcPr>
            <w:tcW w:w="1260" w:type="dxa"/>
            <w:tcBorders>
              <w:top w:val="nil"/>
              <w:left w:val="nil"/>
              <w:bottom w:val="nil"/>
              <w:right w:val="single" w:sz="8" w:space="0" w:color="auto"/>
            </w:tcBorders>
            <w:shd w:val="clear" w:color="000000" w:fill="FFFFFF"/>
            <w:vAlign w:val="center"/>
            <w:hideMark/>
          </w:tcPr>
          <w:p w:rsidR="00DA081D" w:rsidRPr="00EB2995" w:rsidRDefault="00DA081D" w:rsidP="00AF73B9">
            <w:pPr>
              <w:jc w:val="right"/>
              <w:rPr>
                <w:rFonts w:cs="Calibri"/>
                <w:color w:val="000000"/>
                <w:sz w:val="20"/>
                <w:szCs w:val="20"/>
                <w:lang w:eastAsia="en-GB"/>
              </w:rPr>
            </w:pPr>
            <w:r w:rsidRPr="00EB2995">
              <w:rPr>
                <w:rFonts w:cs="Calibri"/>
                <w:color w:val="000000"/>
                <w:sz w:val="20"/>
                <w:szCs w:val="20"/>
                <w:lang w:eastAsia="en-GB"/>
              </w:rPr>
              <w:t>49.4</w:t>
            </w:r>
          </w:p>
        </w:tc>
      </w:tr>
      <w:tr w:rsidR="00DA081D" w:rsidRPr="00EB2995" w:rsidTr="00AF73B9">
        <w:trPr>
          <w:trHeight w:val="285"/>
        </w:trPr>
        <w:tc>
          <w:tcPr>
            <w:tcW w:w="3800" w:type="dxa"/>
            <w:tcBorders>
              <w:top w:val="nil"/>
              <w:left w:val="nil"/>
              <w:bottom w:val="nil"/>
              <w:right w:val="single" w:sz="8" w:space="0" w:color="auto"/>
            </w:tcBorders>
            <w:shd w:val="clear" w:color="000000" w:fill="FFFFFF"/>
            <w:vAlign w:val="center"/>
            <w:hideMark/>
          </w:tcPr>
          <w:p w:rsidR="00DA081D" w:rsidRPr="00EB2995" w:rsidRDefault="00DA081D" w:rsidP="00AF73B9">
            <w:pPr>
              <w:jc w:val="both"/>
              <w:rPr>
                <w:rFonts w:cs="Calibri"/>
                <w:color w:val="000000"/>
                <w:sz w:val="20"/>
                <w:szCs w:val="20"/>
                <w:lang w:eastAsia="en-GB"/>
              </w:rPr>
            </w:pPr>
            <w:r w:rsidRPr="00EB2995">
              <w:rPr>
                <w:rFonts w:cs="Calibri"/>
                <w:color w:val="000000"/>
                <w:sz w:val="20"/>
                <w:szCs w:val="20"/>
                <w:lang w:eastAsia="en-GB"/>
              </w:rPr>
              <w:t>Between 20 and 30 years</w:t>
            </w:r>
          </w:p>
        </w:tc>
        <w:tc>
          <w:tcPr>
            <w:tcW w:w="1260" w:type="dxa"/>
            <w:tcBorders>
              <w:top w:val="nil"/>
              <w:left w:val="nil"/>
              <w:bottom w:val="nil"/>
              <w:right w:val="single" w:sz="8" w:space="0" w:color="auto"/>
            </w:tcBorders>
            <w:shd w:val="clear" w:color="000000" w:fill="FFFFFF"/>
            <w:vAlign w:val="center"/>
            <w:hideMark/>
          </w:tcPr>
          <w:p w:rsidR="00DA081D" w:rsidRPr="00EB2995" w:rsidRDefault="00DA081D" w:rsidP="00AF73B9">
            <w:pPr>
              <w:jc w:val="right"/>
              <w:rPr>
                <w:rFonts w:cs="Calibri"/>
                <w:color w:val="000000"/>
                <w:sz w:val="20"/>
                <w:szCs w:val="20"/>
                <w:lang w:eastAsia="en-GB"/>
              </w:rPr>
            </w:pPr>
            <w:r w:rsidRPr="00EB2995">
              <w:rPr>
                <w:rFonts w:cs="Calibri"/>
                <w:color w:val="000000"/>
                <w:sz w:val="20"/>
                <w:szCs w:val="20"/>
                <w:lang w:eastAsia="en-GB"/>
              </w:rPr>
              <w:t>110.2</w:t>
            </w:r>
          </w:p>
        </w:tc>
      </w:tr>
      <w:tr w:rsidR="00DA081D" w:rsidRPr="00EB2995" w:rsidTr="00AF73B9">
        <w:trPr>
          <w:trHeight w:val="285"/>
        </w:trPr>
        <w:tc>
          <w:tcPr>
            <w:tcW w:w="3800" w:type="dxa"/>
            <w:tcBorders>
              <w:top w:val="nil"/>
              <w:left w:val="nil"/>
              <w:bottom w:val="nil"/>
              <w:right w:val="single" w:sz="8" w:space="0" w:color="auto"/>
            </w:tcBorders>
            <w:shd w:val="clear" w:color="000000" w:fill="FFFFFF"/>
            <w:vAlign w:val="center"/>
            <w:hideMark/>
          </w:tcPr>
          <w:p w:rsidR="00DA081D" w:rsidRPr="00EB2995" w:rsidRDefault="00DA081D" w:rsidP="00AF73B9">
            <w:pPr>
              <w:jc w:val="both"/>
              <w:rPr>
                <w:rFonts w:cs="Calibri"/>
                <w:color w:val="000000"/>
                <w:sz w:val="20"/>
                <w:szCs w:val="20"/>
                <w:lang w:eastAsia="en-GB"/>
              </w:rPr>
            </w:pPr>
            <w:r w:rsidRPr="00EB2995">
              <w:rPr>
                <w:rFonts w:cs="Calibri"/>
                <w:color w:val="000000"/>
                <w:sz w:val="20"/>
                <w:szCs w:val="20"/>
                <w:lang w:eastAsia="en-GB"/>
              </w:rPr>
              <w:t>Between 30 and 40 years</w:t>
            </w:r>
          </w:p>
        </w:tc>
        <w:tc>
          <w:tcPr>
            <w:tcW w:w="1260" w:type="dxa"/>
            <w:tcBorders>
              <w:top w:val="nil"/>
              <w:left w:val="nil"/>
              <w:bottom w:val="nil"/>
              <w:right w:val="single" w:sz="8" w:space="0" w:color="auto"/>
            </w:tcBorders>
            <w:shd w:val="clear" w:color="000000" w:fill="FFFFFF"/>
            <w:vAlign w:val="center"/>
            <w:hideMark/>
          </w:tcPr>
          <w:p w:rsidR="00DA081D" w:rsidRPr="00EB2995" w:rsidRDefault="00DA081D" w:rsidP="00AF73B9">
            <w:pPr>
              <w:jc w:val="right"/>
              <w:rPr>
                <w:rFonts w:cs="Calibri"/>
                <w:color w:val="000000"/>
                <w:sz w:val="20"/>
                <w:szCs w:val="20"/>
                <w:lang w:eastAsia="en-GB"/>
              </w:rPr>
            </w:pPr>
            <w:r w:rsidRPr="00EB2995">
              <w:rPr>
                <w:rFonts w:cs="Calibri"/>
                <w:color w:val="000000"/>
                <w:sz w:val="20"/>
                <w:szCs w:val="20"/>
                <w:lang w:eastAsia="en-GB"/>
              </w:rPr>
              <w:t>213.7</w:t>
            </w:r>
          </w:p>
        </w:tc>
      </w:tr>
      <w:tr w:rsidR="00DA081D" w:rsidRPr="00EB2995" w:rsidTr="00AF73B9">
        <w:trPr>
          <w:trHeight w:val="285"/>
        </w:trPr>
        <w:tc>
          <w:tcPr>
            <w:tcW w:w="3800" w:type="dxa"/>
            <w:tcBorders>
              <w:top w:val="nil"/>
              <w:left w:val="nil"/>
              <w:bottom w:val="nil"/>
              <w:right w:val="single" w:sz="8" w:space="0" w:color="auto"/>
            </w:tcBorders>
            <w:shd w:val="clear" w:color="000000" w:fill="FFFFFF"/>
            <w:vAlign w:val="center"/>
            <w:hideMark/>
          </w:tcPr>
          <w:p w:rsidR="00DA081D" w:rsidRPr="00EB2995" w:rsidRDefault="00DA081D" w:rsidP="00AF73B9">
            <w:pPr>
              <w:jc w:val="both"/>
              <w:rPr>
                <w:rFonts w:cs="Calibri"/>
                <w:color w:val="000000"/>
                <w:sz w:val="20"/>
                <w:szCs w:val="20"/>
                <w:lang w:eastAsia="en-GB"/>
              </w:rPr>
            </w:pPr>
            <w:r w:rsidRPr="00EB2995">
              <w:rPr>
                <w:rFonts w:cs="Calibri"/>
                <w:color w:val="000000"/>
                <w:sz w:val="20"/>
                <w:szCs w:val="20"/>
                <w:lang w:eastAsia="en-GB"/>
              </w:rPr>
              <w:t>More than 40 years</w:t>
            </w:r>
          </w:p>
        </w:tc>
        <w:tc>
          <w:tcPr>
            <w:tcW w:w="1260" w:type="dxa"/>
            <w:tcBorders>
              <w:top w:val="nil"/>
              <w:left w:val="nil"/>
              <w:bottom w:val="nil"/>
              <w:right w:val="single" w:sz="8" w:space="0" w:color="auto"/>
            </w:tcBorders>
            <w:shd w:val="clear" w:color="000000" w:fill="FFFFFF"/>
            <w:vAlign w:val="center"/>
            <w:hideMark/>
          </w:tcPr>
          <w:p w:rsidR="00DA081D" w:rsidRPr="00EB2995" w:rsidRDefault="00DA081D" w:rsidP="00AF73B9">
            <w:pPr>
              <w:jc w:val="right"/>
              <w:rPr>
                <w:rFonts w:cs="Calibri"/>
                <w:color w:val="000000"/>
                <w:sz w:val="20"/>
                <w:szCs w:val="20"/>
                <w:lang w:eastAsia="en-GB"/>
              </w:rPr>
            </w:pPr>
            <w:r w:rsidRPr="00EB2995">
              <w:rPr>
                <w:rFonts w:cs="Calibri"/>
                <w:color w:val="000000"/>
                <w:sz w:val="20"/>
                <w:szCs w:val="20"/>
                <w:lang w:eastAsia="en-GB"/>
              </w:rPr>
              <w:t>5.0</w:t>
            </w:r>
          </w:p>
        </w:tc>
      </w:tr>
      <w:tr w:rsidR="00DA081D" w:rsidRPr="00EB2995" w:rsidTr="00AF73B9">
        <w:trPr>
          <w:trHeight w:val="300"/>
        </w:trPr>
        <w:tc>
          <w:tcPr>
            <w:tcW w:w="3800" w:type="dxa"/>
            <w:tcBorders>
              <w:top w:val="nil"/>
              <w:left w:val="nil"/>
              <w:bottom w:val="nil"/>
              <w:right w:val="single" w:sz="8" w:space="0" w:color="auto"/>
            </w:tcBorders>
            <w:shd w:val="clear" w:color="000000" w:fill="FFFFFF"/>
            <w:hideMark/>
          </w:tcPr>
          <w:p w:rsidR="00DA081D" w:rsidRPr="00EB2995" w:rsidRDefault="00DA081D" w:rsidP="00AF73B9">
            <w:pPr>
              <w:rPr>
                <w:rFonts w:cs="Calibri"/>
                <w:color w:val="000000"/>
                <w:sz w:val="20"/>
                <w:szCs w:val="20"/>
                <w:lang w:eastAsia="en-GB"/>
              </w:rPr>
            </w:pPr>
            <w:r w:rsidRPr="00EB2995">
              <w:rPr>
                <w:rFonts w:cs="Calibri"/>
                <w:color w:val="000000"/>
                <w:sz w:val="20"/>
                <w:szCs w:val="20"/>
                <w:lang w:eastAsia="en-GB"/>
              </w:rPr>
              <w:t> </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rsidR="00DA081D" w:rsidRPr="00EB2995" w:rsidRDefault="00DA081D" w:rsidP="00AF73B9">
            <w:pPr>
              <w:jc w:val="right"/>
              <w:rPr>
                <w:rFonts w:cs="Calibri"/>
                <w:b/>
                <w:bCs/>
                <w:color w:val="000000"/>
                <w:sz w:val="20"/>
                <w:szCs w:val="20"/>
                <w:lang w:eastAsia="en-GB"/>
              </w:rPr>
            </w:pPr>
            <w:r w:rsidRPr="00EB2995">
              <w:rPr>
                <w:rFonts w:cs="Calibri"/>
                <w:b/>
                <w:bCs/>
                <w:color w:val="000000"/>
                <w:sz w:val="20"/>
                <w:szCs w:val="20"/>
                <w:lang w:eastAsia="en-GB"/>
              </w:rPr>
              <w:t>598.8</w:t>
            </w:r>
          </w:p>
        </w:tc>
      </w:tr>
    </w:tbl>
    <w:p w:rsidR="00F72906" w:rsidRPr="00DA081D" w:rsidRDefault="00F72906" w:rsidP="00F72906">
      <w:r>
        <w:t>The Council has £70.5m (2019: £70.5m) of “Lender’s option, borrower’s option” (LOBO) loans where the lender has the option to propose an increase in the rate payable; the Council will then have the option to accept the new rate or repay the loan without penalty. In the current low interest rate environment, the likelihood of the lender increasing the rate is low; however, the likelihood will increase in later years should market interest rates rise. For the table above, the final maturity date is used in the maturity analysis rat</w:t>
      </w:r>
      <w:r w:rsidR="00DA081D">
        <w:t xml:space="preserve">her than the next option date. </w:t>
      </w:r>
    </w:p>
    <w:p w:rsidR="00DA081D" w:rsidRPr="00DA081D" w:rsidRDefault="00F72906" w:rsidP="00F72906">
      <w:pPr>
        <w:rPr>
          <w:u w:val="single"/>
        </w:rPr>
      </w:pPr>
      <w:r w:rsidRPr="00DA081D">
        <w:rPr>
          <w:u w:val="single"/>
        </w:rPr>
        <w:t>M</w:t>
      </w:r>
      <w:r w:rsidR="00DA081D">
        <w:rPr>
          <w:u w:val="single"/>
        </w:rPr>
        <w:t>arket Risks: Interest Rate Risk</w:t>
      </w:r>
    </w:p>
    <w:p w:rsidR="00F72906" w:rsidRDefault="00F72906" w:rsidP="00F72906">
      <w:r>
        <w:t>The Council is exposed to risk in terms of its exposure to interest rate movements on its borrowings and investments. Movements in interest rates have a complex impact on the authority. For instance, a rise in interest rates would have the following effects:</w:t>
      </w:r>
    </w:p>
    <w:p w:rsidR="00F72906" w:rsidRDefault="00F72906" w:rsidP="00F72906">
      <w:r>
        <w:t>•</w:t>
      </w:r>
      <w:r>
        <w:tab/>
        <w:t>borrowings at variable rates – the interest expense will rise</w:t>
      </w:r>
    </w:p>
    <w:p w:rsidR="00F72906" w:rsidRDefault="00F72906" w:rsidP="00F72906">
      <w:r>
        <w:t>•</w:t>
      </w:r>
      <w:r>
        <w:tab/>
        <w:t>borrowings at fixed rates – the fair value of the liabilities will fall</w:t>
      </w:r>
    </w:p>
    <w:p w:rsidR="00F72906" w:rsidRDefault="00F72906" w:rsidP="00F72906">
      <w:r>
        <w:t>•</w:t>
      </w:r>
      <w:r>
        <w:tab/>
        <w:t>investments at variable rates – the interest income will rise</w:t>
      </w:r>
    </w:p>
    <w:p w:rsidR="00F72906" w:rsidRDefault="00F72906" w:rsidP="00F72906">
      <w:r>
        <w:t>•</w:t>
      </w:r>
      <w:r>
        <w:tab/>
        <w:t>investments at fixed rates – the fair value of the assets will fall.</w:t>
      </w:r>
    </w:p>
    <w:p w:rsidR="00F72906" w:rsidRDefault="00F72906" w:rsidP="00F72906"/>
    <w:p w:rsidR="00F72906" w:rsidRDefault="00F72906" w:rsidP="00F72906">
      <w:r>
        <w:t>100% of the Council’s long-term borrowing is at fixed rates so the risk would arise when the need to refinance arises or on occasions when shortterm borrowing is required, which are small in relation to the Council’s scale of operation. A rise in interest rates would lead to a fall in the fair value of borrowings but this would have no impact on the Income and Expenditure Account.</w:t>
      </w:r>
    </w:p>
    <w:p w:rsidR="00F72906" w:rsidRDefault="00F72906" w:rsidP="00F72906"/>
    <w:p w:rsidR="00F72906" w:rsidRDefault="00F72906" w:rsidP="00F72906">
      <w:r>
        <w:lastRenderedPageBreak/>
        <w:t>Investments measured at amortised cost and loans borrowed are not carried at fair value, so changes in their fair value will have no impact on the Comprehensive Income and Expenditure Statement. However, changes in interest payable and receivable on variable rate borrowings and investments will be posted to the Surplus or Defici</w:t>
      </w:r>
      <w:r w:rsidR="00DA081D">
        <w:t>t on the Provision of Services.</w:t>
      </w:r>
    </w:p>
    <w:p w:rsidR="00F72906" w:rsidRDefault="00F72906" w:rsidP="00F72906">
      <w:r>
        <w:t>The Treasury Management Strategy aims to mitigate these risks by setting an upper limit of £5m on the 12-month revenue impact of a 1% fall and rise in interest rates. If all interest rates had been 1% higher (with all other variables held constant) the financial effect would be:</w:t>
      </w:r>
    </w:p>
    <w:p w:rsidR="00DA081D" w:rsidRDefault="00DA081D" w:rsidP="00F72906"/>
    <w:tbl>
      <w:tblPr>
        <w:tblW w:w="7468" w:type="dxa"/>
        <w:tblLook w:val="04A0" w:firstRow="1" w:lastRow="0" w:firstColumn="1" w:lastColumn="0" w:noHBand="0" w:noVBand="1"/>
      </w:tblPr>
      <w:tblGrid>
        <w:gridCol w:w="6027"/>
        <w:gridCol w:w="262"/>
        <w:gridCol w:w="1360"/>
      </w:tblGrid>
      <w:tr w:rsidR="00DA081D" w:rsidRPr="00EB2995" w:rsidTr="00AF73B9">
        <w:trPr>
          <w:trHeight w:val="285"/>
        </w:trPr>
        <w:tc>
          <w:tcPr>
            <w:tcW w:w="6108" w:type="dxa"/>
            <w:gridSpan w:val="2"/>
            <w:tcBorders>
              <w:top w:val="nil"/>
              <w:left w:val="nil"/>
              <w:bottom w:val="nil"/>
              <w:right w:val="nil"/>
            </w:tcBorders>
            <w:shd w:val="clear" w:color="auto" w:fill="auto"/>
            <w:noWrap/>
            <w:vAlign w:val="center"/>
            <w:hideMark/>
          </w:tcPr>
          <w:p w:rsidR="00DA081D" w:rsidRPr="00EB2995" w:rsidRDefault="00DA081D" w:rsidP="00AF73B9">
            <w:pPr>
              <w:rPr>
                <w:rFonts w:cs="Calibri"/>
                <w:color w:val="000000"/>
                <w:sz w:val="20"/>
                <w:szCs w:val="20"/>
                <w:lang w:eastAsia="en-GB"/>
              </w:rPr>
            </w:pPr>
            <w:r w:rsidRPr="00EB2995">
              <w:rPr>
                <w:rFonts w:cs="Calibri"/>
                <w:color w:val="000000"/>
                <w:sz w:val="20"/>
                <w:szCs w:val="20"/>
                <w:lang w:eastAsia="en-GB"/>
              </w:rPr>
              <w:t>Increase in interest receivable on variable rate investments</w:t>
            </w:r>
          </w:p>
        </w:tc>
        <w:tc>
          <w:tcPr>
            <w:tcW w:w="1360" w:type="dxa"/>
            <w:tcBorders>
              <w:top w:val="single" w:sz="8" w:space="0" w:color="auto"/>
              <w:left w:val="single" w:sz="8" w:space="0" w:color="auto"/>
              <w:bottom w:val="nil"/>
              <w:right w:val="single" w:sz="8" w:space="0" w:color="auto"/>
            </w:tcBorders>
            <w:shd w:val="clear" w:color="auto" w:fill="auto"/>
            <w:noWrap/>
            <w:vAlign w:val="center"/>
            <w:hideMark/>
          </w:tcPr>
          <w:p w:rsidR="00DA081D" w:rsidRPr="00EB2995" w:rsidRDefault="00DA081D" w:rsidP="00AF73B9">
            <w:pPr>
              <w:jc w:val="center"/>
              <w:rPr>
                <w:rFonts w:cs="Calibri"/>
                <w:color w:val="000000"/>
                <w:sz w:val="20"/>
                <w:szCs w:val="20"/>
                <w:lang w:eastAsia="en-GB"/>
              </w:rPr>
            </w:pPr>
            <w:r w:rsidRPr="00EB2995">
              <w:rPr>
                <w:rFonts w:cs="Calibri"/>
                <w:color w:val="000000"/>
                <w:sz w:val="20"/>
                <w:szCs w:val="20"/>
                <w:lang w:eastAsia="en-GB"/>
              </w:rPr>
              <w:t>(1.1)</w:t>
            </w:r>
          </w:p>
        </w:tc>
      </w:tr>
      <w:tr w:rsidR="00DA081D" w:rsidRPr="00EB2995" w:rsidTr="00AF73B9">
        <w:trPr>
          <w:trHeight w:val="285"/>
        </w:trPr>
        <w:tc>
          <w:tcPr>
            <w:tcW w:w="6027" w:type="dxa"/>
            <w:tcBorders>
              <w:top w:val="nil"/>
              <w:left w:val="nil"/>
              <w:bottom w:val="nil"/>
              <w:right w:val="nil"/>
            </w:tcBorders>
            <w:shd w:val="clear" w:color="auto" w:fill="auto"/>
            <w:noWrap/>
            <w:vAlign w:val="center"/>
            <w:hideMark/>
          </w:tcPr>
          <w:p w:rsidR="00DA081D" w:rsidRPr="00EB2995" w:rsidRDefault="00DA081D" w:rsidP="00AF73B9">
            <w:pPr>
              <w:rPr>
                <w:rFonts w:cs="Calibri"/>
                <w:color w:val="000000"/>
                <w:sz w:val="20"/>
                <w:szCs w:val="20"/>
                <w:lang w:eastAsia="en-GB"/>
              </w:rPr>
            </w:pPr>
            <w:r w:rsidRPr="00EB2995">
              <w:rPr>
                <w:rFonts w:cs="Calibri"/>
                <w:color w:val="000000"/>
                <w:sz w:val="20"/>
                <w:szCs w:val="20"/>
                <w:lang w:eastAsia="en-GB"/>
              </w:rPr>
              <w:t>Impact on Comprehensive Income and Expenditure</w:t>
            </w:r>
          </w:p>
        </w:tc>
        <w:tc>
          <w:tcPr>
            <w:tcW w:w="81" w:type="dxa"/>
            <w:tcBorders>
              <w:top w:val="nil"/>
              <w:left w:val="nil"/>
              <w:bottom w:val="nil"/>
              <w:right w:val="nil"/>
            </w:tcBorders>
            <w:shd w:val="clear" w:color="auto" w:fill="auto"/>
            <w:noWrap/>
            <w:vAlign w:val="center"/>
            <w:hideMark/>
          </w:tcPr>
          <w:p w:rsidR="00DA081D" w:rsidRPr="00EB2995" w:rsidRDefault="00DA081D" w:rsidP="00AF73B9">
            <w:pPr>
              <w:jc w:val="center"/>
              <w:rPr>
                <w:rFonts w:cs="Calibri"/>
                <w:color w:val="000000"/>
                <w:sz w:val="20"/>
                <w:szCs w:val="20"/>
                <w:lang w:eastAsia="en-GB"/>
              </w:rPr>
            </w:pPr>
            <w:r w:rsidRPr="00EB2995">
              <w:rPr>
                <w:rFonts w:cs="Calibri"/>
                <w:color w:val="000000"/>
                <w:sz w:val="20"/>
                <w:szCs w:val="20"/>
                <w:lang w:eastAsia="en-GB"/>
              </w:rPr>
              <w:t> </w:t>
            </w:r>
          </w:p>
        </w:tc>
        <w:tc>
          <w:tcPr>
            <w:tcW w:w="1360" w:type="dxa"/>
            <w:tcBorders>
              <w:top w:val="nil"/>
              <w:left w:val="single" w:sz="8" w:space="0" w:color="auto"/>
              <w:bottom w:val="nil"/>
              <w:right w:val="single" w:sz="8" w:space="0" w:color="auto"/>
            </w:tcBorders>
            <w:shd w:val="clear" w:color="auto" w:fill="auto"/>
            <w:noWrap/>
            <w:vAlign w:val="center"/>
            <w:hideMark/>
          </w:tcPr>
          <w:p w:rsidR="00DA081D" w:rsidRPr="00EB2995" w:rsidRDefault="00DA081D" w:rsidP="00AF73B9">
            <w:pPr>
              <w:jc w:val="center"/>
              <w:rPr>
                <w:rFonts w:cs="Calibri"/>
                <w:color w:val="000000"/>
                <w:sz w:val="20"/>
                <w:szCs w:val="20"/>
                <w:lang w:eastAsia="en-GB"/>
              </w:rPr>
            </w:pPr>
            <w:r w:rsidRPr="00EB2995">
              <w:rPr>
                <w:rFonts w:cs="Calibri"/>
                <w:color w:val="000000"/>
                <w:sz w:val="20"/>
                <w:szCs w:val="20"/>
                <w:lang w:eastAsia="en-GB"/>
              </w:rPr>
              <w:t>(1.1)</w:t>
            </w:r>
          </w:p>
        </w:tc>
      </w:tr>
      <w:tr w:rsidR="00DA081D" w:rsidRPr="00EB2995" w:rsidTr="00AF73B9">
        <w:trPr>
          <w:trHeight w:val="300"/>
        </w:trPr>
        <w:tc>
          <w:tcPr>
            <w:tcW w:w="6108" w:type="dxa"/>
            <w:gridSpan w:val="2"/>
            <w:tcBorders>
              <w:top w:val="nil"/>
              <w:left w:val="nil"/>
              <w:bottom w:val="nil"/>
              <w:right w:val="nil"/>
            </w:tcBorders>
            <w:shd w:val="clear" w:color="auto" w:fill="auto"/>
            <w:noWrap/>
            <w:vAlign w:val="center"/>
            <w:hideMark/>
          </w:tcPr>
          <w:p w:rsidR="00DA081D" w:rsidRPr="00EB2995" w:rsidRDefault="00DA081D" w:rsidP="00AF73B9">
            <w:pPr>
              <w:rPr>
                <w:rFonts w:cs="Calibri"/>
                <w:color w:val="000000"/>
                <w:sz w:val="20"/>
                <w:szCs w:val="20"/>
                <w:lang w:eastAsia="en-GB"/>
              </w:rPr>
            </w:pPr>
            <w:r w:rsidRPr="00EB2995">
              <w:rPr>
                <w:rFonts w:cs="Calibri"/>
                <w:color w:val="000000"/>
                <w:sz w:val="20"/>
                <w:szCs w:val="20"/>
                <w:lang w:eastAsia="en-GB"/>
              </w:rPr>
              <w:t>Decrease in fair value of fixed rate borrowings / liabilities*</w:t>
            </w:r>
          </w:p>
        </w:tc>
        <w:tc>
          <w:tcPr>
            <w:tcW w:w="1360" w:type="dxa"/>
            <w:tcBorders>
              <w:top w:val="nil"/>
              <w:left w:val="single" w:sz="8" w:space="0" w:color="auto"/>
              <w:bottom w:val="single" w:sz="8" w:space="0" w:color="auto"/>
              <w:right w:val="single" w:sz="8" w:space="0" w:color="auto"/>
            </w:tcBorders>
            <w:shd w:val="clear" w:color="auto" w:fill="auto"/>
            <w:noWrap/>
            <w:vAlign w:val="center"/>
            <w:hideMark/>
          </w:tcPr>
          <w:p w:rsidR="00DA081D" w:rsidRPr="00EB2995" w:rsidRDefault="00DA081D" w:rsidP="00AF73B9">
            <w:pPr>
              <w:jc w:val="center"/>
              <w:rPr>
                <w:rFonts w:cs="Calibri"/>
                <w:bCs/>
                <w:color w:val="000000"/>
                <w:sz w:val="20"/>
                <w:szCs w:val="20"/>
                <w:lang w:eastAsia="en-GB"/>
              </w:rPr>
            </w:pPr>
            <w:r w:rsidRPr="00EB2995">
              <w:rPr>
                <w:rFonts w:cs="Calibri"/>
                <w:bCs/>
                <w:color w:val="000000"/>
                <w:sz w:val="20"/>
                <w:szCs w:val="20"/>
                <w:lang w:eastAsia="en-GB"/>
              </w:rPr>
              <w:t>125.1</w:t>
            </w:r>
          </w:p>
        </w:tc>
      </w:tr>
    </w:tbl>
    <w:p w:rsidR="00F72906" w:rsidRDefault="00F72906" w:rsidP="00F72906"/>
    <w:p w:rsidR="00F72906" w:rsidRDefault="00F72906" w:rsidP="00F72906">
      <w:r>
        <w:t>*No impact on Comprehensive Income and Expenditure.</w:t>
      </w:r>
    </w:p>
    <w:p w:rsidR="00F72906" w:rsidRDefault="00F72906" w:rsidP="00F72906"/>
    <w:p w:rsidR="00F72906" w:rsidRDefault="00F72906" w:rsidP="00F72906">
      <w:r>
        <w:t>The approximate impact of a 1% fall in interest rates would be as above but with the movements being reversed. However, it would lead to a negative int</w:t>
      </w:r>
      <w:r w:rsidR="00DA081D">
        <w:t xml:space="preserve">erest rate on our investments. </w:t>
      </w:r>
    </w:p>
    <w:p w:rsidR="00F72906" w:rsidRDefault="00F72906" w:rsidP="00DA081D">
      <w:pPr>
        <w:pStyle w:val="Heading3"/>
      </w:pPr>
      <w:r>
        <w:t>Note 29 – Leases</w:t>
      </w:r>
    </w:p>
    <w:p w:rsidR="00F72906" w:rsidRDefault="00F72906" w:rsidP="00F72906">
      <w:r>
        <w:t>A lease is an agreement whereby the lessor (person giving the asset) conveys to the lessee (person taking the asset), in return for a payment or series of payments for an agreed period of time, examples include, leasing of vehicles for waste services, property rentals, rental of equipment (</w:t>
      </w:r>
      <w:r w:rsidR="00DA081D">
        <w:t xml:space="preserve">i.e. photocopiers, machinery). </w:t>
      </w:r>
    </w:p>
    <w:p w:rsidR="00F72906" w:rsidRPr="00DA081D" w:rsidRDefault="00DA081D" w:rsidP="00F72906">
      <w:pPr>
        <w:rPr>
          <w:b/>
        </w:rPr>
      </w:pPr>
      <w:r>
        <w:rPr>
          <w:b/>
        </w:rPr>
        <w:t>Authority as Lessee</w:t>
      </w:r>
    </w:p>
    <w:p w:rsidR="00F72906" w:rsidRPr="00DA081D" w:rsidRDefault="00F72906" w:rsidP="00F72906">
      <w:pPr>
        <w:rPr>
          <w:b/>
        </w:rPr>
      </w:pPr>
      <w:r w:rsidRPr="00DA081D">
        <w:rPr>
          <w:b/>
        </w:rPr>
        <w:t>Finance Leases</w:t>
      </w:r>
    </w:p>
    <w:p w:rsidR="00F72906" w:rsidRDefault="00F72906" w:rsidP="00F72906">
      <w:r>
        <w:t>Brent Council has outsourced its waste collection services to an external contractor . Public Realm Service (PRS) overseas the commercial waste collection, household and recycling collection and cleaning services for the Council. Brent Council has recognised this contract as Finance lease under IAS 17. The waste service assets are included under Plant, Vehicle and Equipment in the balance sheet.</w:t>
      </w:r>
    </w:p>
    <w:tbl>
      <w:tblPr>
        <w:tblW w:w="8503" w:type="dxa"/>
        <w:tblInd w:w="108" w:type="dxa"/>
        <w:tblLook w:val="00A0" w:firstRow="1" w:lastRow="0" w:firstColumn="1" w:lastColumn="0" w:noHBand="0" w:noVBand="0"/>
      </w:tblPr>
      <w:tblGrid>
        <w:gridCol w:w="1417"/>
        <w:gridCol w:w="5669"/>
        <w:gridCol w:w="1417"/>
      </w:tblGrid>
      <w:tr w:rsidR="00DA081D" w:rsidRPr="00EB2995" w:rsidTr="00AF73B9">
        <w:trPr>
          <w:trHeight w:val="300"/>
        </w:trPr>
        <w:tc>
          <w:tcPr>
            <w:tcW w:w="1417" w:type="dxa"/>
          </w:tcPr>
          <w:p w:rsidR="00DA081D" w:rsidRPr="00EB2995" w:rsidRDefault="00DA081D" w:rsidP="00AF73B9">
            <w:pPr>
              <w:jc w:val="right"/>
              <w:rPr>
                <w:rFonts w:cs="Calibri"/>
                <w:b/>
              </w:rPr>
            </w:pPr>
            <w:r w:rsidRPr="00EB2995">
              <w:rPr>
                <w:rFonts w:cs="Calibri"/>
                <w:b/>
              </w:rPr>
              <w:t>31-Mar-2019</w:t>
            </w:r>
          </w:p>
        </w:tc>
        <w:tc>
          <w:tcPr>
            <w:tcW w:w="5669" w:type="dxa"/>
          </w:tcPr>
          <w:p w:rsidR="00DA081D" w:rsidRPr="00EB2995" w:rsidRDefault="00DA081D" w:rsidP="00AF73B9">
            <w:pPr>
              <w:jc w:val="right"/>
              <w:rPr>
                <w:rFonts w:cs="Calibri"/>
                <w:b/>
              </w:rPr>
            </w:pPr>
          </w:p>
        </w:tc>
        <w:tc>
          <w:tcPr>
            <w:tcW w:w="1417" w:type="dxa"/>
          </w:tcPr>
          <w:p w:rsidR="00DA081D" w:rsidRPr="00EB2995" w:rsidRDefault="00DA081D" w:rsidP="00AF73B9">
            <w:pPr>
              <w:jc w:val="right"/>
              <w:rPr>
                <w:rFonts w:cs="Calibri"/>
                <w:b/>
              </w:rPr>
            </w:pPr>
            <w:r w:rsidRPr="00EB2995">
              <w:rPr>
                <w:rFonts w:cs="Calibri"/>
                <w:b/>
              </w:rPr>
              <w:t>31-Mar-2020</w:t>
            </w:r>
          </w:p>
        </w:tc>
      </w:tr>
      <w:tr w:rsidR="00DA081D" w:rsidRPr="00EB2995" w:rsidTr="00AF73B9">
        <w:trPr>
          <w:trHeight w:val="300"/>
        </w:trPr>
        <w:tc>
          <w:tcPr>
            <w:tcW w:w="1417" w:type="dxa"/>
            <w:tcBorders>
              <w:bottom w:val="single" w:sz="4" w:space="0" w:color="auto"/>
            </w:tcBorders>
          </w:tcPr>
          <w:p w:rsidR="00DA081D" w:rsidRPr="00EB2995" w:rsidRDefault="00DA081D" w:rsidP="00AF73B9">
            <w:pPr>
              <w:jc w:val="right"/>
              <w:rPr>
                <w:rFonts w:cs="Calibri"/>
                <w:b/>
              </w:rPr>
            </w:pPr>
            <w:r w:rsidRPr="00EB2995">
              <w:rPr>
                <w:rFonts w:cs="Calibri"/>
                <w:b/>
              </w:rPr>
              <w:t>£m</w:t>
            </w:r>
          </w:p>
        </w:tc>
        <w:tc>
          <w:tcPr>
            <w:tcW w:w="5669" w:type="dxa"/>
          </w:tcPr>
          <w:p w:rsidR="00DA081D" w:rsidRPr="00EB2995" w:rsidRDefault="00DA081D" w:rsidP="00AF73B9">
            <w:pPr>
              <w:jc w:val="right"/>
              <w:rPr>
                <w:rFonts w:cs="Calibri"/>
                <w:b/>
              </w:rPr>
            </w:pPr>
          </w:p>
        </w:tc>
        <w:tc>
          <w:tcPr>
            <w:tcW w:w="1417" w:type="dxa"/>
            <w:tcBorders>
              <w:bottom w:val="single" w:sz="4" w:space="0" w:color="auto"/>
            </w:tcBorders>
            <w:noWrap/>
          </w:tcPr>
          <w:p w:rsidR="00DA081D" w:rsidRPr="00EB2995" w:rsidRDefault="00DA081D" w:rsidP="00AF73B9">
            <w:pPr>
              <w:jc w:val="right"/>
              <w:rPr>
                <w:rFonts w:cs="Calibri"/>
                <w:b/>
              </w:rPr>
            </w:pPr>
            <w:r w:rsidRPr="00EB2995">
              <w:rPr>
                <w:rFonts w:cs="Calibri"/>
                <w:b/>
              </w:rPr>
              <w:t>£m</w:t>
            </w:r>
          </w:p>
        </w:tc>
      </w:tr>
      <w:tr w:rsidR="00DA081D" w:rsidRPr="00EB2995" w:rsidTr="00AF73B9">
        <w:trPr>
          <w:trHeight w:val="300"/>
        </w:trPr>
        <w:tc>
          <w:tcPr>
            <w:tcW w:w="1417" w:type="dxa"/>
            <w:tcBorders>
              <w:top w:val="single" w:sz="4" w:space="0" w:color="auto"/>
              <w:left w:val="single" w:sz="4" w:space="0" w:color="auto"/>
              <w:bottom w:val="single" w:sz="4" w:space="0" w:color="auto"/>
              <w:right w:val="single" w:sz="4" w:space="0" w:color="auto"/>
            </w:tcBorders>
          </w:tcPr>
          <w:p w:rsidR="00DA081D" w:rsidRPr="00EB2995" w:rsidRDefault="00DA081D" w:rsidP="00AF73B9">
            <w:pPr>
              <w:jc w:val="right"/>
              <w:rPr>
                <w:rFonts w:cs="Calibri"/>
              </w:rPr>
            </w:pPr>
            <w:r w:rsidRPr="00EB2995">
              <w:rPr>
                <w:rFonts w:cs="Calibri"/>
              </w:rPr>
              <w:t>5.7</w:t>
            </w:r>
          </w:p>
        </w:tc>
        <w:tc>
          <w:tcPr>
            <w:tcW w:w="5669" w:type="dxa"/>
            <w:tcBorders>
              <w:left w:val="single" w:sz="4" w:space="0" w:color="auto"/>
              <w:right w:val="single" w:sz="4" w:space="0" w:color="auto"/>
            </w:tcBorders>
          </w:tcPr>
          <w:p w:rsidR="00DA081D" w:rsidRPr="00EB2995" w:rsidRDefault="00DA081D" w:rsidP="00AF73B9">
            <w:pPr>
              <w:rPr>
                <w:rFonts w:cs="Calibri"/>
              </w:rPr>
            </w:pPr>
            <w:r w:rsidRPr="00EB2995">
              <w:rPr>
                <w:rFonts w:cs="Calibri"/>
              </w:rPr>
              <w:t>Plant, Furniture, Vehicles and Equipment</w:t>
            </w:r>
          </w:p>
        </w:tc>
        <w:tc>
          <w:tcPr>
            <w:tcW w:w="1417" w:type="dxa"/>
            <w:tcBorders>
              <w:top w:val="single" w:sz="4" w:space="0" w:color="auto"/>
              <w:left w:val="single" w:sz="4" w:space="0" w:color="auto"/>
              <w:bottom w:val="single" w:sz="4" w:space="0" w:color="auto"/>
              <w:right w:val="single" w:sz="4" w:space="0" w:color="auto"/>
            </w:tcBorders>
            <w:noWrap/>
          </w:tcPr>
          <w:p w:rsidR="00DA081D" w:rsidRPr="00EB2995" w:rsidRDefault="00DA081D" w:rsidP="00AF73B9">
            <w:pPr>
              <w:jc w:val="right"/>
              <w:rPr>
                <w:rFonts w:cs="Calibri"/>
              </w:rPr>
            </w:pPr>
            <w:r w:rsidRPr="00EB2995">
              <w:rPr>
                <w:rFonts w:cs="Calibri"/>
              </w:rPr>
              <w:t>4.6</w:t>
            </w:r>
          </w:p>
        </w:tc>
      </w:tr>
    </w:tbl>
    <w:p w:rsidR="00F72906" w:rsidRDefault="00F72906" w:rsidP="00F72906"/>
    <w:p w:rsidR="00AE1C26" w:rsidRDefault="00F72906" w:rsidP="00F72906">
      <w:r>
        <w:t>The council is committed to making minimum payments comprising repayment of the outstanding liability and interest upon the outstanding liabilities. The minimum lease payments a</w:t>
      </w:r>
      <w:r w:rsidR="00AE1C26">
        <w:t>re made of the following amount:</w:t>
      </w:r>
    </w:p>
    <w:p w:rsidR="00AE1C26" w:rsidRDefault="00AE1C26">
      <w:r>
        <w:br w:type="page"/>
      </w:r>
    </w:p>
    <w:p w:rsidR="00DA081D" w:rsidRDefault="00DA081D" w:rsidP="00F72906"/>
    <w:tbl>
      <w:tblPr>
        <w:tblW w:w="8503" w:type="dxa"/>
        <w:tblInd w:w="108" w:type="dxa"/>
        <w:tblLook w:val="00A0" w:firstRow="1" w:lastRow="0" w:firstColumn="1" w:lastColumn="0" w:noHBand="0" w:noVBand="0"/>
      </w:tblPr>
      <w:tblGrid>
        <w:gridCol w:w="1417"/>
        <w:gridCol w:w="5669"/>
        <w:gridCol w:w="1417"/>
      </w:tblGrid>
      <w:tr w:rsidR="00DA081D" w:rsidRPr="00EB2995" w:rsidTr="00DA081D">
        <w:trPr>
          <w:trHeight w:hRule="exact" w:val="301"/>
        </w:trPr>
        <w:tc>
          <w:tcPr>
            <w:tcW w:w="1417" w:type="dxa"/>
          </w:tcPr>
          <w:p w:rsidR="00DA081D" w:rsidRPr="00EB2995" w:rsidRDefault="00DA081D" w:rsidP="00AF73B9">
            <w:pPr>
              <w:jc w:val="right"/>
              <w:rPr>
                <w:rFonts w:cs="Calibri"/>
                <w:b/>
              </w:rPr>
            </w:pPr>
            <w:r w:rsidRPr="00EB2995">
              <w:rPr>
                <w:rFonts w:cs="Calibri"/>
                <w:b/>
              </w:rPr>
              <w:t>31-Mar-2019</w:t>
            </w:r>
          </w:p>
        </w:tc>
        <w:tc>
          <w:tcPr>
            <w:tcW w:w="5669" w:type="dxa"/>
          </w:tcPr>
          <w:p w:rsidR="00DA081D" w:rsidRPr="00EB2995" w:rsidRDefault="00DA081D" w:rsidP="00AF73B9">
            <w:pPr>
              <w:jc w:val="right"/>
              <w:rPr>
                <w:rFonts w:cs="Calibri"/>
                <w:b/>
              </w:rPr>
            </w:pPr>
          </w:p>
        </w:tc>
        <w:tc>
          <w:tcPr>
            <w:tcW w:w="1417" w:type="dxa"/>
          </w:tcPr>
          <w:p w:rsidR="00DA081D" w:rsidRPr="00EB2995" w:rsidRDefault="00DA081D" w:rsidP="00AF73B9">
            <w:pPr>
              <w:jc w:val="right"/>
              <w:rPr>
                <w:rFonts w:cs="Calibri"/>
                <w:b/>
              </w:rPr>
            </w:pPr>
            <w:r w:rsidRPr="00EB2995">
              <w:rPr>
                <w:rFonts w:cs="Calibri"/>
                <w:b/>
              </w:rPr>
              <w:t>31-Mar-2020</w:t>
            </w:r>
          </w:p>
        </w:tc>
      </w:tr>
      <w:tr w:rsidR="00DA081D" w:rsidRPr="00EB2995" w:rsidTr="00DA081D">
        <w:trPr>
          <w:trHeight w:hRule="exact" w:val="301"/>
        </w:trPr>
        <w:tc>
          <w:tcPr>
            <w:tcW w:w="1417" w:type="dxa"/>
            <w:tcBorders>
              <w:bottom w:val="single" w:sz="4" w:space="0" w:color="auto"/>
            </w:tcBorders>
          </w:tcPr>
          <w:p w:rsidR="00DA081D" w:rsidRPr="00EB2995" w:rsidRDefault="00DA081D" w:rsidP="00AF73B9">
            <w:pPr>
              <w:jc w:val="right"/>
              <w:rPr>
                <w:rFonts w:cs="Calibri"/>
                <w:b/>
              </w:rPr>
            </w:pPr>
            <w:r w:rsidRPr="00EB2995">
              <w:rPr>
                <w:rFonts w:cs="Calibri"/>
                <w:b/>
              </w:rPr>
              <w:t>£m</w:t>
            </w:r>
          </w:p>
        </w:tc>
        <w:tc>
          <w:tcPr>
            <w:tcW w:w="5669" w:type="dxa"/>
          </w:tcPr>
          <w:p w:rsidR="00DA081D" w:rsidRPr="00EB2995" w:rsidRDefault="00DA081D" w:rsidP="00AF73B9">
            <w:pPr>
              <w:jc w:val="right"/>
              <w:rPr>
                <w:rFonts w:cs="Calibri"/>
                <w:b/>
              </w:rPr>
            </w:pPr>
          </w:p>
        </w:tc>
        <w:tc>
          <w:tcPr>
            <w:tcW w:w="1417" w:type="dxa"/>
            <w:tcBorders>
              <w:bottom w:val="single" w:sz="4" w:space="0" w:color="auto"/>
            </w:tcBorders>
            <w:noWrap/>
          </w:tcPr>
          <w:p w:rsidR="00DA081D" w:rsidRPr="00EB2995" w:rsidRDefault="00DA081D" w:rsidP="00AF73B9">
            <w:pPr>
              <w:jc w:val="right"/>
              <w:rPr>
                <w:rFonts w:cs="Calibri"/>
                <w:b/>
              </w:rPr>
            </w:pPr>
            <w:r w:rsidRPr="00EB2995">
              <w:rPr>
                <w:rFonts w:cs="Calibri"/>
                <w:b/>
              </w:rPr>
              <w:t>£m</w:t>
            </w:r>
          </w:p>
        </w:tc>
      </w:tr>
      <w:tr w:rsidR="00DA081D" w:rsidRPr="00EB2995" w:rsidTr="00DA081D">
        <w:trPr>
          <w:trHeight w:hRule="exact" w:val="301"/>
        </w:trPr>
        <w:tc>
          <w:tcPr>
            <w:tcW w:w="1417" w:type="dxa"/>
            <w:tcBorders>
              <w:top w:val="single" w:sz="4" w:space="0" w:color="auto"/>
              <w:left w:val="single" w:sz="4" w:space="0" w:color="auto"/>
              <w:right w:val="single" w:sz="4" w:space="0" w:color="auto"/>
            </w:tcBorders>
          </w:tcPr>
          <w:p w:rsidR="00DA081D" w:rsidRPr="00EB2995" w:rsidRDefault="00DA081D" w:rsidP="00AF73B9">
            <w:pPr>
              <w:jc w:val="right"/>
              <w:rPr>
                <w:rFonts w:cs="Calibri"/>
              </w:rPr>
            </w:pPr>
          </w:p>
        </w:tc>
        <w:tc>
          <w:tcPr>
            <w:tcW w:w="5669" w:type="dxa"/>
            <w:tcBorders>
              <w:left w:val="single" w:sz="4" w:space="0" w:color="auto"/>
              <w:right w:val="single" w:sz="4" w:space="0" w:color="auto"/>
            </w:tcBorders>
            <w:vAlign w:val="bottom"/>
          </w:tcPr>
          <w:p w:rsidR="00DA081D" w:rsidRPr="00EB2995" w:rsidRDefault="00DA081D" w:rsidP="00AF73B9">
            <w:pPr>
              <w:rPr>
                <w:rFonts w:cs="Calibri"/>
              </w:rPr>
            </w:pPr>
            <w:r w:rsidRPr="00EB2995">
              <w:rPr>
                <w:rFonts w:cs="Calibri"/>
              </w:rPr>
              <w:t>Finance lease liabilities</w:t>
            </w:r>
          </w:p>
        </w:tc>
        <w:tc>
          <w:tcPr>
            <w:tcW w:w="1417" w:type="dxa"/>
            <w:tcBorders>
              <w:top w:val="single" w:sz="4" w:space="0" w:color="auto"/>
              <w:left w:val="single" w:sz="4" w:space="0" w:color="auto"/>
              <w:right w:val="single" w:sz="4" w:space="0" w:color="auto"/>
            </w:tcBorders>
            <w:noWrap/>
          </w:tcPr>
          <w:p w:rsidR="00DA081D" w:rsidRPr="00EB2995" w:rsidRDefault="00DA081D" w:rsidP="00AF73B9">
            <w:pPr>
              <w:jc w:val="right"/>
              <w:rPr>
                <w:rFonts w:cs="Calibri"/>
              </w:rPr>
            </w:pPr>
          </w:p>
        </w:tc>
      </w:tr>
      <w:tr w:rsidR="00DA081D" w:rsidRPr="00EB2995" w:rsidTr="00DA081D">
        <w:trPr>
          <w:trHeight w:hRule="exact" w:val="301"/>
        </w:trPr>
        <w:tc>
          <w:tcPr>
            <w:tcW w:w="1417" w:type="dxa"/>
            <w:tcBorders>
              <w:top w:val="nil"/>
              <w:left w:val="single" w:sz="8" w:space="0" w:color="auto"/>
              <w:bottom w:val="nil"/>
              <w:right w:val="single" w:sz="8" w:space="0" w:color="auto"/>
            </w:tcBorders>
            <w:shd w:val="clear" w:color="000000" w:fill="FFFFFF"/>
            <w:vAlign w:val="center"/>
          </w:tcPr>
          <w:p w:rsidR="00DA081D" w:rsidRPr="00EB2995" w:rsidRDefault="00DA081D" w:rsidP="00AF73B9">
            <w:pPr>
              <w:jc w:val="right"/>
              <w:rPr>
                <w:rFonts w:cs="Calibri"/>
                <w:bCs/>
              </w:rPr>
            </w:pPr>
            <w:r w:rsidRPr="00EB2995">
              <w:rPr>
                <w:rFonts w:cs="Calibri"/>
                <w:color w:val="000000"/>
                <w:sz w:val="20"/>
                <w:szCs w:val="20"/>
              </w:rPr>
              <w:t>1.3</w:t>
            </w:r>
          </w:p>
        </w:tc>
        <w:tc>
          <w:tcPr>
            <w:tcW w:w="5669" w:type="dxa"/>
            <w:tcBorders>
              <w:left w:val="single" w:sz="4" w:space="0" w:color="auto"/>
              <w:right w:val="single" w:sz="4" w:space="0" w:color="auto"/>
            </w:tcBorders>
            <w:vAlign w:val="bottom"/>
          </w:tcPr>
          <w:p w:rsidR="00DA081D" w:rsidRPr="00EB2995" w:rsidRDefault="00DA081D" w:rsidP="00AF73B9">
            <w:pPr>
              <w:rPr>
                <w:rFonts w:cs="Calibri"/>
              </w:rPr>
            </w:pPr>
            <w:r w:rsidRPr="00EB2995">
              <w:rPr>
                <w:rFonts w:cs="Calibri"/>
              </w:rPr>
              <w:t xml:space="preserve"> - Current</w:t>
            </w:r>
          </w:p>
        </w:tc>
        <w:tc>
          <w:tcPr>
            <w:tcW w:w="1417" w:type="dxa"/>
            <w:tcBorders>
              <w:top w:val="nil"/>
              <w:left w:val="single" w:sz="8" w:space="0" w:color="auto"/>
              <w:bottom w:val="nil"/>
              <w:right w:val="single" w:sz="8" w:space="0" w:color="auto"/>
            </w:tcBorders>
            <w:shd w:val="clear" w:color="000000" w:fill="FFFFFF"/>
            <w:noWrap/>
            <w:vAlign w:val="center"/>
          </w:tcPr>
          <w:p w:rsidR="00DA081D" w:rsidRPr="00EB2995" w:rsidRDefault="00DA081D" w:rsidP="00AF73B9">
            <w:pPr>
              <w:jc w:val="right"/>
              <w:rPr>
                <w:rFonts w:cs="Calibri"/>
                <w:bCs/>
              </w:rPr>
            </w:pPr>
            <w:r w:rsidRPr="00EB2995">
              <w:rPr>
                <w:rFonts w:cs="Calibri"/>
                <w:color w:val="000000"/>
                <w:sz w:val="20"/>
                <w:szCs w:val="20"/>
              </w:rPr>
              <w:t>1.3</w:t>
            </w:r>
          </w:p>
        </w:tc>
      </w:tr>
      <w:tr w:rsidR="00DA081D" w:rsidRPr="00EB2995" w:rsidTr="00DA081D">
        <w:trPr>
          <w:trHeight w:hRule="exact" w:val="301"/>
        </w:trPr>
        <w:tc>
          <w:tcPr>
            <w:tcW w:w="1417" w:type="dxa"/>
            <w:tcBorders>
              <w:top w:val="nil"/>
              <w:left w:val="single" w:sz="8" w:space="0" w:color="auto"/>
              <w:bottom w:val="nil"/>
              <w:right w:val="single" w:sz="8" w:space="0" w:color="auto"/>
            </w:tcBorders>
            <w:shd w:val="clear" w:color="000000" w:fill="FFFFFF"/>
            <w:vAlign w:val="center"/>
          </w:tcPr>
          <w:p w:rsidR="00DA081D" w:rsidRPr="00EB2995" w:rsidRDefault="00DA081D" w:rsidP="00AF73B9">
            <w:pPr>
              <w:jc w:val="right"/>
              <w:rPr>
                <w:rFonts w:cs="Calibri"/>
                <w:bCs/>
              </w:rPr>
            </w:pPr>
            <w:r w:rsidRPr="00EB2995">
              <w:rPr>
                <w:rFonts w:cs="Calibri"/>
                <w:color w:val="000000"/>
                <w:sz w:val="20"/>
                <w:szCs w:val="20"/>
              </w:rPr>
              <w:t>5.2</w:t>
            </w:r>
          </w:p>
        </w:tc>
        <w:tc>
          <w:tcPr>
            <w:tcW w:w="5669" w:type="dxa"/>
            <w:tcBorders>
              <w:left w:val="single" w:sz="4" w:space="0" w:color="auto"/>
              <w:right w:val="single" w:sz="4" w:space="0" w:color="auto"/>
            </w:tcBorders>
            <w:vAlign w:val="bottom"/>
          </w:tcPr>
          <w:p w:rsidR="00DA081D" w:rsidRPr="00EB2995" w:rsidRDefault="00DA081D" w:rsidP="00AF73B9">
            <w:pPr>
              <w:rPr>
                <w:rFonts w:cs="Calibri"/>
              </w:rPr>
            </w:pPr>
            <w:r w:rsidRPr="00EB2995">
              <w:rPr>
                <w:rFonts w:cs="Calibri"/>
              </w:rPr>
              <w:t xml:space="preserve"> - Non Current</w:t>
            </w:r>
          </w:p>
        </w:tc>
        <w:tc>
          <w:tcPr>
            <w:tcW w:w="1417" w:type="dxa"/>
            <w:tcBorders>
              <w:top w:val="nil"/>
              <w:left w:val="single" w:sz="8" w:space="0" w:color="auto"/>
              <w:bottom w:val="nil"/>
              <w:right w:val="single" w:sz="8" w:space="0" w:color="auto"/>
            </w:tcBorders>
            <w:shd w:val="clear" w:color="000000" w:fill="FFFFFF"/>
            <w:noWrap/>
            <w:vAlign w:val="center"/>
          </w:tcPr>
          <w:p w:rsidR="00DA081D" w:rsidRPr="00EB2995" w:rsidRDefault="00DA081D" w:rsidP="00AF73B9">
            <w:pPr>
              <w:jc w:val="right"/>
              <w:rPr>
                <w:rFonts w:cs="Calibri"/>
                <w:bCs/>
              </w:rPr>
            </w:pPr>
            <w:r w:rsidRPr="00EB2995">
              <w:rPr>
                <w:rFonts w:cs="Calibri"/>
                <w:color w:val="000000"/>
                <w:sz w:val="20"/>
                <w:szCs w:val="20"/>
              </w:rPr>
              <w:t>3.9</w:t>
            </w:r>
          </w:p>
        </w:tc>
      </w:tr>
      <w:tr w:rsidR="00DA081D" w:rsidRPr="00EB2995" w:rsidTr="00DA081D">
        <w:trPr>
          <w:trHeight w:hRule="exact" w:val="301"/>
        </w:trPr>
        <w:tc>
          <w:tcPr>
            <w:tcW w:w="1417" w:type="dxa"/>
            <w:tcBorders>
              <w:top w:val="nil"/>
              <w:left w:val="single" w:sz="8" w:space="0" w:color="auto"/>
              <w:bottom w:val="single" w:sz="8" w:space="0" w:color="auto"/>
              <w:right w:val="single" w:sz="8" w:space="0" w:color="auto"/>
            </w:tcBorders>
            <w:shd w:val="clear" w:color="000000" w:fill="FFFFFF"/>
            <w:vAlign w:val="center"/>
          </w:tcPr>
          <w:p w:rsidR="00DA081D" w:rsidRPr="00EB2995" w:rsidRDefault="00DA081D" w:rsidP="00AF73B9">
            <w:pPr>
              <w:jc w:val="right"/>
              <w:rPr>
                <w:rFonts w:cs="Calibri"/>
                <w:bCs/>
              </w:rPr>
            </w:pPr>
            <w:r w:rsidRPr="00EB2995">
              <w:rPr>
                <w:rFonts w:cs="Calibri"/>
                <w:color w:val="000000"/>
                <w:sz w:val="20"/>
                <w:szCs w:val="20"/>
              </w:rPr>
              <w:t>0.0</w:t>
            </w:r>
          </w:p>
        </w:tc>
        <w:tc>
          <w:tcPr>
            <w:tcW w:w="5669" w:type="dxa"/>
            <w:tcBorders>
              <w:left w:val="single" w:sz="4" w:space="0" w:color="auto"/>
              <w:right w:val="single" w:sz="4" w:space="0" w:color="auto"/>
            </w:tcBorders>
            <w:vAlign w:val="bottom"/>
          </w:tcPr>
          <w:p w:rsidR="00DA081D" w:rsidRPr="00EB2995" w:rsidRDefault="00DA081D" w:rsidP="00AF73B9">
            <w:pPr>
              <w:rPr>
                <w:rFonts w:cs="Calibri"/>
              </w:rPr>
            </w:pPr>
            <w:r w:rsidRPr="00EB2995">
              <w:rPr>
                <w:rFonts w:cs="Calibri"/>
              </w:rPr>
              <w:t>Finance costs payable in future years</w:t>
            </w:r>
          </w:p>
        </w:tc>
        <w:tc>
          <w:tcPr>
            <w:tcW w:w="1417" w:type="dxa"/>
            <w:tcBorders>
              <w:top w:val="nil"/>
              <w:left w:val="single" w:sz="8" w:space="0" w:color="auto"/>
              <w:bottom w:val="single" w:sz="8" w:space="0" w:color="auto"/>
              <w:right w:val="single" w:sz="8" w:space="0" w:color="auto"/>
            </w:tcBorders>
            <w:shd w:val="clear" w:color="000000" w:fill="FFFFFF"/>
            <w:noWrap/>
            <w:vAlign w:val="center"/>
          </w:tcPr>
          <w:p w:rsidR="00DA081D" w:rsidRPr="00EB2995" w:rsidRDefault="00DA081D" w:rsidP="00AF73B9">
            <w:pPr>
              <w:jc w:val="right"/>
              <w:rPr>
                <w:rFonts w:cs="Calibri"/>
                <w:bCs/>
              </w:rPr>
            </w:pPr>
            <w:r w:rsidRPr="00EB2995">
              <w:rPr>
                <w:rFonts w:cs="Calibri"/>
                <w:color w:val="000000"/>
                <w:sz w:val="20"/>
                <w:szCs w:val="20"/>
              </w:rPr>
              <w:t>0.0</w:t>
            </w:r>
          </w:p>
        </w:tc>
      </w:tr>
      <w:tr w:rsidR="00DA081D" w:rsidRPr="00EB2995" w:rsidTr="00DA081D">
        <w:trPr>
          <w:trHeight w:hRule="exact" w:val="301"/>
        </w:trPr>
        <w:tc>
          <w:tcPr>
            <w:tcW w:w="1417" w:type="dxa"/>
            <w:tcBorders>
              <w:top w:val="single" w:sz="4" w:space="0" w:color="auto"/>
              <w:left w:val="single" w:sz="4" w:space="0" w:color="auto"/>
              <w:bottom w:val="single" w:sz="4" w:space="0" w:color="auto"/>
              <w:right w:val="single" w:sz="4" w:space="0" w:color="auto"/>
            </w:tcBorders>
            <w:vAlign w:val="bottom"/>
          </w:tcPr>
          <w:p w:rsidR="00DA081D" w:rsidRPr="00EB2995" w:rsidRDefault="00DA081D" w:rsidP="00AF73B9">
            <w:pPr>
              <w:jc w:val="right"/>
              <w:rPr>
                <w:rFonts w:cs="Calibri"/>
                <w:b/>
                <w:bCs/>
              </w:rPr>
            </w:pPr>
            <w:r w:rsidRPr="00EB2995">
              <w:rPr>
                <w:rFonts w:cs="Calibri"/>
                <w:b/>
                <w:bCs/>
              </w:rPr>
              <w:t>6.5</w:t>
            </w:r>
          </w:p>
        </w:tc>
        <w:tc>
          <w:tcPr>
            <w:tcW w:w="5669" w:type="dxa"/>
            <w:tcBorders>
              <w:left w:val="single" w:sz="4" w:space="0" w:color="auto"/>
              <w:right w:val="single" w:sz="4" w:space="0" w:color="auto"/>
            </w:tcBorders>
            <w:vAlign w:val="bottom"/>
          </w:tcPr>
          <w:p w:rsidR="00DA081D" w:rsidRPr="00EB2995" w:rsidRDefault="00DA081D" w:rsidP="00AF73B9">
            <w:pPr>
              <w:rPr>
                <w:rFonts w:cs="Calibri"/>
                <w:b/>
              </w:rPr>
            </w:pPr>
            <w:r w:rsidRPr="00EB2995">
              <w:rPr>
                <w:rFonts w:cs="Calibri"/>
                <w:b/>
              </w:rPr>
              <w:t>Minimum lease payments</w:t>
            </w:r>
          </w:p>
        </w:tc>
        <w:tc>
          <w:tcPr>
            <w:tcW w:w="1417" w:type="dxa"/>
            <w:tcBorders>
              <w:top w:val="single" w:sz="4" w:space="0" w:color="auto"/>
              <w:left w:val="single" w:sz="4" w:space="0" w:color="auto"/>
              <w:bottom w:val="single" w:sz="4" w:space="0" w:color="auto"/>
              <w:right w:val="single" w:sz="4" w:space="0" w:color="auto"/>
            </w:tcBorders>
            <w:noWrap/>
            <w:vAlign w:val="bottom"/>
          </w:tcPr>
          <w:p w:rsidR="00DA081D" w:rsidRPr="00EB2995" w:rsidRDefault="00DA081D" w:rsidP="00AF73B9">
            <w:pPr>
              <w:jc w:val="right"/>
              <w:rPr>
                <w:rFonts w:cs="Calibri"/>
                <w:b/>
                <w:bCs/>
              </w:rPr>
            </w:pPr>
            <w:r w:rsidRPr="00EB2995">
              <w:rPr>
                <w:rFonts w:cs="Calibri"/>
                <w:b/>
                <w:bCs/>
              </w:rPr>
              <w:t>5.2</w:t>
            </w:r>
          </w:p>
        </w:tc>
      </w:tr>
    </w:tbl>
    <w:p w:rsidR="00F72906" w:rsidRDefault="00F72906" w:rsidP="00F72906"/>
    <w:p w:rsidR="00F72906" w:rsidRDefault="00F72906" w:rsidP="00F72906"/>
    <w:p w:rsidR="00F72906" w:rsidRDefault="00F72906" w:rsidP="00F72906">
      <w:r>
        <w:t>These minimum lease payments are payable over the following periods</w:t>
      </w:r>
    </w:p>
    <w:tbl>
      <w:tblPr>
        <w:tblW w:w="9699" w:type="dxa"/>
        <w:tblInd w:w="108" w:type="dxa"/>
        <w:tblLayout w:type="fixed"/>
        <w:tblLook w:val="00A0" w:firstRow="1" w:lastRow="0" w:firstColumn="1" w:lastColumn="0" w:noHBand="0" w:noVBand="0"/>
      </w:tblPr>
      <w:tblGrid>
        <w:gridCol w:w="534"/>
        <w:gridCol w:w="1040"/>
        <w:gridCol w:w="1040"/>
        <w:gridCol w:w="680"/>
        <w:gridCol w:w="395"/>
        <w:gridCol w:w="1448"/>
        <w:gridCol w:w="1418"/>
        <w:gridCol w:w="1559"/>
        <w:gridCol w:w="1585"/>
      </w:tblGrid>
      <w:tr w:rsidR="00DA081D" w:rsidRPr="00EB2995" w:rsidTr="00AF73B9">
        <w:trPr>
          <w:trHeight w:val="300"/>
        </w:trPr>
        <w:tc>
          <w:tcPr>
            <w:tcW w:w="534" w:type="dxa"/>
            <w:noWrap/>
            <w:vAlign w:val="bottom"/>
          </w:tcPr>
          <w:p w:rsidR="00DA081D" w:rsidRPr="00EB2995" w:rsidRDefault="00DA081D" w:rsidP="00AF73B9">
            <w:pPr>
              <w:rPr>
                <w:rFonts w:cs="Calibri"/>
              </w:rPr>
            </w:pPr>
          </w:p>
        </w:tc>
        <w:tc>
          <w:tcPr>
            <w:tcW w:w="1040" w:type="dxa"/>
            <w:noWrap/>
            <w:vAlign w:val="bottom"/>
          </w:tcPr>
          <w:p w:rsidR="00DA081D" w:rsidRPr="00EB2995" w:rsidRDefault="00DA081D" w:rsidP="00AF73B9">
            <w:pPr>
              <w:rPr>
                <w:rFonts w:cs="Calibri"/>
              </w:rPr>
            </w:pPr>
          </w:p>
        </w:tc>
        <w:tc>
          <w:tcPr>
            <w:tcW w:w="1040" w:type="dxa"/>
            <w:noWrap/>
            <w:vAlign w:val="bottom"/>
          </w:tcPr>
          <w:p w:rsidR="00DA081D" w:rsidRPr="00EB2995" w:rsidRDefault="00DA081D" w:rsidP="00AF73B9">
            <w:pPr>
              <w:rPr>
                <w:rFonts w:cs="Calibri"/>
              </w:rPr>
            </w:pPr>
          </w:p>
        </w:tc>
        <w:tc>
          <w:tcPr>
            <w:tcW w:w="680" w:type="dxa"/>
            <w:noWrap/>
            <w:vAlign w:val="bottom"/>
          </w:tcPr>
          <w:p w:rsidR="00DA081D" w:rsidRPr="00EB2995" w:rsidRDefault="00DA081D" w:rsidP="00AF73B9">
            <w:pPr>
              <w:rPr>
                <w:rFonts w:cs="Calibri"/>
              </w:rPr>
            </w:pPr>
          </w:p>
        </w:tc>
        <w:tc>
          <w:tcPr>
            <w:tcW w:w="395" w:type="dxa"/>
            <w:noWrap/>
            <w:vAlign w:val="bottom"/>
          </w:tcPr>
          <w:p w:rsidR="00DA081D" w:rsidRPr="00EB2995" w:rsidRDefault="00DA081D" w:rsidP="00AF73B9">
            <w:pPr>
              <w:rPr>
                <w:rFonts w:cs="Calibri"/>
              </w:rPr>
            </w:pPr>
          </w:p>
        </w:tc>
        <w:tc>
          <w:tcPr>
            <w:tcW w:w="1448" w:type="dxa"/>
            <w:noWrap/>
            <w:vAlign w:val="bottom"/>
          </w:tcPr>
          <w:p w:rsidR="00DA081D" w:rsidRPr="00EB2995" w:rsidRDefault="00DA081D" w:rsidP="00AF73B9">
            <w:pPr>
              <w:jc w:val="center"/>
              <w:rPr>
                <w:rFonts w:cs="Calibri"/>
              </w:rPr>
            </w:pPr>
          </w:p>
        </w:tc>
        <w:tc>
          <w:tcPr>
            <w:tcW w:w="1418" w:type="dxa"/>
            <w:noWrap/>
            <w:vAlign w:val="bottom"/>
          </w:tcPr>
          <w:p w:rsidR="00DA081D" w:rsidRPr="00EB2995" w:rsidRDefault="00DA081D" w:rsidP="00AF73B9">
            <w:pPr>
              <w:jc w:val="center"/>
              <w:rPr>
                <w:rFonts w:cs="Calibri"/>
              </w:rPr>
            </w:pPr>
          </w:p>
        </w:tc>
        <w:tc>
          <w:tcPr>
            <w:tcW w:w="3144" w:type="dxa"/>
            <w:gridSpan w:val="2"/>
            <w:vAlign w:val="bottom"/>
          </w:tcPr>
          <w:p w:rsidR="00DA081D" w:rsidRPr="00EB2995" w:rsidRDefault="00DA081D" w:rsidP="00AF73B9">
            <w:pPr>
              <w:jc w:val="center"/>
              <w:rPr>
                <w:rFonts w:cs="Calibri"/>
                <w:b/>
              </w:rPr>
            </w:pPr>
            <w:r w:rsidRPr="00EB2995">
              <w:rPr>
                <w:rFonts w:cs="Calibri"/>
                <w:b/>
              </w:rPr>
              <w:t>Present Value of Minimum Lease Payments Repayable</w:t>
            </w:r>
          </w:p>
        </w:tc>
      </w:tr>
      <w:tr w:rsidR="00DA081D" w:rsidRPr="00EB2995" w:rsidTr="00AF73B9">
        <w:trPr>
          <w:trHeight w:val="300"/>
        </w:trPr>
        <w:tc>
          <w:tcPr>
            <w:tcW w:w="534" w:type="dxa"/>
            <w:noWrap/>
            <w:vAlign w:val="bottom"/>
          </w:tcPr>
          <w:p w:rsidR="00DA081D" w:rsidRPr="00EB2995" w:rsidRDefault="00DA081D" w:rsidP="00AF73B9">
            <w:pPr>
              <w:rPr>
                <w:rFonts w:cs="Calibri"/>
              </w:rPr>
            </w:pPr>
          </w:p>
        </w:tc>
        <w:tc>
          <w:tcPr>
            <w:tcW w:w="1040" w:type="dxa"/>
            <w:noWrap/>
            <w:vAlign w:val="bottom"/>
          </w:tcPr>
          <w:p w:rsidR="00DA081D" w:rsidRPr="00EB2995" w:rsidRDefault="00DA081D" w:rsidP="00AF73B9">
            <w:pPr>
              <w:rPr>
                <w:rFonts w:cs="Calibri"/>
              </w:rPr>
            </w:pPr>
          </w:p>
        </w:tc>
        <w:tc>
          <w:tcPr>
            <w:tcW w:w="1040" w:type="dxa"/>
            <w:noWrap/>
            <w:vAlign w:val="bottom"/>
          </w:tcPr>
          <w:p w:rsidR="00DA081D" w:rsidRPr="00EB2995" w:rsidRDefault="00DA081D" w:rsidP="00AF73B9">
            <w:pPr>
              <w:rPr>
                <w:rFonts w:cs="Calibri"/>
              </w:rPr>
            </w:pPr>
          </w:p>
        </w:tc>
        <w:tc>
          <w:tcPr>
            <w:tcW w:w="680" w:type="dxa"/>
            <w:noWrap/>
            <w:vAlign w:val="bottom"/>
          </w:tcPr>
          <w:p w:rsidR="00DA081D" w:rsidRPr="00EB2995" w:rsidRDefault="00DA081D" w:rsidP="00AF73B9">
            <w:pPr>
              <w:rPr>
                <w:rFonts w:cs="Calibri"/>
              </w:rPr>
            </w:pPr>
          </w:p>
        </w:tc>
        <w:tc>
          <w:tcPr>
            <w:tcW w:w="395" w:type="dxa"/>
            <w:noWrap/>
            <w:vAlign w:val="bottom"/>
          </w:tcPr>
          <w:p w:rsidR="00DA081D" w:rsidRPr="00EB2995" w:rsidRDefault="00DA081D" w:rsidP="00AF73B9">
            <w:pPr>
              <w:rPr>
                <w:rFonts w:cs="Calibri"/>
              </w:rPr>
            </w:pPr>
          </w:p>
        </w:tc>
        <w:tc>
          <w:tcPr>
            <w:tcW w:w="2866" w:type="dxa"/>
            <w:gridSpan w:val="2"/>
            <w:vAlign w:val="bottom"/>
          </w:tcPr>
          <w:p w:rsidR="00DA081D" w:rsidRPr="00EB2995" w:rsidRDefault="00DA081D" w:rsidP="00AF73B9">
            <w:pPr>
              <w:jc w:val="center"/>
              <w:rPr>
                <w:rFonts w:cs="Calibri"/>
                <w:b/>
              </w:rPr>
            </w:pPr>
            <w:r w:rsidRPr="00EB2995">
              <w:rPr>
                <w:rFonts w:cs="Calibri"/>
                <w:b/>
              </w:rPr>
              <w:t>Total Minimum Lease</w:t>
            </w:r>
          </w:p>
        </w:tc>
        <w:tc>
          <w:tcPr>
            <w:tcW w:w="3144" w:type="dxa"/>
            <w:gridSpan w:val="2"/>
            <w:vAlign w:val="bottom"/>
          </w:tcPr>
          <w:p w:rsidR="00DA081D" w:rsidRPr="00EB2995" w:rsidRDefault="00DA081D" w:rsidP="00AF73B9">
            <w:pPr>
              <w:jc w:val="center"/>
              <w:rPr>
                <w:rFonts w:cs="Calibri"/>
                <w:b/>
              </w:rPr>
            </w:pPr>
            <w:r w:rsidRPr="00EB2995">
              <w:rPr>
                <w:rFonts w:cs="Calibri"/>
                <w:b/>
              </w:rPr>
              <w:t>Minimum Lease Payments</w:t>
            </w:r>
          </w:p>
        </w:tc>
      </w:tr>
      <w:tr w:rsidR="00DA081D" w:rsidRPr="00EB2995" w:rsidTr="00AF73B9">
        <w:trPr>
          <w:trHeight w:val="315"/>
        </w:trPr>
        <w:tc>
          <w:tcPr>
            <w:tcW w:w="534" w:type="dxa"/>
            <w:noWrap/>
            <w:vAlign w:val="bottom"/>
          </w:tcPr>
          <w:p w:rsidR="00DA081D" w:rsidRPr="00EB2995" w:rsidRDefault="00DA081D" w:rsidP="00AF73B9">
            <w:pPr>
              <w:rPr>
                <w:rFonts w:cs="Calibri"/>
              </w:rPr>
            </w:pPr>
          </w:p>
        </w:tc>
        <w:tc>
          <w:tcPr>
            <w:tcW w:w="1040" w:type="dxa"/>
            <w:noWrap/>
            <w:vAlign w:val="bottom"/>
          </w:tcPr>
          <w:p w:rsidR="00DA081D" w:rsidRPr="00EB2995" w:rsidRDefault="00DA081D" w:rsidP="00AF73B9">
            <w:pPr>
              <w:rPr>
                <w:rFonts w:cs="Calibri"/>
              </w:rPr>
            </w:pPr>
          </w:p>
        </w:tc>
        <w:tc>
          <w:tcPr>
            <w:tcW w:w="1040" w:type="dxa"/>
            <w:noWrap/>
            <w:vAlign w:val="bottom"/>
          </w:tcPr>
          <w:p w:rsidR="00DA081D" w:rsidRPr="00EB2995" w:rsidRDefault="00DA081D" w:rsidP="00AF73B9">
            <w:pPr>
              <w:rPr>
                <w:rFonts w:cs="Calibri"/>
              </w:rPr>
            </w:pPr>
          </w:p>
        </w:tc>
        <w:tc>
          <w:tcPr>
            <w:tcW w:w="680" w:type="dxa"/>
            <w:noWrap/>
            <w:vAlign w:val="bottom"/>
          </w:tcPr>
          <w:p w:rsidR="00DA081D" w:rsidRPr="00EB2995" w:rsidRDefault="00DA081D" w:rsidP="00AF73B9">
            <w:pPr>
              <w:rPr>
                <w:rFonts w:cs="Calibri"/>
              </w:rPr>
            </w:pPr>
          </w:p>
        </w:tc>
        <w:tc>
          <w:tcPr>
            <w:tcW w:w="395" w:type="dxa"/>
            <w:noWrap/>
            <w:vAlign w:val="bottom"/>
          </w:tcPr>
          <w:p w:rsidR="00DA081D" w:rsidRPr="00EB2995" w:rsidRDefault="00DA081D" w:rsidP="00AF73B9">
            <w:pPr>
              <w:rPr>
                <w:rFonts w:cs="Calibri"/>
              </w:rPr>
            </w:pPr>
          </w:p>
        </w:tc>
        <w:tc>
          <w:tcPr>
            <w:tcW w:w="2866" w:type="dxa"/>
            <w:gridSpan w:val="2"/>
            <w:vAlign w:val="bottom"/>
          </w:tcPr>
          <w:p w:rsidR="00DA081D" w:rsidRPr="00EB2995" w:rsidRDefault="00DA081D" w:rsidP="00AF73B9">
            <w:pPr>
              <w:jc w:val="center"/>
              <w:rPr>
                <w:rFonts w:cs="Calibri"/>
                <w:b/>
              </w:rPr>
            </w:pPr>
            <w:r w:rsidRPr="00EB2995">
              <w:rPr>
                <w:rFonts w:cs="Calibri"/>
                <w:b/>
              </w:rPr>
              <w:t>Payments</w:t>
            </w:r>
          </w:p>
        </w:tc>
        <w:tc>
          <w:tcPr>
            <w:tcW w:w="3144" w:type="dxa"/>
            <w:gridSpan w:val="2"/>
            <w:vAlign w:val="bottom"/>
          </w:tcPr>
          <w:p w:rsidR="00DA081D" w:rsidRPr="00EB2995" w:rsidRDefault="00DA081D" w:rsidP="00AF73B9">
            <w:pPr>
              <w:jc w:val="center"/>
              <w:rPr>
                <w:rFonts w:cs="Calibri"/>
                <w:b/>
              </w:rPr>
            </w:pPr>
            <w:r w:rsidRPr="00EB2995">
              <w:rPr>
                <w:rFonts w:cs="Calibri"/>
                <w:b/>
              </w:rPr>
              <w:t>Repayable</w:t>
            </w:r>
          </w:p>
        </w:tc>
      </w:tr>
      <w:tr w:rsidR="00DA081D" w:rsidRPr="00EB2995" w:rsidTr="00AF73B9">
        <w:trPr>
          <w:trHeight w:val="300"/>
        </w:trPr>
        <w:tc>
          <w:tcPr>
            <w:tcW w:w="534" w:type="dxa"/>
            <w:noWrap/>
            <w:vAlign w:val="bottom"/>
          </w:tcPr>
          <w:p w:rsidR="00DA081D" w:rsidRPr="00EB2995" w:rsidRDefault="00DA081D" w:rsidP="00AF73B9">
            <w:pPr>
              <w:rPr>
                <w:rFonts w:cs="Calibri"/>
              </w:rPr>
            </w:pPr>
          </w:p>
        </w:tc>
        <w:tc>
          <w:tcPr>
            <w:tcW w:w="1040" w:type="dxa"/>
            <w:noWrap/>
            <w:vAlign w:val="bottom"/>
          </w:tcPr>
          <w:p w:rsidR="00DA081D" w:rsidRPr="00EB2995" w:rsidRDefault="00DA081D" w:rsidP="00AF73B9">
            <w:pPr>
              <w:rPr>
                <w:rFonts w:cs="Calibri"/>
              </w:rPr>
            </w:pPr>
          </w:p>
        </w:tc>
        <w:tc>
          <w:tcPr>
            <w:tcW w:w="1040" w:type="dxa"/>
            <w:noWrap/>
            <w:vAlign w:val="bottom"/>
          </w:tcPr>
          <w:p w:rsidR="00DA081D" w:rsidRPr="00EB2995" w:rsidRDefault="00DA081D" w:rsidP="00AF73B9">
            <w:pPr>
              <w:rPr>
                <w:rFonts w:cs="Calibri"/>
              </w:rPr>
            </w:pPr>
          </w:p>
        </w:tc>
        <w:tc>
          <w:tcPr>
            <w:tcW w:w="680" w:type="dxa"/>
            <w:noWrap/>
            <w:vAlign w:val="bottom"/>
          </w:tcPr>
          <w:p w:rsidR="00DA081D" w:rsidRPr="00EB2995" w:rsidRDefault="00DA081D" w:rsidP="00AF73B9">
            <w:pPr>
              <w:rPr>
                <w:rFonts w:cs="Calibri"/>
              </w:rPr>
            </w:pPr>
          </w:p>
        </w:tc>
        <w:tc>
          <w:tcPr>
            <w:tcW w:w="395" w:type="dxa"/>
            <w:noWrap/>
            <w:vAlign w:val="bottom"/>
          </w:tcPr>
          <w:p w:rsidR="00DA081D" w:rsidRPr="00EB2995" w:rsidRDefault="00DA081D" w:rsidP="00AF73B9">
            <w:pPr>
              <w:rPr>
                <w:rFonts w:cs="Calibri"/>
              </w:rPr>
            </w:pPr>
          </w:p>
        </w:tc>
        <w:tc>
          <w:tcPr>
            <w:tcW w:w="1448" w:type="dxa"/>
            <w:noWrap/>
            <w:vAlign w:val="center"/>
          </w:tcPr>
          <w:p w:rsidR="00DA081D" w:rsidRPr="00EB2995" w:rsidRDefault="00DA081D" w:rsidP="00AF73B9">
            <w:pPr>
              <w:jc w:val="right"/>
              <w:rPr>
                <w:rFonts w:cs="Calibri"/>
                <w:b/>
                <w:bCs/>
                <w:color w:val="000000"/>
              </w:rPr>
            </w:pPr>
            <w:r w:rsidRPr="00EB2995">
              <w:rPr>
                <w:rFonts w:cs="Calibri"/>
                <w:b/>
                <w:bCs/>
                <w:color w:val="000000"/>
              </w:rPr>
              <w:t>2018/19</w:t>
            </w:r>
          </w:p>
        </w:tc>
        <w:tc>
          <w:tcPr>
            <w:tcW w:w="1418" w:type="dxa"/>
            <w:noWrap/>
            <w:vAlign w:val="center"/>
          </w:tcPr>
          <w:p w:rsidR="00DA081D" w:rsidRPr="00EB2995" w:rsidRDefault="00DA081D" w:rsidP="00AF73B9">
            <w:pPr>
              <w:jc w:val="right"/>
              <w:rPr>
                <w:rFonts w:cs="Calibri"/>
                <w:b/>
                <w:bCs/>
                <w:color w:val="000000"/>
              </w:rPr>
            </w:pPr>
            <w:r w:rsidRPr="00EB2995">
              <w:rPr>
                <w:rFonts w:cs="Calibri"/>
                <w:b/>
                <w:bCs/>
                <w:color w:val="000000"/>
              </w:rPr>
              <w:t>2019/20</w:t>
            </w:r>
          </w:p>
        </w:tc>
        <w:tc>
          <w:tcPr>
            <w:tcW w:w="1559" w:type="dxa"/>
            <w:noWrap/>
            <w:vAlign w:val="center"/>
          </w:tcPr>
          <w:p w:rsidR="00DA081D" w:rsidRPr="00EB2995" w:rsidRDefault="00DA081D" w:rsidP="00AF73B9">
            <w:pPr>
              <w:jc w:val="right"/>
              <w:rPr>
                <w:rFonts w:cs="Calibri"/>
                <w:b/>
                <w:bCs/>
                <w:color w:val="000000"/>
              </w:rPr>
            </w:pPr>
            <w:r w:rsidRPr="00EB2995">
              <w:rPr>
                <w:rFonts w:cs="Calibri"/>
                <w:b/>
                <w:bCs/>
                <w:color w:val="000000"/>
              </w:rPr>
              <w:t>2018/19</w:t>
            </w:r>
          </w:p>
        </w:tc>
        <w:tc>
          <w:tcPr>
            <w:tcW w:w="1583" w:type="dxa"/>
            <w:noWrap/>
            <w:vAlign w:val="center"/>
          </w:tcPr>
          <w:p w:rsidR="00DA081D" w:rsidRPr="00EB2995" w:rsidRDefault="00DA081D" w:rsidP="00AF73B9">
            <w:pPr>
              <w:jc w:val="right"/>
              <w:rPr>
                <w:rFonts w:cs="Calibri"/>
                <w:b/>
                <w:bCs/>
                <w:color w:val="000000"/>
              </w:rPr>
            </w:pPr>
            <w:r w:rsidRPr="00EB2995">
              <w:rPr>
                <w:rFonts w:cs="Calibri"/>
                <w:b/>
                <w:bCs/>
                <w:color w:val="000000"/>
              </w:rPr>
              <w:t>2019/20</w:t>
            </w:r>
          </w:p>
        </w:tc>
      </w:tr>
      <w:tr w:rsidR="00DA081D" w:rsidRPr="00EB2995" w:rsidTr="00AF73B9">
        <w:trPr>
          <w:trHeight w:val="315"/>
        </w:trPr>
        <w:tc>
          <w:tcPr>
            <w:tcW w:w="534" w:type="dxa"/>
            <w:noWrap/>
            <w:vAlign w:val="bottom"/>
          </w:tcPr>
          <w:p w:rsidR="00DA081D" w:rsidRPr="00C05AD5" w:rsidRDefault="00DA081D" w:rsidP="00AF73B9">
            <w:pPr>
              <w:rPr>
                <w:rFonts w:cstheme="minorHAnsi"/>
              </w:rPr>
            </w:pPr>
          </w:p>
        </w:tc>
        <w:tc>
          <w:tcPr>
            <w:tcW w:w="1040" w:type="dxa"/>
            <w:noWrap/>
            <w:vAlign w:val="bottom"/>
          </w:tcPr>
          <w:p w:rsidR="00DA081D" w:rsidRPr="00EB2995" w:rsidRDefault="00DA081D" w:rsidP="00AF73B9">
            <w:pPr>
              <w:rPr>
                <w:rFonts w:cs="Calibri"/>
              </w:rPr>
            </w:pPr>
          </w:p>
        </w:tc>
        <w:tc>
          <w:tcPr>
            <w:tcW w:w="1040" w:type="dxa"/>
            <w:noWrap/>
            <w:vAlign w:val="bottom"/>
          </w:tcPr>
          <w:p w:rsidR="00DA081D" w:rsidRPr="00EB2995" w:rsidRDefault="00DA081D" w:rsidP="00AF73B9">
            <w:pPr>
              <w:rPr>
                <w:rFonts w:cs="Calibri"/>
              </w:rPr>
            </w:pPr>
          </w:p>
        </w:tc>
        <w:tc>
          <w:tcPr>
            <w:tcW w:w="680" w:type="dxa"/>
            <w:noWrap/>
            <w:vAlign w:val="bottom"/>
          </w:tcPr>
          <w:p w:rsidR="00DA081D" w:rsidRPr="00EB2995" w:rsidRDefault="00DA081D" w:rsidP="00AF73B9">
            <w:pPr>
              <w:rPr>
                <w:rFonts w:cs="Calibri"/>
              </w:rPr>
            </w:pPr>
          </w:p>
        </w:tc>
        <w:tc>
          <w:tcPr>
            <w:tcW w:w="395" w:type="dxa"/>
            <w:noWrap/>
            <w:vAlign w:val="bottom"/>
          </w:tcPr>
          <w:p w:rsidR="00DA081D" w:rsidRPr="00EB2995" w:rsidRDefault="00DA081D" w:rsidP="00AF73B9">
            <w:pPr>
              <w:rPr>
                <w:rFonts w:cs="Calibri"/>
              </w:rPr>
            </w:pPr>
          </w:p>
        </w:tc>
        <w:tc>
          <w:tcPr>
            <w:tcW w:w="1448" w:type="dxa"/>
            <w:tcBorders>
              <w:bottom w:val="single" w:sz="4" w:space="0" w:color="auto"/>
            </w:tcBorders>
            <w:noWrap/>
            <w:vAlign w:val="center"/>
          </w:tcPr>
          <w:p w:rsidR="00DA081D" w:rsidRPr="00EB2995" w:rsidRDefault="00DA081D" w:rsidP="00AF73B9">
            <w:pPr>
              <w:jc w:val="right"/>
              <w:rPr>
                <w:rFonts w:cs="Calibri"/>
                <w:b/>
                <w:bCs/>
                <w:color w:val="000000"/>
              </w:rPr>
            </w:pPr>
            <w:r w:rsidRPr="00EB2995">
              <w:rPr>
                <w:rFonts w:cs="Calibri"/>
                <w:b/>
                <w:bCs/>
                <w:color w:val="000000"/>
              </w:rPr>
              <w:t>£m</w:t>
            </w:r>
          </w:p>
        </w:tc>
        <w:tc>
          <w:tcPr>
            <w:tcW w:w="1418" w:type="dxa"/>
            <w:tcBorders>
              <w:bottom w:val="single" w:sz="4" w:space="0" w:color="auto"/>
            </w:tcBorders>
            <w:noWrap/>
            <w:vAlign w:val="center"/>
          </w:tcPr>
          <w:p w:rsidR="00DA081D" w:rsidRPr="00EB2995" w:rsidRDefault="00DA081D" w:rsidP="00AF73B9">
            <w:pPr>
              <w:jc w:val="right"/>
              <w:rPr>
                <w:rFonts w:cs="Calibri"/>
                <w:b/>
                <w:bCs/>
                <w:color w:val="000000"/>
              </w:rPr>
            </w:pPr>
            <w:r w:rsidRPr="00EB2995">
              <w:rPr>
                <w:rFonts w:cs="Calibri"/>
                <w:b/>
                <w:bCs/>
                <w:color w:val="000000"/>
              </w:rPr>
              <w:t>£m</w:t>
            </w:r>
          </w:p>
        </w:tc>
        <w:tc>
          <w:tcPr>
            <w:tcW w:w="1559" w:type="dxa"/>
            <w:tcBorders>
              <w:bottom w:val="single" w:sz="4" w:space="0" w:color="auto"/>
            </w:tcBorders>
            <w:noWrap/>
            <w:vAlign w:val="center"/>
          </w:tcPr>
          <w:p w:rsidR="00DA081D" w:rsidRPr="00EB2995" w:rsidRDefault="00DA081D" w:rsidP="00AF73B9">
            <w:pPr>
              <w:jc w:val="right"/>
              <w:rPr>
                <w:rFonts w:cs="Calibri"/>
                <w:b/>
                <w:bCs/>
                <w:color w:val="000000"/>
              </w:rPr>
            </w:pPr>
            <w:r w:rsidRPr="00EB2995">
              <w:rPr>
                <w:rFonts w:cs="Calibri"/>
                <w:b/>
                <w:bCs/>
                <w:color w:val="000000"/>
              </w:rPr>
              <w:t>£m</w:t>
            </w:r>
          </w:p>
        </w:tc>
        <w:tc>
          <w:tcPr>
            <w:tcW w:w="1583" w:type="dxa"/>
            <w:tcBorders>
              <w:bottom w:val="single" w:sz="4" w:space="0" w:color="auto"/>
            </w:tcBorders>
            <w:noWrap/>
            <w:vAlign w:val="center"/>
          </w:tcPr>
          <w:p w:rsidR="00DA081D" w:rsidRPr="00EB2995" w:rsidRDefault="00DA081D" w:rsidP="00AF73B9">
            <w:pPr>
              <w:jc w:val="right"/>
              <w:rPr>
                <w:rFonts w:cs="Calibri"/>
                <w:b/>
                <w:bCs/>
                <w:color w:val="000000"/>
              </w:rPr>
            </w:pPr>
            <w:r w:rsidRPr="00EB2995">
              <w:rPr>
                <w:rFonts w:cs="Calibri"/>
                <w:b/>
                <w:bCs/>
                <w:color w:val="000000"/>
              </w:rPr>
              <w:t>£m</w:t>
            </w:r>
          </w:p>
        </w:tc>
      </w:tr>
      <w:tr w:rsidR="00DA081D" w:rsidRPr="00EB2995" w:rsidTr="00AF73B9">
        <w:trPr>
          <w:trHeight w:val="300"/>
        </w:trPr>
        <w:tc>
          <w:tcPr>
            <w:tcW w:w="2614" w:type="dxa"/>
            <w:gridSpan w:val="3"/>
            <w:noWrap/>
            <w:vAlign w:val="bottom"/>
          </w:tcPr>
          <w:p w:rsidR="00DA081D" w:rsidRPr="00C05AD5" w:rsidRDefault="00DA081D" w:rsidP="00AF73B9">
            <w:pPr>
              <w:rPr>
                <w:rFonts w:cstheme="minorHAnsi"/>
              </w:rPr>
            </w:pPr>
            <w:r w:rsidRPr="00C05AD5">
              <w:rPr>
                <w:rFonts w:cstheme="minorHAnsi"/>
              </w:rPr>
              <w:t>Not Later than one year</w:t>
            </w:r>
          </w:p>
        </w:tc>
        <w:tc>
          <w:tcPr>
            <w:tcW w:w="680" w:type="dxa"/>
            <w:noWrap/>
            <w:vAlign w:val="bottom"/>
          </w:tcPr>
          <w:p w:rsidR="00DA081D" w:rsidRPr="00EB2995" w:rsidRDefault="00DA081D" w:rsidP="00AF73B9">
            <w:pPr>
              <w:rPr>
                <w:rFonts w:cs="Calibri"/>
              </w:rPr>
            </w:pPr>
          </w:p>
        </w:tc>
        <w:tc>
          <w:tcPr>
            <w:tcW w:w="395" w:type="dxa"/>
            <w:tcBorders>
              <w:right w:val="single" w:sz="4" w:space="0" w:color="auto"/>
            </w:tcBorders>
            <w:noWrap/>
            <w:vAlign w:val="bottom"/>
          </w:tcPr>
          <w:p w:rsidR="00DA081D" w:rsidRPr="00EB2995" w:rsidRDefault="00DA081D" w:rsidP="00AF73B9">
            <w:pPr>
              <w:rPr>
                <w:rFonts w:cs="Calibri"/>
              </w:rPr>
            </w:pPr>
          </w:p>
        </w:tc>
        <w:tc>
          <w:tcPr>
            <w:tcW w:w="1448" w:type="dxa"/>
            <w:tcBorders>
              <w:top w:val="single" w:sz="4" w:space="0" w:color="auto"/>
              <w:left w:val="single" w:sz="4" w:space="0" w:color="auto"/>
              <w:right w:val="single" w:sz="4" w:space="0" w:color="auto"/>
            </w:tcBorders>
            <w:noWrap/>
            <w:vAlign w:val="bottom"/>
          </w:tcPr>
          <w:p w:rsidR="00DA081D" w:rsidRPr="00EB2995" w:rsidRDefault="00DA081D" w:rsidP="00AF73B9">
            <w:pPr>
              <w:jc w:val="right"/>
              <w:rPr>
                <w:rFonts w:cs="Calibri"/>
                <w:bCs/>
              </w:rPr>
            </w:pPr>
            <w:r w:rsidRPr="00EB2995">
              <w:rPr>
                <w:rFonts w:cs="Calibri"/>
              </w:rPr>
              <w:t>1.3</w:t>
            </w:r>
          </w:p>
        </w:tc>
        <w:tc>
          <w:tcPr>
            <w:tcW w:w="1418" w:type="dxa"/>
            <w:tcBorders>
              <w:top w:val="single" w:sz="4" w:space="0" w:color="auto"/>
              <w:left w:val="single" w:sz="4" w:space="0" w:color="auto"/>
              <w:right w:val="single" w:sz="4" w:space="0" w:color="auto"/>
            </w:tcBorders>
            <w:noWrap/>
            <w:vAlign w:val="bottom"/>
          </w:tcPr>
          <w:p w:rsidR="00DA081D" w:rsidRPr="00EB2995" w:rsidRDefault="00DA081D" w:rsidP="00AF73B9">
            <w:pPr>
              <w:jc w:val="right"/>
              <w:rPr>
                <w:rFonts w:cs="Calibri"/>
              </w:rPr>
            </w:pPr>
            <w:r w:rsidRPr="00EB2995">
              <w:rPr>
                <w:rFonts w:cs="Calibri"/>
              </w:rPr>
              <w:t>1.3</w:t>
            </w:r>
          </w:p>
        </w:tc>
        <w:tc>
          <w:tcPr>
            <w:tcW w:w="1559" w:type="dxa"/>
            <w:tcBorders>
              <w:top w:val="single" w:sz="4" w:space="0" w:color="auto"/>
              <w:left w:val="single" w:sz="4" w:space="0" w:color="auto"/>
              <w:right w:val="single" w:sz="4" w:space="0" w:color="auto"/>
            </w:tcBorders>
            <w:noWrap/>
            <w:vAlign w:val="bottom"/>
          </w:tcPr>
          <w:p w:rsidR="00DA081D" w:rsidRPr="00EB2995" w:rsidRDefault="00DA081D" w:rsidP="00AF73B9">
            <w:pPr>
              <w:jc w:val="right"/>
              <w:rPr>
                <w:rFonts w:cs="Calibri"/>
                <w:color w:val="000000"/>
              </w:rPr>
            </w:pPr>
            <w:r w:rsidRPr="00EB2995">
              <w:rPr>
                <w:rFonts w:cs="Calibri"/>
              </w:rPr>
              <w:t>1.3</w:t>
            </w:r>
          </w:p>
        </w:tc>
        <w:tc>
          <w:tcPr>
            <w:tcW w:w="1583" w:type="dxa"/>
            <w:tcBorders>
              <w:top w:val="single" w:sz="4" w:space="0" w:color="auto"/>
              <w:left w:val="single" w:sz="4" w:space="0" w:color="auto"/>
              <w:right w:val="single" w:sz="4" w:space="0" w:color="auto"/>
            </w:tcBorders>
            <w:noWrap/>
            <w:vAlign w:val="center"/>
          </w:tcPr>
          <w:p w:rsidR="00DA081D" w:rsidRPr="00EB2995" w:rsidRDefault="00DA081D" w:rsidP="00AF73B9">
            <w:pPr>
              <w:jc w:val="right"/>
              <w:rPr>
                <w:rFonts w:cs="Calibri"/>
                <w:color w:val="000000"/>
              </w:rPr>
            </w:pPr>
            <w:r w:rsidRPr="00EB2995">
              <w:rPr>
                <w:rFonts w:cs="Calibri"/>
                <w:color w:val="000000"/>
              </w:rPr>
              <w:t>1.2</w:t>
            </w:r>
          </w:p>
        </w:tc>
      </w:tr>
      <w:tr w:rsidR="00DA081D" w:rsidRPr="00EB2995" w:rsidTr="00AF73B9">
        <w:trPr>
          <w:trHeight w:val="300"/>
        </w:trPr>
        <w:tc>
          <w:tcPr>
            <w:tcW w:w="3689" w:type="dxa"/>
            <w:gridSpan w:val="5"/>
            <w:tcBorders>
              <w:right w:val="single" w:sz="4" w:space="0" w:color="auto"/>
            </w:tcBorders>
            <w:noWrap/>
            <w:vAlign w:val="bottom"/>
          </w:tcPr>
          <w:p w:rsidR="00DA081D" w:rsidRPr="00C05AD5" w:rsidRDefault="00DA081D" w:rsidP="00AF73B9">
            <w:pPr>
              <w:rPr>
                <w:rFonts w:cstheme="minorHAnsi"/>
              </w:rPr>
            </w:pPr>
            <w:r w:rsidRPr="00C05AD5">
              <w:rPr>
                <w:rFonts w:cstheme="minorHAnsi"/>
              </w:rPr>
              <w:t>Later than one year and not later than five years</w:t>
            </w:r>
          </w:p>
        </w:tc>
        <w:tc>
          <w:tcPr>
            <w:tcW w:w="1448" w:type="dxa"/>
            <w:tcBorders>
              <w:left w:val="single" w:sz="4" w:space="0" w:color="auto"/>
              <w:bottom w:val="single" w:sz="4" w:space="0" w:color="auto"/>
              <w:right w:val="single" w:sz="4" w:space="0" w:color="auto"/>
            </w:tcBorders>
            <w:noWrap/>
            <w:vAlign w:val="bottom"/>
          </w:tcPr>
          <w:p w:rsidR="00DA081D" w:rsidRPr="00EB2995" w:rsidRDefault="00DA081D" w:rsidP="00AF73B9">
            <w:pPr>
              <w:ind w:left="69"/>
              <w:jc w:val="right"/>
              <w:rPr>
                <w:rFonts w:cs="Calibri"/>
              </w:rPr>
            </w:pPr>
            <w:r w:rsidRPr="00EB2995">
              <w:rPr>
                <w:rFonts w:cs="Calibri"/>
              </w:rPr>
              <w:t>5.2</w:t>
            </w:r>
          </w:p>
        </w:tc>
        <w:tc>
          <w:tcPr>
            <w:tcW w:w="1418" w:type="dxa"/>
            <w:tcBorders>
              <w:left w:val="single" w:sz="4" w:space="0" w:color="auto"/>
              <w:bottom w:val="single" w:sz="4" w:space="0" w:color="auto"/>
              <w:right w:val="single" w:sz="4" w:space="0" w:color="auto"/>
            </w:tcBorders>
            <w:noWrap/>
            <w:vAlign w:val="bottom"/>
          </w:tcPr>
          <w:p w:rsidR="00DA081D" w:rsidRPr="00EB2995" w:rsidRDefault="00DA081D" w:rsidP="00AF73B9">
            <w:pPr>
              <w:jc w:val="right"/>
              <w:rPr>
                <w:rFonts w:cs="Calibri"/>
              </w:rPr>
            </w:pPr>
            <w:r w:rsidRPr="00EB2995">
              <w:rPr>
                <w:rFonts w:cs="Calibri"/>
              </w:rPr>
              <w:t>3.9</w:t>
            </w:r>
          </w:p>
        </w:tc>
        <w:tc>
          <w:tcPr>
            <w:tcW w:w="1559" w:type="dxa"/>
            <w:tcBorders>
              <w:left w:val="single" w:sz="4" w:space="0" w:color="auto"/>
              <w:bottom w:val="single" w:sz="4" w:space="0" w:color="auto"/>
              <w:right w:val="single" w:sz="4" w:space="0" w:color="auto"/>
            </w:tcBorders>
            <w:noWrap/>
            <w:vAlign w:val="bottom"/>
          </w:tcPr>
          <w:p w:rsidR="00DA081D" w:rsidRPr="00EB2995" w:rsidRDefault="00DA081D" w:rsidP="00AF73B9">
            <w:pPr>
              <w:jc w:val="right"/>
              <w:rPr>
                <w:rFonts w:cs="Calibri"/>
              </w:rPr>
            </w:pPr>
            <w:r w:rsidRPr="00EB2995">
              <w:rPr>
                <w:rFonts w:cs="Calibri"/>
              </w:rPr>
              <w:t>4.8</w:t>
            </w:r>
          </w:p>
        </w:tc>
        <w:tc>
          <w:tcPr>
            <w:tcW w:w="1583" w:type="dxa"/>
            <w:tcBorders>
              <w:left w:val="single" w:sz="4" w:space="0" w:color="auto"/>
              <w:bottom w:val="single" w:sz="4" w:space="0" w:color="auto"/>
              <w:right w:val="single" w:sz="4" w:space="0" w:color="auto"/>
            </w:tcBorders>
            <w:noWrap/>
            <w:vAlign w:val="bottom"/>
          </w:tcPr>
          <w:p w:rsidR="00DA081D" w:rsidRPr="00EB2995" w:rsidRDefault="00DA081D" w:rsidP="00AF73B9">
            <w:pPr>
              <w:jc w:val="right"/>
              <w:rPr>
                <w:rFonts w:cs="Calibri"/>
              </w:rPr>
            </w:pPr>
            <w:r w:rsidRPr="00EB2995">
              <w:rPr>
                <w:rFonts w:cs="Calibri"/>
              </w:rPr>
              <w:t>3.6</w:t>
            </w:r>
          </w:p>
        </w:tc>
      </w:tr>
      <w:tr w:rsidR="00DA081D" w:rsidRPr="00EB2995" w:rsidTr="00AF73B9">
        <w:trPr>
          <w:trHeight w:val="300"/>
        </w:trPr>
        <w:tc>
          <w:tcPr>
            <w:tcW w:w="534" w:type="dxa"/>
            <w:noWrap/>
            <w:vAlign w:val="bottom"/>
          </w:tcPr>
          <w:p w:rsidR="00DA081D" w:rsidRPr="00EB2995" w:rsidRDefault="00DA081D" w:rsidP="00AF73B9">
            <w:pPr>
              <w:rPr>
                <w:rFonts w:cs="Calibri"/>
              </w:rPr>
            </w:pPr>
          </w:p>
        </w:tc>
        <w:tc>
          <w:tcPr>
            <w:tcW w:w="1040" w:type="dxa"/>
            <w:noWrap/>
            <w:vAlign w:val="bottom"/>
          </w:tcPr>
          <w:p w:rsidR="00DA081D" w:rsidRPr="00EB2995" w:rsidRDefault="00DA081D" w:rsidP="00AF73B9">
            <w:pPr>
              <w:rPr>
                <w:rFonts w:cs="Calibri"/>
              </w:rPr>
            </w:pPr>
          </w:p>
        </w:tc>
        <w:tc>
          <w:tcPr>
            <w:tcW w:w="1040" w:type="dxa"/>
            <w:noWrap/>
            <w:vAlign w:val="bottom"/>
          </w:tcPr>
          <w:p w:rsidR="00DA081D" w:rsidRPr="00EB2995" w:rsidRDefault="00DA081D" w:rsidP="00AF73B9">
            <w:pPr>
              <w:rPr>
                <w:rFonts w:cs="Calibri"/>
              </w:rPr>
            </w:pPr>
          </w:p>
        </w:tc>
        <w:tc>
          <w:tcPr>
            <w:tcW w:w="680" w:type="dxa"/>
            <w:noWrap/>
            <w:vAlign w:val="bottom"/>
          </w:tcPr>
          <w:p w:rsidR="00DA081D" w:rsidRPr="00EB2995" w:rsidRDefault="00DA081D" w:rsidP="00AF73B9">
            <w:pPr>
              <w:rPr>
                <w:rFonts w:cs="Calibri"/>
              </w:rPr>
            </w:pPr>
          </w:p>
        </w:tc>
        <w:tc>
          <w:tcPr>
            <w:tcW w:w="395" w:type="dxa"/>
            <w:tcBorders>
              <w:right w:val="single" w:sz="4" w:space="0" w:color="auto"/>
            </w:tcBorders>
            <w:noWrap/>
            <w:vAlign w:val="bottom"/>
          </w:tcPr>
          <w:p w:rsidR="00DA081D" w:rsidRPr="00EB2995" w:rsidRDefault="00DA081D" w:rsidP="00AF73B9">
            <w:pPr>
              <w:rPr>
                <w:rFonts w:cs="Calibri"/>
              </w:rPr>
            </w:pPr>
          </w:p>
        </w:tc>
        <w:tc>
          <w:tcPr>
            <w:tcW w:w="1448" w:type="dxa"/>
            <w:tcBorders>
              <w:top w:val="single" w:sz="4" w:space="0" w:color="auto"/>
              <w:left w:val="single" w:sz="4" w:space="0" w:color="auto"/>
              <w:bottom w:val="single" w:sz="4" w:space="0" w:color="auto"/>
              <w:right w:val="single" w:sz="4" w:space="0" w:color="auto"/>
            </w:tcBorders>
            <w:noWrap/>
            <w:vAlign w:val="center"/>
          </w:tcPr>
          <w:p w:rsidR="00DA081D" w:rsidRPr="00EB2995" w:rsidRDefault="00DA081D" w:rsidP="00AF73B9">
            <w:pPr>
              <w:jc w:val="right"/>
              <w:rPr>
                <w:rFonts w:cs="Calibri"/>
                <w:b/>
                <w:bCs/>
                <w:color w:val="000000"/>
              </w:rPr>
            </w:pPr>
            <w:r w:rsidRPr="00EB2995">
              <w:rPr>
                <w:rFonts w:cs="Calibri"/>
                <w:b/>
                <w:bCs/>
                <w:color w:val="000000"/>
              </w:rPr>
              <w:t>6.5</w:t>
            </w:r>
          </w:p>
        </w:tc>
        <w:tc>
          <w:tcPr>
            <w:tcW w:w="1418" w:type="dxa"/>
            <w:tcBorders>
              <w:top w:val="single" w:sz="4" w:space="0" w:color="auto"/>
              <w:left w:val="single" w:sz="4" w:space="0" w:color="auto"/>
              <w:bottom w:val="single" w:sz="4" w:space="0" w:color="auto"/>
              <w:right w:val="single" w:sz="4" w:space="0" w:color="auto"/>
            </w:tcBorders>
            <w:noWrap/>
            <w:vAlign w:val="center"/>
          </w:tcPr>
          <w:p w:rsidR="00DA081D" w:rsidRPr="00EB2995" w:rsidRDefault="00DA081D" w:rsidP="00AF73B9">
            <w:pPr>
              <w:jc w:val="right"/>
              <w:rPr>
                <w:rFonts w:cs="Calibri"/>
                <w:b/>
                <w:bCs/>
                <w:color w:val="000000"/>
              </w:rPr>
            </w:pPr>
            <w:r w:rsidRPr="00EB2995">
              <w:rPr>
                <w:rFonts w:cs="Calibri"/>
                <w:b/>
                <w:bCs/>
                <w:color w:val="000000"/>
              </w:rPr>
              <w:t>5.2</w:t>
            </w:r>
          </w:p>
        </w:tc>
        <w:tc>
          <w:tcPr>
            <w:tcW w:w="1559" w:type="dxa"/>
            <w:tcBorders>
              <w:top w:val="single" w:sz="4" w:space="0" w:color="auto"/>
              <w:left w:val="single" w:sz="4" w:space="0" w:color="auto"/>
              <w:bottom w:val="single" w:sz="4" w:space="0" w:color="auto"/>
              <w:right w:val="single" w:sz="4" w:space="0" w:color="auto"/>
            </w:tcBorders>
            <w:noWrap/>
            <w:vAlign w:val="center"/>
          </w:tcPr>
          <w:p w:rsidR="00DA081D" w:rsidRPr="00EB2995" w:rsidRDefault="00DA081D" w:rsidP="00AF73B9">
            <w:pPr>
              <w:jc w:val="right"/>
              <w:rPr>
                <w:rFonts w:cs="Calibri"/>
                <w:b/>
                <w:bCs/>
                <w:color w:val="000000"/>
              </w:rPr>
            </w:pPr>
            <w:r w:rsidRPr="00EB2995">
              <w:rPr>
                <w:rFonts w:cs="Calibri"/>
                <w:b/>
                <w:bCs/>
                <w:color w:val="000000"/>
              </w:rPr>
              <w:t>6.1</w:t>
            </w:r>
          </w:p>
        </w:tc>
        <w:tc>
          <w:tcPr>
            <w:tcW w:w="1583" w:type="dxa"/>
            <w:tcBorders>
              <w:top w:val="single" w:sz="4" w:space="0" w:color="auto"/>
              <w:left w:val="single" w:sz="4" w:space="0" w:color="auto"/>
              <w:bottom w:val="single" w:sz="4" w:space="0" w:color="auto"/>
              <w:right w:val="single" w:sz="4" w:space="0" w:color="auto"/>
            </w:tcBorders>
            <w:noWrap/>
            <w:vAlign w:val="center"/>
          </w:tcPr>
          <w:p w:rsidR="00DA081D" w:rsidRPr="00EB2995" w:rsidRDefault="00DA081D" w:rsidP="00AF73B9">
            <w:pPr>
              <w:jc w:val="right"/>
              <w:rPr>
                <w:rFonts w:cs="Calibri"/>
                <w:b/>
                <w:bCs/>
                <w:color w:val="000000"/>
              </w:rPr>
            </w:pPr>
            <w:r w:rsidRPr="00EB2995">
              <w:rPr>
                <w:rFonts w:cs="Calibri"/>
                <w:b/>
                <w:bCs/>
                <w:color w:val="000000"/>
              </w:rPr>
              <w:t>4.8</w:t>
            </w:r>
          </w:p>
        </w:tc>
      </w:tr>
    </w:tbl>
    <w:p w:rsidR="00F72906" w:rsidRDefault="00F72906" w:rsidP="00F72906"/>
    <w:p w:rsidR="00F72906" w:rsidRPr="00DA081D" w:rsidRDefault="00F72906" w:rsidP="00F72906">
      <w:pPr>
        <w:rPr>
          <w:b/>
        </w:rPr>
      </w:pPr>
      <w:r w:rsidRPr="00DA081D">
        <w:rPr>
          <w:b/>
        </w:rPr>
        <w:t>Operating Leases (Authority as Lessee)</w:t>
      </w:r>
    </w:p>
    <w:p w:rsidR="00F72906" w:rsidRDefault="00F72906" w:rsidP="00F72906">
      <w:r>
        <w:t>An operating lease is an agreement to use and operate an asset without ownership. Brent Council leases Land &amp; Buildings, Office Equipment, vehicles, and telecommunications Equipment in order to provide its services.The future minimum payments under these leases in future years are:</w:t>
      </w:r>
    </w:p>
    <w:tbl>
      <w:tblPr>
        <w:tblW w:w="8503" w:type="dxa"/>
        <w:tblInd w:w="108" w:type="dxa"/>
        <w:tblLook w:val="00A0" w:firstRow="1" w:lastRow="0" w:firstColumn="1" w:lastColumn="0" w:noHBand="0" w:noVBand="0"/>
      </w:tblPr>
      <w:tblGrid>
        <w:gridCol w:w="1417"/>
        <w:gridCol w:w="5669"/>
        <w:gridCol w:w="1417"/>
      </w:tblGrid>
      <w:tr w:rsidR="00DA081D" w:rsidRPr="00EB2995" w:rsidTr="00AF73B9">
        <w:trPr>
          <w:trHeight w:val="300"/>
        </w:trPr>
        <w:tc>
          <w:tcPr>
            <w:tcW w:w="1417" w:type="dxa"/>
          </w:tcPr>
          <w:p w:rsidR="00DA081D" w:rsidRPr="00EB2995" w:rsidRDefault="00DA081D" w:rsidP="00AF73B9">
            <w:pPr>
              <w:jc w:val="right"/>
              <w:rPr>
                <w:rFonts w:cs="Calibri"/>
                <w:b/>
              </w:rPr>
            </w:pPr>
          </w:p>
          <w:p w:rsidR="00DA081D" w:rsidRPr="00EB2995" w:rsidRDefault="00DA081D" w:rsidP="00AF73B9">
            <w:pPr>
              <w:jc w:val="right"/>
              <w:rPr>
                <w:rFonts w:cs="Calibri"/>
                <w:b/>
              </w:rPr>
            </w:pPr>
            <w:r w:rsidRPr="00EB2995">
              <w:rPr>
                <w:rFonts w:cs="Calibri"/>
                <w:b/>
                <w:bCs/>
                <w:color w:val="000000"/>
              </w:rPr>
              <w:t>2018/19</w:t>
            </w:r>
          </w:p>
        </w:tc>
        <w:tc>
          <w:tcPr>
            <w:tcW w:w="5669" w:type="dxa"/>
          </w:tcPr>
          <w:p w:rsidR="00DA081D" w:rsidRPr="00EB2995" w:rsidRDefault="00DA081D" w:rsidP="00AF73B9">
            <w:pPr>
              <w:jc w:val="right"/>
              <w:rPr>
                <w:rFonts w:cs="Calibri"/>
                <w:b/>
              </w:rPr>
            </w:pPr>
          </w:p>
        </w:tc>
        <w:tc>
          <w:tcPr>
            <w:tcW w:w="1417" w:type="dxa"/>
          </w:tcPr>
          <w:p w:rsidR="00DA081D" w:rsidRPr="00EB2995" w:rsidRDefault="00DA081D" w:rsidP="00AF73B9">
            <w:pPr>
              <w:jc w:val="right"/>
              <w:rPr>
                <w:rFonts w:cs="Calibri"/>
                <w:b/>
              </w:rPr>
            </w:pPr>
          </w:p>
          <w:p w:rsidR="00DA081D" w:rsidRPr="00EB2995" w:rsidRDefault="00DA081D" w:rsidP="00AF73B9">
            <w:pPr>
              <w:jc w:val="right"/>
              <w:rPr>
                <w:rFonts w:cs="Calibri"/>
                <w:b/>
              </w:rPr>
            </w:pPr>
            <w:r w:rsidRPr="00EB2995">
              <w:rPr>
                <w:rFonts w:cs="Calibri"/>
                <w:b/>
                <w:bCs/>
                <w:color w:val="000000"/>
              </w:rPr>
              <w:t>2019/20</w:t>
            </w:r>
          </w:p>
        </w:tc>
      </w:tr>
      <w:tr w:rsidR="00DA081D" w:rsidRPr="00EB2995" w:rsidTr="00AF73B9">
        <w:trPr>
          <w:trHeight w:val="300"/>
        </w:trPr>
        <w:tc>
          <w:tcPr>
            <w:tcW w:w="1417" w:type="dxa"/>
            <w:tcBorders>
              <w:bottom w:val="single" w:sz="4" w:space="0" w:color="auto"/>
            </w:tcBorders>
          </w:tcPr>
          <w:p w:rsidR="00DA081D" w:rsidRPr="00EB2995" w:rsidRDefault="00DA081D" w:rsidP="00AF73B9">
            <w:pPr>
              <w:jc w:val="right"/>
              <w:rPr>
                <w:rFonts w:cs="Calibri"/>
                <w:b/>
              </w:rPr>
            </w:pPr>
            <w:r w:rsidRPr="00EB2995">
              <w:rPr>
                <w:rFonts w:cs="Calibri"/>
                <w:b/>
              </w:rPr>
              <w:t>£m</w:t>
            </w:r>
          </w:p>
        </w:tc>
        <w:tc>
          <w:tcPr>
            <w:tcW w:w="5669" w:type="dxa"/>
          </w:tcPr>
          <w:p w:rsidR="00DA081D" w:rsidRPr="00EB2995" w:rsidRDefault="00DA081D" w:rsidP="00AF73B9">
            <w:pPr>
              <w:jc w:val="right"/>
              <w:rPr>
                <w:rFonts w:cs="Calibri"/>
                <w:b/>
              </w:rPr>
            </w:pPr>
          </w:p>
        </w:tc>
        <w:tc>
          <w:tcPr>
            <w:tcW w:w="1417" w:type="dxa"/>
            <w:tcBorders>
              <w:bottom w:val="single" w:sz="4" w:space="0" w:color="auto"/>
            </w:tcBorders>
            <w:noWrap/>
          </w:tcPr>
          <w:p w:rsidR="00DA081D" w:rsidRPr="00EB2995" w:rsidRDefault="00DA081D" w:rsidP="00AF73B9">
            <w:pPr>
              <w:jc w:val="right"/>
              <w:rPr>
                <w:rFonts w:cs="Calibri"/>
                <w:b/>
              </w:rPr>
            </w:pPr>
            <w:r w:rsidRPr="00EB2995">
              <w:rPr>
                <w:rFonts w:cs="Calibri"/>
                <w:b/>
              </w:rPr>
              <w:t>£m</w:t>
            </w:r>
          </w:p>
        </w:tc>
      </w:tr>
      <w:tr w:rsidR="00DA081D" w:rsidRPr="00EB2995" w:rsidTr="00AF73B9">
        <w:trPr>
          <w:trHeight w:val="300"/>
        </w:trPr>
        <w:tc>
          <w:tcPr>
            <w:tcW w:w="1417" w:type="dxa"/>
            <w:tcBorders>
              <w:top w:val="single" w:sz="8" w:space="0" w:color="auto"/>
              <w:left w:val="single" w:sz="8" w:space="0" w:color="auto"/>
              <w:bottom w:val="nil"/>
              <w:right w:val="single" w:sz="8" w:space="0" w:color="auto"/>
            </w:tcBorders>
            <w:shd w:val="clear" w:color="000000" w:fill="FFFFFF"/>
            <w:vAlign w:val="center"/>
          </w:tcPr>
          <w:p w:rsidR="00DA081D" w:rsidRPr="00EB2995" w:rsidRDefault="00DA081D" w:rsidP="00AF73B9">
            <w:pPr>
              <w:jc w:val="right"/>
              <w:rPr>
                <w:rFonts w:cs="Calibri"/>
              </w:rPr>
            </w:pPr>
            <w:r w:rsidRPr="00EB2995">
              <w:rPr>
                <w:rFonts w:cs="Calibri"/>
                <w:color w:val="000000"/>
                <w:sz w:val="20"/>
                <w:szCs w:val="20"/>
              </w:rPr>
              <w:t>0.5</w:t>
            </w:r>
          </w:p>
        </w:tc>
        <w:tc>
          <w:tcPr>
            <w:tcW w:w="5669" w:type="dxa"/>
            <w:tcBorders>
              <w:left w:val="single" w:sz="4" w:space="0" w:color="auto"/>
              <w:right w:val="single" w:sz="4" w:space="0" w:color="auto"/>
            </w:tcBorders>
            <w:vAlign w:val="bottom"/>
          </w:tcPr>
          <w:p w:rsidR="00DA081D" w:rsidRPr="00EB2995" w:rsidRDefault="00DA081D" w:rsidP="00AF73B9">
            <w:pPr>
              <w:rPr>
                <w:rFonts w:cs="Calibri"/>
              </w:rPr>
            </w:pPr>
            <w:r w:rsidRPr="00EB2995">
              <w:rPr>
                <w:rFonts w:cs="Calibri"/>
              </w:rPr>
              <w:t>Not later than one year</w:t>
            </w:r>
          </w:p>
        </w:tc>
        <w:tc>
          <w:tcPr>
            <w:tcW w:w="1417" w:type="dxa"/>
            <w:tcBorders>
              <w:top w:val="single" w:sz="8" w:space="0" w:color="auto"/>
              <w:left w:val="single" w:sz="8" w:space="0" w:color="auto"/>
              <w:bottom w:val="nil"/>
              <w:right w:val="single" w:sz="8" w:space="0" w:color="auto"/>
            </w:tcBorders>
            <w:shd w:val="clear" w:color="000000" w:fill="FFFFFF"/>
            <w:noWrap/>
            <w:vAlign w:val="center"/>
          </w:tcPr>
          <w:p w:rsidR="00DA081D" w:rsidRPr="00EB2995" w:rsidRDefault="007058D0" w:rsidP="00AF73B9">
            <w:pPr>
              <w:jc w:val="right"/>
              <w:rPr>
                <w:rFonts w:cs="Calibri"/>
              </w:rPr>
            </w:pPr>
            <w:r>
              <w:rPr>
                <w:rFonts w:cs="Calibri"/>
              </w:rPr>
              <w:t>1.5</w:t>
            </w:r>
          </w:p>
        </w:tc>
      </w:tr>
      <w:tr w:rsidR="00DA081D" w:rsidRPr="00EB2995" w:rsidTr="00AF73B9">
        <w:trPr>
          <w:trHeight w:val="300"/>
        </w:trPr>
        <w:tc>
          <w:tcPr>
            <w:tcW w:w="1417" w:type="dxa"/>
            <w:tcBorders>
              <w:top w:val="nil"/>
              <w:left w:val="single" w:sz="8" w:space="0" w:color="auto"/>
              <w:bottom w:val="nil"/>
              <w:right w:val="single" w:sz="8" w:space="0" w:color="auto"/>
            </w:tcBorders>
            <w:shd w:val="clear" w:color="000000" w:fill="FFFFFF"/>
            <w:vAlign w:val="center"/>
          </w:tcPr>
          <w:p w:rsidR="00DA081D" w:rsidRPr="00EB2995" w:rsidRDefault="00DA081D" w:rsidP="00AF73B9">
            <w:pPr>
              <w:jc w:val="right"/>
              <w:rPr>
                <w:rFonts w:cs="Calibri"/>
              </w:rPr>
            </w:pPr>
            <w:r w:rsidRPr="00EB2995">
              <w:rPr>
                <w:rFonts w:cs="Calibri"/>
                <w:color w:val="000000"/>
                <w:sz w:val="20"/>
                <w:szCs w:val="20"/>
              </w:rPr>
              <w:t>0.6</w:t>
            </w:r>
          </w:p>
        </w:tc>
        <w:tc>
          <w:tcPr>
            <w:tcW w:w="5669" w:type="dxa"/>
            <w:tcBorders>
              <w:left w:val="single" w:sz="4" w:space="0" w:color="auto"/>
              <w:right w:val="single" w:sz="4" w:space="0" w:color="auto"/>
            </w:tcBorders>
            <w:vAlign w:val="bottom"/>
          </w:tcPr>
          <w:p w:rsidR="00DA081D" w:rsidRPr="00EB2995" w:rsidRDefault="00DA081D" w:rsidP="00AF73B9">
            <w:pPr>
              <w:rPr>
                <w:rFonts w:cs="Calibri"/>
              </w:rPr>
            </w:pPr>
            <w:r w:rsidRPr="00EB2995">
              <w:rPr>
                <w:rFonts w:cs="Calibri"/>
              </w:rPr>
              <w:t>Later than one year and not later than five years</w:t>
            </w:r>
          </w:p>
        </w:tc>
        <w:tc>
          <w:tcPr>
            <w:tcW w:w="1417" w:type="dxa"/>
            <w:tcBorders>
              <w:top w:val="nil"/>
              <w:left w:val="single" w:sz="8" w:space="0" w:color="auto"/>
              <w:bottom w:val="nil"/>
              <w:right w:val="single" w:sz="8" w:space="0" w:color="auto"/>
            </w:tcBorders>
            <w:shd w:val="clear" w:color="000000" w:fill="FFFFFF"/>
            <w:noWrap/>
            <w:vAlign w:val="center"/>
          </w:tcPr>
          <w:p w:rsidR="00DA081D" w:rsidRPr="00EB2995" w:rsidRDefault="007058D0" w:rsidP="00AF73B9">
            <w:pPr>
              <w:jc w:val="right"/>
              <w:rPr>
                <w:rFonts w:cs="Calibri"/>
              </w:rPr>
            </w:pPr>
            <w:r>
              <w:rPr>
                <w:rFonts w:cs="Calibri"/>
                <w:color w:val="000000"/>
                <w:sz w:val="20"/>
                <w:szCs w:val="20"/>
              </w:rPr>
              <w:t>4.9</w:t>
            </w:r>
          </w:p>
        </w:tc>
      </w:tr>
      <w:tr w:rsidR="00DA081D" w:rsidRPr="00EB2995" w:rsidTr="00AF73B9">
        <w:trPr>
          <w:trHeight w:val="300"/>
        </w:trPr>
        <w:tc>
          <w:tcPr>
            <w:tcW w:w="1417" w:type="dxa"/>
            <w:tcBorders>
              <w:top w:val="nil"/>
              <w:left w:val="single" w:sz="8" w:space="0" w:color="auto"/>
              <w:bottom w:val="nil"/>
              <w:right w:val="single" w:sz="8" w:space="0" w:color="auto"/>
            </w:tcBorders>
            <w:shd w:val="clear" w:color="000000" w:fill="FFFFFF"/>
            <w:vAlign w:val="center"/>
          </w:tcPr>
          <w:p w:rsidR="00DA081D" w:rsidRPr="00EB2995" w:rsidRDefault="00DA081D" w:rsidP="00AF73B9">
            <w:pPr>
              <w:jc w:val="right"/>
              <w:rPr>
                <w:rFonts w:cs="Calibri"/>
              </w:rPr>
            </w:pPr>
            <w:r w:rsidRPr="00EB2995">
              <w:rPr>
                <w:rFonts w:cs="Calibri"/>
                <w:color w:val="000000"/>
                <w:sz w:val="20"/>
                <w:szCs w:val="20"/>
              </w:rPr>
              <w:t>0.3</w:t>
            </w:r>
          </w:p>
        </w:tc>
        <w:tc>
          <w:tcPr>
            <w:tcW w:w="5669" w:type="dxa"/>
            <w:tcBorders>
              <w:left w:val="single" w:sz="4" w:space="0" w:color="auto"/>
              <w:right w:val="single" w:sz="4" w:space="0" w:color="auto"/>
            </w:tcBorders>
            <w:vAlign w:val="bottom"/>
          </w:tcPr>
          <w:p w:rsidR="00DA081D" w:rsidRPr="00EB2995" w:rsidRDefault="00DA081D" w:rsidP="00AF73B9">
            <w:pPr>
              <w:rPr>
                <w:rFonts w:cs="Calibri"/>
              </w:rPr>
            </w:pPr>
            <w:r w:rsidRPr="00EB2995">
              <w:rPr>
                <w:rFonts w:cs="Calibri"/>
              </w:rPr>
              <w:t>Later than five years</w:t>
            </w:r>
          </w:p>
        </w:tc>
        <w:tc>
          <w:tcPr>
            <w:tcW w:w="1417" w:type="dxa"/>
            <w:tcBorders>
              <w:top w:val="nil"/>
              <w:left w:val="single" w:sz="8" w:space="0" w:color="auto"/>
              <w:bottom w:val="nil"/>
              <w:right w:val="single" w:sz="8" w:space="0" w:color="auto"/>
            </w:tcBorders>
            <w:shd w:val="clear" w:color="000000" w:fill="FFFFFF"/>
            <w:noWrap/>
            <w:vAlign w:val="center"/>
          </w:tcPr>
          <w:p w:rsidR="00DA081D" w:rsidRPr="00EB2995" w:rsidRDefault="007058D0" w:rsidP="00AF73B9">
            <w:pPr>
              <w:jc w:val="right"/>
              <w:rPr>
                <w:rFonts w:cs="Calibri"/>
              </w:rPr>
            </w:pPr>
            <w:r>
              <w:rPr>
                <w:rFonts w:cs="Calibri"/>
                <w:color w:val="000000"/>
                <w:sz w:val="20"/>
                <w:szCs w:val="20"/>
              </w:rPr>
              <w:t>11.6</w:t>
            </w:r>
          </w:p>
        </w:tc>
      </w:tr>
      <w:tr w:rsidR="00DA081D" w:rsidRPr="00EB2995" w:rsidTr="00AF73B9">
        <w:trPr>
          <w:trHeight w:val="300"/>
        </w:trPr>
        <w:tc>
          <w:tcPr>
            <w:tcW w:w="1417" w:type="dxa"/>
            <w:tcBorders>
              <w:top w:val="single" w:sz="4" w:space="0" w:color="auto"/>
              <w:left w:val="single" w:sz="4" w:space="0" w:color="auto"/>
              <w:bottom w:val="single" w:sz="4" w:space="0" w:color="auto"/>
              <w:right w:val="single" w:sz="4" w:space="0" w:color="auto"/>
            </w:tcBorders>
          </w:tcPr>
          <w:p w:rsidR="00DA081D" w:rsidRPr="00EB2995" w:rsidRDefault="00DA081D" w:rsidP="00AF73B9">
            <w:pPr>
              <w:jc w:val="right"/>
              <w:rPr>
                <w:rFonts w:cs="Calibri"/>
                <w:b/>
              </w:rPr>
            </w:pPr>
            <w:r w:rsidRPr="00EB2995">
              <w:rPr>
                <w:rFonts w:cs="Calibri"/>
                <w:b/>
              </w:rPr>
              <w:t>1.3</w:t>
            </w:r>
          </w:p>
        </w:tc>
        <w:tc>
          <w:tcPr>
            <w:tcW w:w="5669" w:type="dxa"/>
            <w:tcBorders>
              <w:left w:val="single" w:sz="4" w:space="0" w:color="auto"/>
              <w:right w:val="single" w:sz="4" w:space="0" w:color="auto"/>
            </w:tcBorders>
            <w:vAlign w:val="bottom"/>
          </w:tcPr>
          <w:p w:rsidR="00DA081D" w:rsidRPr="00EB2995" w:rsidRDefault="00DA081D" w:rsidP="00AF73B9">
            <w:pPr>
              <w:jc w:val="center"/>
              <w:rPr>
                <w:rFonts w:cs="Calibri"/>
                <w:b/>
              </w:rPr>
            </w:pPr>
            <w:r w:rsidRPr="00EB2995">
              <w:rPr>
                <w:rFonts w:cs="Calibri"/>
                <w:b/>
              </w:rPr>
              <w:t>Total</w:t>
            </w:r>
          </w:p>
        </w:tc>
        <w:tc>
          <w:tcPr>
            <w:tcW w:w="1417" w:type="dxa"/>
            <w:tcBorders>
              <w:top w:val="single" w:sz="4" w:space="0" w:color="auto"/>
              <w:left w:val="single" w:sz="4" w:space="0" w:color="auto"/>
              <w:bottom w:val="single" w:sz="4" w:space="0" w:color="auto"/>
              <w:right w:val="single" w:sz="4" w:space="0" w:color="auto"/>
            </w:tcBorders>
            <w:noWrap/>
          </w:tcPr>
          <w:p w:rsidR="00DA081D" w:rsidRPr="00EB2995" w:rsidRDefault="00DA081D" w:rsidP="00AF73B9">
            <w:pPr>
              <w:jc w:val="right"/>
              <w:rPr>
                <w:rFonts w:cs="Calibri"/>
                <w:b/>
              </w:rPr>
            </w:pPr>
            <w:r w:rsidRPr="00EB2995">
              <w:rPr>
                <w:rFonts w:cs="Calibri"/>
                <w:b/>
              </w:rPr>
              <w:t>1</w:t>
            </w:r>
            <w:r w:rsidR="007058D0">
              <w:rPr>
                <w:rFonts w:cs="Calibri"/>
                <w:b/>
              </w:rPr>
              <w:t>8.0</w:t>
            </w:r>
          </w:p>
        </w:tc>
      </w:tr>
    </w:tbl>
    <w:p w:rsidR="00F72906" w:rsidRDefault="00F72906" w:rsidP="00F72906"/>
    <w:p w:rsidR="00DA081D" w:rsidRPr="00EB2995" w:rsidRDefault="00DA081D" w:rsidP="00DA081D">
      <w:pPr>
        <w:jc w:val="both"/>
        <w:rPr>
          <w:rFonts w:cs="Calibri"/>
        </w:rPr>
      </w:pPr>
      <w:r w:rsidRPr="00EB2995">
        <w:rPr>
          <w:rFonts w:cs="Calibri"/>
        </w:rPr>
        <w:lastRenderedPageBreak/>
        <w:t>The following future sublease payments are receivable:</w:t>
      </w:r>
    </w:p>
    <w:p w:rsidR="00DA081D" w:rsidRPr="00EB2995" w:rsidRDefault="00DA081D" w:rsidP="00DA081D">
      <w:pPr>
        <w:jc w:val="both"/>
        <w:rPr>
          <w:rFonts w:cs="Calibri"/>
          <w:color w:val="0070C0"/>
        </w:rPr>
      </w:pPr>
    </w:p>
    <w:tbl>
      <w:tblPr>
        <w:tblW w:w="8397" w:type="dxa"/>
        <w:tblInd w:w="108" w:type="dxa"/>
        <w:tblLook w:val="00A0" w:firstRow="1" w:lastRow="0" w:firstColumn="1" w:lastColumn="0" w:noHBand="0" w:noVBand="0"/>
      </w:tblPr>
      <w:tblGrid>
        <w:gridCol w:w="1417"/>
        <w:gridCol w:w="5669"/>
        <w:gridCol w:w="1311"/>
      </w:tblGrid>
      <w:tr w:rsidR="00DA081D" w:rsidRPr="00EB2995" w:rsidTr="00AF73B9">
        <w:trPr>
          <w:trHeight w:val="300"/>
        </w:trPr>
        <w:tc>
          <w:tcPr>
            <w:tcW w:w="1417" w:type="dxa"/>
            <w:tcBorders>
              <w:bottom w:val="single" w:sz="4" w:space="0" w:color="auto"/>
            </w:tcBorders>
          </w:tcPr>
          <w:p w:rsidR="00DA081D" w:rsidRPr="00EB2995" w:rsidRDefault="00DA081D" w:rsidP="00AF73B9">
            <w:pPr>
              <w:jc w:val="right"/>
              <w:rPr>
                <w:rFonts w:cs="Calibri"/>
                <w:b/>
              </w:rPr>
            </w:pPr>
            <w:r w:rsidRPr="00EB2995">
              <w:rPr>
                <w:rFonts w:cs="Calibri"/>
                <w:b/>
              </w:rPr>
              <w:t>£m</w:t>
            </w:r>
          </w:p>
        </w:tc>
        <w:tc>
          <w:tcPr>
            <w:tcW w:w="5669" w:type="dxa"/>
          </w:tcPr>
          <w:p w:rsidR="00DA081D" w:rsidRPr="00EB2995" w:rsidRDefault="00DA081D" w:rsidP="00AF73B9">
            <w:pPr>
              <w:jc w:val="right"/>
              <w:rPr>
                <w:rFonts w:cs="Calibri"/>
                <w:b/>
              </w:rPr>
            </w:pPr>
          </w:p>
        </w:tc>
        <w:tc>
          <w:tcPr>
            <w:tcW w:w="1311" w:type="dxa"/>
            <w:tcBorders>
              <w:bottom w:val="single" w:sz="4" w:space="0" w:color="auto"/>
            </w:tcBorders>
            <w:noWrap/>
          </w:tcPr>
          <w:p w:rsidR="00DA081D" w:rsidRPr="00EB2995" w:rsidRDefault="00DA081D" w:rsidP="00AF73B9">
            <w:pPr>
              <w:jc w:val="right"/>
              <w:rPr>
                <w:rFonts w:cs="Calibri"/>
                <w:b/>
              </w:rPr>
            </w:pPr>
            <w:r w:rsidRPr="00EB2995">
              <w:rPr>
                <w:rFonts w:cs="Calibri"/>
                <w:b/>
              </w:rPr>
              <w:t>£m</w:t>
            </w:r>
          </w:p>
        </w:tc>
      </w:tr>
      <w:tr w:rsidR="00DA081D" w:rsidRPr="00EB2995" w:rsidTr="00AF73B9">
        <w:trPr>
          <w:trHeight w:val="170"/>
        </w:trPr>
        <w:tc>
          <w:tcPr>
            <w:tcW w:w="1417" w:type="dxa"/>
            <w:tcBorders>
              <w:top w:val="single" w:sz="4" w:space="0" w:color="auto"/>
              <w:left w:val="single" w:sz="4" w:space="0" w:color="auto"/>
              <w:bottom w:val="single" w:sz="4" w:space="0" w:color="auto"/>
              <w:right w:val="single" w:sz="4" w:space="0" w:color="auto"/>
            </w:tcBorders>
            <w:vAlign w:val="bottom"/>
          </w:tcPr>
          <w:p w:rsidR="00DA081D" w:rsidRPr="00EB2995" w:rsidRDefault="00DA081D" w:rsidP="00AF73B9">
            <w:pPr>
              <w:jc w:val="right"/>
              <w:rPr>
                <w:rFonts w:cs="Calibri"/>
              </w:rPr>
            </w:pPr>
            <w:r w:rsidRPr="00EB2995">
              <w:rPr>
                <w:rFonts w:cs="Calibri"/>
              </w:rPr>
              <w:t>0.2</w:t>
            </w:r>
          </w:p>
        </w:tc>
        <w:tc>
          <w:tcPr>
            <w:tcW w:w="5669" w:type="dxa"/>
            <w:tcBorders>
              <w:left w:val="single" w:sz="4" w:space="0" w:color="auto"/>
              <w:right w:val="single" w:sz="4" w:space="0" w:color="auto"/>
            </w:tcBorders>
            <w:vAlign w:val="bottom"/>
          </w:tcPr>
          <w:p w:rsidR="00DA081D" w:rsidRPr="00EB2995" w:rsidRDefault="00DA081D" w:rsidP="00AF73B9">
            <w:pPr>
              <w:rPr>
                <w:rFonts w:cs="Calibri"/>
              </w:rPr>
            </w:pPr>
            <w:r w:rsidRPr="00EB2995">
              <w:rPr>
                <w:rFonts w:cs="Calibri"/>
                <w:color w:val="000000"/>
              </w:rPr>
              <w:t>Future Minimum Sublease Payments Receivable</w:t>
            </w:r>
          </w:p>
        </w:tc>
        <w:tc>
          <w:tcPr>
            <w:tcW w:w="1311" w:type="dxa"/>
            <w:tcBorders>
              <w:top w:val="single" w:sz="4" w:space="0" w:color="auto"/>
              <w:left w:val="single" w:sz="4" w:space="0" w:color="auto"/>
              <w:bottom w:val="single" w:sz="4" w:space="0" w:color="auto"/>
              <w:right w:val="single" w:sz="4" w:space="0" w:color="auto"/>
            </w:tcBorders>
            <w:noWrap/>
          </w:tcPr>
          <w:p w:rsidR="00DA081D" w:rsidRPr="00EB2995" w:rsidRDefault="00DA081D" w:rsidP="00AF73B9">
            <w:pPr>
              <w:jc w:val="right"/>
              <w:rPr>
                <w:rFonts w:cs="Calibri"/>
              </w:rPr>
            </w:pPr>
            <w:r w:rsidRPr="00EB2995">
              <w:rPr>
                <w:rFonts w:cs="Calibri"/>
              </w:rPr>
              <w:t>4.4</w:t>
            </w:r>
          </w:p>
        </w:tc>
      </w:tr>
    </w:tbl>
    <w:p w:rsidR="00DA081D" w:rsidRPr="00EB2995" w:rsidRDefault="00DA081D" w:rsidP="00DA081D">
      <w:pPr>
        <w:jc w:val="both"/>
        <w:rPr>
          <w:rFonts w:cs="Calibri"/>
          <w:color w:val="0070C0"/>
        </w:rPr>
      </w:pPr>
    </w:p>
    <w:p w:rsidR="00DA081D" w:rsidRDefault="00F72906" w:rsidP="00DA081D">
      <w:r>
        <w:t>The expenditure charged to Comprehensive Income and Expenditure Statement for these leases is detailed below:</w:t>
      </w:r>
      <w:r w:rsidR="00DA081D">
        <w:t xml:space="preserve"> </w:t>
      </w:r>
    </w:p>
    <w:tbl>
      <w:tblPr>
        <w:tblW w:w="8503" w:type="dxa"/>
        <w:tblInd w:w="108" w:type="dxa"/>
        <w:tblLook w:val="00A0" w:firstRow="1" w:lastRow="0" w:firstColumn="1" w:lastColumn="0" w:noHBand="0" w:noVBand="0"/>
      </w:tblPr>
      <w:tblGrid>
        <w:gridCol w:w="1417"/>
        <w:gridCol w:w="5669"/>
        <w:gridCol w:w="1417"/>
      </w:tblGrid>
      <w:tr w:rsidR="00DA081D" w:rsidRPr="00EB2995" w:rsidTr="00AF73B9">
        <w:trPr>
          <w:trHeight w:val="300"/>
        </w:trPr>
        <w:tc>
          <w:tcPr>
            <w:tcW w:w="1417" w:type="dxa"/>
          </w:tcPr>
          <w:p w:rsidR="00DA081D" w:rsidRPr="00EB2995" w:rsidRDefault="00DA081D" w:rsidP="00AF73B9">
            <w:pPr>
              <w:jc w:val="right"/>
              <w:rPr>
                <w:rFonts w:cs="Calibri"/>
                <w:b/>
              </w:rPr>
            </w:pPr>
            <w:r w:rsidRPr="00EB2995">
              <w:rPr>
                <w:rFonts w:cs="Calibri"/>
                <w:b/>
                <w:bCs/>
                <w:color w:val="000000"/>
              </w:rPr>
              <w:t>2018/19</w:t>
            </w:r>
          </w:p>
        </w:tc>
        <w:tc>
          <w:tcPr>
            <w:tcW w:w="5669" w:type="dxa"/>
          </w:tcPr>
          <w:p w:rsidR="00DA081D" w:rsidRPr="00EB2995" w:rsidRDefault="00DA081D" w:rsidP="00AF73B9">
            <w:pPr>
              <w:jc w:val="right"/>
              <w:rPr>
                <w:rFonts w:cs="Calibri"/>
                <w:b/>
              </w:rPr>
            </w:pPr>
          </w:p>
        </w:tc>
        <w:tc>
          <w:tcPr>
            <w:tcW w:w="1417" w:type="dxa"/>
          </w:tcPr>
          <w:p w:rsidR="00DA081D" w:rsidRPr="00EB2995" w:rsidRDefault="00DA081D" w:rsidP="00AF73B9">
            <w:pPr>
              <w:jc w:val="right"/>
              <w:rPr>
                <w:rFonts w:cs="Calibri"/>
                <w:b/>
              </w:rPr>
            </w:pPr>
            <w:r w:rsidRPr="00EB2995">
              <w:rPr>
                <w:rFonts w:cs="Calibri"/>
                <w:b/>
                <w:bCs/>
                <w:color w:val="000000"/>
              </w:rPr>
              <w:t>2019/20</w:t>
            </w:r>
          </w:p>
        </w:tc>
      </w:tr>
      <w:tr w:rsidR="00DA081D" w:rsidRPr="00EB2995" w:rsidTr="00AF73B9">
        <w:trPr>
          <w:trHeight w:val="300"/>
        </w:trPr>
        <w:tc>
          <w:tcPr>
            <w:tcW w:w="1417" w:type="dxa"/>
            <w:tcBorders>
              <w:bottom w:val="single" w:sz="4" w:space="0" w:color="auto"/>
            </w:tcBorders>
          </w:tcPr>
          <w:p w:rsidR="00DA081D" w:rsidRPr="00EB2995" w:rsidRDefault="00DA081D" w:rsidP="00AF73B9">
            <w:pPr>
              <w:jc w:val="right"/>
              <w:rPr>
                <w:rFonts w:cs="Calibri"/>
                <w:b/>
              </w:rPr>
            </w:pPr>
            <w:r w:rsidRPr="00EB2995">
              <w:rPr>
                <w:rFonts w:cs="Calibri"/>
                <w:b/>
              </w:rPr>
              <w:t>31-Mar-19</w:t>
            </w:r>
          </w:p>
          <w:p w:rsidR="00DA081D" w:rsidRPr="00EB2995" w:rsidRDefault="00DA081D" w:rsidP="00AF73B9">
            <w:pPr>
              <w:jc w:val="right"/>
              <w:rPr>
                <w:rFonts w:cs="Calibri"/>
                <w:b/>
              </w:rPr>
            </w:pPr>
            <w:r w:rsidRPr="00EB2995">
              <w:rPr>
                <w:rFonts w:cs="Calibri"/>
                <w:b/>
              </w:rPr>
              <w:t>£m</w:t>
            </w:r>
          </w:p>
        </w:tc>
        <w:tc>
          <w:tcPr>
            <w:tcW w:w="5669" w:type="dxa"/>
          </w:tcPr>
          <w:p w:rsidR="00DA081D" w:rsidRPr="00EB2995" w:rsidRDefault="00DA081D" w:rsidP="00AF73B9">
            <w:pPr>
              <w:jc w:val="right"/>
              <w:rPr>
                <w:rFonts w:cs="Calibri"/>
                <w:b/>
              </w:rPr>
            </w:pPr>
          </w:p>
        </w:tc>
        <w:tc>
          <w:tcPr>
            <w:tcW w:w="1417" w:type="dxa"/>
            <w:tcBorders>
              <w:bottom w:val="single" w:sz="4" w:space="0" w:color="auto"/>
            </w:tcBorders>
            <w:noWrap/>
          </w:tcPr>
          <w:p w:rsidR="00DA081D" w:rsidRPr="00EB2995" w:rsidRDefault="00DA081D" w:rsidP="00AF73B9">
            <w:pPr>
              <w:jc w:val="right"/>
              <w:rPr>
                <w:rFonts w:cs="Calibri"/>
                <w:b/>
              </w:rPr>
            </w:pPr>
            <w:r w:rsidRPr="00EB2995">
              <w:rPr>
                <w:rFonts w:cs="Calibri"/>
                <w:b/>
              </w:rPr>
              <w:t>31-Mar-20</w:t>
            </w:r>
          </w:p>
          <w:p w:rsidR="00DA081D" w:rsidRPr="00EB2995" w:rsidRDefault="00DA081D" w:rsidP="00AF73B9">
            <w:pPr>
              <w:jc w:val="right"/>
              <w:rPr>
                <w:rFonts w:cs="Calibri"/>
                <w:b/>
              </w:rPr>
            </w:pPr>
            <w:r w:rsidRPr="00EB2995">
              <w:rPr>
                <w:rFonts w:cs="Calibri"/>
                <w:b/>
              </w:rPr>
              <w:t>£m</w:t>
            </w:r>
          </w:p>
        </w:tc>
      </w:tr>
      <w:tr w:rsidR="00DA081D" w:rsidRPr="00EB2995" w:rsidTr="00AF73B9">
        <w:trPr>
          <w:trHeight w:val="300"/>
        </w:trPr>
        <w:tc>
          <w:tcPr>
            <w:tcW w:w="1417" w:type="dxa"/>
            <w:tcBorders>
              <w:top w:val="nil"/>
              <w:left w:val="single" w:sz="8" w:space="0" w:color="auto"/>
              <w:bottom w:val="nil"/>
              <w:right w:val="single" w:sz="8" w:space="0" w:color="auto"/>
            </w:tcBorders>
            <w:shd w:val="clear" w:color="000000" w:fill="FFFFFF"/>
            <w:vAlign w:val="center"/>
          </w:tcPr>
          <w:p w:rsidR="00DA081D" w:rsidRPr="00EB2995" w:rsidRDefault="00DA081D" w:rsidP="00AF73B9">
            <w:pPr>
              <w:jc w:val="right"/>
              <w:rPr>
                <w:rFonts w:cs="Calibri"/>
              </w:rPr>
            </w:pPr>
            <w:r w:rsidRPr="00EB2995">
              <w:rPr>
                <w:rFonts w:cs="Calibri"/>
                <w:color w:val="000000"/>
                <w:sz w:val="20"/>
                <w:szCs w:val="20"/>
              </w:rPr>
              <w:t>0.7</w:t>
            </w:r>
          </w:p>
        </w:tc>
        <w:tc>
          <w:tcPr>
            <w:tcW w:w="5669" w:type="dxa"/>
            <w:tcBorders>
              <w:left w:val="single" w:sz="4" w:space="0" w:color="auto"/>
              <w:right w:val="single" w:sz="4" w:space="0" w:color="auto"/>
            </w:tcBorders>
            <w:vAlign w:val="bottom"/>
          </w:tcPr>
          <w:p w:rsidR="00DA081D" w:rsidRPr="00EB2995" w:rsidRDefault="00DA081D" w:rsidP="00AF73B9">
            <w:pPr>
              <w:rPr>
                <w:rFonts w:cs="Calibri"/>
              </w:rPr>
            </w:pPr>
            <w:r w:rsidRPr="00EB2995">
              <w:rPr>
                <w:rFonts w:cs="Calibri"/>
              </w:rPr>
              <w:t>Minimum Lease payments</w:t>
            </w:r>
          </w:p>
        </w:tc>
        <w:tc>
          <w:tcPr>
            <w:tcW w:w="1417" w:type="dxa"/>
            <w:tcBorders>
              <w:top w:val="single" w:sz="4" w:space="0" w:color="auto"/>
              <w:left w:val="single" w:sz="4" w:space="0" w:color="auto"/>
              <w:right w:val="single" w:sz="4" w:space="0" w:color="auto"/>
            </w:tcBorders>
            <w:noWrap/>
            <w:vAlign w:val="bottom"/>
          </w:tcPr>
          <w:p w:rsidR="00DA081D" w:rsidRPr="00EB2995" w:rsidRDefault="00DA081D" w:rsidP="00AF73B9">
            <w:pPr>
              <w:jc w:val="right"/>
              <w:rPr>
                <w:rFonts w:cs="Calibri"/>
              </w:rPr>
            </w:pPr>
            <w:r w:rsidRPr="00EB2995">
              <w:rPr>
                <w:rFonts w:cs="Calibri"/>
              </w:rPr>
              <w:t>0.6</w:t>
            </w:r>
          </w:p>
        </w:tc>
      </w:tr>
      <w:tr w:rsidR="00DA081D" w:rsidRPr="00EB2995" w:rsidTr="00AF73B9">
        <w:trPr>
          <w:trHeight w:val="300"/>
        </w:trPr>
        <w:tc>
          <w:tcPr>
            <w:tcW w:w="1417" w:type="dxa"/>
            <w:tcBorders>
              <w:top w:val="nil"/>
              <w:left w:val="single" w:sz="8" w:space="0" w:color="auto"/>
              <w:bottom w:val="nil"/>
              <w:right w:val="single" w:sz="8" w:space="0" w:color="auto"/>
            </w:tcBorders>
            <w:shd w:val="clear" w:color="000000" w:fill="FFFFFF"/>
            <w:vAlign w:val="center"/>
          </w:tcPr>
          <w:p w:rsidR="00DA081D" w:rsidRPr="00EB2995" w:rsidRDefault="00DA081D" w:rsidP="00AF73B9">
            <w:pPr>
              <w:jc w:val="right"/>
              <w:rPr>
                <w:rFonts w:cs="Calibri"/>
              </w:rPr>
            </w:pPr>
            <w:r w:rsidRPr="00EB2995">
              <w:rPr>
                <w:rFonts w:cs="Calibri"/>
                <w:color w:val="000000"/>
                <w:sz w:val="20"/>
                <w:szCs w:val="20"/>
              </w:rPr>
              <w:t>(0.1)</w:t>
            </w:r>
          </w:p>
        </w:tc>
        <w:tc>
          <w:tcPr>
            <w:tcW w:w="5669" w:type="dxa"/>
            <w:tcBorders>
              <w:left w:val="single" w:sz="4" w:space="0" w:color="auto"/>
              <w:right w:val="single" w:sz="4" w:space="0" w:color="auto"/>
            </w:tcBorders>
            <w:vAlign w:val="bottom"/>
          </w:tcPr>
          <w:p w:rsidR="00DA081D" w:rsidRPr="00EB2995" w:rsidRDefault="00DA081D" w:rsidP="00AF73B9">
            <w:pPr>
              <w:rPr>
                <w:rFonts w:cs="Calibri"/>
              </w:rPr>
            </w:pPr>
            <w:r w:rsidRPr="00EB2995">
              <w:rPr>
                <w:rFonts w:cs="Calibri"/>
              </w:rPr>
              <w:t>(Sublease payments receivable)</w:t>
            </w:r>
          </w:p>
        </w:tc>
        <w:tc>
          <w:tcPr>
            <w:tcW w:w="1417" w:type="dxa"/>
            <w:tcBorders>
              <w:left w:val="single" w:sz="4" w:space="0" w:color="auto"/>
              <w:bottom w:val="single" w:sz="4" w:space="0" w:color="auto"/>
              <w:right w:val="single" w:sz="4" w:space="0" w:color="auto"/>
            </w:tcBorders>
            <w:noWrap/>
            <w:vAlign w:val="bottom"/>
          </w:tcPr>
          <w:p w:rsidR="00DA081D" w:rsidRPr="00EB2995" w:rsidRDefault="00DA081D" w:rsidP="00AF73B9">
            <w:pPr>
              <w:jc w:val="right"/>
              <w:rPr>
                <w:rFonts w:cs="Calibri"/>
                <w:color w:val="000000"/>
              </w:rPr>
            </w:pPr>
            <w:r w:rsidRPr="00EB2995">
              <w:rPr>
                <w:rFonts w:cs="Calibri"/>
                <w:color w:val="000000"/>
              </w:rPr>
              <w:t>(0.2)</w:t>
            </w:r>
          </w:p>
        </w:tc>
      </w:tr>
      <w:tr w:rsidR="00DA081D" w:rsidRPr="00EB2995" w:rsidTr="00AF73B9">
        <w:trPr>
          <w:trHeight w:val="300"/>
        </w:trPr>
        <w:tc>
          <w:tcPr>
            <w:tcW w:w="1417" w:type="dxa"/>
            <w:tcBorders>
              <w:top w:val="single" w:sz="4" w:space="0" w:color="auto"/>
              <w:left w:val="single" w:sz="4" w:space="0" w:color="auto"/>
              <w:bottom w:val="single" w:sz="4" w:space="0" w:color="auto"/>
              <w:right w:val="single" w:sz="4" w:space="0" w:color="auto"/>
            </w:tcBorders>
            <w:vAlign w:val="bottom"/>
          </w:tcPr>
          <w:p w:rsidR="00DA081D" w:rsidRPr="00EB2995" w:rsidRDefault="00DA081D" w:rsidP="00AF73B9">
            <w:pPr>
              <w:jc w:val="right"/>
              <w:rPr>
                <w:rFonts w:cs="Calibri"/>
                <w:b/>
              </w:rPr>
            </w:pPr>
            <w:r w:rsidRPr="00EB2995">
              <w:rPr>
                <w:rFonts w:cs="Calibri"/>
                <w:b/>
              </w:rPr>
              <w:t>0.5</w:t>
            </w:r>
          </w:p>
        </w:tc>
        <w:tc>
          <w:tcPr>
            <w:tcW w:w="5669" w:type="dxa"/>
            <w:tcBorders>
              <w:left w:val="single" w:sz="4" w:space="0" w:color="auto"/>
              <w:right w:val="single" w:sz="4" w:space="0" w:color="auto"/>
            </w:tcBorders>
            <w:vAlign w:val="bottom"/>
          </w:tcPr>
          <w:p w:rsidR="00DA081D" w:rsidRPr="00EB2995" w:rsidRDefault="00DA081D" w:rsidP="00AF73B9">
            <w:pPr>
              <w:rPr>
                <w:rFonts w:cs="Calibri"/>
                <w:b/>
              </w:rPr>
            </w:pPr>
            <w:r w:rsidRPr="00EB2995">
              <w:rPr>
                <w:rFonts w:cs="Calibri"/>
                <w:b/>
              </w:rPr>
              <w:t>Total</w:t>
            </w:r>
          </w:p>
        </w:tc>
        <w:tc>
          <w:tcPr>
            <w:tcW w:w="1417" w:type="dxa"/>
            <w:tcBorders>
              <w:top w:val="single" w:sz="4" w:space="0" w:color="auto"/>
              <w:left w:val="single" w:sz="4" w:space="0" w:color="auto"/>
              <w:bottom w:val="single" w:sz="4" w:space="0" w:color="auto"/>
              <w:right w:val="single" w:sz="4" w:space="0" w:color="auto"/>
            </w:tcBorders>
            <w:noWrap/>
            <w:vAlign w:val="bottom"/>
          </w:tcPr>
          <w:p w:rsidR="00DA081D" w:rsidRPr="00EB2995" w:rsidRDefault="00DA081D" w:rsidP="00AF73B9">
            <w:pPr>
              <w:jc w:val="right"/>
              <w:rPr>
                <w:rFonts w:cs="Calibri"/>
                <w:b/>
              </w:rPr>
            </w:pPr>
            <w:r w:rsidRPr="00EB2995">
              <w:rPr>
                <w:rFonts w:cs="Calibri"/>
                <w:b/>
              </w:rPr>
              <w:t>0.4</w:t>
            </w:r>
          </w:p>
        </w:tc>
      </w:tr>
    </w:tbl>
    <w:p w:rsidR="00F72906" w:rsidRDefault="00F72906" w:rsidP="00DA081D"/>
    <w:p w:rsidR="00AE1C26" w:rsidRDefault="00F72906" w:rsidP="00F72906">
      <w:pPr>
        <w:rPr>
          <w:b/>
        </w:rPr>
      </w:pPr>
      <w:r w:rsidRPr="00DA081D">
        <w:rPr>
          <w:b/>
        </w:rPr>
        <w:t>Authority as Lessor</w:t>
      </w:r>
    </w:p>
    <w:p w:rsidR="00AE1C26" w:rsidRDefault="00F72906" w:rsidP="00F72906">
      <w:pPr>
        <w:rPr>
          <w:b/>
        </w:rPr>
      </w:pPr>
      <w:r w:rsidRPr="00DA081D">
        <w:rPr>
          <w:b/>
        </w:rPr>
        <w:t>Finance Leases</w:t>
      </w:r>
    </w:p>
    <w:p w:rsidR="00DA081D" w:rsidRDefault="00F72906" w:rsidP="00F72906">
      <w:r>
        <w:t>Brent Council leases Northwick Park Golf course to a commercial operator on a finance lease with a remaining term of 84 years. In addition, there are five residential properties leases with an average minimum co</w:t>
      </w:r>
      <w:r w:rsidR="00DA081D">
        <w:t>ntractual duration of 999 years.</w:t>
      </w:r>
    </w:p>
    <w:p w:rsidR="00F72906" w:rsidRDefault="00F72906" w:rsidP="00F72906">
      <w:r>
        <w:t>The authority has a gross investment in the properties, which is the present value of future lease payments receivable under the contract. The gross investment is made up of the following amounts:</w:t>
      </w:r>
    </w:p>
    <w:p w:rsidR="00F72906" w:rsidRDefault="00F72906" w:rsidP="00F72906"/>
    <w:tbl>
      <w:tblPr>
        <w:tblW w:w="8503" w:type="dxa"/>
        <w:tblInd w:w="108" w:type="dxa"/>
        <w:tblLook w:val="00A0" w:firstRow="1" w:lastRow="0" w:firstColumn="1" w:lastColumn="0" w:noHBand="0" w:noVBand="0"/>
      </w:tblPr>
      <w:tblGrid>
        <w:gridCol w:w="1417"/>
        <w:gridCol w:w="5669"/>
        <w:gridCol w:w="1417"/>
      </w:tblGrid>
      <w:tr w:rsidR="00AF73B9" w:rsidRPr="00EB2995" w:rsidTr="00AF73B9">
        <w:trPr>
          <w:trHeight w:val="300"/>
        </w:trPr>
        <w:tc>
          <w:tcPr>
            <w:tcW w:w="1417" w:type="dxa"/>
          </w:tcPr>
          <w:p w:rsidR="00AF73B9" w:rsidRPr="00EB2995" w:rsidRDefault="00AF73B9" w:rsidP="00AF73B9">
            <w:pPr>
              <w:jc w:val="right"/>
              <w:rPr>
                <w:rFonts w:cs="Calibri"/>
                <w:b/>
              </w:rPr>
            </w:pPr>
            <w:r w:rsidRPr="00EB2995">
              <w:rPr>
                <w:rFonts w:cs="Calibri"/>
                <w:b/>
              </w:rPr>
              <w:t>2018/19</w:t>
            </w:r>
          </w:p>
        </w:tc>
        <w:tc>
          <w:tcPr>
            <w:tcW w:w="5669" w:type="dxa"/>
          </w:tcPr>
          <w:p w:rsidR="00AF73B9" w:rsidRPr="00EB2995" w:rsidRDefault="00AF73B9" w:rsidP="00AF73B9">
            <w:pPr>
              <w:jc w:val="right"/>
              <w:rPr>
                <w:rFonts w:cs="Calibri"/>
                <w:b/>
              </w:rPr>
            </w:pPr>
          </w:p>
        </w:tc>
        <w:tc>
          <w:tcPr>
            <w:tcW w:w="1417" w:type="dxa"/>
          </w:tcPr>
          <w:p w:rsidR="00AF73B9" w:rsidRPr="00EB2995" w:rsidRDefault="00AF73B9" w:rsidP="00AF73B9">
            <w:pPr>
              <w:jc w:val="right"/>
              <w:rPr>
                <w:rFonts w:cs="Calibri"/>
                <w:b/>
              </w:rPr>
            </w:pPr>
            <w:r w:rsidRPr="00EB2995">
              <w:rPr>
                <w:rFonts w:cs="Calibri"/>
                <w:b/>
              </w:rPr>
              <w:t>2019/20</w:t>
            </w:r>
          </w:p>
        </w:tc>
      </w:tr>
      <w:tr w:rsidR="00AF73B9" w:rsidRPr="00EB2995" w:rsidTr="00AF73B9">
        <w:trPr>
          <w:trHeight w:val="300"/>
        </w:trPr>
        <w:tc>
          <w:tcPr>
            <w:tcW w:w="1417" w:type="dxa"/>
            <w:tcBorders>
              <w:bottom w:val="single" w:sz="4" w:space="0" w:color="auto"/>
            </w:tcBorders>
          </w:tcPr>
          <w:p w:rsidR="00AF73B9" w:rsidRPr="00EB2995" w:rsidRDefault="00AF73B9" w:rsidP="00AF73B9">
            <w:pPr>
              <w:jc w:val="right"/>
              <w:rPr>
                <w:rFonts w:cs="Calibri"/>
                <w:b/>
              </w:rPr>
            </w:pPr>
            <w:r w:rsidRPr="00EB2995">
              <w:rPr>
                <w:rFonts w:cs="Calibri"/>
                <w:b/>
              </w:rPr>
              <w:t>£m</w:t>
            </w:r>
          </w:p>
        </w:tc>
        <w:tc>
          <w:tcPr>
            <w:tcW w:w="5669" w:type="dxa"/>
          </w:tcPr>
          <w:p w:rsidR="00AF73B9" w:rsidRPr="00EB2995" w:rsidRDefault="00AF73B9" w:rsidP="00AF73B9">
            <w:pPr>
              <w:jc w:val="right"/>
              <w:rPr>
                <w:rFonts w:cs="Calibri"/>
                <w:b/>
              </w:rPr>
            </w:pPr>
          </w:p>
        </w:tc>
        <w:tc>
          <w:tcPr>
            <w:tcW w:w="1417" w:type="dxa"/>
            <w:tcBorders>
              <w:bottom w:val="single" w:sz="4" w:space="0" w:color="auto"/>
            </w:tcBorders>
            <w:noWrap/>
          </w:tcPr>
          <w:p w:rsidR="00AF73B9" w:rsidRPr="00EB2995" w:rsidRDefault="00AF73B9" w:rsidP="00AF73B9">
            <w:pPr>
              <w:jc w:val="right"/>
              <w:rPr>
                <w:rFonts w:cs="Calibri"/>
                <w:b/>
              </w:rPr>
            </w:pPr>
            <w:r w:rsidRPr="00EB2995">
              <w:rPr>
                <w:rFonts w:cs="Calibri"/>
                <w:b/>
              </w:rPr>
              <w:t>£m</w:t>
            </w:r>
          </w:p>
        </w:tc>
      </w:tr>
      <w:tr w:rsidR="00AF73B9" w:rsidRPr="00EB2995" w:rsidTr="00AF73B9">
        <w:trPr>
          <w:trHeight w:val="300"/>
        </w:trPr>
        <w:tc>
          <w:tcPr>
            <w:tcW w:w="1417" w:type="dxa"/>
            <w:tcBorders>
              <w:top w:val="single" w:sz="4" w:space="0" w:color="auto"/>
              <w:left w:val="single" w:sz="4" w:space="0" w:color="auto"/>
              <w:right w:val="single" w:sz="4" w:space="0" w:color="auto"/>
            </w:tcBorders>
            <w:vAlign w:val="bottom"/>
          </w:tcPr>
          <w:p w:rsidR="00AF73B9" w:rsidRPr="00EB2995" w:rsidRDefault="00AF73B9" w:rsidP="00AF73B9">
            <w:pPr>
              <w:jc w:val="right"/>
              <w:rPr>
                <w:rFonts w:cs="Calibri"/>
              </w:rPr>
            </w:pPr>
          </w:p>
        </w:tc>
        <w:tc>
          <w:tcPr>
            <w:tcW w:w="5669" w:type="dxa"/>
            <w:tcBorders>
              <w:left w:val="single" w:sz="4" w:space="0" w:color="auto"/>
              <w:right w:val="single" w:sz="4" w:space="0" w:color="auto"/>
            </w:tcBorders>
            <w:vAlign w:val="bottom"/>
          </w:tcPr>
          <w:p w:rsidR="00AF73B9" w:rsidRPr="00EB2995" w:rsidRDefault="00AF73B9" w:rsidP="00AF73B9">
            <w:pPr>
              <w:rPr>
                <w:rFonts w:cs="Calibri"/>
              </w:rPr>
            </w:pPr>
            <w:r w:rsidRPr="00EB2995">
              <w:rPr>
                <w:rFonts w:cs="Calibri"/>
              </w:rPr>
              <w:t>Finance lease debtor</w:t>
            </w:r>
          </w:p>
        </w:tc>
        <w:tc>
          <w:tcPr>
            <w:tcW w:w="1417" w:type="dxa"/>
            <w:tcBorders>
              <w:top w:val="single" w:sz="4" w:space="0" w:color="auto"/>
              <w:left w:val="single" w:sz="4" w:space="0" w:color="auto"/>
              <w:right w:val="single" w:sz="4" w:space="0" w:color="auto"/>
            </w:tcBorders>
            <w:noWrap/>
          </w:tcPr>
          <w:p w:rsidR="00AF73B9" w:rsidRPr="00EB2995" w:rsidRDefault="00AF73B9" w:rsidP="00AF73B9">
            <w:pPr>
              <w:jc w:val="right"/>
              <w:rPr>
                <w:rFonts w:cs="Calibri"/>
              </w:rPr>
            </w:pPr>
          </w:p>
        </w:tc>
      </w:tr>
      <w:tr w:rsidR="00AF73B9" w:rsidRPr="00EB2995" w:rsidTr="00AF73B9">
        <w:trPr>
          <w:trHeight w:val="300"/>
        </w:trPr>
        <w:tc>
          <w:tcPr>
            <w:tcW w:w="1417" w:type="dxa"/>
            <w:tcBorders>
              <w:left w:val="single" w:sz="4" w:space="0" w:color="auto"/>
              <w:bottom w:val="single" w:sz="4" w:space="0" w:color="auto"/>
              <w:right w:val="single" w:sz="4" w:space="0" w:color="auto"/>
            </w:tcBorders>
            <w:vAlign w:val="bottom"/>
          </w:tcPr>
          <w:p w:rsidR="00AF73B9" w:rsidRPr="00EB2995" w:rsidRDefault="00AF73B9" w:rsidP="00AF73B9">
            <w:pPr>
              <w:jc w:val="right"/>
              <w:rPr>
                <w:rFonts w:cs="Calibri"/>
              </w:rPr>
            </w:pPr>
            <w:r w:rsidRPr="00EB2995">
              <w:rPr>
                <w:rFonts w:cs="Calibri"/>
              </w:rPr>
              <w:t>3.2</w:t>
            </w:r>
          </w:p>
        </w:tc>
        <w:tc>
          <w:tcPr>
            <w:tcW w:w="5669" w:type="dxa"/>
            <w:tcBorders>
              <w:left w:val="single" w:sz="4" w:space="0" w:color="auto"/>
              <w:right w:val="single" w:sz="4" w:space="0" w:color="auto"/>
            </w:tcBorders>
            <w:vAlign w:val="bottom"/>
          </w:tcPr>
          <w:p w:rsidR="00AF73B9" w:rsidRPr="00EB2995" w:rsidRDefault="00AF73B9" w:rsidP="00AF73B9">
            <w:pPr>
              <w:rPr>
                <w:rFonts w:cs="Calibri"/>
              </w:rPr>
            </w:pPr>
            <w:r w:rsidRPr="00EB2995">
              <w:rPr>
                <w:rFonts w:cs="Calibri"/>
              </w:rPr>
              <w:t xml:space="preserve">Non-Current </w:t>
            </w:r>
          </w:p>
        </w:tc>
        <w:tc>
          <w:tcPr>
            <w:tcW w:w="1417" w:type="dxa"/>
            <w:tcBorders>
              <w:left w:val="single" w:sz="4" w:space="0" w:color="auto"/>
              <w:bottom w:val="single" w:sz="4" w:space="0" w:color="auto"/>
              <w:right w:val="single" w:sz="4" w:space="0" w:color="auto"/>
            </w:tcBorders>
            <w:noWrap/>
            <w:vAlign w:val="bottom"/>
          </w:tcPr>
          <w:p w:rsidR="00AF73B9" w:rsidRPr="00EB2995" w:rsidRDefault="00AF73B9" w:rsidP="00AF73B9">
            <w:pPr>
              <w:jc w:val="right"/>
              <w:rPr>
                <w:rFonts w:cs="Calibri"/>
              </w:rPr>
            </w:pPr>
            <w:r w:rsidRPr="00EB2995">
              <w:rPr>
                <w:rFonts w:cs="Calibri"/>
              </w:rPr>
              <w:t>3.2</w:t>
            </w:r>
          </w:p>
        </w:tc>
      </w:tr>
      <w:tr w:rsidR="00AF73B9" w:rsidRPr="00EB2995" w:rsidTr="00AF73B9">
        <w:trPr>
          <w:trHeight w:val="300"/>
        </w:trPr>
        <w:tc>
          <w:tcPr>
            <w:tcW w:w="1417" w:type="dxa"/>
            <w:tcBorders>
              <w:top w:val="single" w:sz="4" w:space="0" w:color="auto"/>
              <w:left w:val="single" w:sz="4" w:space="0" w:color="auto"/>
              <w:bottom w:val="single" w:sz="4" w:space="0" w:color="auto"/>
              <w:right w:val="single" w:sz="4" w:space="0" w:color="auto"/>
            </w:tcBorders>
            <w:vAlign w:val="bottom"/>
          </w:tcPr>
          <w:p w:rsidR="00AF73B9" w:rsidRPr="00EB2995" w:rsidRDefault="00AF73B9" w:rsidP="00AF73B9">
            <w:pPr>
              <w:jc w:val="right"/>
              <w:rPr>
                <w:rFonts w:cs="Calibri"/>
                <w:b/>
              </w:rPr>
            </w:pPr>
            <w:r w:rsidRPr="00EB2995">
              <w:rPr>
                <w:rFonts w:cs="Calibri"/>
                <w:b/>
              </w:rPr>
              <w:t>3.2</w:t>
            </w:r>
          </w:p>
        </w:tc>
        <w:tc>
          <w:tcPr>
            <w:tcW w:w="5669" w:type="dxa"/>
            <w:tcBorders>
              <w:left w:val="single" w:sz="4" w:space="0" w:color="auto"/>
              <w:right w:val="single" w:sz="4" w:space="0" w:color="auto"/>
            </w:tcBorders>
            <w:vAlign w:val="bottom"/>
          </w:tcPr>
          <w:p w:rsidR="00AF73B9" w:rsidRPr="00EB2995" w:rsidRDefault="00AF73B9" w:rsidP="00AF73B9">
            <w:pPr>
              <w:rPr>
                <w:rFonts w:cs="Calibri"/>
                <w:b/>
              </w:rPr>
            </w:pPr>
            <w:r w:rsidRPr="00EB2995">
              <w:rPr>
                <w:rFonts w:cs="Calibri"/>
                <w:b/>
              </w:rPr>
              <w:t>Gross Investment in  Lease</w:t>
            </w:r>
          </w:p>
        </w:tc>
        <w:tc>
          <w:tcPr>
            <w:tcW w:w="1417" w:type="dxa"/>
            <w:tcBorders>
              <w:top w:val="single" w:sz="4" w:space="0" w:color="auto"/>
              <w:left w:val="single" w:sz="4" w:space="0" w:color="auto"/>
              <w:bottom w:val="single" w:sz="4" w:space="0" w:color="auto"/>
              <w:right w:val="single" w:sz="4" w:space="0" w:color="auto"/>
            </w:tcBorders>
            <w:noWrap/>
            <w:vAlign w:val="bottom"/>
          </w:tcPr>
          <w:p w:rsidR="00AF73B9" w:rsidRPr="00EB2995" w:rsidRDefault="00AF73B9" w:rsidP="00AF73B9">
            <w:pPr>
              <w:jc w:val="right"/>
              <w:rPr>
                <w:rFonts w:cs="Calibri"/>
                <w:b/>
              </w:rPr>
            </w:pPr>
            <w:r w:rsidRPr="00EB2995">
              <w:rPr>
                <w:rFonts w:cs="Calibri"/>
                <w:b/>
              </w:rPr>
              <w:t>3.2</w:t>
            </w:r>
          </w:p>
        </w:tc>
      </w:tr>
    </w:tbl>
    <w:p w:rsidR="00F72906" w:rsidRDefault="00F72906" w:rsidP="00F72906"/>
    <w:p w:rsidR="00F72906" w:rsidRDefault="00F72906" w:rsidP="00F72906">
      <w:r>
        <w:t>The gross investment in the lease and the minimum lease payments will be received from the commercial operator over the following periods:</w:t>
      </w:r>
    </w:p>
    <w:p w:rsidR="00F72906" w:rsidRDefault="00F72906" w:rsidP="00F72906"/>
    <w:tbl>
      <w:tblPr>
        <w:tblW w:w="9248" w:type="dxa"/>
        <w:tblInd w:w="108" w:type="dxa"/>
        <w:tblLayout w:type="fixed"/>
        <w:tblLook w:val="00A0" w:firstRow="1" w:lastRow="0" w:firstColumn="1" w:lastColumn="0" w:noHBand="0" w:noVBand="0"/>
      </w:tblPr>
      <w:tblGrid>
        <w:gridCol w:w="534"/>
        <w:gridCol w:w="1040"/>
        <w:gridCol w:w="1040"/>
        <w:gridCol w:w="960"/>
        <w:gridCol w:w="395"/>
        <w:gridCol w:w="1310"/>
        <w:gridCol w:w="1276"/>
        <w:gridCol w:w="1275"/>
        <w:gridCol w:w="1418"/>
      </w:tblGrid>
      <w:tr w:rsidR="00AF73B9" w:rsidRPr="00EB2995" w:rsidTr="00AF73B9">
        <w:trPr>
          <w:trHeight w:val="615"/>
        </w:trPr>
        <w:tc>
          <w:tcPr>
            <w:tcW w:w="534" w:type="dxa"/>
            <w:noWrap/>
          </w:tcPr>
          <w:p w:rsidR="00AF73B9" w:rsidRPr="00EB2995" w:rsidRDefault="00AF73B9" w:rsidP="00AF73B9">
            <w:pPr>
              <w:rPr>
                <w:rFonts w:cs="Calibri"/>
                <w:color w:val="0070C0"/>
              </w:rPr>
            </w:pPr>
          </w:p>
        </w:tc>
        <w:tc>
          <w:tcPr>
            <w:tcW w:w="1040" w:type="dxa"/>
            <w:noWrap/>
            <w:vAlign w:val="bottom"/>
          </w:tcPr>
          <w:p w:rsidR="00AF73B9" w:rsidRPr="00EB2995" w:rsidRDefault="00AF73B9" w:rsidP="00AF73B9">
            <w:pPr>
              <w:rPr>
                <w:rFonts w:cs="Calibri"/>
              </w:rPr>
            </w:pPr>
          </w:p>
        </w:tc>
        <w:tc>
          <w:tcPr>
            <w:tcW w:w="1040" w:type="dxa"/>
            <w:noWrap/>
            <w:vAlign w:val="bottom"/>
          </w:tcPr>
          <w:p w:rsidR="00AF73B9" w:rsidRPr="00EB2995" w:rsidRDefault="00AF73B9" w:rsidP="00AF73B9">
            <w:pPr>
              <w:rPr>
                <w:rFonts w:cs="Calibri"/>
              </w:rPr>
            </w:pPr>
          </w:p>
        </w:tc>
        <w:tc>
          <w:tcPr>
            <w:tcW w:w="960" w:type="dxa"/>
            <w:noWrap/>
            <w:vAlign w:val="bottom"/>
          </w:tcPr>
          <w:p w:rsidR="00AF73B9" w:rsidRPr="00EB2995" w:rsidRDefault="00AF73B9" w:rsidP="00AF73B9">
            <w:pPr>
              <w:rPr>
                <w:rFonts w:cs="Calibri"/>
              </w:rPr>
            </w:pPr>
          </w:p>
        </w:tc>
        <w:tc>
          <w:tcPr>
            <w:tcW w:w="395" w:type="dxa"/>
            <w:noWrap/>
            <w:vAlign w:val="bottom"/>
          </w:tcPr>
          <w:p w:rsidR="00AF73B9" w:rsidRPr="00EB2995" w:rsidRDefault="00AF73B9" w:rsidP="00AF73B9">
            <w:pPr>
              <w:rPr>
                <w:rFonts w:cs="Calibri"/>
              </w:rPr>
            </w:pPr>
          </w:p>
        </w:tc>
        <w:tc>
          <w:tcPr>
            <w:tcW w:w="2586" w:type="dxa"/>
            <w:gridSpan w:val="2"/>
          </w:tcPr>
          <w:p w:rsidR="00AF73B9" w:rsidRPr="00EB2995" w:rsidRDefault="00AF73B9" w:rsidP="00AF73B9">
            <w:pPr>
              <w:jc w:val="center"/>
              <w:rPr>
                <w:rFonts w:cs="Calibri"/>
              </w:rPr>
            </w:pPr>
            <w:r w:rsidRPr="00EB2995">
              <w:rPr>
                <w:rFonts w:cs="Calibri"/>
              </w:rPr>
              <w:t>Gross Investment in the Lease</w:t>
            </w:r>
          </w:p>
        </w:tc>
        <w:tc>
          <w:tcPr>
            <w:tcW w:w="2693" w:type="dxa"/>
            <w:gridSpan w:val="2"/>
          </w:tcPr>
          <w:p w:rsidR="00AF73B9" w:rsidRPr="00EB2995" w:rsidRDefault="00AF73B9" w:rsidP="00AF73B9">
            <w:pPr>
              <w:jc w:val="center"/>
              <w:rPr>
                <w:rFonts w:cs="Calibri"/>
              </w:rPr>
            </w:pPr>
            <w:r w:rsidRPr="00EB2995">
              <w:rPr>
                <w:rFonts w:cs="Calibri"/>
              </w:rPr>
              <w:t>Present Value of Minimum Lease Payments</w:t>
            </w:r>
          </w:p>
        </w:tc>
      </w:tr>
      <w:tr w:rsidR="00AF73B9" w:rsidRPr="00EB2995" w:rsidTr="00AF73B9">
        <w:trPr>
          <w:trHeight w:val="300"/>
        </w:trPr>
        <w:tc>
          <w:tcPr>
            <w:tcW w:w="534" w:type="dxa"/>
            <w:noWrap/>
          </w:tcPr>
          <w:p w:rsidR="00AF73B9" w:rsidRPr="00EB2995" w:rsidRDefault="00AF73B9" w:rsidP="00AF73B9">
            <w:pPr>
              <w:rPr>
                <w:rFonts w:cs="Calibri"/>
                <w:b/>
                <w:color w:val="0070C0"/>
              </w:rPr>
            </w:pPr>
          </w:p>
        </w:tc>
        <w:tc>
          <w:tcPr>
            <w:tcW w:w="1040" w:type="dxa"/>
            <w:noWrap/>
            <w:vAlign w:val="bottom"/>
          </w:tcPr>
          <w:p w:rsidR="00AF73B9" w:rsidRPr="00EB2995" w:rsidRDefault="00AF73B9" w:rsidP="00AF73B9">
            <w:pPr>
              <w:rPr>
                <w:rFonts w:cs="Calibri"/>
                <w:b/>
              </w:rPr>
            </w:pPr>
          </w:p>
        </w:tc>
        <w:tc>
          <w:tcPr>
            <w:tcW w:w="1040" w:type="dxa"/>
            <w:noWrap/>
            <w:vAlign w:val="bottom"/>
          </w:tcPr>
          <w:p w:rsidR="00AF73B9" w:rsidRPr="00EB2995" w:rsidRDefault="00AF73B9" w:rsidP="00AF73B9">
            <w:pPr>
              <w:rPr>
                <w:rFonts w:cs="Calibri"/>
                <w:b/>
              </w:rPr>
            </w:pPr>
          </w:p>
        </w:tc>
        <w:tc>
          <w:tcPr>
            <w:tcW w:w="960" w:type="dxa"/>
            <w:noWrap/>
            <w:vAlign w:val="bottom"/>
          </w:tcPr>
          <w:p w:rsidR="00AF73B9" w:rsidRPr="00EB2995" w:rsidRDefault="00AF73B9" w:rsidP="00AF73B9">
            <w:pPr>
              <w:rPr>
                <w:rFonts w:cs="Calibri"/>
                <w:b/>
              </w:rPr>
            </w:pPr>
          </w:p>
        </w:tc>
        <w:tc>
          <w:tcPr>
            <w:tcW w:w="395" w:type="dxa"/>
            <w:noWrap/>
            <w:vAlign w:val="bottom"/>
          </w:tcPr>
          <w:p w:rsidR="00AF73B9" w:rsidRPr="00EB2995" w:rsidRDefault="00AF73B9" w:rsidP="00AF73B9">
            <w:pPr>
              <w:rPr>
                <w:rFonts w:cs="Calibri"/>
                <w:b/>
              </w:rPr>
            </w:pPr>
          </w:p>
        </w:tc>
        <w:tc>
          <w:tcPr>
            <w:tcW w:w="1310" w:type="dxa"/>
            <w:tcBorders>
              <w:top w:val="nil"/>
              <w:left w:val="nil"/>
              <w:bottom w:val="nil"/>
              <w:right w:val="nil"/>
            </w:tcBorders>
            <w:shd w:val="clear" w:color="000000" w:fill="FFFFFF"/>
            <w:noWrap/>
            <w:vAlign w:val="center"/>
          </w:tcPr>
          <w:p w:rsidR="00AF73B9" w:rsidRPr="00EB2995" w:rsidRDefault="00AF73B9" w:rsidP="00AF73B9">
            <w:pPr>
              <w:jc w:val="right"/>
              <w:rPr>
                <w:rFonts w:cs="Calibri"/>
                <w:b/>
              </w:rPr>
            </w:pPr>
            <w:r w:rsidRPr="00EB2995">
              <w:rPr>
                <w:rFonts w:cs="Calibri"/>
                <w:b/>
                <w:bCs/>
                <w:color w:val="000000"/>
                <w:sz w:val="20"/>
                <w:szCs w:val="20"/>
              </w:rPr>
              <w:t>2018/19</w:t>
            </w:r>
          </w:p>
        </w:tc>
        <w:tc>
          <w:tcPr>
            <w:tcW w:w="1276" w:type="dxa"/>
            <w:tcBorders>
              <w:top w:val="nil"/>
              <w:left w:val="nil"/>
              <w:bottom w:val="nil"/>
              <w:right w:val="nil"/>
            </w:tcBorders>
            <w:shd w:val="clear" w:color="000000" w:fill="FFFFFF"/>
            <w:noWrap/>
            <w:vAlign w:val="center"/>
          </w:tcPr>
          <w:p w:rsidR="00AF73B9" w:rsidRPr="00EB2995" w:rsidRDefault="00AF73B9" w:rsidP="00AF73B9">
            <w:pPr>
              <w:jc w:val="right"/>
              <w:rPr>
                <w:rFonts w:cs="Calibri"/>
                <w:b/>
              </w:rPr>
            </w:pPr>
            <w:r w:rsidRPr="00EB2995">
              <w:rPr>
                <w:rFonts w:cs="Calibri"/>
                <w:b/>
                <w:bCs/>
                <w:color w:val="000000"/>
                <w:sz w:val="20"/>
                <w:szCs w:val="20"/>
              </w:rPr>
              <w:t>2019/20</w:t>
            </w:r>
          </w:p>
        </w:tc>
        <w:tc>
          <w:tcPr>
            <w:tcW w:w="1275" w:type="dxa"/>
            <w:tcBorders>
              <w:top w:val="nil"/>
              <w:left w:val="nil"/>
              <w:bottom w:val="nil"/>
              <w:right w:val="nil"/>
            </w:tcBorders>
            <w:shd w:val="clear" w:color="000000" w:fill="FFFFFF"/>
            <w:noWrap/>
            <w:vAlign w:val="center"/>
          </w:tcPr>
          <w:p w:rsidR="00AF73B9" w:rsidRPr="00EB2995" w:rsidRDefault="00AF73B9" w:rsidP="00AF73B9">
            <w:pPr>
              <w:jc w:val="right"/>
              <w:rPr>
                <w:rFonts w:cs="Calibri"/>
                <w:b/>
              </w:rPr>
            </w:pPr>
            <w:r w:rsidRPr="00EB2995">
              <w:rPr>
                <w:rFonts w:cs="Calibri"/>
                <w:b/>
                <w:bCs/>
                <w:color w:val="000000"/>
                <w:sz w:val="20"/>
                <w:szCs w:val="20"/>
              </w:rPr>
              <w:t>2018/19</w:t>
            </w:r>
          </w:p>
        </w:tc>
        <w:tc>
          <w:tcPr>
            <w:tcW w:w="1418" w:type="dxa"/>
            <w:tcBorders>
              <w:top w:val="nil"/>
              <w:left w:val="nil"/>
              <w:bottom w:val="nil"/>
              <w:right w:val="nil"/>
            </w:tcBorders>
            <w:shd w:val="clear" w:color="000000" w:fill="FFFFFF"/>
            <w:noWrap/>
            <w:vAlign w:val="center"/>
          </w:tcPr>
          <w:p w:rsidR="00AF73B9" w:rsidRPr="00EB2995" w:rsidRDefault="00AF73B9" w:rsidP="00AF73B9">
            <w:pPr>
              <w:jc w:val="right"/>
              <w:rPr>
                <w:rFonts w:cs="Calibri"/>
                <w:b/>
              </w:rPr>
            </w:pPr>
            <w:r w:rsidRPr="00EB2995">
              <w:rPr>
                <w:rFonts w:cs="Calibri"/>
                <w:b/>
                <w:bCs/>
                <w:color w:val="000000"/>
                <w:sz w:val="20"/>
                <w:szCs w:val="20"/>
              </w:rPr>
              <w:t>2019/20</w:t>
            </w:r>
          </w:p>
        </w:tc>
      </w:tr>
      <w:tr w:rsidR="00AF73B9" w:rsidRPr="00EB2995" w:rsidTr="00AF73B9">
        <w:trPr>
          <w:trHeight w:val="315"/>
        </w:trPr>
        <w:tc>
          <w:tcPr>
            <w:tcW w:w="534" w:type="dxa"/>
            <w:noWrap/>
          </w:tcPr>
          <w:p w:rsidR="00AF73B9" w:rsidRPr="00EB2995" w:rsidRDefault="00AF73B9" w:rsidP="00AF73B9">
            <w:pPr>
              <w:rPr>
                <w:rFonts w:cs="Calibri"/>
                <w:b/>
                <w:color w:val="0070C0"/>
              </w:rPr>
            </w:pPr>
          </w:p>
        </w:tc>
        <w:tc>
          <w:tcPr>
            <w:tcW w:w="1040" w:type="dxa"/>
            <w:noWrap/>
            <w:vAlign w:val="bottom"/>
          </w:tcPr>
          <w:p w:rsidR="00AF73B9" w:rsidRPr="00EB2995" w:rsidRDefault="00AF73B9" w:rsidP="00AF73B9">
            <w:pPr>
              <w:rPr>
                <w:rFonts w:cs="Calibri"/>
                <w:b/>
              </w:rPr>
            </w:pPr>
          </w:p>
        </w:tc>
        <w:tc>
          <w:tcPr>
            <w:tcW w:w="1040" w:type="dxa"/>
            <w:noWrap/>
            <w:vAlign w:val="bottom"/>
          </w:tcPr>
          <w:p w:rsidR="00AF73B9" w:rsidRPr="00EB2995" w:rsidRDefault="00AF73B9" w:rsidP="00AF73B9">
            <w:pPr>
              <w:rPr>
                <w:rFonts w:cs="Calibri"/>
                <w:b/>
              </w:rPr>
            </w:pPr>
          </w:p>
        </w:tc>
        <w:tc>
          <w:tcPr>
            <w:tcW w:w="960" w:type="dxa"/>
            <w:noWrap/>
            <w:vAlign w:val="bottom"/>
          </w:tcPr>
          <w:p w:rsidR="00AF73B9" w:rsidRPr="00EB2995" w:rsidRDefault="00AF73B9" w:rsidP="00AF73B9">
            <w:pPr>
              <w:rPr>
                <w:rFonts w:cs="Calibri"/>
                <w:b/>
              </w:rPr>
            </w:pPr>
          </w:p>
        </w:tc>
        <w:tc>
          <w:tcPr>
            <w:tcW w:w="395" w:type="dxa"/>
            <w:noWrap/>
            <w:vAlign w:val="bottom"/>
          </w:tcPr>
          <w:p w:rsidR="00AF73B9" w:rsidRPr="00EB2995" w:rsidRDefault="00AF73B9" w:rsidP="00AF73B9">
            <w:pPr>
              <w:rPr>
                <w:rFonts w:cs="Calibri"/>
                <w:b/>
              </w:rPr>
            </w:pPr>
          </w:p>
        </w:tc>
        <w:tc>
          <w:tcPr>
            <w:tcW w:w="1310" w:type="dxa"/>
            <w:tcBorders>
              <w:bottom w:val="single" w:sz="4" w:space="0" w:color="auto"/>
            </w:tcBorders>
            <w:noWrap/>
            <w:vAlign w:val="bottom"/>
          </w:tcPr>
          <w:p w:rsidR="00AF73B9" w:rsidRPr="00EB2995" w:rsidRDefault="00AF73B9" w:rsidP="00AF73B9">
            <w:pPr>
              <w:jc w:val="right"/>
              <w:rPr>
                <w:rFonts w:cs="Calibri"/>
                <w:b/>
              </w:rPr>
            </w:pPr>
            <w:r w:rsidRPr="00EB2995">
              <w:rPr>
                <w:rFonts w:cs="Calibri"/>
                <w:b/>
              </w:rPr>
              <w:t>£m</w:t>
            </w:r>
          </w:p>
        </w:tc>
        <w:tc>
          <w:tcPr>
            <w:tcW w:w="1276" w:type="dxa"/>
            <w:tcBorders>
              <w:bottom w:val="single" w:sz="4" w:space="0" w:color="auto"/>
            </w:tcBorders>
            <w:noWrap/>
            <w:vAlign w:val="bottom"/>
          </w:tcPr>
          <w:p w:rsidR="00AF73B9" w:rsidRPr="00EB2995" w:rsidRDefault="00AF73B9" w:rsidP="00AF73B9">
            <w:pPr>
              <w:jc w:val="right"/>
              <w:rPr>
                <w:rFonts w:cs="Calibri"/>
                <w:b/>
              </w:rPr>
            </w:pPr>
            <w:r w:rsidRPr="00EB2995">
              <w:rPr>
                <w:rFonts w:cs="Calibri"/>
                <w:b/>
              </w:rPr>
              <w:t>£m</w:t>
            </w:r>
          </w:p>
        </w:tc>
        <w:tc>
          <w:tcPr>
            <w:tcW w:w="1275" w:type="dxa"/>
            <w:tcBorders>
              <w:bottom w:val="single" w:sz="4" w:space="0" w:color="auto"/>
            </w:tcBorders>
            <w:noWrap/>
            <w:vAlign w:val="bottom"/>
          </w:tcPr>
          <w:p w:rsidR="00AF73B9" w:rsidRPr="00EB2995" w:rsidRDefault="00AF73B9" w:rsidP="00AF73B9">
            <w:pPr>
              <w:jc w:val="right"/>
              <w:rPr>
                <w:rFonts w:cs="Calibri"/>
                <w:b/>
              </w:rPr>
            </w:pPr>
            <w:r w:rsidRPr="00EB2995">
              <w:rPr>
                <w:rFonts w:cs="Calibri"/>
                <w:b/>
              </w:rPr>
              <w:t>£m</w:t>
            </w:r>
          </w:p>
        </w:tc>
        <w:tc>
          <w:tcPr>
            <w:tcW w:w="1418" w:type="dxa"/>
            <w:tcBorders>
              <w:bottom w:val="single" w:sz="4" w:space="0" w:color="auto"/>
            </w:tcBorders>
            <w:noWrap/>
            <w:vAlign w:val="bottom"/>
          </w:tcPr>
          <w:p w:rsidR="00AF73B9" w:rsidRPr="00EB2995" w:rsidRDefault="00AF73B9" w:rsidP="00AF73B9">
            <w:pPr>
              <w:jc w:val="right"/>
              <w:rPr>
                <w:rFonts w:cs="Calibri"/>
                <w:b/>
              </w:rPr>
            </w:pPr>
            <w:r w:rsidRPr="00EB2995">
              <w:rPr>
                <w:rFonts w:cs="Calibri"/>
                <w:b/>
              </w:rPr>
              <w:t>£m</w:t>
            </w:r>
          </w:p>
        </w:tc>
      </w:tr>
      <w:tr w:rsidR="00AF73B9" w:rsidRPr="00EB2995" w:rsidTr="00AF73B9">
        <w:trPr>
          <w:trHeight w:val="315"/>
        </w:trPr>
        <w:tc>
          <w:tcPr>
            <w:tcW w:w="3969" w:type="dxa"/>
            <w:gridSpan w:val="5"/>
            <w:tcBorders>
              <w:right w:val="single" w:sz="4" w:space="0" w:color="auto"/>
            </w:tcBorders>
            <w:noWrap/>
          </w:tcPr>
          <w:p w:rsidR="00AF73B9" w:rsidRPr="00EB2995" w:rsidRDefault="00AF73B9" w:rsidP="00AF73B9">
            <w:pPr>
              <w:rPr>
                <w:rFonts w:cs="Calibri"/>
                <w:color w:val="000000"/>
              </w:rPr>
            </w:pPr>
            <w:r w:rsidRPr="00EB2995">
              <w:rPr>
                <w:rFonts w:cs="Calibri"/>
                <w:color w:val="000000"/>
              </w:rPr>
              <w:t>Later than one year and not later than five years</w:t>
            </w:r>
          </w:p>
        </w:tc>
        <w:tc>
          <w:tcPr>
            <w:tcW w:w="1310" w:type="dxa"/>
            <w:tcBorders>
              <w:top w:val="single" w:sz="4" w:space="0" w:color="auto"/>
              <w:left w:val="single" w:sz="4" w:space="0" w:color="auto"/>
              <w:bottom w:val="single" w:sz="4" w:space="0" w:color="auto"/>
              <w:right w:val="single" w:sz="4" w:space="0" w:color="auto"/>
            </w:tcBorders>
            <w:noWrap/>
            <w:vAlign w:val="center"/>
          </w:tcPr>
          <w:p w:rsidR="00AF73B9" w:rsidRPr="00EB2995" w:rsidRDefault="00AF73B9" w:rsidP="00AF73B9">
            <w:pPr>
              <w:jc w:val="right"/>
              <w:rPr>
                <w:rFonts w:cs="Calibri"/>
              </w:rPr>
            </w:pPr>
            <w:r w:rsidRPr="00EB2995">
              <w:rPr>
                <w:rFonts w:cs="Calibri"/>
              </w:rPr>
              <w:t>0</w:t>
            </w:r>
          </w:p>
        </w:tc>
        <w:tc>
          <w:tcPr>
            <w:tcW w:w="1276" w:type="dxa"/>
            <w:tcBorders>
              <w:top w:val="single" w:sz="4" w:space="0" w:color="auto"/>
              <w:left w:val="single" w:sz="4" w:space="0" w:color="auto"/>
              <w:bottom w:val="single" w:sz="4" w:space="0" w:color="auto"/>
              <w:right w:val="single" w:sz="4" w:space="0" w:color="auto"/>
            </w:tcBorders>
            <w:noWrap/>
            <w:vAlign w:val="center"/>
          </w:tcPr>
          <w:p w:rsidR="00AF73B9" w:rsidRPr="00EB2995" w:rsidRDefault="00AF73B9" w:rsidP="00AF73B9">
            <w:pPr>
              <w:jc w:val="right"/>
              <w:rPr>
                <w:rFonts w:cs="Calibri"/>
              </w:rPr>
            </w:pPr>
            <w:r w:rsidRPr="00EB2995">
              <w:rPr>
                <w:rFonts w:cs="Calibri"/>
              </w:rPr>
              <w:t>0</w:t>
            </w:r>
          </w:p>
        </w:tc>
        <w:tc>
          <w:tcPr>
            <w:tcW w:w="1275" w:type="dxa"/>
            <w:tcBorders>
              <w:top w:val="single" w:sz="4" w:space="0" w:color="auto"/>
              <w:left w:val="single" w:sz="4" w:space="0" w:color="auto"/>
              <w:bottom w:val="single" w:sz="4" w:space="0" w:color="auto"/>
              <w:right w:val="single" w:sz="4" w:space="0" w:color="auto"/>
            </w:tcBorders>
            <w:noWrap/>
            <w:vAlign w:val="center"/>
          </w:tcPr>
          <w:p w:rsidR="00AF73B9" w:rsidRPr="00EB2995" w:rsidRDefault="00AF73B9" w:rsidP="00AF73B9">
            <w:pPr>
              <w:jc w:val="right"/>
              <w:rPr>
                <w:rFonts w:cs="Calibri"/>
              </w:rPr>
            </w:pPr>
            <w:r w:rsidRPr="00EB2995">
              <w:rPr>
                <w:rFonts w:cs="Calibri"/>
              </w:rPr>
              <w:t>0</w:t>
            </w:r>
          </w:p>
        </w:tc>
        <w:tc>
          <w:tcPr>
            <w:tcW w:w="1418" w:type="dxa"/>
            <w:tcBorders>
              <w:top w:val="single" w:sz="4" w:space="0" w:color="auto"/>
              <w:left w:val="single" w:sz="4" w:space="0" w:color="auto"/>
              <w:bottom w:val="single" w:sz="4" w:space="0" w:color="auto"/>
              <w:right w:val="single" w:sz="4" w:space="0" w:color="auto"/>
            </w:tcBorders>
            <w:noWrap/>
            <w:vAlign w:val="center"/>
          </w:tcPr>
          <w:p w:rsidR="00AF73B9" w:rsidRPr="00EB2995" w:rsidRDefault="00AF73B9" w:rsidP="00AF73B9">
            <w:pPr>
              <w:jc w:val="right"/>
              <w:rPr>
                <w:rFonts w:cs="Calibri"/>
              </w:rPr>
            </w:pPr>
            <w:r w:rsidRPr="00EB2995">
              <w:rPr>
                <w:rFonts w:cs="Calibri"/>
              </w:rPr>
              <w:t>0</w:t>
            </w:r>
          </w:p>
        </w:tc>
      </w:tr>
      <w:tr w:rsidR="00AF73B9" w:rsidRPr="00EB2995" w:rsidTr="00AF73B9">
        <w:trPr>
          <w:trHeight w:val="315"/>
        </w:trPr>
        <w:tc>
          <w:tcPr>
            <w:tcW w:w="3969" w:type="dxa"/>
            <w:gridSpan w:val="5"/>
            <w:tcBorders>
              <w:right w:val="single" w:sz="4" w:space="0" w:color="auto"/>
            </w:tcBorders>
            <w:noWrap/>
          </w:tcPr>
          <w:p w:rsidR="00AF73B9" w:rsidRPr="00EB2995" w:rsidRDefault="00AF73B9" w:rsidP="00AF73B9">
            <w:pPr>
              <w:rPr>
                <w:rFonts w:cs="Calibri"/>
              </w:rPr>
            </w:pPr>
            <w:r w:rsidRPr="00EB2995">
              <w:rPr>
                <w:rFonts w:cs="Calibri"/>
              </w:rPr>
              <w:t>Later than five years</w:t>
            </w:r>
          </w:p>
        </w:tc>
        <w:tc>
          <w:tcPr>
            <w:tcW w:w="1310" w:type="dxa"/>
            <w:tcBorders>
              <w:top w:val="single" w:sz="4" w:space="0" w:color="auto"/>
              <w:left w:val="single" w:sz="4" w:space="0" w:color="auto"/>
              <w:bottom w:val="single" w:sz="4" w:space="0" w:color="auto"/>
              <w:right w:val="single" w:sz="4" w:space="0" w:color="auto"/>
            </w:tcBorders>
            <w:noWrap/>
          </w:tcPr>
          <w:p w:rsidR="00AF73B9" w:rsidRPr="00EB2995" w:rsidRDefault="00AF73B9" w:rsidP="00AF73B9">
            <w:pPr>
              <w:jc w:val="right"/>
              <w:rPr>
                <w:rFonts w:cs="Calibri"/>
              </w:rPr>
            </w:pPr>
            <w:r w:rsidRPr="00EB2995">
              <w:rPr>
                <w:rFonts w:cs="Calibri"/>
              </w:rPr>
              <w:t>3.2</w:t>
            </w:r>
          </w:p>
        </w:tc>
        <w:tc>
          <w:tcPr>
            <w:tcW w:w="1276" w:type="dxa"/>
            <w:tcBorders>
              <w:top w:val="single" w:sz="4" w:space="0" w:color="auto"/>
              <w:left w:val="single" w:sz="4" w:space="0" w:color="auto"/>
              <w:bottom w:val="single" w:sz="4" w:space="0" w:color="auto"/>
              <w:right w:val="single" w:sz="4" w:space="0" w:color="auto"/>
            </w:tcBorders>
            <w:noWrap/>
          </w:tcPr>
          <w:p w:rsidR="00AF73B9" w:rsidRPr="00EB2995" w:rsidRDefault="00AF73B9" w:rsidP="00AF73B9">
            <w:pPr>
              <w:jc w:val="right"/>
              <w:rPr>
                <w:rFonts w:cs="Calibri"/>
              </w:rPr>
            </w:pPr>
            <w:r w:rsidRPr="00EB2995">
              <w:rPr>
                <w:rFonts w:cs="Calibri"/>
              </w:rPr>
              <w:t>3.2</w:t>
            </w:r>
          </w:p>
        </w:tc>
        <w:tc>
          <w:tcPr>
            <w:tcW w:w="1275" w:type="dxa"/>
            <w:tcBorders>
              <w:top w:val="single" w:sz="4" w:space="0" w:color="auto"/>
              <w:left w:val="single" w:sz="4" w:space="0" w:color="auto"/>
              <w:bottom w:val="single" w:sz="4" w:space="0" w:color="auto"/>
              <w:right w:val="single" w:sz="4" w:space="0" w:color="auto"/>
            </w:tcBorders>
            <w:noWrap/>
          </w:tcPr>
          <w:p w:rsidR="00AF73B9" w:rsidRPr="00EB2995" w:rsidRDefault="00AF73B9" w:rsidP="00AF73B9">
            <w:pPr>
              <w:jc w:val="right"/>
              <w:rPr>
                <w:rFonts w:cs="Calibri"/>
              </w:rPr>
            </w:pPr>
            <w:r w:rsidRPr="00EB2995">
              <w:rPr>
                <w:rFonts w:cs="Calibri"/>
              </w:rPr>
              <w:t>3.2</w:t>
            </w:r>
          </w:p>
        </w:tc>
        <w:tc>
          <w:tcPr>
            <w:tcW w:w="1418" w:type="dxa"/>
            <w:tcBorders>
              <w:top w:val="single" w:sz="4" w:space="0" w:color="auto"/>
              <w:left w:val="single" w:sz="4" w:space="0" w:color="auto"/>
              <w:bottom w:val="single" w:sz="4" w:space="0" w:color="auto"/>
              <w:right w:val="single" w:sz="4" w:space="0" w:color="auto"/>
            </w:tcBorders>
            <w:noWrap/>
          </w:tcPr>
          <w:p w:rsidR="00AF73B9" w:rsidRPr="00EB2995" w:rsidRDefault="00AF73B9" w:rsidP="00AF73B9">
            <w:pPr>
              <w:jc w:val="right"/>
              <w:rPr>
                <w:rFonts w:cs="Calibri"/>
              </w:rPr>
            </w:pPr>
            <w:r w:rsidRPr="00EB2995">
              <w:rPr>
                <w:rFonts w:cs="Calibri"/>
              </w:rPr>
              <w:t>3.2</w:t>
            </w:r>
          </w:p>
        </w:tc>
      </w:tr>
      <w:tr w:rsidR="00AF73B9" w:rsidRPr="00EB2995" w:rsidTr="00AF73B9">
        <w:trPr>
          <w:trHeight w:val="300"/>
        </w:trPr>
        <w:tc>
          <w:tcPr>
            <w:tcW w:w="534" w:type="dxa"/>
            <w:noWrap/>
          </w:tcPr>
          <w:p w:rsidR="00AF73B9" w:rsidRPr="00EB2995" w:rsidRDefault="00AF73B9" w:rsidP="00AF73B9">
            <w:pPr>
              <w:rPr>
                <w:rFonts w:cs="Calibri"/>
                <w:b/>
                <w:color w:val="0070C0"/>
              </w:rPr>
            </w:pPr>
          </w:p>
        </w:tc>
        <w:tc>
          <w:tcPr>
            <w:tcW w:w="1040" w:type="dxa"/>
            <w:noWrap/>
          </w:tcPr>
          <w:p w:rsidR="00AF73B9" w:rsidRPr="00EB2995" w:rsidRDefault="00AF73B9" w:rsidP="00AF73B9">
            <w:pPr>
              <w:rPr>
                <w:rFonts w:cs="Calibri"/>
                <w:b/>
              </w:rPr>
            </w:pPr>
          </w:p>
        </w:tc>
        <w:tc>
          <w:tcPr>
            <w:tcW w:w="1040" w:type="dxa"/>
            <w:noWrap/>
            <w:vAlign w:val="bottom"/>
          </w:tcPr>
          <w:p w:rsidR="00AF73B9" w:rsidRPr="00EB2995" w:rsidRDefault="00AF73B9" w:rsidP="00AF73B9">
            <w:pPr>
              <w:rPr>
                <w:rFonts w:cs="Calibri"/>
                <w:b/>
              </w:rPr>
            </w:pPr>
          </w:p>
        </w:tc>
        <w:tc>
          <w:tcPr>
            <w:tcW w:w="960" w:type="dxa"/>
            <w:noWrap/>
          </w:tcPr>
          <w:p w:rsidR="00AF73B9" w:rsidRPr="00EB2995" w:rsidRDefault="00AF73B9" w:rsidP="00AF73B9">
            <w:pPr>
              <w:rPr>
                <w:rFonts w:cs="Calibri"/>
                <w:b/>
              </w:rPr>
            </w:pPr>
          </w:p>
        </w:tc>
        <w:tc>
          <w:tcPr>
            <w:tcW w:w="395" w:type="dxa"/>
            <w:tcBorders>
              <w:right w:val="single" w:sz="4" w:space="0" w:color="auto"/>
            </w:tcBorders>
            <w:noWrap/>
            <w:vAlign w:val="bottom"/>
          </w:tcPr>
          <w:p w:rsidR="00AF73B9" w:rsidRPr="00EB2995" w:rsidRDefault="00AF73B9" w:rsidP="00AF73B9">
            <w:pPr>
              <w:rPr>
                <w:rFonts w:cs="Calibri"/>
                <w:b/>
              </w:rPr>
            </w:pPr>
          </w:p>
        </w:tc>
        <w:tc>
          <w:tcPr>
            <w:tcW w:w="1310" w:type="dxa"/>
            <w:tcBorders>
              <w:top w:val="single" w:sz="4" w:space="0" w:color="auto"/>
              <w:left w:val="single" w:sz="4" w:space="0" w:color="auto"/>
              <w:bottom w:val="single" w:sz="4" w:space="0" w:color="auto"/>
              <w:right w:val="single" w:sz="4" w:space="0" w:color="auto"/>
            </w:tcBorders>
            <w:noWrap/>
          </w:tcPr>
          <w:p w:rsidR="00AF73B9" w:rsidRPr="00EB2995" w:rsidRDefault="00AF73B9" w:rsidP="00AF73B9">
            <w:pPr>
              <w:jc w:val="right"/>
              <w:rPr>
                <w:rFonts w:cs="Calibri"/>
                <w:b/>
              </w:rPr>
            </w:pPr>
            <w:r w:rsidRPr="00EB2995">
              <w:rPr>
                <w:rFonts w:cs="Calibri"/>
                <w:b/>
              </w:rPr>
              <w:t>3.2</w:t>
            </w:r>
          </w:p>
        </w:tc>
        <w:tc>
          <w:tcPr>
            <w:tcW w:w="1276" w:type="dxa"/>
            <w:tcBorders>
              <w:top w:val="single" w:sz="4" w:space="0" w:color="auto"/>
              <w:left w:val="single" w:sz="4" w:space="0" w:color="auto"/>
              <w:bottom w:val="single" w:sz="4" w:space="0" w:color="auto"/>
              <w:right w:val="single" w:sz="4" w:space="0" w:color="auto"/>
            </w:tcBorders>
            <w:noWrap/>
          </w:tcPr>
          <w:p w:rsidR="00AF73B9" w:rsidRPr="00EB2995" w:rsidRDefault="00AF73B9" w:rsidP="00AF73B9">
            <w:pPr>
              <w:jc w:val="right"/>
              <w:rPr>
                <w:rFonts w:cs="Calibri"/>
                <w:b/>
              </w:rPr>
            </w:pPr>
            <w:r w:rsidRPr="00EB2995">
              <w:rPr>
                <w:rFonts w:cs="Calibri"/>
                <w:b/>
              </w:rPr>
              <w:t>3.2</w:t>
            </w:r>
          </w:p>
        </w:tc>
        <w:tc>
          <w:tcPr>
            <w:tcW w:w="1275" w:type="dxa"/>
            <w:tcBorders>
              <w:top w:val="single" w:sz="4" w:space="0" w:color="auto"/>
              <w:left w:val="single" w:sz="4" w:space="0" w:color="auto"/>
              <w:bottom w:val="single" w:sz="4" w:space="0" w:color="auto"/>
              <w:right w:val="single" w:sz="4" w:space="0" w:color="auto"/>
            </w:tcBorders>
            <w:noWrap/>
          </w:tcPr>
          <w:p w:rsidR="00AF73B9" w:rsidRPr="00EB2995" w:rsidRDefault="00AF73B9" w:rsidP="00AF73B9">
            <w:pPr>
              <w:jc w:val="right"/>
              <w:rPr>
                <w:rFonts w:cs="Calibri"/>
                <w:b/>
              </w:rPr>
            </w:pPr>
            <w:r w:rsidRPr="00EB2995">
              <w:rPr>
                <w:rFonts w:cs="Calibri"/>
                <w:b/>
              </w:rPr>
              <w:t>3.2</w:t>
            </w:r>
          </w:p>
        </w:tc>
        <w:tc>
          <w:tcPr>
            <w:tcW w:w="1418" w:type="dxa"/>
            <w:tcBorders>
              <w:top w:val="single" w:sz="4" w:space="0" w:color="auto"/>
              <w:left w:val="single" w:sz="4" w:space="0" w:color="auto"/>
              <w:bottom w:val="single" w:sz="4" w:space="0" w:color="auto"/>
              <w:right w:val="single" w:sz="4" w:space="0" w:color="auto"/>
            </w:tcBorders>
            <w:noWrap/>
          </w:tcPr>
          <w:p w:rsidR="00AF73B9" w:rsidRPr="00EB2995" w:rsidRDefault="00AF73B9" w:rsidP="00AF73B9">
            <w:pPr>
              <w:jc w:val="right"/>
              <w:rPr>
                <w:rFonts w:cs="Calibri"/>
                <w:b/>
              </w:rPr>
            </w:pPr>
            <w:r w:rsidRPr="00EB2995">
              <w:rPr>
                <w:rFonts w:cs="Calibri"/>
                <w:b/>
              </w:rPr>
              <w:t>3.2</w:t>
            </w:r>
          </w:p>
        </w:tc>
      </w:tr>
    </w:tbl>
    <w:p w:rsidR="00F72906" w:rsidRDefault="00F72906" w:rsidP="00F72906"/>
    <w:p w:rsidR="00F72906" w:rsidRDefault="00F72906" w:rsidP="00F72906">
      <w:r>
        <w:t xml:space="preserve">In addition to the payments made by the commercial operator shown above, the Council receives contingent rent based on the turnover of the golf course. </w:t>
      </w:r>
    </w:p>
    <w:p w:rsidR="00F72906" w:rsidRDefault="00F72906" w:rsidP="00F72906"/>
    <w:p w:rsidR="00AE1C26" w:rsidRDefault="00F72906" w:rsidP="00F72906">
      <w:pPr>
        <w:rPr>
          <w:b/>
        </w:rPr>
      </w:pPr>
      <w:r w:rsidRPr="00AF73B9">
        <w:rPr>
          <w:b/>
        </w:rPr>
        <w:t>Operating Leases (Authority as Lessor)</w:t>
      </w:r>
    </w:p>
    <w:p w:rsidR="00AE1C26" w:rsidRDefault="00AE1C26" w:rsidP="00F72906">
      <w:r>
        <w:t xml:space="preserve"> </w:t>
      </w:r>
      <w:r w:rsidR="00F72906">
        <w:t>The council leases out a number of its properties for both commercial use and service provision.</w:t>
      </w:r>
    </w:p>
    <w:p w:rsidR="00F72906" w:rsidRDefault="00AE1C26" w:rsidP="00F72906">
      <w:r>
        <w:t xml:space="preserve"> </w:t>
      </w:r>
      <w:r w:rsidR="00F72906">
        <w:t>Future minimum lease payments expected under these contracts are:</w:t>
      </w:r>
    </w:p>
    <w:tbl>
      <w:tblPr>
        <w:tblW w:w="8503" w:type="dxa"/>
        <w:tblInd w:w="108" w:type="dxa"/>
        <w:tblLook w:val="00A0" w:firstRow="1" w:lastRow="0" w:firstColumn="1" w:lastColumn="0" w:noHBand="0" w:noVBand="0"/>
      </w:tblPr>
      <w:tblGrid>
        <w:gridCol w:w="1417"/>
        <w:gridCol w:w="5669"/>
        <w:gridCol w:w="1417"/>
      </w:tblGrid>
      <w:tr w:rsidR="00AF73B9" w:rsidRPr="00EB2995" w:rsidTr="00AF73B9">
        <w:trPr>
          <w:trHeight w:val="300"/>
        </w:trPr>
        <w:tc>
          <w:tcPr>
            <w:tcW w:w="1417" w:type="dxa"/>
            <w:vAlign w:val="bottom"/>
          </w:tcPr>
          <w:p w:rsidR="00AF73B9" w:rsidRPr="00EB2995" w:rsidRDefault="00AF73B9" w:rsidP="00AF73B9">
            <w:pPr>
              <w:jc w:val="right"/>
              <w:rPr>
                <w:rFonts w:cs="Calibri"/>
                <w:b/>
              </w:rPr>
            </w:pPr>
            <w:r w:rsidRPr="00EB2995">
              <w:rPr>
                <w:rFonts w:cs="Calibri"/>
                <w:b/>
              </w:rPr>
              <w:t>2018/19</w:t>
            </w:r>
          </w:p>
        </w:tc>
        <w:tc>
          <w:tcPr>
            <w:tcW w:w="5669" w:type="dxa"/>
          </w:tcPr>
          <w:p w:rsidR="00AF73B9" w:rsidRPr="00EB2995" w:rsidRDefault="00AF73B9" w:rsidP="00AF73B9">
            <w:pPr>
              <w:jc w:val="right"/>
              <w:rPr>
                <w:rFonts w:cs="Calibri"/>
                <w:b/>
              </w:rPr>
            </w:pPr>
          </w:p>
        </w:tc>
        <w:tc>
          <w:tcPr>
            <w:tcW w:w="1417" w:type="dxa"/>
            <w:vAlign w:val="bottom"/>
          </w:tcPr>
          <w:p w:rsidR="00AF73B9" w:rsidRPr="00EB2995" w:rsidRDefault="00AF73B9" w:rsidP="00AF73B9">
            <w:pPr>
              <w:jc w:val="right"/>
              <w:rPr>
                <w:rFonts w:cs="Calibri"/>
                <w:b/>
              </w:rPr>
            </w:pPr>
            <w:r w:rsidRPr="00EB2995">
              <w:rPr>
                <w:rFonts w:cs="Calibri"/>
                <w:b/>
              </w:rPr>
              <w:t>2019/20</w:t>
            </w:r>
          </w:p>
        </w:tc>
      </w:tr>
      <w:tr w:rsidR="00AF73B9" w:rsidRPr="00EB2995" w:rsidTr="00AF73B9">
        <w:trPr>
          <w:trHeight w:val="300"/>
        </w:trPr>
        <w:tc>
          <w:tcPr>
            <w:tcW w:w="1417" w:type="dxa"/>
            <w:tcBorders>
              <w:bottom w:val="single" w:sz="4" w:space="0" w:color="auto"/>
            </w:tcBorders>
            <w:vAlign w:val="bottom"/>
          </w:tcPr>
          <w:p w:rsidR="00AF73B9" w:rsidRPr="00EB2995" w:rsidRDefault="00AF73B9" w:rsidP="00AF73B9">
            <w:pPr>
              <w:jc w:val="right"/>
              <w:rPr>
                <w:rFonts w:cs="Calibri"/>
                <w:b/>
              </w:rPr>
            </w:pPr>
            <w:r w:rsidRPr="00EB2995">
              <w:rPr>
                <w:rFonts w:cs="Calibri"/>
                <w:b/>
              </w:rPr>
              <w:t>£m</w:t>
            </w:r>
          </w:p>
        </w:tc>
        <w:tc>
          <w:tcPr>
            <w:tcW w:w="5669" w:type="dxa"/>
          </w:tcPr>
          <w:p w:rsidR="00AF73B9" w:rsidRPr="00EB2995" w:rsidRDefault="00AF73B9" w:rsidP="00AF73B9">
            <w:pPr>
              <w:jc w:val="right"/>
              <w:rPr>
                <w:rFonts w:cs="Calibri"/>
                <w:b/>
              </w:rPr>
            </w:pPr>
          </w:p>
        </w:tc>
        <w:tc>
          <w:tcPr>
            <w:tcW w:w="1417" w:type="dxa"/>
            <w:tcBorders>
              <w:bottom w:val="single" w:sz="4" w:space="0" w:color="auto"/>
            </w:tcBorders>
            <w:noWrap/>
            <w:vAlign w:val="bottom"/>
          </w:tcPr>
          <w:p w:rsidR="00AF73B9" w:rsidRPr="00EB2995" w:rsidRDefault="00AF73B9" w:rsidP="00AF73B9">
            <w:pPr>
              <w:jc w:val="right"/>
              <w:rPr>
                <w:rFonts w:cs="Calibri"/>
                <w:b/>
              </w:rPr>
            </w:pPr>
            <w:r w:rsidRPr="00EB2995">
              <w:rPr>
                <w:rFonts w:cs="Calibri"/>
                <w:b/>
              </w:rPr>
              <w:t>£m</w:t>
            </w:r>
          </w:p>
        </w:tc>
      </w:tr>
      <w:tr w:rsidR="00AF73B9" w:rsidRPr="00EB2995" w:rsidTr="00AF73B9">
        <w:trPr>
          <w:trHeight w:val="300"/>
        </w:trPr>
        <w:tc>
          <w:tcPr>
            <w:tcW w:w="1417" w:type="dxa"/>
            <w:tcBorders>
              <w:top w:val="nil"/>
              <w:left w:val="single" w:sz="8" w:space="0" w:color="auto"/>
              <w:bottom w:val="nil"/>
              <w:right w:val="single" w:sz="8" w:space="0" w:color="auto"/>
            </w:tcBorders>
            <w:shd w:val="clear" w:color="000000" w:fill="FFFFFF"/>
            <w:vAlign w:val="center"/>
          </w:tcPr>
          <w:p w:rsidR="00AF73B9" w:rsidRPr="00E30871" w:rsidRDefault="00AF73B9" w:rsidP="00AF73B9">
            <w:pPr>
              <w:jc w:val="right"/>
              <w:rPr>
                <w:rFonts w:cs="Calibri"/>
              </w:rPr>
            </w:pPr>
            <w:r w:rsidRPr="00C05AD5">
              <w:rPr>
                <w:rFonts w:cs="Calibri"/>
                <w:color w:val="000000"/>
              </w:rPr>
              <w:t>2.2</w:t>
            </w:r>
          </w:p>
        </w:tc>
        <w:tc>
          <w:tcPr>
            <w:tcW w:w="5669" w:type="dxa"/>
            <w:tcBorders>
              <w:left w:val="single" w:sz="4" w:space="0" w:color="auto"/>
              <w:right w:val="single" w:sz="4" w:space="0" w:color="auto"/>
            </w:tcBorders>
            <w:vAlign w:val="bottom"/>
          </w:tcPr>
          <w:p w:rsidR="00AF73B9" w:rsidRPr="00C05AD5" w:rsidRDefault="00AF73B9" w:rsidP="00AF73B9">
            <w:pPr>
              <w:rPr>
                <w:rFonts w:cs="Calibri"/>
              </w:rPr>
            </w:pPr>
            <w:r w:rsidRPr="00E30871">
              <w:rPr>
                <w:rFonts w:cs="Calibri"/>
              </w:rPr>
              <w:t>Not later than one year</w:t>
            </w:r>
          </w:p>
        </w:tc>
        <w:tc>
          <w:tcPr>
            <w:tcW w:w="1417" w:type="dxa"/>
            <w:tcBorders>
              <w:top w:val="nil"/>
              <w:left w:val="single" w:sz="8" w:space="0" w:color="auto"/>
              <w:bottom w:val="nil"/>
              <w:right w:val="single" w:sz="8" w:space="0" w:color="auto"/>
            </w:tcBorders>
            <w:shd w:val="clear" w:color="000000" w:fill="FFFFFF"/>
            <w:noWrap/>
            <w:vAlign w:val="center"/>
          </w:tcPr>
          <w:p w:rsidR="00AF73B9" w:rsidRPr="00C05AD5" w:rsidRDefault="00AF73B9" w:rsidP="00AF73B9">
            <w:pPr>
              <w:jc w:val="right"/>
              <w:rPr>
                <w:rFonts w:cs="Calibri"/>
              </w:rPr>
            </w:pPr>
            <w:r w:rsidRPr="00C05AD5">
              <w:rPr>
                <w:rFonts w:cs="Calibri"/>
                <w:color w:val="000000"/>
              </w:rPr>
              <w:t>1.5</w:t>
            </w:r>
          </w:p>
        </w:tc>
      </w:tr>
      <w:tr w:rsidR="00AF73B9" w:rsidRPr="00EB2995" w:rsidTr="00AF73B9">
        <w:trPr>
          <w:trHeight w:val="300"/>
        </w:trPr>
        <w:tc>
          <w:tcPr>
            <w:tcW w:w="1417" w:type="dxa"/>
            <w:tcBorders>
              <w:top w:val="nil"/>
              <w:left w:val="single" w:sz="8" w:space="0" w:color="auto"/>
              <w:bottom w:val="nil"/>
              <w:right w:val="single" w:sz="8" w:space="0" w:color="auto"/>
            </w:tcBorders>
            <w:shd w:val="clear" w:color="000000" w:fill="FFFFFF"/>
            <w:vAlign w:val="center"/>
          </w:tcPr>
          <w:p w:rsidR="00AF73B9" w:rsidRPr="00E30871" w:rsidRDefault="00AF73B9" w:rsidP="00AF73B9">
            <w:pPr>
              <w:jc w:val="right"/>
              <w:rPr>
                <w:rFonts w:cs="Calibri"/>
              </w:rPr>
            </w:pPr>
            <w:r w:rsidRPr="00C05AD5">
              <w:rPr>
                <w:rFonts w:cs="Calibri"/>
                <w:color w:val="000000"/>
              </w:rPr>
              <w:t>6.3</w:t>
            </w:r>
          </w:p>
        </w:tc>
        <w:tc>
          <w:tcPr>
            <w:tcW w:w="5669" w:type="dxa"/>
            <w:tcBorders>
              <w:left w:val="single" w:sz="4" w:space="0" w:color="auto"/>
              <w:right w:val="single" w:sz="4" w:space="0" w:color="auto"/>
            </w:tcBorders>
            <w:vAlign w:val="bottom"/>
          </w:tcPr>
          <w:p w:rsidR="00AF73B9" w:rsidRPr="00C05AD5" w:rsidRDefault="00AF73B9" w:rsidP="00AF73B9">
            <w:pPr>
              <w:rPr>
                <w:rFonts w:cs="Calibri"/>
              </w:rPr>
            </w:pPr>
            <w:r w:rsidRPr="00E30871">
              <w:rPr>
                <w:rFonts w:cs="Calibri"/>
              </w:rPr>
              <w:t>Later than one year and not later than five years</w:t>
            </w:r>
          </w:p>
        </w:tc>
        <w:tc>
          <w:tcPr>
            <w:tcW w:w="1417" w:type="dxa"/>
            <w:tcBorders>
              <w:top w:val="nil"/>
              <w:left w:val="single" w:sz="8" w:space="0" w:color="auto"/>
              <w:bottom w:val="nil"/>
              <w:right w:val="single" w:sz="8" w:space="0" w:color="auto"/>
            </w:tcBorders>
            <w:shd w:val="clear" w:color="000000" w:fill="FFFFFF"/>
            <w:noWrap/>
            <w:vAlign w:val="center"/>
          </w:tcPr>
          <w:p w:rsidR="00AF73B9" w:rsidRPr="00C05AD5" w:rsidRDefault="00AF73B9" w:rsidP="00AF73B9">
            <w:pPr>
              <w:jc w:val="right"/>
              <w:rPr>
                <w:rFonts w:cs="Calibri"/>
              </w:rPr>
            </w:pPr>
            <w:r w:rsidRPr="00C05AD5">
              <w:rPr>
                <w:rFonts w:cs="Calibri"/>
                <w:color w:val="000000"/>
              </w:rPr>
              <w:t>5.1</w:t>
            </w:r>
          </w:p>
        </w:tc>
      </w:tr>
      <w:tr w:rsidR="00AF73B9" w:rsidRPr="00EB2995" w:rsidTr="00AF73B9">
        <w:trPr>
          <w:trHeight w:val="300"/>
        </w:trPr>
        <w:tc>
          <w:tcPr>
            <w:tcW w:w="1417" w:type="dxa"/>
            <w:tcBorders>
              <w:top w:val="nil"/>
              <w:left w:val="single" w:sz="8" w:space="0" w:color="auto"/>
              <w:bottom w:val="single" w:sz="8" w:space="0" w:color="auto"/>
              <w:right w:val="single" w:sz="8" w:space="0" w:color="auto"/>
            </w:tcBorders>
            <w:shd w:val="clear" w:color="000000" w:fill="FFFFFF"/>
            <w:vAlign w:val="center"/>
          </w:tcPr>
          <w:p w:rsidR="00AF73B9" w:rsidRPr="00E30871" w:rsidRDefault="00AF73B9" w:rsidP="00AF73B9">
            <w:pPr>
              <w:jc w:val="right"/>
              <w:rPr>
                <w:rFonts w:cs="Calibri"/>
              </w:rPr>
            </w:pPr>
            <w:r w:rsidRPr="00C05AD5">
              <w:rPr>
                <w:rFonts w:cs="Calibri"/>
                <w:color w:val="000000"/>
              </w:rPr>
              <w:t>37.9</w:t>
            </w:r>
          </w:p>
        </w:tc>
        <w:tc>
          <w:tcPr>
            <w:tcW w:w="5669" w:type="dxa"/>
            <w:tcBorders>
              <w:left w:val="single" w:sz="4" w:space="0" w:color="auto"/>
              <w:right w:val="single" w:sz="4" w:space="0" w:color="auto"/>
            </w:tcBorders>
            <w:vAlign w:val="bottom"/>
          </w:tcPr>
          <w:p w:rsidR="00AF73B9" w:rsidRPr="00C05AD5" w:rsidRDefault="00AF73B9" w:rsidP="00AF73B9">
            <w:pPr>
              <w:rPr>
                <w:rFonts w:cs="Calibri"/>
              </w:rPr>
            </w:pPr>
            <w:r w:rsidRPr="00E30871">
              <w:rPr>
                <w:rFonts w:cs="Calibri"/>
              </w:rPr>
              <w:t>Later than five years</w:t>
            </w:r>
          </w:p>
        </w:tc>
        <w:tc>
          <w:tcPr>
            <w:tcW w:w="1417" w:type="dxa"/>
            <w:tcBorders>
              <w:top w:val="nil"/>
              <w:left w:val="single" w:sz="8" w:space="0" w:color="auto"/>
              <w:bottom w:val="single" w:sz="8" w:space="0" w:color="auto"/>
              <w:right w:val="single" w:sz="8" w:space="0" w:color="auto"/>
            </w:tcBorders>
            <w:shd w:val="clear" w:color="000000" w:fill="FFFFFF"/>
            <w:noWrap/>
            <w:vAlign w:val="center"/>
          </w:tcPr>
          <w:p w:rsidR="00AF73B9" w:rsidRPr="00C05AD5" w:rsidRDefault="00AF73B9" w:rsidP="00AF73B9">
            <w:pPr>
              <w:jc w:val="right"/>
              <w:rPr>
                <w:rFonts w:cs="Calibri"/>
              </w:rPr>
            </w:pPr>
            <w:r w:rsidRPr="00C05AD5">
              <w:rPr>
                <w:rFonts w:cs="Calibri"/>
                <w:color w:val="000000"/>
              </w:rPr>
              <w:t>42.5</w:t>
            </w:r>
          </w:p>
        </w:tc>
      </w:tr>
      <w:tr w:rsidR="00AF73B9" w:rsidRPr="00EB2995" w:rsidTr="00AF73B9">
        <w:trPr>
          <w:trHeight w:val="300"/>
        </w:trPr>
        <w:tc>
          <w:tcPr>
            <w:tcW w:w="1417" w:type="dxa"/>
            <w:tcBorders>
              <w:top w:val="single" w:sz="4" w:space="0" w:color="auto"/>
              <w:left w:val="single" w:sz="4" w:space="0" w:color="auto"/>
              <w:bottom w:val="single" w:sz="4" w:space="0" w:color="auto"/>
              <w:right w:val="single" w:sz="4" w:space="0" w:color="auto"/>
            </w:tcBorders>
            <w:vAlign w:val="bottom"/>
          </w:tcPr>
          <w:p w:rsidR="00AF73B9" w:rsidRPr="00E30871" w:rsidRDefault="00AF73B9" w:rsidP="00AF73B9">
            <w:pPr>
              <w:jc w:val="right"/>
              <w:rPr>
                <w:rFonts w:cs="Calibri"/>
                <w:b/>
              </w:rPr>
            </w:pPr>
            <w:r w:rsidRPr="00E30871">
              <w:rPr>
                <w:rFonts w:cs="Calibri"/>
                <w:b/>
              </w:rPr>
              <w:t>46.4</w:t>
            </w:r>
          </w:p>
        </w:tc>
        <w:tc>
          <w:tcPr>
            <w:tcW w:w="5669" w:type="dxa"/>
            <w:tcBorders>
              <w:left w:val="single" w:sz="4" w:space="0" w:color="auto"/>
              <w:right w:val="single" w:sz="4" w:space="0" w:color="auto"/>
            </w:tcBorders>
            <w:vAlign w:val="bottom"/>
          </w:tcPr>
          <w:p w:rsidR="00AF73B9" w:rsidRPr="00C05AD5" w:rsidRDefault="00AF73B9" w:rsidP="00AF73B9">
            <w:pPr>
              <w:jc w:val="center"/>
              <w:rPr>
                <w:rFonts w:cs="Calibri"/>
                <w:b/>
              </w:rPr>
            </w:pPr>
            <w:r w:rsidRPr="00E30871">
              <w:rPr>
                <w:rFonts w:cs="Calibri"/>
                <w:b/>
              </w:rPr>
              <w:t>Total</w:t>
            </w:r>
          </w:p>
        </w:tc>
        <w:tc>
          <w:tcPr>
            <w:tcW w:w="1417" w:type="dxa"/>
            <w:tcBorders>
              <w:top w:val="single" w:sz="4" w:space="0" w:color="auto"/>
              <w:left w:val="single" w:sz="4" w:space="0" w:color="auto"/>
              <w:bottom w:val="single" w:sz="4" w:space="0" w:color="auto"/>
              <w:right w:val="single" w:sz="4" w:space="0" w:color="auto"/>
            </w:tcBorders>
            <w:noWrap/>
            <w:vAlign w:val="center"/>
          </w:tcPr>
          <w:p w:rsidR="00AF73B9" w:rsidRPr="00C05AD5" w:rsidRDefault="00AF73B9" w:rsidP="00AF73B9">
            <w:pPr>
              <w:jc w:val="right"/>
              <w:rPr>
                <w:rFonts w:cs="Calibri"/>
                <w:b/>
              </w:rPr>
            </w:pPr>
            <w:r w:rsidRPr="00C05AD5">
              <w:rPr>
                <w:rFonts w:cs="Calibri"/>
                <w:b/>
                <w:bCs/>
                <w:color w:val="000000"/>
              </w:rPr>
              <w:t>49.1</w:t>
            </w:r>
          </w:p>
        </w:tc>
      </w:tr>
    </w:tbl>
    <w:p w:rsidR="00F72906" w:rsidRDefault="00F72906" w:rsidP="00F72906"/>
    <w:p w:rsidR="00F72906" w:rsidRDefault="00F72906" w:rsidP="00F72906">
      <w:r>
        <w:t>The Council receives additional contingent rent for one of its properties based on the turnover of the lessee’s business.</w:t>
      </w:r>
    </w:p>
    <w:p w:rsidR="00F72906" w:rsidRDefault="00F72906" w:rsidP="00AF73B9">
      <w:pPr>
        <w:pStyle w:val="Heading3"/>
      </w:pPr>
      <w:r>
        <w:t xml:space="preserve">Note 30 – Private Finance </w:t>
      </w:r>
      <w:r w:rsidRPr="00AF73B9">
        <w:t>Initiative</w:t>
      </w:r>
      <w:r>
        <w:t xml:space="preserve"> (PFI) and Service Concessions</w:t>
      </w:r>
    </w:p>
    <w:p w:rsidR="00F72906" w:rsidRDefault="00F72906" w:rsidP="00F72906">
      <w:r>
        <w:t>The Council has entered into three PFI projects which have generated assets to be used by the Council, these are:</w:t>
      </w:r>
    </w:p>
    <w:p w:rsidR="00F72906" w:rsidRDefault="00F72906" w:rsidP="00F72906">
      <w:r>
        <w:t>•</w:t>
      </w:r>
      <w:r>
        <w:tab/>
        <w:t>In 2006/07 a 25 year project to provide, operate and maintain a new sports center and related facilities in Willesden; legal title to this sports center transfers to Brent at the end of the contract</w:t>
      </w:r>
    </w:p>
    <w:p w:rsidR="00F72906" w:rsidRDefault="00F72906" w:rsidP="00F72906">
      <w:r>
        <w:t>•</w:t>
      </w:r>
      <w:r>
        <w:tab/>
        <w:t>In 2008/09 the Council entered into phase 1 of a 20-year project to provide and maintain social housing, and replacement residential facilities for people with learning disabilities. Phase 2 of this contract was signed in 2010-11. Legal title to the residential facilities for people with learning disabilities transfers to Brent. Brent controls the residual value of 158 units of the housing stock at the end of the contract by a combination of restrictions on the sale and use of the social housing built and guaranteed nomination rights to 158 of the properties built. The complexities of this contract are further detailed below.</w:t>
      </w:r>
    </w:p>
    <w:p w:rsidR="00F72906" w:rsidRDefault="00F72906" w:rsidP="00F72906">
      <w:r>
        <w:lastRenderedPageBreak/>
        <w:t>The Council has reviewed its contracts and identified the following agreements that meet the definition of a Service Concession:</w:t>
      </w:r>
    </w:p>
    <w:p w:rsidR="00F72906" w:rsidRDefault="00F72906" w:rsidP="00F72906">
      <w:r>
        <w:t>•</w:t>
      </w:r>
      <w:r>
        <w:tab/>
        <w:t>In 2005/06 a 32-year agreement was made to provide and maintain social housing within Stonebridge.  A tenant’s vote at the start of the contract determined whether or not a block of flats or house paid for by this contract appears on Brent’s balance sheet. The PFI operator manages and maintains these properties on behalf of Brent.</w:t>
      </w:r>
    </w:p>
    <w:p w:rsidR="00F72906" w:rsidRDefault="00F72906" w:rsidP="00F72906">
      <w:r>
        <w:t xml:space="preserve">A provision of £5.7m is maintained to reflect changes in the PFI schemes agreed in prior years.  Please refer to note 9.  </w:t>
      </w:r>
    </w:p>
    <w:p w:rsidR="00F72906" w:rsidRDefault="00F72906" w:rsidP="00F72906">
      <w:r>
        <w:t xml:space="preserve">The assets that have been recognised on the balance sheet funded by PFIs and service concessions are shown in Note 1 on Plant, Property, and Equipment. </w:t>
      </w:r>
    </w:p>
    <w:p w:rsidR="00F72906" w:rsidRDefault="00F72906" w:rsidP="00F72906"/>
    <w:p w:rsidR="00F72906" w:rsidRDefault="00F72906" w:rsidP="00F72906">
      <w:r>
        <w:t>These assets are funded by the following liabilities which are repaid over the course of the contract to recompense the PFI operator for the capital expenditure they have incurred.</w:t>
      </w:r>
    </w:p>
    <w:tbl>
      <w:tblPr>
        <w:tblW w:w="8503" w:type="dxa"/>
        <w:tblInd w:w="108" w:type="dxa"/>
        <w:tblLook w:val="00A0" w:firstRow="1" w:lastRow="0" w:firstColumn="1" w:lastColumn="0" w:noHBand="0" w:noVBand="0"/>
      </w:tblPr>
      <w:tblGrid>
        <w:gridCol w:w="1417"/>
        <w:gridCol w:w="5669"/>
        <w:gridCol w:w="1417"/>
      </w:tblGrid>
      <w:tr w:rsidR="00AF73B9" w:rsidRPr="00EB2995" w:rsidTr="00AF73B9">
        <w:trPr>
          <w:trHeight w:val="300"/>
        </w:trPr>
        <w:tc>
          <w:tcPr>
            <w:tcW w:w="1417" w:type="dxa"/>
            <w:vAlign w:val="bottom"/>
          </w:tcPr>
          <w:p w:rsidR="00AF73B9" w:rsidRPr="00C05AD5" w:rsidRDefault="00AF73B9" w:rsidP="00AF73B9">
            <w:pPr>
              <w:jc w:val="right"/>
              <w:rPr>
                <w:rFonts w:cs="Calibri"/>
                <w:b/>
              </w:rPr>
            </w:pPr>
            <w:r w:rsidRPr="004142DB">
              <w:rPr>
                <w:rFonts w:cs="Calibri"/>
                <w:b/>
              </w:rPr>
              <w:t>2018/19</w:t>
            </w:r>
          </w:p>
        </w:tc>
        <w:tc>
          <w:tcPr>
            <w:tcW w:w="5669" w:type="dxa"/>
          </w:tcPr>
          <w:p w:rsidR="00AF73B9" w:rsidRPr="00C05AD5" w:rsidRDefault="00AF73B9" w:rsidP="00AF73B9">
            <w:pPr>
              <w:jc w:val="center"/>
              <w:rPr>
                <w:rFonts w:cs="Calibri"/>
                <w:b/>
                <w:highlight w:val="cyan"/>
              </w:rPr>
            </w:pPr>
          </w:p>
        </w:tc>
        <w:tc>
          <w:tcPr>
            <w:tcW w:w="1417" w:type="dxa"/>
            <w:vAlign w:val="bottom"/>
          </w:tcPr>
          <w:p w:rsidR="00AF73B9" w:rsidRPr="00C05AD5" w:rsidRDefault="00AF73B9" w:rsidP="00AF73B9">
            <w:pPr>
              <w:jc w:val="right"/>
              <w:rPr>
                <w:rFonts w:cs="Calibri"/>
                <w:b/>
              </w:rPr>
            </w:pPr>
            <w:r w:rsidRPr="004142DB">
              <w:rPr>
                <w:rFonts w:cs="Calibri"/>
                <w:b/>
              </w:rPr>
              <w:t>2019/20</w:t>
            </w:r>
          </w:p>
        </w:tc>
      </w:tr>
      <w:tr w:rsidR="00AF73B9" w:rsidRPr="00EB2995" w:rsidTr="00AF73B9">
        <w:trPr>
          <w:trHeight w:val="329"/>
        </w:trPr>
        <w:tc>
          <w:tcPr>
            <w:tcW w:w="1417" w:type="dxa"/>
            <w:tcBorders>
              <w:bottom w:val="single" w:sz="4" w:space="0" w:color="auto"/>
            </w:tcBorders>
            <w:vAlign w:val="bottom"/>
          </w:tcPr>
          <w:p w:rsidR="00AF73B9" w:rsidRPr="00C05AD5" w:rsidRDefault="00AF73B9" w:rsidP="00AF73B9">
            <w:pPr>
              <w:jc w:val="right"/>
              <w:rPr>
                <w:rFonts w:cs="Calibri"/>
                <w:b/>
              </w:rPr>
            </w:pPr>
            <w:r w:rsidRPr="004142DB">
              <w:rPr>
                <w:rFonts w:cs="Calibri"/>
                <w:b/>
              </w:rPr>
              <w:t>£m</w:t>
            </w:r>
          </w:p>
        </w:tc>
        <w:tc>
          <w:tcPr>
            <w:tcW w:w="5669" w:type="dxa"/>
          </w:tcPr>
          <w:p w:rsidR="00AF73B9" w:rsidRPr="00C05AD5" w:rsidRDefault="00AF73B9" w:rsidP="00AF73B9">
            <w:pPr>
              <w:jc w:val="center"/>
              <w:rPr>
                <w:rFonts w:cs="Calibri"/>
                <w:b/>
              </w:rPr>
            </w:pPr>
          </w:p>
        </w:tc>
        <w:tc>
          <w:tcPr>
            <w:tcW w:w="1417" w:type="dxa"/>
            <w:tcBorders>
              <w:bottom w:val="single" w:sz="4" w:space="0" w:color="auto"/>
            </w:tcBorders>
            <w:noWrap/>
            <w:vAlign w:val="bottom"/>
          </w:tcPr>
          <w:p w:rsidR="00AF73B9" w:rsidRPr="00C05AD5" w:rsidRDefault="00AF73B9" w:rsidP="00AF73B9">
            <w:pPr>
              <w:jc w:val="right"/>
              <w:rPr>
                <w:rFonts w:cs="Calibri"/>
                <w:b/>
              </w:rPr>
            </w:pPr>
            <w:r w:rsidRPr="004142DB">
              <w:rPr>
                <w:rFonts w:cs="Calibri"/>
                <w:b/>
              </w:rPr>
              <w:t>£m</w:t>
            </w:r>
          </w:p>
        </w:tc>
      </w:tr>
      <w:tr w:rsidR="00AF73B9" w:rsidRPr="00EB2995" w:rsidTr="00AF73B9">
        <w:trPr>
          <w:trHeight w:val="300"/>
        </w:trPr>
        <w:tc>
          <w:tcPr>
            <w:tcW w:w="1417" w:type="dxa"/>
            <w:tcBorders>
              <w:top w:val="nil"/>
              <w:left w:val="single" w:sz="8" w:space="0" w:color="auto"/>
              <w:bottom w:val="nil"/>
              <w:right w:val="single" w:sz="8" w:space="0" w:color="auto"/>
            </w:tcBorders>
            <w:shd w:val="clear" w:color="000000" w:fill="FFFFFF"/>
            <w:vAlign w:val="center"/>
          </w:tcPr>
          <w:p w:rsidR="00AF73B9" w:rsidRPr="00C05AD5" w:rsidRDefault="00AF73B9" w:rsidP="00AF73B9">
            <w:pPr>
              <w:jc w:val="right"/>
              <w:rPr>
                <w:rFonts w:cs="Calibri"/>
                <w:highlight w:val="cyan"/>
              </w:rPr>
            </w:pPr>
            <w:r w:rsidRPr="00C05AD5">
              <w:rPr>
                <w:rFonts w:cs="Calibri"/>
                <w:color w:val="000000"/>
              </w:rPr>
              <w:t>28.5</w:t>
            </w:r>
          </w:p>
        </w:tc>
        <w:tc>
          <w:tcPr>
            <w:tcW w:w="5669" w:type="dxa"/>
            <w:tcBorders>
              <w:left w:val="single" w:sz="4" w:space="0" w:color="auto"/>
              <w:right w:val="single" w:sz="4" w:space="0" w:color="auto"/>
            </w:tcBorders>
            <w:vAlign w:val="bottom"/>
          </w:tcPr>
          <w:p w:rsidR="00AF73B9" w:rsidRPr="00C05AD5" w:rsidRDefault="00AF73B9" w:rsidP="00AF73B9">
            <w:pPr>
              <w:jc w:val="both"/>
              <w:rPr>
                <w:rFonts w:cs="Calibri"/>
              </w:rPr>
            </w:pPr>
            <w:r w:rsidRPr="004142DB">
              <w:rPr>
                <w:rFonts w:cs="Calibri"/>
              </w:rPr>
              <w:t>Balance outstanding at start of year</w:t>
            </w:r>
          </w:p>
        </w:tc>
        <w:tc>
          <w:tcPr>
            <w:tcW w:w="1417" w:type="dxa"/>
            <w:tcBorders>
              <w:top w:val="nil"/>
              <w:left w:val="nil"/>
              <w:bottom w:val="nil"/>
              <w:right w:val="single" w:sz="8" w:space="0" w:color="auto"/>
            </w:tcBorders>
            <w:noWrap/>
          </w:tcPr>
          <w:p w:rsidR="00AF73B9" w:rsidRPr="00C05AD5" w:rsidRDefault="00AF73B9" w:rsidP="00AF73B9">
            <w:pPr>
              <w:jc w:val="right"/>
              <w:rPr>
                <w:rFonts w:cs="Calibri"/>
                <w:highlight w:val="cyan"/>
              </w:rPr>
            </w:pPr>
            <w:r w:rsidRPr="00C05AD5">
              <w:rPr>
                <w:rFonts w:cs="Calibri"/>
              </w:rPr>
              <w:t>26.6</w:t>
            </w:r>
          </w:p>
        </w:tc>
      </w:tr>
      <w:tr w:rsidR="00AF73B9" w:rsidRPr="00EB2995" w:rsidTr="00AF73B9">
        <w:trPr>
          <w:trHeight w:val="300"/>
        </w:trPr>
        <w:tc>
          <w:tcPr>
            <w:tcW w:w="1417" w:type="dxa"/>
            <w:tcBorders>
              <w:top w:val="nil"/>
              <w:left w:val="single" w:sz="8" w:space="0" w:color="auto"/>
              <w:bottom w:val="nil"/>
              <w:right w:val="single" w:sz="8" w:space="0" w:color="auto"/>
            </w:tcBorders>
            <w:shd w:val="clear" w:color="000000" w:fill="FFFFFF"/>
            <w:vAlign w:val="center"/>
          </w:tcPr>
          <w:p w:rsidR="00AF73B9" w:rsidRPr="00C05AD5" w:rsidRDefault="00AF73B9" w:rsidP="00AF73B9">
            <w:pPr>
              <w:jc w:val="right"/>
              <w:rPr>
                <w:rFonts w:cs="Calibri"/>
                <w:highlight w:val="cyan"/>
              </w:rPr>
            </w:pPr>
            <w:r w:rsidRPr="00C05AD5">
              <w:rPr>
                <w:rFonts w:cs="Calibri"/>
                <w:color w:val="000000"/>
              </w:rPr>
              <w:t>(2.0)</w:t>
            </w:r>
          </w:p>
        </w:tc>
        <w:tc>
          <w:tcPr>
            <w:tcW w:w="5669" w:type="dxa"/>
            <w:tcBorders>
              <w:left w:val="single" w:sz="4" w:space="0" w:color="auto"/>
              <w:right w:val="single" w:sz="4" w:space="0" w:color="auto"/>
            </w:tcBorders>
            <w:vAlign w:val="bottom"/>
          </w:tcPr>
          <w:p w:rsidR="00AF73B9" w:rsidRPr="00C05AD5" w:rsidRDefault="00AF73B9" w:rsidP="00AF73B9">
            <w:pPr>
              <w:jc w:val="both"/>
              <w:rPr>
                <w:rFonts w:cs="Calibri"/>
              </w:rPr>
            </w:pPr>
            <w:r w:rsidRPr="004142DB">
              <w:rPr>
                <w:rFonts w:cs="Calibri"/>
              </w:rPr>
              <w:t>Payments during the year</w:t>
            </w:r>
          </w:p>
        </w:tc>
        <w:tc>
          <w:tcPr>
            <w:tcW w:w="1417" w:type="dxa"/>
            <w:tcBorders>
              <w:top w:val="nil"/>
              <w:left w:val="nil"/>
              <w:bottom w:val="nil"/>
              <w:right w:val="single" w:sz="8" w:space="0" w:color="auto"/>
            </w:tcBorders>
            <w:noWrap/>
          </w:tcPr>
          <w:p w:rsidR="00AF73B9" w:rsidRPr="00C05AD5" w:rsidRDefault="00AF73B9" w:rsidP="00AF73B9">
            <w:pPr>
              <w:jc w:val="right"/>
              <w:rPr>
                <w:rFonts w:cs="Calibri"/>
                <w:highlight w:val="cyan"/>
              </w:rPr>
            </w:pPr>
            <w:r w:rsidRPr="00C05AD5">
              <w:rPr>
                <w:rFonts w:cs="Calibri"/>
              </w:rPr>
              <w:t>(1.8)</w:t>
            </w:r>
          </w:p>
        </w:tc>
      </w:tr>
      <w:tr w:rsidR="00AF73B9" w:rsidRPr="00EB2995" w:rsidTr="00AF73B9">
        <w:trPr>
          <w:trHeight w:val="300"/>
        </w:trPr>
        <w:tc>
          <w:tcPr>
            <w:tcW w:w="1417" w:type="dxa"/>
            <w:tcBorders>
              <w:top w:val="single" w:sz="4" w:space="0" w:color="auto"/>
              <w:left w:val="single" w:sz="4" w:space="0" w:color="auto"/>
              <w:bottom w:val="single" w:sz="4" w:space="0" w:color="auto"/>
              <w:right w:val="single" w:sz="4" w:space="0" w:color="auto"/>
            </w:tcBorders>
            <w:vAlign w:val="center"/>
          </w:tcPr>
          <w:p w:rsidR="00AF73B9" w:rsidRPr="00C05AD5" w:rsidRDefault="00AF73B9" w:rsidP="00AF73B9">
            <w:pPr>
              <w:jc w:val="right"/>
              <w:rPr>
                <w:rFonts w:cs="Calibri"/>
                <w:b/>
              </w:rPr>
            </w:pPr>
            <w:r w:rsidRPr="004142DB">
              <w:rPr>
                <w:rFonts w:cs="Calibri"/>
                <w:b/>
                <w:bCs/>
                <w:color w:val="000000"/>
              </w:rPr>
              <w:t>26.6</w:t>
            </w:r>
          </w:p>
        </w:tc>
        <w:tc>
          <w:tcPr>
            <w:tcW w:w="5669" w:type="dxa"/>
            <w:tcBorders>
              <w:left w:val="single" w:sz="4" w:space="0" w:color="auto"/>
              <w:right w:val="single" w:sz="4" w:space="0" w:color="auto"/>
            </w:tcBorders>
            <w:vAlign w:val="bottom"/>
          </w:tcPr>
          <w:p w:rsidR="00AF73B9" w:rsidRPr="00C05AD5" w:rsidRDefault="00AF73B9" w:rsidP="00AF73B9">
            <w:pPr>
              <w:jc w:val="both"/>
              <w:rPr>
                <w:rFonts w:cs="Calibri"/>
                <w:b/>
              </w:rPr>
            </w:pPr>
            <w:r w:rsidRPr="004142DB">
              <w:rPr>
                <w:rFonts w:cs="Calibri"/>
                <w:b/>
              </w:rPr>
              <w:t>Balance outstanding at end of year</w:t>
            </w:r>
          </w:p>
        </w:tc>
        <w:tc>
          <w:tcPr>
            <w:tcW w:w="1417" w:type="dxa"/>
            <w:tcBorders>
              <w:top w:val="single" w:sz="8" w:space="0" w:color="auto"/>
              <w:left w:val="nil"/>
              <w:bottom w:val="single" w:sz="8" w:space="0" w:color="auto"/>
              <w:right w:val="single" w:sz="8" w:space="0" w:color="auto"/>
            </w:tcBorders>
            <w:noWrap/>
            <w:vAlign w:val="center"/>
          </w:tcPr>
          <w:p w:rsidR="00AF73B9" w:rsidRPr="00C05AD5" w:rsidRDefault="00AF73B9" w:rsidP="00AF73B9">
            <w:pPr>
              <w:jc w:val="right"/>
              <w:rPr>
                <w:rFonts w:cs="Calibri"/>
                <w:b/>
              </w:rPr>
            </w:pPr>
            <w:r w:rsidRPr="00C05AD5">
              <w:rPr>
                <w:rFonts w:cs="Calibri"/>
                <w:b/>
                <w:bCs/>
                <w:color w:val="000000"/>
              </w:rPr>
              <w:t>24.7</w:t>
            </w:r>
          </w:p>
        </w:tc>
      </w:tr>
    </w:tbl>
    <w:p w:rsidR="00F72906" w:rsidRDefault="00F72906" w:rsidP="00F72906"/>
    <w:p w:rsidR="00AF73B9" w:rsidRDefault="00F72906" w:rsidP="00AF73B9">
      <w:r>
        <w:t>The following future payments are expected to be made on the PFIs and Service Concessions:</w:t>
      </w:r>
      <w:r>
        <w:tab/>
      </w:r>
    </w:p>
    <w:tbl>
      <w:tblPr>
        <w:tblW w:w="8970" w:type="dxa"/>
        <w:tblLayout w:type="fixed"/>
        <w:tblLook w:val="00A0" w:firstRow="1" w:lastRow="0" w:firstColumn="1" w:lastColumn="0" w:noHBand="0" w:noVBand="0"/>
      </w:tblPr>
      <w:tblGrid>
        <w:gridCol w:w="1310"/>
        <w:gridCol w:w="982"/>
        <w:gridCol w:w="929"/>
        <w:gridCol w:w="1418"/>
        <w:gridCol w:w="1740"/>
        <w:gridCol w:w="1276"/>
        <w:gridCol w:w="1315"/>
      </w:tblGrid>
      <w:tr w:rsidR="00AF73B9" w:rsidRPr="004142DB" w:rsidTr="00AF73B9">
        <w:trPr>
          <w:trHeight w:val="1020"/>
        </w:trPr>
        <w:tc>
          <w:tcPr>
            <w:tcW w:w="1310" w:type="dxa"/>
            <w:tcBorders>
              <w:top w:val="nil"/>
              <w:left w:val="nil"/>
              <w:bottom w:val="nil"/>
              <w:right w:val="nil"/>
            </w:tcBorders>
            <w:shd w:val="clear" w:color="000000" w:fill="FFFFFF"/>
            <w:noWrap/>
            <w:vAlign w:val="bottom"/>
          </w:tcPr>
          <w:p w:rsidR="00AF73B9" w:rsidRPr="00C05AD5" w:rsidRDefault="00AF73B9" w:rsidP="00AF73B9">
            <w:pPr>
              <w:jc w:val="center"/>
              <w:rPr>
                <w:rFonts w:cs="Calibri"/>
              </w:rPr>
            </w:pPr>
          </w:p>
        </w:tc>
        <w:tc>
          <w:tcPr>
            <w:tcW w:w="982" w:type="dxa"/>
            <w:tcBorders>
              <w:top w:val="nil"/>
              <w:left w:val="nil"/>
              <w:bottom w:val="nil"/>
              <w:right w:val="nil"/>
            </w:tcBorders>
            <w:shd w:val="clear" w:color="000000" w:fill="FFFFFF"/>
            <w:noWrap/>
            <w:vAlign w:val="bottom"/>
          </w:tcPr>
          <w:p w:rsidR="00AF73B9" w:rsidRPr="00C05AD5" w:rsidRDefault="00AF73B9" w:rsidP="00AF73B9">
            <w:pPr>
              <w:jc w:val="center"/>
              <w:rPr>
                <w:rFonts w:cs="Calibri"/>
              </w:rPr>
            </w:pPr>
          </w:p>
        </w:tc>
        <w:tc>
          <w:tcPr>
            <w:tcW w:w="929" w:type="dxa"/>
            <w:tcBorders>
              <w:top w:val="nil"/>
              <w:left w:val="nil"/>
              <w:bottom w:val="nil"/>
              <w:right w:val="nil"/>
            </w:tcBorders>
            <w:shd w:val="clear" w:color="000000" w:fill="FFFFFF"/>
            <w:noWrap/>
            <w:vAlign w:val="bottom"/>
          </w:tcPr>
          <w:p w:rsidR="00AF73B9" w:rsidRPr="00C05AD5" w:rsidRDefault="00AF73B9" w:rsidP="00AF73B9">
            <w:pPr>
              <w:jc w:val="center"/>
              <w:rPr>
                <w:rFonts w:cs="Calibri"/>
              </w:rPr>
            </w:pPr>
          </w:p>
        </w:tc>
        <w:tc>
          <w:tcPr>
            <w:tcW w:w="1418" w:type="dxa"/>
            <w:tcBorders>
              <w:top w:val="nil"/>
              <w:left w:val="nil"/>
              <w:bottom w:val="nil"/>
              <w:right w:val="nil"/>
            </w:tcBorders>
            <w:shd w:val="clear" w:color="000000" w:fill="FFFFFF"/>
            <w:vAlign w:val="bottom"/>
          </w:tcPr>
          <w:p w:rsidR="00AF73B9" w:rsidRPr="00C05AD5" w:rsidRDefault="00AF73B9" w:rsidP="00AF73B9">
            <w:pPr>
              <w:jc w:val="right"/>
              <w:rPr>
                <w:rFonts w:cs="Calibri"/>
                <w:b/>
              </w:rPr>
            </w:pPr>
            <w:r w:rsidRPr="004142DB">
              <w:rPr>
                <w:rFonts w:cs="Calibri"/>
                <w:b/>
              </w:rPr>
              <w:t>Payment for Services</w:t>
            </w:r>
          </w:p>
        </w:tc>
        <w:tc>
          <w:tcPr>
            <w:tcW w:w="1740" w:type="dxa"/>
            <w:tcBorders>
              <w:top w:val="nil"/>
              <w:left w:val="nil"/>
              <w:bottom w:val="nil"/>
              <w:right w:val="nil"/>
            </w:tcBorders>
            <w:shd w:val="clear" w:color="000000" w:fill="FFFFFF"/>
            <w:vAlign w:val="bottom"/>
          </w:tcPr>
          <w:p w:rsidR="00AF73B9" w:rsidRPr="00C05AD5" w:rsidRDefault="00AF73B9" w:rsidP="00AF73B9">
            <w:pPr>
              <w:jc w:val="right"/>
              <w:rPr>
                <w:rFonts w:cs="Calibri"/>
                <w:b/>
              </w:rPr>
            </w:pPr>
            <w:r w:rsidRPr="004142DB">
              <w:rPr>
                <w:rFonts w:cs="Calibri"/>
                <w:b/>
              </w:rPr>
              <w:t>Reimbursement of Capital Expenditure</w:t>
            </w:r>
          </w:p>
        </w:tc>
        <w:tc>
          <w:tcPr>
            <w:tcW w:w="1276" w:type="dxa"/>
            <w:tcBorders>
              <w:top w:val="nil"/>
              <w:left w:val="nil"/>
              <w:bottom w:val="nil"/>
              <w:right w:val="nil"/>
            </w:tcBorders>
            <w:shd w:val="clear" w:color="000000" w:fill="FFFFFF"/>
            <w:vAlign w:val="bottom"/>
          </w:tcPr>
          <w:p w:rsidR="00AF73B9" w:rsidRPr="00C05AD5" w:rsidRDefault="00AF73B9" w:rsidP="00AF73B9">
            <w:pPr>
              <w:jc w:val="right"/>
              <w:rPr>
                <w:rFonts w:cs="Calibri"/>
                <w:b/>
              </w:rPr>
            </w:pPr>
            <w:r w:rsidRPr="004142DB">
              <w:rPr>
                <w:rFonts w:cs="Calibri"/>
                <w:b/>
              </w:rPr>
              <w:t>Interest</w:t>
            </w:r>
          </w:p>
        </w:tc>
        <w:tc>
          <w:tcPr>
            <w:tcW w:w="1315" w:type="dxa"/>
            <w:tcBorders>
              <w:top w:val="nil"/>
              <w:left w:val="nil"/>
              <w:bottom w:val="nil"/>
              <w:right w:val="nil"/>
            </w:tcBorders>
            <w:shd w:val="clear" w:color="000000" w:fill="FFFFFF"/>
            <w:vAlign w:val="bottom"/>
          </w:tcPr>
          <w:p w:rsidR="00AF73B9" w:rsidRPr="00C05AD5" w:rsidRDefault="00AF73B9" w:rsidP="00AF73B9">
            <w:pPr>
              <w:jc w:val="right"/>
              <w:rPr>
                <w:rFonts w:cs="Calibri"/>
                <w:b/>
              </w:rPr>
            </w:pPr>
            <w:r w:rsidRPr="004142DB">
              <w:rPr>
                <w:rFonts w:cs="Calibri"/>
                <w:b/>
              </w:rPr>
              <w:t>Total</w:t>
            </w:r>
          </w:p>
        </w:tc>
      </w:tr>
      <w:tr w:rsidR="00AF73B9" w:rsidRPr="004142DB" w:rsidTr="00AF73B9">
        <w:trPr>
          <w:trHeight w:val="315"/>
        </w:trPr>
        <w:tc>
          <w:tcPr>
            <w:tcW w:w="1310" w:type="dxa"/>
            <w:tcBorders>
              <w:top w:val="nil"/>
              <w:left w:val="nil"/>
              <w:bottom w:val="nil"/>
              <w:right w:val="nil"/>
            </w:tcBorders>
            <w:shd w:val="clear" w:color="000000" w:fill="FFFFFF"/>
            <w:noWrap/>
            <w:vAlign w:val="bottom"/>
          </w:tcPr>
          <w:p w:rsidR="00AF73B9" w:rsidRPr="00C05AD5" w:rsidRDefault="00AF73B9" w:rsidP="00AF73B9">
            <w:pPr>
              <w:jc w:val="center"/>
              <w:rPr>
                <w:rFonts w:cs="Calibri"/>
              </w:rPr>
            </w:pPr>
          </w:p>
        </w:tc>
        <w:tc>
          <w:tcPr>
            <w:tcW w:w="982" w:type="dxa"/>
            <w:tcBorders>
              <w:top w:val="nil"/>
              <w:left w:val="nil"/>
              <w:bottom w:val="nil"/>
              <w:right w:val="nil"/>
            </w:tcBorders>
            <w:shd w:val="clear" w:color="000000" w:fill="FFFFFF"/>
            <w:noWrap/>
            <w:vAlign w:val="bottom"/>
          </w:tcPr>
          <w:p w:rsidR="00AF73B9" w:rsidRPr="00C05AD5" w:rsidRDefault="00AF73B9" w:rsidP="00AF73B9">
            <w:pPr>
              <w:jc w:val="center"/>
              <w:rPr>
                <w:rFonts w:cs="Calibri"/>
              </w:rPr>
            </w:pPr>
          </w:p>
        </w:tc>
        <w:tc>
          <w:tcPr>
            <w:tcW w:w="929" w:type="dxa"/>
            <w:tcBorders>
              <w:top w:val="nil"/>
              <w:left w:val="nil"/>
              <w:bottom w:val="nil"/>
              <w:right w:val="nil"/>
            </w:tcBorders>
            <w:shd w:val="clear" w:color="000000" w:fill="FFFFFF"/>
            <w:noWrap/>
            <w:vAlign w:val="bottom"/>
          </w:tcPr>
          <w:p w:rsidR="00AF73B9" w:rsidRPr="00C05AD5" w:rsidRDefault="00AF73B9" w:rsidP="00AF73B9">
            <w:pPr>
              <w:jc w:val="center"/>
              <w:rPr>
                <w:rFonts w:cs="Calibri"/>
              </w:rPr>
            </w:pPr>
          </w:p>
        </w:tc>
        <w:tc>
          <w:tcPr>
            <w:tcW w:w="1418" w:type="dxa"/>
            <w:tcBorders>
              <w:top w:val="nil"/>
              <w:left w:val="nil"/>
              <w:bottom w:val="single" w:sz="4" w:space="0" w:color="auto"/>
              <w:right w:val="nil"/>
            </w:tcBorders>
            <w:shd w:val="clear" w:color="000000" w:fill="FFFFFF"/>
            <w:noWrap/>
            <w:vAlign w:val="bottom"/>
          </w:tcPr>
          <w:p w:rsidR="00AF73B9" w:rsidRPr="00C05AD5" w:rsidRDefault="00AF73B9" w:rsidP="00AF73B9">
            <w:pPr>
              <w:jc w:val="right"/>
              <w:rPr>
                <w:rFonts w:cs="Calibri"/>
                <w:b/>
              </w:rPr>
            </w:pPr>
            <w:r w:rsidRPr="004142DB">
              <w:rPr>
                <w:rFonts w:cs="Calibri"/>
                <w:b/>
              </w:rPr>
              <w:t>£m</w:t>
            </w:r>
          </w:p>
        </w:tc>
        <w:tc>
          <w:tcPr>
            <w:tcW w:w="1740" w:type="dxa"/>
            <w:tcBorders>
              <w:top w:val="nil"/>
              <w:left w:val="nil"/>
              <w:bottom w:val="single" w:sz="4" w:space="0" w:color="auto"/>
              <w:right w:val="nil"/>
            </w:tcBorders>
            <w:shd w:val="clear" w:color="000000" w:fill="FFFFFF"/>
            <w:noWrap/>
          </w:tcPr>
          <w:p w:rsidR="00AF73B9" w:rsidRPr="00C05AD5" w:rsidRDefault="00AF73B9" w:rsidP="00AF73B9">
            <w:pPr>
              <w:jc w:val="right"/>
              <w:rPr>
                <w:rFonts w:cs="Calibri"/>
                <w:b/>
              </w:rPr>
            </w:pPr>
            <w:r w:rsidRPr="004142DB">
              <w:rPr>
                <w:rFonts w:cs="Calibri"/>
                <w:b/>
              </w:rPr>
              <w:t>£m</w:t>
            </w:r>
          </w:p>
        </w:tc>
        <w:tc>
          <w:tcPr>
            <w:tcW w:w="1276" w:type="dxa"/>
            <w:tcBorders>
              <w:top w:val="nil"/>
              <w:left w:val="nil"/>
              <w:bottom w:val="single" w:sz="4" w:space="0" w:color="auto"/>
              <w:right w:val="nil"/>
            </w:tcBorders>
            <w:shd w:val="clear" w:color="000000" w:fill="FFFFFF"/>
            <w:noWrap/>
          </w:tcPr>
          <w:p w:rsidR="00AF73B9" w:rsidRPr="00C05AD5" w:rsidRDefault="00AF73B9" w:rsidP="00AF73B9">
            <w:pPr>
              <w:jc w:val="right"/>
              <w:rPr>
                <w:rFonts w:cs="Calibri"/>
                <w:b/>
              </w:rPr>
            </w:pPr>
            <w:r w:rsidRPr="004142DB">
              <w:rPr>
                <w:rFonts w:cs="Calibri"/>
                <w:b/>
              </w:rPr>
              <w:t>£m</w:t>
            </w:r>
          </w:p>
        </w:tc>
        <w:tc>
          <w:tcPr>
            <w:tcW w:w="1315" w:type="dxa"/>
            <w:tcBorders>
              <w:top w:val="nil"/>
              <w:left w:val="nil"/>
              <w:bottom w:val="single" w:sz="4" w:space="0" w:color="auto"/>
              <w:right w:val="nil"/>
            </w:tcBorders>
            <w:shd w:val="clear" w:color="000000" w:fill="FFFFFF"/>
            <w:noWrap/>
          </w:tcPr>
          <w:p w:rsidR="00AF73B9" w:rsidRPr="00C05AD5" w:rsidRDefault="00AF73B9" w:rsidP="00AF73B9">
            <w:pPr>
              <w:jc w:val="right"/>
              <w:rPr>
                <w:rFonts w:cs="Calibri"/>
                <w:b/>
              </w:rPr>
            </w:pPr>
            <w:r w:rsidRPr="004142DB">
              <w:rPr>
                <w:rFonts w:cs="Calibri"/>
                <w:b/>
              </w:rPr>
              <w:t>£m</w:t>
            </w:r>
          </w:p>
        </w:tc>
      </w:tr>
      <w:tr w:rsidR="00AF73B9" w:rsidRPr="004142DB" w:rsidTr="00AF73B9">
        <w:trPr>
          <w:trHeight w:val="300"/>
        </w:trPr>
        <w:tc>
          <w:tcPr>
            <w:tcW w:w="2292" w:type="dxa"/>
            <w:gridSpan w:val="2"/>
            <w:tcBorders>
              <w:top w:val="nil"/>
              <w:left w:val="nil"/>
              <w:bottom w:val="nil"/>
              <w:right w:val="nil"/>
            </w:tcBorders>
            <w:shd w:val="clear" w:color="000000" w:fill="FFFFFF"/>
            <w:noWrap/>
            <w:vAlign w:val="bottom"/>
          </w:tcPr>
          <w:p w:rsidR="00AF73B9" w:rsidRPr="00C05AD5" w:rsidRDefault="00AF73B9" w:rsidP="00AF73B9">
            <w:pPr>
              <w:rPr>
                <w:rFonts w:cs="Calibri"/>
              </w:rPr>
            </w:pPr>
            <w:r w:rsidRPr="004142DB">
              <w:rPr>
                <w:rFonts w:cs="Calibri"/>
              </w:rPr>
              <w:t>Payable in 2020/21</w:t>
            </w:r>
          </w:p>
        </w:tc>
        <w:tc>
          <w:tcPr>
            <w:tcW w:w="929" w:type="dxa"/>
            <w:tcBorders>
              <w:top w:val="nil"/>
              <w:left w:val="nil"/>
              <w:bottom w:val="nil"/>
              <w:right w:val="single" w:sz="4" w:space="0" w:color="auto"/>
            </w:tcBorders>
            <w:shd w:val="clear" w:color="000000" w:fill="FFFFFF"/>
            <w:noWrap/>
            <w:vAlign w:val="bottom"/>
          </w:tcPr>
          <w:p w:rsidR="00AF73B9" w:rsidRPr="00C05AD5" w:rsidRDefault="00AF73B9" w:rsidP="00AF73B9">
            <w:pPr>
              <w:rPr>
                <w:rFonts w:cs="Calibri"/>
              </w:rPr>
            </w:pPr>
            <w:r w:rsidRPr="004142DB">
              <w:rPr>
                <w:rFonts w:cs="Calibri"/>
              </w:rPr>
              <w:t> </w:t>
            </w:r>
          </w:p>
        </w:tc>
        <w:tc>
          <w:tcPr>
            <w:tcW w:w="1418" w:type="dxa"/>
            <w:tcBorders>
              <w:top w:val="single" w:sz="4" w:space="0" w:color="auto"/>
              <w:left w:val="single" w:sz="4" w:space="0" w:color="auto"/>
              <w:bottom w:val="nil"/>
              <w:right w:val="single" w:sz="4" w:space="0" w:color="auto"/>
            </w:tcBorders>
            <w:shd w:val="clear" w:color="000000" w:fill="FFFFFF"/>
            <w:noWrap/>
            <w:vAlign w:val="center"/>
          </w:tcPr>
          <w:p w:rsidR="00AF73B9" w:rsidRPr="00C05AD5" w:rsidRDefault="00AF73B9" w:rsidP="00AF73B9">
            <w:pPr>
              <w:jc w:val="right"/>
              <w:rPr>
                <w:rFonts w:cs="Calibri"/>
              </w:rPr>
            </w:pPr>
            <w:r w:rsidRPr="00C05AD5">
              <w:rPr>
                <w:rFonts w:cs="Calibri"/>
                <w:color w:val="000000"/>
              </w:rPr>
              <w:t>2.9</w:t>
            </w:r>
          </w:p>
        </w:tc>
        <w:tc>
          <w:tcPr>
            <w:tcW w:w="1740" w:type="dxa"/>
            <w:tcBorders>
              <w:top w:val="single" w:sz="4" w:space="0" w:color="auto"/>
              <w:left w:val="single" w:sz="4" w:space="0" w:color="auto"/>
              <w:bottom w:val="nil"/>
              <w:right w:val="single" w:sz="4" w:space="0" w:color="auto"/>
            </w:tcBorders>
            <w:noWrap/>
            <w:vAlign w:val="center"/>
          </w:tcPr>
          <w:p w:rsidR="00AF73B9" w:rsidRPr="00C05AD5" w:rsidRDefault="00AF73B9" w:rsidP="00AF73B9">
            <w:pPr>
              <w:jc w:val="right"/>
              <w:rPr>
                <w:rFonts w:cs="Calibri"/>
                <w:color w:val="000000"/>
              </w:rPr>
            </w:pPr>
            <w:r w:rsidRPr="00C05AD5">
              <w:rPr>
                <w:rFonts w:cs="Calibri"/>
                <w:color w:val="000000"/>
              </w:rPr>
              <w:t>0.9</w:t>
            </w:r>
          </w:p>
        </w:tc>
        <w:tc>
          <w:tcPr>
            <w:tcW w:w="1276" w:type="dxa"/>
            <w:tcBorders>
              <w:top w:val="single" w:sz="4" w:space="0" w:color="auto"/>
              <w:left w:val="single" w:sz="4" w:space="0" w:color="auto"/>
              <w:bottom w:val="nil"/>
              <w:right w:val="single" w:sz="4" w:space="0" w:color="auto"/>
            </w:tcBorders>
            <w:noWrap/>
            <w:vAlign w:val="center"/>
          </w:tcPr>
          <w:p w:rsidR="00AF73B9" w:rsidRPr="00C05AD5" w:rsidRDefault="00AF73B9" w:rsidP="00AF73B9">
            <w:pPr>
              <w:jc w:val="right"/>
              <w:rPr>
                <w:rFonts w:cs="Calibri"/>
                <w:color w:val="000000"/>
              </w:rPr>
            </w:pPr>
            <w:r w:rsidRPr="00C05AD5">
              <w:rPr>
                <w:rFonts w:cs="Calibri"/>
                <w:color w:val="000000"/>
              </w:rPr>
              <w:t>2.6</w:t>
            </w:r>
          </w:p>
        </w:tc>
        <w:tc>
          <w:tcPr>
            <w:tcW w:w="1315" w:type="dxa"/>
            <w:tcBorders>
              <w:top w:val="single" w:sz="4" w:space="0" w:color="auto"/>
              <w:left w:val="single" w:sz="4" w:space="0" w:color="auto"/>
              <w:bottom w:val="nil"/>
              <w:right w:val="single" w:sz="4" w:space="0" w:color="auto"/>
            </w:tcBorders>
            <w:noWrap/>
            <w:vAlign w:val="center"/>
          </w:tcPr>
          <w:p w:rsidR="00AF73B9" w:rsidRPr="00C05AD5" w:rsidRDefault="00AF73B9" w:rsidP="00AF73B9">
            <w:pPr>
              <w:jc w:val="right"/>
              <w:rPr>
                <w:rFonts w:cs="Calibri"/>
                <w:b/>
                <w:color w:val="000000"/>
              </w:rPr>
            </w:pPr>
            <w:r w:rsidRPr="00C05AD5">
              <w:rPr>
                <w:rFonts w:cs="Calibri"/>
                <w:b/>
                <w:color w:val="000000"/>
              </w:rPr>
              <w:t>6.4</w:t>
            </w:r>
          </w:p>
        </w:tc>
      </w:tr>
      <w:tr w:rsidR="00AF73B9" w:rsidRPr="004142DB" w:rsidTr="00AF73B9">
        <w:trPr>
          <w:trHeight w:val="300"/>
        </w:trPr>
        <w:tc>
          <w:tcPr>
            <w:tcW w:w="3221" w:type="dxa"/>
            <w:gridSpan w:val="3"/>
            <w:tcBorders>
              <w:top w:val="nil"/>
              <w:left w:val="nil"/>
              <w:bottom w:val="nil"/>
              <w:right w:val="single" w:sz="4" w:space="0" w:color="auto"/>
            </w:tcBorders>
            <w:shd w:val="clear" w:color="000000" w:fill="FFFFFF"/>
            <w:noWrap/>
            <w:vAlign w:val="bottom"/>
          </w:tcPr>
          <w:p w:rsidR="00AF73B9" w:rsidRPr="00C05AD5" w:rsidRDefault="00AF73B9" w:rsidP="00AF73B9">
            <w:pPr>
              <w:rPr>
                <w:rFonts w:cs="Calibri"/>
              </w:rPr>
            </w:pPr>
            <w:r w:rsidRPr="004142DB">
              <w:rPr>
                <w:rFonts w:cs="Calibri"/>
              </w:rPr>
              <w:t>Payable with two to five years</w:t>
            </w:r>
          </w:p>
        </w:tc>
        <w:tc>
          <w:tcPr>
            <w:tcW w:w="1418" w:type="dxa"/>
            <w:tcBorders>
              <w:top w:val="nil"/>
              <w:left w:val="single" w:sz="4" w:space="0" w:color="auto"/>
              <w:bottom w:val="nil"/>
              <w:right w:val="single" w:sz="4" w:space="0" w:color="auto"/>
            </w:tcBorders>
            <w:shd w:val="clear" w:color="000000" w:fill="FFFFFF"/>
            <w:noWrap/>
            <w:vAlign w:val="center"/>
          </w:tcPr>
          <w:p w:rsidR="00AF73B9" w:rsidRPr="00C05AD5" w:rsidRDefault="00AF73B9" w:rsidP="00AF73B9">
            <w:pPr>
              <w:jc w:val="right"/>
              <w:rPr>
                <w:rFonts w:cs="Calibri"/>
                <w:color w:val="000000"/>
              </w:rPr>
            </w:pPr>
            <w:r w:rsidRPr="00C05AD5">
              <w:rPr>
                <w:rFonts w:cs="Calibri"/>
                <w:color w:val="000000"/>
              </w:rPr>
              <w:t>14.2</w:t>
            </w:r>
          </w:p>
        </w:tc>
        <w:tc>
          <w:tcPr>
            <w:tcW w:w="1740" w:type="dxa"/>
            <w:tcBorders>
              <w:top w:val="nil"/>
              <w:left w:val="single" w:sz="4" w:space="0" w:color="auto"/>
              <w:bottom w:val="nil"/>
              <w:right w:val="single" w:sz="8" w:space="0" w:color="auto"/>
            </w:tcBorders>
            <w:shd w:val="clear" w:color="000000" w:fill="FFFFFF"/>
            <w:noWrap/>
            <w:vAlign w:val="center"/>
          </w:tcPr>
          <w:p w:rsidR="00AF73B9" w:rsidRPr="00C05AD5" w:rsidRDefault="00AF73B9" w:rsidP="00AF73B9">
            <w:pPr>
              <w:jc w:val="right"/>
              <w:rPr>
                <w:rFonts w:cs="Calibri"/>
              </w:rPr>
            </w:pPr>
            <w:r w:rsidRPr="00C05AD5">
              <w:rPr>
                <w:rFonts w:cs="Calibri"/>
                <w:color w:val="000000"/>
              </w:rPr>
              <w:t>4.6</w:t>
            </w:r>
          </w:p>
        </w:tc>
        <w:tc>
          <w:tcPr>
            <w:tcW w:w="1276" w:type="dxa"/>
            <w:tcBorders>
              <w:top w:val="nil"/>
              <w:left w:val="nil"/>
              <w:bottom w:val="nil"/>
              <w:right w:val="single" w:sz="8" w:space="0" w:color="auto"/>
            </w:tcBorders>
            <w:shd w:val="clear" w:color="000000" w:fill="FFFFFF"/>
            <w:noWrap/>
            <w:vAlign w:val="center"/>
          </w:tcPr>
          <w:p w:rsidR="00AF73B9" w:rsidRPr="00C05AD5" w:rsidRDefault="00AF73B9" w:rsidP="00AF73B9">
            <w:pPr>
              <w:jc w:val="right"/>
              <w:rPr>
                <w:rFonts w:cs="Calibri"/>
                <w:color w:val="000000"/>
              </w:rPr>
            </w:pPr>
            <w:r w:rsidRPr="00C05AD5">
              <w:rPr>
                <w:rFonts w:cs="Calibri"/>
                <w:color w:val="000000"/>
              </w:rPr>
              <w:t>9.3</w:t>
            </w:r>
          </w:p>
        </w:tc>
        <w:tc>
          <w:tcPr>
            <w:tcW w:w="1315" w:type="dxa"/>
            <w:tcBorders>
              <w:top w:val="nil"/>
              <w:left w:val="nil"/>
              <w:bottom w:val="nil"/>
              <w:right w:val="single" w:sz="8" w:space="0" w:color="auto"/>
            </w:tcBorders>
            <w:shd w:val="clear" w:color="000000" w:fill="FFFFFF"/>
            <w:noWrap/>
            <w:vAlign w:val="center"/>
          </w:tcPr>
          <w:p w:rsidR="00AF73B9" w:rsidRPr="00C05AD5" w:rsidRDefault="00AF73B9" w:rsidP="00AF73B9">
            <w:pPr>
              <w:jc w:val="right"/>
              <w:rPr>
                <w:rFonts w:cs="Calibri"/>
                <w:b/>
                <w:color w:val="000000"/>
              </w:rPr>
            </w:pPr>
            <w:r w:rsidRPr="00C05AD5">
              <w:rPr>
                <w:rFonts w:cs="Calibri"/>
                <w:b/>
                <w:bCs/>
                <w:color w:val="000000"/>
              </w:rPr>
              <w:t>28.0</w:t>
            </w:r>
          </w:p>
        </w:tc>
      </w:tr>
      <w:tr w:rsidR="00AF73B9" w:rsidRPr="004142DB" w:rsidTr="00AF73B9">
        <w:trPr>
          <w:trHeight w:val="300"/>
        </w:trPr>
        <w:tc>
          <w:tcPr>
            <w:tcW w:w="3221" w:type="dxa"/>
            <w:gridSpan w:val="3"/>
            <w:tcBorders>
              <w:top w:val="nil"/>
              <w:left w:val="nil"/>
              <w:right w:val="single" w:sz="4" w:space="0" w:color="auto"/>
            </w:tcBorders>
            <w:shd w:val="clear" w:color="000000" w:fill="FFFFFF"/>
            <w:noWrap/>
            <w:vAlign w:val="bottom"/>
          </w:tcPr>
          <w:p w:rsidR="00AF73B9" w:rsidRPr="00C05AD5" w:rsidRDefault="00AF73B9" w:rsidP="00AF73B9">
            <w:pPr>
              <w:rPr>
                <w:rFonts w:cs="Calibri"/>
              </w:rPr>
            </w:pPr>
            <w:r w:rsidRPr="004142DB">
              <w:rPr>
                <w:rFonts w:cs="Calibri"/>
              </w:rPr>
              <w:t>Payable within 6 to 10 years</w:t>
            </w:r>
          </w:p>
        </w:tc>
        <w:tc>
          <w:tcPr>
            <w:tcW w:w="1418" w:type="dxa"/>
            <w:tcBorders>
              <w:top w:val="nil"/>
              <w:left w:val="single" w:sz="4" w:space="0" w:color="auto"/>
              <w:bottom w:val="nil"/>
              <w:right w:val="single" w:sz="4" w:space="0" w:color="auto"/>
            </w:tcBorders>
            <w:shd w:val="clear" w:color="000000" w:fill="FFFFFF"/>
            <w:noWrap/>
            <w:vAlign w:val="center"/>
          </w:tcPr>
          <w:p w:rsidR="00AF73B9" w:rsidRPr="00C05AD5" w:rsidRDefault="00AF73B9" w:rsidP="00AF73B9">
            <w:pPr>
              <w:jc w:val="right"/>
              <w:rPr>
                <w:rFonts w:cs="Calibri"/>
                <w:color w:val="000000"/>
              </w:rPr>
            </w:pPr>
            <w:r w:rsidRPr="00C05AD5">
              <w:rPr>
                <w:rFonts w:cs="Calibri"/>
                <w:color w:val="000000"/>
              </w:rPr>
              <w:t>19.9</w:t>
            </w:r>
          </w:p>
        </w:tc>
        <w:tc>
          <w:tcPr>
            <w:tcW w:w="1740" w:type="dxa"/>
            <w:tcBorders>
              <w:top w:val="nil"/>
              <w:left w:val="single" w:sz="4" w:space="0" w:color="auto"/>
              <w:bottom w:val="nil"/>
              <w:right w:val="single" w:sz="8" w:space="0" w:color="auto"/>
            </w:tcBorders>
            <w:shd w:val="clear" w:color="000000" w:fill="FFFFFF"/>
            <w:noWrap/>
            <w:vAlign w:val="center"/>
          </w:tcPr>
          <w:p w:rsidR="00AF73B9" w:rsidRPr="00C05AD5" w:rsidRDefault="00AF73B9" w:rsidP="00AF73B9">
            <w:pPr>
              <w:jc w:val="right"/>
              <w:rPr>
                <w:rFonts w:cs="Calibri"/>
              </w:rPr>
            </w:pPr>
            <w:r w:rsidRPr="00C05AD5">
              <w:rPr>
                <w:rFonts w:cs="Calibri"/>
                <w:color w:val="000000"/>
              </w:rPr>
              <w:t>7.5</w:t>
            </w:r>
          </w:p>
        </w:tc>
        <w:tc>
          <w:tcPr>
            <w:tcW w:w="1276" w:type="dxa"/>
            <w:tcBorders>
              <w:top w:val="nil"/>
              <w:left w:val="nil"/>
              <w:bottom w:val="nil"/>
              <w:right w:val="single" w:sz="8" w:space="0" w:color="auto"/>
            </w:tcBorders>
            <w:shd w:val="clear" w:color="000000" w:fill="FFFFFF"/>
            <w:noWrap/>
            <w:vAlign w:val="center"/>
          </w:tcPr>
          <w:p w:rsidR="00AF73B9" w:rsidRPr="00C05AD5" w:rsidRDefault="00AF73B9" w:rsidP="00AF73B9">
            <w:pPr>
              <w:jc w:val="right"/>
              <w:rPr>
                <w:rFonts w:cs="Calibri"/>
                <w:color w:val="000000"/>
              </w:rPr>
            </w:pPr>
            <w:r w:rsidRPr="00C05AD5">
              <w:rPr>
                <w:rFonts w:cs="Calibri"/>
                <w:color w:val="000000"/>
              </w:rPr>
              <w:t>8.7</w:t>
            </w:r>
          </w:p>
        </w:tc>
        <w:tc>
          <w:tcPr>
            <w:tcW w:w="1315" w:type="dxa"/>
            <w:tcBorders>
              <w:top w:val="nil"/>
              <w:left w:val="nil"/>
              <w:bottom w:val="nil"/>
              <w:right w:val="single" w:sz="8" w:space="0" w:color="auto"/>
            </w:tcBorders>
            <w:shd w:val="clear" w:color="000000" w:fill="FFFFFF"/>
            <w:noWrap/>
            <w:vAlign w:val="center"/>
          </w:tcPr>
          <w:p w:rsidR="00AF73B9" w:rsidRPr="00C05AD5" w:rsidRDefault="00AF73B9" w:rsidP="00AF73B9">
            <w:pPr>
              <w:jc w:val="right"/>
              <w:rPr>
                <w:rFonts w:cs="Calibri"/>
                <w:b/>
                <w:color w:val="000000"/>
              </w:rPr>
            </w:pPr>
            <w:r w:rsidRPr="00C05AD5">
              <w:rPr>
                <w:rFonts w:cs="Calibri"/>
                <w:b/>
                <w:bCs/>
                <w:color w:val="000000"/>
              </w:rPr>
              <w:t>36.0</w:t>
            </w:r>
          </w:p>
        </w:tc>
      </w:tr>
      <w:tr w:rsidR="00AF73B9" w:rsidRPr="004142DB" w:rsidTr="00AF73B9">
        <w:trPr>
          <w:trHeight w:val="300"/>
        </w:trPr>
        <w:tc>
          <w:tcPr>
            <w:tcW w:w="3221" w:type="dxa"/>
            <w:gridSpan w:val="3"/>
            <w:tcBorders>
              <w:top w:val="nil"/>
              <w:left w:val="nil"/>
              <w:bottom w:val="nil"/>
              <w:right w:val="single" w:sz="4" w:space="0" w:color="auto"/>
            </w:tcBorders>
            <w:shd w:val="clear" w:color="000000" w:fill="FFFFFF"/>
            <w:noWrap/>
            <w:vAlign w:val="bottom"/>
          </w:tcPr>
          <w:p w:rsidR="00AF73B9" w:rsidRPr="00C05AD5" w:rsidRDefault="00AF73B9" w:rsidP="00AF73B9">
            <w:pPr>
              <w:rPr>
                <w:rFonts w:cs="Calibri"/>
              </w:rPr>
            </w:pPr>
            <w:r w:rsidRPr="004142DB">
              <w:rPr>
                <w:rFonts w:cs="Calibri"/>
              </w:rPr>
              <w:t>Payable within 11 to 15 years</w:t>
            </w:r>
          </w:p>
        </w:tc>
        <w:tc>
          <w:tcPr>
            <w:tcW w:w="1418" w:type="dxa"/>
            <w:tcBorders>
              <w:top w:val="nil"/>
              <w:left w:val="single" w:sz="4" w:space="0" w:color="auto"/>
              <w:bottom w:val="nil"/>
              <w:right w:val="single" w:sz="4" w:space="0" w:color="auto"/>
            </w:tcBorders>
            <w:shd w:val="clear" w:color="000000" w:fill="FFFFFF"/>
            <w:noWrap/>
            <w:vAlign w:val="center"/>
          </w:tcPr>
          <w:p w:rsidR="00AF73B9" w:rsidRPr="00C05AD5" w:rsidRDefault="00AF73B9" w:rsidP="00AF73B9">
            <w:pPr>
              <w:jc w:val="right"/>
              <w:rPr>
                <w:rFonts w:cs="Calibri"/>
                <w:color w:val="000000"/>
              </w:rPr>
            </w:pPr>
            <w:r w:rsidRPr="00C05AD5">
              <w:rPr>
                <w:rFonts w:cs="Calibri"/>
                <w:color w:val="000000"/>
              </w:rPr>
              <w:t>11.8</w:t>
            </w:r>
          </w:p>
        </w:tc>
        <w:tc>
          <w:tcPr>
            <w:tcW w:w="1740" w:type="dxa"/>
            <w:tcBorders>
              <w:top w:val="nil"/>
              <w:left w:val="single" w:sz="4" w:space="0" w:color="auto"/>
              <w:bottom w:val="nil"/>
              <w:right w:val="single" w:sz="8" w:space="0" w:color="auto"/>
            </w:tcBorders>
            <w:shd w:val="clear" w:color="000000" w:fill="FFFFFF"/>
            <w:noWrap/>
            <w:vAlign w:val="center"/>
          </w:tcPr>
          <w:p w:rsidR="00AF73B9" w:rsidRPr="00C05AD5" w:rsidRDefault="00AF73B9" w:rsidP="00AF73B9">
            <w:pPr>
              <w:jc w:val="right"/>
              <w:rPr>
                <w:rFonts w:cs="Calibri"/>
              </w:rPr>
            </w:pPr>
            <w:r w:rsidRPr="00C05AD5">
              <w:rPr>
                <w:rFonts w:cs="Calibri"/>
                <w:color w:val="000000"/>
              </w:rPr>
              <w:t>6.3</w:t>
            </w:r>
          </w:p>
        </w:tc>
        <w:tc>
          <w:tcPr>
            <w:tcW w:w="1276" w:type="dxa"/>
            <w:tcBorders>
              <w:top w:val="nil"/>
              <w:left w:val="nil"/>
              <w:bottom w:val="nil"/>
              <w:right w:val="single" w:sz="8" w:space="0" w:color="auto"/>
            </w:tcBorders>
            <w:shd w:val="clear" w:color="000000" w:fill="FFFFFF"/>
            <w:noWrap/>
            <w:vAlign w:val="center"/>
          </w:tcPr>
          <w:p w:rsidR="00AF73B9" w:rsidRPr="00C05AD5" w:rsidRDefault="00AF73B9" w:rsidP="00AF73B9">
            <w:pPr>
              <w:jc w:val="right"/>
              <w:rPr>
                <w:rFonts w:cs="Calibri"/>
                <w:color w:val="000000"/>
              </w:rPr>
            </w:pPr>
            <w:r w:rsidRPr="00C05AD5">
              <w:rPr>
                <w:rFonts w:cs="Calibri"/>
                <w:color w:val="000000"/>
              </w:rPr>
              <w:t>8.6</w:t>
            </w:r>
          </w:p>
        </w:tc>
        <w:tc>
          <w:tcPr>
            <w:tcW w:w="1315" w:type="dxa"/>
            <w:tcBorders>
              <w:top w:val="nil"/>
              <w:left w:val="nil"/>
              <w:bottom w:val="nil"/>
              <w:right w:val="single" w:sz="8" w:space="0" w:color="auto"/>
            </w:tcBorders>
            <w:shd w:val="clear" w:color="000000" w:fill="FFFFFF"/>
            <w:noWrap/>
            <w:vAlign w:val="center"/>
          </w:tcPr>
          <w:p w:rsidR="00AF73B9" w:rsidRPr="00C05AD5" w:rsidRDefault="00AF73B9" w:rsidP="00AF73B9">
            <w:pPr>
              <w:jc w:val="right"/>
              <w:rPr>
                <w:rFonts w:cs="Calibri"/>
                <w:b/>
                <w:color w:val="000000"/>
              </w:rPr>
            </w:pPr>
            <w:r w:rsidRPr="00C05AD5">
              <w:rPr>
                <w:rFonts w:cs="Calibri"/>
                <w:b/>
                <w:bCs/>
                <w:color w:val="000000"/>
              </w:rPr>
              <w:t>26.6</w:t>
            </w:r>
          </w:p>
        </w:tc>
      </w:tr>
      <w:tr w:rsidR="00AF73B9" w:rsidRPr="004142DB" w:rsidTr="00AF73B9">
        <w:trPr>
          <w:trHeight w:val="300"/>
        </w:trPr>
        <w:tc>
          <w:tcPr>
            <w:tcW w:w="3221" w:type="dxa"/>
            <w:gridSpan w:val="3"/>
            <w:tcBorders>
              <w:top w:val="nil"/>
              <w:left w:val="nil"/>
              <w:bottom w:val="nil"/>
              <w:right w:val="single" w:sz="4" w:space="0" w:color="auto"/>
            </w:tcBorders>
            <w:shd w:val="clear" w:color="000000" w:fill="FFFFFF"/>
            <w:noWrap/>
            <w:vAlign w:val="bottom"/>
          </w:tcPr>
          <w:p w:rsidR="00AF73B9" w:rsidRPr="00C05AD5" w:rsidRDefault="00AF73B9" w:rsidP="00AF73B9">
            <w:pPr>
              <w:rPr>
                <w:rFonts w:cs="Calibri"/>
              </w:rPr>
            </w:pPr>
            <w:r w:rsidRPr="004142DB">
              <w:rPr>
                <w:rFonts w:cs="Calibri"/>
              </w:rPr>
              <w:t>Payable within 16 to 20 years</w:t>
            </w:r>
          </w:p>
        </w:tc>
        <w:tc>
          <w:tcPr>
            <w:tcW w:w="1418" w:type="dxa"/>
            <w:tcBorders>
              <w:top w:val="nil"/>
              <w:left w:val="single" w:sz="4" w:space="0" w:color="auto"/>
              <w:bottom w:val="nil"/>
              <w:right w:val="single" w:sz="4" w:space="0" w:color="auto"/>
            </w:tcBorders>
            <w:shd w:val="clear" w:color="000000" w:fill="FFFFFF"/>
            <w:noWrap/>
            <w:vAlign w:val="center"/>
          </w:tcPr>
          <w:p w:rsidR="00AF73B9" w:rsidRPr="00C05AD5" w:rsidRDefault="00AF73B9" w:rsidP="00AF73B9">
            <w:pPr>
              <w:jc w:val="right"/>
              <w:rPr>
                <w:rFonts w:cs="Calibri"/>
                <w:color w:val="000000"/>
              </w:rPr>
            </w:pPr>
            <w:r w:rsidRPr="00C05AD5">
              <w:rPr>
                <w:rFonts w:cs="Calibri"/>
                <w:color w:val="000000"/>
              </w:rPr>
              <w:t>2.7</w:t>
            </w:r>
          </w:p>
        </w:tc>
        <w:tc>
          <w:tcPr>
            <w:tcW w:w="1740" w:type="dxa"/>
            <w:tcBorders>
              <w:top w:val="nil"/>
              <w:left w:val="single" w:sz="4" w:space="0" w:color="auto"/>
              <w:bottom w:val="nil"/>
              <w:right w:val="single" w:sz="8" w:space="0" w:color="auto"/>
            </w:tcBorders>
            <w:shd w:val="clear" w:color="000000" w:fill="FFFFFF"/>
            <w:noWrap/>
            <w:vAlign w:val="center"/>
          </w:tcPr>
          <w:p w:rsidR="00AF73B9" w:rsidRPr="00C05AD5" w:rsidRDefault="00AF73B9" w:rsidP="00AF73B9">
            <w:pPr>
              <w:jc w:val="right"/>
              <w:rPr>
                <w:rFonts w:cs="Calibri"/>
              </w:rPr>
            </w:pPr>
            <w:r w:rsidRPr="00C05AD5">
              <w:rPr>
                <w:rFonts w:cs="Calibri"/>
                <w:color w:val="000000"/>
              </w:rPr>
              <w:t>2.0</w:t>
            </w:r>
          </w:p>
        </w:tc>
        <w:tc>
          <w:tcPr>
            <w:tcW w:w="1276" w:type="dxa"/>
            <w:tcBorders>
              <w:top w:val="nil"/>
              <w:left w:val="nil"/>
              <w:bottom w:val="nil"/>
              <w:right w:val="single" w:sz="8" w:space="0" w:color="auto"/>
            </w:tcBorders>
            <w:shd w:val="clear" w:color="000000" w:fill="FFFFFF"/>
            <w:noWrap/>
            <w:vAlign w:val="center"/>
          </w:tcPr>
          <w:p w:rsidR="00AF73B9" w:rsidRPr="00C05AD5" w:rsidRDefault="00AF73B9" w:rsidP="00AF73B9">
            <w:pPr>
              <w:jc w:val="right"/>
              <w:rPr>
                <w:rFonts w:cs="Calibri"/>
                <w:color w:val="000000"/>
              </w:rPr>
            </w:pPr>
            <w:r w:rsidRPr="00C05AD5">
              <w:rPr>
                <w:rFonts w:cs="Calibri"/>
                <w:color w:val="000000"/>
              </w:rPr>
              <w:t>2.4</w:t>
            </w:r>
          </w:p>
        </w:tc>
        <w:tc>
          <w:tcPr>
            <w:tcW w:w="1315" w:type="dxa"/>
            <w:tcBorders>
              <w:top w:val="nil"/>
              <w:left w:val="nil"/>
              <w:bottom w:val="nil"/>
              <w:right w:val="single" w:sz="8" w:space="0" w:color="auto"/>
            </w:tcBorders>
            <w:shd w:val="clear" w:color="000000" w:fill="FFFFFF"/>
            <w:noWrap/>
            <w:vAlign w:val="center"/>
          </w:tcPr>
          <w:p w:rsidR="00AF73B9" w:rsidRPr="00C05AD5" w:rsidRDefault="00AF73B9" w:rsidP="00AF73B9">
            <w:pPr>
              <w:jc w:val="right"/>
              <w:rPr>
                <w:rFonts w:cs="Calibri"/>
                <w:b/>
                <w:color w:val="000000"/>
              </w:rPr>
            </w:pPr>
            <w:r w:rsidRPr="00C05AD5">
              <w:rPr>
                <w:rFonts w:cs="Calibri"/>
                <w:b/>
                <w:bCs/>
                <w:color w:val="000000"/>
              </w:rPr>
              <w:t>7.2</w:t>
            </w:r>
          </w:p>
        </w:tc>
      </w:tr>
      <w:tr w:rsidR="00AF73B9" w:rsidRPr="004142DB" w:rsidTr="00AF73B9">
        <w:trPr>
          <w:trHeight w:val="300"/>
        </w:trPr>
        <w:tc>
          <w:tcPr>
            <w:tcW w:w="1310" w:type="dxa"/>
            <w:tcBorders>
              <w:left w:val="nil"/>
              <w:bottom w:val="nil"/>
              <w:right w:val="nil"/>
            </w:tcBorders>
            <w:shd w:val="clear" w:color="000000" w:fill="FFFFFF"/>
            <w:noWrap/>
            <w:vAlign w:val="bottom"/>
          </w:tcPr>
          <w:p w:rsidR="00AF73B9" w:rsidRPr="00C05AD5" w:rsidRDefault="00AF73B9" w:rsidP="00AF73B9">
            <w:pPr>
              <w:rPr>
                <w:rFonts w:cs="Calibri"/>
                <w:b/>
              </w:rPr>
            </w:pPr>
            <w:r w:rsidRPr="004142DB">
              <w:rPr>
                <w:rFonts w:cs="Calibri"/>
                <w:b/>
              </w:rPr>
              <w:t>Total</w:t>
            </w:r>
          </w:p>
        </w:tc>
        <w:tc>
          <w:tcPr>
            <w:tcW w:w="982" w:type="dxa"/>
            <w:tcBorders>
              <w:left w:val="nil"/>
              <w:bottom w:val="nil"/>
              <w:right w:val="nil"/>
            </w:tcBorders>
            <w:shd w:val="clear" w:color="000000" w:fill="FFFFFF"/>
            <w:noWrap/>
            <w:vAlign w:val="bottom"/>
          </w:tcPr>
          <w:p w:rsidR="00AF73B9" w:rsidRPr="00C05AD5" w:rsidRDefault="00AF73B9" w:rsidP="00AF73B9">
            <w:pPr>
              <w:rPr>
                <w:rFonts w:cs="Calibri"/>
                <w:b/>
              </w:rPr>
            </w:pPr>
            <w:r w:rsidRPr="004142DB">
              <w:rPr>
                <w:rFonts w:cs="Calibri"/>
                <w:b/>
              </w:rPr>
              <w:t> </w:t>
            </w:r>
          </w:p>
        </w:tc>
        <w:tc>
          <w:tcPr>
            <w:tcW w:w="929" w:type="dxa"/>
            <w:tcBorders>
              <w:left w:val="nil"/>
              <w:bottom w:val="nil"/>
              <w:right w:val="nil"/>
            </w:tcBorders>
            <w:shd w:val="clear" w:color="000000" w:fill="FFFFFF"/>
            <w:noWrap/>
            <w:vAlign w:val="center"/>
          </w:tcPr>
          <w:p w:rsidR="00AF73B9" w:rsidRPr="00C05AD5" w:rsidRDefault="00AF73B9" w:rsidP="00AF73B9">
            <w:pPr>
              <w:rPr>
                <w:rFonts w:cs="Calibri"/>
                <w:b/>
              </w:rPr>
            </w:pPr>
          </w:p>
        </w:tc>
        <w:tc>
          <w:tcPr>
            <w:tcW w:w="1418" w:type="dxa"/>
            <w:tcBorders>
              <w:top w:val="single" w:sz="4" w:space="0" w:color="auto"/>
              <w:left w:val="single" w:sz="4" w:space="0" w:color="auto"/>
              <w:bottom w:val="single" w:sz="4" w:space="0" w:color="auto"/>
              <w:right w:val="single" w:sz="4" w:space="0" w:color="auto"/>
            </w:tcBorders>
            <w:noWrap/>
            <w:vAlign w:val="center"/>
          </w:tcPr>
          <w:p w:rsidR="00AF73B9" w:rsidRPr="00C05AD5" w:rsidRDefault="00AF73B9" w:rsidP="00AF73B9">
            <w:pPr>
              <w:jc w:val="right"/>
              <w:rPr>
                <w:rFonts w:cs="Calibri"/>
                <w:b/>
              </w:rPr>
            </w:pPr>
            <w:r w:rsidRPr="00C05AD5">
              <w:rPr>
                <w:rFonts w:cs="Calibri"/>
                <w:b/>
                <w:bCs/>
                <w:color w:val="000000"/>
              </w:rPr>
              <w:t>51.5</w:t>
            </w:r>
          </w:p>
        </w:tc>
        <w:tc>
          <w:tcPr>
            <w:tcW w:w="1740" w:type="dxa"/>
            <w:tcBorders>
              <w:top w:val="single" w:sz="4" w:space="0" w:color="auto"/>
              <w:left w:val="single" w:sz="4" w:space="0" w:color="auto"/>
              <w:bottom w:val="single" w:sz="4" w:space="0" w:color="auto"/>
              <w:right w:val="single" w:sz="4" w:space="0" w:color="auto"/>
            </w:tcBorders>
            <w:noWrap/>
            <w:vAlign w:val="center"/>
          </w:tcPr>
          <w:p w:rsidR="00AF73B9" w:rsidRPr="00C05AD5" w:rsidRDefault="00AF73B9" w:rsidP="00AF73B9">
            <w:pPr>
              <w:jc w:val="right"/>
              <w:rPr>
                <w:rFonts w:cs="Calibri"/>
                <w:b/>
              </w:rPr>
            </w:pPr>
            <w:r w:rsidRPr="00C05AD5">
              <w:rPr>
                <w:rFonts w:cs="Calibri"/>
                <w:b/>
                <w:bCs/>
                <w:color w:val="000000"/>
              </w:rPr>
              <w:t>21.3</w:t>
            </w:r>
          </w:p>
        </w:tc>
        <w:tc>
          <w:tcPr>
            <w:tcW w:w="1276" w:type="dxa"/>
            <w:tcBorders>
              <w:top w:val="single" w:sz="4" w:space="0" w:color="auto"/>
              <w:left w:val="single" w:sz="4" w:space="0" w:color="auto"/>
              <w:bottom w:val="single" w:sz="4" w:space="0" w:color="auto"/>
              <w:right w:val="single" w:sz="4" w:space="0" w:color="auto"/>
            </w:tcBorders>
            <w:noWrap/>
            <w:vAlign w:val="center"/>
          </w:tcPr>
          <w:p w:rsidR="00AF73B9" w:rsidRPr="00C05AD5" w:rsidRDefault="00AF73B9" w:rsidP="00AF73B9">
            <w:pPr>
              <w:jc w:val="right"/>
              <w:rPr>
                <w:rFonts w:cs="Calibri"/>
                <w:b/>
              </w:rPr>
            </w:pPr>
            <w:r w:rsidRPr="00C05AD5">
              <w:rPr>
                <w:rFonts w:cs="Calibri"/>
                <w:b/>
                <w:bCs/>
                <w:color w:val="000000"/>
              </w:rPr>
              <w:t>31.6</w:t>
            </w:r>
          </w:p>
        </w:tc>
        <w:tc>
          <w:tcPr>
            <w:tcW w:w="1315" w:type="dxa"/>
            <w:tcBorders>
              <w:top w:val="single" w:sz="4" w:space="0" w:color="auto"/>
              <w:left w:val="single" w:sz="4" w:space="0" w:color="auto"/>
              <w:bottom w:val="single" w:sz="4" w:space="0" w:color="auto"/>
              <w:right w:val="single" w:sz="4" w:space="0" w:color="auto"/>
            </w:tcBorders>
            <w:noWrap/>
            <w:vAlign w:val="center"/>
          </w:tcPr>
          <w:p w:rsidR="00AF73B9" w:rsidRPr="00C05AD5" w:rsidRDefault="00AF73B9" w:rsidP="00AF73B9">
            <w:pPr>
              <w:jc w:val="right"/>
              <w:rPr>
                <w:rFonts w:cs="Calibri"/>
                <w:b/>
              </w:rPr>
            </w:pPr>
            <w:r w:rsidRPr="00C05AD5">
              <w:rPr>
                <w:rFonts w:cs="Calibri"/>
                <w:b/>
                <w:bCs/>
                <w:color w:val="000000"/>
              </w:rPr>
              <w:t>104.3</w:t>
            </w:r>
          </w:p>
        </w:tc>
      </w:tr>
    </w:tbl>
    <w:p w:rsidR="00F72906" w:rsidRDefault="00F72906" w:rsidP="00F72906">
      <w:r>
        <w:t>Where a PFI asset is paid for by third party payments, it is a requirement to recognise the deferred income. This recognises the expected future third party payments. Deferred income recognised on the balance sheet is:</w:t>
      </w:r>
    </w:p>
    <w:tbl>
      <w:tblPr>
        <w:tblW w:w="8505" w:type="dxa"/>
        <w:tblInd w:w="108" w:type="dxa"/>
        <w:tblLook w:val="00A0" w:firstRow="1" w:lastRow="0" w:firstColumn="1" w:lastColumn="0" w:noHBand="0" w:noVBand="0"/>
      </w:tblPr>
      <w:tblGrid>
        <w:gridCol w:w="1417"/>
        <w:gridCol w:w="5671"/>
        <w:gridCol w:w="1417"/>
      </w:tblGrid>
      <w:tr w:rsidR="00AF73B9" w:rsidRPr="00EB2995" w:rsidTr="00AF73B9">
        <w:trPr>
          <w:trHeight w:val="300"/>
        </w:trPr>
        <w:tc>
          <w:tcPr>
            <w:tcW w:w="1417" w:type="dxa"/>
            <w:vAlign w:val="bottom"/>
          </w:tcPr>
          <w:p w:rsidR="00AF73B9" w:rsidRPr="00C05AD5" w:rsidRDefault="00AF73B9" w:rsidP="00AF73B9">
            <w:pPr>
              <w:jc w:val="right"/>
              <w:rPr>
                <w:rFonts w:cs="Calibri"/>
                <w:b/>
              </w:rPr>
            </w:pPr>
            <w:r w:rsidRPr="004142DB">
              <w:rPr>
                <w:rFonts w:cs="Calibri"/>
                <w:b/>
              </w:rPr>
              <w:t>2018/19</w:t>
            </w:r>
          </w:p>
        </w:tc>
        <w:tc>
          <w:tcPr>
            <w:tcW w:w="5671" w:type="dxa"/>
          </w:tcPr>
          <w:p w:rsidR="00AF73B9" w:rsidRPr="00C05AD5" w:rsidRDefault="00AF73B9" w:rsidP="00AF73B9">
            <w:pPr>
              <w:jc w:val="right"/>
              <w:rPr>
                <w:rFonts w:cs="Calibri"/>
                <w:b/>
              </w:rPr>
            </w:pPr>
          </w:p>
        </w:tc>
        <w:tc>
          <w:tcPr>
            <w:tcW w:w="1417" w:type="dxa"/>
            <w:vAlign w:val="bottom"/>
          </w:tcPr>
          <w:p w:rsidR="00AF73B9" w:rsidRPr="00C05AD5" w:rsidRDefault="00AF73B9" w:rsidP="00AF73B9">
            <w:pPr>
              <w:jc w:val="right"/>
              <w:rPr>
                <w:rFonts w:cs="Calibri"/>
                <w:b/>
              </w:rPr>
            </w:pPr>
            <w:r w:rsidRPr="004142DB">
              <w:rPr>
                <w:rFonts w:cs="Calibri"/>
                <w:b/>
              </w:rPr>
              <w:t>2019/20</w:t>
            </w:r>
          </w:p>
        </w:tc>
      </w:tr>
      <w:tr w:rsidR="00AF73B9" w:rsidRPr="00EB2995" w:rsidTr="00AF73B9">
        <w:trPr>
          <w:trHeight w:val="300"/>
        </w:trPr>
        <w:tc>
          <w:tcPr>
            <w:tcW w:w="1417" w:type="dxa"/>
            <w:tcBorders>
              <w:bottom w:val="single" w:sz="4" w:space="0" w:color="auto"/>
            </w:tcBorders>
          </w:tcPr>
          <w:p w:rsidR="00AF73B9" w:rsidRPr="00C05AD5" w:rsidRDefault="00AF73B9" w:rsidP="00AF73B9">
            <w:pPr>
              <w:jc w:val="right"/>
              <w:rPr>
                <w:rFonts w:cs="Calibri"/>
                <w:b/>
              </w:rPr>
            </w:pPr>
            <w:r w:rsidRPr="004142DB">
              <w:rPr>
                <w:rFonts w:cs="Calibri"/>
                <w:b/>
              </w:rPr>
              <w:lastRenderedPageBreak/>
              <w:t>£m</w:t>
            </w:r>
          </w:p>
        </w:tc>
        <w:tc>
          <w:tcPr>
            <w:tcW w:w="5671" w:type="dxa"/>
          </w:tcPr>
          <w:p w:rsidR="00AF73B9" w:rsidRPr="00C05AD5" w:rsidRDefault="00AF73B9" w:rsidP="00AF73B9">
            <w:pPr>
              <w:jc w:val="right"/>
              <w:rPr>
                <w:rFonts w:cs="Calibri"/>
                <w:b/>
              </w:rPr>
            </w:pPr>
          </w:p>
        </w:tc>
        <w:tc>
          <w:tcPr>
            <w:tcW w:w="1417" w:type="dxa"/>
            <w:tcBorders>
              <w:bottom w:val="single" w:sz="4" w:space="0" w:color="auto"/>
            </w:tcBorders>
            <w:noWrap/>
          </w:tcPr>
          <w:p w:rsidR="00AF73B9" w:rsidRPr="00C05AD5" w:rsidRDefault="00AF73B9" w:rsidP="00AF73B9">
            <w:pPr>
              <w:jc w:val="right"/>
              <w:rPr>
                <w:rFonts w:cs="Calibri"/>
                <w:b/>
              </w:rPr>
            </w:pPr>
            <w:r w:rsidRPr="004142DB">
              <w:rPr>
                <w:rFonts w:cs="Calibri"/>
                <w:b/>
              </w:rPr>
              <w:t>£m</w:t>
            </w:r>
          </w:p>
        </w:tc>
      </w:tr>
      <w:tr w:rsidR="00AF73B9" w:rsidRPr="00EB2995" w:rsidTr="00AF73B9">
        <w:trPr>
          <w:trHeight w:val="300"/>
        </w:trPr>
        <w:tc>
          <w:tcPr>
            <w:tcW w:w="1417" w:type="dxa"/>
            <w:tcBorders>
              <w:top w:val="nil"/>
              <w:left w:val="single" w:sz="8" w:space="0" w:color="auto"/>
              <w:bottom w:val="nil"/>
              <w:right w:val="single" w:sz="8" w:space="0" w:color="auto"/>
            </w:tcBorders>
            <w:shd w:val="clear" w:color="000000" w:fill="FFFFFF"/>
            <w:vAlign w:val="center"/>
          </w:tcPr>
          <w:p w:rsidR="00AF73B9" w:rsidRPr="00C05AD5" w:rsidRDefault="00AF73B9" w:rsidP="00AF73B9">
            <w:pPr>
              <w:jc w:val="right"/>
              <w:rPr>
                <w:rFonts w:cs="Calibri"/>
              </w:rPr>
            </w:pPr>
            <w:r w:rsidRPr="00C05AD5">
              <w:rPr>
                <w:rFonts w:cs="Calibri"/>
                <w:color w:val="000000"/>
              </w:rPr>
              <w:t>(18.1)</w:t>
            </w:r>
          </w:p>
        </w:tc>
        <w:tc>
          <w:tcPr>
            <w:tcW w:w="5671" w:type="dxa"/>
            <w:tcBorders>
              <w:left w:val="single" w:sz="4" w:space="0" w:color="auto"/>
              <w:right w:val="single" w:sz="4" w:space="0" w:color="auto"/>
            </w:tcBorders>
          </w:tcPr>
          <w:p w:rsidR="00AF73B9" w:rsidRPr="00C05AD5" w:rsidRDefault="00AF73B9" w:rsidP="00AF73B9">
            <w:pPr>
              <w:rPr>
                <w:rFonts w:cs="Calibri"/>
              </w:rPr>
            </w:pPr>
            <w:r w:rsidRPr="004142DB">
              <w:rPr>
                <w:rFonts w:cs="Calibri"/>
              </w:rPr>
              <w:t xml:space="preserve">Deferred Income opening balance </w:t>
            </w:r>
          </w:p>
        </w:tc>
        <w:tc>
          <w:tcPr>
            <w:tcW w:w="1417" w:type="dxa"/>
            <w:tcBorders>
              <w:top w:val="nil"/>
              <w:left w:val="single" w:sz="8" w:space="0" w:color="auto"/>
              <w:bottom w:val="nil"/>
              <w:right w:val="single" w:sz="8" w:space="0" w:color="auto"/>
            </w:tcBorders>
            <w:shd w:val="clear" w:color="000000" w:fill="FFFFFF"/>
            <w:noWrap/>
            <w:vAlign w:val="center"/>
          </w:tcPr>
          <w:p w:rsidR="00AF73B9" w:rsidRPr="00C05AD5" w:rsidRDefault="00AF73B9" w:rsidP="00AF73B9">
            <w:pPr>
              <w:jc w:val="right"/>
              <w:rPr>
                <w:rFonts w:cs="Calibri"/>
              </w:rPr>
            </w:pPr>
            <w:r w:rsidRPr="00C05AD5">
              <w:rPr>
                <w:rFonts w:cs="Calibri"/>
                <w:color w:val="000000"/>
              </w:rPr>
              <w:t>(16.1)</w:t>
            </w:r>
          </w:p>
        </w:tc>
      </w:tr>
      <w:tr w:rsidR="00AF73B9" w:rsidRPr="00EB2995" w:rsidTr="00AF73B9">
        <w:trPr>
          <w:trHeight w:val="300"/>
        </w:trPr>
        <w:tc>
          <w:tcPr>
            <w:tcW w:w="1417" w:type="dxa"/>
            <w:tcBorders>
              <w:top w:val="nil"/>
              <w:left w:val="single" w:sz="8" w:space="0" w:color="auto"/>
              <w:bottom w:val="nil"/>
              <w:right w:val="single" w:sz="8" w:space="0" w:color="auto"/>
            </w:tcBorders>
            <w:shd w:val="clear" w:color="000000" w:fill="FFFFFF"/>
            <w:vAlign w:val="center"/>
          </w:tcPr>
          <w:p w:rsidR="00AF73B9" w:rsidRPr="00C05AD5" w:rsidRDefault="00AF73B9" w:rsidP="00AF73B9">
            <w:pPr>
              <w:jc w:val="right"/>
              <w:rPr>
                <w:rFonts w:cs="Calibri"/>
              </w:rPr>
            </w:pPr>
            <w:r w:rsidRPr="00C05AD5">
              <w:rPr>
                <w:rFonts w:cs="Calibri"/>
                <w:color w:val="000000"/>
              </w:rPr>
              <w:t>2.0</w:t>
            </w:r>
          </w:p>
        </w:tc>
        <w:tc>
          <w:tcPr>
            <w:tcW w:w="5671" w:type="dxa"/>
            <w:tcBorders>
              <w:left w:val="single" w:sz="4" w:space="0" w:color="auto"/>
              <w:right w:val="single" w:sz="4" w:space="0" w:color="auto"/>
            </w:tcBorders>
          </w:tcPr>
          <w:p w:rsidR="00AF73B9" w:rsidRPr="00C05AD5" w:rsidRDefault="00AF73B9" w:rsidP="00AF73B9">
            <w:pPr>
              <w:rPr>
                <w:rFonts w:cs="Calibri"/>
              </w:rPr>
            </w:pPr>
            <w:r w:rsidRPr="004142DB">
              <w:rPr>
                <w:rFonts w:cs="Calibri"/>
              </w:rPr>
              <w:t>Amortisation</w:t>
            </w:r>
          </w:p>
        </w:tc>
        <w:tc>
          <w:tcPr>
            <w:tcW w:w="1417" w:type="dxa"/>
            <w:tcBorders>
              <w:top w:val="nil"/>
              <w:left w:val="single" w:sz="8" w:space="0" w:color="auto"/>
              <w:bottom w:val="nil"/>
              <w:right w:val="single" w:sz="8" w:space="0" w:color="auto"/>
            </w:tcBorders>
            <w:shd w:val="clear" w:color="000000" w:fill="FFFFFF"/>
            <w:noWrap/>
            <w:vAlign w:val="center"/>
          </w:tcPr>
          <w:p w:rsidR="00AF73B9" w:rsidRPr="00C05AD5" w:rsidRDefault="00AF73B9" w:rsidP="00AF73B9">
            <w:pPr>
              <w:jc w:val="right"/>
              <w:rPr>
                <w:rFonts w:cs="Calibri"/>
              </w:rPr>
            </w:pPr>
            <w:r w:rsidRPr="00C05AD5">
              <w:rPr>
                <w:rFonts w:cs="Calibri"/>
                <w:color w:val="000000"/>
              </w:rPr>
              <w:t>2.0</w:t>
            </w:r>
          </w:p>
        </w:tc>
      </w:tr>
      <w:tr w:rsidR="00AF73B9" w:rsidRPr="00EB2995" w:rsidTr="00AF73B9">
        <w:trPr>
          <w:trHeight w:val="300"/>
        </w:trPr>
        <w:tc>
          <w:tcPr>
            <w:tcW w:w="1417" w:type="dxa"/>
            <w:tcBorders>
              <w:top w:val="single" w:sz="4" w:space="0" w:color="auto"/>
              <w:left w:val="single" w:sz="4" w:space="0" w:color="auto"/>
              <w:bottom w:val="single" w:sz="4" w:space="0" w:color="auto"/>
              <w:right w:val="single" w:sz="4" w:space="0" w:color="auto"/>
            </w:tcBorders>
          </w:tcPr>
          <w:p w:rsidR="00AF73B9" w:rsidRPr="00C05AD5" w:rsidRDefault="00AF73B9" w:rsidP="00AF73B9">
            <w:pPr>
              <w:jc w:val="right"/>
              <w:rPr>
                <w:rFonts w:cs="Calibri"/>
                <w:b/>
              </w:rPr>
            </w:pPr>
            <w:r w:rsidRPr="00C05AD5">
              <w:rPr>
                <w:rFonts w:cs="Calibri"/>
                <w:b/>
              </w:rPr>
              <w:t>(16.1)</w:t>
            </w:r>
          </w:p>
        </w:tc>
        <w:tc>
          <w:tcPr>
            <w:tcW w:w="5671" w:type="dxa"/>
            <w:tcBorders>
              <w:left w:val="single" w:sz="4" w:space="0" w:color="auto"/>
              <w:right w:val="single" w:sz="4" w:space="0" w:color="auto"/>
            </w:tcBorders>
          </w:tcPr>
          <w:p w:rsidR="00AF73B9" w:rsidRPr="00C05AD5" w:rsidRDefault="00AF73B9" w:rsidP="00AF73B9">
            <w:pPr>
              <w:rPr>
                <w:rFonts w:cs="Calibri"/>
                <w:b/>
              </w:rPr>
            </w:pPr>
            <w:r w:rsidRPr="00C05AD5">
              <w:rPr>
                <w:rFonts w:cs="Calibri"/>
                <w:b/>
              </w:rPr>
              <w:t>Deferred Income closing balance</w:t>
            </w:r>
          </w:p>
        </w:tc>
        <w:tc>
          <w:tcPr>
            <w:tcW w:w="1417" w:type="dxa"/>
            <w:tcBorders>
              <w:top w:val="single" w:sz="4" w:space="0" w:color="auto"/>
              <w:left w:val="single" w:sz="4" w:space="0" w:color="auto"/>
              <w:bottom w:val="single" w:sz="4" w:space="0" w:color="auto"/>
              <w:right w:val="single" w:sz="4" w:space="0" w:color="auto"/>
            </w:tcBorders>
            <w:noWrap/>
            <w:vAlign w:val="center"/>
          </w:tcPr>
          <w:p w:rsidR="00AF73B9" w:rsidRPr="00C05AD5" w:rsidRDefault="00AF73B9" w:rsidP="00AF73B9">
            <w:pPr>
              <w:jc w:val="right"/>
              <w:rPr>
                <w:rFonts w:cs="Calibri"/>
                <w:b/>
              </w:rPr>
            </w:pPr>
            <w:r w:rsidRPr="00C05AD5">
              <w:rPr>
                <w:rFonts w:cs="Calibri"/>
                <w:b/>
                <w:bCs/>
                <w:color w:val="000000"/>
              </w:rPr>
              <w:t>(14.1)</w:t>
            </w:r>
          </w:p>
        </w:tc>
      </w:tr>
    </w:tbl>
    <w:p w:rsidR="00F72906" w:rsidRDefault="00F72906" w:rsidP="00F72906">
      <w:r>
        <w:t>The Housing and Adult Social Care PFI: assessed under IFRS this contract has three distinct elements:</w:t>
      </w:r>
    </w:p>
    <w:p w:rsidR="00F72906" w:rsidRDefault="00F72906" w:rsidP="00F72906">
      <w:r>
        <w:t xml:space="preserve">1.  </w:t>
      </w:r>
      <w:r>
        <w:tab/>
        <w:t>Residential facilities for people with learning disabilities – Legal title to 20 units of residential facilities for people with learning disabilities transfers to Brent. This element of the PFI is accounted for using the service concession rules for IFRIC 12.</w:t>
      </w:r>
    </w:p>
    <w:p w:rsidR="00F72906" w:rsidRDefault="00F72906" w:rsidP="00F72906">
      <w:r>
        <w:t xml:space="preserve">2.  </w:t>
      </w:r>
      <w:r>
        <w:tab/>
        <w:t>Residential social housing with guaranteed nomination rights Brent controls the residual value of this Social Housing stock at the end of the contract by a combination of restrictions on the sale and use of the social housing built and nomination rights to some of the properties built. Brent will be granted at least 158 nomination rights. This element of the PFI is accounted for using the service concession rules for IFRIC 12.</w:t>
      </w:r>
    </w:p>
    <w:p w:rsidR="00F72906" w:rsidRDefault="00F72906" w:rsidP="00F72906">
      <w:r>
        <w:t xml:space="preserve">3.  </w:t>
      </w:r>
      <w:r>
        <w:tab/>
        <w:t>Residential social housing without guaranteed nomination rights – This is residual stock after Brent is granted at least 158 nomination rights. This will be at most 206 units. These units can be sold by the PFI Operator to other Registered Social Landlords under the conditions of the contract. This element is therefore considered to be temporary housing stock, and is accounted for using the embedded lease rules for IFRIC 4.</w:t>
      </w:r>
    </w:p>
    <w:p w:rsidR="00F72906" w:rsidRDefault="00F72906" w:rsidP="00F72906">
      <w:r>
        <w:t>The Assets and Liabilities for element 2 of the PFI have been calculated using the ratio of 158:364, which is the ratio of guaranteed nomination rights to total social housing properties.</w:t>
      </w:r>
    </w:p>
    <w:p w:rsidR="00AE1C26" w:rsidRDefault="00F72906" w:rsidP="00F72906">
      <w:r>
        <w:t>The payments for element 3 are the residual payments once elements 2 and 3 are accounted for.</w:t>
      </w:r>
    </w:p>
    <w:p w:rsidR="00F72906" w:rsidRDefault="00F72906" w:rsidP="00F72906">
      <w:r>
        <w:t>There are a number of uncertainties about this contract where the Council’s assets and liabilities may be affected by uncertain future events:</w:t>
      </w:r>
    </w:p>
    <w:p w:rsidR="00F72906" w:rsidRDefault="00F72906" w:rsidP="00F72906">
      <w:r>
        <w:t>•</w:t>
      </w:r>
      <w:r>
        <w:tab/>
        <w:t>The number of nomination rights is governed by House Price inflation: the higher house price inflation is the greater the number of nomination rights.</w:t>
      </w:r>
    </w:p>
    <w:p w:rsidR="00F72906" w:rsidRDefault="00F72906" w:rsidP="00F72906">
      <w:r>
        <w:t>•</w:t>
      </w:r>
      <w:r>
        <w:tab/>
        <w:t>The PFI Operator is allowed to sell a number of properties to equal in value to the principal amount of senior debt for the PFI. The principal amount of senior debt will be affected by future social housing rents. It is also possible that refinancing of the contract could lower the principal amount of senior debt.</w:t>
      </w:r>
    </w:p>
    <w:p w:rsidR="00F72906" w:rsidRDefault="00F72906" w:rsidP="00F72906">
      <w:r>
        <w:t>•</w:t>
      </w:r>
      <w:r>
        <w:tab/>
        <w:t>At this stage, it is not possible to state to which 158 properties the Council will get permanent nomination rights. This will be determined over the course of the contract by the granted of long- term tenancies to residents of the properties. This may result in the Council’s assets and liabilities being higher or lower than currently projected.</w:t>
      </w:r>
    </w:p>
    <w:p w:rsidR="00F72906" w:rsidRDefault="00F72906" w:rsidP="00F72906">
      <w:r>
        <w:t>These features of the contract are an important part of the Council’s risk control for this contract. The contract is fixed in price; it is the apportionment of this fixed payment between the permanent and temporary elements which is uncertain. In substance, the risks principally affect the future benefits the Council will receive at the end of the contract in the form of nomination rights.</w:t>
      </w:r>
    </w:p>
    <w:p w:rsidR="00F72906" w:rsidRDefault="00F72906" w:rsidP="00AF73B9">
      <w:pPr>
        <w:pStyle w:val="Heading2"/>
      </w:pPr>
      <w:bookmarkStart w:id="16" w:name="_Toc61870286"/>
      <w:r>
        <w:t>Employee Benefits</w:t>
      </w:r>
      <w:bookmarkEnd w:id="16"/>
    </w:p>
    <w:p w:rsidR="00F72906" w:rsidRDefault="00F72906" w:rsidP="00AF73B9">
      <w:pPr>
        <w:pStyle w:val="Heading3"/>
      </w:pPr>
      <w:r>
        <w:t>Note 31 - Senior Employees' Remuneration</w:t>
      </w:r>
    </w:p>
    <w:p w:rsidR="00F72906" w:rsidRDefault="00F72906" w:rsidP="00F72906">
      <w:r>
        <w:t>Senior employees are Brent’s Chief Executive and direct reports (other than administration staff) and statutory chief officers.</w:t>
      </w:r>
    </w:p>
    <w:p w:rsidR="00F72906" w:rsidRDefault="00F72906" w:rsidP="00F72906">
      <w:r>
        <w:lastRenderedPageBreak/>
        <w:t>No compensation payments for loss of office were made in 2018/19 or 2019/20. No bonuses were paid during 2019/20.</w:t>
      </w:r>
    </w:p>
    <w:tbl>
      <w:tblPr>
        <w:tblW w:w="10348" w:type="dxa"/>
        <w:tblLook w:val="04A0" w:firstRow="1" w:lastRow="0" w:firstColumn="1" w:lastColumn="0" w:noHBand="0" w:noVBand="1"/>
      </w:tblPr>
      <w:tblGrid>
        <w:gridCol w:w="4752"/>
        <w:gridCol w:w="1769"/>
        <w:gridCol w:w="1559"/>
        <w:gridCol w:w="2382"/>
      </w:tblGrid>
      <w:tr w:rsidR="00AF73B9" w:rsidRPr="00EB2995" w:rsidTr="00AF73B9">
        <w:trPr>
          <w:trHeight w:hRule="exact" w:val="680"/>
        </w:trPr>
        <w:tc>
          <w:tcPr>
            <w:tcW w:w="4752" w:type="dxa"/>
            <w:tcBorders>
              <w:top w:val="nil"/>
              <w:left w:val="nil"/>
              <w:bottom w:val="nil"/>
              <w:right w:val="nil"/>
            </w:tcBorders>
            <w:shd w:val="clear" w:color="auto" w:fill="auto"/>
            <w:noWrap/>
            <w:vAlign w:val="bottom"/>
            <w:hideMark/>
          </w:tcPr>
          <w:p w:rsidR="00AF73B9" w:rsidRPr="00EB2995" w:rsidRDefault="00AF73B9" w:rsidP="00AF73B9">
            <w:pPr>
              <w:rPr>
                <w:rFonts w:cs="Calibri"/>
                <w:sz w:val="20"/>
                <w:szCs w:val="20"/>
                <w:lang w:eastAsia="en-GB"/>
              </w:rPr>
            </w:pPr>
          </w:p>
        </w:tc>
        <w:tc>
          <w:tcPr>
            <w:tcW w:w="1769" w:type="dxa"/>
            <w:tcBorders>
              <w:top w:val="nil"/>
              <w:left w:val="nil"/>
              <w:bottom w:val="nil"/>
              <w:right w:val="nil"/>
            </w:tcBorders>
            <w:shd w:val="clear" w:color="auto" w:fill="auto"/>
            <w:noWrap/>
            <w:vAlign w:val="bottom"/>
            <w:hideMark/>
          </w:tcPr>
          <w:p w:rsidR="00AF73B9" w:rsidRPr="00EB2995" w:rsidRDefault="00AF73B9" w:rsidP="00AF73B9">
            <w:pPr>
              <w:rPr>
                <w:rFonts w:cs="Calibri"/>
                <w:sz w:val="20"/>
                <w:szCs w:val="20"/>
                <w:lang w:eastAsia="en-GB"/>
              </w:rPr>
            </w:pPr>
          </w:p>
        </w:tc>
        <w:tc>
          <w:tcPr>
            <w:tcW w:w="1559" w:type="dxa"/>
            <w:tcBorders>
              <w:top w:val="nil"/>
              <w:left w:val="nil"/>
              <w:bottom w:val="single" w:sz="8" w:space="0" w:color="auto"/>
              <w:right w:val="nil"/>
            </w:tcBorders>
            <w:shd w:val="clear" w:color="auto" w:fill="auto"/>
            <w:noWrap/>
            <w:vAlign w:val="bottom"/>
            <w:hideMark/>
          </w:tcPr>
          <w:p w:rsidR="00AF73B9" w:rsidRPr="00EB2995" w:rsidRDefault="00AF73B9" w:rsidP="00AF73B9">
            <w:pPr>
              <w:jc w:val="center"/>
              <w:rPr>
                <w:rFonts w:cs="Calibri"/>
                <w:b/>
                <w:bCs/>
                <w:color w:val="000000"/>
                <w:lang w:eastAsia="en-GB"/>
              </w:rPr>
            </w:pPr>
            <w:r w:rsidRPr="00EB2995">
              <w:rPr>
                <w:rFonts w:cs="Calibri"/>
                <w:b/>
                <w:bCs/>
                <w:color w:val="000000"/>
                <w:lang w:eastAsia="en-GB"/>
              </w:rPr>
              <w:t>2019/20</w:t>
            </w:r>
          </w:p>
        </w:tc>
        <w:tc>
          <w:tcPr>
            <w:tcW w:w="2268" w:type="dxa"/>
            <w:tcBorders>
              <w:top w:val="nil"/>
              <w:left w:val="nil"/>
              <w:bottom w:val="nil"/>
              <w:right w:val="nil"/>
            </w:tcBorders>
            <w:shd w:val="clear" w:color="auto" w:fill="auto"/>
            <w:noWrap/>
            <w:vAlign w:val="bottom"/>
            <w:hideMark/>
          </w:tcPr>
          <w:p w:rsidR="00AF73B9" w:rsidRPr="00EB2995" w:rsidRDefault="00AF73B9" w:rsidP="00AF73B9">
            <w:pPr>
              <w:jc w:val="center"/>
              <w:rPr>
                <w:rFonts w:cs="Calibri"/>
                <w:b/>
                <w:bCs/>
                <w:color w:val="000000"/>
                <w:lang w:eastAsia="en-GB"/>
              </w:rPr>
            </w:pPr>
          </w:p>
        </w:tc>
      </w:tr>
      <w:tr w:rsidR="00AF73B9" w:rsidRPr="00EB2995" w:rsidTr="00AF73B9">
        <w:trPr>
          <w:trHeight w:hRule="exact" w:val="680"/>
        </w:trPr>
        <w:tc>
          <w:tcPr>
            <w:tcW w:w="4752" w:type="dxa"/>
            <w:tcBorders>
              <w:top w:val="single" w:sz="8" w:space="0" w:color="auto"/>
              <w:left w:val="single" w:sz="8" w:space="0" w:color="auto"/>
              <w:bottom w:val="nil"/>
              <w:right w:val="single" w:sz="8" w:space="0" w:color="auto"/>
            </w:tcBorders>
            <w:shd w:val="clear" w:color="auto" w:fill="auto"/>
            <w:noWrap/>
            <w:vAlign w:val="center"/>
            <w:hideMark/>
          </w:tcPr>
          <w:p w:rsidR="00AF73B9" w:rsidRPr="00EB2995" w:rsidRDefault="00AF73B9" w:rsidP="00AF73B9">
            <w:pPr>
              <w:rPr>
                <w:rFonts w:cs="Calibri"/>
                <w:b/>
                <w:bCs/>
                <w:color w:val="000000"/>
                <w:lang w:eastAsia="en-GB"/>
              </w:rPr>
            </w:pPr>
            <w:r w:rsidRPr="00EB2995">
              <w:rPr>
                <w:rFonts w:cs="Calibri"/>
                <w:b/>
                <w:bCs/>
                <w:color w:val="000000"/>
                <w:lang w:eastAsia="en-GB"/>
              </w:rPr>
              <w:t> </w:t>
            </w:r>
          </w:p>
        </w:tc>
        <w:tc>
          <w:tcPr>
            <w:tcW w:w="1769" w:type="dxa"/>
            <w:tcBorders>
              <w:top w:val="single" w:sz="8" w:space="0" w:color="auto"/>
              <w:left w:val="nil"/>
              <w:bottom w:val="nil"/>
              <w:right w:val="nil"/>
            </w:tcBorders>
            <w:shd w:val="clear" w:color="auto" w:fill="auto"/>
            <w:vAlign w:val="bottom"/>
            <w:hideMark/>
          </w:tcPr>
          <w:p w:rsidR="00AF73B9" w:rsidRPr="00EB2995" w:rsidRDefault="00AF73B9" w:rsidP="00AF73B9">
            <w:pPr>
              <w:jc w:val="right"/>
              <w:rPr>
                <w:rFonts w:cs="Calibri"/>
                <w:b/>
                <w:bCs/>
                <w:color w:val="000000"/>
                <w:lang w:eastAsia="en-GB"/>
              </w:rPr>
            </w:pPr>
            <w:r w:rsidRPr="00EB2995">
              <w:rPr>
                <w:rFonts w:cs="Calibri"/>
                <w:b/>
                <w:bCs/>
                <w:color w:val="000000"/>
                <w:lang w:eastAsia="en-GB"/>
              </w:rPr>
              <w:t xml:space="preserve"> Salary (including fees and allowances) </w:t>
            </w:r>
          </w:p>
        </w:tc>
        <w:tc>
          <w:tcPr>
            <w:tcW w:w="1559" w:type="dxa"/>
            <w:tcBorders>
              <w:top w:val="nil"/>
              <w:left w:val="single" w:sz="4" w:space="0" w:color="auto"/>
              <w:bottom w:val="nil"/>
              <w:right w:val="single" w:sz="4" w:space="0" w:color="auto"/>
            </w:tcBorders>
            <w:shd w:val="clear" w:color="auto" w:fill="auto"/>
            <w:vAlign w:val="bottom"/>
            <w:hideMark/>
          </w:tcPr>
          <w:p w:rsidR="00AF73B9" w:rsidRPr="00EB2995" w:rsidRDefault="00AF73B9" w:rsidP="00AF73B9">
            <w:pPr>
              <w:jc w:val="right"/>
              <w:rPr>
                <w:rFonts w:cs="Calibri"/>
                <w:b/>
                <w:bCs/>
                <w:color w:val="000000"/>
                <w:lang w:eastAsia="en-GB"/>
              </w:rPr>
            </w:pPr>
            <w:r w:rsidRPr="00EB2995">
              <w:rPr>
                <w:rFonts w:cs="Calibri"/>
                <w:b/>
                <w:bCs/>
                <w:color w:val="000000"/>
                <w:lang w:eastAsia="en-GB"/>
              </w:rPr>
              <w:t>Employers pension contributions</w:t>
            </w:r>
          </w:p>
        </w:tc>
        <w:tc>
          <w:tcPr>
            <w:tcW w:w="2268" w:type="dxa"/>
            <w:tcBorders>
              <w:top w:val="single" w:sz="8" w:space="0" w:color="auto"/>
              <w:left w:val="single" w:sz="4" w:space="0" w:color="auto"/>
              <w:bottom w:val="nil"/>
              <w:right w:val="single" w:sz="8" w:space="0" w:color="auto"/>
            </w:tcBorders>
            <w:shd w:val="clear" w:color="auto" w:fill="auto"/>
            <w:vAlign w:val="bottom"/>
            <w:hideMark/>
          </w:tcPr>
          <w:p w:rsidR="00AF73B9" w:rsidRPr="00EB2995" w:rsidRDefault="00AF73B9" w:rsidP="00AF73B9">
            <w:pPr>
              <w:jc w:val="right"/>
              <w:rPr>
                <w:rFonts w:cs="Calibri"/>
                <w:b/>
                <w:bCs/>
                <w:color w:val="000000"/>
                <w:lang w:eastAsia="en-GB"/>
              </w:rPr>
            </w:pPr>
            <w:r w:rsidRPr="00EB2995">
              <w:rPr>
                <w:rFonts w:cs="Calibri"/>
                <w:b/>
                <w:bCs/>
                <w:color w:val="000000"/>
                <w:lang w:eastAsia="en-GB"/>
              </w:rPr>
              <w:t>Total remuneration including pension contributions</w:t>
            </w:r>
          </w:p>
        </w:tc>
      </w:tr>
      <w:tr w:rsidR="00AF73B9" w:rsidRPr="00EB2995" w:rsidTr="00AF73B9">
        <w:trPr>
          <w:trHeight w:hRule="exact" w:val="680"/>
        </w:trPr>
        <w:tc>
          <w:tcPr>
            <w:tcW w:w="4752" w:type="dxa"/>
            <w:tcBorders>
              <w:top w:val="nil"/>
              <w:left w:val="single" w:sz="8" w:space="0" w:color="auto"/>
              <w:bottom w:val="single" w:sz="8" w:space="0" w:color="auto"/>
              <w:right w:val="single" w:sz="8" w:space="0" w:color="auto"/>
            </w:tcBorders>
            <w:shd w:val="clear" w:color="auto" w:fill="auto"/>
            <w:noWrap/>
            <w:vAlign w:val="center"/>
            <w:hideMark/>
          </w:tcPr>
          <w:p w:rsidR="00AF73B9" w:rsidRPr="00EB2995" w:rsidRDefault="00AF73B9" w:rsidP="00AF73B9">
            <w:pPr>
              <w:rPr>
                <w:rFonts w:cs="Calibri"/>
                <w:color w:val="000000"/>
                <w:lang w:eastAsia="en-GB"/>
              </w:rPr>
            </w:pPr>
            <w:r w:rsidRPr="00EB2995">
              <w:rPr>
                <w:rFonts w:cs="Calibri"/>
                <w:color w:val="000000"/>
                <w:lang w:eastAsia="en-GB"/>
              </w:rPr>
              <w:t> </w:t>
            </w:r>
          </w:p>
        </w:tc>
        <w:tc>
          <w:tcPr>
            <w:tcW w:w="1769" w:type="dxa"/>
            <w:tcBorders>
              <w:top w:val="nil"/>
              <w:left w:val="nil"/>
              <w:bottom w:val="single" w:sz="8" w:space="0" w:color="auto"/>
              <w:right w:val="nil"/>
            </w:tcBorders>
            <w:shd w:val="clear" w:color="auto" w:fill="auto"/>
            <w:vAlign w:val="center"/>
            <w:hideMark/>
          </w:tcPr>
          <w:p w:rsidR="00AF73B9" w:rsidRPr="00EB2995" w:rsidRDefault="00AF73B9" w:rsidP="00AF73B9">
            <w:pPr>
              <w:jc w:val="center"/>
              <w:rPr>
                <w:rFonts w:cs="Calibri"/>
                <w:b/>
                <w:bCs/>
                <w:color w:val="000000"/>
                <w:lang w:eastAsia="en-GB"/>
              </w:rPr>
            </w:pPr>
            <w:r w:rsidRPr="00EB2995">
              <w:rPr>
                <w:rFonts w:cs="Calibri"/>
                <w:b/>
                <w:bCs/>
                <w:color w:val="000000"/>
                <w:lang w:eastAsia="en-GB"/>
              </w:rPr>
              <w:t xml:space="preserve"> £ </w:t>
            </w:r>
          </w:p>
        </w:tc>
        <w:tc>
          <w:tcPr>
            <w:tcW w:w="1559" w:type="dxa"/>
            <w:tcBorders>
              <w:top w:val="nil"/>
              <w:left w:val="single" w:sz="4" w:space="0" w:color="auto"/>
              <w:bottom w:val="single" w:sz="8" w:space="0" w:color="auto"/>
              <w:right w:val="single" w:sz="4" w:space="0" w:color="auto"/>
            </w:tcBorders>
            <w:shd w:val="clear" w:color="auto" w:fill="auto"/>
            <w:vAlign w:val="center"/>
            <w:hideMark/>
          </w:tcPr>
          <w:p w:rsidR="00AF73B9" w:rsidRPr="00EB2995" w:rsidRDefault="00AF73B9" w:rsidP="00AF73B9">
            <w:pPr>
              <w:jc w:val="center"/>
              <w:rPr>
                <w:rFonts w:cs="Calibri"/>
                <w:b/>
                <w:bCs/>
                <w:color w:val="000000"/>
                <w:lang w:eastAsia="en-GB"/>
              </w:rPr>
            </w:pPr>
            <w:r w:rsidRPr="00EB2995">
              <w:rPr>
                <w:rFonts w:cs="Calibri"/>
                <w:b/>
                <w:bCs/>
                <w:color w:val="000000"/>
                <w:lang w:eastAsia="en-GB"/>
              </w:rPr>
              <w:t>£</w:t>
            </w:r>
          </w:p>
        </w:tc>
        <w:tc>
          <w:tcPr>
            <w:tcW w:w="2268" w:type="dxa"/>
            <w:tcBorders>
              <w:top w:val="nil"/>
              <w:left w:val="single" w:sz="4" w:space="0" w:color="auto"/>
              <w:bottom w:val="single" w:sz="8" w:space="0" w:color="auto"/>
              <w:right w:val="single" w:sz="8" w:space="0" w:color="auto"/>
            </w:tcBorders>
            <w:shd w:val="clear" w:color="auto" w:fill="auto"/>
            <w:vAlign w:val="center"/>
            <w:hideMark/>
          </w:tcPr>
          <w:p w:rsidR="00AF73B9" w:rsidRPr="00EB2995" w:rsidRDefault="00AF73B9" w:rsidP="00AF73B9">
            <w:pPr>
              <w:jc w:val="center"/>
              <w:rPr>
                <w:rFonts w:cs="Calibri"/>
                <w:b/>
                <w:bCs/>
                <w:color w:val="000000"/>
                <w:lang w:eastAsia="en-GB"/>
              </w:rPr>
            </w:pPr>
            <w:r w:rsidRPr="00EB2995">
              <w:rPr>
                <w:rFonts w:cs="Calibri"/>
                <w:b/>
                <w:bCs/>
                <w:color w:val="000000"/>
                <w:lang w:eastAsia="en-GB"/>
              </w:rPr>
              <w:t>£</w:t>
            </w:r>
          </w:p>
        </w:tc>
      </w:tr>
      <w:tr w:rsidR="00AF73B9" w:rsidRPr="00EB2995" w:rsidTr="00AF73B9">
        <w:trPr>
          <w:trHeight w:hRule="exact" w:val="680"/>
        </w:trPr>
        <w:tc>
          <w:tcPr>
            <w:tcW w:w="4752" w:type="dxa"/>
            <w:tcBorders>
              <w:top w:val="nil"/>
              <w:left w:val="single" w:sz="8" w:space="0" w:color="auto"/>
              <w:bottom w:val="nil"/>
              <w:right w:val="single" w:sz="8" w:space="0" w:color="auto"/>
            </w:tcBorders>
            <w:shd w:val="clear" w:color="auto" w:fill="auto"/>
          </w:tcPr>
          <w:p w:rsidR="00AF73B9" w:rsidRPr="00EB2995" w:rsidRDefault="00AF73B9" w:rsidP="00AE1C26">
            <w:pPr>
              <w:rPr>
                <w:rFonts w:cs="Calibri"/>
                <w:color w:val="000000"/>
                <w:lang w:eastAsia="en-GB"/>
              </w:rPr>
            </w:pPr>
            <w:r w:rsidRPr="00EB2995">
              <w:rPr>
                <w:rFonts w:cs="Calibri"/>
                <w:color w:val="000000"/>
              </w:rPr>
              <w:t xml:space="preserve">Chief Executive – Carolyn Downs </w:t>
            </w:r>
          </w:p>
        </w:tc>
        <w:tc>
          <w:tcPr>
            <w:tcW w:w="1769" w:type="dxa"/>
            <w:tcBorders>
              <w:top w:val="nil"/>
              <w:left w:val="nil"/>
              <w:bottom w:val="nil"/>
              <w:right w:val="nil"/>
            </w:tcBorders>
            <w:shd w:val="clear" w:color="auto" w:fill="auto"/>
          </w:tcPr>
          <w:p w:rsidR="00AF73B9" w:rsidRPr="00EB2995" w:rsidRDefault="00AF73B9" w:rsidP="00AF73B9">
            <w:pPr>
              <w:jc w:val="right"/>
              <w:rPr>
                <w:rFonts w:cs="Calibri"/>
                <w:color w:val="000000"/>
              </w:rPr>
            </w:pPr>
            <w:r w:rsidRPr="00EB2995">
              <w:rPr>
                <w:rFonts w:cs="Calibri"/>
                <w:color w:val="000000"/>
              </w:rPr>
              <w:t>217,080</w:t>
            </w:r>
          </w:p>
        </w:tc>
        <w:tc>
          <w:tcPr>
            <w:tcW w:w="1559" w:type="dxa"/>
            <w:tcBorders>
              <w:top w:val="nil"/>
              <w:left w:val="single" w:sz="4" w:space="0" w:color="auto"/>
              <w:bottom w:val="nil"/>
              <w:right w:val="single" w:sz="4" w:space="0" w:color="auto"/>
            </w:tcBorders>
            <w:shd w:val="clear" w:color="auto" w:fill="auto"/>
          </w:tcPr>
          <w:p w:rsidR="00AF73B9" w:rsidRPr="00EB2995" w:rsidRDefault="00AF73B9" w:rsidP="00AF73B9">
            <w:pPr>
              <w:jc w:val="right"/>
              <w:rPr>
                <w:rFonts w:cs="Calibri"/>
                <w:color w:val="000000"/>
                <w:lang w:eastAsia="en-GB"/>
              </w:rPr>
            </w:pPr>
            <w:r w:rsidRPr="00EB2995">
              <w:rPr>
                <w:rFonts w:cs="Calibri"/>
                <w:color w:val="000000"/>
              </w:rPr>
              <w:t xml:space="preserve">-   </w:t>
            </w:r>
          </w:p>
        </w:tc>
        <w:tc>
          <w:tcPr>
            <w:tcW w:w="2268" w:type="dxa"/>
            <w:tcBorders>
              <w:top w:val="nil"/>
              <w:left w:val="single" w:sz="4" w:space="0" w:color="auto"/>
              <w:bottom w:val="nil"/>
              <w:right w:val="single" w:sz="8" w:space="0" w:color="auto"/>
            </w:tcBorders>
            <w:shd w:val="clear" w:color="auto" w:fill="auto"/>
          </w:tcPr>
          <w:p w:rsidR="00AF73B9" w:rsidRPr="00EB2995" w:rsidRDefault="00AF73B9" w:rsidP="00AF73B9">
            <w:pPr>
              <w:jc w:val="right"/>
              <w:rPr>
                <w:rFonts w:cs="Calibri"/>
                <w:b/>
                <w:color w:val="000000"/>
                <w:lang w:eastAsia="en-GB"/>
              </w:rPr>
            </w:pPr>
            <w:r w:rsidRPr="00EB2995">
              <w:rPr>
                <w:rFonts w:cs="Calibri"/>
                <w:b/>
                <w:bCs/>
                <w:color w:val="000000"/>
              </w:rPr>
              <w:t xml:space="preserve">217,080 </w:t>
            </w:r>
          </w:p>
        </w:tc>
      </w:tr>
      <w:tr w:rsidR="00AF73B9" w:rsidRPr="00EB2995" w:rsidTr="00AF73B9">
        <w:trPr>
          <w:trHeight w:hRule="exact" w:val="680"/>
        </w:trPr>
        <w:tc>
          <w:tcPr>
            <w:tcW w:w="4752" w:type="dxa"/>
            <w:tcBorders>
              <w:top w:val="nil"/>
              <w:left w:val="single" w:sz="8" w:space="0" w:color="auto"/>
              <w:bottom w:val="nil"/>
              <w:right w:val="single" w:sz="8" w:space="0" w:color="auto"/>
            </w:tcBorders>
            <w:shd w:val="clear" w:color="auto" w:fill="auto"/>
          </w:tcPr>
          <w:p w:rsidR="00AF73B9" w:rsidRPr="00EB2995" w:rsidRDefault="00AF73B9" w:rsidP="00AF73B9">
            <w:pPr>
              <w:rPr>
                <w:rFonts w:cs="Calibri"/>
                <w:color w:val="000000"/>
              </w:rPr>
            </w:pPr>
            <w:r w:rsidRPr="00EB2995">
              <w:rPr>
                <w:rFonts w:cs="Calibri"/>
                <w:color w:val="000000"/>
              </w:rPr>
              <w:t>Assistant Chief Executive (joined 7th January 2020) – Shazia Hussain</w:t>
            </w:r>
          </w:p>
          <w:p w:rsidR="00AF73B9" w:rsidRPr="00EB2995" w:rsidRDefault="00AF73B9" w:rsidP="00AF73B9">
            <w:pPr>
              <w:rPr>
                <w:rFonts w:cs="Calibri"/>
                <w:color w:val="000000"/>
              </w:rPr>
            </w:pPr>
          </w:p>
        </w:tc>
        <w:tc>
          <w:tcPr>
            <w:tcW w:w="1769" w:type="dxa"/>
            <w:tcBorders>
              <w:top w:val="nil"/>
              <w:left w:val="nil"/>
              <w:bottom w:val="nil"/>
              <w:right w:val="nil"/>
            </w:tcBorders>
            <w:shd w:val="clear" w:color="auto" w:fill="auto"/>
          </w:tcPr>
          <w:p w:rsidR="00AF73B9" w:rsidRPr="00EB2995" w:rsidRDefault="00AF73B9" w:rsidP="00AF73B9">
            <w:pPr>
              <w:jc w:val="right"/>
              <w:rPr>
                <w:rFonts w:cs="Calibri"/>
                <w:color w:val="000000"/>
                <w:lang w:eastAsia="en-GB"/>
              </w:rPr>
            </w:pPr>
            <w:r w:rsidRPr="00EB2995">
              <w:rPr>
                <w:rFonts w:cs="Calibri"/>
                <w:color w:val="000000"/>
              </w:rPr>
              <w:t xml:space="preserve">31,078 </w:t>
            </w:r>
          </w:p>
        </w:tc>
        <w:tc>
          <w:tcPr>
            <w:tcW w:w="1559" w:type="dxa"/>
            <w:tcBorders>
              <w:top w:val="nil"/>
              <w:left w:val="single" w:sz="4" w:space="0" w:color="auto"/>
              <w:bottom w:val="nil"/>
              <w:right w:val="single" w:sz="4" w:space="0" w:color="auto"/>
            </w:tcBorders>
            <w:shd w:val="clear" w:color="auto" w:fill="auto"/>
          </w:tcPr>
          <w:p w:rsidR="00AF73B9" w:rsidRPr="00EB2995" w:rsidRDefault="00AF73B9" w:rsidP="00AF73B9">
            <w:pPr>
              <w:jc w:val="right"/>
              <w:rPr>
                <w:rFonts w:cs="Calibri"/>
                <w:color w:val="000000"/>
                <w:lang w:eastAsia="en-GB"/>
              </w:rPr>
            </w:pPr>
            <w:r w:rsidRPr="00EB2995">
              <w:rPr>
                <w:rFonts w:cs="Calibri"/>
                <w:color w:val="000000"/>
              </w:rPr>
              <w:t xml:space="preserve">10,599 </w:t>
            </w:r>
          </w:p>
        </w:tc>
        <w:tc>
          <w:tcPr>
            <w:tcW w:w="2268" w:type="dxa"/>
            <w:tcBorders>
              <w:top w:val="nil"/>
              <w:left w:val="single" w:sz="4" w:space="0" w:color="auto"/>
              <w:bottom w:val="nil"/>
              <w:right w:val="single" w:sz="8" w:space="0" w:color="auto"/>
            </w:tcBorders>
            <w:shd w:val="clear" w:color="auto" w:fill="auto"/>
          </w:tcPr>
          <w:p w:rsidR="00AF73B9" w:rsidRPr="00EB2995" w:rsidRDefault="00AF73B9" w:rsidP="00AF73B9">
            <w:pPr>
              <w:jc w:val="right"/>
              <w:rPr>
                <w:rFonts w:cs="Calibri"/>
                <w:b/>
                <w:color w:val="000000"/>
                <w:lang w:eastAsia="en-GB"/>
              </w:rPr>
            </w:pPr>
            <w:r w:rsidRPr="00EB2995">
              <w:rPr>
                <w:rFonts w:cs="Calibri"/>
                <w:b/>
                <w:bCs/>
                <w:color w:val="000000"/>
              </w:rPr>
              <w:t xml:space="preserve">41,677 </w:t>
            </w:r>
          </w:p>
        </w:tc>
      </w:tr>
      <w:tr w:rsidR="00AF73B9" w:rsidRPr="00EB2995" w:rsidTr="00AF73B9">
        <w:trPr>
          <w:trHeight w:hRule="exact" w:val="680"/>
        </w:trPr>
        <w:tc>
          <w:tcPr>
            <w:tcW w:w="4752" w:type="dxa"/>
            <w:tcBorders>
              <w:top w:val="nil"/>
              <w:left w:val="single" w:sz="8" w:space="0" w:color="auto"/>
              <w:bottom w:val="nil"/>
              <w:right w:val="single" w:sz="8" w:space="0" w:color="auto"/>
            </w:tcBorders>
            <w:shd w:val="clear" w:color="auto" w:fill="auto"/>
          </w:tcPr>
          <w:p w:rsidR="00AF73B9" w:rsidRPr="00EB2995" w:rsidRDefault="00AF73B9" w:rsidP="00AF73B9">
            <w:pPr>
              <w:rPr>
                <w:rFonts w:cs="Calibri"/>
                <w:color w:val="000000"/>
              </w:rPr>
            </w:pPr>
            <w:r w:rsidRPr="00EB2995">
              <w:rPr>
                <w:rFonts w:cs="Calibri"/>
                <w:color w:val="000000"/>
              </w:rPr>
              <w:t>Strategic Director Children and Young People – Gail Tolley</w:t>
            </w:r>
          </w:p>
          <w:p w:rsidR="00AF73B9" w:rsidRPr="00EB2995" w:rsidRDefault="00AF73B9" w:rsidP="00AF73B9">
            <w:pPr>
              <w:rPr>
                <w:rFonts w:cs="Calibri"/>
                <w:color w:val="000000"/>
                <w:lang w:eastAsia="en-GB"/>
              </w:rPr>
            </w:pPr>
          </w:p>
        </w:tc>
        <w:tc>
          <w:tcPr>
            <w:tcW w:w="1769" w:type="dxa"/>
            <w:tcBorders>
              <w:top w:val="nil"/>
              <w:left w:val="nil"/>
              <w:bottom w:val="nil"/>
              <w:right w:val="nil"/>
            </w:tcBorders>
            <w:shd w:val="clear" w:color="auto" w:fill="auto"/>
          </w:tcPr>
          <w:p w:rsidR="00AF73B9" w:rsidRPr="00EB2995" w:rsidRDefault="00AF73B9" w:rsidP="00AF73B9">
            <w:pPr>
              <w:jc w:val="right"/>
              <w:rPr>
                <w:rFonts w:cs="Calibri"/>
                <w:color w:val="000000"/>
                <w:lang w:eastAsia="en-GB"/>
              </w:rPr>
            </w:pPr>
            <w:r w:rsidRPr="00EB2995">
              <w:rPr>
                <w:rFonts w:cs="Calibri"/>
                <w:color w:val="000000"/>
              </w:rPr>
              <w:t xml:space="preserve">153,927 </w:t>
            </w:r>
          </w:p>
        </w:tc>
        <w:tc>
          <w:tcPr>
            <w:tcW w:w="1559" w:type="dxa"/>
            <w:tcBorders>
              <w:top w:val="nil"/>
              <w:left w:val="single" w:sz="4" w:space="0" w:color="auto"/>
              <w:bottom w:val="nil"/>
              <w:right w:val="single" w:sz="4" w:space="0" w:color="auto"/>
            </w:tcBorders>
            <w:shd w:val="clear" w:color="auto" w:fill="auto"/>
          </w:tcPr>
          <w:p w:rsidR="00AF73B9" w:rsidRPr="00EB2995" w:rsidRDefault="00AF73B9" w:rsidP="00AF73B9">
            <w:pPr>
              <w:jc w:val="right"/>
              <w:rPr>
                <w:rFonts w:cs="Calibri"/>
                <w:color w:val="000000"/>
                <w:lang w:eastAsia="en-GB"/>
              </w:rPr>
            </w:pPr>
            <w:r w:rsidRPr="00EB2995">
              <w:rPr>
                <w:rFonts w:cs="Calibri"/>
                <w:color w:val="000000"/>
              </w:rPr>
              <w:t xml:space="preserve">53,874 </w:t>
            </w:r>
          </w:p>
        </w:tc>
        <w:tc>
          <w:tcPr>
            <w:tcW w:w="2268" w:type="dxa"/>
            <w:tcBorders>
              <w:top w:val="nil"/>
              <w:left w:val="single" w:sz="4" w:space="0" w:color="auto"/>
              <w:bottom w:val="nil"/>
              <w:right w:val="single" w:sz="8" w:space="0" w:color="auto"/>
            </w:tcBorders>
            <w:shd w:val="clear" w:color="auto" w:fill="auto"/>
          </w:tcPr>
          <w:p w:rsidR="00AF73B9" w:rsidRPr="00EB2995" w:rsidRDefault="00AF73B9" w:rsidP="00AE1C26">
            <w:pPr>
              <w:ind w:left="1440"/>
              <w:rPr>
                <w:rFonts w:cs="Calibri"/>
                <w:b/>
                <w:color w:val="000000"/>
                <w:lang w:eastAsia="en-GB"/>
              </w:rPr>
            </w:pPr>
            <w:r w:rsidRPr="00EB2995">
              <w:rPr>
                <w:rFonts w:cs="Calibri"/>
                <w:b/>
                <w:bCs/>
                <w:color w:val="000000"/>
              </w:rPr>
              <w:t xml:space="preserve">207,801 </w:t>
            </w:r>
          </w:p>
        </w:tc>
      </w:tr>
      <w:tr w:rsidR="00AF73B9" w:rsidRPr="00EB2995" w:rsidTr="00AF73B9">
        <w:trPr>
          <w:trHeight w:hRule="exact" w:val="680"/>
        </w:trPr>
        <w:tc>
          <w:tcPr>
            <w:tcW w:w="4752" w:type="dxa"/>
            <w:tcBorders>
              <w:top w:val="nil"/>
              <w:left w:val="single" w:sz="8" w:space="0" w:color="auto"/>
              <w:bottom w:val="nil"/>
              <w:right w:val="single" w:sz="8" w:space="0" w:color="auto"/>
            </w:tcBorders>
            <w:shd w:val="clear" w:color="auto" w:fill="auto"/>
          </w:tcPr>
          <w:p w:rsidR="00AF73B9" w:rsidRPr="00EB2995" w:rsidRDefault="00AF73B9" w:rsidP="00AF73B9">
            <w:pPr>
              <w:rPr>
                <w:rFonts w:cs="Calibri"/>
                <w:color w:val="000000"/>
              </w:rPr>
            </w:pPr>
            <w:r w:rsidRPr="00EB2995">
              <w:rPr>
                <w:rFonts w:cs="Calibri"/>
                <w:color w:val="000000"/>
              </w:rPr>
              <w:t>Strategic Director of Community &amp; Well-being – Philip Porter</w:t>
            </w:r>
          </w:p>
          <w:p w:rsidR="00AF73B9" w:rsidRPr="00EB2995" w:rsidRDefault="00AF73B9" w:rsidP="00AF73B9">
            <w:pPr>
              <w:rPr>
                <w:rFonts w:cs="Calibri"/>
                <w:color w:val="000000"/>
                <w:lang w:eastAsia="en-GB"/>
              </w:rPr>
            </w:pPr>
          </w:p>
        </w:tc>
        <w:tc>
          <w:tcPr>
            <w:tcW w:w="1769" w:type="dxa"/>
            <w:tcBorders>
              <w:top w:val="nil"/>
              <w:left w:val="nil"/>
              <w:bottom w:val="nil"/>
              <w:right w:val="nil"/>
            </w:tcBorders>
            <w:shd w:val="clear" w:color="auto" w:fill="auto"/>
          </w:tcPr>
          <w:p w:rsidR="00AF73B9" w:rsidRPr="00EB2995" w:rsidRDefault="00AF73B9" w:rsidP="00AF73B9">
            <w:pPr>
              <w:jc w:val="right"/>
              <w:rPr>
                <w:rFonts w:cs="Calibri"/>
                <w:color w:val="000000"/>
                <w:lang w:eastAsia="en-GB"/>
              </w:rPr>
            </w:pPr>
            <w:r w:rsidRPr="00EB2995">
              <w:rPr>
                <w:rFonts w:cs="Calibri"/>
                <w:color w:val="000000"/>
              </w:rPr>
              <w:t xml:space="preserve">154,341 </w:t>
            </w:r>
          </w:p>
        </w:tc>
        <w:tc>
          <w:tcPr>
            <w:tcW w:w="1559" w:type="dxa"/>
            <w:tcBorders>
              <w:top w:val="nil"/>
              <w:left w:val="single" w:sz="4" w:space="0" w:color="auto"/>
              <w:bottom w:val="nil"/>
              <w:right w:val="single" w:sz="4" w:space="0" w:color="auto"/>
            </w:tcBorders>
            <w:shd w:val="clear" w:color="auto" w:fill="auto"/>
          </w:tcPr>
          <w:p w:rsidR="00AF73B9" w:rsidRPr="00EB2995" w:rsidRDefault="00AF73B9" w:rsidP="00AF73B9">
            <w:pPr>
              <w:jc w:val="right"/>
              <w:rPr>
                <w:rFonts w:cs="Calibri"/>
                <w:color w:val="000000"/>
                <w:lang w:eastAsia="en-GB"/>
              </w:rPr>
            </w:pPr>
            <w:r w:rsidRPr="00EB2995">
              <w:rPr>
                <w:rFonts w:cs="Calibri"/>
                <w:color w:val="000000"/>
              </w:rPr>
              <w:t xml:space="preserve">53,874 </w:t>
            </w:r>
          </w:p>
        </w:tc>
        <w:tc>
          <w:tcPr>
            <w:tcW w:w="2268" w:type="dxa"/>
            <w:tcBorders>
              <w:top w:val="nil"/>
              <w:left w:val="single" w:sz="4" w:space="0" w:color="auto"/>
              <w:bottom w:val="nil"/>
              <w:right w:val="single" w:sz="8" w:space="0" w:color="auto"/>
            </w:tcBorders>
            <w:shd w:val="clear" w:color="auto" w:fill="auto"/>
          </w:tcPr>
          <w:p w:rsidR="00AF73B9" w:rsidRPr="00EB2995" w:rsidRDefault="00AF73B9" w:rsidP="00AF73B9">
            <w:pPr>
              <w:jc w:val="right"/>
              <w:rPr>
                <w:rFonts w:cs="Calibri"/>
                <w:b/>
                <w:color w:val="000000"/>
                <w:lang w:eastAsia="en-GB"/>
              </w:rPr>
            </w:pPr>
            <w:r w:rsidRPr="00EB2995">
              <w:rPr>
                <w:rFonts w:cs="Calibri"/>
                <w:b/>
                <w:bCs/>
                <w:color w:val="000000"/>
              </w:rPr>
              <w:t xml:space="preserve">208,215 </w:t>
            </w:r>
          </w:p>
        </w:tc>
      </w:tr>
      <w:tr w:rsidR="00AF73B9" w:rsidRPr="00EB2995" w:rsidTr="00AF73B9">
        <w:trPr>
          <w:trHeight w:hRule="exact" w:val="680"/>
        </w:trPr>
        <w:tc>
          <w:tcPr>
            <w:tcW w:w="4752" w:type="dxa"/>
            <w:tcBorders>
              <w:top w:val="nil"/>
              <w:left w:val="single" w:sz="8" w:space="0" w:color="auto"/>
              <w:bottom w:val="nil"/>
              <w:right w:val="single" w:sz="8" w:space="0" w:color="auto"/>
            </w:tcBorders>
            <w:shd w:val="clear" w:color="auto" w:fill="auto"/>
          </w:tcPr>
          <w:p w:rsidR="00AF73B9" w:rsidRPr="00EB2995" w:rsidRDefault="00AF73B9" w:rsidP="00AF73B9">
            <w:pPr>
              <w:rPr>
                <w:rFonts w:cs="Calibri"/>
                <w:color w:val="000000"/>
              </w:rPr>
            </w:pPr>
            <w:r w:rsidRPr="00EB2995">
              <w:rPr>
                <w:rFonts w:cs="Calibri"/>
                <w:color w:val="000000"/>
              </w:rPr>
              <w:t>Strategic Director Regeneration &amp; Environment – Amar Dave</w:t>
            </w:r>
          </w:p>
          <w:p w:rsidR="00AF73B9" w:rsidRPr="00EB2995" w:rsidRDefault="00AF73B9" w:rsidP="00AF73B9">
            <w:pPr>
              <w:rPr>
                <w:rFonts w:cs="Calibri"/>
                <w:color w:val="000000"/>
                <w:lang w:eastAsia="en-GB"/>
              </w:rPr>
            </w:pPr>
          </w:p>
        </w:tc>
        <w:tc>
          <w:tcPr>
            <w:tcW w:w="1769" w:type="dxa"/>
            <w:tcBorders>
              <w:top w:val="nil"/>
              <w:left w:val="nil"/>
              <w:bottom w:val="nil"/>
              <w:right w:val="nil"/>
            </w:tcBorders>
            <w:shd w:val="clear" w:color="auto" w:fill="auto"/>
          </w:tcPr>
          <w:p w:rsidR="00AF73B9" w:rsidRPr="00EB2995" w:rsidRDefault="00AF73B9" w:rsidP="00AF73B9">
            <w:pPr>
              <w:jc w:val="right"/>
              <w:rPr>
                <w:rFonts w:cs="Calibri"/>
                <w:color w:val="000000"/>
                <w:lang w:eastAsia="en-GB"/>
              </w:rPr>
            </w:pPr>
            <w:r w:rsidRPr="00EB2995">
              <w:rPr>
                <w:rFonts w:cs="Calibri"/>
                <w:color w:val="000000"/>
              </w:rPr>
              <w:t xml:space="preserve">156,487 </w:t>
            </w:r>
          </w:p>
        </w:tc>
        <w:tc>
          <w:tcPr>
            <w:tcW w:w="1559" w:type="dxa"/>
            <w:tcBorders>
              <w:top w:val="nil"/>
              <w:left w:val="single" w:sz="4" w:space="0" w:color="auto"/>
              <w:bottom w:val="nil"/>
              <w:right w:val="single" w:sz="4" w:space="0" w:color="auto"/>
            </w:tcBorders>
            <w:shd w:val="clear" w:color="auto" w:fill="auto"/>
          </w:tcPr>
          <w:p w:rsidR="00AF73B9" w:rsidRPr="00EB2995" w:rsidRDefault="00AF73B9" w:rsidP="00AF73B9">
            <w:pPr>
              <w:jc w:val="right"/>
              <w:rPr>
                <w:rFonts w:cs="Calibri"/>
                <w:color w:val="000000"/>
                <w:lang w:eastAsia="en-GB"/>
              </w:rPr>
            </w:pPr>
            <w:r w:rsidRPr="00EB2995">
              <w:rPr>
                <w:rFonts w:cs="Calibri"/>
                <w:color w:val="000000"/>
              </w:rPr>
              <w:t xml:space="preserve">53,380 </w:t>
            </w:r>
          </w:p>
        </w:tc>
        <w:tc>
          <w:tcPr>
            <w:tcW w:w="2268" w:type="dxa"/>
            <w:tcBorders>
              <w:top w:val="nil"/>
              <w:left w:val="single" w:sz="4" w:space="0" w:color="auto"/>
              <w:bottom w:val="nil"/>
              <w:right w:val="single" w:sz="8" w:space="0" w:color="auto"/>
            </w:tcBorders>
            <w:shd w:val="clear" w:color="auto" w:fill="auto"/>
          </w:tcPr>
          <w:p w:rsidR="00AF73B9" w:rsidRPr="00EB2995" w:rsidRDefault="00AF73B9" w:rsidP="00AF73B9">
            <w:pPr>
              <w:jc w:val="right"/>
              <w:rPr>
                <w:rFonts w:cs="Calibri"/>
                <w:b/>
                <w:color w:val="000000"/>
                <w:lang w:eastAsia="en-GB"/>
              </w:rPr>
            </w:pPr>
            <w:r w:rsidRPr="00EB2995">
              <w:rPr>
                <w:rFonts w:cs="Calibri"/>
                <w:b/>
                <w:bCs/>
                <w:color w:val="000000"/>
              </w:rPr>
              <w:t xml:space="preserve">209,867 </w:t>
            </w:r>
          </w:p>
        </w:tc>
      </w:tr>
      <w:tr w:rsidR="00AF73B9" w:rsidRPr="00EB2995" w:rsidTr="00AF73B9">
        <w:trPr>
          <w:trHeight w:hRule="exact" w:val="680"/>
        </w:trPr>
        <w:tc>
          <w:tcPr>
            <w:tcW w:w="4752" w:type="dxa"/>
            <w:tcBorders>
              <w:top w:val="nil"/>
              <w:left w:val="single" w:sz="8" w:space="0" w:color="auto"/>
              <w:bottom w:val="nil"/>
              <w:right w:val="single" w:sz="8" w:space="0" w:color="auto"/>
            </w:tcBorders>
            <w:shd w:val="clear" w:color="auto" w:fill="auto"/>
          </w:tcPr>
          <w:p w:rsidR="00AF73B9" w:rsidRPr="00EB2995" w:rsidRDefault="00AF73B9" w:rsidP="00AF73B9">
            <w:pPr>
              <w:rPr>
                <w:rFonts w:cs="Calibri"/>
                <w:color w:val="000000"/>
              </w:rPr>
            </w:pPr>
            <w:r w:rsidRPr="00EB2995">
              <w:rPr>
                <w:rFonts w:cs="Calibri"/>
                <w:color w:val="000000"/>
              </w:rPr>
              <w:t>Strategic Director Customer and Digital services –Peter Gadson</w:t>
            </w:r>
          </w:p>
          <w:p w:rsidR="00AF73B9" w:rsidRPr="00EB2995" w:rsidRDefault="00AF73B9" w:rsidP="00AF73B9">
            <w:pPr>
              <w:rPr>
                <w:rFonts w:cs="Calibri"/>
                <w:color w:val="000000"/>
                <w:lang w:eastAsia="en-GB"/>
              </w:rPr>
            </w:pPr>
          </w:p>
        </w:tc>
        <w:tc>
          <w:tcPr>
            <w:tcW w:w="1769" w:type="dxa"/>
            <w:tcBorders>
              <w:top w:val="nil"/>
              <w:left w:val="nil"/>
              <w:bottom w:val="nil"/>
              <w:right w:val="nil"/>
            </w:tcBorders>
            <w:shd w:val="clear" w:color="auto" w:fill="auto"/>
          </w:tcPr>
          <w:p w:rsidR="00AF73B9" w:rsidRPr="00EB2995" w:rsidRDefault="00AF73B9" w:rsidP="00AF73B9">
            <w:pPr>
              <w:jc w:val="right"/>
              <w:rPr>
                <w:rFonts w:cs="Calibri"/>
                <w:color w:val="000000"/>
                <w:lang w:eastAsia="en-GB"/>
              </w:rPr>
            </w:pPr>
            <w:r w:rsidRPr="00EB2995">
              <w:rPr>
                <w:rFonts w:cs="Calibri"/>
                <w:color w:val="000000"/>
              </w:rPr>
              <w:t xml:space="preserve">146,826 </w:t>
            </w:r>
          </w:p>
        </w:tc>
        <w:tc>
          <w:tcPr>
            <w:tcW w:w="1559" w:type="dxa"/>
            <w:tcBorders>
              <w:top w:val="nil"/>
              <w:left w:val="single" w:sz="4" w:space="0" w:color="auto"/>
              <w:bottom w:val="nil"/>
              <w:right w:val="single" w:sz="4" w:space="0" w:color="auto"/>
            </w:tcBorders>
            <w:shd w:val="clear" w:color="auto" w:fill="auto"/>
          </w:tcPr>
          <w:p w:rsidR="00AF73B9" w:rsidRPr="00EB2995" w:rsidRDefault="00AF73B9" w:rsidP="00AF73B9">
            <w:pPr>
              <w:jc w:val="right"/>
              <w:rPr>
                <w:rFonts w:cs="Calibri"/>
                <w:color w:val="000000"/>
                <w:lang w:eastAsia="en-GB"/>
              </w:rPr>
            </w:pPr>
            <w:r w:rsidRPr="00EB2995">
              <w:rPr>
                <w:rFonts w:cs="Calibri"/>
                <w:color w:val="000000"/>
              </w:rPr>
              <w:t xml:space="preserve">48,765 </w:t>
            </w:r>
          </w:p>
        </w:tc>
        <w:tc>
          <w:tcPr>
            <w:tcW w:w="2268" w:type="dxa"/>
            <w:tcBorders>
              <w:top w:val="nil"/>
              <w:left w:val="single" w:sz="4" w:space="0" w:color="auto"/>
              <w:bottom w:val="nil"/>
              <w:right w:val="single" w:sz="8" w:space="0" w:color="auto"/>
            </w:tcBorders>
            <w:shd w:val="clear" w:color="auto" w:fill="auto"/>
          </w:tcPr>
          <w:p w:rsidR="00AF73B9" w:rsidRPr="00EB2995" w:rsidRDefault="00AF73B9" w:rsidP="00AF73B9">
            <w:pPr>
              <w:jc w:val="right"/>
              <w:rPr>
                <w:rFonts w:cs="Calibri"/>
                <w:b/>
                <w:color w:val="000000"/>
                <w:lang w:eastAsia="en-GB"/>
              </w:rPr>
            </w:pPr>
            <w:r w:rsidRPr="00EB2995">
              <w:rPr>
                <w:rFonts w:cs="Calibri"/>
                <w:b/>
                <w:bCs/>
                <w:color w:val="000000"/>
              </w:rPr>
              <w:t xml:space="preserve">195,591 </w:t>
            </w:r>
          </w:p>
        </w:tc>
      </w:tr>
      <w:tr w:rsidR="00AF73B9" w:rsidRPr="00EB2995" w:rsidTr="00AF73B9">
        <w:trPr>
          <w:trHeight w:hRule="exact" w:val="680"/>
        </w:trPr>
        <w:tc>
          <w:tcPr>
            <w:tcW w:w="4752" w:type="dxa"/>
            <w:tcBorders>
              <w:top w:val="nil"/>
              <w:left w:val="single" w:sz="8" w:space="0" w:color="auto"/>
              <w:bottom w:val="nil"/>
              <w:right w:val="single" w:sz="8" w:space="0" w:color="auto"/>
            </w:tcBorders>
            <w:shd w:val="clear" w:color="auto" w:fill="auto"/>
          </w:tcPr>
          <w:p w:rsidR="00AF73B9" w:rsidRPr="00EB2995" w:rsidRDefault="00AF73B9" w:rsidP="00AF73B9">
            <w:pPr>
              <w:rPr>
                <w:rFonts w:cs="Calibri"/>
                <w:color w:val="000000"/>
              </w:rPr>
            </w:pPr>
            <w:r w:rsidRPr="00EB2995">
              <w:rPr>
                <w:rFonts w:cs="Calibri"/>
                <w:color w:val="000000"/>
              </w:rPr>
              <w:t>Strategic Director Resources (left 14th April 2019) – Althea Loderick</w:t>
            </w:r>
          </w:p>
          <w:p w:rsidR="00AF73B9" w:rsidRPr="00EB2995" w:rsidRDefault="00AF73B9" w:rsidP="00AF73B9">
            <w:pPr>
              <w:rPr>
                <w:rFonts w:cs="Calibri"/>
                <w:color w:val="000000"/>
                <w:lang w:eastAsia="en-GB"/>
              </w:rPr>
            </w:pPr>
          </w:p>
        </w:tc>
        <w:tc>
          <w:tcPr>
            <w:tcW w:w="1769" w:type="dxa"/>
            <w:tcBorders>
              <w:top w:val="nil"/>
              <w:left w:val="nil"/>
              <w:bottom w:val="nil"/>
              <w:right w:val="nil"/>
            </w:tcBorders>
            <w:shd w:val="clear" w:color="auto" w:fill="auto"/>
          </w:tcPr>
          <w:p w:rsidR="00AF73B9" w:rsidRPr="00EB2995" w:rsidRDefault="00AF73B9" w:rsidP="00AF73B9">
            <w:pPr>
              <w:jc w:val="right"/>
              <w:rPr>
                <w:rFonts w:cs="Calibri"/>
                <w:color w:val="000000"/>
                <w:lang w:eastAsia="en-GB"/>
              </w:rPr>
            </w:pPr>
            <w:r w:rsidRPr="00EB2995">
              <w:rPr>
                <w:rFonts w:cs="Calibri"/>
                <w:color w:val="000000"/>
              </w:rPr>
              <w:t xml:space="preserve">10,709 </w:t>
            </w:r>
          </w:p>
        </w:tc>
        <w:tc>
          <w:tcPr>
            <w:tcW w:w="1559" w:type="dxa"/>
            <w:tcBorders>
              <w:top w:val="nil"/>
              <w:left w:val="single" w:sz="4" w:space="0" w:color="auto"/>
              <w:bottom w:val="nil"/>
              <w:right w:val="single" w:sz="4" w:space="0" w:color="auto"/>
            </w:tcBorders>
            <w:shd w:val="clear" w:color="auto" w:fill="auto"/>
          </w:tcPr>
          <w:p w:rsidR="00AF73B9" w:rsidRPr="00EB2995" w:rsidRDefault="00AF73B9" w:rsidP="00AF73B9">
            <w:pPr>
              <w:jc w:val="right"/>
              <w:rPr>
                <w:rFonts w:cs="Calibri"/>
                <w:color w:val="000000"/>
                <w:lang w:eastAsia="en-GB"/>
              </w:rPr>
            </w:pPr>
            <w:r w:rsidRPr="00EB2995">
              <w:rPr>
                <w:rFonts w:cs="Calibri"/>
                <w:color w:val="000000"/>
              </w:rPr>
              <w:t xml:space="preserve">2,095 </w:t>
            </w:r>
          </w:p>
        </w:tc>
        <w:tc>
          <w:tcPr>
            <w:tcW w:w="2268" w:type="dxa"/>
            <w:tcBorders>
              <w:top w:val="nil"/>
              <w:left w:val="single" w:sz="4" w:space="0" w:color="auto"/>
              <w:bottom w:val="nil"/>
              <w:right w:val="single" w:sz="8" w:space="0" w:color="auto"/>
            </w:tcBorders>
            <w:shd w:val="clear" w:color="auto" w:fill="auto"/>
          </w:tcPr>
          <w:p w:rsidR="00AF73B9" w:rsidRPr="00EB2995" w:rsidRDefault="00AF73B9" w:rsidP="00AF73B9">
            <w:pPr>
              <w:jc w:val="right"/>
              <w:rPr>
                <w:rFonts w:cs="Calibri"/>
                <w:b/>
                <w:color w:val="000000"/>
                <w:lang w:eastAsia="en-GB"/>
              </w:rPr>
            </w:pPr>
            <w:r w:rsidRPr="00EB2995">
              <w:rPr>
                <w:rFonts w:cs="Calibri"/>
                <w:b/>
                <w:bCs/>
                <w:color w:val="000000"/>
              </w:rPr>
              <w:t xml:space="preserve">12,804 </w:t>
            </w:r>
          </w:p>
        </w:tc>
      </w:tr>
      <w:tr w:rsidR="00AF73B9" w:rsidRPr="00EB2995" w:rsidTr="00AF73B9">
        <w:trPr>
          <w:trHeight w:hRule="exact" w:val="680"/>
        </w:trPr>
        <w:tc>
          <w:tcPr>
            <w:tcW w:w="4752" w:type="dxa"/>
            <w:tcBorders>
              <w:top w:val="nil"/>
              <w:left w:val="single" w:sz="8" w:space="0" w:color="auto"/>
              <w:bottom w:val="nil"/>
              <w:right w:val="single" w:sz="8" w:space="0" w:color="auto"/>
            </w:tcBorders>
            <w:shd w:val="clear" w:color="auto" w:fill="auto"/>
          </w:tcPr>
          <w:p w:rsidR="00AF73B9" w:rsidRPr="00EB2995" w:rsidRDefault="00AF73B9" w:rsidP="00AF73B9">
            <w:pPr>
              <w:rPr>
                <w:rFonts w:cs="Calibri"/>
                <w:color w:val="000000"/>
              </w:rPr>
            </w:pPr>
            <w:r w:rsidRPr="00EB2995">
              <w:rPr>
                <w:rFonts w:cs="Calibri"/>
                <w:color w:val="000000"/>
              </w:rPr>
              <w:t>Chief Finance Officer (section 151 officer, left 23rd June 2019) – Conrad Hall</w:t>
            </w:r>
          </w:p>
          <w:p w:rsidR="00AF73B9" w:rsidRPr="00EB2995" w:rsidRDefault="00AF73B9" w:rsidP="00AF73B9">
            <w:pPr>
              <w:rPr>
                <w:rFonts w:cs="Calibri"/>
                <w:color w:val="000000"/>
                <w:lang w:eastAsia="en-GB"/>
              </w:rPr>
            </w:pPr>
          </w:p>
        </w:tc>
        <w:tc>
          <w:tcPr>
            <w:tcW w:w="1769" w:type="dxa"/>
            <w:tcBorders>
              <w:top w:val="nil"/>
              <w:left w:val="nil"/>
              <w:bottom w:val="nil"/>
              <w:right w:val="nil"/>
            </w:tcBorders>
            <w:shd w:val="clear" w:color="auto" w:fill="auto"/>
          </w:tcPr>
          <w:p w:rsidR="00AF73B9" w:rsidRPr="00EB2995" w:rsidRDefault="00AF73B9" w:rsidP="00AF73B9">
            <w:pPr>
              <w:jc w:val="right"/>
              <w:rPr>
                <w:rFonts w:cs="Calibri"/>
                <w:color w:val="000000"/>
                <w:lang w:eastAsia="en-GB"/>
              </w:rPr>
            </w:pPr>
            <w:r w:rsidRPr="00EB2995">
              <w:rPr>
                <w:rFonts w:cs="Calibri"/>
                <w:color w:val="000000"/>
              </w:rPr>
              <w:t xml:space="preserve">30,777 </w:t>
            </w:r>
          </w:p>
        </w:tc>
        <w:tc>
          <w:tcPr>
            <w:tcW w:w="1559" w:type="dxa"/>
            <w:tcBorders>
              <w:top w:val="nil"/>
              <w:left w:val="single" w:sz="4" w:space="0" w:color="auto"/>
              <w:bottom w:val="nil"/>
              <w:right w:val="single" w:sz="4" w:space="0" w:color="auto"/>
            </w:tcBorders>
            <w:shd w:val="clear" w:color="auto" w:fill="auto"/>
          </w:tcPr>
          <w:p w:rsidR="00AF73B9" w:rsidRPr="00EB2995" w:rsidRDefault="00AF73B9" w:rsidP="00AF73B9">
            <w:pPr>
              <w:jc w:val="right"/>
              <w:rPr>
                <w:rFonts w:cs="Calibri"/>
                <w:color w:val="000000"/>
                <w:lang w:eastAsia="en-GB"/>
              </w:rPr>
            </w:pPr>
            <w:r w:rsidRPr="00EB2995">
              <w:rPr>
                <w:rFonts w:cs="Calibri"/>
                <w:color w:val="000000"/>
              </w:rPr>
              <w:t xml:space="preserve">-   </w:t>
            </w:r>
          </w:p>
        </w:tc>
        <w:tc>
          <w:tcPr>
            <w:tcW w:w="2268" w:type="dxa"/>
            <w:tcBorders>
              <w:top w:val="nil"/>
              <w:left w:val="single" w:sz="4" w:space="0" w:color="auto"/>
              <w:bottom w:val="nil"/>
              <w:right w:val="single" w:sz="8" w:space="0" w:color="auto"/>
            </w:tcBorders>
            <w:shd w:val="clear" w:color="auto" w:fill="auto"/>
          </w:tcPr>
          <w:p w:rsidR="00AF73B9" w:rsidRPr="00EB2995" w:rsidRDefault="00AF73B9" w:rsidP="00AF73B9">
            <w:pPr>
              <w:jc w:val="right"/>
              <w:rPr>
                <w:rFonts w:cs="Calibri"/>
                <w:b/>
                <w:color w:val="000000"/>
                <w:lang w:eastAsia="en-GB"/>
              </w:rPr>
            </w:pPr>
            <w:r w:rsidRPr="00EB2995">
              <w:rPr>
                <w:rFonts w:cs="Calibri"/>
                <w:b/>
                <w:bCs/>
                <w:color w:val="000000"/>
              </w:rPr>
              <w:t xml:space="preserve">30,777 </w:t>
            </w:r>
          </w:p>
        </w:tc>
      </w:tr>
      <w:tr w:rsidR="00AF73B9" w:rsidRPr="00EB2995" w:rsidTr="00AF73B9">
        <w:trPr>
          <w:trHeight w:hRule="exact" w:val="680"/>
        </w:trPr>
        <w:tc>
          <w:tcPr>
            <w:tcW w:w="4752" w:type="dxa"/>
            <w:tcBorders>
              <w:top w:val="nil"/>
              <w:left w:val="single" w:sz="8" w:space="0" w:color="auto"/>
              <w:bottom w:val="nil"/>
              <w:right w:val="single" w:sz="8" w:space="0" w:color="auto"/>
            </w:tcBorders>
            <w:shd w:val="clear" w:color="auto" w:fill="auto"/>
          </w:tcPr>
          <w:p w:rsidR="00AF73B9" w:rsidRPr="00EB2995" w:rsidRDefault="00AF73B9" w:rsidP="00AF73B9">
            <w:pPr>
              <w:rPr>
                <w:rFonts w:cs="Calibri"/>
                <w:color w:val="000000"/>
              </w:rPr>
            </w:pPr>
            <w:r w:rsidRPr="00EB2995">
              <w:rPr>
                <w:rFonts w:cs="Calibri"/>
                <w:color w:val="000000"/>
              </w:rPr>
              <w:t>Director of Finance (section 151 officer, started 3rd June 2019) – Minesh Patel</w:t>
            </w:r>
          </w:p>
          <w:p w:rsidR="00AF73B9" w:rsidRPr="00EB2995" w:rsidRDefault="00AF73B9" w:rsidP="00AF73B9">
            <w:pPr>
              <w:rPr>
                <w:rFonts w:cs="Calibri"/>
                <w:color w:val="000000"/>
                <w:lang w:eastAsia="en-GB"/>
              </w:rPr>
            </w:pPr>
          </w:p>
        </w:tc>
        <w:tc>
          <w:tcPr>
            <w:tcW w:w="1769" w:type="dxa"/>
            <w:tcBorders>
              <w:top w:val="nil"/>
              <w:left w:val="nil"/>
              <w:bottom w:val="nil"/>
              <w:right w:val="nil"/>
            </w:tcBorders>
            <w:shd w:val="clear" w:color="auto" w:fill="auto"/>
          </w:tcPr>
          <w:p w:rsidR="00AF73B9" w:rsidRPr="00EB2995" w:rsidRDefault="00AF73B9" w:rsidP="00AF73B9">
            <w:pPr>
              <w:jc w:val="right"/>
              <w:rPr>
                <w:rFonts w:cs="Calibri"/>
                <w:color w:val="000000"/>
                <w:lang w:eastAsia="en-GB"/>
              </w:rPr>
            </w:pPr>
            <w:r w:rsidRPr="00EB2995">
              <w:rPr>
                <w:rFonts w:cs="Calibri"/>
                <w:color w:val="000000"/>
              </w:rPr>
              <w:t xml:space="preserve">95,802 </w:t>
            </w:r>
          </w:p>
        </w:tc>
        <w:tc>
          <w:tcPr>
            <w:tcW w:w="1559" w:type="dxa"/>
            <w:tcBorders>
              <w:top w:val="nil"/>
              <w:left w:val="single" w:sz="4" w:space="0" w:color="auto"/>
              <w:bottom w:val="nil"/>
              <w:right w:val="single" w:sz="4" w:space="0" w:color="auto"/>
            </w:tcBorders>
            <w:shd w:val="clear" w:color="auto" w:fill="auto"/>
          </w:tcPr>
          <w:p w:rsidR="00AF73B9" w:rsidRPr="00EB2995" w:rsidRDefault="00AF73B9" w:rsidP="00AF73B9">
            <w:pPr>
              <w:jc w:val="right"/>
              <w:rPr>
                <w:rFonts w:cs="Calibri"/>
                <w:color w:val="000000"/>
                <w:lang w:eastAsia="en-GB"/>
              </w:rPr>
            </w:pPr>
            <w:r w:rsidRPr="00EB2995">
              <w:rPr>
                <w:rFonts w:cs="Calibri"/>
                <w:color w:val="000000"/>
              </w:rPr>
              <w:t xml:space="preserve">33,762 </w:t>
            </w:r>
          </w:p>
        </w:tc>
        <w:tc>
          <w:tcPr>
            <w:tcW w:w="2268" w:type="dxa"/>
            <w:tcBorders>
              <w:top w:val="nil"/>
              <w:left w:val="single" w:sz="4" w:space="0" w:color="auto"/>
              <w:bottom w:val="nil"/>
              <w:right w:val="single" w:sz="8" w:space="0" w:color="auto"/>
            </w:tcBorders>
            <w:shd w:val="clear" w:color="auto" w:fill="auto"/>
          </w:tcPr>
          <w:p w:rsidR="00AF73B9" w:rsidRPr="00EB2995" w:rsidRDefault="00AF73B9" w:rsidP="00AF73B9">
            <w:pPr>
              <w:jc w:val="right"/>
              <w:rPr>
                <w:rFonts w:cs="Calibri"/>
                <w:b/>
                <w:color w:val="000000"/>
                <w:lang w:eastAsia="en-GB"/>
              </w:rPr>
            </w:pPr>
            <w:r w:rsidRPr="00EB2995">
              <w:rPr>
                <w:rFonts w:cs="Calibri"/>
                <w:b/>
                <w:bCs/>
                <w:color w:val="000000"/>
              </w:rPr>
              <w:t xml:space="preserve">129,564 </w:t>
            </w:r>
          </w:p>
        </w:tc>
      </w:tr>
      <w:tr w:rsidR="00AF73B9" w:rsidRPr="00EB2995" w:rsidTr="00AF73B9">
        <w:trPr>
          <w:trHeight w:hRule="exact" w:val="680"/>
        </w:trPr>
        <w:tc>
          <w:tcPr>
            <w:tcW w:w="4752" w:type="dxa"/>
            <w:tcBorders>
              <w:top w:val="nil"/>
              <w:left w:val="single" w:sz="8" w:space="0" w:color="auto"/>
              <w:bottom w:val="nil"/>
              <w:right w:val="single" w:sz="8" w:space="0" w:color="auto"/>
            </w:tcBorders>
            <w:shd w:val="clear" w:color="auto" w:fill="auto"/>
          </w:tcPr>
          <w:p w:rsidR="00AF73B9" w:rsidRPr="00EB2995" w:rsidRDefault="00AF73B9" w:rsidP="00AF73B9">
            <w:pPr>
              <w:rPr>
                <w:rFonts w:cs="Calibri"/>
                <w:color w:val="000000"/>
                <w:lang w:eastAsia="en-GB"/>
              </w:rPr>
            </w:pPr>
            <w:r w:rsidRPr="00EB2995">
              <w:rPr>
                <w:rFonts w:cs="Calibri"/>
                <w:color w:val="000000"/>
              </w:rPr>
              <w:t>Director of Public Health – Melanie Smith</w:t>
            </w:r>
          </w:p>
        </w:tc>
        <w:tc>
          <w:tcPr>
            <w:tcW w:w="1769" w:type="dxa"/>
            <w:tcBorders>
              <w:top w:val="nil"/>
              <w:left w:val="nil"/>
              <w:bottom w:val="nil"/>
              <w:right w:val="nil"/>
            </w:tcBorders>
            <w:shd w:val="clear" w:color="auto" w:fill="auto"/>
          </w:tcPr>
          <w:p w:rsidR="00AF73B9" w:rsidRPr="00EB2995" w:rsidRDefault="00AF73B9" w:rsidP="00AF73B9">
            <w:pPr>
              <w:jc w:val="right"/>
              <w:rPr>
                <w:rFonts w:cs="Calibri"/>
                <w:color w:val="000000"/>
                <w:lang w:eastAsia="en-GB"/>
              </w:rPr>
            </w:pPr>
            <w:r w:rsidRPr="00EB2995">
              <w:rPr>
                <w:rFonts w:cs="Calibri"/>
                <w:color w:val="000000"/>
              </w:rPr>
              <w:t xml:space="preserve">121,505 </w:t>
            </w:r>
          </w:p>
        </w:tc>
        <w:tc>
          <w:tcPr>
            <w:tcW w:w="1559" w:type="dxa"/>
            <w:tcBorders>
              <w:top w:val="nil"/>
              <w:left w:val="single" w:sz="4" w:space="0" w:color="auto"/>
              <w:bottom w:val="nil"/>
              <w:right w:val="single" w:sz="4" w:space="0" w:color="auto"/>
            </w:tcBorders>
            <w:shd w:val="clear" w:color="auto" w:fill="auto"/>
          </w:tcPr>
          <w:p w:rsidR="00AF73B9" w:rsidRPr="00EB2995" w:rsidRDefault="00AF73B9" w:rsidP="00AF73B9">
            <w:pPr>
              <w:jc w:val="right"/>
              <w:rPr>
                <w:rFonts w:cs="Calibri"/>
                <w:color w:val="000000"/>
                <w:lang w:eastAsia="en-GB"/>
              </w:rPr>
            </w:pPr>
            <w:r w:rsidRPr="00EB2995">
              <w:rPr>
                <w:rFonts w:cs="Calibri"/>
                <w:color w:val="000000"/>
              </w:rPr>
              <w:t xml:space="preserve">41,442 </w:t>
            </w:r>
          </w:p>
        </w:tc>
        <w:tc>
          <w:tcPr>
            <w:tcW w:w="2268" w:type="dxa"/>
            <w:tcBorders>
              <w:top w:val="nil"/>
              <w:left w:val="single" w:sz="4" w:space="0" w:color="auto"/>
              <w:bottom w:val="nil"/>
              <w:right w:val="single" w:sz="8" w:space="0" w:color="auto"/>
            </w:tcBorders>
            <w:shd w:val="clear" w:color="auto" w:fill="auto"/>
          </w:tcPr>
          <w:p w:rsidR="00AF73B9" w:rsidRPr="00EB2995" w:rsidRDefault="00AF73B9" w:rsidP="00AF73B9">
            <w:pPr>
              <w:jc w:val="right"/>
              <w:rPr>
                <w:rFonts w:cs="Calibri"/>
                <w:b/>
                <w:color w:val="000000"/>
                <w:lang w:eastAsia="en-GB"/>
              </w:rPr>
            </w:pPr>
            <w:r w:rsidRPr="00EB2995">
              <w:rPr>
                <w:rFonts w:cs="Calibri"/>
                <w:b/>
                <w:bCs/>
                <w:color w:val="000000"/>
              </w:rPr>
              <w:t xml:space="preserve">162,947 </w:t>
            </w:r>
          </w:p>
        </w:tc>
      </w:tr>
      <w:tr w:rsidR="00AF73B9" w:rsidRPr="00EB2995" w:rsidTr="00AF73B9">
        <w:trPr>
          <w:trHeight w:hRule="exact" w:val="680"/>
        </w:trPr>
        <w:tc>
          <w:tcPr>
            <w:tcW w:w="4752" w:type="dxa"/>
            <w:tcBorders>
              <w:top w:val="nil"/>
              <w:left w:val="single" w:sz="8" w:space="0" w:color="auto"/>
              <w:bottom w:val="single" w:sz="8" w:space="0" w:color="auto"/>
              <w:right w:val="single" w:sz="8" w:space="0" w:color="auto"/>
            </w:tcBorders>
            <w:shd w:val="clear" w:color="auto" w:fill="auto"/>
          </w:tcPr>
          <w:p w:rsidR="00AF73B9" w:rsidRPr="00EB2995" w:rsidRDefault="00AF73B9" w:rsidP="00AF73B9">
            <w:pPr>
              <w:rPr>
                <w:rFonts w:cs="Calibri"/>
                <w:color w:val="000000"/>
                <w:lang w:eastAsia="en-GB"/>
              </w:rPr>
            </w:pPr>
            <w:r w:rsidRPr="00EB2995">
              <w:rPr>
                <w:rFonts w:cs="Calibri"/>
                <w:color w:val="000000"/>
              </w:rPr>
              <w:t>Director of Legal, HR and Audit – Debra Norman</w:t>
            </w:r>
          </w:p>
        </w:tc>
        <w:tc>
          <w:tcPr>
            <w:tcW w:w="1769" w:type="dxa"/>
            <w:tcBorders>
              <w:top w:val="nil"/>
              <w:left w:val="nil"/>
              <w:bottom w:val="single" w:sz="8" w:space="0" w:color="auto"/>
              <w:right w:val="nil"/>
            </w:tcBorders>
            <w:shd w:val="clear" w:color="auto" w:fill="auto"/>
          </w:tcPr>
          <w:p w:rsidR="00AF73B9" w:rsidRPr="00EB2995" w:rsidRDefault="00AF73B9" w:rsidP="00AF73B9">
            <w:pPr>
              <w:jc w:val="right"/>
              <w:rPr>
                <w:rFonts w:cs="Calibri"/>
                <w:color w:val="000000"/>
                <w:lang w:eastAsia="en-GB"/>
              </w:rPr>
            </w:pPr>
            <w:r w:rsidRPr="00EB2995">
              <w:rPr>
                <w:rFonts w:cs="Calibri"/>
                <w:color w:val="000000"/>
              </w:rPr>
              <w:t xml:space="preserve">136,738 </w:t>
            </w:r>
          </w:p>
        </w:tc>
        <w:tc>
          <w:tcPr>
            <w:tcW w:w="1559" w:type="dxa"/>
            <w:tcBorders>
              <w:top w:val="nil"/>
              <w:left w:val="single" w:sz="4" w:space="0" w:color="auto"/>
              <w:bottom w:val="single" w:sz="8" w:space="0" w:color="auto"/>
              <w:right w:val="single" w:sz="4" w:space="0" w:color="auto"/>
            </w:tcBorders>
            <w:shd w:val="clear" w:color="auto" w:fill="auto"/>
          </w:tcPr>
          <w:p w:rsidR="00AF73B9" w:rsidRPr="00EB2995" w:rsidRDefault="00AF73B9" w:rsidP="00AF73B9">
            <w:pPr>
              <w:jc w:val="right"/>
              <w:rPr>
                <w:rFonts w:cs="Calibri"/>
                <w:color w:val="000000"/>
              </w:rPr>
            </w:pPr>
            <w:r w:rsidRPr="00EB2995">
              <w:rPr>
                <w:rFonts w:cs="Calibri"/>
                <w:color w:val="000000"/>
              </w:rPr>
              <w:t xml:space="preserve">45,321 </w:t>
            </w:r>
          </w:p>
        </w:tc>
        <w:tc>
          <w:tcPr>
            <w:tcW w:w="2268" w:type="dxa"/>
            <w:tcBorders>
              <w:top w:val="nil"/>
              <w:left w:val="single" w:sz="4" w:space="0" w:color="auto"/>
              <w:bottom w:val="single" w:sz="8" w:space="0" w:color="auto"/>
              <w:right w:val="single" w:sz="8" w:space="0" w:color="auto"/>
            </w:tcBorders>
            <w:shd w:val="clear" w:color="auto" w:fill="auto"/>
          </w:tcPr>
          <w:p w:rsidR="00AF73B9" w:rsidRPr="00EB2995" w:rsidRDefault="00AF73B9" w:rsidP="00AF73B9">
            <w:pPr>
              <w:jc w:val="right"/>
              <w:rPr>
                <w:rFonts w:cs="Calibri"/>
                <w:b/>
                <w:color w:val="000000"/>
                <w:lang w:eastAsia="en-GB"/>
              </w:rPr>
            </w:pPr>
            <w:r w:rsidRPr="00EB2995">
              <w:rPr>
                <w:rFonts w:cs="Calibri"/>
                <w:b/>
                <w:bCs/>
                <w:color w:val="000000"/>
              </w:rPr>
              <w:t xml:space="preserve">182,059 </w:t>
            </w:r>
          </w:p>
        </w:tc>
      </w:tr>
      <w:tr w:rsidR="00AF73B9" w:rsidRPr="00EB2995" w:rsidTr="00AF73B9">
        <w:trPr>
          <w:trHeight w:hRule="exact" w:val="680"/>
        </w:trPr>
        <w:tc>
          <w:tcPr>
            <w:tcW w:w="4752" w:type="dxa"/>
            <w:tcBorders>
              <w:top w:val="nil"/>
              <w:left w:val="nil"/>
              <w:bottom w:val="single" w:sz="4" w:space="0" w:color="auto"/>
              <w:right w:val="nil"/>
            </w:tcBorders>
            <w:shd w:val="clear" w:color="auto" w:fill="auto"/>
            <w:vAlign w:val="center"/>
            <w:hideMark/>
          </w:tcPr>
          <w:p w:rsidR="00AF73B9" w:rsidRPr="00EB2995" w:rsidRDefault="00AF73B9" w:rsidP="00AF73B9">
            <w:pPr>
              <w:jc w:val="right"/>
              <w:rPr>
                <w:rFonts w:cs="Calibri"/>
                <w:color w:val="000000"/>
                <w:lang w:eastAsia="en-GB"/>
              </w:rPr>
            </w:pPr>
            <w:r w:rsidRPr="00EB2995">
              <w:rPr>
                <w:rFonts w:cs="Calibri"/>
                <w:color w:val="000000"/>
                <w:lang w:eastAsia="en-GB"/>
              </w:rPr>
              <w:t> </w:t>
            </w:r>
          </w:p>
        </w:tc>
        <w:tc>
          <w:tcPr>
            <w:tcW w:w="1769" w:type="dxa"/>
            <w:tcBorders>
              <w:top w:val="nil"/>
              <w:left w:val="nil"/>
              <w:bottom w:val="single" w:sz="4" w:space="0" w:color="auto"/>
              <w:right w:val="nil"/>
            </w:tcBorders>
            <w:shd w:val="clear" w:color="auto" w:fill="auto"/>
            <w:vAlign w:val="center"/>
          </w:tcPr>
          <w:p w:rsidR="00AF73B9" w:rsidRPr="00EB2995" w:rsidRDefault="00AF73B9" w:rsidP="00AF73B9">
            <w:pPr>
              <w:rPr>
                <w:rFonts w:cs="Calibri"/>
                <w:color w:val="000000"/>
                <w:lang w:eastAsia="en-GB"/>
              </w:rPr>
            </w:pPr>
          </w:p>
        </w:tc>
        <w:tc>
          <w:tcPr>
            <w:tcW w:w="1559" w:type="dxa"/>
            <w:tcBorders>
              <w:top w:val="nil"/>
              <w:left w:val="nil"/>
              <w:bottom w:val="single" w:sz="4" w:space="0" w:color="auto"/>
              <w:right w:val="nil"/>
            </w:tcBorders>
            <w:shd w:val="clear" w:color="auto" w:fill="auto"/>
            <w:vAlign w:val="center"/>
          </w:tcPr>
          <w:p w:rsidR="00AF73B9" w:rsidRPr="00EB2995" w:rsidRDefault="00AF73B9" w:rsidP="00AF73B9">
            <w:pPr>
              <w:rPr>
                <w:rFonts w:cs="Calibri"/>
                <w:color w:val="000000"/>
                <w:lang w:eastAsia="en-GB"/>
              </w:rPr>
            </w:pPr>
          </w:p>
        </w:tc>
        <w:tc>
          <w:tcPr>
            <w:tcW w:w="2268" w:type="dxa"/>
            <w:tcBorders>
              <w:top w:val="nil"/>
              <w:left w:val="nil"/>
              <w:bottom w:val="single" w:sz="4" w:space="0" w:color="auto"/>
              <w:right w:val="nil"/>
            </w:tcBorders>
            <w:shd w:val="clear" w:color="auto" w:fill="auto"/>
            <w:vAlign w:val="center"/>
          </w:tcPr>
          <w:p w:rsidR="00AF73B9" w:rsidRPr="00EB2995" w:rsidRDefault="00AF73B9" w:rsidP="00AF73B9">
            <w:pPr>
              <w:rPr>
                <w:rFonts w:cs="Calibri"/>
                <w:color w:val="000000"/>
                <w:lang w:eastAsia="en-GB"/>
              </w:rPr>
            </w:pPr>
          </w:p>
        </w:tc>
      </w:tr>
      <w:tr w:rsidR="00AF73B9" w:rsidRPr="00EB2995" w:rsidTr="00AF73B9">
        <w:trPr>
          <w:trHeight w:hRule="exact" w:val="680"/>
        </w:trPr>
        <w:tc>
          <w:tcPr>
            <w:tcW w:w="4752" w:type="dxa"/>
            <w:tcBorders>
              <w:top w:val="single" w:sz="4" w:space="0" w:color="auto"/>
              <w:left w:val="single" w:sz="4" w:space="0" w:color="auto"/>
              <w:bottom w:val="single" w:sz="4" w:space="0" w:color="auto"/>
              <w:right w:val="single" w:sz="4" w:space="0" w:color="auto"/>
            </w:tcBorders>
            <w:shd w:val="clear" w:color="auto" w:fill="auto"/>
            <w:vAlign w:val="center"/>
          </w:tcPr>
          <w:p w:rsidR="00AF73B9" w:rsidRPr="00EB2995" w:rsidRDefault="00AF73B9" w:rsidP="00AF73B9">
            <w:pPr>
              <w:rPr>
                <w:rFonts w:cs="Calibri"/>
                <w:color w:val="000000"/>
                <w:lang w:eastAsia="en-GB"/>
              </w:rPr>
            </w:pPr>
            <w:r w:rsidRPr="00EB2995">
              <w:rPr>
                <w:rFonts w:cs="Calibri"/>
                <w:b/>
                <w:bCs/>
                <w:color w:val="000000"/>
                <w:lang w:eastAsia="en-GB"/>
              </w:rPr>
              <w:t>Total</w:t>
            </w:r>
          </w:p>
        </w:tc>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rsidR="00AF73B9" w:rsidRPr="00EB2995" w:rsidRDefault="00AF73B9" w:rsidP="00AF73B9">
            <w:pPr>
              <w:jc w:val="right"/>
              <w:rPr>
                <w:rFonts w:cs="Calibri"/>
                <w:color w:val="000000"/>
                <w:lang w:eastAsia="en-GB"/>
              </w:rPr>
            </w:pPr>
            <w:r w:rsidRPr="00EB2995">
              <w:rPr>
                <w:rFonts w:cs="Calibri"/>
                <w:b/>
                <w:bCs/>
                <w:color w:val="000000"/>
              </w:rPr>
              <w:t>1,255,270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F73B9" w:rsidRPr="00EB2995" w:rsidRDefault="00AF73B9" w:rsidP="009C7D60">
            <w:pPr>
              <w:jc w:val="center"/>
              <w:rPr>
                <w:rFonts w:cs="Calibri"/>
                <w:color w:val="000000"/>
                <w:lang w:eastAsia="en-GB"/>
              </w:rPr>
            </w:pPr>
            <w:r w:rsidRPr="00EB2995">
              <w:rPr>
                <w:rFonts w:cs="Calibri"/>
                <w:b/>
                <w:bCs/>
                <w:color w:val="000000"/>
              </w:rPr>
              <w:t xml:space="preserve">343,112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AF73B9" w:rsidRPr="00EB2995" w:rsidRDefault="00AF73B9" w:rsidP="00AF73B9">
            <w:pPr>
              <w:jc w:val="right"/>
              <w:rPr>
                <w:rFonts w:cs="Calibri"/>
                <w:b/>
                <w:bCs/>
                <w:color w:val="000000"/>
                <w:lang w:eastAsia="en-GB"/>
              </w:rPr>
            </w:pPr>
            <w:r w:rsidRPr="00EB2995">
              <w:rPr>
                <w:rFonts w:cs="Calibri"/>
                <w:b/>
                <w:bCs/>
                <w:color w:val="000000"/>
              </w:rPr>
              <w:t xml:space="preserve">1,598,382 </w:t>
            </w:r>
          </w:p>
          <w:p w:rsidR="00AF73B9" w:rsidRPr="00EB2995" w:rsidRDefault="00AF73B9" w:rsidP="00AF73B9">
            <w:pPr>
              <w:jc w:val="right"/>
              <w:rPr>
                <w:rFonts w:cs="Calibri"/>
                <w:color w:val="000000"/>
                <w:lang w:eastAsia="en-GB"/>
              </w:rPr>
            </w:pPr>
          </w:p>
        </w:tc>
      </w:tr>
    </w:tbl>
    <w:p w:rsidR="009C7D60" w:rsidRDefault="00F72906" w:rsidP="00F72906">
      <w:r>
        <w:t>*Within this salary there is £4,550 relating to Returning Officer fees which the Chief Executive has redistributed to other staff who helped with the elections.</w:t>
      </w:r>
    </w:p>
    <w:p w:rsidR="009C7D60" w:rsidRDefault="009C7D60">
      <w:r>
        <w:br w:type="page"/>
      </w:r>
    </w:p>
    <w:p w:rsidR="00F72906" w:rsidRDefault="00F72906" w:rsidP="00F72906"/>
    <w:tbl>
      <w:tblPr>
        <w:tblW w:w="10206" w:type="dxa"/>
        <w:tblLook w:val="04A0" w:firstRow="1" w:lastRow="0" w:firstColumn="1" w:lastColumn="0" w:noHBand="0" w:noVBand="1"/>
      </w:tblPr>
      <w:tblGrid>
        <w:gridCol w:w="4752"/>
        <w:gridCol w:w="1769"/>
        <w:gridCol w:w="1559"/>
        <w:gridCol w:w="2382"/>
      </w:tblGrid>
      <w:tr w:rsidR="00AF73B9" w:rsidRPr="00EB2995" w:rsidTr="00AF73B9">
        <w:trPr>
          <w:trHeight w:hRule="exact" w:val="964"/>
        </w:trPr>
        <w:tc>
          <w:tcPr>
            <w:tcW w:w="4752" w:type="dxa"/>
            <w:tcBorders>
              <w:top w:val="nil"/>
              <w:left w:val="nil"/>
              <w:bottom w:val="nil"/>
              <w:right w:val="nil"/>
            </w:tcBorders>
            <w:shd w:val="clear" w:color="auto" w:fill="auto"/>
            <w:noWrap/>
            <w:vAlign w:val="bottom"/>
            <w:hideMark/>
          </w:tcPr>
          <w:p w:rsidR="00AF73B9" w:rsidRPr="00EB2995" w:rsidRDefault="00F72906" w:rsidP="00AF73B9">
            <w:pPr>
              <w:rPr>
                <w:rFonts w:cs="Calibri"/>
                <w:sz w:val="20"/>
                <w:szCs w:val="20"/>
                <w:lang w:eastAsia="en-GB"/>
              </w:rPr>
            </w:pPr>
            <w:r>
              <w:t xml:space="preserve">  </w:t>
            </w:r>
          </w:p>
        </w:tc>
        <w:tc>
          <w:tcPr>
            <w:tcW w:w="1769" w:type="dxa"/>
            <w:tcBorders>
              <w:top w:val="nil"/>
              <w:left w:val="nil"/>
              <w:bottom w:val="nil"/>
              <w:right w:val="nil"/>
            </w:tcBorders>
            <w:shd w:val="clear" w:color="auto" w:fill="auto"/>
            <w:noWrap/>
            <w:vAlign w:val="bottom"/>
            <w:hideMark/>
          </w:tcPr>
          <w:p w:rsidR="00AF73B9" w:rsidRPr="00EB2995" w:rsidRDefault="00AF73B9" w:rsidP="00AF73B9">
            <w:pPr>
              <w:rPr>
                <w:rFonts w:cs="Calibri"/>
                <w:sz w:val="20"/>
                <w:szCs w:val="20"/>
                <w:lang w:eastAsia="en-GB"/>
              </w:rPr>
            </w:pPr>
          </w:p>
        </w:tc>
        <w:tc>
          <w:tcPr>
            <w:tcW w:w="1559" w:type="dxa"/>
            <w:tcBorders>
              <w:top w:val="nil"/>
              <w:left w:val="nil"/>
              <w:bottom w:val="single" w:sz="8" w:space="0" w:color="auto"/>
              <w:right w:val="nil"/>
            </w:tcBorders>
            <w:shd w:val="clear" w:color="auto" w:fill="auto"/>
            <w:noWrap/>
            <w:vAlign w:val="bottom"/>
            <w:hideMark/>
          </w:tcPr>
          <w:p w:rsidR="00AF73B9" w:rsidRPr="00EB2995" w:rsidRDefault="00AF73B9" w:rsidP="00AF73B9">
            <w:pPr>
              <w:jc w:val="center"/>
              <w:rPr>
                <w:rFonts w:cs="Calibri"/>
                <w:b/>
                <w:bCs/>
                <w:color w:val="000000"/>
                <w:lang w:eastAsia="en-GB"/>
              </w:rPr>
            </w:pPr>
            <w:r w:rsidRPr="00EB2995">
              <w:rPr>
                <w:rFonts w:cs="Calibri"/>
                <w:b/>
                <w:bCs/>
                <w:color w:val="000000"/>
                <w:lang w:eastAsia="en-GB"/>
              </w:rPr>
              <w:t>2018/19</w:t>
            </w:r>
          </w:p>
        </w:tc>
        <w:tc>
          <w:tcPr>
            <w:tcW w:w="2126" w:type="dxa"/>
            <w:tcBorders>
              <w:top w:val="nil"/>
              <w:left w:val="nil"/>
              <w:bottom w:val="nil"/>
              <w:right w:val="nil"/>
            </w:tcBorders>
            <w:shd w:val="clear" w:color="auto" w:fill="auto"/>
            <w:noWrap/>
            <w:vAlign w:val="bottom"/>
            <w:hideMark/>
          </w:tcPr>
          <w:p w:rsidR="00AF73B9" w:rsidRPr="00EB2995" w:rsidRDefault="00AF73B9" w:rsidP="00AF73B9">
            <w:pPr>
              <w:jc w:val="center"/>
              <w:rPr>
                <w:rFonts w:cs="Calibri"/>
                <w:b/>
                <w:bCs/>
                <w:color w:val="000000"/>
                <w:lang w:eastAsia="en-GB"/>
              </w:rPr>
            </w:pPr>
          </w:p>
        </w:tc>
      </w:tr>
      <w:tr w:rsidR="00AF73B9" w:rsidRPr="00EB2995" w:rsidTr="00AF73B9">
        <w:trPr>
          <w:trHeight w:hRule="exact" w:val="964"/>
        </w:trPr>
        <w:tc>
          <w:tcPr>
            <w:tcW w:w="4752" w:type="dxa"/>
            <w:tcBorders>
              <w:top w:val="single" w:sz="8" w:space="0" w:color="auto"/>
              <w:left w:val="single" w:sz="8" w:space="0" w:color="auto"/>
              <w:bottom w:val="nil"/>
              <w:right w:val="single" w:sz="8" w:space="0" w:color="auto"/>
            </w:tcBorders>
            <w:shd w:val="clear" w:color="auto" w:fill="auto"/>
            <w:noWrap/>
            <w:vAlign w:val="center"/>
            <w:hideMark/>
          </w:tcPr>
          <w:p w:rsidR="00AF73B9" w:rsidRPr="00EB2995" w:rsidRDefault="00AF73B9" w:rsidP="00AF73B9">
            <w:pPr>
              <w:rPr>
                <w:rFonts w:cs="Calibri"/>
                <w:b/>
                <w:bCs/>
                <w:color w:val="000000"/>
                <w:lang w:eastAsia="en-GB"/>
              </w:rPr>
            </w:pPr>
            <w:r w:rsidRPr="00EB2995">
              <w:rPr>
                <w:rFonts w:cs="Calibri"/>
                <w:b/>
                <w:bCs/>
                <w:color w:val="000000"/>
                <w:lang w:eastAsia="en-GB"/>
              </w:rPr>
              <w:t> </w:t>
            </w:r>
          </w:p>
        </w:tc>
        <w:tc>
          <w:tcPr>
            <w:tcW w:w="1769" w:type="dxa"/>
            <w:tcBorders>
              <w:top w:val="single" w:sz="8" w:space="0" w:color="auto"/>
              <w:left w:val="nil"/>
              <w:bottom w:val="nil"/>
              <w:right w:val="nil"/>
            </w:tcBorders>
            <w:shd w:val="clear" w:color="auto" w:fill="auto"/>
            <w:vAlign w:val="bottom"/>
            <w:hideMark/>
          </w:tcPr>
          <w:p w:rsidR="00AF73B9" w:rsidRPr="00EB2995" w:rsidRDefault="00AF73B9" w:rsidP="00AF73B9">
            <w:pPr>
              <w:jc w:val="right"/>
              <w:rPr>
                <w:rFonts w:cs="Calibri"/>
                <w:b/>
                <w:bCs/>
                <w:color w:val="000000"/>
                <w:lang w:eastAsia="en-GB"/>
              </w:rPr>
            </w:pPr>
            <w:r w:rsidRPr="00EB2995">
              <w:rPr>
                <w:rFonts w:cs="Calibri"/>
                <w:b/>
                <w:bCs/>
                <w:color w:val="000000"/>
                <w:lang w:eastAsia="en-GB"/>
              </w:rPr>
              <w:t xml:space="preserve"> Salary (including fees and allowances) </w:t>
            </w:r>
          </w:p>
        </w:tc>
        <w:tc>
          <w:tcPr>
            <w:tcW w:w="1559" w:type="dxa"/>
            <w:tcBorders>
              <w:top w:val="nil"/>
              <w:left w:val="single" w:sz="4" w:space="0" w:color="auto"/>
              <w:bottom w:val="nil"/>
              <w:right w:val="single" w:sz="4" w:space="0" w:color="auto"/>
            </w:tcBorders>
            <w:shd w:val="clear" w:color="auto" w:fill="auto"/>
            <w:vAlign w:val="bottom"/>
            <w:hideMark/>
          </w:tcPr>
          <w:p w:rsidR="00AF73B9" w:rsidRPr="00EB2995" w:rsidRDefault="00AF73B9" w:rsidP="00AF73B9">
            <w:pPr>
              <w:jc w:val="right"/>
              <w:rPr>
                <w:rFonts w:cs="Calibri"/>
                <w:b/>
                <w:bCs/>
                <w:color w:val="000000"/>
                <w:lang w:eastAsia="en-GB"/>
              </w:rPr>
            </w:pPr>
            <w:r w:rsidRPr="00EB2995">
              <w:rPr>
                <w:rFonts w:cs="Calibri"/>
                <w:b/>
                <w:bCs/>
                <w:color w:val="000000"/>
                <w:lang w:eastAsia="en-GB"/>
              </w:rPr>
              <w:t>Employers pension contributions</w:t>
            </w:r>
          </w:p>
        </w:tc>
        <w:tc>
          <w:tcPr>
            <w:tcW w:w="2126" w:type="dxa"/>
            <w:tcBorders>
              <w:top w:val="single" w:sz="8" w:space="0" w:color="auto"/>
              <w:left w:val="single" w:sz="4" w:space="0" w:color="auto"/>
              <w:bottom w:val="nil"/>
              <w:right w:val="single" w:sz="8" w:space="0" w:color="auto"/>
            </w:tcBorders>
            <w:shd w:val="clear" w:color="auto" w:fill="auto"/>
            <w:vAlign w:val="bottom"/>
            <w:hideMark/>
          </w:tcPr>
          <w:p w:rsidR="00AF73B9" w:rsidRPr="00EB2995" w:rsidRDefault="00AF73B9" w:rsidP="00AF73B9">
            <w:pPr>
              <w:jc w:val="right"/>
              <w:rPr>
                <w:rFonts w:cs="Calibri"/>
                <w:b/>
                <w:bCs/>
                <w:color w:val="000000"/>
                <w:lang w:eastAsia="en-GB"/>
              </w:rPr>
            </w:pPr>
            <w:r w:rsidRPr="00EB2995">
              <w:rPr>
                <w:rFonts w:cs="Calibri"/>
                <w:b/>
                <w:bCs/>
                <w:color w:val="000000"/>
                <w:lang w:eastAsia="en-GB"/>
              </w:rPr>
              <w:t>Total remuneration including pension contributions</w:t>
            </w:r>
          </w:p>
        </w:tc>
      </w:tr>
      <w:tr w:rsidR="00AF73B9" w:rsidRPr="00EB2995" w:rsidTr="00AF73B9">
        <w:trPr>
          <w:trHeight w:hRule="exact" w:val="964"/>
        </w:trPr>
        <w:tc>
          <w:tcPr>
            <w:tcW w:w="4752" w:type="dxa"/>
            <w:tcBorders>
              <w:top w:val="nil"/>
              <w:left w:val="single" w:sz="8" w:space="0" w:color="auto"/>
              <w:bottom w:val="single" w:sz="8" w:space="0" w:color="auto"/>
              <w:right w:val="single" w:sz="8" w:space="0" w:color="auto"/>
            </w:tcBorders>
            <w:shd w:val="clear" w:color="auto" w:fill="auto"/>
            <w:noWrap/>
            <w:vAlign w:val="center"/>
            <w:hideMark/>
          </w:tcPr>
          <w:p w:rsidR="00AF73B9" w:rsidRPr="00EB2995" w:rsidRDefault="00AF73B9" w:rsidP="00AF73B9">
            <w:pPr>
              <w:rPr>
                <w:rFonts w:cs="Calibri"/>
                <w:color w:val="000000"/>
                <w:lang w:eastAsia="en-GB"/>
              </w:rPr>
            </w:pPr>
            <w:r w:rsidRPr="00EB2995">
              <w:rPr>
                <w:rFonts w:cs="Calibri"/>
                <w:color w:val="000000"/>
                <w:lang w:eastAsia="en-GB"/>
              </w:rPr>
              <w:t> </w:t>
            </w:r>
          </w:p>
        </w:tc>
        <w:tc>
          <w:tcPr>
            <w:tcW w:w="1769" w:type="dxa"/>
            <w:tcBorders>
              <w:top w:val="nil"/>
              <w:left w:val="nil"/>
              <w:bottom w:val="single" w:sz="8" w:space="0" w:color="auto"/>
              <w:right w:val="nil"/>
            </w:tcBorders>
            <w:shd w:val="clear" w:color="auto" w:fill="auto"/>
            <w:vAlign w:val="center"/>
            <w:hideMark/>
          </w:tcPr>
          <w:p w:rsidR="00AF73B9" w:rsidRPr="00EB2995" w:rsidRDefault="00AF73B9" w:rsidP="00AF73B9">
            <w:pPr>
              <w:jc w:val="center"/>
              <w:rPr>
                <w:rFonts w:cs="Calibri"/>
                <w:b/>
                <w:bCs/>
                <w:color w:val="000000"/>
                <w:lang w:eastAsia="en-GB"/>
              </w:rPr>
            </w:pPr>
            <w:r w:rsidRPr="00EB2995">
              <w:rPr>
                <w:rFonts w:cs="Calibri"/>
                <w:b/>
                <w:bCs/>
                <w:color w:val="000000"/>
                <w:lang w:eastAsia="en-GB"/>
              </w:rPr>
              <w:t xml:space="preserve"> £ </w:t>
            </w:r>
          </w:p>
        </w:tc>
        <w:tc>
          <w:tcPr>
            <w:tcW w:w="1559" w:type="dxa"/>
            <w:tcBorders>
              <w:top w:val="nil"/>
              <w:left w:val="single" w:sz="4" w:space="0" w:color="auto"/>
              <w:bottom w:val="single" w:sz="8" w:space="0" w:color="auto"/>
              <w:right w:val="single" w:sz="4" w:space="0" w:color="auto"/>
            </w:tcBorders>
            <w:shd w:val="clear" w:color="auto" w:fill="auto"/>
            <w:vAlign w:val="center"/>
            <w:hideMark/>
          </w:tcPr>
          <w:p w:rsidR="00AF73B9" w:rsidRPr="00EB2995" w:rsidRDefault="00AF73B9" w:rsidP="00AF73B9">
            <w:pPr>
              <w:jc w:val="center"/>
              <w:rPr>
                <w:rFonts w:cs="Calibri"/>
                <w:b/>
                <w:bCs/>
                <w:color w:val="000000"/>
                <w:lang w:eastAsia="en-GB"/>
              </w:rPr>
            </w:pPr>
            <w:r w:rsidRPr="00EB2995">
              <w:rPr>
                <w:rFonts w:cs="Calibri"/>
                <w:b/>
                <w:bCs/>
                <w:color w:val="000000"/>
                <w:lang w:eastAsia="en-GB"/>
              </w:rPr>
              <w:t>£</w:t>
            </w:r>
          </w:p>
        </w:tc>
        <w:tc>
          <w:tcPr>
            <w:tcW w:w="2126" w:type="dxa"/>
            <w:tcBorders>
              <w:top w:val="nil"/>
              <w:left w:val="single" w:sz="4" w:space="0" w:color="auto"/>
              <w:bottom w:val="single" w:sz="8" w:space="0" w:color="auto"/>
              <w:right w:val="single" w:sz="8" w:space="0" w:color="auto"/>
            </w:tcBorders>
            <w:shd w:val="clear" w:color="auto" w:fill="auto"/>
            <w:vAlign w:val="center"/>
            <w:hideMark/>
          </w:tcPr>
          <w:p w:rsidR="00AF73B9" w:rsidRPr="00EB2995" w:rsidRDefault="00AF73B9" w:rsidP="00AF73B9">
            <w:pPr>
              <w:jc w:val="center"/>
              <w:rPr>
                <w:rFonts w:cs="Calibri"/>
                <w:b/>
                <w:bCs/>
                <w:color w:val="000000"/>
                <w:lang w:eastAsia="en-GB"/>
              </w:rPr>
            </w:pPr>
            <w:r w:rsidRPr="00EB2995">
              <w:rPr>
                <w:rFonts w:cs="Calibri"/>
                <w:b/>
                <w:bCs/>
                <w:color w:val="000000"/>
                <w:lang w:eastAsia="en-GB"/>
              </w:rPr>
              <w:t>£</w:t>
            </w:r>
          </w:p>
        </w:tc>
      </w:tr>
      <w:tr w:rsidR="00AF73B9" w:rsidRPr="00EB2995" w:rsidTr="00AF73B9">
        <w:trPr>
          <w:trHeight w:hRule="exact" w:val="964"/>
        </w:trPr>
        <w:tc>
          <w:tcPr>
            <w:tcW w:w="4752" w:type="dxa"/>
            <w:tcBorders>
              <w:top w:val="nil"/>
              <w:left w:val="single" w:sz="8" w:space="0" w:color="auto"/>
              <w:bottom w:val="nil"/>
              <w:right w:val="single" w:sz="8" w:space="0" w:color="auto"/>
            </w:tcBorders>
            <w:shd w:val="clear" w:color="auto" w:fill="auto"/>
            <w:vAlign w:val="center"/>
            <w:hideMark/>
          </w:tcPr>
          <w:p w:rsidR="00AF73B9" w:rsidRPr="00EB2995" w:rsidRDefault="00AF73B9" w:rsidP="00AF73B9">
            <w:pPr>
              <w:rPr>
                <w:rFonts w:cs="Calibri"/>
                <w:color w:val="000000"/>
                <w:lang w:eastAsia="en-GB"/>
              </w:rPr>
            </w:pPr>
          </w:p>
          <w:p w:rsidR="00AF73B9" w:rsidRPr="00EB2995" w:rsidRDefault="00AF73B9" w:rsidP="009C7D60">
            <w:pPr>
              <w:rPr>
                <w:rFonts w:cs="Calibri"/>
                <w:color w:val="000000"/>
                <w:lang w:eastAsia="en-GB"/>
              </w:rPr>
            </w:pPr>
            <w:r w:rsidRPr="00EB2995">
              <w:rPr>
                <w:rFonts w:cs="Calibri"/>
                <w:color w:val="000000"/>
                <w:lang w:eastAsia="en-GB"/>
              </w:rPr>
              <w:t xml:space="preserve">Chief Executive – Carolyn Downs </w:t>
            </w:r>
          </w:p>
        </w:tc>
        <w:tc>
          <w:tcPr>
            <w:tcW w:w="1769" w:type="dxa"/>
            <w:tcBorders>
              <w:top w:val="nil"/>
              <w:left w:val="nil"/>
              <w:bottom w:val="nil"/>
              <w:right w:val="nil"/>
            </w:tcBorders>
            <w:shd w:val="clear" w:color="auto" w:fill="auto"/>
          </w:tcPr>
          <w:p w:rsidR="009C7D60" w:rsidRDefault="009C7D60" w:rsidP="00AF73B9">
            <w:pPr>
              <w:jc w:val="right"/>
              <w:rPr>
                <w:rFonts w:cs="Calibri"/>
                <w:color w:val="000000"/>
                <w:lang w:eastAsia="en-GB"/>
              </w:rPr>
            </w:pPr>
          </w:p>
          <w:p w:rsidR="00AF73B9" w:rsidRPr="00EB2995" w:rsidRDefault="00AF73B9" w:rsidP="00AF73B9">
            <w:pPr>
              <w:jc w:val="right"/>
              <w:rPr>
                <w:rFonts w:cs="Calibri"/>
                <w:color w:val="000000"/>
                <w:lang w:eastAsia="en-GB"/>
              </w:rPr>
            </w:pPr>
            <w:r w:rsidRPr="00EB2995">
              <w:rPr>
                <w:rFonts w:cs="Calibri"/>
                <w:color w:val="000000"/>
                <w:lang w:eastAsia="en-GB"/>
              </w:rPr>
              <w:t xml:space="preserve">208,493* </w:t>
            </w:r>
          </w:p>
        </w:tc>
        <w:tc>
          <w:tcPr>
            <w:tcW w:w="1559" w:type="dxa"/>
            <w:tcBorders>
              <w:top w:val="nil"/>
              <w:left w:val="single" w:sz="4" w:space="0" w:color="auto"/>
              <w:bottom w:val="nil"/>
              <w:right w:val="single" w:sz="4" w:space="0" w:color="auto"/>
            </w:tcBorders>
            <w:shd w:val="clear" w:color="auto" w:fill="auto"/>
          </w:tcPr>
          <w:p w:rsidR="009C7D60" w:rsidRDefault="009C7D60" w:rsidP="00AF73B9">
            <w:pPr>
              <w:jc w:val="right"/>
              <w:rPr>
                <w:rFonts w:cs="Calibri"/>
                <w:color w:val="000000"/>
                <w:lang w:eastAsia="en-GB"/>
              </w:rPr>
            </w:pPr>
          </w:p>
          <w:p w:rsidR="00AF73B9" w:rsidRPr="00EB2995" w:rsidRDefault="00AF73B9" w:rsidP="00AF73B9">
            <w:pPr>
              <w:jc w:val="right"/>
              <w:rPr>
                <w:rFonts w:cs="Calibri"/>
                <w:color w:val="000000"/>
                <w:lang w:eastAsia="en-GB"/>
              </w:rPr>
            </w:pPr>
            <w:r w:rsidRPr="00EB2995">
              <w:rPr>
                <w:rFonts w:cs="Calibri"/>
                <w:color w:val="000000"/>
                <w:lang w:eastAsia="en-GB"/>
              </w:rPr>
              <w:t xml:space="preserve">-   </w:t>
            </w:r>
          </w:p>
        </w:tc>
        <w:tc>
          <w:tcPr>
            <w:tcW w:w="2126" w:type="dxa"/>
            <w:tcBorders>
              <w:top w:val="nil"/>
              <w:left w:val="single" w:sz="4" w:space="0" w:color="auto"/>
              <w:bottom w:val="nil"/>
              <w:right w:val="single" w:sz="8" w:space="0" w:color="auto"/>
            </w:tcBorders>
            <w:shd w:val="clear" w:color="auto" w:fill="auto"/>
          </w:tcPr>
          <w:p w:rsidR="009C7D60" w:rsidRDefault="009C7D60" w:rsidP="00AF73B9">
            <w:pPr>
              <w:jc w:val="right"/>
              <w:rPr>
                <w:rFonts w:cs="Calibri"/>
                <w:b/>
                <w:bCs/>
                <w:color w:val="000000"/>
                <w:lang w:eastAsia="en-GB"/>
              </w:rPr>
            </w:pPr>
          </w:p>
          <w:p w:rsidR="00AF73B9" w:rsidRPr="00EB2995" w:rsidRDefault="00AF73B9" w:rsidP="00AF73B9">
            <w:pPr>
              <w:jc w:val="right"/>
              <w:rPr>
                <w:rFonts w:cs="Calibri"/>
                <w:b/>
                <w:color w:val="000000"/>
                <w:lang w:eastAsia="en-GB"/>
              </w:rPr>
            </w:pPr>
            <w:r w:rsidRPr="00EB2995">
              <w:rPr>
                <w:rFonts w:cs="Calibri"/>
                <w:b/>
                <w:bCs/>
                <w:color w:val="000000"/>
                <w:lang w:eastAsia="en-GB"/>
              </w:rPr>
              <w:t xml:space="preserve">208,493 </w:t>
            </w:r>
          </w:p>
        </w:tc>
      </w:tr>
      <w:tr w:rsidR="00AF73B9" w:rsidRPr="00EB2995" w:rsidTr="00AF73B9">
        <w:trPr>
          <w:trHeight w:hRule="exact" w:val="964"/>
        </w:trPr>
        <w:tc>
          <w:tcPr>
            <w:tcW w:w="4752" w:type="dxa"/>
            <w:tcBorders>
              <w:top w:val="nil"/>
              <w:left w:val="single" w:sz="8" w:space="0" w:color="auto"/>
              <w:bottom w:val="nil"/>
              <w:right w:val="single" w:sz="8" w:space="0" w:color="auto"/>
            </w:tcBorders>
            <w:shd w:val="clear" w:color="auto" w:fill="auto"/>
            <w:vAlign w:val="center"/>
            <w:hideMark/>
          </w:tcPr>
          <w:p w:rsidR="00AF73B9" w:rsidRPr="00EB2995" w:rsidRDefault="00AF73B9" w:rsidP="00AF73B9">
            <w:pPr>
              <w:rPr>
                <w:rFonts w:cs="Calibri"/>
                <w:color w:val="000000"/>
                <w:lang w:eastAsia="en-GB"/>
              </w:rPr>
            </w:pPr>
          </w:p>
          <w:p w:rsidR="00AF73B9" w:rsidRPr="00EB2995" w:rsidRDefault="00AF73B9" w:rsidP="00AF73B9">
            <w:pPr>
              <w:rPr>
                <w:rFonts w:cs="Calibri"/>
                <w:color w:val="000000"/>
                <w:lang w:eastAsia="en-GB"/>
              </w:rPr>
            </w:pPr>
            <w:r w:rsidRPr="00EB2995">
              <w:rPr>
                <w:rFonts w:cs="Calibri"/>
                <w:color w:val="000000"/>
                <w:lang w:eastAsia="en-GB"/>
              </w:rPr>
              <w:t xml:space="preserve">Strategic Director Children and Young People </w:t>
            </w:r>
            <w:r w:rsidRPr="00EB2995">
              <w:rPr>
                <w:rFonts w:cs="Calibri"/>
                <w:color w:val="000000"/>
              </w:rPr>
              <w:t>–</w:t>
            </w:r>
            <w:r w:rsidRPr="00EB2995">
              <w:rPr>
                <w:rFonts w:cs="Calibri"/>
                <w:color w:val="000000"/>
                <w:lang w:eastAsia="en-GB"/>
              </w:rPr>
              <w:t xml:space="preserve"> Gail Tolley</w:t>
            </w:r>
          </w:p>
        </w:tc>
        <w:tc>
          <w:tcPr>
            <w:tcW w:w="1769" w:type="dxa"/>
            <w:tcBorders>
              <w:top w:val="nil"/>
              <w:left w:val="nil"/>
              <w:bottom w:val="nil"/>
              <w:right w:val="nil"/>
            </w:tcBorders>
            <w:shd w:val="clear" w:color="auto" w:fill="auto"/>
          </w:tcPr>
          <w:p w:rsidR="009C7D60" w:rsidRDefault="009C7D60" w:rsidP="00AF73B9">
            <w:pPr>
              <w:jc w:val="right"/>
              <w:rPr>
                <w:rFonts w:cs="Calibri"/>
                <w:color w:val="000000"/>
                <w:lang w:eastAsia="en-GB"/>
              </w:rPr>
            </w:pPr>
          </w:p>
          <w:p w:rsidR="00AF73B9" w:rsidRPr="00EB2995" w:rsidRDefault="00AF73B9" w:rsidP="00AF73B9">
            <w:pPr>
              <w:jc w:val="right"/>
              <w:rPr>
                <w:rFonts w:cs="Calibri"/>
                <w:color w:val="000000"/>
                <w:lang w:eastAsia="en-GB"/>
              </w:rPr>
            </w:pPr>
            <w:r w:rsidRPr="00EB2995">
              <w:rPr>
                <w:rFonts w:cs="Calibri"/>
                <w:color w:val="000000"/>
                <w:lang w:eastAsia="en-GB"/>
              </w:rPr>
              <w:t xml:space="preserve">150,909 </w:t>
            </w:r>
          </w:p>
        </w:tc>
        <w:tc>
          <w:tcPr>
            <w:tcW w:w="1559" w:type="dxa"/>
            <w:tcBorders>
              <w:top w:val="nil"/>
              <w:left w:val="single" w:sz="4" w:space="0" w:color="auto"/>
              <w:bottom w:val="nil"/>
              <w:right w:val="single" w:sz="4" w:space="0" w:color="auto"/>
            </w:tcBorders>
            <w:shd w:val="clear" w:color="auto" w:fill="auto"/>
          </w:tcPr>
          <w:p w:rsidR="009C7D60" w:rsidRDefault="009C7D60" w:rsidP="00AF73B9">
            <w:pPr>
              <w:jc w:val="right"/>
              <w:rPr>
                <w:rFonts w:cs="Calibri"/>
                <w:color w:val="000000"/>
                <w:lang w:eastAsia="en-GB"/>
              </w:rPr>
            </w:pPr>
          </w:p>
          <w:p w:rsidR="00AF73B9" w:rsidRPr="00EB2995" w:rsidRDefault="00AF73B9" w:rsidP="00AF73B9">
            <w:pPr>
              <w:jc w:val="right"/>
              <w:rPr>
                <w:rFonts w:cs="Calibri"/>
                <w:color w:val="000000"/>
                <w:lang w:eastAsia="en-GB"/>
              </w:rPr>
            </w:pPr>
            <w:r w:rsidRPr="00EB2995">
              <w:rPr>
                <w:rFonts w:cs="Calibri"/>
                <w:color w:val="000000"/>
                <w:lang w:eastAsia="en-GB"/>
              </w:rPr>
              <w:t xml:space="preserve">51,007 </w:t>
            </w:r>
          </w:p>
        </w:tc>
        <w:tc>
          <w:tcPr>
            <w:tcW w:w="2126" w:type="dxa"/>
            <w:tcBorders>
              <w:top w:val="nil"/>
              <w:left w:val="single" w:sz="4" w:space="0" w:color="auto"/>
              <w:bottom w:val="nil"/>
              <w:right w:val="single" w:sz="8" w:space="0" w:color="auto"/>
            </w:tcBorders>
            <w:shd w:val="clear" w:color="auto" w:fill="auto"/>
          </w:tcPr>
          <w:p w:rsidR="009C7D60" w:rsidRDefault="009C7D60" w:rsidP="00AF73B9">
            <w:pPr>
              <w:jc w:val="right"/>
              <w:rPr>
                <w:rFonts w:cs="Calibri"/>
                <w:b/>
                <w:bCs/>
                <w:color w:val="000000"/>
                <w:lang w:eastAsia="en-GB"/>
              </w:rPr>
            </w:pPr>
          </w:p>
          <w:p w:rsidR="00AF73B9" w:rsidRPr="00EB2995" w:rsidRDefault="00AF73B9" w:rsidP="009C7D60">
            <w:pPr>
              <w:ind w:left="1440"/>
              <w:jc w:val="center"/>
              <w:rPr>
                <w:rFonts w:cs="Calibri"/>
                <w:b/>
                <w:color w:val="000000"/>
                <w:lang w:eastAsia="en-GB"/>
              </w:rPr>
            </w:pPr>
            <w:r w:rsidRPr="00EB2995">
              <w:rPr>
                <w:rFonts w:cs="Calibri"/>
                <w:b/>
                <w:bCs/>
                <w:color w:val="000000"/>
                <w:lang w:eastAsia="en-GB"/>
              </w:rPr>
              <w:t xml:space="preserve">201,916 </w:t>
            </w:r>
          </w:p>
        </w:tc>
      </w:tr>
      <w:tr w:rsidR="00AF73B9" w:rsidRPr="00EB2995" w:rsidTr="00AF73B9">
        <w:trPr>
          <w:trHeight w:hRule="exact" w:val="964"/>
        </w:trPr>
        <w:tc>
          <w:tcPr>
            <w:tcW w:w="4752" w:type="dxa"/>
            <w:tcBorders>
              <w:top w:val="nil"/>
              <w:left w:val="single" w:sz="8" w:space="0" w:color="auto"/>
              <w:bottom w:val="nil"/>
              <w:right w:val="single" w:sz="8" w:space="0" w:color="auto"/>
            </w:tcBorders>
            <w:shd w:val="clear" w:color="auto" w:fill="auto"/>
            <w:vAlign w:val="center"/>
            <w:hideMark/>
          </w:tcPr>
          <w:p w:rsidR="00AF73B9" w:rsidRPr="00EB2995" w:rsidRDefault="00AF73B9" w:rsidP="00AF73B9">
            <w:pPr>
              <w:rPr>
                <w:rFonts w:cs="Calibri"/>
                <w:color w:val="000000"/>
                <w:lang w:eastAsia="en-GB"/>
              </w:rPr>
            </w:pPr>
          </w:p>
          <w:p w:rsidR="00AF73B9" w:rsidRPr="00EB2995" w:rsidRDefault="00AF73B9" w:rsidP="00AF73B9">
            <w:pPr>
              <w:rPr>
                <w:rFonts w:cs="Calibri"/>
                <w:color w:val="000000"/>
                <w:lang w:eastAsia="en-GB"/>
              </w:rPr>
            </w:pPr>
            <w:r w:rsidRPr="00EB2995">
              <w:rPr>
                <w:rFonts w:cs="Calibri"/>
                <w:color w:val="000000"/>
                <w:lang w:eastAsia="en-GB"/>
              </w:rPr>
              <w:t xml:space="preserve">Strategic Director of Community &amp; Well-being </w:t>
            </w:r>
            <w:r w:rsidRPr="00EB2995">
              <w:rPr>
                <w:rFonts w:cs="Calibri"/>
                <w:color w:val="000000"/>
              </w:rPr>
              <w:t>–</w:t>
            </w:r>
            <w:r w:rsidRPr="00EB2995">
              <w:rPr>
                <w:rFonts w:cs="Calibri"/>
                <w:color w:val="000000"/>
                <w:lang w:eastAsia="en-GB"/>
              </w:rPr>
              <w:t>Phil Porter</w:t>
            </w:r>
          </w:p>
        </w:tc>
        <w:tc>
          <w:tcPr>
            <w:tcW w:w="1769" w:type="dxa"/>
            <w:tcBorders>
              <w:top w:val="nil"/>
              <w:left w:val="nil"/>
              <w:bottom w:val="nil"/>
              <w:right w:val="nil"/>
            </w:tcBorders>
            <w:shd w:val="clear" w:color="auto" w:fill="auto"/>
          </w:tcPr>
          <w:p w:rsidR="009C7D60" w:rsidRDefault="009C7D60" w:rsidP="00AF73B9">
            <w:pPr>
              <w:jc w:val="right"/>
              <w:rPr>
                <w:rFonts w:cs="Calibri"/>
                <w:color w:val="000000"/>
                <w:lang w:eastAsia="en-GB"/>
              </w:rPr>
            </w:pPr>
          </w:p>
          <w:p w:rsidR="00AF73B9" w:rsidRPr="00EB2995" w:rsidRDefault="00AF73B9" w:rsidP="00AF73B9">
            <w:pPr>
              <w:jc w:val="right"/>
              <w:rPr>
                <w:rFonts w:cs="Calibri"/>
                <w:color w:val="000000"/>
                <w:lang w:eastAsia="en-GB"/>
              </w:rPr>
            </w:pPr>
            <w:r w:rsidRPr="00EB2995">
              <w:rPr>
                <w:rFonts w:cs="Calibri"/>
                <w:color w:val="000000"/>
                <w:lang w:eastAsia="en-GB"/>
              </w:rPr>
              <w:t xml:space="preserve">151,399 </w:t>
            </w:r>
          </w:p>
        </w:tc>
        <w:tc>
          <w:tcPr>
            <w:tcW w:w="1559" w:type="dxa"/>
            <w:tcBorders>
              <w:top w:val="nil"/>
              <w:left w:val="single" w:sz="4" w:space="0" w:color="auto"/>
              <w:bottom w:val="nil"/>
              <w:right w:val="single" w:sz="4" w:space="0" w:color="auto"/>
            </w:tcBorders>
            <w:shd w:val="clear" w:color="auto" w:fill="auto"/>
          </w:tcPr>
          <w:p w:rsidR="009C7D60" w:rsidRDefault="009C7D60" w:rsidP="00AF73B9">
            <w:pPr>
              <w:jc w:val="right"/>
              <w:rPr>
                <w:rFonts w:cs="Calibri"/>
                <w:color w:val="000000"/>
                <w:lang w:eastAsia="en-GB"/>
              </w:rPr>
            </w:pPr>
          </w:p>
          <w:p w:rsidR="00AF73B9" w:rsidRPr="00EB2995" w:rsidRDefault="00AF73B9" w:rsidP="00AF73B9">
            <w:pPr>
              <w:jc w:val="right"/>
              <w:rPr>
                <w:rFonts w:cs="Calibri"/>
                <w:color w:val="000000"/>
                <w:lang w:eastAsia="en-GB"/>
              </w:rPr>
            </w:pPr>
            <w:r w:rsidRPr="00EB2995">
              <w:rPr>
                <w:rFonts w:cs="Calibri"/>
                <w:color w:val="000000"/>
                <w:lang w:eastAsia="en-GB"/>
              </w:rPr>
              <w:t xml:space="preserve">51,007 </w:t>
            </w:r>
          </w:p>
        </w:tc>
        <w:tc>
          <w:tcPr>
            <w:tcW w:w="2126" w:type="dxa"/>
            <w:tcBorders>
              <w:top w:val="nil"/>
              <w:left w:val="single" w:sz="4" w:space="0" w:color="auto"/>
              <w:bottom w:val="nil"/>
              <w:right w:val="single" w:sz="8" w:space="0" w:color="auto"/>
            </w:tcBorders>
            <w:shd w:val="clear" w:color="auto" w:fill="auto"/>
          </w:tcPr>
          <w:p w:rsidR="009C7D60" w:rsidRDefault="009C7D60" w:rsidP="00AF73B9">
            <w:pPr>
              <w:jc w:val="right"/>
              <w:rPr>
                <w:rFonts w:cs="Calibri"/>
                <w:b/>
                <w:bCs/>
                <w:color w:val="000000"/>
                <w:lang w:eastAsia="en-GB"/>
              </w:rPr>
            </w:pPr>
          </w:p>
          <w:p w:rsidR="00AF73B9" w:rsidRPr="00EB2995" w:rsidRDefault="00AF73B9" w:rsidP="00AF73B9">
            <w:pPr>
              <w:jc w:val="right"/>
              <w:rPr>
                <w:rFonts w:cs="Calibri"/>
                <w:b/>
                <w:color w:val="000000"/>
                <w:lang w:eastAsia="en-GB"/>
              </w:rPr>
            </w:pPr>
            <w:r w:rsidRPr="00EB2995">
              <w:rPr>
                <w:rFonts w:cs="Calibri"/>
                <w:b/>
                <w:bCs/>
                <w:color w:val="000000"/>
                <w:lang w:eastAsia="en-GB"/>
              </w:rPr>
              <w:t xml:space="preserve">202,406 </w:t>
            </w:r>
          </w:p>
        </w:tc>
      </w:tr>
      <w:tr w:rsidR="00AF73B9" w:rsidRPr="00EB2995" w:rsidTr="00AF73B9">
        <w:trPr>
          <w:trHeight w:hRule="exact" w:val="964"/>
        </w:trPr>
        <w:tc>
          <w:tcPr>
            <w:tcW w:w="4752" w:type="dxa"/>
            <w:tcBorders>
              <w:top w:val="nil"/>
              <w:left w:val="single" w:sz="8" w:space="0" w:color="auto"/>
              <w:bottom w:val="nil"/>
              <w:right w:val="single" w:sz="8" w:space="0" w:color="auto"/>
            </w:tcBorders>
            <w:shd w:val="clear" w:color="auto" w:fill="auto"/>
            <w:vAlign w:val="center"/>
            <w:hideMark/>
          </w:tcPr>
          <w:p w:rsidR="00AF73B9" w:rsidRPr="00EB2995" w:rsidRDefault="00AF73B9" w:rsidP="00AF73B9">
            <w:pPr>
              <w:rPr>
                <w:rFonts w:cs="Calibri"/>
                <w:color w:val="000000"/>
                <w:lang w:eastAsia="en-GB"/>
              </w:rPr>
            </w:pPr>
          </w:p>
          <w:p w:rsidR="00AF73B9" w:rsidRPr="00EB2995" w:rsidRDefault="00AF73B9" w:rsidP="009C7D60">
            <w:pPr>
              <w:rPr>
                <w:rFonts w:cs="Calibri"/>
                <w:color w:val="000000"/>
                <w:lang w:eastAsia="en-GB"/>
              </w:rPr>
            </w:pPr>
            <w:r w:rsidRPr="00EB2995">
              <w:rPr>
                <w:rFonts w:cs="Calibri"/>
                <w:color w:val="000000"/>
                <w:lang w:eastAsia="en-GB"/>
              </w:rPr>
              <w:t xml:space="preserve">Strategic Director of Resources – Althea Loderick </w:t>
            </w:r>
          </w:p>
        </w:tc>
        <w:tc>
          <w:tcPr>
            <w:tcW w:w="1769" w:type="dxa"/>
            <w:tcBorders>
              <w:top w:val="nil"/>
              <w:left w:val="nil"/>
              <w:bottom w:val="nil"/>
              <w:right w:val="nil"/>
            </w:tcBorders>
            <w:shd w:val="clear" w:color="auto" w:fill="auto"/>
          </w:tcPr>
          <w:p w:rsidR="009C7D60" w:rsidRDefault="009C7D60" w:rsidP="00AF73B9">
            <w:pPr>
              <w:jc w:val="right"/>
              <w:rPr>
                <w:rFonts w:cs="Calibri"/>
                <w:color w:val="000000"/>
                <w:lang w:eastAsia="en-GB"/>
              </w:rPr>
            </w:pPr>
          </w:p>
          <w:p w:rsidR="00AF73B9" w:rsidRPr="00EB2995" w:rsidRDefault="00AF73B9" w:rsidP="009C7D60">
            <w:pPr>
              <w:ind w:left="720"/>
              <w:jc w:val="center"/>
              <w:rPr>
                <w:rFonts w:cs="Calibri"/>
                <w:color w:val="000000"/>
                <w:lang w:eastAsia="en-GB"/>
              </w:rPr>
            </w:pPr>
            <w:r w:rsidRPr="00EB2995">
              <w:rPr>
                <w:rFonts w:cs="Calibri"/>
                <w:color w:val="000000"/>
                <w:lang w:eastAsia="en-GB"/>
              </w:rPr>
              <w:t xml:space="preserve">151,399 </w:t>
            </w:r>
          </w:p>
        </w:tc>
        <w:tc>
          <w:tcPr>
            <w:tcW w:w="1559" w:type="dxa"/>
            <w:tcBorders>
              <w:top w:val="nil"/>
              <w:left w:val="single" w:sz="4" w:space="0" w:color="auto"/>
              <w:bottom w:val="nil"/>
              <w:right w:val="single" w:sz="4" w:space="0" w:color="auto"/>
            </w:tcBorders>
            <w:shd w:val="clear" w:color="auto" w:fill="auto"/>
          </w:tcPr>
          <w:p w:rsidR="009C7D60" w:rsidRDefault="009C7D60" w:rsidP="00AF73B9">
            <w:pPr>
              <w:jc w:val="right"/>
              <w:rPr>
                <w:rFonts w:cs="Calibri"/>
                <w:color w:val="000000"/>
                <w:lang w:eastAsia="en-GB"/>
              </w:rPr>
            </w:pPr>
          </w:p>
          <w:p w:rsidR="00AF73B9" w:rsidRPr="00EB2995" w:rsidRDefault="00AF73B9" w:rsidP="00AF73B9">
            <w:pPr>
              <w:jc w:val="right"/>
              <w:rPr>
                <w:rFonts w:cs="Calibri"/>
                <w:color w:val="000000"/>
                <w:lang w:eastAsia="en-GB"/>
              </w:rPr>
            </w:pPr>
            <w:r w:rsidRPr="00EB2995">
              <w:rPr>
                <w:rFonts w:cs="Calibri"/>
                <w:color w:val="000000"/>
                <w:lang w:eastAsia="en-GB"/>
              </w:rPr>
              <w:t xml:space="preserve">51,007 </w:t>
            </w:r>
          </w:p>
        </w:tc>
        <w:tc>
          <w:tcPr>
            <w:tcW w:w="2126" w:type="dxa"/>
            <w:tcBorders>
              <w:top w:val="nil"/>
              <w:left w:val="single" w:sz="4" w:space="0" w:color="auto"/>
              <w:bottom w:val="nil"/>
              <w:right w:val="single" w:sz="8" w:space="0" w:color="auto"/>
            </w:tcBorders>
            <w:shd w:val="clear" w:color="auto" w:fill="auto"/>
          </w:tcPr>
          <w:p w:rsidR="009C7D60" w:rsidRDefault="009C7D60" w:rsidP="00AF73B9">
            <w:pPr>
              <w:jc w:val="right"/>
              <w:rPr>
                <w:rFonts w:cs="Calibri"/>
                <w:b/>
                <w:bCs/>
                <w:color w:val="000000"/>
                <w:lang w:eastAsia="en-GB"/>
              </w:rPr>
            </w:pPr>
          </w:p>
          <w:p w:rsidR="00AF73B9" w:rsidRPr="00EB2995" w:rsidRDefault="00AF73B9" w:rsidP="00AF73B9">
            <w:pPr>
              <w:jc w:val="right"/>
              <w:rPr>
                <w:rFonts w:cs="Calibri"/>
                <w:b/>
                <w:color w:val="000000"/>
                <w:lang w:eastAsia="en-GB"/>
              </w:rPr>
            </w:pPr>
            <w:r w:rsidRPr="00EB2995">
              <w:rPr>
                <w:rFonts w:cs="Calibri"/>
                <w:b/>
                <w:bCs/>
                <w:color w:val="000000"/>
                <w:lang w:eastAsia="en-GB"/>
              </w:rPr>
              <w:t xml:space="preserve">202,406 </w:t>
            </w:r>
          </w:p>
        </w:tc>
      </w:tr>
      <w:tr w:rsidR="00AF73B9" w:rsidRPr="00EB2995" w:rsidTr="00AF73B9">
        <w:trPr>
          <w:trHeight w:hRule="exact" w:val="964"/>
        </w:trPr>
        <w:tc>
          <w:tcPr>
            <w:tcW w:w="4752" w:type="dxa"/>
            <w:tcBorders>
              <w:top w:val="nil"/>
              <w:left w:val="single" w:sz="8" w:space="0" w:color="auto"/>
              <w:bottom w:val="nil"/>
              <w:right w:val="single" w:sz="8" w:space="0" w:color="auto"/>
            </w:tcBorders>
            <w:shd w:val="clear" w:color="auto" w:fill="auto"/>
            <w:vAlign w:val="center"/>
            <w:hideMark/>
          </w:tcPr>
          <w:p w:rsidR="00AF73B9" w:rsidRPr="00EB2995" w:rsidRDefault="00AF73B9" w:rsidP="00AF73B9">
            <w:pPr>
              <w:rPr>
                <w:rFonts w:cs="Calibri"/>
                <w:color w:val="000000"/>
                <w:lang w:eastAsia="en-GB"/>
              </w:rPr>
            </w:pPr>
          </w:p>
          <w:p w:rsidR="00AF73B9" w:rsidRPr="00EB2995" w:rsidRDefault="00AF73B9" w:rsidP="009C7D60">
            <w:pPr>
              <w:rPr>
                <w:rFonts w:cs="Calibri"/>
                <w:color w:val="000000"/>
                <w:lang w:eastAsia="en-GB"/>
              </w:rPr>
            </w:pPr>
            <w:r w:rsidRPr="00EB2995">
              <w:rPr>
                <w:rFonts w:cs="Calibri"/>
                <w:color w:val="000000"/>
                <w:lang w:eastAsia="en-GB"/>
              </w:rPr>
              <w:t xml:space="preserve">Strategic Director Regeneration &amp; Environment – Amar Dave </w:t>
            </w:r>
          </w:p>
        </w:tc>
        <w:tc>
          <w:tcPr>
            <w:tcW w:w="1769" w:type="dxa"/>
            <w:tcBorders>
              <w:top w:val="nil"/>
              <w:left w:val="nil"/>
              <w:bottom w:val="nil"/>
              <w:right w:val="nil"/>
            </w:tcBorders>
            <w:shd w:val="clear" w:color="auto" w:fill="auto"/>
          </w:tcPr>
          <w:p w:rsidR="009C7D60" w:rsidRDefault="009C7D60" w:rsidP="00AF73B9">
            <w:pPr>
              <w:jc w:val="right"/>
              <w:rPr>
                <w:rFonts w:cs="Calibri"/>
                <w:color w:val="000000"/>
                <w:lang w:eastAsia="en-GB"/>
              </w:rPr>
            </w:pPr>
          </w:p>
          <w:p w:rsidR="00AF73B9" w:rsidRPr="00EB2995" w:rsidRDefault="00AF73B9" w:rsidP="00AF73B9">
            <w:pPr>
              <w:jc w:val="right"/>
              <w:rPr>
                <w:rFonts w:cs="Calibri"/>
                <w:color w:val="000000"/>
                <w:lang w:eastAsia="en-GB"/>
              </w:rPr>
            </w:pPr>
            <w:r w:rsidRPr="00EB2995">
              <w:rPr>
                <w:rFonts w:cs="Calibri"/>
                <w:color w:val="000000"/>
                <w:lang w:eastAsia="en-GB"/>
              </w:rPr>
              <w:t xml:space="preserve">144,209 </w:t>
            </w:r>
          </w:p>
        </w:tc>
        <w:tc>
          <w:tcPr>
            <w:tcW w:w="1559" w:type="dxa"/>
            <w:tcBorders>
              <w:top w:val="nil"/>
              <w:left w:val="single" w:sz="4" w:space="0" w:color="auto"/>
              <w:bottom w:val="nil"/>
              <w:right w:val="single" w:sz="4" w:space="0" w:color="auto"/>
            </w:tcBorders>
            <w:shd w:val="clear" w:color="auto" w:fill="auto"/>
          </w:tcPr>
          <w:p w:rsidR="009C7D60" w:rsidRDefault="009C7D60" w:rsidP="009C7D60">
            <w:pPr>
              <w:rPr>
                <w:rFonts w:cs="Calibri"/>
                <w:color w:val="000000"/>
                <w:lang w:eastAsia="en-GB"/>
              </w:rPr>
            </w:pPr>
          </w:p>
          <w:p w:rsidR="00AF73B9" w:rsidRPr="00EB2995" w:rsidRDefault="00AF73B9" w:rsidP="009C7D60">
            <w:pPr>
              <w:ind w:left="720"/>
              <w:rPr>
                <w:rFonts w:cs="Calibri"/>
                <w:color w:val="000000"/>
                <w:lang w:eastAsia="en-GB"/>
              </w:rPr>
            </w:pPr>
            <w:r w:rsidRPr="00EB2995">
              <w:rPr>
                <w:rFonts w:cs="Calibri"/>
                <w:color w:val="000000"/>
                <w:lang w:eastAsia="en-GB"/>
              </w:rPr>
              <w:t xml:space="preserve">48,577 </w:t>
            </w:r>
          </w:p>
        </w:tc>
        <w:tc>
          <w:tcPr>
            <w:tcW w:w="2126" w:type="dxa"/>
            <w:tcBorders>
              <w:top w:val="nil"/>
              <w:left w:val="single" w:sz="4" w:space="0" w:color="auto"/>
              <w:bottom w:val="nil"/>
              <w:right w:val="single" w:sz="8" w:space="0" w:color="auto"/>
            </w:tcBorders>
            <w:shd w:val="clear" w:color="auto" w:fill="auto"/>
          </w:tcPr>
          <w:p w:rsidR="009C7D60" w:rsidRDefault="009C7D60" w:rsidP="00AF73B9">
            <w:pPr>
              <w:jc w:val="right"/>
              <w:rPr>
                <w:rFonts w:cs="Calibri"/>
                <w:b/>
                <w:bCs/>
                <w:color w:val="000000"/>
                <w:lang w:eastAsia="en-GB"/>
              </w:rPr>
            </w:pPr>
          </w:p>
          <w:p w:rsidR="00AF73B9" w:rsidRPr="00EB2995" w:rsidRDefault="00AF73B9" w:rsidP="00AF73B9">
            <w:pPr>
              <w:jc w:val="right"/>
              <w:rPr>
                <w:rFonts w:cs="Calibri"/>
                <w:b/>
                <w:color w:val="000000"/>
                <w:lang w:eastAsia="en-GB"/>
              </w:rPr>
            </w:pPr>
            <w:r w:rsidRPr="00EB2995">
              <w:rPr>
                <w:rFonts w:cs="Calibri"/>
                <w:b/>
                <w:bCs/>
                <w:color w:val="000000"/>
                <w:lang w:eastAsia="en-GB"/>
              </w:rPr>
              <w:t xml:space="preserve">192,786 </w:t>
            </w:r>
          </w:p>
        </w:tc>
      </w:tr>
      <w:tr w:rsidR="00AF73B9" w:rsidRPr="00EB2995" w:rsidTr="00AF73B9">
        <w:trPr>
          <w:trHeight w:hRule="exact" w:val="964"/>
        </w:trPr>
        <w:tc>
          <w:tcPr>
            <w:tcW w:w="4752" w:type="dxa"/>
            <w:tcBorders>
              <w:top w:val="nil"/>
              <w:left w:val="single" w:sz="8" w:space="0" w:color="auto"/>
              <w:bottom w:val="nil"/>
              <w:right w:val="single" w:sz="8" w:space="0" w:color="auto"/>
            </w:tcBorders>
            <w:shd w:val="clear" w:color="auto" w:fill="auto"/>
            <w:vAlign w:val="center"/>
            <w:hideMark/>
          </w:tcPr>
          <w:p w:rsidR="00AF73B9" w:rsidRPr="00EB2995" w:rsidRDefault="00AF73B9" w:rsidP="00AF73B9">
            <w:pPr>
              <w:rPr>
                <w:rFonts w:cs="Calibri"/>
                <w:color w:val="000000"/>
                <w:lang w:eastAsia="en-GB"/>
              </w:rPr>
            </w:pPr>
          </w:p>
          <w:p w:rsidR="00AF73B9" w:rsidRPr="00EB2995" w:rsidRDefault="00AF73B9" w:rsidP="00AF73B9">
            <w:pPr>
              <w:rPr>
                <w:rFonts w:cs="Calibri"/>
                <w:color w:val="000000"/>
                <w:lang w:eastAsia="en-GB"/>
              </w:rPr>
            </w:pPr>
            <w:r w:rsidRPr="00EB2995">
              <w:rPr>
                <w:rFonts w:cs="Calibri"/>
                <w:color w:val="000000"/>
                <w:lang w:eastAsia="en-GB"/>
              </w:rPr>
              <w:t>Director of Policy, Partnerships and Performance – Peter Gadsdon</w:t>
            </w:r>
          </w:p>
        </w:tc>
        <w:tc>
          <w:tcPr>
            <w:tcW w:w="1769" w:type="dxa"/>
            <w:tcBorders>
              <w:top w:val="nil"/>
              <w:left w:val="nil"/>
              <w:bottom w:val="nil"/>
              <w:right w:val="nil"/>
            </w:tcBorders>
            <w:shd w:val="clear" w:color="auto" w:fill="auto"/>
          </w:tcPr>
          <w:p w:rsidR="009C7D60" w:rsidRDefault="009C7D60" w:rsidP="00AF73B9">
            <w:pPr>
              <w:jc w:val="right"/>
              <w:rPr>
                <w:rFonts w:cs="Calibri"/>
                <w:color w:val="000000"/>
                <w:lang w:eastAsia="en-GB"/>
              </w:rPr>
            </w:pPr>
          </w:p>
          <w:p w:rsidR="00AF73B9" w:rsidRPr="00EB2995" w:rsidRDefault="00AF73B9" w:rsidP="00AF73B9">
            <w:pPr>
              <w:jc w:val="right"/>
              <w:rPr>
                <w:rFonts w:cs="Calibri"/>
                <w:color w:val="000000"/>
                <w:lang w:eastAsia="en-GB"/>
              </w:rPr>
            </w:pPr>
            <w:r w:rsidRPr="00EB2995">
              <w:rPr>
                <w:rFonts w:cs="Calibri"/>
                <w:color w:val="000000"/>
                <w:lang w:eastAsia="en-GB"/>
              </w:rPr>
              <w:t xml:space="preserve">129,711 </w:t>
            </w:r>
          </w:p>
        </w:tc>
        <w:tc>
          <w:tcPr>
            <w:tcW w:w="1559" w:type="dxa"/>
            <w:tcBorders>
              <w:top w:val="nil"/>
              <w:left w:val="single" w:sz="4" w:space="0" w:color="auto"/>
              <w:bottom w:val="nil"/>
              <w:right w:val="single" w:sz="4" w:space="0" w:color="auto"/>
            </w:tcBorders>
            <w:shd w:val="clear" w:color="auto" w:fill="auto"/>
          </w:tcPr>
          <w:p w:rsidR="009C7D60" w:rsidRDefault="009C7D60" w:rsidP="00AF73B9">
            <w:pPr>
              <w:jc w:val="right"/>
              <w:rPr>
                <w:rFonts w:cs="Calibri"/>
                <w:color w:val="000000"/>
                <w:lang w:eastAsia="en-GB"/>
              </w:rPr>
            </w:pPr>
          </w:p>
          <w:p w:rsidR="00AF73B9" w:rsidRPr="00EB2995" w:rsidRDefault="00AF73B9" w:rsidP="00AF73B9">
            <w:pPr>
              <w:jc w:val="right"/>
              <w:rPr>
                <w:rFonts w:cs="Calibri"/>
                <w:color w:val="000000"/>
                <w:lang w:eastAsia="en-GB"/>
              </w:rPr>
            </w:pPr>
            <w:r w:rsidRPr="00EB2995">
              <w:rPr>
                <w:rFonts w:cs="Calibri"/>
                <w:color w:val="000000"/>
                <w:lang w:eastAsia="en-GB"/>
              </w:rPr>
              <w:t xml:space="preserve">42,909 </w:t>
            </w:r>
          </w:p>
        </w:tc>
        <w:tc>
          <w:tcPr>
            <w:tcW w:w="2126" w:type="dxa"/>
            <w:tcBorders>
              <w:top w:val="nil"/>
              <w:left w:val="single" w:sz="4" w:space="0" w:color="auto"/>
              <w:bottom w:val="nil"/>
              <w:right w:val="single" w:sz="8" w:space="0" w:color="auto"/>
            </w:tcBorders>
            <w:shd w:val="clear" w:color="auto" w:fill="auto"/>
          </w:tcPr>
          <w:p w:rsidR="009C7D60" w:rsidRDefault="009C7D60" w:rsidP="00AF73B9">
            <w:pPr>
              <w:jc w:val="right"/>
              <w:rPr>
                <w:rFonts w:cs="Calibri"/>
                <w:b/>
                <w:bCs/>
                <w:color w:val="000000"/>
                <w:lang w:eastAsia="en-GB"/>
              </w:rPr>
            </w:pPr>
          </w:p>
          <w:p w:rsidR="00AF73B9" w:rsidRPr="00EB2995" w:rsidRDefault="00AF73B9" w:rsidP="00AF73B9">
            <w:pPr>
              <w:jc w:val="right"/>
              <w:rPr>
                <w:rFonts w:cs="Calibri"/>
                <w:b/>
                <w:color w:val="000000"/>
                <w:lang w:eastAsia="en-GB"/>
              </w:rPr>
            </w:pPr>
            <w:r w:rsidRPr="00EB2995">
              <w:rPr>
                <w:rFonts w:cs="Calibri"/>
                <w:b/>
                <w:bCs/>
                <w:color w:val="000000"/>
                <w:lang w:eastAsia="en-GB"/>
              </w:rPr>
              <w:t xml:space="preserve">172,620 </w:t>
            </w:r>
          </w:p>
        </w:tc>
      </w:tr>
      <w:tr w:rsidR="00AF73B9" w:rsidRPr="00EB2995" w:rsidTr="00AF73B9">
        <w:trPr>
          <w:trHeight w:hRule="exact" w:val="964"/>
        </w:trPr>
        <w:tc>
          <w:tcPr>
            <w:tcW w:w="4752" w:type="dxa"/>
            <w:tcBorders>
              <w:top w:val="nil"/>
              <w:left w:val="single" w:sz="8" w:space="0" w:color="auto"/>
              <w:bottom w:val="nil"/>
              <w:right w:val="single" w:sz="8" w:space="0" w:color="auto"/>
            </w:tcBorders>
            <w:shd w:val="clear" w:color="auto" w:fill="auto"/>
            <w:vAlign w:val="center"/>
            <w:hideMark/>
          </w:tcPr>
          <w:p w:rsidR="00AF73B9" w:rsidRPr="00EB2995" w:rsidRDefault="00AF73B9" w:rsidP="00AF73B9">
            <w:pPr>
              <w:rPr>
                <w:rFonts w:cs="Calibri"/>
                <w:color w:val="000000"/>
                <w:lang w:eastAsia="en-GB"/>
              </w:rPr>
            </w:pPr>
          </w:p>
          <w:p w:rsidR="00AF73B9" w:rsidRPr="00EB2995" w:rsidRDefault="00AF73B9" w:rsidP="00AF73B9">
            <w:pPr>
              <w:rPr>
                <w:rFonts w:cs="Calibri"/>
                <w:color w:val="000000"/>
                <w:lang w:eastAsia="en-GB"/>
              </w:rPr>
            </w:pPr>
            <w:r w:rsidRPr="00EB2995">
              <w:rPr>
                <w:rFonts w:cs="Calibri"/>
                <w:color w:val="000000"/>
                <w:lang w:eastAsia="en-GB"/>
              </w:rPr>
              <w:t>Chief Finance Officer (section 151 officer) – Conrad Hall</w:t>
            </w:r>
          </w:p>
        </w:tc>
        <w:tc>
          <w:tcPr>
            <w:tcW w:w="1769" w:type="dxa"/>
            <w:tcBorders>
              <w:top w:val="nil"/>
              <w:left w:val="nil"/>
              <w:bottom w:val="nil"/>
              <w:right w:val="nil"/>
            </w:tcBorders>
            <w:shd w:val="clear" w:color="auto" w:fill="auto"/>
          </w:tcPr>
          <w:p w:rsidR="009C7D60" w:rsidRDefault="009C7D60" w:rsidP="00AF73B9">
            <w:pPr>
              <w:jc w:val="right"/>
              <w:rPr>
                <w:rFonts w:cs="Calibri"/>
                <w:color w:val="000000"/>
                <w:lang w:eastAsia="en-GB"/>
              </w:rPr>
            </w:pPr>
          </w:p>
          <w:p w:rsidR="00AF73B9" w:rsidRPr="00EB2995" w:rsidRDefault="00AF73B9" w:rsidP="00AF73B9">
            <w:pPr>
              <w:jc w:val="right"/>
              <w:rPr>
                <w:rFonts w:cs="Calibri"/>
                <w:color w:val="000000"/>
                <w:lang w:eastAsia="en-GB"/>
              </w:rPr>
            </w:pPr>
            <w:r w:rsidRPr="00EB2995">
              <w:rPr>
                <w:rFonts w:cs="Calibri"/>
                <w:color w:val="000000"/>
                <w:lang w:eastAsia="en-GB"/>
              </w:rPr>
              <w:t xml:space="preserve">131,377 </w:t>
            </w:r>
          </w:p>
        </w:tc>
        <w:tc>
          <w:tcPr>
            <w:tcW w:w="1559" w:type="dxa"/>
            <w:tcBorders>
              <w:top w:val="nil"/>
              <w:left w:val="single" w:sz="4" w:space="0" w:color="auto"/>
              <w:bottom w:val="nil"/>
              <w:right w:val="single" w:sz="4" w:space="0" w:color="auto"/>
            </w:tcBorders>
            <w:shd w:val="clear" w:color="auto" w:fill="auto"/>
          </w:tcPr>
          <w:p w:rsidR="009C7D60" w:rsidRDefault="009C7D60" w:rsidP="00AF73B9">
            <w:pPr>
              <w:jc w:val="right"/>
              <w:rPr>
                <w:rFonts w:cs="Calibri"/>
                <w:color w:val="000000"/>
                <w:lang w:eastAsia="en-GB"/>
              </w:rPr>
            </w:pPr>
          </w:p>
          <w:p w:rsidR="00AF73B9" w:rsidRPr="00EB2995" w:rsidRDefault="00AF73B9" w:rsidP="00AF73B9">
            <w:pPr>
              <w:jc w:val="right"/>
              <w:rPr>
                <w:rFonts w:cs="Calibri"/>
                <w:color w:val="000000"/>
                <w:lang w:eastAsia="en-GB"/>
              </w:rPr>
            </w:pPr>
            <w:r w:rsidRPr="00EB2995">
              <w:rPr>
                <w:rFonts w:cs="Calibri"/>
                <w:color w:val="000000"/>
                <w:lang w:eastAsia="en-GB"/>
              </w:rPr>
              <w:t xml:space="preserve">-   </w:t>
            </w:r>
          </w:p>
        </w:tc>
        <w:tc>
          <w:tcPr>
            <w:tcW w:w="2126" w:type="dxa"/>
            <w:tcBorders>
              <w:top w:val="nil"/>
              <w:left w:val="single" w:sz="4" w:space="0" w:color="auto"/>
              <w:bottom w:val="nil"/>
              <w:right w:val="single" w:sz="8" w:space="0" w:color="auto"/>
            </w:tcBorders>
            <w:shd w:val="clear" w:color="auto" w:fill="auto"/>
          </w:tcPr>
          <w:p w:rsidR="009C7D60" w:rsidRDefault="009C7D60" w:rsidP="00AF73B9">
            <w:pPr>
              <w:jc w:val="right"/>
              <w:rPr>
                <w:rFonts w:cs="Calibri"/>
                <w:b/>
                <w:bCs/>
                <w:color w:val="000000"/>
                <w:lang w:eastAsia="en-GB"/>
              </w:rPr>
            </w:pPr>
          </w:p>
          <w:p w:rsidR="00AF73B9" w:rsidRPr="00EB2995" w:rsidRDefault="00AF73B9" w:rsidP="00AF73B9">
            <w:pPr>
              <w:jc w:val="right"/>
              <w:rPr>
                <w:rFonts w:cs="Calibri"/>
                <w:b/>
                <w:color w:val="000000"/>
                <w:lang w:eastAsia="en-GB"/>
              </w:rPr>
            </w:pPr>
            <w:r w:rsidRPr="00EB2995">
              <w:rPr>
                <w:rFonts w:cs="Calibri"/>
                <w:b/>
                <w:bCs/>
                <w:color w:val="000000"/>
                <w:lang w:eastAsia="en-GB"/>
              </w:rPr>
              <w:t xml:space="preserve">131,377 </w:t>
            </w:r>
          </w:p>
        </w:tc>
      </w:tr>
      <w:tr w:rsidR="00AF73B9" w:rsidRPr="00EB2995" w:rsidTr="00AF73B9">
        <w:trPr>
          <w:trHeight w:hRule="exact" w:val="964"/>
        </w:trPr>
        <w:tc>
          <w:tcPr>
            <w:tcW w:w="4752" w:type="dxa"/>
            <w:tcBorders>
              <w:top w:val="nil"/>
              <w:left w:val="single" w:sz="8" w:space="0" w:color="auto"/>
              <w:bottom w:val="nil"/>
              <w:right w:val="single" w:sz="8" w:space="0" w:color="auto"/>
            </w:tcBorders>
            <w:shd w:val="clear" w:color="auto" w:fill="auto"/>
            <w:vAlign w:val="center"/>
            <w:hideMark/>
          </w:tcPr>
          <w:p w:rsidR="00AF73B9" w:rsidRPr="00EB2995" w:rsidRDefault="00AF73B9" w:rsidP="00AF73B9">
            <w:pPr>
              <w:rPr>
                <w:rFonts w:cs="Calibri"/>
                <w:color w:val="000000"/>
                <w:lang w:eastAsia="en-GB"/>
              </w:rPr>
            </w:pPr>
          </w:p>
          <w:p w:rsidR="00AF73B9" w:rsidRPr="00EB2995" w:rsidRDefault="00AF73B9" w:rsidP="00AF73B9">
            <w:pPr>
              <w:rPr>
                <w:rFonts w:cs="Calibri"/>
                <w:color w:val="000000"/>
                <w:lang w:eastAsia="en-GB"/>
              </w:rPr>
            </w:pPr>
            <w:r w:rsidRPr="00EB2995">
              <w:rPr>
                <w:rFonts w:cs="Calibri"/>
                <w:color w:val="000000"/>
                <w:lang w:eastAsia="en-GB"/>
              </w:rPr>
              <w:t>Director of Public Health – Melanie Smith</w:t>
            </w:r>
          </w:p>
        </w:tc>
        <w:tc>
          <w:tcPr>
            <w:tcW w:w="1769" w:type="dxa"/>
            <w:tcBorders>
              <w:top w:val="nil"/>
              <w:left w:val="nil"/>
              <w:bottom w:val="nil"/>
              <w:right w:val="nil"/>
            </w:tcBorders>
            <w:shd w:val="clear" w:color="auto" w:fill="auto"/>
          </w:tcPr>
          <w:p w:rsidR="009C7D60" w:rsidRDefault="009C7D60" w:rsidP="00AF73B9">
            <w:pPr>
              <w:jc w:val="right"/>
              <w:rPr>
                <w:rFonts w:cs="Calibri"/>
                <w:color w:val="000000"/>
                <w:lang w:eastAsia="en-GB"/>
              </w:rPr>
            </w:pPr>
          </w:p>
          <w:p w:rsidR="00AF73B9" w:rsidRPr="00EB2995" w:rsidRDefault="00AF73B9" w:rsidP="00AF73B9">
            <w:pPr>
              <w:jc w:val="right"/>
              <w:rPr>
                <w:rFonts w:cs="Calibri"/>
                <w:color w:val="000000"/>
                <w:lang w:eastAsia="en-GB"/>
              </w:rPr>
            </w:pPr>
            <w:r w:rsidRPr="00EB2995">
              <w:rPr>
                <w:rFonts w:cs="Calibri"/>
                <w:color w:val="000000"/>
                <w:lang w:eastAsia="en-GB"/>
              </w:rPr>
              <w:t xml:space="preserve">116,085 </w:t>
            </w:r>
          </w:p>
        </w:tc>
        <w:tc>
          <w:tcPr>
            <w:tcW w:w="1559" w:type="dxa"/>
            <w:tcBorders>
              <w:top w:val="nil"/>
              <w:left w:val="single" w:sz="4" w:space="0" w:color="auto"/>
              <w:bottom w:val="nil"/>
              <w:right w:val="single" w:sz="4" w:space="0" w:color="auto"/>
            </w:tcBorders>
            <w:shd w:val="clear" w:color="auto" w:fill="auto"/>
          </w:tcPr>
          <w:p w:rsidR="009C7D60" w:rsidRDefault="009C7D60" w:rsidP="00AF73B9">
            <w:pPr>
              <w:jc w:val="right"/>
              <w:rPr>
                <w:rFonts w:cs="Calibri"/>
                <w:color w:val="000000"/>
                <w:lang w:eastAsia="en-GB"/>
              </w:rPr>
            </w:pPr>
          </w:p>
          <w:p w:rsidR="00AF73B9" w:rsidRPr="00EB2995" w:rsidRDefault="00AF73B9" w:rsidP="00AF73B9">
            <w:pPr>
              <w:jc w:val="right"/>
              <w:rPr>
                <w:rFonts w:cs="Calibri"/>
                <w:color w:val="000000"/>
                <w:lang w:eastAsia="en-GB"/>
              </w:rPr>
            </w:pPr>
            <w:r w:rsidRPr="00EB2995">
              <w:rPr>
                <w:rFonts w:cs="Calibri"/>
                <w:color w:val="000000"/>
                <w:lang w:eastAsia="en-GB"/>
              </w:rPr>
              <w:t xml:space="preserve">39,237 </w:t>
            </w:r>
          </w:p>
        </w:tc>
        <w:tc>
          <w:tcPr>
            <w:tcW w:w="2126" w:type="dxa"/>
            <w:tcBorders>
              <w:top w:val="nil"/>
              <w:left w:val="single" w:sz="4" w:space="0" w:color="auto"/>
              <w:bottom w:val="nil"/>
              <w:right w:val="single" w:sz="8" w:space="0" w:color="auto"/>
            </w:tcBorders>
            <w:shd w:val="clear" w:color="auto" w:fill="auto"/>
          </w:tcPr>
          <w:p w:rsidR="009C7D60" w:rsidRDefault="009C7D60" w:rsidP="00AF73B9">
            <w:pPr>
              <w:jc w:val="right"/>
              <w:rPr>
                <w:rFonts w:cs="Calibri"/>
                <w:b/>
                <w:bCs/>
                <w:color w:val="000000"/>
                <w:lang w:eastAsia="en-GB"/>
              </w:rPr>
            </w:pPr>
          </w:p>
          <w:p w:rsidR="00AF73B9" w:rsidRPr="00EB2995" w:rsidRDefault="00AF73B9" w:rsidP="00AF73B9">
            <w:pPr>
              <w:jc w:val="right"/>
              <w:rPr>
                <w:rFonts w:cs="Calibri"/>
                <w:b/>
                <w:color w:val="000000"/>
                <w:lang w:eastAsia="en-GB"/>
              </w:rPr>
            </w:pPr>
            <w:r w:rsidRPr="00EB2995">
              <w:rPr>
                <w:rFonts w:cs="Calibri"/>
                <w:b/>
                <w:bCs/>
                <w:color w:val="000000"/>
                <w:lang w:eastAsia="en-GB"/>
              </w:rPr>
              <w:t xml:space="preserve">155,322 </w:t>
            </w:r>
          </w:p>
        </w:tc>
      </w:tr>
      <w:tr w:rsidR="00AF73B9" w:rsidRPr="00EB2995" w:rsidTr="00AF73B9">
        <w:trPr>
          <w:trHeight w:hRule="exact" w:val="964"/>
        </w:trPr>
        <w:tc>
          <w:tcPr>
            <w:tcW w:w="4752" w:type="dxa"/>
            <w:tcBorders>
              <w:top w:val="nil"/>
              <w:left w:val="single" w:sz="8" w:space="0" w:color="auto"/>
              <w:bottom w:val="single" w:sz="8" w:space="0" w:color="auto"/>
              <w:right w:val="single" w:sz="8" w:space="0" w:color="auto"/>
            </w:tcBorders>
            <w:shd w:val="clear" w:color="auto" w:fill="auto"/>
            <w:vAlign w:val="center"/>
            <w:hideMark/>
          </w:tcPr>
          <w:p w:rsidR="00AF73B9" w:rsidRPr="00EB2995" w:rsidRDefault="00AF73B9" w:rsidP="00AF73B9">
            <w:pPr>
              <w:rPr>
                <w:rFonts w:cs="Calibri"/>
                <w:color w:val="000000"/>
                <w:lang w:eastAsia="en-GB"/>
              </w:rPr>
            </w:pPr>
          </w:p>
          <w:p w:rsidR="00AF73B9" w:rsidRPr="00EB2995" w:rsidRDefault="00AF73B9" w:rsidP="00AF73B9">
            <w:pPr>
              <w:rPr>
                <w:rFonts w:cs="Calibri"/>
                <w:color w:val="000000"/>
                <w:lang w:eastAsia="en-GB"/>
              </w:rPr>
            </w:pPr>
            <w:r w:rsidRPr="00EB2995">
              <w:rPr>
                <w:rFonts w:cs="Calibri"/>
                <w:color w:val="000000"/>
                <w:lang w:eastAsia="en-GB"/>
              </w:rPr>
              <w:t>Legal and HR Director – Debra Norman</w:t>
            </w:r>
          </w:p>
        </w:tc>
        <w:tc>
          <w:tcPr>
            <w:tcW w:w="1769" w:type="dxa"/>
            <w:tcBorders>
              <w:top w:val="nil"/>
              <w:left w:val="nil"/>
              <w:bottom w:val="single" w:sz="8" w:space="0" w:color="auto"/>
              <w:right w:val="nil"/>
            </w:tcBorders>
            <w:shd w:val="clear" w:color="auto" w:fill="auto"/>
            <w:vAlign w:val="bottom"/>
          </w:tcPr>
          <w:p w:rsidR="00AF73B9" w:rsidRPr="00EB2995" w:rsidRDefault="00AF73B9" w:rsidP="00AF73B9">
            <w:pPr>
              <w:jc w:val="right"/>
              <w:rPr>
                <w:rFonts w:cs="Calibri"/>
                <w:color w:val="000000"/>
                <w:lang w:eastAsia="en-GB"/>
              </w:rPr>
            </w:pPr>
            <w:r w:rsidRPr="00EB2995">
              <w:rPr>
                <w:rFonts w:cs="Calibri"/>
                <w:color w:val="000000"/>
                <w:lang w:eastAsia="en-GB"/>
              </w:rPr>
              <w:t>124,768</w:t>
            </w:r>
          </w:p>
        </w:tc>
        <w:tc>
          <w:tcPr>
            <w:tcW w:w="1559" w:type="dxa"/>
            <w:tcBorders>
              <w:top w:val="nil"/>
              <w:left w:val="single" w:sz="4" w:space="0" w:color="auto"/>
              <w:bottom w:val="single" w:sz="8" w:space="0" w:color="auto"/>
              <w:right w:val="single" w:sz="4" w:space="0" w:color="auto"/>
            </w:tcBorders>
            <w:shd w:val="clear" w:color="auto" w:fill="auto"/>
          </w:tcPr>
          <w:p w:rsidR="009C7D60" w:rsidRDefault="009C7D60" w:rsidP="00AF73B9">
            <w:pPr>
              <w:jc w:val="right"/>
              <w:rPr>
                <w:rFonts w:cs="Calibri"/>
                <w:color w:val="000000"/>
                <w:lang w:eastAsia="en-GB"/>
              </w:rPr>
            </w:pPr>
          </w:p>
          <w:p w:rsidR="00AF73B9" w:rsidRPr="00EB2995" w:rsidRDefault="00AF73B9" w:rsidP="00AF73B9">
            <w:pPr>
              <w:jc w:val="right"/>
              <w:rPr>
                <w:rFonts w:cs="Calibri"/>
                <w:color w:val="000000"/>
                <w:lang w:eastAsia="en-GB"/>
              </w:rPr>
            </w:pPr>
            <w:r w:rsidRPr="00EB2995">
              <w:rPr>
                <w:rFonts w:cs="Calibri"/>
                <w:color w:val="000000"/>
                <w:lang w:eastAsia="en-GB"/>
              </w:rPr>
              <w:t xml:space="preserve">41,073 </w:t>
            </w:r>
          </w:p>
        </w:tc>
        <w:tc>
          <w:tcPr>
            <w:tcW w:w="2126" w:type="dxa"/>
            <w:tcBorders>
              <w:top w:val="nil"/>
              <w:left w:val="single" w:sz="4" w:space="0" w:color="auto"/>
              <w:bottom w:val="single" w:sz="8" w:space="0" w:color="auto"/>
              <w:right w:val="single" w:sz="8" w:space="0" w:color="auto"/>
            </w:tcBorders>
            <w:shd w:val="clear" w:color="auto" w:fill="auto"/>
          </w:tcPr>
          <w:p w:rsidR="009C7D60" w:rsidRDefault="009C7D60" w:rsidP="00AF73B9">
            <w:pPr>
              <w:jc w:val="right"/>
              <w:rPr>
                <w:rFonts w:cs="Calibri"/>
                <w:b/>
                <w:bCs/>
                <w:color w:val="000000"/>
                <w:lang w:eastAsia="en-GB"/>
              </w:rPr>
            </w:pPr>
          </w:p>
          <w:p w:rsidR="00AF73B9" w:rsidRPr="00EB2995" w:rsidRDefault="00AF73B9" w:rsidP="00AF73B9">
            <w:pPr>
              <w:jc w:val="right"/>
              <w:rPr>
                <w:rFonts w:cs="Calibri"/>
                <w:b/>
                <w:color w:val="000000"/>
                <w:lang w:eastAsia="en-GB"/>
              </w:rPr>
            </w:pPr>
            <w:r w:rsidRPr="00EB2995">
              <w:rPr>
                <w:rFonts w:cs="Calibri"/>
                <w:b/>
                <w:bCs/>
                <w:color w:val="000000"/>
                <w:lang w:eastAsia="en-GB"/>
              </w:rPr>
              <w:t>165,841</w:t>
            </w:r>
          </w:p>
        </w:tc>
      </w:tr>
      <w:tr w:rsidR="00AF73B9" w:rsidRPr="00EB2995" w:rsidTr="00AF73B9">
        <w:trPr>
          <w:trHeight w:hRule="exact" w:val="496"/>
        </w:trPr>
        <w:tc>
          <w:tcPr>
            <w:tcW w:w="4752" w:type="dxa"/>
            <w:tcBorders>
              <w:top w:val="nil"/>
              <w:left w:val="nil"/>
              <w:bottom w:val="single" w:sz="8" w:space="0" w:color="auto"/>
              <w:right w:val="nil"/>
            </w:tcBorders>
            <w:shd w:val="clear" w:color="auto" w:fill="auto"/>
            <w:vAlign w:val="center"/>
            <w:hideMark/>
          </w:tcPr>
          <w:p w:rsidR="00AF73B9" w:rsidRPr="00EB2995" w:rsidRDefault="00AF73B9" w:rsidP="00AF73B9">
            <w:pPr>
              <w:rPr>
                <w:rFonts w:cs="Calibri"/>
                <w:color w:val="000000"/>
                <w:lang w:eastAsia="en-GB"/>
              </w:rPr>
            </w:pPr>
            <w:r w:rsidRPr="00EB2995">
              <w:rPr>
                <w:rFonts w:cs="Calibri"/>
                <w:color w:val="000000"/>
                <w:lang w:eastAsia="en-GB"/>
              </w:rPr>
              <w:t> </w:t>
            </w:r>
          </w:p>
        </w:tc>
        <w:tc>
          <w:tcPr>
            <w:tcW w:w="1769" w:type="dxa"/>
            <w:tcBorders>
              <w:top w:val="nil"/>
              <w:left w:val="nil"/>
              <w:bottom w:val="single" w:sz="8" w:space="0" w:color="auto"/>
              <w:right w:val="nil"/>
            </w:tcBorders>
            <w:shd w:val="clear" w:color="auto" w:fill="auto"/>
            <w:vAlign w:val="center"/>
          </w:tcPr>
          <w:p w:rsidR="00AF73B9" w:rsidRPr="00EB2995" w:rsidRDefault="00AF73B9" w:rsidP="00AF73B9">
            <w:pPr>
              <w:rPr>
                <w:rFonts w:cs="Calibri"/>
                <w:color w:val="000000"/>
                <w:lang w:eastAsia="en-GB"/>
              </w:rPr>
            </w:pPr>
          </w:p>
        </w:tc>
        <w:tc>
          <w:tcPr>
            <w:tcW w:w="1559" w:type="dxa"/>
            <w:tcBorders>
              <w:top w:val="nil"/>
              <w:left w:val="nil"/>
              <w:bottom w:val="single" w:sz="8" w:space="0" w:color="auto"/>
              <w:right w:val="nil"/>
            </w:tcBorders>
            <w:shd w:val="clear" w:color="auto" w:fill="auto"/>
            <w:vAlign w:val="center"/>
          </w:tcPr>
          <w:p w:rsidR="00AF73B9" w:rsidRPr="00EB2995" w:rsidRDefault="00AF73B9" w:rsidP="00AF73B9">
            <w:pPr>
              <w:rPr>
                <w:rFonts w:cs="Calibri"/>
                <w:color w:val="000000"/>
                <w:lang w:eastAsia="en-GB"/>
              </w:rPr>
            </w:pPr>
          </w:p>
        </w:tc>
        <w:tc>
          <w:tcPr>
            <w:tcW w:w="2126" w:type="dxa"/>
            <w:tcBorders>
              <w:top w:val="nil"/>
              <w:left w:val="nil"/>
              <w:bottom w:val="single" w:sz="8" w:space="0" w:color="auto"/>
              <w:right w:val="nil"/>
            </w:tcBorders>
            <w:shd w:val="clear" w:color="auto" w:fill="auto"/>
            <w:vAlign w:val="center"/>
          </w:tcPr>
          <w:p w:rsidR="00AF73B9" w:rsidRPr="00EB2995" w:rsidRDefault="00AF73B9" w:rsidP="00AF73B9">
            <w:pPr>
              <w:rPr>
                <w:rFonts w:cs="Calibri"/>
                <w:color w:val="000000"/>
                <w:lang w:eastAsia="en-GB"/>
              </w:rPr>
            </w:pPr>
          </w:p>
        </w:tc>
      </w:tr>
      <w:tr w:rsidR="00AF73B9" w:rsidRPr="00EB2995" w:rsidTr="00AF73B9">
        <w:trPr>
          <w:trHeight w:hRule="exact" w:val="964"/>
        </w:trPr>
        <w:tc>
          <w:tcPr>
            <w:tcW w:w="4752" w:type="dxa"/>
            <w:tcBorders>
              <w:top w:val="nil"/>
              <w:left w:val="single" w:sz="8" w:space="0" w:color="auto"/>
              <w:bottom w:val="single" w:sz="8" w:space="0" w:color="auto"/>
              <w:right w:val="single" w:sz="8" w:space="0" w:color="auto"/>
            </w:tcBorders>
            <w:shd w:val="clear" w:color="auto" w:fill="auto"/>
            <w:vAlign w:val="center"/>
            <w:hideMark/>
          </w:tcPr>
          <w:p w:rsidR="00AF73B9" w:rsidRPr="00EB2995" w:rsidRDefault="00AF73B9" w:rsidP="00AF73B9">
            <w:pPr>
              <w:rPr>
                <w:rFonts w:cs="Calibri"/>
                <w:b/>
                <w:bCs/>
                <w:color w:val="000000"/>
                <w:lang w:eastAsia="en-GB"/>
              </w:rPr>
            </w:pPr>
            <w:r w:rsidRPr="00EB2995">
              <w:rPr>
                <w:rFonts w:cs="Calibri"/>
                <w:b/>
                <w:bCs/>
                <w:color w:val="000000"/>
                <w:lang w:eastAsia="en-GB"/>
              </w:rPr>
              <w:t>Total</w:t>
            </w:r>
          </w:p>
        </w:tc>
        <w:tc>
          <w:tcPr>
            <w:tcW w:w="1769" w:type="dxa"/>
            <w:tcBorders>
              <w:top w:val="nil"/>
              <w:left w:val="nil"/>
              <w:bottom w:val="single" w:sz="8" w:space="0" w:color="auto"/>
              <w:right w:val="nil"/>
            </w:tcBorders>
            <w:shd w:val="clear" w:color="auto" w:fill="auto"/>
            <w:noWrap/>
          </w:tcPr>
          <w:p w:rsidR="00AF73B9" w:rsidRPr="00EB2995" w:rsidRDefault="00AF73B9" w:rsidP="00AF73B9">
            <w:pPr>
              <w:jc w:val="right"/>
              <w:rPr>
                <w:rFonts w:cs="Calibri"/>
                <w:b/>
                <w:bCs/>
                <w:color w:val="000000"/>
                <w:lang w:eastAsia="en-GB"/>
              </w:rPr>
            </w:pPr>
            <w:r w:rsidRPr="00EB2995">
              <w:rPr>
                <w:rFonts w:cs="Calibri"/>
                <w:b/>
                <w:bCs/>
                <w:color w:val="000000"/>
                <w:lang w:eastAsia="en-GB"/>
              </w:rPr>
              <w:t>1,308,350</w:t>
            </w:r>
          </w:p>
        </w:tc>
        <w:tc>
          <w:tcPr>
            <w:tcW w:w="1559" w:type="dxa"/>
            <w:tcBorders>
              <w:top w:val="nil"/>
              <w:left w:val="single" w:sz="4" w:space="0" w:color="auto"/>
              <w:bottom w:val="single" w:sz="8" w:space="0" w:color="auto"/>
              <w:right w:val="single" w:sz="4" w:space="0" w:color="auto"/>
            </w:tcBorders>
            <w:shd w:val="clear" w:color="auto" w:fill="auto"/>
            <w:noWrap/>
          </w:tcPr>
          <w:p w:rsidR="00AF73B9" w:rsidRPr="00EB2995" w:rsidRDefault="00AF73B9" w:rsidP="00AF73B9">
            <w:pPr>
              <w:jc w:val="right"/>
              <w:rPr>
                <w:rFonts w:cs="Calibri"/>
                <w:b/>
                <w:bCs/>
                <w:color w:val="000000"/>
                <w:lang w:eastAsia="en-GB"/>
              </w:rPr>
            </w:pPr>
            <w:r w:rsidRPr="00EB2995">
              <w:rPr>
                <w:rFonts w:cs="Calibri"/>
                <w:b/>
                <w:bCs/>
                <w:color w:val="000000"/>
                <w:lang w:eastAsia="en-GB"/>
              </w:rPr>
              <w:t>324,817</w:t>
            </w:r>
          </w:p>
        </w:tc>
        <w:tc>
          <w:tcPr>
            <w:tcW w:w="2126" w:type="dxa"/>
            <w:tcBorders>
              <w:top w:val="nil"/>
              <w:left w:val="single" w:sz="4" w:space="0" w:color="auto"/>
              <w:bottom w:val="single" w:sz="8" w:space="0" w:color="auto"/>
              <w:right w:val="single" w:sz="8" w:space="0" w:color="auto"/>
            </w:tcBorders>
            <w:shd w:val="clear" w:color="auto" w:fill="auto"/>
            <w:noWrap/>
          </w:tcPr>
          <w:p w:rsidR="00AF73B9" w:rsidRPr="00EB2995" w:rsidRDefault="00AF73B9" w:rsidP="00AF73B9">
            <w:pPr>
              <w:jc w:val="right"/>
              <w:rPr>
                <w:rFonts w:cs="Calibri"/>
                <w:b/>
                <w:bCs/>
                <w:color w:val="000000"/>
                <w:lang w:eastAsia="en-GB"/>
              </w:rPr>
            </w:pPr>
            <w:r w:rsidRPr="00EB2995">
              <w:rPr>
                <w:rFonts w:cs="Calibri"/>
                <w:b/>
                <w:bCs/>
                <w:color w:val="000000"/>
                <w:lang w:eastAsia="en-GB"/>
              </w:rPr>
              <w:t>1,633,167</w:t>
            </w:r>
          </w:p>
        </w:tc>
      </w:tr>
    </w:tbl>
    <w:p w:rsidR="00F72906" w:rsidRDefault="00F72906" w:rsidP="00F72906">
      <w:r>
        <w:lastRenderedPageBreak/>
        <w:t>*Within this salary there is £2,000 relating to Returning Officer fees which the Chief Executive has redistributed to other staff who helped with the election.</w:t>
      </w:r>
    </w:p>
    <w:p w:rsidR="00F72906" w:rsidRDefault="00F72906" w:rsidP="00AF73B9">
      <w:pPr>
        <w:pStyle w:val="Heading3"/>
      </w:pPr>
      <w:r>
        <w:t>Note 32 – Officers' Remuneration</w:t>
      </w:r>
    </w:p>
    <w:p w:rsidR="00F72906" w:rsidRDefault="00F72906" w:rsidP="00F72906">
      <w:r>
        <w:t>The number of employees whose remuneration in 2019/20 and 2018/19, excluding employer's pension contributions, was £50,000 or more in bands of £5,000 were:</w:t>
      </w:r>
    </w:p>
    <w:tbl>
      <w:tblPr>
        <w:tblW w:w="10065" w:type="dxa"/>
        <w:tblInd w:w="-284" w:type="dxa"/>
        <w:tblLook w:val="04A0" w:firstRow="1" w:lastRow="0" w:firstColumn="1" w:lastColumn="0" w:noHBand="0" w:noVBand="1"/>
      </w:tblPr>
      <w:tblGrid>
        <w:gridCol w:w="1129"/>
        <w:gridCol w:w="1157"/>
        <w:gridCol w:w="776"/>
        <w:gridCol w:w="778"/>
        <w:gridCol w:w="960"/>
        <w:gridCol w:w="960"/>
        <w:gridCol w:w="960"/>
        <w:gridCol w:w="972"/>
        <w:gridCol w:w="992"/>
        <w:gridCol w:w="1381"/>
      </w:tblGrid>
      <w:tr w:rsidR="00AF73B9" w:rsidRPr="00EB2995" w:rsidTr="00AF73B9">
        <w:trPr>
          <w:trHeight w:hRule="exact" w:val="340"/>
        </w:trPr>
        <w:tc>
          <w:tcPr>
            <w:tcW w:w="1129" w:type="dxa"/>
            <w:tcBorders>
              <w:top w:val="nil"/>
              <w:left w:val="nil"/>
              <w:bottom w:val="nil"/>
              <w:right w:val="nil"/>
            </w:tcBorders>
            <w:shd w:val="clear" w:color="auto" w:fill="auto"/>
            <w:noWrap/>
            <w:vAlign w:val="center"/>
          </w:tcPr>
          <w:p w:rsidR="00AF73B9" w:rsidRPr="00EB2995" w:rsidRDefault="00AF73B9" w:rsidP="00AF73B9">
            <w:pPr>
              <w:rPr>
                <w:rFonts w:cs="Calibri"/>
                <w:color w:val="000000"/>
                <w:lang w:eastAsia="en-GB"/>
              </w:rPr>
            </w:pPr>
          </w:p>
        </w:tc>
        <w:tc>
          <w:tcPr>
            <w:tcW w:w="1157" w:type="dxa"/>
            <w:tcBorders>
              <w:top w:val="nil"/>
              <w:left w:val="nil"/>
              <w:bottom w:val="nil"/>
              <w:right w:val="nil"/>
            </w:tcBorders>
            <w:shd w:val="clear" w:color="auto" w:fill="auto"/>
            <w:noWrap/>
            <w:vAlign w:val="bottom"/>
          </w:tcPr>
          <w:p w:rsidR="00AF73B9" w:rsidRPr="00EB2995" w:rsidRDefault="00AF73B9" w:rsidP="00AF73B9">
            <w:pPr>
              <w:rPr>
                <w:rFonts w:cs="Calibri"/>
                <w:sz w:val="20"/>
                <w:szCs w:val="20"/>
                <w:lang w:eastAsia="en-GB"/>
              </w:rPr>
            </w:pPr>
          </w:p>
        </w:tc>
        <w:tc>
          <w:tcPr>
            <w:tcW w:w="776" w:type="dxa"/>
            <w:tcBorders>
              <w:top w:val="nil"/>
              <w:left w:val="nil"/>
              <w:bottom w:val="nil"/>
              <w:right w:val="nil"/>
            </w:tcBorders>
            <w:shd w:val="clear" w:color="auto" w:fill="auto"/>
            <w:noWrap/>
            <w:vAlign w:val="bottom"/>
          </w:tcPr>
          <w:p w:rsidR="00AF73B9" w:rsidRPr="00EB2995" w:rsidRDefault="00AF73B9" w:rsidP="00AF73B9">
            <w:pPr>
              <w:rPr>
                <w:rFonts w:cs="Calibri"/>
                <w:sz w:val="20"/>
                <w:szCs w:val="20"/>
                <w:lang w:eastAsia="en-GB"/>
              </w:rPr>
            </w:pPr>
          </w:p>
        </w:tc>
        <w:tc>
          <w:tcPr>
            <w:tcW w:w="778" w:type="dxa"/>
            <w:tcBorders>
              <w:top w:val="nil"/>
              <w:left w:val="nil"/>
              <w:bottom w:val="nil"/>
              <w:right w:val="nil"/>
            </w:tcBorders>
            <w:shd w:val="clear" w:color="auto" w:fill="auto"/>
            <w:noWrap/>
            <w:vAlign w:val="bottom"/>
          </w:tcPr>
          <w:p w:rsidR="00AF73B9" w:rsidRPr="00EB2995" w:rsidRDefault="00AF73B9" w:rsidP="00AF73B9">
            <w:pPr>
              <w:rPr>
                <w:rFonts w:cs="Calibri"/>
                <w:sz w:val="20"/>
                <w:szCs w:val="20"/>
                <w:lang w:eastAsia="en-GB"/>
              </w:rPr>
            </w:pPr>
          </w:p>
        </w:tc>
        <w:tc>
          <w:tcPr>
            <w:tcW w:w="960" w:type="dxa"/>
            <w:tcBorders>
              <w:top w:val="nil"/>
              <w:left w:val="nil"/>
              <w:bottom w:val="nil"/>
              <w:right w:val="nil"/>
            </w:tcBorders>
            <w:shd w:val="clear" w:color="auto" w:fill="auto"/>
            <w:noWrap/>
            <w:vAlign w:val="bottom"/>
          </w:tcPr>
          <w:p w:rsidR="00AF73B9" w:rsidRPr="00EB2995" w:rsidRDefault="00AF73B9" w:rsidP="00AF73B9">
            <w:pPr>
              <w:rPr>
                <w:rFonts w:cs="Calibri"/>
                <w:sz w:val="20"/>
                <w:szCs w:val="20"/>
                <w:lang w:eastAsia="en-GB"/>
              </w:rPr>
            </w:pPr>
          </w:p>
        </w:tc>
        <w:tc>
          <w:tcPr>
            <w:tcW w:w="960" w:type="dxa"/>
            <w:tcBorders>
              <w:top w:val="nil"/>
              <w:left w:val="nil"/>
              <w:bottom w:val="nil"/>
              <w:right w:val="nil"/>
            </w:tcBorders>
            <w:shd w:val="clear" w:color="auto" w:fill="auto"/>
            <w:noWrap/>
            <w:vAlign w:val="bottom"/>
          </w:tcPr>
          <w:p w:rsidR="00AF73B9" w:rsidRPr="00EB2995" w:rsidRDefault="00AF73B9" w:rsidP="00AF73B9">
            <w:pPr>
              <w:rPr>
                <w:rFonts w:cs="Calibri"/>
                <w:sz w:val="20"/>
                <w:szCs w:val="20"/>
                <w:lang w:eastAsia="en-GB"/>
              </w:rPr>
            </w:pPr>
          </w:p>
        </w:tc>
        <w:tc>
          <w:tcPr>
            <w:tcW w:w="960" w:type="dxa"/>
            <w:tcBorders>
              <w:top w:val="nil"/>
              <w:left w:val="nil"/>
              <w:bottom w:val="nil"/>
              <w:right w:val="nil"/>
            </w:tcBorders>
            <w:shd w:val="clear" w:color="auto" w:fill="auto"/>
            <w:noWrap/>
            <w:vAlign w:val="bottom"/>
          </w:tcPr>
          <w:p w:rsidR="00AF73B9" w:rsidRPr="00EB2995" w:rsidRDefault="00AF73B9" w:rsidP="00AF73B9">
            <w:pPr>
              <w:rPr>
                <w:rFonts w:cs="Calibri"/>
                <w:sz w:val="20"/>
                <w:szCs w:val="20"/>
                <w:lang w:eastAsia="en-GB"/>
              </w:rPr>
            </w:pPr>
          </w:p>
        </w:tc>
        <w:tc>
          <w:tcPr>
            <w:tcW w:w="972" w:type="dxa"/>
            <w:tcBorders>
              <w:top w:val="nil"/>
              <w:left w:val="nil"/>
              <w:bottom w:val="nil"/>
              <w:right w:val="nil"/>
            </w:tcBorders>
            <w:shd w:val="clear" w:color="auto" w:fill="auto"/>
            <w:noWrap/>
            <w:vAlign w:val="bottom"/>
          </w:tcPr>
          <w:p w:rsidR="00AF73B9" w:rsidRPr="00EB2995" w:rsidRDefault="00AF73B9" w:rsidP="00AF73B9">
            <w:pPr>
              <w:rPr>
                <w:rFonts w:cs="Calibri"/>
                <w:sz w:val="20"/>
                <w:szCs w:val="20"/>
                <w:lang w:eastAsia="en-GB"/>
              </w:rPr>
            </w:pPr>
          </w:p>
        </w:tc>
        <w:tc>
          <w:tcPr>
            <w:tcW w:w="992" w:type="dxa"/>
            <w:tcBorders>
              <w:top w:val="nil"/>
              <w:left w:val="nil"/>
              <w:bottom w:val="nil"/>
              <w:right w:val="nil"/>
            </w:tcBorders>
            <w:shd w:val="clear" w:color="auto" w:fill="auto"/>
            <w:noWrap/>
            <w:vAlign w:val="bottom"/>
          </w:tcPr>
          <w:p w:rsidR="00AF73B9" w:rsidRPr="00EB2995" w:rsidRDefault="00AF73B9" w:rsidP="00AF73B9">
            <w:pPr>
              <w:rPr>
                <w:rFonts w:cs="Calibri"/>
                <w:sz w:val="20"/>
                <w:szCs w:val="20"/>
                <w:lang w:eastAsia="en-GB"/>
              </w:rPr>
            </w:pPr>
          </w:p>
        </w:tc>
        <w:tc>
          <w:tcPr>
            <w:tcW w:w="1381" w:type="dxa"/>
            <w:tcBorders>
              <w:top w:val="nil"/>
              <w:left w:val="nil"/>
              <w:bottom w:val="nil"/>
              <w:right w:val="nil"/>
            </w:tcBorders>
            <w:shd w:val="clear" w:color="auto" w:fill="auto"/>
            <w:noWrap/>
            <w:vAlign w:val="bottom"/>
          </w:tcPr>
          <w:p w:rsidR="00AF73B9" w:rsidRPr="00EB2995" w:rsidRDefault="00AF73B9" w:rsidP="00AF73B9">
            <w:pPr>
              <w:rPr>
                <w:rFonts w:cs="Calibri"/>
                <w:sz w:val="20"/>
                <w:szCs w:val="20"/>
                <w:lang w:eastAsia="en-GB"/>
              </w:rPr>
            </w:pPr>
          </w:p>
        </w:tc>
      </w:tr>
      <w:tr w:rsidR="00AF73B9" w:rsidRPr="00EB2995" w:rsidTr="00AF73B9">
        <w:trPr>
          <w:trHeight w:hRule="exact" w:val="340"/>
        </w:trPr>
        <w:tc>
          <w:tcPr>
            <w:tcW w:w="3062" w:type="dxa"/>
            <w:gridSpan w:val="3"/>
            <w:tcBorders>
              <w:top w:val="single" w:sz="8" w:space="0" w:color="auto"/>
              <w:left w:val="single" w:sz="8" w:space="0" w:color="auto"/>
              <w:bottom w:val="nil"/>
              <w:right w:val="single" w:sz="8" w:space="0" w:color="000000"/>
            </w:tcBorders>
            <w:shd w:val="clear" w:color="auto" w:fill="auto"/>
            <w:noWrap/>
            <w:vAlign w:val="center"/>
            <w:hideMark/>
          </w:tcPr>
          <w:p w:rsidR="00AF73B9" w:rsidRPr="00EB2995" w:rsidRDefault="00AF73B9" w:rsidP="00AF73B9">
            <w:pPr>
              <w:jc w:val="center"/>
              <w:rPr>
                <w:rFonts w:cs="Calibri"/>
                <w:b/>
                <w:bCs/>
                <w:color w:val="000000"/>
                <w:lang w:eastAsia="en-GB"/>
              </w:rPr>
            </w:pPr>
            <w:r w:rsidRPr="00EB2995">
              <w:rPr>
                <w:rFonts w:cs="Calibri"/>
                <w:b/>
                <w:bCs/>
                <w:color w:val="000000"/>
                <w:lang w:eastAsia="en-GB"/>
              </w:rPr>
              <w:t>2018/19</w:t>
            </w:r>
          </w:p>
        </w:tc>
        <w:tc>
          <w:tcPr>
            <w:tcW w:w="3658" w:type="dxa"/>
            <w:gridSpan w:val="4"/>
            <w:tcBorders>
              <w:top w:val="single" w:sz="8" w:space="0" w:color="auto"/>
              <w:left w:val="nil"/>
              <w:bottom w:val="nil"/>
              <w:right w:val="single" w:sz="8" w:space="0" w:color="000000"/>
            </w:tcBorders>
            <w:shd w:val="clear" w:color="auto" w:fill="auto"/>
            <w:vAlign w:val="center"/>
            <w:hideMark/>
          </w:tcPr>
          <w:p w:rsidR="00AF73B9" w:rsidRPr="00EB2995" w:rsidRDefault="00AF73B9" w:rsidP="00AF73B9">
            <w:pPr>
              <w:jc w:val="center"/>
              <w:rPr>
                <w:rFonts w:cs="Calibri"/>
                <w:b/>
                <w:bCs/>
                <w:color w:val="000000"/>
                <w:lang w:eastAsia="en-GB"/>
              </w:rPr>
            </w:pPr>
            <w:r w:rsidRPr="00EB2995">
              <w:rPr>
                <w:rFonts w:cs="Calibri"/>
                <w:b/>
                <w:bCs/>
                <w:color w:val="000000"/>
                <w:lang w:eastAsia="en-GB"/>
              </w:rPr>
              <w:t> </w:t>
            </w:r>
          </w:p>
        </w:tc>
        <w:tc>
          <w:tcPr>
            <w:tcW w:w="3345" w:type="dxa"/>
            <w:gridSpan w:val="3"/>
            <w:tcBorders>
              <w:top w:val="single" w:sz="8" w:space="0" w:color="auto"/>
              <w:left w:val="nil"/>
              <w:bottom w:val="nil"/>
              <w:right w:val="single" w:sz="8" w:space="0" w:color="000000"/>
            </w:tcBorders>
            <w:shd w:val="clear" w:color="auto" w:fill="auto"/>
            <w:noWrap/>
            <w:vAlign w:val="center"/>
            <w:hideMark/>
          </w:tcPr>
          <w:p w:rsidR="00AF73B9" w:rsidRPr="00EB2995" w:rsidRDefault="00AF73B9" w:rsidP="00AF73B9">
            <w:pPr>
              <w:jc w:val="center"/>
              <w:rPr>
                <w:rFonts w:cs="Calibri"/>
                <w:b/>
                <w:bCs/>
                <w:color w:val="000000"/>
                <w:lang w:eastAsia="en-GB"/>
              </w:rPr>
            </w:pPr>
            <w:r w:rsidRPr="00EB2995">
              <w:rPr>
                <w:rFonts w:cs="Calibri"/>
                <w:b/>
                <w:bCs/>
                <w:color w:val="000000"/>
                <w:lang w:eastAsia="en-GB"/>
              </w:rPr>
              <w:t>2019/20</w:t>
            </w:r>
          </w:p>
        </w:tc>
      </w:tr>
      <w:tr w:rsidR="00AF73B9" w:rsidRPr="00EB2995" w:rsidTr="00AF73B9">
        <w:trPr>
          <w:trHeight w:hRule="exact" w:val="340"/>
        </w:trPr>
        <w:tc>
          <w:tcPr>
            <w:tcW w:w="1129" w:type="dxa"/>
            <w:vMerge w:val="restart"/>
            <w:tcBorders>
              <w:top w:val="nil"/>
              <w:left w:val="single" w:sz="8" w:space="0" w:color="auto"/>
              <w:bottom w:val="nil"/>
              <w:right w:val="nil"/>
            </w:tcBorders>
            <w:shd w:val="clear" w:color="auto" w:fill="auto"/>
            <w:noWrap/>
            <w:vAlign w:val="center"/>
            <w:hideMark/>
          </w:tcPr>
          <w:p w:rsidR="00AF73B9" w:rsidRPr="00EB2995" w:rsidRDefault="00AF73B9" w:rsidP="00AF73B9">
            <w:pPr>
              <w:jc w:val="right"/>
              <w:rPr>
                <w:rFonts w:cs="Calibri"/>
                <w:b/>
                <w:bCs/>
                <w:color w:val="000000"/>
                <w:lang w:eastAsia="en-GB"/>
              </w:rPr>
            </w:pPr>
            <w:r w:rsidRPr="00EB2995">
              <w:rPr>
                <w:rFonts w:cs="Calibri"/>
                <w:b/>
                <w:bCs/>
                <w:color w:val="000000"/>
                <w:lang w:eastAsia="en-GB"/>
              </w:rPr>
              <w:t xml:space="preserve">Schools </w:t>
            </w:r>
          </w:p>
        </w:tc>
        <w:tc>
          <w:tcPr>
            <w:tcW w:w="1157" w:type="dxa"/>
            <w:vMerge w:val="restart"/>
            <w:tcBorders>
              <w:top w:val="nil"/>
              <w:left w:val="nil"/>
              <w:bottom w:val="nil"/>
              <w:right w:val="nil"/>
            </w:tcBorders>
            <w:shd w:val="clear" w:color="auto" w:fill="auto"/>
            <w:noWrap/>
            <w:vAlign w:val="center"/>
            <w:hideMark/>
          </w:tcPr>
          <w:p w:rsidR="00AF73B9" w:rsidRPr="00EB2995" w:rsidRDefault="00AF73B9" w:rsidP="00AF73B9">
            <w:pPr>
              <w:jc w:val="right"/>
              <w:rPr>
                <w:rFonts w:cs="Calibri"/>
                <w:b/>
                <w:bCs/>
                <w:color w:val="000000"/>
                <w:lang w:eastAsia="en-GB"/>
              </w:rPr>
            </w:pPr>
          </w:p>
        </w:tc>
        <w:tc>
          <w:tcPr>
            <w:tcW w:w="776" w:type="dxa"/>
            <w:vMerge w:val="restart"/>
            <w:tcBorders>
              <w:top w:val="nil"/>
              <w:left w:val="nil"/>
              <w:bottom w:val="nil"/>
              <w:right w:val="single" w:sz="8" w:space="0" w:color="auto"/>
            </w:tcBorders>
            <w:shd w:val="clear" w:color="auto" w:fill="auto"/>
            <w:noWrap/>
            <w:vAlign w:val="center"/>
            <w:hideMark/>
          </w:tcPr>
          <w:p w:rsidR="00AF73B9" w:rsidRPr="00EB2995" w:rsidRDefault="00AF73B9" w:rsidP="00AF73B9">
            <w:pPr>
              <w:jc w:val="right"/>
              <w:rPr>
                <w:rFonts w:cs="Calibri"/>
                <w:b/>
                <w:bCs/>
                <w:color w:val="000000"/>
                <w:lang w:eastAsia="en-GB"/>
              </w:rPr>
            </w:pPr>
            <w:r w:rsidRPr="00EB2995">
              <w:rPr>
                <w:rFonts w:cs="Calibri"/>
                <w:b/>
                <w:bCs/>
                <w:color w:val="000000"/>
                <w:lang w:eastAsia="en-GB"/>
              </w:rPr>
              <w:t> </w:t>
            </w:r>
          </w:p>
        </w:tc>
        <w:tc>
          <w:tcPr>
            <w:tcW w:w="3658" w:type="dxa"/>
            <w:gridSpan w:val="4"/>
            <w:tcBorders>
              <w:top w:val="nil"/>
              <w:left w:val="nil"/>
              <w:bottom w:val="nil"/>
              <w:right w:val="single" w:sz="8" w:space="0" w:color="000000"/>
            </w:tcBorders>
            <w:shd w:val="clear" w:color="auto" w:fill="auto"/>
            <w:vAlign w:val="center"/>
            <w:hideMark/>
          </w:tcPr>
          <w:p w:rsidR="00AF73B9" w:rsidRPr="00EB2995" w:rsidRDefault="00AF73B9" w:rsidP="00AF73B9">
            <w:pPr>
              <w:jc w:val="center"/>
              <w:rPr>
                <w:rFonts w:cs="Calibri"/>
                <w:b/>
                <w:bCs/>
                <w:color w:val="000000"/>
                <w:lang w:eastAsia="en-GB"/>
              </w:rPr>
            </w:pPr>
            <w:r w:rsidRPr="00EB2995">
              <w:rPr>
                <w:rFonts w:cs="Calibri"/>
                <w:b/>
                <w:bCs/>
                <w:color w:val="000000"/>
                <w:lang w:eastAsia="en-GB"/>
              </w:rPr>
              <w:t>Remuneration</w:t>
            </w:r>
          </w:p>
        </w:tc>
        <w:tc>
          <w:tcPr>
            <w:tcW w:w="972" w:type="dxa"/>
            <w:vMerge w:val="restart"/>
            <w:tcBorders>
              <w:top w:val="nil"/>
              <w:left w:val="single" w:sz="8" w:space="0" w:color="auto"/>
              <w:bottom w:val="nil"/>
              <w:right w:val="nil"/>
            </w:tcBorders>
            <w:shd w:val="clear" w:color="auto" w:fill="auto"/>
            <w:noWrap/>
            <w:vAlign w:val="center"/>
            <w:hideMark/>
          </w:tcPr>
          <w:p w:rsidR="00AF73B9" w:rsidRPr="00EB2995" w:rsidRDefault="00AF73B9" w:rsidP="00AF73B9">
            <w:pPr>
              <w:jc w:val="right"/>
              <w:rPr>
                <w:rFonts w:cs="Calibri"/>
                <w:b/>
                <w:bCs/>
                <w:color w:val="000000"/>
                <w:lang w:eastAsia="en-GB"/>
              </w:rPr>
            </w:pPr>
            <w:r w:rsidRPr="00EB2995">
              <w:rPr>
                <w:rFonts w:cs="Calibri"/>
                <w:b/>
                <w:bCs/>
                <w:color w:val="000000"/>
                <w:lang w:eastAsia="en-GB"/>
              </w:rPr>
              <w:t xml:space="preserve">Schools </w:t>
            </w:r>
          </w:p>
        </w:tc>
        <w:tc>
          <w:tcPr>
            <w:tcW w:w="992" w:type="dxa"/>
            <w:vMerge w:val="restart"/>
            <w:tcBorders>
              <w:top w:val="nil"/>
              <w:left w:val="nil"/>
              <w:bottom w:val="nil"/>
              <w:right w:val="nil"/>
            </w:tcBorders>
            <w:shd w:val="clear" w:color="auto" w:fill="auto"/>
            <w:noWrap/>
            <w:vAlign w:val="center"/>
            <w:hideMark/>
          </w:tcPr>
          <w:p w:rsidR="00AF73B9" w:rsidRPr="00EB2995" w:rsidRDefault="00AF73B9" w:rsidP="00AF73B9">
            <w:pPr>
              <w:jc w:val="right"/>
              <w:rPr>
                <w:rFonts w:cs="Calibri"/>
                <w:b/>
                <w:bCs/>
                <w:color w:val="000000"/>
                <w:lang w:eastAsia="en-GB"/>
              </w:rPr>
            </w:pPr>
          </w:p>
        </w:tc>
        <w:tc>
          <w:tcPr>
            <w:tcW w:w="1381" w:type="dxa"/>
            <w:vMerge w:val="restart"/>
            <w:tcBorders>
              <w:top w:val="nil"/>
              <w:left w:val="nil"/>
              <w:bottom w:val="nil"/>
              <w:right w:val="single" w:sz="8" w:space="0" w:color="auto"/>
            </w:tcBorders>
            <w:shd w:val="clear" w:color="auto" w:fill="auto"/>
            <w:noWrap/>
            <w:vAlign w:val="center"/>
            <w:hideMark/>
          </w:tcPr>
          <w:p w:rsidR="00AF73B9" w:rsidRPr="00EB2995" w:rsidRDefault="00AF73B9" w:rsidP="00AF73B9">
            <w:pPr>
              <w:jc w:val="right"/>
              <w:rPr>
                <w:rFonts w:cs="Calibri"/>
                <w:b/>
                <w:bCs/>
                <w:color w:val="000000"/>
                <w:lang w:eastAsia="en-GB"/>
              </w:rPr>
            </w:pPr>
            <w:r w:rsidRPr="00EB2995">
              <w:rPr>
                <w:rFonts w:cs="Calibri"/>
                <w:b/>
                <w:bCs/>
                <w:color w:val="000000"/>
                <w:lang w:eastAsia="en-GB"/>
              </w:rPr>
              <w:t> </w:t>
            </w:r>
          </w:p>
        </w:tc>
      </w:tr>
      <w:tr w:rsidR="00AF73B9" w:rsidRPr="00EB2995" w:rsidTr="00AF73B9">
        <w:trPr>
          <w:trHeight w:hRule="exact" w:val="340"/>
        </w:trPr>
        <w:tc>
          <w:tcPr>
            <w:tcW w:w="1129" w:type="dxa"/>
            <w:vMerge/>
            <w:tcBorders>
              <w:top w:val="nil"/>
              <w:left w:val="single" w:sz="8" w:space="0" w:color="auto"/>
              <w:bottom w:val="nil"/>
              <w:right w:val="nil"/>
            </w:tcBorders>
            <w:vAlign w:val="center"/>
            <w:hideMark/>
          </w:tcPr>
          <w:p w:rsidR="00AF73B9" w:rsidRPr="00EB2995" w:rsidRDefault="00AF73B9" w:rsidP="00AF73B9">
            <w:pPr>
              <w:rPr>
                <w:rFonts w:cs="Calibri"/>
                <w:b/>
                <w:bCs/>
                <w:color w:val="000000"/>
                <w:lang w:eastAsia="en-GB"/>
              </w:rPr>
            </w:pPr>
          </w:p>
        </w:tc>
        <w:tc>
          <w:tcPr>
            <w:tcW w:w="1157" w:type="dxa"/>
            <w:vMerge/>
            <w:tcBorders>
              <w:top w:val="nil"/>
              <w:left w:val="nil"/>
              <w:bottom w:val="nil"/>
              <w:right w:val="nil"/>
            </w:tcBorders>
            <w:vAlign w:val="center"/>
            <w:hideMark/>
          </w:tcPr>
          <w:p w:rsidR="00AF73B9" w:rsidRPr="00EB2995" w:rsidRDefault="00AF73B9" w:rsidP="00AF73B9">
            <w:pPr>
              <w:rPr>
                <w:rFonts w:cs="Calibri"/>
                <w:b/>
                <w:bCs/>
                <w:color w:val="000000"/>
                <w:lang w:eastAsia="en-GB"/>
              </w:rPr>
            </w:pPr>
          </w:p>
        </w:tc>
        <w:tc>
          <w:tcPr>
            <w:tcW w:w="776" w:type="dxa"/>
            <w:vMerge/>
            <w:tcBorders>
              <w:top w:val="nil"/>
              <w:left w:val="nil"/>
              <w:bottom w:val="nil"/>
              <w:right w:val="single" w:sz="8" w:space="0" w:color="auto"/>
            </w:tcBorders>
            <w:vAlign w:val="center"/>
            <w:hideMark/>
          </w:tcPr>
          <w:p w:rsidR="00AF73B9" w:rsidRPr="00EB2995" w:rsidRDefault="00AF73B9" w:rsidP="00AF73B9">
            <w:pPr>
              <w:rPr>
                <w:rFonts w:cs="Calibri"/>
                <w:b/>
                <w:bCs/>
                <w:color w:val="000000"/>
                <w:lang w:eastAsia="en-GB"/>
              </w:rPr>
            </w:pPr>
          </w:p>
        </w:tc>
        <w:tc>
          <w:tcPr>
            <w:tcW w:w="3658" w:type="dxa"/>
            <w:gridSpan w:val="4"/>
            <w:tcBorders>
              <w:top w:val="nil"/>
              <w:left w:val="nil"/>
              <w:bottom w:val="nil"/>
              <w:right w:val="single" w:sz="8" w:space="0" w:color="000000"/>
            </w:tcBorders>
            <w:shd w:val="clear" w:color="auto" w:fill="auto"/>
            <w:vAlign w:val="center"/>
            <w:hideMark/>
          </w:tcPr>
          <w:p w:rsidR="00AF73B9" w:rsidRPr="00EB2995" w:rsidRDefault="00AF73B9" w:rsidP="00AF73B9">
            <w:pPr>
              <w:jc w:val="center"/>
              <w:rPr>
                <w:rFonts w:cs="Calibri"/>
                <w:b/>
                <w:bCs/>
                <w:color w:val="000000"/>
                <w:lang w:eastAsia="en-GB"/>
              </w:rPr>
            </w:pPr>
            <w:r w:rsidRPr="00EB2995">
              <w:rPr>
                <w:rFonts w:cs="Calibri"/>
                <w:b/>
                <w:bCs/>
                <w:color w:val="000000"/>
                <w:lang w:eastAsia="en-GB"/>
              </w:rPr>
              <w:t>band</w:t>
            </w:r>
          </w:p>
        </w:tc>
        <w:tc>
          <w:tcPr>
            <w:tcW w:w="972" w:type="dxa"/>
            <w:vMerge/>
            <w:tcBorders>
              <w:top w:val="nil"/>
              <w:left w:val="single" w:sz="8" w:space="0" w:color="auto"/>
              <w:bottom w:val="nil"/>
              <w:right w:val="nil"/>
            </w:tcBorders>
            <w:vAlign w:val="center"/>
            <w:hideMark/>
          </w:tcPr>
          <w:p w:rsidR="00AF73B9" w:rsidRPr="00EB2995" w:rsidRDefault="00AF73B9" w:rsidP="00AF73B9">
            <w:pPr>
              <w:rPr>
                <w:rFonts w:cs="Calibri"/>
                <w:b/>
                <w:bCs/>
                <w:color w:val="000000"/>
                <w:lang w:eastAsia="en-GB"/>
              </w:rPr>
            </w:pPr>
          </w:p>
        </w:tc>
        <w:tc>
          <w:tcPr>
            <w:tcW w:w="992" w:type="dxa"/>
            <w:vMerge/>
            <w:tcBorders>
              <w:top w:val="nil"/>
              <w:left w:val="nil"/>
              <w:bottom w:val="nil"/>
              <w:right w:val="nil"/>
            </w:tcBorders>
            <w:vAlign w:val="center"/>
            <w:hideMark/>
          </w:tcPr>
          <w:p w:rsidR="00AF73B9" w:rsidRPr="00EB2995" w:rsidRDefault="00AF73B9" w:rsidP="00AF73B9">
            <w:pPr>
              <w:rPr>
                <w:rFonts w:cs="Calibri"/>
                <w:b/>
                <w:bCs/>
                <w:color w:val="000000"/>
                <w:lang w:eastAsia="en-GB"/>
              </w:rPr>
            </w:pPr>
          </w:p>
        </w:tc>
        <w:tc>
          <w:tcPr>
            <w:tcW w:w="1381" w:type="dxa"/>
            <w:vMerge/>
            <w:tcBorders>
              <w:top w:val="nil"/>
              <w:left w:val="nil"/>
              <w:bottom w:val="nil"/>
              <w:right w:val="single" w:sz="8" w:space="0" w:color="auto"/>
            </w:tcBorders>
            <w:vAlign w:val="center"/>
            <w:hideMark/>
          </w:tcPr>
          <w:p w:rsidR="00AF73B9" w:rsidRPr="00EB2995" w:rsidRDefault="00AF73B9" w:rsidP="00AF73B9">
            <w:pPr>
              <w:rPr>
                <w:rFonts w:cs="Calibri"/>
                <w:b/>
                <w:bCs/>
                <w:color w:val="000000"/>
                <w:lang w:eastAsia="en-GB"/>
              </w:rPr>
            </w:pPr>
          </w:p>
        </w:tc>
      </w:tr>
      <w:tr w:rsidR="00AF73B9" w:rsidRPr="00EB2995" w:rsidTr="00AF73B9">
        <w:trPr>
          <w:trHeight w:hRule="exact" w:val="340"/>
        </w:trPr>
        <w:tc>
          <w:tcPr>
            <w:tcW w:w="1129" w:type="dxa"/>
            <w:tcBorders>
              <w:top w:val="nil"/>
              <w:left w:val="single" w:sz="8" w:space="0" w:color="auto"/>
              <w:bottom w:val="single" w:sz="8" w:space="0" w:color="auto"/>
              <w:right w:val="nil"/>
            </w:tcBorders>
            <w:shd w:val="clear" w:color="auto" w:fill="auto"/>
            <w:noWrap/>
            <w:vAlign w:val="center"/>
            <w:hideMark/>
          </w:tcPr>
          <w:p w:rsidR="00AF73B9" w:rsidRPr="00EB2995" w:rsidRDefault="00AF73B9" w:rsidP="00AF73B9">
            <w:pPr>
              <w:jc w:val="right"/>
              <w:rPr>
                <w:rFonts w:cs="Calibri"/>
                <w:b/>
                <w:bCs/>
                <w:color w:val="000000"/>
                <w:lang w:eastAsia="en-GB"/>
              </w:rPr>
            </w:pPr>
            <w:r w:rsidRPr="00EB2995">
              <w:rPr>
                <w:rFonts w:cs="Calibri"/>
                <w:b/>
                <w:bCs/>
                <w:color w:val="000000"/>
                <w:lang w:eastAsia="en-GB"/>
              </w:rPr>
              <w:t>Staff</w:t>
            </w:r>
          </w:p>
        </w:tc>
        <w:tc>
          <w:tcPr>
            <w:tcW w:w="1157" w:type="dxa"/>
            <w:tcBorders>
              <w:top w:val="nil"/>
              <w:left w:val="nil"/>
              <w:bottom w:val="single" w:sz="8" w:space="0" w:color="auto"/>
              <w:right w:val="nil"/>
            </w:tcBorders>
            <w:shd w:val="clear" w:color="auto" w:fill="auto"/>
            <w:noWrap/>
            <w:vAlign w:val="center"/>
            <w:hideMark/>
          </w:tcPr>
          <w:p w:rsidR="00AF73B9" w:rsidRPr="00EB2995" w:rsidRDefault="00AF73B9" w:rsidP="00AF73B9">
            <w:pPr>
              <w:jc w:val="right"/>
              <w:rPr>
                <w:rFonts w:cs="Calibri"/>
                <w:b/>
                <w:bCs/>
                <w:color w:val="000000"/>
                <w:lang w:eastAsia="en-GB"/>
              </w:rPr>
            </w:pPr>
            <w:r w:rsidRPr="00EB2995">
              <w:rPr>
                <w:rFonts w:cs="Calibri"/>
                <w:b/>
                <w:bCs/>
                <w:color w:val="000000"/>
                <w:lang w:eastAsia="en-GB"/>
              </w:rPr>
              <w:t>Officers</w:t>
            </w:r>
          </w:p>
        </w:tc>
        <w:tc>
          <w:tcPr>
            <w:tcW w:w="776" w:type="dxa"/>
            <w:tcBorders>
              <w:top w:val="nil"/>
              <w:left w:val="nil"/>
              <w:bottom w:val="single" w:sz="8" w:space="0" w:color="auto"/>
              <w:right w:val="single" w:sz="8" w:space="0" w:color="auto"/>
            </w:tcBorders>
            <w:shd w:val="clear" w:color="auto" w:fill="auto"/>
            <w:noWrap/>
            <w:vAlign w:val="center"/>
            <w:hideMark/>
          </w:tcPr>
          <w:p w:rsidR="00AF73B9" w:rsidRPr="00EB2995" w:rsidRDefault="00AF73B9" w:rsidP="00AF73B9">
            <w:pPr>
              <w:jc w:val="right"/>
              <w:rPr>
                <w:rFonts w:cs="Calibri"/>
                <w:b/>
                <w:bCs/>
                <w:color w:val="000000"/>
                <w:lang w:eastAsia="en-GB"/>
              </w:rPr>
            </w:pPr>
            <w:r w:rsidRPr="00EB2995">
              <w:rPr>
                <w:rFonts w:cs="Calibri"/>
                <w:b/>
                <w:bCs/>
                <w:color w:val="000000"/>
                <w:lang w:eastAsia="en-GB"/>
              </w:rPr>
              <w:t>Total</w:t>
            </w:r>
          </w:p>
        </w:tc>
        <w:tc>
          <w:tcPr>
            <w:tcW w:w="3658" w:type="dxa"/>
            <w:gridSpan w:val="4"/>
            <w:tcBorders>
              <w:top w:val="nil"/>
              <w:left w:val="nil"/>
              <w:bottom w:val="single" w:sz="8" w:space="0" w:color="auto"/>
              <w:right w:val="single" w:sz="8" w:space="0" w:color="000000"/>
            </w:tcBorders>
            <w:shd w:val="clear" w:color="auto" w:fill="auto"/>
            <w:vAlign w:val="center"/>
            <w:hideMark/>
          </w:tcPr>
          <w:p w:rsidR="00AF73B9" w:rsidRPr="00EB2995" w:rsidRDefault="00AF73B9" w:rsidP="00AF73B9">
            <w:pPr>
              <w:jc w:val="center"/>
              <w:rPr>
                <w:rFonts w:cs="Calibri"/>
                <w:b/>
                <w:bCs/>
                <w:color w:val="000000"/>
                <w:lang w:eastAsia="en-GB"/>
              </w:rPr>
            </w:pPr>
            <w:r w:rsidRPr="00EB2995">
              <w:rPr>
                <w:rFonts w:cs="Calibri"/>
                <w:b/>
                <w:bCs/>
                <w:color w:val="000000"/>
                <w:lang w:eastAsia="en-GB"/>
              </w:rPr>
              <w:t>£</w:t>
            </w:r>
          </w:p>
        </w:tc>
        <w:tc>
          <w:tcPr>
            <w:tcW w:w="972" w:type="dxa"/>
            <w:tcBorders>
              <w:top w:val="nil"/>
              <w:left w:val="nil"/>
              <w:bottom w:val="single" w:sz="8" w:space="0" w:color="auto"/>
              <w:right w:val="nil"/>
            </w:tcBorders>
            <w:shd w:val="clear" w:color="auto" w:fill="auto"/>
            <w:noWrap/>
            <w:vAlign w:val="center"/>
            <w:hideMark/>
          </w:tcPr>
          <w:p w:rsidR="00AF73B9" w:rsidRPr="00EB2995" w:rsidRDefault="00AF73B9" w:rsidP="00AF73B9">
            <w:pPr>
              <w:jc w:val="right"/>
              <w:rPr>
                <w:rFonts w:cs="Calibri"/>
                <w:b/>
                <w:bCs/>
                <w:color w:val="000000"/>
                <w:lang w:eastAsia="en-GB"/>
              </w:rPr>
            </w:pPr>
            <w:r w:rsidRPr="00EB2995">
              <w:rPr>
                <w:rFonts w:cs="Calibri"/>
                <w:b/>
                <w:bCs/>
                <w:color w:val="000000"/>
                <w:lang w:eastAsia="en-GB"/>
              </w:rPr>
              <w:t>Staff</w:t>
            </w:r>
          </w:p>
        </w:tc>
        <w:tc>
          <w:tcPr>
            <w:tcW w:w="992" w:type="dxa"/>
            <w:tcBorders>
              <w:top w:val="nil"/>
              <w:left w:val="nil"/>
              <w:bottom w:val="single" w:sz="8" w:space="0" w:color="auto"/>
              <w:right w:val="nil"/>
            </w:tcBorders>
            <w:shd w:val="clear" w:color="auto" w:fill="auto"/>
            <w:noWrap/>
            <w:vAlign w:val="center"/>
            <w:hideMark/>
          </w:tcPr>
          <w:p w:rsidR="00AF73B9" w:rsidRPr="00EB2995" w:rsidRDefault="00AF73B9" w:rsidP="00AF73B9">
            <w:pPr>
              <w:jc w:val="right"/>
              <w:rPr>
                <w:rFonts w:cs="Calibri"/>
                <w:b/>
                <w:bCs/>
                <w:color w:val="000000"/>
                <w:lang w:eastAsia="en-GB"/>
              </w:rPr>
            </w:pPr>
            <w:r w:rsidRPr="00EB2995">
              <w:rPr>
                <w:rFonts w:cs="Calibri"/>
                <w:b/>
                <w:bCs/>
                <w:color w:val="000000"/>
                <w:lang w:eastAsia="en-GB"/>
              </w:rPr>
              <w:t>Officers</w:t>
            </w:r>
          </w:p>
        </w:tc>
        <w:tc>
          <w:tcPr>
            <w:tcW w:w="1381" w:type="dxa"/>
            <w:tcBorders>
              <w:top w:val="nil"/>
              <w:left w:val="nil"/>
              <w:bottom w:val="single" w:sz="8" w:space="0" w:color="auto"/>
              <w:right w:val="single" w:sz="8" w:space="0" w:color="auto"/>
            </w:tcBorders>
            <w:shd w:val="clear" w:color="auto" w:fill="auto"/>
            <w:noWrap/>
            <w:vAlign w:val="center"/>
            <w:hideMark/>
          </w:tcPr>
          <w:p w:rsidR="00AF73B9" w:rsidRPr="00EB2995" w:rsidRDefault="00AF73B9" w:rsidP="00AF73B9">
            <w:pPr>
              <w:jc w:val="right"/>
              <w:rPr>
                <w:rFonts w:cs="Calibri"/>
                <w:b/>
                <w:bCs/>
                <w:color w:val="000000"/>
                <w:lang w:eastAsia="en-GB"/>
              </w:rPr>
            </w:pPr>
            <w:r w:rsidRPr="00EB2995">
              <w:rPr>
                <w:rFonts w:cs="Calibri"/>
                <w:b/>
                <w:bCs/>
                <w:color w:val="000000"/>
                <w:lang w:eastAsia="en-GB"/>
              </w:rPr>
              <w:t>Total</w:t>
            </w:r>
          </w:p>
        </w:tc>
      </w:tr>
      <w:tr w:rsidR="00AF73B9" w:rsidRPr="00EB2995" w:rsidTr="00AF73B9">
        <w:trPr>
          <w:trHeight w:hRule="exact" w:val="340"/>
        </w:trPr>
        <w:tc>
          <w:tcPr>
            <w:tcW w:w="1129" w:type="dxa"/>
            <w:tcBorders>
              <w:top w:val="nil"/>
              <w:left w:val="single" w:sz="8" w:space="0" w:color="auto"/>
              <w:bottom w:val="nil"/>
              <w:right w:val="nil"/>
            </w:tcBorders>
            <w:shd w:val="clear" w:color="auto" w:fill="auto"/>
            <w:noWrap/>
            <w:vAlign w:val="center"/>
            <w:hideMark/>
          </w:tcPr>
          <w:p w:rsidR="00AF73B9" w:rsidRPr="00EB2995" w:rsidRDefault="00AF73B9" w:rsidP="00AF73B9">
            <w:pPr>
              <w:jc w:val="center"/>
              <w:rPr>
                <w:rFonts w:cs="Calibri"/>
                <w:color w:val="000000"/>
                <w:lang w:eastAsia="en-GB"/>
              </w:rPr>
            </w:pPr>
            <w:r w:rsidRPr="00EB2995">
              <w:rPr>
                <w:rFonts w:cs="Calibri"/>
                <w:color w:val="000000"/>
                <w:lang w:eastAsia="en-GB"/>
              </w:rPr>
              <w:t> </w:t>
            </w:r>
          </w:p>
        </w:tc>
        <w:tc>
          <w:tcPr>
            <w:tcW w:w="1157" w:type="dxa"/>
            <w:tcBorders>
              <w:top w:val="nil"/>
              <w:left w:val="nil"/>
              <w:bottom w:val="nil"/>
              <w:right w:val="nil"/>
            </w:tcBorders>
            <w:shd w:val="clear" w:color="auto" w:fill="auto"/>
            <w:noWrap/>
            <w:vAlign w:val="center"/>
            <w:hideMark/>
          </w:tcPr>
          <w:p w:rsidR="00AF73B9" w:rsidRPr="00EB2995" w:rsidRDefault="00AF73B9" w:rsidP="00AF73B9">
            <w:pPr>
              <w:jc w:val="center"/>
              <w:rPr>
                <w:rFonts w:cs="Calibri"/>
                <w:color w:val="000000"/>
                <w:lang w:eastAsia="en-GB"/>
              </w:rPr>
            </w:pPr>
          </w:p>
        </w:tc>
        <w:tc>
          <w:tcPr>
            <w:tcW w:w="776" w:type="dxa"/>
            <w:tcBorders>
              <w:top w:val="nil"/>
              <w:left w:val="nil"/>
              <w:bottom w:val="nil"/>
              <w:right w:val="single" w:sz="8" w:space="0" w:color="auto"/>
            </w:tcBorders>
            <w:shd w:val="clear" w:color="auto" w:fill="auto"/>
            <w:noWrap/>
            <w:vAlign w:val="center"/>
            <w:hideMark/>
          </w:tcPr>
          <w:p w:rsidR="00AF73B9" w:rsidRPr="00EB2995" w:rsidRDefault="00AF73B9" w:rsidP="00AF73B9">
            <w:pPr>
              <w:jc w:val="right"/>
              <w:rPr>
                <w:rFonts w:cs="Calibri"/>
                <w:color w:val="000000"/>
                <w:lang w:eastAsia="en-GB"/>
              </w:rPr>
            </w:pPr>
            <w:r w:rsidRPr="00EB2995">
              <w:rPr>
                <w:rFonts w:cs="Calibri"/>
                <w:color w:val="000000"/>
                <w:lang w:eastAsia="en-GB"/>
              </w:rPr>
              <w:t> </w:t>
            </w:r>
          </w:p>
        </w:tc>
        <w:tc>
          <w:tcPr>
            <w:tcW w:w="3658" w:type="dxa"/>
            <w:gridSpan w:val="4"/>
            <w:tcBorders>
              <w:top w:val="single" w:sz="8" w:space="0" w:color="auto"/>
              <w:left w:val="nil"/>
              <w:bottom w:val="nil"/>
              <w:right w:val="single" w:sz="8" w:space="0" w:color="000000"/>
            </w:tcBorders>
            <w:shd w:val="clear" w:color="auto" w:fill="auto"/>
            <w:vAlign w:val="center"/>
            <w:hideMark/>
          </w:tcPr>
          <w:p w:rsidR="00AF73B9" w:rsidRPr="00EB2995" w:rsidRDefault="00AF73B9" w:rsidP="00AF73B9">
            <w:pPr>
              <w:jc w:val="right"/>
              <w:rPr>
                <w:rFonts w:cs="Calibri"/>
                <w:color w:val="000000"/>
                <w:lang w:eastAsia="en-GB"/>
              </w:rPr>
            </w:pPr>
            <w:r w:rsidRPr="00EB2995">
              <w:rPr>
                <w:rFonts w:cs="Calibri"/>
                <w:color w:val="000000"/>
                <w:lang w:eastAsia="en-GB"/>
              </w:rPr>
              <w:t> </w:t>
            </w:r>
          </w:p>
        </w:tc>
        <w:tc>
          <w:tcPr>
            <w:tcW w:w="972" w:type="dxa"/>
            <w:tcBorders>
              <w:top w:val="nil"/>
              <w:left w:val="nil"/>
              <w:bottom w:val="nil"/>
              <w:right w:val="nil"/>
            </w:tcBorders>
            <w:shd w:val="clear" w:color="auto" w:fill="auto"/>
            <w:noWrap/>
            <w:vAlign w:val="center"/>
            <w:hideMark/>
          </w:tcPr>
          <w:p w:rsidR="00AF73B9" w:rsidRPr="00EB2995" w:rsidRDefault="00AF73B9" w:rsidP="00AF73B9">
            <w:pPr>
              <w:jc w:val="right"/>
              <w:rPr>
                <w:rFonts w:cs="Calibri"/>
                <w:color w:val="000000"/>
                <w:lang w:eastAsia="en-GB"/>
              </w:rPr>
            </w:pPr>
          </w:p>
        </w:tc>
        <w:tc>
          <w:tcPr>
            <w:tcW w:w="992" w:type="dxa"/>
            <w:tcBorders>
              <w:top w:val="nil"/>
              <w:left w:val="nil"/>
              <w:bottom w:val="nil"/>
              <w:right w:val="nil"/>
            </w:tcBorders>
            <w:shd w:val="clear" w:color="auto" w:fill="auto"/>
            <w:noWrap/>
            <w:vAlign w:val="center"/>
            <w:hideMark/>
          </w:tcPr>
          <w:p w:rsidR="00AF73B9" w:rsidRPr="00EB2995" w:rsidRDefault="00AF73B9" w:rsidP="00AF73B9">
            <w:pPr>
              <w:rPr>
                <w:rFonts w:cs="Calibri"/>
                <w:sz w:val="20"/>
                <w:szCs w:val="20"/>
                <w:lang w:eastAsia="en-GB"/>
              </w:rPr>
            </w:pPr>
          </w:p>
        </w:tc>
        <w:tc>
          <w:tcPr>
            <w:tcW w:w="1381" w:type="dxa"/>
            <w:tcBorders>
              <w:top w:val="nil"/>
              <w:left w:val="nil"/>
              <w:bottom w:val="nil"/>
              <w:right w:val="single" w:sz="8" w:space="0" w:color="auto"/>
            </w:tcBorders>
            <w:shd w:val="clear" w:color="auto" w:fill="auto"/>
            <w:noWrap/>
            <w:vAlign w:val="center"/>
            <w:hideMark/>
          </w:tcPr>
          <w:p w:rsidR="00AF73B9" w:rsidRPr="00EB2995" w:rsidRDefault="00AF73B9" w:rsidP="00AF73B9">
            <w:pPr>
              <w:jc w:val="right"/>
              <w:rPr>
                <w:rFonts w:cs="Calibri"/>
                <w:color w:val="000000"/>
                <w:lang w:eastAsia="en-GB"/>
              </w:rPr>
            </w:pPr>
            <w:r w:rsidRPr="00EB2995">
              <w:rPr>
                <w:rFonts w:cs="Calibri"/>
                <w:color w:val="000000"/>
                <w:lang w:eastAsia="en-GB"/>
              </w:rPr>
              <w:t> </w:t>
            </w:r>
          </w:p>
        </w:tc>
      </w:tr>
      <w:tr w:rsidR="00AF73B9" w:rsidRPr="00EB2995" w:rsidTr="00AF73B9">
        <w:trPr>
          <w:trHeight w:hRule="exact" w:val="340"/>
        </w:trPr>
        <w:tc>
          <w:tcPr>
            <w:tcW w:w="1129" w:type="dxa"/>
            <w:tcBorders>
              <w:top w:val="nil"/>
              <w:left w:val="single" w:sz="8" w:space="0" w:color="auto"/>
              <w:bottom w:val="nil"/>
              <w:right w:val="nil"/>
            </w:tcBorders>
            <w:shd w:val="clear" w:color="auto" w:fill="auto"/>
            <w:noWrap/>
            <w:vAlign w:val="center"/>
            <w:hideMark/>
          </w:tcPr>
          <w:p w:rsidR="00AF73B9" w:rsidRPr="00EB2995" w:rsidRDefault="00AF73B9" w:rsidP="00AF73B9">
            <w:pPr>
              <w:jc w:val="right"/>
              <w:rPr>
                <w:rFonts w:cs="Calibri"/>
                <w:color w:val="000000"/>
                <w:lang w:eastAsia="en-GB"/>
              </w:rPr>
            </w:pPr>
            <w:r w:rsidRPr="00EB2995">
              <w:rPr>
                <w:rFonts w:cs="Calibri"/>
                <w:color w:val="000000"/>
                <w:lang w:eastAsia="en-GB"/>
              </w:rPr>
              <w:t>132</w:t>
            </w:r>
          </w:p>
        </w:tc>
        <w:tc>
          <w:tcPr>
            <w:tcW w:w="1157" w:type="dxa"/>
            <w:tcBorders>
              <w:top w:val="nil"/>
              <w:left w:val="nil"/>
              <w:bottom w:val="nil"/>
              <w:right w:val="nil"/>
            </w:tcBorders>
            <w:shd w:val="clear" w:color="auto" w:fill="auto"/>
            <w:noWrap/>
            <w:vAlign w:val="center"/>
            <w:hideMark/>
          </w:tcPr>
          <w:p w:rsidR="00AF73B9" w:rsidRPr="00EB2995" w:rsidRDefault="00AF73B9" w:rsidP="00AF73B9">
            <w:pPr>
              <w:jc w:val="right"/>
              <w:rPr>
                <w:rFonts w:cs="Calibri"/>
                <w:color w:val="000000"/>
                <w:lang w:eastAsia="en-GB"/>
              </w:rPr>
            </w:pPr>
            <w:r w:rsidRPr="00EB2995">
              <w:rPr>
                <w:rFonts w:cs="Calibri"/>
                <w:color w:val="000000"/>
                <w:lang w:eastAsia="en-GB"/>
              </w:rPr>
              <w:t>90</w:t>
            </w:r>
          </w:p>
        </w:tc>
        <w:tc>
          <w:tcPr>
            <w:tcW w:w="776" w:type="dxa"/>
            <w:tcBorders>
              <w:top w:val="nil"/>
              <w:left w:val="nil"/>
              <w:bottom w:val="nil"/>
              <w:right w:val="single" w:sz="8" w:space="0" w:color="auto"/>
            </w:tcBorders>
            <w:shd w:val="clear" w:color="auto" w:fill="auto"/>
            <w:noWrap/>
            <w:vAlign w:val="center"/>
            <w:hideMark/>
          </w:tcPr>
          <w:p w:rsidR="00AF73B9" w:rsidRPr="00EB2995" w:rsidRDefault="00AF73B9" w:rsidP="00AF73B9">
            <w:pPr>
              <w:jc w:val="right"/>
              <w:rPr>
                <w:rFonts w:cs="Calibri"/>
                <w:color w:val="000000"/>
                <w:lang w:eastAsia="en-GB"/>
              </w:rPr>
            </w:pPr>
            <w:r w:rsidRPr="00EB2995">
              <w:rPr>
                <w:rFonts w:cs="Calibri"/>
                <w:color w:val="000000"/>
                <w:lang w:eastAsia="en-GB"/>
              </w:rPr>
              <w:t>222</w:t>
            </w:r>
          </w:p>
        </w:tc>
        <w:tc>
          <w:tcPr>
            <w:tcW w:w="3658" w:type="dxa"/>
            <w:gridSpan w:val="4"/>
            <w:tcBorders>
              <w:top w:val="nil"/>
              <w:left w:val="nil"/>
              <w:bottom w:val="nil"/>
              <w:right w:val="single" w:sz="8" w:space="0" w:color="000000"/>
            </w:tcBorders>
            <w:shd w:val="clear" w:color="auto" w:fill="auto"/>
            <w:vAlign w:val="center"/>
            <w:hideMark/>
          </w:tcPr>
          <w:p w:rsidR="00AF73B9" w:rsidRPr="00EB2995" w:rsidRDefault="00AF73B9" w:rsidP="00AF73B9">
            <w:pPr>
              <w:jc w:val="center"/>
              <w:rPr>
                <w:rFonts w:cs="Calibri"/>
                <w:color w:val="000000"/>
                <w:lang w:eastAsia="en-GB"/>
              </w:rPr>
            </w:pPr>
            <w:r w:rsidRPr="00EB2995">
              <w:rPr>
                <w:rFonts w:cs="Calibri"/>
                <w:color w:val="000000"/>
                <w:lang w:eastAsia="en-GB"/>
              </w:rPr>
              <w:t>50,000 - 54,999</w:t>
            </w:r>
          </w:p>
        </w:tc>
        <w:tc>
          <w:tcPr>
            <w:tcW w:w="972" w:type="dxa"/>
            <w:tcBorders>
              <w:top w:val="nil"/>
              <w:left w:val="nil"/>
              <w:bottom w:val="nil"/>
              <w:right w:val="nil"/>
            </w:tcBorders>
            <w:shd w:val="clear" w:color="auto" w:fill="auto"/>
            <w:noWrap/>
            <w:vAlign w:val="center"/>
          </w:tcPr>
          <w:p w:rsidR="00AF73B9" w:rsidRPr="00EB2995" w:rsidRDefault="00AF73B9" w:rsidP="00AF73B9">
            <w:pPr>
              <w:jc w:val="right"/>
              <w:rPr>
                <w:rFonts w:cs="Calibri"/>
                <w:color w:val="000000"/>
                <w:lang w:eastAsia="en-GB"/>
              </w:rPr>
            </w:pPr>
            <w:r w:rsidRPr="00EB2995">
              <w:rPr>
                <w:rFonts w:cs="Calibri"/>
                <w:color w:val="000000"/>
              </w:rPr>
              <w:t>83</w:t>
            </w:r>
          </w:p>
        </w:tc>
        <w:tc>
          <w:tcPr>
            <w:tcW w:w="992" w:type="dxa"/>
            <w:tcBorders>
              <w:top w:val="nil"/>
              <w:left w:val="nil"/>
              <w:bottom w:val="nil"/>
              <w:right w:val="nil"/>
            </w:tcBorders>
            <w:shd w:val="clear" w:color="auto" w:fill="auto"/>
            <w:noWrap/>
            <w:vAlign w:val="center"/>
          </w:tcPr>
          <w:p w:rsidR="00AF73B9" w:rsidRPr="00EB2995" w:rsidRDefault="00AF73B9" w:rsidP="00AF73B9">
            <w:pPr>
              <w:jc w:val="right"/>
              <w:rPr>
                <w:rFonts w:cs="Calibri"/>
                <w:color w:val="000000"/>
                <w:lang w:eastAsia="en-GB"/>
              </w:rPr>
            </w:pPr>
            <w:r w:rsidRPr="00EB2995">
              <w:rPr>
                <w:rFonts w:cs="Calibri"/>
                <w:color w:val="000000"/>
              </w:rPr>
              <w:t>107</w:t>
            </w:r>
          </w:p>
        </w:tc>
        <w:tc>
          <w:tcPr>
            <w:tcW w:w="1381" w:type="dxa"/>
            <w:tcBorders>
              <w:top w:val="nil"/>
              <w:left w:val="nil"/>
              <w:bottom w:val="nil"/>
              <w:right w:val="single" w:sz="8" w:space="0" w:color="auto"/>
            </w:tcBorders>
            <w:shd w:val="clear" w:color="auto" w:fill="auto"/>
            <w:noWrap/>
            <w:vAlign w:val="center"/>
          </w:tcPr>
          <w:p w:rsidR="00AF73B9" w:rsidRPr="00EB2995" w:rsidRDefault="00AF73B9" w:rsidP="00AF73B9">
            <w:pPr>
              <w:jc w:val="right"/>
              <w:rPr>
                <w:rFonts w:cs="Calibri"/>
                <w:color w:val="000000"/>
                <w:lang w:eastAsia="en-GB"/>
              </w:rPr>
            </w:pPr>
            <w:r w:rsidRPr="00EB2995">
              <w:rPr>
                <w:rFonts w:cs="Calibri"/>
                <w:color w:val="000000"/>
              </w:rPr>
              <w:t>190</w:t>
            </w:r>
          </w:p>
        </w:tc>
      </w:tr>
      <w:tr w:rsidR="00AF73B9" w:rsidRPr="00EB2995" w:rsidTr="00AF73B9">
        <w:trPr>
          <w:trHeight w:hRule="exact" w:val="340"/>
        </w:trPr>
        <w:tc>
          <w:tcPr>
            <w:tcW w:w="1129" w:type="dxa"/>
            <w:tcBorders>
              <w:top w:val="nil"/>
              <w:left w:val="single" w:sz="8" w:space="0" w:color="auto"/>
              <w:bottom w:val="nil"/>
              <w:right w:val="nil"/>
            </w:tcBorders>
            <w:shd w:val="clear" w:color="auto" w:fill="auto"/>
            <w:noWrap/>
            <w:vAlign w:val="center"/>
            <w:hideMark/>
          </w:tcPr>
          <w:p w:rsidR="00AF73B9" w:rsidRPr="00EB2995" w:rsidRDefault="00AF73B9" w:rsidP="00AF73B9">
            <w:pPr>
              <w:jc w:val="right"/>
              <w:rPr>
                <w:rFonts w:cs="Calibri"/>
                <w:color w:val="000000"/>
                <w:lang w:eastAsia="en-GB"/>
              </w:rPr>
            </w:pPr>
            <w:r w:rsidRPr="00EB2995">
              <w:rPr>
                <w:rFonts w:cs="Calibri"/>
                <w:color w:val="000000"/>
                <w:lang w:eastAsia="en-GB"/>
              </w:rPr>
              <w:t>74</w:t>
            </w:r>
          </w:p>
        </w:tc>
        <w:tc>
          <w:tcPr>
            <w:tcW w:w="1157" w:type="dxa"/>
            <w:tcBorders>
              <w:top w:val="nil"/>
              <w:left w:val="nil"/>
              <w:bottom w:val="nil"/>
              <w:right w:val="nil"/>
            </w:tcBorders>
            <w:shd w:val="clear" w:color="auto" w:fill="auto"/>
            <w:noWrap/>
            <w:vAlign w:val="center"/>
            <w:hideMark/>
          </w:tcPr>
          <w:p w:rsidR="00AF73B9" w:rsidRPr="00EB2995" w:rsidRDefault="00AF73B9" w:rsidP="00AF73B9">
            <w:pPr>
              <w:jc w:val="right"/>
              <w:rPr>
                <w:rFonts w:cs="Calibri"/>
                <w:color w:val="000000"/>
                <w:lang w:eastAsia="en-GB"/>
              </w:rPr>
            </w:pPr>
            <w:r w:rsidRPr="00EB2995">
              <w:rPr>
                <w:rFonts w:cs="Calibri"/>
                <w:color w:val="000000"/>
                <w:lang w:eastAsia="en-GB"/>
              </w:rPr>
              <w:t>61</w:t>
            </w:r>
          </w:p>
        </w:tc>
        <w:tc>
          <w:tcPr>
            <w:tcW w:w="776" w:type="dxa"/>
            <w:tcBorders>
              <w:top w:val="nil"/>
              <w:left w:val="nil"/>
              <w:bottom w:val="nil"/>
              <w:right w:val="single" w:sz="8" w:space="0" w:color="auto"/>
            </w:tcBorders>
            <w:shd w:val="clear" w:color="auto" w:fill="auto"/>
            <w:noWrap/>
            <w:vAlign w:val="center"/>
            <w:hideMark/>
          </w:tcPr>
          <w:p w:rsidR="00AF73B9" w:rsidRPr="00EB2995" w:rsidRDefault="00AF73B9" w:rsidP="00AF73B9">
            <w:pPr>
              <w:jc w:val="right"/>
              <w:rPr>
                <w:rFonts w:cs="Calibri"/>
                <w:color w:val="000000"/>
                <w:lang w:eastAsia="en-GB"/>
              </w:rPr>
            </w:pPr>
            <w:r w:rsidRPr="00EB2995">
              <w:rPr>
                <w:rFonts w:cs="Calibri"/>
                <w:color w:val="000000"/>
                <w:lang w:eastAsia="en-GB"/>
              </w:rPr>
              <w:t>135</w:t>
            </w:r>
          </w:p>
        </w:tc>
        <w:tc>
          <w:tcPr>
            <w:tcW w:w="3658" w:type="dxa"/>
            <w:gridSpan w:val="4"/>
            <w:tcBorders>
              <w:top w:val="nil"/>
              <w:left w:val="nil"/>
              <w:bottom w:val="nil"/>
              <w:right w:val="single" w:sz="8" w:space="0" w:color="000000"/>
            </w:tcBorders>
            <w:shd w:val="clear" w:color="auto" w:fill="auto"/>
            <w:vAlign w:val="center"/>
            <w:hideMark/>
          </w:tcPr>
          <w:p w:rsidR="00AF73B9" w:rsidRPr="00EB2995" w:rsidRDefault="00AF73B9" w:rsidP="00AF73B9">
            <w:pPr>
              <w:jc w:val="center"/>
              <w:rPr>
                <w:rFonts w:cs="Calibri"/>
                <w:color w:val="000000"/>
                <w:lang w:eastAsia="en-GB"/>
              </w:rPr>
            </w:pPr>
            <w:r w:rsidRPr="00EB2995">
              <w:rPr>
                <w:rFonts w:cs="Calibri"/>
                <w:color w:val="000000"/>
                <w:lang w:eastAsia="en-GB"/>
              </w:rPr>
              <w:t>55,000 - 59,999</w:t>
            </w:r>
          </w:p>
        </w:tc>
        <w:tc>
          <w:tcPr>
            <w:tcW w:w="972" w:type="dxa"/>
            <w:tcBorders>
              <w:top w:val="nil"/>
              <w:left w:val="nil"/>
              <w:bottom w:val="nil"/>
              <w:right w:val="nil"/>
            </w:tcBorders>
            <w:shd w:val="clear" w:color="auto" w:fill="auto"/>
            <w:noWrap/>
            <w:vAlign w:val="center"/>
          </w:tcPr>
          <w:p w:rsidR="00AF73B9" w:rsidRPr="00EB2995" w:rsidRDefault="00AF73B9" w:rsidP="00AF73B9">
            <w:pPr>
              <w:jc w:val="right"/>
              <w:rPr>
                <w:rFonts w:cs="Calibri"/>
                <w:color w:val="000000"/>
                <w:lang w:eastAsia="en-GB"/>
              </w:rPr>
            </w:pPr>
            <w:r w:rsidRPr="00EB2995">
              <w:rPr>
                <w:rFonts w:cs="Calibri"/>
                <w:color w:val="000000"/>
              </w:rPr>
              <w:t>85</w:t>
            </w:r>
          </w:p>
        </w:tc>
        <w:tc>
          <w:tcPr>
            <w:tcW w:w="992" w:type="dxa"/>
            <w:tcBorders>
              <w:top w:val="nil"/>
              <w:left w:val="nil"/>
              <w:bottom w:val="nil"/>
              <w:right w:val="nil"/>
            </w:tcBorders>
            <w:shd w:val="clear" w:color="auto" w:fill="auto"/>
            <w:noWrap/>
            <w:vAlign w:val="center"/>
          </w:tcPr>
          <w:p w:rsidR="00AF73B9" w:rsidRPr="00EB2995" w:rsidRDefault="00AF73B9" w:rsidP="00AF73B9">
            <w:pPr>
              <w:jc w:val="right"/>
              <w:rPr>
                <w:rFonts w:cs="Calibri"/>
                <w:color w:val="000000"/>
                <w:lang w:eastAsia="en-GB"/>
              </w:rPr>
            </w:pPr>
            <w:r w:rsidRPr="00EB2995">
              <w:rPr>
                <w:rFonts w:cs="Calibri"/>
                <w:color w:val="000000"/>
              </w:rPr>
              <w:t>73</w:t>
            </w:r>
          </w:p>
        </w:tc>
        <w:tc>
          <w:tcPr>
            <w:tcW w:w="1381" w:type="dxa"/>
            <w:tcBorders>
              <w:top w:val="nil"/>
              <w:left w:val="nil"/>
              <w:bottom w:val="nil"/>
              <w:right w:val="single" w:sz="8" w:space="0" w:color="auto"/>
            </w:tcBorders>
            <w:shd w:val="clear" w:color="auto" w:fill="auto"/>
            <w:noWrap/>
            <w:vAlign w:val="center"/>
          </w:tcPr>
          <w:p w:rsidR="00AF73B9" w:rsidRPr="00EB2995" w:rsidRDefault="00AF73B9" w:rsidP="00AF73B9">
            <w:pPr>
              <w:jc w:val="right"/>
              <w:rPr>
                <w:rFonts w:cs="Calibri"/>
                <w:color w:val="000000"/>
                <w:lang w:eastAsia="en-GB"/>
              </w:rPr>
            </w:pPr>
            <w:r w:rsidRPr="00EB2995">
              <w:rPr>
                <w:rFonts w:cs="Calibri"/>
                <w:color w:val="000000"/>
              </w:rPr>
              <w:t>158</w:t>
            </w:r>
          </w:p>
        </w:tc>
      </w:tr>
      <w:tr w:rsidR="00AF73B9" w:rsidRPr="00EB2995" w:rsidTr="00AF73B9">
        <w:trPr>
          <w:trHeight w:hRule="exact" w:val="340"/>
        </w:trPr>
        <w:tc>
          <w:tcPr>
            <w:tcW w:w="1129" w:type="dxa"/>
            <w:tcBorders>
              <w:top w:val="nil"/>
              <w:left w:val="single" w:sz="8" w:space="0" w:color="auto"/>
              <w:bottom w:val="nil"/>
              <w:right w:val="nil"/>
            </w:tcBorders>
            <w:shd w:val="clear" w:color="auto" w:fill="auto"/>
            <w:noWrap/>
            <w:vAlign w:val="center"/>
            <w:hideMark/>
          </w:tcPr>
          <w:p w:rsidR="00AF73B9" w:rsidRPr="00EB2995" w:rsidRDefault="00AF73B9" w:rsidP="00AF73B9">
            <w:pPr>
              <w:jc w:val="right"/>
              <w:rPr>
                <w:rFonts w:cs="Calibri"/>
                <w:color w:val="000000"/>
                <w:lang w:eastAsia="en-GB"/>
              </w:rPr>
            </w:pPr>
            <w:r w:rsidRPr="00EB2995">
              <w:rPr>
                <w:rFonts w:cs="Calibri"/>
                <w:color w:val="000000"/>
                <w:lang w:eastAsia="en-GB"/>
              </w:rPr>
              <w:t>40</w:t>
            </w:r>
          </w:p>
        </w:tc>
        <w:tc>
          <w:tcPr>
            <w:tcW w:w="1157" w:type="dxa"/>
            <w:tcBorders>
              <w:top w:val="nil"/>
              <w:left w:val="nil"/>
              <w:bottom w:val="nil"/>
              <w:right w:val="nil"/>
            </w:tcBorders>
            <w:shd w:val="clear" w:color="auto" w:fill="auto"/>
            <w:noWrap/>
            <w:vAlign w:val="center"/>
            <w:hideMark/>
          </w:tcPr>
          <w:p w:rsidR="00AF73B9" w:rsidRPr="00EB2995" w:rsidRDefault="00AF73B9" w:rsidP="00AF73B9">
            <w:pPr>
              <w:jc w:val="right"/>
              <w:rPr>
                <w:rFonts w:cs="Calibri"/>
                <w:color w:val="000000"/>
                <w:lang w:eastAsia="en-GB"/>
              </w:rPr>
            </w:pPr>
            <w:r w:rsidRPr="00EB2995">
              <w:rPr>
                <w:rFonts w:cs="Calibri"/>
                <w:color w:val="000000"/>
                <w:lang w:eastAsia="en-GB"/>
              </w:rPr>
              <w:t>22</w:t>
            </w:r>
          </w:p>
        </w:tc>
        <w:tc>
          <w:tcPr>
            <w:tcW w:w="776" w:type="dxa"/>
            <w:tcBorders>
              <w:top w:val="nil"/>
              <w:left w:val="nil"/>
              <w:bottom w:val="nil"/>
              <w:right w:val="single" w:sz="8" w:space="0" w:color="auto"/>
            </w:tcBorders>
            <w:shd w:val="clear" w:color="auto" w:fill="auto"/>
            <w:noWrap/>
            <w:vAlign w:val="center"/>
            <w:hideMark/>
          </w:tcPr>
          <w:p w:rsidR="00AF73B9" w:rsidRPr="00EB2995" w:rsidRDefault="00AF73B9" w:rsidP="00AF73B9">
            <w:pPr>
              <w:jc w:val="right"/>
              <w:rPr>
                <w:rFonts w:cs="Calibri"/>
                <w:color w:val="000000"/>
                <w:lang w:eastAsia="en-GB"/>
              </w:rPr>
            </w:pPr>
            <w:r w:rsidRPr="00EB2995">
              <w:rPr>
                <w:rFonts w:cs="Calibri"/>
                <w:color w:val="000000"/>
                <w:lang w:eastAsia="en-GB"/>
              </w:rPr>
              <w:t>62</w:t>
            </w:r>
          </w:p>
        </w:tc>
        <w:tc>
          <w:tcPr>
            <w:tcW w:w="3658" w:type="dxa"/>
            <w:gridSpan w:val="4"/>
            <w:tcBorders>
              <w:top w:val="nil"/>
              <w:left w:val="nil"/>
              <w:bottom w:val="nil"/>
              <w:right w:val="single" w:sz="8" w:space="0" w:color="000000"/>
            </w:tcBorders>
            <w:shd w:val="clear" w:color="auto" w:fill="auto"/>
            <w:vAlign w:val="center"/>
            <w:hideMark/>
          </w:tcPr>
          <w:p w:rsidR="00AF73B9" w:rsidRPr="00EB2995" w:rsidRDefault="00AF73B9" w:rsidP="00AF73B9">
            <w:pPr>
              <w:jc w:val="center"/>
              <w:rPr>
                <w:rFonts w:cs="Calibri"/>
                <w:color w:val="000000"/>
                <w:lang w:eastAsia="en-GB"/>
              </w:rPr>
            </w:pPr>
            <w:r w:rsidRPr="00EB2995">
              <w:rPr>
                <w:rFonts w:cs="Calibri"/>
                <w:color w:val="000000"/>
                <w:lang w:eastAsia="en-GB"/>
              </w:rPr>
              <w:t>60,000 - 64,999</w:t>
            </w:r>
          </w:p>
        </w:tc>
        <w:tc>
          <w:tcPr>
            <w:tcW w:w="972" w:type="dxa"/>
            <w:tcBorders>
              <w:top w:val="nil"/>
              <w:left w:val="nil"/>
              <w:bottom w:val="nil"/>
              <w:right w:val="nil"/>
            </w:tcBorders>
            <w:shd w:val="clear" w:color="auto" w:fill="auto"/>
            <w:noWrap/>
            <w:vAlign w:val="center"/>
          </w:tcPr>
          <w:p w:rsidR="00AF73B9" w:rsidRPr="00EB2995" w:rsidRDefault="00AF73B9" w:rsidP="00AF73B9">
            <w:pPr>
              <w:jc w:val="right"/>
              <w:rPr>
                <w:rFonts w:cs="Calibri"/>
                <w:color w:val="000000"/>
                <w:lang w:eastAsia="en-GB"/>
              </w:rPr>
            </w:pPr>
            <w:r w:rsidRPr="00EB2995">
              <w:rPr>
                <w:rFonts w:cs="Calibri"/>
                <w:color w:val="000000"/>
              </w:rPr>
              <w:t>56</w:t>
            </w:r>
          </w:p>
        </w:tc>
        <w:tc>
          <w:tcPr>
            <w:tcW w:w="992" w:type="dxa"/>
            <w:tcBorders>
              <w:top w:val="nil"/>
              <w:left w:val="nil"/>
              <w:bottom w:val="nil"/>
              <w:right w:val="nil"/>
            </w:tcBorders>
            <w:shd w:val="clear" w:color="auto" w:fill="auto"/>
            <w:noWrap/>
            <w:vAlign w:val="center"/>
          </w:tcPr>
          <w:p w:rsidR="00AF73B9" w:rsidRPr="00EB2995" w:rsidRDefault="00AF73B9" w:rsidP="00AF73B9">
            <w:pPr>
              <w:jc w:val="right"/>
              <w:rPr>
                <w:rFonts w:cs="Calibri"/>
                <w:color w:val="000000"/>
                <w:lang w:eastAsia="en-GB"/>
              </w:rPr>
            </w:pPr>
            <w:r w:rsidRPr="00EB2995">
              <w:rPr>
                <w:rFonts w:cs="Calibri"/>
                <w:color w:val="000000"/>
              </w:rPr>
              <w:t>26</w:t>
            </w:r>
          </w:p>
        </w:tc>
        <w:tc>
          <w:tcPr>
            <w:tcW w:w="1381" w:type="dxa"/>
            <w:tcBorders>
              <w:top w:val="nil"/>
              <w:left w:val="nil"/>
              <w:bottom w:val="nil"/>
              <w:right w:val="single" w:sz="8" w:space="0" w:color="auto"/>
            </w:tcBorders>
            <w:shd w:val="clear" w:color="auto" w:fill="auto"/>
            <w:noWrap/>
            <w:vAlign w:val="center"/>
          </w:tcPr>
          <w:p w:rsidR="00AF73B9" w:rsidRPr="00EB2995" w:rsidRDefault="00AF73B9" w:rsidP="00AF73B9">
            <w:pPr>
              <w:jc w:val="right"/>
              <w:rPr>
                <w:rFonts w:cs="Calibri"/>
                <w:color w:val="000000"/>
                <w:lang w:eastAsia="en-GB"/>
              </w:rPr>
            </w:pPr>
            <w:r w:rsidRPr="00EB2995">
              <w:rPr>
                <w:rFonts w:cs="Calibri"/>
                <w:color w:val="000000"/>
              </w:rPr>
              <w:t>82</w:t>
            </w:r>
          </w:p>
        </w:tc>
      </w:tr>
      <w:tr w:rsidR="00AF73B9" w:rsidRPr="00EB2995" w:rsidTr="00AF73B9">
        <w:trPr>
          <w:trHeight w:hRule="exact" w:val="340"/>
        </w:trPr>
        <w:tc>
          <w:tcPr>
            <w:tcW w:w="1129" w:type="dxa"/>
            <w:tcBorders>
              <w:top w:val="nil"/>
              <w:left w:val="single" w:sz="8" w:space="0" w:color="auto"/>
              <w:bottom w:val="nil"/>
              <w:right w:val="nil"/>
            </w:tcBorders>
            <w:shd w:val="clear" w:color="auto" w:fill="auto"/>
            <w:noWrap/>
            <w:vAlign w:val="center"/>
            <w:hideMark/>
          </w:tcPr>
          <w:p w:rsidR="00AF73B9" w:rsidRPr="00EB2995" w:rsidRDefault="00AF73B9" w:rsidP="00AF73B9">
            <w:pPr>
              <w:jc w:val="right"/>
              <w:rPr>
                <w:rFonts w:cs="Calibri"/>
                <w:color w:val="000000"/>
                <w:lang w:eastAsia="en-GB"/>
              </w:rPr>
            </w:pPr>
            <w:r w:rsidRPr="00EB2995">
              <w:rPr>
                <w:rFonts w:cs="Calibri"/>
                <w:color w:val="000000"/>
                <w:lang w:eastAsia="en-GB"/>
              </w:rPr>
              <w:t>31</w:t>
            </w:r>
          </w:p>
        </w:tc>
        <w:tc>
          <w:tcPr>
            <w:tcW w:w="1157" w:type="dxa"/>
            <w:tcBorders>
              <w:top w:val="nil"/>
              <w:left w:val="nil"/>
              <w:bottom w:val="nil"/>
              <w:right w:val="nil"/>
            </w:tcBorders>
            <w:shd w:val="clear" w:color="auto" w:fill="auto"/>
            <w:noWrap/>
            <w:vAlign w:val="center"/>
            <w:hideMark/>
          </w:tcPr>
          <w:p w:rsidR="00AF73B9" w:rsidRPr="00EB2995" w:rsidRDefault="00AF73B9" w:rsidP="00AF73B9">
            <w:pPr>
              <w:jc w:val="right"/>
              <w:rPr>
                <w:rFonts w:cs="Calibri"/>
                <w:color w:val="000000"/>
                <w:lang w:eastAsia="en-GB"/>
              </w:rPr>
            </w:pPr>
            <w:r w:rsidRPr="00EB2995">
              <w:rPr>
                <w:rFonts w:cs="Calibri"/>
                <w:color w:val="000000"/>
                <w:lang w:eastAsia="en-GB"/>
              </w:rPr>
              <w:t>13</w:t>
            </w:r>
          </w:p>
        </w:tc>
        <w:tc>
          <w:tcPr>
            <w:tcW w:w="776" w:type="dxa"/>
            <w:tcBorders>
              <w:top w:val="nil"/>
              <w:left w:val="nil"/>
              <w:bottom w:val="nil"/>
              <w:right w:val="single" w:sz="8" w:space="0" w:color="auto"/>
            </w:tcBorders>
            <w:shd w:val="clear" w:color="auto" w:fill="auto"/>
            <w:noWrap/>
            <w:vAlign w:val="center"/>
            <w:hideMark/>
          </w:tcPr>
          <w:p w:rsidR="00AF73B9" w:rsidRPr="00EB2995" w:rsidRDefault="00AF73B9" w:rsidP="00AF73B9">
            <w:pPr>
              <w:jc w:val="right"/>
              <w:rPr>
                <w:rFonts w:cs="Calibri"/>
                <w:color w:val="000000"/>
                <w:lang w:eastAsia="en-GB"/>
              </w:rPr>
            </w:pPr>
            <w:r w:rsidRPr="00EB2995">
              <w:rPr>
                <w:rFonts w:cs="Calibri"/>
                <w:color w:val="000000"/>
                <w:lang w:eastAsia="en-GB"/>
              </w:rPr>
              <w:t>44</w:t>
            </w:r>
          </w:p>
        </w:tc>
        <w:tc>
          <w:tcPr>
            <w:tcW w:w="3658" w:type="dxa"/>
            <w:gridSpan w:val="4"/>
            <w:tcBorders>
              <w:top w:val="nil"/>
              <w:left w:val="nil"/>
              <w:bottom w:val="nil"/>
              <w:right w:val="single" w:sz="8" w:space="0" w:color="000000"/>
            </w:tcBorders>
            <w:shd w:val="clear" w:color="auto" w:fill="auto"/>
            <w:vAlign w:val="center"/>
            <w:hideMark/>
          </w:tcPr>
          <w:p w:rsidR="00AF73B9" w:rsidRPr="00EB2995" w:rsidRDefault="00AF73B9" w:rsidP="00AF73B9">
            <w:pPr>
              <w:jc w:val="center"/>
              <w:rPr>
                <w:rFonts w:cs="Calibri"/>
                <w:color w:val="000000"/>
                <w:lang w:eastAsia="en-GB"/>
              </w:rPr>
            </w:pPr>
            <w:r w:rsidRPr="00EB2995">
              <w:rPr>
                <w:rFonts w:cs="Calibri"/>
                <w:color w:val="000000"/>
                <w:lang w:eastAsia="en-GB"/>
              </w:rPr>
              <w:t>65,000 - 69,999</w:t>
            </w:r>
          </w:p>
        </w:tc>
        <w:tc>
          <w:tcPr>
            <w:tcW w:w="972" w:type="dxa"/>
            <w:tcBorders>
              <w:top w:val="nil"/>
              <w:left w:val="nil"/>
              <w:bottom w:val="nil"/>
              <w:right w:val="nil"/>
            </w:tcBorders>
            <w:shd w:val="clear" w:color="auto" w:fill="auto"/>
            <w:noWrap/>
            <w:vAlign w:val="center"/>
          </w:tcPr>
          <w:p w:rsidR="00AF73B9" w:rsidRPr="00EB2995" w:rsidRDefault="00AF73B9" w:rsidP="00AF73B9">
            <w:pPr>
              <w:jc w:val="right"/>
              <w:rPr>
                <w:rFonts w:cs="Calibri"/>
                <w:color w:val="000000"/>
                <w:lang w:eastAsia="en-GB"/>
              </w:rPr>
            </w:pPr>
            <w:r w:rsidRPr="00EB2995">
              <w:rPr>
                <w:rFonts w:cs="Calibri"/>
                <w:color w:val="000000"/>
              </w:rPr>
              <w:t>26</w:t>
            </w:r>
          </w:p>
        </w:tc>
        <w:tc>
          <w:tcPr>
            <w:tcW w:w="992" w:type="dxa"/>
            <w:tcBorders>
              <w:top w:val="nil"/>
              <w:left w:val="nil"/>
              <w:bottom w:val="nil"/>
              <w:right w:val="nil"/>
            </w:tcBorders>
            <w:shd w:val="clear" w:color="auto" w:fill="auto"/>
            <w:noWrap/>
            <w:vAlign w:val="center"/>
          </w:tcPr>
          <w:p w:rsidR="00AF73B9" w:rsidRPr="00EB2995" w:rsidRDefault="00AF73B9" w:rsidP="00AF73B9">
            <w:pPr>
              <w:jc w:val="right"/>
              <w:rPr>
                <w:rFonts w:cs="Calibri"/>
                <w:color w:val="000000"/>
                <w:lang w:eastAsia="en-GB"/>
              </w:rPr>
            </w:pPr>
            <w:r w:rsidRPr="00EB2995">
              <w:rPr>
                <w:rFonts w:cs="Calibri"/>
                <w:color w:val="000000"/>
              </w:rPr>
              <w:t>15</w:t>
            </w:r>
          </w:p>
        </w:tc>
        <w:tc>
          <w:tcPr>
            <w:tcW w:w="1381" w:type="dxa"/>
            <w:tcBorders>
              <w:top w:val="nil"/>
              <w:left w:val="nil"/>
              <w:bottom w:val="nil"/>
              <w:right w:val="single" w:sz="8" w:space="0" w:color="auto"/>
            </w:tcBorders>
            <w:shd w:val="clear" w:color="auto" w:fill="auto"/>
            <w:noWrap/>
            <w:vAlign w:val="center"/>
          </w:tcPr>
          <w:p w:rsidR="00AF73B9" w:rsidRPr="00EB2995" w:rsidRDefault="00AF73B9" w:rsidP="00AF73B9">
            <w:pPr>
              <w:jc w:val="right"/>
              <w:rPr>
                <w:rFonts w:cs="Calibri"/>
                <w:color w:val="000000"/>
                <w:lang w:eastAsia="en-GB"/>
              </w:rPr>
            </w:pPr>
            <w:r w:rsidRPr="00EB2995">
              <w:rPr>
                <w:rFonts w:cs="Calibri"/>
                <w:color w:val="000000"/>
              </w:rPr>
              <w:t>41</w:t>
            </w:r>
          </w:p>
        </w:tc>
      </w:tr>
      <w:tr w:rsidR="00AF73B9" w:rsidRPr="00EB2995" w:rsidTr="00AF73B9">
        <w:trPr>
          <w:trHeight w:hRule="exact" w:val="340"/>
        </w:trPr>
        <w:tc>
          <w:tcPr>
            <w:tcW w:w="1129" w:type="dxa"/>
            <w:tcBorders>
              <w:top w:val="nil"/>
              <w:left w:val="single" w:sz="8" w:space="0" w:color="auto"/>
              <w:bottom w:val="nil"/>
              <w:right w:val="nil"/>
            </w:tcBorders>
            <w:shd w:val="clear" w:color="auto" w:fill="auto"/>
            <w:noWrap/>
            <w:vAlign w:val="center"/>
            <w:hideMark/>
          </w:tcPr>
          <w:p w:rsidR="00AF73B9" w:rsidRPr="00EB2995" w:rsidRDefault="00AF73B9" w:rsidP="00AF73B9">
            <w:pPr>
              <w:jc w:val="right"/>
              <w:rPr>
                <w:rFonts w:cs="Calibri"/>
                <w:color w:val="000000"/>
                <w:lang w:eastAsia="en-GB"/>
              </w:rPr>
            </w:pPr>
            <w:r w:rsidRPr="00EB2995">
              <w:rPr>
                <w:rFonts w:cs="Calibri"/>
                <w:color w:val="000000"/>
                <w:lang w:eastAsia="en-GB"/>
              </w:rPr>
              <w:t>16</w:t>
            </w:r>
          </w:p>
        </w:tc>
        <w:tc>
          <w:tcPr>
            <w:tcW w:w="1157" w:type="dxa"/>
            <w:tcBorders>
              <w:top w:val="nil"/>
              <w:left w:val="nil"/>
              <w:bottom w:val="nil"/>
              <w:right w:val="nil"/>
            </w:tcBorders>
            <w:shd w:val="clear" w:color="auto" w:fill="auto"/>
            <w:noWrap/>
            <w:vAlign w:val="center"/>
            <w:hideMark/>
          </w:tcPr>
          <w:p w:rsidR="00AF73B9" w:rsidRPr="00EB2995" w:rsidRDefault="00AF73B9" w:rsidP="00AF73B9">
            <w:pPr>
              <w:jc w:val="right"/>
              <w:rPr>
                <w:rFonts w:cs="Calibri"/>
                <w:color w:val="000000"/>
                <w:lang w:eastAsia="en-GB"/>
              </w:rPr>
            </w:pPr>
            <w:r w:rsidRPr="00EB2995">
              <w:rPr>
                <w:rFonts w:cs="Calibri"/>
                <w:color w:val="000000"/>
                <w:lang w:eastAsia="en-GB"/>
              </w:rPr>
              <w:t>4</w:t>
            </w:r>
          </w:p>
        </w:tc>
        <w:tc>
          <w:tcPr>
            <w:tcW w:w="776" w:type="dxa"/>
            <w:tcBorders>
              <w:top w:val="nil"/>
              <w:left w:val="nil"/>
              <w:bottom w:val="nil"/>
              <w:right w:val="single" w:sz="8" w:space="0" w:color="auto"/>
            </w:tcBorders>
            <w:shd w:val="clear" w:color="auto" w:fill="auto"/>
            <w:noWrap/>
            <w:vAlign w:val="center"/>
            <w:hideMark/>
          </w:tcPr>
          <w:p w:rsidR="00AF73B9" w:rsidRPr="00EB2995" w:rsidRDefault="00AF73B9" w:rsidP="00AF73B9">
            <w:pPr>
              <w:jc w:val="right"/>
              <w:rPr>
                <w:rFonts w:cs="Calibri"/>
                <w:color w:val="000000"/>
                <w:lang w:eastAsia="en-GB"/>
              </w:rPr>
            </w:pPr>
            <w:r w:rsidRPr="00EB2995">
              <w:rPr>
                <w:rFonts w:cs="Calibri"/>
                <w:color w:val="000000"/>
                <w:lang w:eastAsia="en-GB"/>
              </w:rPr>
              <w:t>20</w:t>
            </w:r>
          </w:p>
        </w:tc>
        <w:tc>
          <w:tcPr>
            <w:tcW w:w="3658" w:type="dxa"/>
            <w:gridSpan w:val="4"/>
            <w:tcBorders>
              <w:top w:val="nil"/>
              <w:left w:val="nil"/>
              <w:bottom w:val="nil"/>
              <w:right w:val="single" w:sz="8" w:space="0" w:color="000000"/>
            </w:tcBorders>
            <w:shd w:val="clear" w:color="auto" w:fill="auto"/>
            <w:vAlign w:val="center"/>
            <w:hideMark/>
          </w:tcPr>
          <w:p w:rsidR="00AF73B9" w:rsidRPr="00EB2995" w:rsidRDefault="00AF73B9" w:rsidP="00AF73B9">
            <w:pPr>
              <w:jc w:val="center"/>
              <w:rPr>
                <w:rFonts w:cs="Calibri"/>
                <w:color w:val="000000"/>
                <w:lang w:eastAsia="en-GB"/>
              </w:rPr>
            </w:pPr>
            <w:r w:rsidRPr="00EB2995">
              <w:rPr>
                <w:rFonts w:cs="Calibri"/>
                <w:color w:val="000000"/>
                <w:lang w:eastAsia="en-GB"/>
              </w:rPr>
              <w:t>70,000 - 74,999</w:t>
            </w:r>
          </w:p>
        </w:tc>
        <w:tc>
          <w:tcPr>
            <w:tcW w:w="972" w:type="dxa"/>
            <w:tcBorders>
              <w:top w:val="nil"/>
              <w:left w:val="nil"/>
              <w:bottom w:val="nil"/>
              <w:right w:val="nil"/>
            </w:tcBorders>
            <w:shd w:val="clear" w:color="auto" w:fill="auto"/>
            <w:noWrap/>
            <w:vAlign w:val="center"/>
          </w:tcPr>
          <w:p w:rsidR="00AF73B9" w:rsidRPr="00EB2995" w:rsidRDefault="00AF73B9" w:rsidP="00AF73B9">
            <w:pPr>
              <w:jc w:val="right"/>
              <w:rPr>
                <w:rFonts w:cs="Calibri"/>
                <w:color w:val="000000"/>
                <w:lang w:eastAsia="en-GB"/>
              </w:rPr>
            </w:pPr>
            <w:r w:rsidRPr="00EB2995">
              <w:rPr>
                <w:rFonts w:cs="Calibri"/>
                <w:color w:val="000000"/>
              </w:rPr>
              <w:t>17</w:t>
            </w:r>
          </w:p>
        </w:tc>
        <w:tc>
          <w:tcPr>
            <w:tcW w:w="992" w:type="dxa"/>
            <w:tcBorders>
              <w:top w:val="nil"/>
              <w:left w:val="nil"/>
              <w:bottom w:val="nil"/>
              <w:right w:val="nil"/>
            </w:tcBorders>
            <w:shd w:val="clear" w:color="auto" w:fill="auto"/>
            <w:noWrap/>
            <w:vAlign w:val="center"/>
          </w:tcPr>
          <w:p w:rsidR="00AF73B9" w:rsidRPr="00EB2995" w:rsidRDefault="00AF73B9" w:rsidP="00AF73B9">
            <w:pPr>
              <w:jc w:val="right"/>
              <w:rPr>
                <w:rFonts w:cs="Calibri"/>
                <w:color w:val="000000"/>
                <w:lang w:eastAsia="en-GB"/>
              </w:rPr>
            </w:pPr>
            <w:r w:rsidRPr="00EB2995">
              <w:rPr>
                <w:rFonts w:cs="Calibri"/>
                <w:color w:val="000000"/>
              </w:rPr>
              <w:t>7</w:t>
            </w:r>
          </w:p>
        </w:tc>
        <w:tc>
          <w:tcPr>
            <w:tcW w:w="1381" w:type="dxa"/>
            <w:tcBorders>
              <w:top w:val="nil"/>
              <w:left w:val="nil"/>
              <w:bottom w:val="nil"/>
              <w:right w:val="single" w:sz="8" w:space="0" w:color="auto"/>
            </w:tcBorders>
            <w:shd w:val="clear" w:color="auto" w:fill="auto"/>
            <w:noWrap/>
            <w:vAlign w:val="center"/>
          </w:tcPr>
          <w:p w:rsidR="00AF73B9" w:rsidRPr="00EB2995" w:rsidRDefault="00AF73B9" w:rsidP="00AF73B9">
            <w:pPr>
              <w:jc w:val="right"/>
              <w:rPr>
                <w:rFonts w:cs="Calibri"/>
                <w:color w:val="000000"/>
                <w:lang w:eastAsia="en-GB"/>
              </w:rPr>
            </w:pPr>
            <w:r w:rsidRPr="00EB2995">
              <w:rPr>
                <w:rFonts w:cs="Calibri"/>
                <w:color w:val="000000"/>
              </w:rPr>
              <w:t>24</w:t>
            </w:r>
          </w:p>
        </w:tc>
      </w:tr>
      <w:tr w:rsidR="00AF73B9" w:rsidRPr="00EB2995" w:rsidTr="00AF73B9">
        <w:trPr>
          <w:trHeight w:hRule="exact" w:val="340"/>
        </w:trPr>
        <w:tc>
          <w:tcPr>
            <w:tcW w:w="1129" w:type="dxa"/>
            <w:tcBorders>
              <w:top w:val="nil"/>
              <w:left w:val="single" w:sz="8" w:space="0" w:color="auto"/>
              <w:bottom w:val="nil"/>
              <w:right w:val="nil"/>
            </w:tcBorders>
            <w:shd w:val="clear" w:color="auto" w:fill="auto"/>
            <w:noWrap/>
            <w:vAlign w:val="center"/>
            <w:hideMark/>
          </w:tcPr>
          <w:p w:rsidR="00AF73B9" w:rsidRPr="00EB2995" w:rsidRDefault="00AF73B9" w:rsidP="00AF73B9">
            <w:pPr>
              <w:jc w:val="right"/>
              <w:rPr>
                <w:rFonts w:cs="Calibri"/>
                <w:color w:val="000000"/>
                <w:lang w:eastAsia="en-GB"/>
              </w:rPr>
            </w:pPr>
            <w:r w:rsidRPr="00EB2995">
              <w:rPr>
                <w:rFonts w:cs="Calibri"/>
                <w:color w:val="000000"/>
                <w:lang w:eastAsia="en-GB"/>
              </w:rPr>
              <w:t>15</w:t>
            </w:r>
          </w:p>
        </w:tc>
        <w:tc>
          <w:tcPr>
            <w:tcW w:w="1157" w:type="dxa"/>
            <w:tcBorders>
              <w:top w:val="nil"/>
              <w:left w:val="nil"/>
              <w:bottom w:val="nil"/>
              <w:right w:val="nil"/>
            </w:tcBorders>
            <w:shd w:val="clear" w:color="auto" w:fill="auto"/>
            <w:noWrap/>
            <w:vAlign w:val="center"/>
            <w:hideMark/>
          </w:tcPr>
          <w:p w:rsidR="00AF73B9" w:rsidRPr="00EB2995" w:rsidRDefault="00AF73B9" w:rsidP="00AF73B9">
            <w:pPr>
              <w:jc w:val="right"/>
              <w:rPr>
                <w:rFonts w:cs="Calibri"/>
                <w:color w:val="000000"/>
                <w:lang w:eastAsia="en-GB"/>
              </w:rPr>
            </w:pPr>
            <w:r w:rsidRPr="00EB2995">
              <w:rPr>
                <w:rFonts w:cs="Calibri"/>
                <w:color w:val="000000"/>
                <w:lang w:eastAsia="en-GB"/>
              </w:rPr>
              <w:t>8</w:t>
            </w:r>
          </w:p>
        </w:tc>
        <w:tc>
          <w:tcPr>
            <w:tcW w:w="776" w:type="dxa"/>
            <w:tcBorders>
              <w:top w:val="nil"/>
              <w:left w:val="nil"/>
              <w:bottom w:val="nil"/>
              <w:right w:val="single" w:sz="8" w:space="0" w:color="auto"/>
            </w:tcBorders>
            <w:shd w:val="clear" w:color="auto" w:fill="auto"/>
            <w:noWrap/>
            <w:vAlign w:val="center"/>
            <w:hideMark/>
          </w:tcPr>
          <w:p w:rsidR="00AF73B9" w:rsidRPr="00EB2995" w:rsidRDefault="00AF73B9" w:rsidP="00AF73B9">
            <w:pPr>
              <w:jc w:val="right"/>
              <w:rPr>
                <w:rFonts w:cs="Calibri"/>
                <w:color w:val="000000"/>
                <w:lang w:eastAsia="en-GB"/>
              </w:rPr>
            </w:pPr>
            <w:r w:rsidRPr="00EB2995">
              <w:rPr>
                <w:rFonts w:cs="Calibri"/>
                <w:color w:val="000000"/>
                <w:lang w:eastAsia="en-GB"/>
              </w:rPr>
              <w:t>23</w:t>
            </w:r>
          </w:p>
        </w:tc>
        <w:tc>
          <w:tcPr>
            <w:tcW w:w="3658" w:type="dxa"/>
            <w:gridSpan w:val="4"/>
            <w:tcBorders>
              <w:top w:val="nil"/>
              <w:left w:val="nil"/>
              <w:bottom w:val="nil"/>
              <w:right w:val="single" w:sz="8" w:space="0" w:color="000000"/>
            </w:tcBorders>
            <w:shd w:val="clear" w:color="auto" w:fill="auto"/>
            <w:vAlign w:val="center"/>
            <w:hideMark/>
          </w:tcPr>
          <w:p w:rsidR="00AF73B9" w:rsidRPr="00EB2995" w:rsidRDefault="00AF73B9" w:rsidP="00AF73B9">
            <w:pPr>
              <w:jc w:val="center"/>
              <w:rPr>
                <w:rFonts w:cs="Calibri"/>
                <w:color w:val="000000"/>
                <w:lang w:eastAsia="en-GB"/>
              </w:rPr>
            </w:pPr>
            <w:r w:rsidRPr="00EB2995">
              <w:rPr>
                <w:rFonts w:cs="Calibri"/>
                <w:color w:val="000000"/>
                <w:lang w:eastAsia="en-GB"/>
              </w:rPr>
              <w:t>75,000 - 79,999</w:t>
            </w:r>
          </w:p>
        </w:tc>
        <w:tc>
          <w:tcPr>
            <w:tcW w:w="972" w:type="dxa"/>
            <w:tcBorders>
              <w:top w:val="nil"/>
              <w:left w:val="nil"/>
              <w:bottom w:val="nil"/>
              <w:right w:val="nil"/>
            </w:tcBorders>
            <w:shd w:val="clear" w:color="auto" w:fill="auto"/>
            <w:noWrap/>
            <w:vAlign w:val="center"/>
          </w:tcPr>
          <w:p w:rsidR="00AF73B9" w:rsidRPr="00EB2995" w:rsidRDefault="00AF73B9" w:rsidP="00AF73B9">
            <w:pPr>
              <w:jc w:val="right"/>
              <w:rPr>
                <w:rFonts w:cs="Calibri"/>
                <w:color w:val="000000"/>
                <w:lang w:eastAsia="en-GB"/>
              </w:rPr>
            </w:pPr>
            <w:r w:rsidRPr="00EB2995">
              <w:rPr>
                <w:rFonts w:cs="Calibri"/>
                <w:color w:val="000000"/>
              </w:rPr>
              <w:t>14</w:t>
            </w:r>
          </w:p>
        </w:tc>
        <w:tc>
          <w:tcPr>
            <w:tcW w:w="992" w:type="dxa"/>
            <w:tcBorders>
              <w:top w:val="nil"/>
              <w:left w:val="nil"/>
              <w:bottom w:val="nil"/>
              <w:right w:val="nil"/>
            </w:tcBorders>
            <w:shd w:val="clear" w:color="auto" w:fill="auto"/>
            <w:noWrap/>
            <w:vAlign w:val="center"/>
          </w:tcPr>
          <w:p w:rsidR="00AF73B9" w:rsidRPr="00EB2995" w:rsidRDefault="00AF73B9" w:rsidP="00AF73B9">
            <w:pPr>
              <w:jc w:val="right"/>
              <w:rPr>
                <w:rFonts w:cs="Calibri"/>
                <w:color w:val="000000"/>
                <w:lang w:eastAsia="en-GB"/>
              </w:rPr>
            </w:pPr>
            <w:r w:rsidRPr="00EB2995">
              <w:rPr>
                <w:rFonts w:cs="Calibri"/>
                <w:color w:val="000000"/>
              </w:rPr>
              <w:t>10</w:t>
            </w:r>
          </w:p>
        </w:tc>
        <w:tc>
          <w:tcPr>
            <w:tcW w:w="1381" w:type="dxa"/>
            <w:tcBorders>
              <w:top w:val="nil"/>
              <w:left w:val="nil"/>
              <w:bottom w:val="nil"/>
              <w:right w:val="single" w:sz="8" w:space="0" w:color="auto"/>
            </w:tcBorders>
            <w:shd w:val="clear" w:color="auto" w:fill="auto"/>
            <w:noWrap/>
            <w:vAlign w:val="center"/>
          </w:tcPr>
          <w:p w:rsidR="00AF73B9" w:rsidRPr="00EB2995" w:rsidRDefault="00AF73B9" w:rsidP="00AF73B9">
            <w:pPr>
              <w:jc w:val="right"/>
              <w:rPr>
                <w:rFonts w:cs="Calibri"/>
                <w:color w:val="000000"/>
                <w:lang w:eastAsia="en-GB"/>
              </w:rPr>
            </w:pPr>
            <w:r w:rsidRPr="00EB2995">
              <w:rPr>
                <w:rFonts w:cs="Calibri"/>
                <w:color w:val="000000"/>
              </w:rPr>
              <w:t>24</w:t>
            </w:r>
          </w:p>
        </w:tc>
      </w:tr>
      <w:tr w:rsidR="00AF73B9" w:rsidRPr="00EB2995" w:rsidTr="00AF73B9">
        <w:trPr>
          <w:trHeight w:hRule="exact" w:val="340"/>
        </w:trPr>
        <w:tc>
          <w:tcPr>
            <w:tcW w:w="1129" w:type="dxa"/>
            <w:tcBorders>
              <w:top w:val="nil"/>
              <w:left w:val="single" w:sz="8" w:space="0" w:color="auto"/>
              <w:bottom w:val="nil"/>
              <w:right w:val="nil"/>
            </w:tcBorders>
            <w:shd w:val="clear" w:color="auto" w:fill="auto"/>
            <w:noWrap/>
            <w:vAlign w:val="center"/>
            <w:hideMark/>
          </w:tcPr>
          <w:p w:rsidR="00AF73B9" w:rsidRPr="00EB2995" w:rsidRDefault="00AF73B9" w:rsidP="00AF73B9">
            <w:pPr>
              <w:jc w:val="right"/>
              <w:rPr>
                <w:rFonts w:cs="Calibri"/>
                <w:color w:val="000000"/>
                <w:lang w:eastAsia="en-GB"/>
              </w:rPr>
            </w:pPr>
            <w:r w:rsidRPr="00EB2995">
              <w:rPr>
                <w:rFonts w:cs="Calibri"/>
                <w:color w:val="000000"/>
                <w:lang w:eastAsia="en-GB"/>
              </w:rPr>
              <w:t>7</w:t>
            </w:r>
          </w:p>
        </w:tc>
        <w:tc>
          <w:tcPr>
            <w:tcW w:w="1157" w:type="dxa"/>
            <w:tcBorders>
              <w:top w:val="nil"/>
              <w:left w:val="nil"/>
              <w:bottom w:val="nil"/>
              <w:right w:val="nil"/>
            </w:tcBorders>
            <w:shd w:val="clear" w:color="auto" w:fill="auto"/>
            <w:noWrap/>
            <w:vAlign w:val="center"/>
            <w:hideMark/>
          </w:tcPr>
          <w:p w:rsidR="00AF73B9" w:rsidRPr="00EB2995" w:rsidRDefault="00AF73B9" w:rsidP="00AF73B9">
            <w:pPr>
              <w:jc w:val="right"/>
              <w:rPr>
                <w:rFonts w:cs="Calibri"/>
                <w:color w:val="000000"/>
                <w:lang w:eastAsia="en-GB"/>
              </w:rPr>
            </w:pPr>
            <w:r w:rsidRPr="00EB2995">
              <w:rPr>
                <w:rFonts w:cs="Calibri"/>
                <w:color w:val="000000"/>
                <w:lang w:eastAsia="en-GB"/>
              </w:rPr>
              <w:t>8</w:t>
            </w:r>
          </w:p>
        </w:tc>
        <w:tc>
          <w:tcPr>
            <w:tcW w:w="776" w:type="dxa"/>
            <w:tcBorders>
              <w:top w:val="nil"/>
              <w:left w:val="nil"/>
              <w:bottom w:val="nil"/>
              <w:right w:val="single" w:sz="8" w:space="0" w:color="auto"/>
            </w:tcBorders>
            <w:shd w:val="clear" w:color="auto" w:fill="auto"/>
            <w:noWrap/>
            <w:vAlign w:val="center"/>
            <w:hideMark/>
          </w:tcPr>
          <w:p w:rsidR="00AF73B9" w:rsidRPr="00EB2995" w:rsidRDefault="00AF73B9" w:rsidP="00AF73B9">
            <w:pPr>
              <w:jc w:val="right"/>
              <w:rPr>
                <w:rFonts w:cs="Calibri"/>
                <w:color w:val="000000"/>
                <w:lang w:eastAsia="en-GB"/>
              </w:rPr>
            </w:pPr>
            <w:r w:rsidRPr="00EB2995">
              <w:rPr>
                <w:rFonts w:cs="Calibri"/>
                <w:color w:val="000000"/>
                <w:lang w:eastAsia="en-GB"/>
              </w:rPr>
              <w:t>15</w:t>
            </w:r>
          </w:p>
        </w:tc>
        <w:tc>
          <w:tcPr>
            <w:tcW w:w="3658" w:type="dxa"/>
            <w:gridSpan w:val="4"/>
            <w:tcBorders>
              <w:top w:val="nil"/>
              <w:left w:val="nil"/>
              <w:bottom w:val="nil"/>
              <w:right w:val="single" w:sz="8" w:space="0" w:color="000000"/>
            </w:tcBorders>
            <w:shd w:val="clear" w:color="auto" w:fill="auto"/>
            <w:vAlign w:val="center"/>
            <w:hideMark/>
          </w:tcPr>
          <w:p w:rsidR="00AF73B9" w:rsidRPr="00EB2995" w:rsidRDefault="00AF73B9" w:rsidP="00AF73B9">
            <w:pPr>
              <w:jc w:val="center"/>
              <w:rPr>
                <w:rFonts w:cs="Calibri"/>
                <w:color w:val="000000"/>
                <w:lang w:eastAsia="en-GB"/>
              </w:rPr>
            </w:pPr>
            <w:r w:rsidRPr="00EB2995">
              <w:rPr>
                <w:rFonts w:cs="Calibri"/>
                <w:color w:val="000000"/>
                <w:lang w:eastAsia="en-GB"/>
              </w:rPr>
              <w:t>80,000 - 84,999</w:t>
            </w:r>
          </w:p>
        </w:tc>
        <w:tc>
          <w:tcPr>
            <w:tcW w:w="972" w:type="dxa"/>
            <w:tcBorders>
              <w:top w:val="nil"/>
              <w:left w:val="nil"/>
              <w:bottom w:val="nil"/>
              <w:right w:val="nil"/>
            </w:tcBorders>
            <w:shd w:val="clear" w:color="auto" w:fill="auto"/>
            <w:noWrap/>
            <w:vAlign w:val="center"/>
          </w:tcPr>
          <w:p w:rsidR="00AF73B9" w:rsidRPr="00EB2995" w:rsidRDefault="00AF73B9" w:rsidP="00AF73B9">
            <w:pPr>
              <w:jc w:val="right"/>
              <w:rPr>
                <w:rFonts w:cs="Calibri"/>
                <w:color w:val="000000"/>
                <w:lang w:eastAsia="en-GB"/>
              </w:rPr>
            </w:pPr>
            <w:r w:rsidRPr="00EB2995">
              <w:rPr>
                <w:rFonts w:cs="Calibri"/>
                <w:color w:val="000000"/>
              </w:rPr>
              <w:t>12</w:t>
            </w:r>
          </w:p>
        </w:tc>
        <w:tc>
          <w:tcPr>
            <w:tcW w:w="992" w:type="dxa"/>
            <w:tcBorders>
              <w:top w:val="nil"/>
              <w:left w:val="nil"/>
              <w:bottom w:val="nil"/>
              <w:right w:val="nil"/>
            </w:tcBorders>
            <w:shd w:val="clear" w:color="auto" w:fill="auto"/>
            <w:noWrap/>
            <w:vAlign w:val="center"/>
          </w:tcPr>
          <w:p w:rsidR="00AF73B9" w:rsidRPr="00EB2995" w:rsidRDefault="00AF73B9" w:rsidP="00AF73B9">
            <w:pPr>
              <w:jc w:val="right"/>
              <w:rPr>
                <w:rFonts w:cs="Calibri"/>
                <w:color w:val="000000"/>
                <w:lang w:eastAsia="en-GB"/>
              </w:rPr>
            </w:pPr>
            <w:r w:rsidRPr="00EB2995">
              <w:rPr>
                <w:rFonts w:cs="Calibri"/>
                <w:color w:val="000000"/>
              </w:rPr>
              <w:t>3</w:t>
            </w:r>
          </w:p>
        </w:tc>
        <w:tc>
          <w:tcPr>
            <w:tcW w:w="1381" w:type="dxa"/>
            <w:tcBorders>
              <w:top w:val="nil"/>
              <w:left w:val="nil"/>
              <w:bottom w:val="nil"/>
              <w:right w:val="single" w:sz="8" w:space="0" w:color="auto"/>
            </w:tcBorders>
            <w:shd w:val="clear" w:color="auto" w:fill="auto"/>
            <w:noWrap/>
            <w:vAlign w:val="center"/>
          </w:tcPr>
          <w:p w:rsidR="00AF73B9" w:rsidRPr="00EB2995" w:rsidRDefault="00AF73B9" w:rsidP="00AF73B9">
            <w:pPr>
              <w:jc w:val="right"/>
              <w:rPr>
                <w:rFonts w:cs="Calibri"/>
                <w:color w:val="000000"/>
                <w:lang w:eastAsia="en-GB"/>
              </w:rPr>
            </w:pPr>
            <w:r w:rsidRPr="00EB2995">
              <w:rPr>
                <w:rFonts w:cs="Calibri"/>
                <w:color w:val="000000"/>
              </w:rPr>
              <w:t>15</w:t>
            </w:r>
          </w:p>
        </w:tc>
      </w:tr>
      <w:tr w:rsidR="00AF73B9" w:rsidRPr="00EB2995" w:rsidTr="00AF73B9">
        <w:trPr>
          <w:trHeight w:hRule="exact" w:val="340"/>
        </w:trPr>
        <w:tc>
          <w:tcPr>
            <w:tcW w:w="1129" w:type="dxa"/>
            <w:tcBorders>
              <w:top w:val="nil"/>
              <w:left w:val="single" w:sz="8" w:space="0" w:color="auto"/>
              <w:bottom w:val="nil"/>
              <w:right w:val="nil"/>
            </w:tcBorders>
            <w:shd w:val="clear" w:color="auto" w:fill="auto"/>
            <w:noWrap/>
            <w:vAlign w:val="center"/>
            <w:hideMark/>
          </w:tcPr>
          <w:p w:rsidR="00AF73B9" w:rsidRPr="00EB2995" w:rsidRDefault="00AF73B9" w:rsidP="00AF73B9">
            <w:pPr>
              <w:jc w:val="right"/>
              <w:rPr>
                <w:rFonts w:cs="Calibri"/>
                <w:color w:val="000000"/>
                <w:lang w:eastAsia="en-GB"/>
              </w:rPr>
            </w:pPr>
            <w:r w:rsidRPr="00EB2995">
              <w:rPr>
                <w:rFonts w:cs="Calibri"/>
                <w:color w:val="000000"/>
                <w:lang w:eastAsia="en-GB"/>
              </w:rPr>
              <w:t>8</w:t>
            </w:r>
          </w:p>
        </w:tc>
        <w:tc>
          <w:tcPr>
            <w:tcW w:w="1157" w:type="dxa"/>
            <w:tcBorders>
              <w:top w:val="nil"/>
              <w:left w:val="nil"/>
              <w:bottom w:val="nil"/>
              <w:right w:val="nil"/>
            </w:tcBorders>
            <w:shd w:val="clear" w:color="auto" w:fill="auto"/>
            <w:noWrap/>
            <w:vAlign w:val="center"/>
            <w:hideMark/>
          </w:tcPr>
          <w:p w:rsidR="00AF73B9" w:rsidRPr="00EB2995" w:rsidRDefault="00AF73B9" w:rsidP="00AF73B9">
            <w:pPr>
              <w:jc w:val="right"/>
              <w:rPr>
                <w:rFonts w:cs="Calibri"/>
                <w:color w:val="000000"/>
                <w:lang w:eastAsia="en-GB"/>
              </w:rPr>
            </w:pPr>
            <w:r w:rsidRPr="00EB2995">
              <w:rPr>
                <w:rFonts w:cs="Calibri"/>
                <w:color w:val="000000"/>
                <w:lang w:eastAsia="en-GB"/>
              </w:rPr>
              <w:t>9</w:t>
            </w:r>
          </w:p>
        </w:tc>
        <w:tc>
          <w:tcPr>
            <w:tcW w:w="776" w:type="dxa"/>
            <w:tcBorders>
              <w:top w:val="nil"/>
              <w:left w:val="nil"/>
              <w:bottom w:val="nil"/>
              <w:right w:val="single" w:sz="8" w:space="0" w:color="auto"/>
            </w:tcBorders>
            <w:shd w:val="clear" w:color="auto" w:fill="auto"/>
            <w:noWrap/>
            <w:vAlign w:val="center"/>
            <w:hideMark/>
          </w:tcPr>
          <w:p w:rsidR="00AF73B9" w:rsidRPr="00EB2995" w:rsidRDefault="00AF73B9" w:rsidP="00AF73B9">
            <w:pPr>
              <w:jc w:val="right"/>
              <w:rPr>
                <w:rFonts w:cs="Calibri"/>
                <w:color w:val="000000"/>
                <w:lang w:eastAsia="en-GB"/>
              </w:rPr>
            </w:pPr>
            <w:r w:rsidRPr="00EB2995">
              <w:rPr>
                <w:rFonts w:cs="Calibri"/>
                <w:color w:val="000000"/>
                <w:lang w:eastAsia="en-GB"/>
              </w:rPr>
              <w:t>17</w:t>
            </w:r>
          </w:p>
        </w:tc>
        <w:tc>
          <w:tcPr>
            <w:tcW w:w="3658" w:type="dxa"/>
            <w:gridSpan w:val="4"/>
            <w:tcBorders>
              <w:top w:val="nil"/>
              <w:left w:val="nil"/>
              <w:bottom w:val="nil"/>
              <w:right w:val="single" w:sz="8" w:space="0" w:color="000000"/>
            </w:tcBorders>
            <w:shd w:val="clear" w:color="auto" w:fill="auto"/>
            <w:vAlign w:val="center"/>
            <w:hideMark/>
          </w:tcPr>
          <w:p w:rsidR="00AF73B9" w:rsidRPr="00EB2995" w:rsidRDefault="00AF73B9" w:rsidP="00AF73B9">
            <w:pPr>
              <w:jc w:val="center"/>
              <w:rPr>
                <w:rFonts w:cs="Calibri"/>
                <w:color w:val="000000"/>
                <w:lang w:eastAsia="en-GB"/>
              </w:rPr>
            </w:pPr>
            <w:r w:rsidRPr="00EB2995">
              <w:rPr>
                <w:rFonts w:cs="Calibri"/>
                <w:color w:val="000000"/>
                <w:lang w:eastAsia="en-GB"/>
              </w:rPr>
              <w:t>85,000 - 89,999</w:t>
            </w:r>
          </w:p>
        </w:tc>
        <w:tc>
          <w:tcPr>
            <w:tcW w:w="972" w:type="dxa"/>
            <w:tcBorders>
              <w:top w:val="nil"/>
              <w:left w:val="nil"/>
              <w:bottom w:val="nil"/>
              <w:right w:val="nil"/>
            </w:tcBorders>
            <w:shd w:val="clear" w:color="auto" w:fill="auto"/>
            <w:noWrap/>
            <w:vAlign w:val="center"/>
          </w:tcPr>
          <w:p w:rsidR="00AF73B9" w:rsidRPr="00EB2995" w:rsidRDefault="00AF73B9" w:rsidP="00AF73B9">
            <w:pPr>
              <w:jc w:val="right"/>
              <w:rPr>
                <w:rFonts w:cs="Calibri"/>
                <w:color w:val="000000"/>
                <w:lang w:eastAsia="en-GB"/>
              </w:rPr>
            </w:pPr>
            <w:r w:rsidRPr="00EB2995">
              <w:rPr>
                <w:rFonts w:cs="Calibri"/>
                <w:color w:val="000000"/>
              </w:rPr>
              <w:t>6</w:t>
            </w:r>
          </w:p>
        </w:tc>
        <w:tc>
          <w:tcPr>
            <w:tcW w:w="992" w:type="dxa"/>
            <w:tcBorders>
              <w:top w:val="nil"/>
              <w:left w:val="nil"/>
              <w:bottom w:val="nil"/>
              <w:right w:val="nil"/>
            </w:tcBorders>
            <w:shd w:val="clear" w:color="auto" w:fill="auto"/>
            <w:noWrap/>
            <w:vAlign w:val="center"/>
          </w:tcPr>
          <w:p w:rsidR="00AF73B9" w:rsidRPr="00EB2995" w:rsidRDefault="00AF73B9" w:rsidP="00AF73B9">
            <w:pPr>
              <w:jc w:val="right"/>
              <w:rPr>
                <w:rFonts w:cs="Calibri"/>
                <w:color w:val="000000"/>
                <w:lang w:eastAsia="en-GB"/>
              </w:rPr>
            </w:pPr>
            <w:r w:rsidRPr="00EB2995">
              <w:rPr>
                <w:rFonts w:cs="Calibri"/>
                <w:color w:val="000000"/>
              </w:rPr>
              <w:t>5</w:t>
            </w:r>
          </w:p>
        </w:tc>
        <w:tc>
          <w:tcPr>
            <w:tcW w:w="1381" w:type="dxa"/>
            <w:tcBorders>
              <w:top w:val="nil"/>
              <w:left w:val="nil"/>
              <w:bottom w:val="nil"/>
              <w:right w:val="single" w:sz="8" w:space="0" w:color="auto"/>
            </w:tcBorders>
            <w:shd w:val="clear" w:color="auto" w:fill="auto"/>
            <w:noWrap/>
            <w:vAlign w:val="center"/>
          </w:tcPr>
          <w:p w:rsidR="00AF73B9" w:rsidRPr="00EB2995" w:rsidRDefault="00AF73B9" w:rsidP="00AF73B9">
            <w:pPr>
              <w:jc w:val="right"/>
              <w:rPr>
                <w:rFonts w:cs="Calibri"/>
                <w:color w:val="000000"/>
                <w:lang w:eastAsia="en-GB"/>
              </w:rPr>
            </w:pPr>
            <w:r w:rsidRPr="00EB2995">
              <w:rPr>
                <w:rFonts w:cs="Calibri"/>
                <w:color w:val="000000"/>
              </w:rPr>
              <w:t>11</w:t>
            </w:r>
          </w:p>
        </w:tc>
      </w:tr>
      <w:tr w:rsidR="00AF73B9" w:rsidRPr="00EB2995" w:rsidTr="00AF73B9">
        <w:trPr>
          <w:trHeight w:hRule="exact" w:val="340"/>
        </w:trPr>
        <w:tc>
          <w:tcPr>
            <w:tcW w:w="1129" w:type="dxa"/>
            <w:tcBorders>
              <w:top w:val="nil"/>
              <w:left w:val="single" w:sz="8" w:space="0" w:color="auto"/>
              <w:bottom w:val="nil"/>
              <w:right w:val="nil"/>
            </w:tcBorders>
            <w:shd w:val="clear" w:color="auto" w:fill="auto"/>
            <w:noWrap/>
            <w:vAlign w:val="center"/>
            <w:hideMark/>
          </w:tcPr>
          <w:p w:rsidR="00AF73B9" w:rsidRPr="00EB2995" w:rsidRDefault="00AF73B9" w:rsidP="00AF73B9">
            <w:pPr>
              <w:jc w:val="right"/>
              <w:rPr>
                <w:rFonts w:cs="Calibri"/>
                <w:color w:val="000000"/>
                <w:lang w:eastAsia="en-GB"/>
              </w:rPr>
            </w:pPr>
            <w:r w:rsidRPr="00EB2995">
              <w:rPr>
                <w:rFonts w:cs="Calibri"/>
                <w:color w:val="000000"/>
                <w:lang w:eastAsia="en-GB"/>
              </w:rPr>
              <w:t>7</w:t>
            </w:r>
          </w:p>
        </w:tc>
        <w:tc>
          <w:tcPr>
            <w:tcW w:w="1157" w:type="dxa"/>
            <w:tcBorders>
              <w:top w:val="nil"/>
              <w:left w:val="nil"/>
              <w:bottom w:val="nil"/>
              <w:right w:val="nil"/>
            </w:tcBorders>
            <w:shd w:val="clear" w:color="auto" w:fill="auto"/>
            <w:noWrap/>
            <w:vAlign w:val="center"/>
            <w:hideMark/>
          </w:tcPr>
          <w:p w:rsidR="00AF73B9" w:rsidRPr="00EB2995" w:rsidRDefault="00AF73B9" w:rsidP="00AF73B9">
            <w:pPr>
              <w:jc w:val="right"/>
              <w:rPr>
                <w:rFonts w:cs="Calibri"/>
                <w:color w:val="000000"/>
                <w:lang w:eastAsia="en-GB"/>
              </w:rPr>
            </w:pPr>
            <w:r w:rsidRPr="00EB2995">
              <w:rPr>
                <w:rFonts w:cs="Calibri"/>
                <w:color w:val="000000"/>
                <w:lang w:eastAsia="en-GB"/>
              </w:rPr>
              <w:t>9</w:t>
            </w:r>
          </w:p>
        </w:tc>
        <w:tc>
          <w:tcPr>
            <w:tcW w:w="776" w:type="dxa"/>
            <w:tcBorders>
              <w:top w:val="nil"/>
              <w:left w:val="nil"/>
              <w:bottom w:val="nil"/>
              <w:right w:val="single" w:sz="8" w:space="0" w:color="auto"/>
            </w:tcBorders>
            <w:shd w:val="clear" w:color="auto" w:fill="auto"/>
            <w:noWrap/>
            <w:vAlign w:val="center"/>
            <w:hideMark/>
          </w:tcPr>
          <w:p w:rsidR="00AF73B9" w:rsidRPr="00EB2995" w:rsidRDefault="00AF73B9" w:rsidP="00AF73B9">
            <w:pPr>
              <w:jc w:val="right"/>
              <w:rPr>
                <w:rFonts w:cs="Calibri"/>
                <w:color w:val="000000"/>
                <w:lang w:eastAsia="en-GB"/>
              </w:rPr>
            </w:pPr>
            <w:r w:rsidRPr="00EB2995">
              <w:rPr>
                <w:rFonts w:cs="Calibri"/>
                <w:color w:val="000000"/>
                <w:lang w:eastAsia="en-GB"/>
              </w:rPr>
              <w:t>16</w:t>
            </w:r>
          </w:p>
        </w:tc>
        <w:tc>
          <w:tcPr>
            <w:tcW w:w="3658" w:type="dxa"/>
            <w:gridSpan w:val="4"/>
            <w:tcBorders>
              <w:top w:val="nil"/>
              <w:left w:val="nil"/>
              <w:bottom w:val="nil"/>
              <w:right w:val="single" w:sz="8" w:space="0" w:color="000000"/>
            </w:tcBorders>
            <w:shd w:val="clear" w:color="auto" w:fill="auto"/>
            <w:vAlign w:val="center"/>
            <w:hideMark/>
          </w:tcPr>
          <w:p w:rsidR="00AF73B9" w:rsidRPr="00EB2995" w:rsidRDefault="00AF73B9" w:rsidP="00AF73B9">
            <w:pPr>
              <w:jc w:val="center"/>
              <w:rPr>
                <w:rFonts w:cs="Calibri"/>
                <w:color w:val="000000"/>
                <w:lang w:eastAsia="en-GB"/>
              </w:rPr>
            </w:pPr>
            <w:r w:rsidRPr="00EB2995">
              <w:rPr>
                <w:rFonts w:cs="Calibri"/>
                <w:color w:val="000000"/>
                <w:lang w:eastAsia="en-GB"/>
              </w:rPr>
              <w:t>90,000 - 94,999</w:t>
            </w:r>
          </w:p>
        </w:tc>
        <w:tc>
          <w:tcPr>
            <w:tcW w:w="972" w:type="dxa"/>
            <w:tcBorders>
              <w:top w:val="nil"/>
              <w:left w:val="nil"/>
              <w:bottom w:val="nil"/>
              <w:right w:val="nil"/>
            </w:tcBorders>
            <w:shd w:val="clear" w:color="auto" w:fill="auto"/>
            <w:noWrap/>
            <w:vAlign w:val="center"/>
          </w:tcPr>
          <w:p w:rsidR="00AF73B9" w:rsidRPr="00EB2995" w:rsidRDefault="00AF73B9" w:rsidP="00AF73B9">
            <w:pPr>
              <w:jc w:val="right"/>
              <w:rPr>
                <w:rFonts w:cs="Calibri"/>
                <w:color w:val="000000"/>
                <w:lang w:eastAsia="en-GB"/>
              </w:rPr>
            </w:pPr>
            <w:r w:rsidRPr="00EB2995">
              <w:rPr>
                <w:rFonts w:cs="Calibri"/>
                <w:color w:val="000000"/>
              </w:rPr>
              <w:t>8</w:t>
            </w:r>
          </w:p>
        </w:tc>
        <w:tc>
          <w:tcPr>
            <w:tcW w:w="992" w:type="dxa"/>
            <w:tcBorders>
              <w:top w:val="nil"/>
              <w:left w:val="nil"/>
              <w:bottom w:val="nil"/>
              <w:right w:val="nil"/>
            </w:tcBorders>
            <w:shd w:val="clear" w:color="auto" w:fill="auto"/>
            <w:noWrap/>
            <w:vAlign w:val="center"/>
          </w:tcPr>
          <w:p w:rsidR="00AF73B9" w:rsidRPr="00EB2995" w:rsidRDefault="00AF73B9" w:rsidP="00AF73B9">
            <w:pPr>
              <w:jc w:val="right"/>
              <w:rPr>
                <w:rFonts w:cs="Calibri"/>
                <w:color w:val="000000"/>
                <w:lang w:eastAsia="en-GB"/>
              </w:rPr>
            </w:pPr>
            <w:r w:rsidRPr="00EB2995">
              <w:rPr>
                <w:rFonts w:cs="Calibri"/>
                <w:color w:val="000000"/>
              </w:rPr>
              <w:t>15</w:t>
            </w:r>
          </w:p>
        </w:tc>
        <w:tc>
          <w:tcPr>
            <w:tcW w:w="1381" w:type="dxa"/>
            <w:tcBorders>
              <w:top w:val="nil"/>
              <w:left w:val="nil"/>
              <w:bottom w:val="nil"/>
              <w:right w:val="single" w:sz="8" w:space="0" w:color="auto"/>
            </w:tcBorders>
            <w:shd w:val="clear" w:color="auto" w:fill="auto"/>
            <w:noWrap/>
            <w:vAlign w:val="center"/>
          </w:tcPr>
          <w:p w:rsidR="00AF73B9" w:rsidRPr="00EB2995" w:rsidRDefault="00AF73B9" w:rsidP="00AF73B9">
            <w:pPr>
              <w:jc w:val="right"/>
              <w:rPr>
                <w:rFonts w:cs="Calibri"/>
                <w:color w:val="000000"/>
                <w:lang w:eastAsia="en-GB"/>
              </w:rPr>
            </w:pPr>
            <w:r w:rsidRPr="00EB2995">
              <w:rPr>
                <w:rFonts w:cs="Calibri"/>
                <w:color w:val="000000"/>
              </w:rPr>
              <w:t>23</w:t>
            </w:r>
          </w:p>
        </w:tc>
      </w:tr>
      <w:tr w:rsidR="00AF73B9" w:rsidRPr="00EB2995" w:rsidTr="00AF73B9">
        <w:trPr>
          <w:trHeight w:hRule="exact" w:val="340"/>
        </w:trPr>
        <w:tc>
          <w:tcPr>
            <w:tcW w:w="1129" w:type="dxa"/>
            <w:tcBorders>
              <w:top w:val="nil"/>
              <w:left w:val="single" w:sz="8" w:space="0" w:color="auto"/>
              <w:bottom w:val="nil"/>
              <w:right w:val="nil"/>
            </w:tcBorders>
            <w:shd w:val="clear" w:color="auto" w:fill="auto"/>
            <w:noWrap/>
            <w:vAlign w:val="center"/>
            <w:hideMark/>
          </w:tcPr>
          <w:p w:rsidR="00AF73B9" w:rsidRPr="00EB2995" w:rsidRDefault="00AF73B9" w:rsidP="00AF73B9">
            <w:pPr>
              <w:jc w:val="right"/>
              <w:rPr>
                <w:rFonts w:cs="Calibri"/>
                <w:color w:val="000000"/>
                <w:lang w:eastAsia="en-GB"/>
              </w:rPr>
            </w:pPr>
            <w:r w:rsidRPr="00EB2995">
              <w:rPr>
                <w:rFonts w:cs="Calibri"/>
                <w:color w:val="000000"/>
                <w:lang w:eastAsia="en-GB"/>
              </w:rPr>
              <w:t>3</w:t>
            </w:r>
          </w:p>
        </w:tc>
        <w:tc>
          <w:tcPr>
            <w:tcW w:w="1157" w:type="dxa"/>
            <w:tcBorders>
              <w:top w:val="nil"/>
              <w:left w:val="nil"/>
              <w:bottom w:val="nil"/>
              <w:right w:val="nil"/>
            </w:tcBorders>
            <w:shd w:val="clear" w:color="auto" w:fill="auto"/>
            <w:noWrap/>
            <w:vAlign w:val="center"/>
            <w:hideMark/>
          </w:tcPr>
          <w:p w:rsidR="00AF73B9" w:rsidRPr="00EB2995" w:rsidRDefault="00AF73B9" w:rsidP="00AF73B9">
            <w:pPr>
              <w:jc w:val="right"/>
              <w:rPr>
                <w:rFonts w:cs="Calibri"/>
                <w:color w:val="000000"/>
                <w:lang w:eastAsia="en-GB"/>
              </w:rPr>
            </w:pPr>
            <w:r w:rsidRPr="00EB2995">
              <w:rPr>
                <w:rFonts w:cs="Calibri"/>
                <w:color w:val="000000"/>
                <w:lang w:eastAsia="en-GB"/>
              </w:rPr>
              <w:t>1</w:t>
            </w:r>
          </w:p>
        </w:tc>
        <w:tc>
          <w:tcPr>
            <w:tcW w:w="776" w:type="dxa"/>
            <w:tcBorders>
              <w:top w:val="nil"/>
              <w:left w:val="nil"/>
              <w:bottom w:val="nil"/>
              <w:right w:val="single" w:sz="8" w:space="0" w:color="auto"/>
            </w:tcBorders>
            <w:shd w:val="clear" w:color="auto" w:fill="auto"/>
            <w:noWrap/>
            <w:vAlign w:val="center"/>
            <w:hideMark/>
          </w:tcPr>
          <w:p w:rsidR="00AF73B9" w:rsidRPr="00EB2995" w:rsidRDefault="00AF73B9" w:rsidP="00AF73B9">
            <w:pPr>
              <w:jc w:val="right"/>
              <w:rPr>
                <w:rFonts w:cs="Calibri"/>
                <w:color w:val="000000"/>
                <w:lang w:eastAsia="en-GB"/>
              </w:rPr>
            </w:pPr>
            <w:r w:rsidRPr="00EB2995">
              <w:rPr>
                <w:rFonts w:cs="Calibri"/>
                <w:color w:val="000000"/>
                <w:lang w:eastAsia="en-GB"/>
              </w:rPr>
              <w:t>4</w:t>
            </w:r>
          </w:p>
        </w:tc>
        <w:tc>
          <w:tcPr>
            <w:tcW w:w="3658" w:type="dxa"/>
            <w:gridSpan w:val="4"/>
            <w:tcBorders>
              <w:top w:val="nil"/>
              <w:left w:val="nil"/>
              <w:bottom w:val="nil"/>
              <w:right w:val="single" w:sz="8" w:space="0" w:color="000000"/>
            </w:tcBorders>
            <w:shd w:val="clear" w:color="auto" w:fill="auto"/>
            <w:vAlign w:val="center"/>
            <w:hideMark/>
          </w:tcPr>
          <w:p w:rsidR="00AF73B9" w:rsidRPr="00EB2995" w:rsidRDefault="00AF73B9" w:rsidP="00AF73B9">
            <w:pPr>
              <w:jc w:val="center"/>
              <w:rPr>
                <w:rFonts w:cs="Calibri"/>
                <w:color w:val="000000"/>
                <w:lang w:eastAsia="en-GB"/>
              </w:rPr>
            </w:pPr>
            <w:r w:rsidRPr="00EB2995">
              <w:rPr>
                <w:rFonts w:cs="Calibri"/>
                <w:color w:val="000000"/>
                <w:lang w:eastAsia="en-GB"/>
              </w:rPr>
              <w:t>95,000 - 99,999</w:t>
            </w:r>
          </w:p>
        </w:tc>
        <w:tc>
          <w:tcPr>
            <w:tcW w:w="972" w:type="dxa"/>
            <w:tcBorders>
              <w:top w:val="nil"/>
              <w:left w:val="nil"/>
              <w:bottom w:val="nil"/>
              <w:right w:val="nil"/>
            </w:tcBorders>
            <w:shd w:val="clear" w:color="auto" w:fill="auto"/>
            <w:noWrap/>
            <w:vAlign w:val="center"/>
          </w:tcPr>
          <w:p w:rsidR="00AF73B9" w:rsidRPr="00EB2995" w:rsidRDefault="00AF73B9" w:rsidP="00AF73B9">
            <w:pPr>
              <w:jc w:val="right"/>
              <w:rPr>
                <w:rFonts w:cs="Calibri"/>
                <w:color w:val="000000"/>
                <w:lang w:eastAsia="en-GB"/>
              </w:rPr>
            </w:pPr>
            <w:r w:rsidRPr="00EB2995">
              <w:rPr>
                <w:rFonts w:cs="Calibri"/>
                <w:color w:val="000000"/>
              </w:rPr>
              <w:t>3</w:t>
            </w:r>
          </w:p>
        </w:tc>
        <w:tc>
          <w:tcPr>
            <w:tcW w:w="992" w:type="dxa"/>
            <w:tcBorders>
              <w:top w:val="nil"/>
              <w:left w:val="nil"/>
              <w:bottom w:val="nil"/>
              <w:right w:val="nil"/>
            </w:tcBorders>
            <w:shd w:val="clear" w:color="auto" w:fill="auto"/>
            <w:noWrap/>
            <w:vAlign w:val="center"/>
          </w:tcPr>
          <w:p w:rsidR="00AF73B9" w:rsidRPr="00EB2995" w:rsidRDefault="00AF73B9" w:rsidP="00AF73B9">
            <w:pPr>
              <w:jc w:val="right"/>
              <w:rPr>
                <w:rFonts w:cs="Calibri"/>
                <w:color w:val="000000"/>
                <w:lang w:eastAsia="en-GB"/>
              </w:rPr>
            </w:pPr>
            <w:r w:rsidRPr="00EB2995">
              <w:rPr>
                <w:rFonts w:cs="Calibri"/>
                <w:color w:val="000000"/>
              </w:rPr>
              <w:t>5</w:t>
            </w:r>
          </w:p>
        </w:tc>
        <w:tc>
          <w:tcPr>
            <w:tcW w:w="1381" w:type="dxa"/>
            <w:tcBorders>
              <w:top w:val="nil"/>
              <w:left w:val="nil"/>
              <w:bottom w:val="nil"/>
              <w:right w:val="single" w:sz="8" w:space="0" w:color="auto"/>
            </w:tcBorders>
            <w:shd w:val="clear" w:color="auto" w:fill="auto"/>
            <w:noWrap/>
            <w:vAlign w:val="center"/>
          </w:tcPr>
          <w:p w:rsidR="00AF73B9" w:rsidRPr="00EB2995" w:rsidRDefault="00AF73B9" w:rsidP="00AF73B9">
            <w:pPr>
              <w:jc w:val="right"/>
              <w:rPr>
                <w:rFonts w:cs="Calibri"/>
                <w:color w:val="000000"/>
                <w:lang w:eastAsia="en-GB"/>
              </w:rPr>
            </w:pPr>
            <w:r w:rsidRPr="00EB2995">
              <w:rPr>
                <w:rFonts w:cs="Calibri"/>
                <w:color w:val="000000"/>
              </w:rPr>
              <w:t>8</w:t>
            </w:r>
          </w:p>
        </w:tc>
      </w:tr>
      <w:tr w:rsidR="00AF73B9" w:rsidRPr="00EB2995" w:rsidTr="00AF73B9">
        <w:trPr>
          <w:trHeight w:hRule="exact" w:val="340"/>
        </w:trPr>
        <w:tc>
          <w:tcPr>
            <w:tcW w:w="1129" w:type="dxa"/>
            <w:tcBorders>
              <w:top w:val="nil"/>
              <w:left w:val="single" w:sz="8" w:space="0" w:color="auto"/>
              <w:bottom w:val="nil"/>
              <w:right w:val="nil"/>
            </w:tcBorders>
            <w:shd w:val="clear" w:color="auto" w:fill="auto"/>
            <w:noWrap/>
            <w:vAlign w:val="center"/>
            <w:hideMark/>
          </w:tcPr>
          <w:p w:rsidR="00AF73B9" w:rsidRPr="00EB2995" w:rsidRDefault="00AF73B9" w:rsidP="00AF73B9">
            <w:pPr>
              <w:jc w:val="right"/>
              <w:rPr>
                <w:rFonts w:cs="Calibri"/>
                <w:color w:val="000000"/>
                <w:lang w:eastAsia="en-GB"/>
              </w:rPr>
            </w:pPr>
            <w:r w:rsidRPr="00EB2995">
              <w:rPr>
                <w:rFonts w:cs="Calibri"/>
                <w:color w:val="000000"/>
                <w:lang w:eastAsia="en-GB"/>
              </w:rPr>
              <w:t>1</w:t>
            </w:r>
          </w:p>
        </w:tc>
        <w:tc>
          <w:tcPr>
            <w:tcW w:w="1157" w:type="dxa"/>
            <w:tcBorders>
              <w:top w:val="nil"/>
              <w:left w:val="nil"/>
              <w:bottom w:val="nil"/>
              <w:right w:val="nil"/>
            </w:tcBorders>
            <w:shd w:val="clear" w:color="auto" w:fill="auto"/>
            <w:noWrap/>
            <w:vAlign w:val="center"/>
            <w:hideMark/>
          </w:tcPr>
          <w:p w:rsidR="00AF73B9" w:rsidRPr="00EB2995" w:rsidRDefault="00AF73B9" w:rsidP="00AF73B9">
            <w:pPr>
              <w:jc w:val="right"/>
              <w:rPr>
                <w:rFonts w:cs="Calibri"/>
                <w:color w:val="000000"/>
                <w:lang w:eastAsia="en-GB"/>
              </w:rPr>
            </w:pPr>
            <w:r w:rsidRPr="00EB2995">
              <w:rPr>
                <w:rFonts w:cs="Calibri"/>
                <w:color w:val="000000"/>
                <w:lang w:eastAsia="en-GB"/>
              </w:rPr>
              <w:t>1</w:t>
            </w:r>
          </w:p>
        </w:tc>
        <w:tc>
          <w:tcPr>
            <w:tcW w:w="776" w:type="dxa"/>
            <w:tcBorders>
              <w:top w:val="nil"/>
              <w:left w:val="nil"/>
              <w:bottom w:val="nil"/>
              <w:right w:val="single" w:sz="8" w:space="0" w:color="auto"/>
            </w:tcBorders>
            <w:shd w:val="clear" w:color="auto" w:fill="auto"/>
            <w:noWrap/>
            <w:vAlign w:val="center"/>
            <w:hideMark/>
          </w:tcPr>
          <w:p w:rsidR="00AF73B9" w:rsidRPr="00EB2995" w:rsidRDefault="00AF73B9" w:rsidP="00AF73B9">
            <w:pPr>
              <w:jc w:val="right"/>
              <w:rPr>
                <w:rFonts w:cs="Calibri"/>
                <w:color w:val="000000"/>
                <w:lang w:eastAsia="en-GB"/>
              </w:rPr>
            </w:pPr>
            <w:r w:rsidRPr="00EB2995">
              <w:rPr>
                <w:rFonts w:cs="Calibri"/>
                <w:color w:val="000000"/>
                <w:lang w:eastAsia="en-GB"/>
              </w:rPr>
              <w:t>2</w:t>
            </w:r>
          </w:p>
        </w:tc>
        <w:tc>
          <w:tcPr>
            <w:tcW w:w="3658" w:type="dxa"/>
            <w:gridSpan w:val="4"/>
            <w:tcBorders>
              <w:top w:val="nil"/>
              <w:left w:val="nil"/>
              <w:bottom w:val="nil"/>
              <w:right w:val="single" w:sz="8" w:space="0" w:color="000000"/>
            </w:tcBorders>
            <w:shd w:val="clear" w:color="auto" w:fill="auto"/>
            <w:vAlign w:val="center"/>
            <w:hideMark/>
          </w:tcPr>
          <w:p w:rsidR="00AF73B9" w:rsidRPr="00EB2995" w:rsidRDefault="00AF73B9" w:rsidP="00AF73B9">
            <w:pPr>
              <w:jc w:val="center"/>
              <w:rPr>
                <w:rFonts w:cs="Calibri"/>
                <w:color w:val="000000"/>
                <w:lang w:eastAsia="en-GB"/>
              </w:rPr>
            </w:pPr>
            <w:r w:rsidRPr="00EB2995">
              <w:rPr>
                <w:rFonts w:cs="Calibri"/>
                <w:color w:val="000000"/>
                <w:lang w:eastAsia="en-GB"/>
              </w:rPr>
              <w:t>100,000 - 104,999</w:t>
            </w:r>
          </w:p>
        </w:tc>
        <w:tc>
          <w:tcPr>
            <w:tcW w:w="972" w:type="dxa"/>
            <w:tcBorders>
              <w:top w:val="nil"/>
              <w:left w:val="nil"/>
              <w:bottom w:val="nil"/>
              <w:right w:val="nil"/>
            </w:tcBorders>
            <w:shd w:val="clear" w:color="auto" w:fill="auto"/>
            <w:noWrap/>
            <w:vAlign w:val="center"/>
          </w:tcPr>
          <w:p w:rsidR="00AF73B9" w:rsidRPr="00EB2995" w:rsidRDefault="00AF73B9" w:rsidP="00AF73B9">
            <w:pPr>
              <w:jc w:val="right"/>
              <w:rPr>
                <w:rFonts w:cs="Calibri"/>
                <w:color w:val="000000"/>
                <w:lang w:eastAsia="en-GB"/>
              </w:rPr>
            </w:pPr>
            <w:r w:rsidRPr="00EB2995">
              <w:rPr>
                <w:rFonts w:cs="Calibri"/>
                <w:color w:val="000000"/>
              </w:rPr>
              <w:t>3</w:t>
            </w:r>
          </w:p>
        </w:tc>
        <w:tc>
          <w:tcPr>
            <w:tcW w:w="992" w:type="dxa"/>
            <w:tcBorders>
              <w:top w:val="nil"/>
              <w:left w:val="nil"/>
              <w:bottom w:val="nil"/>
              <w:right w:val="nil"/>
            </w:tcBorders>
            <w:shd w:val="clear" w:color="auto" w:fill="auto"/>
            <w:noWrap/>
            <w:vAlign w:val="center"/>
          </w:tcPr>
          <w:p w:rsidR="00AF73B9" w:rsidRPr="00EB2995" w:rsidRDefault="00AF73B9" w:rsidP="00AF73B9">
            <w:pPr>
              <w:jc w:val="right"/>
              <w:rPr>
                <w:rFonts w:cs="Calibri"/>
                <w:color w:val="000000"/>
                <w:lang w:eastAsia="en-GB"/>
              </w:rPr>
            </w:pPr>
            <w:r w:rsidRPr="00EB2995">
              <w:rPr>
                <w:rFonts w:cs="Calibri"/>
                <w:color w:val="000000"/>
              </w:rPr>
              <w:t>3</w:t>
            </w:r>
          </w:p>
        </w:tc>
        <w:tc>
          <w:tcPr>
            <w:tcW w:w="1381" w:type="dxa"/>
            <w:tcBorders>
              <w:top w:val="nil"/>
              <w:left w:val="nil"/>
              <w:bottom w:val="nil"/>
              <w:right w:val="single" w:sz="8" w:space="0" w:color="auto"/>
            </w:tcBorders>
            <w:shd w:val="clear" w:color="auto" w:fill="auto"/>
            <w:noWrap/>
            <w:vAlign w:val="center"/>
          </w:tcPr>
          <w:p w:rsidR="00AF73B9" w:rsidRPr="00EB2995" w:rsidRDefault="00AF73B9" w:rsidP="00AF73B9">
            <w:pPr>
              <w:jc w:val="right"/>
              <w:rPr>
                <w:rFonts w:cs="Calibri"/>
                <w:color w:val="000000"/>
                <w:lang w:eastAsia="en-GB"/>
              </w:rPr>
            </w:pPr>
            <w:r w:rsidRPr="00EB2995">
              <w:rPr>
                <w:rFonts w:cs="Calibri"/>
                <w:color w:val="000000"/>
              </w:rPr>
              <w:t>6</w:t>
            </w:r>
          </w:p>
        </w:tc>
      </w:tr>
      <w:tr w:rsidR="00AF73B9" w:rsidRPr="00EB2995" w:rsidTr="00AF73B9">
        <w:trPr>
          <w:trHeight w:hRule="exact" w:val="340"/>
        </w:trPr>
        <w:tc>
          <w:tcPr>
            <w:tcW w:w="1129" w:type="dxa"/>
            <w:tcBorders>
              <w:top w:val="nil"/>
              <w:left w:val="single" w:sz="8" w:space="0" w:color="auto"/>
              <w:bottom w:val="nil"/>
              <w:right w:val="nil"/>
            </w:tcBorders>
            <w:shd w:val="clear" w:color="auto" w:fill="auto"/>
            <w:noWrap/>
            <w:vAlign w:val="center"/>
            <w:hideMark/>
          </w:tcPr>
          <w:p w:rsidR="00AF73B9" w:rsidRPr="00EB2995" w:rsidRDefault="00AF73B9" w:rsidP="00AF73B9">
            <w:pPr>
              <w:jc w:val="right"/>
              <w:rPr>
                <w:rFonts w:cs="Calibri"/>
                <w:color w:val="000000"/>
                <w:lang w:eastAsia="en-GB"/>
              </w:rPr>
            </w:pPr>
            <w:r w:rsidRPr="00EB2995">
              <w:rPr>
                <w:rFonts w:cs="Calibri"/>
                <w:color w:val="000000"/>
                <w:lang w:eastAsia="en-GB"/>
              </w:rPr>
              <w:t>1</w:t>
            </w:r>
          </w:p>
        </w:tc>
        <w:tc>
          <w:tcPr>
            <w:tcW w:w="1157" w:type="dxa"/>
            <w:tcBorders>
              <w:top w:val="nil"/>
              <w:left w:val="nil"/>
              <w:bottom w:val="nil"/>
              <w:right w:val="nil"/>
            </w:tcBorders>
            <w:shd w:val="clear" w:color="auto" w:fill="auto"/>
            <w:noWrap/>
            <w:vAlign w:val="center"/>
            <w:hideMark/>
          </w:tcPr>
          <w:p w:rsidR="00AF73B9" w:rsidRPr="00EB2995" w:rsidRDefault="00AF73B9" w:rsidP="00AF73B9">
            <w:pPr>
              <w:jc w:val="right"/>
              <w:rPr>
                <w:rFonts w:cs="Calibri"/>
                <w:color w:val="000000"/>
                <w:lang w:eastAsia="en-GB"/>
              </w:rPr>
            </w:pPr>
            <w:r w:rsidRPr="00EB2995">
              <w:rPr>
                <w:rFonts w:cs="Calibri"/>
                <w:color w:val="000000"/>
                <w:lang w:eastAsia="en-GB"/>
              </w:rPr>
              <w:t>1</w:t>
            </w:r>
          </w:p>
        </w:tc>
        <w:tc>
          <w:tcPr>
            <w:tcW w:w="776" w:type="dxa"/>
            <w:tcBorders>
              <w:top w:val="nil"/>
              <w:left w:val="nil"/>
              <w:bottom w:val="nil"/>
              <w:right w:val="single" w:sz="8" w:space="0" w:color="auto"/>
            </w:tcBorders>
            <w:shd w:val="clear" w:color="auto" w:fill="auto"/>
            <w:noWrap/>
            <w:vAlign w:val="center"/>
            <w:hideMark/>
          </w:tcPr>
          <w:p w:rsidR="00AF73B9" w:rsidRPr="00EB2995" w:rsidRDefault="00AF73B9" w:rsidP="00AF73B9">
            <w:pPr>
              <w:jc w:val="right"/>
              <w:rPr>
                <w:rFonts w:cs="Calibri"/>
                <w:color w:val="000000"/>
                <w:lang w:eastAsia="en-GB"/>
              </w:rPr>
            </w:pPr>
            <w:r w:rsidRPr="00EB2995">
              <w:rPr>
                <w:rFonts w:cs="Calibri"/>
                <w:color w:val="000000"/>
                <w:lang w:eastAsia="en-GB"/>
              </w:rPr>
              <w:t>2</w:t>
            </w:r>
          </w:p>
        </w:tc>
        <w:tc>
          <w:tcPr>
            <w:tcW w:w="3658" w:type="dxa"/>
            <w:gridSpan w:val="4"/>
            <w:tcBorders>
              <w:top w:val="nil"/>
              <w:left w:val="nil"/>
              <w:bottom w:val="nil"/>
              <w:right w:val="single" w:sz="8" w:space="0" w:color="000000"/>
            </w:tcBorders>
            <w:shd w:val="clear" w:color="auto" w:fill="auto"/>
            <w:vAlign w:val="center"/>
            <w:hideMark/>
          </w:tcPr>
          <w:p w:rsidR="00AF73B9" w:rsidRPr="00EB2995" w:rsidRDefault="00AF73B9" w:rsidP="00AF73B9">
            <w:pPr>
              <w:jc w:val="center"/>
              <w:rPr>
                <w:rFonts w:cs="Calibri"/>
                <w:color w:val="000000"/>
                <w:lang w:eastAsia="en-GB"/>
              </w:rPr>
            </w:pPr>
            <w:r w:rsidRPr="00EB2995">
              <w:rPr>
                <w:rFonts w:cs="Calibri"/>
                <w:color w:val="000000"/>
                <w:lang w:eastAsia="en-GB"/>
              </w:rPr>
              <w:t>105,000 - 109,999</w:t>
            </w:r>
          </w:p>
        </w:tc>
        <w:tc>
          <w:tcPr>
            <w:tcW w:w="972" w:type="dxa"/>
            <w:tcBorders>
              <w:top w:val="nil"/>
              <w:left w:val="nil"/>
              <w:bottom w:val="nil"/>
              <w:right w:val="nil"/>
            </w:tcBorders>
            <w:shd w:val="clear" w:color="auto" w:fill="auto"/>
            <w:noWrap/>
            <w:vAlign w:val="center"/>
          </w:tcPr>
          <w:p w:rsidR="00AF73B9" w:rsidRPr="00EB2995" w:rsidRDefault="00AF73B9" w:rsidP="00AF73B9">
            <w:pPr>
              <w:jc w:val="right"/>
              <w:rPr>
                <w:rFonts w:cs="Calibri"/>
                <w:color w:val="000000"/>
                <w:lang w:eastAsia="en-GB"/>
              </w:rPr>
            </w:pPr>
            <w:r w:rsidRPr="00EB2995">
              <w:rPr>
                <w:rFonts w:cs="Calibri"/>
                <w:color w:val="000000"/>
              </w:rPr>
              <w:t>1</w:t>
            </w:r>
          </w:p>
        </w:tc>
        <w:tc>
          <w:tcPr>
            <w:tcW w:w="992" w:type="dxa"/>
            <w:tcBorders>
              <w:top w:val="nil"/>
              <w:left w:val="nil"/>
              <w:bottom w:val="nil"/>
              <w:right w:val="nil"/>
            </w:tcBorders>
            <w:shd w:val="clear" w:color="auto" w:fill="auto"/>
            <w:noWrap/>
            <w:vAlign w:val="center"/>
          </w:tcPr>
          <w:p w:rsidR="00AF73B9" w:rsidRPr="00EB2995" w:rsidRDefault="00AF73B9" w:rsidP="00AF73B9">
            <w:pPr>
              <w:jc w:val="right"/>
              <w:rPr>
                <w:rFonts w:cs="Calibri"/>
                <w:color w:val="000000"/>
                <w:lang w:eastAsia="en-GB"/>
              </w:rPr>
            </w:pPr>
            <w:r w:rsidRPr="00EB2995">
              <w:rPr>
                <w:rFonts w:cs="Calibri"/>
                <w:color w:val="000000"/>
              </w:rPr>
              <w:t>0</w:t>
            </w:r>
          </w:p>
        </w:tc>
        <w:tc>
          <w:tcPr>
            <w:tcW w:w="1381" w:type="dxa"/>
            <w:tcBorders>
              <w:top w:val="nil"/>
              <w:left w:val="nil"/>
              <w:bottom w:val="nil"/>
              <w:right w:val="single" w:sz="8" w:space="0" w:color="auto"/>
            </w:tcBorders>
            <w:shd w:val="clear" w:color="auto" w:fill="auto"/>
            <w:noWrap/>
            <w:vAlign w:val="center"/>
          </w:tcPr>
          <w:p w:rsidR="00AF73B9" w:rsidRPr="00EB2995" w:rsidRDefault="00AF73B9" w:rsidP="00AF73B9">
            <w:pPr>
              <w:jc w:val="right"/>
              <w:rPr>
                <w:rFonts w:cs="Calibri"/>
                <w:color w:val="000000"/>
                <w:lang w:eastAsia="en-GB"/>
              </w:rPr>
            </w:pPr>
            <w:r w:rsidRPr="00EB2995">
              <w:rPr>
                <w:rFonts w:cs="Calibri"/>
                <w:color w:val="000000"/>
              </w:rPr>
              <w:t>1</w:t>
            </w:r>
          </w:p>
        </w:tc>
      </w:tr>
      <w:tr w:rsidR="00AF73B9" w:rsidRPr="00EB2995" w:rsidTr="00AF73B9">
        <w:trPr>
          <w:trHeight w:hRule="exact" w:val="340"/>
        </w:trPr>
        <w:tc>
          <w:tcPr>
            <w:tcW w:w="1129" w:type="dxa"/>
            <w:tcBorders>
              <w:top w:val="nil"/>
              <w:left w:val="single" w:sz="8" w:space="0" w:color="auto"/>
              <w:bottom w:val="nil"/>
              <w:right w:val="nil"/>
            </w:tcBorders>
            <w:shd w:val="clear" w:color="auto" w:fill="auto"/>
            <w:noWrap/>
            <w:vAlign w:val="center"/>
            <w:hideMark/>
          </w:tcPr>
          <w:p w:rsidR="00AF73B9" w:rsidRPr="00EB2995" w:rsidRDefault="00AF73B9" w:rsidP="00AF73B9">
            <w:pPr>
              <w:jc w:val="right"/>
              <w:rPr>
                <w:rFonts w:cs="Calibri"/>
                <w:color w:val="000000"/>
                <w:lang w:eastAsia="en-GB"/>
              </w:rPr>
            </w:pPr>
            <w:r w:rsidRPr="00EB2995">
              <w:rPr>
                <w:rFonts w:cs="Calibri"/>
                <w:color w:val="000000"/>
                <w:lang w:eastAsia="en-GB"/>
              </w:rPr>
              <w:t>2</w:t>
            </w:r>
          </w:p>
        </w:tc>
        <w:tc>
          <w:tcPr>
            <w:tcW w:w="1157" w:type="dxa"/>
            <w:tcBorders>
              <w:top w:val="nil"/>
              <w:left w:val="nil"/>
              <w:bottom w:val="nil"/>
              <w:right w:val="nil"/>
            </w:tcBorders>
            <w:shd w:val="clear" w:color="auto" w:fill="auto"/>
            <w:noWrap/>
            <w:vAlign w:val="center"/>
            <w:hideMark/>
          </w:tcPr>
          <w:p w:rsidR="00AF73B9" w:rsidRPr="00EB2995" w:rsidRDefault="00AF73B9" w:rsidP="00AF73B9">
            <w:pPr>
              <w:jc w:val="right"/>
              <w:rPr>
                <w:rFonts w:cs="Calibri"/>
                <w:color w:val="000000"/>
                <w:lang w:eastAsia="en-GB"/>
              </w:rPr>
            </w:pPr>
            <w:r w:rsidRPr="00EB2995">
              <w:rPr>
                <w:rFonts w:cs="Calibri"/>
                <w:color w:val="000000"/>
                <w:lang w:eastAsia="en-GB"/>
              </w:rPr>
              <w:t>2</w:t>
            </w:r>
          </w:p>
        </w:tc>
        <w:tc>
          <w:tcPr>
            <w:tcW w:w="776" w:type="dxa"/>
            <w:tcBorders>
              <w:top w:val="nil"/>
              <w:left w:val="nil"/>
              <w:bottom w:val="nil"/>
              <w:right w:val="single" w:sz="8" w:space="0" w:color="auto"/>
            </w:tcBorders>
            <w:shd w:val="clear" w:color="auto" w:fill="auto"/>
            <w:noWrap/>
            <w:vAlign w:val="center"/>
            <w:hideMark/>
          </w:tcPr>
          <w:p w:rsidR="00AF73B9" w:rsidRPr="00EB2995" w:rsidRDefault="00AF73B9" w:rsidP="00AF73B9">
            <w:pPr>
              <w:jc w:val="right"/>
              <w:rPr>
                <w:rFonts w:cs="Calibri"/>
                <w:color w:val="000000"/>
                <w:lang w:eastAsia="en-GB"/>
              </w:rPr>
            </w:pPr>
            <w:r w:rsidRPr="00EB2995">
              <w:rPr>
                <w:rFonts w:cs="Calibri"/>
                <w:color w:val="000000"/>
                <w:lang w:eastAsia="en-GB"/>
              </w:rPr>
              <w:t>4</w:t>
            </w:r>
          </w:p>
        </w:tc>
        <w:tc>
          <w:tcPr>
            <w:tcW w:w="3658" w:type="dxa"/>
            <w:gridSpan w:val="4"/>
            <w:tcBorders>
              <w:top w:val="nil"/>
              <w:left w:val="nil"/>
              <w:bottom w:val="nil"/>
              <w:right w:val="single" w:sz="8" w:space="0" w:color="000000"/>
            </w:tcBorders>
            <w:shd w:val="clear" w:color="auto" w:fill="auto"/>
            <w:vAlign w:val="center"/>
            <w:hideMark/>
          </w:tcPr>
          <w:p w:rsidR="00AF73B9" w:rsidRPr="00EB2995" w:rsidRDefault="00AF73B9" w:rsidP="00AF73B9">
            <w:pPr>
              <w:jc w:val="center"/>
              <w:rPr>
                <w:rFonts w:cs="Calibri"/>
                <w:color w:val="000000"/>
                <w:lang w:eastAsia="en-GB"/>
              </w:rPr>
            </w:pPr>
            <w:r w:rsidRPr="00EB2995">
              <w:rPr>
                <w:rFonts w:cs="Calibri"/>
                <w:color w:val="000000"/>
                <w:lang w:eastAsia="en-GB"/>
              </w:rPr>
              <w:t>110,000 - 114,999</w:t>
            </w:r>
          </w:p>
        </w:tc>
        <w:tc>
          <w:tcPr>
            <w:tcW w:w="972" w:type="dxa"/>
            <w:tcBorders>
              <w:top w:val="nil"/>
              <w:left w:val="nil"/>
              <w:bottom w:val="nil"/>
              <w:right w:val="nil"/>
            </w:tcBorders>
            <w:shd w:val="clear" w:color="auto" w:fill="auto"/>
            <w:noWrap/>
            <w:vAlign w:val="center"/>
          </w:tcPr>
          <w:p w:rsidR="00AF73B9" w:rsidRPr="00EB2995" w:rsidRDefault="00AF73B9" w:rsidP="00AF73B9">
            <w:pPr>
              <w:jc w:val="right"/>
              <w:rPr>
                <w:rFonts w:cs="Calibri"/>
                <w:color w:val="000000"/>
                <w:lang w:eastAsia="en-GB"/>
              </w:rPr>
            </w:pPr>
            <w:r w:rsidRPr="00EB2995">
              <w:rPr>
                <w:rFonts w:cs="Calibri"/>
                <w:color w:val="000000"/>
              </w:rPr>
              <w:t>1</w:t>
            </w:r>
          </w:p>
        </w:tc>
        <w:tc>
          <w:tcPr>
            <w:tcW w:w="992" w:type="dxa"/>
            <w:tcBorders>
              <w:top w:val="nil"/>
              <w:left w:val="nil"/>
              <w:bottom w:val="nil"/>
              <w:right w:val="nil"/>
            </w:tcBorders>
            <w:shd w:val="clear" w:color="auto" w:fill="auto"/>
            <w:noWrap/>
            <w:vAlign w:val="center"/>
          </w:tcPr>
          <w:p w:rsidR="00AF73B9" w:rsidRPr="00EB2995" w:rsidRDefault="00AF73B9" w:rsidP="00AF73B9">
            <w:pPr>
              <w:jc w:val="right"/>
              <w:rPr>
                <w:rFonts w:cs="Calibri"/>
                <w:color w:val="000000"/>
                <w:lang w:eastAsia="en-GB"/>
              </w:rPr>
            </w:pPr>
            <w:r w:rsidRPr="00EB2995">
              <w:rPr>
                <w:rFonts w:cs="Calibri"/>
                <w:color w:val="000000"/>
              </w:rPr>
              <w:t>0</w:t>
            </w:r>
          </w:p>
        </w:tc>
        <w:tc>
          <w:tcPr>
            <w:tcW w:w="1381" w:type="dxa"/>
            <w:tcBorders>
              <w:top w:val="nil"/>
              <w:left w:val="nil"/>
              <w:bottom w:val="nil"/>
              <w:right w:val="single" w:sz="8" w:space="0" w:color="auto"/>
            </w:tcBorders>
            <w:shd w:val="clear" w:color="auto" w:fill="auto"/>
            <w:noWrap/>
            <w:vAlign w:val="center"/>
          </w:tcPr>
          <w:p w:rsidR="00AF73B9" w:rsidRPr="00EB2995" w:rsidRDefault="00AF73B9" w:rsidP="00AF73B9">
            <w:pPr>
              <w:jc w:val="right"/>
              <w:rPr>
                <w:rFonts w:cs="Calibri"/>
                <w:color w:val="000000"/>
                <w:lang w:eastAsia="en-GB"/>
              </w:rPr>
            </w:pPr>
            <w:r w:rsidRPr="00EB2995">
              <w:rPr>
                <w:rFonts w:cs="Calibri"/>
                <w:color w:val="000000"/>
              </w:rPr>
              <w:t>1</w:t>
            </w:r>
          </w:p>
        </w:tc>
      </w:tr>
      <w:tr w:rsidR="00AF73B9" w:rsidRPr="00EB2995" w:rsidTr="00AF73B9">
        <w:trPr>
          <w:trHeight w:hRule="exact" w:val="340"/>
        </w:trPr>
        <w:tc>
          <w:tcPr>
            <w:tcW w:w="1129" w:type="dxa"/>
            <w:tcBorders>
              <w:top w:val="nil"/>
              <w:left w:val="single" w:sz="8" w:space="0" w:color="auto"/>
              <w:bottom w:val="nil"/>
              <w:right w:val="nil"/>
            </w:tcBorders>
            <w:shd w:val="clear" w:color="auto" w:fill="auto"/>
            <w:noWrap/>
            <w:vAlign w:val="center"/>
            <w:hideMark/>
          </w:tcPr>
          <w:p w:rsidR="00AF73B9" w:rsidRPr="00EB2995" w:rsidRDefault="00AF73B9" w:rsidP="00AF73B9">
            <w:pPr>
              <w:jc w:val="right"/>
              <w:rPr>
                <w:rFonts w:cs="Calibri"/>
                <w:color w:val="000000"/>
                <w:lang w:eastAsia="en-GB"/>
              </w:rPr>
            </w:pPr>
            <w:r w:rsidRPr="00EB2995">
              <w:rPr>
                <w:rFonts w:cs="Calibri"/>
                <w:color w:val="000000"/>
                <w:lang w:eastAsia="en-GB"/>
              </w:rPr>
              <w:t>1</w:t>
            </w:r>
          </w:p>
        </w:tc>
        <w:tc>
          <w:tcPr>
            <w:tcW w:w="1157" w:type="dxa"/>
            <w:tcBorders>
              <w:top w:val="nil"/>
              <w:left w:val="nil"/>
              <w:bottom w:val="nil"/>
              <w:right w:val="nil"/>
            </w:tcBorders>
            <w:shd w:val="clear" w:color="auto" w:fill="auto"/>
            <w:noWrap/>
            <w:vAlign w:val="center"/>
            <w:hideMark/>
          </w:tcPr>
          <w:p w:rsidR="00AF73B9" w:rsidRPr="00EB2995" w:rsidRDefault="00AF73B9" w:rsidP="00AF73B9">
            <w:pPr>
              <w:jc w:val="right"/>
              <w:rPr>
                <w:rFonts w:cs="Calibri"/>
                <w:color w:val="000000"/>
                <w:lang w:eastAsia="en-GB"/>
              </w:rPr>
            </w:pPr>
            <w:r w:rsidRPr="00EB2995">
              <w:rPr>
                <w:rFonts w:cs="Calibri"/>
                <w:color w:val="000000"/>
                <w:lang w:eastAsia="en-GB"/>
              </w:rPr>
              <w:t>4</w:t>
            </w:r>
          </w:p>
        </w:tc>
        <w:tc>
          <w:tcPr>
            <w:tcW w:w="776" w:type="dxa"/>
            <w:tcBorders>
              <w:top w:val="nil"/>
              <w:left w:val="nil"/>
              <w:bottom w:val="nil"/>
              <w:right w:val="single" w:sz="8" w:space="0" w:color="auto"/>
            </w:tcBorders>
            <w:shd w:val="clear" w:color="auto" w:fill="auto"/>
            <w:noWrap/>
            <w:vAlign w:val="center"/>
            <w:hideMark/>
          </w:tcPr>
          <w:p w:rsidR="00AF73B9" w:rsidRPr="00EB2995" w:rsidRDefault="00AF73B9" w:rsidP="00AF73B9">
            <w:pPr>
              <w:jc w:val="right"/>
              <w:rPr>
                <w:rFonts w:cs="Calibri"/>
                <w:color w:val="000000"/>
                <w:lang w:eastAsia="en-GB"/>
              </w:rPr>
            </w:pPr>
            <w:r w:rsidRPr="00EB2995">
              <w:rPr>
                <w:rFonts w:cs="Calibri"/>
                <w:color w:val="000000"/>
                <w:lang w:eastAsia="en-GB"/>
              </w:rPr>
              <w:t>5</w:t>
            </w:r>
          </w:p>
        </w:tc>
        <w:tc>
          <w:tcPr>
            <w:tcW w:w="3658" w:type="dxa"/>
            <w:gridSpan w:val="4"/>
            <w:tcBorders>
              <w:top w:val="nil"/>
              <w:left w:val="nil"/>
              <w:bottom w:val="nil"/>
              <w:right w:val="single" w:sz="8" w:space="0" w:color="000000"/>
            </w:tcBorders>
            <w:shd w:val="clear" w:color="auto" w:fill="auto"/>
            <w:vAlign w:val="center"/>
            <w:hideMark/>
          </w:tcPr>
          <w:p w:rsidR="00AF73B9" w:rsidRPr="00EB2995" w:rsidRDefault="00AF73B9" w:rsidP="00AF73B9">
            <w:pPr>
              <w:jc w:val="center"/>
              <w:rPr>
                <w:rFonts w:cs="Calibri"/>
                <w:color w:val="000000"/>
                <w:lang w:eastAsia="en-GB"/>
              </w:rPr>
            </w:pPr>
            <w:r w:rsidRPr="00EB2995">
              <w:rPr>
                <w:rFonts w:cs="Calibri"/>
                <w:color w:val="000000"/>
                <w:lang w:eastAsia="en-GB"/>
              </w:rPr>
              <w:t>115,000 - 119,999</w:t>
            </w:r>
          </w:p>
        </w:tc>
        <w:tc>
          <w:tcPr>
            <w:tcW w:w="972" w:type="dxa"/>
            <w:tcBorders>
              <w:top w:val="nil"/>
              <w:left w:val="nil"/>
              <w:bottom w:val="nil"/>
              <w:right w:val="nil"/>
            </w:tcBorders>
            <w:shd w:val="clear" w:color="auto" w:fill="auto"/>
            <w:noWrap/>
            <w:vAlign w:val="center"/>
          </w:tcPr>
          <w:p w:rsidR="00AF73B9" w:rsidRPr="00EB2995" w:rsidRDefault="00AF73B9" w:rsidP="00AF73B9">
            <w:pPr>
              <w:jc w:val="right"/>
              <w:rPr>
                <w:rFonts w:cs="Calibri"/>
                <w:color w:val="000000"/>
                <w:lang w:eastAsia="en-GB"/>
              </w:rPr>
            </w:pPr>
            <w:r w:rsidRPr="00EB2995">
              <w:rPr>
                <w:rFonts w:cs="Calibri"/>
                <w:color w:val="000000"/>
              </w:rPr>
              <w:t>1</w:t>
            </w:r>
          </w:p>
        </w:tc>
        <w:tc>
          <w:tcPr>
            <w:tcW w:w="992" w:type="dxa"/>
            <w:tcBorders>
              <w:top w:val="nil"/>
              <w:left w:val="nil"/>
              <w:bottom w:val="nil"/>
              <w:right w:val="nil"/>
            </w:tcBorders>
            <w:shd w:val="clear" w:color="auto" w:fill="auto"/>
            <w:noWrap/>
            <w:vAlign w:val="center"/>
          </w:tcPr>
          <w:p w:rsidR="00AF73B9" w:rsidRPr="00EB2995" w:rsidRDefault="00AF73B9" w:rsidP="00AF73B9">
            <w:pPr>
              <w:jc w:val="right"/>
              <w:rPr>
                <w:rFonts w:cs="Calibri"/>
                <w:color w:val="000000"/>
                <w:lang w:eastAsia="en-GB"/>
              </w:rPr>
            </w:pPr>
            <w:r w:rsidRPr="00EB2995">
              <w:rPr>
                <w:rFonts w:cs="Calibri"/>
                <w:color w:val="000000"/>
              </w:rPr>
              <w:t>3</w:t>
            </w:r>
          </w:p>
        </w:tc>
        <w:tc>
          <w:tcPr>
            <w:tcW w:w="1381" w:type="dxa"/>
            <w:tcBorders>
              <w:top w:val="nil"/>
              <w:left w:val="nil"/>
              <w:bottom w:val="nil"/>
              <w:right w:val="single" w:sz="8" w:space="0" w:color="auto"/>
            </w:tcBorders>
            <w:shd w:val="clear" w:color="auto" w:fill="auto"/>
            <w:noWrap/>
            <w:vAlign w:val="center"/>
          </w:tcPr>
          <w:p w:rsidR="00AF73B9" w:rsidRPr="00EB2995" w:rsidRDefault="00AF73B9" w:rsidP="00AF73B9">
            <w:pPr>
              <w:jc w:val="right"/>
              <w:rPr>
                <w:rFonts w:cs="Calibri"/>
                <w:color w:val="000000"/>
                <w:lang w:eastAsia="en-GB"/>
              </w:rPr>
            </w:pPr>
            <w:r w:rsidRPr="00EB2995">
              <w:rPr>
                <w:rFonts w:cs="Calibri"/>
                <w:color w:val="000000"/>
              </w:rPr>
              <w:t>4</w:t>
            </w:r>
          </w:p>
        </w:tc>
      </w:tr>
      <w:tr w:rsidR="00AF73B9" w:rsidRPr="00EB2995" w:rsidTr="00AF73B9">
        <w:trPr>
          <w:trHeight w:hRule="exact" w:val="340"/>
        </w:trPr>
        <w:tc>
          <w:tcPr>
            <w:tcW w:w="1129" w:type="dxa"/>
            <w:tcBorders>
              <w:top w:val="nil"/>
              <w:left w:val="single" w:sz="8" w:space="0" w:color="auto"/>
              <w:bottom w:val="nil"/>
              <w:right w:val="nil"/>
            </w:tcBorders>
            <w:shd w:val="clear" w:color="auto" w:fill="auto"/>
            <w:noWrap/>
            <w:vAlign w:val="center"/>
            <w:hideMark/>
          </w:tcPr>
          <w:p w:rsidR="00AF73B9" w:rsidRPr="00EB2995" w:rsidRDefault="00AF73B9" w:rsidP="00AF73B9">
            <w:pPr>
              <w:jc w:val="right"/>
              <w:rPr>
                <w:rFonts w:cs="Calibri"/>
                <w:color w:val="000000"/>
                <w:lang w:eastAsia="en-GB"/>
              </w:rPr>
            </w:pPr>
            <w:r w:rsidRPr="00EB2995">
              <w:rPr>
                <w:rFonts w:cs="Calibri"/>
                <w:color w:val="000000"/>
                <w:lang w:eastAsia="en-GB"/>
              </w:rPr>
              <w:t>0</w:t>
            </w:r>
          </w:p>
        </w:tc>
        <w:tc>
          <w:tcPr>
            <w:tcW w:w="1157" w:type="dxa"/>
            <w:tcBorders>
              <w:top w:val="nil"/>
              <w:left w:val="nil"/>
              <w:bottom w:val="nil"/>
              <w:right w:val="nil"/>
            </w:tcBorders>
            <w:shd w:val="clear" w:color="auto" w:fill="auto"/>
            <w:noWrap/>
            <w:vAlign w:val="center"/>
            <w:hideMark/>
          </w:tcPr>
          <w:p w:rsidR="00AF73B9" w:rsidRPr="00EB2995" w:rsidRDefault="00AF73B9" w:rsidP="00AF73B9">
            <w:pPr>
              <w:jc w:val="right"/>
              <w:rPr>
                <w:rFonts w:cs="Calibri"/>
                <w:color w:val="000000"/>
                <w:lang w:eastAsia="en-GB"/>
              </w:rPr>
            </w:pPr>
            <w:r w:rsidRPr="00EB2995">
              <w:rPr>
                <w:rFonts w:cs="Calibri"/>
                <w:color w:val="000000"/>
                <w:lang w:eastAsia="en-GB"/>
              </w:rPr>
              <w:t>1</w:t>
            </w:r>
          </w:p>
        </w:tc>
        <w:tc>
          <w:tcPr>
            <w:tcW w:w="776" w:type="dxa"/>
            <w:tcBorders>
              <w:top w:val="nil"/>
              <w:left w:val="nil"/>
              <w:bottom w:val="nil"/>
              <w:right w:val="single" w:sz="8" w:space="0" w:color="auto"/>
            </w:tcBorders>
            <w:shd w:val="clear" w:color="auto" w:fill="auto"/>
            <w:noWrap/>
            <w:vAlign w:val="center"/>
            <w:hideMark/>
          </w:tcPr>
          <w:p w:rsidR="00AF73B9" w:rsidRPr="00EB2995" w:rsidRDefault="00AF73B9" w:rsidP="00AF73B9">
            <w:pPr>
              <w:jc w:val="right"/>
              <w:rPr>
                <w:rFonts w:cs="Calibri"/>
                <w:color w:val="000000"/>
                <w:lang w:eastAsia="en-GB"/>
              </w:rPr>
            </w:pPr>
            <w:r w:rsidRPr="00EB2995">
              <w:rPr>
                <w:rFonts w:cs="Calibri"/>
                <w:color w:val="000000"/>
                <w:lang w:eastAsia="en-GB"/>
              </w:rPr>
              <w:t>1</w:t>
            </w:r>
          </w:p>
        </w:tc>
        <w:tc>
          <w:tcPr>
            <w:tcW w:w="3658" w:type="dxa"/>
            <w:gridSpan w:val="4"/>
            <w:tcBorders>
              <w:top w:val="nil"/>
              <w:left w:val="nil"/>
              <w:bottom w:val="nil"/>
              <w:right w:val="single" w:sz="8" w:space="0" w:color="000000"/>
            </w:tcBorders>
            <w:shd w:val="clear" w:color="auto" w:fill="auto"/>
            <w:vAlign w:val="center"/>
            <w:hideMark/>
          </w:tcPr>
          <w:p w:rsidR="00AF73B9" w:rsidRPr="00EB2995" w:rsidRDefault="00AF73B9" w:rsidP="00AF73B9">
            <w:pPr>
              <w:jc w:val="center"/>
              <w:rPr>
                <w:rFonts w:cs="Calibri"/>
                <w:color w:val="000000"/>
                <w:lang w:eastAsia="en-GB"/>
              </w:rPr>
            </w:pPr>
            <w:r w:rsidRPr="00EB2995">
              <w:rPr>
                <w:rFonts w:cs="Calibri"/>
                <w:color w:val="000000"/>
                <w:lang w:eastAsia="en-GB"/>
              </w:rPr>
              <w:t>120,000 - 124,999</w:t>
            </w:r>
          </w:p>
        </w:tc>
        <w:tc>
          <w:tcPr>
            <w:tcW w:w="972" w:type="dxa"/>
            <w:tcBorders>
              <w:top w:val="nil"/>
              <w:left w:val="nil"/>
              <w:bottom w:val="nil"/>
              <w:right w:val="nil"/>
            </w:tcBorders>
            <w:shd w:val="clear" w:color="auto" w:fill="auto"/>
            <w:noWrap/>
            <w:vAlign w:val="center"/>
          </w:tcPr>
          <w:p w:rsidR="00AF73B9" w:rsidRPr="00EB2995" w:rsidRDefault="00AF73B9" w:rsidP="00AF73B9">
            <w:pPr>
              <w:jc w:val="right"/>
              <w:rPr>
                <w:rFonts w:cs="Calibri"/>
                <w:color w:val="000000"/>
                <w:lang w:eastAsia="en-GB"/>
              </w:rPr>
            </w:pPr>
            <w:r w:rsidRPr="00EB2995">
              <w:rPr>
                <w:rFonts w:cs="Calibri"/>
                <w:color w:val="000000"/>
              </w:rPr>
              <w:t>0</w:t>
            </w:r>
          </w:p>
        </w:tc>
        <w:tc>
          <w:tcPr>
            <w:tcW w:w="992" w:type="dxa"/>
            <w:tcBorders>
              <w:top w:val="nil"/>
              <w:left w:val="nil"/>
              <w:bottom w:val="nil"/>
              <w:right w:val="nil"/>
            </w:tcBorders>
            <w:shd w:val="clear" w:color="auto" w:fill="auto"/>
            <w:noWrap/>
            <w:vAlign w:val="center"/>
          </w:tcPr>
          <w:p w:rsidR="00AF73B9" w:rsidRPr="00EB2995" w:rsidRDefault="00AF73B9" w:rsidP="00AF73B9">
            <w:pPr>
              <w:jc w:val="right"/>
              <w:rPr>
                <w:rFonts w:cs="Calibri"/>
                <w:color w:val="000000"/>
                <w:lang w:eastAsia="en-GB"/>
              </w:rPr>
            </w:pPr>
            <w:r w:rsidRPr="00EB2995">
              <w:rPr>
                <w:rFonts w:cs="Calibri"/>
                <w:color w:val="000000"/>
              </w:rPr>
              <w:t>3</w:t>
            </w:r>
          </w:p>
        </w:tc>
        <w:tc>
          <w:tcPr>
            <w:tcW w:w="1381" w:type="dxa"/>
            <w:tcBorders>
              <w:top w:val="nil"/>
              <w:left w:val="nil"/>
              <w:bottom w:val="nil"/>
              <w:right w:val="single" w:sz="8" w:space="0" w:color="auto"/>
            </w:tcBorders>
            <w:shd w:val="clear" w:color="auto" w:fill="auto"/>
            <w:noWrap/>
            <w:vAlign w:val="center"/>
          </w:tcPr>
          <w:p w:rsidR="00AF73B9" w:rsidRPr="00EB2995" w:rsidRDefault="00AF73B9" w:rsidP="00AF73B9">
            <w:pPr>
              <w:jc w:val="right"/>
              <w:rPr>
                <w:rFonts w:cs="Calibri"/>
                <w:color w:val="000000"/>
                <w:lang w:eastAsia="en-GB"/>
              </w:rPr>
            </w:pPr>
            <w:r w:rsidRPr="00EB2995">
              <w:rPr>
                <w:rFonts w:cs="Calibri"/>
                <w:color w:val="000000"/>
              </w:rPr>
              <w:t>3</w:t>
            </w:r>
          </w:p>
        </w:tc>
      </w:tr>
      <w:tr w:rsidR="00AF73B9" w:rsidRPr="00EB2995" w:rsidTr="00AF73B9">
        <w:trPr>
          <w:trHeight w:hRule="exact" w:val="340"/>
        </w:trPr>
        <w:tc>
          <w:tcPr>
            <w:tcW w:w="1129" w:type="dxa"/>
            <w:tcBorders>
              <w:top w:val="nil"/>
              <w:left w:val="single" w:sz="8" w:space="0" w:color="auto"/>
              <w:bottom w:val="nil"/>
              <w:right w:val="nil"/>
            </w:tcBorders>
            <w:shd w:val="clear" w:color="auto" w:fill="auto"/>
            <w:noWrap/>
            <w:vAlign w:val="center"/>
            <w:hideMark/>
          </w:tcPr>
          <w:p w:rsidR="00AF73B9" w:rsidRPr="00EB2995" w:rsidRDefault="00AF73B9" w:rsidP="00AF73B9">
            <w:pPr>
              <w:jc w:val="right"/>
              <w:rPr>
                <w:rFonts w:cs="Calibri"/>
                <w:color w:val="000000"/>
                <w:lang w:eastAsia="en-GB"/>
              </w:rPr>
            </w:pPr>
            <w:r w:rsidRPr="00EB2995">
              <w:rPr>
                <w:rFonts w:cs="Calibri"/>
                <w:color w:val="000000"/>
                <w:lang w:eastAsia="en-GB"/>
              </w:rPr>
              <w:t>0</w:t>
            </w:r>
          </w:p>
        </w:tc>
        <w:tc>
          <w:tcPr>
            <w:tcW w:w="1157" w:type="dxa"/>
            <w:tcBorders>
              <w:top w:val="nil"/>
              <w:left w:val="nil"/>
              <w:bottom w:val="nil"/>
              <w:right w:val="nil"/>
            </w:tcBorders>
            <w:shd w:val="clear" w:color="auto" w:fill="auto"/>
            <w:noWrap/>
            <w:vAlign w:val="center"/>
            <w:hideMark/>
          </w:tcPr>
          <w:p w:rsidR="00AF73B9" w:rsidRPr="00EB2995" w:rsidRDefault="00AF73B9" w:rsidP="00AF73B9">
            <w:pPr>
              <w:jc w:val="right"/>
              <w:rPr>
                <w:rFonts w:cs="Calibri"/>
                <w:color w:val="000000"/>
                <w:lang w:eastAsia="en-GB"/>
              </w:rPr>
            </w:pPr>
            <w:r w:rsidRPr="00EB2995">
              <w:rPr>
                <w:rFonts w:cs="Calibri"/>
                <w:color w:val="000000"/>
                <w:lang w:eastAsia="en-GB"/>
              </w:rPr>
              <w:t>2</w:t>
            </w:r>
          </w:p>
        </w:tc>
        <w:tc>
          <w:tcPr>
            <w:tcW w:w="776" w:type="dxa"/>
            <w:tcBorders>
              <w:top w:val="nil"/>
              <w:left w:val="nil"/>
              <w:bottom w:val="nil"/>
              <w:right w:val="single" w:sz="8" w:space="0" w:color="auto"/>
            </w:tcBorders>
            <w:shd w:val="clear" w:color="auto" w:fill="auto"/>
            <w:noWrap/>
            <w:vAlign w:val="center"/>
            <w:hideMark/>
          </w:tcPr>
          <w:p w:rsidR="00AF73B9" w:rsidRPr="00EB2995" w:rsidRDefault="00AF73B9" w:rsidP="00AF73B9">
            <w:pPr>
              <w:jc w:val="right"/>
              <w:rPr>
                <w:rFonts w:cs="Calibri"/>
                <w:color w:val="000000"/>
                <w:lang w:eastAsia="en-GB"/>
              </w:rPr>
            </w:pPr>
            <w:r w:rsidRPr="00EB2995">
              <w:rPr>
                <w:rFonts w:cs="Calibri"/>
                <w:color w:val="000000"/>
                <w:lang w:eastAsia="en-GB"/>
              </w:rPr>
              <w:t>2</w:t>
            </w:r>
          </w:p>
        </w:tc>
        <w:tc>
          <w:tcPr>
            <w:tcW w:w="3658" w:type="dxa"/>
            <w:gridSpan w:val="4"/>
            <w:tcBorders>
              <w:top w:val="nil"/>
              <w:left w:val="nil"/>
              <w:bottom w:val="nil"/>
              <w:right w:val="single" w:sz="8" w:space="0" w:color="000000"/>
            </w:tcBorders>
            <w:shd w:val="clear" w:color="auto" w:fill="auto"/>
            <w:vAlign w:val="center"/>
            <w:hideMark/>
          </w:tcPr>
          <w:p w:rsidR="00AF73B9" w:rsidRPr="00EB2995" w:rsidRDefault="00AF73B9" w:rsidP="00AF73B9">
            <w:pPr>
              <w:jc w:val="center"/>
              <w:rPr>
                <w:rFonts w:cs="Calibri"/>
                <w:color w:val="000000"/>
                <w:lang w:eastAsia="en-GB"/>
              </w:rPr>
            </w:pPr>
            <w:r w:rsidRPr="00EB2995">
              <w:rPr>
                <w:rFonts w:cs="Calibri"/>
                <w:color w:val="000000"/>
                <w:lang w:eastAsia="en-GB"/>
              </w:rPr>
              <w:t>125,000 - 129,999</w:t>
            </w:r>
          </w:p>
        </w:tc>
        <w:tc>
          <w:tcPr>
            <w:tcW w:w="972" w:type="dxa"/>
            <w:tcBorders>
              <w:top w:val="nil"/>
              <w:left w:val="nil"/>
              <w:bottom w:val="nil"/>
              <w:right w:val="nil"/>
            </w:tcBorders>
            <w:shd w:val="clear" w:color="auto" w:fill="auto"/>
            <w:noWrap/>
            <w:vAlign w:val="center"/>
          </w:tcPr>
          <w:p w:rsidR="00AF73B9" w:rsidRPr="00EB2995" w:rsidRDefault="00AF73B9" w:rsidP="00AF73B9">
            <w:pPr>
              <w:jc w:val="right"/>
              <w:rPr>
                <w:rFonts w:cs="Calibri"/>
                <w:color w:val="000000"/>
                <w:lang w:eastAsia="en-GB"/>
              </w:rPr>
            </w:pPr>
            <w:r w:rsidRPr="00EB2995">
              <w:rPr>
                <w:rFonts w:cs="Calibri"/>
                <w:color w:val="000000"/>
              </w:rPr>
              <w:t>1</w:t>
            </w:r>
          </w:p>
        </w:tc>
        <w:tc>
          <w:tcPr>
            <w:tcW w:w="992" w:type="dxa"/>
            <w:tcBorders>
              <w:top w:val="nil"/>
              <w:left w:val="nil"/>
              <w:bottom w:val="nil"/>
              <w:right w:val="nil"/>
            </w:tcBorders>
            <w:shd w:val="clear" w:color="auto" w:fill="auto"/>
            <w:noWrap/>
            <w:vAlign w:val="center"/>
          </w:tcPr>
          <w:p w:rsidR="00AF73B9" w:rsidRPr="00EB2995" w:rsidRDefault="00AF73B9" w:rsidP="00AF73B9">
            <w:pPr>
              <w:jc w:val="right"/>
              <w:rPr>
                <w:rFonts w:cs="Calibri"/>
                <w:color w:val="000000"/>
                <w:lang w:eastAsia="en-GB"/>
              </w:rPr>
            </w:pPr>
            <w:r w:rsidRPr="00EB2995">
              <w:rPr>
                <w:rFonts w:cs="Calibri"/>
                <w:color w:val="000000"/>
              </w:rPr>
              <w:t>0</w:t>
            </w:r>
          </w:p>
        </w:tc>
        <w:tc>
          <w:tcPr>
            <w:tcW w:w="1381" w:type="dxa"/>
            <w:tcBorders>
              <w:top w:val="nil"/>
              <w:left w:val="nil"/>
              <w:bottom w:val="nil"/>
              <w:right w:val="single" w:sz="8" w:space="0" w:color="auto"/>
            </w:tcBorders>
            <w:shd w:val="clear" w:color="auto" w:fill="auto"/>
            <w:noWrap/>
            <w:vAlign w:val="center"/>
          </w:tcPr>
          <w:p w:rsidR="00AF73B9" w:rsidRPr="00EB2995" w:rsidRDefault="00AF73B9" w:rsidP="00AF73B9">
            <w:pPr>
              <w:jc w:val="right"/>
              <w:rPr>
                <w:rFonts w:cs="Calibri"/>
                <w:color w:val="000000"/>
                <w:lang w:eastAsia="en-GB"/>
              </w:rPr>
            </w:pPr>
            <w:r w:rsidRPr="00EB2995">
              <w:rPr>
                <w:rFonts w:cs="Calibri"/>
                <w:color w:val="000000"/>
              </w:rPr>
              <w:t>1</w:t>
            </w:r>
          </w:p>
        </w:tc>
      </w:tr>
      <w:tr w:rsidR="00AF73B9" w:rsidRPr="00EB2995" w:rsidTr="00AF73B9">
        <w:trPr>
          <w:trHeight w:hRule="exact" w:val="340"/>
        </w:trPr>
        <w:tc>
          <w:tcPr>
            <w:tcW w:w="1129" w:type="dxa"/>
            <w:tcBorders>
              <w:top w:val="nil"/>
              <w:left w:val="single" w:sz="8" w:space="0" w:color="auto"/>
              <w:bottom w:val="nil"/>
              <w:right w:val="nil"/>
            </w:tcBorders>
            <w:shd w:val="clear" w:color="auto" w:fill="auto"/>
            <w:noWrap/>
            <w:vAlign w:val="center"/>
            <w:hideMark/>
          </w:tcPr>
          <w:p w:rsidR="00AF73B9" w:rsidRPr="00EB2995" w:rsidRDefault="00AF73B9" w:rsidP="00AF73B9">
            <w:pPr>
              <w:jc w:val="right"/>
              <w:rPr>
                <w:rFonts w:cs="Calibri"/>
                <w:color w:val="000000"/>
                <w:lang w:eastAsia="en-GB"/>
              </w:rPr>
            </w:pPr>
            <w:r w:rsidRPr="00EB2995">
              <w:rPr>
                <w:rFonts w:cs="Calibri"/>
                <w:color w:val="000000"/>
                <w:lang w:eastAsia="en-GB"/>
              </w:rPr>
              <w:t>0</w:t>
            </w:r>
          </w:p>
        </w:tc>
        <w:tc>
          <w:tcPr>
            <w:tcW w:w="1157" w:type="dxa"/>
            <w:tcBorders>
              <w:top w:val="nil"/>
              <w:left w:val="nil"/>
              <w:bottom w:val="nil"/>
              <w:right w:val="nil"/>
            </w:tcBorders>
            <w:shd w:val="clear" w:color="auto" w:fill="auto"/>
            <w:noWrap/>
            <w:vAlign w:val="center"/>
            <w:hideMark/>
          </w:tcPr>
          <w:p w:rsidR="00AF73B9" w:rsidRPr="00EB2995" w:rsidRDefault="00AF73B9" w:rsidP="00AF73B9">
            <w:pPr>
              <w:jc w:val="right"/>
              <w:rPr>
                <w:rFonts w:cs="Calibri"/>
                <w:color w:val="000000"/>
                <w:lang w:eastAsia="en-GB"/>
              </w:rPr>
            </w:pPr>
            <w:r w:rsidRPr="00EB2995">
              <w:rPr>
                <w:rFonts w:cs="Calibri"/>
                <w:color w:val="000000"/>
                <w:lang w:eastAsia="en-GB"/>
              </w:rPr>
              <w:t>2</w:t>
            </w:r>
          </w:p>
        </w:tc>
        <w:tc>
          <w:tcPr>
            <w:tcW w:w="776" w:type="dxa"/>
            <w:tcBorders>
              <w:top w:val="nil"/>
              <w:left w:val="nil"/>
              <w:bottom w:val="nil"/>
              <w:right w:val="single" w:sz="8" w:space="0" w:color="auto"/>
            </w:tcBorders>
            <w:shd w:val="clear" w:color="auto" w:fill="auto"/>
            <w:noWrap/>
            <w:vAlign w:val="center"/>
            <w:hideMark/>
          </w:tcPr>
          <w:p w:rsidR="00AF73B9" w:rsidRPr="00EB2995" w:rsidRDefault="00AF73B9" w:rsidP="00AF73B9">
            <w:pPr>
              <w:jc w:val="right"/>
              <w:rPr>
                <w:rFonts w:cs="Calibri"/>
                <w:color w:val="000000"/>
                <w:lang w:eastAsia="en-GB"/>
              </w:rPr>
            </w:pPr>
            <w:r w:rsidRPr="00EB2995">
              <w:rPr>
                <w:rFonts w:cs="Calibri"/>
                <w:color w:val="000000"/>
                <w:lang w:eastAsia="en-GB"/>
              </w:rPr>
              <w:t>2</w:t>
            </w:r>
          </w:p>
        </w:tc>
        <w:tc>
          <w:tcPr>
            <w:tcW w:w="3658" w:type="dxa"/>
            <w:gridSpan w:val="4"/>
            <w:tcBorders>
              <w:top w:val="nil"/>
              <w:left w:val="nil"/>
              <w:bottom w:val="nil"/>
              <w:right w:val="single" w:sz="8" w:space="0" w:color="000000"/>
            </w:tcBorders>
            <w:shd w:val="clear" w:color="auto" w:fill="auto"/>
            <w:vAlign w:val="center"/>
            <w:hideMark/>
          </w:tcPr>
          <w:p w:rsidR="00AF73B9" w:rsidRPr="00EB2995" w:rsidRDefault="00AF73B9" w:rsidP="00AF73B9">
            <w:pPr>
              <w:jc w:val="center"/>
              <w:rPr>
                <w:rFonts w:cs="Calibri"/>
                <w:color w:val="000000"/>
                <w:lang w:eastAsia="en-GB"/>
              </w:rPr>
            </w:pPr>
            <w:r w:rsidRPr="00EB2995">
              <w:rPr>
                <w:rFonts w:cs="Calibri"/>
                <w:color w:val="000000"/>
                <w:lang w:eastAsia="en-GB"/>
              </w:rPr>
              <w:t>130,000 - 134,999</w:t>
            </w:r>
          </w:p>
        </w:tc>
        <w:tc>
          <w:tcPr>
            <w:tcW w:w="972" w:type="dxa"/>
            <w:tcBorders>
              <w:top w:val="nil"/>
              <w:left w:val="nil"/>
              <w:bottom w:val="nil"/>
              <w:right w:val="nil"/>
            </w:tcBorders>
            <w:shd w:val="clear" w:color="auto" w:fill="auto"/>
            <w:noWrap/>
            <w:vAlign w:val="center"/>
          </w:tcPr>
          <w:p w:rsidR="00AF73B9" w:rsidRPr="00EB2995" w:rsidRDefault="00AF73B9" w:rsidP="00AF73B9">
            <w:pPr>
              <w:jc w:val="right"/>
              <w:rPr>
                <w:rFonts w:cs="Calibri"/>
                <w:color w:val="000000"/>
                <w:lang w:eastAsia="en-GB"/>
              </w:rPr>
            </w:pPr>
            <w:r w:rsidRPr="00EB2995">
              <w:rPr>
                <w:rFonts w:cs="Calibri"/>
                <w:color w:val="000000"/>
              </w:rPr>
              <w:t>0</w:t>
            </w:r>
          </w:p>
        </w:tc>
        <w:tc>
          <w:tcPr>
            <w:tcW w:w="992" w:type="dxa"/>
            <w:tcBorders>
              <w:top w:val="nil"/>
              <w:left w:val="nil"/>
              <w:bottom w:val="nil"/>
              <w:right w:val="nil"/>
            </w:tcBorders>
            <w:shd w:val="clear" w:color="auto" w:fill="auto"/>
            <w:noWrap/>
            <w:vAlign w:val="center"/>
          </w:tcPr>
          <w:p w:rsidR="00AF73B9" w:rsidRPr="00EB2995" w:rsidRDefault="00AF73B9" w:rsidP="00AF73B9">
            <w:pPr>
              <w:jc w:val="right"/>
              <w:rPr>
                <w:rFonts w:cs="Calibri"/>
                <w:color w:val="000000"/>
                <w:lang w:eastAsia="en-GB"/>
              </w:rPr>
            </w:pPr>
            <w:r w:rsidRPr="00EB2995">
              <w:rPr>
                <w:rFonts w:cs="Calibri"/>
                <w:color w:val="000000"/>
              </w:rPr>
              <w:t>1</w:t>
            </w:r>
          </w:p>
        </w:tc>
        <w:tc>
          <w:tcPr>
            <w:tcW w:w="1381" w:type="dxa"/>
            <w:tcBorders>
              <w:top w:val="nil"/>
              <w:left w:val="nil"/>
              <w:bottom w:val="nil"/>
              <w:right w:val="single" w:sz="8" w:space="0" w:color="auto"/>
            </w:tcBorders>
            <w:shd w:val="clear" w:color="auto" w:fill="auto"/>
            <w:noWrap/>
            <w:vAlign w:val="center"/>
          </w:tcPr>
          <w:p w:rsidR="00AF73B9" w:rsidRPr="00EB2995" w:rsidRDefault="00AF73B9" w:rsidP="00AF73B9">
            <w:pPr>
              <w:jc w:val="right"/>
              <w:rPr>
                <w:rFonts w:cs="Calibri"/>
                <w:color w:val="000000"/>
                <w:lang w:eastAsia="en-GB"/>
              </w:rPr>
            </w:pPr>
            <w:r w:rsidRPr="00EB2995">
              <w:rPr>
                <w:rFonts w:cs="Calibri"/>
                <w:color w:val="000000"/>
              </w:rPr>
              <w:t>1</w:t>
            </w:r>
          </w:p>
        </w:tc>
      </w:tr>
      <w:tr w:rsidR="00AF73B9" w:rsidRPr="00EB2995" w:rsidTr="00AF73B9">
        <w:trPr>
          <w:trHeight w:hRule="exact" w:val="340"/>
        </w:trPr>
        <w:tc>
          <w:tcPr>
            <w:tcW w:w="1129" w:type="dxa"/>
            <w:tcBorders>
              <w:top w:val="nil"/>
              <w:left w:val="single" w:sz="8" w:space="0" w:color="auto"/>
              <w:bottom w:val="nil"/>
              <w:right w:val="nil"/>
            </w:tcBorders>
            <w:shd w:val="clear" w:color="auto" w:fill="auto"/>
            <w:noWrap/>
            <w:vAlign w:val="center"/>
            <w:hideMark/>
          </w:tcPr>
          <w:p w:rsidR="00AF73B9" w:rsidRPr="00EB2995" w:rsidRDefault="00AF73B9" w:rsidP="00AF73B9">
            <w:pPr>
              <w:jc w:val="right"/>
              <w:rPr>
                <w:rFonts w:cs="Calibri"/>
                <w:color w:val="000000"/>
                <w:lang w:eastAsia="en-GB"/>
              </w:rPr>
            </w:pPr>
            <w:r w:rsidRPr="00EB2995">
              <w:rPr>
                <w:rFonts w:cs="Calibri"/>
                <w:color w:val="000000"/>
                <w:lang w:eastAsia="en-GB"/>
              </w:rPr>
              <w:t>1</w:t>
            </w:r>
          </w:p>
        </w:tc>
        <w:tc>
          <w:tcPr>
            <w:tcW w:w="1157" w:type="dxa"/>
            <w:tcBorders>
              <w:top w:val="nil"/>
              <w:left w:val="nil"/>
              <w:bottom w:val="nil"/>
              <w:right w:val="nil"/>
            </w:tcBorders>
            <w:shd w:val="clear" w:color="auto" w:fill="auto"/>
            <w:noWrap/>
            <w:vAlign w:val="center"/>
            <w:hideMark/>
          </w:tcPr>
          <w:p w:rsidR="00AF73B9" w:rsidRPr="00EB2995" w:rsidRDefault="00AF73B9" w:rsidP="00AF73B9">
            <w:pPr>
              <w:jc w:val="right"/>
              <w:rPr>
                <w:rFonts w:cs="Calibri"/>
                <w:color w:val="000000"/>
                <w:lang w:eastAsia="en-GB"/>
              </w:rPr>
            </w:pPr>
            <w:r w:rsidRPr="00EB2995">
              <w:rPr>
                <w:rFonts w:cs="Calibri"/>
                <w:color w:val="000000"/>
                <w:lang w:eastAsia="en-GB"/>
              </w:rPr>
              <w:t>0</w:t>
            </w:r>
          </w:p>
        </w:tc>
        <w:tc>
          <w:tcPr>
            <w:tcW w:w="776" w:type="dxa"/>
            <w:tcBorders>
              <w:top w:val="nil"/>
              <w:left w:val="nil"/>
              <w:bottom w:val="nil"/>
              <w:right w:val="single" w:sz="8" w:space="0" w:color="auto"/>
            </w:tcBorders>
            <w:shd w:val="clear" w:color="auto" w:fill="auto"/>
            <w:noWrap/>
            <w:vAlign w:val="center"/>
            <w:hideMark/>
          </w:tcPr>
          <w:p w:rsidR="00AF73B9" w:rsidRPr="00EB2995" w:rsidRDefault="00AF73B9" w:rsidP="00AF73B9">
            <w:pPr>
              <w:jc w:val="right"/>
              <w:rPr>
                <w:rFonts w:cs="Calibri"/>
                <w:color w:val="000000"/>
                <w:lang w:eastAsia="en-GB"/>
              </w:rPr>
            </w:pPr>
            <w:r w:rsidRPr="00EB2995">
              <w:rPr>
                <w:rFonts w:cs="Calibri"/>
                <w:color w:val="000000"/>
                <w:lang w:eastAsia="en-GB"/>
              </w:rPr>
              <w:t>1</w:t>
            </w:r>
          </w:p>
        </w:tc>
        <w:tc>
          <w:tcPr>
            <w:tcW w:w="3658" w:type="dxa"/>
            <w:gridSpan w:val="4"/>
            <w:tcBorders>
              <w:top w:val="nil"/>
              <w:left w:val="nil"/>
              <w:bottom w:val="nil"/>
              <w:right w:val="single" w:sz="8" w:space="0" w:color="000000"/>
            </w:tcBorders>
            <w:shd w:val="clear" w:color="auto" w:fill="auto"/>
            <w:vAlign w:val="center"/>
            <w:hideMark/>
          </w:tcPr>
          <w:p w:rsidR="00AF73B9" w:rsidRPr="00EB2995" w:rsidRDefault="00AF73B9" w:rsidP="00AF73B9">
            <w:pPr>
              <w:jc w:val="center"/>
              <w:rPr>
                <w:rFonts w:cs="Calibri"/>
                <w:color w:val="000000"/>
                <w:lang w:eastAsia="en-GB"/>
              </w:rPr>
            </w:pPr>
            <w:r w:rsidRPr="00EB2995">
              <w:rPr>
                <w:rFonts w:cs="Calibri"/>
                <w:color w:val="000000"/>
                <w:lang w:eastAsia="en-GB"/>
              </w:rPr>
              <w:t>135,000 - 139,999</w:t>
            </w:r>
          </w:p>
        </w:tc>
        <w:tc>
          <w:tcPr>
            <w:tcW w:w="972" w:type="dxa"/>
            <w:tcBorders>
              <w:top w:val="nil"/>
              <w:left w:val="nil"/>
              <w:bottom w:val="nil"/>
              <w:right w:val="nil"/>
            </w:tcBorders>
            <w:shd w:val="clear" w:color="auto" w:fill="auto"/>
            <w:noWrap/>
            <w:vAlign w:val="center"/>
          </w:tcPr>
          <w:p w:rsidR="00AF73B9" w:rsidRPr="00EB2995" w:rsidRDefault="00AF73B9" w:rsidP="00AF73B9">
            <w:pPr>
              <w:jc w:val="right"/>
              <w:rPr>
                <w:rFonts w:cs="Calibri"/>
                <w:color w:val="000000"/>
                <w:lang w:eastAsia="en-GB"/>
              </w:rPr>
            </w:pPr>
            <w:r w:rsidRPr="00EB2995">
              <w:rPr>
                <w:rFonts w:cs="Calibri"/>
                <w:color w:val="000000"/>
              </w:rPr>
              <w:t>1</w:t>
            </w:r>
          </w:p>
        </w:tc>
        <w:tc>
          <w:tcPr>
            <w:tcW w:w="992" w:type="dxa"/>
            <w:tcBorders>
              <w:top w:val="nil"/>
              <w:left w:val="nil"/>
              <w:bottom w:val="nil"/>
              <w:right w:val="nil"/>
            </w:tcBorders>
            <w:shd w:val="clear" w:color="auto" w:fill="auto"/>
            <w:noWrap/>
            <w:vAlign w:val="center"/>
          </w:tcPr>
          <w:p w:rsidR="00AF73B9" w:rsidRPr="00EB2995" w:rsidRDefault="00AF73B9" w:rsidP="00AF73B9">
            <w:pPr>
              <w:jc w:val="right"/>
              <w:rPr>
                <w:rFonts w:cs="Calibri"/>
                <w:color w:val="000000"/>
                <w:lang w:eastAsia="en-GB"/>
              </w:rPr>
            </w:pPr>
            <w:r w:rsidRPr="00EB2995">
              <w:rPr>
                <w:rFonts w:cs="Calibri"/>
                <w:color w:val="000000"/>
              </w:rPr>
              <w:t>1</w:t>
            </w:r>
          </w:p>
        </w:tc>
        <w:tc>
          <w:tcPr>
            <w:tcW w:w="1381" w:type="dxa"/>
            <w:tcBorders>
              <w:top w:val="nil"/>
              <w:left w:val="nil"/>
              <w:bottom w:val="nil"/>
              <w:right w:val="single" w:sz="8" w:space="0" w:color="auto"/>
            </w:tcBorders>
            <w:shd w:val="clear" w:color="auto" w:fill="auto"/>
            <w:noWrap/>
            <w:vAlign w:val="center"/>
          </w:tcPr>
          <w:p w:rsidR="00AF73B9" w:rsidRPr="00EB2995" w:rsidRDefault="00AF73B9" w:rsidP="00AF73B9">
            <w:pPr>
              <w:jc w:val="right"/>
              <w:rPr>
                <w:rFonts w:cs="Calibri"/>
                <w:color w:val="000000"/>
                <w:lang w:eastAsia="en-GB"/>
              </w:rPr>
            </w:pPr>
            <w:r w:rsidRPr="00EB2995">
              <w:rPr>
                <w:rFonts w:cs="Calibri"/>
                <w:color w:val="000000"/>
              </w:rPr>
              <w:t>2</w:t>
            </w:r>
          </w:p>
        </w:tc>
      </w:tr>
      <w:tr w:rsidR="00AF73B9" w:rsidRPr="00EB2995" w:rsidTr="00AF73B9">
        <w:trPr>
          <w:trHeight w:hRule="exact" w:val="340"/>
        </w:trPr>
        <w:tc>
          <w:tcPr>
            <w:tcW w:w="1129" w:type="dxa"/>
            <w:tcBorders>
              <w:top w:val="nil"/>
              <w:left w:val="single" w:sz="8" w:space="0" w:color="auto"/>
              <w:bottom w:val="nil"/>
              <w:right w:val="nil"/>
            </w:tcBorders>
            <w:shd w:val="clear" w:color="auto" w:fill="auto"/>
            <w:noWrap/>
            <w:vAlign w:val="center"/>
            <w:hideMark/>
          </w:tcPr>
          <w:p w:rsidR="00AF73B9" w:rsidRPr="00EB2995" w:rsidRDefault="00AF73B9" w:rsidP="00AF73B9">
            <w:pPr>
              <w:jc w:val="right"/>
              <w:rPr>
                <w:rFonts w:cs="Calibri"/>
                <w:color w:val="000000"/>
                <w:lang w:eastAsia="en-GB"/>
              </w:rPr>
            </w:pPr>
            <w:r w:rsidRPr="00EB2995">
              <w:rPr>
                <w:rFonts w:cs="Calibri"/>
                <w:color w:val="000000"/>
                <w:lang w:eastAsia="en-GB"/>
              </w:rPr>
              <w:t>0</w:t>
            </w:r>
          </w:p>
        </w:tc>
        <w:tc>
          <w:tcPr>
            <w:tcW w:w="1157" w:type="dxa"/>
            <w:tcBorders>
              <w:top w:val="nil"/>
              <w:left w:val="nil"/>
              <w:bottom w:val="nil"/>
              <w:right w:val="nil"/>
            </w:tcBorders>
            <w:shd w:val="clear" w:color="auto" w:fill="auto"/>
            <w:noWrap/>
            <w:vAlign w:val="center"/>
            <w:hideMark/>
          </w:tcPr>
          <w:p w:rsidR="00AF73B9" w:rsidRPr="00EB2995" w:rsidRDefault="00AF73B9" w:rsidP="00AF73B9">
            <w:pPr>
              <w:jc w:val="right"/>
              <w:rPr>
                <w:rFonts w:cs="Calibri"/>
                <w:color w:val="000000"/>
                <w:lang w:eastAsia="en-GB"/>
              </w:rPr>
            </w:pPr>
            <w:r w:rsidRPr="00EB2995">
              <w:rPr>
                <w:rFonts w:cs="Calibri"/>
                <w:color w:val="000000"/>
                <w:lang w:eastAsia="en-GB"/>
              </w:rPr>
              <w:t>1</w:t>
            </w:r>
          </w:p>
        </w:tc>
        <w:tc>
          <w:tcPr>
            <w:tcW w:w="776" w:type="dxa"/>
            <w:tcBorders>
              <w:top w:val="nil"/>
              <w:left w:val="nil"/>
              <w:bottom w:val="nil"/>
              <w:right w:val="single" w:sz="8" w:space="0" w:color="auto"/>
            </w:tcBorders>
            <w:shd w:val="clear" w:color="auto" w:fill="auto"/>
            <w:noWrap/>
            <w:vAlign w:val="center"/>
            <w:hideMark/>
          </w:tcPr>
          <w:p w:rsidR="00AF73B9" w:rsidRPr="00EB2995" w:rsidRDefault="00AF73B9" w:rsidP="00AF73B9">
            <w:pPr>
              <w:jc w:val="right"/>
              <w:rPr>
                <w:rFonts w:cs="Calibri"/>
                <w:color w:val="000000"/>
                <w:lang w:eastAsia="en-GB"/>
              </w:rPr>
            </w:pPr>
            <w:r w:rsidRPr="00EB2995">
              <w:rPr>
                <w:rFonts w:cs="Calibri"/>
                <w:color w:val="000000"/>
                <w:lang w:eastAsia="en-GB"/>
              </w:rPr>
              <w:t>1</w:t>
            </w:r>
          </w:p>
        </w:tc>
        <w:tc>
          <w:tcPr>
            <w:tcW w:w="3658" w:type="dxa"/>
            <w:gridSpan w:val="4"/>
            <w:tcBorders>
              <w:top w:val="nil"/>
              <w:left w:val="nil"/>
              <w:bottom w:val="nil"/>
              <w:right w:val="single" w:sz="8" w:space="0" w:color="000000"/>
            </w:tcBorders>
            <w:shd w:val="clear" w:color="auto" w:fill="auto"/>
            <w:vAlign w:val="center"/>
            <w:hideMark/>
          </w:tcPr>
          <w:p w:rsidR="00AF73B9" w:rsidRPr="00EB2995" w:rsidRDefault="00AF73B9" w:rsidP="00AF73B9">
            <w:pPr>
              <w:jc w:val="center"/>
              <w:rPr>
                <w:rFonts w:cs="Calibri"/>
                <w:color w:val="000000"/>
                <w:lang w:eastAsia="en-GB"/>
              </w:rPr>
            </w:pPr>
            <w:r w:rsidRPr="00EB2995">
              <w:rPr>
                <w:rFonts w:cs="Calibri"/>
                <w:color w:val="000000"/>
                <w:lang w:eastAsia="en-GB"/>
              </w:rPr>
              <w:t>140,000 - 144,999</w:t>
            </w:r>
          </w:p>
        </w:tc>
        <w:tc>
          <w:tcPr>
            <w:tcW w:w="972" w:type="dxa"/>
            <w:tcBorders>
              <w:top w:val="nil"/>
              <w:left w:val="nil"/>
              <w:bottom w:val="nil"/>
              <w:right w:val="nil"/>
            </w:tcBorders>
            <w:shd w:val="clear" w:color="auto" w:fill="auto"/>
            <w:noWrap/>
            <w:vAlign w:val="center"/>
          </w:tcPr>
          <w:p w:rsidR="00AF73B9" w:rsidRPr="00EB2995" w:rsidRDefault="00AF73B9" w:rsidP="00AF73B9">
            <w:pPr>
              <w:jc w:val="right"/>
              <w:rPr>
                <w:rFonts w:cs="Calibri"/>
                <w:color w:val="000000"/>
                <w:lang w:eastAsia="en-GB"/>
              </w:rPr>
            </w:pPr>
            <w:r w:rsidRPr="00EB2995">
              <w:rPr>
                <w:rFonts w:cs="Calibri"/>
                <w:color w:val="000000"/>
              </w:rPr>
              <w:t>0</w:t>
            </w:r>
          </w:p>
        </w:tc>
        <w:tc>
          <w:tcPr>
            <w:tcW w:w="992" w:type="dxa"/>
            <w:tcBorders>
              <w:top w:val="nil"/>
              <w:left w:val="nil"/>
              <w:bottom w:val="nil"/>
              <w:right w:val="nil"/>
            </w:tcBorders>
            <w:shd w:val="clear" w:color="auto" w:fill="auto"/>
            <w:noWrap/>
            <w:vAlign w:val="center"/>
          </w:tcPr>
          <w:p w:rsidR="00AF73B9" w:rsidRPr="00EB2995" w:rsidRDefault="00AF73B9" w:rsidP="00AF73B9">
            <w:pPr>
              <w:jc w:val="right"/>
              <w:rPr>
                <w:rFonts w:cs="Calibri"/>
                <w:color w:val="000000"/>
                <w:lang w:eastAsia="en-GB"/>
              </w:rPr>
            </w:pPr>
            <w:r w:rsidRPr="00EB2995">
              <w:rPr>
                <w:rFonts w:cs="Calibri"/>
                <w:color w:val="000000"/>
              </w:rPr>
              <w:t>0</w:t>
            </w:r>
          </w:p>
        </w:tc>
        <w:tc>
          <w:tcPr>
            <w:tcW w:w="1381" w:type="dxa"/>
            <w:tcBorders>
              <w:top w:val="nil"/>
              <w:left w:val="nil"/>
              <w:bottom w:val="nil"/>
              <w:right w:val="single" w:sz="8" w:space="0" w:color="auto"/>
            </w:tcBorders>
            <w:shd w:val="clear" w:color="auto" w:fill="auto"/>
            <w:noWrap/>
            <w:vAlign w:val="center"/>
          </w:tcPr>
          <w:p w:rsidR="00AF73B9" w:rsidRPr="00EB2995" w:rsidRDefault="00AF73B9" w:rsidP="00AF73B9">
            <w:pPr>
              <w:jc w:val="right"/>
              <w:rPr>
                <w:rFonts w:cs="Calibri"/>
                <w:color w:val="000000"/>
                <w:lang w:eastAsia="en-GB"/>
              </w:rPr>
            </w:pPr>
            <w:r w:rsidRPr="00EB2995">
              <w:rPr>
                <w:rFonts w:cs="Calibri"/>
                <w:color w:val="000000"/>
              </w:rPr>
              <w:t>0</w:t>
            </w:r>
          </w:p>
        </w:tc>
      </w:tr>
      <w:tr w:rsidR="00AF73B9" w:rsidRPr="00EB2995" w:rsidTr="00AF73B9">
        <w:trPr>
          <w:trHeight w:hRule="exact" w:val="340"/>
        </w:trPr>
        <w:tc>
          <w:tcPr>
            <w:tcW w:w="1129" w:type="dxa"/>
            <w:tcBorders>
              <w:top w:val="nil"/>
              <w:left w:val="single" w:sz="8" w:space="0" w:color="auto"/>
              <w:bottom w:val="nil"/>
              <w:right w:val="nil"/>
            </w:tcBorders>
            <w:shd w:val="clear" w:color="auto" w:fill="auto"/>
            <w:noWrap/>
            <w:vAlign w:val="center"/>
            <w:hideMark/>
          </w:tcPr>
          <w:p w:rsidR="00AF73B9" w:rsidRPr="00EB2995" w:rsidRDefault="00AF73B9" w:rsidP="00AF73B9">
            <w:pPr>
              <w:jc w:val="right"/>
              <w:rPr>
                <w:rFonts w:cs="Calibri"/>
                <w:color w:val="000000"/>
                <w:lang w:eastAsia="en-GB"/>
              </w:rPr>
            </w:pPr>
            <w:r w:rsidRPr="00EB2995">
              <w:rPr>
                <w:rFonts w:cs="Calibri"/>
                <w:color w:val="000000"/>
                <w:lang w:eastAsia="en-GB"/>
              </w:rPr>
              <w:t>1</w:t>
            </w:r>
          </w:p>
        </w:tc>
        <w:tc>
          <w:tcPr>
            <w:tcW w:w="1157" w:type="dxa"/>
            <w:tcBorders>
              <w:top w:val="nil"/>
              <w:left w:val="nil"/>
              <w:bottom w:val="nil"/>
              <w:right w:val="nil"/>
            </w:tcBorders>
            <w:shd w:val="clear" w:color="auto" w:fill="auto"/>
            <w:noWrap/>
            <w:vAlign w:val="center"/>
            <w:hideMark/>
          </w:tcPr>
          <w:p w:rsidR="00AF73B9" w:rsidRPr="00EB2995" w:rsidRDefault="00AF73B9" w:rsidP="00AF73B9">
            <w:pPr>
              <w:jc w:val="right"/>
              <w:rPr>
                <w:rFonts w:cs="Calibri"/>
                <w:color w:val="000000"/>
                <w:lang w:eastAsia="en-GB"/>
              </w:rPr>
            </w:pPr>
            <w:r w:rsidRPr="00EB2995">
              <w:rPr>
                <w:rFonts w:cs="Calibri"/>
                <w:color w:val="000000"/>
                <w:lang w:eastAsia="en-GB"/>
              </w:rPr>
              <w:t>0</w:t>
            </w:r>
          </w:p>
        </w:tc>
        <w:tc>
          <w:tcPr>
            <w:tcW w:w="776" w:type="dxa"/>
            <w:tcBorders>
              <w:top w:val="nil"/>
              <w:left w:val="nil"/>
              <w:bottom w:val="nil"/>
              <w:right w:val="single" w:sz="8" w:space="0" w:color="auto"/>
            </w:tcBorders>
            <w:shd w:val="clear" w:color="auto" w:fill="auto"/>
            <w:noWrap/>
            <w:vAlign w:val="center"/>
            <w:hideMark/>
          </w:tcPr>
          <w:p w:rsidR="00AF73B9" w:rsidRPr="00EB2995" w:rsidRDefault="00AF73B9" w:rsidP="00AF73B9">
            <w:pPr>
              <w:jc w:val="right"/>
              <w:rPr>
                <w:rFonts w:cs="Calibri"/>
                <w:color w:val="000000"/>
                <w:lang w:eastAsia="en-GB"/>
              </w:rPr>
            </w:pPr>
            <w:r w:rsidRPr="00EB2995">
              <w:rPr>
                <w:rFonts w:cs="Calibri"/>
                <w:color w:val="000000"/>
                <w:lang w:eastAsia="en-GB"/>
              </w:rPr>
              <w:t>1</w:t>
            </w:r>
          </w:p>
        </w:tc>
        <w:tc>
          <w:tcPr>
            <w:tcW w:w="3658" w:type="dxa"/>
            <w:gridSpan w:val="4"/>
            <w:tcBorders>
              <w:top w:val="nil"/>
              <w:left w:val="nil"/>
              <w:bottom w:val="nil"/>
              <w:right w:val="single" w:sz="8" w:space="0" w:color="000000"/>
            </w:tcBorders>
            <w:shd w:val="clear" w:color="auto" w:fill="auto"/>
            <w:vAlign w:val="center"/>
            <w:hideMark/>
          </w:tcPr>
          <w:p w:rsidR="00AF73B9" w:rsidRPr="00EB2995" w:rsidRDefault="00AF73B9" w:rsidP="00AF73B9">
            <w:pPr>
              <w:jc w:val="center"/>
              <w:rPr>
                <w:rFonts w:cs="Calibri"/>
                <w:color w:val="000000"/>
                <w:lang w:eastAsia="en-GB"/>
              </w:rPr>
            </w:pPr>
            <w:r w:rsidRPr="00EB2995">
              <w:rPr>
                <w:rFonts w:cs="Calibri"/>
                <w:color w:val="000000"/>
                <w:lang w:eastAsia="en-GB"/>
              </w:rPr>
              <w:t>145,000 - 149,999</w:t>
            </w:r>
          </w:p>
        </w:tc>
        <w:tc>
          <w:tcPr>
            <w:tcW w:w="972" w:type="dxa"/>
            <w:tcBorders>
              <w:top w:val="nil"/>
              <w:left w:val="nil"/>
              <w:bottom w:val="nil"/>
              <w:right w:val="nil"/>
            </w:tcBorders>
            <w:shd w:val="clear" w:color="auto" w:fill="auto"/>
            <w:noWrap/>
            <w:vAlign w:val="center"/>
          </w:tcPr>
          <w:p w:rsidR="00AF73B9" w:rsidRPr="00EB2995" w:rsidRDefault="00AF73B9" w:rsidP="00AF73B9">
            <w:pPr>
              <w:jc w:val="right"/>
              <w:rPr>
                <w:rFonts w:cs="Calibri"/>
                <w:color w:val="000000"/>
                <w:lang w:eastAsia="en-GB"/>
              </w:rPr>
            </w:pPr>
            <w:r w:rsidRPr="00EB2995">
              <w:rPr>
                <w:rFonts w:cs="Calibri"/>
                <w:color w:val="000000"/>
              </w:rPr>
              <w:t>0</w:t>
            </w:r>
          </w:p>
        </w:tc>
        <w:tc>
          <w:tcPr>
            <w:tcW w:w="992" w:type="dxa"/>
            <w:tcBorders>
              <w:top w:val="nil"/>
              <w:left w:val="nil"/>
              <w:bottom w:val="nil"/>
              <w:right w:val="nil"/>
            </w:tcBorders>
            <w:shd w:val="clear" w:color="auto" w:fill="auto"/>
            <w:noWrap/>
            <w:vAlign w:val="center"/>
          </w:tcPr>
          <w:p w:rsidR="00AF73B9" w:rsidRPr="00EB2995" w:rsidRDefault="00AF73B9" w:rsidP="00AF73B9">
            <w:pPr>
              <w:jc w:val="right"/>
              <w:rPr>
                <w:rFonts w:cs="Calibri"/>
                <w:color w:val="000000"/>
                <w:lang w:eastAsia="en-GB"/>
              </w:rPr>
            </w:pPr>
            <w:r w:rsidRPr="00EB2995">
              <w:rPr>
                <w:rFonts w:cs="Calibri"/>
                <w:color w:val="000000"/>
              </w:rPr>
              <w:t>1</w:t>
            </w:r>
          </w:p>
        </w:tc>
        <w:tc>
          <w:tcPr>
            <w:tcW w:w="1381" w:type="dxa"/>
            <w:tcBorders>
              <w:top w:val="nil"/>
              <w:left w:val="nil"/>
              <w:bottom w:val="nil"/>
              <w:right w:val="single" w:sz="8" w:space="0" w:color="auto"/>
            </w:tcBorders>
            <w:shd w:val="clear" w:color="auto" w:fill="auto"/>
            <w:noWrap/>
            <w:vAlign w:val="center"/>
          </w:tcPr>
          <w:p w:rsidR="00AF73B9" w:rsidRPr="00EB2995" w:rsidRDefault="00AF73B9" w:rsidP="00AF73B9">
            <w:pPr>
              <w:jc w:val="right"/>
              <w:rPr>
                <w:rFonts w:cs="Calibri"/>
                <w:color w:val="000000"/>
                <w:lang w:eastAsia="en-GB"/>
              </w:rPr>
            </w:pPr>
            <w:r w:rsidRPr="00EB2995">
              <w:rPr>
                <w:rFonts w:cs="Calibri"/>
                <w:color w:val="000000"/>
              </w:rPr>
              <w:t>1</w:t>
            </w:r>
          </w:p>
        </w:tc>
      </w:tr>
      <w:tr w:rsidR="00AF73B9" w:rsidRPr="00EB2995" w:rsidTr="00AF73B9">
        <w:trPr>
          <w:trHeight w:hRule="exact" w:val="340"/>
        </w:trPr>
        <w:tc>
          <w:tcPr>
            <w:tcW w:w="1129" w:type="dxa"/>
            <w:tcBorders>
              <w:top w:val="nil"/>
              <w:left w:val="single" w:sz="8" w:space="0" w:color="auto"/>
              <w:bottom w:val="nil"/>
              <w:right w:val="nil"/>
            </w:tcBorders>
            <w:shd w:val="clear" w:color="auto" w:fill="auto"/>
            <w:noWrap/>
            <w:vAlign w:val="center"/>
            <w:hideMark/>
          </w:tcPr>
          <w:p w:rsidR="00AF73B9" w:rsidRPr="00EB2995" w:rsidRDefault="00AF73B9" w:rsidP="00AF73B9">
            <w:pPr>
              <w:jc w:val="right"/>
              <w:rPr>
                <w:rFonts w:cs="Calibri"/>
                <w:color w:val="000000"/>
                <w:lang w:eastAsia="en-GB"/>
              </w:rPr>
            </w:pPr>
            <w:r w:rsidRPr="00EB2995">
              <w:rPr>
                <w:rFonts w:cs="Calibri"/>
                <w:color w:val="000000"/>
                <w:lang w:eastAsia="en-GB"/>
              </w:rPr>
              <w:t>0</w:t>
            </w:r>
          </w:p>
        </w:tc>
        <w:tc>
          <w:tcPr>
            <w:tcW w:w="1157" w:type="dxa"/>
            <w:tcBorders>
              <w:top w:val="nil"/>
              <w:left w:val="nil"/>
              <w:bottom w:val="nil"/>
              <w:right w:val="nil"/>
            </w:tcBorders>
            <w:shd w:val="clear" w:color="auto" w:fill="auto"/>
            <w:noWrap/>
            <w:vAlign w:val="center"/>
            <w:hideMark/>
          </w:tcPr>
          <w:p w:rsidR="00AF73B9" w:rsidRPr="00EB2995" w:rsidRDefault="00AF73B9" w:rsidP="00AF73B9">
            <w:pPr>
              <w:jc w:val="right"/>
              <w:rPr>
                <w:rFonts w:cs="Calibri"/>
                <w:color w:val="000000"/>
                <w:lang w:eastAsia="en-GB"/>
              </w:rPr>
            </w:pPr>
            <w:r w:rsidRPr="00EB2995">
              <w:rPr>
                <w:rFonts w:cs="Calibri"/>
                <w:color w:val="000000"/>
                <w:lang w:eastAsia="en-GB"/>
              </w:rPr>
              <w:t>3</w:t>
            </w:r>
          </w:p>
        </w:tc>
        <w:tc>
          <w:tcPr>
            <w:tcW w:w="776" w:type="dxa"/>
            <w:tcBorders>
              <w:top w:val="nil"/>
              <w:left w:val="nil"/>
              <w:bottom w:val="nil"/>
              <w:right w:val="single" w:sz="8" w:space="0" w:color="auto"/>
            </w:tcBorders>
            <w:shd w:val="clear" w:color="auto" w:fill="auto"/>
            <w:noWrap/>
            <w:vAlign w:val="center"/>
            <w:hideMark/>
          </w:tcPr>
          <w:p w:rsidR="00AF73B9" w:rsidRPr="00EB2995" w:rsidRDefault="00AF73B9" w:rsidP="00AF73B9">
            <w:pPr>
              <w:jc w:val="right"/>
              <w:rPr>
                <w:rFonts w:cs="Calibri"/>
                <w:color w:val="000000"/>
                <w:lang w:eastAsia="en-GB"/>
              </w:rPr>
            </w:pPr>
            <w:r w:rsidRPr="00EB2995">
              <w:rPr>
                <w:rFonts w:cs="Calibri"/>
                <w:color w:val="000000"/>
                <w:lang w:eastAsia="en-GB"/>
              </w:rPr>
              <w:t>3</w:t>
            </w:r>
          </w:p>
        </w:tc>
        <w:tc>
          <w:tcPr>
            <w:tcW w:w="3658" w:type="dxa"/>
            <w:gridSpan w:val="4"/>
            <w:tcBorders>
              <w:top w:val="nil"/>
              <w:left w:val="nil"/>
              <w:bottom w:val="nil"/>
              <w:right w:val="single" w:sz="8" w:space="0" w:color="000000"/>
            </w:tcBorders>
            <w:shd w:val="clear" w:color="auto" w:fill="auto"/>
            <w:vAlign w:val="center"/>
            <w:hideMark/>
          </w:tcPr>
          <w:p w:rsidR="00AF73B9" w:rsidRPr="00EB2995" w:rsidRDefault="00AF73B9" w:rsidP="00AF73B9">
            <w:pPr>
              <w:jc w:val="center"/>
              <w:rPr>
                <w:rFonts w:cs="Calibri"/>
                <w:color w:val="000000"/>
                <w:lang w:eastAsia="en-GB"/>
              </w:rPr>
            </w:pPr>
            <w:r w:rsidRPr="00EB2995">
              <w:rPr>
                <w:rFonts w:cs="Calibri"/>
                <w:color w:val="000000"/>
                <w:lang w:eastAsia="en-GB"/>
              </w:rPr>
              <w:t>150,000 -154,999</w:t>
            </w:r>
          </w:p>
        </w:tc>
        <w:tc>
          <w:tcPr>
            <w:tcW w:w="972" w:type="dxa"/>
            <w:tcBorders>
              <w:top w:val="nil"/>
              <w:left w:val="nil"/>
              <w:bottom w:val="nil"/>
              <w:right w:val="nil"/>
            </w:tcBorders>
            <w:shd w:val="clear" w:color="auto" w:fill="auto"/>
            <w:noWrap/>
            <w:vAlign w:val="center"/>
          </w:tcPr>
          <w:p w:rsidR="00AF73B9" w:rsidRPr="00EB2995" w:rsidRDefault="00AF73B9" w:rsidP="00AF73B9">
            <w:pPr>
              <w:jc w:val="right"/>
              <w:rPr>
                <w:rFonts w:cs="Calibri"/>
                <w:color w:val="000000"/>
                <w:lang w:eastAsia="en-GB"/>
              </w:rPr>
            </w:pPr>
            <w:r w:rsidRPr="00EB2995">
              <w:rPr>
                <w:rFonts w:cs="Calibri"/>
                <w:color w:val="000000"/>
              </w:rPr>
              <w:t>0</w:t>
            </w:r>
          </w:p>
        </w:tc>
        <w:tc>
          <w:tcPr>
            <w:tcW w:w="992" w:type="dxa"/>
            <w:tcBorders>
              <w:top w:val="nil"/>
              <w:left w:val="nil"/>
              <w:bottom w:val="nil"/>
              <w:right w:val="nil"/>
            </w:tcBorders>
            <w:shd w:val="clear" w:color="auto" w:fill="auto"/>
            <w:noWrap/>
            <w:vAlign w:val="center"/>
          </w:tcPr>
          <w:p w:rsidR="00AF73B9" w:rsidRPr="00EB2995" w:rsidRDefault="00AF73B9" w:rsidP="00AF73B9">
            <w:pPr>
              <w:jc w:val="right"/>
              <w:rPr>
                <w:rFonts w:cs="Calibri"/>
                <w:color w:val="000000"/>
                <w:lang w:eastAsia="en-GB"/>
              </w:rPr>
            </w:pPr>
            <w:r w:rsidRPr="00EB2995">
              <w:rPr>
                <w:rFonts w:cs="Calibri"/>
                <w:color w:val="000000"/>
              </w:rPr>
              <w:t>2</w:t>
            </w:r>
          </w:p>
        </w:tc>
        <w:tc>
          <w:tcPr>
            <w:tcW w:w="1381" w:type="dxa"/>
            <w:tcBorders>
              <w:top w:val="nil"/>
              <w:left w:val="nil"/>
              <w:bottom w:val="nil"/>
              <w:right w:val="single" w:sz="8" w:space="0" w:color="auto"/>
            </w:tcBorders>
            <w:shd w:val="clear" w:color="auto" w:fill="auto"/>
            <w:noWrap/>
            <w:vAlign w:val="center"/>
          </w:tcPr>
          <w:p w:rsidR="00AF73B9" w:rsidRPr="00EB2995" w:rsidRDefault="00AF73B9" w:rsidP="00AF73B9">
            <w:pPr>
              <w:jc w:val="right"/>
              <w:rPr>
                <w:rFonts w:cs="Calibri"/>
                <w:color w:val="000000"/>
                <w:lang w:eastAsia="en-GB"/>
              </w:rPr>
            </w:pPr>
            <w:r w:rsidRPr="00EB2995">
              <w:rPr>
                <w:rFonts w:cs="Calibri"/>
                <w:color w:val="000000"/>
              </w:rPr>
              <w:t>2</w:t>
            </w:r>
          </w:p>
        </w:tc>
      </w:tr>
      <w:tr w:rsidR="00AF73B9" w:rsidRPr="00EB2995" w:rsidTr="00AF73B9">
        <w:trPr>
          <w:trHeight w:hRule="exact" w:val="340"/>
        </w:trPr>
        <w:tc>
          <w:tcPr>
            <w:tcW w:w="1129" w:type="dxa"/>
            <w:tcBorders>
              <w:top w:val="nil"/>
              <w:left w:val="single" w:sz="8" w:space="0" w:color="auto"/>
              <w:bottom w:val="nil"/>
              <w:right w:val="nil"/>
            </w:tcBorders>
            <w:shd w:val="clear" w:color="auto" w:fill="auto"/>
            <w:noWrap/>
            <w:vAlign w:val="center"/>
          </w:tcPr>
          <w:p w:rsidR="00AF73B9" w:rsidRPr="00EB2995" w:rsidRDefault="00AF73B9" w:rsidP="00AF73B9">
            <w:pPr>
              <w:jc w:val="right"/>
              <w:rPr>
                <w:rFonts w:cs="Calibri"/>
                <w:color w:val="000000"/>
                <w:lang w:eastAsia="en-GB"/>
              </w:rPr>
            </w:pPr>
            <w:r w:rsidRPr="00EB2995">
              <w:rPr>
                <w:rFonts w:cs="Calibri"/>
                <w:color w:val="000000"/>
                <w:lang w:eastAsia="en-GB"/>
              </w:rPr>
              <w:t>0</w:t>
            </w:r>
          </w:p>
        </w:tc>
        <w:tc>
          <w:tcPr>
            <w:tcW w:w="1157" w:type="dxa"/>
            <w:tcBorders>
              <w:top w:val="nil"/>
              <w:left w:val="nil"/>
              <w:bottom w:val="nil"/>
              <w:right w:val="nil"/>
            </w:tcBorders>
            <w:shd w:val="clear" w:color="auto" w:fill="auto"/>
            <w:noWrap/>
            <w:vAlign w:val="center"/>
          </w:tcPr>
          <w:p w:rsidR="00AF73B9" w:rsidRPr="00EB2995" w:rsidRDefault="00AF73B9" w:rsidP="00AF73B9">
            <w:pPr>
              <w:jc w:val="right"/>
              <w:rPr>
                <w:rFonts w:cs="Calibri"/>
                <w:color w:val="000000"/>
                <w:lang w:eastAsia="en-GB"/>
              </w:rPr>
            </w:pPr>
            <w:r w:rsidRPr="00EB2995">
              <w:rPr>
                <w:rFonts w:cs="Calibri"/>
                <w:color w:val="000000"/>
                <w:lang w:eastAsia="en-GB"/>
              </w:rPr>
              <w:t>0</w:t>
            </w:r>
          </w:p>
        </w:tc>
        <w:tc>
          <w:tcPr>
            <w:tcW w:w="776" w:type="dxa"/>
            <w:tcBorders>
              <w:top w:val="nil"/>
              <w:left w:val="nil"/>
              <w:bottom w:val="nil"/>
              <w:right w:val="single" w:sz="8" w:space="0" w:color="auto"/>
            </w:tcBorders>
            <w:shd w:val="clear" w:color="auto" w:fill="auto"/>
            <w:noWrap/>
            <w:vAlign w:val="center"/>
          </w:tcPr>
          <w:p w:rsidR="00AF73B9" w:rsidRPr="00EB2995" w:rsidRDefault="00AF73B9" w:rsidP="00AF73B9">
            <w:pPr>
              <w:jc w:val="right"/>
              <w:rPr>
                <w:rFonts w:cs="Calibri"/>
                <w:color w:val="000000"/>
                <w:lang w:eastAsia="en-GB"/>
              </w:rPr>
            </w:pPr>
            <w:r w:rsidRPr="00EB2995">
              <w:rPr>
                <w:rFonts w:cs="Calibri"/>
                <w:color w:val="000000"/>
                <w:lang w:eastAsia="en-GB"/>
              </w:rPr>
              <w:t>0</w:t>
            </w:r>
          </w:p>
        </w:tc>
        <w:tc>
          <w:tcPr>
            <w:tcW w:w="3658" w:type="dxa"/>
            <w:gridSpan w:val="4"/>
            <w:tcBorders>
              <w:top w:val="nil"/>
              <w:left w:val="nil"/>
              <w:bottom w:val="nil"/>
              <w:right w:val="single" w:sz="8" w:space="0" w:color="000000"/>
            </w:tcBorders>
            <w:shd w:val="clear" w:color="auto" w:fill="auto"/>
            <w:vAlign w:val="center"/>
          </w:tcPr>
          <w:p w:rsidR="00AF73B9" w:rsidRPr="00EB2995" w:rsidRDefault="00AF73B9" w:rsidP="00AF73B9">
            <w:pPr>
              <w:jc w:val="center"/>
              <w:rPr>
                <w:rFonts w:cs="Calibri"/>
                <w:color w:val="000000"/>
                <w:lang w:eastAsia="en-GB"/>
              </w:rPr>
            </w:pPr>
            <w:r w:rsidRPr="00EB2995">
              <w:rPr>
                <w:rFonts w:cs="Calibri"/>
                <w:color w:val="000000"/>
                <w:lang w:eastAsia="en-GB"/>
              </w:rPr>
              <w:t>155,000 -159,999</w:t>
            </w:r>
          </w:p>
        </w:tc>
        <w:tc>
          <w:tcPr>
            <w:tcW w:w="972" w:type="dxa"/>
            <w:tcBorders>
              <w:top w:val="nil"/>
              <w:left w:val="nil"/>
              <w:bottom w:val="nil"/>
              <w:right w:val="nil"/>
            </w:tcBorders>
            <w:shd w:val="clear" w:color="auto" w:fill="auto"/>
            <w:noWrap/>
            <w:vAlign w:val="center"/>
          </w:tcPr>
          <w:p w:rsidR="00AF73B9" w:rsidRPr="00EB2995" w:rsidRDefault="00AF73B9" w:rsidP="00AF73B9">
            <w:pPr>
              <w:jc w:val="right"/>
              <w:rPr>
                <w:rFonts w:cs="Calibri"/>
                <w:color w:val="000000"/>
              </w:rPr>
            </w:pPr>
            <w:r w:rsidRPr="00EB2995">
              <w:rPr>
                <w:rFonts w:cs="Calibri"/>
                <w:color w:val="000000"/>
              </w:rPr>
              <w:t>0</w:t>
            </w:r>
          </w:p>
        </w:tc>
        <w:tc>
          <w:tcPr>
            <w:tcW w:w="992" w:type="dxa"/>
            <w:tcBorders>
              <w:top w:val="nil"/>
              <w:left w:val="nil"/>
              <w:bottom w:val="nil"/>
              <w:right w:val="nil"/>
            </w:tcBorders>
            <w:shd w:val="clear" w:color="auto" w:fill="auto"/>
            <w:noWrap/>
            <w:vAlign w:val="center"/>
          </w:tcPr>
          <w:p w:rsidR="00AF73B9" w:rsidRPr="00EB2995" w:rsidRDefault="00AF73B9" w:rsidP="00AF73B9">
            <w:pPr>
              <w:jc w:val="right"/>
              <w:rPr>
                <w:rFonts w:cs="Calibri"/>
                <w:color w:val="000000"/>
              </w:rPr>
            </w:pPr>
            <w:r w:rsidRPr="00EB2995">
              <w:rPr>
                <w:rFonts w:cs="Calibri"/>
                <w:color w:val="000000"/>
              </w:rPr>
              <w:t>1</w:t>
            </w:r>
          </w:p>
        </w:tc>
        <w:tc>
          <w:tcPr>
            <w:tcW w:w="1381" w:type="dxa"/>
            <w:tcBorders>
              <w:top w:val="nil"/>
              <w:left w:val="nil"/>
              <w:bottom w:val="nil"/>
              <w:right w:val="single" w:sz="8" w:space="0" w:color="auto"/>
            </w:tcBorders>
            <w:shd w:val="clear" w:color="auto" w:fill="auto"/>
            <w:noWrap/>
            <w:vAlign w:val="center"/>
          </w:tcPr>
          <w:p w:rsidR="00AF73B9" w:rsidRPr="00EB2995" w:rsidRDefault="00AF73B9" w:rsidP="00AF73B9">
            <w:pPr>
              <w:jc w:val="right"/>
              <w:rPr>
                <w:rFonts w:cs="Calibri"/>
                <w:color w:val="000000"/>
              </w:rPr>
            </w:pPr>
            <w:r w:rsidRPr="00EB2995">
              <w:rPr>
                <w:rFonts w:cs="Calibri"/>
                <w:color w:val="000000"/>
              </w:rPr>
              <w:t>1</w:t>
            </w:r>
          </w:p>
        </w:tc>
      </w:tr>
      <w:tr w:rsidR="00AF73B9" w:rsidRPr="00EB2995" w:rsidTr="00AF73B9">
        <w:trPr>
          <w:trHeight w:hRule="exact" w:val="340"/>
        </w:trPr>
        <w:tc>
          <w:tcPr>
            <w:tcW w:w="1129" w:type="dxa"/>
            <w:tcBorders>
              <w:top w:val="nil"/>
              <w:left w:val="single" w:sz="8" w:space="0" w:color="auto"/>
              <w:bottom w:val="nil"/>
              <w:right w:val="nil"/>
            </w:tcBorders>
            <w:shd w:val="clear" w:color="auto" w:fill="auto"/>
            <w:noWrap/>
            <w:vAlign w:val="center"/>
            <w:hideMark/>
          </w:tcPr>
          <w:p w:rsidR="00AF73B9" w:rsidRPr="00EB2995" w:rsidRDefault="00AF73B9" w:rsidP="00AF73B9">
            <w:pPr>
              <w:jc w:val="right"/>
              <w:rPr>
                <w:rFonts w:cs="Calibri"/>
                <w:color w:val="000000"/>
                <w:lang w:eastAsia="en-GB"/>
              </w:rPr>
            </w:pPr>
            <w:r w:rsidRPr="00EB2995">
              <w:rPr>
                <w:rFonts w:cs="Calibri"/>
                <w:color w:val="000000"/>
                <w:lang w:eastAsia="en-GB"/>
              </w:rPr>
              <w:t>0</w:t>
            </w:r>
          </w:p>
        </w:tc>
        <w:tc>
          <w:tcPr>
            <w:tcW w:w="1157" w:type="dxa"/>
            <w:tcBorders>
              <w:top w:val="nil"/>
              <w:left w:val="nil"/>
              <w:bottom w:val="nil"/>
              <w:right w:val="nil"/>
            </w:tcBorders>
            <w:shd w:val="clear" w:color="auto" w:fill="auto"/>
            <w:noWrap/>
            <w:vAlign w:val="center"/>
            <w:hideMark/>
          </w:tcPr>
          <w:p w:rsidR="00AF73B9" w:rsidRPr="00EB2995" w:rsidRDefault="00AF73B9" w:rsidP="00AF73B9">
            <w:pPr>
              <w:jc w:val="right"/>
              <w:rPr>
                <w:rFonts w:cs="Calibri"/>
                <w:color w:val="000000"/>
                <w:lang w:eastAsia="en-GB"/>
              </w:rPr>
            </w:pPr>
            <w:r w:rsidRPr="00EB2995">
              <w:rPr>
                <w:rFonts w:cs="Calibri"/>
                <w:color w:val="000000"/>
                <w:lang w:eastAsia="en-GB"/>
              </w:rPr>
              <w:t>0</w:t>
            </w:r>
          </w:p>
        </w:tc>
        <w:tc>
          <w:tcPr>
            <w:tcW w:w="776" w:type="dxa"/>
            <w:tcBorders>
              <w:top w:val="nil"/>
              <w:left w:val="nil"/>
              <w:bottom w:val="nil"/>
              <w:right w:val="single" w:sz="8" w:space="0" w:color="auto"/>
            </w:tcBorders>
            <w:shd w:val="clear" w:color="auto" w:fill="auto"/>
            <w:noWrap/>
            <w:vAlign w:val="center"/>
            <w:hideMark/>
          </w:tcPr>
          <w:p w:rsidR="00AF73B9" w:rsidRPr="00EB2995" w:rsidRDefault="00AF73B9" w:rsidP="00AF73B9">
            <w:pPr>
              <w:jc w:val="right"/>
              <w:rPr>
                <w:rFonts w:cs="Calibri"/>
                <w:color w:val="000000"/>
                <w:lang w:eastAsia="en-GB"/>
              </w:rPr>
            </w:pPr>
            <w:r w:rsidRPr="00EB2995">
              <w:rPr>
                <w:rFonts w:cs="Calibri"/>
                <w:color w:val="000000"/>
                <w:lang w:eastAsia="en-GB"/>
              </w:rPr>
              <w:t>0</w:t>
            </w:r>
          </w:p>
        </w:tc>
        <w:tc>
          <w:tcPr>
            <w:tcW w:w="3658" w:type="dxa"/>
            <w:gridSpan w:val="4"/>
            <w:tcBorders>
              <w:top w:val="nil"/>
              <w:left w:val="nil"/>
              <w:bottom w:val="nil"/>
              <w:right w:val="single" w:sz="8" w:space="0" w:color="000000"/>
            </w:tcBorders>
            <w:shd w:val="clear" w:color="auto" w:fill="auto"/>
            <w:vAlign w:val="center"/>
            <w:hideMark/>
          </w:tcPr>
          <w:p w:rsidR="00AF73B9" w:rsidRPr="00EB2995" w:rsidRDefault="00AF73B9" w:rsidP="00AF73B9">
            <w:pPr>
              <w:jc w:val="center"/>
              <w:rPr>
                <w:rFonts w:cs="Calibri"/>
                <w:color w:val="000000"/>
                <w:lang w:eastAsia="en-GB"/>
              </w:rPr>
            </w:pPr>
            <w:r w:rsidRPr="00EB2995">
              <w:rPr>
                <w:rFonts w:cs="Calibri"/>
                <w:color w:val="000000"/>
                <w:lang w:eastAsia="en-GB"/>
              </w:rPr>
              <w:t>160,000  - 214,999</w:t>
            </w:r>
          </w:p>
        </w:tc>
        <w:tc>
          <w:tcPr>
            <w:tcW w:w="972" w:type="dxa"/>
            <w:tcBorders>
              <w:top w:val="nil"/>
              <w:left w:val="nil"/>
              <w:bottom w:val="nil"/>
              <w:right w:val="nil"/>
            </w:tcBorders>
            <w:shd w:val="clear" w:color="auto" w:fill="auto"/>
            <w:noWrap/>
            <w:vAlign w:val="center"/>
          </w:tcPr>
          <w:p w:rsidR="00AF73B9" w:rsidRPr="00EB2995" w:rsidRDefault="00AF73B9" w:rsidP="00AF73B9">
            <w:pPr>
              <w:jc w:val="right"/>
              <w:rPr>
                <w:rFonts w:cs="Calibri"/>
                <w:color w:val="000000"/>
                <w:lang w:eastAsia="en-GB"/>
              </w:rPr>
            </w:pPr>
            <w:r w:rsidRPr="00EB2995">
              <w:rPr>
                <w:rFonts w:cs="Calibri"/>
                <w:color w:val="000000"/>
                <w:lang w:eastAsia="en-GB"/>
              </w:rPr>
              <w:t>0</w:t>
            </w:r>
          </w:p>
        </w:tc>
        <w:tc>
          <w:tcPr>
            <w:tcW w:w="992" w:type="dxa"/>
            <w:tcBorders>
              <w:top w:val="nil"/>
              <w:left w:val="nil"/>
              <w:bottom w:val="nil"/>
              <w:right w:val="nil"/>
            </w:tcBorders>
            <w:shd w:val="clear" w:color="auto" w:fill="auto"/>
            <w:noWrap/>
            <w:vAlign w:val="center"/>
          </w:tcPr>
          <w:p w:rsidR="00AF73B9" w:rsidRPr="00EB2995" w:rsidRDefault="00AF73B9" w:rsidP="00AF73B9">
            <w:pPr>
              <w:jc w:val="right"/>
              <w:rPr>
                <w:rFonts w:cs="Calibri"/>
                <w:color w:val="000000"/>
                <w:lang w:eastAsia="en-GB"/>
              </w:rPr>
            </w:pPr>
            <w:r w:rsidRPr="00EB2995">
              <w:rPr>
                <w:rFonts w:cs="Calibri"/>
                <w:color w:val="000000"/>
                <w:lang w:eastAsia="en-GB"/>
              </w:rPr>
              <w:t>0</w:t>
            </w:r>
          </w:p>
        </w:tc>
        <w:tc>
          <w:tcPr>
            <w:tcW w:w="1381" w:type="dxa"/>
            <w:tcBorders>
              <w:top w:val="nil"/>
              <w:left w:val="nil"/>
              <w:bottom w:val="nil"/>
              <w:right w:val="single" w:sz="8" w:space="0" w:color="auto"/>
            </w:tcBorders>
            <w:shd w:val="clear" w:color="auto" w:fill="auto"/>
            <w:noWrap/>
            <w:vAlign w:val="center"/>
          </w:tcPr>
          <w:p w:rsidR="00AF73B9" w:rsidRPr="00EB2995" w:rsidRDefault="00AF73B9" w:rsidP="00AF73B9">
            <w:pPr>
              <w:jc w:val="right"/>
              <w:rPr>
                <w:rFonts w:cs="Calibri"/>
                <w:color w:val="000000"/>
                <w:lang w:eastAsia="en-GB"/>
              </w:rPr>
            </w:pPr>
            <w:r w:rsidRPr="00EB2995">
              <w:rPr>
                <w:rFonts w:cs="Calibri"/>
                <w:color w:val="000000"/>
                <w:lang w:eastAsia="en-GB"/>
              </w:rPr>
              <w:t>0</w:t>
            </w:r>
          </w:p>
        </w:tc>
      </w:tr>
      <w:tr w:rsidR="00AF73B9" w:rsidRPr="00EB2995" w:rsidTr="00AF73B9">
        <w:trPr>
          <w:trHeight w:hRule="exact" w:val="340"/>
        </w:trPr>
        <w:tc>
          <w:tcPr>
            <w:tcW w:w="1129" w:type="dxa"/>
            <w:tcBorders>
              <w:top w:val="nil"/>
              <w:left w:val="single" w:sz="8" w:space="0" w:color="auto"/>
              <w:bottom w:val="nil"/>
              <w:right w:val="nil"/>
            </w:tcBorders>
            <w:shd w:val="clear" w:color="auto" w:fill="auto"/>
            <w:noWrap/>
            <w:vAlign w:val="center"/>
            <w:hideMark/>
          </w:tcPr>
          <w:p w:rsidR="00AF73B9" w:rsidRPr="00EB2995" w:rsidRDefault="00AF73B9" w:rsidP="00AF73B9">
            <w:pPr>
              <w:jc w:val="right"/>
              <w:rPr>
                <w:rFonts w:cs="Calibri"/>
                <w:color w:val="000000"/>
                <w:lang w:eastAsia="en-GB"/>
              </w:rPr>
            </w:pPr>
            <w:r w:rsidRPr="00EB2995">
              <w:rPr>
                <w:rFonts w:cs="Calibri"/>
                <w:color w:val="000000"/>
                <w:lang w:eastAsia="en-GB"/>
              </w:rPr>
              <w:t>0</w:t>
            </w:r>
          </w:p>
        </w:tc>
        <w:tc>
          <w:tcPr>
            <w:tcW w:w="1157" w:type="dxa"/>
            <w:tcBorders>
              <w:top w:val="nil"/>
              <w:left w:val="nil"/>
              <w:bottom w:val="nil"/>
              <w:right w:val="nil"/>
            </w:tcBorders>
            <w:shd w:val="clear" w:color="auto" w:fill="auto"/>
            <w:noWrap/>
            <w:vAlign w:val="center"/>
            <w:hideMark/>
          </w:tcPr>
          <w:p w:rsidR="00AF73B9" w:rsidRPr="00EB2995" w:rsidRDefault="00AF73B9" w:rsidP="00AF73B9">
            <w:pPr>
              <w:jc w:val="right"/>
              <w:rPr>
                <w:rFonts w:cs="Calibri"/>
                <w:color w:val="000000"/>
                <w:lang w:eastAsia="en-GB"/>
              </w:rPr>
            </w:pPr>
            <w:r w:rsidRPr="00EB2995">
              <w:rPr>
                <w:rFonts w:cs="Calibri"/>
                <w:color w:val="000000"/>
                <w:lang w:eastAsia="en-GB"/>
              </w:rPr>
              <w:t>1</w:t>
            </w:r>
          </w:p>
        </w:tc>
        <w:tc>
          <w:tcPr>
            <w:tcW w:w="776" w:type="dxa"/>
            <w:tcBorders>
              <w:top w:val="nil"/>
              <w:left w:val="nil"/>
              <w:bottom w:val="nil"/>
              <w:right w:val="single" w:sz="8" w:space="0" w:color="auto"/>
            </w:tcBorders>
            <w:shd w:val="clear" w:color="auto" w:fill="auto"/>
            <w:noWrap/>
            <w:vAlign w:val="center"/>
            <w:hideMark/>
          </w:tcPr>
          <w:p w:rsidR="00AF73B9" w:rsidRPr="00EB2995" w:rsidRDefault="00AF73B9" w:rsidP="00AF73B9">
            <w:pPr>
              <w:jc w:val="right"/>
              <w:rPr>
                <w:rFonts w:cs="Calibri"/>
                <w:color w:val="000000"/>
                <w:lang w:eastAsia="en-GB"/>
              </w:rPr>
            </w:pPr>
            <w:r w:rsidRPr="00EB2995">
              <w:rPr>
                <w:rFonts w:cs="Calibri"/>
                <w:color w:val="000000"/>
                <w:lang w:eastAsia="en-GB"/>
              </w:rPr>
              <w:t>1</w:t>
            </w:r>
          </w:p>
        </w:tc>
        <w:tc>
          <w:tcPr>
            <w:tcW w:w="3658" w:type="dxa"/>
            <w:gridSpan w:val="4"/>
            <w:tcBorders>
              <w:top w:val="nil"/>
              <w:left w:val="nil"/>
              <w:bottom w:val="nil"/>
              <w:right w:val="single" w:sz="8" w:space="0" w:color="000000"/>
            </w:tcBorders>
            <w:shd w:val="clear" w:color="auto" w:fill="auto"/>
            <w:vAlign w:val="center"/>
            <w:hideMark/>
          </w:tcPr>
          <w:p w:rsidR="00AF73B9" w:rsidRPr="00EB2995" w:rsidRDefault="00AF73B9" w:rsidP="00AF73B9">
            <w:pPr>
              <w:jc w:val="center"/>
              <w:rPr>
                <w:rFonts w:cs="Calibri"/>
                <w:color w:val="000000"/>
                <w:lang w:eastAsia="en-GB"/>
              </w:rPr>
            </w:pPr>
            <w:r w:rsidRPr="00EB2995">
              <w:rPr>
                <w:rFonts w:cs="Calibri"/>
                <w:color w:val="000000"/>
                <w:lang w:eastAsia="en-GB"/>
              </w:rPr>
              <w:t>215,000 - 229,999</w:t>
            </w:r>
          </w:p>
        </w:tc>
        <w:tc>
          <w:tcPr>
            <w:tcW w:w="972" w:type="dxa"/>
            <w:tcBorders>
              <w:top w:val="nil"/>
              <w:left w:val="nil"/>
              <w:bottom w:val="nil"/>
              <w:right w:val="nil"/>
            </w:tcBorders>
            <w:shd w:val="clear" w:color="auto" w:fill="auto"/>
            <w:noWrap/>
            <w:vAlign w:val="center"/>
          </w:tcPr>
          <w:p w:rsidR="00AF73B9" w:rsidRPr="00EB2995" w:rsidRDefault="00AF73B9" w:rsidP="00AF73B9">
            <w:pPr>
              <w:jc w:val="right"/>
              <w:rPr>
                <w:rFonts w:cs="Calibri"/>
                <w:color w:val="000000"/>
                <w:lang w:eastAsia="en-GB"/>
              </w:rPr>
            </w:pPr>
            <w:r w:rsidRPr="00EB2995">
              <w:rPr>
                <w:rFonts w:cs="Calibri"/>
                <w:color w:val="000000"/>
                <w:lang w:eastAsia="en-GB"/>
              </w:rPr>
              <w:t>0</w:t>
            </w:r>
          </w:p>
        </w:tc>
        <w:tc>
          <w:tcPr>
            <w:tcW w:w="992" w:type="dxa"/>
            <w:tcBorders>
              <w:top w:val="nil"/>
              <w:left w:val="nil"/>
              <w:bottom w:val="nil"/>
              <w:right w:val="nil"/>
            </w:tcBorders>
            <w:shd w:val="clear" w:color="auto" w:fill="auto"/>
            <w:noWrap/>
            <w:vAlign w:val="center"/>
          </w:tcPr>
          <w:p w:rsidR="00AF73B9" w:rsidRPr="00EB2995" w:rsidRDefault="00AF73B9" w:rsidP="00AF73B9">
            <w:pPr>
              <w:jc w:val="right"/>
              <w:rPr>
                <w:rFonts w:cs="Calibri"/>
                <w:color w:val="000000"/>
                <w:lang w:eastAsia="en-GB"/>
              </w:rPr>
            </w:pPr>
            <w:r w:rsidRPr="00EB2995">
              <w:rPr>
                <w:rFonts w:cs="Calibri"/>
                <w:color w:val="000000"/>
                <w:lang w:eastAsia="en-GB"/>
              </w:rPr>
              <w:t>1</w:t>
            </w:r>
          </w:p>
        </w:tc>
        <w:tc>
          <w:tcPr>
            <w:tcW w:w="1381" w:type="dxa"/>
            <w:tcBorders>
              <w:top w:val="nil"/>
              <w:left w:val="nil"/>
              <w:bottom w:val="nil"/>
              <w:right w:val="single" w:sz="8" w:space="0" w:color="auto"/>
            </w:tcBorders>
            <w:shd w:val="clear" w:color="auto" w:fill="auto"/>
            <w:noWrap/>
            <w:vAlign w:val="center"/>
          </w:tcPr>
          <w:p w:rsidR="00AF73B9" w:rsidRPr="00EB2995" w:rsidRDefault="00AF73B9" w:rsidP="00AF73B9">
            <w:pPr>
              <w:jc w:val="right"/>
              <w:rPr>
                <w:rFonts w:cs="Calibri"/>
                <w:color w:val="000000"/>
                <w:lang w:eastAsia="en-GB"/>
              </w:rPr>
            </w:pPr>
            <w:r w:rsidRPr="00EB2995">
              <w:rPr>
                <w:rFonts w:cs="Calibri"/>
                <w:color w:val="000000"/>
                <w:lang w:eastAsia="en-GB"/>
              </w:rPr>
              <w:t>1</w:t>
            </w:r>
          </w:p>
        </w:tc>
      </w:tr>
      <w:tr w:rsidR="00AF73B9" w:rsidRPr="00EB2995" w:rsidTr="00AF73B9">
        <w:trPr>
          <w:trHeight w:hRule="exact" w:val="340"/>
        </w:trPr>
        <w:tc>
          <w:tcPr>
            <w:tcW w:w="1129" w:type="dxa"/>
            <w:tcBorders>
              <w:top w:val="single" w:sz="8" w:space="0" w:color="auto"/>
              <w:left w:val="single" w:sz="8" w:space="0" w:color="auto"/>
              <w:bottom w:val="single" w:sz="8" w:space="0" w:color="auto"/>
              <w:right w:val="nil"/>
            </w:tcBorders>
            <w:shd w:val="clear" w:color="auto" w:fill="auto"/>
            <w:noWrap/>
            <w:vAlign w:val="center"/>
            <w:hideMark/>
          </w:tcPr>
          <w:p w:rsidR="00AF73B9" w:rsidRPr="00EB2995" w:rsidRDefault="00AF73B9" w:rsidP="00AF73B9">
            <w:pPr>
              <w:jc w:val="right"/>
              <w:rPr>
                <w:rFonts w:cs="Calibri"/>
                <w:b/>
                <w:bCs/>
                <w:color w:val="000000"/>
                <w:lang w:eastAsia="en-GB"/>
              </w:rPr>
            </w:pPr>
            <w:r w:rsidRPr="00EB2995">
              <w:rPr>
                <w:rFonts w:cs="Calibri"/>
                <w:b/>
                <w:bCs/>
                <w:color w:val="000000"/>
                <w:lang w:eastAsia="en-GB"/>
              </w:rPr>
              <w:t>340</w:t>
            </w:r>
          </w:p>
        </w:tc>
        <w:tc>
          <w:tcPr>
            <w:tcW w:w="1157" w:type="dxa"/>
            <w:tcBorders>
              <w:top w:val="single" w:sz="8" w:space="0" w:color="auto"/>
              <w:left w:val="nil"/>
              <w:bottom w:val="single" w:sz="8" w:space="0" w:color="auto"/>
              <w:right w:val="nil"/>
            </w:tcBorders>
            <w:shd w:val="clear" w:color="auto" w:fill="auto"/>
            <w:noWrap/>
            <w:vAlign w:val="center"/>
            <w:hideMark/>
          </w:tcPr>
          <w:p w:rsidR="00AF73B9" w:rsidRPr="00EB2995" w:rsidRDefault="00AF73B9" w:rsidP="00AF73B9">
            <w:pPr>
              <w:jc w:val="right"/>
              <w:rPr>
                <w:rFonts w:cs="Calibri"/>
                <w:b/>
                <w:bCs/>
                <w:color w:val="000000"/>
                <w:lang w:eastAsia="en-GB"/>
              </w:rPr>
            </w:pPr>
            <w:r w:rsidRPr="00EB2995">
              <w:rPr>
                <w:rFonts w:cs="Calibri"/>
                <w:b/>
                <w:bCs/>
                <w:color w:val="000000"/>
                <w:lang w:eastAsia="en-GB"/>
              </w:rPr>
              <w:t>243</w:t>
            </w:r>
          </w:p>
        </w:tc>
        <w:tc>
          <w:tcPr>
            <w:tcW w:w="776" w:type="dxa"/>
            <w:tcBorders>
              <w:top w:val="single" w:sz="8" w:space="0" w:color="auto"/>
              <w:left w:val="nil"/>
              <w:bottom w:val="single" w:sz="8" w:space="0" w:color="auto"/>
              <w:right w:val="single" w:sz="8" w:space="0" w:color="auto"/>
            </w:tcBorders>
            <w:shd w:val="clear" w:color="auto" w:fill="auto"/>
            <w:noWrap/>
            <w:vAlign w:val="center"/>
            <w:hideMark/>
          </w:tcPr>
          <w:p w:rsidR="00AF73B9" w:rsidRPr="00EB2995" w:rsidRDefault="00AF73B9" w:rsidP="00AF73B9">
            <w:pPr>
              <w:jc w:val="right"/>
              <w:rPr>
                <w:rFonts w:cs="Calibri"/>
                <w:b/>
                <w:bCs/>
                <w:color w:val="000000"/>
                <w:lang w:eastAsia="en-GB"/>
              </w:rPr>
            </w:pPr>
            <w:r w:rsidRPr="00EB2995">
              <w:rPr>
                <w:rFonts w:cs="Calibri"/>
                <w:b/>
                <w:bCs/>
                <w:color w:val="000000"/>
                <w:lang w:eastAsia="en-GB"/>
              </w:rPr>
              <w:t>583</w:t>
            </w:r>
          </w:p>
        </w:tc>
        <w:tc>
          <w:tcPr>
            <w:tcW w:w="3658" w:type="dxa"/>
            <w:gridSpan w:val="4"/>
            <w:tcBorders>
              <w:top w:val="single" w:sz="8" w:space="0" w:color="auto"/>
              <w:left w:val="nil"/>
              <w:bottom w:val="single" w:sz="8" w:space="0" w:color="auto"/>
              <w:right w:val="single" w:sz="8" w:space="0" w:color="000000"/>
            </w:tcBorders>
            <w:shd w:val="clear" w:color="auto" w:fill="auto"/>
            <w:vAlign w:val="center"/>
            <w:hideMark/>
          </w:tcPr>
          <w:p w:rsidR="00AF73B9" w:rsidRPr="00EB2995" w:rsidRDefault="00AF73B9" w:rsidP="00AF73B9">
            <w:pPr>
              <w:jc w:val="center"/>
              <w:rPr>
                <w:rFonts w:cs="Calibri"/>
                <w:b/>
                <w:bCs/>
                <w:color w:val="000000"/>
                <w:lang w:eastAsia="en-GB"/>
              </w:rPr>
            </w:pPr>
            <w:r w:rsidRPr="00EB2995">
              <w:rPr>
                <w:rFonts w:cs="Calibri"/>
                <w:b/>
                <w:bCs/>
                <w:color w:val="000000"/>
                <w:lang w:eastAsia="en-GB"/>
              </w:rPr>
              <w:t>Total</w:t>
            </w:r>
          </w:p>
        </w:tc>
        <w:tc>
          <w:tcPr>
            <w:tcW w:w="972" w:type="dxa"/>
            <w:tcBorders>
              <w:top w:val="single" w:sz="8" w:space="0" w:color="auto"/>
              <w:left w:val="nil"/>
              <w:bottom w:val="single" w:sz="8" w:space="0" w:color="auto"/>
              <w:right w:val="nil"/>
            </w:tcBorders>
            <w:shd w:val="clear" w:color="auto" w:fill="auto"/>
            <w:noWrap/>
            <w:vAlign w:val="center"/>
          </w:tcPr>
          <w:p w:rsidR="00AF73B9" w:rsidRPr="00EB2995" w:rsidRDefault="00AF73B9" w:rsidP="00AF73B9">
            <w:pPr>
              <w:jc w:val="right"/>
              <w:rPr>
                <w:rFonts w:cs="Calibri"/>
                <w:b/>
                <w:bCs/>
                <w:color w:val="000000"/>
                <w:lang w:eastAsia="en-GB"/>
              </w:rPr>
            </w:pPr>
            <w:r w:rsidRPr="00EB2995">
              <w:rPr>
                <w:rFonts w:cs="Calibri"/>
                <w:b/>
                <w:bCs/>
                <w:color w:val="000000"/>
                <w:lang w:eastAsia="en-GB"/>
              </w:rPr>
              <w:t>318</w:t>
            </w:r>
          </w:p>
        </w:tc>
        <w:tc>
          <w:tcPr>
            <w:tcW w:w="992" w:type="dxa"/>
            <w:tcBorders>
              <w:top w:val="single" w:sz="8" w:space="0" w:color="auto"/>
              <w:left w:val="nil"/>
              <w:bottom w:val="single" w:sz="8" w:space="0" w:color="auto"/>
              <w:right w:val="nil"/>
            </w:tcBorders>
            <w:shd w:val="clear" w:color="auto" w:fill="auto"/>
            <w:noWrap/>
            <w:vAlign w:val="center"/>
          </w:tcPr>
          <w:p w:rsidR="00AF73B9" w:rsidRPr="00EB2995" w:rsidRDefault="00AF73B9" w:rsidP="00AF73B9">
            <w:pPr>
              <w:jc w:val="right"/>
              <w:rPr>
                <w:rFonts w:cs="Calibri"/>
                <w:b/>
                <w:bCs/>
                <w:color w:val="000000"/>
                <w:lang w:eastAsia="en-GB"/>
              </w:rPr>
            </w:pPr>
            <w:r w:rsidRPr="00EB2995">
              <w:rPr>
                <w:rFonts w:cs="Calibri"/>
                <w:b/>
                <w:bCs/>
                <w:color w:val="000000"/>
                <w:lang w:eastAsia="en-GB"/>
              </w:rPr>
              <w:t>282</w:t>
            </w:r>
          </w:p>
        </w:tc>
        <w:tc>
          <w:tcPr>
            <w:tcW w:w="1381" w:type="dxa"/>
            <w:tcBorders>
              <w:top w:val="single" w:sz="8" w:space="0" w:color="auto"/>
              <w:left w:val="nil"/>
              <w:bottom w:val="single" w:sz="8" w:space="0" w:color="auto"/>
              <w:right w:val="single" w:sz="8" w:space="0" w:color="auto"/>
            </w:tcBorders>
            <w:shd w:val="clear" w:color="auto" w:fill="auto"/>
            <w:noWrap/>
            <w:vAlign w:val="center"/>
          </w:tcPr>
          <w:p w:rsidR="00AF73B9" w:rsidRPr="00EB2995" w:rsidRDefault="00AF73B9" w:rsidP="00AF73B9">
            <w:pPr>
              <w:jc w:val="right"/>
              <w:rPr>
                <w:rFonts w:cs="Calibri"/>
                <w:b/>
                <w:bCs/>
                <w:color w:val="000000"/>
                <w:lang w:eastAsia="en-GB"/>
              </w:rPr>
            </w:pPr>
            <w:r w:rsidRPr="00EB2995">
              <w:rPr>
                <w:rFonts w:cs="Calibri"/>
                <w:b/>
                <w:bCs/>
                <w:color w:val="000000"/>
                <w:lang w:eastAsia="en-GB"/>
              </w:rPr>
              <w:t>600</w:t>
            </w:r>
          </w:p>
        </w:tc>
      </w:tr>
    </w:tbl>
    <w:p w:rsidR="00F72906" w:rsidRDefault="00F72906" w:rsidP="009C7D60">
      <w:r>
        <w:t>This note reports the number of school staff and council officers paid over £50,000 in 2019/20. The number of council officers included has increased by 39 compared to 2018/19, this is in part due to inflationary pay rises and in part due to greater permanency in professional roles such as social work and accountancy.  The number of council staff paid over £70,000 has increased with 4 staff compared to 2018/19.</w:t>
      </w:r>
    </w:p>
    <w:p w:rsidR="00F72906" w:rsidRDefault="00F72906" w:rsidP="00F72906">
      <w:r>
        <w:lastRenderedPageBreak/>
        <w:t>The table above includes senior employees. Further details concerning senior employees</w:t>
      </w:r>
      <w:r w:rsidR="00FB331C">
        <w:t xml:space="preserve"> are shown in a separate note. </w:t>
      </w:r>
    </w:p>
    <w:p w:rsidR="00F72906" w:rsidRDefault="00F72906" w:rsidP="00FB331C">
      <w:pPr>
        <w:pStyle w:val="Heading3"/>
      </w:pPr>
      <w:r>
        <w:t>Note 33 – Exit Packages</w:t>
      </w:r>
    </w:p>
    <w:tbl>
      <w:tblPr>
        <w:tblW w:w="9999" w:type="dxa"/>
        <w:tblInd w:w="284" w:type="dxa"/>
        <w:tblLayout w:type="fixed"/>
        <w:tblLook w:val="04A0" w:firstRow="1" w:lastRow="0" w:firstColumn="1" w:lastColumn="0" w:noHBand="0" w:noVBand="1"/>
      </w:tblPr>
      <w:tblGrid>
        <w:gridCol w:w="1985"/>
        <w:gridCol w:w="993"/>
        <w:gridCol w:w="992"/>
        <w:gridCol w:w="992"/>
        <w:gridCol w:w="993"/>
        <w:gridCol w:w="992"/>
        <w:gridCol w:w="992"/>
        <w:gridCol w:w="992"/>
        <w:gridCol w:w="1068"/>
      </w:tblGrid>
      <w:tr w:rsidR="00FB331C" w:rsidRPr="00EB2995" w:rsidTr="00FB331C">
        <w:trPr>
          <w:trHeight w:hRule="exact" w:val="397"/>
        </w:trPr>
        <w:tc>
          <w:tcPr>
            <w:tcW w:w="1985" w:type="dxa"/>
            <w:tcBorders>
              <w:top w:val="nil"/>
              <w:left w:val="nil"/>
              <w:bottom w:val="nil"/>
              <w:right w:val="nil"/>
            </w:tcBorders>
            <w:shd w:val="clear" w:color="auto" w:fill="auto"/>
            <w:noWrap/>
            <w:vAlign w:val="center"/>
            <w:hideMark/>
          </w:tcPr>
          <w:p w:rsidR="00FB331C" w:rsidRPr="00EB2995" w:rsidRDefault="00FB331C" w:rsidP="00D53A04">
            <w:pPr>
              <w:rPr>
                <w:rFonts w:cs="Calibri"/>
                <w:lang w:eastAsia="en-GB"/>
              </w:rPr>
            </w:pPr>
          </w:p>
        </w:tc>
        <w:tc>
          <w:tcPr>
            <w:tcW w:w="993" w:type="dxa"/>
            <w:tcBorders>
              <w:top w:val="nil"/>
              <w:left w:val="nil"/>
              <w:bottom w:val="nil"/>
              <w:right w:val="nil"/>
            </w:tcBorders>
            <w:shd w:val="clear" w:color="auto" w:fill="auto"/>
            <w:noWrap/>
            <w:vAlign w:val="bottom"/>
            <w:hideMark/>
          </w:tcPr>
          <w:p w:rsidR="00FB331C" w:rsidRPr="00EB2995" w:rsidRDefault="00FB331C" w:rsidP="00D53A04">
            <w:pPr>
              <w:rPr>
                <w:rFonts w:cs="Calibri"/>
                <w:lang w:eastAsia="en-GB"/>
              </w:rPr>
            </w:pPr>
          </w:p>
        </w:tc>
        <w:tc>
          <w:tcPr>
            <w:tcW w:w="992" w:type="dxa"/>
            <w:tcBorders>
              <w:top w:val="nil"/>
              <w:left w:val="nil"/>
              <w:bottom w:val="nil"/>
              <w:right w:val="nil"/>
            </w:tcBorders>
            <w:shd w:val="clear" w:color="auto" w:fill="auto"/>
            <w:noWrap/>
            <w:vAlign w:val="bottom"/>
            <w:hideMark/>
          </w:tcPr>
          <w:p w:rsidR="00FB331C" w:rsidRPr="00EB2995" w:rsidRDefault="00FB331C" w:rsidP="00D53A04">
            <w:pPr>
              <w:rPr>
                <w:rFonts w:cs="Calibri"/>
                <w:lang w:eastAsia="en-GB"/>
              </w:rPr>
            </w:pPr>
          </w:p>
        </w:tc>
        <w:tc>
          <w:tcPr>
            <w:tcW w:w="992" w:type="dxa"/>
            <w:tcBorders>
              <w:top w:val="nil"/>
              <w:left w:val="nil"/>
              <w:bottom w:val="nil"/>
              <w:right w:val="nil"/>
            </w:tcBorders>
            <w:shd w:val="clear" w:color="auto" w:fill="auto"/>
            <w:noWrap/>
            <w:vAlign w:val="bottom"/>
            <w:hideMark/>
          </w:tcPr>
          <w:p w:rsidR="00FB331C" w:rsidRPr="00EB2995" w:rsidRDefault="00FB331C" w:rsidP="00D53A04">
            <w:pPr>
              <w:rPr>
                <w:rFonts w:cs="Calibri"/>
                <w:lang w:eastAsia="en-GB"/>
              </w:rPr>
            </w:pPr>
          </w:p>
        </w:tc>
        <w:tc>
          <w:tcPr>
            <w:tcW w:w="993" w:type="dxa"/>
            <w:tcBorders>
              <w:top w:val="nil"/>
              <w:left w:val="nil"/>
              <w:bottom w:val="nil"/>
              <w:right w:val="nil"/>
            </w:tcBorders>
            <w:shd w:val="clear" w:color="auto" w:fill="auto"/>
            <w:noWrap/>
            <w:vAlign w:val="bottom"/>
            <w:hideMark/>
          </w:tcPr>
          <w:p w:rsidR="00FB331C" w:rsidRPr="00EB2995" w:rsidRDefault="00FB331C" w:rsidP="00D53A04">
            <w:pPr>
              <w:rPr>
                <w:rFonts w:cs="Calibri"/>
                <w:lang w:eastAsia="en-GB"/>
              </w:rPr>
            </w:pPr>
          </w:p>
        </w:tc>
        <w:tc>
          <w:tcPr>
            <w:tcW w:w="992" w:type="dxa"/>
            <w:tcBorders>
              <w:top w:val="nil"/>
              <w:left w:val="nil"/>
              <w:bottom w:val="nil"/>
              <w:right w:val="nil"/>
            </w:tcBorders>
            <w:shd w:val="clear" w:color="auto" w:fill="auto"/>
            <w:noWrap/>
            <w:vAlign w:val="bottom"/>
            <w:hideMark/>
          </w:tcPr>
          <w:p w:rsidR="00FB331C" w:rsidRPr="00EB2995" w:rsidRDefault="00FB331C" w:rsidP="00D53A04">
            <w:pPr>
              <w:rPr>
                <w:rFonts w:cs="Calibri"/>
                <w:lang w:eastAsia="en-GB"/>
              </w:rPr>
            </w:pPr>
          </w:p>
        </w:tc>
        <w:tc>
          <w:tcPr>
            <w:tcW w:w="992" w:type="dxa"/>
            <w:tcBorders>
              <w:top w:val="nil"/>
              <w:left w:val="nil"/>
              <w:bottom w:val="nil"/>
              <w:right w:val="nil"/>
            </w:tcBorders>
            <w:shd w:val="clear" w:color="auto" w:fill="auto"/>
            <w:noWrap/>
            <w:vAlign w:val="bottom"/>
            <w:hideMark/>
          </w:tcPr>
          <w:p w:rsidR="00FB331C" w:rsidRPr="00EB2995" w:rsidRDefault="00FB331C" w:rsidP="00D53A04">
            <w:pPr>
              <w:rPr>
                <w:rFonts w:cs="Calibri"/>
                <w:lang w:eastAsia="en-GB"/>
              </w:rPr>
            </w:pPr>
          </w:p>
        </w:tc>
        <w:tc>
          <w:tcPr>
            <w:tcW w:w="992" w:type="dxa"/>
            <w:tcBorders>
              <w:top w:val="nil"/>
              <w:left w:val="nil"/>
              <w:bottom w:val="nil"/>
              <w:right w:val="nil"/>
            </w:tcBorders>
            <w:shd w:val="clear" w:color="auto" w:fill="auto"/>
            <w:noWrap/>
            <w:vAlign w:val="bottom"/>
            <w:hideMark/>
          </w:tcPr>
          <w:p w:rsidR="00FB331C" w:rsidRPr="00EB2995" w:rsidRDefault="00FB331C" w:rsidP="00D53A04">
            <w:pPr>
              <w:rPr>
                <w:rFonts w:cs="Calibri"/>
                <w:lang w:eastAsia="en-GB"/>
              </w:rPr>
            </w:pPr>
          </w:p>
        </w:tc>
        <w:tc>
          <w:tcPr>
            <w:tcW w:w="1068" w:type="dxa"/>
            <w:tcBorders>
              <w:top w:val="nil"/>
              <w:left w:val="nil"/>
              <w:bottom w:val="nil"/>
              <w:right w:val="nil"/>
            </w:tcBorders>
            <w:shd w:val="clear" w:color="auto" w:fill="auto"/>
            <w:noWrap/>
            <w:vAlign w:val="bottom"/>
            <w:hideMark/>
          </w:tcPr>
          <w:p w:rsidR="00FB331C" w:rsidRPr="00EB2995" w:rsidRDefault="00FB331C" w:rsidP="00D53A04">
            <w:pPr>
              <w:rPr>
                <w:rFonts w:cs="Calibri"/>
                <w:lang w:eastAsia="en-GB"/>
              </w:rPr>
            </w:pPr>
          </w:p>
        </w:tc>
      </w:tr>
      <w:tr w:rsidR="00FB331C" w:rsidRPr="00EB2995" w:rsidTr="00FB331C">
        <w:trPr>
          <w:trHeight w:hRule="exact" w:val="397"/>
        </w:trPr>
        <w:tc>
          <w:tcPr>
            <w:tcW w:w="1985" w:type="dxa"/>
            <w:tcBorders>
              <w:top w:val="single" w:sz="8" w:space="0" w:color="auto"/>
              <w:left w:val="single" w:sz="8" w:space="0" w:color="auto"/>
              <w:bottom w:val="nil"/>
              <w:right w:val="single" w:sz="8" w:space="0" w:color="auto"/>
            </w:tcBorders>
            <w:shd w:val="clear" w:color="auto" w:fill="auto"/>
            <w:noWrap/>
            <w:vAlign w:val="center"/>
            <w:hideMark/>
          </w:tcPr>
          <w:p w:rsidR="00FB331C" w:rsidRPr="00EB2995" w:rsidRDefault="00FB331C" w:rsidP="00D53A04">
            <w:pPr>
              <w:rPr>
                <w:rFonts w:cs="Calibri"/>
                <w:b/>
                <w:bCs/>
                <w:color w:val="000000"/>
                <w:lang w:eastAsia="en-GB"/>
              </w:rPr>
            </w:pPr>
            <w:r w:rsidRPr="00EB2995">
              <w:rPr>
                <w:rFonts w:cs="Calibri"/>
                <w:b/>
                <w:bCs/>
                <w:color w:val="000000"/>
                <w:lang w:eastAsia="en-GB"/>
              </w:rPr>
              <w:t> </w:t>
            </w:r>
          </w:p>
        </w:tc>
        <w:tc>
          <w:tcPr>
            <w:tcW w:w="993" w:type="dxa"/>
            <w:tcBorders>
              <w:top w:val="single" w:sz="8" w:space="0" w:color="auto"/>
              <w:left w:val="nil"/>
              <w:bottom w:val="nil"/>
              <w:right w:val="nil"/>
            </w:tcBorders>
            <w:shd w:val="clear" w:color="auto" w:fill="auto"/>
            <w:noWrap/>
            <w:vAlign w:val="center"/>
            <w:hideMark/>
          </w:tcPr>
          <w:p w:rsidR="00FB331C" w:rsidRPr="00EB2995" w:rsidRDefault="00FB331C" w:rsidP="00D53A04">
            <w:pPr>
              <w:jc w:val="right"/>
              <w:rPr>
                <w:rFonts w:cs="Calibri"/>
                <w:b/>
                <w:bCs/>
                <w:color w:val="000000"/>
                <w:lang w:eastAsia="en-GB"/>
              </w:rPr>
            </w:pPr>
            <w:r w:rsidRPr="00EB2995">
              <w:rPr>
                <w:rFonts w:cs="Calibri"/>
                <w:b/>
                <w:bCs/>
                <w:color w:val="000000"/>
                <w:lang w:eastAsia="en-GB"/>
              </w:rPr>
              <w:t> </w:t>
            </w:r>
          </w:p>
        </w:tc>
        <w:tc>
          <w:tcPr>
            <w:tcW w:w="992" w:type="dxa"/>
            <w:tcBorders>
              <w:top w:val="single" w:sz="8" w:space="0" w:color="auto"/>
              <w:left w:val="nil"/>
              <w:bottom w:val="nil"/>
              <w:right w:val="single" w:sz="8" w:space="0" w:color="auto"/>
            </w:tcBorders>
            <w:shd w:val="clear" w:color="auto" w:fill="auto"/>
            <w:noWrap/>
            <w:vAlign w:val="center"/>
            <w:hideMark/>
          </w:tcPr>
          <w:p w:rsidR="00FB331C" w:rsidRPr="00EB2995" w:rsidRDefault="00FB331C" w:rsidP="00D53A04">
            <w:pPr>
              <w:rPr>
                <w:rFonts w:cs="Calibri"/>
                <w:b/>
                <w:bCs/>
                <w:color w:val="000000"/>
                <w:lang w:eastAsia="en-GB"/>
              </w:rPr>
            </w:pPr>
            <w:r w:rsidRPr="00EB2995">
              <w:rPr>
                <w:rFonts w:cs="Calibri"/>
                <w:b/>
                <w:bCs/>
                <w:color w:val="000000"/>
                <w:lang w:eastAsia="en-GB"/>
              </w:rPr>
              <w:t> </w:t>
            </w:r>
          </w:p>
        </w:tc>
        <w:tc>
          <w:tcPr>
            <w:tcW w:w="992" w:type="dxa"/>
            <w:tcBorders>
              <w:top w:val="single" w:sz="8" w:space="0" w:color="auto"/>
              <w:left w:val="nil"/>
              <w:bottom w:val="nil"/>
              <w:right w:val="nil"/>
            </w:tcBorders>
            <w:shd w:val="clear" w:color="auto" w:fill="auto"/>
            <w:noWrap/>
            <w:vAlign w:val="center"/>
            <w:hideMark/>
          </w:tcPr>
          <w:p w:rsidR="00FB331C" w:rsidRPr="00EB2995" w:rsidRDefault="00FB331C" w:rsidP="00D53A04">
            <w:pPr>
              <w:jc w:val="center"/>
              <w:rPr>
                <w:rFonts w:cs="Calibri"/>
                <w:b/>
                <w:bCs/>
                <w:color w:val="000000"/>
                <w:lang w:eastAsia="en-GB"/>
              </w:rPr>
            </w:pPr>
            <w:r w:rsidRPr="00EB2995">
              <w:rPr>
                <w:rFonts w:cs="Calibri"/>
                <w:b/>
                <w:bCs/>
                <w:color w:val="000000"/>
                <w:lang w:eastAsia="en-GB"/>
              </w:rPr>
              <w:t> </w:t>
            </w:r>
          </w:p>
        </w:tc>
        <w:tc>
          <w:tcPr>
            <w:tcW w:w="993" w:type="dxa"/>
            <w:tcBorders>
              <w:top w:val="single" w:sz="8" w:space="0" w:color="auto"/>
              <w:left w:val="nil"/>
              <w:bottom w:val="nil"/>
              <w:right w:val="single" w:sz="8" w:space="0" w:color="auto"/>
            </w:tcBorders>
            <w:shd w:val="clear" w:color="auto" w:fill="auto"/>
            <w:noWrap/>
            <w:vAlign w:val="center"/>
            <w:hideMark/>
          </w:tcPr>
          <w:p w:rsidR="00FB331C" w:rsidRPr="00EB2995" w:rsidRDefault="00FB331C" w:rsidP="00D53A04">
            <w:pPr>
              <w:rPr>
                <w:rFonts w:cs="Calibri"/>
                <w:b/>
                <w:bCs/>
                <w:color w:val="000000"/>
                <w:lang w:eastAsia="en-GB"/>
              </w:rPr>
            </w:pPr>
            <w:r w:rsidRPr="00EB2995">
              <w:rPr>
                <w:rFonts w:cs="Calibri"/>
                <w:b/>
                <w:bCs/>
                <w:color w:val="000000"/>
                <w:lang w:eastAsia="en-GB"/>
              </w:rPr>
              <w:t> </w:t>
            </w:r>
          </w:p>
        </w:tc>
        <w:tc>
          <w:tcPr>
            <w:tcW w:w="992" w:type="dxa"/>
            <w:tcBorders>
              <w:top w:val="single" w:sz="8" w:space="0" w:color="auto"/>
              <w:left w:val="nil"/>
              <w:bottom w:val="nil"/>
              <w:right w:val="nil"/>
            </w:tcBorders>
            <w:shd w:val="clear" w:color="auto" w:fill="auto"/>
            <w:noWrap/>
            <w:vAlign w:val="center"/>
            <w:hideMark/>
          </w:tcPr>
          <w:p w:rsidR="00FB331C" w:rsidRPr="00EB2995" w:rsidRDefault="00FB331C" w:rsidP="00D53A04">
            <w:pPr>
              <w:rPr>
                <w:rFonts w:cs="Calibri"/>
                <w:b/>
                <w:bCs/>
                <w:color w:val="000000"/>
                <w:lang w:eastAsia="en-GB"/>
              </w:rPr>
            </w:pPr>
            <w:r w:rsidRPr="00EB2995">
              <w:rPr>
                <w:rFonts w:cs="Calibri"/>
                <w:b/>
                <w:bCs/>
                <w:color w:val="000000"/>
                <w:lang w:eastAsia="en-GB"/>
              </w:rPr>
              <w:t> </w:t>
            </w:r>
          </w:p>
        </w:tc>
        <w:tc>
          <w:tcPr>
            <w:tcW w:w="992" w:type="dxa"/>
            <w:tcBorders>
              <w:top w:val="single" w:sz="8" w:space="0" w:color="auto"/>
              <w:left w:val="nil"/>
              <w:bottom w:val="nil"/>
              <w:right w:val="single" w:sz="8" w:space="0" w:color="auto"/>
            </w:tcBorders>
            <w:shd w:val="clear" w:color="auto" w:fill="auto"/>
            <w:noWrap/>
            <w:vAlign w:val="center"/>
            <w:hideMark/>
          </w:tcPr>
          <w:p w:rsidR="00FB331C" w:rsidRPr="00EB2995" w:rsidRDefault="00FB331C" w:rsidP="00D53A04">
            <w:pPr>
              <w:rPr>
                <w:rFonts w:cs="Calibri"/>
                <w:b/>
                <w:bCs/>
                <w:color w:val="000000"/>
                <w:lang w:eastAsia="en-GB"/>
              </w:rPr>
            </w:pPr>
            <w:r w:rsidRPr="00EB2995">
              <w:rPr>
                <w:rFonts w:cs="Calibri"/>
                <w:b/>
                <w:bCs/>
                <w:color w:val="000000"/>
                <w:lang w:eastAsia="en-GB"/>
              </w:rPr>
              <w:t> </w:t>
            </w:r>
          </w:p>
        </w:tc>
        <w:tc>
          <w:tcPr>
            <w:tcW w:w="992" w:type="dxa"/>
            <w:tcBorders>
              <w:top w:val="single" w:sz="8" w:space="0" w:color="auto"/>
              <w:left w:val="nil"/>
              <w:bottom w:val="nil"/>
              <w:right w:val="nil"/>
            </w:tcBorders>
            <w:shd w:val="clear" w:color="auto" w:fill="auto"/>
            <w:noWrap/>
            <w:vAlign w:val="center"/>
            <w:hideMark/>
          </w:tcPr>
          <w:p w:rsidR="00FB331C" w:rsidRPr="00EB2995" w:rsidRDefault="00FB331C" w:rsidP="00D53A04">
            <w:pPr>
              <w:rPr>
                <w:rFonts w:cs="Calibri"/>
                <w:b/>
                <w:bCs/>
                <w:color w:val="000000"/>
                <w:lang w:eastAsia="en-GB"/>
              </w:rPr>
            </w:pPr>
            <w:r w:rsidRPr="00EB2995">
              <w:rPr>
                <w:rFonts w:cs="Calibri"/>
                <w:b/>
                <w:bCs/>
                <w:color w:val="000000"/>
                <w:lang w:eastAsia="en-GB"/>
              </w:rPr>
              <w:t> </w:t>
            </w:r>
          </w:p>
        </w:tc>
        <w:tc>
          <w:tcPr>
            <w:tcW w:w="1068" w:type="dxa"/>
            <w:tcBorders>
              <w:top w:val="single" w:sz="8" w:space="0" w:color="auto"/>
              <w:left w:val="nil"/>
              <w:bottom w:val="nil"/>
              <w:right w:val="single" w:sz="8" w:space="0" w:color="auto"/>
            </w:tcBorders>
            <w:shd w:val="clear" w:color="auto" w:fill="auto"/>
            <w:noWrap/>
            <w:vAlign w:val="center"/>
            <w:hideMark/>
          </w:tcPr>
          <w:p w:rsidR="00FB331C" w:rsidRPr="00EB2995" w:rsidRDefault="00FB331C" w:rsidP="00D53A04">
            <w:pPr>
              <w:jc w:val="center"/>
              <w:rPr>
                <w:rFonts w:cs="Calibri"/>
                <w:b/>
                <w:bCs/>
                <w:color w:val="000000"/>
                <w:lang w:eastAsia="en-GB"/>
              </w:rPr>
            </w:pPr>
            <w:r w:rsidRPr="00EB2995">
              <w:rPr>
                <w:rFonts w:cs="Calibri"/>
                <w:b/>
                <w:bCs/>
                <w:color w:val="000000"/>
                <w:lang w:eastAsia="en-GB"/>
              </w:rPr>
              <w:t> </w:t>
            </w:r>
          </w:p>
        </w:tc>
      </w:tr>
      <w:tr w:rsidR="00FB331C" w:rsidRPr="00EB2995" w:rsidTr="00FB331C">
        <w:trPr>
          <w:trHeight w:hRule="exact" w:val="1131"/>
        </w:trPr>
        <w:tc>
          <w:tcPr>
            <w:tcW w:w="1985" w:type="dxa"/>
            <w:tcBorders>
              <w:top w:val="nil"/>
              <w:left w:val="single" w:sz="8" w:space="0" w:color="auto"/>
              <w:bottom w:val="nil"/>
              <w:right w:val="nil"/>
            </w:tcBorders>
            <w:shd w:val="clear" w:color="auto" w:fill="auto"/>
            <w:vAlign w:val="center"/>
            <w:hideMark/>
          </w:tcPr>
          <w:p w:rsidR="00FB331C" w:rsidRPr="00EB2995" w:rsidRDefault="00FB331C" w:rsidP="00D53A04">
            <w:pPr>
              <w:rPr>
                <w:rFonts w:cs="Calibri"/>
                <w:b/>
                <w:bCs/>
                <w:color w:val="000000"/>
                <w:lang w:eastAsia="en-GB"/>
              </w:rPr>
            </w:pPr>
            <w:r w:rsidRPr="00EB2995">
              <w:rPr>
                <w:rFonts w:cs="Calibri"/>
                <w:b/>
                <w:bCs/>
                <w:color w:val="000000"/>
                <w:lang w:eastAsia="en-GB"/>
              </w:rPr>
              <w:t>Exit Package cost band (including special payments)</w:t>
            </w:r>
          </w:p>
        </w:tc>
        <w:tc>
          <w:tcPr>
            <w:tcW w:w="1985" w:type="dxa"/>
            <w:gridSpan w:val="2"/>
            <w:tcBorders>
              <w:top w:val="nil"/>
              <w:left w:val="single" w:sz="8" w:space="0" w:color="auto"/>
              <w:bottom w:val="nil"/>
              <w:right w:val="single" w:sz="8" w:space="0" w:color="000000"/>
            </w:tcBorders>
            <w:shd w:val="clear" w:color="auto" w:fill="auto"/>
            <w:vAlign w:val="center"/>
            <w:hideMark/>
          </w:tcPr>
          <w:p w:rsidR="00FB331C" w:rsidRPr="00EB2995" w:rsidRDefault="00FB331C" w:rsidP="00D53A04">
            <w:pPr>
              <w:jc w:val="right"/>
              <w:rPr>
                <w:rFonts w:cs="Calibri"/>
                <w:b/>
                <w:bCs/>
                <w:color w:val="000000"/>
                <w:lang w:eastAsia="en-GB"/>
              </w:rPr>
            </w:pPr>
            <w:r w:rsidRPr="00EB2995">
              <w:rPr>
                <w:rFonts w:cs="Calibri"/>
                <w:b/>
                <w:bCs/>
                <w:color w:val="000000"/>
                <w:lang w:eastAsia="en-GB"/>
              </w:rPr>
              <w:t>Number of compulsory redundancies</w:t>
            </w:r>
          </w:p>
        </w:tc>
        <w:tc>
          <w:tcPr>
            <w:tcW w:w="1985" w:type="dxa"/>
            <w:gridSpan w:val="2"/>
            <w:tcBorders>
              <w:top w:val="nil"/>
              <w:left w:val="nil"/>
              <w:bottom w:val="nil"/>
              <w:right w:val="single" w:sz="8" w:space="0" w:color="000000"/>
            </w:tcBorders>
            <w:shd w:val="clear" w:color="auto" w:fill="auto"/>
            <w:vAlign w:val="center"/>
            <w:hideMark/>
          </w:tcPr>
          <w:p w:rsidR="00FB331C" w:rsidRPr="00EB2995" w:rsidRDefault="00FB331C" w:rsidP="00D53A04">
            <w:pPr>
              <w:jc w:val="right"/>
              <w:rPr>
                <w:rFonts w:cs="Calibri"/>
                <w:b/>
                <w:bCs/>
                <w:color w:val="000000"/>
                <w:lang w:eastAsia="en-GB"/>
              </w:rPr>
            </w:pPr>
            <w:r w:rsidRPr="00EB2995">
              <w:rPr>
                <w:rFonts w:cs="Calibri"/>
                <w:b/>
                <w:bCs/>
                <w:color w:val="000000"/>
                <w:lang w:eastAsia="en-GB"/>
              </w:rPr>
              <w:t>Number of other departures agreed</w:t>
            </w:r>
          </w:p>
        </w:tc>
        <w:tc>
          <w:tcPr>
            <w:tcW w:w="1984" w:type="dxa"/>
            <w:gridSpan w:val="2"/>
            <w:tcBorders>
              <w:top w:val="nil"/>
              <w:left w:val="nil"/>
              <w:bottom w:val="nil"/>
              <w:right w:val="single" w:sz="8" w:space="0" w:color="000000"/>
            </w:tcBorders>
            <w:shd w:val="clear" w:color="auto" w:fill="auto"/>
            <w:vAlign w:val="center"/>
            <w:hideMark/>
          </w:tcPr>
          <w:p w:rsidR="00FB331C" w:rsidRPr="00EB2995" w:rsidRDefault="00FB331C" w:rsidP="00D53A04">
            <w:pPr>
              <w:jc w:val="right"/>
              <w:rPr>
                <w:rFonts w:cs="Calibri"/>
                <w:b/>
                <w:bCs/>
                <w:color w:val="000000"/>
                <w:lang w:eastAsia="en-GB"/>
              </w:rPr>
            </w:pPr>
            <w:r w:rsidRPr="00EB2995">
              <w:rPr>
                <w:rFonts w:cs="Calibri"/>
                <w:b/>
                <w:bCs/>
                <w:color w:val="000000"/>
                <w:lang w:eastAsia="en-GB"/>
              </w:rPr>
              <w:t>Total number  of exit packages by cost band</w:t>
            </w:r>
          </w:p>
        </w:tc>
        <w:tc>
          <w:tcPr>
            <w:tcW w:w="2060" w:type="dxa"/>
            <w:gridSpan w:val="2"/>
            <w:tcBorders>
              <w:top w:val="nil"/>
              <w:left w:val="nil"/>
              <w:bottom w:val="nil"/>
              <w:right w:val="single" w:sz="8" w:space="0" w:color="000000"/>
            </w:tcBorders>
            <w:shd w:val="clear" w:color="auto" w:fill="auto"/>
            <w:vAlign w:val="center"/>
            <w:hideMark/>
          </w:tcPr>
          <w:p w:rsidR="00FB331C" w:rsidRPr="00EB2995" w:rsidRDefault="00FB331C" w:rsidP="00D53A04">
            <w:pPr>
              <w:jc w:val="right"/>
              <w:rPr>
                <w:rFonts w:cs="Calibri"/>
                <w:b/>
                <w:bCs/>
                <w:color w:val="000000"/>
                <w:lang w:eastAsia="en-GB"/>
              </w:rPr>
            </w:pPr>
            <w:r w:rsidRPr="00EB2995">
              <w:rPr>
                <w:rFonts w:cs="Calibri"/>
                <w:b/>
                <w:bCs/>
                <w:color w:val="000000"/>
                <w:lang w:eastAsia="en-GB"/>
              </w:rPr>
              <w:t>Total cost of exit packages in each band</w:t>
            </w:r>
          </w:p>
        </w:tc>
      </w:tr>
      <w:tr w:rsidR="00FB331C" w:rsidRPr="00EB2995" w:rsidTr="00FB331C">
        <w:trPr>
          <w:trHeight w:hRule="exact" w:val="425"/>
        </w:trPr>
        <w:tc>
          <w:tcPr>
            <w:tcW w:w="1985" w:type="dxa"/>
            <w:tcBorders>
              <w:top w:val="nil"/>
              <w:left w:val="single" w:sz="8" w:space="0" w:color="auto"/>
              <w:bottom w:val="nil"/>
              <w:right w:val="nil"/>
            </w:tcBorders>
            <w:shd w:val="clear" w:color="auto" w:fill="auto"/>
            <w:noWrap/>
            <w:vAlign w:val="center"/>
            <w:hideMark/>
          </w:tcPr>
          <w:p w:rsidR="00FB331C" w:rsidRPr="00EB2995" w:rsidRDefault="00FB331C" w:rsidP="00D53A04">
            <w:pPr>
              <w:rPr>
                <w:rFonts w:cs="Calibri"/>
                <w:color w:val="000000"/>
                <w:lang w:eastAsia="en-GB"/>
              </w:rPr>
            </w:pPr>
            <w:r w:rsidRPr="00EB2995">
              <w:rPr>
                <w:rFonts w:cs="Calibri"/>
                <w:color w:val="000000"/>
                <w:lang w:eastAsia="en-GB"/>
              </w:rPr>
              <w:t> </w:t>
            </w:r>
          </w:p>
        </w:tc>
        <w:tc>
          <w:tcPr>
            <w:tcW w:w="993" w:type="dxa"/>
            <w:tcBorders>
              <w:top w:val="nil"/>
              <w:left w:val="single" w:sz="8" w:space="0" w:color="auto"/>
              <w:bottom w:val="nil"/>
              <w:right w:val="nil"/>
            </w:tcBorders>
            <w:shd w:val="clear" w:color="auto" w:fill="auto"/>
            <w:noWrap/>
            <w:vAlign w:val="center"/>
            <w:hideMark/>
          </w:tcPr>
          <w:p w:rsidR="00FB331C" w:rsidRPr="00EB2995" w:rsidRDefault="00FB331C" w:rsidP="00D53A04">
            <w:pPr>
              <w:jc w:val="center"/>
              <w:rPr>
                <w:rFonts w:cs="Calibri"/>
                <w:color w:val="000000"/>
                <w:lang w:eastAsia="en-GB"/>
              </w:rPr>
            </w:pPr>
            <w:r w:rsidRPr="00EB2995">
              <w:rPr>
                <w:rFonts w:cs="Calibri"/>
                <w:color w:val="000000"/>
                <w:lang w:eastAsia="en-GB"/>
              </w:rPr>
              <w:t> </w:t>
            </w:r>
          </w:p>
        </w:tc>
        <w:tc>
          <w:tcPr>
            <w:tcW w:w="992" w:type="dxa"/>
            <w:tcBorders>
              <w:top w:val="nil"/>
              <w:left w:val="nil"/>
              <w:bottom w:val="nil"/>
              <w:right w:val="single" w:sz="8" w:space="0" w:color="auto"/>
            </w:tcBorders>
            <w:shd w:val="clear" w:color="auto" w:fill="auto"/>
            <w:noWrap/>
            <w:vAlign w:val="center"/>
            <w:hideMark/>
          </w:tcPr>
          <w:p w:rsidR="00FB331C" w:rsidRPr="00EB2995" w:rsidRDefault="00FB331C" w:rsidP="00D53A04">
            <w:pPr>
              <w:jc w:val="center"/>
              <w:rPr>
                <w:rFonts w:cs="Calibri"/>
                <w:color w:val="000000"/>
                <w:lang w:eastAsia="en-GB"/>
              </w:rPr>
            </w:pPr>
            <w:r w:rsidRPr="00EB2995">
              <w:rPr>
                <w:rFonts w:cs="Calibri"/>
                <w:color w:val="000000"/>
                <w:lang w:eastAsia="en-GB"/>
              </w:rPr>
              <w:t> </w:t>
            </w:r>
          </w:p>
        </w:tc>
        <w:tc>
          <w:tcPr>
            <w:tcW w:w="992" w:type="dxa"/>
            <w:tcBorders>
              <w:top w:val="nil"/>
              <w:left w:val="nil"/>
              <w:bottom w:val="nil"/>
              <w:right w:val="nil"/>
            </w:tcBorders>
            <w:shd w:val="clear" w:color="auto" w:fill="auto"/>
            <w:noWrap/>
            <w:vAlign w:val="center"/>
            <w:hideMark/>
          </w:tcPr>
          <w:p w:rsidR="00FB331C" w:rsidRPr="00EB2995" w:rsidRDefault="00FB331C" w:rsidP="00D53A04">
            <w:pPr>
              <w:jc w:val="center"/>
              <w:rPr>
                <w:rFonts w:cs="Calibri"/>
                <w:color w:val="000000"/>
                <w:lang w:eastAsia="en-GB"/>
              </w:rPr>
            </w:pPr>
          </w:p>
        </w:tc>
        <w:tc>
          <w:tcPr>
            <w:tcW w:w="993" w:type="dxa"/>
            <w:tcBorders>
              <w:top w:val="nil"/>
              <w:left w:val="nil"/>
              <w:bottom w:val="nil"/>
              <w:right w:val="single" w:sz="8" w:space="0" w:color="auto"/>
            </w:tcBorders>
            <w:shd w:val="clear" w:color="auto" w:fill="auto"/>
            <w:noWrap/>
            <w:vAlign w:val="center"/>
            <w:hideMark/>
          </w:tcPr>
          <w:p w:rsidR="00FB331C" w:rsidRPr="00EB2995" w:rsidRDefault="00FB331C" w:rsidP="00D53A04">
            <w:pPr>
              <w:jc w:val="center"/>
              <w:rPr>
                <w:rFonts w:cs="Calibri"/>
                <w:color w:val="000000"/>
                <w:lang w:eastAsia="en-GB"/>
              </w:rPr>
            </w:pPr>
            <w:r w:rsidRPr="00EB2995">
              <w:rPr>
                <w:rFonts w:cs="Calibri"/>
                <w:color w:val="000000"/>
                <w:lang w:eastAsia="en-GB"/>
              </w:rPr>
              <w:t> </w:t>
            </w:r>
          </w:p>
        </w:tc>
        <w:tc>
          <w:tcPr>
            <w:tcW w:w="1984" w:type="dxa"/>
            <w:gridSpan w:val="2"/>
            <w:tcBorders>
              <w:top w:val="nil"/>
              <w:left w:val="nil"/>
              <w:bottom w:val="single" w:sz="8" w:space="0" w:color="auto"/>
              <w:right w:val="single" w:sz="8" w:space="0" w:color="000000"/>
            </w:tcBorders>
            <w:shd w:val="clear" w:color="auto" w:fill="auto"/>
            <w:noWrap/>
            <w:vAlign w:val="center"/>
            <w:hideMark/>
          </w:tcPr>
          <w:p w:rsidR="00FB331C" w:rsidRPr="00EB2995" w:rsidRDefault="00FB331C" w:rsidP="00D53A04">
            <w:pPr>
              <w:jc w:val="center"/>
              <w:rPr>
                <w:rFonts w:cs="Calibri"/>
                <w:color w:val="000000"/>
                <w:lang w:eastAsia="en-GB"/>
              </w:rPr>
            </w:pPr>
            <w:r w:rsidRPr="00EB2995">
              <w:rPr>
                <w:rFonts w:cs="Calibri"/>
                <w:color w:val="000000"/>
                <w:lang w:eastAsia="en-GB"/>
              </w:rPr>
              <w:t> </w:t>
            </w:r>
          </w:p>
        </w:tc>
        <w:tc>
          <w:tcPr>
            <w:tcW w:w="2060" w:type="dxa"/>
            <w:gridSpan w:val="2"/>
            <w:tcBorders>
              <w:top w:val="nil"/>
              <w:left w:val="nil"/>
              <w:bottom w:val="single" w:sz="8" w:space="0" w:color="auto"/>
              <w:right w:val="single" w:sz="8" w:space="0" w:color="000000"/>
            </w:tcBorders>
            <w:shd w:val="clear" w:color="auto" w:fill="auto"/>
            <w:noWrap/>
            <w:vAlign w:val="center"/>
            <w:hideMark/>
          </w:tcPr>
          <w:p w:rsidR="00FB331C" w:rsidRPr="00EB2995" w:rsidRDefault="00FB331C" w:rsidP="00D53A04">
            <w:pPr>
              <w:jc w:val="center"/>
              <w:rPr>
                <w:rFonts w:cs="Calibri"/>
                <w:b/>
                <w:bCs/>
                <w:color w:val="000000"/>
                <w:lang w:eastAsia="en-GB"/>
              </w:rPr>
            </w:pPr>
            <w:r w:rsidRPr="00EB2995">
              <w:rPr>
                <w:rFonts w:cs="Calibri"/>
                <w:b/>
                <w:bCs/>
                <w:color w:val="000000"/>
                <w:lang w:eastAsia="en-GB"/>
              </w:rPr>
              <w:t>£’000</w:t>
            </w:r>
          </w:p>
        </w:tc>
      </w:tr>
      <w:tr w:rsidR="00FB331C" w:rsidRPr="00EB2995" w:rsidTr="00FB331C">
        <w:trPr>
          <w:trHeight w:hRule="exact" w:val="397"/>
        </w:trPr>
        <w:tc>
          <w:tcPr>
            <w:tcW w:w="1985" w:type="dxa"/>
            <w:tcBorders>
              <w:top w:val="single" w:sz="8" w:space="0" w:color="auto"/>
              <w:left w:val="single" w:sz="8" w:space="0" w:color="auto"/>
              <w:bottom w:val="nil"/>
              <w:right w:val="single" w:sz="8" w:space="0" w:color="auto"/>
            </w:tcBorders>
            <w:shd w:val="clear" w:color="auto" w:fill="auto"/>
            <w:noWrap/>
            <w:vAlign w:val="center"/>
            <w:hideMark/>
          </w:tcPr>
          <w:p w:rsidR="00FB331C" w:rsidRPr="00EB2995" w:rsidRDefault="00FB331C" w:rsidP="00D53A04">
            <w:pPr>
              <w:rPr>
                <w:rFonts w:cs="Calibri"/>
                <w:color w:val="000000"/>
                <w:lang w:eastAsia="en-GB"/>
              </w:rPr>
            </w:pPr>
            <w:r w:rsidRPr="00EB2995">
              <w:rPr>
                <w:rFonts w:cs="Calibri"/>
                <w:color w:val="000000"/>
                <w:lang w:eastAsia="en-GB"/>
              </w:rPr>
              <w:t> </w:t>
            </w:r>
          </w:p>
        </w:tc>
        <w:tc>
          <w:tcPr>
            <w:tcW w:w="993" w:type="dxa"/>
            <w:tcBorders>
              <w:top w:val="single" w:sz="8" w:space="0" w:color="auto"/>
              <w:left w:val="nil"/>
              <w:bottom w:val="single" w:sz="8" w:space="0" w:color="auto"/>
              <w:right w:val="single" w:sz="8" w:space="0" w:color="auto"/>
            </w:tcBorders>
            <w:shd w:val="clear" w:color="auto" w:fill="auto"/>
            <w:noWrap/>
            <w:vAlign w:val="center"/>
            <w:hideMark/>
          </w:tcPr>
          <w:p w:rsidR="00FB331C" w:rsidRPr="00EB2995" w:rsidRDefault="00FB331C" w:rsidP="00D53A04">
            <w:pPr>
              <w:jc w:val="right"/>
              <w:rPr>
                <w:rFonts w:cs="Calibri"/>
                <w:b/>
                <w:bCs/>
                <w:color w:val="000000"/>
                <w:lang w:eastAsia="en-GB"/>
              </w:rPr>
            </w:pPr>
            <w:r w:rsidRPr="00EB2995">
              <w:rPr>
                <w:rFonts w:cs="Calibri"/>
                <w:b/>
                <w:bCs/>
                <w:color w:val="000000"/>
                <w:lang w:eastAsia="en-GB"/>
              </w:rPr>
              <w:t>2018/19</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rsidR="00FB331C" w:rsidRPr="00EB2995" w:rsidRDefault="00FB331C" w:rsidP="00D53A04">
            <w:pPr>
              <w:jc w:val="right"/>
              <w:rPr>
                <w:rFonts w:cs="Calibri"/>
                <w:b/>
                <w:bCs/>
                <w:color w:val="000000"/>
                <w:lang w:eastAsia="en-GB"/>
              </w:rPr>
            </w:pPr>
            <w:r w:rsidRPr="00EB2995">
              <w:rPr>
                <w:rFonts w:cs="Calibri"/>
                <w:b/>
                <w:bCs/>
                <w:color w:val="000000"/>
                <w:lang w:eastAsia="en-GB"/>
              </w:rPr>
              <w:t>2019/20</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rsidR="00FB331C" w:rsidRPr="00EB2995" w:rsidRDefault="00FB331C" w:rsidP="00D53A04">
            <w:pPr>
              <w:jc w:val="right"/>
              <w:rPr>
                <w:rFonts w:cs="Calibri"/>
                <w:b/>
                <w:bCs/>
                <w:color w:val="000000"/>
                <w:lang w:eastAsia="en-GB"/>
              </w:rPr>
            </w:pPr>
            <w:r w:rsidRPr="00EB2995">
              <w:rPr>
                <w:rFonts w:cs="Calibri"/>
                <w:b/>
                <w:bCs/>
                <w:color w:val="000000"/>
                <w:lang w:eastAsia="en-GB"/>
              </w:rPr>
              <w:t>2018/19</w:t>
            </w:r>
          </w:p>
        </w:tc>
        <w:tc>
          <w:tcPr>
            <w:tcW w:w="993" w:type="dxa"/>
            <w:tcBorders>
              <w:top w:val="single" w:sz="8" w:space="0" w:color="auto"/>
              <w:left w:val="nil"/>
              <w:bottom w:val="single" w:sz="8" w:space="0" w:color="auto"/>
              <w:right w:val="single" w:sz="8" w:space="0" w:color="auto"/>
            </w:tcBorders>
            <w:shd w:val="clear" w:color="auto" w:fill="auto"/>
            <w:noWrap/>
            <w:vAlign w:val="center"/>
            <w:hideMark/>
          </w:tcPr>
          <w:p w:rsidR="00FB331C" w:rsidRPr="00EB2995" w:rsidRDefault="00FB331C" w:rsidP="00D53A04">
            <w:pPr>
              <w:jc w:val="right"/>
              <w:rPr>
                <w:rFonts w:cs="Calibri"/>
                <w:b/>
                <w:bCs/>
                <w:color w:val="000000"/>
                <w:lang w:eastAsia="en-GB"/>
              </w:rPr>
            </w:pPr>
            <w:r w:rsidRPr="00EB2995">
              <w:rPr>
                <w:rFonts w:cs="Calibri"/>
                <w:b/>
                <w:bCs/>
                <w:color w:val="000000"/>
                <w:lang w:eastAsia="en-GB"/>
              </w:rPr>
              <w:t>2019/20</w:t>
            </w:r>
          </w:p>
        </w:tc>
        <w:tc>
          <w:tcPr>
            <w:tcW w:w="992" w:type="dxa"/>
            <w:tcBorders>
              <w:top w:val="nil"/>
              <w:left w:val="nil"/>
              <w:bottom w:val="single" w:sz="8" w:space="0" w:color="auto"/>
              <w:right w:val="single" w:sz="8" w:space="0" w:color="auto"/>
            </w:tcBorders>
            <w:shd w:val="clear" w:color="auto" w:fill="auto"/>
            <w:noWrap/>
            <w:vAlign w:val="center"/>
            <w:hideMark/>
          </w:tcPr>
          <w:p w:rsidR="00FB331C" w:rsidRPr="00EB2995" w:rsidRDefault="00FB331C" w:rsidP="00D53A04">
            <w:pPr>
              <w:jc w:val="right"/>
              <w:rPr>
                <w:rFonts w:cs="Calibri"/>
                <w:b/>
                <w:bCs/>
                <w:color w:val="000000"/>
                <w:lang w:eastAsia="en-GB"/>
              </w:rPr>
            </w:pPr>
            <w:r w:rsidRPr="00EB2995">
              <w:rPr>
                <w:rFonts w:cs="Calibri"/>
                <w:b/>
                <w:bCs/>
                <w:color w:val="000000"/>
                <w:lang w:eastAsia="en-GB"/>
              </w:rPr>
              <w:t>2018/19</w:t>
            </w:r>
          </w:p>
        </w:tc>
        <w:tc>
          <w:tcPr>
            <w:tcW w:w="992" w:type="dxa"/>
            <w:tcBorders>
              <w:top w:val="nil"/>
              <w:left w:val="nil"/>
              <w:bottom w:val="single" w:sz="8" w:space="0" w:color="auto"/>
              <w:right w:val="single" w:sz="8" w:space="0" w:color="auto"/>
            </w:tcBorders>
            <w:shd w:val="clear" w:color="auto" w:fill="auto"/>
            <w:noWrap/>
            <w:vAlign w:val="center"/>
            <w:hideMark/>
          </w:tcPr>
          <w:p w:rsidR="00FB331C" w:rsidRPr="00EB2995" w:rsidRDefault="00FB331C" w:rsidP="00D53A04">
            <w:pPr>
              <w:jc w:val="right"/>
              <w:rPr>
                <w:rFonts w:cs="Calibri"/>
                <w:b/>
                <w:bCs/>
                <w:color w:val="000000"/>
                <w:lang w:eastAsia="en-GB"/>
              </w:rPr>
            </w:pPr>
            <w:r w:rsidRPr="00EB2995">
              <w:rPr>
                <w:rFonts w:cs="Calibri"/>
                <w:b/>
                <w:bCs/>
                <w:color w:val="000000"/>
                <w:lang w:eastAsia="en-GB"/>
              </w:rPr>
              <w:t>2019/20</w:t>
            </w:r>
          </w:p>
        </w:tc>
        <w:tc>
          <w:tcPr>
            <w:tcW w:w="992" w:type="dxa"/>
            <w:tcBorders>
              <w:top w:val="nil"/>
              <w:left w:val="nil"/>
              <w:bottom w:val="single" w:sz="8" w:space="0" w:color="auto"/>
              <w:right w:val="single" w:sz="8" w:space="0" w:color="auto"/>
            </w:tcBorders>
            <w:shd w:val="clear" w:color="auto" w:fill="auto"/>
            <w:noWrap/>
            <w:vAlign w:val="center"/>
            <w:hideMark/>
          </w:tcPr>
          <w:p w:rsidR="00FB331C" w:rsidRPr="00EB2995" w:rsidRDefault="00FB331C" w:rsidP="00D53A04">
            <w:pPr>
              <w:jc w:val="right"/>
              <w:rPr>
                <w:rFonts w:cs="Calibri"/>
                <w:b/>
                <w:bCs/>
                <w:color w:val="000000"/>
                <w:lang w:eastAsia="en-GB"/>
              </w:rPr>
            </w:pPr>
            <w:r w:rsidRPr="00EB2995">
              <w:rPr>
                <w:rFonts w:cs="Calibri"/>
                <w:b/>
                <w:bCs/>
                <w:color w:val="000000"/>
                <w:lang w:eastAsia="en-GB"/>
              </w:rPr>
              <w:t>2018/19</w:t>
            </w:r>
          </w:p>
        </w:tc>
        <w:tc>
          <w:tcPr>
            <w:tcW w:w="1068" w:type="dxa"/>
            <w:tcBorders>
              <w:top w:val="nil"/>
              <w:left w:val="nil"/>
              <w:bottom w:val="single" w:sz="8" w:space="0" w:color="auto"/>
              <w:right w:val="single" w:sz="8" w:space="0" w:color="auto"/>
            </w:tcBorders>
            <w:shd w:val="clear" w:color="auto" w:fill="auto"/>
            <w:noWrap/>
            <w:vAlign w:val="center"/>
            <w:hideMark/>
          </w:tcPr>
          <w:p w:rsidR="00FB331C" w:rsidRPr="00EB2995" w:rsidRDefault="00FB331C" w:rsidP="00D53A04">
            <w:pPr>
              <w:jc w:val="right"/>
              <w:rPr>
                <w:rFonts w:cs="Calibri"/>
                <w:b/>
                <w:bCs/>
                <w:color w:val="000000"/>
                <w:lang w:eastAsia="en-GB"/>
              </w:rPr>
            </w:pPr>
            <w:r w:rsidRPr="00EB2995">
              <w:rPr>
                <w:rFonts w:cs="Calibri"/>
                <w:b/>
                <w:bCs/>
                <w:color w:val="000000"/>
                <w:lang w:eastAsia="en-GB"/>
              </w:rPr>
              <w:t>2019/20</w:t>
            </w:r>
          </w:p>
        </w:tc>
      </w:tr>
      <w:tr w:rsidR="00FB331C" w:rsidRPr="00EB2995" w:rsidTr="00FB331C">
        <w:trPr>
          <w:trHeight w:hRule="exact" w:val="397"/>
        </w:trPr>
        <w:tc>
          <w:tcPr>
            <w:tcW w:w="1985" w:type="dxa"/>
            <w:tcBorders>
              <w:top w:val="nil"/>
              <w:left w:val="single" w:sz="8" w:space="0" w:color="auto"/>
              <w:bottom w:val="nil"/>
              <w:right w:val="single" w:sz="8" w:space="0" w:color="auto"/>
            </w:tcBorders>
            <w:shd w:val="clear" w:color="auto" w:fill="auto"/>
            <w:noWrap/>
            <w:vAlign w:val="center"/>
            <w:hideMark/>
          </w:tcPr>
          <w:p w:rsidR="00FB331C" w:rsidRPr="00EB2995" w:rsidRDefault="00FB331C" w:rsidP="00D53A04">
            <w:pPr>
              <w:rPr>
                <w:rFonts w:cs="Calibri"/>
                <w:color w:val="000000"/>
                <w:lang w:eastAsia="en-GB"/>
              </w:rPr>
            </w:pPr>
            <w:r w:rsidRPr="00EB2995">
              <w:rPr>
                <w:rFonts w:cs="Calibri"/>
                <w:color w:val="000000"/>
                <w:lang w:eastAsia="en-GB"/>
              </w:rPr>
              <w:t> </w:t>
            </w:r>
          </w:p>
        </w:tc>
        <w:tc>
          <w:tcPr>
            <w:tcW w:w="993" w:type="dxa"/>
            <w:tcBorders>
              <w:top w:val="nil"/>
              <w:left w:val="nil"/>
              <w:bottom w:val="nil"/>
              <w:right w:val="single" w:sz="8" w:space="0" w:color="auto"/>
            </w:tcBorders>
            <w:shd w:val="clear" w:color="auto" w:fill="auto"/>
            <w:noWrap/>
            <w:vAlign w:val="center"/>
            <w:hideMark/>
          </w:tcPr>
          <w:p w:rsidR="00FB331C" w:rsidRPr="00EB2995" w:rsidRDefault="00FB331C" w:rsidP="00D53A04">
            <w:pPr>
              <w:jc w:val="right"/>
              <w:rPr>
                <w:rFonts w:cs="Calibri"/>
                <w:color w:val="000000"/>
                <w:lang w:eastAsia="en-GB"/>
              </w:rPr>
            </w:pPr>
            <w:r w:rsidRPr="00EB2995">
              <w:rPr>
                <w:rFonts w:cs="Calibri"/>
                <w:color w:val="000000"/>
                <w:lang w:eastAsia="en-GB"/>
              </w:rPr>
              <w:t> </w:t>
            </w:r>
          </w:p>
        </w:tc>
        <w:tc>
          <w:tcPr>
            <w:tcW w:w="992" w:type="dxa"/>
            <w:tcBorders>
              <w:top w:val="nil"/>
              <w:left w:val="nil"/>
              <w:bottom w:val="nil"/>
              <w:right w:val="single" w:sz="8" w:space="0" w:color="auto"/>
            </w:tcBorders>
            <w:shd w:val="clear" w:color="auto" w:fill="auto"/>
            <w:noWrap/>
            <w:vAlign w:val="center"/>
            <w:hideMark/>
          </w:tcPr>
          <w:p w:rsidR="00FB331C" w:rsidRPr="00EB2995" w:rsidRDefault="00FB331C" w:rsidP="00D53A04">
            <w:pPr>
              <w:jc w:val="right"/>
              <w:rPr>
                <w:rFonts w:cs="Calibri"/>
                <w:color w:val="000000"/>
                <w:lang w:eastAsia="en-GB"/>
              </w:rPr>
            </w:pPr>
            <w:r w:rsidRPr="00EB2995">
              <w:rPr>
                <w:rFonts w:cs="Calibri"/>
                <w:color w:val="000000"/>
                <w:lang w:eastAsia="en-GB"/>
              </w:rPr>
              <w:t> </w:t>
            </w:r>
          </w:p>
        </w:tc>
        <w:tc>
          <w:tcPr>
            <w:tcW w:w="992" w:type="dxa"/>
            <w:tcBorders>
              <w:top w:val="nil"/>
              <w:left w:val="nil"/>
              <w:bottom w:val="nil"/>
              <w:right w:val="single" w:sz="8" w:space="0" w:color="auto"/>
            </w:tcBorders>
            <w:shd w:val="clear" w:color="auto" w:fill="auto"/>
            <w:noWrap/>
            <w:vAlign w:val="center"/>
            <w:hideMark/>
          </w:tcPr>
          <w:p w:rsidR="00FB331C" w:rsidRPr="00EB2995" w:rsidRDefault="00FB331C" w:rsidP="00D53A04">
            <w:pPr>
              <w:jc w:val="right"/>
              <w:rPr>
                <w:rFonts w:cs="Calibri"/>
                <w:color w:val="000000"/>
                <w:lang w:eastAsia="en-GB"/>
              </w:rPr>
            </w:pPr>
            <w:r w:rsidRPr="00EB2995">
              <w:rPr>
                <w:rFonts w:cs="Calibri"/>
                <w:color w:val="000000"/>
                <w:lang w:eastAsia="en-GB"/>
              </w:rPr>
              <w:t> </w:t>
            </w:r>
          </w:p>
        </w:tc>
        <w:tc>
          <w:tcPr>
            <w:tcW w:w="993" w:type="dxa"/>
            <w:tcBorders>
              <w:top w:val="nil"/>
              <w:left w:val="nil"/>
              <w:bottom w:val="nil"/>
              <w:right w:val="single" w:sz="8" w:space="0" w:color="auto"/>
            </w:tcBorders>
            <w:shd w:val="clear" w:color="auto" w:fill="auto"/>
            <w:noWrap/>
            <w:vAlign w:val="center"/>
          </w:tcPr>
          <w:p w:rsidR="00FB331C" w:rsidRPr="00EB2995" w:rsidRDefault="00FB331C" w:rsidP="00D53A04">
            <w:pPr>
              <w:jc w:val="right"/>
              <w:rPr>
                <w:rFonts w:cs="Calibri"/>
                <w:color w:val="000000"/>
                <w:lang w:eastAsia="en-GB"/>
              </w:rPr>
            </w:pPr>
          </w:p>
        </w:tc>
        <w:tc>
          <w:tcPr>
            <w:tcW w:w="992" w:type="dxa"/>
            <w:tcBorders>
              <w:top w:val="nil"/>
              <w:left w:val="nil"/>
              <w:bottom w:val="nil"/>
              <w:right w:val="single" w:sz="8" w:space="0" w:color="auto"/>
            </w:tcBorders>
            <w:shd w:val="clear" w:color="auto" w:fill="auto"/>
            <w:noWrap/>
            <w:vAlign w:val="center"/>
            <w:hideMark/>
          </w:tcPr>
          <w:p w:rsidR="00FB331C" w:rsidRPr="00EB2995" w:rsidRDefault="00FB331C" w:rsidP="00D53A04">
            <w:pPr>
              <w:jc w:val="right"/>
              <w:rPr>
                <w:rFonts w:cs="Calibri"/>
                <w:color w:val="000000"/>
                <w:lang w:eastAsia="en-GB"/>
              </w:rPr>
            </w:pPr>
            <w:r w:rsidRPr="00EB2995">
              <w:rPr>
                <w:rFonts w:cs="Calibri"/>
                <w:color w:val="000000"/>
                <w:lang w:eastAsia="en-GB"/>
              </w:rPr>
              <w:t> </w:t>
            </w:r>
          </w:p>
        </w:tc>
        <w:tc>
          <w:tcPr>
            <w:tcW w:w="992" w:type="dxa"/>
            <w:tcBorders>
              <w:top w:val="nil"/>
              <w:left w:val="nil"/>
              <w:bottom w:val="nil"/>
              <w:right w:val="single" w:sz="8" w:space="0" w:color="auto"/>
            </w:tcBorders>
            <w:shd w:val="clear" w:color="auto" w:fill="auto"/>
            <w:noWrap/>
            <w:vAlign w:val="center"/>
            <w:hideMark/>
          </w:tcPr>
          <w:p w:rsidR="00FB331C" w:rsidRPr="00EB2995" w:rsidRDefault="00FB331C" w:rsidP="00D53A04">
            <w:pPr>
              <w:jc w:val="right"/>
              <w:rPr>
                <w:rFonts w:cs="Calibri"/>
                <w:color w:val="000000"/>
                <w:lang w:eastAsia="en-GB"/>
              </w:rPr>
            </w:pPr>
            <w:r w:rsidRPr="00EB2995">
              <w:rPr>
                <w:rFonts w:cs="Calibri"/>
                <w:color w:val="000000"/>
                <w:lang w:eastAsia="en-GB"/>
              </w:rPr>
              <w:t> </w:t>
            </w:r>
          </w:p>
        </w:tc>
        <w:tc>
          <w:tcPr>
            <w:tcW w:w="992" w:type="dxa"/>
            <w:tcBorders>
              <w:top w:val="nil"/>
              <w:left w:val="nil"/>
              <w:bottom w:val="nil"/>
              <w:right w:val="single" w:sz="8" w:space="0" w:color="auto"/>
            </w:tcBorders>
            <w:shd w:val="clear" w:color="auto" w:fill="auto"/>
            <w:noWrap/>
            <w:vAlign w:val="center"/>
            <w:hideMark/>
          </w:tcPr>
          <w:p w:rsidR="00FB331C" w:rsidRPr="00EB2995" w:rsidRDefault="00FB331C" w:rsidP="00D53A04">
            <w:pPr>
              <w:jc w:val="right"/>
              <w:rPr>
                <w:rFonts w:cs="Calibri"/>
                <w:color w:val="000000"/>
                <w:lang w:eastAsia="en-GB"/>
              </w:rPr>
            </w:pPr>
            <w:r w:rsidRPr="00EB2995">
              <w:rPr>
                <w:rFonts w:cs="Calibri"/>
                <w:color w:val="000000"/>
                <w:lang w:eastAsia="en-GB"/>
              </w:rPr>
              <w:t> </w:t>
            </w:r>
          </w:p>
        </w:tc>
        <w:tc>
          <w:tcPr>
            <w:tcW w:w="1068" w:type="dxa"/>
            <w:tcBorders>
              <w:top w:val="nil"/>
              <w:left w:val="nil"/>
              <w:bottom w:val="nil"/>
              <w:right w:val="single" w:sz="8" w:space="0" w:color="auto"/>
            </w:tcBorders>
            <w:shd w:val="clear" w:color="auto" w:fill="auto"/>
            <w:noWrap/>
            <w:vAlign w:val="center"/>
            <w:hideMark/>
          </w:tcPr>
          <w:p w:rsidR="00FB331C" w:rsidRPr="00EB2995" w:rsidRDefault="00FB331C" w:rsidP="00D53A04">
            <w:pPr>
              <w:jc w:val="right"/>
              <w:rPr>
                <w:rFonts w:cs="Calibri"/>
                <w:color w:val="000000"/>
                <w:lang w:eastAsia="en-GB"/>
              </w:rPr>
            </w:pPr>
            <w:r w:rsidRPr="00EB2995">
              <w:rPr>
                <w:rFonts w:cs="Calibri"/>
                <w:color w:val="000000"/>
              </w:rPr>
              <w:t> </w:t>
            </w:r>
          </w:p>
        </w:tc>
      </w:tr>
      <w:tr w:rsidR="00FB331C" w:rsidRPr="00EB2995" w:rsidTr="00FB331C">
        <w:trPr>
          <w:trHeight w:hRule="exact" w:val="397"/>
        </w:trPr>
        <w:tc>
          <w:tcPr>
            <w:tcW w:w="1985" w:type="dxa"/>
            <w:tcBorders>
              <w:top w:val="nil"/>
              <w:left w:val="single" w:sz="8" w:space="0" w:color="auto"/>
              <w:bottom w:val="nil"/>
              <w:right w:val="single" w:sz="8" w:space="0" w:color="auto"/>
            </w:tcBorders>
            <w:shd w:val="clear" w:color="auto" w:fill="auto"/>
            <w:noWrap/>
            <w:vAlign w:val="center"/>
            <w:hideMark/>
          </w:tcPr>
          <w:p w:rsidR="00FB331C" w:rsidRPr="00EB2995" w:rsidRDefault="00FB331C" w:rsidP="00D53A04">
            <w:pPr>
              <w:rPr>
                <w:rFonts w:cs="Calibri"/>
                <w:color w:val="000000"/>
                <w:lang w:eastAsia="en-GB"/>
              </w:rPr>
            </w:pPr>
            <w:r w:rsidRPr="00EB2995">
              <w:rPr>
                <w:rFonts w:cs="Calibri"/>
                <w:color w:val="000000"/>
                <w:lang w:eastAsia="en-GB"/>
              </w:rPr>
              <w:t>£0 - £20,000</w:t>
            </w:r>
          </w:p>
        </w:tc>
        <w:tc>
          <w:tcPr>
            <w:tcW w:w="993" w:type="dxa"/>
            <w:tcBorders>
              <w:top w:val="nil"/>
              <w:left w:val="nil"/>
              <w:bottom w:val="nil"/>
              <w:right w:val="single" w:sz="8" w:space="0" w:color="auto"/>
            </w:tcBorders>
            <w:shd w:val="clear" w:color="auto" w:fill="auto"/>
            <w:noWrap/>
            <w:vAlign w:val="center"/>
            <w:hideMark/>
          </w:tcPr>
          <w:p w:rsidR="00FB331C" w:rsidRPr="00EB2995" w:rsidRDefault="00FB331C" w:rsidP="00D53A04">
            <w:pPr>
              <w:jc w:val="right"/>
              <w:rPr>
                <w:rFonts w:cs="Calibri"/>
                <w:color w:val="000000"/>
                <w:lang w:eastAsia="en-GB"/>
              </w:rPr>
            </w:pPr>
            <w:r w:rsidRPr="00EB2995">
              <w:rPr>
                <w:rFonts w:cs="Calibri"/>
                <w:color w:val="000000"/>
                <w:lang w:eastAsia="en-GB"/>
              </w:rPr>
              <w:t>31</w:t>
            </w:r>
          </w:p>
        </w:tc>
        <w:tc>
          <w:tcPr>
            <w:tcW w:w="992" w:type="dxa"/>
            <w:tcBorders>
              <w:top w:val="nil"/>
              <w:left w:val="nil"/>
              <w:bottom w:val="nil"/>
              <w:right w:val="single" w:sz="8" w:space="0" w:color="auto"/>
            </w:tcBorders>
            <w:shd w:val="clear" w:color="auto" w:fill="auto"/>
            <w:noWrap/>
            <w:vAlign w:val="center"/>
          </w:tcPr>
          <w:p w:rsidR="00FB331C" w:rsidRPr="00EB2995" w:rsidRDefault="00FB331C" w:rsidP="00D53A04">
            <w:pPr>
              <w:jc w:val="right"/>
              <w:rPr>
                <w:rFonts w:cs="Calibri"/>
                <w:color w:val="000000"/>
                <w:lang w:eastAsia="en-GB"/>
              </w:rPr>
            </w:pPr>
            <w:r w:rsidRPr="00EB2995">
              <w:rPr>
                <w:rFonts w:cs="Calibri"/>
                <w:color w:val="000000"/>
              </w:rPr>
              <w:t>5</w:t>
            </w:r>
          </w:p>
        </w:tc>
        <w:tc>
          <w:tcPr>
            <w:tcW w:w="992" w:type="dxa"/>
            <w:tcBorders>
              <w:top w:val="nil"/>
              <w:left w:val="nil"/>
              <w:bottom w:val="nil"/>
              <w:right w:val="single" w:sz="8" w:space="0" w:color="auto"/>
            </w:tcBorders>
            <w:shd w:val="clear" w:color="auto" w:fill="auto"/>
            <w:noWrap/>
            <w:vAlign w:val="center"/>
            <w:hideMark/>
          </w:tcPr>
          <w:p w:rsidR="00FB331C" w:rsidRPr="00EB2995" w:rsidRDefault="00FB331C" w:rsidP="00D53A04">
            <w:pPr>
              <w:jc w:val="right"/>
              <w:rPr>
                <w:rFonts w:cs="Calibri"/>
                <w:color w:val="000000"/>
                <w:lang w:eastAsia="en-GB"/>
              </w:rPr>
            </w:pPr>
            <w:r w:rsidRPr="00EB2995">
              <w:rPr>
                <w:rFonts w:cs="Calibri"/>
                <w:color w:val="000000"/>
                <w:lang w:eastAsia="en-GB"/>
              </w:rPr>
              <w:t>87</w:t>
            </w:r>
          </w:p>
        </w:tc>
        <w:tc>
          <w:tcPr>
            <w:tcW w:w="993" w:type="dxa"/>
            <w:tcBorders>
              <w:top w:val="nil"/>
              <w:left w:val="nil"/>
              <w:bottom w:val="nil"/>
              <w:right w:val="single" w:sz="8" w:space="0" w:color="auto"/>
            </w:tcBorders>
            <w:shd w:val="clear" w:color="auto" w:fill="auto"/>
            <w:noWrap/>
            <w:vAlign w:val="center"/>
          </w:tcPr>
          <w:p w:rsidR="00FB331C" w:rsidRPr="00EB2995" w:rsidRDefault="00FB331C" w:rsidP="00D53A04">
            <w:pPr>
              <w:jc w:val="right"/>
              <w:rPr>
                <w:rFonts w:cs="Calibri"/>
                <w:color w:val="000000"/>
                <w:lang w:eastAsia="en-GB"/>
              </w:rPr>
            </w:pPr>
            <w:r w:rsidRPr="00EB2995">
              <w:rPr>
                <w:rFonts w:cs="Calibri"/>
                <w:color w:val="000000"/>
              </w:rPr>
              <w:t>41</w:t>
            </w:r>
          </w:p>
        </w:tc>
        <w:tc>
          <w:tcPr>
            <w:tcW w:w="992" w:type="dxa"/>
            <w:tcBorders>
              <w:top w:val="nil"/>
              <w:left w:val="nil"/>
              <w:bottom w:val="nil"/>
              <w:right w:val="single" w:sz="8" w:space="0" w:color="auto"/>
            </w:tcBorders>
            <w:shd w:val="clear" w:color="auto" w:fill="auto"/>
            <w:noWrap/>
            <w:vAlign w:val="center"/>
            <w:hideMark/>
          </w:tcPr>
          <w:p w:rsidR="00FB331C" w:rsidRPr="00EB2995" w:rsidRDefault="00FB331C" w:rsidP="00D53A04">
            <w:pPr>
              <w:jc w:val="right"/>
              <w:rPr>
                <w:rFonts w:cs="Calibri"/>
                <w:color w:val="000000"/>
                <w:lang w:eastAsia="en-GB"/>
              </w:rPr>
            </w:pPr>
            <w:r w:rsidRPr="00EB2995">
              <w:rPr>
                <w:rFonts w:cs="Calibri"/>
                <w:color w:val="000000"/>
                <w:lang w:eastAsia="en-GB"/>
              </w:rPr>
              <w:t>118</w:t>
            </w:r>
          </w:p>
        </w:tc>
        <w:tc>
          <w:tcPr>
            <w:tcW w:w="992" w:type="dxa"/>
            <w:tcBorders>
              <w:top w:val="nil"/>
              <w:left w:val="nil"/>
              <w:bottom w:val="nil"/>
              <w:right w:val="single" w:sz="8" w:space="0" w:color="auto"/>
            </w:tcBorders>
            <w:shd w:val="clear" w:color="auto" w:fill="auto"/>
            <w:noWrap/>
            <w:vAlign w:val="center"/>
          </w:tcPr>
          <w:p w:rsidR="00FB331C" w:rsidRPr="00EB2995" w:rsidRDefault="00FB331C" w:rsidP="00D53A04">
            <w:pPr>
              <w:jc w:val="right"/>
              <w:rPr>
                <w:rFonts w:cs="Calibri"/>
                <w:color w:val="000000"/>
                <w:lang w:eastAsia="en-GB"/>
              </w:rPr>
            </w:pPr>
            <w:r w:rsidRPr="00EB2995">
              <w:rPr>
                <w:rFonts w:cs="Calibri"/>
                <w:color w:val="000000"/>
              </w:rPr>
              <w:t>46</w:t>
            </w:r>
          </w:p>
        </w:tc>
        <w:tc>
          <w:tcPr>
            <w:tcW w:w="992" w:type="dxa"/>
            <w:tcBorders>
              <w:top w:val="nil"/>
              <w:left w:val="nil"/>
              <w:bottom w:val="nil"/>
              <w:right w:val="single" w:sz="8" w:space="0" w:color="auto"/>
            </w:tcBorders>
            <w:shd w:val="clear" w:color="auto" w:fill="auto"/>
            <w:noWrap/>
            <w:vAlign w:val="center"/>
            <w:hideMark/>
          </w:tcPr>
          <w:p w:rsidR="00FB331C" w:rsidRPr="00EB2995" w:rsidRDefault="00FB331C" w:rsidP="00D53A04">
            <w:pPr>
              <w:jc w:val="right"/>
              <w:rPr>
                <w:rFonts w:cs="Calibri"/>
                <w:color w:val="000000"/>
                <w:lang w:eastAsia="en-GB"/>
              </w:rPr>
            </w:pPr>
            <w:r w:rsidRPr="00EB2995">
              <w:rPr>
                <w:rFonts w:cs="Calibri"/>
                <w:color w:val="000000"/>
              </w:rPr>
              <w:t>£1,171</w:t>
            </w:r>
          </w:p>
        </w:tc>
        <w:tc>
          <w:tcPr>
            <w:tcW w:w="1068" w:type="dxa"/>
            <w:tcBorders>
              <w:top w:val="nil"/>
              <w:left w:val="nil"/>
              <w:bottom w:val="nil"/>
              <w:right w:val="single" w:sz="8" w:space="0" w:color="auto"/>
            </w:tcBorders>
            <w:shd w:val="clear" w:color="auto" w:fill="auto"/>
            <w:noWrap/>
            <w:vAlign w:val="center"/>
          </w:tcPr>
          <w:p w:rsidR="00FB331C" w:rsidRPr="00EB2995" w:rsidRDefault="00FB331C" w:rsidP="00D53A04">
            <w:pPr>
              <w:jc w:val="right"/>
              <w:rPr>
                <w:rFonts w:cs="Calibri"/>
                <w:color w:val="000000"/>
                <w:lang w:eastAsia="en-GB"/>
              </w:rPr>
            </w:pPr>
            <w:r w:rsidRPr="00EB2995">
              <w:rPr>
                <w:rFonts w:cs="Calibri"/>
                <w:color w:val="000000"/>
              </w:rPr>
              <w:t>£556</w:t>
            </w:r>
          </w:p>
        </w:tc>
      </w:tr>
      <w:tr w:rsidR="00FB331C" w:rsidRPr="00EB2995" w:rsidTr="00FB331C">
        <w:trPr>
          <w:trHeight w:hRule="exact" w:val="397"/>
        </w:trPr>
        <w:tc>
          <w:tcPr>
            <w:tcW w:w="1985" w:type="dxa"/>
            <w:tcBorders>
              <w:top w:val="nil"/>
              <w:left w:val="single" w:sz="8" w:space="0" w:color="auto"/>
              <w:bottom w:val="nil"/>
              <w:right w:val="single" w:sz="8" w:space="0" w:color="auto"/>
            </w:tcBorders>
            <w:shd w:val="clear" w:color="auto" w:fill="auto"/>
            <w:noWrap/>
            <w:vAlign w:val="center"/>
            <w:hideMark/>
          </w:tcPr>
          <w:p w:rsidR="00FB331C" w:rsidRPr="00EB2995" w:rsidRDefault="00FB331C" w:rsidP="00D53A04">
            <w:pPr>
              <w:rPr>
                <w:rFonts w:cs="Calibri"/>
                <w:color w:val="000000"/>
                <w:lang w:eastAsia="en-GB"/>
              </w:rPr>
            </w:pPr>
            <w:r w:rsidRPr="00EB2995">
              <w:rPr>
                <w:rFonts w:cs="Calibri"/>
                <w:color w:val="000000"/>
                <w:lang w:eastAsia="en-GB"/>
              </w:rPr>
              <w:t> </w:t>
            </w:r>
          </w:p>
        </w:tc>
        <w:tc>
          <w:tcPr>
            <w:tcW w:w="993" w:type="dxa"/>
            <w:tcBorders>
              <w:top w:val="nil"/>
              <w:left w:val="nil"/>
              <w:bottom w:val="nil"/>
              <w:right w:val="single" w:sz="8" w:space="0" w:color="auto"/>
            </w:tcBorders>
            <w:shd w:val="clear" w:color="auto" w:fill="auto"/>
            <w:noWrap/>
            <w:vAlign w:val="center"/>
            <w:hideMark/>
          </w:tcPr>
          <w:p w:rsidR="00FB331C" w:rsidRPr="00EB2995" w:rsidRDefault="00FB331C" w:rsidP="00D53A04">
            <w:pPr>
              <w:jc w:val="right"/>
              <w:rPr>
                <w:rFonts w:cs="Calibri"/>
                <w:color w:val="000000"/>
                <w:lang w:eastAsia="en-GB"/>
              </w:rPr>
            </w:pPr>
            <w:r w:rsidRPr="00EB2995">
              <w:rPr>
                <w:rFonts w:cs="Calibri"/>
                <w:color w:val="000000"/>
                <w:lang w:eastAsia="en-GB"/>
              </w:rPr>
              <w:t> </w:t>
            </w:r>
          </w:p>
        </w:tc>
        <w:tc>
          <w:tcPr>
            <w:tcW w:w="992" w:type="dxa"/>
            <w:tcBorders>
              <w:top w:val="nil"/>
              <w:left w:val="nil"/>
              <w:bottom w:val="nil"/>
              <w:right w:val="single" w:sz="8" w:space="0" w:color="auto"/>
            </w:tcBorders>
            <w:shd w:val="clear" w:color="auto" w:fill="auto"/>
            <w:noWrap/>
            <w:vAlign w:val="center"/>
          </w:tcPr>
          <w:p w:rsidR="00FB331C" w:rsidRPr="00EB2995" w:rsidRDefault="00FB331C" w:rsidP="00D53A04">
            <w:pPr>
              <w:jc w:val="right"/>
              <w:rPr>
                <w:rFonts w:cs="Calibri"/>
                <w:color w:val="000000"/>
                <w:lang w:eastAsia="en-GB"/>
              </w:rPr>
            </w:pPr>
            <w:r w:rsidRPr="00EB2995">
              <w:rPr>
                <w:rFonts w:cs="Calibri"/>
                <w:color w:val="000000"/>
              </w:rPr>
              <w:t> </w:t>
            </w:r>
          </w:p>
        </w:tc>
        <w:tc>
          <w:tcPr>
            <w:tcW w:w="992" w:type="dxa"/>
            <w:tcBorders>
              <w:top w:val="nil"/>
              <w:left w:val="nil"/>
              <w:bottom w:val="nil"/>
              <w:right w:val="single" w:sz="8" w:space="0" w:color="auto"/>
            </w:tcBorders>
            <w:shd w:val="clear" w:color="auto" w:fill="auto"/>
            <w:noWrap/>
            <w:vAlign w:val="center"/>
            <w:hideMark/>
          </w:tcPr>
          <w:p w:rsidR="00FB331C" w:rsidRPr="00EB2995" w:rsidRDefault="00FB331C" w:rsidP="00D53A04">
            <w:pPr>
              <w:jc w:val="right"/>
              <w:rPr>
                <w:rFonts w:cs="Calibri"/>
                <w:color w:val="000000"/>
                <w:lang w:eastAsia="en-GB"/>
              </w:rPr>
            </w:pPr>
            <w:r w:rsidRPr="00EB2995">
              <w:rPr>
                <w:rFonts w:cs="Calibri"/>
                <w:color w:val="000000"/>
                <w:lang w:eastAsia="en-GB"/>
              </w:rPr>
              <w:t> </w:t>
            </w:r>
          </w:p>
        </w:tc>
        <w:tc>
          <w:tcPr>
            <w:tcW w:w="993" w:type="dxa"/>
            <w:tcBorders>
              <w:top w:val="nil"/>
              <w:left w:val="nil"/>
              <w:bottom w:val="nil"/>
              <w:right w:val="single" w:sz="8" w:space="0" w:color="auto"/>
            </w:tcBorders>
            <w:shd w:val="clear" w:color="auto" w:fill="auto"/>
            <w:noWrap/>
            <w:vAlign w:val="center"/>
          </w:tcPr>
          <w:p w:rsidR="00FB331C" w:rsidRPr="00EB2995" w:rsidRDefault="00FB331C" w:rsidP="00D53A04">
            <w:pPr>
              <w:jc w:val="right"/>
              <w:rPr>
                <w:rFonts w:cs="Calibri"/>
                <w:color w:val="000000"/>
                <w:lang w:eastAsia="en-GB"/>
              </w:rPr>
            </w:pPr>
          </w:p>
        </w:tc>
        <w:tc>
          <w:tcPr>
            <w:tcW w:w="992" w:type="dxa"/>
            <w:tcBorders>
              <w:top w:val="nil"/>
              <w:left w:val="nil"/>
              <w:bottom w:val="nil"/>
              <w:right w:val="single" w:sz="8" w:space="0" w:color="auto"/>
            </w:tcBorders>
            <w:shd w:val="clear" w:color="auto" w:fill="auto"/>
            <w:noWrap/>
            <w:vAlign w:val="center"/>
            <w:hideMark/>
          </w:tcPr>
          <w:p w:rsidR="00FB331C" w:rsidRPr="00EB2995" w:rsidRDefault="00FB331C" w:rsidP="00D53A04">
            <w:pPr>
              <w:jc w:val="right"/>
              <w:rPr>
                <w:rFonts w:cs="Calibri"/>
                <w:color w:val="000000"/>
                <w:lang w:eastAsia="en-GB"/>
              </w:rPr>
            </w:pPr>
            <w:r w:rsidRPr="00EB2995">
              <w:rPr>
                <w:rFonts w:cs="Calibri"/>
                <w:color w:val="000000"/>
                <w:lang w:eastAsia="en-GB"/>
              </w:rPr>
              <w:t> </w:t>
            </w:r>
          </w:p>
        </w:tc>
        <w:tc>
          <w:tcPr>
            <w:tcW w:w="992" w:type="dxa"/>
            <w:tcBorders>
              <w:top w:val="nil"/>
              <w:left w:val="nil"/>
              <w:bottom w:val="nil"/>
              <w:right w:val="single" w:sz="8" w:space="0" w:color="auto"/>
            </w:tcBorders>
            <w:shd w:val="clear" w:color="auto" w:fill="auto"/>
            <w:noWrap/>
            <w:vAlign w:val="center"/>
          </w:tcPr>
          <w:p w:rsidR="00FB331C" w:rsidRPr="00EB2995" w:rsidRDefault="00FB331C" w:rsidP="00D53A04">
            <w:pPr>
              <w:jc w:val="right"/>
              <w:rPr>
                <w:rFonts w:cs="Calibri"/>
                <w:color w:val="000000"/>
                <w:lang w:eastAsia="en-GB"/>
              </w:rPr>
            </w:pPr>
            <w:r w:rsidRPr="00EB2995">
              <w:rPr>
                <w:rFonts w:cs="Calibri"/>
                <w:color w:val="000000"/>
              </w:rPr>
              <w:t> </w:t>
            </w:r>
          </w:p>
        </w:tc>
        <w:tc>
          <w:tcPr>
            <w:tcW w:w="992" w:type="dxa"/>
            <w:tcBorders>
              <w:top w:val="nil"/>
              <w:left w:val="nil"/>
              <w:bottom w:val="nil"/>
              <w:right w:val="single" w:sz="8" w:space="0" w:color="auto"/>
            </w:tcBorders>
            <w:shd w:val="clear" w:color="auto" w:fill="auto"/>
            <w:noWrap/>
            <w:vAlign w:val="center"/>
            <w:hideMark/>
          </w:tcPr>
          <w:p w:rsidR="00FB331C" w:rsidRPr="00EB2995" w:rsidRDefault="00FB331C" w:rsidP="00D53A04">
            <w:pPr>
              <w:jc w:val="right"/>
              <w:rPr>
                <w:rFonts w:cs="Calibri"/>
                <w:color w:val="000000"/>
                <w:lang w:eastAsia="en-GB"/>
              </w:rPr>
            </w:pPr>
            <w:r w:rsidRPr="00EB2995">
              <w:rPr>
                <w:rFonts w:cs="Calibri"/>
                <w:color w:val="000000"/>
              </w:rPr>
              <w:t> </w:t>
            </w:r>
          </w:p>
        </w:tc>
        <w:tc>
          <w:tcPr>
            <w:tcW w:w="1068" w:type="dxa"/>
            <w:tcBorders>
              <w:top w:val="nil"/>
              <w:left w:val="nil"/>
              <w:bottom w:val="nil"/>
              <w:right w:val="single" w:sz="8" w:space="0" w:color="auto"/>
            </w:tcBorders>
            <w:shd w:val="clear" w:color="auto" w:fill="auto"/>
            <w:noWrap/>
            <w:vAlign w:val="center"/>
          </w:tcPr>
          <w:p w:rsidR="00FB331C" w:rsidRPr="00EB2995" w:rsidRDefault="00FB331C" w:rsidP="00D53A04">
            <w:pPr>
              <w:jc w:val="right"/>
              <w:rPr>
                <w:rFonts w:cs="Calibri"/>
                <w:color w:val="000000"/>
                <w:lang w:eastAsia="en-GB"/>
              </w:rPr>
            </w:pPr>
            <w:r w:rsidRPr="00EB2995">
              <w:rPr>
                <w:rFonts w:cs="Calibri"/>
                <w:color w:val="000000"/>
              </w:rPr>
              <w:t> </w:t>
            </w:r>
          </w:p>
        </w:tc>
      </w:tr>
      <w:tr w:rsidR="00FB331C" w:rsidRPr="00EB2995" w:rsidTr="00FB331C">
        <w:trPr>
          <w:trHeight w:hRule="exact" w:val="397"/>
        </w:trPr>
        <w:tc>
          <w:tcPr>
            <w:tcW w:w="1985" w:type="dxa"/>
            <w:tcBorders>
              <w:top w:val="nil"/>
              <w:left w:val="single" w:sz="8" w:space="0" w:color="auto"/>
              <w:bottom w:val="nil"/>
              <w:right w:val="single" w:sz="8" w:space="0" w:color="auto"/>
            </w:tcBorders>
            <w:shd w:val="clear" w:color="auto" w:fill="auto"/>
            <w:noWrap/>
            <w:vAlign w:val="center"/>
            <w:hideMark/>
          </w:tcPr>
          <w:p w:rsidR="00FB331C" w:rsidRPr="00EB2995" w:rsidRDefault="00FB331C" w:rsidP="00D53A04">
            <w:pPr>
              <w:rPr>
                <w:rFonts w:cs="Calibri"/>
                <w:color w:val="000000"/>
                <w:lang w:eastAsia="en-GB"/>
              </w:rPr>
            </w:pPr>
            <w:r w:rsidRPr="00EB2995">
              <w:rPr>
                <w:rFonts w:cs="Calibri"/>
                <w:color w:val="000000"/>
                <w:lang w:eastAsia="en-GB"/>
              </w:rPr>
              <w:t>£20,001 - £40,000</w:t>
            </w:r>
          </w:p>
        </w:tc>
        <w:tc>
          <w:tcPr>
            <w:tcW w:w="993" w:type="dxa"/>
            <w:tcBorders>
              <w:top w:val="nil"/>
              <w:left w:val="nil"/>
              <w:bottom w:val="nil"/>
              <w:right w:val="single" w:sz="8" w:space="0" w:color="auto"/>
            </w:tcBorders>
            <w:shd w:val="clear" w:color="auto" w:fill="auto"/>
            <w:noWrap/>
            <w:vAlign w:val="center"/>
            <w:hideMark/>
          </w:tcPr>
          <w:p w:rsidR="00FB331C" w:rsidRPr="00EB2995" w:rsidRDefault="00FB331C" w:rsidP="00D53A04">
            <w:pPr>
              <w:jc w:val="right"/>
              <w:rPr>
                <w:rFonts w:cs="Calibri"/>
                <w:color w:val="000000"/>
                <w:lang w:eastAsia="en-GB"/>
              </w:rPr>
            </w:pPr>
            <w:r w:rsidRPr="00EB2995">
              <w:rPr>
                <w:rFonts w:cs="Calibri"/>
                <w:color w:val="000000"/>
                <w:lang w:eastAsia="en-GB"/>
              </w:rPr>
              <w:t>22</w:t>
            </w:r>
          </w:p>
        </w:tc>
        <w:tc>
          <w:tcPr>
            <w:tcW w:w="992" w:type="dxa"/>
            <w:tcBorders>
              <w:top w:val="nil"/>
              <w:left w:val="nil"/>
              <w:bottom w:val="nil"/>
              <w:right w:val="single" w:sz="8" w:space="0" w:color="auto"/>
            </w:tcBorders>
            <w:shd w:val="clear" w:color="auto" w:fill="auto"/>
            <w:noWrap/>
            <w:vAlign w:val="center"/>
          </w:tcPr>
          <w:p w:rsidR="00FB331C" w:rsidRPr="00EB2995" w:rsidRDefault="00FB331C" w:rsidP="00D53A04">
            <w:pPr>
              <w:jc w:val="right"/>
              <w:rPr>
                <w:rFonts w:cs="Calibri"/>
                <w:color w:val="000000"/>
                <w:lang w:eastAsia="en-GB"/>
              </w:rPr>
            </w:pPr>
            <w:r w:rsidRPr="00EB2995">
              <w:rPr>
                <w:rFonts w:cs="Calibri"/>
                <w:color w:val="000000"/>
              </w:rPr>
              <w:t>4</w:t>
            </w:r>
          </w:p>
        </w:tc>
        <w:tc>
          <w:tcPr>
            <w:tcW w:w="992" w:type="dxa"/>
            <w:tcBorders>
              <w:top w:val="nil"/>
              <w:left w:val="nil"/>
              <w:bottom w:val="nil"/>
              <w:right w:val="single" w:sz="8" w:space="0" w:color="auto"/>
            </w:tcBorders>
            <w:shd w:val="clear" w:color="auto" w:fill="auto"/>
            <w:noWrap/>
            <w:vAlign w:val="center"/>
            <w:hideMark/>
          </w:tcPr>
          <w:p w:rsidR="00FB331C" w:rsidRPr="00EB2995" w:rsidRDefault="00FB331C" w:rsidP="00D53A04">
            <w:pPr>
              <w:jc w:val="right"/>
              <w:rPr>
                <w:rFonts w:cs="Calibri"/>
                <w:color w:val="000000"/>
                <w:lang w:eastAsia="en-GB"/>
              </w:rPr>
            </w:pPr>
            <w:r w:rsidRPr="00EB2995">
              <w:rPr>
                <w:rFonts w:cs="Calibri"/>
                <w:color w:val="000000"/>
                <w:lang w:eastAsia="en-GB"/>
              </w:rPr>
              <w:t>67</w:t>
            </w:r>
          </w:p>
        </w:tc>
        <w:tc>
          <w:tcPr>
            <w:tcW w:w="993" w:type="dxa"/>
            <w:tcBorders>
              <w:top w:val="nil"/>
              <w:left w:val="nil"/>
              <w:bottom w:val="nil"/>
              <w:right w:val="single" w:sz="8" w:space="0" w:color="auto"/>
            </w:tcBorders>
            <w:shd w:val="clear" w:color="auto" w:fill="auto"/>
            <w:noWrap/>
            <w:vAlign w:val="center"/>
          </w:tcPr>
          <w:p w:rsidR="00FB331C" w:rsidRPr="00EB2995" w:rsidRDefault="00FB331C" w:rsidP="00D53A04">
            <w:pPr>
              <w:jc w:val="right"/>
              <w:rPr>
                <w:rFonts w:cs="Calibri"/>
                <w:color w:val="000000"/>
                <w:lang w:eastAsia="en-GB"/>
              </w:rPr>
            </w:pPr>
            <w:r w:rsidRPr="00EB2995">
              <w:rPr>
                <w:rFonts w:cs="Calibri"/>
                <w:color w:val="000000"/>
              </w:rPr>
              <w:t>50</w:t>
            </w:r>
          </w:p>
        </w:tc>
        <w:tc>
          <w:tcPr>
            <w:tcW w:w="992" w:type="dxa"/>
            <w:tcBorders>
              <w:top w:val="nil"/>
              <w:left w:val="nil"/>
              <w:bottom w:val="nil"/>
              <w:right w:val="single" w:sz="8" w:space="0" w:color="auto"/>
            </w:tcBorders>
            <w:shd w:val="clear" w:color="auto" w:fill="auto"/>
            <w:noWrap/>
            <w:vAlign w:val="center"/>
            <w:hideMark/>
          </w:tcPr>
          <w:p w:rsidR="00FB331C" w:rsidRPr="00EB2995" w:rsidRDefault="00FB331C" w:rsidP="00D53A04">
            <w:pPr>
              <w:jc w:val="right"/>
              <w:rPr>
                <w:rFonts w:cs="Calibri"/>
                <w:color w:val="000000"/>
                <w:lang w:eastAsia="en-GB"/>
              </w:rPr>
            </w:pPr>
            <w:r w:rsidRPr="00EB2995">
              <w:rPr>
                <w:rFonts w:cs="Calibri"/>
                <w:color w:val="000000"/>
                <w:lang w:eastAsia="en-GB"/>
              </w:rPr>
              <w:t>89</w:t>
            </w:r>
          </w:p>
        </w:tc>
        <w:tc>
          <w:tcPr>
            <w:tcW w:w="992" w:type="dxa"/>
            <w:tcBorders>
              <w:top w:val="nil"/>
              <w:left w:val="nil"/>
              <w:bottom w:val="nil"/>
              <w:right w:val="single" w:sz="8" w:space="0" w:color="auto"/>
            </w:tcBorders>
            <w:shd w:val="clear" w:color="auto" w:fill="auto"/>
            <w:noWrap/>
            <w:vAlign w:val="center"/>
          </w:tcPr>
          <w:p w:rsidR="00FB331C" w:rsidRPr="00EB2995" w:rsidRDefault="00FB331C" w:rsidP="00D53A04">
            <w:pPr>
              <w:jc w:val="right"/>
              <w:rPr>
                <w:rFonts w:cs="Calibri"/>
                <w:color w:val="000000"/>
                <w:lang w:eastAsia="en-GB"/>
              </w:rPr>
            </w:pPr>
            <w:r w:rsidRPr="00EB2995">
              <w:rPr>
                <w:rFonts w:cs="Calibri"/>
                <w:color w:val="000000"/>
              </w:rPr>
              <w:t>54</w:t>
            </w:r>
          </w:p>
        </w:tc>
        <w:tc>
          <w:tcPr>
            <w:tcW w:w="992" w:type="dxa"/>
            <w:tcBorders>
              <w:top w:val="nil"/>
              <w:left w:val="nil"/>
              <w:bottom w:val="nil"/>
              <w:right w:val="single" w:sz="8" w:space="0" w:color="auto"/>
            </w:tcBorders>
            <w:shd w:val="clear" w:color="auto" w:fill="auto"/>
            <w:noWrap/>
            <w:vAlign w:val="center"/>
            <w:hideMark/>
          </w:tcPr>
          <w:p w:rsidR="00FB331C" w:rsidRPr="00EB2995" w:rsidRDefault="00FB331C" w:rsidP="00D53A04">
            <w:pPr>
              <w:jc w:val="right"/>
              <w:rPr>
                <w:rFonts w:cs="Calibri"/>
                <w:color w:val="000000"/>
                <w:lang w:eastAsia="en-GB"/>
              </w:rPr>
            </w:pPr>
            <w:r w:rsidRPr="00EB2995">
              <w:rPr>
                <w:rFonts w:cs="Calibri"/>
                <w:color w:val="000000"/>
              </w:rPr>
              <w:t>£2,527</w:t>
            </w:r>
          </w:p>
        </w:tc>
        <w:tc>
          <w:tcPr>
            <w:tcW w:w="1068" w:type="dxa"/>
            <w:tcBorders>
              <w:top w:val="nil"/>
              <w:left w:val="nil"/>
              <w:bottom w:val="nil"/>
              <w:right w:val="single" w:sz="8" w:space="0" w:color="auto"/>
            </w:tcBorders>
            <w:shd w:val="clear" w:color="auto" w:fill="auto"/>
            <w:noWrap/>
            <w:vAlign w:val="center"/>
          </w:tcPr>
          <w:p w:rsidR="00FB331C" w:rsidRPr="00EB2995" w:rsidRDefault="00FB331C" w:rsidP="00D53A04">
            <w:pPr>
              <w:jc w:val="right"/>
              <w:rPr>
                <w:rFonts w:cs="Calibri"/>
                <w:color w:val="000000"/>
                <w:lang w:eastAsia="en-GB"/>
              </w:rPr>
            </w:pPr>
            <w:r w:rsidRPr="00EB2995">
              <w:rPr>
                <w:rFonts w:cs="Calibri"/>
                <w:color w:val="000000"/>
              </w:rPr>
              <w:t>£1,381</w:t>
            </w:r>
          </w:p>
        </w:tc>
      </w:tr>
      <w:tr w:rsidR="00FB331C" w:rsidRPr="00EB2995" w:rsidTr="00FB331C">
        <w:trPr>
          <w:trHeight w:hRule="exact" w:val="397"/>
        </w:trPr>
        <w:tc>
          <w:tcPr>
            <w:tcW w:w="1985" w:type="dxa"/>
            <w:tcBorders>
              <w:top w:val="nil"/>
              <w:left w:val="single" w:sz="8" w:space="0" w:color="auto"/>
              <w:bottom w:val="nil"/>
              <w:right w:val="single" w:sz="8" w:space="0" w:color="auto"/>
            </w:tcBorders>
            <w:shd w:val="clear" w:color="auto" w:fill="auto"/>
            <w:noWrap/>
            <w:vAlign w:val="center"/>
            <w:hideMark/>
          </w:tcPr>
          <w:p w:rsidR="00FB331C" w:rsidRPr="00EB2995" w:rsidRDefault="00FB331C" w:rsidP="00D53A04">
            <w:pPr>
              <w:rPr>
                <w:rFonts w:cs="Calibri"/>
                <w:color w:val="000000"/>
                <w:lang w:eastAsia="en-GB"/>
              </w:rPr>
            </w:pPr>
            <w:r w:rsidRPr="00EB2995">
              <w:rPr>
                <w:rFonts w:cs="Calibri"/>
                <w:color w:val="000000"/>
                <w:lang w:eastAsia="en-GB"/>
              </w:rPr>
              <w:t> </w:t>
            </w:r>
          </w:p>
        </w:tc>
        <w:tc>
          <w:tcPr>
            <w:tcW w:w="993" w:type="dxa"/>
            <w:tcBorders>
              <w:top w:val="nil"/>
              <w:left w:val="nil"/>
              <w:bottom w:val="nil"/>
              <w:right w:val="single" w:sz="8" w:space="0" w:color="auto"/>
            </w:tcBorders>
            <w:shd w:val="clear" w:color="auto" w:fill="auto"/>
            <w:noWrap/>
            <w:vAlign w:val="center"/>
            <w:hideMark/>
          </w:tcPr>
          <w:p w:rsidR="00FB331C" w:rsidRPr="00EB2995" w:rsidRDefault="00FB331C" w:rsidP="00D53A04">
            <w:pPr>
              <w:jc w:val="right"/>
              <w:rPr>
                <w:rFonts w:cs="Calibri"/>
                <w:color w:val="000000"/>
                <w:lang w:eastAsia="en-GB"/>
              </w:rPr>
            </w:pPr>
            <w:r w:rsidRPr="00EB2995">
              <w:rPr>
                <w:rFonts w:cs="Calibri"/>
                <w:color w:val="000000"/>
                <w:lang w:eastAsia="en-GB"/>
              </w:rPr>
              <w:t> </w:t>
            </w:r>
          </w:p>
        </w:tc>
        <w:tc>
          <w:tcPr>
            <w:tcW w:w="992" w:type="dxa"/>
            <w:tcBorders>
              <w:top w:val="nil"/>
              <w:left w:val="nil"/>
              <w:bottom w:val="nil"/>
              <w:right w:val="single" w:sz="8" w:space="0" w:color="auto"/>
            </w:tcBorders>
            <w:shd w:val="clear" w:color="auto" w:fill="auto"/>
            <w:noWrap/>
            <w:vAlign w:val="center"/>
          </w:tcPr>
          <w:p w:rsidR="00FB331C" w:rsidRPr="00EB2995" w:rsidRDefault="00FB331C" w:rsidP="00D53A04">
            <w:pPr>
              <w:jc w:val="right"/>
              <w:rPr>
                <w:rFonts w:cs="Calibri"/>
                <w:color w:val="000000"/>
                <w:lang w:eastAsia="en-GB"/>
              </w:rPr>
            </w:pPr>
            <w:r w:rsidRPr="00EB2995">
              <w:rPr>
                <w:rFonts w:cs="Calibri"/>
                <w:color w:val="000000"/>
              </w:rPr>
              <w:t> </w:t>
            </w:r>
          </w:p>
        </w:tc>
        <w:tc>
          <w:tcPr>
            <w:tcW w:w="992" w:type="dxa"/>
            <w:tcBorders>
              <w:top w:val="nil"/>
              <w:left w:val="nil"/>
              <w:bottom w:val="nil"/>
              <w:right w:val="single" w:sz="8" w:space="0" w:color="auto"/>
            </w:tcBorders>
            <w:shd w:val="clear" w:color="auto" w:fill="auto"/>
            <w:noWrap/>
            <w:vAlign w:val="center"/>
            <w:hideMark/>
          </w:tcPr>
          <w:p w:rsidR="00FB331C" w:rsidRPr="00EB2995" w:rsidRDefault="00FB331C" w:rsidP="00D53A04">
            <w:pPr>
              <w:jc w:val="right"/>
              <w:rPr>
                <w:rFonts w:cs="Calibri"/>
                <w:color w:val="000000"/>
                <w:lang w:eastAsia="en-GB"/>
              </w:rPr>
            </w:pPr>
            <w:r w:rsidRPr="00EB2995">
              <w:rPr>
                <w:rFonts w:cs="Calibri"/>
                <w:color w:val="000000"/>
                <w:lang w:eastAsia="en-GB"/>
              </w:rPr>
              <w:t> </w:t>
            </w:r>
          </w:p>
        </w:tc>
        <w:tc>
          <w:tcPr>
            <w:tcW w:w="993" w:type="dxa"/>
            <w:tcBorders>
              <w:top w:val="nil"/>
              <w:left w:val="nil"/>
              <w:bottom w:val="nil"/>
              <w:right w:val="single" w:sz="8" w:space="0" w:color="auto"/>
            </w:tcBorders>
            <w:shd w:val="clear" w:color="auto" w:fill="auto"/>
            <w:noWrap/>
            <w:vAlign w:val="center"/>
          </w:tcPr>
          <w:p w:rsidR="00FB331C" w:rsidRPr="00EB2995" w:rsidRDefault="00FB331C" w:rsidP="00D53A04">
            <w:pPr>
              <w:jc w:val="right"/>
              <w:rPr>
                <w:rFonts w:cs="Calibri"/>
                <w:color w:val="000000"/>
                <w:lang w:eastAsia="en-GB"/>
              </w:rPr>
            </w:pPr>
          </w:p>
        </w:tc>
        <w:tc>
          <w:tcPr>
            <w:tcW w:w="992" w:type="dxa"/>
            <w:tcBorders>
              <w:top w:val="nil"/>
              <w:left w:val="nil"/>
              <w:bottom w:val="nil"/>
              <w:right w:val="single" w:sz="8" w:space="0" w:color="auto"/>
            </w:tcBorders>
            <w:shd w:val="clear" w:color="auto" w:fill="auto"/>
            <w:noWrap/>
            <w:vAlign w:val="center"/>
            <w:hideMark/>
          </w:tcPr>
          <w:p w:rsidR="00FB331C" w:rsidRPr="00EB2995" w:rsidRDefault="00FB331C" w:rsidP="00D53A04">
            <w:pPr>
              <w:jc w:val="right"/>
              <w:rPr>
                <w:rFonts w:cs="Calibri"/>
                <w:color w:val="000000"/>
                <w:lang w:eastAsia="en-GB"/>
              </w:rPr>
            </w:pPr>
            <w:r w:rsidRPr="00EB2995">
              <w:rPr>
                <w:rFonts w:cs="Calibri"/>
                <w:color w:val="000000"/>
                <w:lang w:eastAsia="en-GB"/>
              </w:rPr>
              <w:t> </w:t>
            </w:r>
          </w:p>
        </w:tc>
        <w:tc>
          <w:tcPr>
            <w:tcW w:w="992" w:type="dxa"/>
            <w:tcBorders>
              <w:top w:val="nil"/>
              <w:left w:val="nil"/>
              <w:bottom w:val="nil"/>
              <w:right w:val="single" w:sz="8" w:space="0" w:color="auto"/>
            </w:tcBorders>
            <w:shd w:val="clear" w:color="auto" w:fill="auto"/>
            <w:noWrap/>
            <w:vAlign w:val="center"/>
          </w:tcPr>
          <w:p w:rsidR="00FB331C" w:rsidRPr="00EB2995" w:rsidRDefault="00FB331C" w:rsidP="00D53A04">
            <w:pPr>
              <w:jc w:val="right"/>
              <w:rPr>
                <w:rFonts w:cs="Calibri"/>
                <w:color w:val="000000"/>
                <w:lang w:eastAsia="en-GB"/>
              </w:rPr>
            </w:pPr>
            <w:r w:rsidRPr="00EB2995">
              <w:rPr>
                <w:rFonts w:cs="Calibri"/>
                <w:color w:val="000000"/>
              </w:rPr>
              <w:t> </w:t>
            </w:r>
          </w:p>
        </w:tc>
        <w:tc>
          <w:tcPr>
            <w:tcW w:w="992" w:type="dxa"/>
            <w:tcBorders>
              <w:top w:val="nil"/>
              <w:left w:val="nil"/>
              <w:bottom w:val="nil"/>
              <w:right w:val="single" w:sz="8" w:space="0" w:color="auto"/>
            </w:tcBorders>
            <w:shd w:val="clear" w:color="auto" w:fill="auto"/>
            <w:noWrap/>
            <w:vAlign w:val="center"/>
            <w:hideMark/>
          </w:tcPr>
          <w:p w:rsidR="00FB331C" w:rsidRPr="00EB2995" w:rsidRDefault="00FB331C" w:rsidP="00D53A04">
            <w:pPr>
              <w:jc w:val="right"/>
              <w:rPr>
                <w:rFonts w:cs="Calibri"/>
                <w:color w:val="000000"/>
                <w:lang w:eastAsia="en-GB"/>
              </w:rPr>
            </w:pPr>
            <w:r w:rsidRPr="00EB2995">
              <w:rPr>
                <w:rFonts w:cs="Calibri"/>
                <w:color w:val="000000"/>
              </w:rPr>
              <w:t> </w:t>
            </w:r>
          </w:p>
        </w:tc>
        <w:tc>
          <w:tcPr>
            <w:tcW w:w="1068" w:type="dxa"/>
            <w:tcBorders>
              <w:top w:val="nil"/>
              <w:left w:val="nil"/>
              <w:bottom w:val="nil"/>
              <w:right w:val="single" w:sz="8" w:space="0" w:color="auto"/>
            </w:tcBorders>
            <w:shd w:val="clear" w:color="auto" w:fill="auto"/>
            <w:noWrap/>
            <w:vAlign w:val="center"/>
          </w:tcPr>
          <w:p w:rsidR="00FB331C" w:rsidRPr="00EB2995" w:rsidRDefault="00FB331C" w:rsidP="00D53A04">
            <w:pPr>
              <w:jc w:val="right"/>
              <w:rPr>
                <w:rFonts w:cs="Calibri"/>
                <w:color w:val="000000"/>
                <w:lang w:eastAsia="en-GB"/>
              </w:rPr>
            </w:pPr>
            <w:r w:rsidRPr="00EB2995">
              <w:rPr>
                <w:rFonts w:cs="Calibri"/>
                <w:color w:val="000000"/>
              </w:rPr>
              <w:t> </w:t>
            </w:r>
          </w:p>
        </w:tc>
      </w:tr>
      <w:tr w:rsidR="00FB331C" w:rsidRPr="00EB2995" w:rsidTr="00FB331C">
        <w:trPr>
          <w:trHeight w:hRule="exact" w:val="397"/>
        </w:trPr>
        <w:tc>
          <w:tcPr>
            <w:tcW w:w="1985" w:type="dxa"/>
            <w:tcBorders>
              <w:top w:val="nil"/>
              <w:left w:val="single" w:sz="8" w:space="0" w:color="auto"/>
              <w:bottom w:val="nil"/>
              <w:right w:val="single" w:sz="8" w:space="0" w:color="auto"/>
            </w:tcBorders>
            <w:shd w:val="clear" w:color="auto" w:fill="auto"/>
            <w:noWrap/>
            <w:vAlign w:val="center"/>
            <w:hideMark/>
          </w:tcPr>
          <w:p w:rsidR="00FB331C" w:rsidRPr="00EB2995" w:rsidRDefault="00FB331C" w:rsidP="00D53A04">
            <w:pPr>
              <w:rPr>
                <w:rFonts w:cs="Calibri"/>
                <w:color w:val="000000"/>
                <w:lang w:eastAsia="en-GB"/>
              </w:rPr>
            </w:pPr>
            <w:r w:rsidRPr="00EB2995">
              <w:rPr>
                <w:rFonts w:cs="Calibri"/>
                <w:color w:val="000000"/>
                <w:lang w:eastAsia="en-GB"/>
              </w:rPr>
              <w:t>£40,001 - £60,000</w:t>
            </w:r>
          </w:p>
        </w:tc>
        <w:tc>
          <w:tcPr>
            <w:tcW w:w="993" w:type="dxa"/>
            <w:tcBorders>
              <w:top w:val="nil"/>
              <w:left w:val="nil"/>
              <w:bottom w:val="nil"/>
              <w:right w:val="single" w:sz="8" w:space="0" w:color="auto"/>
            </w:tcBorders>
            <w:shd w:val="clear" w:color="auto" w:fill="auto"/>
            <w:noWrap/>
            <w:vAlign w:val="center"/>
            <w:hideMark/>
          </w:tcPr>
          <w:p w:rsidR="00FB331C" w:rsidRPr="00EB2995" w:rsidRDefault="00FB331C" w:rsidP="00D53A04">
            <w:pPr>
              <w:jc w:val="right"/>
              <w:rPr>
                <w:rFonts w:cs="Calibri"/>
                <w:color w:val="000000"/>
                <w:lang w:eastAsia="en-GB"/>
              </w:rPr>
            </w:pPr>
            <w:r w:rsidRPr="00EB2995">
              <w:rPr>
                <w:rFonts w:cs="Calibri"/>
                <w:color w:val="000000"/>
                <w:lang w:eastAsia="en-GB"/>
              </w:rPr>
              <w:t>2</w:t>
            </w:r>
          </w:p>
        </w:tc>
        <w:tc>
          <w:tcPr>
            <w:tcW w:w="992" w:type="dxa"/>
            <w:tcBorders>
              <w:top w:val="nil"/>
              <w:left w:val="nil"/>
              <w:bottom w:val="nil"/>
              <w:right w:val="single" w:sz="8" w:space="0" w:color="auto"/>
            </w:tcBorders>
            <w:shd w:val="clear" w:color="auto" w:fill="auto"/>
            <w:noWrap/>
            <w:vAlign w:val="center"/>
          </w:tcPr>
          <w:p w:rsidR="00FB331C" w:rsidRPr="00EB2995" w:rsidRDefault="00FB331C" w:rsidP="00D53A04">
            <w:pPr>
              <w:jc w:val="right"/>
              <w:rPr>
                <w:rFonts w:cs="Calibri"/>
                <w:color w:val="000000"/>
                <w:lang w:eastAsia="en-GB"/>
              </w:rPr>
            </w:pPr>
            <w:r w:rsidRPr="00EB2995">
              <w:rPr>
                <w:rFonts w:cs="Calibri"/>
                <w:color w:val="000000"/>
              </w:rPr>
              <w:t>0</w:t>
            </w:r>
          </w:p>
        </w:tc>
        <w:tc>
          <w:tcPr>
            <w:tcW w:w="992" w:type="dxa"/>
            <w:tcBorders>
              <w:top w:val="nil"/>
              <w:left w:val="nil"/>
              <w:bottom w:val="nil"/>
              <w:right w:val="single" w:sz="8" w:space="0" w:color="auto"/>
            </w:tcBorders>
            <w:shd w:val="clear" w:color="auto" w:fill="auto"/>
            <w:noWrap/>
            <w:vAlign w:val="center"/>
            <w:hideMark/>
          </w:tcPr>
          <w:p w:rsidR="00FB331C" w:rsidRPr="00EB2995" w:rsidRDefault="00FB331C" w:rsidP="00D53A04">
            <w:pPr>
              <w:jc w:val="right"/>
              <w:rPr>
                <w:rFonts w:cs="Calibri"/>
                <w:color w:val="000000"/>
                <w:lang w:eastAsia="en-GB"/>
              </w:rPr>
            </w:pPr>
            <w:r w:rsidRPr="00EB2995">
              <w:rPr>
                <w:rFonts w:cs="Calibri"/>
                <w:color w:val="000000"/>
                <w:lang w:eastAsia="en-GB"/>
              </w:rPr>
              <w:t>12</w:t>
            </w:r>
          </w:p>
        </w:tc>
        <w:tc>
          <w:tcPr>
            <w:tcW w:w="993" w:type="dxa"/>
            <w:tcBorders>
              <w:top w:val="nil"/>
              <w:left w:val="nil"/>
              <w:bottom w:val="nil"/>
              <w:right w:val="single" w:sz="8" w:space="0" w:color="auto"/>
            </w:tcBorders>
            <w:shd w:val="clear" w:color="auto" w:fill="auto"/>
            <w:noWrap/>
            <w:vAlign w:val="center"/>
          </w:tcPr>
          <w:p w:rsidR="00FB331C" w:rsidRPr="00EB2995" w:rsidRDefault="00FB331C" w:rsidP="00D53A04">
            <w:pPr>
              <w:jc w:val="right"/>
              <w:rPr>
                <w:rFonts w:cs="Calibri"/>
                <w:color w:val="000000"/>
                <w:lang w:eastAsia="en-GB"/>
              </w:rPr>
            </w:pPr>
            <w:r w:rsidRPr="00EB2995">
              <w:rPr>
                <w:rFonts w:cs="Calibri"/>
                <w:color w:val="000000"/>
              </w:rPr>
              <w:t>11</w:t>
            </w:r>
          </w:p>
        </w:tc>
        <w:tc>
          <w:tcPr>
            <w:tcW w:w="992" w:type="dxa"/>
            <w:tcBorders>
              <w:top w:val="nil"/>
              <w:left w:val="nil"/>
              <w:bottom w:val="nil"/>
              <w:right w:val="single" w:sz="8" w:space="0" w:color="auto"/>
            </w:tcBorders>
            <w:shd w:val="clear" w:color="auto" w:fill="auto"/>
            <w:noWrap/>
            <w:vAlign w:val="center"/>
            <w:hideMark/>
          </w:tcPr>
          <w:p w:rsidR="00FB331C" w:rsidRPr="00EB2995" w:rsidRDefault="00FB331C" w:rsidP="00D53A04">
            <w:pPr>
              <w:jc w:val="right"/>
              <w:rPr>
                <w:rFonts w:cs="Calibri"/>
                <w:color w:val="000000"/>
                <w:lang w:eastAsia="en-GB"/>
              </w:rPr>
            </w:pPr>
            <w:r w:rsidRPr="00EB2995">
              <w:rPr>
                <w:rFonts w:cs="Calibri"/>
                <w:color w:val="000000"/>
                <w:lang w:eastAsia="en-GB"/>
              </w:rPr>
              <w:t>14</w:t>
            </w:r>
          </w:p>
        </w:tc>
        <w:tc>
          <w:tcPr>
            <w:tcW w:w="992" w:type="dxa"/>
            <w:tcBorders>
              <w:top w:val="nil"/>
              <w:left w:val="nil"/>
              <w:bottom w:val="nil"/>
              <w:right w:val="single" w:sz="8" w:space="0" w:color="auto"/>
            </w:tcBorders>
            <w:shd w:val="clear" w:color="auto" w:fill="auto"/>
            <w:noWrap/>
            <w:vAlign w:val="center"/>
          </w:tcPr>
          <w:p w:rsidR="00FB331C" w:rsidRPr="00EB2995" w:rsidRDefault="00FB331C" w:rsidP="00D53A04">
            <w:pPr>
              <w:jc w:val="right"/>
              <w:rPr>
                <w:rFonts w:cs="Calibri"/>
                <w:color w:val="000000"/>
                <w:lang w:eastAsia="en-GB"/>
              </w:rPr>
            </w:pPr>
            <w:r w:rsidRPr="00EB2995">
              <w:rPr>
                <w:rFonts w:cs="Calibri"/>
                <w:color w:val="000000"/>
              </w:rPr>
              <w:t>11</w:t>
            </w:r>
          </w:p>
        </w:tc>
        <w:tc>
          <w:tcPr>
            <w:tcW w:w="992" w:type="dxa"/>
            <w:tcBorders>
              <w:top w:val="nil"/>
              <w:left w:val="nil"/>
              <w:bottom w:val="nil"/>
              <w:right w:val="single" w:sz="8" w:space="0" w:color="auto"/>
            </w:tcBorders>
            <w:shd w:val="clear" w:color="auto" w:fill="auto"/>
            <w:noWrap/>
            <w:vAlign w:val="center"/>
            <w:hideMark/>
          </w:tcPr>
          <w:p w:rsidR="00FB331C" w:rsidRPr="00EB2995" w:rsidRDefault="00FB331C" w:rsidP="00D53A04">
            <w:pPr>
              <w:jc w:val="right"/>
              <w:rPr>
                <w:rFonts w:cs="Calibri"/>
                <w:color w:val="000000"/>
                <w:lang w:eastAsia="en-GB"/>
              </w:rPr>
            </w:pPr>
            <w:r w:rsidRPr="00EB2995">
              <w:rPr>
                <w:rFonts w:cs="Calibri"/>
                <w:color w:val="000000"/>
              </w:rPr>
              <w:t>£636</w:t>
            </w:r>
          </w:p>
        </w:tc>
        <w:tc>
          <w:tcPr>
            <w:tcW w:w="1068" w:type="dxa"/>
            <w:tcBorders>
              <w:top w:val="nil"/>
              <w:left w:val="nil"/>
              <w:bottom w:val="nil"/>
              <w:right w:val="single" w:sz="8" w:space="0" w:color="auto"/>
            </w:tcBorders>
            <w:shd w:val="clear" w:color="auto" w:fill="auto"/>
            <w:noWrap/>
            <w:vAlign w:val="center"/>
          </w:tcPr>
          <w:p w:rsidR="00FB331C" w:rsidRPr="00EB2995" w:rsidRDefault="00FB331C" w:rsidP="00D53A04">
            <w:pPr>
              <w:jc w:val="right"/>
              <w:rPr>
                <w:rFonts w:cs="Calibri"/>
                <w:color w:val="000000"/>
                <w:lang w:eastAsia="en-GB"/>
              </w:rPr>
            </w:pPr>
            <w:r w:rsidRPr="00EB2995">
              <w:rPr>
                <w:rFonts w:cs="Calibri"/>
                <w:color w:val="000000"/>
              </w:rPr>
              <w:t>£86</w:t>
            </w:r>
          </w:p>
        </w:tc>
      </w:tr>
      <w:tr w:rsidR="00FB331C" w:rsidRPr="00EB2995" w:rsidTr="00FB331C">
        <w:trPr>
          <w:trHeight w:hRule="exact" w:val="397"/>
        </w:trPr>
        <w:tc>
          <w:tcPr>
            <w:tcW w:w="1985" w:type="dxa"/>
            <w:tcBorders>
              <w:top w:val="nil"/>
              <w:left w:val="single" w:sz="8" w:space="0" w:color="auto"/>
              <w:bottom w:val="nil"/>
              <w:right w:val="single" w:sz="8" w:space="0" w:color="auto"/>
            </w:tcBorders>
            <w:shd w:val="clear" w:color="auto" w:fill="auto"/>
            <w:noWrap/>
            <w:vAlign w:val="center"/>
            <w:hideMark/>
          </w:tcPr>
          <w:p w:rsidR="00FB331C" w:rsidRPr="00EB2995" w:rsidRDefault="00FB331C" w:rsidP="00D53A04">
            <w:pPr>
              <w:rPr>
                <w:rFonts w:cs="Calibri"/>
                <w:color w:val="000000"/>
                <w:lang w:eastAsia="en-GB"/>
              </w:rPr>
            </w:pPr>
            <w:r w:rsidRPr="00EB2995">
              <w:rPr>
                <w:rFonts w:cs="Calibri"/>
                <w:color w:val="000000"/>
                <w:lang w:eastAsia="en-GB"/>
              </w:rPr>
              <w:t> </w:t>
            </w:r>
          </w:p>
        </w:tc>
        <w:tc>
          <w:tcPr>
            <w:tcW w:w="993" w:type="dxa"/>
            <w:tcBorders>
              <w:top w:val="nil"/>
              <w:left w:val="nil"/>
              <w:bottom w:val="nil"/>
              <w:right w:val="single" w:sz="8" w:space="0" w:color="auto"/>
            </w:tcBorders>
            <w:shd w:val="clear" w:color="auto" w:fill="auto"/>
            <w:noWrap/>
            <w:vAlign w:val="center"/>
            <w:hideMark/>
          </w:tcPr>
          <w:p w:rsidR="00FB331C" w:rsidRPr="00EB2995" w:rsidRDefault="00FB331C" w:rsidP="00D53A04">
            <w:pPr>
              <w:jc w:val="right"/>
              <w:rPr>
                <w:rFonts w:cs="Calibri"/>
                <w:color w:val="000000"/>
                <w:lang w:eastAsia="en-GB"/>
              </w:rPr>
            </w:pPr>
            <w:r w:rsidRPr="00EB2995">
              <w:rPr>
                <w:rFonts w:cs="Calibri"/>
                <w:color w:val="000000"/>
                <w:lang w:eastAsia="en-GB"/>
              </w:rPr>
              <w:t> </w:t>
            </w:r>
          </w:p>
        </w:tc>
        <w:tc>
          <w:tcPr>
            <w:tcW w:w="992" w:type="dxa"/>
            <w:tcBorders>
              <w:top w:val="nil"/>
              <w:left w:val="nil"/>
              <w:bottom w:val="nil"/>
              <w:right w:val="single" w:sz="8" w:space="0" w:color="auto"/>
            </w:tcBorders>
            <w:shd w:val="clear" w:color="auto" w:fill="auto"/>
            <w:noWrap/>
            <w:vAlign w:val="center"/>
          </w:tcPr>
          <w:p w:rsidR="00FB331C" w:rsidRPr="00EB2995" w:rsidRDefault="00FB331C" w:rsidP="00D53A04">
            <w:pPr>
              <w:jc w:val="right"/>
              <w:rPr>
                <w:rFonts w:cs="Calibri"/>
                <w:color w:val="000000"/>
                <w:lang w:eastAsia="en-GB"/>
              </w:rPr>
            </w:pPr>
            <w:r w:rsidRPr="00EB2995">
              <w:rPr>
                <w:rFonts w:cs="Calibri"/>
                <w:color w:val="000000"/>
              </w:rPr>
              <w:t> </w:t>
            </w:r>
          </w:p>
        </w:tc>
        <w:tc>
          <w:tcPr>
            <w:tcW w:w="992" w:type="dxa"/>
            <w:tcBorders>
              <w:top w:val="nil"/>
              <w:left w:val="nil"/>
              <w:bottom w:val="nil"/>
              <w:right w:val="single" w:sz="8" w:space="0" w:color="auto"/>
            </w:tcBorders>
            <w:shd w:val="clear" w:color="auto" w:fill="auto"/>
            <w:noWrap/>
            <w:vAlign w:val="center"/>
            <w:hideMark/>
          </w:tcPr>
          <w:p w:rsidR="00FB331C" w:rsidRPr="00EB2995" w:rsidRDefault="00FB331C" w:rsidP="00D53A04">
            <w:pPr>
              <w:jc w:val="right"/>
              <w:rPr>
                <w:rFonts w:cs="Calibri"/>
                <w:color w:val="000000"/>
                <w:lang w:eastAsia="en-GB"/>
              </w:rPr>
            </w:pPr>
            <w:r w:rsidRPr="00EB2995">
              <w:rPr>
                <w:rFonts w:cs="Calibri"/>
                <w:color w:val="000000"/>
                <w:lang w:eastAsia="en-GB"/>
              </w:rPr>
              <w:t> </w:t>
            </w:r>
          </w:p>
        </w:tc>
        <w:tc>
          <w:tcPr>
            <w:tcW w:w="993" w:type="dxa"/>
            <w:tcBorders>
              <w:top w:val="nil"/>
              <w:left w:val="nil"/>
              <w:bottom w:val="nil"/>
              <w:right w:val="single" w:sz="8" w:space="0" w:color="auto"/>
            </w:tcBorders>
            <w:shd w:val="clear" w:color="auto" w:fill="auto"/>
            <w:noWrap/>
            <w:vAlign w:val="center"/>
          </w:tcPr>
          <w:p w:rsidR="00FB331C" w:rsidRPr="00EB2995" w:rsidRDefault="00FB331C" w:rsidP="00D53A04">
            <w:pPr>
              <w:jc w:val="right"/>
              <w:rPr>
                <w:rFonts w:cs="Calibri"/>
                <w:color w:val="000000"/>
                <w:lang w:eastAsia="en-GB"/>
              </w:rPr>
            </w:pPr>
          </w:p>
        </w:tc>
        <w:tc>
          <w:tcPr>
            <w:tcW w:w="992" w:type="dxa"/>
            <w:tcBorders>
              <w:top w:val="nil"/>
              <w:left w:val="nil"/>
              <w:bottom w:val="nil"/>
              <w:right w:val="single" w:sz="8" w:space="0" w:color="auto"/>
            </w:tcBorders>
            <w:shd w:val="clear" w:color="auto" w:fill="auto"/>
            <w:noWrap/>
            <w:vAlign w:val="center"/>
            <w:hideMark/>
          </w:tcPr>
          <w:p w:rsidR="00FB331C" w:rsidRPr="00EB2995" w:rsidRDefault="00FB331C" w:rsidP="00D53A04">
            <w:pPr>
              <w:jc w:val="right"/>
              <w:rPr>
                <w:rFonts w:cs="Calibri"/>
                <w:color w:val="000000"/>
                <w:lang w:eastAsia="en-GB"/>
              </w:rPr>
            </w:pPr>
            <w:r w:rsidRPr="00EB2995">
              <w:rPr>
                <w:rFonts w:cs="Calibri"/>
                <w:color w:val="000000"/>
                <w:lang w:eastAsia="en-GB"/>
              </w:rPr>
              <w:t> </w:t>
            </w:r>
          </w:p>
        </w:tc>
        <w:tc>
          <w:tcPr>
            <w:tcW w:w="992" w:type="dxa"/>
            <w:tcBorders>
              <w:top w:val="nil"/>
              <w:left w:val="nil"/>
              <w:bottom w:val="nil"/>
              <w:right w:val="single" w:sz="8" w:space="0" w:color="auto"/>
            </w:tcBorders>
            <w:shd w:val="clear" w:color="auto" w:fill="auto"/>
            <w:noWrap/>
            <w:vAlign w:val="center"/>
          </w:tcPr>
          <w:p w:rsidR="00FB331C" w:rsidRPr="00EB2995" w:rsidRDefault="00FB331C" w:rsidP="00D53A04">
            <w:pPr>
              <w:jc w:val="right"/>
              <w:rPr>
                <w:rFonts w:cs="Calibri"/>
                <w:color w:val="000000"/>
                <w:lang w:eastAsia="en-GB"/>
              </w:rPr>
            </w:pPr>
            <w:r w:rsidRPr="00EB2995">
              <w:rPr>
                <w:rFonts w:cs="Calibri"/>
                <w:color w:val="000000"/>
              </w:rPr>
              <w:t> </w:t>
            </w:r>
          </w:p>
        </w:tc>
        <w:tc>
          <w:tcPr>
            <w:tcW w:w="992" w:type="dxa"/>
            <w:tcBorders>
              <w:top w:val="nil"/>
              <w:left w:val="nil"/>
              <w:bottom w:val="nil"/>
              <w:right w:val="single" w:sz="8" w:space="0" w:color="auto"/>
            </w:tcBorders>
            <w:shd w:val="clear" w:color="auto" w:fill="auto"/>
            <w:noWrap/>
            <w:vAlign w:val="center"/>
            <w:hideMark/>
          </w:tcPr>
          <w:p w:rsidR="00FB331C" w:rsidRPr="00EB2995" w:rsidRDefault="00FB331C" w:rsidP="00D53A04">
            <w:pPr>
              <w:jc w:val="right"/>
              <w:rPr>
                <w:rFonts w:cs="Calibri"/>
                <w:color w:val="000000"/>
                <w:lang w:eastAsia="en-GB"/>
              </w:rPr>
            </w:pPr>
            <w:r w:rsidRPr="00EB2995">
              <w:rPr>
                <w:rFonts w:cs="Calibri"/>
                <w:color w:val="000000"/>
              </w:rPr>
              <w:t> </w:t>
            </w:r>
          </w:p>
        </w:tc>
        <w:tc>
          <w:tcPr>
            <w:tcW w:w="1068" w:type="dxa"/>
            <w:tcBorders>
              <w:top w:val="nil"/>
              <w:left w:val="nil"/>
              <w:bottom w:val="nil"/>
              <w:right w:val="single" w:sz="8" w:space="0" w:color="auto"/>
            </w:tcBorders>
            <w:shd w:val="clear" w:color="auto" w:fill="auto"/>
            <w:noWrap/>
            <w:vAlign w:val="center"/>
          </w:tcPr>
          <w:p w:rsidR="00FB331C" w:rsidRPr="00EB2995" w:rsidRDefault="00FB331C" w:rsidP="00D53A04">
            <w:pPr>
              <w:jc w:val="right"/>
              <w:rPr>
                <w:rFonts w:cs="Calibri"/>
                <w:color w:val="000000"/>
                <w:lang w:eastAsia="en-GB"/>
              </w:rPr>
            </w:pPr>
            <w:r w:rsidRPr="00EB2995">
              <w:rPr>
                <w:rFonts w:cs="Calibri"/>
                <w:color w:val="000000"/>
              </w:rPr>
              <w:t> </w:t>
            </w:r>
          </w:p>
        </w:tc>
      </w:tr>
      <w:tr w:rsidR="00FB331C" w:rsidRPr="00EB2995" w:rsidTr="00FB331C">
        <w:trPr>
          <w:trHeight w:hRule="exact" w:val="397"/>
        </w:trPr>
        <w:tc>
          <w:tcPr>
            <w:tcW w:w="1985" w:type="dxa"/>
            <w:tcBorders>
              <w:top w:val="nil"/>
              <w:left w:val="single" w:sz="8" w:space="0" w:color="auto"/>
              <w:bottom w:val="nil"/>
              <w:right w:val="single" w:sz="8" w:space="0" w:color="auto"/>
            </w:tcBorders>
            <w:shd w:val="clear" w:color="auto" w:fill="auto"/>
            <w:noWrap/>
            <w:vAlign w:val="center"/>
            <w:hideMark/>
          </w:tcPr>
          <w:p w:rsidR="00FB331C" w:rsidRPr="00EB2995" w:rsidRDefault="00FB331C" w:rsidP="00D53A04">
            <w:pPr>
              <w:rPr>
                <w:rFonts w:cs="Calibri"/>
                <w:color w:val="000000"/>
                <w:lang w:eastAsia="en-GB"/>
              </w:rPr>
            </w:pPr>
            <w:r w:rsidRPr="00EB2995">
              <w:rPr>
                <w:rFonts w:cs="Calibri"/>
                <w:color w:val="000000"/>
                <w:lang w:eastAsia="en-GB"/>
              </w:rPr>
              <w:t>£60,001 - £80,000</w:t>
            </w:r>
          </w:p>
        </w:tc>
        <w:tc>
          <w:tcPr>
            <w:tcW w:w="993" w:type="dxa"/>
            <w:tcBorders>
              <w:top w:val="nil"/>
              <w:left w:val="nil"/>
              <w:bottom w:val="nil"/>
              <w:right w:val="single" w:sz="8" w:space="0" w:color="auto"/>
            </w:tcBorders>
            <w:shd w:val="clear" w:color="auto" w:fill="auto"/>
            <w:noWrap/>
            <w:vAlign w:val="center"/>
            <w:hideMark/>
          </w:tcPr>
          <w:p w:rsidR="00FB331C" w:rsidRPr="00EB2995" w:rsidRDefault="00FB331C" w:rsidP="00D53A04">
            <w:pPr>
              <w:jc w:val="right"/>
              <w:rPr>
                <w:rFonts w:cs="Calibri"/>
                <w:color w:val="000000"/>
                <w:lang w:eastAsia="en-GB"/>
              </w:rPr>
            </w:pPr>
            <w:r w:rsidRPr="00EB2995">
              <w:rPr>
                <w:rFonts w:cs="Calibri"/>
                <w:color w:val="000000"/>
                <w:lang w:eastAsia="en-GB"/>
              </w:rPr>
              <w:t>0</w:t>
            </w:r>
          </w:p>
        </w:tc>
        <w:tc>
          <w:tcPr>
            <w:tcW w:w="992" w:type="dxa"/>
            <w:tcBorders>
              <w:top w:val="nil"/>
              <w:left w:val="nil"/>
              <w:bottom w:val="nil"/>
              <w:right w:val="single" w:sz="8" w:space="0" w:color="auto"/>
            </w:tcBorders>
            <w:shd w:val="clear" w:color="auto" w:fill="auto"/>
            <w:noWrap/>
            <w:vAlign w:val="center"/>
          </w:tcPr>
          <w:p w:rsidR="00FB331C" w:rsidRPr="00EB2995" w:rsidRDefault="00FB331C" w:rsidP="00D53A04">
            <w:pPr>
              <w:jc w:val="right"/>
              <w:rPr>
                <w:rFonts w:cs="Calibri"/>
                <w:color w:val="000000"/>
                <w:lang w:eastAsia="en-GB"/>
              </w:rPr>
            </w:pPr>
            <w:r w:rsidRPr="00EB2995">
              <w:rPr>
                <w:rFonts w:cs="Calibri"/>
                <w:color w:val="000000"/>
              </w:rPr>
              <w:t>0</w:t>
            </w:r>
          </w:p>
        </w:tc>
        <w:tc>
          <w:tcPr>
            <w:tcW w:w="992" w:type="dxa"/>
            <w:tcBorders>
              <w:top w:val="nil"/>
              <w:left w:val="nil"/>
              <w:bottom w:val="nil"/>
              <w:right w:val="single" w:sz="8" w:space="0" w:color="auto"/>
            </w:tcBorders>
            <w:shd w:val="clear" w:color="auto" w:fill="auto"/>
            <w:noWrap/>
            <w:vAlign w:val="center"/>
            <w:hideMark/>
          </w:tcPr>
          <w:p w:rsidR="00FB331C" w:rsidRPr="00EB2995" w:rsidRDefault="00FB331C" w:rsidP="00D53A04">
            <w:pPr>
              <w:jc w:val="right"/>
              <w:rPr>
                <w:rFonts w:cs="Calibri"/>
                <w:color w:val="000000"/>
                <w:lang w:eastAsia="en-GB"/>
              </w:rPr>
            </w:pPr>
            <w:r w:rsidRPr="00EB2995">
              <w:rPr>
                <w:rFonts w:cs="Calibri"/>
                <w:color w:val="000000"/>
                <w:lang w:eastAsia="en-GB"/>
              </w:rPr>
              <w:t>5</w:t>
            </w:r>
          </w:p>
        </w:tc>
        <w:tc>
          <w:tcPr>
            <w:tcW w:w="993" w:type="dxa"/>
            <w:tcBorders>
              <w:top w:val="nil"/>
              <w:left w:val="nil"/>
              <w:bottom w:val="nil"/>
              <w:right w:val="single" w:sz="8" w:space="0" w:color="auto"/>
            </w:tcBorders>
            <w:shd w:val="clear" w:color="auto" w:fill="auto"/>
            <w:noWrap/>
            <w:vAlign w:val="center"/>
          </w:tcPr>
          <w:p w:rsidR="00FB331C" w:rsidRPr="00EB2995" w:rsidRDefault="00FB331C" w:rsidP="00D53A04">
            <w:pPr>
              <w:jc w:val="right"/>
              <w:rPr>
                <w:rFonts w:cs="Calibri"/>
                <w:color w:val="000000"/>
                <w:lang w:eastAsia="en-GB"/>
              </w:rPr>
            </w:pPr>
            <w:r w:rsidRPr="00EB2995">
              <w:rPr>
                <w:rFonts w:cs="Calibri"/>
                <w:color w:val="000000"/>
              </w:rPr>
              <w:t>3</w:t>
            </w:r>
          </w:p>
        </w:tc>
        <w:tc>
          <w:tcPr>
            <w:tcW w:w="992" w:type="dxa"/>
            <w:tcBorders>
              <w:top w:val="nil"/>
              <w:left w:val="nil"/>
              <w:bottom w:val="nil"/>
              <w:right w:val="single" w:sz="8" w:space="0" w:color="auto"/>
            </w:tcBorders>
            <w:shd w:val="clear" w:color="auto" w:fill="auto"/>
            <w:noWrap/>
            <w:vAlign w:val="center"/>
            <w:hideMark/>
          </w:tcPr>
          <w:p w:rsidR="00FB331C" w:rsidRPr="00EB2995" w:rsidRDefault="00FB331C" w:rsidP="00D53A04">
            <w:pPr>
              <w:jc w:val="right"/>
              <w:rPr>
                <w:rFonts w:cs="Calibri"/>
                <w:color w:val="000000"/>
                <w:lang w:eastAsia="en-GB"/>
              </w:rPr>
            </w:pPr>
            <w:r w:rsidRPr="00EB2995">
              <w:rPr>
                <w:rFonts w:cs="Calibri"/>
                <w:color w:val="000000"/>
                <w:lang w:eastAsia="en-GB"/>
              </w:rPr>
              <w:t>5</w:t>
            </w:r>
          </w:p>
        </w:tc>
        <w:tc>
          <w:tcPr>
            <w:tcW w:w="992" w:type="dxa"/>
            <w:tcBorders>
              <w:top w:val="nil"/>
              <w:left w:val="nil"/>
              <w:bottom w:val="nil"/>
              <w:right w:val="single" w:sz="8" w:space="0" w:color="auto"/>
            </w:tcBorders>
            <w:shd w:val="clear" w:color="auto" w:fill="auto"/>
            <w:noWrap/>
            <w:vAlign w:val="center"/>
          </w:tcPr>
          <w:p w:rsidR="00FB331C" w:rsidRPr="00EB2995" w:rsidRDefault="00FB331C" w:rsidP="00D53A04">
            <w:pPr>
              <w:jc w:val="right"/>
              <w:rPr>
                <w:rFonts w:cs="Calibri"/>
                <w:color w:val="000000"/>
                <w:lang w:eastAsia="en-GB"/>
              </w:rPr>
            </w:pPr>
            <w:r w:rsidRPr="00EB2995">
              <w:rPr>
                <w:rFonts w:cs="Calibri"/>
                <w:color w:val="000000"/>
              </w:rPr>
              <w:t>3</w:t>
            </w:r>
          </w:p>
        </w:tc>
        <w:tc>
          <w:tcPr>
            <w:tcW w:w="992" w:type="dxa"/>
            <w:tcBorders>
              <w:top w:val="nil"/>
              <w:left w:val="nil"/>
              <w:bottom w:val="nil"/>
              <w:right w:val="single" w:sz="8" w:space="0" w:color="auto"/>
            </w:tcBorders>
            <w:shd w:val="clear" w:color="auto" w:fill="auto"/>
            <w:noWrap/>
            <w:vAlign w:val="center"/>
            <w:hideMark/>
          </w:tcPr>
          <w:p w:rsidR="00FB331C" w:rsidRPr="00EB2995" w:rsidRDefault="00FB331C" w:rsidP="00D53A04">
            <w:pPr>
              <w:jc w:val="right"/>
              <w:rPr>
                <w:rFonts w:cs="Calibri"/>
                <w:color w:val="000000"/>
                <w:lang w:eastAsia="en-GB"/>
              </w:rPr>
            </w:pPr>
            <w:r w:rsidRPr="00EB2995">
              <w:rPr>
                <w:rFonts w:cs="Calibri"/>
                <w:color w:val="000000"/>
              </w:rPr>
              <w:t>£355</w:t>
            </w:r>
          </w:p>
        </w:tc>
        <w:tc>
          <w:tcPr>
            <w:tcW w:w="1068" w:type="dxa"/>
            <w:tcBorders>
              <w:top w:val="nil"/>
              <w:left w:val="nil"/>
              <w:bottom w:val="nil"/>
              <w:right w:val="single" w:sz="8" w:space="0" w:color="auto"/>
            </w:tcBorders>
            <w:shd w:val="clear" w:color="auto" w:fill="auto"/>
            <w:noWrap/>
            <w:vAlign w:val="center"/>
          </w:tcPr>
          <w:p w:rsidR="00FB331C" w:rsidRPr="00EB2995" w:rsidRDefault="00FB331C" w:rsidP="00D53A04">
            <w:pPr>
              <w:jc w:val="right"/>
              <w:rPr>
                <w:rFonts w:cs="Calibri"/>
                <w:color w:val="000000"/>
                <w:lang w:eastAsia="en-GB"/>
              </w:rPr>
            </w:pPr>
            <w:r w:rsidRPr="00EB2995">
              <w:rPr>
                <w:rFonts w:cs="Calibri"/>
                <w:color w:val="000000"/>
              </w:rPr>
              <w:t>£161</w:t>
            </w:r>
          </w:p>
        </w:tc>
      </w:tr>
      <w:tr w:rsidR="00FB331C" w:rsidRPr="00EB2995" w:rsidTr="00FB331C">
        <w:trPr>
          <w:trHeight w:hRule="exact" w:val="397"/>
        </w:trPr>
        <w:tc>
          <w:tcPr>
            <w:tcW w:w="1985" w:type="dxa"/>
            <w:tcBorders>
              <w:top w:val="nil"/>
              <w:left w:val="single" w:sz="8" w:space="0" w:color="auto"/>
              <w:bottom w:val="nil"/>
              <w:right w:val="single" w:sz="8" w:space="0" w:color="auto"/>
            </w:tcBorders>
            <w:shd w:val="clear" w:color="auto" w:fill="auto"/>
            <w:noWrap/>
            <w:vAlign w:val="center"/>
            <w:hideMark/>
          </w:tcPr>
          <w:p w:rsidR="00FB331C" w:rsidRPr="00EB2995" w:rsidRDefault="00FB331C" w:rsidP="00D53A04">
            <w:pPr>
              <w:rPr>
                <w:rFonts w:cs="Calibri"/>
                <w:color w:val="000000"/>
                <w:lang w:eastAsia="en-GB"/>
              </w:rPr>
            </w:pPr>
            <w:r w:rsidRPr="00EB2995">
              <w:rPr>
                <w:rFonts w:cs="Calibri"/>
                <w:color w:val="000000"/>
                <w:lang w:eastAsia="en-GB"/>
              </w:rPr>
              <w:t> </w:t>
            </w:r>
          </w:p>
        </w:tc>
        <w:tc>
          <w:tcPr>
            <w:tcW w:w="993" w:type="dxa"/>
            <w:tcBorders>
              <w:top w:val="nil"/>
              <w:left w:val="nil"/>
              <w:bottom w:val="nil"/>
              <w:right w:val="single" w:sz="8" w:space="0" w:color="auto"/>
            </w:tcBorders>
            <w:shd w:val="clear" w:color="auto" w:fill="auto"/>
            <w:noWrap/>
            <w:vAlign w:val="center"/>
            <w:hideMark/>
          </w:tcPr>
          <w:p w:rsidR="00FB331C" w:rsidRPr="00EB2995" w:rsidRDefault="00FB331C" w:rsidP="00D53A04">
            <w:pPr>
              <w:jc w:val="right"/>
              <w:rPr>
                <w:rFonts w:cs="Calibri"/>
                <w:color w:val="000000"/>
                <w:lang w:eastAsia="en-GB"/>
              </w:rPr>
            </w:pPr>
            <w:r w:rsidRPr="00EB2995">
              <w:rPr>
                <w:rFonts w:cs="Calibri"/>
                <w:color w:val="000000"/>
                <w:lang w:eastAsia="en-GB"/>
              </w:rPr>
              <w:t> </w:t>
            </w:r>
          </w:p>
        </w:tc>
        <w:tc>
          <w:tcPr>
            <w:tcW w:w="992" w:type="dxa"/>
            <w:tcBorders>
              <w:top w:val="nil"/>
              <w:left w:val="nil"/>
              <w:bottom w:val="nil"/>
              <w:right w:val="single" w:sz="8" w:space="0" w:color="auto"/>
            </w:tcBorders>
            <w:shd w:val="clear" w:color="auto" w:fill="auto"/>
            <w:noWrap/>
            <w:vAlign w:val="center"/>
          </w:tcPr>
          <w:p w:rsidR="00FB331C" w:rsidRPr="00EB2995" w:rsidRDefault="00FB331C" w:rsidP="00D53A04">
            <w:pPr>
              <w:jc w:val="right"/>
              <w:rPr>
                <w:rFonts w:cs="Calibri"/>
                <w:color w:val="000000"/>
                <w:lang w:eastAsia="en-GB"/>
              </w:rPr>
            </w:pPr>
            <w:r w:rsidRPr="00EB2995">
              <w:rPr>
                <w:rFonts w:cs="Calibri"/>
                <w:color w:val="000000"/>
              </w:rPr>
              <w:t> </w:t>
            </w:r>
          </w:p>
        </w:tc>
        <w:tc>
          <w:tcPr>
            <w:tcW w:w="992" w:type="dxa"/>
            <w:tcBorders>
              <w:top w:val="nil"/>
              <w:left w:val="nil"/>
              <w:bottom w:val="nil"/>
              <w:right w:val="single" w:sz="8" w:space="0" w:color="auto"/>
            </w:tcBorders>
            <w:shd w:val="clear" w:color="auto" w:fill="auto"/>
            <w:noWrap/>
            <w:vAlign w:val="center"/>
            <w:hideMark/>
          </w:tcPr>
          <w:p w:rsidR="00FB331C" w:rsidRPr="00EB2995" w:rsidRDefault="00FB331C" w:rsidP="00D53A04">
            <w:pPr>
              <w:jc w:val="right"/>
              <w:rPr>
                <w:rFonts w:cs="Calibri"/>
                <w:color w:val="000000"/>
                <w:lang w:eastAsia="en-GB"/>
              </w:rPr>
            </w:pPr>
            <w:r w:rsidRPr="00EB2995">
              <w:rPr>
                <w:rFonts w:cs="Calibri"/>
                <w:color w:val="000000"/>
                <w:lang w:eastAsia="en-GB"/>
              </w:rPr>
              <w:t> </w:t>
            </w:r>
          </w:p>
        </w:tc>
        <w:tc>
          <w:tcPr>
            <w:tcW w:w="993" w:type="dxa"/>
            <w:tcBorders>
              <w:top w:val="nil"/>
              <w:left w:val="nil"/>
              <w:bottom w:val="nil"/>
              <w:right w:val="single" w:sz="8" w:space="0" w:color="auto"/>
            </w:tcBorders>
            <w:shd w:val="clear" w:color="auto" w:fill="auto"/>
            <w:noWrap/>
            <w:vAlign w:val="center"/>
          </w:tcPr>
          <w:p w:rsidR="00FB331C" w:rsidRPr="00EB2995" w:rsidRDefault="00FB331C" w:rsidP="00D53A04">
            <w:pPr>
              <w:jc w:val="right"/>
              <w:rPr>
                <w:rFonts w:cs="Calibri"/>
                <w:color w:val="000000"/>
                <w:lang w:eastAsia="en-GB"/>
              </w:rPr>
            </w:pPr>
          </w:p>
        </w:tc>
        <w:tc>
          <w:tcPr>
            <w:tcW w:w="992" w:type="dxa"/>
            <w:tcBorders>
              <w:top w:val="nil"/>
              <w:left w:val="nil"/>
              <w:bottom w:val="nil"/>
              <w:right w:val="single" w:sz="8" w:space="0" w:color="auto"/>
            </w:tcBorders>
            <w:shd w:val="clear" w:color="auto" w:fill="auto"/>
            <w:noWrap/>
            <w:vAlign w:val="center"/>
            <w:hideMark/>
          </w:tcPr>
          <w:p w:rsidR="00FB331C" w:rsidRPr="00EB2995" w:rsidRDefault="00FB331C" w:rsidP="00D53A04">
            <w:pPr>
              <w:jc w:val="right"/>
              <w:rPr>
                <w:rFonts w:cs="Calibri"/>
                <w:color w:val="000000"/>
                <w:lang w:eastAsia="en-GB"/>
              </w:rPr>
            </w:pPr>
            <w:r w:rsidRPr="00EB2995">
              <w:rPr>
                <w:rFonts w:cs="Calibri"/>
                <w:color w:val="000000"/>
                <w:lang w:eastAsia="en-GB"/>
              </w:rPr>
              <w:t> </w:t>
            </w:r>
          </w:p>
        </w:tc>
        <w:tc>
          <w:tcPr>
            <w:tcW w:w="992" w:type="dxa"/>
            <w:tcBorders>
              <w:top w:val="nil"/>
              <w:left w:val="nil"/>
              <w:bottom w:val="nil"/>
              <w:right w:val="single" w:sz="8" w:space="0" w:color="auto"/>
            </w:tcBorders>
            <w:shd w:val="clear" w:color="auto" w:fill="auto"/>
            <w:noWrap/>
            <w:vAlign w:val="center"/>
          </w:tcPr>
          <w:p w:rsidR="00FB331C" w:rsidRPr="00EB2995" w:rsidRDefault="00FB331C" w:rsidP="00D53A04">
            <w:pPr>
              <w:jc w:val="right"/>
              <w:rPr>
                <w:rFonts w:cs="Calibri"/>
                <w:color w:val="000000"/>
                <w:lang w:eastAsia="en-GB"/>
              </w:rPr>
            </w:pPr>
            <w:r w:rsidRPr="00EB2995">
              <w:rPr>
                <w:rFonts w:cs="Calibri"/>
                <w:color w:val="000000"/>
              </w:rPr>
              <w:t> </w:t>
            </w:r>
          </w:p>
        </w:tc>
        <w:tc>
          <w:tcPr>
            <w:tcW w:w="992" w:type="dxa"/>
            <w:tcBorders>
              <w:top w:val="nil"/>
              <w:left w:val="nil"/>
              <w:bottom w:val="nil"/>
              <w:right w:val="single" w:sz="8" w:space="0" w:color="auto"/>
            </w:tcBorders>
            <w:shd w:val="clear" w:color="auto" w:fill="auto"/>
            <w:noWrap/>
            <w:vAlign w:val="center"/>
            <w:hideMark/>
          </w:tcPr>
          <w:p w:rsidR="00FB331C" w:rsidRPr="00EB2995" w:rsidRDefault="00FB331C" w:rsidP="00D53A04">
            <w:pPr>
              <w:jc w:val="right"/>
              <w:rPr>
                <w:rFonts w:cs="Calibri"/>
                <w:color w:val="000000"/>
                <w:lang w:eastAsia="en-GB"/>
              </w:rPr>
            </w:pPr>
            <w:r w:rsidRPr="00EB2995">
              <w:rPr>
                <w:rFonts w:cs="Calibri"/>
                <w:color w:val="000000"/>
              </w:rPr>
              <w:t> </w:t>
            </w:r>
          </w:p>
        </w:tc>
        <w:tc>
          <w:tcPr>
            <w:tcW w:w="1068" w:type="dxa"/>
            <w:tcBorders>
              <w:top w:val="nil"/>
              <w:left w:val="nil"/>
              <w:bottom w:val="nil"/>
              <w:right w:val="single" w:sz="8" w:space="0" w:color="auto"/>
            </w:tcBorders>
            <w:shd w:val="clear" w:color="auto" w:fill="auto"/>
            <w:noWrap/>
            <w:vAlign w:val="center"/>
          </w:tcPr>
          <w:p w:rsidR="00FB331C" w:rsidRPr="00EB2995" w:rsidRDefault="00FB331C" w:rsidP="00D53A04">
            <w:pPr>
              <w:jc w:val="right"/>
              <w:rPr>
                <w:rFonts w:cs="Calibri"/>
                <w:color w:val="000000"/>
                <w:lang w:eastAsia="en-GB"/>
              </w:rPr>
            </w:pPr>
            <w:r w:rsidRPr="00EB2995">
              <w:rPr>
                <w:rFonts w:cs="Calibri"/>
                <w:color w:val="000000"/>
              </w:rPr>
              <w:t> </w:t>
            </w:r>
          </w:p>
        </w:tc>
      </w:tr>
      <w:tr w:rsidR="00FB331C" w:rsidRPr="00EB2995" w:rsidTr="00FB331C">
        <w:trPr>
          <w:trHeight w:hRule="exact" w:val="397"/>
        </w:trPr>
        <w:tc>
          <w:tcPr>
            <w:tcW w:w="1985" w:type="dxa"/>
            <w:tcBorders>
              <w:top w:val="nil"/>
              <w:left w:val="single" w:sz="8" w:space="0" w:color="auto"/>
              <w:bottom w:val="nil"/>
              <w:right w:val="single" w:sz="8" w:space="0" w:color="auto"/>
            </w:tcBorders>
            <w:shd w:val="clear" w:color="auto" w:fill="auto"/>
            <w:noWrap/>
            <w:vAlign w:val="center"/>
            <w:hideMark/>
          </w:tcPr>
          <w:p w:rsidR="00FB331C" w:rsidRPr="00EB2995" w:rsidRDefault="00FB331C" w:rsidP="00D53A04">
            <w:pPr>
              <w:rPr>
                <w:rFonts w:cs="Calibri"/>
                <w:color w:val="000000"/>
                <w:lang w:eastAsia="en-GB"/>
              </w:rPr>
            </w:pPr>
            <w:r w:rsidRPr="00EB2995">
              <w:rPr>
                <w:rFonts w:cs="Calibri"/>
                <w:color w:val="000000"/>
                <w:lang w:eastAsia="en-GB"/>
              </w:rPr>
              <w:t>£80,001+</w:t>
            </w:r>
          </w:p>
        </w:tc>
        <w:tc>
          <w:tcPr>
            <w:tcW w:w="993" w:type="dxa"/>
            <w:tcBorders>
              <w:top w:val="nil"/>
              <w:left w:val="nil"/>
              <w:bottom w:val="nil"/>
              <w:right w:val="single" w:sz="8" w:space="0" w:color="auto"/>
            </w:tcBorders>
            <w:shd w:val="clear" w:color="auto" w:fill="auto"/>
            <w:noWrap/>
            <w:vAlign w:val="center"/>
            <w:hideMark/>
          </w:tcPr>
          <w:p w:rsidR="00FB331C" w:rsidRPr="00EB2995" w:rsidRDefault="00FB331C" w:rsidP="00D53A04">
            <w:pPr>
              <w:jc w:val="right"/>
              <w:rPr>
                <w:rFonts w:cs="Calibri"/>
                <w:color w:val="000000"/>
                <w:lang w:eastAsia="en-GB"/>
              </w:rPr>
            </w:pPr>
            <w:r w:rsidRPr="00EB2995">
              <w:rPr>
                <w:rFonts w:cs="Calibri"/>
                <w:color w:val="000000"/>
                <w:lang w:eastAsia="en-GB"/>
              </w:rPr>
              <w:t>0</w:t>
            </w:r>
          </w:p>
        </w:tc>
        <w:tc>
          <w:tcPr>
            <w:tcW w:w="992" w:type="dxa"/>
            <w:tcBorders>
              <w:top w:val="nil"/>
              <w:left w:val="nil"/>
              <w:bottom w:val="nil"/>
              <w:right w:val="single" w:sz="8" w:space="0" w:color="auto"/>
            </w:tcBorders>
            <w:shd w:val="clear" w:color="auto" w:fill="auto"/>
            <w:noWrap/>
            <w:vAlign w:val="center"/>
          </w:tcPr>
          <w:p w:rsidR="00FB331C" w:rsidRPr="00EB2995" w:rsidRDefault="00FB331C" w:rsidP="00D53A04">
            <w:pPr>
              <w:jc w:val="right"/>
              <w:rPr>
                <w:rFonts w:cs="Calibri"/>
                <w:color w:val="000000"/>
                <w:lang w:eastAsia="en-GB"/>
              </w:rPr>
            </w:pPr>
            <w:r w:rsidRPr="00EB2995">
              <w:rPr>
                <w:rFonts w:cs="Calibri"/>
                <w:color w:val="000000"/>
              </w:rPr>
              <w:t>0</w:t>
            </w:r>
          </w:p>
        </w:tc>
        <w:tc>
          <w:tcPr>
            <w:tcW w:w="992" w:type="dxa"/>
            <w:tcBorders>
              <w:top w:val="nil"/>
              <w:left w:val="nil"/>
              <w:bottom w:val="nil"/>
              <w:right w:val="single" w:sz="8" w:space="0" w:color="auto"/>
            </w:tcBorders>
            <w:shd w:val="clear" w:color="auto" w:fill="auto"/>
            <w:noWrap/>
            <w:vAlign w:val="center"/>
            <w:hideMark/>
          </w:tcPr>
          <w:p w:rsidR="00FB331C" w:rsidRPr="00EB2995" w:rsidRDefault="00FB331C" w:rsidP="00D53A04">
            <w:pPr>
              <w:jc w:val="right"/>
              <w:rPr>
                <w:rFonts w:cs="Calibri"/>
                <w:color w:val="000000"/>
                <w:lang w:eastAsia="en-GB"/>
              </w:rPr>
            </w:pPr>
            <w:r w:rsidRPr="00EB2995">
              <w:rPr>
                <w:rFonts w:cs="Calibri"/>
                <w:color w:val="000000"/>
                <w:lang w:eastAsia="en-GB"/>
              </w:rPr>
              <w:t>2</w:t>
            </w:r>
          </w:p>
        </w:tc>
        <w:tc>
          <w:tcPr>
            <w:tcW w:w="993" w:type="dxa"/>
            <w:tcBorders>
              <w:top w:val="nil"/>
              <w:left w:val="nil"/>
              <w:bottom w:val="nil"/>
              <w:right w:val="single" w:sz="8" w:space="0" w:color="auto"/>
            </w:tcBorders>
            <w:shd w:val="clear" w:color="auto" w:fill="auto"/>
            <w:noWrap/>
            <w:vAlign w:val="center"/>
          </w:tcPr>
          <w:p w:rsidR="00FB331C" w:rsidRPr="00EB2995" w:rsidRDefault="00FB331C" w:rsidP="00D53A04">
            <w:pPr>
              <w:jc w:val="right"/>
              <w:rPr>
                <w:rFonts w:cs="Calibri"/>
                <w:color w:val="000000"/>
                <w:lang w:eastAsia="en-GB"/>
              </w:rPr>
            </w:pPr>
            <w:r w:rsidRPr="00EB2995">
              <w:rPr>
                <w:rFonts w:cs="Calibri"/>
                <w:color w:val="000000"/>
              </w:rPr>
              <w:t>2</w:t>
            </w:r>
          </w:p>
        </w:tc>
        <w:tc>
          <w:tcPr>
            <w:tcW w:w="992" w:type="dxa"/>
            <w:tcBorders>
              <w:top w:val="nil"/>
              <w:left w:val="nil"/>
              <w:bottom w:val="nil"/>
              <w:right w:val="single" w:sz="8" w:space="0" w:color="auto"/>
            </w:tcBorders>
            <w:shd w:val="clear" w:color="auto" w:fill="auto"/>
            <w:noWrap/>
            <w:vAlign w:val="center"/>
            <w:hideMark/>
          </w:tcPr>
          <w:p w:rsidR="00FB331C" w:rsidRPr="00EB2995" w:rsidRDefault="00FB331C" w:rsidP="00D53A04">
            <w:pPr>
              <w:jc w:val="right"/>
              <w:rPr>
                <w:rFonts w:cs="Calibri"/>
                <w:color w:val="000000"/>
                <w:lang w:eastAsia="en-GB"/>
              </w:rPr>
            </w:pPr>
            <w:r w:rsidRPr="00EB2995">
              <w:rPr>
                <w:rFonts w:cs="Calibri"/>
                <w:color w:val="000000"/>
                <w:lang w:eastAsia="en-GB"/>
              </w:rPr>
              <w:t>2</w:t>
            </w:r>
          </w:p>
        </w:tc>
        <w:tc>
          <w:tcPr>
            <w:tcW w:w="992" w:type="dxa"/>
            <w:tcBorders>
              <w:top w:val="nil"/>
              <w:left w:val="nil"/>
              <w:bottom w:val="nil"/>
              <w:right w:val="single" w:sz="8" w:space="0" w:color="auto"/>
            </w:tcBorders>
            <w:shd w:val="clear" w:color="auto" w:fill="auto"/>
            <w:noWrap/>
            <w:vAlign w:val="center"/>
          </w:tcPr>
          <w:p w:rsidR="00FB331C" w:rsidRPr="00EB2995" w:rsidRDefault="00FB331C" w:rsidP="00D53A04">
            <w:pPr>
              <w:jc w:val="right"/>
              <w:rPr>
                <w:rFonts w:cs="Calibri"/>
                <w:color w:val="000000"/>
                <w:lang w:eastAsia="en-GB"/>
              </w:rPr>
            </w:pPr>
            <w:r w:rsidRPr="00EB2995">
              <w:rPr>
                <w:rFonts w:cs="Calibri"/>
                <w:color w:val="000000"/>
              </w:rPr>
              <w:t>2</w:t>
            </w:r>
          </w:p>
        </w:tc>
        <w:tc>
          <w:tcPr>
            <w:tcW w:w="992" w:type="dxa"/>
            <w:tcBorders>
              <w:top w:val="nil"/>
              <w:left w:val="nil"/>
              <w:bottom w:val="nil"/>
              <w:right w:val="single" w:sz="8" w:space="0" w:color="auto"/>
            </w:tcBorders>
            <w:shd w:val="clear" w:color="auto" w:fill="auto"/>
            <w:noWrap/>
            <w:vAlign w:val="center"/>
            <w:hideMark/>
          </w:tcPr>
          <w:p w:rsidR="00FB331C" w:rsidRPr="00EB2995" w:rsidRDefault="00FB331C" w:rsidP="00D53A04">
            <w:pPr>
              <w:jc w:val="right"/>
              <w:rPr>
                <w:rFonts w:cs="Calibri"/>
                <w:color w:val="000000"/>
                <w:lang w:eastAsia="en-GB"/>
              </w:rPr>
            </w:pPr>
            <w:r w:rsidRPr="00EB2995">
              <w:rPr>
                <w:rFonts w:cs="Calibri"/>
                <w:color w:val="000000"/>
              </w:rPr>
              <w:t>£196</w:t>
            </w:r>
          </w:p>
        </w:tc>
        <w:tc>
          <w:tcPr>
            <w:tcW w:w="1068" w:type="dxa"/>
            <w:tcBorders>
              <w:top w:val="nil"/>
              <w:left w:val="nil"/>
              <w:bottom w:val="nil"/>
              <w:right w:val="single" w:sz="8" w:space="0" w:color="auto"/>
            </w:tcBorders>
            <w:shd w:val="clear" w:color="auto" w:fill="auto"/>
            <w:noWrap/>
            <w:vAlign w:val="center"/>
          </w:tcPr>
          <w:p w:rsidR="00FB331C" w:rsidRPr="00EB2995" w:rsidRDefault="00FB331C" w:rsidP="00D53A04">
            <w:pPr>
              <w:jc w:val="right"/>
              <w:rPr>
                <w:rFonts w:cs="Calibri"/>
                <w:color w:val="000000"/>
                <w:lang w:eastAsia="en-GB"/>
              </w:rPr>
            </w:pPr>
            <w:r w:rsidRPr="00EB2995">
              <w:rPr>
                <w:rFonts w:cs="Calibri"/>
                <w:color w:val="000000"/>
              </w:rPr>
              <w:t>£179</w:t>
            </w:r>
          </w:p>
        </w:tc>
      </w:tr>
      <w:tr w:rsidR="00FB331C" w:rsidRPr="00EB2995" w:rsidTr="00FB331C">
        <w:trPr>
          <w:trHeight w:hRule="exact" w:val="397"/>
        </w:trPr>
        <w:tc>
          <w:tcPr>
            <w:tcW w:w="1985" w:type="dxa"/>
            <w:tcBorders>
              <w:top w:val="nil"/>
              <w:left w:val="single" w:sz="8" w:space="0" w:color="auto"/>
              <w:bottom w:val="nil"/>
              <w:right w:val="single" w:sz="8" w:space="0" w:color="auto"/>
            </w:tcBorders>
            <w:shd w:val="clear" w:color="auto" w:fill="auto"/>
            <w:noWrap/>
            <w:vAlign w:val="center"/>
            <w:hideMark/>
          </w:tcPr>
          <w:p w:rsidR="00FB331C" w:rsidRPr="00EB2995" w:rsidRDefault="00FB331C" w:rsidP="00D53A04">
            <w:pPr>
              <w:rPr>
                <w:rFonts w:cs="Calibri"/>
                <w:color w:val="000000"/>
                <w:lang w:eastAsia="en-GB"/>
              </w:rPr>
            </w:pPr>
            <w:r w:rsidRPr="00EB2995">
              <w:rPr>
                <w:rFonts w:cs="Calibri"/>
                <w:color w:val="000000"/>
                <w:lang w:eastAsia="en-GB"/>
              </w:rPr>
              <w:t> </w:t>
            </w:r>
          </w:p>
        </w:tc>
        <w:tc>
          <w:tcPr>
            <w:tcW w:w="993" w:type="dxa"/>
            <w:tcBorders>
              <w:top w:val="nil"/>
              <w:left w:val="nil"/>
              <w:bottom w:val="nil"/>
              <w:right w:val="single" w:sz="8" w:space="0" w:color="auto"/>
            </w:tcBorders>
            <w:shd w:val="clear" w:color="auto" w:fill="auto"/>
            <w:noWrap/>
            <w:vAlign w:val="center"/>
            <w:hideMark/>
          </w:tcPr>
          <w:p w:rsidR="00FB331C" w:rsidRPr="00EB2995" w:rsidRDefault="00FB331C" w:rsidP="00D53A04">
            <w:pPr>
              <w:jc w:val="right"/>
              <w:rPr>
                <w:rFonts w:cs="Calibri"/>
                <w:color w:val="000000"/>
                <w:lang w:eastAsia="en-GB"/>
              </w:rPr>
            </w:pPr>
            <w:r w:rsidRPr="00EB2995">
              <w:rPr>
                <w:rFonts w:cs="Calibri"/>
                <w:color w:val="000000"/>
                <w:lang w:eastAsia="en-GB"/>
              </w:rPr>
              <w:t> </w:t>
            </w:r>
          </w:p>
        </w:tc>
        <w:tc>
          <w:tcPr>
            <w:tcW w:w="992" w:type="dxa"/>
            <w:tcBorders>
              <w:top w:val="nil"/>
              <w:left w:val="nil"/>
              <w:bottom w:val="nil"/>
              <w:right w:val="single" w:sz="8" w:space="0" w:color="auto"/>
            </w:tcBorders>
            <w:shd w:val="clear" w:color="auto" w:fill="auto"/>
            <w:noWrap/>
            <w:vAlign w:val="center"/>
          </w:tcPr>
          <w:p w:rsidR="00FB331C" w:rsidRPr="00EB2995" w:rsidRDefault="00FB331C" w:rsidP="00D53A04">
            <w:pPr>
              <w:jc w:val="right"/>
              <w:rPr>
                <w:rFonts w:cs="Calibri"/>
                <w:color w:val="000000"/>
                <w:lang w:eastAsia="en-GB"/>
              </w:rPr>
            </w:pPr>
            <w:r w:rsidRPr="00EB2995">
              <w:rPr>
                <w:rFonts w:cs="Calibri"/>
                <w:color w:val="000000"/>
              </w:rPr>
              <w:t> </w:t>
            </w:r>
          </w:p>
        </w:tc>
        <w:tc>
          <w:tcPr>
            <w:tcW w:w="992" w:type="dxa"/>
            <w:tcBorders>
              <w:top w:val="nil"/>
              <w:left w:val="nil"/>
              <w:bottom w:val="single" w:sz="8" w:space="0" w:color="auto"/>
              <w:right w:val="single" w:sz="8" w:space="0" w:color="auto"/>
            </w:tcBorders>
            <w:shd w:val="clear" w:color="auto" w:fill="auto"/>
            <w:noWrap/>
            <w:vAlign w:val="center"/>
            <w:hideMark/>
          </w:tcPr>
          <w:p w:rsidR="00FB331C" w:rsidRPr="00EB2995" w:rsidRDefault="00FB331C" w:rsidP="00D53A04">
            <w:pPr>
              <w:jc w:val="right"/>
              <w:rPr>
                <w:rFonts w:cs="Calibri"/>
                <w:color w:val="000000"/>
                <w:lang w:eastAsia="en-GB"/>
              </w:rPr>
            </w:pPr>
            <w:r w:rsidRPr="00EB2995">
              <w:rPr>
                <w:rFonts w:cs="Calibri"/>
                <w:color w:val="000000"/>
                <w:lang w:eastAsia="en-GB"/>
              </w:rPr>
              <w:t> </w:t>
            </w:r>
          </w:p>
        </w:tc>
        <w:tc>
          <w:tcPr>
            <w:tcW w:w="993" w:type="dxa"/>
            <w:tcBorders>
              <w:top w:val="nil"/>
              <w:left w:val="nil"/>
              <w:bottom w:val="single" w:sz="8" w:space="0" w:color="auto"/>
              <w:right w:val="single" w:sz="8" w:space="0" w:color="auto"/>
            </w:tcBorders>
            <w:shd w:val="clear" w:color="auto" w:fill="auto"/>
            <w:noWrap/>
            <w:vAlign w:val="center"/>
          </w:tcPr>
          <w:p w:rsidR="00FB331C" w:rsidRPr="00EB2995" w:rsidRDefault="00FB331C" w:rsidP="00D53A04">
            <w:pPr>
              <w:jc w:val="right"/>
              <w:rPr>
                <w:rFonts w:cs="Calibri"/>
                <w:color w:val="000000"/>
                <w:lang w:eastAsia="en-GB"/>
              </w:rPr>
            </w:pPr>
            <w:r w:rsidRPr="00EB2995">
              <w:rPr>
                <w:rFonts w:cs="Calibri"/>
                <w:color w:val="000000"/>
              </w:rPr>
              <w:t> </w:t>
            </w:r>
          </w:p>
        </w:tc>
        <w:tc>
          <w:tcPr>
            <w:tcW w:w="992" w:type="dxa"/>
            <w:tcBorders>
              <w:top w:val="nil"/>
              <w:left w:val="nil"/>
              <w:bottom w:val="single" w:sz="8" w:space="0" w:color="auto"/>
              <w:right w:val="single" w:sz="8" w:space="0" w:color="auto"/>
            </w:tcBorders>
            <w:shd w:val="clear" w:color="auto" w:fill="auto"/>
            <w:noWrap/>
            <w:vAlign w:val="center"/>
            <w:hideMark/>
          </w:tcPr>
          <w:p w:rsidR="00FB331C" w:rsidRPr="00EB2995" w:rsidRDefault="00FB331C" w:rsidP="00D53A04">
            <w:pPr>
              <w:jc w:val="right"/>
              <w:rPr>
                <w:rFonts w:cs="Calibri"/>
                <w:color w:val="000000"/>
                <w:lang w:eastAsia="en-GB"/>
              </w:rPr>
            </w:pPr>
            <w:r w:rsidRPr="00EB2995">
              <w:rPr>
                <w:rFonts w:cs="Calibri"/>
                <w:color w:val="000000"/>
                <w:lang w:eastAsia="en-GB"/>
              </w:rPr>
              <w:t> </w:t>
            </w:r>
          </w:p>
        </w:tc>
        <w:tc>
          <w:tcPr>
            <w:tcW w:w="992" w:type="dxa"/>
            <w:tcBorders>
              <w:top w:val="nil"/>
              <w:left w:val="nil"/>
              <w:bottom w:val="single" w:sz="8" w:space="0" w:color="auto"/>
              <w:right w:val="single" w:sz="8" w:space="0" w:color="auto"/>
            </w:tcBorders>
            <w:shd w:val="clear" w:color="auto" w:fill="auto"/>
            <w:noWrap/>
            <w:vAlign w:val="center"/>
          </w:tcPr>
          <w:p w:rsidR="00FB331C" w:rsidRPr="00EB2995" w:rsidRDefault="00FB331C" w:rsidP="00D53A04">
            <w:pPr>
              <w:jc w:val="right"/>
              <w:rPr>
                <w:rFonts w:cs="Calibri"/>
                <w:color w:val="000000"/>
                <w:lang w:eastAsia="en-GB"/>
              </w:rPr>
            </w:pPr>
            <w:r w:rsidRPr="00EB2995">
              <w:rPr>
                <w:rFonts w:cs="Calibri"/>
                <w:color w:val="000000"/>
              </w:rPr>
              <w:t> </w:t>
            </w:r>
          </w:p>
        </w:tc>
        <w:tc>
          <w:tcPr>
            <w:tcW w:w="992" w:type="dxa"/>
            <w:tcBorders>
              <w:top w:val="nil"/>
              <w:left w:val="nil"/>
              <w:bottom w:val="single" w:sz="8" w:space="0" w:color="auto"/>
              <w:right w:val="single" w:sz="8" w:space="0" w:color="auto"/>
            </w:tcBorders>
            <w:shd w:val="clear" w:color="auto" w:fill="auto"/>
            <w:noWrap/>
            <w:vAlign w:val="center"/>
            <w:hideMark/>
          </w:tcPr>
          <w:p w:rsidR="00FB331C" w:rsidRPr="00EB2995" w:rsidRDefault="00FB331C" w:rsidP="00D53A04">
            <w:pPr>
              <w:jc w:val="right"/>
              <w:rPr>
                <w:rFonts w:cs="Calibri"/>
                <w:color w:val="000000"/>
                <w:lang w:eastAsia="en-GB"/>
              </w:rPr>
            </w:pPr>
            <w:r w:rsidRPr="00EB2995">
              <w:rPr>
                <w:rFonts w:cs="Calibri"/>
                <w:color w:val="000000"/>
              </w:rPr>
              <w:t> </w:t>
            </w:r>
          </w:p>
        </w:tc>
        <w:tc>
          <w:tcPr>
            <w:tcW w:w="1068" w:type="dxa"/>
            <w:tcBorders>
              <w:top w:val="nil"/>
              <w:left w:val="nil"/>
              <w:bottom w:val="single" w:sz="8" w:space="0" w:color="auto"/>
              <w:right w:val="single" w:sz="8" w:space="0" w:color="auto"/>
            </w:tcBorders>
            <w:shd w:val="clear" w:color="auto" w:fill="auto"/>
            <w:noWrap/>
            <w:vAlign w:val="center"/>
          </w:tcPr>
          <w:p w:rsidR="00FB331C" w:rsidRPr="00EB2995" w:rsidRDefault="00FB331C" w:rsidP="00D53A04">
            <w:pPr>
              <w:jc w:val="right"/>
              <w:rPr>
                <w:rFonts w:cs="Calibri"/>
                <w:color w:val="000000"/>
                <w:lang w:eastAsia="en-GB"/>
              </w:rPr>
            </w:pPr>
            <w:r w:rsidRPr="00EB2995">
              <w:rPr>
                <w:rFonts w:cs="Calibri"/>
                <w:color w:val="000000"/>
              </w:rPr>
              <w:t> </w:t>
            </w:r>
          </w:p>
        </w:tc>
      </w:tr>
      <w:tr w:rsidR="00FB331C" w:rsidRPr="00EB2995" w:rsidTr="00FB331C">
        <w:trPr>
          <w:trHeight w:hRule="exact" w:val="834"/>
        </w:trPr>
        <w:tc>
          <w:tcPr>
            <w:tcW w:w="1985" w:type="dxa"/>
            <w:tcBorders>
              <w:top w:val="single" w:sz="8" w:space="0" w:color="auto"/>
              <w:left w:val="single" w:sz="8" w:space="0" w:color="auto"/>
              <w:bottom w:val="single" w:sz="8" w:space="0" w:color="auto"/>
              <w:right w:val="nil"/>
            </w:tcBorders>
            <w:shd w:val="clear" w:color="auto" w:fill="auto"/>
            <w:vAlign w:val="center"/>
            <w:hideMark/>
          </w:tcPr>
          <w:p w:rsidR="00FB331C" w:rsidRPr="00EB2995" w:rsidRDefault="00FB331C" w:rsidP="00D53A04">
            <w:pPr>
              <w:rPr>
                <w:rFonts w:cs="Calibri"/>
                <w:b/>
                <w:bCs/>
                <w:color w:val="000000"/>
                <w:lang w:eastAsia="en-GB"/>
              </w:rPr>
            </w:pPr>
            <w:r w:rsidRPr="00EB2995">
              <w:rPr>
                <w:rFonts w:cs="Calibri"/>
                <w:b/>
                <w:bCs/>
                <w:color w:val="000000"/>
                <w:lang w:eastAsia="en-GB"/>
              </w:rPr>
              <w:t>Total cost included in bandings</w:t>
            </w:r>
          </w:p>
        </w:tc>
        <w:tc>
          <w:tcPr>
            <w:tcW w:w="99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B331C" w:rsidRPr="00EB2995" w:rsidRDefault="00FB331C" w:rsidP="00D53A04">
            <w:pPr>
              <w:jc w:val="right"/>
              <w:rPr>
                <w:rFonts w:cs="Calibri"/>
                <w:b/>
                <w:bCs/>
                <w:color w:val="000000"/>
                <w:lang w:eastAsia="en-GB"/>
              </w:rPr>
            </w:pPr>
            <w:r w:rsidRPr="00EB2995">
              <w:rPr>
                <w:rFonts w:cs="Calibri"/>
                <w:b/>
                <w:bCs/>
                <w:color w:val="000000"/>
                <w:lang w:eastAsia="en-GB"/>
              </w:rPr>
              <w:t>55</w:t>
            </w:r>
          </w:p>
        </w:tc>
        <w:tc>
          <w:tcPr>
            <w:tcW w:w="992" w:type="dxa"/>
            <w:tcBorders>
              <w:top w:val="single" w:sz="8" w:space="0" w:color="auto"/>
              <w:left w:val="nil"/>
              <w:bottom w:val="single" w:sz="8" w:space="0" w:color="auto"/>
              <w:right w:val="single" w:sz="8" w:space="0" w:color="auto"/>
            </w:tcBorders>
            <w:shd w:val="clear" w:color="auto" w:fill="auto"/>
            <w:noWrap/>
            <w:vAlign w:val="center"/>
          </w:tcPr>
          <w:p w:rsidR="00FB331C" w:rsidRPr="00EB2995" w:rsidRDefault="00FB331C" w:rsidP="00D53A04">
            <w:pPr>
              <w:jc w:val="right"/>
              <w:rPr>
                <w:rFonts w:cs="Calibri"/>
                <w:b/>
                <w:bCs/>
                <w:color w:val="000000"/>
                <w:lang w:eastAsia="en-GB"/>
              </w:rPr>
            </w:pPr>
            <w:r w:rsidRPr="00EB2995">
              <w:rPr>
                <w:rFonts w:cs="Calibri"/>
                <w:b/>
                <w:bCs/>
                <w:color w:val="000000"/>
              </w:rPr>
              <w:t>9</w:t>
            </w:r>
          </w:p>
        </w:tc>
        <w:tc>
          <w:tcPr>
            <w:tcW w:w="992" w:type="dxa"/>
            <w:tcBorders>
              <w:top w:val="nil"/>
              <w:left w:val="nil"/>
              <w:bottom w:val="single" w:sz="8" w:space="0" w:color="auto"/>
              <w:right w:val="single" w:sz="8" w:space="0" w:color="auto"/>
            </w:tcBorders>
            <w:shd w:val="clear" w:color="auto" w:fill="auto"/>
            <w:noWrap/>
            <w:vAlign w:val="center"/>
            <w:hideMark/>
          </w:tcPr>
          <w:p w:rsidR="00FB331C" w:rsidRPr="00EB2995" w:rsidRDefault="00FB331C" w:rsidP="00D53A04">
            <w:pPr>
              <w:jc w:val="right"/>
              <w:rPr>
                <w:rFonts w:cs="Calibri"/>
                <w:b/>
                <w:bCs/>
                <w:color w:val="000000"/>
                <w:lang w:eastAsia="en-GB"/>
              </w:rPr>
            </w:pPr>
            <w:r w:rsidRPr="00EB2995">
              <w:rPr>
                <w:rFonts w:cs="Calibri"/>
                <w:b/>
                <w:bCs/>
                <w:color w:val="000000"/>
                <w:lang w:eastAsia="en-GB"/>
              </w:rPr>
              <w:t>173</w:t>
            </w:r>
          </w:p>
        </w:tc>
        <w:tc>
          <w:tcPr>
            <w:tcW w:w="993" w:type="dxa"/>
            <w:tcBorders>
              <w:top w:val="nil"/>
              <w:left w:val="nil"/>
              <w:bottom w:val="single" w:sz="8" w:space="0" w:color="auto"/>
              <w:right w:val="single" w:sz="8" w:space="0" w:color="auto"/>
            </w:tcBorders>
            <w:shd w:val="clear" w:color="auto" w:fill="auto"/>
            <w:noWrap/>
            <w:vAlign w:val="center"/>
          </w:tcPr>
          <w:p w:rsidR="00FB331C" w:rsidRPr="00EB2995" w:rsidRDefault="00FB331C" w:rsidP="00D53A04">
            <w:pPr>
              <w:jc w:val="right"/>
              <w:rPr>
                <w:rFonts w:cs="Calibri"/>
                <w:b/>
                <w:bCs/>
                <w:color w:val="000000"/>
                <w:lang w:eastAsia="en-GB"/>
              </w:rPr>
            </w:pPr>
            <w:r w:rsidRPr="00EB2995">
              <w:rPr>
                <w:rFonts w:cs="Calibri"/>
                <w:b/>
                <w:bCs/>
                <w:color w:val="000000"/>
              </w:rPr>
              <w:t>107</w:t>
            </w:r>
          </w:p>
        </w:tc>
        <w:tc>
          <w:tcPr>
            <w:tcW w:w="992" w:type="dxa"/>
            <w:tcBorders>
              <w:top w:val="nil"/>
              <w:left w:val="nil"/>
              <w:bottom w:val="single" w:sz="8" w:space="0" w:color="auto"/>
              <w:right w:val="single" w:sz="8" w:space="0" w:color="auto"/>
            </w:tcBorders>
            <w:shd w:val="clear" w:color="auto" w:fill="auto"/>
            <w:noWrap/>
            <w:vAlign w:val="center"/>
            <w:hideMark/>
          </w:tcPr>
          <w:p w:rsidR="00FB331C" w:rsidRPr="00EB2995" w:rsidRDefault="00FB331C" w:rsidP="00D53A04">
            <w:pPr>
              <w:jc w:val="right"/>
              <w:rPr>
                <w:rFonts w:cs="Calibri"/>
                <w:b/>
                <w:bCs/>
                <w:color w:val="000000"/>
                <w:lang w:eastAsia="en-GB"/>
              </w:rPr>
            </w:pPr>
            <w:r w:rsidRPr="00EB2995">
              <w:rPr>
                <w:rFonts w:cs="Calibri"/>
                <w:b/>
                <w:bCs/>
                <w:color w:val="000000"/>
                <w:lang w:eastAsia="en-GB"/>
              </w:rPr>
              <w:t>228</w:t>
            </w:r>
          </w:p>
        </w:tc>
        <w:tc>
          <w:tcPr>
            <w:tcW w:w="992" w:type="dxa"/>
            <w:tcBorders>
              <w:top w:val="nil"/>
              <w:left w:val="nil"/>
              <w:bottom w:val="single" w:sz="8" w:space="0" w:color="auto"/>
              <w:right w:val="single" w:sz="8" w:space="0" w:color="auto"/>
            </w:tcBorders>
            <w:shd w:val="clear" w:color="auto" w:fill="auto"/>
            <w:noWrap/>
            <w:vAlign w:val="center"/>
          </w:tcPr>
          <w:p w:rsidR="00FB331C" w:rsidRPr="00EB2995" w:rsidRDefault="00FB331C" w:rsidP="00D53A04">
            <w:pPr>
              <w:jc w:val="right"/>
              <w:rPr>
                <w:rFonts w:cs="Calibri"/>
                <w:b/>
                <w:bCs/>
                <w:color w:val="000000"/>
                <w:lang w:eastAsia="en-GB"/>
              </w:rPr>
            </w:pPr>
            <w:r w:rsidRPr="00EB2995">
              <w:rPr>
                <w:rFonts w:cs="Calibri"/>
                <w:b/>
                <w:bCs/>
                <w:color w:val="000000"/>
              </w:rPr>
              <w:t>116</w:t>
            </w:r>
          </w:p>
        </w:tc>
        <w:tc>
          <w:tcPr>
            <w:tcW w:w="992" w:type="dxa"/>
            <w:tcBorders>
              <w:top w:val="nil"/>
              <w:left w:val="nil"/>
              <w:bottom w:val="single" w:sz="8" w:space="0" w:color="auto"/>
              <w:right w:val="single" w:sz="8" w:space="0" w:color="auto"/>
            </w:tcBorders>
            <w:shd w:val="clear" w:color="auto" w:fill="auto"/>
            <w:noWrap/>
            <w:vAlign w:val="center"/>
            <w:hideMark/>
          </w:tcPr>
          <w:p w:rsidR="00FB331C" w:rsidRPr="00EB2995" w:rsidRDefault="00FB331C" w:rsidP="00D53A04">
            <w:pPr>
              <w:jc w:val="right"/>
              <w:rPr>
                <w:rFonts w:cs="Calibri"/>
                <w:b/>
                <w:bCs/>
                <w:color w:val="000000"/>
                <w:lang w:eastAsia="en-GB"/>
              </w:rPr>
            </w:pPr>
            <w:r w:rsidRPr="00EB2995">
              <w:rPr>
                <w:rFonts w:cs="Calibri"/>
                <w:b/>
                <w:bCs/>
                <w:color w:val="000000"/>
              </w:rPr>
              <w:t>£4,885</w:t>
            </w:r>
          </w:p>
        </w:tc>
        <w:tc>
          <w:tcPr>
            <w:tcW w:w="1068" w:type="dxa"/>
            <w:tcBorders>
              <w:top w:val="nil"/>
              <w:left w:val="nil"/>
              <w:bottom w:val="single" w:sz="8" w:space="0" w:color="auto"/>
              <w:right w:val="single" w:sz="8" w:space="0" w:color="auto"/>
            </w:tcBorders>
            <w:shd w:val="clear" w:color="auto" w:fill="auto"/>
            <w:noWrap/>
            <w:vAlign w:val="center"/>
          </w:tcPr>
          <w:p w:rsidR="00FB331C" w:rsidRPr="00EB2995" w:rsidRDefault="00FB331C" w:rsidP="00D53A04">
            <w:pPr>
              <w:jc w:val="right"/>
              <w:rPr>
                <w:rFonts w:cs="Calibri"/>
                <w:b/>
                <w:bCs/>
                <w:color w:val="000000"/>
                <w:lang w:eastAsia="en-GB"/>
              </w:rPr>
            </w:pPr>
            <w:r w:rsidRPr="00EB2995">
              <w:rPr>
                <w:rFonts w:cs="Calibri"/>
                <w:b/>
                <w:bCs/>
                <w:color w:val="000000"/>
              </w:rPr>
              <w:t>£2,363</w:t>
            </w:r>
          </w:p>
        </w:tc>
      </w:tr>
      <w:tr w:rsidR="00FB331C" w:rsidRPr="00EB2995" w:rsidTr="00FB331C">
        <w:trPr>
          <w:trHeight w:hRule="exact" w:val="397"/>
        </w:trPr>
        <w:tc>
          <w:tcPr>
            <w:tcW w:w="1985" w:type="dxa"/>
            <w:tcBorders>
              <w:top w:val="nil"/>
              <w:left w:val="single" w:sz="8" w:space="0" w:color="auto"/>
              <w:bottom w:val="nil"/>
              <w:right w:val="nil"/>
            </w:tcBorders>
            <w:shd w:val="clear" w:color="auto" w:fill="auto"/>
            <w:noWrap/>
            <w:vAlign w:val="center"/>
            <w:hideMark/>
          </w:tcPr>
          <w:p w:rsidR="00FB331C" w:rsidRPr="00EB2995" w:rsidRDefault="00FB331C" w:rsidP="00D53A04">
            <w:pPr>
              <w:rPr>
                <w:rFonts w:cs="Calibri"/>
                <w:color w:val="000000"/>
                <w:lang w:eastAsia="en-GB"/>
              </w:rPr>
            </w:pPr>
            <w:r w:rsidRPr="00EB2995">
              <w:rPr>
                <w:rFonts w:cs="Calibri"/>
                <w:color w:val="000000"/>
                <w:lang w:eastAsia="en-GB"/>
              </w:rPr>
              <w:t> </w:t>
            </w:r>
          </w:p>
        </w:tc>
        <w:tc>
          <w:tcPr>
            <w:tcW w:w="993" w:type="dxa"/>
            <w:tcBorders>
              <w:top w:val="nil"/>
              <w:left w:val="nil"/>
              <w:bottom w:val="nil"/>
              <w:right w:val="nil"/>
            </w:tcBorders>
            <w:shd w:val="clear" w:color="auto" w:fill="auto"/>
            <w:noWrap/>
            <w:vAlign w:val="center"/>
            <w:hideMark/>
          </w:tcPr>
          <w:p w:rsidR="00FB331C" w:rsidRPr="00EB2995" w:rsidRDefault="00FB331C" w:rsidP="00D53A04">
            <w:pPr>
              <w:rPr>
                <w:rFonts w:cs="Calibri"/>
                <w:color w:val="000000"/>
                <w:lang w:eastAsia="en-GB"/>
              </w:rPr>
            </w:pPr>
          </w:p>
        </w:tc>
        <w:tc>
          <w:tcPr>
            <w:tcW w:w="992" w:type="dxa"/>
            <w:tcBorders>
              <w:top w:val="nil"/>
              <w:left w:val="nil"/>
              <w:bottom w:val="nil"/>
              <w:right w:val="nil"/>
            </w:tcBorders>
            <w:shd w:val="clear" w:color="auto" w:fill="auto"/>
            <w:noWrap/>
            <w:vAlign w:val="center"/>
            <w:hideMark/>
          </w:tcPr>
          <w:p w:rsidR="00FB331C" w:rsidRPr="00EB2995" w:rsidRDefault="00FB331C" w:rsidP="00D53A04">
            <w:pPr>
              <w:rPr>
                <w:rFonts w:cs="Calibri"/>
                <w:lang w:eastAsia="en-GB"/>
              </w:rPr>
            </w:pPr>
          </w:p>
        </w:tc>
        <w:tc>
          <w:tcPr>
            <w:tcW w:w="992" w:type="dxa"/>
            <w:tcBorders>
              <w:top w:val="nil"/>
              <w:left w:val="nil"/>
              <w:bottom w:val="nil"/>
              <w:right w:val="nil"/>
            </w:tcBorders>
            <w:shd w:val="clear" w:color="auto" w:fill="auto"/>
            <w:noWrap/>
            <w:vAlign w:val="center"/>
            <w:hideMark/>
          </w:tcPr>
          <w:p w:rsidR="00FB331C" w:rsidRPr="00EB2995" w:rsidRDefault="00FB331C" w:rsidP="00D53A04">
            <w:pPr>
              <w:rPr>
                <w:rFonts w:cs="Calibri"/>
                <w:lang w:eastAsia="en-GB"/>
              </w:rPr>
            </w:pPr>
          </w:p>
        </w:tc>
        <w:tc>
          <w:tcPr>
            <w:tcW w:w="993" w:type="dxa"/>
            <w:tcBorders>
              <w:top w:val="nil"/>
              <w:left w:val="nil"/>
              <w:bottom w:val="nil"/>
              <w:right w:val="nil"/>
            </w:tcBorders>
            <w:shd w:val="clear" w:color="auto" w:fill="auto"/>
            <w:noWrap/>
            <w:vAlign w:val="center"/>
            <w:hideMark/>
          </w:tcPr>
          <w:p w:rsidR="00FB331C" w:rsidRPr="00EB2995" w:rsidRDefault="00FB331C" w:rsidP="00D53A04">
            <w:pPr>
              <w:rPr>
                <w:rFonts w:cs="Calibri"/>
                <w:lang w:eastAsia="en-GB"/>
              </w:rPr>
            </w:pPr>
          </w:p>
        </w:tc>
        <w:tc>
          <w:tcPr>
            <w:tcW w:w="992" w:type="dxa"/>
            <w:tcBorders>
              <w:top w:val="nil"/>
              <w:left w:val="nil"/>
              <w:bottom w:val="nil"/>
              <w:right w:val="nil"/>
            </w:tcBorders>
            <w:shd w:val="clear" w:color="auto" w:fill="auto"/>
            <w:noWrap/>
            <w:vAlign w:val="center"/>
            <w:hideMark/>
          </w:tcPr>
          <w:p w:rsidR="00FB331C" w:rsidRPr="00EB2995" w:rsidRDefault="00FB331C" w:rsidP="00D53A04">
            <w:pPr>
              <w:rPr>
                <w:rFonts w:cs="Calibri"/>
                <w:lang w:eastAsia="en-GB"/>
              </w:rPr>
            </w:pPr>
          </w:p>
        </w:tc>
        <w:tc>
          <w:tcPr>
            <w:tcW w:w="992" w:type="dxa"/>
            <w:tcBorders>
              <w:top w:val="nil"/>
              <w:left w:val="nil"/>
              <w:bottom w:val="nil"/>
              <w:right w:val="single" w:sz="8" w:space="0" w:color="auto"/>
            </w:tcBorders>
            <w:shd w:val="clear" w:color="auto" w:fill="auto"/>
            <w:noWrap/>
            <w:vAlign w:val="center"/>
            <w:hideMark/>
          </w:tcPr>
          <w:p w:rsidR="00FB331C" w:rsidRPr="00EB2995" w:rsidRDefault="00FB331C" w:rsidP="00D53A04">
            <w:pPr>
              <w:rPr>
                <w:rFonts w:cs="Calibri"/>
                <w:color w:val="000000"/>
                <w:lang w:eastAsia="en-GB"/>
              </w:rPr>
            </w:pPr>
            <w:r w:rsidRPr="00EB2995">
              <w:rPr>
                <w:rFonts w:cs="Calibri"/>
                <w:color w:val="000000"/>
                <w:lang w:eastAsia="en-GB"/>
              </w:rPr>
              <w:t> </w:t>
            </w:r>
          </w:p>
        </w:tc>
        <w:tc>
          <w:tcPr>
            <w:tcW w:w="992" w:type="dxa"/>
            <w:tcBorders>
              <w:top w:val="nil"/>
              <w:left w:val="nil"/>
              <w:bottom w:val="nil"/>
              <w:right w:val="single" w:sz="8" w:space="0" w:color="auto"/>
            </w:tcBorders>
            <w:shd w:val="clear" w:color="auto" w:fill="auto"/>
            <w:noWrap/>
            <w:vAlign w:val="center"/>
            <w:hideMark/>
          </w:tcPr>
          <w:p w:rsidR="00FB331C" w:rsidRPr="00EB2995" w:rsidRDefault="00FB331C" w:rsidP="00D53A04">
            <w:pPr>
              <w:jc w:val="center"/>
              <w:rPr>
                <w:rFonts w:cs="Calibri"/>
                <w:color w:val="000000"/>
                <w:lang w:eastAsia="en-GB"/>
              </w:rPr>
            </w:pPr>
            <w:r w:rsidRPr="00EB2995">
              <w:rPr>
                <w:rFonts w:cs="Calibri"/>
                <w:color w:val="000000"/>
              </w:rPr>
              <w:t> </w:t>
            </w:r>
          </w:p>
        </w:tc>
        <w:tc>
          <w:tcPr>
            <w:tcW w:w="1068" w:type="dxa"/>
            <w:tcBorders>
              <w:top w:val="nil"/>
              <w:left w:val="nil"/>
              <w:bottom w:val="nil"/>
              <w:right w:val="single" w:sz="8" w:space="0" w:color="auto"/>
            </w:tcBorders>
            <w:shd w:val="clear" w:color="auto" w:fill="auto"/>
            <w:noWrap/>
            <w:vAlign w:val="center"/>
          </w:tcPr>
          <w:p w:rsidR="00FB331C" w:rsidRPr="00EB2995" w:rsidRDefault="00FB331C" w:rsidP="00D53A04">
            <w:pPr>
              <w:jc w:val="center"/>
              <w:rPr>
                <w:rFonts w:cs="Calibri"/>
                <w:color w:val="000000"/>
                <w:lang w:eastAsia="en-GB"/>
              </w:rPr>
            </w:pPr>
            <w:r w:rsidRPr="00EB2995">
              <w:rPr>
                <w:rFonts w:cs="Calibri"/>
                <w:color w:val="000000"/>
              </w:rPr>
              <w:t> </w:t>
            </w:r>
          </w:p>
        </w:tc>
      </w:tr>
      <w:tr w:rsidR="00FB331C" w:rsidRPr="00EB2995" w:rsidTr="00FB331C">
        <w:trPr>
          <w:trHeight w:hRule="exact" w:val="397"/>
        </w:trPr>
        <w:tc>
          <w:tcPr>
            <w:tcW w:w="6947" w:type="dxa"/>
            <w:gridSpan w:val="6"/>
            <w:tcBorders>
              <w:top w:val="nil"/>
              <w:left w:val="single" w:sz="8" w:space="0" w:color="auto"/>
              <w:bottom w:val="nil"/>
              <w:right w:val="nil"/>
            </w:tcBorders>
            <w:shd w:val="clear" w:color="auto" w:fill="auto"/>
            <w:vAlign w:val="center"/>
            <w:hideMark/>
          </w:tcPr>
          <w:p w:rsidR="00FB331C" w:rsidRPr="00EB2995" w:rsidRDefault="00FB331C" w:rsidP="00D53A04">
            <w:pPr>
              <w:rPr>
                <w:rFonts w:cs="Calibri"/>
                <w:b/>
                <w:bCs/>
                <w:color w:val="000000"/>
                <w:lang w:eastAsia="en-GB"/>
              </w:rPr>
            </w:pPr>
            <w:r w:rsidRPr="00EB2995">
              <w:rPr>
                <w:rFonts w:cs="Calibri"/>
                <w:b/>
                <w:bCs/>
                <w:color w:val="000000"/>
                <w:lang w:eastAsia="en-GB"/>
              </w:rPr>
              <w:t>ADD</w:t>
            </w:r>
            <w:r w:rsidRPr="00EB2995">
              <w:rPr>
                <w:rFonts w:cs="Calibri"/>
                <w:color w:val="000000"/>
                <w:lang w:eastAsia="en-GB"/>
              </w:rPr>
              <w:t>: amounts provided for in CIES not included in bandings</w:t>
            </w:r>
          </w:p>
        </w:tc>
        <w:tc>
          <w:tcPr>
            <w:tcW w:w="992" w:type="dxa"/>
            <w:tcBorders>
              <w:top w:val="nil"/>
              <w:left w:val="nil"/>
              <w:bottom w:val="nil"/>
              <w:right w:val="single" w:sz="8" w:space="0" w:color="auto"/>
            </w:tcBorders>
            <w:shd w:val="clear" w:color="auto" w:fill="auto"/>
            <w:noWrap/>
            <w:vAlign w:val="center"/>
            <w:hideMark/>
          </w:tcPr>
          <w:p w:rsidR="00FB331C" w:rsidRPr="00EB2995" w:rsidRDefault="00FB331C" w:rsidP="00D53A04">
            <w:pPr>
              <w:rPr>
                <w:rFonts w:cs="Calibri"/>
                <w:color w:val="000000"/>
                <w:lang w:eastAsia="en-GB"/>
              </w:rPr>
            </w:pPr>
            <w:r w:rsidRPr="00EB2995">
              <w:rPr>
                <w:rFonts w:cs="Calibri"/>
                <w:color w:val="000000"/>
                <w:lang w:eastAsia="en-GB"/>
              </w:rPr>
              <w:t> </w:t>
            </w:r>
          </w:p>
        </w:tc>
        <w:tc>
          <w:tcPr>
            <w:tcW w:w="992" w:type="dxa"/>
            <w:tcBorders>
              <w:top w:val="nil"/>
              <w:left w:val="nil"/>
              <w:bottom w:val="nil"/>
              <w:right w:val="single" w:sz="8" w:space="0" w:color="auto"/>
            </w:tcBorders>
            <w:shd w:val="clear" w:color="auto" w:fill="auto"/>
            <w:noWrap/>
            <w:vAlign w:val="center"/>
            <w:hideMark/>
          </w:tcPr>
          <w:p w:rsidR="00FB331C" w:rsidRPr="00EB2995" w:rsidRDefault="00FB331C" w:rsidP="00D53A04">
            <w:pPr>
              <w:jc w:val="right"/>
              <w:rPr>
                <w:rFonts w:cs="Calibri"/>
                <w:color w:val="000000"/>
                <w:lang w:eastAsia="en-GB"/>
              </w:rPr>
            </w:pPr>
            <w:r w:rsidRPr="00EB2995">
              <w:rPr>
                <w:rFonts w:cs="Calibri"/>
                <w:color w:val="000000"/>
                <w:lang w:eastAsia="en-GB"/>
              </w:rPr>
              <w:t>£0</w:t>
            </w:r>
          </w:p>
        </w:tc>
        <w:tc>
          <w:tcPr>
            <w:tcW w:w="1068" w:type="dxa"/>
            <w:tcBorders>
              <w:top w:val="nil"/>
              <w:left w:val="nil"/>
              <w:bottom w:val="nil"/>
              <w:right w:val="single" w:sz="8" w:space="0" w:color="auto"/>
            </w:tcBorders>
            <w:shd w:val="clear" w:color="auto" w:fill="auto"/>
            <w:noWrap/>
            <w:vAlign w:val="center"/>
          </w:tcPr>
          <w:p w:rsidR="00FB331C" w:rsidRPr="00EB2995" w:rsidRDefault="00FB331C" w:rsidP="00D53A04">
            <w:pPr>
              <w:jc w:val="right"/>
              <w:rPr>
                <w:rFonts w:cs="Calibri"/>
                <w:color w:val="000000"/>
                <w:lang w:eastAsia="en-GB"/>
              </w:rPr>
            </w:pPr>
            <w:r w:rsidRPr="00EB2995">
              <w:rPr>
                <w:rFonts w:cs="Calibri"/>
                <w:color w:val="000000"/>
                <w:lang w:eastAsia="en-GB"/>
              </w:rPr>
              <w:t>£0</w:t>
            </w:r>
          </w:p>
        </w:tc>
      </w:tr>
      <w:tr w:rsidR="00FB331C" w:rsidRPr="00EB2995" w:rsidTr="00FB331C">
        <w:trPr>
          <w:trHeight w:hRule="exact" w:val="397"/>
        </w:trPr>
        <w:tc>
          <w:tcPr>
            <w:tcW w:w="1985" w:type="dxa"/>
            <w:tcBorders>
              <w:top w:val="nil"/>
              <w:left w:val="single" w:sz="8" w:space="0" w:color="auto"/>
              <w:bottom w:val="nil"/>
              <w:right w:val="nil"/>
            </w:tcBorders>
            <w:shd w:val="clear" w:color="auto" w:fill="auto"/>
            <w:noWrap/>
            <w:vAlign w:val="center"/>
            <w:hideMark/>
          </w:tcPr>
          <w:p w:rsidR="00FB331C" w:rsidRPr="00EB2995" w:rsidRDefault="00FB331C" w:rsidP="00D53A04">
            <w:pPr>
              <w:rPr>
                <w:rFonts w:cs="Calibri"/>
                <w:color w:val="000000"/>
                <w:lang w:eastAsia="en-GB"/>
              </w:rPr>
            </w:pPr>
            <w:r w:rsidRPr="00EB2995">
              <w:rPr>
                <w:rFonts w:cs="Calibri"/>
                <w:color w:val="000000"/>
                <w:lang w:eastAsia="en-GB"/>
              </w:rPr>
              <w:t> </w:t>
            </w:r>
          </w:p>
        </w:tc>
        <w:tc>
          <w:tcPr>
            <w:tcW w:w="993" w:type="dxa"/>
            <w:tcBorders>
              <w:top w:val="nil"/>
              <w:left w:val="nil"/>
              <w:bottom w:val="nil"/>
              <w:right w:val="nil"/>
            </w:tcBorders>
            <w:shd w:val="clear" w:color="auto" w:fill="auto"/>
            <w:noWrap/>
            <w:vAlign w:val="center"/>
            <w:hideMark/>
          </w:tcPr>
          <w:p w:rsidR="00FB331C" w:rsidRPr="00EB2995" w:rsidRDefault="00FB331C" w:rsidP="00D53A04">
            <w:pPr>
              <w:rPr>
                <w:rFonts w:cs="Calibri"/>
                <w:color w:val="000000"/>
                <w:lang w:eastAsia="en-GB"/>
              </w:rPr>
            </w:pPr>
          </w:p>
        </w:tc>
        <w:tc>
          <w:tcPr>
            <w:tcW w:w="992" w:type="dxa"/>
            <w:tcBorders>
              <w:top w:val="nil"/>
              <w:left w:val="nil"/>
              <w:bottom w:val="nil"/>
              <w:right w:val="nil"/>
            </w:tcBorders>
            <w:shd w:val="clear" w:color="auto" w:fill="auto"/>
            <w:noWrap/>
            <w:vAlign w:val="center"/>
            <w:hideMark/>
          </w:tcPr>
          <w:p w:rsidR="00FB331C" w:rsidRPr="00EB2995" w:rsidRDefault="00FB331C" w:rsidP="00D53A04">
            <w:pPr>
              <w:rPr>
                <w:rFonts w:cs="Calibri"/>
                <w:lang w:eastAsia="en-GB"/>
              </w:rPr>
            </w:pPr>
          </w:p>
        </w:tc>
        <w:tc>
          <w:tcPr>
            <w:tcW w:w="992" w:type="dxa"/>
            <w:tcBorders>
              <w:top w:val="nil"/>
              <w:left w:val="nil"/>
              <w:bottom w:val="nil"/>
              <w:right w:val="nil"/>
            </w:tcBorders>
            <w:shd w:val="clear" w:color="auto" w:fill="auto"/>
            <w:noWrap/>
            <w:vAlign w:val="center"/>
            <w:hideMark/>
          </w:tcPr>
          <w:p w:rsidR="00FB331C" w:rsidRPr="00EB2995" w:rsidRDefault="00FB331C" w:rsidP="00D53A04">
            <w:pPr>
              <w:rPr>
                <w:rFonts w:cs="Calibri"/>
                <w:lang w:eastAsia="en-GB"/>
              </w:rPr>
            </w:pPr>
          </w:p>
        </w:tc>
        <w:tc>
          <w:tcPr>
            <w:tcW w:w="993" w:type="dxa"/>
            <w:tcBorders>
              <w:top w:val="nil"/>
              <w:left w:val="nil"/>
              <w:bottom w:val="nil"/>
              <w:right w:val="nil"/>
            </w:tcBorders>
            <w:shd w:val="clear" w:color="auto" w:fill="auto"/>
            <w:noWrap/>
            <w:vAlign w:val="center"/>
            <w:hideMark/>
          </w:tcPr>
          <w:p w:rsidR="00FB331C" w:rsidRPr="00EB2995" w:rsidRDefault="00FB331C" w:rsidP="00D53A04">
            <w:pPr>
              <w:rPr>
                <w:rFonts w:cs="Calibri"/>
                <w:lang w:eastAsia="en-GB"/>
              </w:rPr>
            </w:pPr>
          </w:p>
        </w:tc>
        <w:tc>
          <w:tcPr>
            <w:tcW w:w="992" w:type="dxa"/>
            <w:tcBorders>
              <w:top w:val="nil"/>
              <w:left w:val="nil"/>
              <w:bottom w:val="nil"/>
              <w:right w:val="nil"/>
            </w:tcBorders>
            <w:shd w:val="clear" w:color="auto" w:fill="auto"/>
            <w:noWrap/>
            <w:vAlign w:val="center"/>
            <w:hideMark/>
          </w:tcPr>
          <w:p w:rsidR="00FB331C" w:rsidRPr="00EB2995" w:rsidRDefault="00FB331C" w:rsidP="00D53A04">
            <w:pPr>
              <w:rPr>
                <w:rFonts w:cs="Calibri"/>
                <w:lang w:eastAsia="en-GB"/>
              </w:rPr>
            </w:pPr>
          </w:p>
        </w:tc>
        <w:tc>
          <w:tcPr>
            <w:tcW w:w="992" w:type="dxa"/>
            <w:tcBorders>
              <w:top w:val="nil"/>
              <w:left w:val="nil"/>
              <w:bottom w:val="nil"/>
              <w:right w:val="single" w:sz="8" w:space="0" w:color="auto"/>
            </w:tcBorders>
            <w:shd w:val="clear" w:color="auto" w:fill="auto"/>
            <w:noWrap/>
            <w:vAlign w:val="center"/>
            <w:hideMark/>
          </w:tcPr>
          <w:p w:rsidR="00FB331C" w:rsidRPr="00EB2995" w:rsidRDefault="00FB331C" w:rsidP="00D53A04">
            <w:pPr>
              <w:rPr>
                <w:rFonts w:cs="Calibri"/>
                <w:color w:val="000000"/>
                <w:lang w:eastAsia="en-GB"/>
              </w:rPr>
            </w:pPr>
            <w:r w:rsidRPr="00EB2995">
              <w:rPr>
                <w:rFonts w:cs="Calibri"/>
                <w:color w:val="000000"/>
                <w:lang w:eastAsia="en-GB"/>
              </w:rPr>
              <w:t> </w:t>
            </w:r>
          </w:p>
        </w:tc>
        <w:tc>
          <w:tcPr>
            <w:tcW w:w="992" w:type="dxa"/>
            <w:tcBorders>
              <w:top w:val="nil"/>
              <w:left w:val="nil"/>
              <w:bottom w:val="single" w:sz="8" w:space="0" w:color="auto"/>
              <w:right w:val="single" w:sz="8" w:space="0" w:color="auto"/>
            </w:tcBorders>
            <w:shd w:val="clear" w:color="auto" w:fill="auto"/>
            <w:noWrap/>
            <w:vAlign w:val="center"/>
            <w:hideMark/>
          </w:tcPr>
          <w:p w:rsidR="00FB331C" w:rsidRPr="00EB2995" w:rsidRDefault="00FB331C" w:rsidP="00D53A04">
            <w:pPr>
              <w:jc w:val="right"/>
              <w:rPr>
                <w:rFonts w:cs="Calibri"/>
                <w:color w:val="000000"/>
                <w:lang w:eastAsia="en-GB"/>
              </w:rPr>
            </w:pPr>
            <w:r w:rsidRPr="00EB2995">
              <w:rPr>
                <w:rFonts w:cs="Calibri"/>
                <w:color w:val="000000"/>
              </w:rPr>
              <w:t> </w:t>
            </w:r>
          </w:p>
        </w:tc>
        <w:tc>
          <w:tcPr>
            <w:tcW w:w="1068" w:type="dxa"/>
            <w:tcBorders>
              <w:top w:val="nil"/>
              <w:left w:val="nil"/>
              <w:bottom w:val="single" w:sz="8" w:space="0" w:color="auto"/>
              <w:right w:val="single" w:sz="8" w:space="0" w:color="auto"/>
            </w:tcBorders>
            <w:shd w:val="clear" w:color="auto" w:fill="auto"/>
            <w:noWrap/>
            <w:vAlign w:val="center"/>
          </w:tcPr>
          <w:p w:rsidR="00FB331C" w:rsidRPr="00EB2995" w:rsidRDefault="00FB331C" w:rsidP="00D53A04">
            <w:pPr>
              <w:jc w:val="right"/>
              <w:rPr>
                <w:rFonts w:cs="Calibri"/>
                <w:color w:val="000000"/>
                <w:lang w:eastAsia="en-GB"/>
              </w:rPr>
            </w:pPr>
            <w:r w:rsidRPr="00EB2995">
              <w:rPr>
                <w:rFonts w:cs="Calibri"/>
                <w:color w:val="000000"/>
              </w:rPr>
              <w:t> </w:t>
            </w:r>
          </w:p>
        </w:tc>
      </w:tr>
      <w:tr w:rsidR="00FB331C" w:rsidRPr="00EB2995" w:rsidTr="00FB331C">
        <w:trPr>
          <w:trHeight w:hRule="exact" w:val="397"/>
        </w:trPr>
        <w:tc>
          <w:tcPr>
            <w:tcW w:w="2978" w:type="dxa"/>
            <w:gridSpan w:val="2"/>
            <w:tcBorders>
              <w:top w:val="nil"/>
              <w:left w:val="single" w:sz="8" w:space="0" w:color="auto"/>
              <w:bottom w:val="nil"/>
              <w:right w:val="nil"/>
            </w:tcBorders>
            <w:shd w:val="clear" w:color="auto" w:fill="auto"/>
            <w:noWrap/>
            <w:vAlign w:val="center"/>
            <w:hideMark/>
          </w:tcPr>
          <w:p w:rsidR="00FB331C" w:rsidRPr="00EB2995" w:rsidRDefault="00FB331C" w:rsidP="00D53A04">
            <w:pPr>
              <w:rPr>
                <w:rFonts w:cs="Calibri"/>
                <w:b/>
                <w:bCs/>
                <w:color w:val="000000"/>
                <w:lang w:eastAsia="en-GB"/>
              </w:rPr>
            </w:pPr>
            <w:r w:rsidRPr="00EB2995">
              <w:rPr>
                <w:rFonts w:cs="Calibri"/>
                <w:b/>
                <w:bCs/>
                <w:color w:val="000000"/>
                <w:lang w:eastAsia="en-GB"/>
              </w:rPr>
              <w:t>TOTAL cost included in CIES</w:t>
            </w:r>
          </w:p>
        </w:tc>
        <w:tc>
          <w:tcPr>
            <w:tcW w:w="992" w:type="dxa"/>
            <w:tcBorders>
              <w:top w:val="nil"/>
              <w:left w:val="nil"/>
              <w:bottom w:val="nil"/>
              <w:right w:val="nil"/>
            </w:tcBorders>
            <w:shd w:val="clear" w:color="auto" w:fill="auto"/>
            <w:noWrap/>
            <w:vAlign w:val="center"/>
            <w:hideMark/>
          </w:tcPr>
          <w:p w:rsidR="00FB331C" w:rsidRPr="00EB2995" w:rsidRDefault="00FB331C" w:rsidP="00D53A04">
            <w:pPr>
              <w:rPr>
                <w:rFonts w:cs="Calibri"/>
                <w:b/>
                <w:bCs/>
                <w:color w:val="000000"/>
                <w:lang w:eastAsia="en-GB"/>
              </w:rPr>
            </w:pPr>
          </w:p>
        </w:tc>
        <w:tc>
          <w:tcPr>
            <w:tcW w:w="992" w:type="dxa"/>
            <w:tcBorders>
              <w:top w:val="nil"/>
              <w:left w:val="nil"/>
              <w:bottom w:val="nil"/>
              <w:right w:val="nil"/>
            </w:tcBorders>
            <w:shd w:val="clear" w:color="auto" w:fill="auto"/>
            <w:noWrap/>
            <w:vAlign w:val="center"/>
            <w:hideMark/>
          </w:tcPr>
          <w:p w:rsidR="00FB331C" w:rsidRPr="00EB2995" w:rsidRDefault="00FB331C" w:rsidP="00D53A04">
            <w:pPr>
              <w:rPr>
                <w:rFonts w:cs="Calibri"/>
                <w:lang w:eastAsia="en-GB"/>
              </w:rPr>
            </w:pPr>
          </w:p>
        </w:tc>
        <w:tc>
          <w:tcPr>
            <w:tcW w:w="993" w:type="dxa"/>
            <w:tcBorders>
              <w:top w:val="nil"/>
              <w:left w:val="nil"/>
              <w:bottom w:val="nil"/>
              <w:right w:val="nil"/>
            </w:tcBorders>
            <w:shd w:val="clear" w:color="auto" w:fill="auto"/>
            <w:noWrap/>
            <w:vAlign w:val="center"/>
            <w:hideMark/>
          </w:tcPr>
          <w:p w:rsidR="00FB331C" w:rsidRPr="00EB2995" w:rsidRDefault="00FB331C" w:rsidP="00D53A04">
            <w:pPr>
              <w:rPr>
                <w:rFonts w:cs="Calibri"/>
                <w:lang w:eastAsia="en-GB"/>
              </w:rPr>
            </w:pPr>
          </w:p>
        </w:tc>
        <w:tc>
          <w:tcPr>
            <w:tcW w:w="992" w:type="dxa"/>
            <w:tcBorders>
              <w:top w:val="nil"/>
              <w:left w:val="nil"/>
              <w:bottom w:val="nil"/>
              <w:right w:val="nil"/>
            </w:tcBorders>
            <w:shd w:val="clear" w:color="auto" w:fill="auto"/>
            <w:noWrap/>
            <w:vAlign w:val="center"/>
            <w:hideMark/>
          </w:tcPr>
          <w:p w:rsidR="00FB331C" w:rsidRPr="00EB2995" w:rsidRDefault="00FB331C" w:rsidP="00D53A04">
            <w:pPr>
              <w:rPr>
                <w:rFonts w:cs="Calibri"/>
                <w:lang w:eastAsia="en-GB"/>
              </w:rPr>
            </w:pPr>
          </w:p>
        </w:tc>
        <w:tc>
          <w:tcPr>
            <w:tcW w:w="992" w:type="dxa"/>
            <w:tcBorders>
              <w:top w:val="nil"/>
              <w:left w:val="nil"/>
              <w:bottom w:val="nil"/>
              <w:right w:val="single" w:sz="8" w:space="0" w:color="auto"/>
            </w:tcBorders>
            <w:shd w:val="clear" w:color="auto" w:fill="auto"/>
            <w:noWrap/>
            <w:vAlign w:val="center"/>
            <w:hideMark/>
          </w:tcPr>
          <w:p w:rsidR="00FB331C" w:rsidRPr="00EB2995" w:rsidRDefault="00FB331C" w:rsidP="00D53A04">
            <w:pPr>
              <w:rPr>
                <w:rFonts w:cs="Calibri"/>
                <w:color w:val="000000"/>
                <w:lang w:eastAsia="en-GB"/>
              </w:rPr>
            </w:pPr>
            <w:r w:rsidRPr="00EB2995">
              <w:rPr>
                <w:rFonts w:cs="Calibri"/>
                <w:color w:val="000000"/>
                <w:lang w:eastAsia="en-GB"/>
              </w:rPr>
              <w:t> </w:t>
            </w:r>
          </w:p>
        </w:tc>
        <w:tc>
          <w:tcPr>
            <w:tcW w:w="992" w:type="dxa"/>
            <w:tcBorders>
              <w:top w:val="nil"/>
              <w:left w:val="nil"/>
              <w:bottom w:val="single" w:sz="8" w:space="0" w:color="auto"/>
              <w:right w:val="single" w:sz="8" w:space="0" w:color="auto"/>
            </w:tcBorders>
            <w:shd w:val="clear" w:color="auto" w:fill="auto"/>
            <w:noWrap/>
            <w:vAlign w:val="center"/>
            <w:hideMark/>
          </w:tcPr>
          <w:p w:rsidR="00FB331C" w:rsidRPr="00EB2995" w:rsidRDefault="00FB331C" w:rsidP="00D53A04">
            <w:pPr>
              <w:jc w:val="right"/>
              <w:rPr>
                <w:rFonts w:cs="Calibri"/>
                <w:b/>
                <w:bCs/>
                <w:color w:val="000000"/>
                <w:lang w:eastAsia="en-GB"/>
              </w:rPr>
            </w:pPr>
            <w:r w:rsidRPr="00EB2995">
              <w:rPr>
                <w:rFonts w:cs="Calibri"/>
                <w:b/>
                <w:bCs/>
                <w:color w:val="000000"/>
                <w:lang w:eastAsia="en-GB"/>
              </w:rPr>
              <w:t>£4,885</w:t>
            </w:r>
          </w:p>
        </w:tc>
        <w:tc>
          <w:tcPr>
            <w:tcW w:w="1068" w:type="dxa"/>
            <w:tcBorders>
              <w:top w:val="nil"/>
              <w:left w:val="nil"/>
              <w:bottom w:val="single" w:sz="8" w:space="0" w:color="auto"/>
              <w:right w:val="single" w:sz="8" w:space="0" w:color="auto"/>
            </w:tcBorders>
            <w:shd w:val="clear" w:color="auto" w:fill="auto"/>
            <w:noWrap/>
            <w:vAlign w:val="center"/>
          </w:tcPr>
          <w:p w:rsidR="00FB331C" w:rsidRPr="00EB2995" w:rsidRDefault="00FB331C" w:rsidP="00D53A04">
            <w:pPr>
              <w:jc w:val="right"/>
              <w:rPr>
                <w:rFonts w:cs="Calibri"/>
                <w:b/>
                <w:bCs/>
                <w:color w:val="000000"/>
                <w:lang w:eastAsia="en-GB"/>
              </w:rPr>
            </w:pPr>
            <w:r w:rsidRPr="00EB2995">
              <w:rPr>
                <w:rFonts w:cs="Calibri"/>
                <w:b/>
                <w:bCs/>
                <w:color w:val="000000"/>
              </w:rPr>
              <w:t>£2,363</w:t>
            </w:r>
          </w:p>
        </w:tc>
      </w:tr>
      <w:tr w:rsidR="00FB331C" w:rsidRPr="00EB2995" w:rsidTr="00FB331C">
        <w:trPr>
          <w:trHeight w:hRule="exact" w:val="397"/>
        </w:trPr>
        <w:tc>
          <w:tcPr>
            <w:tcW w:w="1985" w:type="dxa"/>
            <w:tcBorders>
              <w:top w:val="nil"/>
              <w:left w:val="single" w:sz="8" w:space="0" w:color="auto"/>
              <w:bottom w:val="nil"/>
              <w:right w:val="nil"/>
            </w:tcBorders>
            <w:shd w:val="clear" w:color="auto" w:fill="auto"/>
            <w:noWrap/>
            <w:vAlign w:val="center"/>
            <w:hideMark/>
          </w:tcPr>
          <w:p w:rsidR="00FB331C" w:rsidRPr="00EB2995" w:rsidRDefault="00FB331C" w:rsidP="00D53A04">
            <w:pPr>
              <w:rPr>
                <w:rFonts w:cs="Calibri"/>
                <w:color w:val="000000"/>
                <w:lang w:eastAsia="en-GB"/>
              </w:rPr>
            </w:pPr>
            <w:r w:rsidRPr="00EB2995">
              <w:rPr>
                <w:rFonts w:cs="Calibri"/>
                <w:color w:val="000000"/>
                <w:lang w:eastAsia="en-GB"/>
              </w:rPr>
              <w:t> </w:t>
            </w:r>
          </w:p>
        </w:tc>
        <w:tc>
          <w:tcPr>
            <w:tcW w:w="993" w:type="dxa"/>
            <w:tcBorders>
              <w:top w:val="nil"/>
              <w:left w:val="nil"/>
              <w:bottom w:val="nil"/>
              <w:right w:val="nil"/>
            </w:tcBorders>
            <w:shd w:val="clear" w:color="auto" w:fill="auto"/>
            <w:noWrap/>
            <w:vAlign w:val="center"/>
            <w:hideMark/>
          </w:tcPr>
          <w:p w:rsidR="00FB331C" w:rsidRPr="00EB2995" w:rsidRDefault="00FB331C" w:rsidP="00D53A04">
            <w:pPr>
              <w:rPr>
                <w:rFonts w:cs="Calibri"/>
                <w:color w:val="000000"/>
                <w:lang w:eastAsia="en-GB"/>
              </w:rPr>
            </w:pPr>
          </w:p>
        </w:tc>
        <w:tc>
          <w:tcPr>
            <w:tcW w:w="992" w:type="dxa"/>
            <w:tcBorders>
              <w:top w:val="nil"/>
              <w:left w:val="nil"/>
              <w:bottom w:val="nil"/>
              <w:right w:val="nil"/>
            </w:tcBorders>
            <w:shd w:val="clear" w:color="auto" w:fill="auto"/>
            <w:noWrap/>
            <w:vAlign w:val="center"/>
            <w:hideMark/>
          </w:tcPr>
          <w:p w:rsidR="00FB331C" w:rsidRPr="00EB2995" w:rsidRDefault="00FB331C" w:rsidP="00D53A04">
            <w:pPr>
              <w:rPr>
                <w:rFonts w:cs="Calibri"/>
                <w:lang w:eastAsia="en-GB"/>
              </w:rPr>
            </w:pPr>
          </w:p>
        </w:tc>
        <w:tc>
          <w:tcPr>
            <w:tcW w:w="992" w:type="dxa"/>
            <w:tcBorders>
              <w:top w:val="nil"/>
              <w:left w:val="nil"/>
              <w:bottom w:val="nil"/>
              <w:right w:val="nil"/>
            </w:tcBorders>
            <w:shd w:val="clear" w:color="auto" w:fill="auto"/>
            <w:noWrap/>
            <w:vAlign w:val="center"/>
            <w:hideMark/>
          </w:tcPr>
          <w:p w:rsidR="00FB331C" w:rsidRPr="00EB2995" w:rsidRDefault="00FB331C" w:rsidP="00D53A04">
            <w:pPr>
              <w:rPr>
                <w:rFonts w:cs="Calibri"/>
                <w:lang w:eastAsia="en-GB"/>
              </w:rPr>
            </w:pPr>
          </w:p>
        </w:tc>
        <w:tc>
          <w:tcPr>
            <w:tcW w:w="993" w:type="dxa"/>
            <w:tcBorders>
              <w:top w:val="nil"/>
              <w:left w:val="nil"/>
              <w:bottom w:val="nil"/>
              <w:right w:val="nil"/>
            </w:tcBorders>
            <w:shd w:val="clear" w:color="auto" w:fill="auto"/>
            <w:noWrap/>
            <w:vAlign w:val="center"/>
            <w:hideMark/>
          </w:tcPr>
          <w:p w:rsidR="00FB331C" w:rsidRPr="00EB2995" w:rsidRDefault="00FB331C" w:rsidP="00D53A04">
            <w:pPr>
              <w:rPr>
                <w:rFonts w:cs="Calibri"/>
                <w:lang w:eastAsia="en-GB"/>
              </w:rPr>
            </w:pPr>
          </w:p>
        </w:tc>
        <w:tc>
          <w:tcPr>
            <w:tcW w:w="992" w:type="dxa"/>
            <w:tcBorders>
              <w:top w:val="nil"/>
              <w:left w:val="nil"/>
              <w:bottom w:val="nil"/>
              <w:right w:val="nil"/>
            </w:tcBorders>
            <w:shd w:val="clear" w:color="auto" w:fill="auto"/>
            <w:noWrap/>
            <w:vAlign w:val="center"/>
            <w:hideMark/>
          </w:tcPr>
          <w:p w:rsidR="00FB331C" w:rsidRPr="00EB2995" w:rsidRDefault="00FB331C" w:rsidP="00D53A04">
            <w:pPr>
              <w:rPr>
                <w:rFonts w:cs="Calibri"/>
                <w:lang w:eastAsia="en-GB"/>
              </w:rPr>
            </w:pPr>
          </w:p>
        </w:tc>
        <w:tc>
          <w:tcPr>
            <w:tcW w:w="992" w:type="dxa"/>
            <w:tcBorders>
              <w:top w:val="nil"/>
              <w:left w:val="nil"/>
              <w:bottom w:val="nil"/>
              <w:right w:val="single" w:sz="8" w:space="0" w:color="auto"/>
            </w:tcBorders>
            <w:shd w:val="clear" w:color="auto" w:fill="auto"/>
            <w:noWrap/>
            <w:vAlign w:val="center"/>
            <w:hideMark/>
          </w:tcPr>
          <w:p w:rsidR="00FB331C" w:rsidRPr="00EB2995" w:rsidRDefault="00FB331C" w:rsidP="00D53A04">
            <w:pPr>
              <w:rPr>
                <w:rFonts w:cs="Calibri"/>
                <w:color w:val="000000"/>
                <w:lang w:eastAsia="en-GB"/>
              </w:rPr>
            </w:pPr>
            <w:r w:rsidRPr="00EB2995">
              <w:rPr>
                <w:rFonts w:cs="Calibri"/>
                <w:color w:val="000000"/>
                <w:lang w:eastAsia="en-GB"/>
              </w:rPr>
              <w:t> </w:t>
            </w:r>
          </w:p>
        </w:tc>
        <w:tc>
          <w:tcPr>
            <w:tcW w:w="992" w:type="dxa"/>
            <w:tcBorders>
              <w:top w:val="nil"/>
              <w:left w:val="nil"/>
              <w:bottom w:val="nil"/>
              <w:right w:val="single" w:sz="8" w:space="0" w:color="auto"/>
            </w:tcBorders>
            <w:shd w:val="clear" w:color="auto" w:fill="auto"/>
            <w:noWrap/>
            <w:vAlign w:val="center"/>
            <w:hideMark/>
          </w:tcPr>
          <w:p w:rsidR="00FB331C" w:rsidRPr="00EB2995" w:rsidRDefault="00FB331C" w:rsidP="00D53A04">
            <w:pPr>
              <w:jc w:val="right"/>
              <w:rPr>
                <w:rFonts w:cs="Calibri"/>
                <w:color w:val="000000"/>
                <w:lang w:eastAsia="en-GB"/>
              </w:rPr>
            </w:pPr>
            <w:r w:rsidRPr="00EB2995">
              <w:rPr>
                <w:rFonts w:cs="Calibri"/>
                <w:color w:val="000000"/>
              </w:rPr>
              <w:t> </w:t>
            </w:r>
          </w:p>
        </w:tc>
        <w:tc>
          <w:tcPr>
            <w:tcW w:w="1068" w:type="dxa"/>
            <w:tcBorders>
              <w:top w:val="nil"/>
              <w:left w:val="nil"/>
              <w:bottom w:val="nil"/>
              <w:right w:val="single" w:sz="8" w:space="0" w:color="auto"/>
            </w:tcBorders>
            <w:shd w:val="clear" w:color="auto" w:fill="auto"/>
            <w:noWrap/>
            <w:vAlign w:val="center"/>
          </w:tcPr>
          <w:p w:rsidR="00FB331C" w:rsidRPr="00EB2995" w:rsidRDefault="00FB331C" w:rsidP="00D53A04">
            <w:pPr>
              <w:jc w:val="right"/>
              <w:rPr>
                <w:rFonts w:cs="Calibri"/>
                <w:color w:val="000000"/>
                <w:lang w:eastAsia="en-GB"/>
              </w:rPr>
            </w:pPr>
            <w:r w:rsidRPr="00EB2995">
              <w:rPr>
                <w:rFonts w:cs="Calibri"/>
                <w:color w:val="000000"/>
              </w:rPr>
              <w:t> </w:t>
            </w:r>
          </w:p>
        </w:tc>
      </w:tr>
      <w:tr w:rsidR="00FB331C" w:rsidRPr="00EB2995" w:rsidTr="00FB331C">
        <w:trPr>
          <w:trHeight w:hRule="exact" w:val="397"/>
        </w:trPr>
        <w:tc>
          <w:tcPr>
            <w:tcW w:w="2978" w:type="dxa"/>
            <w:gridSpan w:val="2"/>
            <w:tcBorders>
              <w:top w:val="nil"/>
              <w:left w:val="single" w:sz="8" w:space="0" w:color="auto"/>
              <w:bottom w:val="single" w:sz="8" w:space="0" w:color="auto"/>
              <w:right w:val="nil"/>
            </w:tcBorders>
            <w:shd w:val="clear" w:color="auto" w:fill="auto"/>
            <w:noWrap/>
            <w:vAlign w:val="center"/>
            <w:hideMark/>
          </w:tcPr>
          <w:p w:rsidR="00FB331C" w:rsidRPr="00EB2995" w:rsidRDefault="00FB331C" w:rsidP="00D53A04">
            <w:pPr>
              <w:rPr>
                <w:rFonts w:cs="Calibri"/>
                <w:b/>
                <w:bCs/>
                <w:color w:val="000000"/>
                <w:lang w:eastAsia="en-GB"/>
              </w:rPr>
            </w:pPr>
            <w:r w:rsidRPr="00EB2995">
              <w:rPr>
                <w:rFonts w:cs="Calibri"/>
                <w:b/>
                <w:bCs/>
                <w:color w:val="000000"/>
                <w:lang w:eastAsia="en-GB"/>
              </w:rPr>
              <w:t>Average cost of exit packages</w:t>
            </w:r>
          </w:p>
        </w:tc>
        <w:tc>
          <w:tcPr>
            <w:tcW w:w="992" w:type="dxa"/>
            <w:tcBorders>
              <w:top w:val="nil"/>
              <w:left w:val="nil"/>
              <w:bottom w:val="single" w:sz="8" w:space="0" w:color="auto"/>
              <w:right w:val="nil"/>
            </w:tcBorders>
            <w:shd w:val="clear" w:color="auto" w:fill="auto"/>
            <w:noWrap/>
            <w:vAlign w:val="center"/>
            <w:hideMark/>
          </w:tcPr>
          <w:p w:rsidR="00FB331C" w:rsidRPr="00EB2995" w:rsidRDefault="00FB331C" w:rsidP="00D53A04">
            <w:pPr>
              <w:rPr>
                <w:rFonts w:cs="Calibri"/>
                <w:b/>
                <w:bCs/>
                <w:color w:val="000000"/>
                <w:lang w:eastAsia="en-GB"/>
              </w:rPr>
            </w:pPr>
            <w:r w:rsidRPr="00EB2995">
              <w:rPr>
                <w:rFonts w:cs="Calibri"/>
                <w:b/>
                <w:bCs/>
                <w:color w:val="000000"/>
                <w:lang w:eastAsia="en-GB"/>
              </w:rPr>
              <w:t> </w:t>
            </w:r>
          </w:p>
        </w:tc>
        <w:tc>
          <w:tcPr>
            <w:tcW w:w="992" w:type="dxa"/>
            <w:tcBorders>
              <w:top w:val="nil"/>
              <w:left w:val="nil"/>
              <w:bottom w:val="single" w:sz="8" w:space="0" w:color="auto"/>
              <w:right w:val="nil"/>
            </w:tcBorders>
            <w:shd w:val="clear" w:color="auto" w:fill="auto"/>
            <w:noWrap/>
            <w:vAlign w:val="center"/>
            <w:hideMark/>
          </w:tcPr>
          <w:p w:rsidR="00FB331C" w:rsidRPr="00EB2995" w:rsidRDefault="00FB331C" w:rsidP="00D53A04">
            <w:pPr>
              <w:rPr>
                <w:rFonts w:cs="Calibri"/>
                <w:b/>
                <w:bCs/>
                <w:color w:val="000000"/>
                <w:lang w:eastAsia="en-GB"/>
              </w:rPr>
            </w:pPr>
            <w:r w:rsidRPr="00EB2995">
              <w:rPr>
                <w:rFonts w:cs="Calibri"/>
                <w:b/>
                <w:bCs/>
                <w:color w:val="000000"/>
                <w:lang w:eastAsia="en-GB"/>
              </w:rPr>
              <w:t> </w:t>
            </w:r>
          </w:p>
        </w:tc>
        <w:tc>
          <w:tcPr>
            <w:tcW w:w="993" w:type="dxa"/>
            <w:tcBorders>
              <w:top w:val="nil"/>
              <w:left w:val="nil"/>
              <w:bottom w:val="single" w:sz="8" w:space="0" w:color="auto"/>
              <w:right w:val="nil"/>
            </w:tcBorders>
            <w:shd w:val="clear" w:color="auto" w:fill="auto"/>
            <w:noWrap/>
            <w:vAlign w:val="center"/>
            <w:hideMark/>
          </w:tcPr>
          <w:p w:rsidR="00FB331C" w:rsidRPr="00EB2995" w:rsidRDefault="00FB331C" w:rsidP="00D53A04">
            <w:pPr>
              <w:rPr>
                <w:rFonts w:cs="Calibri"/>
                <w:b/>
                <w:bCs/>
                <w:color w:val="000000"/>
                <w:lang w:eastAsia="en-GB"/>
              </w:rPr>
            </w:pPr>
            <w:r w:rsidRPr="00EB2995">
              <w:rPr>
                <w:rFonts w:cs="Calibri"/>
                <w:b/>
                <w:bCs/>
                <w:color w:val="000000"/>
                <w:lang w:eastAsia="en-GB"/>
              </w:rPr>
              <w:t> </w:t>
            </w:r>
          </w:p>
        </w:tc>
        <w:tc>
          <w:tcPr>
            <w:tcW w:w="992" w:type="dxa"/>
            <w:tcBorders>
              <w:top w:val="nil"/>
              <w:left w:val="nil"/>
              <w:bottom w:val="single" w:sz="8" w:space="0" w:color="auto"/>
              <w:right w:val="nil"/>
            </w:tcBorders>
            <w:shd w:val="clear" w:color="auto" w:fill="auto"/>
            <w:noWrap/>
            <w:vAlign w:val="center"/>
            <w:hideMark/>
          </w:tcPr>
          <w:p w:rsidR="00FB331C" w:rsidRPr="00EB2995" w:rsidRDefault="00FB331C" w:rsidP="00D53A04">
            <w:pPr>
              <w:rPr>
                <w:rFonts w:cs="Calibri"/>
                <w:b/>
                <w:bCs/>
                <w:color w:val="000000"/>
                <w:lang w:eastAsia="en-GB"/>
              </w:rPr>
            </w:pPr>
            <w:r w:rsidRPr="00EB2995">
              <w:rPr>
                <w:rFonts w:cs="Calibri"/>
                <w:b/>
                <w:bCs/>
                <w:color w:val="000000"/>
                <w:lang w:eastAsia="en-GB"/>
              </w:rPr>
              <w:t> </w:t>
            </w:r>
          </w:p>
        </w:tc>
        <w:tc>
          <w:tcPr>
            <w:tcW w:w="992" w:type="dxa"/>
            <w:tcBorders>
              <w:top w:val="nil"/>
              <w:left w:val="nil"/>
              <w:bottom w:val="single" w:sz="8" w:space="0" w:color="auto"/>
              <w:right w:val="single" w:sz="8" w:space="0" w:color="auto"/>
            </w:tcBorders>
            <w:shd w:val="clear" w:color="auto" w:fill="auto"/>
            <w:noWrap/>
            <w:vAlign w:val="center"/>
            <w:hideMark/>
          </w:tcPr>
          <w:p w:rsidR="00FB331C" w:rsidRPr="00EB2995" w:rsidRDefault="00FB331C" w:rsidP="00D53A04">
            <w:pPr>
              <w:rPr>
                <w:rFonts w:cs="Calibri"/>
                <w:b/>
                <w:bCs/>
                <w:color w:val="000000"/>
                <w:lang w:eastAsia="en-GB"/>
              </w:rPr>
            </w:pPr>
            <w:r w:rsidRPr="00EB2995">
              <w:rPr>
                <w:rFonts w:cs="Calibri"/>
                <w:b/>
                <w:bCs/>
                <w:color w:val="000000"/>
                <w:lang w:eastAsia="en-GB"/>
              </w:rPr>
              <w:t> </w:t>
            </w:r>
          </w:p>
        </w:tc>
        <w:tc>
          <w:tcPr>
            <w:tcW w:w="992" w:type="dxa"/>
            <w:tcBorders>
              <w:top w:val="nil"/>
              <w:left w:val="nil"/>
              <w:bottom w:val="single" w:sz="8" w:space="0" w:color="auto"/>
              <w:right w:val="single" w:sz="8" w:space="0" w:color="auto"/>
            </w:tcBorders>
            <w:shd w:val="clear" w:color="auto" w:fill="auto"/>
            <w:noWrap/>
            <w:vAlign w:val="center"/>
            <w:hideMark/>
          </w:tcPr>
          <w:p w:rsidR="00FB331C" w:rsidRPr="00EB2995" w:rsidRDefault="00FB331C" w:rsidP="00D53A04">
            <w:pPr>
              <w:jc w:val="right"/>
              <w:rPr>
                <w:rFonts w:cs="Calibri"/>
                <w:b/>
                <w:bCs/>
                <w:color w:val="000000"/>
                <w:lang w:eastAsia="en-GB"/>
              </w:rPr>
            </w:pPr>
            <w:r w:rsidRPr="00EB2995">
              <w:rPr>
                <w:rFonts w:cs="Calibri"/>
                <w:b/>
                <w:bCs/>
                <w:color w:val="000000"/>
                <w:lang w:eastAsia="en-GB"/>
              </w:rPr>
              <w:t>£21</w:t>
            </w:r>
          </w:p>
        </w:tc>
        <w:tc>
          <w:tcPr>
            <w:tcW w:w="1068" w:type="dxa"/>
            <w:tcBorders>
              <w:top w:val="nil"/>
              <w:left w:val="nil"/>
              <w:bottom w:val="single" w:sz="8" w:space="0" w:color="auto"/>
              <w:right w:val="single" w:sz="8" w:space="0" w:color="auto"/>
            </w:tcBorders>
            <w:shd w:val="clear" w:color="auto" w:fill="auto"/>
            <w:noWrap/>
            <w:vAlign w:val="center"/>
          </w:tcPr>
          <w:p w:rsidR="00FB331C" w:rsidRPr="00EB2995" w:rsidRDefault="00FB331C" w:rsidP="00D53A04">
            <w:pPr>
              <w:jc w:val="right"/>
              <w:rPr>
                <w:rFonts w:cs="Calibri"/>
                <w:b/>
                <w:bCs/>
                <w:color w:val="000000"/>
                <w:lang w:eastAsia="en-GB"/>
              </w:rPr>
            </w:pPr>
            <w:r w:rsidRPr="00EB2995">
              <w:rPr>
                <w:rFonts w:cs="Calibri"/>
                <w:b/>
                <w:bCs/>
                <w:color w:val="000000"/>
              </w:rPr>
              <w:t>£20</w:t>
            </w:r>
          </w:p>
        </w:tc>
      </w:tr>
    </w:tbl>
    <w:p w:rsidR="00F72906" w:rsidRDefault="00F72906" w:rsidP="00F72906">
      <w:r>
        <w:t>The number of exit packages decreased from 228 in 2018/19, at a cost of £4.8m, to 116 in 2019/20 at a reduced cost of £2.4m.</w:t>
      </w:r>
    </w:p>
    <w:p w:rsidR="00F72906" w:rsidRDefault="00F72906" w:rsidP="00F72906">
      <w:r>
        <w:t>The 2018/19 figures include 107 employees who opted to take Voluntary Redundancy from the Council. The 19/20 VR uptake was 87.</w:t>
      </w:r>
    </w:p>
    <w:p w:rsidR="00F72906" w:rsidRDefault="00F72906" w:rsidP="00F72906">
      <w:r>
        <w:t>The council has reduced the average cost of exit packages to £20k.</w:t>
      </w:r>
    </w:p>
    <w:p w:rsidR="00F72906" w:rsidRDefault="00F72906" w:rsidP="00F72906">
      <w:r>
        <w:t> </w:t>
      </w:r>
    </w:p>
    <w:p w:rsidR="00F72906" w:rsidRDefault="00F72906" w:rsidP="00FB331C">
      <w:pPr>
        <w:pStyle w:val="Heading2"/>
      </w:pPr>
      <w:bookmarkStart w:id="17" w:name="_Toc61870287"/>
      <w:r>
        <w:lastRenderedPageBreak/>
        <w:t>Pension Notes</w:t>
      </w:r>
      <w:bookmarkEnd w:id="17"/>
    </w:p>
    <w:p w:rsidR="00F72906" w:rsidRDefault="00F72906" w:rsidP="00FB331C">
      <w:pPr>
        <w:pStyle w:val="Heading3"/>
      </w:pPr>
      <w:r>
        <w:t>Note 34 - Pension Schemes Accounted for as Defined Contribution Schemes</w:t>
      </w:r>
    </w:p>
    <w:p w:rsidR="00F72906" w:rsidRDefault="00F72906" w:rsidP="00F72906">
      <w:r>
        <w:t>In 2019/20, the Council paid £9.8m to Teachers' Pensions (£9.0 in 2018/19) in respect of teachers' retirement benefits, representing 20.68% (16.48% 2018/19) of pensionable pay. The Authority is responsible for the cost of any additional benefits awarded upon early retirement outside of the terms of the teachers' scheme.</w:t>
      </w:r>
    </w:p>
    <w:p w:rsidR="00F72906" w:rsidRDefault="00F72906" w:rsidP="00FB331C">
      <w:pPr>
        <w:pStyle w:val="Heading3"/>
      </w:pPr>
      <w:r>
        <w:t>Note 35 – Defined Benefit Pension Schemes</w:t>
      </w:r>
    </w:p>
    <w:p w:rsidR="00F72906" w:rsidRDefault="00F72906" w:rsidP="00F72906">
      <w:r>
        <w:t>Participation in Pension Schemes</w:t>
      </w:r>
    </w:p>
    <w:p w:rsidR="00F72906" w:rsidRDefault="00F72906" w:rsidP="00F72906">
      <w:r>
        <w:t>The Council participates in The Local Government Pension Scheme – this is a funded defined benefit final salary scheme, meaning that the Council and employees pay contributions into a fund, calculated at a level intended to balance the pensions liabilities with investment assets.</w:t>
      </w:r>
    </w:p>
    <w:p w:rsidR="00F72906" w:rsidRDefault="00F72906" w:rsidP="00F72906">
      <w:r>
        <w:t>Transactions Relating to Post-employment Benefits</w:t>
      </w:r>
    </w:p>
    <w:p w:rsidR="00F72906" w:rsidRDefault="00F72906" w:rsidP="00F72906">
      <w:r>
        <w:t>We recognise the cost of retirement benefits in the reported cost of services when they are earned by employees, rather than when the benefits are eventually paid as pensions. Actuarial gains and losses on pension assets and liabilities are recorded as Other Comprehensive Income and Expenditure. However, the charge we are required to make against council tax is based on the cash payable in the year, so the real cost of post-employment/retirement benefits is reversed out of the General Fund via the Movement in Reserves Statement.</w:t>
      </w:r>
    </w:p>
    <w:p w:rsidR="00F72906" w:rsidRDefault="00F72906" w:rsidP="00F72906">
      <w:r>
        <w:t xml:space="preserve">The following transactions have been made in the Comprehensive Income and Expenditure Statement and the General Fund Balance via the Movement in Reserves Statement during the year: </w:t>
      </w:r>
    </w:p>
    <w:tbl>
      <w:tblPr>
        <w:tblW w:w="9072" w:type="dxa"/>
        <w:tblLook w:val="00A0" w:firstRow="1" w:lastRow="0" w:firstColumn="1" w:lastColumn="0" w:noHBand="0" w:noVBand="0"/>
      </w:tblPr>
      <w:tblGrid>
        <w:gridCol w:w="1276"/>
        <w:gridCol w:w="6521"/>
        <w:gridCol w:w="1275"/>
      </w:tblGrid>
      <w:tr w:rsidR="000878D7" w:rsidRPr="00EB2995" w:rsidTr="00D53A04">
        <w:trPr>
          <w:trHeight w:val="300"/>
        </w:trPr>
        <w:tc>
          <w:tcPr>
            <w:tcW w:w="1276" w:type="dxa"/>
            <w:tcBorders>
              <w:top w:val="nil"/>
              <w:left w:val="nil"/>
              <w:bottom w:val="nil"/>
              <w:right w:val="nil"/>
            </w:tcBorders>
            <w:noWrap/>
            <w:vAlign w:val="bottom"/>
          </w:tcPr>
          <w:p w:rsidR="000878D7" w:rsidRPr="00EB2995" w:rsidRDefault="000878D7" w:rsidP="00D53A04">
            <w:pPr>
              <w:jc w:val="right"/>
              <w:rPr>
                <w:rFonts w:cs="Calibri"/>
                <w:b/>
                <w:bCs/>
                <w:color w:val="000000"/>
              </w:rPr>
            </w:pPr>
            <w:r w:rsidRPr="001E3529">
              <w:rPr>
                <w:rFonts w:cs="Calibri"/>
                <w:bCs/>
                <w:color w:val="0070C0"/>
              </w:rPr>
              <w:br w:type="page"/>
            </w:r>
            <w:r w:rsidRPr="00EB2995">
              <w:rPr>
                <w:rFonts w:cs="Calibri"/>
                <w:b/>
                <w:bCs/>
                <w:color w:val="000000"/>
              </w:rPr>
              <w:t>31 March</w:t>
            </w:r>
          </w:p>
        </w:tc>
        <w:tc>
          <w:tcPr>
            <w:tcW w:w="6521" w:type="dxa"/>
            <w:tcBorders>
              <w:top w:val="nil"/>
              <w:left w:val="nil"/>
              <w:bottom w:val="nil"/>
              <w:right w:val="nil"/>
            </w:tcBorders>
            <w:vAlign w:val="bottom"/>
          </w:tcPr>
          <w:p w:rsidR="000878D7" w:rsidRPr="00EB2995" w:rsidRDefault="000878D7" w:rsidP="00D53A04">
            <w:pPr>
              <w:jc w:val="right"/>
              <w:rPr>
                <w:rFonts w:cs="Calibri"/>
                <w:b/>
                <w:bCs/>
                <w:color w:val="000000"/>
              </w:rPr>
            </w:pPr>
          </w:p>
        </w:tc>
        <w:tc>
          <w:tcPr>
            <w:tcW w:w="1275" w:type="dxa"/>
            <w:tcBorders>
              <w:top w:val="nil"/>
              <w:left w:val="nil"/>
              <w:bottom w:val="nil"/>
              <w:right w:val="nil"/>
            </w:tcBorders>
            <w:noWrap/>
            <w:vAlign w:val="bottom"/>
          </w:tcPr>
          <w:p w:rsidR="000878D7" w:rsidRPr="00EB2995" w:rsidRDefault="000878D7" w:rsidP="00D53A04">
            <w:pPr>
              <w:jc w:val="right"/>
              <w:rPr>
                <w:rFonts w:cs="Calibri"/>
                <w:b/>
                <w:bCs/>
                <w:color w:val="000000"/>
              </w:rPr>
            </w:pPr>
            <w:r w:rsidRPr="00EB2995">
              <w:rPr>
                <w:rFonts w:cs="Calibri"/>
                <w:b/>
                <w:bCs/>
                <w:color w:val="000000"/>
              </w:rPr>
              <w:t>31 March</w:t>
            </w:r>
          </w:p>
        </w:tc>
      </w:tr>
      <w:tr w:rsidR="000878D7" w:rsidRPr="00EB2995" w:rsidTr="00D53A04">
        <w:trPr>
          <w:trHeight w:val="300"/>
        </w:trPr>
        <w:tc>
          <w:tcPr>
            <w:tcW w:w="1276" w:type="dxa"/>
            <w:tcBorders>
              <w:top w:val="nil"/>
              <w:left w:val="nil"/>
              <w:bottom w:val="nil"/>
              <w:right w:val="nil"/>
            </w:tcBorders>
            <w:noWrap/>
            <w:vAlign w:val="bottom"/>
          </w:tcPr>
          <w:p w:rsidR="000878D7" w:rsidRPr="00EB2995" w:rsidRDefault="000878D7" w:rsidP="00D53A04">
            <w:pPr>
              <w:jc w:val="right"/>
              <w:rPr>
                <w:rFonts w:cs="Calibri"/>
                <w:b/>
                <w:bCs/>
                <w:color w:val="000000"/>
              </w:rPr>
            </w:pPr>
            <w:r w:rsidRPr="00EB2995">
              <w:rPr>
                <w:rFonts w:cs="Calibri"/>
                <w:b/>
                <w:bCs/>
                <w:color w:val="000000"/>
              </w:rPr>
              <w:t>2019</w:t>
            </w:r>
          </w:p>
        </w:tc>
        <w:tc>
          <w:tcPr>
            <w:tcW w:w="6521" w:type="dxa"/>
            <w:tcBorders>
              <w:top w:val="nil"/>
              <w:left w:val="nil"/>
              <w:bottom w:val="nil"/>
              <w:right w:val="nil"/>
            </w:tcBorders>
            <w:vAlign w:val="bottom"/>
          </w:tcPr>
          <w:p w:rsidR="000878D7" w:rsidRPr="00EB2995" w:rsidRDefault="000878D7" w:rsidP="00D53A04">
            <w:pPr>
              <w:jc w:val="center"/>
              <w:rPr>
                <w:rFonts w:cs="Calibri"/>
                <w:b/>
                <w:bCs/>
                <w:color w:val="000000"/>
              </w:rPr>
            </w:pPr>
            <w:r w:rsidRPr="00EB2995">
              <w:rPr>
                <w:rFonts w:cs="Calibri"/>
                <w:b/>
                <w:bCs/>
                <w:color w:val="000000"/>
              </w:rPr>
              <w:t>Comprehensive Income and Expenditure Statement</w:t>
            </w:r>
          </w:p>
        </w:tc>
        <w:tc>
          <w:tcPr>
            <w:tcW w:w="1275" w:type="dxa"/>
            <w:tcBorders>
              <w:top w:val="nil"/>
              <w:left w:val="nil"/>
              <w:bottom w:val="nil"/>
              <w:right w:val="nil"/>
            </w:tcBorders>
            <w:noWrap/>
            <w:vAlign w:val="bottom"/>
          </w:tcPr>
          <w:p w:rsidR="000878D7" w:rsidRPr="00EB2995" w:rsidRDefault="000878D7" w:rsidP="00D53A04">
            <w:pPr>
              <w:jc w:val="right"/>
              <w:rPr>
                <w:rFonts w:cs="Calibri"/>
                <w:b/>
                <w:bCs/>
                <w:color w:val="000000"/>
              </w:rPr>
            </w:pPr>
            <w:r w:rsidRPr="00EB2995">
              <w:rPr>
                <w:rFonts w:cs="Calibri"/>
                <w:b/>
                <w:bCs/>
                <w:color w:val="000000"/>
              </w:rPr>
              <w:t>2020</w:t>
            </w:r>
          </w:p>
        </w:tc>
      </w:tr>
      <w:tr w:rsidR="000878D7" w:rsidRPr="00EB2995" w:rsidTr="000878D7">
        <w:trPr>
          <w:trHeight w:val="104"/>
        </w:trPr>
        <w:tc>
          <w:tcPr>
            <w:tcW w:w="1276" w:type="dxa"/>
            <w:tcBorders>
              <w:top w:val="nil"/>
              <w:left w:val="nil"/>
              <w:bottom w:val="nil"/>
              <w:right w:val="nil"/>
            </w:tcBorders>
            <w:noWrap/>
            <w:vAlign w:val="bottom"/>
          </w:tcPr>
          <w:p w:rsidR="000878D7" w:rsidRPr="00EB2995" w:rsidRDefault="000878D7" w:rsidP="00D53A04">
            <w:pPr>
              <w:jc w:val="right"/>
              <w:rPr>
                <w:rFonts w:cs="Calibri"/>
                <w:b/>
                <w:bCs/>
                <w:color w:val="000000"/>
              </w:rPr>
            </w:pPr>
            <w:r w:rsidRPr="00EB2995">
              <w:rPr>
                <w:rFonts w:cs="Calibri"/>
                <w:b/>
                <w:bCs/>
                <w:color w:val="000000"/>
              </w:rPr>
              <w:t>£m</w:t>
            </w:r>
          </w:p>
        </w:tc>
        <w:tc>
          <w:tcPr>
            <w:tcW w:w="6521" w:type="dxa"/>
            <w:tcBorders>
              <w:top w:val="nil"/>
              <w:left w:val="nil"/>
              <w:bottom w:val="nil"/>
              <w:right w:val="nil"/>
            </w:tcBorders>
            <w:vAlign w:val="bottom"/>
          </w:tcPr>
          <w:p w:rsidR="000878D7" w:rsidRPr="00EB2995" w:rsidRDefault="000878D7" w:rsidP="00D53A04">
            <w:pPr>
              <w:jc w:val="right"/>
              <w:rPr>
                <w:rFonts w:cs="Calibri"/>
                <w:b/>
                <w:bCs/>
                <w:color w:val="000000"/>
              </w:rPr>
            </w:pPr>
          </w:p>
        </w:tc>
        <w:tc>
          <w:tcPr>
            <w:tcW w:w="1275" w:type="dxa"/>
            <w:tcBorders>
              <w:top w:val="nil"/>
              <w:left w:val="nil"/>
              <w:bottom w:val="nil"/>
              <w:right w:val="nil"/>
            </w:tcBorders>
            <w:noWrap/>
            <w:vAlign w:val="bottom"/>
          </w:tcPr>
          <w:p w:rsidR="000878D7" w:rsidRPr="00EB2995" w:rsidRDefault="000878D7" w:rsidP="00D53A04">
            <w:pPr>
              <w:jc w:val="right"/>
              <w:rPr>
                <w:rFonts w:cs="Calibri"/>
                <w:b/>
                <w:bCs/>
                <w:color w:val="000000"/>
              </w:rPr>
            </w:pPr>
            <w:r w:rsidRPr="00EB2995">
              <w:rPr>
                <w:rFonts w:cs="Calibri"/>
                <w:b/>
                <w:bCs/>
                <w:color w:val="000000"/>
              </w:rPr>
              <w:t>£m</w:t>
            </w:r>
          </w:p>
        </w:tc>
      </w:tr>
      <w:tr w:rsidR="000878D7" w:rsidRPr="00EB2995" w:rsidTr="00D53A04">
        <w:trPr>
          <w:trHeight w:val="300"/>
        </w:trPr>
        <w:tc>
          <w:tcPr>
            <w:tcW w:w="1276" w:type="dxa"/>
            <w:tcBorders>
              <w:top w:val="single" w:sz="4" w:space="0" w:color="auto"/>
              <w:left w:val="single" w:sz="4" w:space="0" w:color="auto"/>
              <w:bottom w:val="nil"/>
              <w:right w:val="single" w:sz="4" w:space="0" w:color="auto"/>
            </w:tcBorders>
            <w:noWrap/>
            <w:vAlign w:val="bottom"/>
          </w:tcPr>
          <w:p w:rsidR="000878D7" w:rsidRPr="00EB2995" w:rsidRDefault="000878D7" w:rsidP="00D53A04">
            <w:pPr>
              <w:rPr>
                <w:rFonts w:cs="Calibri"/>
              </w:rPr>
            </w:pPr>
          </w:p>
        </w:tc>
        <w:tc>
          <w:tcPr>
            <w:tcW w:w="6521" w:type="dxa"/>
            <w:tcBorders>
              <w:top w:val="nil"/>
              <w:left w:val="single" w:sz="4" w:space="0" w:color="auto"/>
              <w:bottom w:val="nil"/>
              <w:right w:val="single" w:sz="4" w:space="0" w:color="auto"/>
            </w:tcBorders>
            <w:vAlign w:val="bottom"/>
          </w:tcPr>
          <w:p w:rsidR="000878D7" w:rsidRPr="00EB2995" w:rsidRDefault="000878D7" w:rsidP="00D53A04">
            <w:pPr>
              <w:ind w:right="176"/>
              <w:rPr>
                <w:rFonts w:cs="Calibri"/>
                <w:b/>
                <w:iCs/>
                <w:color w:val="000000"/>
              </w:rPr>
            </w:pPr>
            <w:r w:rsidRPr="00EB2995">
              <w:rPr>
                <w:rFonts w:cs="Calibri"/>
                <w:b/>
                <w:iCs/>
                <w:color w:val="000000"/>
              </w:rPr>
              <w:t>Cost of Services:</w:t>
            </w:r>
          </w:p>
        </w:tc>
        <w:tc>
          <w:tcPr>
            <w:tcW w:w="1275" w:type="dxa"/>
            <w:tcBorders>
              <w:top w:val="single" w:sz="4" w:space="0" w:color="auto"/>
              <w:left w:val="single" w:sz="4" w:space="0" w:color="auto"/>
              <w:bottom w:val="nil"/>
              <w:right w:val="single" w:sz="4" w:space="0" w:color="auto"/>
            </w:tcBorders>
            <w:noWrap/>
            <w:vAlign w:val="bottom"/>
          </w:tcPr>
          <w:p w:rsidR="000878D7" w:rsidRPr="00EB2995" w:rsidRDefault="000878D7" w:rsidP="00D53A04">
            <w:pPr>
              <w:rPr>
                <w:rFonts w:cs="Calibri"/>
                <w:i/>
                <w:iCs/>
                <w:color w:val="000000"/>
              </w:rPr>
            </w:pPr>
          </w:p>
        </w:tc>
      </w:tr>
      <w:tr w:rsidR="000878D7" w:rsidRPr="00EB2995" w:rsidTr="00D53A04">
        <w:trPr>
          <w:trHeight w:val="300"/>
        </w:trPr>
        <w:tc>
          <w:tcPr>
            <w:tcW w:w="1276" w:type="dxa"/>
            <w:tcBorders>
              <w:top w:val="nil"/>
              <w:left w:val="single" w:sz="4" w:space="0" w:color="auto"/>
              <w:bottom w:val="nil"/>
              <w:right w:val="single" w:sz="4" w:space="0" w:color="auto"/>
            </w:tcBorders>
            <w:noWrap/>
            <w:vAlign w:val="bottom"/>
          </w:tcPr>
          <w:p w:rsidR="000878D7" w:rsidRPr="00EB2995" w:rsidRDefault="000878D7" w:rsidP="00D53A04">
            <w:pPr>
              <w:jc w:val="right"/>
              <w:rPr>
                <w:rFonts w:cs="Calibri"/>
                <w:color w:val="000000"/>
              </w:rPr>
            </w:pPr>
            <w:r w:rsidRPr="00EB2995">
              <w:rPr>
                <w:rFonts w:cs="Calibri"/>
                <w:color w:val="000000"/>
              </w:rPr>
              <w:t>38.0</w:t>
            </w:r>
          </w:p>
        </w:tc>
        <w:tc>
          <w:tcPr>
            <w:tcW w:w="6521" w:type="dxa"/>
            <w:tcBorders>
              <w:top w:val="nil"/>
              <w:left w:val="single" w:sz="4" w:space="0" w:color="auto"/>
              <w:bottom w:val="nil"/>
              <w:right w:val="single" w:sz="4" w:space="0" w:color="auto"/>
            </w:tcBorders>
            <w:vAlign w:val="bottom"/>
          </w:tcPr>
          <w:p w:rsidR="000878D7" w:rsidRPr="00EB2995" w:rsidRDefault="000878D7" w:rsidP="00D53A04">
            <w:pPr>
              <w:ind w:right="176"/>
              <w:rPr>
                <w:rFonts w:cs="Calibri"/>
                <w:color w:val="000000"/>
              </w:rPr>
            </w:pPr>
            <w:r w:rsidRPr="00EB2995">
              <w:rPr>
                <w:rFonts w:cs="Calibri"/>
                <w:color w:val="000000"/>
              </w:rPr>
              <w:t>Current service cost</w:t>
            </w:r>
          </w:p>
        </w:tc>
        <w:tc>
          <w:tcPr>
            <w:tcW w:w="1275" w:type="dxa"/>
            <w:tcBorders>
              <w:top w:val="nil"/>
              <w:left w:val="single" w:sz="4" w:space="0" w:color="auto"/>
              <w:bottom w:val="nil"/>
              <w:right w:val="single" w:sz="4" w:space="0" w:color="auto"/>
            </w:tcBorders>
            <w:noWrap/>
            <w:vAlign w:val="bottom"/>
          </w:tcPr>
          <w:p w:rsidR="000878D7" w:rsidRPr="00EB2995" w:rsidRDefault="000878D7" w:rsidP="00D53A04">
            <w:pPr>
              <w:jc w:val="right"/>
              <w:rPr>
                <w:rFonts w:cs="Calibri"/>
                <w:color w:val="000000"/>
              </w:rPr>
            </w:pPr>
            <w:r w:rsidRPr="00EB2995">
              <w:rPr>
                <w:rFonts w:cs="Calibri"/>
                <w:color w:val="000000"/>
              </w:rPr>
              <w:t>39.8</w:t>
            </w:r>
          </w:p>
        </w:tc>
      </w:tr>
      <w:tr w:rsidR="000878D7" w:rsidRPr="00EB2995" w:rsidTr="00D53A04">
        <w:trPr>
          <w:trHeight w:val="300"/>
        </w:trPr>
        <w:tc>
          <w:tcPr>
            <w:tcW w:w="1276" w:type="dxa"/>
            <w:tcBorders>
              <w:top w:val="nil"/>
              <w:left w:val="single" w:sz="4" w:space="0" w:color="auto"/>
              <w:bottom w:val="nil"/>
              <w:right w:val="single" w:sz="4" w:space="0" w:color="auto"/>
            </w:tcBorders>
            <w:noWrap/>
            <w:vAlign w:val="bottom"/>
          </w:tcPr>
          <w:p w:rsidR="000878D7" w:rsidRPr="00EB2995" w:rsidRDefault="000878D7" w:rsidP="00D53A04">
            <w:pPr>
              <w:jc w:val="right"/>
              <w:rPr>
                <w:rFonts w:cs="Calibri"/>
                <w:color w:val="000000"/>
              </w:rPr>
            </w:pPr>
            <w:r w:rsidRPr="00EB2995">
              <w:rPr>
                <w:rFonts w:cs="Calibri"/>
                <w:color w:val="000000"/>
              </w:rPr>
              <w:t>7.7</w:t>
            </w:r>
          </w:p>
        </w:tc>
        <w:tc>
          <w:tcPr>
            <w:tcW w:w="6521" w:type="dxa"/>
            <w:tcBorders>
              <w:top w:val="nil"/>
              <w:left w:val="single" w:sz="4" w:space="0" w:color="auto"/>
              <w:bottom w:val="nil"/>
              <w:right w:val="single" w:sz="4" w:space="0" w:color="auto"/>
            </w:tcBorders>
            <w:vAlign w:val="bottom"/>
          </w:tcPr>
          <w:p w:rsidR="000878D7" w:rsidRPr="00EB2995" w:rsidRDefault="000878D7" w:rsidP="00D53A04">
            <w:pPr>
              <w:ind w:right="176"/>
              <w:rPr>
                <w:rFonts w:cs="Calibri"/>
                <w:color w:val="000000"/>
              </w:rPr>
            </w:pPr>
            <w:r w:rsidRPr="00EB2995">
              <w:rPr>
                <w:rFonts w:cs="Calibri"/>
                <w:color w:val="000000"/>
              </w:rPr>
              <w:t>Past service costs (including curtailments)</w:t>
            </w:r>
          </w:p>
        </w:tc>
        <w:tc>
          <w:tcPr>
            <w:tcW w:w="1275" w:type="dxa"/>
            <w:tcBorders>
              <w:top w:val="nil"/>
              <w:left w:val="single" w:sz="4" w:space="0" w:color="auto"/>
              <w:bottom w:val="nil"/>
              <w:right w:val="single" w:sz="4" w:space="0" w:color="auto"/>
            </w:tcBorders>
            <w:noWrap/>
            <w:vAlign w:val="bottom"/>
          </w:tcPr>
          <w:p w:rsidR="000878D7" w:rsidRPr="00EB2995" w:rsidRDefault="000878D7" w:rsidP="00D53A04">
            <w:pPr>
              <w:jc w:val="right"/>
              <w:rPr>
                <w:rFonts w:cs="Calibri"/>
                <w:color w:val="000000"/>
              </w:rPr>
            </w:pPr>
            <w:r w:rsidRPr="00EB2995">
              <w:rPr>
                <w:rFonts w:cs="Calibri"/>
                <w:color w:val="000000"/>
              </w:rPr>
              <w:t>1.3</w:t>
            </w:r>
          </w:p>
        </w:tc>
      </w:tr>
      <w:tr w:rsidR="000878D7" w:rsidRPr="00EB2995" w:rsidTr="00D53A04">
        <w:trPr>
          <w:trHeight w:val="300"/>
        </w:trPr>
        <w:tc>
          <w:tcPr>
            <w:tcW w:w="1276" w:type="dxa"/>
            <w:tcBorders>
              <w:top w:val="nil"/>
              <w:left w:val="single" w:sz="4" w:space="0" w:color="auto"/>
              <w:bottom w:val="nil"/>
              <w:right w:val="single" w:sz="4" w:space="0" w:color="auto"/>
            </w:tcBorders>
            <w:noWrap/>
            <w:vAlign w:val="bottom"/>
          </w:tcPr>
          <w:p w:rsidR="000878D7" w:rsidRPr="00EB2995" w:rsidRDefault="000878D7" w:rsidP="00D53A04">
            <w:pPr>
              <w:jc w:val="right"/>
              <w:rPr>
                <w:rFonts w:cs="Calibri"/>
                <w:color w:val="000000"/>
              </w:rPr>
            </w:pPr>
            <w:r w:rsidRPr="00EB2995">
              <w:rPr>
                <w:rFonts w:cs="Calibri"/>
                <w:color w:val="000000"/>
              </w:rPr>
              <w:t>0</w:t>
            </w:r>
          </w:p>
        </w:tc>
        <w:tc>
          <w:tcPr>
            <w:tcW w:w="6521" w:type="dxa"/>
            <w:tcBorders>
              <w:top w:val="nil"/>
              <w:left w:val="single" w:sz="4" w:space="0" w:color="auto"/>
              <w:bottom w:val="nil"/>
              <w:right w:val="single" w:sz="4" w:space="0" w:color="auto"/>
            </w:tcBorders>
            <w:vAlign w:val="bottom"/>
          </w:tcPr>
          <w:p w:rsidR="000878D7" w:rsidRPr="00EB2995" w:rsidRDefault="000878D7" w:rsidP="00D53A04">
            <w:pPr>
              <w:ind w:right="176"/>
              <w:rPr>
                <w:rFonts w:cs="Calibri"/>
                <w:color w:val="000000"/>
              </w:rPr>
            </w:pPr>
            <w:r w:rsidRPr="00EB2995">
              <w:rPr>
                <w:rFonts w:cs="Calibri"/>
                <w:color w:val="000000"/>
              </w:rPr>
              <w:t>Effects of business combinations and disposals</w:t>
            </w:r>
          </w:p>
        </w:tc>
        <w:tc>
          <w:tcPr>
            <w:tcW w:w="1275" w:type="dxa"/>
            <w:tcBorders>
              <w:top w:val="nil"/>
              <w:left w:val="single" w:sz="4" w:space="0" w:color="auto"/>
              <w:bottom w:val="nil"/>
              <w:right w:val="single" w:sz="4" w:space="0" w:color="auto"/>
            </w:tcBorders>
            <w:noWrap/>
            <w:vAlign w:val="bottom"/>
          </w:tcPr>
          <w:p w:rsidR="000878D7" w:rsidRPr="00EB2995" w:rsidRDefault="000878D7" w:rsidP="00D53A04">
            <w:pPr>
              <w:jc w:val="right"/>
              <w:rPr>
                <w:rFonts w:cs="Calibri"/>
                <w:color w:val="000000"/>
              </w:rPr>
            </w:pPr>
            <w:r w:rsidRPr="00EB2995">
              <w:rPr>
                <w:rFonts w:cs="Calibri"/>
                <w:color w:val="000000"/>
              </w:rPr>
              <w:t>0</w:t>
            </w:r>
          </w:p>
        </w:tc>
      </w:tr>
      <w:tr w:rsidR="000878D7" w:rsidRPr="00EB2995" w:rsidTr="00D53A04">
        <w:trPr>
          <w:trHeight w:val="481"/>
        </w:trPr>
        <w:tc>
          <w:tcPr>
            <w:tcW w:w="1276" w:type="dxa"/>
            <w:tcBorders>
              <w:top w:val="nil"/>
              <w:left w:val="single" w:sz="4" w:space="0" w:color="auto"/>
              <w:bottom w:val="nil"/>
              <w:right w:val="single" w:sz="4" w:space="0" w:color="auto"/>
            </w:tcBorders>
            <w:noWrap/>
            <w:vAlign w:val="center"/>
          </w:tcPr>
          <w:p w:rsidR="000878D7" w:rsidRPr="00EB2995" w:rsidRDefault="000878D7" w:rsidP="00D53A04">
            <w:pPr>
              <w:rPr>
                <w:rFonts w:cs="Calibri"/>
                <w:i/>
                <w:iCs/>
                <w:color w:val="000000"/>
              </w:rPr>
            </w:pPr>
          </w:p>
        </w:tc>
        <w:tc>
          <w:tcPr>
            <w:tcW w:w="6521" w:type="dxa"/>
            <w:tcBorders>
              <w:top w:val="nil"/>
              <w:left w:val="single" w:sz="4" w:space="0" w:color="auto"/>
              <w:bottom w:val="nil"/>
              <w:right w:val="single" w:sz="4" w:space="0" w:color="auto"/>
            </w:tcBorders>
            <w:vAlign w:val="bottom"/>
          </w:tcPr>
          <w:p w:rsidR="000878D7" w:rsidRPr="00EB2995" w:rsidRDefault="000878D7" w:rsidP="00D53A04">
            <w:pPr>
              <w:ind w:right="176"/>
              <w:rPr>
                <w:rFonts w:cs="Calibri"/>
                <w:b/>
                <w:iCs/>
                <w:color w:val="000000"/>
              </w:rPr>
            </w:pPr>
            <w:r w:rsidRPr="00EB2995">
              <w:rPr>
                <w:rFonts w:cs="Calibri"/>
                <w:b/>
                <w:iCs/>
                <w:color w:val="000000"/>
              </w:rPr>
              <w:t>Financing and investment Income and Expenditure:</w:t>
            </w:r>
          </w:p>
        </w:tc>
        <w:tc>
          <w:tcPr>
            <w:tcW w:w="1275" w:type="dxa"/>
            <w:tcBorders>
              <w:top w:val="nil"/>
              <w:left w:val="single" w:sz="4" w:space="0" w:color="auto"/>
              <w:bottom w:val="nil"/>
              <w:right w:val="single" w:sz="4" w:space="0" w:color="auto"/>
            </w:tcBorders>
            <w:noWrap/>
            <w:vAlign w:val="center"/>
          </w:tcPr>
          <w:p w:rsidR="000878D7" w:rsidRPr="00EB2995" w:rsidRDefault="000878D7" w:rsidP="00D53A04">
            <w:pPr>
              <w:rPr>
                <w:rFonts w:cs="Calibri"/>
                <w:i/>
                <w:iCs/>
                <w:color w:val="000000"/>
              </w:rPr>
            </w:pPr>
          </w:p>
        </w:tc>
      </w:tr>
      <w:tr w:rsidR="000878D7" w:rsidRPr="00EB2995" w:rsidTr="00D53A04">
        <w:trPr>
          <w:trHeight w:val="300"/>
        </w:trPr>
        <w:tc>
          <w:tcPr>
            <w:tcW w:w="1276" w:type="dxa"/>
            <w:tcBorders>
              <w:top w:val="nil"/>
              <w:left w:val="single" w:sz="4" w:space="0" w:color="auto"/>
              <w:bottom w:val="nil"/>
              <w:right w:val="single" w:sz="4" w:space="0" w:color="auto"/>
            </w:tcBorders>
            <w:noWrap/>
            <w:vAlign w:val="bottom"/>
          </w:tcPr>
          <w:p w:rsidR="000878D7" w:rsidRPr="00EB2995" w:rsidRDefault="000878D7" w:rsidP="00D53A04">
            <w:pPr>
              <w:jc w:val="right"/>
              <w:rPr>
                <w:rFonts w:cs="Calibri"/>
                <w:color w:val="000000"/>
              </w:rPr>
            </w:pPr>
            <w:r w:rsidRPr="00EB2995">
              <w:rPr>
                <w:rFonts w:cs="Calibri"/>
                <w:color w:val="000000"/>
              </w:rPr>
              <w:t>40.3</w:t>
            </w:r>
          </w:p>
        </w:tc>
        <w:tc>
          <w:tcPr>
            <w:tcW w:w="6521" w:type="dxa"/>
            <w:tcBorders>
              <w:top w:val="nil"/>
              <w:left w:val="single" w:sz="4" w:space="0" w:color="auto"/>
              <w:bottom w:val="nil"/>
              <w:right w:val="single" w:sz="4" w:space="0" w:color="auto"/>
            </w:tcBorders>
            <w:vAlign w:val="bottom"/>
          </w:tcPr>
          <w:p w:rsidR="000878D7" w:rsidRPr="00EB2995" w:rsidRDefault="000878D7" w:rsidP="00D53A04">
            <w:pPr>
              <w:ind w:right="176"/>
              <w:rPr>
                <w:rFonts w:cs="Calibri"/>
              </w:rPr>
            </w:pPr>
            <w:r w:rsidRPr="00EB2995">
              <w:rPr>
                <w:rFonts w:cs="Calibri"/>
              </w:rPr>
              <w:t>Interest cost</w:t>
            </w:r>
          </w:p>
        </w:tc>
        <w:tc>
          <w:tcPr>
            <w:tcW w:w="1275" w:type="dxa"/>
            <w:tcBorders>
              <w:top w:val="nil"/>
              <w:left w:val="single" w:sz="4" w:space="0" w:color="auto"/>
              <w:bottom w:val="nil"/>
              <w:right w:val="single" w:sz="4" w:space="0" w:color="auto"/>
            </w:tcBorders>
            <w:noWrap/>
            <w:vAlign w:val="bottom"/>
          </w:tcPr>
          <w:p w:rsidR="000878D7" w:rsidRPr="00EB2995" w:rsidRDefault="000878D7" w:rsidP="00D53A04">
            <w:pPr>
              <w:jc w:val="right"/>
              <w:rPr>
                <w:rFonts w:cs="Calibri"/>
                <w:color w:val="000000"/>
              </w:rPr>
            </w:pPr>
            <w:r w:rsidRPr="00EB2995">
              <w:rPr>
                <w:rFonts w:cs="Calibri"/>
                <w:color w:val="000000"/>
              </w:rPr>
              <w:t>40.4</w:t>
            </w:r>
          </w:p>
        </w:tc>
      </w:tr>
      <w:tr w:rsidR="000878D7" w:rsidRPr="00EB2995" w:rsidTr="00D53A04">
        <w:trPr>
          <w:trHeight w:val="300"/>
        </w:trPr>
        <w:tc>
          <w:tcPr>
            <w:tcW w:w="1276" w:type="dxa"/>
            <w:tcBorders>
              <w:top w:val="nil"/>
              <w:left w:val="single" w:sz="4" w:space="0" w:color="auto"/>
              <w:bottom w:val="single" w:sz="4" w:space="0" w:color="auto"/>
              <w:right w:val="single" w:sz="4" w:space="0" w:color="auto"/>
            </w:tcBorders>
            <w:noWrap/>
            <w:vAlign w:val="bottom"/>
          </w:tcPr>
          <w:p w:rsidR="000878D7" w:rsidRPr="00EB2995" w:rsidRDefault="000878D7" w:rsidP="00D53A04">
            <w:pPr>
              <w:jc w:val="right"/>
              <w:rPr>
                <w:rFonts w:cs="Calibri"/>
                <w:color w:val="000000"/>
              </w:rPr>
            </w:pPr>
            <w:r w:rsidRPr="00EB2995">
              <w:rPr>
                <w:rFonts w:cs="Calibri"/>
                <w:color w:val="000000"/>
              </w:rPr>
              <w:t>(18.4)</w:t>
            </w:r>
          </w:p>
        </w:tc>
        <w:tc>
          <w:tcPr>
            <w:tcW w:w="6521" w:type="dxa"/>
            <w:tcBorders>
              <w:top w:val="nil"/>
              <w:left w:val="single" w:sz="4" w:space="0" w:color="auto"/>
              <w:bottom w:val="nil"/>
              <w:right w:val="single" w:sz="4" w:space="0" w:color="auto"/>
            </w:tcBorders>
            <w:vAlign w:val="bottom"/>
          </w:tcPr>
          <w:p w:rsidR="000878D7" w:rsidRPr="00EB2995" w:rsidRDefault="000878D7" w:rsidP="00D53A04">
            <w:pPr>
              <w:ind w:right="176"/>
              <w:rPr>
                <w:rFonts w:cs="Calibri"/>
              </w:rPr>
            </w:pPr>
            <w:r w:rsidRPr="00EB2995">
              <w:rPr>
                <w:rFonts w:cs="Calibri"/>
              </w:rPr>
              <w:t>Expected return on scheme assets</w:t>
            </w:r>
          </w:p>
        </w:tc>
        <w:tc>
          <w:tcPr>
            <w:tcW w:w="1275" w:type="dxa"/>
            <w:tcBorders>
              <w:top w:val="nil"/>
              <w:left w:val="single" w:sz="4" w:space="0" w:color="auto"/>
              <w:bottom w:val="single" w:sz="4" w:space="0" w:color="auto"/>
              <w:right w:val="single" w:sz="4" w:space="0" w:color="auto"/>
            </w:tcBorders>
            <w:noWrap/>
            <w:vAlign w:val="bottom"/>
          </w:tcPr>
          <w:p w:rsidR="000878D7" w:rsidRPr="00EB2995" w:rsidRDefault="000878D7" w:rsidP="00D53A04">
            <w:pPr>
              <w:jc w:val="right"/>
              <w:rPr>
                <w:rFonts w:cs="Calibri"/>
                <w:color w:val="000000"/>
              </w:rPr>
            </w:pPr>
            <w:r w:rsidRPr="00EB2995">
              <w:rPr>
                <w:rFonts w:cs="Calibri"/>
                <w:color w:val="000000"/>
              </w:rPr>
              <w:t xml:space="preserve">  (18.1)</w:t>
            </w:r>
          </w:p>
        </w:tc>
      </w:tr>
      <w:tr w:rsidR="000878D7" w:rsidRPr="00EB2995" w:rsidTr="00D53A04">
        <w:trPr>
          <w:trHeight w:val="600"/>
        </w:trPr>
        <w:tc>
          <w:tcPr>
            <w:tcW w:w="1276" w:type="dxa"/>
            <w:tcBorders>
              <w:top w:val="nil"/>
              <w:left w:val="single" w:sz="4" w:space="0" w:color="auto"/>
              <w:bottom w:val="nil"/>
              <w:right w:val="single" w:sz="4" w:space="0" w:color="auto"/>
            </w:tcBorders>
            <w:noWrap/>
            <w:vAlign w:val="center"/>
          </w:tcPr>
          <w:p w:rsidR="000878D7" w:rsidRPr="00EB2995" w:rsidRDefault="000878D7" w:rsidP="00D53A04">
            <w:pPr>
              <w:jc w:val="right"/>
              <w:rPr>
                <w:rFonts w:cs="Calibri"/>
                <w:b/>
                <w:bCs/>
              </w:rPr>
            </w:pPr>
            <w:r w:rsidRPr="00EB2995">
              <w:rPr>
                <w:rFonts w:cs="Calibri"/>
                <w:b/>
                <w:bCs/>
              </w:rPr>
              <w:t>67.6</w:t>
            </w:r>
          </w:p>
        </w:tc>
        <w:tc>
          <w:tcPr>
            <w:tcW w:w="6521" w:type="dxa"/>
            <w:tcBorders>
              <w:top w:val="nil"/>
              <w:left w:val="single" w:sz="4" w:space="0" w:color="auto"/>
              <w:bottom w:val="nil"/>
              <w:right w:val="single" w:sz="4" w:space="0" w:color="auto"/>
            </w:tcBorders>
            <w:vAlign w:val="bottom"/>
          </w:tcPr>
          <w:p w:rsidR="000878D7" w:rsidRPr="00EB2995" w:rsidRDefault="000878D7" w:rsidP="00D53A04">
            <w:pPr>
              <w:ind w:right="176"/>
              <w:rPr>
                <w:rFonts w:cs="Calibri"/>
                <w:b/>
                <w:iCs/>
              </w:rPr>
            </w:pPr>
            <w:r w:rsidRPr="00EB2995">
              <w:rPr>
                <w:rFonts w:cs="Calibri"/>
                <w:b/>
                <w:iCs/>
              </w:rPr>
              <w:t>Total Post Employment Benefit Charged to the Surplus or Deficit on the Provision of Services</w:t>
            </w:r>
          </w:p>
        </w:tc>
        <w:tc>
          <w:tcPr>
            <w:tcW w:w="1275" w:type="dxa"/>
            <w:tcBorders>
              <w:top w:val="nil"/>
              <w:left w:val="single" w:sz="4" w:space="0" w:color="auto"/>
              <w:bottom w:val="nil"/>
              <w:right w:val="single" w:sz="4" w:space="0" w:color="auto"/>
            </w:tcBorders>
            <w:noWrap/>
            <w:vAlign w:val="center"/>
          </w:tcPr>
          <w:p w:rsidR="000878D7" w:rsidRPr="00EB2995" w:rsidRDefault="000878D7" w:rsidP="00D53A04">
            <w:pPr>
              <w:jc w:val="right"/>
              <w:rPr>
                <w:rFonts w:cs="Calibri"/>
                <w:b/>
                <w:bCs/>
              </w:rPr>
            </w:pPr>
            <w:r w:rsidRPr="00EB2995">
              <w:rPr>
                <w:rFonts w:cs="Calibri"/>
                <w:b/>
                <w:bCs/>
              </w:rPr>
              <w:t>63.4</w:t>
            </w:r>
          </w:p>
        </w:tc>
      </w:tr>
      <w:tr w:rsidR="000878D7" w:rsidRPr="00EB2995" w:rsidTr="00D53A04">
        <w:trPr>
          <w:trHeight w:val="623"/>
        </w:trPr>
        <w:tc>
          <w:tcPr>
            <w:tcW w:w="1276" w:type="dxa"/>
            <w:tcBorders>
              <w:top w:val="nil"/>
              <w:left w:val="single" w:sz="4" w:space="0" w:color="auto"/>
              <w:bottom w:val="nil"/>
              <w:right w:val="single" w:sz="4" w:space="0" w:color="auto"/>
            </w:tcBorders>
            <w:noWrap/>
            <w:vAlign w:val="center"/>
          </w:tcPr>
          <w:p w:rsidR="000878D7" w:rsidRPr="00EB2995" w:rsidRDefault="000878D7" w:rsidP="00D53A04">
            <w:pPr>
              <w:rPr>
                <w:rFonts w:cs="Calibri"/>
                <w:i/>
                <w:iCs/>
              </w:rPr>
            </w:pPr>
          </w:p>
        </w:tc>
        <w:tc>
          <w:tcPr>
            <w:tcW w:w="6521" w:type="dxa"/>
            <w:tcBorders>
              <w:top w:val="nil"/>
              <w:left w:val="single" w:sz="4" w:space="0" w:color="auto"/>
              <w:bottom w:val="nil"/>
              <w:right w:val="single" w:sz="4" w:space="0" w:color="auto"/>
            </w:tcBorders>
            <w:vAlign w:val="bottom"/>
          </w:tcPr>
          <w:p w:rsidR="000878D7" w:rsidRPr="00EB2995" w:rsidRDefault="000878D7" w:rsidP="00D53A04">
            <w:pPr>
              <w:ind w:right="176"/>
              <w:rPr>
                <w:rFonts w:cs="Calibri"/>
                <w:b/>
                <w:iCs/>
              </w:rPr>
            </w:pPr>
            <w:r w:rsidRPr="00EB2995">
              <w:rPr>
                <w:rFonts w:cs="Calibri"/>
                <w:b/>
                <w:iCs/>
              </w:rPr>
              <w:t>Other Post Employment Benefit Charged to the Comprehensive Income and Expenditure Statement</w:t>
            </w:r>
          </w:p>
        </w:tc>
        <w:tc>
          <w:tcPr>
            <w:tcW w:w="1275" w:type="dxa"/>
            <w:tcBorders>
              <w:top w:val="nil"/>
              <w:left w:val="single" w:sz="4" w:space="0" w:color="auto"/>
              <w:bottom w:val="nil"/>
              <w:right w:val="single" w:sz="4" w:space="0" w:color="auto"/>
            </w:tcBorders>
            <w:noWrap/>
            <w:vAlign w:val="center"/>
          </w:tcPr>
          <w:p w:rsidR="000878D7" w:rsidRPr="00EB2995" w:rsidRDefault="000878D7" w:rsidP="00D53A04">
            <w:pPr>
              <w:rPr>
                <w:rFonts w:cs="Calibri"/>
                <w:i/>
                <w:iCs/>
              </w:rPr>
            </w:pPr>
          </w:p>
        </w:tc>
      </w:tr>
      <w:tr w:rsidR="000878D7" w:rsidRPr="00EB2995" w:rsidTr="00D53A04">
        <w:trPr>
          <w:trHeight w:val="300"/>
        </w:trPr>
        <w:tc>
          <w:tcPr>
            <w:tcW w:w="1276" w:type="dxa"/>
            <w:tcBorders>
              <w:top w:val="nil"/>
              <w:left w:val="single" w:sz="4" w:space="0" w:color="auto"/>
              <w:bottom w:val="nil"/>
              <w:right w:val="single" w:sz="4" w:space="0" w:color="auto"/>
            </w:tcBorders>
            <w:noWrap/>
            <w:vAlign w:val="bottom"/>
          </w:tcPr>
          <w:p w:rsidR="000878D7" w:rsidRPr="00EB2995" w:rsidRDefault="000878D7" w:rsidP="00D53A04">
            <w:pPr>
              <w:jc w:val="right"/>
              <w:rPr>
                <w:rFonts w:cs="Calibri"/>
                <w:color w:val="000000"/>
              </w:rPr>
            </w:pPr>
            <w:r w:rsidRPr="00EB2995">
              <w:rPr>
                <w:rFonts w:cs="Calibri"/>
                <w:color w:val="000000"/>
              </w:rPr>
              <w:t>0</w:t>
            </w:r>
          </w:p>
        </w:tc>
        <w:tc>
          <w:tcPr>
            <w:tcW w:w="6521" w:type="dxa"/>
            <w:tcBorders>
              <w:top w:val="nil"/>
              <w:left w:val="single" w:sz="4" w:space="0" w:color="auto"/>
              <w:bottom w:val="nil"/>
              <w:right w:val="single" w:sz="4" w:space="0" w:color="auto"/>
            </w:tcBorders>
            <w:vAlign w:val="bottom"/>
          </w:tcPr>
          <w:p w:rsidR="000878D7" w:rsidRPr="00EB2995" w:rsidRDefault="000878D7" w:rsidP="00D53A04">
            <w:pPr>
              <w:ind w:right="176"/>
              <w:rPr>
                <w:rFonts w:cs="Calibri"/>
              </w:rPr>
            </w:pPr>
            <w:r w:rsidRPr="00EB2995">
              <w:rPr>
                <w:rFonts w:cs="Calibri"/>
              </w:rPr>
              <w:t>Changes in demographic assumptions</w:t>
            </w:r>
          </w:p>
        </w:tc>
        <w:tc>
          <w:tcPr>
            <w:tcW w:w="1275" w:type="dxa"/>
            <w:tcBorders>
              <w:top w:val="nil"/>
              <w:left w:val="single" w:sz="4" w:space="0" w:color="auto"/>
              <w:bottom w:val="nil"/>
              <w:right w:val="single" w:sz="4" w:space="0" w:color="auto"/>
            </w:tcBorders>
            <w:noWrap/>
            <w:vAlign w:val="bottom"/>
          </w:tcPr>
          <w:p w:rsidR="000878D7" w:rsidRPr="00EB2995" w:rsidRDefault="000878D7" w:rsidP="00D53A04">
            <w:pPr>
              <w:jc w:val="right"/>
              <w:rPr>
                <w:rFonts w:cs="Calibri"/>
                <w:color w:val="000000"/>
              </w:rPr>
            </w:pPr>
            <w:r w:rsidRPr="00EB2995">
              <w:rPr>
                <w:rFonts w:cs="Calibri"/>
                <w:color w:val="000000"/>
              </w:rPr>
              <w:t>29.9</w:t>
            </w:r>
          </w:p>
        </w:tc>
      </w:tr>
      <w:tr w:rsidR="000878D7" w:rsidRPr="00EB2995" w:rsidTr="00D53A04">
        <w:trPr>
          <w:trHeight w:val="300"/>
        </w:trPr>
        <w:tc>
          <w:tcPr>
            <w:tcW w:w="1276" w:type="dxa"/>
            <w:tcBorders>
              <w:top w:val="nil"/>
              <w:left w:val="single" w:sz="4" w:space="0" w:color="auto"/>
              <w:bottom w:val="nil"/>
              <w:right w:val="single" w:sz="4" w:space="0" w:color="auto"/>
            </w:tcBorders>
            <w:noWrap/>
            <w:vAlign w:val="bottom"/>
          </w:tcPr>
          <w:p w:rsidR="000878D7" w:rsidRPr="00EB2995" w:rsidRDefault="000878D7" w:rsidP="00D53A04">
            <w:pPr>
              <w:jc w:val="right"/>
              <w:rPr>
                <w:rFonts w:cs="Calibri"/>
              </w:rPr>
            </w:pPr>
            <w:r w:rsidRPr="00EB2995">
              <w:rPr>
                <w:rFonts w:cs="Calibri"/>
              </w:rPr>
              <w:t>86.6</w:t>
            </w:r>
          </w:p>
        </w:tc>
        <w:tc>
          <w:tcPr>
            <w:tcW w:w="6521" w:type="dxa"/>
            <w:tcBorders>
              <w:top w:val="nil"/>
              <w:left w:val="single" w:sz="4" w:space="0" w:color="auto"/>
              <w:bottom w:val="nil"/>
              <w:right w:val="single" w:sz="4" w:space="0" w:color="auto"/>
            </w:tcBorders>
            <w:vAlign w:val="bottom"/>
          </w:tcPr>
          <w:p w:rsidR="000878D7" w:rsidRPr="00EB2995" w:rsidRDefault="000878D7" w:rsidP="00D53A04">
            <w:pPr>
              <w:ind w:right="176"/>
              <w:rPr>
                <w:rFonts w:cs="Calibri"/>
              </w:rPr>
            </w:pPr>
            <w:r w:rsidRPr="00EB2995">
              <w:rPr>
                <w:rFonts w:cs="Calibri"/>
              </w:rPr>
              <w:t>Changes in financial assumptions</w:t>
            </w:r>
          </w:p>
        </w:tc>
        <w:tc>
          <w:tcPr>
            <w:tcW w:w="1275" w:type="dxa"/>
            <w:tcBorders>
              <w:top w:val="nil"/>
              <w:left w:val="single" w:sz="4" w:space="0" w:color="auto"/>
              <w:bottom w:val="nil"/>
              <w:right w:val="single" w:sz="4" w:space="0" w:color="auto"/>
            </w:tcBorders>
            <w:noWrap/>
            <w:vAlign w:val="bottom"/>
          </w:tcPr>
          <w:p w:rsidR="000878D7" w:rsidRPr="00EB2995" w:rsidRDefault="000878D7" w:rsidP="00D53A04">
            <w:pPr>
              <w:jc w:val="right"/>
              <w:rPr>
                <w:rFonts w:cs="Calibri"/>
              </w:rPr>
            </w:pPr>
            <w:r w:rsidRPr="00EB2995">
              <w:rPr>
                <w:rFonts w:cs="Calibri"/>
              </w:rPr>
              <w:t>119.6</w:t>
            </w:r>
          </w:p>
        </w:tc>
      </w:tr>
      <w:tr w:rsidR="000878D7" w:rsidRPr="00EB2995" w:rsidTr="00D53A04">
        <w:trPr>
          <w:trHeight w:val="300"/>
        </w:trPr>
        <w:tc>
          <w:tcPr>
            <w:tcW w:w="1276" w:type="dxa"/>
            <w:tcBorders>
              <w:top w:val="nil"/>
              <w:left w:val="single" w:sz="4" w:space="0" w:color="auto"/>
              <w:bottom w:val="nil"/>
              <w:right w:val="single" w:sz="4" w:space="0" w:color="auto"/>
            </w:tcBorders>
            <w:noWrap/>
            <w:vAlign w:val="bottom"/>
          </w:tcPr>
          <w:p w:rsidR="000878D7" w:rsidRPr="00EB2995" w:rsidRDefault="000878D7" w:rsidP="00D53A04">
            <w:pPr>
              <w:jc w:val="right"/>
              <w:rPr>
                <w:rFonts w:cs="Calibri"/>
                <w:color w:val="000000"/>
              </w:rPr>
            </w:pPr>
            <w:r w:rsidRPr="00EB2995">
              <w:rPr>
                <w:rFonts w:cs="Calibri"/>
                <w:color w:val="000000"/>
              </w:rPr>
              <w:lastRenderedPageBreak/>
              <w:t>2.2</w:t>
            </w:r>
          </w:p>
        </w:tc>
        <w:tc>
          <w:tcPr>
            <w:tcW w:w="6521" w:type="dxa"/>
            <w:tcBorders>
              <w:top w:val="nil"/>
              <w:left w:val="single" w:sz="4" w:space="0" w:color="auto"/>
              <w:bottom w:val="nil"/>
              <w:right w:val="single" w:sz="4" w:space="0" w:color="auto"/>
            </w:tcBorders>
            <w:vAlign w:val="bottom"/>
          </w:tcPr>
          <w:p w:rsidR="000878D7" w:rsidRPr="00EB2995" w:rsidRDefault="000878D7" w:rsidP="00D53A04">
            <w:pPr>
              <w:ind w:right="176"/>
              <w:rPr>
                <w:rFonts w:cs="Calibri"/>
              </w:rPr>
            </w:pPr>
            <w:r w:rsidRPr="00EB2995">
              <w:rPr>
                <w:rFonts w:cs="Calibri"/>
              </w:rPr>
              <w:t>Other experience</w:t>
            </w:r>
          </w:p>
        </w:tc>
        <w:tc>
          <w:tcPr>
            <w:tcW w:w="1275" w:type="dxa"/>
            <w:tcBorders>
              <w:top w:val="nil"/>
              <w:left w:val="single" w:sz="4" w:space="0" w:color="auto"/>
              <w:bottom w:val="nil"/>
              <w:right w:val="single" w:sz="4" w:space="0" w:color="auto"/>
            </w:tcBorders>
            <w:noWrap/>
            <w:vAlign w:val="bottom"/>
          </w:tcPr>
          <w:p w:rsidR="000878D7" w:rsidRPr="00EB2995" w:rsidRDefault="000878D7" w:rsidP="00D53A04">
            <w:pPr>
              <w:jc w:val="right"/>
              <w:rPr>
                <w:rFonts w:cs="Calibri"/>
                <w:color w:val="000000"/>
              </w:rPr>
            </w:pPr>
            <w:r w:rsidRPr="00EB2995">
              <w:rPr>
                <w:rFonts w:cs="Calibri"/>
                <w:color w:val="000000"/>
              </w:rPr>
              <w:t>184.7</w:t>
            </w:r>
          </w:p>
        </w:tc>
      </w:tr>
      <w:tr w:rsidR="000878D7" w:rsidRPr="00EB2995" w:rsidTr="00D53A04">
        <w:trPr>
          <w:trHeight w:val="300"/>
        </w:trPr>
        <w:tc>
          <w:tcPr>
            <w:tcW w:w="1276" w:type="dxa"/>
            <w:tcBorders>
              <w:top w:val="nil"/>
              <w:left w:val="single" w:sz="4" w:space="0" w:color="auto"/>
              <w:bottom w:val="single" w:sz="4" w:space="0" w:color="auto"/>
              <w:right w:val="single" w:sz="4" w:space="0" w:color="auto"/>
            </w:tcBorders>
            <w:noWrap/>
            <w:vAlign w:val="bottom"/>
          </w:tcPr>
          <w:p w:rsidR="000878D7" w:rsidRPr="00EB2995" w:rsidRDefault="000878D7" w:rsidP="00D53A04">
            <w:pPr>
              <w:jc w:val="right"/>
              <w:rPr>
                <w:rFonts w:cs="Calibri"/>
                <w:color w:val="000000"/>
              </w:rPr>
            </w:pPr>
            <w:r w:rsidRPr="00EB2995">
              <w:rPr>
                <w:rFonts w:cs="Calibri"/>
                <w:color w:val="000000"/>
              </w:rPr>
              <w:t>(32.3)</w:t>
            </w:r>
          </w:p>
        </w:tc>
        <w:tc>
          <w:tcPr>
            <w:tcW w:w="6521" w:type="dxa"/>
            <w:tcBorders>
              <w:top w:val="nil"/>
              <w:left w:val="single" w:sz="4" w:space="0" w:color="auto"/>
              <w:bottom w:val="nil"/>
              <w:right w:val="single" w:sz="4" w:space="0" w:color="auto"/>
            </w:tcBorders>
            <w:vAlign w:val="bottom"/>
          </w:tcPr>
          <w:p w:rsidR="000878D7" w:rsidRPr="00EB2995" w:rsidRDefault="000878D7" w:rsidP="00D53A04">
            <w:pPr>
              <w:ind w:right="176"/>
              <w:rPr>
                <w:rFonts w:cs="Calibri"/>
              </w:rPr>
            </w:pPr>
            <w:r w:rsidRPr="00EB2995">
              <w:rPr>
                <w:rFonts w:cs="Calibri"/>
              </w:rPr>
              <w:t>Return on assets excluding amounts in net interest</w:t>
            </w:r>
          </w:p>
        </w:tc>
        <w:tc>
          <w:tcPr>
            <w:tcW w:w="1275" w:type="dxa"/>
            <w:tcBorders>
              <w:top w:val="nil"/>
              <w:left w:val="single" w:sz="4" w:space="0" w:color="auto"/>
              <w:bottom w:val="single" w:sz="4" w:space="0" w:color="auto"/>
              <w:right w:val="single" w:sz="4" w:space="0" w:color="auto"/>
            </w:tcBorders>
            <w:noWrap/>
            <w:vAlign w:val="bottom"/>
          </w:tcPr>
          <w:p w:rsidR="000878D7" w:rsidRPr="00EB2995" w:rsidRDefault="000878D7" w:rsidP="00D53A04">
            <w:pPr>
              <w:jc w:val="right"/>
              <w:rPr>
                <w:rFonts w:cs="Calibri"/>
                <w:color w:val="000000"/>
              </w:rPr>
            </w:pPr>
            <w:r w:rsidRPr="00EB2995">
              <w:rPr>
                <w:rFonts w:cs="Calibri"/>
                <w:color w:val="000000"/>
              </w:rPr>
              <w:t>(45.6)</w:t>
            </w:r>
          </w:p>
        </w:tc>
      </w:tr>
      <w:tr w:rsidR="000878D7" w:rsidRPr="00EB2995" w:rsidTr="00D53A04">
        <w:trPr>
          <w:trHeight w:val="483"/>
        </w:trPr>
        <w:tc>
          <w:tcPr>
            <w:tcW w:w="1276" w:type="dxa"/>
            <w:tcBorders>
              <w:top w:val="single" w:sz="4" w:space="0" w:color="auto"/>
              <w:left w:val="single" w:sz="4" w:space="0" w:color="auto"/>
              <w:bottom w:val="single" w:sz="4" w:space="0" w:color="auto"/>
              <w:right w:val="single" w:sz="4" w:space="0" w:color="auto"/>
            </w:tcBorders>
            <w:noWrap/>
            <w:vAlign w:val="center"/>
          </w:tcPr>
          <w:p w:rsidR="000878D7" w:rsidRPr="00EB2995" w:rsidRDefault="000878D7" w:rsidP="00D53A04">
            <w:pPr>
              <w:jc w:val="right"/>
              <w:rPr>
                <w:rFonts w:cs="Calibri"/>
                <w:b/>
                <w:bCs/>
              </w:rPr>
            </w:pPr>
            <w:r w:rsidRPr="00EB2995">
              <w:rPr>
                <w:rFonts w:cs="Calibri"/>
                <w:b/>
                <w:bCs/>
              </w:rPr>
              <w:t>124.1</w:t>
            </w:r>
          </w:p>
        </w:tc>
        <w:tc>
          <w:tcPr>
            <w:tcW w:w="6521" w:type="dxa"/>
            <w:tcBorders>
              <w:top w:val="nil"/>
              <w:left w:val="single" w:sz="4" w:space="0" w:color="auto"/>
              <w:right w:val="single" w:sz="4" w:space="0" w:color="auto"/>
            </w:tcBorders>
            <w:vAlign w:val="bottom"/>
          </w:tcPr>
          <w:p w:rsidR="000878D7" w:rsidRPr="00EB2995" w:rsidRDefault="000878D7" w:rsidP="00D53A04">
            <w:pPr>
              <w:ind w:right="176"/>
              <w:rPr>
                <w:rFonts w:cs="Calibri"/>
                <w:b/>
                <w:iCs/>
              </w:rPr>
            </w:pPr>
            <w:r w:rsidRPr="00EB2995">
              <w:rPr>
                <w:rFonts w:cs="Calibri"/>
                <w:b/>
                <w:iCs/>
              </w:rPr>
              <w:t>Total Post Employment Benefit Charged to the Comprehensive Income and Expenditure Statement</w:t>
            </w:r>
          </w:p>
        </w:tc>
        <w:tc>
          <w:tcPr>
            <w:tcW w:w="1275" w:type="dxa"/>
            <w:tcBorders>
              <w:top w:val="single" w:sz="4" w:space="0" w:color="auto"/>
              <w:left w:val="single" w:sz="4" w:space="0" w:color="auto"/>
              <w:bottom w:val="single" w:sz="4" w:space="0" w:color="auto"/>
              <w:right w:val="single" w:sz="4" w:space="0" w:color="auto"/>
            </w:tcBorders>
            <w:noWrap/>
            <w:vAlign w:val="center"/>
          </w:tcPr>
          <w:p w:rsidR="000878D7" w:rsidRPr="00EB2995" w:rsidRDefault="000878D7" w:rsidP="00D53A04">
            <w:pPr>
              <w:jc w:val="right"/>
              <w:rPr>
                <w:rFonts w:cs="Calibri"/>
                <w:b/>
                <w:bCs/>
              </w:rPr>
            </w:pPr>
            <w:r w:rsidRPr="00EB2995">
              <w:rPr>
                <w:rFonts w:cs="Calibri"/>
                <w:b/>
                <w:bCs/>
              </w:rPr>
              <w:t>352.0</w:t>
            </w:r>
          </w:p>
        </w:tc>
      </w:tr>
      <w:tr w:rsidR="000878D7" w:rsidRPr="00EB2995" w:rsidTr="00D53A04">
        <w:trPr>
          <w:trHeight w:val="300"/>
        </w:trPr>
        <w:tc>
          <w:tcPr>
            <w:tcW w:w="1276" w:type="dxa"/>
            <w:tcBorders>
              <w:left w:val="nil"/>
              <w:right w:val="nil"/>
            </w:tcBorders>
            <w:noWrap/>
            <w:vAlign w:val="bottom"/>
          </w:tcPr>
          <w:p w:rsidR="000878D7" w:rsidRDefault="000878D7" w:rsidP="00D53A04">
            <w:pPr>
              <w:jc w:val="right"/>
              <w:rPr>
                <w:rFonts w:cs="Calibri"/>
                <w:b/>
                <w:bCs/>
                <w:color w:val="000000"/>
              </w:rPr>
            </w:pPr>
          </w:p>
          <w:p w:rsidR="000878D7" w:rsidRPr="00EB2995" w:rsidRDefault="000878D7" w:rsidP="00D53A04">
            <w:pPr>
              <w:jc w:val="right"/>
              <w:rPr>
                <w:rFonts w:cs="Calibri"/>
                <w:b/>
                <w:bCs/>
                <w:color w:val="000000"/>
              </w:rPr>
            </w:pPr>
            <w:r w:rsidRPr="00EB2995">
              <w:rPr>
                <w:rFonts w:cs="Calibri"/>
                <w:b/>
                <w:bCs/>
                <w:color w:val="000000"/>
              </w:rPr>
              <w:t>31 March</w:t>
            </w:r>
          </w:p>
        </w:tc>
        <w:tc>
          <w:tcPr>
            <w:tcW w:w="6521" w:type="dxa"/>
            <w:tcBorders>
              <w:top w:val="nil"/>
              <w:left w:val="nil"/>
              <w:bottom w:val="nil"/>
              <w:right w:val="nil"/>
            </w:tcBorders>
            <w:vAlign w:val="bottom"/>
          </w:tcPr>
          <w:p w:rsidR="000878D7" w:rsidRPr="00EB2995" w:rsidRDefault="000878D7" w:rsidP="00D53A04">
            <w:pPr>
              <w:ind w:right="176"/>
              <w:rPr>
                <w:rFonts w:cs="Calibri"/>
                <w:b/>
                <w:bCs/>
              </w:rPr>
            </w:pPr>
            <w:r w:rsidRPr="00EB2995">
              <w:rPr>
                <w:rFonts w:cs="Calibri"/>
                <w:b/>
                <w:bCs/>
              </w:rPr>
              <w:t>Movement in Reserves Statement</w:t>
            </w:r>
          </w:p>
        </w:tc>
        <w:tc>
          <w:tcPr>
            <w:tcW w:w="1275" w:type="dxa"/>
            <w:tcBorders>
              <w:top w:val="nil"/>
              <w:left w:val="nil"/>
              <w:right w:val="nil"/>
            </w:tcBorders>
            <w:noWrap/>
            <w:vAlign w:val="bottom"/>
          </w:tcPr>
          <w:p w:rsidR="000878D7" w:rsidRPr="00EB2995" w:rsidRDefault="000878D7" w:rsidP="00D53A04">
            <w:pPr>
              <w:jc w:val="right"/>
              <w:rPr>
                <w:rFonts w:cs="Calibri"/>
                <w:b/>
                <w:bCs/>
                <w:color w:val="000000"/>
              </w:rPr>
            </w:pPr>
            <w:r w:rsidRPr="00EB2995">
              <w:rPr>
                <w:rFonts w:cs="Calibri"/>
                <w:b/>
                <w:bCs/>
                <w:color w:val="000000"/>
              </w:rPr>
              <w:t>31 March</w:t>
            </w:r>
          </w:p>
        </w:tc>
      </w:tr>
      <w:tr w:rsidR="000878D7" w:rsidRPr="00EB2995" w:rsidTr="00D53A04">
        <w:trPr>
          <w:trHeight w:val="300"/>
        </w:trPr>
        <w:tc>
          <w:tcPr>
            <w:tcW w:w="1276" w:type="dxa"/>
            <w:tcBorders>
              <w:top w:val="nil"/>
              <w:left w:val="nil"/>
              <w:right w:val="nil"/>
            </w:tcBorders>
            <w:noWrap/>
            <w:vAlign w:val="bottom"/>
          </w:tcPr>
          <w:p w:rsidR="000878D7" w:rsidRPr="00EB2995" w:rsidRDefault="000878D7" w:rsidP="00D53A04">
            <w:pPr>
              <w:jc w:val="right"/>
              <w:rPr>
                <w:rFonts w:cs="Calibri"/>
                <w:b/>
                <w:bCs/>
                <w:color w:val="000000"/>
              </w:rPr>
            </w:pPr>
            <w:r w:rsidRPr="00EB2995">
              <w:rPr>
                <w:rFonts w:cs="Calibri"/>
                <w:b/>
                <w:bCs/>
                <w:color w:val="000000"/>
              </w:rPr>
              <w:t>2019</w:t>
            </w:r>
          </w:p>
        </w:tc>
        <w:tc>
          <w:tcPr>
            <w:tcW w:w="6521" w:type="dxa"/>
            <w:tcBorders>
              <w:top w:val="nil"/>
              <w:left w:val="nil"/>
              <w:bottom w:val="nil"/>
              <w:right w:val="nil"/>
            </w:tcBorders>
            <w:vAlign w:val="bottom"/>
          </w:tcPr>
          <w:p w:rsidR="000878D7" w:rsidRPr="00EB2995" w:rsidRDefault="000878D7" w:rsidP="00D53A04">
            <w:pPr>
              <w:ind w:right="176"/>
              <w:rPr>
                <w:rFonts w:cs="Calibri"/>
              </w:rPr>
            </w:pPr>
          </w:p>
        </w:tc>
        <w:tc>
          <w:tcPr>
            <w:tcW w:w="1275" w:type="dxa"/>
            <w:tcBorders>
              <w:top w:val="nil"/>
              <w:left w:val="nil"/>
              <w:right w:val="nil"/>
            </w:tcBorders>
            <w:noWrap/>
            <w:vAlign w:val="bottom"/>
          </w:tcPr>
          <w:p w:rsidR="000878D7" w:rsidRPr="00EB2995" w:rsidRDefault="000878D7" w:rsidP="00D53A04">
            <w:pPr>
              <w:jc w:val="right"/>
              <w:rPr>
                <w:rFonts w:cs="Calibri"/>
                <w:b/>
                <w:bCs/>
                <w:color w:val="000000"/>
              </w:rPr>
            </w:pPr>
            <w:r w:rsidRPr="00EB2995">
              <w:rPr>
                <w:rFonts w:cs="Calibri"/>
                <w:b/>
                <w:bCs/>
                <w:color w:val="000000"/>
              </w:rPr>
              <w:t>2020</w:t>
            </w:r>
          </w:p>
        </w:tc>
      </w:tr>
      <w:tr w:rsidR="000878D7" w:rsidRPr="00EB2995" w:rsidTr="00D53A04">
        <w:trPr>
          <w:trHeight w:val="300"/>
        </w:trPr>
        <w:tc>
          <w:tcPr>
            <w:tcW w:w="1276" w:type="dxa"/>
            <w:tcBorders>
              <w:top w:val="nil"/>
              <w:left w:val="nil"/>
              <w:bottom w:val="single" w:sz="4" w:space="0" w:color="auto"/>
              <w:right w:val="nil"/>
            </w:tcBorders>
            <w:noWrap/>
            <w:vAlign w:val="bottom"/>
          </w:tcPr>
          <w:p w:rsidR="000878D7" w:rsidRPr="00EB2995" w:rsidRDefault="000878D7" w:rsidP="00D53A04">
            <w:pPr>
              <w:jc w:val="right"/>
              <w:rPr>
                <w:rFonts w:cs="Calibri"/>
                <w:b/>
                <w:bCs/>
                <w:color w:val="000000"/>
              </w:rPr>
            </w:pPr>
            <w:r w:rsidRPr="00EB2995">
              <w:rPr>
                <w:rFonts w:cs="Calibri"/>
                <w:b/>
                <w:bCs/>
                <w:color w:val="000000"/>
              </w:rPr>
              <w:t>£m</w:t>
            </w:r>
          </w:p>
        </w:tc>
        <w:tc>
          <w:tcPr>
            <w:tcW w:w="6521" w:type="dxa"/>
            <w:tcBorders>
              <w:top w:val="nil"/>
              <w:left w:val="nil"/>
              <w:bottom w:val="nil"/>
              <w:right w:val="nil"/>
            </w:tcBorders>
            <w:vAlign w:val="bottom"/>
          </w:tcPr>
          <w:p w:rsidR="000878D7" w:rsidRPr="00EB2995" w:rsidRDefault="000878D7" w:rsidP="00D53A04">
            <w:pPr>
              <w:ind w:right="176"/>
              <w:rPr>
                <w:rFonts w:cs="Calibri"/>
              </w:rPr>
            </w:pPr>
          </w:p>
        </w:tc>
        <w:tc>
          <w:tcPr>
            <w:tcW w:w="1275" w:type="dxa"/>
            <w:tcBorders>
              <w:top w:val="nil"/>
              <w:left w:val="nil"/>
              <w:bottom w:val="single" w:sz="4" w:space="0" w:color="auto"/>
              <w:right w:val="nil"/>
            </w:tcBorders>
            <w:noWrap/>
            <w:vAlign w:val="bottom"/>
          </w:tcPr>
          <w:p w:rsidR="000878D7" w:rsidRPr="00EB2995" w:rsidRDefault="000878D7" w:rsidP="00D53A04">
            <w:pPr>
              <w:jc w:val="right"/>
              <w:rPr>
                <w:rFonts w:cs="Calibri"/>
                <w:b/>
                <w:bCs/>
                <w:color w:val="000000"/>
              </w:rPr>
            </w:pPr>
            <w:r w:rsidRPr="00EB2995">
              <w:rPr>
                <w:rFonts w:cs="Calibri"/>
                <w:b/>
                <w:bCs/>
                <w:color w:val="000000"/>
              </w:rPr>
              <w:t>£m</w:t>
            </w:r>
          </w:p>
        </w:tc>
      </w:tr>
      <w:tr w:rsidR="000878D7" w:rsidRPr="00EB2995" w:rsidTr="00D53A04">
        <w:trPr>
          <w:trHeight w:val="300"/>
        </w:trPr>
        <w:tc>
          <w:tcPr>
            <w:tcW w:w="1276" w:type="dxa"/>
            <w:tcBorders>
              <w:top w:val="single" w:sz="4" w:space="0" w:color="auto"/>
              <w:left w:val="single" w:sz="4" w:space="0" w:color="auto"/>
              <w:bottom w:val="nil"/>
              <w:right w:val="single" w:sz="4" w:space="0" w:color="auto"/>
            </w:tcBorders>
            <w:noWrap/>
            <w:vAlign w:val="center"/>
          </w:tcPr>
          <w:p w:rsidR="000878D7" w:rsidRPr="00EB2995" w:rsidRDefault="000878D7" w:rsidP="00D53A04">
            <w:pPr>
              <w:jc w:val="right"/>
              <w:rPr>
                <w:rFonts w:cs="Calibri"/>
                <w:b/>
                <w:bCs/>
              </w:rPr>
            </w:pPr>
            <w:r w:rsidRPr="00EB2995">
              <w:rPr>
                <w:rFonts w:cs="Calibri"/>
                <w:b/>
                <w:bCs/>
              </w:rPr>
              <w:t>36.0</w:t>
            </w:r>
          </w:p>
        </w:tc>
        <w:tc>
          <w:tcPr>
            <w:tcW w:w="6521" w:type="dxa"/>
            <w:tcBorders>
              <w:top w:val="nil"/>
              <w:left w:val="single" w:sz="4" w:space="0" w:color="auto"/>
              <w:bottom w:val="nil"/>
              <w:right w:val="single" w:sz="4" w:space="0" w:color="auto"/>
            </w:tcBorders>
            <w:vAlign w:val="bottom"/>
          </w:tcPr>
          <w:p w:rsidR="000878D7" w:rsidRPr="00EB2995" w:rsidRDefault="000878D7" w:rsidP="00D53A04">
            <w:pPr>
              <w:ind w:right="176"/>
              <w:rPr>
                <w:rFonts w:cs="Calibri"/>
              </w:rPr>
            </w:pPr>
            <w:r w:rsidRPr="00EB2995">
              <w:rPr>
                <w:rFonts w:cs="Calibri"/>
              </w:rPr>
              <w:t>Employers' contributions payable to the scheme</w:t>
            </w:r>
          </w:p>
        </w:tc>
        <w:tc>
          <w:tcPr>
            <w:tcW w:w="1275" w:type="dxa"/>
            <w:tcBorders>
              <w:top w:val="single" w:sz="4" w:space="0" w:color="auto"/>
              <w:left w:val="single" w:sz="4" w:space="0" w:color="auto"/>
              <w:bottom w:val="nil"/>
              <w:right w:val="single" w:sz="4" w:space="0" w:color="auto"/>
            </w:tcBorders>
            <w:noWrap/>
            <w:vAlign w:val="center"/>
          </w:tcPr>
          <w:p w:rsidR="000878D7" w:rsidRPr="00EB2995" w:rsidRDefault="000878D7" w:rsidP="00D53A04">
            <w:pPr>
              <w:jc w:val="right"/>
              <w:rPr>
                <w:rFonts w:cs="Calibri"/>
                <w:b/>
                <w:bCs/>
              </w:rPr>
            </w:pPr>
            <w:r w:rsidRPr="00EB2995">
              <w:rPr>
                <w:rFonts w:cs="Calibri"/>
                <w:b/>
                <w:bCs/>
              </w:rPr>
              <w:t>36.0</w:t>
            </w:r>
          </w:p>
        </w:tc>
      </w:tr>
      <w:tr w:rsidR="000878D7" w:rsidRPr="00EB2995" w:rsidTr="00D53A04">
        <w:trPr>
          <w:trHeight w:val="300"/>
        </w:trPr>
        <w:tc>
          <w:tcPr>
            <w:tcW w:w="1276" w:type="dxa"/>
            <w:tcBorders>
              <w:top w:val="nil"/>
              <w:left w:val="single" w:sz="4" w:space="0" w:color="auto"/>
              <w:bottom w:val="single" w:sz="4" w:space="0" w:color="auto"/>
              <w:right w:val="single" w:sz="4" w:space="0" w:color="auto"/>
            </w:tcBorders>
            <w:noWrap/>
            <w:vAlign w:val="center"/>
          </w:tcPr>
          <w:p w:rsidR="000878D7" w:rsidRPr="00EB2995" w:rsidRDefault="000878D7" w:rsidP="00D53A04">
            <w:pPr>
              <w:jc w:val="right"/>
              <w:rPr>
                <w:rFonts w:cs="Calibri"/>
                <w:b/>
                <w:bCs/>
              </w:rPr>
            </w:pPr>
            <w:r w:rsidRPr="00EB2995">
              <w:rPr>
                <w:rFonts w:cs="Calibri"/>
                <w:b/>
                <w:bCs/>
              </w:rPr>
              <w:t>4.5</w:t>
            </w:r>
          </w:p>
        </w:tc>
        <w:tc>
          <w:tcPr>
            <w:tcW w:w="6521" w:type="dxa"/>
            <w:tcBorders>
              <w:top w:val="nil"/>
              <w:left w:val="single" w:sz="4" w:space="0" w:color="auto"/>
              <w:bottom w:val="nil"/>
              <w:right w:val="single" w:sz="4" w:space="0" w:color="auto"/>
            </w:tcBorders>
            <w:vAlign w:val="bottom"/>
          </w:tcPr>
          <w:p w:rsidR="000878D7" w:rsidRPr="00EB2995" w:rsidRDefault="000878D7" w:rsidP="00D53A04">
            <w:pPr>
              <w:ind w:right="176"/>
              <w:rPr>
                <w:rFonts w:cs="Calibri"/>
              </w:rPr>
            </w:pPr>
            <w:r w:rsidRPr="00EB2995">
              <w:rPr>
                <w:rFonts w:cs="Calibri"/>
              </w:rPr>
              <w:t>Contributions in respect of unfunded benefits</w:t>
            </w:r>
          </w:p>
        </w:tc>
        <w:tc>
          <w:tcPr>
            <w:tcW w:w="1275" w:type="dxa"/>
            <w:tcBorders>
              <w:top w:val="nil"/>
              <w:left w:val="single" w:sz="4" w:space="0" w:color="auto"/>
              <w:bottom w:val="single" w:sz="4" w:space="0" w:color="auto"/>
              <w:right w:val="single" w:sz="4" w:space="0" w:color="auto"/>
            </w:tcBorders>
            <w:noWrap/>
            <w:vAlign w:val="center"/>
          </w:tcPr>
          <w:p w:rsidR="000878D7" w:rsidRPr="00EB2995" w:rsidRDefault="000878D7" w:rsidP="00D53A04">
            <w:pPr>
              <w:jc w:val="right"/>
              <w:rPr>
                <w:rFonts w:cs="Calibri"/>
                <w:b/>
                <w:bCs/>
              </w:rPr>
            </w:pPr>
            <w:r w:rsidRPr="00EB2995">
              <w:rPr>
                <w:rFonts w:cs="Calibri"/>
                <w:b/>
                <w:bCs/>
              </w:rPr>
              <w:t>4.3</w:t>
            </w:r>
          </w:p>
        </w:tc>
      </w:tr>
      <w:tr w:rsidR="000878D7" w:rsidRPr="00EB2995" w:rsidTr="00D53A04">
        <w:trPr>
          <w:trHeight w:val="556"/>
        </w:trPr>
        <w:tc>
          <w:tcPr>
            <w:tcW w:w="1276" w:type="dxa"/>
            <w:tcBorders>
              <w:top w:val="single" w:sz="4" w:space="0" w:color="auto"/>
              <w:left w:val="single" w:sz="4" w:space="0" w:color="auto"/>
              <w:bottom w:val="nil"/>
              <w:right w:val="single" w:sz="4" w:space="0" w:color="auto"/>
            </w:tcBorders>
            <w:noWrap/>
            <w:vAlign w:val="center"/>
          </w:tcPr>
          <w:p w:rsidR="000878D7" w:rsidRPr="00EB2995" w:rsidRDefault="000878D7" w:rsidP="00D53A04">
            <w:pPr>
              <w:jc w:val="right"/>
              <w:rPr>
                <w:rFonts w:cs="Calibri"/>
                <w:b/>
                <w:bCs/>
              </w:rPr>
            </w:pPr>
            <w:r w:rsidRPr="00EB2995">
              <w:rPr>
                <w:rFonts w:cs="Calibri"/>
                <w:b/>
                <w:bCs/>
              </w:rPr>
              <w:t>40.5</w:t>
            </w:r>
          </w:p>
        </w:tc>
        <w:tc>
          <w:tcPr>
            <w:tcW w:w="6521" w:type="dxa"/>
            <w:tcBorders>
              <w:top w:val="nil"/>
              <w:left w:val="single" w:sz="4" w:space="0" w:color="auto"/>
              <w:bottom w:val="nil"/>
              <w:right w:val="single" w:sz="4" w:space="0" w:color="auto"/>
            </w:tcBorders>
            <w:vAlign w:val="bottom"/>
          </w:tcPr>
          <w:p w:rsidR="000878D7" w:rsidRPr="00EB2995" w:rsidRDefault="000878D7" w:rsidP="00D53A04">
            <w:pPr>
              <w:ind w:right="176"/>
              <w:rPr>
                <w:rFonts w:cs="Calibri"/>
                <w:i/>
                <w:iCs/>
              </w:rPr>
            </w:pPr>
            <w:r w:rsidRPr="00EB2995">
              <w:rPr>
                <w:rFonts w:cs="Calibri"/>
                <w:i/>
                <w:iCs/>
              </w:rPr>
              <w:t>Actual amount charged against the General Fund Balance for pensions in the year:</w:t>
            </w:r>
          </w:p>
        </w:tc>
        <w:tc>
          <w:tcPr>
            <w:tcW w:w="1275" w:type="dxa"/>
            <w:tcBorders>
              <w:top w:val="nil"/>
              <w:left w:val="single" w:sz="4" w:space="0" w:color="auto"/>
              <w:bottom w:val="nil"/>
              <w:right w:val="single" w:sz="4" w:space="0" w:color="auto"/>
            </w:tcBorders>
            <w:noWrap/>
            <w:vAlign w:val="center"/>
          </w:tcPr>
          <w:p w:rsidR="000878D7" w:rsidRPr="00EB2995" w:rsidRDefault="000878D7" w:rsidP="00D53A04">
            <w:pPr>
              <w:jc w:val="right"/>
              <w:rPr>
                <w:rFonts w:cs="Calibri"/>
                <w:b/>
                <w:bCs/>
              </w:rPr>
            </w:pPr>
            <w:r w:rsidRPr="00EB2995">
              <w:rPr>
                <w:rFonts w:cs="Calibri"/>
                <w:b/>
                <w:bCs/>
              </w:rPr>
              <w:t>40.3</w:t>
            </w:r>
          </w:p>
        </w:tc>
      </w:tr>
      <w:tr w:rsidR="000878D7" w:rsidRPr="00EB2995" w:rsidTr="00D53A04">
        <w:trPr>
          <w:trHeight w:val="943"/>
        </w:trPr>
        <w:tc>
          <w:tcPr>
            <w:tcW w:w="1276" w:type="dxa"/>
            <w:tcBorders>
              <w:top w:val="nil"/>
              <w:left w:val="single" w:sz="4" w:space="0" w:color="auto"/>
              <w:bottom w:val="single" w:sz="4" w:space="0" w:color="auto"/>
              <w:right w:val="single" w:sz="4" w:space="0" w:color="auto"/>
            </w:tcBorders>
            <w:noWrap/>
            <w:vAlign w:val="center"/>
          </w:tcPr>
          <w:p w:rsidR="000878D7" w:rsidRPr="00EB2995" w:rsidRDefault="000878D7" w:rsidP="00D53A04">
            <w:pPr>
              <w:jc w:val="right"/>
              <w:rPr>
                <w:rFonts w:cs="Calibri"/>
              </w:rPr>
            </w:pPr>
            <w:r w:rsidRPr="00EB2995">
              <w:rPr>
                <w:rFonts w:cs="Calibri"/>
              </w:rPr>
              <w:t>(67.7)</w:t>
            </w:r>
          </w:p>
        </w:tc>
        <w:tc>
          <w:tcPr>
            <w:tcW w:w="6521" w:type="dxa"/>
            <w:tcBorders>
              <w:top w:val="nil"/>
              <w:left w:val="single" w:sz="4" w:space="0" w:color="auto"/>
              <w:bottom w:val="nil"/>
              <w:right w:val="single" w:sz="4" w:space="0" w:color="auto"/>
            </w:tcBorders>
            <w:vAlign w:val="bottom"/>
          </w:tcPr>
          <w:p w:rsidR="000878D7" w:rsidRPr="00EB2995" w:rsidRDefault="000878D7" w:rsidP="00D53A04">
            <w:pPr>
              <w:ind w:right="176"/>
              <w:rPr>
                <w:rFonts w:cs="Calibri"/>
              </w:rPr>
            </w:pPr>
            <w:r w:rsidRPr="00EB2995">
              <w:rPr>
                <w:rFonts w:cs="Calibri"/>
              </w:rPr>
              <w:t xml:space="preserve">Reversal of net charges made to the Surplus or Deficit on the Provision of Services for post-employment benefits in accordance with the Code </w:t>
            </w:r>
          </w:p>
        </w:tc>
        <w:tc>
          <w:tcPr>
            <w:tcW w:w="1275" w:type="dxa"/>
            <w:tcBorders>
              <w:top w:val="nil"/>
              <w:left w:val="single" w:sz="4" w:space="0" w:color="auto"/>
              <w:bottom w:val="single" w:sz="4" w:space="0" w:color="auto"/>
              <w:right w:val="single" w:sz="4" w:space="0" w:color="auto"/>
            </w:tcBorders>
            <w:noWrap/>
            <w:vAlign w:val="center"/>
          </w:tcPr>
          <w:p w:rsidR="000878D7" w:rsidRPr="00EB2995" w:rsidRDefault="000878D7" w:rsidP="00D53A04">
            <w:pPr>
              <w:jc w:val="right"/>
              <w:rPr>
                <w:rFonts w:cs="Calibri"/>
              </w:rPr>
            </w:pPr>
            <w:r w:rsidRPr="00EB2995">
              <w:rPr>
                <w:rFonts w:cs="Calibri"/>
              </w:rPr>
              <w:t>(63.4)</w:t>
            </w:r>
          </w:p>
        </w:tc>
      </w:tr>
      <w:tr w:rsidR="000878D7" w:rsidRPr="00EB2995" w:rsidTr="00D53A04">
        <w:trPr>
          <w:trHeight w:val="300"/>
        </w:trPr>
        <w:tc>
          <w:tcPr>
            <w:tcW w:w="1276" w:type="dxa"/>
            <w:tcBorders>
              <w:top w:val="nil"/>
              <w:left w:val="single" w:sz="4" w:space="0" w:color="auto"/>
              <w:bottom w:val="single" w:sz="4" w:space="0" w:color="auto"/>
              <w:right w:val="single" w:sz="4" w:space="0" w:color="auto"/>
            </w:tcBorders>
            <w:noWrap/>
            <w:vAlign w:val="center"/>
          </w:tcPr>
          <w:p w:rsidR="000878D7" w:rsidRPr="00EB2995" w:rsidRDefault="000878D7" w:rsidP="00D53A04">
            <w:pPr>
              <w:jc w:val="right"/>
              <w:rPr>
                <w:rFonts w:cs="Calibri"/>
                <w:b/>
              </w:rPr>
            </w:pPr>
            <w:r w:rsidRPr="00EB2995">
              <w:rPr>
                <w:rFonts w:cs="Calibri"/>
                <w:b/>
              </w:rPr>
              <w:t>(27.2)</w:t>
            </w:r>
          </w:p>
        </w:tc>
        <w:tc>
          <w:tcPr>
            <w:tcW w:w="6521" w:type="dxa"/>
            <w:tcBorders>
              <w:top w:val="nil"/>
              <w:left w:val="single" w:sz="4" w:space="0" w:color="auto"/>
              <w:bottom w:val="nil"/>
              <w:right w:val="single" w:sz="4" w:space="0" w:color="auto"/>
            </w:tcBorders>
            <w:vAlign w:val="bottom"/>
          </w:tcPr>
          <w:p w:rsidR="000878D7" w:rsidRPr="00EB2995" w:rsidRDefault="000878D7" w:rsidP="00D53A04">
            <w:pPr>
              <w:jc w:val="right"/>
              <w:rPr>
                <w:rFonts w:cs="Calibri"/>
              </w:rPr>
            </w:pPr>
          </w:p>
        </w:tc>
        <w:tc>
          <w:tcPr>
            <w:tcW w:w="1275" w:type="dxa"/>
            <w:tcBorders>
              <w:top w:val="nil"/>
              <w:left w:val="single" w:sz="4" w:space="0" w:color="auto"/>
              <w:bottom w:val="single" w:sz="4" w:space="0" w:color="auto"/>
              <w:right w:val="single" w:sz="4" w:space="0" w:color="auto"/>
            </w:tcBorders>
            <w:noWrap/>
            <w:vAlign w:val="center"/>
          </w:tcPr>
          <w:p w:rsidR="000878D7" w:rsidRPr="00EB2995" w:rsidRDefault="000878D7" w:rsidP="00D53A04">
            <w:pPr>
              <w:jc w:val="right"/>
              <w:rPr>
                <w:rFonts w:cs="Calibri"/>
                <w:b/>
              </w:rPr>
            </w:pPr>
            <w:r w:rsidRPr="00EB2995">
              <w:rPr>
                <w:rFonts w:cs="Calibri"/>
                <w:b/>
              </w:rPr>
              <w:t>(23.1)</w:t>
            </w:r>
          </w:p>
        </w:tc>
      </w:tr>
    </w:tbl>
    <w:p w:rsidR="00F72906" w:rsidRDefault="00F72906" w:rsidP="00F72906">
      <w:r>
        <w:t> </w:t>
      </w:r>
    </w:p>
    <w:p w:rsidR="00F72906" w:rsidRDefault="00F72906" w:rsidP="00F72906"/>
    <w:p w:rsidR="00F72906" w:rsidRPr="000878D7" w:rsidRDefault="00F72906" w:rsidP="00F72906">
      <w:pPr>
        <w:rPr>
          <w:u w:val="single"/>
        </w:rPr>
      </w:pPr>
      <w:r w:rsidRPr="000878D7">
        <w:rPr>
          <w:u w:val="single"/>
        </w:rPr>
        <w:t xml:space="preserve">Statements Pensions Assets and Liabilities </w:t>
      </w:r>
      <w:r w:rsidR="000878D7">
        <w:rPr>
          <w:u w:val="single"/>
        </w:rPr>
        <w:t>Recognised in the Balance Sheet</w:t>
      </w:r>
    </w:p>
    <w:p w:rsidR="00F72906" w:rsidRDefault="00F72906" w:rsidP="00F72906">
      <w:r>
        <w:t>The amount included in the Balance Sheet arising from the authority’s obligation in respect of its defined benefit plans is as follows:</w:t>
      </w:r>
    </w:p>
    <w:tbl>
      <w:tblPr>
        <w:tblW w:w="9072" w:type="dxa"/>
        <w:tblLook w:val="00A0" w:firstRow="1" w:lastRow="0" w:firstColumn="1" w:lastColumn="0" w:noHBand="0" w:noVBand="0"/>
      </w:tblPr>
      <w:tblGrid>
        <w:gridCol w:w="1276"/>
        <w:gridCol w:w="6521"/>
        <w:gridCol w:w="1275"/>
      </w:tblGrid>
      <w:tr w:rsidR="000878D7" w:rsidRPr="00EB2995" w:rsidTr="00D53A04">
        <w:trPr>
          <w:trHeight w:val="300"/>
        </w:trPr>
        <w:tc>
          <w:tcPr>
            <w:tcW w:w="1276" w:type="dxa"/>
            <w:tcBorders>
              <w:left w:val="nil"/>
              <w:right w:val="nil"/>
            </w:tcBorders>
            <w:noWrap/>
            <w:vAlign w:val="bottom"/>
          </w:tcPr>
          <w:p w:rsidR="000878D7" w:rsidRPr="00EB2995" w:rsidRDefault="000878D7" w:rsidP="00D53A04">
            <w:pPr>
              <w:jc w:val="right"/>
              <w:rPr>
                <w:rFonts w:cs="Calibri"/>
                <w:b/>
                <w:bCs/>
                <w:color w:val="000000"/>
              </w:rPr>
            </w:pPr>
            <w:r w:rsidRPr="00EB2995">
              <w:rPr>
                <w:rFonts w:cs="Calibri"/>
                <w:b/>
                <w:bCs/>
                <w:color w:val="000000"/>
              </w:rPr>
              <w:t>31 March</w:t>
            </w:r>
          </w:p>
        </w:tc>
        <w:tc>
          <w:tcPr>
            <w:tcW w:w="6521" w:type="dxa"/>
            <w:tcBorders>
              <w:top w:val="nil"/>
              <w:left w:val="nil"/>
              <w:bottom w:val="nil"/>
              <w:right w:val="nil"/>
            </w:tcBorders>
            <w:vAlign w:val="bottom"/>
          </w:tcPr>
          <w:p w:rsidR="000878D7" w:rsidRPr="00EB2995" w:rsidRDefault="000878D7" w:rsidP="00D53A04">
            <w:pPr>
              <w:ind w:right="176"/>
              <w:rPr>
                <w:rFonts w:cs="Calibri"/>
                <w:b/>
                <w:bCs/>
              </w:rPr>
            </w:pPr>
          </w:p>
        </w:tc>
        <w:tc>
          <w:tcPr>
            <w:tcW w:w="1275" w:type="dxa"/>
            <w:tcBorders>
              <w:top w:val="nil"/>
              <w:left w:val="nil"/>
              <w:right w:val="nil"/>
            </w:tcBorders>
            <w:noWrap/>
            <w:vAlign w:val="bottom"/>
          </w:tcPr>
          <w:p w:rsidR="000878D7" w:rsidRPr="00EB2995" w:rsidRDefault="000878D7" w:rsidP="00D53A04">
            <w:pPr>
              <w:jc w:val="right"/>
              <w:rPr>
                <w:rFonts w:cs="Calibri"/>
                <w:b/>
                <w:bCs/>
                <w:color w:val="000000"/>
              </w:rPr>
            </w:pPr>
            <w:r w:rsidRPr="00EB2995">
              <w:rPr>
                <w:rFonts w:cs="Calibri"/>
                <w:b/>
                <w:bCs/>
                <w:color w:val="000000"/>
              </w:rPr>
              <w:t>31 March</w:t>
            </w:r>
          </w:p>
        </w:tc>
      </w:tr>
      <w:tr w:rsidR="000878D7" w:rsidRPr="00EB2995" w:rsidTr="00D53A04">
        <w:trPr>
          <w:trHeight w:val="300"/>
        </w:trPr>
        <w:tc>
          <w:tcPr>
            <w:tcW w:w="1276" w:type="dxa"/>
            <w:tcBorders>
              <w:top w:val="nil"/>
              <w:left w:val="nil"/>
              <w:right w:val="nil"/>
            </w:tcBorders>
            <w:noWrap/>
            <w:vAlign w:val="bottom"/>
          </w:tcPr>
          <w:p w:rsidR="000878D7" w:rsidRPr="00EB2995" w:rsidRDefault="000878D7" w:rsidP="00D53A04">
            <w:pPr>
              <w:jc w:val="right"/>
              <w:rPr>
                <w:rFonts w:cs="Calibri"/>
                <w:b/>
                <w:bCs/>
                <w:color w:val="000000"/>
              </w:rPr>
            </w:pPr>
            <w:r w:rsidRPr="00EB2995">
              <w:rPr>
                <w:rFonts w:cs="Calibri"/>
                <w:b/>
                <w:bCs/>
                <w:color w:val="000000"/>
              </w:rPr>
              <w:t>2019</w:t>
            </w:r>
          </w:p>
        </w:tc>
        <w:tc>
          <w:tcPr>
            <w:tcW w:w="6521" w:type="dxa"/>
            <w:tcBorders>
              <w:top w:val="nil"/>
              <w:left w:val="nil"/>
              <w:bottom w:val="nil"/>
              <w:right w:val="nil"/>
            </w:tcBorders>
            <w:vAlign w:val="bottom"/>
          </w:tcPr>
          <w:p w:rsidR="000878D7" w:rsidRPr="00EB2995" w:rsidRDefault="000878D7" w:rsidP="00D53A04">
            <w:pPr>
              <w:ind w:right="176"/>
              <w:rPr>
                <w:rFonts w:cs="Calibri"/>
              </w:rPr>
            </w:pPr>
          </w:p>
        </w:tc>
        <w:tc>
          <w:tcPr>
            <w:tcW w:w="1275" w:type="dxa"/>
            <w:tcBorders>
              <w:top w:val="nil"/>
              <w:left w:val="nil"/>
              <w:right w:val="nil"/>
            </w:tcBorders>
            <w:noWrap/>
            <w:vAlign w:val="bottom"/>
          </w:tcPr>
          <w:p w:rsidR="000878D7" w:rsidRPr="00EB2995" w:rsidRDefault="000878D7" w:rsidP="00D53A04">
            <w:pPr>
              <w:jc w:val="right"/>
              <w:rPr>
                <w:rFonts w:cs="Calibri"/>
                <w:b/>
                <w:bCs/>
                <w:color w:val="000000"/>
              </w:rPr>
            </w:pPr>
            <w:r w:rsidRPr="00EB2995">
              <w:rPr>
                <w:rFonts w:cs="Calibri"/>
                <w:b/>
                <w:bCs/>
                <w:color w:val="000000"/>
              </w:rPr>
              <w:t>2020</w:t>
            </w:r>
          </w:p>
        </w:tc>
      </w:tr>
      <w:tr w:rsidR="000878D7" w:rsidRPr="00EB2995" w:rsidTr="00D53A04">
        <w:trPr>
          <w:trHeight w:val="300"/>
        </w:trPr>
        <w:tc>
          <w:tcPr>
            <w:tcW w:w="1276" w:type="dxa"/>
            <w:tcBorders>
              <w:top w:val="nil"/>
              <w:left w:val="nil"/>
              <w:right w:val="nil"/>
            </w:tcBorders>
            <w:noWrap/>
            <w:vAlign w:val="bottom"/>
          </w:tcPr>
          <w:p w:rsidR="000878D7" w:rsidRPr="00EB2995" w:rsidRDefault="000878D7" w:rsidP="00D53A04">
            <w:pPr>
              <w:jc w:val="right"/>
              <w:rPr>
                <w:rFonts w:cs="Calibri"/>
                <w:b/>
                <w:bCs/>
                <w:color w:val="000000"/>
              </w:rPr>
            </w:pPr>
            <w:r w:rsidRPr="00EB2995">
              <w:rPr>
                <w:rFonts w:cs="Calibri"/>
                <w:b/>
                <w:bCs/>
                <w:color w:val="000000"/>
              </w:rPr>
              <w:t>£m</w:t>
            </w:r>
          </w:p>
        </w:tc>
        <w:tc>
          <w:tcPr>
            <w:tcW w:w="6521" w:type="dxa"/>
            <w:tcBorders>
              <w:top w:val="nil"/>
              <w:left w:val="nil"/>
              <w:right w:val="nil"/>
            </w:tcBorders>
            <w:vAlign w:val="bottom"/>
          </w:tcPr>
          <w:p w:rsidR="000878D7" w:rsidRPr="00EB2995" w:rsidRDefault="000878D7" w:rsidP="00D53A04">
            <w:pPr>
              <w:ind w:right="176"/>
              <w:rPr>
                <w:rFonts w:cs="Calibri"/>
              </w:rPr>
            </w:pPr>
          </w:p>
        </w:tc>
        <w:tc>
          <w:tcPr>
            <w:tcW w:w="1275" w:type="dxa"/>
            <w:tcBorders>
              <w:top w:val="nil"/>
              <w:left w:val="nil"/>
              <w:right w:val="nil"/>
            </w:tcBorders>
            <w:noWrap/>
            <w:vAlign w:val="bottom"/>
          </w:tcPr>
          <w:p w:rsidR="000878D7" w:rsidRPr="00EB2995" w:rsidRDefault="000878D7" w:rsidP="00D53A04">
            <w:pPr>
              <w:jc w:val="right"/>
              <w:rPr>
                <w:rFonts w:cs="Calibri"/>
                <w:b/>
                <w:bCs/>
                <w:color w:val="000000"/>
              </w:rPr>
            </w:pPr>
            <w:r w:rsidRPr="00EB2995">
              <w:rPr>
                <w:rFonts w:cs="Calibri"/>
                <w:b/>
                <w:bCs/>
                <w:color w:val="000000"/>
              </w:rPr>
              <w:t>£m</w:t>
            </w:r>
          </w:p>
        </w:tc>
      </w:tr>
      <w:tr w:rsidR="000878D7" w:rsidRPr="00EB2995" w:rsidTr="00D53A04">
        <w:trPr>
          <w:trHeight w:val="300"/>
        </w:trPr>
        <w:tc>
          <w:tcPr>
            <w:tcW w:w="1276" w:type="dxa"/>
            <w:tcBorders>
              <w:bottom w:val="nil"/>
            </w:tcBorders>
            <w:noWrap/>
            <w:vAlign w:val="center"/>
          </w:tcPr>
          <w:p w:rsidR="000878D7" w:rsidRPr="00EB2995" w:rsidRDefault="000878D7" w:rsidP="00D53A04">
            <w:pPr>
              <w:jc w:val="right"/>
              <w:rPr>
                <w:rFonts w:cs="Calibri"/>
              </w:rPr>
            </w:pPr>
            <w:r w:rsidRPr="00EB2995">
              <w:rPr>
                <w:rFonts w:cs="Calibri"/>
              </w:rPr>
              <w:t>1,684</w:t>
            </w:r>
          </w:p>
        </w:tc>
        <w:tc>
          <w:tcPr>
            <w:tcW w:w="6521" w:type="dxa"/>
            <w:tcBorders>
              <w:bottom w:val="nil"/>
            </w:tcBorders>
            <w:vAlign w:val="bottom"/>
          </w:tcPr>
          <w:p w:rsidR="000878D7" w:rsidRPr="00EB2995" w:rsidRDefault="000878D7" w:rsidP="00D53A04">
            <w:pPr>
              <w:ind w:right="176"/>
              <w:rPr>
                <w:rFonts w:cs="Calibri"/>
              </w:rPr>
            </w:pPr>
            <w:r w:rsidRPr="00EB2995">
              <w:rPr>
                <w:rFonts w:cs="Calibri"/>
              </w:rPr>
              <w:t>Present value of the defined benefit obligation</w:t>
            </w:r>
          </w:p>
        </w:tc>
        <w:tc>
          <w:tcPr>
            <w:tcW w:w="1275" w:type="dxa"/>
            <w:tcBorders>
              <w:bottom w:val="nil"/>
            </w:tcBorders>
            <w:noWrap/>
            <w:vAlign w:val="center"/>
          </w:tcPr>
          <w:p w:rsidR="000878D7" w:rsidRPr="00EB2995" w:rsidRDefault="000878D7" w:rsidP="00D53A04">
            <w:pPr>
              <w:jc w:val="right"/>
              <w:rPr>
                <w:rFonts w:cs="Calibri"/>
              </w:rPr>
            </w:pPr>
            <w:r w:rsidRPr="00EB2995">
              <w:rPr>
                <w:rFonts w:cs="Calibri"/>
              </w:rPr>
              <w:t>1,383</w:t>
            </w:r>
          </w:p>
        </w:tc>
      </w:tr>
      <w:tr w:rsidR="000878D7" w:rsidRPr="00EB2995" w:rsidTr="00D53A04">
        <w:trPr>
          <w:trHeight w:val="300"/>
        </w:trPr>
        <w:tc>
          <w:tcPr>
            <w:tcW w:w="1276" w:type="dxa"/>
            <w:tcBorders>
              <w:top w:val="nil"/>
              <w:bottom w:val="single" w:sz="4" w:space="0" w:color="auto"/>
            </w:tcBorders>
            <w:noWrap/>
            <w:vAlign w:val="center"/>
          </w:tcPr>
          <w:p w:rsidR="000878D7" w:rsidRPr="00EB2995" w:rsidRDefault="000878D7" w:rsidP="00D53A04">
            <w:pPr>
              <w:jc w:val="right"/>
              <w:rPr>
                <w:rFonts w:cs="Calibri"/>
              </w:rPr>
            </w:pPr>
            <w:r w:rsidRPr="00EB2995">
              <w:rPr>
                <w:rFonts w:cs="Calibri"/>
              </w:rPr>
              <w:t>(758)</w:t>
            </w:r>
          </w:p>
        </w:tc>
        <w:tc>
          <w:tcPr>
            <w:tcW w:w="6521" w:type="dxa"/>
            <w:tcBorders>
              <w:top w:val="nil"/>
            </w:tcBorders>
            <w:vAlign w:val="bottom"/>
          </w:tcPr>
          <w:p w:rsidR="000878D7" w:rsidRPr="00EB2995" w:rsidRDefault="000878D7" w:rsidP="00D53A04">
            <w:pPr>
              <w:ind w:right="176"/>
              <w:rPr>
                <w:rFonts w:cs="Calibri"/>
              </w:rPr>
            </w:pPr>
            <w:r w:rsidRPr="00EB2995">
              <w:rPr>
                <w:rFonts w:cs="Calibri"/>
              </w:rPr>
              <w:t>Fair value of plan assets</w:t>
            </w:r>
          </w:p>
        </w:tc>
        <w:tc>
          <w:tcPr>
            <w:tcW w:w="1275" w:type="dxa"/>
            <w:tcBorders>
              <w:top w:val="nil"/>
              <w:bottom w:val="single" w:sz="4" w:space="0" w:color="auto"/>
            </w:tcBorders>
            <w:noWrap/>
            <w:vAlign w:val="center"/>
          </w:tcPr>
          <w:p w:rsidR="000878D7" w:rsidRPr="00EB2995" w:rsidRDefault="000878D7" w:rsidP="00D53A04">
            <w:pPr>
              <w:jc w:val="right"/>
              <w:rPr>
                <w:rFonts w:cs="Calibri"/>
              </w:rPr>
            </w:pPr>
            <w:r w:rsidRPr="00EB2995">
              <w:rPr>
                <w:rFonts w:cs="Calibri"/>
              </w:rPr>
              <w:t>(723)</w:t>
            </w:r>
          </w:p>
        </w:tc>
      </w:tr>
      <w:tr w:rsidR="000878D7" w:rsidRPr="00EB2995" w:rsidTr="00D53A04">
        <w:trPr>
          <w:trHeight w:val="300"/>
        </w:trPr>
        <w:tc>
          <w:tcPr>
            <w:tcW w:w="1276" w:type="dxa"/>
            <w:tcBorders>
              <w:top w:val="single" w:sz="4" w:space="0" w:color="auto"/>
            </w:tcBorders>
            <w:noWrap/>
            <w:vAlign w:val="center"/>
          </w:tcPr>
          <w:p w:rsidR="000878D7" w:rsidRPr="00EB2995" w:rsidRDefault="000878D7" w:rsidP="00D53A04">
            <w:pPr>
              <w:jc w:val="right"/>
              <w:rPr>
                <w:rFonts w:cs="Calibri"/>
              </w:rPr>
            </w:pPr>
            <w:r w:rsidRPr="00EB2995">
              <w:rPr>
                <w:rFonts w:cs="Calibri"/>
              </w:rPr>
              <w:t>926</w:t>
            </w:r>
          </w:p>
        </w:tc>
        <w:tc>
          <w:tcPr>
            <w:tcW w:w="6521" w:type="dxa"/>
            <w:tcBorders>
              <w:top w:val="nil"/>
            </w:tcBorders>
            <w:vAlign w:val="bottom"/>
          </w:tcPr>
          <w:p w:rsidR="000878D7" w:rsidRPr="00EB2995" w:rsidRDefault="000878D7" w:rsidP="00D53A04">
            <w:pPr>
              <w:rPr>
                <w:rFonts w:cs="Calibri"/>
              </w:rPr>
            </w:pPr>
            <w:r w:rsidRPr="00EB2995">
              <w:rPr>
                <w:rFonts w:cs="Calibri"/>
              </w:rPr>
              <w:t>Net liability arising from defined benefit obligation</w:t>
            </w:r>
          </w:p>
        </w:tc>
        <w:tc>
          <w:tcPr>
            <w:tcW w:w="1275" w:type="dxa"/>
            <w:tcBorders>
              <w:top w:val="single" w:sz="4" w:space="0" w:color="auto"/>
            </w:tcBorders>
            <w:noWrap/>
            <w:vAlign w:val="center"/>
          </w:tcPr>
          <w:p w:rsidR="000878D7" w:rsidRPr="00EB2995" w:rsidRDefault="000878D7" w:rsidP="00D53A04">
            <w:pPr>
              <w:jc w:val="right"/>
              <w:rPr>
                <w:rFonts w:cs="Calibri"/>
              </w:rPr>
            </w:pPr>
            <w:r w:rsidRPr="00EB2995">
              <w:rPr>
                <w:rFonts w:cs="Calibri"/>
              </w:rPr>
              <w:t>660</w:t>
            </w:r>
          </w:p>
        </w:tc>
      </w:tr>
    </w:tbl>
    <w:p w:rsidR="00F72906" w:rsidRDefault="00F72906" w:rsidP="00F72906"/>
    <w:p w:rsidR="00D53A04" w:rsidRDefault="00D53A04">
      <w:pPr>
        <w:rPr>
          <w:rFonts w:asciiTheme="majorHAnsi" w:eastAsiaTheme="majorEastAsia" w:hAnsiTheme="majorHAnsi" w:cstheme="majorBidi"/>
          <w:color w:val="1F4D78" w:themeColor="accent1" w:themeShade="7F"/>
          <w:sz w:val="24"/>
          <w:szCs w:val="24"/>
        </w:rPr>
      </w:pPr>
      <w:r>
        <w:br w:type="page"/>
      </w:r>
    </w:p>
    <w:p w:rsidR="00F72906" w:rsidRDefault="00F72906" w:rsidP="00D53A04">
      <w:pPr>
        <w:pStyle w:val="Heading3"/>
      </w:pPr>
      <w:r>
        <w:lastRenderedPageBreak/>
        <w:t>Note 36 – Reconciliation of Assets and Liabilities in Relation to Post-Employment Benefits</w:t>
      </w:r>
    </w:p>
    <w:tbl>
      <w:tblPr>
        <w:tblW w:w="10259" w:type="dxa"/>
        <w:tblInd w:w="-436" w:type="dxa"/>
        <w:tblLook w:val="00A0" w:firstRow="1" w:lastRow="0" w:firstColumn="1" w:lastColumn="0" w:noHBand="0" w:noVBand="0"/>
      </w:tblPr>
      <w:tblGrid>
        <w:gridCol w:w="1160"/>
        <w:gridCol w:w="1280"/>
        <w:gridCol w:w="1155"/>
        <w:gridCol w:w="3266"/>
        <w:gridCol w:w="1060"/>
        <w:gridCol w:w="1259"/>
        <w:gridCol w:w="1079"/>
      </w:tblGrid>
      <w:tr w:rsidR="00D53A04" w:rsidRPr="00EB2995" w:rsidTr="00D53A04">
        <w:trPr>
          <w:trHeight w:val="315"/>
        </w:trPr>
        <w:tc>
          <w:tcPr>
            <w:tcW w:w="3595" w:type="dxa"/>
            <w:gridSpan w:val="3"/>
            <w:tcBorders>
              <w:bottom w:val="nil"/>
            </w:tcBorders>
            <w:noWrap/>
            <w:vAlign w:val="center"/>
          </w:tcPr>
          <w:p w:rsidR="00D53A04" w:rsidRPr="00EB2995" w:rsidRDefault="00D53A04" w:rsidP="00D53A04">
            <w:pPr>
              <w:jc w:val="center"/>
              <w:rPr>
                <w:rFonts w:cs="Calibri"/>
                <w:b/>
                <w:bCs/>
                <w:color w:val="000000"/>
              </w:rPr>
            </w:pPr>
            <w:r w:rsidRPr="00EB2995">
              <w:rPr>
                <w:rFonts w:cs="Calibri"/>
                <w:b/>
                <w:bCs/>
                <w:color w:val="000000"/>
              </w:rPr>
              <w:t>2018/19</w:t>
            </w:r>
          </w:p>
        </w:tc>
        <w:tc>
          <w:tcPr>
            <w:tcW w:w="3266" w:type="dxa"/>
            <w:tcBorders>
              <w:bottom w:val="nil"/>
            </w:tcBorders>
            <w:noWrap/>
            <w:vAlign w:val="center"/>
          </w:tcPr>
          <w:p w:rsidR="00D53A04" w:rsidRPr="00EB2995" w:rsidRDefault="00D53A04" w:rsidP="00D53A04">
            <w:pPr>
              <w:jc w:val="center"/>
              <w:rPr>
                <w:rFonts w:cs="Calibri"/>
                <w:color w:val="000000"/>
              </w:rPr>
            </w:pPr>
            <w:r w:rsidRPr="00EB2995">
              <w:rPr>
                <w:rFonts w:cs="Calibri"/>
                <w:color w:val="000000"/>
              </w:rPr>
              <w:t> </w:t>
            </w:r>
          </w:p>
        </w:tc>
        <w:tc>
          <w:tcPr>
            <w:tcW w:w="3398" w:type="dxa"/>
            <w:gridSpan w:val="3"/>
            <w:tcBorders>
              <w:bottom w:val="nil"/>
            </w:tcBorders>
            <w:noWrap/>
            <w:vAlign w:val="center"/>
          </w:tcPr>
          <w:p w:rsidR="00D53A04" w:rsidRPr="00EB2995" w:rsidRDefault="00D53A04" w:rsidP="00D53A04">
            <w:pPr>
              <w:jc w:val="center"/>
              <w:rPr>
                <w:rFonts w:cs="Calibri"/>
                <w:b/>
                <w:bCs/>
                <w:color w:val="000000"/>
              </w:rPr>
            </w:pPr>
            <w:r w:rsidRPr="00EB2995">
              <w:rPr>
                <w:rFonts w:cs="Calibri"/>
                <w:b/>
                <w:bCs/>
                <w:color w:val="000000"/>
              </w:rPr>
              <w:t>2019/20</w:t>
            </w:r>
          </w:p>
        </w:tc>
      </w:tr>
      <w:tr w:rsidR="00D53A04" w:rsidRPr="00EB2995" w:rsidTr="00D53A04">
        <w:trPr>
          <w:trHeight w:val="510"/>
        </w:trPr>
        <w:tc>
          <w:tcPr>
            <w:tcW w:w="1160" w:type="dxa"/>
            <w:tcBorders>
              <w:bottom w:val="nil"/>
            </w:tcBorders>
            <w:vAlign w:val="center"/>
          </w:tcPr>
          <w:p w:rsidR="00D53A04" w:rsidRPr="00EB2995" w:rsidRDefault="00D53A04" w:rsidP="00D53A04">
            <w:pPr>
              <w:rPr>
                <w:rFonts w:cs="Calibri"/>
                <w:b/>
                <w:bCs/>
                <w:color w:val="000000"/>
              </w:rPr>
            </w:pPr>
            <w:r w:rsidRPr="00EB2995">
              <w:rPr>
                <w:rFonts w:cs="Calibri"/>
                <w:b/>
                <w:bCs/>
                <w:color w:val="000000"/>
              </w:rPr>
              <w:t>Scheme Assets</w:t>
            </w:r>
          </w:p>
        </w:tc>
        <w:tc>
          <w:tcPr>
            <w:tcW w:w="1280" w:type="dxa"/>
            <w:tcBorders>
              <w:bottom w:val="nil"/>
            </w:tcBorders>
            <w:vAlign w:val="center"/>
          </w:tcPr>
          <w:p w:rsidR="00D53A04" w:rsidRPr="00EB2995" w:rsidRDefault="00D53A04" w:rsidP="00D53A04">
            <w:pPr>
              <w:jc w:val="right"/>
              <w:rPr>
                <w:rFonts w:cs="Calibri"/>
                <w:b/>
                <w:bCs/>
                <w:color w:val="000000"/>
              </w:rPr>
            </w:pPr>
            <w:r w:rsidRPr="00EB2995">
              <w:rPr>
                <w:rFonts w:cs="Calibri"/>
                <w:b/>
                <w:bCs/>
                <w:color w:val="000000"/>
              </w:rPr>
              <w:t>Pensions Obligations</w:t>
            </w:r>
          </w:p>
        </w:tc>
        <w:tc>
          <w:tcPr>
            <w:tcW w:w="1155" w:type="dxa"/>
            <w:tcBorders>
              <w:bottom w:val="nil"/>
            </w:tcBorders>
            <w:vAlign w:val="center"/>
          </w:tcPr>
          <w:p w:rsidR="00D53A04" w:rsidRPr="00EB2995" w:rsidRDefault="00D53A04" w:rsidP="00D53A04">
            <w:pPr>
              <w:jc w:val="right"/>
              <w:rPr>
                <w:rFonts w:cs="Calibri"/>
                <w:b/>
                <w:bCs/>
                <w:color w:val="000000"/>
              </w:rPr>
            </w:pPr>
            <w:r w:rsidRPr="00EB2995">
              <w:rPr>
                <w:rFonts w:cs="Calibri"/>
                <w:b/>
                <w:bCs/>
                <w:color w:val="000000"/>
              </w:rPr>
              <w:t>Net Pensions Liability</w:t>
            </w:r>
          </w:p>
        </w:tc>
        <w:tc>
          <w:tcPr>
            <w:tcW w:w="3266" w:type="dxa"/>
            <w:tcBorders>
              <w:bottom w:val="nil"/>
            </w:tcBorders>
            <w:vAlign w:val="center"/>
          </w:tcPr>
          <w:p w:rsidR="00D53A04" w:rsidRPr="00EB2995" w:rsidRDefault="00D53A04" w:rsidP="00D53A04">
            <w:pPr>
              <w:jc w:val="center"/>
              <w:rPr>
                <w:rFonts w:cs="Calibri"/>
                <w:color w:val="000000"/>
              </w:rPr>
            </w:pPr>
            <w:r w:rsidRPr="00EB2995">
              <w:rPr>
                <w:rFonts w:cs="Calibri"/>
                <w:color w:val="000000"/>
              </w:rPr>
              <w:t> </w:t>
            </w:r>
          </w:p>
        </w:tc>
        <w:tc>
          <w:tcPr>
            <w:tcW w:w="1060" w:type="dxa"/>
            <w:tcBorders>
              <w:bottom w:val="nil"/>
            </w:tcBorders>
            <w:vAlign w:val="center"/>
          </w:tcPr>
          <w:p w:rsidR="00D53A04" w:rsidRPr="00EB2995" w:rsidRDefault="00D53A04" w:rsidP="00D53A04">
            <w:pPr>
              <w:jc w:val="right"/>
              <w:rPr>
                <w:rFonts w:cs="Calibri"/>
                <w:b/>
                <w:bCs/>
                <w:color w:val="000000"/>
              </w:rPr>
            </w:pPr>
            <w:r w:rsidRPr="00EB2995">
              <w:rPr>
                <w:rFonts w:cs="Calibri"/>
                <w:b/>
                <w:bCs/>
                <w:color w:val="000000"/>
              </w:rPr>
              <w:t>Scheme Assets</w:t>
            </w:r>
          </w:p>
        </w:tc>
        <w:tc>
          <w:tcPr>
            <w:tcW w:w="1259" w:type="dxa"/>
            <w:tcBorders>
              <w:bottom w:val="nil"/>
            </w:tcBorders>
            <w:vAlign w:val="center"/>
          </w:tcPr>
          <w:p w:rsidR="00D53A04" w:rsidRPr="00EB2995" w:rsidRDefault="00D53A04" w:rsidP="00D53A04">
            <w:pPr>
              <w:jc w:val="right"/>
              <w:rPr>
                <w:rFonts w:cs="Calibri"/>
                <w:b/>
                <w:bCs/>
                <w:color w:val="000000"/>
              </w:rPr>
            </w:pPr>
            <w:r w:rsidRPr="00EB2995">
              <w:rPr>
                <w:rFonts w:cs="Calibri"/>
                <w:b/>
                <w:bCs/>
                <w:color w:val="000000"/>
              </w:rPr>
              <w:t>Pensions Obligations</w:t>
            </w:r>
          </w:p>
        </w:tc>
        <w:tc>
          <w:tcPr>
            <w:tcW w:w="1079" w:type="dxa"/>
            <w:tcBorders>
              <w:bottom w:val="nil"/>
            </w:tcBorders>
            <w:vAlign w:val="center"/>
          </w:tcPr>
          <w:p w:rsidR="00D53A04" w:rsidRPr="00EB2995" w:rsidRDefault="00D53A04" w:rsidP="00D53A04">
            <w:pPr>
              <w:jc w:val="right"/>
              <w:rPr>
                <w:rFonts w:cs="Calibri"/>
                <w:b/>
                <w:bCs/>
                <w:color w:val="000000"/>
              </w:rPr>
            </w:pPr>
            <w:r w:rsidRPr="00EB2995">
              <w:rPr>
                <w:rFonts w:cs="Calibri"/>
                <w:b/>
                <w:bCs/>
                <w:color w:val="000000"/>
              </w:rPr>
              <w:t>Net Pensions Liability</w:t>
            </w:r>
          </w:p>
        </w:tc>
      </w:tr>
      <w:tr w:rsidR="00D53A04" w:rsidRPr="00EB2995" w:rsidTr="00D53A04">
        <w:trPr>
          <w:trHeight w:val="315"/>
        </w:trPr>
        <w:tc>
          <w:tcPr>
            <w:tcW w:w="1160" w:type="dxa"/>
            <w:tcBorders>
              <w:top w:val="nil"/>
              <w:bottom w:val="single" w:sz="4" w:space="0" w:color="auto"/>
            </w:tcBorders>
            <w:vAlign w:val="center"/>
          </w:tcPr>
          <w:p w:rsidR="00D53A04" w:rsidRPr="00EB2995" w:rsidRDefault="00D53A04" w:rsidP="00D53A04">
            <w:pPr>
              <w:rPr>
                <w:rFonts w:cs="Calibri"/>
                <w:b/>
                <w:bCs/>
                <w:color w:val="000000"/>
              </w:rPr>
            </w:pPr>
            <w:r w:rsidRPr="00EB2995">
              <w:rPr>
                <w:rFonts w:cs="Calibri"/>
                <w:b/>
                <w:bCs/>
                <w:color w:val="000000"/>
              </w:rPr>
              <w:t>£m</w:t>
            </w:r>
          </w:p>
        </w:tc>
        <w:tc>
          <w:tcPr>
            <w:tcW w:w="1280" w:type="dxa"/>
            <w:tcBorders>
              <w:top w:val="nil"/>
              <w:bottom w:val="single" w:sz="4" w:space="0" w:color="auto"/>
            </w:tcBorders>
            <w:vAlign w:val="center"/>
          </w:tcPr>
          <w:p w:rsidR="00D53A04" w:rsidRPr="00EB2995" w:rsidRDefault="00D53A04" w:rsidP="00D53A04">
            <w:pPr>
              <w:jc w:val="right"/>
              <w:rPr>
                <w:rFonts w:cs="Calibri"/>
                <w:b/>
                <w:bCs/>
                <w:color w:val="000000"/>
              </w:rPr>
            </w:pPr>
            <w:r w:rsidRPr="00EB2995">
              <w:rPr>
                <w:rFonts w:cs="Calibri"/>
                <w:b/>
                <w:bCs/>
                <w:color w:val="000000"/>
              </w:rPr>
              <w:t>£m</w:t>
            </w:r>
          </w:p>
        </w:tc>
        <w:tc>
          <w:tcPr>
            <w:tcW w:w="1155" w:type="dxa"/>
            <w:tcBorders>
              <w:top w:val="nil"/>
              <w:bottom w:val="single" w:sz="4" w:space="0" w:color="auto"/>
            </w:tcBorders>
            <w:vAlign w:val="center"/>
          </w:tcPr>
          <w:p w:rsidR="00D53A04" w:rsidRPr="00EB2995" w:rsidRDefault="00D53A04" w:rsidP="00D53A04">
            <w:pPr>
              <w:jc w:val="right"/>
              <w:rPr>
                <w:rFonts w:cs="Calibri"/>
                <w:b/>
                <w:bCs/>
                <w:color w:val="000000"/>
              </w:rPr>
            </w:pPr>
            <w:r w:rsidRPr="00EB2995">
              <w:rPr>
                <w:rFonts w:cs="Calibri"/>
                <w:b/>
                <w:bCs/>
                <w:color w:val="000000"/>
              </w:rPr>
              <w:t>£m</w:t>
            </w:r>
          </w:p>
        </w:tc>
        <w:tc>
          <w:tcPr>
            <w:tcW w:w="3266" w:type="dxa"/>
            <w:tcBorders>
              <w:top w:val="nil"/>
            </w:tcBorders>
            <w:vAlign w:val="center"/>
          </w:tcPr>
          <w:p w:rsidR="00D53A04" w:rsidRPr="00EB2995" w:rsidRDefault="00D53A04" w:rsidP="00D53A04">
            <w:pPr>
              <w:rPr>
                <w:rFonts w:cs="Calibri"/>
                <w:color w:val="000000"/>
              </w:rPr>
            </w:pPr>
            <w:r w:rsidRPr="00EB2995">
              <w:rPr>
                <w:rFonts w:cs="Calibri"/>
                <w:color w:val="000000"/>
              </w:rPr>
              <w:t> </w:t>
            </w:r>
          </w:p>
        </w:tc>
        <w:tc>
          <w:tcPr>
            <w:tcW w:w="1060" w:type="dxa"/>
            <w:tcBorders>
              <w:top w:val="nil"/>
              <w:bottom w:val="single" w:sz="4" w:space="0" w:color="auto"/>
            </w:tcBorders>
            <w:vAlign w:val="center"/>
          </w:tcPr>
          <w:p w:rsidR="00D53A04" w:rsidRPr="00EB2995" w:rsidRDefault="00D53A04" w:rsidP="00D53A04">
            <w:pPr>
              <w:jc w:val="right"/>
              <w:rPr>
                <w:rFonts w:cs="Calibri"/>
                <w:b/>
                <w:bCs/>
                <w:color w:val="000000"/>
              </w:rPr>
            </w:pPr>
            <w:r w:rsidRPr="00EB2995">
              <w:rPr>
                <w:rFonts w:cs="Calibri"/>
                <w:b/>
                <w:bCs/>
                <w:color w:val="000000"/>
              </w:rPr>
              <w:t>£m</w:t>
            </w:r>
          </w:p>
        </w:tc>
        <w:tc>
          <w:tcPr>
            <w:tcW w:w="1259" w:type="dxa"/>
            <w:tcBorders>
              <w:top w:val="nil"/>
              <w:bottom w:val="single" w:sz="4" w:space="0" w:color="auto"/>
            </w:tcBorders>
            <w:vAlign w:val="center"/>
          </w:tcPr>
          <w:p w:rsidR="00D53A04" w:rsidRPr="00EB2995" w:rsidRDefault="00D53A04" w:rsidP="00D53A04">
            <w:pPr>
              <w:jc w:val="right"/>
              <w:rPr>
                <w:rFonts w:cs="Calibri"/>
                <w:b/>
                <w:bCs/>
                <w:color w:val="000000"/>
              </w:rPr>
            </w:pPr>
            <w:r w:rsidRPr="00EB2995">
              <w:rPr>
                <w:rFonts w:cs="Calibri"/>
                <w:b/>
                <w:bCs/>
                <w:color w:val="000000"/>
              </w:rPr>
              <w:t>£m</w:t>
            </w:r>
          </w:p>
        </w:tc>
        <w:tc>
          <w:tcPr>
            <w:tcW w:w="1079" w:type="dxa"/>
            <w:tcBorders>
              <w:top w:val="nil"/>
              <w:bottom w:val="single" w:sz="4" w:space="0" w:color="auto"/>
            </w:tcBorders>
            <w:vAlign w:val="center"/>
          </w:tcPr>
          <w:p w:rsidR="00D53A04" w:rsidRPr="00EB2995" w:rsidRDefault="00D53A04" w:rsidP="00D53A04">
            <w:pPr>
              <w:jc w:val="right"/>
              <w:rPr>
                <w:rFonts w:cs="Calibri"/>
                <w:b/>
                <w:bCs/>
                <w:color w:val="000000"/>
              </w:rPr>
            </w:pPr>
            <w:r w:rsidRPr="00EB2995">
              <w:rPr>
                <w:rFonts w:cs="Calibri"/>
                <w:b/>
                <w:bCs/>
                <w:color w:val="000000"/>
              </w:rPr>
              <w:t>£m</w:t>
            </w:r>
          </w:p>
        </w:tc>
      </w:tr>
      <w:tr w:rsidR="00D53A04" w:rsidRPr="00EB2995" w:rsidTr="00D53A04">
        <w:trPr>
          <w:trHeight w:val="300"/>
        </w:trPr>
        <w:tc>
          <w:tcPr>
            <w:tcW w:w="1160" w:type="dxa"/>
            <w:tcBorders>
              <w:top w:val="single" w:sz="4" w:space="0" w:color="auto"/>
              <w:left w:val="single" w:sz="8" w:space="0" w:color="auto"/>
              <w:bottom w:val="nil"/>
              <w:right w:val="nil"/>
            </w:tcBorders>
            <w:noWrap/>
            <w:vAlign w:val="center"/>
          </w:tcPr>
          <w:p w:rsidR="00D53A04" w:rsidRPr="00EB2995" w:rsidRDefault="00D53A04" w:rsidP="00D53A04">
            <w:pPr>
              <w:jc w:val="right"/>
              <w:rPr>
                <w:rFonts w:cs="Calibri"/>
                <w:b/>
                <w:bCs/>
                <w:color w:val="000000"/>
              </w:rPr>
            </w:pPr>
            <w:r w:rsidRPr="00EB2995">
              <w:rPr>
                <w:rFonts w:cs="Calibri"/>
                <w:b/>
                <w:bCs/>
                <w:color w:val="000000"/>
              </w:rPr>
              <w:t>709.1</w:t>
            </w:r>
          </w:p>
        </w:tc>
        <w:tc>
          <w:tcPr>
            <w:tcW w:w="1280" w:type="dxa"/>
            <w:tcBorders>
              <w:top w:val="single" w:sz="4" w:space="0" w:color="auto"/>
              <w:left w:val="nil"/>
              <w:bottom w:val="nil"/>
              <w:right w:val="nil"/>
            </w:tcBorders>
            <w:noWrap/>
            <w:vAlign w:val="center"/>
          </w:tcPr>
          <w:p w:rsidR="00D53A04" w:rsidRPr="00EB2995" w:rsidRDefault="00D53A04" w:rsidP="00D53A04">
            <w:pPr>
              <w:jc w:val="right"/>
              <w:rPr>
                <w:rFonts w:cs="Calibri"/>
                <w:b/>
                <w:bCs/>
                <w:color w:val="000000"/>
              </w:rPr>
            </w:pPr>
            <w:r w:rsidRPr="00EB2995">
              <w:rPr>
                <w:rFonts w:cs="Calibri"/>
                <w:b/>
                <w:bCs/>
                <w:color w:val="000000"/>
              </w:rPr>
              <w:t>(1,551.0)</w:t>
            </w:r>
          </w:p>
        </w:tc>
        <w:tc>
          <w:tcPr>
            <w:tcW w:w="1155" w:type="dxa"/>
            <w:tcBorders>
              <w:top w:val="single" w:sz="4" w:space="0" w:color="auto"/>
              <w:left w:val="nil"/>
              <w:bottom w:val="nil"/>
              <w:right w:val="single" w:sz="8" w:space="0" w:color="auto"/>
            </w:tcBorders>
            <w:noWrap/>
            <w:vAlign w:val="center"/>
          </w:tcPr>
          <w:p w:rsidR="00D53A04" w:rsidRPr="00EB2995" w:rsidRDefault="00D53A04" w:rsidP="00D53A04">
            <w:pPr>
              <w:jc w:val="right"/>
              <w:rPr>
                <w:rFonts w:cs="Calibri"/>
                <w:b/>
                <w:bCs/>
                <w:color w:val="000000"/>
              </w:rPr>
            </w:pPr>
            <w:r w:rsidRPr="00EB2995">
              <w:rPr>
                <w:rFonts w:cs="Calibri"/>
                <w:b/>
                <w:bCs/>
                <w:color w:val="000000"/>
              </w:rPr>
              <w:t>(841.8)</w:t>
            </w:r>
          </w:p>
        </w:tc>
        <w:tc>
          <w:tcPr>
            <w:tcW w:w="3266" w:type="dxa"/>
            <w:tcBorders>
              <w:left w:val="nil"/>
              <w:bottom w:val="nil"/>
              <w:right w:val="nil"/>
            </w:tcBorders>
            <w:vAlign w:val="center"/>
          </w:tcPr>
          <w:p w:rsidR="00D53A04" w:rsidRPr="00EB2995" w:rsidRDefault="00D53A04" w:rsidP="00D53A04">
            <w:pPr>
              <w:rPr>
                <w:rFonts w:cs="Calibri"/>
                <w:b/>
                <w:bCs/>
                <w:color w:val="000000"/>
              </w:rPr>
            </w:pPr>
            <w:r w:rsidRPr="00EB2995">
              <w:rPr>
                <w:rFonts w:cs="Calibri"/>
                <w:b/>
                <w:bCs/>
                <w:color w:val="000000"/>
              </w:rPr>
              <w:t>Opening Balance at 1 April</w:t>
            </w:r>
          </w:p>
        </w:tc>
        <w:tc>
          <w:tcPr>
            <w:tcW w:w="1060" w:type="dxa"/>
            <w:tcBorders>
              <w:top w:val="single" w:sz="4" w:space="0" w:color="auto"/>
              <w:left w:val="single" w:sz="8" w:space="0" w:color="auto"/>
              <w:bottom w:val="nil"/>
              <w:right w:val="nil"/>
            </w:tcBorders>
            <w:noWrap/>
            <w:vAlign w:val="center"/>
          </w:tcPr>
          <w:p w:rsidR="00D53A04" w:rsidRPr="00EB2995" w:rsidRDefault="00D53A04" w:rsidP="00D53A04">
            <w:pPr>
              <w:jc w:val="right"/>
              <w:rPr>
                <w:rFonts w:cs="Calibri"/>
                <w:b/>
                <w:bCs/>
                <w:color w:val="000000"/>
              </w:rPr>
            </w:pPr>
            <w:r w:rsidRPr="00EB2995">
              <w:rPr>
                <w:rFonts w:cs="Calibri"/>
                <w:b/>
                <w:bCs/>
                <w:color w:val="000000"/>
              </w:rPr>
              <w:t>757.8</w:t>
            </w:r>
          </w:p>
        </w:tc>
        <w:tc>
          <w:tcPr>
            <w:tcW w:w="1259" w:type="dxa"/>
            <w:tcBorders>
              <w:top w:val="single" w:sz="4" w:space="0" w:color="auto"/>
              <w:left w:val="nil"/>
              <w:bottom w:val="nil"/>
              <w:right w:val="nil"/>
            </w:tcBorders>
            <w:noWrap/>
            <w:vAlign w:val="center"/>
          </w:tcPr>
          <w:p w:rsidR="00D53A04" w:rsidRPr="00EB2995" w:rsidRDefault="00D53A04" w:rsidP="00D53A04">
            <w:pPr>
              <w:jc w:val="right"/>
              <w:rPr>
                <w:rFonts w:cs="Calibri"/>
                <w:b/>
                <w:bCs/>
                <w:color w:val="000000"/>
              </w:rPr>
            </w:pPr>
            <w:r w:rsidRPr="00EB2995">
              <w:rPr>
                <w:rFonts w:cs="Calibri"/>
                <w:b/>
                <w:bCs/>
                <w:color w:val="000000"/>
              </w:rPr>
              <w:t>(1,683.5)</w:t>
            </w:r>
          </w:p>
        </w:tc>
        <w:tc>
          <w:tcPr>
            <w:tcW w:w="1079" w:type="dxa"/>
            <w:tcBorders>
              <w:top w:val="single" w:sz="4" w:space="0" w:color="auto"/>
              <w:left w:val="nil"/>
              <w:bottom w:val="nil"/>
              <w:right w:val="single" w:sz="8" w:space="0" w:color="auto"/>
            </w:tcBorders>
            <w:noWrap/>
            <w:vAlign w:val="center"/>
          </w:tcPr>
          <w:p w:rsidR="00D53A04" w:rsidRPr="00EB2995" w:rsidRDefault="00D53A04" w:rsidP="00D53A04">
            <w:pPr>
              <w:jc w:val="right"/>
              <w:rPr>
                <w:rFonts w:cs="Calibri"/>
                <w:b/>
                <w:bCs/>
                <w:color w:val="000000"/>
              </w:rPr>
            </w:pPr>
            <w:r w:rsidRPr="00EB2995">
              <w:rPr>
                <w:rFonts w:cs="Calibri"/>
                <w:b/>
                <w:bCs/>
                <w:color w:val="000000"/>
              </w:rPr>
              <w:t>(925.7)</w:t>
            </w:r>
          </w:p>
        </w:tc>
      </w:tr>
      <w:tr w:rsidR="00D53A04" w:rsidRPr="00EB2995" w:rsidTr="00D53A04">
        <w:trPr>
          <w:trHeight w:val="300"/>
        </w:trPr>
        <w:tc>
          <w:tcPr>
            <w:tcW w:w="1160" w:type="dxa"/>
            <w:tcBorders>
              <w:top w:val="nil"/>
              <w:left w:val="single" w:sz="8" w:space="0" w:color="auto"/>
              <w:bottom w:val="nil"/>
              <w:right w:val="nil"/>
            </w:tcBorders>
            <w:noWrap/>
            <w:vAlign w:val="center"/>
          </w:tcPr>
          <w:p w:rsidR="00D53A04" w:rsidRPr="00EB2995" w:rsidRDefault="00D53A04" w:rsidP="00D53A04">
            <w:pPr>
              <w:rPr>
                <w:rFonts w:cs="Calibri"/>
                <w:color w:val="000000"/>
              </w:rPr>
            </w:pPr>
          </w:p>
        </w:tc>
        <w:tc>
          <w:tcPr>
            <w:tcW w:w="1280" w:type="dxa"/>
            <w:tcBorders>
              <w:top w:val="nil"/>
              <w:left w:val="nil"/>
              <w:bottom w:val="nil"/>
              <w:right w:val="nil"/>
            </w:tcBorders>
            <w:noWrap/>
            <w:vAlign w:val="center"/>
          </w:tcPr>
          <w:p w:rsidR="00D53A04" w:rsidRPr="00EB2995" w:rsidRDefault="00D53A04" w:rsidP="00D53A04">
            <w:pPr>
              <w:rPr>
                <w:rFonts w:cs="Calibri"/>
                <w:color w:val="000000"/>
              </w:rPr>
            </w:pPr>
          </w:p>
        </w:tc>
        <w:tc>
          <w:tcPr>
            <w:tcW w:w="1155" w:type="dxa"/>
            <w:tcBorders>
              <w:top w:val="nil"/>
              <w:left w:val="nil"/>
              <w:bottom w:val="nil"/>
              <w:right w:val="single" w:sz="8" w:space="0" w:color="auto"/>
            </w:tcBorders>
            <w:noWrap/>
            <w:vAlign w:val="center"/>
          </w:tcPr>
          <w:p w:rsidR="00D53A04" w:rsidRPr="00EB2995" w:rsidRDefault="00D53A04" w:rsidP="00D53A04">
            <w:pPr>
              <w:rPr>
                <w:rFonts w:cs="Calibri"/>
                <w:color w:val="000000"/>
              </w:rPr>
            </w:pPr>
          </w:p>
        </w:tc>
        <w:tc>
          <w:tcPr>
            <w:tcW w:w="3266" w:type="dxa"/>
            <w:tcBorders>
              <w:top w:val="nil"/>
              <w:left w:val="nil"/>
              <w:bottom w:val="nil"/>
              <w:right w:val="nil"/>
            </w:tcBorders>
            <w:vAlign w:val="center"/>
          </w:tcPr>
          <w:p w:rsidR="00D53A04" w:rsidRPr="00EB2995" w:rsidRDefault="00D53A04" w:rsidP="00D53A04">
            <w:pPr>
              <w:rPr>
                <w:rFonts w:cs="Calibri"/>
                <w:color w:val="000000"/>
              </w:rPr>
            </w:pPr>
            <w:r w:rsidRPr="00EB2995">
              <w:rPr>
                <w:rFonts w:cs="Calibri"/>
                <w:color w:val="000000"/>
              </w:rPr>
              <w:t> </w:t>
            </w:r>
          </w:p>
        </w:tc>
        <w:tc>
          <w:tcPr>
            <w:tcW w:w="1060" w:type="dxa"/>
            <w:tcBorders>
              <w:top w:val="nil"/>
              <w:left w:val="single" w:sz="8" w:space="0" w:color="auto"/>
              <w:bottom w:val="nil"/>
              <w:right w:val="nil"/>
            </w:tcBorders>
            <w:noWrap/>
            <w:vAlign w:val="center"/>
          </w:tcPr>
          <w:p w:rsidR="00D53A04" w:rsidRPr="00EB2995" w:rsidRDefault="00D53A04" w:rsidP="00D53A04">
            <w:pPr>
              <w:rPr>
                <w:rFonts w:cs="Calibri"/>
                <w:color w:val="000000"/>
              </w:rPr>
            </w:pPr>
          </w:p>
        </w:tc>
        <w:tc>
          <w:tcPr>
            <w:tcW w:w="1259" w:type="dxa"/>
            <w:tcBorders>
              <w:top w:val="nil"/>
              <w:left w:val="nil"/>
              <w:bottom w:val="nil"/>
              <w:right w:val="nil"/>
            </w:tcBorders>
            <w:noWrap/>
            <w:vAlign w:val="center"/>
          </w:tcPr>
          <w:p w:rsidR="00D53A04" w:rsidRPr="00EB2995" w:rsidRDefault="00D53A04" w:rsidP="00D53A04">
            <w:pPr>
              <w:rPr>
                <w:rFonts w:cs="Calibri"/>
                <w:color w:val="000000"/>
              </w:rPr>
            </w:pPr>
          </w:p>
        </w:tc>
        <w:tc>
          <w:tcPr>
            <w:tcW w:w="1079" w:type="dxa"/>
            <w:tcBorders>
              <w:top w:val="nil"/>
              <w:left w:val="nil"/>
              <w:bottom w:val="nil"/>
              <w:right w:val="single" w:sz="8" w:space="0" w:color="auto"/>
            </w:tcBorders>
            <w:noWrap/>
            <w:vAlign w:val="center"/>
          </w:tcPr>
          <w:p w:rsidR="00D53A04" w:rsidRPr="00EB2995" w:rsidRDefault="00D53A04" w:rsidP="00D53A04">
            <w:pPr>
              <w:rPr>
                <w:rFonts w:cs="Calibri"/>
                <w:color w:val="000000"/>
              </w:rPr>
            </w:pPr>
          </w:p>
        </w:tc>
      </w:tr>
      <w:tr w:rsidR="00D53A04" w:rsidRPr="00EB2995" w:rsidTr="00D53A04">
        <w:trPr>
          <w:trHeight w:val="300"/>
        </w:trPr>
        <w:tc>
          <w:tcPr>
            <w:tcW w:w="1160" w:type="dxa"/>
            <w:tcBorders>
              <w:top w:val="nil"/>
              <w:left w:val="single" w:sz="8" w:space="0" w:color="auto"/>
              <w:bottom w:val="nil"/>
              <w:right w:val="nil"/>
            </w:tcBorders>
            <w:noWrap/>
            <w:vAlign w:val="center"/>
          </w:tcPr>
          <w:p w:rsidR="00D53A04" w:rsidRPr="00EB2995" w:rsidRDefault="00D53A04" w:rsidP="00D53A04">
            <w:pPr>
              <w:jc w:val="right"/>
              <w:rPr>
                <w:rFonts w:cs="Calibri"/>
                <w:b/>
                <w:color w:val="000000"/>
              </w:rPr>
            </w:pPr>
          </w:p>
        </w:tc>
        <w:tc>
          <w:tcPr>
            <w:tcW w:w="1280" w:type="dxa"/>
            <w:tcBorders>
              <w:top w:val="nil"/>
              <w:left w:val="nil"/>
              <w:bottom w:val="nil"/>
              <w:right w:val="nil"/>
            </w:tcBorders>
            <w:noWrap/>
            <w:vAlign w:val="center"/>
          </w:tcPr>
          <w:p w:rsidR="00D53A04" w:rsidRPr="00EB2995" w:rsidRDefault="00D53A04" w:rsidP="00D53A04">
            <w:pPr>
              <w:jc w:val="right"/>
              <w:rPr>
                <w:rFonts w:cs="Calibri"/>
                <w:b/>
                <w:color w:val="000000"/>
              </w:rPr>
            </w:pPr>
          </w:p>
        </w:tc>
        <w:tc>
          <w:tcPr>
            <w:tcW w:w="1155" w:type="dxa"/>
            <w:tcBorders>
              <w:top w:val="nil"/>
              <w:left w:val="nil"/>
              <w:bottom w:val="nil"/>
              <w:right w:val="single" w:sz="8" w:space="0" w:color="auto"/>
            </w:tcBorders>
            <w:noWrap/>
            <w:vAlign w:val="center"/>
          </w:tcPr>
          <w:p w:rsidR="00D53A04" w:rsidRPr="00EB2995" w:rsidRDefault="00D53A04" w:rsidP="00D53A04">
            <w:pPr>
              <w:jc w:val="right"/>
              <w:rPr>
                <w:rFonts w:cs="Calibri"/>
                <w:b/>
                <w:color w:val="000000"/>
              </w:rPr>
            </w:pPr>
          </w:p>
        </w:tc>
        <w:tc>
          <w:tcPr>
            <w:tcW w:w="3266" w:type="dxa"/>
            <w:tcBorders>
              <w:top w:val="nil"/>
              <w:left w:val="nil"/>
              <w:bottom w:val="nil"/>
              <w:right w:val="nil"/>
            </w:tcBorders>
            <w:vAlign w:val="center"/>
          </w:tcPr>
          <w:p w:rsidR="00D53A04" w:rsidRPr="00EB2995" w:rsidRDefault="00D53A04" w:rsidP="00D53A04">
            <w:pPr>
              <w:rPr>
                <w:rFonts w:cs="Calibri"/>
                <w:b/>
                <w:color w:val="000000"/>
              </w:rPr>
            </w:pPr>
            <w:r w:rsidRPr="00EB2995">
              <w:rPr>
                <w:rFonts w:cs="Calibri"/>
                <w:b/>
                <w:color w:val="000000"/>
              </w:rPr>
              <w:t>Service Costs</w:t>
            </w:r>
          </w:p>
        </w:tc>
        <w:tc>
          <w:tcPr>
            <w:tcW w:w="1060" w:type="dxa"/>
            <w:tcBorders>
              <w:top w:val="nil"/>
              <w:left w:val="single" w:sz="8" w:space="0" w:color="auto"/>
              <w:bottom w:val="nil"/>
              <w:right w:val="nil"/>
            </w:tcBorders>
            <w:noWrap/>
            <w:vAlign w:val="center"/>
          </w:tcPr>
          <w:p w:rsidR="00D53A04" w:rsidRPr="00EB2995" w:rsidRDefault="00D53A04" w:rsidP="00D53A04">
            <w:pPr>
              <w:jc w:val="right"/>
              <w:rPr>
                <w:rFonts w:cs="Calibri"/>
                <w:b/>
                <w:color w:val="000000"/>
              </w:rPr>
            </w:pPr>
          </w:p>
        </w:tc>
        <w:tc>
          <w:tcPr>
            <w:tcW w:w="1259" w:type="dxa"/>
            <w:tcBorders>
              <w:top w:val="nil"/>
              <w:left w:val="nil"/>
              <w:bottom w:val="nil"/>
              <w:right w:val="nil"/>
            </w:tcBorders>
            <w:noWrap/>
            <w:vAlign w:val="center"/>
          </w:tcPr>
          <w:p w:rsidR="00D53A04" w:rsidRPr="00EB2995" w:rsidRDefault="00D53A04" w:rsidP="00D53A04">
            <w:pPr>
              <w:jc w:val="right"/>
              <w:rPr>
                <w:rFonts w:cs="Calibri"/>
                <w:b/>
                <w:color w:val="000000"/>
              </w:rPr>
            </w:pPr>
          </w:p>
        </w:tc>
        <w:tc>
          <w:tcPr>
            <w:tcW w:w="1079" w:type="dxa"/>
            <w:tcBorders>
              <w:top w:val="nil"/>
              <w:left w:val="nil"/>
              <w:bottom w:val="nil"/>
              <w:right w:val="single" w:sz="8" w:space="0" w:color="auto"/>
            </w:tcBorders>
            <w:noWrap/>
            <w:vAlign w:val="center"/>
          </w:tcPr>
          <w:p w:rsidR="00D53A04" w:rsidRPr="00EB2995" w:rsidRDefault="00D53A04" w:rsidP="00D53A04">
            <w:pPr>
              <w:jc w:val="right"/>
              <w:rPr>
                <w:rFonts w:cs="Calibri"/>
                <w:b/>
                <w:color w:val="000000"/>
              </w:rPr>
            </w:pPr>
          </w:p>
        </w:tc>
      </w:tr>
      <w:tr w:rsidR="00D53A04" w:rsidRPr="00EB2995" w:rsidTr="00D53A04">
        <w:trPr>
          <w:trHeight w:val="300"/>
        </w:trPr>
        <w:tc>
          <w:tcPr>
            <w:tcW w:w="1160" w:type="dxa"/>
            <w:tcBorders>
              <w:top w:val="nil"/>
              <w:left w:val="single" w:sz="8" w:space="0" w:color="auto"/>
              <w:bottom w:val="nil"/>
              <w:right w:val="nil"/>
            </w:tcBorders>
            <w:noWrap/>
            <w:vAlign w:val="center"/>
          </w:tcPr>
          <w:p w:rsidR="00D53A04" w:rsidRPr="00EB2995" w:rsidRDefault="00D53A04" w:rsidP="00D53A04">
            <w:pPr>
              <w:jc w:val="right"/>
              <w:rPr>
                <w:rFonts w:cs="Calibri"/>
                <w:color w:val="000000"/>
              </w:rPr>
            </w:pPr>
            <w:r w:rsidRPr="00EB2995">
              <w:rPr>
                <w:rFonts w:cs="Calibri"/>
                <w:color w:val="000000"/>
              </w:rPr>
              <w:t>0</w:t>
            </w:r>
          </w:p>
        </w:tc>
        <w:tc>
          <w:tcPr>
            <w:tcW w:w="1280" w:type="dxa"/>
            <w:tcBorders>
              <w:top w:val="nil"/>
              <w:left w:val="nil"/>
              <w:bottom w:val="nil"/>
              <w:right w:val="nil"/>
            </w:tcBorders>
            <w:noWrap/>
            <w:vAlign w:val="center"/>
          </w:tcPr>
          <w:p w:rsidR="00D53A04" w:rsidRPr="00EB2995" w:rsidRDefault="00D53A04" w:rsidP="00D53A04">
            <w:pPr>
              <w:jc w:val="right"/>
              <w:rPr>
                <w:rFonts w:cs="Calibri"/>
                <w:color w:val="000000"/>
              </w:rPr>
            </w:pPr>
            <w:r w:rsidRPr="00EB2995">
              <w:rPr>
                <w:rFonts w:cs="Calibri"/>
                <w:color w:val="000000"/>
              </w:rPr>
              <w:t>(38.1)</w:t>
            </w:r>
          </w:p>
        </w:tc>
        <w:tc>
          <w:tcPr>
            <w:tcW w:w="1155" w:type="dxa"/>
            <w:tcBorders>
              <w:top w:val="nil"/>
              <w:left w:val="nil"/>
              <w:bottom w:val="nil"/>
              <w:right w:val="single" w:sz="8" w:space="0" w:color="auto"/>
            </w:tcBorders>
            <w:noWrap/>
            <w:vAlign w:val="center"/>
          </w:tcPr>
          <w:p w:rsidR="00D53A04" w:rsidRPr="00EB2995" w:rsidRDefault="00D53A04" w:rsidP="00D53A04">
            <w:pPr>
              <w:jc w:val="right"/>
              <w:rPr>
                <w:rFonts w:cs="Calibri"/>
                <w:color w:val="000000"/>
              </w:rPr>
            </w:pPr>
            <w:r w:rsidRPr="00EB2995">
              <w:rPr>
                <w:rFonts w:cs="Calibri"/>
                <w:color w:val="000000"/>
              </w:rPr>
              <w:t>(38.1)</w:t>
            </w:r>
          </w:p>
        </w:tc>
        <w:tc>
          <w:tcPr>
            <w:tcW w:w="3266" w:type="dxa"/>
            <w:tcBorders>
              <w:top w:val="nil"/>
              <w:left w:val="nil"/>
              <w:bottom w:val="nil"/>
              <w:right w:val="nil"/>
            </w:tcBorders>
            <w:vAlign w:val="center"/>
          </w:tcPr>
          <w:p w:rsidR="00D53A04" w:rsidRPr="00EB2995" w:rsidRDefault="00D53A04" w:rsidP="00D53A04">
            <w:pPr>
              <w:rPr>
                <w:rFonts w:cs="Calibri"/>
                <w:color w:val="000000"/>
              </w:rPr>
            </w:pPr>
            <w:r w:rsidRPr="00EB2995">
              <w:rPr>
                <w:rFonts w:cs="Calibri"/>
                <w:color w:val="000000"/>
              </w:rPr>
              <w:t>Current Service Cost</w:t>
            </w:r>
          </w:p>
        </w:tc>
        <w:tc>
          <w:tcPr>
            <w:tcW w:w="1060" w:type="dxa"/>
            <w:tcBorders>
              <w:top w:val="nil"/>
              <w:left w:val="single" w:sz="8" w:space="0" w:color="auto"/>
              <w:bottom w:val="nil"/>
              <w:right w:val="nil"/>
            </w:tcBorders>
            <w:noWrap/>
            <w:vAlign w:val="center"/>
          </w:tcPr>
          <w:p w:rsidR="00D53A04" w:rsidRPr="00EB2995" w:rsidRDefault="00D53A04" w:rsidP="00D53A04">
            <w:pPr>
              <w:jc w:val="right"/>
              <w:rPr>
                <w:rFonts w:cs="Calibri"/>
                <w:color w:val="000000"/>
              </w:rPr>
            </w:pPr>
            <w:r w:rsidRPr="00EB2995">
              <w:rPr>
                <w:rFonts w:cs="Calibri"/>
                <w:color w:val="000000"/>
              </w:rPr>
              <w:t>0</w:t>
            </w:r>
          </w:p>
        </w:tc>
        <w:tc>
          <w:tcPr>
            <w:tcW w:w="1259" w:type="dxa"/>
            <w:tcBorders>
              <w:top w:val="nil"/>
              <w:left w:val="nil"/>
              <w:bottom w:val="nil"/>
              <w:right w:val="nil"/>
            </w:tcBorders>
            <w:noWrap/>
            <w:vAlign w:val="center"/>
          </w:tcPr>
          <w:p w:rsidR="00D53A04" w:rsidRPr="00EB2995" w:rsidRDefault="00D53A04" w:rsidP="00D53A04">
            <w:pPr>
              <w:jc w:val="right"/>
              <w:rPr>
                <w:rFonts w:cs="Calibri"/>
                <w:color w:val="000000"/>
              </w:rPr>
            </w:pPr>
            <w:r w:rsidRPr="00EB2995">
              <w:rPr>
                <w:rFonts w:cs="Calibri"/>
                <w:color w:val="000000"/>
              </w:rPr>
              <w:t>(39.8)</w:t>
            </w:r>
          </w:p>
        </w:tc>
        <w:tc>
          <w:tcPr>
            <w:tcW w:w="1079" w:type="dxa"/>
            <w:tcBorders>
              <w:top w:val="nil"/>
              <w:left w:val="nil"/>
              <w:bottom w:val="nil"/>
              <w:right w:val="single" w:sz="8" w:space="0" w:color="auto"/>
            </w:tcBorders>
            <w:noWrap/>
            <w:vAlign w:val="center"/>
          </w:tcPr>
          <w:p w:rsidR="00D53A04" w:rsidRPr="00EB2995" w:rsidRDefault="00D53A04" w:rsidP="00D53A04">
            <w:pPr>
              <w:jc w:val="right"/>
              <w:rPr>
                <w:rFonts w:cs="Calibri"/>
                <w:color w:val="000000"/>
              </w:rPr>
            </w:pPr>
            <w:r w:rsidRPr="00EB2995">
              <w:rPr>
                <w:rFonts w:cs="Calibri"/>
                <w:color w:val="000000"/>
              </w:rPr>
              <w:t>(39.8)</w:t>
            </w:r>
          </w:p>
        </w:tc>
      </w:tr>
      <w:tr w:rsidR="00D53A04" w:rsidRPr="00EB2995" w:rsidTr="00D53A04">
        <w:trPr>
          <w:trHeight w:val="510"/>
        </w:trPr>
        <w:tc>
          <w:tcPr>
            <w:tcW w:w="1160" w:type="dxa"/>
            <w:tcBorders>
              <w:top w:val="nil"/>
              <w:left w:val="single" w:sz="8" w:space="0" w:color="auto"/>
              <w:bottom w:val="nil"/>
              <w:right w:val="nil"/>
            </w:tcBorders>
            <w:noWrap/>
            <w:vAlign w:val="center"/>
          </w:tcPr>
          <w:p w:rsidR="00D53A04" w:rsidRPr="00EB2995" w:rsidRDefault="00D53A04" w:rsidP="00D53A04">
            <w:pPr>
              <w:jc w:val="right"/>
              <w:rPr>
                <w:rFonts w:cs="Calibri"/>
                <w:color w:val="000000"/>
              </w:rPr>
            </w:pPr>
            <w:r w:rsidRPr="00EB2995">
              <w:rPr>
                <w:rFonts w:cs="Calibri"/>
                <w:color w:val="000000"/>
              </w:rPr>
              <w:t>0</w:t>
            </w:r>
          </w:p>
        </w:tc>
        <w:tc>
          <w:tcPr>
            <w:tcW w:w="1280" w:type="dxa"/>
            <w:tcBorders>
              <w:top w:val="nil"/>
              <w:left w:val="nil"/>
              <w:bottom w:val="nil"/>
              <w:right w:val="nil"/>
            </w:tcBorders>
            <w:noWrap/>
            <w:vAlign w:val="center"/>
          </w:tcPr>
          <w:p w:rsidR="00D53A04" w:rsidRPr="00EB2995" w:rsidRDefault="00D53A04" w:rsidP="00D53A04">
            <w:pPr>
              <w:jc w:val="right"/>
              <w:rPr>
                <w:rFonts w:cs="Calibri"/>
                <w:color w:val="000000"/>
              </w:rPr>
            </w:pPr>
            <w:r w:rsidRPr="00EB2995">
              <w:rPr>
                <w:rFonts w:cs="Calibri"/>
                <w:color w:val="000000"/>
              </w:rPr>
              <w:t>(7.7)</w:t>
            </w:r>
          </w:p>
        </w:tc>
        <w:tc>
          <w:tcPr>
            <w:tcW w:w="1155" w:type="dxa"/>
            <w:tcBorders>
              <w:top w:val="nil"/>
              <w:left w:val="nil"/>
              <w:bottom w:val="nil"/>
              <w:right w:val="single" w:sz="8" w:space="0" w:color="auto"/>
            </w:tcBorders>
            <w:noWrap/>
            <w:vAlign w:val="center"/>
          </w:tcPr>
          <w:p w:rsidR="00D53A04" w:rsidRPr="00EB2995" w:rsidRDefault="00D53A04" w:rsidP="00D53A04">
            <w:pPr>
              <w:jc w:val="right"/>
              <w:rPr>
                <w:rFonts w:cs="Calibri"/>
                <w:color w:val="000000"/>
              </w:rPr>
            </w:pPr>
            <w:r w:rsidRPr="00EB2995">
              <w:rPr>
                <w:rFonts w:cs="Calibri"/>
                <w:color w:val="000000"/>
              </w:rPr>
              <w:t>(7.7)</w:t>
            </w:r>
          </w:p>
        </w:tc>
        <w:tc>
          <w:tcPr>
            <w:tcW w:w="3266" w:type="dxa"/>
            <w:tcBorders>
              <w:top w:val="nil"/>
              <w:left w:val="nil"/>
              <w:bottom w:val="nil"/>
              <w:right w:val="nil"/>
            </w:tcBorders>
            <w:vAlign w:val="center"/>
          </w:tcPr>
          <w:p w:rsidR="00D53A04" w:rsidRPr="00EB2995" w:rsidRDefault="00D53A04" w:rsidP="00D53A04">
            <w:pPr>
              <w:rPr>
                <w:rFonts w:cs="Calibri"/>
                <w:color w:val="000000"/>
              </w:rPr>
            </w:pPr>
            <w:r w:rsidRPr="00EB2995">
              <w:rPr>
                <w:rFonts w:cs="Calibri"/>
                <w:color w:val="000000"/>
              </w:rPr>
              <w:t>Past Service cost and gains/losses on curtailments</w:t>
            </w:r>
          </w:p>
        </w:tc>
        <w:tc>
          <w:tcPr>
            <w:tcW w:w="1060" w:type="dxa"/>
            <w:tcBorders>
              <w:top w:val="nil"/>
              <w:left w:val="single" w:sz="8" w:space="0" w:color="auto"/>
              <w:bottom w:val="nil"/>
              <w:right w:val="nil"/>
            </w:tcBorders>
            <w:noWrap/>
            <w:vAlign w:val="center"/>
          </w:tcPr>
          <w:p w:rsidR="00D53A04" w:rsidRPr="00EB2995" w:rsidRDefault="00D53A04" w:rsidP="00D53A04">
            <w:pPr>
              <w:jc w:val="right"/>
              <w:rPr>
                <w:rFonts w:cs="Calibri"/>
                <w:color w:val="000000"/>
              </w:rPr>
            </w:pPr>
            <w:r w:rsidRPr="00EB2995">
              <w:rPr>
                <w:rFonts w:cs="Calibri"/>
                <w:color w:val="000000"/>
              </w:rPr>
              <w:t>0</w:t>
            </w:r>
          </w:p>
        </w:tc>
        <w:tc>
          <w:tcPr>
            <w:tcW w:w="1259" w:type="dxa"/>
            <w:tcBorders>
              <w:top w:val="nil"/>
              <w:left w:val="nil"/>
              <w:bottom w:val="nil"/>
              <w:right w:val="nil"/>
            </w:tcBorders>
            <w:noWrap/>
            <w:vAlign w:val="center"/>
          </w:tcPr>
          <w:p w:rsidR="00D53A04" w:rsidRPr="00EB2995" w:rsidRDefault="00D53A04" w:rsidP="00D53A04">
            <w:pPr>
              <w:jc w:val="right"/>
              <w:rPr>
                <w:rFonts w:cs="Calibri"/>
                <w:color w:val="000000"/>
              </w:rPr>
            </w:pPr>
            <w:r w:rsidRPr="00EB2995">
              <w:rPr>
                <w:rFonts w:cs="Calibri"/>
                <w:color w:val="000000"/>
              </w:rPr>
              <w:t>(1.3)</w:t>
            </w:r>
          </w:p>
        </w:tc>
        <w:tc>
          <w:tcPr>
            <w:tcW w:w="1079" w:type="dxa"/>
            <w:tcBorders>
              <w:top w:val="nil"/>
              <w:left w:val="nil"/>
              <w:bottom w:val="nil"/>
              <w:right w:val="single" w:sz="8" w:space="0" w:color="auto"/>
            </w:tcBorders>
            <w:noWrap/>
            <w:vAlign w:val="center"/>
          </w:tcPr>
          <w:p w:rsidR="00D53A04" w:rsidRPr="00EB2995" w:rsidRDefault="00D53A04" w:rsidP="00D53A04">
            <w:pPr>
              <w:jc w:val="right"/>
              <w:rPr>
                <w:rFonts w:cs="Calibri"/>
                <w:color w:val="000000"/>
              </w:rPr>
            </w:pPr>
            <w:r w:rsidRPr="00EB2995">
              <w:rPr>
                <w:rFonts w:cs="Calibri"/>
                <w:color w:val="000000"/>
              </w:rPr>
              <w:t>(1.3)</w:t>
            </w:r>
          </w:p>
        </w:tc>
      </w:tr>
      <w:tr w:rsidR="00D53A04" w:rsidRPr="00EB2995" w:rsidTr="00D53A04">
        <w:trPr>
          <w:trHeight w:val="300"/>
        </w:trPr>
        <w:tc>
          <w:tcPr>
            <w:tcW w:w="1160" w:type="dxa"/>
            <w:tcBorders>
              <w:top w:val="nil"/>
              <w:left w:val="single" w:sz="8" w:space="0" w:color="auto"/>
              <w:bottom w:val="nil"/>
              <w:right w:val="nil"/>
            </w:tcBorders>
            <w:noWrap/>
            <w:vAlign w:val="center"/>
          </w:tcPr>
          <w:p w:rsidR="00D53A04" w:rsidRPr="00EB2995" w:rsidRDefault="00D53A04" w:rsidP="00D53A04">
            <w:pPr>
              <w:jc w:val="right"/>
              <w:rPr>
                <w:rFonts w:cs="Calibri"/>
                <w:color w:val="000000"/>
              </w:rPr>
            </w:pPr>
            <w:r w:rsidRPr="00EB2995">
              <w:rPr>
                <w:rFonts w:cs="Calibri"/>
                <w:color w:val="000000"/>
              </w:rPr>
              <w:t>18.4</w:t>
            </w:r>
          </w:p>
        </w:tc>
        <w:tc>
          <w:tcPr>
            <w:tcW w:w="1280" w:type="dxa"/>
            <w:tcBorders>
              <w:top w:val="nil"/>
              <w:left w:val="nil"/>
              <w:bottom w:val="nil"/>
              <w:right w:val="nil"/>
            </w:tcBorders>
            <w:noWrap/>
            <w:vAlign w:val="center"/>
          </w:tcPr>
          <w:p w:rsidR="00D53A04" w:rsidRPr="00EB2995" w:rsidRDefault="00D53A04" w:rsidP="00D53A04">
            <w:pPr>
              <w:jc w:val="right"/>
              <w:rPr>
                <w:rFonts w:cs="Calibri"/>
                <w:color w:val="000000"/>
              </w:rPr>
            </w:pPr>
            <w:r w:rsidRPr="00EB2995">
              <w:rPr>
                <w:rFonts w:cs="Calibri"/>
                <w:color w:val="000000"/>
              </w:rPr>
              <w:t>(40.3)</w:t>
            </w:r>
          </w:p>
        </w:tc>
        <w:tc>
          <w:tcPr>
            <w:tcW w:w="1155" w:type="dxa"/>
            <w:tcBorders>
              <w:top w:val="nil"/>
              <w:left w:val="nil"/>
              <w:bottom w:val="nil"/>
              <w:right w:val="single" w:sz="8" w:space="0" w:color="auto"/>
            </w:tcBorders>
            <w:noWrap/>
            <w:vAlign w:val="center"/>
          </w:tcPr>
          <w:p w:rsidR="00D53A04" w:rsidRPr="00EB2995" w:rsidRDefault="00D53A04" w:rsidP="00D53A04">
            <w:pPr>
              <w:jc w:val="right"/>
              <w:rPr>
                <w:rFonts w:cs="Calibri"/>
                <w:color w:val="000000"/>
              </w:rPr>
            </w:pPr>
            <w:r w:rsidRPr="00EB2995">
              <w:rPr>
                <w:rFonts w:cs="Calibri"/>
                <w:color w:val="000000"/>
              </w:rPr>
              <w:t>(21.9)</w:t>
            </w:r>
          </w:p>
        </w:tc>
        <w:tc>
          <w:tcPr>
            <w:tcW w:w="3266" w:type="dxa"/>
            <w:tcBorders>
              <w:top w:val="nil"/>
              <w:left w:val="nil"/>
              <w:bottom w:val="nil"/>
              <w:right w:val="nil"/>
            </w:tcBorders>
            <w:vAlign w:val="center"/>
          </w:tcPr>
          <w:p w:rsidR="00D53A04" w:rsidRPr="00EB2995" w:rsidRDefault="00D53A04" w:rsidP="00D53A04">
            <w:pPr>
              <w:rPr>
                <w:rFonts w:cs="Calibri"/>
                <w:color w:val="000000"/>
              </w:rPr>
            </w:pPr>
            <w:r w:rsidRPr="00EB2995">
              <w:rPr>
                <w:rFonts w:cs="Calibri"/>
                <w:color w:val="000000"/>
              </w:rPr>
              <w:t>Interest Income and Expense</w:t>
            </w:r>
          </w:p>
        </w:tc>
        <w:tc>
          <w:tcPr>
            <w:tcW w:w="1060" w:type="dxa"/>
            <w:tcBorders>
              <w:top w:val="nil"/>
              <w:left w:val="single" w:sz="8" w:space="0" w:color="auto"/>
              <w:bottom w:val="nil"/>
              <w:right w:val="nil"/>
            </w:tcBorders>
            <w:noWrap/>
            <w:vAlign w:val="center"/>
          </w:tcPr>
          <w:p w:rsidR="00D53A04" w:rsidRPr="00EB2995" w:rsidRDefault="00D53A04" w:rsidP="00D53A04">
            <w:pPr>
              <w:jc w:val="right"/>
              <w:rPr>
                <w:rFonts w:cs="Calibri"/>
                <w:color w:val="000000"/>
              </w:rPr>
            </w:pPr>
            <w:r w:rsidRPr="00EB2995">
              <w:rPr>
                <w:rFonts w:cs="Calibri"/>
                <w:color w:val="000000"/>
              </w:rPr>
              <w:t>18.1</w:t>
            </w:r>
          </w:p>
        </w:tc>
        <w:tc>
          <w:tcPr>
            <w:tcW w:w="1259" w:type="dxa"/>
            <w:tcBorders>
              <w:top w:val="nil"/>
              <w:left w:val="nil"/>
              <w:bottom w:val="nil"/>
              <w:right w:val="nil"/>
            </w:tcBorders>
            <w:noWrap/>
            <w:vAlign w:val="center"/>
          </w:tcPr>
          <w:p w:rsidR="00D53A04" w:rsidRPr="00EB2995" w:rsidRDefault="00D53A04" w:rsidP="00D53A04">
            <w:pPr>
              <w:jc w:val="right"/>
              <w:rPr>
                <w:rFonts w:cs="Calibri"/>
                <w:color w:val="000000"/>
              </w:rPr>
            </w:pPr>
            <w:r w:rsidRPr="00EB2995">
              <w:rPr>
                <w:rFonts w:cs="Calibri"/>
                <w:color w:val="000000"/>
              </w:rPr>
              <w:t>(40.4)</w:t>
            </w:r>
          </w:p>
        </w:tc>
        <w:tc>
          <w:tcPr>
            <w:tcW w:w="1079" w:type="dxa"/>
            <w:tcBorders>
              <w:top w:val="nil"/>
              <w:left w:val="nil"/>
              <w:bottom w:val="nil"/>
              <w:right w:val="single" w:sz="8" w:space="0" w:color="auto"/>
            </w:tcBorders>
            <w:noWrap/>
            <w:vAlign w:val="center"/>
          </w:tcPr>
          <w:p w:rsidR="00D53A04" w:rsidRPr="00EB2995" w:rsidRDefault="00D53A04" w:rsidP="00D53A04">
            <w:pPr>
              <w:jc w:val="right"/>
              <w:rPr>
                <w:rFonts w:cs="Calibri"/>
                <w:color w:val="000000"/>
              </w:rPr>
            </w:pPr>
            <w:r w:rsidRPr="00EB2995">
              <w:rPr>
                <w:rFonts w:cs="Calibri"/>
                <w:color w:val="000000"/>
              </w:rPr>
              <w:t>(22.3)</w:t>
            </w:r>
          </w:p>
        </w:tc>
      </w:tr>
      <w:tr w:rsidR="00D53A04" w:rsidRPr="00EB2995" w:rsidTr="00D53A04">
        <w:trPr>
          <w:trHeight w:val="300"/>
        </w:trPr>
        <w:tc>
          <w:tcPr>
            <w:tcW w:w="1160" w:type="dxa"/>
            <w:tcBorders>
              <w:top w:val="nil"/>
              <w:left w:val="single" w:sz="8" w:space="0" w:color="auto"/>
              <w:bottom w:val="nil"/>
              <w:right w:val="nil"/>
            </w:tcBorders>
            <w:noWrap/>
            <w:vAlign w:val="center"/>
          </w:tcPr>
          <w:p w:rsidR="00D53A04" w:rsidRPr="00EB2995" w:rsidRDefault="00D53A04" w:rsidP="00D53A04">
            <w:pPr>
              <w:rPr>
                <w:rFonts w:cs="Calibri"/>
                <w:color w:val="000000"/>
              </w:rPr>
            </w:pPr>
          </w:p>
        </w:tc>
        <w:tc>
          <w:tcPr>
            <w:tcW w:w="1280" w:type="dxa"/>
            <w:tcBorders>
              <w:top w:val="nil"/>
              <w:left w:val="nil"/>
              <w:bottom w:val="nil"/>
              <w:right w:val="nil"/>
            </w:tcBorders>
            <w:noWrap/>
            <w:vAlign w:val="center"/>
          </w:tcPr>
          <w:p w:rsidR="00D53A04" w:rsidRPr="00EB2995" w:rsidRDefault="00D53A04" w:rsidP="00D53A04">
            <w:pPr>
              <w:rPr>
                <w:rFonts w:cs="Calibri"/>
                <w:color w:val="000000"/>
              </w:rPr>
            </w:pPr>
          </w:p>
        </w:tc>
        <w:tc>
          <w:tcPr>
            <w:tcW w:w="1155" w:type="dxa"/>
            <w:tcBorders>
              <w:top w:val="nil"/>
              <w:left w:val="nil"/>
              <w:bottom w:val="nil"/>
              <w:right w:val="single" w:sz="8" w:space="0" w:color="auto"/>
            </w:tcBorders>
            <w:noWrap/>
            <w:vAlign w:val="center"/>
          </w:tcPr>
          <w:p w:rsidR="00D53A04" w:rsidRPr="00EB2995" w:rsidRDefault="00D53A04" w:rsidP="00D53A04">
            <w:pPr>
              <w:rPr>
                <w:rFonts w:cs="Calibri"/>
                <w:color w:val="000000"/>
              </w:rPr>
            </w:pPr>
          </w:p>
        </w:tc>
        <w:tc>
          <w:tcPr>
            <w:tcW w:w="3266" w:type="dxa"/>
            <w:tcBorders>
              <w:top w:val="nil"/>
              <w:left w:val="nil"/>
              <w:bottom w:val="nil"/>
              <w:right w:val="nil"/>
            </w:tcBorders>
            <w:vAlign w:val="center"/>
          </w:tcPr>
          <w:p w:rsidR="00D53A04" w:rsidRPr="00EB2995" w:rsidRDefault="00D53A04" w:rsidP="00D53A04">
            <w:pPr>
              <w:rPr>
                <w:rFonts w:cs="Calibri"/>
                <w:b/>
                <w:bCs/>
                <w:color w:val="000000"/>
              </w:rPr>
            </w:pPr>
          </w:p>
        </w:tc>
        <w:tc>
          <w:tcPr>
            <w:tcW w:w="1060" w:type="dxa"/>
            <w:tcBorders>
              <w:top w:val="nil"/>
              <w:left w:val="single" w:sz="8" w:space="0" w:color="auto"/>
              <w:bottom w:val="nil"/>
              <w:right w:val="nil"/>
            </w:tcBorders>
            <w:noWrap/>
            <w:vAlign w:val="center"/>
          </w:tcPr>
          <w:p w:rsidR="00D53A04" w:rsidRPr="00EB2995" w:rsidRDefault="00D53A04" w:rsidP="00D53A04">
            <w:pPr>
              <w:rPr>
                <w:rFonts w:cs="Calibri"/>
                <w:color w:val="000000"/>
              </w:rPr>
            </w:pPr>
          </w:p>
        </w:tc>
        <w:tc>
          <w:tcPr>
            <w:tcW w:w="1259" w:type="dxa"/>
            <w:tcBorders>
              <w:top w:val="nil"/>
              <w:left w:val="nil"/>
              <w:bottom w:val="nil"/>
              <w:right w:val="nil"/>
            </w:tcBorders>
            <w:noWrap/>
            <w:vAlign w:val="center"/>
          </w:tcPr>
          <w:p w:rsidR="00D53A04" w:rsidRPr="00EB2995" w:rsidRDefault="00D53A04" w:rsidP="00D53A04">
            <w:pPr>
              <w:rPr>
                <w:rFonts w:cs="Calibri"/>
                <w:color w:val="000000"/>
              </w:rPr>
            </w:pPr>
          </w:p>
        </w:tc>
        <w:tc>
          <w:tcPr>
            <w:tcW w:w="1079" w:type="dxa"/>
            <w:tcBorders>
              <w:top w:val="nil"/>
              <w:left w:val="nil"/>
              <w:bottom w:val="nil"/>
              <w:right w:val="single" w:sz="8" w:space="0" w:color="auto"/>
            </w:tcBorders>
            <w:noWrap/>
            <w:vAlign w:val="center"/>
          </w:tcPr>
          <w:p w:rsidR="00D53A04" w:rsidRPr="00EB2995" w:rsidRDefault="00D53A04" w:rsidP="00D53A04">
            <w:pPr>
              <w:rPr>
                <w:rFonts w:cs="Calibri"/>
                <w:color w:val="000000"/>
              </w:rPr>
            </w:pPr>
          </w:p>
        </w:tc>
      </w:tr>
      <w:tr w:rsidR="00D53A04" w:rsidRPr="00EB2995" w:rsidTr="00D53A04">
        <w:trPr>
          <w:trHeight w:val="300"/>
        </w:trPr>
        <w:tc>
          <w:tcPr>
            <w:tcW w:w="1160" w:type="dxa"/>
            <w:tcBorders>
              <w:top w:val="nil"/>
              <w:left w:val="single" w:sz="8" w:space="0" w:color="auto"/>
              <w:bottom w:val="nil"/>
              <w:right w:val="nil"/>
            </w:tcBorders>
            <w:noWrap/>
            <w:vAlign w:val="center"/>
          </w:tcPr>
          <w:p w:rsidR="00D53A04" w:rsidRPr="00EB2995" w:rsidRDefault="00D53A04" w:rsidP="00D53A04">
            <w:pPr>
              <w:rPr>
                <w:rFonts w:cs="Calibri"/>
                <w:color w:val="000000"/>
              </w:rPr>
            </w:pPr>
          </w:p>
        </w:tc>
        <w:tc>
          <w:tcPr>
            <w:tcW w:w="1280" w:type="dxa"/>
            <w:tcBorders>
              <w:top w:val="nil"/>
              <w:left w:val="nil"/>
              <w:bottom w:val="nil"/>
              <w:right w:val="nil"/>
            </w:tcBorders>
            <w:noWrap/>
            <w:vAlign w:val="center"/>
          </w:tcPr>
          <w:p w:rsidR="00D53A04" w:rsidRPr="00EB2995" w:rsidRDefault="00D53A04" w:rsidP="00D53A04">
            <w:pPr>
              <w:rPr>
                <w:rFonts w:cs="Calibri"/>
                <w:color w:val="000000"/>
              </w:rPr>
            </w:pPr>
          </w:p>
        </w:tc>
        <w:tc>
          <w:tcPr>
            <w:tcW w:w="1155" w:type="dxa"/>
            <w:tcBorders>
              <w:top w:val="nil"/>
              <w:left w:val="nil"/>
              <w:bottom w:val="nil"/>
              <w:right w:val="single" w:sz="8" w:space="0" w:color="auto"/>
            </w:tcBorders>
            <w:noWrap/>
            <w:vAlign w:val="center"/>
          </w:tcPr>
          <w:p w:rsidR="00D53A04" w:rsidRPr="00EB2995" w:rsidRDefault="00D53A04" w:rsidP="00D53A04">
            <w:pPr>
              <w:rPr>
                <w:rFonts w:cs="Calibri"/>
                <w:color w:val="000000"/>
              </w:rPr>
            </w:pPr>
          </w:p>
        </w:tc>
        <w:tc>
          <w:tcPr>
            <w:tcW w:w="3266" w:type="dxa"/>
            <w:tcBorders>
              <w:top w:val="nil"/>
              <w:left w:val="nil"/>
              <w:bottom w:val="nil"/>
              <w:right w:val="nil"/>
            </w:tcBorders>
            <w:vAlign w:val="center"/>
          </w:tcPr>
          <w:p w:rsidR="00D53A04" w:rsidRPr="00EB2995" w:rsidRDefault="00D53A04" w:rsidP="00D53A04">
            <w:pPr>
              <w:rPr>
                <w:rFonts w:cs="Calibri"/>
                <w:b/>
                <w:bCs/>
                <w:color w:val="000000"/>
              </w:rPr>
            </w:pPr>
            <w:r w:rsidRPr="00EB2995">
              <w:rPr>
                <w:rFonts w:cs="Calibri"/>
                <w:b/>
                <w:bCs/>
                <w:color w:val="000000"/>
              </w:rPr>
              <w:t>Re-measurements</w:t>
            </w:r>
          </w:p>
        </w:tc>
        <w:tc>
          <w:tcPr>
            <w:tcW w:w="1060" w:type="dxa"/>
            <w:tcBorders>
              <w:top w:val="nil"/>
              <w:left w:val="single" w:sz="8" w:space="0" w:color="auto"/>
              <w:bottom w:val="nil"/>
              <w:right w:val="nil"/>
            </w:tcBorders>
            <w:noWrap/>
            <w:vAlign w:val="center"/>
          </w:tcPr>
          <w:p w:rsidR="00D53A04" w:rsidRPr="00EB2995" w:rsidRDefault="00D53A04" w:rsidP="00D53A04">
            <w:pPr>
              <w:rPr>
                <w:rFonts w:cs="Calibri"/>
                <w:color w:val="000000"/>
              </w:rPr>
            </w:pPr>
          </w:p>
        </w:tc>
        <w:tc>
          <w:tcPr>
            <w:tcW w:w="1259" w:type="dxa"/>
            <w:tcBorders>
              <w:top w:val="nil"/>
              <w:left w:val="nil"/>
              <w:bottom w:val="nil"/>
              <w:right w:val="nil"/>
            </w:tcBorders>
            <w:noWrap/>
            <w:vAlign w:val="center"/>
          </w:tcPr>
          <w:p w:rsidR="00D53A04" w:rsidRPr="00EB2995" w:rsidRDefault="00D53A04" w:rsidP="00D53A04">
            <w:pPr>
              <w:rPr>
                <w:rFonts w:cs="Calibri"/>
                <w:color w:val="000000"/>
              </w:rPr>
            </w:pPr>
          </w:p>
        </w:tc>
        <w:tc>
          <w:tcPr>
            <w:tcW w:w="1079" w:type="dxa"/>
            <w:tcBorders>
              <w:top w:val="nil"/>
              <w:left w:val="nil"/>
              <w:bottom w:val="nil"/>
              <w:right w:val="single" w:sz="8" w:space="0" w:color="auto"/>
            </w:tcBorders>
            <w:noWrap/>
            <w:vAlign w:val="center"/>
          </w:tcPr>
          <w:p w:rsidR="00D53A04" w:rsidRPr="00EB2995" w:rsidRDefault="00D53A04" w:rsidP="00D53A04">
            <w:pPr>
              <w:rPr>
                <w:rFonts w:cs="Calibri"/>
                <w:color w:val="000000"/>
              </w:rPr>
            </w:pPr>
          </w:p>
        </w:tc>
      </w:tr>
      <w:tr w:rsidR="00D53A04" w:rsidRPr="00EB2995" w:rsidTr="00D53A04">
        <w:trPr>
          <w:trHeight w:val="300"/>
        </w:trPr>
        <w:tc>
          <w:tcPr>
            <w:tcW w:w="1160" w:type="dxa"/>
            <w:tcBorders>
              <w:top w:val="nil"/>
              <w:left w:val="single" w:sz="8" w:space="0" w:color="auto"/>
              <w:bottom w:val="nil"/>
              <w:right w:val="nil"/>
            </w:tcBorders>
            <w:noWrap/>
            <w:vAlign w:val="center"/>
          </w:tcPr>
          <w:p w:rsidR="00D53A04" w:rsidRPr="00EB2995" w:rsidRDefault="00D53A04" w:rsidP="00D53A04">
            <w:pPr>
              <w:jc w:val="right"/>
              <w:rPr>
                <w:rFonts w:cs="Calibri"/>
                <w:color w:val="000000"/>
              </w:rPr>
            </w:pPr>
            <w:r w:rsidRPr="00EB2995">
              <w:rPr>
                <w:rFonts w:cs="Calibri"/>
                <w:color w:val="000000"/>
              </w:rPr>
              <w:t>32.3</w:t>
            </w:r>
          </w:p>
        </w:tc>
        <w:tc>
          <w:tcPr>
            <w:tcW w:w="1280" w:type="dxa"/>
            <w:tcBorders>
              <w:top w:val="nil"/>
              <w:left w:val="nil"/>
              <w:bottom w:val="nil"/>
              <w:right w:val="nil"/>
            </w:tcBorders>
            <w:noWrap/>
            <w:vAlign w:val="center"/>
          </w:tcPr>
          <w:p w:rsidR="00D53A04" w:rsidRPr="00EB2995" w:rsidRDefault="00D53A04" w:rsidP="00D53A04">
            <w:pPr>
              <w:jc w:val="right"/>
              <w:rPr>
                <w:rFonts w:cs="Calibri"/>
                <w:color w:val="000000"/>
              </w:rPr>
            </w:pPr>
            <w:r w:rsidRPr="00EB2995">
              <w:rPr>
                <w:rFonts w:cs="Calibri"/>
                <w:color w:val="000000"/>
              </w:rPr>
              <w:t>(2.2)</w:t>
            </w:r>
          </w:p>
        </w:tc>
        <w:tc>
          <w:tcPr>
            <w:tcW w:w="1155" w:type="dxa"/>
            <w:tcBorders>
              <w:top w:val="nil"/>
              <w:left w:val="nil"/>
              <w:bottom w:val="nil"/>
              <w:right w:val="single" w:sz="8" w:space="0" w:color="auto"/>
            </w:tcBorders>
            <w:noWrap/>
            <w:vAlign w:val="center"/>
          </w:tcPr>
          <w:p w:rsidR="00D53A04" w:rsidRPr="00EB2995" w:rsidRDefault="00D53A04" w:rsidP="00D53A04">
            <w:pPr>
              <w:jc w:val="right"/>
              <w:rPr>
                <w:rFonts w:cs="Calibri"/>
                <w:color w:val="000000"/>
              </w:rPr>
            </w:pPr>
            <w:r w:rsidRPr="00EB2995">
              <w:rPr>
                <w:rFonts w:cs="Calibri"/>
                <w:color w:val="000000"/>
              </w:rPr>
              <w:t>30.1</w:t>
            </w:r>
          </w:p>
        </w:tc>
        <w:tc>
          <w:tcPr>
            <w:tcW w:w="3266" w:type="dxa"/>
            <w:tcBorders>
              <w:top w:val="nil"/>
              <w:left w:val="nil"/>
              <w:bottom w:val="nil"/>
              <w:right w:val="nil"/>
            </w:tcBorders>
            <w:vAlign w:val="center"/>
          </w:tcPr>
          <w:p w:rsidR="00D53A04" w:rsidRPr="00EB2995" w:rsidRDefault="00D53A04" w:rsidP="00D53A04">
            <w:pPr>
              <w:rPr>
                <w:rFonts w:cs="Calibri"/>
                <w:color w:val="000000"/>
              </w:rPr>
            </w:pPr>
            <w:r w:rsidRPr="00EB2995">
              <w:rPr>
                <w:rFonts w:cs="Calibri"/>
                <w:color w:val="000000"/>
              </w:rPr>
              <w:t>Return on Plan Assets</w:t>
            </w:r>
          </w:p>
        </w:tc>
        <w:tc>
          <w:tcPr>
            <w:tcW w:w="1060" w:type="dxa"/>
            <w:tcBorders>
              <w:top w:val="nil"/>
              <w:left w:val="single" w:sz="8" w:space="0" w:color="auto"/>
              <w:bottom w:val="nil"/>
              <w:right w:val="nil"/>
            </w:tcBorders>
            <w:noWrap/>
            <w:vAlign w:val="center"/>
          </w:tcPr>
          <w:p w:rsidR="00D53A04" w:rsidRPr="00EB2995" w:rsidRDefault="00D53A04" w:rsidP="00D53A04">
            <w:pPr>
              <w:jc w:val="right"/>
              <w:rPr>
                <w:rFonts w:cs="Calibri"/>
                <w:color w:val="000000"/>
              </w:rPr>
            </w:pPr>
            <w:r w:rsidRPr="00EB2995">
              <w:rPr>
                <w:rFonts w:cs="Calibri"/>
                <w:color w:val="000000"/>
              </w:rPr>
              <w:t>(45.6)</w:t>
            </w:r>
          </w:p>
        </w:tc>
        <w:tc>
          <w:tcPr>
            <w:tcW w:w="1259" w:type="dxa"/>
            <w:tcBorders>
              <w:top w:val="nil"/>
              <w:left w:val="nil"/>
              <w:bottom w:val="nil"/>
              <w:right w:val="nil"/>
            </w:tcBorders>
            <w:noWrap/>
            <w:vAlign w:val="center"/>
          </w:tcPr>
          <w:p w:rsidR="00D53A04" w:rsidRPr="00EB2995" w:rsidRDefault="00D53A04" w:rsidP="00D53A04">
            <w:pPr>
              <w:jc w:val="right"/>
              <w:rPr>
                <w:rFonts w:cs="Calibri"/>
                <w:color w:val="000000"/>
              </w:rPr>
            </w:pPr>
            <w:r w:rsidRPr="00EB2995">
              <w:rPr>
                <w:rFonts w:cs="Calibri"/>
                <w:color w:val="000000"/>
              </w:rPr>
              <w:t>184.7</w:t>
            </w:r>
          </w:p>
        </w:tc>
        <w:tc>
          <w:tcPr>
            <w:tcW w:w="1079" w:type="dxa"/>
            <w:tcBorders>
              <w:top w:val="nil"/>
              <w:left w:val="nil"/>
              <w:bottom w:val="nil"/>
              <w:right w:val="single" w:sz="8" w:space="0" w:color="auto"/>
            </w:tcBorders>
            <w:noWrap/>
            <w:vAlign w:val="center"/>
          </w:tcPr>
          <w:p w:rsidR="00D53A04" w:rsidRPr="00EB2995" w:rsidRDefault="00D53A04" w:rsidP="00D53A04">
            <w:pPr>
              <w:jc w:val="right"/>
              <w:rPr>
                <w:rFonts w:cs="Calibri"/>
                <w:color w:val="000000"/>
              </w:rPr>
            </w:pPr>
            <w:r w:rsidRPr="00EB2995">
              <w:rPr>
                <w:rFonts w:cs="Calibri"/>
                <w:color w:val="000000"/>
              </w:rPr>
              <w:t>139.1</w:t>
            </w:r>
          </w:p>
        </w:tc>
      </w:tr>
      <w:tr w:rsidR="00D53A04" w:rsidRPr="00EB2995" w:rsidTr="00D53A04">
        <w:trPr>
          <w:trHeight w:val="765"/>
        </w:trPr>
        <w:tc>
          <w:tcPr>
            <w:tcW w:w="1160" w:type="dxa"/>
            <w:tcBorders>
              <w:top w:val="nil"/>
              <w:left w:val="single" w:sz="8" w:space="0" w:color="auto"/>
              <w:bottom w:val="nil"/>
              <w:right w:val="nil"/>
            </w:tcBorders>
            <w:noWrap/>
            <w:vAlign w:val="center"/>
          </w:tcPr>
          <w:p w:rsidR="00D53A04" w:rsidRPr="00EB2995" w:rsidRDefault="00D53A04" w:rsidP="00D53A04">
            <w:pPr>
              <w:jc w:val="right"/>
              <w:rPr>
                <w:rFonts w:cs="Calibri"/>
                <w:color w:val="000000"/>
              </w:rPr>
            </w:pPr>
            <w:r w:rsidRPr="00EB2995">
              <w:rPr>
                <w:rFonts w:cs="Calibri"/>
                <w:color w:val="000000"/>
              </w:rPr>
              <w:t>0</w:t>
            </w:r>
          </w:p>
        </w:tc>
        <w:tc>
          <w:tcPr>
            <w:tcW w:w="1280" w:type="dxa"/>
            <w:tcBorders>
              <w:top w:val="nil"/>
              <w:left w:val="nil"/>
              <w:bottom w:val="nil"/>
              <w:right w:val="nil"/>
            </w:tcBorders>
            <w:noWrap/>
            <w:vAlign w:val="center"/>
          </w:tcPr>
          <w:p w:rsidR="00D53A04" w:rsidRPr="00EB2995" w:rsidRDefault="00D53A04" w:rsidP="00D53A04">
            <w:pPr>
              <w:jc w:val="right"/>
              <w:rPr>
                <w:rFonts w:cs="Calibri"/>
                <w:color w:val="000000"/>
              </w:rPr>
            </w:pPr>
            <w:r w:rsidRPr="00EB2995">
              <w:rPr>
                <w:rFonts w:cs="Calibri"/>
                <w:color w:val="000000"/>
              </w:rPr>
              <w:t>0</w:t>
            </w:r>
          </w:p>
        </w:tc>
        <w:tc>
          <w:tcPr>
            <w:tcW w:w="1155" w:type="dxa"/>
            <w:tcBorders>
              <w:top w:val="nil"/>
              <w:left w:val="nil"/>
              <w:bottom w:val="nil"/>
              <w:right w:val="single" w:sz="8" w:space="0" w:color="auto"/>
            </w:tcBorders>
            <w:noWrap/>
            <w:vAlign w:val="center"/>
          </w:tcPr>
          <w:p w:rsidR="00D53A04" w:rsidRPr="00EB2995" w:rsidRDefault="00D53A04" w:rsidP="00D53A04">
            <w:pPr>
              <w:jc w:val="right"/>
              <w:rPr>
                <w:rFonts w:cs="Calibri"/>
                <w:color w:val="000000"/>
              </w:rPr>
            </w:pPr>
            <w:r w:rsidRPr="00EB2995">
              <w:rPr>
                <w:rFonts w:cs="Calibri"/>
                <w:color w:val="000000"/>
              </w:rPr>
              <w:t>0</w:t>
            </w:r>
          </w:p>
        </w:tc>
        <w:tc>
          <w:tcPr>
            <w:tcW w:w="3266" w:type="dxa"/>
            <w:tcBorders>
              <w:top w:val="nil"/>
              <w:left w:val="nil"/>
              <w:bottom w:val="nil"/>
              <w:right w:val="nil"/>
            </w:tcBorders>
            <w:vAlign w:val="center"/>
          </w:tcPr>
          <w:p w:rsidR="00D53A04" w:rsidRPr="00EB2995" w:rsidRDefault="00D53A04" w:rsidP="00D53A04">
            <w:pPr>
              <w:rPr>
                <w:rFonts w:cs="Calibri"/>
                <w:color w:val="000000"/>
              </w:rPr>
            </w:pPr>
            <w:r w:rsidRPr="00EB2995">
              <w:rPr>
                <w:rFonts w:cs="Calibri"/>
                <w:color w:val="000000"/>
              </w:rPr>
              <w:t>Actuarial Gains and Losses arising from changes in demographic assumptions</w:t>
            </w:r>
          </w:p>
        </w:tc>
        <w:tc>
          <w:tcPr>
            <w:tcW w:w="1060" w:type="dxa"/>
            <w:tcBorders>
              <w:top w:val="nil"/>
              <w:left w:val="single" w:sz="8" w:space="0" w:color="auto"/>
              <w:bottom w:val="nil"/>
              <w:right w:val="nil"/>
            </w:tcBorders>
            <w:noWrap/>
            <w:vAlign w:val="center"/>
          </w:tcPr>
          <w:p w:rsidR="00D53A04" w:rsidRPr="00EB2995" w:rsidRDefault="00D53A04" w:rsidP="00D53A04">
            <w:pPr>
              <w:jc w:val="right"/>
              <w:rPr>
                <w:rFonts w:cs="Calibri"/>
                <w:color w:val="000000"/>
              </w:rPr>
            </w:pPr>
            <w:r w:rsidRPr="00EB2995">
              <w:rPr>
                <w:rFonts w:cs="Calibri"/>
                <w:color w:val="000000"/>
              </w:rPr>
              <w:t>0</w:t>
            </w:r>
          </w:p>
        </w:tc>
        <w:tc>
          <w:tcPr>
            <w:tcW w:w="1259" w:type="dxa"/>
            <w:tcBorders>
              <w:top w:val="nil"/>
              <w:left w:val="nil"/>
              <w:bottom w:val="nil"/>
              <w:right w:val="nil"/>
            </w:tcBorders>
            <w:noWrap/>
            <w:vAlign w:val="center"/>
          </w:tcPr>
          <w:p w:rsidR="00D53A04" w:rsidRPr="00EB2995" w:rsidRDefault="00D53A04" w:rsidP="00D53A04">
            <w:pPr>
              <w:jc w:val="right"/>
              <w:rPr>
                <w:rFonts w:cs="Calibri"/>
                <w:color w:val="000000"/>
              </w:rPr>
            </w:pPr>
            <w:r w:rsidRPr="00EB2995">
              <w:rPr>
                <w:rFonts w:cs="Calibri"/>
                <w:color w:val="000000"/>
              </w:rPr>
              <w:t>29.9</w:t>
            </w:r>
          </w:p>
        </w:tc>
        <w:tc>
          <w:tcPr>
            <w:tcW w:w="1079" w:type="dxa"/>
            <w:tcBorders>
              <w:top w:val="nil"/>
              <w:left w:val="nil"/>
              <w:bottom w:val="nil"/>
              <w:right w:val="single" w:sz="8" w:space="0" w:color="auto"/>
            </w:tcBorders>
            <w:noWrap/>
            <w:vAlign w:val="center"/>
          </w:tcPr>
          <w:p w:rsidR="00D53A04" w:rsidRPr="00EB2995" w:rsidRDefault="00D53A04" w:rsidP="00D53A04">
            <w:pPr>
              <w:jc w:val="right"/>
              <w:rPr>
                <w:rFonts w:cs="Calibri"/>
                <w:color w:val="000000"/>
              </w:rPr>
            </w:pPr>
            <w:r w:rsidRPr="00EB2995">
              <w:rPr>
                <w:rFonts w:cs="Calibri"/>
                <w:color w:val="000000"/>
              </w:rPr>
              <w:t>29.9</w:t>
            </w:r>
          </w:p>
        </w:tc>
      </w:tr>
      <w:tr w:rsidR="00D53A04" w:rsidRPr="00EB2995" w:rsidTr="00D53A04">
        <w:trPr>
          <w:trHeight w:val="510"/>
        </w:trPr>
        <w:tc>
          <w:tcPr>
            <w:tcW w:w="1160" w:type="dxa"/>
            <w:tcBorders>
              <w:top w:val="nil"/>
              <w:left w:val="single" w:sz="8" w:space="0" w:color="auto"/>
              <w:bottom w:val="nil"/>
              <w:right w:val="nil"/>
            </w:tcBorders>
            <w:noWrap/>
            <w:vAlign w:val="center"/>
          </w:tcPr>
          <w:p w:rsidR="00D53A04" w:rsidRPr="00EB2995" w:rsidRDefault="00D53A04" w:rsidP="00D53A04">
            <w:pPr>
              <w:jc w:val="right"/>
              <w:rPr>
                <w:rFonts w:cs="Calibri"/>
                <w:color w:val="000000"/>
              </w:rPr>
            </w:pPr>
            <w:r w:rsidRPr="00EB2995">
              <w:rPr>
                <w:rFonts w:cs="Calibri"/>
                <w:color w:val="000000"/>
              </w:rPr>
              <w:t>0</w:t>
            </w:r>
          </w:p>
        </w:tc>
        <w:tc>
          <w:tcPr>
            <w:tcW w:w="1280" w:type="dxa"/>
            <w:tcBorders>
              <w:top w:val="nil"/>
              <w:left w:val="nil"/>
              <w:bottom w:val="nil"/>
              <w:right w:val="nil"/>
            </w:tcBorders>
            <w:noWrap/>
            <w:vAlign w:val="center"/>
          </w:tcPr>
          <w:p w:rsidR="00D53A04" w:rsidRPr="00EB2995" w:rsidRDefault="00D53A04" w:rsidP="00D53A04">
            <w:pPr>
              <w:jc w:val="right"/>
              <w:rPr>
                <w:rFonts w:cs="Calibri"/>
                <w:color w:val="000000"/>
              </w:rPr>
            </w:pPr>
            <w:r w:rsidRPr="00EB2995">
              <w:rPr>
                <w:rFonts w:cs="Calibri"/>
                <w:color w:val="000000"/>
              </w:rPr>
              <w:t>(86.8)</w:t>
            </w:r>
          </w:p>
        </w:tc>
        <w:tc>
          <w:tcPr>
            <w:tcW w:w="1155" w:type="dxa"/>
            <w:tcBorders>
              <w:top w:val="nil"/>
              <w:left w:val="nil"/>
              <w:bottom w:val="nil"/>
              <w:right w:val="single" w:sz="8" w:space="0" w:color="auto"/>
            </w:tcBorders>
            <w:noWrap/>
            <w:vAlign w:val="center"/>
          </w:tcPr>
          <w:p w:rsidR="00D53A04" w:rsidRPr="00EB2995" w:rsidRDefault="00D53A04" w:rsidP="00D53A04">
            <w:pPr>
              <w:jc w:val="right"/>
              <w:rPr>
                <w:rFonts w:cs="Calibri"/>
                <w:color w:val="000000"/>
              </w:rPr>
            </w:pPr>
            <w:r w:rsidRPr="00EB2995">
              <w:rPr>
                <w:rFonts w:cs="Calibri"/>
                <w:color w:val="000000"/>
              </w:rPr>
              <w:t>(86.8)</w:t>
            </w:r>
          </w:p>
        </w:tc>
        <w:tc>
          <w:tcPr>
            <w:tcW w:w="3266" w:type="dxa"/>
            <w:tcBorders>
              <w:top w:val="nil"/>
              <w:left w:val="nil"/>
              <w:bottom w:val="nil"/>
              <w:right w:val="nil"/>
            </w:tcBorders>
            <w:vAlign w:val="center"/>
          </w:tcPr>
          <w:p w:rsidR="00D53A04" w:rsidRPr="00EB2995" w:rsidRDefault="00D53A04" w:rsidP="00D53A04">
            <w:pPr>
              <w:rPr>
                <w:rFonts w:cs="Calibri"/>
                <w:color w:val="000000"/>
              </w:rPr>
            </w:pPr>
            <w:r w:rsidRPr="00EB2995">
              <w:rPr>
                <w:rFonts w:cs="Calibri"/>
                <w:color w:val="000000"/>
              </w:rPr>
              <w:t>Actuarial Gains and Losses from changes in Financial Assumptions</w:t>
            </w:r>
          </w:p>
        </w:tc>
        <w:tc>
          <w:tcPr>
            <w:tcW w:w="1060" w:type="dxa"/>
            <w:tcBorders>
              <w:top w:val="nil"/>
              <w:left w:val="single" w:sz="8" w:space="0" w:color="auto"/>
              <w:bottom w:val="nil"/>
              <w:right w:val="nil"/>
            </w:tcBorders>
            <w:noWrap/>
            <w:vAlign w:val="center"/>
          </w:tcPr>
          <w:p w:rsidR="00D53A04" w:rsidRPr="00EB2995" w:rsidRDefault="00D53A04" w:rsidP="00D53A04">
            <w:pPr>
              <w:jc w:val="right"/>
              <w:rPr>
                <w:rFonts w:cs="Calibri"/>
                <w:color w:val="000000"/>
              </w:rPr>
            </w:pPr>
            <w:r w:rsidRPr="00EB2995">
              <w:rPr>
                <w:rFonts w:cs="Calibri"/>
                <w:color w:val="000000"/>
              </w:rPr>
              <w:t>0</w:t>
            </w:r>
          </w:p>
        </w:tc>
        <w:tc>
          <w:tcPr>
            <w:tcW w:w="1259" w:type="dxa"/>
            <w:tcBorders>
              <w:top w:val="nil"/>
              <w:left w:val="nil"/>
              <w:bottom w:val="nil"/>
              <w:right w:val="nil"/>
            </w:tcBorders>
            <w:noWrap/>
            <w:vAlign w:val="center"/>
          </w:tcPr>
          <w:p w:rsidR="00D53A04" w:rsidRPr="00EB2995" w:rsidRDefault="00D53A04" w:rsidP="00D53A04">
            <w:pPr>
              <w:jc w:val="right"/>
              <w:rPr>
                <w:rFonts w:cs="Calibri"/>
                <w:color w:val="000000"/>
              </w:rPr>
            </w:pPr>
            <w:r w:rsidRPr="00EB2995">
              <w:rPr>
                <w:rFonts w:cs="Calibri"/>
                <w:color w:val="000000"/>
              </w:rPr>
              <w:t>119.6</w:t>
            </w:r>
          </w:p>
        </w:tc>
        <w:tc>
          <w:tcPr>
            <w:tcW w:w="1079" w:type="dxa"/>
            <w:tcBorders>
              <w:top w:val="nil"/>
              <w:left w:val="nil"/>
              <w:bottom w:val="nil"/>
              <w:right w:val="single" w:sz="8" w:space="0" w:color="auto"/>
            </w:tcBorders>
            <w:noWrap/>
            <w:vAlign w:val="center"/>
          </w:tcPr>
          <w:p w:rsidR="00D53A04" w:rsidRPr="00EB2995" w:rsidRDefault="00D53A04" w:rsidP="00D53A04">
            <w:pPr>
              <w:jc w:val="right"/>
              <w:rPr>
                <w:rFonts w:cs="Calibri"/>
                <w:color w:val="000000"/>
              </w:rPr>
            </w:pPr>
            <w:r w:rsidRPr="00EB2995">
              <w:rPr>
                <w:rFonts w:cs="Calibri"/>
                <w:color w:val="000000"/>
              </w:rPr>
              <w:t>119.6</w:t>
            </w:r>
          </w:p>
        </w:tc>
      </w:tr>
      <w:tr w:rsidR="00D53A04" w:rsidRPr="00EB2995" w:rsidTr="00D53A04">
        <w:trPr>
          <w:trHeight w:val="300"/>
        </w:trPr>
        <w:tc>
          <w:tcPr>
            <w:tcW w:w="1160" w:type="dxa"/>
            <w:tcBorders>
              <w:top w:val="nil"/>
              <w:left w:val="single" w:sz="8" w:space="0" w:color="auto"/>
              <w:bottom w:val="nil"/>
              <w:right w:val="nil"/>
            </w:tcBorders>
            <w:noWrap/>
            <w:vAlign w:val="center"/>
          </w:tcPr>
          <w:p w:rsidR="00D53A04" w:rsidRPr="00EB2995" w:rsidRDefault="00D53A04" w:rsidP="00D53A04">
            <w:pPr>
              <w:rPr>
                <w:rFonts w:cs="Calibri"/>
                <w:color w:val="000000"/>
              </w:rPr>
            </w:pPr>
          </w:p>
        </w:tc>
        <w:tc>
          <w:tcPr>
            <w:tcW w:w="1280" w:type="dxa"/>
            <w:tcBorders>
              <w:top w:val="nil"/>
              <w:left w:val="nil"/>
              <w:bottom w:val="nil"/>
              <w:right w:val="nil"/>
            </w:tcBorders>
            <w:noWrap/>
            <w:vAlign w:val="center"/>
          </w:tcPr>
          <w:p w:rsidR="00D53A04" w:rsidRPr="00EB2995" w:rsidRDefault="00D53A04" w:rsidP="00D53A04">
            <w:pPr>
              <w:rPr>
                <w:rFonts w:cs="Calibri"/>
                <w:color w:val="000000"/>
              </w:rPr>
            </w:pPr>
          </w:p>
        </w:tc>
        <w:tc>
          <w:tcPr>
            <w:tcW w:w="1155" w:type="dxa"/>
            <w:tcBorders>
              <w:top w:val="nil"/>
              <w:left w:val="nil"/>
              <w:bottom w:val="nil"/>
              <w:right w:val="single" w:sz="8" w:space="0" w:color="auto"/>
            </w:tcBorders>
            <w:noWrap/>
            <w:vAlign w:val="center"/>
          </w:tcPr>
          <w:p w:rsidR="00D53A04" w:rsidRPr="00EB2995" w:rsidRDefault="00D53A04" w:rsidP="00D53A04">
            <w:pPr>
              <w:rPr>
                <w:rFonts w:cs="Calibri"/>
                <w:color w:val="000000"/>
              </w:rPr>
            </w:pPr>
          </w:p>
        </w:tc>
        <w:tc>
          <w:tcPr>
            <w:tcW w:w="3266" w:type="dxa"/>
            <w:tcBorders>
              <w:top w:val="nil"/>
              <w:left w:val="nil"/>
              <w:bottom w:val="nil"/>
              <w:right w:val="nil"/>
            </w:tcBorders>
            <w:vAlign w:val="center"/>
          </w:tcPr>
          <w:p w:rsidR="00D53A04" w:rsidRPr="00EB2995" w:rsidRDefault="00D53A04" w:rsidP="00D53A04">
            <w:pPr>
              <w:rPr>
                <w:rFonts w:cs="Calibri"/>
                <w:b/>
                <w:bCs/>
                <w:color w:val="000000"/>
              </w:rPr>
            </w:pPr>
          </w:p>
        </w:tc>
        <w:tc>
          <w:tcPr>
            <w:tcW w:w="1060" w:type="dxa"/>
            <w:tcBorders>
              <w:top w:val="nil"/>
              <w:left w:val="single" w:sz="8" w:space="0" w:color="auto"/>
              <w:bottom w:val="nil"/>
              <w:right w:val="nil"/>
            </w:tcBorders>
            <w:noWrap/>
            <w:vAlign w:val="center"/>
          </w:tcPr>
          <w:p w:rsidR="00D53A04" w:rsidRPr="00EB2995" w:rsidRDefault="00D53A04" w:rsidP="00D53A04">
            <w:pPr>
              <w:rPr>
                <w:rFonts w:cs="Calibri"/>
                <w:color w:val="000000"/>
              </w:rPr>
            </w:pPr>
          </w:p>
        </w:tc>
        <w:tc>
          <w:tcPr>
            <w:tcW w:w="1259" w:type="dxa"/>
            <w:tcBorders>
              <w:top w:val="nil"/>
              <w:left w:val="nil"/>
              <w:bottom w:val="nil"/>
              <w:right w:val="nil"/>
            </w:tcBorders>
            <w:noWrap/>
            <w:vAlign w:val="center"/>
          </w:tcPr>
          <w:p w:rsidR="00D53A04" w:rsidRPr="00EB2995" w:rsidRDefault="00D53A04" w:rsidP="00D53A04">
            <w:pPr>
              <w:rPr>
                <w:rFonts w:cs="Calibri"/>
                <w:color w:val="000000"/>
              </w:rPr>
            </w:pPr>
          </w:p>
        </w:tc>
        <w:tc>
          <w:tcPr>
            <w:tcW w:w="1079" w:type="dxa"/>
            <w:tcBorders>
              <w:top w:val="nil"/>
              <w:left w:val="nil"/>
              <w:bottom w:val="nil"/>
              <w:right w:val="single" w:sz="8" w:space="0" w:color="auto"/>
            </w:tcBorders>
            <w:noWrap/>
            <w:vAlign w:val="center"/>
          </w:tcPr>
          <w:p w:rsidR="00D53A04" w:rsidRPr="00EB2995" w:rsidRDefault="00D53A04" w:rsidP="00D53A04">
            <w:pPr>
              <w:rPr>
                <w:rFonts w:cs="Calibri"/>
                <w:color w:val="000000"/>
              </w:rPr>
            </w:pPr>
          </w:p>
        </w:tc>
      </w:tr>
      <w:tr w:rsidR="00D53A04" w:rsidRPr="00EB2995" w:rsidTr="00D53A04">
        <w:trPr>
          <w:trHeight w:val="300"/>
        </w:trPr>
        <w:tc>
          <w:tcPr>
            <w:tcW w:w="1160" w:type="dxa"/>
            <w:tcBorders>
              <w:top w:val="nil"/>
              <w:left w:val="single" w:sz="8" w:space="0" w:color="auto"/>
              <w:bottom w:val="nil"/>
              <w:right w:val="nil"/>
            </w:tcBorders>
            <w:noWrap/>
            <w:vAlign w:val="center"/>
          </w:tcPr>
          <w:p w:rsidR="00D53A04" w:rsidRPr="00EB2995" w:rsidRDefault="00D53A04" w:rsidP="00D53A04">
            <w:pPr>
              <w:rPr>
                <w:rFonts w:cs="Calibri"/>
                <w:color w:val="000000"/>
              </w:rPr>
            </w:pPr>
          </w:p>
        </w:tc>
        <w:tc>
          <w:tcPr>
            <w:tcW w:w="1280" w:type="dxa"/>
            <w:tcBorders>
              <w:top w:val="nil"/>
              <w:left w:val="nil"/>
              <w:bottom w:val="nil"/>
              <w:right w:val="nil"/>
            </w:tcBorders>
            <w:noWrap/>
            <w:vAlign w:val="center"/>
          </w:tcPr>
          <w:p w:rsidR="00D53A04" w:rsidRPr="00EB2995" w:rsidRDefault="00D53A04" w:rsidP="00D53A04">
            <w:pPr>
              <w:rPr>
                <w:rFonts w:cs="Calibri"/>
                <w:color w:val="000000"/>
              </w:rPr>
            </w:pPr>
          </w:p>
        </w:tc>
        <w:tc>
          <w:tcPr>
            <w:tcW w:w="1155" w:type="dxa"/>
            <w:tcBorders>
              <w:top w:val="nil"/>
              <w:left w:val="nil"/>
              <w:bottom w:val="nil"/>
              <w:right w:val="single" w:sz="8" w:space="0" w:color="auto"/>
            </w:tcBorders>
            <w:noWrap/>
            <w:vAlign w:val="center"/>
          </w:tcPr>
          <w:p w:rsidR="00D53A04" w:rsidRPr="00EB2995" w:rsidRDefault="00D53A04" w:rsidP="00D53A04">
            <w:pPr>
              <w:rPr>
                <w:rFonts w:cs="Calibri"/>
                <w:color w:val="000000"/>
              </w:rPr>
            </w:pPr>
          </w:p>
        </w:tc>
        <w:tc>
          <w:tcPr>
            <w:tcW w:w="3266" w:type="dxa"/>
            <w:tcBorders>
              <w:top w:val="nil"/>
              <w:left w:val="nil"/>
              <w:bottom w:val="nil"/>
              <w:right w:val="nil"/>
            </w:tcBorders>
            <w:vAlign w:val="center"/>
          </w:tcPr>
          <w:p w:rsidR="00D53A04" w:rsidRPr="00EB2995" w:rsidRDefault="00D53A04" w:rsidP="00D53A04">
            <w:pPr>
              <w:rPr>
                <w:rFonts w:cs="Calibri"/>
                <w:b/>
                <w:bCs/>
                <w:color w:val="000000"/>
              </w:rPr>
            </w:pPr>
            <w:r w:rsidRPr="00EB2995">
              <w:rPr>
                <w:rFonts w:cs="Calibri"/>
                <w:b/>
                <w:bCs/>
                <w:color w:val="000000"/>
              </w:rPr>
              <w:t>Contributions</w:t>
            </w:r>
          </w:p>
        </w:tc>
        <w:tc>
          <w:tcPr>
            <w:tcW w:w="1060" w:type="dxa"/>
            <w:tcBorders>
              <w:top w:val="nil"/>
              <w:left w:val="single" w:sz="8" w:space="0" w:color="auto"/>
              <w:bottom w:val="nil"/>
              <w:right w:val="nil"/>
            </w:tcBorders>
            <w:noWrap/>
            <w:vAlign w:val="center"/>
          </w:tcPr>
          <w:p w:rsidR="00D53A04" w:rsidRPr="00EB2995" w:rsidRDefault="00D53A04" w:rsidP="00D53A04">
            <w:pPr>
              <w:rPr>
                <w:rFonts w:cs="Calibri"/>
                <w:color w:val="000000"/>
              </w:rPr>
            </w:pPr>
          </w:p>
        </w:tc>
        <w:tc>
          <w:tcPr>
            <w:tcW w:w="1259" w:type="dxa"/>
            <w:tcBorders>
              <w:top w:val="nil"/>
              <w:left w:val="nil"/>
              <w:bottom w:val="nil"/>
              <w:right w:val="nil"/>
            </w:tcBorders>
            <w:noWrap/>
            <w:vAlign w:val="center"/>
          </w:tcPr>
          <w:p w:rsidR="00D53A04" w:rsidRPr="00EB2995" w:rsidRDefault="00D53A04" w:rsidP="00D53A04">
            <w:pPr>
              <w:rPr>
                <w:rFonts w:cs="Calibri"/>
                <w:color w:val="000000"/>
              </w:rPr>
            </w:pPr>
          </w:p>
        </w:tc>
        <w:tc>
          <w:tcPr>
            <w:tcW w:w="1079" w:type="dxa"/>
            <w:tcBorders>
              <w:top w:val="nil"/>
              <w:left w:val="nil"/>
              <w:bottom w:val="nil"/>
              <w:right w:val="single" w:sz="8" w:space="0" w:color="auto"/>
            </w:tcBorders>
            <w:noWrap/>
            <w:vAlign w:val="center"/>
          </w:tcPr>
          <w:p w:rsidR="00D53A04" w:rsidRPr="00EB2995" w:rsidRDefault="00D53A04" w:rsidP="00D53A04">
            <w:pPr>
              <w:rPr>
                <w:rFonts w:cs="Calibri"/>
                <w:color w:val="000000"/>
              </w:rPr>
            </w:pPr>
          </w:p>
        </w:tc>
      </w:tr>
      <w:tr w:rsidR="00D53A04" w:rsidRPr="00EB2995" w:rsidTr="00D53A04">
        <w:trPr>
          <w:trHeight w:val="300"/>
        </w:trPr>
        <w:tc>
          <w:tcPr>
            <w:tcW w:w="1160" w:type="dxa"/>
            <w:tcBorders>
              <w:top w:val="nil"/>
              <w:left w:val="single" w:sz="8" w:space="0" w:color="auto"/>
              <w:bottom w:val="nil"/>
              <w:right w:val="nil"/>
            </w:tcBorders>
            <w:noWrap/>
            <w:vAlign w:val="center"/>
          </w:tcPr>
          <w:p w:rsidR="00D53A04" w:rsidRPr="00EB2995" w:rsidRDefault="00D53A04" w:rsidP="00D53A04">
            <w:pPr>
              <w:jc w:val="right"/>
              <w:rPr>
                <w:rFonts w:cs="Calibri"/>
                <w:color w:val="000000"/>
              </w:rPr>
            </w:pPr>
            <w:r w:rsidRPr="00EB2995">
              <w:rPr>
                <w:rFonts w:cs="Calibri"/>
                <w:color w:val="000000"/>
              </w:rPr>
              <w:t>40.5</w:t>
            </w:r>
          </w:p>
        </w:tc>
        <w:tc>
          <w:tcPr>
            <w:tcW w:w="1280" w:type="dxa"/>
            <w:tcBorders>
              <w:top w:val="nil"/>
              <w:left w:val="nil"/>
              <w:bottom w:val="nil"/>
              <w:right w:val="nil"/>
            </w:tcBorders>
            <w:noWrap/>
            <w:vAlign w:val="center"/>
          </w:tcPr>
          <w:p w:rsidR="00D53A04" w:rsidRPr="00EB2995" w:rsidRDefault="00D53A04" w:rsidP="00D53A04">
            <w:pPr>
              <w:jc w:val="right"/>
              <w:rPr>
                <w:rFonts w:cs="Calibri"/>
                <w:color w:val="000000"/>
              </w:rPr>
            </w:pPr>
            <w:r w:rsidRPr="00EB2995">
              <w:rPr>
                <w:rFonts w:cs="Calibri"/>
                <w:color w:val="000000"/>
              </w:rPr>
              <w:t>0</w:t>
            </w:r>
          </w:p>
        </w:tc>
        <w:tc>
          <w:tcPr>
            <w:tcW w:w="1155" w:type="dxa"/>
            <w:tcBorders>
              <w:top w:val="nil"/>
              <w:left w:val="nil"/>
              <w:bottom w:val="nil"/>
              <w:right w:val="single" w:sz="8" w:space="0" w:color="auto"/>
            </w:tcBorders>
            <w:noWrap/>
            <w:vAlign w:val="center"/>
          </w:tcPr>
          <w:p w:rsidR="00D53A04" w:rsidRPr="00EB2995" w:rsidRDefault="00D53A04" w:rsidP="00D53A04">
            <w:pPr>
              <w:jc w:val="right"/>
              <w:rPr>
                <w:rFonts w:cs="Calibri"/>
                <w:color w:val="000000"/>
              </w:rPr>
            </w:pPr>
            <w:r w:rsidRPr="00EB2995">
              <w:rPr>
                <w:rFonts w:cs="Calibri"/>
                <w:color w:val="000000"/>
              </w:rPr>
              <w:t>40.5</w:t>
            </w:r>
          </w:p>
        </w:tc>
        <w:tc>
          <w:tcPr>
            <w:tcW w:w="3266" w:type="dxa"/>
            <w:tcBorders>
              <w:top w:val="nil"/>
              <w:left w:val="nil"/>
              <w:bottom w:val="nil"/>
              <w:right w:val="nil"/>
            </w:tcBorders>
            <w:vAlign w:val="center"/>
          </w:tcPr>
          <w:p w:rsidR="00D53A04" w:rsidRPr="00EB2995" w:rsidRDefault="00D53A04" w:rsidP="00D53A04">
            <w:pPr>
              <w:rPr>
                <w:rFonts w:cs="Calibri"/>
                <w:color w:val="000000"/>
              </w:rPr>
            </w:pPr>
            <w:r w:rsidRPr="00EB2995">
              <w:rPr>
                <w:rFonts w:cs="Calibri"/>
                <w:color w:val="000000"/>
              </w:rPr>
              <w:t>The Council</w:t>
            </w:r>
          </w:p>
        </w:tc>
        <w:tc>
          <w:tcPr>
            <w:tcW w:w="1060" w:type="dxa"/>
            <w:tcBorders>
              <w:top w:val="nil"/>
              <w:left w:val="single" w:sz="8" w:space="0" w:color="auto"/>
              <w:bottom w:val="nil"/>
              <w:right w:val="nil"/>
            </w:tcBorders>
            <w:noWrap/>
            <w:vAlign w:val="center"/>
          </w:tcPr>
          <w:p w:rsidR="00D53A04" w:rsidRPr="00EB2995" w:rsidRDefault="00D53A04" w:rsidP="00D53A04">
            <w:pPr>
              <w:jc w:val="right"/>
              <w:rPr>
                <w:rFonts w:cs="Calibri"/>
                <w:color w:val="000000"/>
              </w:rPr>
            </w:pPr>
            <w:r w:rsidRPr="00EB2995">
              <w:rPr>
                <w:rFonts w:cs="Calibri"/>
                <w:color w:val="000000"/>
              </w:rPr>
              <w:t>40.4</w:t>
            </w:r>
          </w:p>
        </w:tc>
        <w:tc>
          <w:tcPr>
            <w:tcW w:w="1259" w:type="dxa"/>
            <w:tcBorders>
              <w:top w:val="nil"/>
              <w:left w:val="nil"/>
              <w:bottom w:val="nil"/>
              <w:right w:val="nil"/>
            </w:tcBorders>
            <w:noWrap/>
            <w:vAlign w:val="center"/>
          </w:tcPr>
          <w:p w:rsidR="00D53A04" w:rsidRPr="00EB2995" w:rsidRDefault="00D53A04" w:rsidP="00D53A04">
            <w:pPr>
              <w:jc w:val="right"/>
              <w:rPr>
                <w:rFonts w:cs="Calibri"/>
                <w:color w:val="000000"/>
              </w:rPr>
            </w:pPr>
            <w:r w:rsidRPr="00EB2995">
              <w:rPr>
                <w:rFonts w:cs="Calibri"/>
                <w:color w:val="000000"/>
              </w:rPr>
              <w:t>0</w:t>
            </w:r>
          </w:p>
        </w:tc>
        <w:tc>
          <w:tcPr>
            <w:tcW w:w="1079" w:type="dxa"/>
            <w:tcBorders>
              <w:top w:val="nil"/>
              <w:left w:val="nil"/>
              <w:bottom w:val="nil"/>
              <w:right w:val="single" w:sz="8" w:space="0" w:color="auto"/>
            </w:tcBorders>
            <w:noWrap/>
            <w:vAlign w:val="center"/>
          </w:tcPr>
          <w:p w:rsidR="00D53A04" w:rsidRPr="00EB2995" w:rsidRDefault="00D53A04" w:rsidP="00D53A04">
            <w:pPr>
              <w:jc w:val="right"/>
              <w:rPr>
                <w:rFonts w:cs="Calibri"/>
                <w:color w:val="000000"/>
              </w:rPr>
            </w:pPr>
            <w:r w:rsidRPr="00EB2995">
              <w:rPr>
                <w:rFonts w:cs="Calibri"/>
                <w:color w:val="000000"/>
              </w:rPr>
              <w:t>40.4</w:t>
            </w:r>
          </w:p>
        </w:tc>
      </w:tr>
      <w:tr w:rsidR="00D53A04" w:rsidRPr="00EB2995" w:rsidTr="00D53A04">
        <w:trPr>
          <w:trHeight w:val="300"/>
        </w:trPr>
        <w:tc>
          <w:tcPr>
            <w:tcW w:w="1160" w:type="dxa"/>
            <w:tcBorders>
              <w:top w:val="nil"/>
              <w:left w:val="single" w:sz="8" w:space="0" w:color="auto"/>
              <w:bottom w:val="nil"/>
              <w:right w:val="nil"/>
            </w:tcBorders>
            <w:noWrap/>
            <w:vAlign w:val="center"/>
          </w:tcPr>
          <w:p w:rsidR="00D53A04" w:rsidRPr="00EB2995" w:rsidRDefault="00D53A04" w:rsidP="00D53A04">
            <w:pPr>
              <w:jc w:val="right"/>
              <w:rPr>
                <w:rFonts w:cs="Calibri"/>
                <w:color w:val="000000"/>
              </w:rPr>
            </w:pPr>
            <w:r w:rsidRPr="00EB2995">
              <w:rPr>
                <w:rFonts w:cs="Calibri"/>
                <w:color w:val="000000"/>
              </w:rPr>
              <w:t>6.5</w:t>
            </w:r>
          </w:p>
        </w:tc>
        <w:tc>
          <w:tcPr>
            <w:tcW w:w="1280" w:type="dxa"/>
            <w:tcBorders>
              <w:top w:val="nil"/>
              <w:left w:val="nil"/>
              <w:bottom w:val="nil"/>
              <w:right w:val="nil"/>
            </w:tcBorders>
            <w:noWrap/>
            <w:vAlign w:val="center"/>
          </w:tcPr>
          <w:p w:rsidR="00D53A04" w:rsidRPr="00EB2995" w:rsidRDefault="00D53A04" w:rsidP="00D53A04">
            <w:pPr>
              <w:jc w:val="right"/>
              <w:rPr>
                <w:rFonts w:cs="Calibri"/>
                <w:color w:val="000000"/>
              </w:rPr>
            </w:pPr>
            <w:r w:rsidRPr="00EB2995">
              <w:rPr>
                <w:rFonts w:cs="Calibri"/>
                <w:color w:val="000000"/>
              </w:rPr>
              <w:t>(6.5)</w:t>
            </w:r>
          </w:p>
        </w:tc>
        <w:tc>
          <w:tcPr>
            <w:tcW w:w="1155" w:type="dxa"/>
            <w:tcBorders>
              <w:top w:val="nil"/>
              <w:left w:val="nil"/>
              <w:bottom w:val="nil"/>
              <w:right w:val="single" w:sz="8" w:space="0" w:color="auto"/>
            </w:tcBorders>
            <w:noWrap/>
            <w:vAlign w:val="center"/>
          </w:tcPr>
          <w:p w:rsidR="00D53A04" w:rsidRPr="00EB2995" w:rsidRDefault="00D53A04" w:rsidP="00D53A04">
            <w:pPr>
              <w:jc w:val="right"/>
              <w:rPr>
                <w:rFonts w:cs="Calibri"/>
                <w:color w:val="000000"/>
              </w:rPr>
            </w:pPr>
            <w:r w:rsidRPr="00EB2995">
              <w:rPr>
                <w:rFonts w:cs="Calibri"/>
                <w:color w:val="000000"/>
              </w:rPr>
              <w:t>0</w:t>
            </w:r>
          </w:p>
        </w:tc>
        <w:tc>
          <w:tcPr>
            <w:tcW w:w="3266" w:type="dxa"/>
            <w:tcBorders>
              <w:top w:val="nil"/>
              <w:left w:val="nil"/>
              <w:bottom w:val="nil"/>
              <w:right w:val="nil"/>
            </w:tcBorders>
            <w:vAlign w:val="center"/>
          </w:tcPr>
          <w:p w:rsidR="00D53A04" w:rsidRPr="00EB2995" w:rsidRDefault="00D53A04" w:rsidP="00D53A04">
            <w:pPr>
              <w:rPr>
                <w:rFonts w:cs="Calibri"/>
                <w:color w:val="000000"/>
              </w:rPr>
            </w:pPr>
            <w:r w:rsidRPr="00EB2995">
              <w:rPr>
                <w:rFonts w:cs="Calibri"/>
                <w:color w:val="000000"/>
              </w:rPr>
              <w:t>Employees</w:t>
            </w:r>
          </w:p>
        </w:tc>
        <w:tc>
          <w:tcPr>
            <w:tcW w:w="1060" w:type="dxa"/>
            <w:tcBorders>
              <w:top w:val="nil"/>
              <w:left w:val="single" w:sz="8" w:space="0" w:color="auto"/>
              <w:bottom w:val="nil"/>
              <w:right w:val="nil"/>
            </w:tcBorders>
            <w:noWrap/>
            <w:vAlign w:val="center"/>
          </w:tcPr>
          <w:p w:rsidR="00D53A04" w:rsidRPr="00EB2995" w:rsidRDefault="00D53A04" w:rsidP="00D53A04">
            <w:pPr>
              <w:jc w:val="right"/>
              <w:rPr>
                <w:rFonts w:cs="Calibri"/>
                <w:color w:val="000000"/>
              </w:rPr>
            </w:pPr>
            <w:r w:rsidRPr="00EB2995">
              <w:rPr>
                <w:rFonts w:cs="Calibri"/>
                <w:color w:val="000000"/>
              </w:rPr>
              <w:t>6.3</w:t>
            </w:r>
          </w:p>
        </w:tc>
        <w:tc>
          <w:tcPr>
            <w:tcW w:w="1259" w:type="dxa"/>
            <w:tcBorders>
              <w:top w:val="nil"/>
              <w:left w:val="nil"/>
              <w:bottom w:val="nil"/>
              <w:right w:val="nil"/>
            </w:tcBorders>
            <w:noWrap/>
            <w:vAlign w:val="center"/>
          </w:tcPr>
          <w:p w:rsidR="00D53A04" w:rsidRPr="00EB2995" w:rsidRDefault="00D53A04" w:rsidP="00D53A04">
            <w:pPr>
              <w:jc w:val="right"/>
              <w:rPr>
                <w:rFonts w:cs="Calibri"/>
                <w:color w:val="000000"/>
              </w:rPr>
            </w:pPr>
            <w:r w:rsidRPr="00EB2995">
              <w:rPr>
                <w:rFonts w:cs="Calibri"/>
                <w:color w:val="000000"/>
              </w:rPr>
              <w:t>(6.3)</w:t>
            </w:r>
          </w:p>
        </w:tc>
        <w:tc>
          <w:tcPr>
            <w:tcW w:w="1079" w:type="dxa"/>
            <w:tcBorders>
              <w:top w:val="nil"/>
              <w:left w:val="nil"/>
              <w:bottom w:val="nil"/>
              <w:right w:val="single" w:sz="8" w:space="0" w:color="auto"/>
            </w:tcBorders>
            <w:noWrap/>
            <w:vAlign w:val="center"/>
          </w:tcPr>
          <w:p w:rsidR="00D53A04" w:rsidRPr="00EB2995" w:rsidRDefault="00D53A04" w:rsidP="00D53A04">
            <w:pPr>
              <w:jc w:val="right"/>
              <w:rPr>
                <w:rFonts w:cs="Calibri"/>
                <w:color w:val="000000"/>
              </w:rPr>
            </w:pPr>
            <w:r w:rsidRPr="00EB2995">
              <w:rPr>
                <w:rFonts w:cs="Calibri"/>
                <w:color w:val="000000"/>
              </w:rPr>
              <w:t>0</w:t>
            </w:r>
          </w:p>
        </w:tc>
      </w:tr>
      <w:tr w:rsidR="00D53A04" w:rsidRPr="00EB2995" w:rsidTr="00D53A04">
        <w:trPr>
          <w:trHeight w:val="300"/>
        </w:trPr>
        <w:tc>
          <w:tcPr>
            <w:tcW w:w="1160" w:type="dxa"/>
            <w:tcBorders>
              <w:top w:val="nil"/>
              <w:left w:val="single" w:sz="8" w:space="0" w:color="auto"/>
              <w:bottom w:val="nil"/>
              <w:right w:val="nil"/>
            </w:tcBorders>
            <w:noWrap/>
            <w:vAlign w:val="center"/>
          </w:tcPr>
          <w:p w:rsidR="00D53A04" w:rsidRPr="00EB2995" w:rsidRDefault="00D53A04" w:rsidP="00D53A04">
            <w:pPr>
              <w:rPr>
                <w:rFonts w:cs="Calibri"/>
                <w:color w:val="000000"/>
              </w:rPr>
            </w:pPr>
          </w:p>
        </w:tc>
        <w:tc>
          <w:tcPr>
            <w:tcW w:w="1280" w:type="dxa"/>
            <w:tcBorders>
              <w:top w:val="nil"/>
              <w:left w:val="nil"/>
              <w:bottom w:val="nil"/>
              <w:right w:val="nil"/>
            </w:tcBorders>
            <w:noWrap/>
            <w:vAlign w:val="center"/>
          </w:tcPr>
          <w:p w:rsidR="00D53A04" w:rsidRPr="00EB2995" w:rsidRDefault="00D53A04" w:rsidP="00D53A04">
            <w:pPr>
              <w:rPr>
                <w:rFonts w:cs="Calibri"/>
                <w:color w:val="000000"/>
              </w:rPr>
            </w:pPr>
          </w:p>
        </w:tc>
        <w:tc>
          <w:tcPr>
            <w:tcW w:w="1155" w:type="dxa"/>
            <w:tcBorders>
              <w:top w:val="nil"/>
              <w:left w:val="nil"/>
              <w:bottom w:val="nil"/>
              <w:right w:val="single" w:sz="8" w:space="0" w:color="auto"/>
            </w:tcBorders>
            <w:noWrap/>
            <w:vAlign w:val="center"/>
          </w:tcPr>
          <w:p w:rsidR="00D53A04" w:rsidRPr="00EB2995" w:rsidRDefault="00D53A04" w:rsidP="00D53A04">
            <w:pPr>
              <w:rPr>
                <w:rFonts w:cs="Calibri"/>
                <w:color w:val="000000"/>
              </w:rPr>
            </w:pPr>
          </w:p>
        </w:tc>
        <w:tc>
          <w:tcPr>
            <w:tcW w:w="3266" w:type="dxa"/>
            <w:tcBorders>
              <w:top w:val="nil"/>
              <w:left w:val="nil"/>
              <w:bottom w:val="nil"/>
              <w:right w:val="nil"/>
            </w:tcBorders>
            <w:vAlign w:val="center"/>
          </w:tcPr>
          <w:p w:rsidR="00D53A04" w:rsidRPr="00EB2995" w:rsidRDefault="00D53A04" w:rsidP="00D53A04">
            <w:pPr>
              <w:rPr>
                <w:rFonts w:cs="Calibri"/>
                <w:b/>
                <w:bCs/>
                <w:color w:val="000000"/>
              </w:rPr>
            </w:pPr>
          </w:p>
        </w:tc>
        <w:tc>
          <w:tcPr>
            <w:tcW w:w="1060" w:type="dxa"/>
            <w:tcBorders>
              <w:top w:val="nil"/>
              <w:left w:val="single" w:sz="8" w:space="0" w:color="auto"/>
              <w:bottom w:val="nil"/>
              <w:right w:val="nil"/>
            </w:tcBorders>
            <w:noWrap/>
            <w:vAlign w:val="center"/>
          </w:tcPr>
          <w:p w:rsidR="00D53A04" w:rsidRPr="00EB2995" w:rsidRDefault="00D53A04" w:rsidP="00D53A04">
            <w:pPr>
              <w:rPr>
                <w:rFonts w:cs="Calibri"/>
                <w:color w:val="000000"/>
              </w:rPr>
            </w:pPr>
          </w:p>
        </w:tc>
        <w:tc>
          <w:tcPr>
            <w:tcW w:w="1259" w:type="dxa"/>
            <w:tcBorders>
              <w:top w:val="nil"/>
              <w:left w:val="nil"/>
              <w:bottom w:val="nil"/>
              <w:right w:val="nil"/>
            </w:tcBorders>
            <w:noWrap/>
            <w:vAlign w:val="center"/>
          </w:tcPr>
          <w:p w:rsidR="00D53A04" w:rsidRPr="00EB2995" w:rsidRDefault="00D53A04" w:rsidP="00D53A04">
            <w:pPr>
              <w:rPr>
                <w:rFonts w:cs="Calibri"/>
                <w:color w:val="000000"/>
              </w:rPr>
            </w:pPr>
          </w:p>
        </w:tc>
        <w:tc>
          <w:tcPr>
            <w:tcW w:w="1079" w:type="dxa"/>
            <w:tcBorders>
              <w:top w:val="nil"/>
              <w:left w:val="nil"/>
              <w:bottom w:val="nil"/>
              <w:right w:val="single" w:sz="8" w:space="0" w:color="auto"/>
            </w:tcBorders>
            <w:noWrap/>
            <w:vAlign w:val="center"/>
          </w:tcPr>
          <w:p w:rsidR="00D53A04" w:rsidRPr="00EB2995" w:rsidRDefault="00D53A04" w:rsidP="00D53A04">
            <w:pPr>
              <w:rPr>
                <w:rFonts w:cs="Calibri"/>
                <w:color w:val="000000"/>
              </w:rPr>
            </w:pPr>
          </w:p>
        </w:tc>
      </w:tr>
      <w:tr w:rsidR="00D53A04" w:rsidRPr="00EB2995" w:rsidTr="00D53A04">
        <w:trPr>
          <w:trHeight w:val="300"/>
        </w:trPr>
        <w:tc>
          <w:tcPr>
            <w:tcW w:w="1160" w:type="dxa"/>
            <w:tcBorders>
              <w:top w:val="nil"/>
              <w:left w:val="single" w:sz="8" w:space="0" w:color="auto"/>
              <w:bottom w:val="nil"/>
              <w:right w:val="nil"/>
            </w:tcBorders>
            <w:noWrap/>
            <w:vAlign w:val="center"/>
          </w:tcPr>
          <w:p w:rsidR="00D53A04" w:rsidRPr="00EB2995" w:rsidRDefault="00D53A04" w:rsidP="00D53A04">
            <w:pPr>
              <w:rPr>
                <w:rFonts w:cs="Calibri"/>
                <w:color w:val="000000"/>
              </w:rPr>
            </w:pPr>
          </w:p>
        </w:tc>
        <w:tc>
          <w:tcPr>
            <w:tcW w:w="1280" w:type="dxa"/>
            <w:tcBorders>
              <w:top w:val="nil"/>
              <w:left w:val="nil"/>
              <w:bottom w:val="nil"/>
              <w:right w:val="nil"/>
            </w:tcBorders>
            <w:noWrap/>
            <w:vAlign w:val="center"/>
          </w:tcPr>
          <w:p w:rsidR="00D53A04" w:rsidRPr="00EB2995" w:rsidRDefault="00D53A04" w:rsidP="00D53A04">
            <w:pPr>
              <w:rPr>
                <w:rFonts w:cs="Calibri"/>
                <w:color w:val="000000"/>
              </w:rPr>
            </w:pPr>
          </w:p>
        </w:tc>
        <w:tc>
          <w:tcPr>
            <w:tcW w:w="1155" w:type="dxa"/>
            <w:tcBorders>
              <w:top w:val="nil"/>
              <w:left w:val="nil"/>
              <w:bottom w:val="nil"/>
              <w:right w:val="single" w:sz="8" w:space="0" w:color="auto"/>
            </w:tcBorders>
            <w:noWrap/>
            <w:vAlign w:val="center"/>
          </w:tcPr>
          <w:p w:rsidR="00D53A04" w:rsidRPr="00EB2995" w:rsidRDefault="00D53A04" w:rsidP="00D53A04">
            <w:pPr>
              <w:rPr>
                <w:rFonts w:cs="Calibri"/>
                <w:color w:val="000000"/>
              </w:rPr>
            </w:pPr>
          </w:p>
        </w:tc>
        <w:tc>
          <w:tcPr>
            <w:tcW w:w="3266" w:type="dxa"/>
            <w:tcBorders>
              <w:top w:val="nil"/>
              <w:left w:val="nil"/>
              <w:bottom w:val="nil"/>
              <w:right w:val="nil"/>
            </w:tcBorders>
            <w:vAlign w:val="center"/>
          </w:tcPr>
          <w:p w:rsidR="00D53A04" w:rsidRPr="00EB2995" w:rsidRDefault="00D53A04" w:rsidP="00D53A04">
            <w:pPr>
              <w:rPr>
                <w:rFonts w:cs="Calibri"/>
                <w:b/>
                <w:bCs/>
                <w:color w:val="000000"/>
              </w:rPr>
            </w:pPr>
            <w:r w:rsidRPr="00EB2995">
              <w:rPr>
                <w:rFonts w:cs="Calibri"/>
                <w:b/>
                <w:bCs/>
                <w:color w:val="000000"/>
              </w:rPr>
              <w:t>Payments</w:t>
            </w:r>
          </w:p>
        </w:tc>
        <w:tc>
          <w:tcPr>
            <w:tcW w:w="1060" w:type="dxa"/>
            <w:tcBorders>
              <w:top w:val="nil"/>
              <w:left w:val="single" w:sz="8" w:space="0" w:color="auto"/>
              <w:bottom w:val="nil"/>
              <w:right w:val="nil"/>
            </w:tcBorders>
            <w:noWrap/>
            <w:vAlign w:val="center"/>
          </w:tcPr>
          <w:p w:rsidR="00D53A04" w:rsidRPr="00EB2995" w:rsidRDefault="00D53A04" w:rsidP="00D53A04">
            <w:pPr>
              <w:rPr>
                <w:rFonts w:cs="Calibri"/>
                <w:color w:val="000000"/>
              </w:rPr>
            </w:pPr>
          </w:p>
        </w:tc>
        <w:tc>
          <w:tcPr>
            <w:tcW w:w="1259" w:type="dxa"/>
            <w:tcBorders>
              <w:top w:val="nil"/>
              <w:left w:val="nil"/>
              <w:bottom w:val="nil"/>
              <w:right w:val="nil"/>
            </w:tcBorders>
            <w:noWrap/>
            <w:vAlign w:val="center"/>
          </w:tcPr>
          <w:p w:rsidR="00D53A04" w:rsidRPr="00EB2995" w:rsidRDefault="00D53A04" w:rsidP="00D53A04">
            <w:pPr>
              <w:rPr>
                <w:rFonts w:cs="Calibri"/>
                <w:color w:val="000000"/>
              </w:rPr>
            </w:pPr>
          </w:p>
        </w:tc>
        <w:tc>
          <w:tcPr>
            <w:tcW w:w="1079" w:type="dxa"/>
            <w:tcBorders>
              <w:top w:val="nil"/>
              <w:left w:val="nil"/>
              <w:bottom w:val="nil"/>
              <w:right w:val="single" w:sz="8" w:space="0" w:color="auto"/>
            </w:tcBorders>
            <w:noWrap/>
            <w:vAlign w:val="center"/>
          </w:tcPr>
          <w:p w:rsidR="00D53A04" w:rsidRPr="00EB2995" w:rsidRDefault="00D53A04" w:rsidP="00D53A04">
            <w:pPr>
              <w:rPr>
                <w:rFonts w:cs="Calibri"/>
                <w:color w:val="000000"/>
              </w:rPr>
            </w:pPr>
          </w:p>
        </w:tc>
      </w:tr>
      <w:tr w:rsidR="00D53A04" w:rsidRPr="00EB2995" w:rsidTr="00D53A04">
        <w:trPr>
          <w:trHeight w:val="300"/>
        </w:trPr>
        <w:tc>
          <w:tcPr>
            <w:tcW w:w="1160" w:type="dxa"/>
            <w:tcBorders>
              <w:top w:val="nil"/>
              <w:left w:val="single" w:sz="8" w:space="0" w:color="auto"/>
              <w:bottom w:val="nil"/>
              <w:right w:val="nil"/>
            </w:tcBorders>
            <w:noWrap/>
            <w:vAlign w:val="center"/>
          </w:tcPr>
          <w:p w:rsidR="00D53A04" w:rsidRPr="00EB2995" w:rsidRDefault="00D53A04" w:rsidP="00D53A04">
            <w:pPr>
              <w:jc w:val="right"/>
              <w:rPr>
                <w:rFonts w:cs="Calibri"/>
                <w:color w:val="000000"/>
              </w:rPr>
            </w:pPr>
            <w:r w:rsidRPr="00EB2995">
              <w:rPr>
                <w:rFonts w:cs="Calibri"/>
                <w:color w:val="000000"/>
              </w:rPr>
              <w:t>(49.0)</w:t>
            </w:r>
          </w:p>
        </w:tc>
        <w:tc>
          <w:tcPr>
            <w:tcW w:w="1280" w:type="dxa"/>
            <w:tcBorders>
              <w:top w:val="nil"/>
              <w:left w:val="nil"/>
              <w:bottom w:val="nil"/>
              <w:right w:val="nil"/>
            </w:tcBorders>
            <w:noWrap/>
            <w:vAlign w:val="center"/>
          </w:tcPr>
          <w:p w:rsidR="00D53A04" w:rsidRPr="00EB2995" w:rsidRDefault="00D53A04" w:rsidP="00D53A04">
            <w:pPr>
              <w:jc w:val="right"/>
              <w:rPr>
                <w:rFonts w:cs="Calibri"/>
                <w:color w:val="000000"/>
              </w:rPr>
            </w:pPr>
            <w:r w:rsidRPr="00EB2995">
              <w:rPr>
                <w:rFonts w:cs="Calibri"/>
                <w:color w:val="000000"/>
              </w:rPr>
              <w:t>49.0</w:t>
            </w:r>
          </w:p>
        </w:tc>
        <w:tc>
          <w:tcPr>
            <w:tcW w:w="1155" w:type="dxa"/>
            <w:tcBorders>
              <w:top w:val="nil"/>
              <w:left w:val="nil"/>
              <w:bottom w:val="nil"/>
              <w:right w:val="single" w:sz="8" w:space="0" w:color="auto"/>
            </w:tcBorders>
            <w:noWrap/>
            <w:vAlign w:val="center"/>
          </w:tcPr>
          <w:p w:rsidR="00D53A04" w:rsidRPr="00EB2995" w:rsidRDefault="00D53A04" w:rsidP="00D53A04">
            <w:pPr>
              <w:jc w:val="right"/>
              <w:rPr>
                <w:rFonts w:cs="Calibri"/>
                <w:color w:val="000000"/>
              </w:rPr>
            </w:pPr>
            <w:r w:rsidRPr="00EB2995">
              <w:rPr>
                <w:rFonts w:cs="Calibri"/>
                <w:color w:val="000000"/>
              </w:rPr>
              <w:t>0</w:t>
            </w:r>
          </w:p>
        </w:tc>
        <w:tc>
          <w:tcPr>
            <w:tcW w:w="3266" w:type="dxa"/>
            <w:tcBorders>
              <w:top w:val="nil"/>
              <w:left w:val="nil"/>
              <w:bottom w:val="nil"/>
              <w:right w:val="nil"/>
            </w:tcBorders>
            <w:vAlign w:val="center"/>
          </w:tcPr>
          <w:p w:rsidR="00D53A04" w:rsidRPr="00EB2995" w:rsidRDefault="00D53A04" w:rsidP="00D53A04">
            <w:pPr>
              <w:rPr>
                <w:rFonts w:cs="Calibri"/>
                <w:color w:val="000000"/>
              </w:rPr>
            </w:pPr>
            <w:r w:rsidRPr="00EB2995">
              <w:rPr>
                <w:rFonts w:cs="Calibri"/>
                <w:color w:val="000000"/>
              </w:rPr>
              <w:t>Retirement Grants and Pensions</w:t>
            </w:r>
          </w:p>
        </w:tc>
        <w:tc>
          <w:tcPr>
            <w:tcW w:w="1060" w:type="dxa"/>
            <w:tcBorders>
              <w:top w:val="nil"/>
              <w:left w:val="single" w:sz="8" w:space="0" w:color="auto"/>
              <w:bottom w:val="nil"/>
              <w:right w:val="nil"/>
            </w:tcBorders>
            <w:noWrap/>
            <w:vAlign w:val="center"/>
          </w:tcPr>
          <w:p w:rsidR="00D53A04" w:rsidRPr="00EB2995" w:rsidRDefault="00D53A04" w:rsidP="00D53A04">
            <w:pPr>
              <w:jc w:val="right"/>
              <w:rPr>
                <w:rFonts w:cs="Calibri"/>
                <w:color w:val="000000"/>
              </w:rPr>
            </w:pPr>
            <w:r w:rsidRPr="00EB2995">
              <w:rPr>
                <w:rFonts w:cs="Calibri"/>
                <w:color w:val="000000"/>
              </w:rPr>
              <w:t>(53.6)</w:t>
            </w:r>
          </w:p>
        </w:tc>
        <w:tc>
          <w:tcPr>
            <w:tcW w:w="1259" w:type="dxa"/>
            <w:tcBorders>
              <w:top w:val="nil"/>
              <w:left w:val="nil"/>
              <w:bottom w:val="nil"/>
              <w:right w:val="nil"/>
            </w:tcBorders>
            <w:noWrap/>
            <w:vAlign w:val="center"/>
          </w:tcPr>
          <w:p w:rsidR="00D53A04" w:rsidRPr="00EB2995" w:rsidRDefault="00D53A04" w:rsidP="00D53A04">
            <w:pPr>
              <w:jc w:val="right"/>
              <w:rPr>
                <w:rFonts w:cs="Calibri"/>
                <w:color w:val="000000"/>
              </w:rPr>
            </w:pPr>
            <w:r w:rsidRPr="00EB2995">
              <w:rPr>
                <w:rFonts w:cs="Calibri"/>
                <w:color w:val="000000"/>
              </w:rPr>
              <w:t>53.6</w:t>
            </w:r>
          </w:p>
        </w:tc>
        <w:tc>
          <w:tcPr>
            <w:tcW w:w="1079" w:type="dxa"/>
            <w:tcBorders>
              <w:top w:val="nil"/>
              <w:left w:val="nil"/>
              <w:bottom w:val="nil"/>
              <w:right w:val="single" w:sz="8" w:space="0" w:color="auto"/>
            </w:tcBorders>
            <w:noWrap/>
            <w:vAlign w:val="center"/>
          </w:tcPr>
          <w:p w:rsidR="00D53A04" w:rsidRPr="00EB2995" w:rsidRDefault="00D53A04" w:rsidP="00D53A04">
            <w:pPr>
              <w:jc w:val="right"/>
              <w:rPr>
                <w:rFonts w:cs="Calibri"/>
                <w:color w:val="000000"/>
              </w:rPr>
            </w:pPr>
            <w:r w:rsidRPr="00EB2995">
              <w:rPr>
                <w:rFonts w:cs="Calibri"/>
                <w:color w:val="000000"/>
              </w:rPr>
              <w:t>0</w:t>
            </w:r>
          </w:p>
        </w:tc>
      </w:tr>
      <w:tr w:rsidR="00D53A04" w:rsidRPr="00EB2995" w:rsidTr="00D53A04">
        <w:trPr>
          <w:trHeight w:val="300"/>
        </w:trPr>
        <w:tc>
          <w:tcPr>
            <w:tcW w:w="1160" w:type="dxa"/>
            <w:tcBorders>
              <w:top w:val="nil"/>
              <w:left w:val="single" w:sz="8" w:space="0" w:color="auto"/>
              <w:bottom w:val="nil"/>
              <w:right w:val="nil"/>
            </w:tcBorders>
            <w:noWrap/>
            <w:vAlign w:val="center"/>
          </w:tcPr>
          <w:p w:rsidR="00D53A04" w:rsidRPr="00EB2995" w:rsidRDefault="00D53A04" w:rsidP="00D53A04">
            <w:pPr>
              <w:jc w:val="right"/>
              <w:rPr>
                <w:rFonts w:cs="Calibri"/>
                <w:color w:val="000000"/>
              </w:rPr>
            </w:pPr>
            <w:r w:rsidRPr="00EB2995">
              <w:rPr>
                <w:rFonts w:cs="Calibri"/>
                <w:color w:val="000000"/>
              </w:rPr>
              <w:t>0</w:t>
            </w:r>
          </w:p>
        </w:tc>
        <w:tc>
          <w:tcPr>
            <w:tcW w:w="1280" w:type="dxa"/>
            <w:tcBorders>
              <w:top w:val="nil"/>
              <w:left w:val="nil"/>
              <w:bottom w:val="nil"/>
              <w:right w:val="nil"/>
            </w:tcBorders>
            <w:noWrap/>
            <w:vAlign w:val="center"/>
          </w:tcPr>
          <w:p w:rsidR="00D53A04" w:rsidRPr="00EB2995" w:rsidRDefault="00D53A04" w:rsidP="00D53A04">
            <w:pPr>
              <w:jc w:val="right"/>
              <w:rPr>
                <w:rFonts w:cs="Calibri"/>
                <w:color w:val="000000"/>
              </w:rPr>
            </w:pPr>
            <w:r w:rsidRPr="00EB2995">
              <w:rPr>
                <w:rFonts w:cs="Calibri"/>
                <w:color w:val="000000"/>
              </w:rPr>
              <w:t>0</w:t>
            </w:r>
          </w:p>
        </w:tc>
        <w:tc>
          <w:tcPr>
            <w:tcW w:w="1155" w:type="dxa"/>
            <w:tcBorders>
              <w:top w:val="nil"/>
              <w:left w:val="nil"/>
              <w:bottom w:val="nil"/>
              <w:right w:val="single" w:sz="8" w:space="0" w:color="auto"/>
            </w:tcBorders>
            <w:noWrap/>
            <w:vAlign w:val="center"/>
          </w:tcPr>
          <w:p w:rsidR="00D53A04" w:rsidRPr="00EB2995" w:rsidRDefault="00D53A04" w:rsidP="00D53A04">
            <w:pPr>
              <w:jc w:val="right"/>
              <w:rPr>
                <w:rFonts w:cs="Calibri"/>
                <w:color w:val="000000"/>
              </w:rPr>
            </w:pPr>
            <w:r w:rsidRPr="00EB2995">
              <w:rPr>
                <w:rFonts w:cs="Calibri"/>
                <w:color w:val="000000"/>
              </w:rPr>
              <w:t>0</w:t>
            </w:r>
          </w:p>
        </w:tc>
        <w:tc>
          <w:tcPr>
            <w:tcW w:w="3266" w:type="dxa"/>
            <w:tcBorders>
              <w:top w:val="nil"/>
              <w:left w:val="nil"/>
              <w:bottom w:val="nil"/>
              <w:right w:val="nil"/>
            </w:tcBorders>
            <w:vAlign w:val="center"/>
          </w:tcPr>
          <w:p w:rsidR="00D53A04" w:rsidRPr="00EB2995" w:rsidRDefault="00D53A04" w:rsidP="00D53A04">
            <w:pPr>
              <w:rPr>
                <w:rFonts w:cs="Calibri"/>
                <w:color w:val="000000"/>
              </w:rPr>
            </w:pPr>
            <w:r w:rsidRPr="00EB2995">
              <w:rPr>
                <w:rFonts w:cs="Calibri"/>
                <w:color w:val="000000"/>
              </w:rPr>
              <w:t>Effects of business combinations and disposals</w:t>
            </w:r>
          </w:p>
        </w:tc>
        <w:tc>
          <w:tcPr>
            <w:tcW w:w="1060" w:type="dxa"/>
            <w:tcBorders>
              <w:top w:val="nil"/>
              <w:left w:val="single" w:sz="8" w:space="0" w:color="auto"/>
              <w:bottom w:val="nil"/>
              <w:right w:val="nil"/>
            </w:tcBorders>
            <w:noWrap/>
            <w:vAlign w:val="center"/>
          </w:tcPr>
          <w:p w:rsidR="00D53A04" w:rsidRPr="00EB2995" w:rsidRDefault="00D53A04" w:rsidP="00D53A04">
            <w:pPr>
              <w:jc w:val="right"/>
              <w:rPr>
                <w:rFonts w:cs="Calibri"/>
                <w:color w:val="000000"/>
              </w:rPr>
            </w:pPr>
            <w:r w:rsidRPr="00EB2995">
              <w:rPr>
                <w:rFonts w:cs="Calibri"/>
                <w:color w:val="000000"/>
              </w:rPr>
              <w:t>0</w:t>
            </w:r>
          </w:p>
        </w:tc>
        <w:tc>
          <w:tcPr>
            <w:tcW w:w="1259" w:type="dxa"/>
            <w:tcBorders>
              <w:top w:val="nil"/>
              <w:left w:val="nil"/>
              <w:bottom w:val="nil"/>
              <w:right w:val="nil"/>
            </w:tcBorders>
            <w:noWrap/>
            <w:vAlign w:val="center"/>
          </w:tcPr>
          <w:p w:rsidR="00D53A04" w:rsidRPr="00EB2995" w:rsidRDefault="00D53A04" w:rsidP="00D53A04">
            <w:pPr>
              <w:jc w:val="right"/>
              <w:rPr>
                <w:rFonts w:cs="Calibri"/>
                <w:color w:val="000000"/>
              </w:rPr>
            </w:pPr>
            <w:r w:rsidRPr="00EB2995">
              <w:rPr>
                <w:rFonts w:cs="Calibri"/>
                <w:color w:val="000000"/>
              </w:rPr>
              <w:t>0</w:t>
            </w:r>
          </w:p>
        </w:tc>
        <w:tc>
          <w:tcPr>
            <w:tcW w:w="1079" w:type="dxa"/>
            <w:tcBorders>
              <w:top w:val="nil"/>
              <w:left w:val="nil"/>
              <w:bottom w:val="nil"/>
              <w:right w:val="single" w:sz="8" w:space="0" w:color="auto"/>
            </w:tcBorders>
            <w:noWrap/>
            <w:vAlign w:val="center"/>
          </w:tcPr>
          <w:p w:rsidR="00D53A04" w:rsidRPr="00EB2995" w:rsidRDefault="00D53A04" w:rsidP="00D53A04">
            <w:pPr>
              <w:jc w:val="right"/>
              <w:rPr>
                <w:rFonts w:cs="Calibri"/>
                <w:color w:val="000000"/>
              </w:rPr>
            </w:pPr>
            <w:r w:rsidRPr="00EB2995">
              <w:rPr>
                <w:rFonts w:cs="Calibri"/>
                <w:color w:val="000000"/>
              </w:rPr>
              <w:t>0</w:t>
            </w:r>
          </w:p>
        </w:tc>
      </w:tr>
      <w:tr w:rsidR="00D53A04" w:rsidRPr="00EB2995" w:rsidTr="00D53A04">
        <w:trPr>
          <w:trHeight w:val="300"/>
        </w:trPr>
        <w:tc>
          <w:tcPr>
            <w:tcW w:w="1160" w:type="dxa"/>
            <w:tcBorders>
              <w:top w:val="nil"/>
              <w:left w:val="single" w:sz="8" w:space="0" w:color="auto"/>
              <w:bottom w:val="nil"/>
              <w:right w:val="nil"/>
            </w:tcBorders>
            <w:noWrap/>
            <w:vAlign w:val="center"/>
          </w:tcPr>
          <w:p w:rsidR="00D53A04" w:rsidRPr="00EB2995" w:rsidRDefault="00D53A04" w:rsidP="00D53A04">
            <w:pPr>
              <w:rPr>
                <w:rFonts w:cs="Calibri"/>
                <w:color w:val="000000"/>
              </w:rPr>
            </w:pPr>
          </w:p>
        </w:tc>
        <w:tc>
          <w:tcPr>
            <w:tcW w:w="1280" w:type="dxa"/>
            <w:tcBorders>
              <w:top w:val="nil"/>
              <w:left w:val="nil"/>
              <w:bottom w:val="nil"/>
              <w:right w:val="nil"/>
            </w:tcBorders>
            <w:noWrap/>
            <w:vAlign w:val="center"/>
          </w:tcPr>
          <w:p w:rsidR="00D53A04" w:rsidRPr="00EB2995" w:rsidRDefault="00D53A04" w:rsidP="00D53A04">
            <w:pPr>
              <w:rPr>
                <w:rFonts w:cs="Calibri"/>
                <w:color w:val="000000"/>
              </w:rPr>
            </w:pPr>
          </w:p>
        </w:tc>
        <w:tc>
          <w:tcPr>
            <w:tcW w:w="1155" w:type="dxa"/>
            <w:tcBorders>
              <w:top w:val="nil"/>
              <w:left w:val="nil"/>
              <w:bottom w:val="nil"/>
              <w:right w:val="single" w:sz="8" w:space="0" w:color="auto"/>
            </w:tcBorders>
            <w:noWrap/>
            <w:vAlign w:val="center"/>
          </w:tcPr>
          <w:p w:rsidR="00D53A04" w:rsidRPr="00EB2995" w:rsidRDefault="00D53A04" w:rsidP="00D53A04">
            <w:pPr>
              <w:jc w:val="right"/>
              <w:rPr>
                <w:rFonts w:cs="Calibri"/>
                <w:color w:val="000000"/>
              </w:rPr>
            </w:pPr>
          </w:p>
        </w:tc>
        <w:tc>
          <w:tcPr>
            <w:tcW w:w="3266" w:type="dxa"/>
            <w:tcBorders>
              <w:top w:val="nil"/>
              <w:left w:val="nil"/>
              <w:right w:val="nil"/>
            </w:tcBorders>
            <w:vAlign w:val="center"/>
          </w:tcPr>
          <w:p w:rsidR="00D53A04" w:rsidRPr="00EB2995" w:rsidRDefault="00D53A04" w:rsidP="00D53A04">
            <w:pPr>
              <w:rPr>
                <w:rFonts w:cs="Calibri"/>
                <w:color w:val="000000"/>
              </w:rPr>
            </w:pPr>
            <w:r w:rsidRPr="00EB2995">
              <w:rPr>
                <w:rFonts w:cs="Calibri"/>
                <w:color w:val="000000"/>
              </w:rPr>
              <w:t> </w:t>
            </w:r>
          </w:p>
        </w:tc>
        <w:tc>
          <w:tcPr>
            <w:tcW w:w="1060" w:type="dxa"/>
            <w:tcBorders>
              <w:top w:val="nil"/>
              <w:left w:val="single" w:sz="8" w:space="0" w:color="auto"/>
              <w:bottom w:val="nil"/>
              <w:right w:val="nil"/>
            </w:tcBorders>
            <w:noWrap/>
            <w:vAlign w:val="center"/>
          </w:tcPr>
          <w:p w:rsidR="00D53A04" w:rsidRPr="00EB2995" w:rsidRDefault="00D53A04" w:rsidP="00D53A04">
            <w:pPr>
              <w:rPr>
                <w:rFonts w:cs="Calibri"/>
                <w:color w:val="000000"/>
              </w:rPr>
            </w:pPr>
          </w:p>
        </w:tc>
        <w:tc>
          <w:tcPr>
            <w:tcW w:w="1259" w:type="dxa"/>
            <w:tcBorders>
              <w:top w:val="nil"/>
              <w:left w:val="nil"/>
              <w:bottom w:val="nil"/>
              <w:right w:val="nil"/>
            </w:tcBorders>
            <w:noWrap/>
            <w:vAlign w:val="center"/>
          </w:tcPr>
          <w:p w:rsidR="00D53A04" w:rsidRPr="00EB2995" w:rsidRDefault="00D53A04" w:rsidP="00D53A04">
            <w:pPr>
              <w:rPr>
                <w:rFonts w:cs="Calibri"/>
                <w:color w:val="000000"/>
              </w:rPr>
            </w:pPr>
          </w:p>
        </w:tc>
        <w:tc>
          <w:tcPr>
            <w:tcW w:w="1079" w:type="dxa"/>
            <w:tcBorders>
              <w:top w:val="nil"/>
              <w:left w:val="nil"/>
              <w:bottom w:val="nil"/>
              <w:right w:val="single" w:sz="8" w:space="0" w:color="auto"/>
            </w:tcBorders>
            <w:noWrap/>
            <w:vAlign w:val="center"/>
          </w:tcPr>
          <w:p w:rsidR="00D53A04" w:rsidRPr="00EB2995" w:rsidRDefault="00D53A04" w:rsidP="00D53A04">
            <w:pPr>
              <w:jc w:val="right"/>
              <w:rPr>
                <w:rFonts w:cs="Calibri"/>
                <w:color w:val="000000"/>
              </w:rPr>
            </w:pPr>
          </w:p>
        </w:tc>
      </w:tr>
      <w:tr w:rsidR="00D53A04" w:rsidRPr="00EB2995" w:rsidTr="00D53A04">
        <w:trPr>
          <w:trHeight w:val="315"/>
        </w:trPr>
        <w:tc>
          <w:tcPr>
            <w:tcW w:w="1160" w:type="dxa"/>
            <w:tcBorders>
              <w:top w:val="nil"/>
              <w:left w:val="single" w:sz="8" w:space="0" w:color="auto"/>
              <w:bottom w:val="single" w:sz="8" w:space="0" w:color="auto"/>
              <w:right w:val="nil"/>
            </w:tcBorders>
            <w:noWrap/>
            <w:vAlign w:val="center"/>
          </w:tcPr>
          <w:p w:rsidR="00D53A04" w:rsidRPr="00EB2995" w:rsidRDefault="00D53A04" w:rsidP="00D53A04">
            <w:pPr>
              <w:jc w:val="right"/>
              <w:rPr>
                <w:rFonts w:cs="Calibri"/>
                <w:b/>
                <w:bCs/>
                <w:color w:val="000000"/>
              </w:rPr>
            </w:pPr>
            <w:r w:rsidRPr="00EB2995">
              <w:rPr>
                <w:rFonts w:cs="Calibri"/>
                <w:b/>
                <w:bCs/>
                <w:color w:val="000000"/>
              </w:rPr>
              <w:t>757.8</w:t>
            </w:r>
          </w:p>
        </w:tc>
        <w:tc>
          <w:tcPr>
            <w:tcW w:w="1280" w:type="dxa"/>
            <w:tcBorders>
              <w:top w:val="nil"/>
              <w:left w:val="nil"/>
              <w:bottom w:val="single" w:sz="8" w:space="0" w:color="auto"/>
              <w:right w:val="nil"/>
            </w:tcBorders>
            <w:noWrap/>
            <w:vAlign w:val="center"/>
          </w:tcPr>
          <w:p w:rsidR="00D53A04" w:rsidRPr="00EB2995" w:rsidRDefault="00D53A04" w:rsidP="00D53A04">
            <w:pPr>
              <w:jc w:val="right"/>
              <w:rPr>
                <w:rFonts w:cs="Calibri"/>
                <w:b/>
                <w:bCs/>
                <w:color w:val="000000"/>
              </w:rPr>
            </w:pPr>
            <w:r w:rsidRPr="00EB2995">
              <w:rPr>
                <w:rFonts w:cs="Calibri"/>
                <w:b/>
                <w:bCs/>
                <w:color w:val="000000"/>
              </w:rPr>
              <w:t>(1,683.5)</w:t>
            </w:r>
          </w:p>
        </w:tc>
        <w:tc>
          <w:tcPr>
            <w:tcW w:w="1155" w:type="dxa"/>
            <w:tcBorders>
              <w:top w:val="nil"/>
              <w:left w:val="nil"/>
              <w:bottom w:val="single" w:sz="8" w:space="0" w:color="auto"/>
              <w:right w:val="single" w:sz="8" w:space="0" w:color="auto"/>
            </w:tcBorders>
            <w:noWrap/>
            <w:vAlign w:val="center"/>
          </w:tcPr>
          <w:p w:rsidR="00D53A04" w:rsidRPr="00EB2995" w:rsidRDefault="00D53A04" w:rsidP="00D53A04">
            <w:pPr>
              <w:jc w:val="right"/>
              <w:rPr>
                <w:rFonts w:cs="Calibri"/>
                <w:b/>
                <w:bCs/>
                <w:color w:val="000000"/>
              </w:rPr>
            </w:pPr>
            <w:r w:rsidRPr="00EB2995">
              <w:rPr>
                <w:rFonts w:cs="Calibri"/>
                <w:b/>
                <w:bCs/>
                <w:color w:val="000000"/>
              </w:rPr>
              <w:t>(925.7)</w:t>
            </w:r>
          </w:p>
        </w:tc>
        <w:tc>
          <w:tcPr>
            <w:tcW w:w="3266" w:type="dxa"/>
            <w:tcBorders>
              <w:top w:val="nil"/>
              <w:left w:val="nil"/>
              <w:right w:val="nil"/>
            </w:tcBorders>
            <w:vAlign w:val="center"/>
          </w:tcPr>
          <w:p w:rsidR="00D53A04" w:rsidRPr="00EB2995" w:rsidRDefault="00D53A04" w:rsidP="00D53A04">
            <w:pPr>
              <w:rPr>
                <w:rFonts w:cs="Calibri"/>
                <w:b/>
                <w:bCs/>
                <w:color w:val="000000"/>
              </w:rPr>
            </w:pPr>
            <w:r w:rsidRPr="00EB2995">
              <w:rPr>
                <w:rFonts w:cs="Calibri"/>
                <w:b/>
                <w:bCs/>
                <w:color w:val="000000"/>
              </w:rPr>
              <w:t>Closing Balance at 31 March</w:t>
            </w:r>
          </w:p>
        </w:tc>
        <w:tc>
          <w:tcPr>
            <w:tcW w:w="1060" w:type="dxa"/>
            <w:tcBorders>
              <w:top w:val="nil"/>
              <w:left w:val="single" w:sz="8" w:space="0" w:color="auto"/>
              <w:bottom w:val="single" w:sz="8" w:space="0" w:color="auto"/>
              <w:right w:val="nil"/>
            </w:tcBorders>
            <w:noWrap/>
            <w:vAlign w:val="center"/>
          </w:tcPr>
          <w:p w:rsidR="00D53A04" w:rsidRPr="00EB2995" w:rsidRDefault="00D53A04" w:rsidP="00D53A04">
            <w:pPr>
              <w:jc w:val="right"/>
              <w:rPr>
                <w:rFonts w:cs="Calibri"/>
                <w:b/>
                <w:bCs/>
                <w:color w:val="000000"/>
              </w:rPr>
            </w:pPr>
            <w:r w:rsidRPr="00EB2995">
              <w:rPr>
                <w:rFonts w:cs="Calibri"/>
                <w:b/>
                <w:bCs/>
                <w:color w:val="000000"/>
              </w:rPr>
              <w:t>723.4</w:t>
            </w:r>
          </w:p>
        </w:tc>
        <w:tc>
          <w:tcPr>
            <w:tcW w:w="1259" w:type="dxa"/>
            <w:tcBorders>
              <w:top w:val="nil"/>
              <w:left w:val="nil"/>
              <w:bottom w:val="single" w:sz="8" w:space="0" w:color="auto"/>
              <w:right w:val="nil"/>
            </w:tcBorders>
            <w:noWrap/>
            <w:vAlign w:val="center"/>
          </w:tcPr>
          <w:p w:rsidR="00D53A04" w:rsidRPr="00EB2995" w:rsidRDefault="00D53A04" w:rsidP="00D53A04">
            <w:pPr>
              <w:jc w:val="right"/>
              <w:rPr>
                <w:rFonts w:cs="Calibri"/>
                <w:b/>
                <w:bCs/>
                <w:color w:val="000000"/>
              </w:rPr>
            </w:pPr>
            <w:r w:rsidRPr="00EB2995">
              <w:rPr>
                <w:rFonts w:cs="Calibri"/>
                <w:b/>
                <w:bCs/>
                <w:color w:val="000000"/>
              </w:rPr>
              <w:t>(1,383.5)</w:t>
            </w:r>
          </w:p>
        </w:tc>
        <w:tc>
          <w:tcPr>
            <w:tcW w:w="1079" w:type="dxa"/>
            <w:tcBorders>
              <w:top w:val="nil"/>
              <w:left w:val="nil"/>
              <w:bottom w:val="single" w:sz="8" w:space="0" w:color="auto"/>
              <w:right w:val="single" w:sz="8" w:space="0" w:color="auto"/>
            </w:tcBorders>
            <w:noWrap/>
            <w:vAlign w:val="center"/>
          </w:tcPr>
          <w:p w:rsidR="00D53A04" w:rsidRPr="00EB2995" w:rsidRDefault="00D53A04" w:rsidP="00D53A04">
            <w:pPr>
              <w:jc w:val="right"/>
              <w:rPr>
                <w:rFonts w:cs="Calibri"/>
                <w:b/>
                <w:bCs/>
                <w:color w:val="000000"/>
              </w:rPr>
            </w:pPr>
            <w:r w:rsidRPr="00EB2995">
              <w:rPr>
                <w:rFonts w:cs="Calibri"/>
                <w:b/>
                <w:bCs/>
                <w:color w:val="000000"/>
              </w:rPr>
              <w:t>(660.1)</w:t>
            </w:r>
          </w:p>
        </w:tc>
      </w:tr>
    </w:tbl>
    <w:p w:rsidR="00F72906" w:rsidRDefault="00F72906" w:rsidP="00F72906"/>
    <w:p w:rsidR="00F72906" w:rsidRDefault="00F72906" w:rsidP="00F72906"/>
    <w:p w:rsidR="00F72906" w:rsidRDefault="00F72906" w:rsidP="00D53A04">
      <w:pPr>
        <w:pStyle w:val="Heading3"/>
      </w:pPr>
      <w:r>
        <w:lastRenderedPageBreak/>
        <w:t>Note 37 – Sensitivity Analysis</w:t>
      </w:r>
    </w:p>
    <w:tbl>
      <w:tblPr>
        <w:tblW w:w="9112" w:type="dxa"/>
        <w:tblLayout w:type="fixed"/>
        <w:tblLook w:val="00A0" w:firstRow="1" w:lastRow="0" w:firstColumn="1" w:lastColumn="0" w:noHBand="0" w:noVBand="0"/>
      </w:tblPr>
      <w:tblGrid>
        <w:gridCol w:w="4253"/>
        <w:gridCol w:w="2450"/>
        <w:gridCol w:w="2409"/>
      </w:tblGrid>
      <w:tr w:rsidR="00D53A04" w:rsidRPr="00EB2995" w:rsidTr="00D53A04">
        <w:trPr>
          <w:trHeight w:val="466"/>
        </w:trPr>
        <w:tc>
          <w:tcPr>
            <w:tcW w:w="4253" w:type="dxa"/>
            <w:tcBorders>
              <w:top w:val="nil"/>
              <w:left w:val="nil"/>
              <w:bottom w:val="nil"/>
              <w:right w:val="nil"/>
            </w:tcBorders>
            <w:noWrap/>
            <w:vAlign w:val="bottom"/>
          </w:tcPr>
          <w:p w:rsidR="00D53A04" w:rsidRPr="00EB2995" w:rsidRDefault="00D53A04" w:rsidP="00D53A04">
            <w:pPr>
              <w:rPr>
                <w:rFonts w:cs="Calibri"/>
                <w:b/>
                <w:color w:val="000000"/>
              </w:rPr>
            </w:pPr>
            <w:r w:rsidRPr="00EB2995">
              <w:rPr>
                <w:rFonts w:cs="Calibri"/>
                <w:b/>
                <w:color w:val="000000"/>
              </w:rPr>
              <w:t>Change in assumptions at 31 March 2020</w:t>
            </w:r>
          </w:p>
        </w:tc>
        <w:tc>
          <w:tcPr>
            <w:tcW w:w="2450" w:type="dxa"/>
            <w:tcBorders>
              <w:top w:val="nil"/>
              <w:left w:val="nil"/>
              <w:bottom w:val="nil"/>
              <w:right w:val="nil"/>
            </w:tcBorders>
            <w:vAlign w:val="bottom"/>
          </w:tcPr>
          <w:p w:rsidR="00D53A04" w:rsidRPr="00EB2995" w:rsidRDefault="00D53A04" w:rsidP="00D53A04">
            <w:pPr>
              <w:jc w:val="right"/>
              <w:rPr>
                <w:rFonts w:cs="Calibri"/>
                <w:b/>
                <w:color w:val="000000"/>
              </w:rPr>
            </w:pPr>
            <w:r w:rsidRPr="00EB2995">
              <w:rPr>
                <w:rFonts w:cs="Calibri"/>
                <w:b/>
                <w:color w:val="000000"/>
              </w:rPr>
              <w:t>Approximate % increase to Employer Liability</w:t>
            </w:r>
          </w:p>
        </w:tc>
        <w:tc>
          <w:tcPr>
            <w:tcW w:w="2409" w:type="dxa"/>
            <w:tcBorders>
              <w:top w:val="nil"/>
              <w:left w:val="nil"/>
              <w:bottom w:val="nil"/>
              <w:right w:val="nil"/>
            </w:tcBorders>
            <w:vAlign w:val="bottom"/>
          </w:tcPr>
          <w:p w:rsidR="00D53A04" w:rsidRPr="00EB2995" w:rsidRDefault="00D53A04" w:rsidP="00D53A04">
            <w:pPr>
              <w:jc w:val="right"/>
              <w:rPr>
                <w:rFonts w:cs="Calibri"/>
                <w:b/>
                <w:color w:val="000000"/>
              </w:rPr>
            </w:pPr>
            <w:r w:rsidRPr="00EB2995">
              <w:rPr>
                <w:rFonts w:cs="Calibri"/>
                <w:b/>
                <w:color w:val="000000"/>
              </w:rPr>
              <w:t>Approximate monetary amount</w:t>
            </w:r>
          </w:p>
        </w:tc>
      </w:tr>
      <w:tr w:rsidR="00D53A04" w:rsidRPr="00EB2995" w:rsidTr="00D53A04">
        <w:trPr>
          <w:trHeight w:val="300"/>
        </w:trPr>
        <w:tc>
          <w:tcPr>
            <w:tcW w:w="4253" w:type="dxa"/>
            <w:tcBorders>
              <w:top w:val="nil"/>
              <w:left w:val="nil"/>
              <w:bottom w:val="nil"/>
              <w:right w:val="nil"/>
            </w:tcBorders>
            <w:noWrap/>
            <w:vAlign w:val="bottom"/>
          </w:tcPr>
          <w:p w:rsidR="00D53A04" w:rsidRPr="00EB2995" w:rsidRDefault="00D53A04" w:rsidP="00D53A04">
            <w:pPr>
              <w:rPr>
                <w:rFonts w:cs="Calibri"/>
                <w:b/>
                <w:color w:val="000000"/>
              </w:rPr>
            </w:pPr>
            <w:r w:rsidRPr="00EB2995">
              <w:rPr>
                <w:rFonts w:cs="Calibri"/>
                <w:b/>
                <w:color w:val="000000"/>
              </w:rPr>
              <w:t> </w:t>
            </w:r>
          </w:p>
        </w:tc>
        <w:tc>
          <w:tcPr>
            <w:tcW w:w="2450" w:type="dxa"/>
            <w:tcBorders>
              <w:top w:val="nil"/>
              <w:left w:val="nil"/>
              <w:bottom w:val="nil"/>
              <w:right w:val="nil"/>
            </w:tcBorders>
            <w:noWrap/>
            <w:vAlign w:val="bottom"/>
          </w:tcPr>
          <w:p w:rsidR="00D53A04" w:rsidRPr="00EB2995" w:rsidRDefault="00D53A04" w:rsidP="00D53A04">
            <w:pPr>
              <w:jc w:val="center"/>
              <w:rPr>
                <w:rFonts w:cs="Calibri"/>
                <w:b/>
                <w:color w:val="000000"/>
              </w:rPr>
            </w:pPr>
            <w:r w:rsidRPr="00EB2995">
              <w:rPr>
                <w:rFonts w:cs="Calibri"/>
                <w:b/>
                <w:color w:val="000000"/>
              </w:rPr>
              <w:t>%</w:t>
            </w:r>
          </w:p>
        </w:tc>
        <w:tc>
          <w:tcPr>
            <w:tcW w:w="2409" w:type="dxa"/>
            <w:tcBorders>
              <w:top w:val="nil"/>
              <w:left w:val="nil"/>
              <w:bottom w:val="nil"/>
              <w:right w:val="nil"/>
            </w:tcBorders>
            <w:noWrap/>
            <w:vAlign w:val="bottom"/>
          </w:tcPr>
          <w:p w:rsidR="00D53A04" w:rsidRPr="00EB2995" w:rsidRDefault="00D53A04" w:rsidP="00D53A04">
            <w:pPr>
              <w:jc w:val="right"/>
              <w:rPr>
                <w:rFonts w:cs="Calibri"/>
                <w:b/>
                <w:color w:val="000000"/>
              </w:rPr>
            </w:pPr>
            <w:r w:rsidRPr="00EB2995">
              <w:rPr>
                <w:rFonts w:cs="Calibri"/>
                <w:b/>
                <w:color w:val="000000"/>
              </w:rPr>
              <w:t>£m</w:t>
            </w:r>
          </w:p>
        </w:tc>
      </w:tr>
      <w:tr w:rsidR="00D53A04" w:rsidRPr="00EB2995" w:rsidTr="00D53A04">
        <w:trPr>
          <w:trHeight w:val="300"/>
        </w:trPr>
        <w:tc>
          <w:tcPr>
            <w:tcW w:w="4253" w:type="dxa"/>
            <w:tcBorders>
              <w:top w:val="nil"/>
              <w:left w:val="nil"/>
              <w:bottom w:val="nil"/>
              <w:right w:val="nil"/>
            </w:tcBorders>
            <w:noWrap/>
            <w:vAlign w:val="bottom"/>
          </w:tcPr>
          <w:p w:rsidR="00D53A04" w:rsidRPr="00EB2995" w:rsidRDefault="00D53A04" w:rsidP="00D53A04">
            <w:pPr>
              <w:rPr>
                <w:rFonts w:cs="Calibri"/>
                <w:color w:val="000000"/>
              </w:rPr>
            </w:pPr>
            <w:r w:rsidRPr="00EB2995">
              <w:rPr>
                <w:rFonts w:cs="Calibri"/>
                <w:color w:val="000000"/>
              </w:rPr>
              <w:t>0.5% decrease in Real Discount Rate</w:t>
            </w:r>
          </w:p>
        </w:tc>
        <w:tc>
          <w:tcPr>
            <w:tcW w:w="2450" w:type="dxa"/>
            <w:tcBorders>
              <w:top w:val="nil"/>
              <w:left w:val="nil"/>
              <w:bottom w:val="nil"/>
              <w:right w:val="nil"/>
            </w:tcBorders>
            <w:noWrap/>
            <w:vAlign w:val="bottom"/>
          </w:tcPr>
          <w:p w:rsidR="00D53A04" w:rsidRPr="00EB2995" w:rsidRDefault="00D53A04" w:rsidP="00D53A04">
            <w:pPr>
              <w:jc w:val="center"/>
              <w:rPr>
                <w:rFonts w:cs="Calibri"/>
                <w:color w:val="000000"/>
              </w:rPr>
            </w:pPr>
            <w:r w:rsidRPr="00EB2995">
              <w:rPr>
                <w:rFonts w:cs="Calibri"/>
                <w:color w:val="000000"/>
              </w:rPr>
              <w:t>9%</w:t>
            </w:r>
          </w:p>
        </w:tc>
        <w:tc>
          <w:tcPr>
            <w:tcW w:w="2409" w:type="dxa"/>
            <w:tcBorders>
              <w:top w:val="nil"/>
              <w:left w:val="nil"/>
              <w:bottom w:val="nil"/>
              <w:right w:val="nil"/>
            </w:tcBorders>
            <w:noWrap/>
            <w:vAlign w:val="bottom"/>
          </w:tcPr>
          <w:p w:rsidR="00D53A04" w:rsidRPr="00EB2995" w:rsidRDefault="00D53A04" w:rsidP="00D53A04">
            <w:pPr>
              <w:jc w:val="right"/>
              <w:rPr>
                <w:rFonts w:cs="Calibri"/>
                <w:color w:val="000000"/>
              </w:rPr>
            </w:pPr>
            <w:r w:rsidRPr="00EB2995">
              <w:rPr>
                <w:rFonts w:cs="Calibri"/>
                <w:color w:val="000000"/>
              </w:rPr>
              <w:t xml:space="preserve">   119.1 </w:t>
            </w:r>
          </w:p>
        </w:tc>
      </w:tr>
      <w:tr w:rsidR="00D53A04" w:rsidRPr="00EB2995" w:rsidTr="00D53A04">
        <w:trPr>
          <w:trHeight w:val="300"/>
        </w:trPr>
        <w:tc>
          <w:tcPr>
            <w:tcW w:w="4253" w:type="dxa"/>
            <w:tcBorders>
              <w:top w:val="nil"/>
              <w:left w:val="nil"/>
              <w:bottom w:val="nil"/>
              <w:right w:val="nil"/>
            </w:tcBorders>
            <w:noWrap/>
            <w:vAlign w:val="bottom"/>
          </w:tcPr>
          <w:p w:rsidR="00D53A04" w:rsidRPr="00EB2995" w:rsidRDefault="00D53A04" w:rsidP="00D53A04">
            <w:pPr>
              <w:rPr>
                <w:rFonts w:cs="Calibri"/>
                <w:color w:val="000000"/>
              </w:rPr>
            </w:pPr>
            <w:r w:rsidRPr="00EB2995">
              <w:rPr>
                <w:rFonts w:cs="Calibri"/>
                <w:color w:val="000000"/>
              </w:rPr>
              <w:t>1 year increase in member life expectancy</w:t>
            </w:r>
          </w:p>
        </w:tc>
        <w:tc>
          <w:tcPr>
            <w:tcW w:w="2450" w:type="dxa"/>
            <w:tcBorders>
              <w:top w:val="nil"/>
              <w:left w:val="nil"/>
              <w:bottom w:val="nil"/>
              <w:right w:val="nil"/>
            </w:tcBorders>
            <w:noWrap/>
            <w:vAlign w:val="bottom"/>
          </w:tcPr>
          <w:p w:rsidR="00D53A04" w:rsidRPr="00EB2995" w:rsidRDefault="00D53A04" w:rsidP="00D53A04">
            <w:pPr>
              <w:jc w:val="center"/>
              <w:rPr>
                <w:rFonts w:cs="Calibri"/>
                <w:color w:val="000000"/>
              </w:rPr>
            </w:pPr>
            <w:r w:rsidRPr="00EB2995">
              <w:rPr>
                <w:rFonts w:cs="Calibri"/>
                <w:color w:val="000000"/>
              </w:rPr>
              <w:t>4%</w:t>
            </w:r>
          </w:p>
        </w:tc>
        <w:tc>
          <w:tcPr>
            <w:tcW w:w="2409" w:type="dxa"/>
            <w:tcBorders>
              <w:top w:val="nil"/>
              <w:left w:val="nil"/>
              <w:bottom w:val="nil"/>
              <w:right w:val="nil"/>
            </w:tcBorders>
            <w:noWrap/>
            <w:vAlign w:val="bottom"/>
          </w:tcPr>
          <w:p w:rsidR="00D53A04" w:rsidRPr="00EB2995" w:rsidRDefault="00D53A04" w:rsidP="00D53A04">
            <w:pPr>
              <w:jc w:val="right"/>
              <w:rPr>
                <w:rFonts w:cs="Calibri"/>
                <w:color w:val="000000"/>
              </w:rPr>
            </w:pPr>
            <w:r w:rsidRPr="00EB2995">
              <w:rPr>
                <w:rFonts w:cs="Calibri"/>
                <w:color w:val="000000"/>
              </w:rPr>
              <w:t xml:space="preserve">55.3 </w:t>
            </w:r>
          </w:p>
        </w:tc>
      </w:tr>
      <w:tr w:rsidR="00D53A04" w:rsidRPr="00EB2995" w:rsidTr="00D53A04">
        <w:trPr>
          <w:trHeight w:val="300"/>
        </w:trPr>
        <w:tc>
          <w:tcPr>
            <w:tcW w:w="4253" w:type="dxa"/>
            <w:tcBorders>
              <w:top w:val="nil"/>
              <w:left w:val="nil"/>
              <w:bottom w:val="nil"/>
              <w:right w:val="nil"/>
            </w:tcBorders>
            <w:noWrap/>
            <w:vAlign w:val="bottom"/>
          </w:tcPr>
          <w:p w:rsidR="00D53A04" w:rsidRPr="00EB2995" w:rsidRDefault="00D53A04" w:rsidP="00D53A04">
            <w:pPr>
              <w:rPr>
                <w:rFonts w:cs="Calibri"/>
                <w:color w:val="000000"/>
                <w:highlight w:val="cyan"/>
              </w:rPr>
            </w:pPr>
            <w:r w:rsidRPr="00EB2995">
              <w:rPr>
                <w:rFonts w:cs="Calibri"/>
                <w:color w:val="000000"/>
              </w:rPr>
              <w:t>0.5% increase in the Salary Increase Rate</w:t>
            </w:r>
          </w:p>
        </w:tc>
        <w:tc>
          <w:tcPr>
            <w:tcW w:w="2450" w:type="dxa"/>
            <w:tcBorders>
              <w:top w:val="nil"/>
              <w:left w:val="nil"/>
              <w:bottom w:val="nil"/>
              <w:right w:val="nil"/>
            </w:tcBorders>
            <w:noWrap/>
            <w:vAlign w:val="bottom"/>
          </w:tcPr>
          <w:p w:rsidR="00D53A04" w:rsidRPr="00EB2995" w:rsidRDefault="00D53A04" w:rsidP="00D53A04">
            <w:pPr>
              <w:jc w:val="center"/>
              <w:rPr>
                <w:rFonts w:cs="Calibri"/>
                <w:color w:val="000000"/>
                <w:highlight w:val="cyan"/>
              </w:rPr>
            </w:pPr>
            <w:r w:rsidRPr="00EB2995">
              <w:rPr>
                <w:rFonts w:cs="Calibri"/>
                <w:color w:val="000000"/>
              </w:rPr>
              <w:t>0%</w:t>
            </w:r>
          </w:p>
        </w:tc>
        <w:tc>
          <w:tcPr>
            <w:tcW w:w="2409" w:type="dxa"/>
            <w:tcBorders>
              <w:top w:val="nil"/>
              <w:left w:val="nil"/>
              <w:bottom w:val="nil"/>
              <w:right w:val="nil"/>
            </w:tcBorders>
            <w:noWrap/>
            <w:vAlign w:val="bottom"/>
          </w:tcPr>
          <w:p w:rsidR="00D53A04" w:rsidRPr="00EB2995" w:rsidRDefault="00D53A04" w:rsidP="00D53A04">
            <w:pPr>
              <w:jc w:val="right"/>
              <w:rPr>
                <w:rFonts w:cs="Calibri"/>
                <w:color w:val="000000"/>
                <w:highlight w:val="cyan"/>
              </w:rPr>
            </w:pPr>
            <w:r w:rsidRPr="00EB2995">
              <w:rPr>
                <w:rFonts w:cs="Calibri"/>
                <w:color w:val="000000"/>
              </w:rPr>
              <w:t xml:space="preserve">6.4 </w:t>
            </w:r>
          </w:p>
        </w:tc>
      </w:tr>
      <w:tr w:rsidR="00D53A04" w:rsidRPr="00EB2995" w:rsidTr="00D53A04">
        <w:trPr>
          <w:trHeight w:val="300"/>
        </w:trPr>
        <w:tc>
          <w:tcPr>
            <w:tcW w:w="4253" w:type="dxa"/>
            <w:tcBorders>
              <w:top w:val="nil"/>
              <w:left w:val="nil"/>
              <w:bottom w:val="nil"/>
              <w:right w:val="nil"/>
            </w:tcBorders>
            <w:noWrap/>
            <w:vAlign w:val="bottom"/>
          </w:tcPr>
          <w:p w:rsidR="00D53A04" w:rsidRPr="00EB2995" w:rsidRDefault="00D53A04" w:rsidP="00D53A04">
            <w:pPr>
              <w:rPr>
                <w:rFonts w:cs="Calibri"/>
                <w:color w:val="000000"/>
                <w:highlight w:val="cyan"/>
              </w:rPr>
            </w:pPr>
            <w:r w:rsidRPr="00EB2995">
              <w:rPr>
                <w:rFonts w:cs="Calibri"/>
                <w:color w:val="000000"/>
              </w:rPr>
              <w:t>0.5% increase in the Pension Increase Rate</w:t>
            </w:r>
          </w:p>
        </w:tc>
        <w:tc>
          <w:tcPr>
            <w:tcW w:w="2450" w:type="dxa"/>
            <w:tcBorders>
              <w:top w:val="nil"/>
              <w:left w:val="nil"/>
              <w:bottom w:val="nil"/>
              <w:right w:val="nil"/>
            </w:tcBorders>
            <w:noWrap/>
            <w:vAlign w:val="bottom"/>
          </w:tcPr>
          <w:p w:rsidR="00D53A04" w:rsidRPr="00EB2995" w:rsidRDefault="00D53A04" w:rsidP="00D53A04">
            <w:pPr>
              <w:jc w:val="center"/>
              <w:rPr>
                <w:rFonts w:cs="Calibri"/>
                <w:color w:val="000000"/>
                <w:highlight w:val="cyan"/>
              </w:rPr>
            </w:pPr>
            <w:r w:rsidRPr="00EB2995">
              <w:rPr>
                <w:rFonts w:cs="Calibri"/>
                <w:color w:val="000000"/>
              </w:rPr>
              <w:t>8%</w:t>
            </w:r>
          </w:p>
        </w:tc>
        <w:tc>
          <w:tcPr>
            <w:tcW w:w="2409" w:type="dxa"/>
            <w:tcBorders>
              <w:top w:val="nil"/>
              <w:left w:val="nil"/>
              <w:bottom w:val="nil"/>
              <w:right w:val="nil"/>
            </w:tcBorders>
            <w:noWrap/>
            <w:vAlign w:val="bottom"/>
          </w:tcPr>
          <w:p w:rsidR="00D53A04" w:rsidRPr="00EB2995" w:rsidRDefault="00D53A04" w:rsidP="00D53A04">
            <w:pPr>
              <w:jc w:val="right"/>
              <w:rPr>
                <w:rFonts w:cs="Calibri"/>
                <w:color w:val="000000"/>
                <w:highlight w:val="cyan"/>
              </w:rPr>
            </w:pPr>
            <w:r w:rsidRPr="00EB2995">
              <w:rPr>
                <w:rFonts w:cs="Calibri"/>
                <w:color w:val="000000"/>
              </w:rPr>
              <w:t xml:space="preserve">   111.9 </w:t>
            </w:r>
          </w:p>
        </w:tc>
      </w:tr>
    </w:tbl>
    <w:p w:rsidR="00D53A04" w:rsidRDefault="00D53A04" w:rsidP="00F72906"/>
    <w:p w:rsidR="00F72906" w:rsidRDefault="00F72906" w:rsidP="00D53A04">
      <w:pPr>
        <w:pStyle w:val="Heading3"/>
      </w:pPr>
      <w:r>
        <w:t>Note 38 – Explanation of Change in Net Pension Liability</w:t>
      </w:r>
    </w:p>
    <w:p w:rsidR="00F72906" w:rsidRDefault="00F72906" w:rsidP="00F72906"/>
    <w:p w:rsidR="00F72906" w:rsidRDefault="00F72906" w:rsidP="00F72906">
      <w:r>
        <w:t xml:space="preserve">The Net Pension Liability has decreased by £265.5m in 2019/20 (increased by £83.9m in 2018/19). </w:t>
      </w:r>
    </w:p>
    <w:p w:rsidR="00F72906" w:rsidRDefault="00F72906" w:rsidP="00F72906"/>
    <w:p w:rsidR="00F72906" w:rsidRDefault="00F72906" w:rsidP="00F72906">
      <w:r>
        <w:t>Following the 2019 Triennial Valuation, the Employer's contributions for the period to 31 March 2021 are estimated to be approximately £31.6m. The deficit recovery period is 19 years. Contributions will remain at 35.0% of pensionable pay in 2020/21. As at the date of the most recent valuation, the duration of Employer’s funded liabilities is 19 years.</w:t>
      </w:r>
    </w:p>
    <w:p w:rsidR="00F72906" w:rsidRDefault="00F72906" w:rsidP="00F72906"/>
    <w:tbl>
      <w:tblPr>
        <w:tblW w:w="6521" w:type="dxa"/>
        <w:tblLook w:val="00A0" w:firstRow="1" w:lastRow="0" w:firstColumn="1" w:lastColumn="0" w:noHBand="0" w:noVBand="0"/>
      </w:tblPr>
      <w:tblGrid>
        <w:gridCol w:w="2228"/>
        <w:gridCol w:w="2167"/>
        <w:gridCol w:w="2126"/>
      </w:tblGrid>
      <w:tr w:rsidR="00D53A04" w:rsidRPr="00EB2995" w:rsidTr="00D53A04">
        <w:trPr>
          <w:trHeight w:val="585"/>
        </w:trPr>
        <w:tc>
          <w:tcPr>
            <w:tcW w:w="2228" w:type="dxa"/>
            <w:tcBorders>
              <w:top w:val="nil"/>
              <w:left w:val="nil"/>
              <w:bottom w:val="nil"/>
              <w:right w:val="nil"/>
            </w:tcBorders>
            <w:noWrap/>
            <w:vAlign w:val="bottom"/>
          </w:tcPr>
          <w:p w:rsidR="00D53A04" w:rsidRPr="00EB2995" w:rsidRDefault="00D53A04" w:rsidP="00D53A04">
            <w:pPr>
              <w:tabs>
                <w:tab w:val="left" w:pos="8222"/>
              </w:tabs>
              <w:rPr>
                <w:rFonts w:cs="Calibri"/>
              </w:rPr>
            </w:pPr>
          </w:p>
        </w:tc>
        <w:tc>
          <w:tcPr>
            <w:tcW w:w="2167" w:type="dxa"/>
            <w:tcBorders>
              <w:top w:val="nil"/>
              <w:left w:val="nil"/>
              <w:bottom w:val="nil"/>
              <w:right w:val="nil"/>
            </w:tcBorders>
          </w:tcPr>
          <w:p w:rsidR="00D53A04" w:rsidRPr="00EB2995" w:rsidRDefault="00D53A04" w:rsidP="00D53A04">
            <w:pPr>
              <w:tabs>
                <w:tab w:val="left" w:pos="8222"/>
              </w:tabs>
              <w:rPr>
                <w:rFonts w:cs="Calibri"/>
                <w:b/>
                <w:color w:val="000000"/>
              </w:rPr>
            </w:pPr>
            <w:r w:rsidRPr="00EB2995">
              <w:rPr>
                <w:rFonts w:cs="Calibri"/>
                <w:b/>
                <w:color w:val="000000"/>
              </w:rPr>
              <w:t>Liability split (£m) as at 31 March 2020</w:t>
            </w:r>
          </w:p>
        </w:tc>
        <w:tc>
          <w:tcPr>
            <w:tcW w:w="2126" w:type="dxa"/>
            <w:tcBorders>
              <w:top w:val="nil"/>
              <w:left w:val="nil"/>
              <w:bottom w:val="nil"/>
              <w:right w:val="nil"/>
            </w:tcBorders>
          </w:tcPr>
          <w:p w:rsidR="00D53A04" w:rsidRPr="00EB2995" w:rsidRDefault="00D53A04" w:rsidP="00D53A04">
            <w:pPr>
              <w:tabs>
                <w:tab w:val="left" w:pos="8222"/>
              </w:tabs>
              <w:rPr>
                <w:rFonts w:cs="Calibri"/>
                <w:b/>
                <w:color w:val="000000"/>
              </w:rPr>
            </w:pPr>
            <w:r w:rsidRPr="00EB2995">
              <w:rPr>
                <w:rFonts w:cs="Calibri"/>
                <w:b/>
                <w:color w:val="000000"/>
              </w:rPr>
              <w:t>Liability split (%) as at 31 March 2020</w:t>
            </w:r>
          </w:p>
        </w:tc>
      </w:tr>
      <w:tr w:rsidR="00D53A04" w:rsidRPr="00EB2995" w:rsidTr="00D53A04">
        <w:trPr>
          <w:trHeight w:val="300"/>
        </w:trPr>
        <w:tc>
          <w:tcPr>
            <w:tcW w:w="2228" w:type="dxa"/>
            <w:tcBorders>
              <w:top w:val="nil"/>
              <w:left w:val="nil"/>
              <w:bottom w:val="nil"/>
              <w:right w:val="nil"/>
            </w:tcBorders>
            <w:noWrap/>
            <w:vAlign w:val="bottom"/>
          </w:tcPr>
          <w:p w:rsidR="00D53A04" w:rsidRPr="00EB2995" w:rsidRDefault="00D53A04" w:rsidP="00D53A04">
            <w:pPr>
              <w:tabs>
                <w:tab w:val="left" w:pos="8222"/>
              </w:tabs>
              <w:rPr>
                <w:rFonts w:cs="Calibri"/>
                <w:color w:val="000000"/>
              </w:rPr>
            </w:pPr>
            <w:r w:rsidRPr="00EB2995">
              <w:rPr>
                <w:rFonts w:cs="Calibri"/>
                <w:color w:val="000000"/>
              </w:rPr>
              <w:t>Active Members</w:t>
            </w:r>
          </w:p>
        </w:tc>
        <w:tc>
          <w:tcPr>
            <w:tcW w:w="2167" w:type="dxa"/>
            <w:tcBorders>
              <w:top w:val="nil"/>
              <w:left w:val="nil"/>
              <w:bottom w:val="nil"/>
              <w:right w:val="nil"/>
            </w:tcBorders>
            <w:noWrap/>
            <w:vAlign w:val="bottom"/>
          </w:tcPr>
          <w:p w:rsidR="00D53A04" w:rsidRPr="00EB2995" w:rsidRDefault="00D53A04" w:rsidP="00D53A04">
            <w:pPr>
              <w:tabs>
                <w:tab w:val="left" w:pos="8222"/>
              </w:tabs>
              <w:rPr>
                <w:rFonts w:cs="Calibri"/>
                <w:color w:val="000000"/>
              </w:rPr>
            </w:pPr>
            <w:r w:rsidRPr="00EB2995">
              <w:rPr>
                <w:rFonts w:cs="Calibri"/>
                <w:color w:val="000000"/>
              </w:rPr>
              <w:t xml:space="preserve">334.0 </w:t>
            </w:r>
          </w:p>
        </w:tc>
        <w:tc>
          <w:tcPr>
            <w:tcW w:w="2126" w:type="dxa"/>
            <w:tcBorders>
              <w:top w:val="nil"/>
              <w:left w:val="nil"/>
              <w:bottom w:val="nil"/>
              <w:right w:val="nil"/>
            </w:tcBorders>
            <w:noWrap/>
            <w:vAlign w:val="bottom"/>
          </w:tcPr>
          <w:p w:rsidR="00D53A04" w:rsidRPr="00EB2995" w:rsidRDefault="00D53A04" w:rsidP="00D53A04">
            <w:pPr>
              <w:tabs>
                <w:tab w:val="left" w:pos="8222"/>
              </w:tabs>
              <w:rPr>
                <w:rFonts w:cs="Calibri"/>
                <w:color w:val="000000"/>
              </w:rPr>
            </w:pPr>
            <w:r w:rsidRPr="00EB2995">
              <w:rPr>
                <w:rFonts w:cs="Calibri"/>
                <w:color w:val="000000"/>
              </w:rPr>
              <w:t>25.0%</w:t>
            </w:r>
          </w:p>
        </w:tc>
      </w:tr>
      <w:tr w:rsidR="00D53A04" w:rsidRPr="00EB2995" w:rsidTr="00D53A04">
        <w:trPr>
          <w:trHeight w:val="300"/>
        </w:trPr>
        <w:tc>
          <w:tcPr>
            <w:tcW w:w="2228" w:type="dxa"/>
            <w:tcBorders>
              <w:top w:val="nil"/>
              <w:left w:val="nil"/>
              <w:bottom w:val="nil"/>
              <w:right w:val="nil"/>
            </w:tcBorders>
            <w:noWrap/>
            <w:vAlign w:val="bottom"/>
          </w:tcPr>
          <w:p w:rsidR="00D53A04" w:rsidRPr="00EB2995" w:rsidRDefault="00D53A04" w:rsidP="00D53A04">
            <w:pPr>
              <w:tabs>
                <w:tab w:val="left" w:pos="8222"/>
              </w:tabs>
              <w:rPr>
                <w:rFonts w:cs="Calibri"/>
                <w:color w:val="000000"/>
              </w:rPr>
            </w:pPr>
            <w:r w:rsidRPr="00EB2995">
              <w:rPr>
                <w:rFonts w:cs="Calibri"/>
                <w:color w:val="000000"/>
              </w:rPr>
              <w:t>Deferred Members</w:t>
            </w:r>
          </w:p>
        </w:tc>
        <w:tc>
          <w:tcPr>
            <w:tcW w:w="2167" w:type="dxa"/>
            <w:tcBorders>
              <w:top w:val="nil"/>
              <w:left w:val="nil"/>
              <w:bottom w:val="nil"/>
              <w:right w:val="nil"/>
            </w:tcBorders>
            <w:noWrap/>
            <w:vAlign w:val="bottom"/>
          </w:tcPr>
          <w:p w:rsidR="00D53A04" w:rsidRPr="00EB2995" w:rsidRDefault="00D53A04" w:rsidP="00D53A04">
            <w:pPr>
              <w:tabs>
                <w:tab w:val="left" w:pos="8222"/>
              </w:tabs>
              <w:rPr>
                <w:rFonts w:cs="Calibri"/>
                <w:color w:val="000000"/>
              </w:rPr>
            </w:pPr>
            <w:r w:rsidRPr="00EB2995">
              <w:rPr>
                <w:rFonts w:cs="Calibri"/>
                <w:color w:val="000000"/>
              </w:rPr>
              <w:t>428.9</w:t>
            </w:r>
          </w:p>
        </w:tc>
        <w:tc>
          <w:tcPr>
            <w:tcW w:w="2126" w:type="dxa"/>
            <w:tcBorders>
              <w:top w:val="nil"/>
              <w:left w:val="nil"/>
              <w:bottom w:val="nil"/>
              <w:right w:val="nil"/>
            </w:tcBorders>
            <w:noWrap/>
            <w:vAlign w:val="bottom"/>
          </w:tcPr>
          <w:p w:rsidR="00D53A04" w:rsidRPr="00EB2995" w:rsidRDefault="00D53A04" w:rsidP="00D53A04">
            <w:pPr>
              <w:tabs>
                <w:tab w:val="left" w:pos="8222"/>
              </w:tabs>
              <w:rPr>
                <w:rFonts w:cs="Calibri"/>
                <w:color w:val="000000"/>
              </w:rPr>
            </w:pPr>
            <w:r w:rsidRPr="00EB2995">
              <w:rPr>
                <w:rFonts w:cs="Calibri"/>
                <w:color w:val="000000"/>
              </w:rPr>
              <w:t>32.1%</w:t>
            </w:r>
          </w:p>
        </w:tc>
      </w:tr>
      <w:tr w:rsidR="00D53A04" w:rsidRPr="00EB2995" w:rsidTr="00D53A04">
        <w:trPr>
          <w:trHeight w:val="300"/>
        </w:trPr>
        <w:tc>
          <w:tcPr>
            <w:tcW w:w="2228" w:type="dxa"/>
            <w:tcBorders>
              <w:top w:val="nil"/>
              <w:left w:val="nil"/>
              <w:bottom w:val="nil"/>
              <w:right w:val="nil"/>
            </w:tcBorders>
            <w:noWrap/>
            <w:vAlign w:val="bottom"/>
          </w:tcPr>
          <w:p w:rsidR="00D53A04" w:rsidRPr="00EB2995" w:rsidRDefault="00D53A04" w:rsidP="00D53A04">
            <w:pPr>
              <w:tabs>
                <w:tab w:val="left" w:pos="8222"/>
              </w:tabs>
              <w:rPr>
                <w:rFonts w:cs="Calibri"/>
                <w:color w:val="000000"/>
              </w:rPr>
            </w:pPr>
            <w:r w:rsidRPr="00EB2995">
              <w:rPr>
                <w:rFonts w:cs="Calibri"/>
                <w:color w:val="000000"/>
              </w:rPr>
              <w:t>Pensioner Members</w:t>
            </w:r>
          </w:p>
        </w:tc>
        <w:tc>
          <w:tcPr>
            <w:tcW w:w="2167" w:type="dxa"/>
            <w:tcBorders>
              <w:top w:val="nil"/>
              <w:left w:val="nil"/>
              <w:bottom w:val="nil"/>
              <w:right w:val="nil"/>
            </w:tcBorders>
            <w:noWrap/>
            <w:vAlign w:val="bottom"/>
          </w:tcPr>
          <w:p w:rsidR="00D53A04" w:rsidRPr="00EB2995" w:rsidRDefault="00D53A04" w:rsidP="00D53A04">
            <w:pPr>
              <w:tabs>
                <w:tab w:val="left" w:pos="8222"/>
              </w:tabs>
              <w:rPr>
                <w:rFonts w:cs="Calibri"/>
                <w:color w:val="000000"/>
              </w:rPr>
            </w:pPr>
            <w:r w:rsidRPr="00EB2995">
              <w:rPr>
                <w:rFonts w:cs="Calibri"/>
                <w:color w:val="000000"/>
              </w:rPr>
              <w:t xml:space="preserve">571.6 </w:t>
            </w:r>
          </w:p>
        </w:tc>
        <w:tc>
          <w:tcPr>
            <w:tcW w:w="2126" w:type="dxa"/>
            <w:tcBorders>
              <w:top w:val="nil"/>
              <w:left w:val="nil"/>
              <w:bottom w:val="nil"/>
              <w:right w:val="nil"/>
            </w:tcBorders>
            <w:noWrap/>
            <w:vAlign w:val="bottom"/>
          </w:tcPr>
          <w:p w:rsidR="00D53A04" w:rsidRPr="00EB2995" w:rsidRDefault="00D53A04" w:rsidP="00D53A04">
            <w:pPr>
              <w:tabs>
                <w:tab w:val="left" w:pos="8222"/>
              </w:tabs>
              <w:rPr>
                <w:rFonts w:cs="Calibri"/>
                <w:color w:val="000000"/>
              </w:rPr>
            </w:pPr>
            <w:r w:rsidRPr="00EB2995">
              <w:rPr>
                <w:rFonts w:cs="Calibri"/>
                <w:color w:val="000000"/>
              </w:rPr>
              <w:t>42.8%</w:t>
            </w:r>
          </w:p>
        </w:tc>
      </w:tr>
      <w:tr w:rsidR="00D53A04" w:rsidRPr="00EB2995" w:rsidTr="00D53A04">
        <w:trPr>
          <w:trHeight w:val="315"/>
        </w:trPr>
        <w:tc>
          <w:tcPr>
            <w:tcW w:w="2228" w:type="dxa"/>
            <w:tcBorders>
              <w:top w:val="nil"/>
              <w:left w:val="nil"/>
              <w:bottom w:val="nil"/>
              <w:right w:val="nil"/>
            </w:tcBorders>
            <w:noWrap/>
            <w:vAlign w:val="bottom"/>
          </w:tcPr>
          <w:p w:rsidR="00D53A04" w:rsidRPr="00EB2995" w:rsidRDefault="00D53A04" w:rsidP="00D53A04">
            <w:pPr>
              <w:tabs>
                <w:tab w:val="left" w:pos="8222"/>
              </w:tabs>
              <w:rPr>
                <w:rFonts w:cs="Calibri"/>
                <w:color w:val="000000"/>
              </w:rPr>
            </w:pPr>
            <w:r w:rsidRPr="00EB2995">
              <w:rPr>
                <w:rFonts w:cs="Calibri"/>
                <w:color w:val="000000"/>
              </w:rPr>
              <w:t>Total Members</w:t>
            </w:r>
          </w:p>
        </w:tc>
        <w:tc>
          <w:tcPr>
            <w:tcW w:w="2167" w:type="dxa"/>
            <w:tcBorders>
              <w:top w:val="single" w:sz="4" w:space="0" w:color="auto"/>
              <w:left w:val="nil"/>
              <w:bottom w:val="single" w:sz="4" w:space="0" w:color="auto"/>
              <w:right w:val="nil"/>
            </w:tcBorders>
            <w:noWrap/>
            <w:vAlign w:val="bottom"/>
          </w:tcPr>
          <w:p w:rsidR="00D53A04" w:rsidRPr="00EB2995" w:rsidRDefault="00D53A04" w:rsidP="009C7D60">
            <w:pPr>
              <w:tabs>
                <w:tab w:val="left" w:pos="8222"/>
              </w:tabs>
              <w:rPr>
                <w:rFonts w:cs="Calibri"/>
                <w:color w:val="000000"/>
              </w:rPr>
            </w:pPr>
            <w:r w:rsidRPr="00EB2995">
              <w:rPr>
                <w:rFonts w:cs="Calibri"/>
                <w:color w:val="000000"/>
              </w:rPr>
              <w:t xml:space="preserve">1,334.5 </w:t>
            </w:r>
          </w:p>
        </w:tc>
        <w:tc>
          <w:tcPr>
            <w:tcW w:w="2126" w:type="dxa"/>
            <w:tcBorders>
              <w:top w:val="single" w:sz="4" w:space="0" w:color="auto"/>
              <w:left w:val="nil"/>
              <w:bottom w:val="single" w:sz="4" w:space="0" w:color="auto"/>
              <w:right w:val="nil"/>
            </w:tcBorders>
            <w:noWrap/>
            <w:vAlign w:val="bottom"/>
          </w:tcPr>
          <w:p w:rsidR="00D53A04" w:rsidRPr="00EB2995" w:rsidRDefault="00D53A04" w:rsidP="00D53A04">
            <w:pPr>
              <w:tabs>
                <w:tab w:val="left" w:pos="8222"/>
              </w:tabs>
              <w:rPr>
                <w:rFonts w:cs="Calibri"/>
                <w:color w:val="000000"/>
              </w:rPr>
            </w:pPr>
            <w:r w:rsidRPr="00EB2995">
              <w:rPr>
                <w:rFonts w:cs="Calibri"/>
                <w:color w:val="000000"/>
              </w:rPr>
              <w:t>100%</w:t>
            </w:r>
          </w:p>
        </w:tc>
      </w:tr>
    </w:tbl>
    <w:p w:rsidR="00F72906" w:rsidRDefault="00F72906" w:rsidP="00F72906"/>
    <w:p w:rsidR="00F72906" w:rsidRDefault="00F72906" w:rsidP="00D53A04">
      <w:pPr>
        <w:pStyle w:val="Heading3"/>
      </w:pPr>
      <w:r>
        <w:t>Note 39 – Basis for Estimating Assets and Liabilities</w:t>
      </w:r>
    </w:p>
    <w:p w:rsidR="00F72906" w:rsidRDefault="00F72906" w:rsidP="00F72906"/>
    <w:p w:rsidR="00F72906" w:rsidRDefault="00F72906" w:rsidP="00F72906">
      <w:r>
        <w:t>The latest full actuarial valuation of the London Borough of Brent's liabilities took place as at 31 March 2019. The principal assumptions used by the independent qualified actuaries in updating the latest valuation of the Fund and assessing discretionary benefit liabilities are set out below:</w:t>
      </w:r>
    </w:p>
    <w:tbl>
      <w:tblPr>
        <w:tblW w:w="8504" w:type="dxa"/>
        <w:tblLook w:val="00A0" w:firstRow="1" w:lastRow="0" w:firstColumn="1" w:lastColumn="0" w:noHBand="0" w:noVBand="0"/>
      </w:tblPr>
      <w:tblGrid>
        <w:gridCol w:w="1134"/>
        <w:gridCol w:w="6236"/>
        <w:gridCol w:w="1134"/>
      </w:tblGrid>
      <w:tr w:rsidR="00D53A04" w:rsidRPr="00EB2995" w:rsidTr="00D53A04">
        <w:trPr>
          <w:trHeight w:val="525"/>
        </w:trPr>
        <w:tc>
          <w:tcPr>
            <w:tcW w:w="1134" w:type="dxa"/>
            <w:tcBorders>
              <w:bottom w:val="single" w:sz="4" w:space="0" w:color="auto"/>
            </w:tcBorders>
            <w:vAlign w:val="bottom"/>
          </w:tcPr>
          <w:p w:rsidR="00D53A04" w:rsidRPr="00EB2995" w:rsidRDefault="00D53A04" w:rsidP="00D53A04">
            <w:pPr>
              <w:jc w:val="right"/>
              <w:rPr>
                <w:rFonts w:cs="Calibri"/>
                <w:b/>
                <w:color w:val="000000"/>
              </w:rPr>
            </w:pPr>
            <w:r w:rsidRPr="00EB2995">
              <w:rPr>
                <w:rFonts w:cs="Calibri"/>
                <w:b/>
                <w:color w:val="000000"/>
              </w:rPr>
              <w:t>2018-19</w:t>
            </w:r>
          </w:p>
        </w:tc>
        <w:tc>
          <w:tcPr>
            <w:tcW w:w="6236" w:type="dxa"/>
            <w:vAlign w:val="bottom"/>
          </w:tcPr>
          <w:p w:rsidR="00D53A04" w:rsidRPr="00EB2995" w:rsidRDefault="00D53A04" w:rsidP="00D53A04">
            <w:pPr>
              <w:jc w:val="right"/>
              <w:rPr>
                <w:rFonts w:cs="Calibri"/>
                <w:b/>
              </w:rPr>
            </w:pPr>
          </w:p>
        </w:tc>
        <w:tc>
          <w:tcPr>
            <w:tcW w:w="1134" w:type="dxa"/>
            <w:tcBorders>
              <w:bottom w:val="single" w:sz="4" w:space="0" w:color="auto"/>
            </w:tcBorders>
            <w:vAlign w:val="bottom"/>
          </w:tcPr>
          <w:p w:rsidR="00D53A04" w:rsidRPr="00EB2995" w:rsidRDefault="00D53A04" w:rsidP="00D53A04">
            <w:pPr>
              <w:jc w:val="right"/>
              <w:rPr>
                <w:rFonts w:cs="Calibri"/>
                <w:b/>
                <w:color w:val="000000"/>
              </w:rPr>
            </w:pPr>
            <w:r w:rsidRPr="00EB2995">
              <w:rPr>
                <w:rFonts w:cs="Calibri"/>
                <w:b/>
                <w:color w:val="000000"/>
              </w:rPr>
              <w:t>2019-20</w:t>
            </w:r>
          </w:p>
        </w:tc>
      </w:tr>
      <w:tr w:rsidR="00D53A04" w:rsidRPr="00EB2995" w:rsidTr="00D53A04">
        <w:trPr>
          <w:trHeight w:val="300"/>
        </w:trPr>
        <w:tc>
          <w:tcPr>
            <w:tcW w:w="1134" w:type="dxa"/>
            <w:tcBorders>
              <w:top w:val="single" w:sz="4" w:space="0" w:color="auto"/>
              <w:left w:val="single" w:sz="4" w:space="0" w:color="auto"/>
              <w:right w:val="single" w:sz="4" w:space="0" w:color="auto"/>
            </w:tcBorders>
            <w:vAlign w:val="bottom"/>
          </w:tcPr>
          <w:p w:rsidR="00D53A04" w:rsidRPr="00EB2995" w:rsidRDefault="00D53A04" w:rsidP="00D53A04">
            <w:pPr>
              <w:jc w:val="right"/>
              <w:rPr>
                <w:rFonts w:cs="Calibri"/>
              </w:rPr>
            </w:pPr>
          </w:p>
        </w:tc>
        <w:tc>
          <w:tcPr>
            <w:tcW w:w="6236" w:type="dxa"/>
            <w:tcBorders>
              <w:left w:val="single" w:sz="4" w:space="0" w:color="auto"/>
              <w:right w:val="single" w:sz="4" w:space="0" w:color="auto"/>
            </w:tcBorders>
            <w:vAlign w:val="bottom"/>
          </w:tcPr>
          <w:p w:rsidR="00D53A04" w:rsidRPr="00EB2995" w:rsidRDefault="00D53A04" w:rsidP="00D53A04">
            <w:pPr>
              <w:rPr>
                <w:rFonts w:cs="Calibri"/>
                <w:b/>
                <w:color w:val="000000"/>
              </w:rPr>
            </w:pPr>
            <w:r w:rsidRPr="00EB2995">
              <w:rPr>
                <w:rFonts w:cs="Calibri"/>
                <w:b/>
                <w:color w:val="000000"/>
              </w:rPr>
              <w:t>Actuarial Assumptions:</w:t>
            </w:r>
          </w:p>
        </w:tc>
        <w:tc>
          <w:tcPr>
            <w:tcW w:w="1134" w:type="dxa"/>
            <w:tcBorders>
              <w:top w:val="single" w:sz="4" w:space="0" w:color="auto"/>
              <w:left w:val="single" w:sz="4" w:space="0" w:color="auto"/>
              <w:right w:val="single" w:sz="4" w:space="0" w:color="auto"/>
            </w:tcBorders>
            <w:vAlign w:val="bottom"/>
          </w:tcPr>
          <w:p w:rsidR="00D53A04" w:rsidRPr="00EB2995" w:rsidRDefault="00D53A04" w:rsidP="00D53A04">
            <w:pPr>
              <w:rPr>
                <w:rFonts w:cs="Calibri"/>
                <w:color w:val="000000"/>
              </w:rPr>
            </w:pPr>
          </w:p>
        </w:tc>
      </w:tr>
      <w:tr w:rsidR="00D53A04" w:rsidRPr="00EB2995" w:rsidTr="00D53A04">
        <w:trPr>
          <w:trHeight w:val="300"/>
        </w:trPr>
        <w:tc>
          <w:tcPr>
            <w:tcW w:w="1134" w:type="dxa"/>
            <w:tcBorders>
              <w:left w:val="single" w:sz="4" w:space="0" w:color="auto"/>
              <w:right w:val="single" w:sz="4" w:space="0" w:color="auto"/>
            </w:tcBorders>
            <w:vAlign w:val="bottom"/>
          </w:tcPr>
          <w:p w:rsidR="00D53A04" w:rsidRPr="00EB2995" w:rsidRDefault="00D53A04" w:rsidP="00D53A04">
            <w:pPr>
              <w:jc w:val="right"/>
              <w:rPr>
                <w:rFonts w:cs="Calibri"/>
                <w:color w:val="000000"/>
              </w:rPr>
            </w:pPr>
            <w:r w:rsidRPr="00EB2995">
              <w:rPr>
                <w:rFonts w:cs="Calibri"/>
                <w:color w:val="000000"/>
              </w:rPr>
              <w:t>22.3</w:t>
            </w:r>
          </w:p>
        </w:tc>
        <w:tc>
          <w:tcPr>
            <w:tcW w:w="6236" w:type="dxa"/>
            <w:tcBorders>
              <w:left w:val="single" w:sz="4" w:space="0" w:color="auto"/>
              <w:right w:val="single" w:sz="4" w:space="0" w:color="auto"/>
            </w:tcBorders>
            <w:vAlign w:val="bottom"/>
          </w:tcPr>
          <w:p w:rsidR="00D53A04" w:rsidRPr="00EB2995" w:rsidRDefault="00D53A04" w:rsidP="00D53A04">
            <w:pPr>
              <w:rPr>
                <w:rFonts w:cs="Calibri"/>
                <w:color w:val="000000"/>
              </w:rPr>
            </w:pPr>
            <w:r w:rsidRPr="00EB2995">
              <w:rPr>
                <w:rFonts w:cs="Calibri"/>
                <w:color w:val="000000"/>
              </w:rPr>
              <w:t>Longevity at 65 for current pensioners:  Men</w:t>
            </w:r>
          </w:p>
        </w:tc>
        <w:tc>
          <w:tcPr>
            <w:tcW w:w="1134" w:type="dxa"/>
            <w:tcBorders>
              <w:left w:val="single" w:sz="4" w:space="0" w:color="auto"/>
              <w:right w:val="single" w:sz="4" w:space="0" w:color="auto"/>
            </w:tcBorders>
            <w:vAlign w:val="bottom"/>
          </w:tcPr>
          <w:p w:rsidR="00D53A04" w:rsidRPr="00EB2995" w:rsidRDefault="00D53A04" w:rsidP="00D53A04">
            <w:pPr>
              <w:jc w:val="right"/>
              <w:rPr>
                <w:rFonts w:cs="Calibri"/>
                <w:color w:val="000000"/>
              </w:rPr>
            </w:pPr>
            <w:r w:rsidRPr="00EB2995">
              <w:rPr>
                <w:rFonts w:cs="Calibri"/>
                <w:color w:val="000000"/>
              </w:rPr>
              <w:t>22.1</w:t>
            </w:r>
          </w:p>
        </w:tc>
      </w:tr>
      <w:tr w:rsidR="00D53A04" w:rsidRPr="00EB2995" w:rsidTr="00D53A04">
        <w:trPr>
          <w:trHeight w:val="300"/>
        </w:trPr>
        <w:tc>
          <w:tcPr>
            <w:tcW w:w="1134" w:type="dxa"/>
            <w:tcBorders>
              <w:left w:val="single" w:sz="4" w:space="0" w:color="auto"/>
              <w:right w:val="single" w:sz="4" w:space="0" w:color="auto"/>
            </w:tcBorders>
            <w:vAlign w:val="bottom"/>
          </w:tcPr>
          <w:p w:rsidR="00D53A04" w:rsidRPr="00EB2995" w:rsidRDefault="00D53A04" w:rsidP="00D53A04">
            <w:pPr>
              <w:jc w:val="right"/>
              <w:rPr>
                <w:rFonts w:cs="Calibri"/>
                <w:color w:val="000000"/>
              </w:rPr>
            </w:pPr>
            <w:r w:rsidRPr="00EB2995">
              <w:rPr>
                <w:rFonts w:cs="Calibri"/>
                <w:color w:val="000000"/>
              </w:rPr>
              <w:t>24.5</w:t>
            </w:r>
          </w:p>
        </w:tc>
        <w:tc>
          <w:tcPr>
            <w:tcW w:w="6236" w:type="dxa"/>
            <w:tcBorders>
              <w:left w:val="single" w:sz="4" w:space="0" w:color="auto"/>
              <w:right w:val="single" w:sz="4" w:space="0" w:color="auto"/>
            </w:tcBorders>
            <w:vAlign w:val="bottom"/>
          </w:tcPr>
          <w:p w:rsidR="00D53A04" w:rsidRPr="00EB2995" w:rsidRDefault="00D53A04" w:rsidP="009C7D60">
            <w:pPr>
              <w:ind w:left="3600"/>
              <w:rPr>
                <w:rFonts w:cs="Calibri"/>
                <w:color w:val="000000"/>
              </w:rPr>
            </w:pPr>
            <w:r w:rsidRPr="00EB2995">
              <w:rPr>
                <w:rFonts w:cs="Calibri"/>
                <w:color w:val="000000"/>
              </w:rPr>
              <w:t>Women</w:t>
            </w:r>
          </w:p>
        </w:tc>
        <w:tc>
          <w:tcPr>
            <w:tcW w:w="1134" w:type="dxa"/>
            <w:tcBorders>
              <w:left w:val="single" w:sz="4" w:space="0" w:color="auto"/>
              <w:right w:val="single" w:sz="4" w:space="0" w:color="auto"/>
            </w:tcBorders>
            <w:vAlign w:val="bottom"/>
          </w:tcPr>
          <w:p w:rsidR="00D53A04" w:rsidRPr="00EB2995" w:rsidRDefault="00D53A04" w:rsidP="00D53A04">
            <w:pPr>
              <w:jc w:val="right"/>
              <w:rPr>
                <w:rFonts w:cs="Calibri"/>
                <w:color w:val="000000"/>
              </w:rPr>
            </w:pPr>
            <w:r w:rsidRPr="00EB2995">
              <w:rPr>
                <w:rFonts w:cs="Calibri"/>
                <w:color w:val="000000"/>
              </w:rPr>
              <w:t>24.3</w:t>
            </w:r>
          </w:p>
        </w:tc>
      </w:tr>
      <w:tr w:rsidR="00D53A04" w:rsidRPr="00EB2995" w:rsidTr="00D53A04">
        <w:trPr>
          <w:trHeight w:val="453"/>
        </w:trPr>
        <w:tc>
          <w:tcPr>
            <w:tcW w:w="1134" w:type="dxa"/>
            <w:tcBorders>
              <w:left w:val="single" w:sz="4" w:space="0" w:color="auto"/>
              <w:right w:val="single" w:sz="4" w:space="0" w:color="auto"/>
            </w:tcBorders>
            <w:vAlign w:val="bottom"/>
          </w:tcPr>
          <w:p w:rsidR="00D53A04" w:rsidRPr="00EB2995" w:rsidRDefault="00D53A04" w:rsidP="00D53A04">
            <w:pPr>
              <w:jc w:val="right"/>
              <w:rPr>
                <w:rFonts w:cs="Calibri"/>
                <w:color w:val="000000"/>
              </w:rPr>
            </w:pPr>
            <w:r w:rsidRPr="00EB2995">
              <w:rPr>
                <w:rFonts w:cs="Calibri"/>
                <w:color w:val="000000"/>
              </w:rPr>
              <w:lastRenderedPageBreak/>
              <w:t>24.1</w:t>
            </w:r>
          </w:p>
        </w:tc>
        <w:tc>
          <w:tcPr>
            <w:tcW w:w="6236" w:type="dxa"/>
            <w:tcBorders>
              <w:left w:val="single" w:sz="4" w:space="0" w:color="auto"/>
              <w:right w:val="single" w:sz="4" w:space="0" w:color="auto"/>
            </w:tcBorders>
            <w:vAlign w:val="bottom"/>
          </w:tcPr>
          <w:p w:rsidR="00D53A04" w:rsidRPr="00EB2995" w:rsidRDefault="00D53A04" w:rsidP="009C7D60">
            <w:pPr>
              <w:rPr>
                <w:rFonts w:cs="Calibri"/>
                <w:color w:val="000000"/>
              </w:rPr>
            </w:pPr>
            <w:r w:rsidRPr="00EB2995">
              <w:rPr>
                <w:rFonts w:cs="Calibri"/>
                <w:color w:val="000000"/>
              </w:rPr>
              <w:t xml:space="preserve">Longevity at 65 for future pensioners: </w:t>
            </w:r>
            <w:r w:rsidR="009C7D60">
              <w:rPr>
                <w:rFonts w:cs="Calibri"/>
                <w:color w:val="000000"/>
              </w:rPr>
              <w:t xml:space="preserve">  </w:t>
            </w:r>
            <w:r w:rsidRPr="00EB2995">
              <w:rPr>
                <w:rFonts w:cs="Calibri"/>
                <w:color w:val="000000"/>
              </w:rPr>
              <w:t>Men</w:t>
            </w:r>
          </w:p>
        </w:tc>
        <w:tc>
          <w:tcPr>
            <w:tcW w:w="1134" w:type="dxa"/>
            <w:tcBorders>
              <w:left w:val="single" w:sz="4" w:space="0" w:color="auto"/>
              <w:right w:val="single" w:sz="4" w:space="0" w:color="auto"/>
            </w:tcBorders>
            <w:vAlign w:val="bottom"/>
          </w:tcPr>
          <w:p w:rsidR="00D53A04" w:rsidRPr="00EB2995" w:rsidRDefault="00D53A04" w:rsidP="00D53A04">
            <w:pPr>
              <w:jc w:val="right"/>
              <w:rPr>
                <w:rFonts w:cs="Calibri"/>
                <w:color w:val="000000"/>
              </w:rPr>
            </w:pPr>
            <w:r w:rsidRPr="00EB2995">
              <w:rPr>
                <w:rFonts w:cs="Calibri"/>
                <w:color w:val="000000"/>
              </w:rPr>
              <w:t>23.0</w:t>
            </w:r>
          </w:p>
        </w:tc>
      </w:tr>
      <w:tr w:rsidR="00D53A04" w:rsidRPr="00EB2995" w:rsidTr="00D53A04">
        <w:trPr>
          <w:trHeight w:val="300"/>
        </w:trPr>
        <w:tc>
          <w:tcPr>
            <w:tcW w:w="1134" w:type="dxa"/>
            <w:tcBorders>
              <w:left w:val="single" w:sz="4" w:space="0" w:color="auto"/>
              <w:right w:val="single" w:sz="4" w:space="0" w:color="auto"/>
            </w:tcBorders>
            <w:vAlign w:val="bottom"/>
          </w:tcPr>
          <w:p w:rsidR="00D53A04" w:rsidRPr="00EB2995" w:rsidRDefault="00D53A04" w:rsidP="00D53A04">
            <w:pPr>
              <w:jc w:val="right"/>
              <w:rPr>
                <w:rFonts w:cs="Calibri"/>
                <w:color w:val="000000"/>
              </w:rPr>
            </w:pPr>
            <w:r w:rsidRPr="00EB2995">
              <w:rPr>
                <w:rFonts w:cs="Calibri"/>
                <w:color w:val="000000"/>
              </w:rPr>
              <w:t>26.4</w:t>
            </w:r>
          </w:p>
        </w:tc>
        <w:tc>
          <w:tcPr>
            <w:tcW w:w="6236" w:type="dxa"/>
            <w:tcBorders>
              <w:left w:val="single" w:sz="4" w:space="0" w:color="auto"/>
              <w:right w:val="single" w:sz="4" w:space="0" w:color="auto"/>
            </w:tcBorders>
            <w:vAlign w:val="bottom"/>
          </w:tcPr>
          <w:p w:rsidR="00D53A04" w:rsidRPr="00EB2995" w:rsidRDefault="00D53A04" w:rsidP="009C7D60">
            <w:pPr>
              <w:ind w:left="3600"/>
              <w:rPr>
                <w:rFonts w:cs="Calibri"/>
                <w:color w:val="000000"/>
              </w:rPr>
            </w:pPr>
            <w:r w:rsidRPr="00EB2995">
              <w:rPr>
                <w:rFonts w:cs="Calibri"/>
                <w:color w:val="000000"/>
              </w:rPr>
              <w:t>Women</w:t>
            </w:r>
          </w:p>
        </w:tc>
        <w:tc>
          <w:tcPr>
            <w:tcW w:w="1134" w:type="dxa"/>
            <w:tcBorders>
              <w:left w:val="single" w:sz="4" w:space="0" w:color="auto"/>
              <w:right w:val="single" w:sz="4" w:space="0" w:color="auto"/>
            </w:tcBorders>
            <w:vAlign w:val="bottom"/>
          </w:tcPr>
          <w:p w:rsidR="00D53A04" w:rsidRPr="00EB2995" w:rsidRDefault="00D53A04" w:rsidP="00D53A04">
            <w:pPr>
              <w:jc w:val="right"/>
              <w:rPr>
                <w:rFonts w:cs="Calibri"/>
                <w:color w:val="000000"/>
              </w:rPr>
            </w:pPr>
            <w:r w:rsidRPr="00EB2995">
              <w:rPr>
                <w:rFonts w:cs="Calibri"/>
                <w:color w:val="000000"/>
              </w:rPr>
              <w:t>25.5</w:t>
            </w:r>
          </w:p>
        </w:tc>
      </w:tr>
      <w:tr w:rsidR="00D53A04" w:rsidRPr="00EB2995" w:rsidTr="00D53A04">
        <w:trPr>
          <w:trHeight w:val="80"/>
        </w:trPr>
        <w:tc>
          <w:tcPr>
            <w:tcW w:w="1134" w:type="dxa"/>
            <w:tcBorders>
              <w:left w:val="single" w:sz="4" w:space="0" w:color="auto"/>
              <w:right w:val="single" w:sz="4" w:space="0" w:color="auto"/>
            </w:tcBorders>
            <w:vAlign w:val="bottom"/>
          </w:tcPr>
          <w:p w:rsidR="00D53A04" w:rsidRPr="00EB2995" w:rsidRDefault="00D53A04" w:rsidP="00D53A04">
            <w:pPr>
              <w:jc w:val="right"/>
              <w:rPr>
                <w:rFonts w:cs="Calibri"/>
                <w:sz w:val="16"/>
              </w:rPr>
            </w:pPr>
          </w:p>
        </w:tc>
        <w:tc>
          <w:tcPr>
            <w:tcW w:w="6236" w:type="dxa"/>
            <w:tcBorders>
              <w:left w:val="single" w:sz="4" w:space="0" w:color="auto"/>
              <w:right w:val="single" w:sz="4" w:space="0" w:color="auto"/>
            </w:tcBorders>
            <w:vAlign w:val="bottom"/>
          </w:tcPr>
          <w:p w:rsidR="00D53A04" w:rsidRPr="00EB2995" w:rsidRDefault="00D53A04" w:rsidP="00D53A04">
            <w:pPr>
              <w:rPr>
                <w:rFonts w:cs="Calibri"/>
                <w:color w:val="000000"/>
                <w:sz w:val="16"/>
              </w:rPr>
            </w:pPr>
          </w:p>
        </w:tc>
        <w:tc>
          <w:tcPr>
            <w:tcW w:w="1134" w:type="dxa"/>
            <w:tcBorders>
              <w:left w:val="single" w:sz="4" w:space="0" w:color="auto"/>
              <w:right w:val="single" w:sz="4" w:space="0" w:color="auto"/>
            </w:tcBorders>
            <w:vAlign w:val="bottom"/>
          </w:tcPr>
          <w:p w:rsidR="00D53A04" w:rsidRPr="00EB2995" w:rsidRDefault="00D53A04" w:rsidP="00D53A04">
            <w:pPr>
              <w:jc w:val="right"/>
              <w:rPr>
                <w:rFonts w:cs="Calibri"/>
                <w:sz w:val="16"/>
              </w:rPr>
            </w:pPr>
          </w:p>
        </w:tc>
      </w:tr>
      <w:tr w:rsidR="00D53A04" w:rsidRPr="00EB2995" w:rsidTr="00D53A04">
        <w:trPr>
          <w:trHeight w:val="300"/>
        </w:trPr>
        <w:tc>
          <w:tcPr>
            <w:tcW w:w="1134" w:type="dxa"/>
            <w:tcBorders>
              <w:left w:val="single" w:sz="4" w:space="0" w:color="auto"/>
              <w:right w:val="single" w:sz="4" w:space="0" w:color="auto"/>
            </w:tcBorders>
            <w:vAlign w:val="bottom"/>
          </w:tcPr>
          <w:p w:rsidR="00D53A04" w:rsidRPr="00EB2995" w:rsidRDefault="00D53A04" w:rsidP="00D53A04">
            <w:pPr>
              <w:jc w:val="right"/>
              <w:rPr>
                <w:rFonts w:cs="Calibri"/>
                <w:color w:val="000000"/>
              </w:rPr>
            </w:pPr>
            <w:r w:rsidRPr="00EB2995">
              <w:rPr>
                <w:rFonts w:cs="Calibri"/>
                <w:color w:val="000000"/>
              </w:rPr>
              <w:t>2.8%</w:t>
            </w:r>
          </w:p>
        </w:tc>
        <w:tc>
          <w:tcPr>
            <w:tcW w:w="6236" w:type="dxa"/>
            <w:tcBorders>
              <w:left w:val="single" w:sz="4" w:space="0" w:color="auto"/>
              <w:right w:val="single" w:sz="4" w:space="0" w:color="auto"/>
            </w:tcBorders>
            <w:vAlign w:val="bottom"/>
          </w:tcPr>
          <w:p w:rsidR="00D53A04" w:rsidRPr="00EB2995" w:rsidRDefault="00D53A04" w:rsidP="00D53A04">
            <w:pPr>
              <w:rPr>
                <w:rFonts w:cs="Calibri"/>
                <w:color w:val="000000"/>
              </w:rPr>
            </w:pPr>
            <w:r w:rsidRPr="00EB2995">
              <w:rPr>
                <w:rFonts w:cs="Calibri"/>
                <w:color w:val="000000"/>
              </w:rPr>
              <w:t>Rate of increase in salaries</w:t>
            </w:r>
          </w:p>
        </w:tc>
        <w:tc>
          <w:tcPr>
            <w:tcW w:w="1134" w:type="dxa"/>
            <w:tcBorders>
              <w:left w:val="single" w:sz="4" w:space="0" w:color="auto"/>
              <w:right w:val="single" w:sz="4" w:space="0" w:color="auto"/>
            </w:tcBorders>
            <w:vAlign w:val="bottom"/>
          </w:tcPr>
          <w:p w:rsidR="00D53A04" w:rsidRPr="00EB2995" w:rsidRDefault="00D53A04" w:rsidP="00D53A04">
            <w:pPr>
              <w:jc w:val="right"/>
              <w:rPr>
                <w:rFonts w:cs="Calibri"/>
                <w:color w:val="000000"/>
              </w:rPr>
            </w:pPr>
            <w:r w:rsidRPr="00EB2995">
              <w:rPr>
                <w:rFonts w:cs="Calibri"/>
                <w:color w:val="000000"/>
              </w:rPr>
              <w:t>2.2%</w:t>
            </w:r>
          </w:p>
        </w:tc>
      </w:tr>
      <w:tr w:rsidR="00D53A04" w:rsidRPr="00EB2995" w:rsidTr="00D53A04">
        <w:trPr>
          <w:trHeight w:val="300"/>
        </w:trPr>
        <w:tc>
          <w:tcPr>
            <w:tcW w:w="1134" w:type="dxa"/>
            <w:tcBorders>
              <w:left w:val="single" w:sz="4" w:space="0" w:color="auto"/>
              <w:right w:val="single" w:sz="4" w:space="0" w:color="auto"/>
            </w:tcBorders>
            <w:vAlign w:val="bottom"/>
          </w:tcPr>
          <w:p w:rsidR="00D53A04" w:rsidRPr="00EB2995" w:rsidRDefault="00D53A04" w:rsidP="00D53A04">
            <w:pPr>
              <w:jc w:val="right"/>
              <w:rPr>
                <w:rFonts w:cs="Calibri"/>
                <w:color w:val="000000"/>
              </w:rPr>
            </w:pPr>
            <w:r w:rsidRPr="00EB2995">
              <w:rPr>
                <w:rFonts w:cs="Calibri"/>
                <w:color w:val="000000"/>
              </w:rPr>
              <w:t>2.5%</w:t>
            </w:r>
          </w:p>
        </w:tc>
        <w:tc>
          <w:tcPr>
            <w:tcW w:w="6236" w:type="dxa"/>
            <w:tcBorders>
              <w:left w:val="single" w:sz="4" w:space="0" w:color="auto"/>
              <w:right w:val="single" w:sz="4" w:space="0" w:color="auto"/>
            </w:tcBorders>
            <w:vAlign w:val="bottom"/>
          </w:tcPr>
          <w:p w:rsidR="00D53A04" w:rsidRPr="00EB2995" w:rsidRDefault="00D53A04" w:rsidP="00D53A04">
            <w:pPr>
              <w:rPr>
                <w:rFonts w:cs="Calibri"/>
                <w:color w:val="000000"/>
              </w:rPr>
            </w:pPr>
            <w:r w:rsidRPr="00EB2995">
              <w:rPr>
                <w:rFonts w:cs="Calibri"/>
                <w:color w:val="000000"/>
              </w:rPr>
              <w:t>Rate of increase in pensions</w:t>
            </w:r>
          </w:p>
        </w:tc>
        <w:tc>
          <w:tcPr>
            <w:tcW w:w="1134" w:type="dxa"/>
            <w:tcBorders>
              <w:left w:val="single" w:sz="4" w:space="0" w:color="auto"/>
              <w:right w:val="single" w:sz="4" w:space="0" w:color="auto"/>
            </w:tcBorders>
            <w:vAlign w:val="bottom"/>
          </w:tcPr>
          <w:p w:rsidR="00D53A04" w:rsidRPr="00EB2995" w:rsidRDefault="00D53A04" w:rsidP="00D53A04">
            <w:pPr>
              <w:jc w:val="right"/>
              <w:rPr>
                <w:rFonts w:cs="Calibri"/>
                <w:color w:val="000000"/>
              </w:rPr>
            </w:pPr>
            <w:r w:rsidRPr="00EB2995">
              <w:rPr>
                <w:rFonts w:cs="Calibri"/>
                <w:color w:val="000000"/>
              </w:rPr>
              <w:t>1.9%</w:t>
            </w:r>
          </w:p>
        </w:tc>
      </w:tr>
      <w:tr w:rsidR="00D53A04" w:rsidRPr="00EB2995" w:rsidTr="00D53A04">
        <w:trPr>
          <w:trHeight w:val="300"/>
        </w:trPr>
        <w:tc>
          <w:tcPr>
            <w:tcW w:w="1134" w:type="dxa"/>
            <w:tcBorders>
              <w:left w:val="single" w:sz="4" w:space="0" w:color="auto"/>
              <w:right w:val="single" w:sz="4" w:space="0" w:color="auto"/>
            </w:tcBorders>
            <w:vAlign w:val="bottom"/>
          </w:tcPr>
          <w:p w:rsidR="00D53A04" w:rsidRPr="00EB2995" w:rsidRDefault="00D53A04" w:rsidP="00D53A04">
            <w:pPr>
              <w:jc w:val="right"/>
              <w:rPr>
                <w:rFonts w:cs="Calibri"/>
                <w:color w:val="000000"/>
              </w:rPr>
            </w:pPr>
            <w:r w:rsidRPr="00EB2995">
              <w:rPr>
                <w:rFonts w:cs="Calibri"/>
                <w:color w:val="000000"/>
              </w:rPr>
              <w:t>2.4%</w:t>
            </w:r>
          </w:p>
        </w:tc>
        <w:tc>
          <w:tcPr>
            <w:tcW w:w="6236" w:type="dxa"/>
            <w:tcBorders>
              <w:left w:val="single" w:sz="4" w:space="0" w:color="auto"/>
              <w:right w:val="single" w:sz="4" w:space="0" w:color="auto"/>
            </w:tcBorders>
            <w:vAlign w:val="bottom"/>
          </w:tcPr>
          <w:p w:rsidR="00D53A04" w:rsidRPr="00EB2995" w:rsidRDefault="00D53A04" w:rsidP="00D53A04">
            <w:pPr>
              <w:rPr>
                <w:rFonts w:cs="Calibri"/>
                <w:color w:val="000000"/>
              </w:rPr>
            </w:pPr>
            <w:r w:rsidRPr="00EB2995">
              <w:rPr>
                <w:rFonts w:cs="Calibri"/>
                <w:color w:val="000000"/>
              </w:rPr>
              <w:t>Rate for discounting scheme liabilities</w:t>
            </w:r>
          </w:p>
        </w:tc>
        <w:tc>
          <w:tcPr>
            <w:tcW w:w="1134" w:type="dxa"/>
            <w:tcBorders>
              <w:left w:val="single" w:sz="4" w:space="0" w:color="auto"/>
              <w:right w:val="single" w:sz="4" w:space="0" w:color="auto"/>
            </w:tcBorders>
            <w:vAlign w:val="bottom"/>
          </w:tcPr>
          <w:p w:rsidR="00D53A04" w:rsidRPr="00EB2995" w:rsidRDefault="00D53A04" w:rsidP="00D53A04">
            <w:pPr>
              <w:jc w:val="right"/>
              <w:rPr>
                <w:rFonts w:cs="Calibri"/>
                <w:color w:val="000000"/>
              </w:rPr>
            </w:pPr>
            <w:r w:rsidRPr="00EB2995">
              <w:rPr>
                <w:rFonts w:cs="Calibri"/>
                <w:color w:val="000000"/>
              </w:rPr>
              <w:t>2.3%</w:t>
            </w:r>
          </w:p>
        </w:tc>
      </w:tr>
      <w:tr w:rsidR="00D53A04" w:rsidRPr="00EB2995" w:rsidTr="00D53A04">
        <w:trPr>
          <w:trHeight w:val="523"/>
        </w:trPr>
        <w:tc>
          <w:tcPr>
            <w:tcW w:w="1134" w:type="dxa"/>
            <w:tcBorders>
              <w:left w:val="single" w:sz="4" w:space="0" w:color="auto"/>
              <w:right w:val="single" w:sz="4" w:space="0" w:color="auto"/>
            </w:tcBorders>
            <w:vAlign w:val="bottom"/>
          </w:tcPr>
          <w:p w:rsidR="00D53A04" w:rsidRPr="00EB2995" w:rsidRDefault="00D53A04" w:rsidP="00D53A04">
            <w:pPr>
              <w:jc w:val="right"/>
              <w:rPr>
                <w:rFonts w:cs="Calibri"/>
                <w:color w:val="000000"/>
              </w:rPr>
            </w:pPr>
            <w:r w:rsidRPr="00EB2995">
              <w:rPr>
                <w:rFonts w:cs="Calibri"/>
                <w:color w:val="000000"/>
              </w:rPr>
              <w:t>50.0%</w:t>
            </w:r>
          </w:p>
        </w:tc>
        <w:tc>
          <w:tcPr>
            <w:tcW w:w="6236" w:type="dxa"/>
            <w:tcBorders>
              <w:left w:val="single" w:sz="4" w:space="0" w:color="auto"/>
              <w:right w:val="single" w:sz="4" w:space="0" w:color="auto"/>
            </w:tcBorders>
            <w:vAlign w:val="bottom"/>
          </w:tcPr>
          <w:p w:rsidR="00D53A04" w:rsidRPr="00EB2995" w:rsidRDefault="00D53A04" w:rsidP="00D53A04">
            <w:pPr>
              <w:rPr>
                <w:rFonts w:cs="Calibri"/>
                <w:color w:val="000000"/>
              </w:rPr>
            </w:pPr>
            <w:r w:rsidRPr="00EB2995">
              <w:rPr>
                <w:rFonts w:cs="Calibri"/>
                <w:color w:val="000000"/>
              </w:rPr>
              <w:t>Take-up of option to convert annual pension into retirement lump sum (pre-April 2008 service)</w:t>
            </w:r>
          </w:p>
        </w:tc>
        <w:tc>
          <w:tcPr>
            <w:tcW w:w="1134" w:type="dxa"/>
            <w:tcBorders>
              <w:left w:val="single" w:sz="4" w:space="0" w:color="auto"/>
              <w:right w:val="single" w:sz="4" w:space="0" w:color="auto"/>
            </w:tcBorders>
            <w:vAlign w:val="bottom"/>
          </w:tcPr>
          <w:p w:rsidR="00D53A04" w:rsidRPr="00EB2995" w:rsidRDefault="00D53A04" w:rsidP="00D53A04">
            <w:pPr>
              <w:jc w:val="right"/>
              <w:rPr>
                <w:rFonts w:cs="Calibri"/>
                <w:color w:val="000000"/>
              </w:rPr>
            </w:pPr>
            <w:r w:rsidRPr="00EB2995">
              <w:rPr>
                <w:rFonts w:cs="Calibri"/>
                <w:color w:val="000000"/>
              </w:rPr>
              <w:t>50.0%</w:t>
            </w:r>
          </w:p>
        </w:tc>
      </w:tr>
      <w:tr w:rsidR="00D53A04" w:rsidRPr="00EB2995" w:rsidTr="00D53A04">
        <w:trPr>
          <w:trHeight w:val="545"/>
        </w:trPr>
        <w:tc>
          <w:tcPr>
            <w:tcW w:w="1134" w:type="dxa"/>
            <w:tcBorders>
              <w:left w:val="single" w:sz="4" w:space="0" w:color="auto"/>
              <w:bottom w:val="single" w:sz="4" w:space="0" w:color="auto"/>
              <w:right w:val="single" w:sz="4" w:space="0" w:color="auto"/>
            </w:tcBorders>
            <w:vAlign w:val="bottom"/>
          </w:tcPr>
          <w:p w:rsidR="00D53A04" w:rsidRPr="00EB2995" w:rsidRDefault="00D53A04" w:rsidP="00D53A04">
            <w:pPr>
              <w:jc w:val="right"/>
              <w:rPr>
                <w:rFonts w:cs="Calibri"/>
                <w:color w:val="000000"/>
              </w:rPr>
            </w:pPr>
            <w:r w:rsidRPr="00EB2995">
              <w:rPr>
                <w:rFonts w:cs="Calibri"/>
                <w:color w:val="000000"/>
              </w:rPr>
              <w:t>75.0%</w:t>
            </w:r>
          </w:p>
        </w:tc>
        <w:tc>
          <w:tcPr>
            <w:tcW w:w="6236" w:type="dxa"/>
            <w:tcBorders>
              <w:left w:val="single" w:sz="4" w:space="0" w:color="auto"/>
              <w:right w:val="single" w:sz="4" w:space="0" w:color="auto"/>
            </w:tcBorders>
            <w:vAlign w:val="bottom"/>
          </w:tcPr>
          <w:p w:rsidR="00D53A04" w:rsidRPr="00EB2995" w:rsidRDefault="00D53A04" w:rsidP="00D53A04">
            <w:pPr>
              <w:rPr>
                <w:rFonts w:cs="Calibri"/>
                <w:color w:val="000000"/>
              </w:rPr>
            </w:pPr>
            <w:r w:rsidRPr="00EB2995">
              <w:rPr>
                <w:rFonts w:cs="Calibri"/>
                <w:color w:val="000000"/>
              </w:rPr>
              <w:t>Take-up of option to convert annual pension into retirement lump sum (post-April 2008 service)</w:t>
            </w:r>
          </w:p>
        </w:tc>
        <w:tc>
          <w:tcPr>
            <w:tcW w:w="1134" w:type="dxa"/>
            <w:tcBorders>
              <w:left w:val="single" w:sz="4" w:space="0" w:color="auto"/>
              <w:bottom w:val="single" w:sz="4" w:space="0" w:color="auto"/>
              <w:right w:val="single" w:sz="4" w:space="0" w:color="auto"/>
            </w:tcBorders>
            <w:vAlign w:val="bottom"/>
          </w:tcPr>
          <w:p w:rsidR="00D53A04" w:rsidRPr="00EB2995" w:rsidRDefault="00D53A04" w:rsidP="00D53A04">
            <w:pPr>
              <w:jc w:val="right"/>
              <w:rPr>
                <w:rFonts w:cs="Calibri"/>
                <w:color w:val="000000"/>
              </w:rPr>
            </w:pPr>
            <w:r w:rsidRPr="00EB2995">
              <w:rPr>
                <w:rFonts w:cs="Calibri"/>
                <w:color w:val="000000"/>
              </w:rPr>
              <w:t>75.0%</w:t>
            </w:r>
          </w:p>
        </w:tc>
      </w:tr>
    </w:tbl>
    <w:p w:rsidR="00F72906" w:rsidRDefault="00F72906" w:rsidP="00F72906"/>
    <w:p w:rsidR="00F72906" w:rsidRPr="00D53A04" w:rsidRDefault="00F72906" w:rsidP="00F72906">
      <w:pPr>
        <w:rPr>
          <w:u w:val="single"/>
        </w:rPr>
      </w:pPr>
    </w:p>
    <w:p w:rsidR="00F72906" w:rsidRPr="00D53A04" w:rsidRDefault="00F72906" w:rsidP="00F72906">
      <w:pPr>
        <w:rPr>
          <w:u w:val="single"/>
        </w:rPr>
      </w:pPr>
      <w:r w:rsidRPr="00D53A04">
        <w:rPr>
          <w:u w:val="single"/>
        </w:rPr>
        <w:t>Impac</w:t>
      </w:r>
      <w:r w:rsidR="00D53A04">
        <w:rPr>
          <w:u w:val="single"/>
        </w:rPr>
        <w:t>t on the Authority’s Cash Flows</w:t>
      </w:r>
    </w:p>
    <w:p w:rsidR="00F72906" w:rsidRDefault="00F72906" w:rsidP="00F72906">
      <w:r>
        <w:t>The objectives of the scheme are to keep employers’ contributions at as constant a rate as possible. The Council has agreed a strategy with the scheme’s actuary to achieve a funding level of 100% over the next 19 years from April 2019. Funding levels are monitored on an annual basis.</w:t>
      </w:r>
    </w:p>
    <w:p w:rsidR="00F72906" w:rsidRDefault="00F72906" w:rsidP="00F72906"/>
    <w:p w:rsidR="00F72906" w:rsidRDefault="00F72906" w:rsidP="00F72906">
      <w:r>
        <w:t>The scheme will need to take account of the national changes to the scheme under the Public Pensions Services Act 2013. Under the Act, the Local Government Pension Scheme in England and Wales and the other main existing public service schemes may not provide benefits in relation to service after 31 March 2014 (or service after 31 March 2015 for other main existing public service pension schemes in England and Wales). The Act provides for scheme regulations to be made within a common framework, to establish new career average revalued earnings schemes to pay pensions and other benefits to certain public servants.</w:t>
      </w:r>
    </w:p>
    <w:p w:rsidR="00F72906" w:rsidRDefault="00F72906" w:rsidP="00F72906"/>
    <w:p w:rsidR="00D53A04" w:rsidRDefault="00D53A04" w:rsidP="00D53A04">
      <w:pPr>
        <w:pStyle w:val="Heading3"/>
        <w:sectPr w:rsidR="00D53A04" w:rsidSect="00D934C4">
          <w:pgSz w:w="11906" w:h="16838"/>
          <w:pgMar w:top="1440" w:right="1440" w:bottom="1440" w:left="709" w:header="708" w:footer="708" w:gutter="0"/>
          <w:cols w:space="708"/>
          <w:docGrid w:linePitch="360"/>
        </w:sectPr>
      </w:pPr>
    </w:p>
    <w:p w:rsidR="00F72906" w:rsidRDefault="00F72906" w:rsidP="00D53A04">
      <w:pPr>
        <w:pStyle w:val="Heading3"/>
      </w:pPr>
      <w:r>
        <w:lastRenderedPageBreak/>
        <w:t>Note 40 – Fair value of employers assets (bid value)</w:t>
      </w:r>
    </w:p>
    <w:tbl>
      <w:tblPr>
        <w:tblW w:w="13912" w:type="dxa"/>
        <w:tblLook w:val="00A0" w:firstRow="1" w:lastRow="0" w:firstColumn="1" w:lastColumn="0" w:noHBand="0" w:noVBand="0"/>
      </w:tblPr>
      <w:tblGrid>
        <w:gridCol w:w="1260"/>
        <w:gridCol w:w="1260"/>
        <w:gridCol w:w="1248"/>
        <w:gridCol w:w="1274"/>
        <w:gridCol w:w="3235"/>
        <w:gridCol w:w="1249"/>
        <w:gridCol w:w="1249"/>
        <w:gridCol w:w="1249"/>
        <w:gridCol w:w="1291"/>
        <w:gridCol w:w="597"/>
      </w:tblGrid>
      <w:tr w:rsidR="00D53A04" w:rsidRPr="00EB2995" w:rsidTr="00D53A04">
        <w:trPr>
          <w:trHeight w:val="305"/>
        </w:trPr>
        <w:tc>
          <w:tcPr>
            <w:tcW w:w="5042" w:type="dxa"/>
            <w:gridSpan w:val="4"/>
            <w:tcBorders>
              <w:top w:val="nil"/>
              <w:left w:val="nil"/>
              <w:bottom w:val="nil"/>
              <w:right w:val="nil"/>
            </w:tcBorders>
            <w:noWrap/>
          </w:tcPr>
          <w:p w:rsidR="00D53A04" w:rsidRPr="00EB2995" w:rsidRDefault="00D53A04" w:rsidP="00D53A04">
            <w:pPr>
              <w:jc w:val="center"/>
              <w:rPr>
                <w:rFonts w:cs="Calibri"/>
                <w:b/>
              </w:rPr>
            </w:pPr>
            <w:r w:rsidRPr="00EB2995">
              <w:rPr>
                <w:rFonts w:cs="Calibri"/>
                <w:b/>
                <w:color w:val="000000"/>
              </w:rPr>
              <w:t>31-Mar-2019</w:t>
            </w:r>
          </w:p>
        </w:tc>
        <w:tc>
          <w:tcPr>
            <w:tcW w:w="3235" w:type="dxa"/>
            <w:tcBorders>
              <w:top w:val="nil"/>
              <w:left w:val="nil"/>
              <w:bottom w:val="nil"/>
              <w:right w:val="nil"/>
            </w:tcBorders>
            <w:noWrap/>
          </w:tcPr>
          <w:p w:rsidR="00D53A04" w:rsidRPr="00EB2995" w:rsidRDefault="00D53A04" w:rsidP="00D53A04">
            <w:pPr>
              <w:rPr>
                <w:rFonts w:cs="Calibri"/>
                <w:b/>
              </w:rPr>
            </w:pPr>
          </w:p>
        </w:tc>
        <w:tc>
          <w:tcPr>
            <w:tcW w:w="5038" w:type="dxa"/>
            <w:gridSpan w:val="4"/>
            <w:tcBorders>
              <w:top w:val="nil"/>
              <w:left w:val="nil"/>
              <w:bottom w:val="nil"/>
              <w:right w:val="nil"/>
            </w:tcBorders>
            <w:noWrap/>
          </w:tcPr>
          <w:p w:rsidR="00D53A04" w:rsidRPr="00EB2995" w:rsidRDefault="00D53A04" w:rsidP="00D53A04">
            <w:pPr>
              <w:jc w:val="center"/>
              <w:rPr>
                <w:rFonts w:cs="Calibri"/>
                <w:b/>
              </w:rPr>
            </w:pPr>
            <w:r w:rsidRPr="00EB2995">
              <w:rPr>
                <w:rFonts w:cs="Calibri"/>
                <w:b/>
                <w:color w:val="000000"/>
              </w:rPr>
              <w:t>31-Mar-2020</w:t>
            </w:r>
          </w:p>
        </w:tc>
        <w:tc>
          <w:tcPr>
            <w:tcW w:w="597" w:type="dxa"/>
            <w:tcBorders>
              <w:top w:val="nil"/>
              <w:left w:val="nil"/>
              <w:bottom w:val="nil"/>
              <w:right w:val="nil"/>
            </w:tcBorders>
            <w:noWrap/>
          </w:tcPr>
          <w:p w:rsidR="00D53A04" w:rsidRPr="00EB2995" w:rsidRDefault="00D53A04" w:rsidP="00D53A04">
            <w:pPr>
              <w:rPr>
                <w:rFonts w:cs="Calibri"/>
              </w:rPr>
            </w:pPr>
          </w:p>
        </w:tc>
      </w:tr>
      <w:tr w:rsidR="00D53A04" w:rsidRPr="00EB2995" w:rsidTr="00D53A04">
        <w:trPr>
          <w:trHeight w:val="1023"/>
        </w:trPr>
        <w:tc>
          <w:tcPr>
            <w:tcW w:w="1260" w:type="dxa"/>
            <w:tcBorders>
              <w:top w:val="nil"/>
              <w:left w:val="nil"/>
              <w:right w:val="nil"/>
            </w:tcBorders>
          </w:tcPr>
          <w:p w:rsidR="00D53A04" w:rsidRPr="00EB2995" w:rsidRDefault="00D53A04" w:rsidP="00D53A04">
            <w:pPr>
              <w:jc w:val="right"/>
              <w:rPr>
                <w:rFonts w:cs="Calibri"/>
                <w:b/>
                <w:color w:val="000000"/>
              </w:rPr>
            </w:pPr>
            <w:r w:rsidRPr="00EB2995">
              <w:rPr>
                <w:rFonts w:cs="Calibri"/>
                <w:b/>
                <w:color w:val="000000"/>
              </w:rPr>
              <w:t>Quoted prices in active markets</w:t>
            </w:r>
          </w:p>
        </w:tc>
        <w:tc>
          <w:tcPr>
            <w:tcW w:w="1260" w:type="dxa"/>
            <w:tcBorders>
              <w:top w:val="nil"/>
              <w:left w:val="nil"/>
              <w:right w:val="nil"/>
            </w:tcBorders>
          </w:tcPr>
          <w:p w:rsidR="00D53A04" w:rsidRPr="00EB2995" w:rsidRDefault="00D53A04" w:rsidP="00D53A04">
            <w:pPr>
              <w:jc w:val="right"/>
              <w:rPr>
                <w:rFonts w:cs="Calibri"/>
                <w:b/>
                <w:color w:val="000000"/>
              </w:rPr>
            </w:pPr>
            <w:r w:rsidRPr="00EB2995">
              <w:rPr>
                <w:rFonts w:cs="Calibri"/>
                <w:b/>
                <w:color w:val="000000"/>
              </w:rPr>
              <w:t>Quoted prices not in active markets</w:t>
            </w:r>
          </w:p>
        </w:tc>
        <w:tc>
          <w:tcPr>
            <w:tcW w:w="1248" w:type="dxa"/>
            <w:tcBorders>
              <w:top w:val="nil"/>
              <w:left w:val="nil"/>
              <w:right w:val="nil"/>
            </w:tcBorders>
            <w:noWrap/>
          </w:tcPr>
          <w:p w:rsidR="00D53A04" w:rsidRPr="00EB2995" w:rsidRDefault="00D53A04" w:rsidP="00D53A04">
            <w:pPr>
              <w:jc w:val="right"/>
              <w:rPr>
                <w:rFonts w:cs="Calibri"/>
                <w:b/>
                <w:color w:val="000000"/>
              </w:rPr>
            </w:pPr>
            <w:r w:rsidRPr="00EB2995">
              <w:rPr>
                <w:rFonts w:cs="Calibri"/>
                <w:b/>
                <w:color w:val="000000"/>
              </w:rPr>
              <w:t>Total</w:t>
            </w:r>
          </w:p>
        </w:tc>
        <w:tc>
          <w:tcPr>
            <w:tcW w:w="1274" w:type="dxa"/>
            <w:tcBorders>
              <w:top w:val="nil"/>
              <w:left w:val="nil"/>
              <w:right w:val="nil"/>
            </w:tcBorders>
          </w:tcPr>
          <w:p w:rsidR="00D53A04" w:rsidRPr="00EB2995" w:rsidRDefault="00D53A04" w:rsidP="00D53A04">
            <w:pPr>
              <w:jc w:val="right"/>
              <w:rPr>
                <w:rFonts w:cs="Calibri"/>
                <w:b/>
                <w:color w:val="000000"/>
              </w:rPr>
            </w:pPr>
            <w:r w:rsidRPr="00EB2995">
              <w:rPr>
                <w:rFonts w:cs="Calibri"/>
                <w:b/>
                <w:color w:val="000000"/>
              </w:rPr>
              <w:t>Percentage of Total Assets</w:t>
            </w:r>
          </w:p>
        </w:tc>
        <w:tc>
          <w:tcPr>
            <w:tcW w:w="3235" w:type="dxa"/>
            <w:tcBorders>
              <w:top w:val="nil"/>
              <w:left w:val="nil"/>
              <w:right w:val="nil"/>
            </w:tcBorders>
          </w:tcPr>
          <w:p w:rsidR="00D53A04" w:rsidRPr="00EB2995" w:rsidRDefault="00D53A04" w:rsidP="00D53A04">
            <w:pPr>
              <w:rPr>
                <w:rFonts w:cs="Calibri"/>
                <w:b/>
                <w:color w:val="000000"/>
              </w:rPr>
            </w:pPr>
            <w:r w:rsidRPr="00EB2995">
              <w:rPr>
                <w:rFonts w:cs="Calibri"/>
                <w:b/>
                <w:color w:val="000000"/>
              </w:rPr>
              <w:t>Asset Category</w:t>
            </w:r>
          </w:p>
        </w:tc>
        <w:tc>
          <w:tcPr>
            <w:tcW w:w="1249" w:type="dxa"/>
            <w:tcBorders>
              <w:top w:val="nil"/>
              <w:left w:val="nil"/>
              <w:right w:val="nil"/>
            </w:tcBorders>
          </w:tcPr>
          <w:p w:rsidR="00D53A04" w:rsidRPr="00EB2995" w:rsidRDefault="00D53A04" w:rsidP="00D53A04">
            <w:pPr>
              <w:jc w:val="right"/>
              <w:rPr>
                <w:rFonts w:cs="Calibri"/>
                <w:b/>
                <w:color w:val="000000"/>
              </w:rPr>
            </w:pPr>
            <w:r w:rsidRPr="00EB2995">
              <w:rPr>
                <w:rFonts w:cs="Calibri"/>
                <w:b/>
                <w:color w:val="000000"/>
              </w:rPr>
              <w:t>Quoted prices in active markets</w:t>
            </w:r>
          </w:p>
        </w:tc>
        <w:tc>
          <w:tcPr>
            <w:tcW w:w="1249" w:type="dxa"/>
            <w:tcBorders>
              <w:top w:val="nil"/>
              <w:left w:val="nil"/>
              <w:right w:val="nil"/>
            </w:tcBorders>
          </w:tcPr>
          <w:p w:rsidR="00D53A04" w:rsidRPr="00EB2995" w:rsidRDefault="00D53A04" w:rsidP="00D53A04">
            <w:pPr>
              <w:jc w:val="right"/>
              <w:rPr>
                <w:rFonts w:cs="Calibri"/>
                <w:b/>
                <w:color w:val="000000"/>
              </w:rPr>
            </w:pPr>
            <w:r w:rsidRPr="00EB2995">
              <w:rPr>
                <w:rFonts w:cs="Calibri"/>
                <w:b/>
                <w:color w:val="000000"/>
              </w:rPr>
              <w:t>Quoted prices not in active markets</w:t>
            </w:r>
          </w:p>
        </w:tc>
        <w:tc>
          <w:tcPr>
            <w:tcW w:w="1249" w:type="dxa"/>
            <w:tcBorders>
              <w:top w:val="nil"/>
              <w:left w:val="nil"/>
              <w:right w:val="nil"/>
            </w:tcBorders>
            <w:noWrap/>
          </w:tcPr>
          <w:p w:rsidR="00D53A04" w:rsidRPr="00EB2995" w:rsidRDefault="00D53A04" w:rsidP="00D53A04">
            <w:pPr>
              <w:jc w:val="right"/>
              <w:rPr>
                <w:rFonts w:cs="Calibri"/>
                <w:b/>
                <w:color w:val="000000"/>
              </w:rPr>
            </w:pPr>
            <w:r w:rsidRPr="00EB2995">
              <w:rPr>
                <w:rFonts w:cs="Calibri"/>
                <w:b/>
                <w:color w:val="000000"/>
              </w:rPr>
              <w:t>Total</w:t>
            </w:r>
          </w:p>
        </w:tc>
        <w:tc>
          <w:tcPr>
            <w:tcW w:w="1291" w:type="dxa"/>
            <w:tcBorders>
              <w:top w:val="nil"/>
              <w:left w:val="nil"/>
              <w:right w:val="nil"/>
            </w:tcBorders>
          </w:tcPr>
          <w:p w:rsidR="00D53A04" w:rsidRPr="00EB2995" w:rsidRDefault="00D53A04" w:rsidP="00D53A04">
            <w:pPr>
              <w:jc w:val="right"/>
              <w:rPr>
                <w:rFonts w:cs="Calibri"/>
                <w:b/>
                <w:color w:val="000000"/>
              </w:rPr>
            </w:pPr>
            <w:r w:rsidRPr="00EB2995">
              <w:rPr>
                <w:rFonts w:cs="Calibri"/>
                <w:b/>
                <w:color w:val="000000"/>
              </w:rPr>
              <w:t>Percentage of Total Assets</w:t>
            </w:r>
          </w:p>
        </w:tc>
        <w:tc>
          <w:tcPr>
            <w:tcW w:w="597" w:type="dxa"/>
            <w:tcBorders>
              <w:top w:val="nil"/>
              <w:left w:val="nil"/>
              <w:bottom w:val="nil"/>
              <w:right w:val="nil"/>
            </w:tcBorders>
            <w:noWrap/>
          </w:tcPr>
          <w:p w:rsidR="00D53A04" w:rsidRPr="00EB2995" w:rsidRDefault="00D53A04" w:rsidP="00D53A04">
            <w:pPr>
              <w:rPr>
                <w:rFonts w:cs="Calibri"/>
              </w:rPr>
            </w:pPr>
          </w:p>
        </w:tc>
      </w:tr>
      <w:tr w:rsidR="00D53A04" w:rsidRPr="00EB2995" w:rsidTr="00D53A04">
        <w:trPr>
          <w:trHeight w:val="305"/>
        </w:trPr>
        <w:tc>
          <w:tcPr>
            <w:tcW w:w="1260" w:type="dxa"/>
            <w:tcBorders>
              <w:bottom w:val="single" w:sz="4" w:space="0" w:color="auto"/>
            </w:tcBorders>
            <w:noWrap/>
          </w:tcPr>
          <w:p w:rsidR="00D53A04" w:rsidRPr="00EB2995" w:rsidRDefault="00D53A04" w:rsidP="00D53A04">
            <w:pPr>
              <w:jc w:val="right"/>
              <w:rPr>
                <w:rFonts w:cs="Calibri"/>
                <w:b/>
                <w:color w:val="000000"/>
              </w:rPr>
            </w:pPr>
            <w:r w:rsidRPr="00EB2995">
              <w:rPr>
                <w:rFonts w:cs="Calibri"/>
                <w:b/>
                <w:color w:val="000000"/>
              </w:rPr>
              <w:t>£m</w:t>
            </w:r>
          </w:p>
        </w:tc>
        <w:tc>
          <w:tcPr>
            <w:tcW w:w="1260" w:type="dxa"/>
            <w:tcBorders>
              <w:bottom w:val="single" w:sz="4" w:space="0" w:color="auto"/>
            </w:tcBorders>
            <w:noWrap/>
          </w:tcPr>
          <w:p w:rsidR="00D53A04" w:rsidRPr="00EB2995" w:rsidRDefault="00D53A04" w:rsidP="00D53A04">
            <w:pPr>
              <w:jc w:val="right"/>
              <w:rPr>
                <w:rFonts w:cs="Calibri"/>
                <w:b/>
                <w:color w:val="000000"/>
              </w:rPr>
            </w:pPr>
            <w:r w:rsidRPr="00EB2995">
              <w:rPr>
                <w:rFonts w:cs="Calibri"/>
                <w:b/>
                <w:color w:val="000000"/>
              </w:rPr>
              <w:t>£m</w:t>
            </w:r>
          </w:p>
        </w:tc>
        <w:tc>
          <w:tcPr>
            <w:tcW w:w="1248" w:type="dxa"/>
            <w:tcBorders>
              <w:bottom w:val="single" w:sz="4" w:space="0" w:color="auto"/>
            </w:tcBorders>
            <w:noWrap/>
          </w:tcPr>
          <w:p w:rsidR="00D53A04" w:rsidRPr="00EB2995" w:rsidRDefault="00D53A04" w:rsidP="00D53A04">
            <w:pPr>
              <w:jc w:val="right"/>
              <w:rPr>
                <w:rFonts w:cs="Calibri"/>
                <w:b/>
                <w:color w:val="000000"/>
              </w:rPr>
            </w:pPr>
            <w:r w:rsidRPr="00EB2995">
              <w:rPr>
                <w:rFonts w:cs="Calibri"/>
                <w:b/>
                <w:color w:val="000000"/>
              </w:rPr>
              <w:t>£m</w:t>
            </w:r>
          </w:p>
        </w:tc>
        <w:tc>
          <w:tcPr>
            <w:tcW w:w="1274" w:type="dxa"/>
            <w:tcBorders>
              <w:bottom w:val="single" w:sz="4" w:space="0" w:color="auto"/>
            </w:tcBorders>
            <w:noWrap/>
          </w:tcPr>
          <w:p w:rsidR="00D53A04" w:rsidRPr="00EB2995" w:rsidRDefault="00D53A04" w:rsidP="00D53A04">
            <w:pPr>
              <w:jc w:val="right"/>
              <w:rPr>
                <w:rFonts w:cs="Calibri"/>
                <w:b/>
                <w:color w:val="000000"/>
              </w:rPr>
            </w:pPr>
            <w:r w:rsidRPr="00EB2995">
              <w:rPr>
                <w:rFonts w:cs="Calibri"/>
                <w:b/>
                <w:color w:val="000000"/>
              </w:rPr>
              <w:t>%</w:t>
            </w:r>
          </w:p>
        </w:tc>
        <w:tc>
          <w:tcPr>
            <w:tcW w:w="3235" w:type="dxa"/>
            <w:tcBorders>
              <w:bottom w:val="nil"/>
            </w:tcBorders>
            <w:noWrap/>
          </w:tcPr>
          <w:p w:rsidR="00D53A04" w:rsidRPr="00EB2995" w:rsidRDefault="00D53A04" w:rsidP="00D53A04">
            <w:pPr>
              <w:rPr>
                <w:rFonts w:cs="Calibri"/>
                <w:b/>
                <w:color w:val="000000"/>
              </w:rPr>
            </w:pPr>
          </w:p>
        </w:tc>
        <w:tc>
          <w:tcPr>
            <w:tcW w:w="1249" w:type="dxa"/>
            <w:tcBorders>
              <w:bottom w:val="single" w:sz="4" w:space="0" w:color="auto"/>
            </w:tcBorders>
            <w:noWrap/>
          </w:tcPr>
          <w:p w:rsidR="00D53A04" w:rsidRPr="00EB2995" w:rsidRDefault="00D53A04" w:rsidP="00D53A04">
            <w:pPr>
              <w:jc w:val="right"/>
              <w:rPr>
                <w:rFonts w:cs="Calibri"/>
                <w:b/>
                <w:color w:val="000000"/>
              </w:rPr>
            </w:pPr>
            <w:r w:rsidRPr="00EB2995">
              <w:rPr>
                <w:rFonts w:cs="Calibri"/>
                <w:b/>
                <w:color w:val="000000"/>
              </w:rPr>
              <w:t>£m</w:t>
            </w:r>
          </w:p>
        </w:tc>
        <w:tc>
          <w:tcPr>
            <w:tcW w:w="1249" w:type="dxa"/>
            <w:tcBorders>
              <w:bottom w:val="single" w:sz="4" w:space="0" w:color="auto"/>
            </w:tcBorders>
            <w:noWrap/>
          </w:tcPr>
          <w:p w:rsidR="00D53A04" w:rsidRPr="00EB2995" w:rsidRDefault="00D53A04" w:rsidP="00D53A04">
            <w:pPr>
              <w:jc w:val="right"/>
              <w:rPr>
                <w:rFonts w:cs="Calibri"/>
                <w:b/>
                <w:color w:val="000000"/>
              </w:rPr>
            </w:pPr>
            <w:r w:rsidRPr="00EB2995">
              <w:rPr>
                <w:rFonts w:cs="Calibri"/>
                <w:b/>
                <w:color w:val="000000"/>
              </w:rPr>
              <w:t>£m</w:t>
            </w:r>
          </w:p>
        </w:tc>
        <w:tc>
          <w:tcPr>
            <w:tcW w:w="1249" w:type="dxa"/>
            <w:tcBorders>
              <w:bottom w:val="single" w:sz="4" w:space="0" w:color="auto"/>
            </w:tcBorders>
            <w:noWrap/>
          </w:tcPr>
          <w:p w:rsidR="00D53A04" w:rsidRPr="00EB2995" w:rsidRDefault="00D53A04" w:rsidP="00D53A04">
            <w:pPr>
              <w:jc w:val="right"/>
              <w:rPr>
                <w:rFonts w:cs="Calibri"/>
                <w:b/>
                <w:color w:val="000000"/>
              </w:rPr>
            </w:pPr>
            <w:r w:rsidRPr="00EB2995">
              <w:rPr>
                <w:rFonts w:cs="Calibri"/>
                <w:b/>
                <w:color w:val="000000"/>
              </w:rPr>
              <w:t>£m</w:t>
            </w:r>
          </w:p>
        </w:tc>
        <w:tc>
          <w:tcPr>
            <w:tcW w:w="1291" w:type="dxa"/>
            <w:tcBorders>
              <w:bottom w:val="single" w:sz="4" w:space="0" w:color="auto"/>
            </w:tcBorders>
            <w:noWrap/>
          </w:tcPr>
          <w:p w:rsidR="00D53A04" w:rsidRPr="00EB2995" w:rsidRDefault="00D53A04" w:rsidP="00D53A04">
            <w:pPr>
              <w:jc w:val="right"/>
              <w:rPr>
                <w:rFonts w:cs="Calibri"/>
                <w:b/>
                <w:color w:val="000000"/>
              </w:rPr>
            </w:pPr>
            <w:r w:rsidRPr="00EB2995">
              <w:rPr>
                <w:rFonts w:cs="Calibri"/>
                <w:b/>
                <w:color w:val="000000"/>
              </w:rPr>
              <w:t>%</w:t>
            </w:r>
          </w:p>
        </w:tc>
        <w:tc>
          <w:tcPr>
            <w:tcW w:w="597" w:type="dxa"/>
            <w:tcBorders>
              <w:top w:val="nil"/>
              <w:left w:val="nil"/>
              <w:bottom w:val="nil"/>
              <w:right w:val="nil"/>
            </w:tcBorders>
            <w:noWrap/>
          </w:tcPr>
          <w:p w:rsidR="00D53A04" w:rsidRPr="00EB2995" w:rsidRDefault="00D53A04" w:rsidP="00D53A04">
            <w:pPr>
              <w:jc w:val="center"/>
              <w:rPr>
                <w:rFonts w:cs="Calibri"/>
              </w:rPr>
            </w:pPr>
          </w:p>
        </w:tc>
      </w:tr>
      <w:tr w:rsidR="00D53A04" w:rsidRPr="00EB2995" w:rsidTr="00D53A04">
        <w:trPr>
          <w:trHeight w:val="452"/>
        </w:trPr>
        <w:tc>
          <w:tcPr>
            <w:tcW w:w="1260" w:type="dxa"/>
            <w:tcBorders>
              <w:top w:val="single" w:sz="4" w:space="0" w:color="auto"/>
              <w:left w:val="single" w:sz="4" w:space="0" w:color="auto"/>
              <w:bottom w:val="nil"/>
              <w:right w:val="nil"/>
            </w:tcBorders>
            <w:noWrap/>
          </w:tcPr>
          <w:p w:rsidR="00D53A04" w:rsidRPr="00EB2995" w:rsidRDefault="00D53A04" w:rsidP="00D53A04">
            <w:pPr>
              <w:jc w:val="right"/>
              <w:rPr>
                <w:rFonts w:cs="Calibri"/>
              </w:rPr>
            </w:pPr>
          </w:p>
        </w:tc>
        <w:tc>
          <w:tcPr>
            <w:tcW w:w="1260" w:type="dxa"/>
            <w:tcBorders>
              <w:top w:val="single" w:sz="4" w:space="0" w:color="auto"/>
              <w:left w:val="nil"/>
              <w:bottom w:val="nil"/>
              <w:right w:val="nil"/>
            </w:tcBorders>
            <w:noWrap/>
          </w:tcPr>
          <w:p w:rsidR="00D53A04" w:rsidRPr="00EB2995" w:rsidRDefault="00D53A04" w:rsidP="00D53A04">
            <w:pPr>
              <w:jc w:val="right"/>
              <w:rPr>
                <w:rFonts w:cs="Calibri"/>
              </w:rPr>
            </w:pPr>
          </w:p>
        </w:tc>
        <w:tc>
          <w:tcPr>
            <w:tcW w:w="1248" w:type="dxa"/>
            <w:tcBorders>
              <w:top w:val="single" w:sz="4" w:space="0" w:color="auto"/>
              <w:left w:val="nil"/>
              <w:bottom w:val="nil"/>
              <w:right w:val="nil"/>
            </w:tcBorders>
            <w:noWrap/>
          </w:tcPr>
          <w:p w:rsidR="00D53A04" w:rsidRPr="00EB2995" w:rsidRDefault="00D53A04" w:rsidP="00D53A04">
            <w:pPr>
              <w:jc w:val="right"/>
              <w:rPr>
                <w:rFonts w:cs="Calibri"/>
              </w:rPr>
            </w:pPr>
          </w:p>
        </w:tc>
        <w:tc>
          <w:tcPr>
            <w:tcW w:w="1274" w:type="dxa"/>
            <w:tcBorders>
              <w:top w:val="single" w:sz="4" w:space="0" w:color="auto"/>
              <w:left w:val="nil"/>
              <w:bottom w:val="nil"/>
              <w:right w:val="single" w:sz="4" w:space="0" w:color="auto"/>
            </w:tcBorders>
            <w:noWrap/>
          </w:tcPr>
          <w:p w:rsidR="00D53A04" w:rsidRPr="00EB2995" w:rsidRDefault="00D53A04" w:rsidP="00D53A04">
            <w:pPr>
              <w:jc w:val="center"/>
              <w:rPr>
                <w:rFonts w:cs="Calibri"/>
              </w:rPr>
            </w:pPr>
          </w:p>
        </w:tc>
        <w:tc>
          <w:tcPr>
            <w:tcW w:w="3235" w:type="dxa"/>
            <w:tcBorders>
              <w:top w:val="nil"/>
              <w:left w:val="single" w:sz="4" w:space="0" w:color="auto"/>
              <w:bottom w:val="nil"/>
              <w:right w:val="single" w:sz="4" w:space="0" w:color="auto"/>
            </w:tcBorders>
            <w:noWrap/>
          </w:tcPr>
          <w:p w:rsidR="00D53A04" w:rsidRPr="00EB2995" w:rsidRDefault="00D53A04" w:rsidP="00D53A04">
            <w:pPr>
              <w:rPr>
                <w:rFonts w:cs="Calibri"/>
                <w:b/>
                <w:bCs/>
                <w:color w:val="000000"/>
              </w:rPr>
            </w:pPr>
            <w:r w:rsidRPr="00EB2995">
              <w:rPr>
                <w:rFonts w:cs="Calibri"/>
                <w:b/>
                <w:bCs/>
                <w:color w:val="000000"/>
              </w:rPr>
              <w:t>Private  Equity</w:t>
            </w:r>
          </w:p>
        </w:tc>
        <w:tc>
          <w:tcPr>
            <w:tcW w:w="1249" w:type="dxa"/>
            <w:tcBorders>
              <w:top w:val="single" w:sz="4" w:space="0" w:color="auto"/>
              <w:left w:val="single" w:sz="4" w:space="0" w:color="auto"/>
              <w:bottom w:val="nil"/>
              <w:right w:val="nil"/>
            </w:tcBorders>
            <w:noWrap/>
          </w:tcPr>
          <w:p w:rsidR="00D53A04" w:rsidRPr="00EB2995" w:rsidRDefault="00D53A04" w:rsidP="00D53A04">
            <w:pPr>
              <w:jc w:val="right"/>
              <w:rPr>
                <w:rFonts w:cs="Calibri"/>
                <w:b/>
                <w:bCs/>
                <w:color w:val="000000"/>
              </w:rPr>
            </w:pPr>
          </w:p>
        </w:tc>
        <w:tc>
          <w:tcPr>
            <w:tcW w:w="1249" w:type="dxa"/>
            <w:tcBorders>
              <w:top w:val="single" w:sz="4" w:space="0" w:color="auto"/>
              <w:left w:val="nil"/>
              <w:bottom w:val="nil"/>
              <w:right w:val="nil"/>
            </w:tcBorders>
            <w:noWrap/>
          </w:tcPr>
          <w:p w:rsidR="00D53A04" w:rsidRPr="00EB2995" w:rsidRDefault="00D53A04" w:rsidP="00D53A04">
            <w:pPr>
              <w:jc w:val="right"/>
              <w:rPr>
                <w:rFonts w:cs="Calibri"/>
              </w:rPr>
            </w:pPr>
          </w:p>
        </w:tc>
        <w:tc>
          <w:tcPr>
            <w:tcW w:w="1249" w:type="dxa"/>
            <w:tcBorders>
              <w:top w:val="single" w:sz="4" w:space="0" w:color="auto"/>
              <w:left w:val="nil"/>
              <w:bottom w:val="nil"/>
              <w:right w:val="nil"/>
            </w:tcBorders>
            <w:noWrap/>
          </w:tcPr>
          <w:p w:rsidR="00D53A04" w:rsidRPr="00EB2995" w:rsidRDefault="00D53A04" w:rsidP="00D53A04">
            <w:pPr>
              <w:jc w:val="right"/>
              <w:rPr>
                <w:rFonts w:cs="Calibri"/>
              </w:rPr>
            </w:pPr>
          </w:p>
        </w:tc>
        <w:tc>
          <w:tcPr>
            <w:tcW w:w="1291" w:type="dxa"/>
            <w:tcBorders>
              <w:top w:val="single" w:sz="4" w:space="0" w:color="auto"/>
              <w:left w:val="nil"/>
              <w:bottom w:val="nil"/>
              <w:right w:val="single" w:sz="4" w:space="0" w:color="auto"/>
            </w:tcBorders>
            <w:noWrap/>
          </w:tcPr>
          <w:p w:rsidR="00D53A04" w:rsidRPr="00EB2995" w:rsidRDefault="00D53A04" w:rsidP="00D53A04">
            <w:pPr>
              <w:jc w:val="center"/>
              <w:rPr>
                <w:rFonts w:cs="Calibri"/>
              </w:rPr>
            </w:pPr>
          </w:p>
        </w:tc>
        <w:tc>
          <w:tcPr>
            <w:tcW w:w="597" w:type="dxa"/>
            <w:tcBorders>
              <w:top w:val="nil"/>
              <w:left w:val="single" w:sz="4" w:space="0" w:color="auto"/>
              <w:bottom w:val="nil"/>
              <w:right w:val="nil"/>
            </w:tcBorders>
            <w:noWrap/>
          </w:tcPr>
          <w:p w:rsidR="00D53A04" w:rsidRPr="00EB2995" w:rsidRDefault="00D53A04" w:rsidP="00D53A04">
            <w:pPr>
              <w:jc w:val="center"/>
              <w:rPr>
                <w:rFonts w:cs="Calibri"/>
              </w:rPr>
            </w:pPr>
          </w:p>
        </w:tc>
      </w:tr>
      <w:tr w:rsidR="00D53A04" w:rsidRPr="00EB2995" w:rsidTr="00D53A04">
        <w:trPr>
          <w:trHeight w:val="305"/>
        </w:trPr>
        <w:tc>
          <w:tcPr>
            <w:tcW w:w="1260" w:type="dxa"/>
            <w:tcBorders>
              <w:top w:val="nil"/>
              <w:left w:val="single" w:sz="4" w:space="0" w:color="auto"/>
              <w:bottom w:val="nil"/>
              <w:right w:val="nil"/>
            </w:tcBorders>
            <w:noWrap/>
            <w:vAlign w:val="bottom"/>
          </w:tcPr>
          <w:p w:rsidR="00D53A04" w:rsidRPr="00EB2995" w:rsidRDefault="00D53A04" w:rsidP="00D53A04">
            <w:pPr>
              <w:jc w:val="right"/>
              <w:rPr>
                <w:rFonts w:cs="Calibri"/>
                <w:color w:val="000000"/>
              </w:rPr>
            </w:pPr>
            <w:r w:rsidRPr="00EB2995">
              <w:rPr>
                <w:rFonts w:cs="Calibri"/>
                <w:color w:val="000000"/>
              </w:rPr>
              <w:t>0</w:t>
            </w:r>
          </w:p>
        </w:tc>
        <w:tc>
          <w:tcPr>
            <w:tcW w:w="1260" w:type="dxa"/>
            <w:tcBorders>
              <w:top w:val="nil"/>
              <w:left w:val="nil"/>
              <w:bottom w:val="nil"/>
              <w:right w:val="nil"/>
            </w:tcBorders>
            <w:noWrap/>
            <w:vAlign w:val="bottom"/>
          </w:tcPr>
          <w:p w:rsidR="00D53A04" w:rsidRPr="00EB2995" w:rsidRDefault="00D53A04" w:rsidP="00D53A04">
            <w:pPr>
              <w:jc w:val="right"/>
              <w:rPr>
                <w:rFonts w:cs="Calibri"/>
                <w:color w:val="000000"/>
              </w:rPr>
            </w:pPr>
            <w:r w:rsidRPr="00EB2995">
              <w:rPr>
                <w:rFonts w:cs="Calibri"/>
                <w:color w:val="000000"/>
              </w:rPr>
              <w:t>51.3</w:t>
            </w:r>
          </w:p>
        </w:tc>
        <w:tc>
          <w:tcPr>
            <w:tcW w:w="1248" w:type="dxa"/>
            <w:tcBorders>
              <w:top w:val="nil"/>
              <w:left w:val="nil"/>
              <w:bottom w:val="nil"/>
              <w:right w:val="nil"/>
            </w:tcBorders>
            <w:noWrap/>
            <w:vAlign w:val="bottom"/>
          </w:tcPr>
          <w:p w:rsidR="00D53A04" w:rsidRPr="00EB2995" w:rsidRDefault="00D53A04" w:rsidP="00D53A04">
            <w:pPr>
              <w:jc w:val="right"/>
              <w:rPr>
                <w:rFonts w:cs="Calibri"/>
                <w:color w:val="000000"/>
              </w:rPr>
            </w:pPr>
            <w:r w:rsidRPr="00EB2995">
              <w:rPr>
                <w:rFonts w:cs="Calibri"/>
                <w:color w:val="000000"/>
              </w:rPr>
              <w:t>51.3</w:t>
            </w:r>
          </w:p>
        </w:tc>
        <w:tc>
          <w:tcPr>
            <w:tcW w:w="1274" w:type="dxa"/>
            <w:tcBorders>
              <w:top w:val="nil"/>
              <w:left w:val="nil"/>
              <w:bottom w:val="nil"/>
              <w:right w:val="single" w:sz="4" w:space="0" w:color="auto"/>
            </w:tcBorders>
            <w:noWrap/>
            <w:vAlign w:val="bottom"/>
          </w:tcPr>
          <w:p w:rsidR="00D53A04" w:rsidRPr="00EB2995" w:rsidRDefault="00D53A04" w:rsidP="00D53A04">
            <w:pPr>
              <w:jc w:val="right"/>
              <w:rPr>
                <w:rFonts w:cs="Calibri"/>
                <w:color w:val="000000"/>
              </w:rPr>
            </w:pPr>
            <w:r w:rsidRPr="00EB2995">
              <w:rPr>
                <w:rFonts w:cs="Calibri"/>
                <w:color w:val="000000"/>
              </w:rPr>
              <w:t>6.8%</w:t>
            </w:r>
          </w:p>
        </w:tc>
        <w:tc>
          <w:tcPr>
            <w:tcW w:w="3235" w:type="dxa"/>
            <w:tcBorders>
              <w:top w:val="nil"/>
              <w:left w:val="single" w:sz="4" w:space="0" w:color="auto"/>
              <w:bottom w:val="nil"/>
              <w:right w:val="single" w:sz="4" w:space="0" w:color="auto"/>
            </w:tcBorders>
            <w:noWrap/>
          </w:tcPr>
          <w:p w:rsidR="00D53A04" w:rsidRPr="00EB2995" w:rsidRDefault="00D53A04" w:rsidP="00D53A04">
            <w:pPr>
              <w:rPr>
                <w:rFonts w:cs="Calibri"/>
                <w:color w:val="000000"/>
              </w:rPr>
            </w:pPr>
            <w:r w:rsidRPr="00EB2995">
              <w:rPr>
                <w:rFonts w:cs="Calibri"/>
                <w:color w:val="000000"/>
              </w:rPr>
              <w:t>All</w:t>
            </w:r>
          </w:p>
        </w:tc>
        <w:tc>
          <w:tcPr>
            <w:tcW w:w="1249" w:type="dxa"/>
            <w:tcBorders>
              <w:top w:val="nil"/>
              <w:left w:val="single" w:sz="4" w:space="0" w:color="auto"/>
              <w:bottom w:val="nil"/>
              <w:right w:val="nil"/>
            </w:tcBorders>
            <w:noWrap/>
            <w:vAlign w:val="bottom"/>
          </w:tcPr>
          <w:p w:rsidR="00D53A04" w:rsidRPr="00EB2995" w:rsidRDefault="00D53A04" w:rsidP="00D53A04">
            <w:pPr>
              <w:jc w:val="right"/>
              <w:rPr>
                <w:rFonts w:cs="Calibri"/>
                <w:color w:val="000000"/>
              </w:rPr>
            </w:pPr>
            <w:r w:rsidRPr="00EB2995">
              <w:rPr>
                <w:rFonts w:cs="Calibri"/>
                <w:color w:val="000000"/>
              </w:rPr>
              <w:t>0</w:t>
            </w:r>
          </w:p>
        </w:tc>
        <w:tc>
          <w:tcPr>
            <w:tcW w:w="1249" w:type="dxa"/>
            <w:tcBorders>
              <w:top w:val="nil"/>
              <w:left w:val="nil"/>
              <w:bottom w:val="nil"/>
              <w:right w:val="nil"/>
            </w:tcBorders>
            <w:noWrap/>
            <w:vAlign w:val="bottom"/>
          </w:tcPr>
          <w:p w:rsidR="00D53A04" w:rsidRPr="00EB2995" w:rsidRDefault="00D53A04" w:rsidP="00D53A04">
            <w:pPr>
              <w:jc w:val="right"/>
              <w:rPr>
                <w:rFonts w:cs="Calibri"/>
                <w:color w:val="000000"/>
              </w:rPr>
            </w:pPr>
            <w:r w:rsidRPr="00EB2995">
              <w:rPr>
                <w:rFonts w:cs="Calibri"/>
                <w:color w:val="000000"/>
              </w:rPr>
              <w:t>36.3</w:t>
            </w:r>
          </w:p>
        </w:tc>
        <w:tc>
          <w:tcPr>
            <w:tcW w:w="1249" w:type="dxa"/>
            <w:tcBorders>
              <w:top w:val="nil"/>
              <w:left w:val="nil"/>
              <w:bottom w:val="nil"/>
              <w:right w:val="nil"/>
            </w:tcBorders>
            <w:noWrap/>
            <w:vAlign w:val="bottom"/>
          </w:tcPr>
          <w:p w:rsidR="00D53A04" w:rsidRPr="00EB2995" w:rsidRDefault="00D53A04" w:rsidP="00D53A04">
            <w:pPr>
              <w:jc w:val="right"/>
              <w:rPr>
                <w:rFonts w:cs="Calibri"/>
                <w:color w:val="000000"/>
              </w:rPr>
            </w:pPr>
            <w:r w:rsidRPr="00EB2995">
              <w:rPr>
                <w:rFonts w:cs="Calibri"/>
                <w:color w:val="000000"/>
              </w:rPr>
              <w:t>36.3</w:t>
            </w:r>
          </w:p>
        </w:tc>
        <w:tc>
          <w:tcPr>
            <w:tcW w:w="1291" w:type="dxa"/>
            <w:tcBorders>
              <w:top w:val="nil"/>
              <w:left w:val="nil"/>
              <w:bottom w:val="nil"/>
              <w:right w:val="single" w:sz="4" w:space="0" w:color="auto"/>
            </w:tcBorders>
            <w:noWrap/>
            <w:vAlign w:val="bottom"/>
          </w:tcPr>
          <w:p w:rsidR="00D53A04" w:rsidRPr="00EB2995" w:rsidRDefault="00D53A04" w:rsidP="00D53A04">
            <w:pPr>
              <w:jc w:val="right"/>
              <w:rPr>
                <w:rFonts w:cs="Calibri"/>
                <w:color w:val="000000"/>
              </w:rPr>
            </w:pPr>
            <w:r w:rsidRPr="00EB2995">
              <w:rPr>
                <w:rFonts w:cs="Calibri"/>
                <w:color w:val="000000"/>
              </w:rPr>
              <w:t>5.0%</w:t>
            </w:r>
          </w:p>
        </w:tc>
        <w:tc>
          <w:tcPr>
            <w:tcW w:w="597" w:type="dxa"/>
            <w:tcBorders>
              <w:top w:val="nil"/>
              <w:left w:val="single" w:sz="4" w:space="0" w:color="auto"/>
              <w:bottom w:val="nil"/>
              <w:right w:val="nil"/>
            </w:tcBorders>
            <w:noWrap/>
          </w:tcPr>
          <w:p w:rsidR="00D53A04" w:rsidRPr="00EB2995" w:rsidRDefault="00D53A04" w:rsidP="00D53A04">
            <w:pPr>
              <w:jc w:val="center"/>
              <w:rPr>
                <w:rFonts w:cs="Calibri"/>
                <w:color w:val="000000"/>
              </w:rPr>
            </w:pPr>
          </w:p>
        </w:tc>
      </w:tr>
      <w:tr w:rsidR="00D53A04" w:rsidRPr="00EB2995" w:rsidTr="00D53A04">
        <w:trPr>
          <w:trHeight w:val="305"/>
        </w:trPr>
        <w:tc>
          <w:tcPr>
            <w:tcW w:w="1260" w:type="dxa"/>
            <w:tcBorders>
              <w:top w:val="nil"/>
              <w:left w:val="single" w:sz="4" w:space="0" w:color="auto"/>
              <w:bottom w:val="nil"/>
              <w:right w:val="nil"/>
            </w:tcBorders>
            <w:noWrap/>
          </w:tcPr>
          <w:p w:rsidR="00D53A04" w:rsidRPr="00EB2995" w:rsidRDefault="00D53A04" w:rsidP="00D53A04">
            <w:pPr>
              <w:jc w:val="right"/>
              <w:rPr>
                <w:rFonts w:cs="Calibri"/>
                <w:b/>
                <w:bCs/>
                <w:color w:val="000000"/>
              </w:rPr>
            </w:pPr>
          </w:p>
        </w:tc>
        <w:tc>
          <w:tcPr>
            <w:tcW w:w="1260" w:type="dxa"/>
            <w:tcBorders>
              <w:top w:val="nil"/>
              <w:left w:val="nil"/>
              <w:bottom w:val="nil"/>
              <w:right w:val="nil"/>
            </w:tcBorders>
            <w:noWrap/>
          </w:tcPr>
          <w:p w:rsidR="00D53A04" w:rsidRPr="00EB2995" w:rsidRDefault="00D53A04" w:rsidP="00D53A04">
            <w:pPr>
              <w:jc w:val="right"/>
              <w:rPr>
                <w:rFonts w:cs="Calibri"/>
              </w:rPr>
            </w:pPr>
          </w:p>
        </w:tc>
        <w:tc>
          <w:tcPr>
            <w:tcW w:w="1248" w:type="dxa"/>
            <w:tcBorders>
              <w:top w:val="nil"/>
              <w:left w:val="nil"/>
              <w:bottom w:val="nil"/>
              <w:right w:val="nil"/>
            </w:tcBorders>
            <w:noWrap/>
          </w:tcPr>
          <w:p w:rsidR="00D53A04" w:rsidRPr="00EB2995" w:rsidRDefault="00D53A04" w:rsidP="00D53A04">
            <w:pPr>
              <w:jc w:val="right"/>
              <w:rPr>
                <w:rFonts w:cs="Calibri"/>
              </w:rPr>
            </w:pPr>
          </w:p>
        </w:tc>
        <w:tc>
          <w:tcPr>
            <w:tcW w:w="1274" w:type="dxa"/>
            <w:tcBorders>
              <w:top w:val="nil"/>
              <w:left w:val="nil"/>
              <w:bottom w:val="nil"/>
              <w:right w:val="single" w:sz="4" w:space="0" w:color="auto"/>
            </w:tcBorders>
            <w:noWrap/>
            <w:vAlign w:val="bottom"/>
          </w:tcPr>
          <w:p w:rsidR="00D53A04" w:rsidRPr="00EB2995" w:rsidRDefault="00D53A04" w:rsidP="00D53A04">
            <w:pPr>
              <w:jc w:val="right"/>
              <w:rPr>
                <w:rFonts w:cs="Calibri"/>
              </w:rPr>
            </w:pPr>
          </w:p>
        </w:tc>
        <w:tc>
          <w:tcPr>
            <w:tcW w:w="3235" w:type="dxa"/>
            <w:tcBorders>
              <w:top w:val="nil"/>
              <w:left w:val="single" w:sz="4" w:space="0" w:color="auto"/>
              <w:bottom w:val="nil"/>
              <w:right w:val="single" w:sz="4" w:space="0" w:color="auto"/>
            </w:tcBorders>
            <w:noWrap/>
          </w:tcPr>
          <w:p w:rsidR="00D53A04" w:rsidRPr="00EB2995" w:rsidRDefault="00D53A04" w:rsidP="00D53A04">
            <w:pPr>
              <w:rPr>
                <w:rFonts w:cs="Calibri"/>
                <w:b/>
                <w:bCs/>
                <w:color w:val="000000"/>
              </w:rPr>
            </w:pPr>
            <w:r w:rsidRPr="00EB2995">
              <w:rPr>
                <w:rFonts w:cs="Calibri"/>
                <w:b/>
                <w:bCs/>
                <w:color w:val="000000"/>
              </w:rPr>
              <w:t>Real Estate</w:t>
            </w:r>
          </w:p>
        </w:tc>
        <w:tc>
          <w:tcPr>
            <w:tcW w:w="1249" w:type="dxa"/>
            <w:tcBorders>
              <w:top w:val="nil"/>
              <w:left w:val="single" w:sz="4" w:space="0" w:color="auto"/>
              <w:bottom w:val="nil"/>
              <w:right w:val="nil"/>
            </w:tcBorders>
            <w:noWrap/>
          </w:tcPr>
          <w:p w:rsidR="00D53A04" w:rsidRPr="00EB2995" w:rsidRDefault="00D53A04" w:rsidP="00D53A04">
            <w:pPr>
              <w:jc w:val="right"/>
              <w:rPr>
                <w:rFonts w:cs="Calibri"/>
                <w:b/>
                <w:bCs/>
                <w:color w:val="000000"/>
              </w:rPr>
            </w:pPr>
          </w:p>
        </w:tc>
        <w:tc>
          <w:tcPr>
            <w:tcW w:w="1249" w:type="dxa"/>
            <w:tcBorders>
              <w:top w:val="nil"/>
              <w:left w:val="nil"/>
              <w:bottom w:val="nil"/>
              <w:right w:val="nil"/>
            </w:tcBorders>
            <w:noWrap/>
          </w:tcPr>
          <w:p w:rsidR="00D53A04" w:rsidRPr="00EB2995" w:rsidRDefault="00D53A04" w:rsidP="00D53A04">
            <w:pPr>
              <w:jc w:val="right"/>
              <w:rPr>
                <w:rFonts w:cs="Calibri"/>
              </w:rPr>
            </w:pPr>
          </w:p>
        </w:tc>
        <w:tc>
          <w:tcPr>
            <w:tcW w:w="1249" w:type="dxa"/>
            <w:tcBorders>
              <w:top w:val="nil"/>
              <w:left w:val="nil"/>
              <w:bottom w:val="nil"/>
              <w:right w:val="nil"/>
            </w:tcBorders>
            <w:noWrap/>
          </w:tcPr>
          <w:p w:rsidR="00D53A04" w:rsidRPr="00EB2995" w:rsidRDefault="00D53A04" w:rsidP="00D53A04">
            <w:pPr>
              <w:jc w:val="right"/>
              <w:rPr>
                <w:rFonts w:cs="Calibri"/>
              </w:rPr>
            </w:pPr>
          </w:p>
        </w:tc>
        <w:tc>
          <w:tcPr>
            <w:tcW w:w="1291" w:type="dxa"/>
            <w:tcBorders>
              <w:top w:val="nil"/>
              <w:left w:val="nil"/>
              <w:bottom w:val="nil"/>
              <w:right w:val="single" w:sz="4" w:space="0" w:color="auto"/>
            </w:tcBorders>
            <w:noWrap/>
            <w:vAlign w:val="bottom"/>
          </w:tcPr>
          <w:p w:rsidR="00D53A04" w:rsidRPr="00EB2995" w:rsidRDefault="00D53A04" w:rsidP="00D53A04">
            <w:pPr>
              <w:jc w:val="right"/>
              <w:rPr>
                <w:rFonts w:cs="Calibri"/>
              </w:rPr>
            </w:pPr>
          </w:p>
        </w:tc>
        <w:tc>
          <w:tcPr>
            <w:tcW w:w="597" w:type="dxa"/>
            <w:tcBorders>
              <w:top w:val="nil"/>
              <w:left w:val="single" w:sz="4" w:space="0" w:color="auto"/>
              <w:bottom w:val="nil"/>
              <w:right w:val="nil"/>
            </w:tcBorders>
            <w:noWrap/>
          </w:tcPr>
          <w:p w:rsidR="00D53A04" w:rsidRPr="00EB2995" w:rsidRDefault="00D53A04" w:rsidP="00D53A04">
            <w:pPr>
              <w:jc w:val="center"/>
              <w:rPr>
                <w:rFonts w:cs="Calibri"/>
                <w:color w:val="000000"/>
              </w:rPr>
            </w:pPr>
          </w:p>
        </w:tc>
      </w:tr>
      <w:tr w:rsidR="00D53A04" w:rsidRPr="00EB2995" w:rsidTr="00D53A04">
        <w:trPr>
          <w:trHeight w:val="305"/>
        </w:trPr>
        <w:tc>
          <w:tcPr>
            <w:tcW w:w="1260" w:type="dxa"/>
            <w:tcBorders>
              <w:top w:val="nil"/>
              <w:left w:val="single" w:sz="4" w:space="0" w:color="auto"/>
              <w:bottom w:val="nil"/>
              <w:right w:val="nil"/>
            </w:tcBorders>
            <w:noWrap/>
            <w:vAlign w:val="bottom"/>
          </w:tcPr>
          <w:p w:rsidR="00D53A04" w:rsidRPr="00EB2995" w:rsidRDefault="00D53A04" w:rsidP="00D53A04">
            <w:pPr>
              <w:jc w:val="right"/>
              <w:rPr>
                <w:rFonts w:cs="Calibri"/>
                <w:color w:val="000000"/>
              </w:rPr>
            </w:pPr>
            <w:r w:rsidRPr="00EB2995">
              <w:rPr>
                <w:rFonts w:cs="Calibri"/>
                <w:color w:val="000000"/>
              </w:rPr>
              <w:t>0</w:t>
            </w:r>
          </w:p>
        </w:tc>
        <w:tc>
          <w:tcPr>
            <w:tcW w:w="1260" w:type="dxa"/>
            <w:tcBorders>
              <w:top w:val="nil"/>
              <w:left w:val="nil"/>
              <w:bottom w:val="nil"/>
              <w:right w:val="nil"/>
            </w:tcBorders>
            <w:noWrap/>
            <w:vAlign w:val="bottom"/>
          </w:tcPr>
          <w:p w:rsidR="00D53A04" w:rsidRPr="00EB2995" w:rsidRDefault="00D53A04" w:rsidP="00D53A04">
            <w:pPr>
              <w:jc w:val="right"/>
              <w:rPr>
                <w:rFonts w:cs="Calibri"/>
                <w:color w:val="000000"/>
              </w:rPr>
            </w:pPr>
            <w:r w:rsidRPr="00EB2995">
              <w:rPr>
                <w:rFonts w:cs="Calibri"/>
                <w:color w:val="000000"/>
              </w:rPr>
              <w:t>0</w:t>
            </w:r>
          </w:p>
        </w:tc>
        <w:tc>
          <w:tcPr>
            <w:tcW w:w="1248" w:type="dxa"/>
            <w:tcBorders>
              <w:top w:val="nil"/>
              <w:left w:val="nil"/>
              <w:bottom w:val="nil"/>
              <w:right w:val="nil"/>
            </w:tcBorders>
            <w:noWrap/>
            <w:vAlign w:val="bottom"/>
          </w:tcPr>
          <w:p w:rsidR="00D53A04" w:rsidRPr="00EB2995" w:rsidRDefault="00D53A04" w:rsidP="00D53A04">
            <w:pPr>
              <w:jc w:val="right"/>
              <w:rPr>
                <w:rFonts w:cs="Calibri"/>
                <w:color w:val="000000"/>
              </w:rPr>
            </w:pPr>
            <w:r w:rsidRPr="00EB2995">
              <w:rPr>
                <w:rFonts w:cs="Calibri"/>
                <w:color w:val="000000"/>
              </w:rPr>
              <w:t>0</w:t>
            </w:r>
          </w:p>
        </w:tc>
        <w:tc>
          <w:tcPr>
            <w:tcW w:w="1274" w:type="dxa"/>
            <w:tcBorders>
              <w:top w:val="nil"/>
              <w:left w:val="nil"/>
              <w:bottom w:val="nil"/>
              <w:right w:val="single" w:sz="4" w:space="0" w:color="auto"/>
            </w:tcBorders>
            <w:noWrap/>
            <w:vAlign w:val="bottom"/>
          </w:tcPr>
          <w:p w:rsidR="00D53A04" w:rsidRPr="00EB2995" w:rsidRDefault="00D53A04" w:rsidP="00D53A04">
            <w:pPr>
              <w:jc w:val="right"/>
              <w:rPr>
                <w:rFonts w:cs="Calibri"/>
                <w:color w:val="000000"/>
              </w:rPr>
            </w:pPr>
            <w:r w:rsidRPr="00EB2995">
              <w:rPr>
                <w:rFonts w:cs="Calibri"/>
                <w:color w:val="000000"/>
              </w:rPr>
              <w:t>0.0%</w:t>
            </w:r>
          </w:p>
        </w:tc>
        <w:tc>
          <w:tcPr>
            <w:tcW w:w="3235" w:type="dxa"/>
            <w:tcBorders>
              <w:top w:val="nil"/>
              <w:left w:val="single" w:sz="4" w:space="0" w:color="auto"/>
              <w:bottom w:val="nil"/>
              <w:right w:val="single" w:sz="4" w:space="0" w:color="auto"/>
            </w:tcBorders>
            <w:noWrap/>
          </w:tcPr>
          <w:p w:rsidR="00D53A04" w:rsidRPr="00EB2995" w:rsidRDefault="00D53A04" w:rsidP="00D53A04">
            <w:pPr>
              <w:rPr>
                <w:rFonts w:cs="Calibri"/>
                <w:color w:val="000000"/>
              </w:rPr>
            </w:pPr>
            <w:r w:rsidRPr="00EB2995">
              <w:rPr>
                <w:rFonts w:cs="Calibri"/>
                <w:color w:val="000000"/>
              </w:rPr>
              <w:t>UK Property</w:t>
            </w:r>
          </w:p>
        </w:tc>
        <w:tc>
          <w:tcPr>
            <w:tcW w:w="1249" w:type="dxa"/>
            <w:tcBorders>
              <w:top w:val="nil"/>
              <w:left w:val="single" w:sz="4" w:space="0" w:color="auto"/>
              <w:bottom w:val="nil"/>
              <w:right w:val="nil"/>
            </w:tcBorders>
            <w:noWrap/>
            <w:vAlign w:val="bottom"/>
          </w:tcPr>
          <w:p w:rsidR="00D53A04" w:rsidRPr="00EB2995" w:rsidRDefault="00D53A04" w:rsidP="00D53A04">
            <w:pPr>
              <w:jc w:val="right"/>
              <w:rPr>
                <w:rFonts w:cs="Calibri"/>
                <w:color w:val="000000"/>
              </w:rPr>
            </w:pPr>
            <w:r w:rsidRPr="00EB2995">
              <w:rPr>
                <w:rFonts w:cs="Calibri"/>
                <w:color w:val="000000"/>
              </w:rPr>
              <w:t>0</w:t>
            </w:r>
          </w:p>
        </w:tc>
        <w:tc>
          <w:tcPr>
            <w:tcW w:w="1249" w:type="dxa"/>
            <w:tcBorders>
              <w:top w:val="nil"/>
              <w:left w:val="nil"/>
              <w:bottom w:val="nil"/>
              <w:right w:val="nil"/>
            </w:tcBorders>
            <w:noWrap/>
            <w:vAlign w:val="bottom"/>
          </w:tcPr>
          <w:p w:rsidR="00D53A04" w:rsidRPr="00EB2995" w:rsidRDefault="00D53A04" w:rsidP="00D53A04">
            <w:pPr>
              <w:jc w:val="right"/>
              <w:rPr>
                <w:rFonts w:cs="Calibri"/>
                <w:color w:val="000000"/>
              </w:rPr>
            </w:pPr>
            <w:r w:rsidRPr="00EB2995">
              <w:rPr>
                <w:rFonts w:cs="Calibri"/>
                <w:color w:val="000000"/>
              </w:rPr>
              <w:t>0</w:t>
            </w:r>
          </w:p>
        </w:tc>
        <w:tc>
          <w:tcPr>
            <w:tcW w:w="1249" w:type="dxa"/>
            <w:tcBorders>
              <w:top w:val="nil"/>
              <w:left w:val="nil"/>
              <w:bottom w:val="nil"/>
              <w:right w:val="nil"/>
            </w:tcBorders>
            <w:noWrap/>
            <w:vAlign w:val="bottom"/>
          </w:tcPr>
          <w:p w:rsidR="00D53A04" w:rsidRPr="00EB2995" w:rsidRDefault="00D53A04" w:rsidP="00D53A04">
            <w:pPr>
              <w:jc w:val="right"/>
              <w:rPr>
                <w:rFonts w:cs="Calibri"/>
                <w:color w:val="000000"/>
              </w:rPr>
            </w:pPr>
            <w:r w:rsidRPr="00EB2995">
              <w:rPr>
                <w:rFonts w:cs="Calibri"/>
                <w:color w:val="000000"/>
              </w:rPr>
              <w:t>0</w:t>
            </w:r>
          </w:p>
        </w:tc>
        <w:tc>
          <w:tcPr>
            <w:tcW w:w="1291" w:type="dxa"/>
            <w:tcBorders>
              <w:top w:val="nil"/>
              <w:left w:val="nil"/>
              <w:bottom w:val="nil"/>
              <w:right w:val="single" w:sz="4" w:space="0" w:color="auto"/>
            </w:tcBorders>
            <w:noWrap/>
            <w:vAlign w:val="bottom"/>
          </w:tcPr>
          <w:p w:rsidR="00D53A04" w:rsidRPr="00EB2995" w:rsidRDefault="00D53A04" w:rsidP="00D53A04">
            <w:pPr>
              <w:jc w:val="right"/>
              <w:rPr>
                <w:rFonts w:cs="Calibri"/>
                <w:color w:val="000000"/>
              </w:rPr>
            </w:pPr>
            <w:r w:rsidRPr="00EB2995">
              <w:rPr>
                <w:rFonts w:cs="Calibri"/>
                <w:color w:val="000000"/>
              </w:rPr>
              <w:t>0.0%</w:t>
            </w:r>
          </w:p>
        </w:tc>
        <w:tc>
          <w:tcPr>
            <w:tcW w:w="597" w:type="dxa"/>
            <w:tcBorders>
              <w:top w:val="nil"/>
              <w:left w:val="single" w:sz="4" w:space="0" w:color="auto"/>
              <w:bottom w:val="nil"/>
              <w:right w:val="nil"/>
            </w:tcBorders>
            <w:noWrap/>
          </w:tcPr>
          <w:p w:rsidR="00D53A04" w:rsidRPr="00EB2995" w:rsidRDefault="00D53A04" w:rsidP="00D53A04">
            <w:pPr>
              <w:jc w:val="center"/>
              <w:rPr>
                <w:rFonts w:cs="Calibri"/>
                <w:color w:val="000000"/>
              </w:rPr>
            </w:pPr>
          </w:p>
        </w:tc>
      </w:tr>
      <w:tr w:rsidR="00D53A04" w:rsidRPr="00EB2995" w:rsidTr="00D53A04">
        <w:trPr>
          <w:trHeight w:val="305"/>
        </w:trPr>
        <w:tc>
          <w:tcPr>
            <w:tcW w:w="1260" w:type="dxa"/>
            <w:tcBorders>
              <w:top w:val="nil"/>
              <w:left w:val="single" w:sz="4" w:space="0" w:color="auto"/>
              <w:bottom w:val="nil"/>
              <w:right w:val="nil"/>
            </w:tcBorders>
            <w:noWrap/>
            <w:vAlign w:val="bottom"/>
          </w:tcPr>
          <w:p w:rsidR="00D53A04" w:rsidRPr="00EB2995" w:rsidRDefault="00D53A04" w:rsidP="00D53A04">
            <w:pPr>
              <w:jc w:val="right"/>
              <w:rPr>
                <w:rFonts w:cs="Calibri"/>
                <w:color w:val="000000"/>
              </w:rPr>
            </w:pPr>
            <w:r w:rsidRPr="00EB2995">
              <w:rPr>
                <w:rFonts w:cs="Calibri"/>
                <w:color w:val="000000"/>
              </w:rPr>
              <w:t>0.2</w:t>
            </w:r>
          </w:p>
        </w:tc>
        <w:tc>
          <w:tcPr>
            <w:tcW w:w="1260" w:type="dxa"/>
            <w:tcBorders>
              <w:top w:val="nil"/>
              <w:left w:val="nil"/>
              <w:bottom w:val="nil"/>
              <w:right w:val="nil"/>
            </w:tcBorders>
            <w:noWrap/>
            <w:vAlign w:val="bottom"/>
          </w:tcPr>
          <w:p w:rsidR="00D53A04" w:rsidRPr="00EB2995" w:rsidRDefault="00D53A04" w:rsidP="00D53A04">
            <w:pPr>
              <w:jc w:val="right"/>
              <w:rPr>
                <w:rFonts w:cs="Calibri"/>
                <w:color w:val="000000"/>
              </w:rPr>
            </w:pPr>
            <w:r w:rsidRPr="00EB2995">
              <w:rPr>
                <w:rFonts w:cs="Calibri"/>
                <w:color w:val="000000"/>
              </w:rPr>
              <w:t>0</w:t>
            </w:r>
          </w:p>
        </w:tc>
        <w:tc>
          <w:tcPr>
            <w:tcW w:w="1248" w:type="dxa"/>
            <w:tcBorders>
              <w:top w:val="nil"/>
              <w:left w:val="nil"/>
              <w:bottom w:val="nil"/>
              <w:right w:val="nil"/>
            </w:tcBorders>
            <w:noWrap/>
            <w:vAlign w:val="bottom"/>
          </w:tcPr>
          <w:p w:rsidR="00D53A04" w:rsidRPr="00EB2995" w:rsidRDefault="00D53A04" w:rsidP="00D53A04">
            <w:pPr>
              <w:jc w:val="right"/>
              <w:rPr>
                <w:rFonts w:cs="Calibri"/>
                <w:color w:val="000000"/>
              </w:rPr>
            </w:pPr>
            <w:r w:rsidRPr="00EB2995">
              <w:rPr>
                <w:rFonts w:cs="Calibri"/>
                <w:color w:val="000000"/>
              </w:rPr>
              <w:t>0.2</w:t>
            </w:r>
          </w:p>
        </w:tc>
        <w:tc>
          <w:tcPr>
            <w:tcW w:w="1274" w:type="dxa"/>
            <w:tcBorders>
              <w:top w:val="nil"/>
              <w:left w:val="nil"/>
              <w:bottom w:val="nil"/>
              <w:right w:val="single" w:sz="4" w:space="0" w:color="auto"/>
            </w:tcBorders>
            <w:noWrap/>
            <w:vAlign w:val="bottom"/>
          </w:tcPr>
          <w:p w:rsidR="00D53A04" w:rsidRPr="00EB2995" w:rsidRDefault="00D53A04" w:rsidP="00D53A04">
            <w:pPr>
              <w:jc w:val="right"/>
              <w:rPr>
                <w:rFonts w:cs="Calibri"/>
                <w:color w:val="000000"/>
              </w:rPr>
            </w:pPr>
            <w:r w:rsidRPr="00EB2995">
              <w:rPr>
                <w:rFonts w:cs="Calibri"/>
                <w:color w:val="000000"/>
              </w:rPr>
              <w:t>0.0%</w:t>
            </w:r>
          </w:p>
        </w:tc>
        <w:tc>
          <w:tcPr>
            <w:tcW w:w="3235" w:type="dxa"/>
            <w:tcBorders>
              <w:top w:val="nil"/>
              <w:left w:val="single" w:sz="4" w:space="0" w:color="auto"/>
              <w:bottom w:val="nil"/>
              <w:right w:val="single" w:sz="4" w:space="0" w:color="auto"/>
            </w:tcBorders>
            <w:noWrap/>
          </w:tcPr>
          <w:p w:rsidR="00D53A04" w:rsidRPr="00EB2995" w:rsidRDefault="00D53A04" w:rsidP="00D53A04">
            <w:pPr>
              <w:rPr>
                <w:rFonts w:cs="Calibri"/>
                <w:color w:val="000000"/>
              </w:rPr>
            </w:pPr>
            <w:r w:rsidRPr="00EB2995">
              <w:rPr>
                <w:rFonts w:cs="Calibri"/>
                <w:color w:val="000000"/>
              </w:rPr>
              <w:t>Overseas Property</w:t>
            </w:r>
          </w:p>
        </w:tc>
        <w:tc>
          <w:tcPr>
            <w:tcW w:w="1249" w:type="dxa"/>
            <w:tcBorders>
              <w:top w:val="nil"/>
              <w:left w:val="single" w:sz="4" w:space="0" w:color="auto"/>
              <w:bottom w:val="nil"/>
              <w:right w:val="nil"/>
            </w:tcBorders>
            <w:noWrap/>
            <w:vAlign w:val="bottom"/>
          </w:tcPr>
          <w:p w:rsidR="00D53A04" w:rsidRPr="00EB2995" w:rsidRDefault="00D53A04" w:rsidP="00D53A04">
            <w:pPr>
              <w:jc w:val="right"/>
              <w:rPr>
                <w:rFonts w:cs="Calibri"/>
                <w:color w:val="000000"/>
              </w:rPr>
            </w:pPr>
            <w:r w:rsidRPr="00EB2995">
              <w:rPr>
                <w:rFonts w:cs="Calibri"/>
                <w:color w:val="000000"/>
              </w:rPr>
              <w:t>0.1</w:t>
            </w:r>
          </w:p>
        </w:tc>
        <w:tc>
          <w:tcPr>
            <w:tcW w:w="1249" w:type="dxa"/>
            <w:tcBorders>
              <w:top w:val="nil"/>
              <w:left w:val="nil"/>
              <w:bottom w:val="nil"/>
              <w:right w:val="nil"/>
            </w:tcBorders>
            <w:noWrap/>
            <w:vAlign w:val="bottom"/>
          </w:tcPr>
          <w:p w:rsidR="00D53A04" w:rsidRPr="00EB2995" w:rsidRDefault="00D53A04" w:rsidP="00D53A04">
            <w:pPr>
              <w:jc w:val="right"/>
              <w:rPr>
                <w:rFonts w:cs="Calibri"/>
                <w:color w:val="000000"/>
              </w:rPr>
            </w:pPr>
            <w:r w:rsidRPr="00EB2995">
              <w:rPr>
                <w:rFonts w:cs="Calibri"/>
                <w:color w:val="000000"/>
              </w:rPr>
              <w:t>0</w:t>
            </w:r>
          </w:p>
        </w:tc>
        <w:tc>
          <w:tcPr>
            <w:tcW w:w="1249" w:type="dxa"/>
            <w:tcBorders>
              <w:top w:val="nil"/>
              <w:left w:val="nil"/>
              <w:bottom w:val="nil"/>
              <w:right w:val="nil"/>
            </w:tcBorders>
            <w:noWrap/>
            <w:vAlign w:val="bottom"/>
          </w:tcPr>
          <w:p w:rsidR="00D53A04" w:rsidRPr="00EB2995" w:rsidRDefault="00D53A04" w:rsidP="00D53A04">
            <w:pPr>
              <w:jc w:val="right"/>
              <w:rPr>
                <w:rFonts w:cs="Calibri"/>
                <w:color w:val="000000"/>
              </w:rPr>
            </w:pPr>
            <w:r w:rsidRPr="00EB2995">
              <w:rPr>
                <w:rFonts w:cs="Calibri"/>
                <w:color w:val="000000"/>
              </w:rPr>
              <w:t>0.1</w:t>
            </w:r>
          </w:p>
        </w:tc>
        <w:tc>
          <w:tcPr>
            <w:tcW w:w="1291" w:type="dxa"/>
            <w:tcBorders>
              <w:top w:val="nil"/>
              <w:left w:val="nil"/>
              <w:bottom w:val="nil"/>
              <w:right w:val="single" w:sz="4" w:space="0" w:color="auto"/>
            </w:tcBorders>
            <w:noWrap/>
            <w:vAlign w:val="bottom"/>
          </w:tcPr>
          <w:p w:rsidR="00D53A04" w:rsidRPr="00EB2995" w:rsidRDefault="00D53A04" w:rsidP="00D53A04">
            <w:pPr>
              <w:jc w:val="right"/>
              <w:rPr>
                <w:rFonts w:cs="Calibri"/>
                <w:color w:val="000000"/>
              </w:rPr>
            </w:pPr>
            <w:r w:rsidRPr="00EB2995">
              <w:rPr>
                <w:rFonts w:cs="Calibri"/>
                <w:color w:val="000000"/>
              </w:rPr>
              <w:t>0.0%</w:t>
            </w:r>
          </w:p>
        </w:tc>
        <w:tc>
          <w:tcPr>
            <w:tcW w:w="597" w:type="dxa"/>
            <w:tcBorders>
              <w:top w:val="nil"/>
              <w:left w:val="single" w:sz="4" w:space="0" w:color="auto"/>
              <w:bottom w:val="nil"/>
              <w:right w:val="nil"/>
            </w:tcBorders>
            <w:noWrap/>
          </w:tcPr>
          <w:p w:rsidR="00D53A04" w:rsidRPr="00EB2995" w:rsidRDefault="00D53A04" w:rsidP="00D53A04">
            <w:pPr>
              <w:jc w:val="center"/>
              <w:rPr>
                <w:rFonts w:cs="Calibri"/>
                <w:color w:val="000000"/>
              </w:rPr>
            </w:pPr>
          </w:p>
        </w:tc>
      </w:tr>
      <w:tr w:rsidR="00D53A04" w:rsidRPr="00EB2995" w:rsidTr="00D53A04">
        <w:trPr>
          <w:trHeight w:val="305"/>
        </w:trPr>
        <w:tc>
          <w:tcPr>
            <w:tcW w:w="1260" w:type="dxa"/>
            <w:tcBorders>
              <w:top w:val="nil"/>
              <w:left w:val="single" w:sz="4" w:space="0" w:color="auto"/>
              <w:bottom w:val="nil"/>
              <w:right w:val="nil"/>
            </w:tcBorders>
            <w:noWrap/>
          </w:tcPr>
          <w:p w:rsidR="00D53A04" w:rsidRPr="00EB2995" w:rsidRDefault="00D53A04" w:rsidP="00D53A04">
            <w:pPr>
              <w:jc w:val="right"/>
              <w:rPr>
                <w:rFonts w:cs="Calibri"/>
                <w:b/>
                <w:bCs/>
                <w:color w:val="000000"/>
              </w:rPr>
            </w:pPr>
          </w:p>
        </w:tc>
        <w:tc>
          <w:tcPr>
            <w:tcW w:w="1260" w:type="dxa"/>
            <w:tcBorders>
              <w:top w:val="nil"/>
              <w:left w:val="nil"/>
              <w:bottom w:val="nil"/>
              <w:right w:val="nil"/>
            </w:tcBorders>
            <w:noWrap/>
          </w:tcPr>
          <w:p w:rsidR="00D53A04" w:rsidRPr="00EB2995" w:rsidRDefault="00D53A04" w:rsidP="00D53A04">
            <w:pPr>
              <w:jc w:val="right"/>
              <w:rPr>
                <w:rFonts w:cs="Calibri"/>
              </w:rPr>
            </w:pPr>
          </w:p>
        </w:tc>
        <w:tc>
          <w:tcPr>
            <w:tcW w:w="1248" w:type="dxa"/>
            <w:tcBorders>
              <w:top w:val="nil"/>
              <w:left w:val="nil"/>
              <w:bottom w:val="nil"/>
              <w:right w:val="nil"/>
            </w:tcBorders>
            <w:noWrap/>
          </w:tcPr>
          <w:p w:rsidR="00D53A04" w:rsidRPr="00EB2995" w:rsidRDefault="00D53A04" w:rsidP="00D53A04">
            <w:pPr>
              <w:jc w:val="right"/>
              <w:rPr>
                <w:rFonts w:cs="Calibri"/>
              </w:rPr>
            </w:pPr>
          </w:p>
        </w:tc>
        <w:tc>
          <w:tcPr>
            <w:tcW w:w="1274" w:type="dxa"/>
            <w:tcBorders>
              <w:top w:val="nil"/>
              <w:left w:val="nil"/>
              <w:bottom w:val="nil"/>
              <w:right w:val="single" w:sz="4" w:space="0" w:color="auto"/>
            </w:tcBorders>
            <w:noWrap/>
            <w:vAlign w:val="bottom"/>
          </w:tcPr>
          <w:p w:rsidR="00D53A04" w:rsidRPr="00EB2995" w:rsidRDefault="00D53A04" w:rsidP="00D53A04">
            <w:pPr>
              <w:jc w:val="right"/>
              <w:rPr>
                <w:rFonts w:cs="Calibri"/>
              </w:rPr>
            </w:pPr>
          </w:p>
        </w:tc>
        <w:tc>
          <w:tcPr>
            <w:tcW w:w="3235" w:type="dxa"/>
            <w:tcBorders>
              <w:top w:val="nil"/>
              <w:left w:val="single" w:sz="4" w:space="0" w:color="auto"/>
              <w:bottom w:val="nil"/>
              <w:right w:val="single" w:sz="4" w:space="0" w:color="auto"/>
            </w:tcBorders>
            <w:noWrap/>
          </w:tcPr>
          <w:p w:rsidR="00D53A04" w:rsidRPr="00EB2995" w:rsidRDefault="00D53A04" w:rsidP="00D53A04">
            <w:pPr>
              <w:rPr>
                <w:rFonts w:cs="Calibri"/>
                <w:b/>
                <w:bCs/>
                <w:color w:val="000000"/>
              </w:rPr>
            </w:pPr>
            <w:r w:rsidRPr="00EB2995">
              <w:rPr>
                <w:rFonts w:cs="Calibri"/>
                <w:b/>
                <w:bCs/>
                <w:color w:val="000000"/>
              </w:rPr>
              <w:t>Investment Funds &amp; Unit Trusts</w:t>
            </w:r>
          </w:p>
        </w:tc>
        <w:tc>
          <w:tcPr>
            <w:tcW w:w="1249" w:type="dxa"/>
            <w:tcBorders>
              <w:top w:val="nil"/>
              <w:left w:val="single" w:sz="4" w:space="0" w:color="auto"/>
              <w:bottom w:val="nil"/>
              <w:right w:val="nil"/>
            </w:tcBorders>
            <w:noWrap/>
          </w:tcPr>
          <w:p w:rsidR="00D53A04" w:rsidRPr="00EB2995" w:rsidRDefault="00D53A04" w:rsidP="00D53A04">
            <w:pPr>
              <w:jc w:val="right"/>
              <w:rPr>
                <w:rFonts w:cs="Calibri"/>
                <w:b/>
                <w:bCs/>
                <w:color w:val="000000"/>
              </w:rPr>
            </w:pPr>
          </w:p>
        </w:tc>
        <w:tc>
          <w:tcPr>
            <w:tcW w:w="1249" w:type="dxa"/>
            <w:tcBorders>
              <w:top w:val="nil"/>
              <w:left w:val="nil"/>
              <w:bottom w:val="nil"/>
              <w:right w:val="nil"/>
            </w:tcBorders>
            <w:noWrap/>
          </w:tcPr>
          <w:p w:rsidR="00D53A04" w:rsidRPr="00EB2995" w:rsidRDefault="00D53A04" w:rsidP="00D53A04">
            <w:pPr>
              <w:jc w:val="right"/>
              <w:rPr>
                <w:rFonts w:cs="Calibri"/>
              </w:rPr>
            </w:pPr>
          </w:p>
        </w:tc>
        <w:tc>
          <w:tcPr>
            <w:tcW w:w="1249" w:type="dxa"/>
            <w:tcBorders>
              <w:top w:val="nil"/>
              <w:left w:val="nil"/>
              <w:bottom w:val="nil"/>
              <w:right w:val="nil"/>
            </w:tcBorders>
            <w:noWrap/>
          </w:tcPr>
          <w:p w:rsidR="00D53A04" w:rsidRPr="00EB2995" w:rsidRDefault="00D53A04" w:rsidP="00D53A04">
            <w:pPr>
              <w:jc w:val="right"/>
              <w:rPr>
                <w:rFonts w:cs="Calibri"/>
              </w:rPr>
            </w:pPr>
          </w:p>
        </w:tc>
        <w:tc>
          <w:tcPr>
            <w:tcW w:w="1291" w:type="dxa"/>
            <w:tcBorders>
              <w:top w:val="nil"/>
              <w:left w:val="nil"/>
              <w:bottom w:val="nil"/>
              <w:right w:val="single" w:sz="4" w:space="0" w:color="auto"/>
            </w:tcBorders>
            <w:noWrap/>
            <w:vAlign w:val="bottom"/>
          </w:tcPr>
          <w:p w:rsidR="00D53A04" w:rsidRPr="00EB2995" w:rsidRDefault="00D53A04" w:rsidP="00D53A04">
            <w:pPr>
              <w:jc w:val="right"/>
              <w:rPr>
                <w:rFonts w:cs="Calibri"/>
              </w:rPr>
            </w:pPr>
          </w:p>
        </w:tc>
        <w:tc>
          <w:tcPr>
            <w:tcW w:w="597" w:type="dxa"/>
            <w:tcBorders>
              <w:top w:val="nil"/>
              <w:left w:val="single" w:sz="4" w:space="0" w:color="auto"/>
              <w:bottom w:val="nil"/>
              <w:right w:val="nil"/>
            </w:tcBorders>
            <w:noWrap/>
          </w:tcPr>
          <w:p w:rsidR="00D53A04" w:rsidRPr="00EB2995" w:rsidRDefault="00D53A04" w:rsidP="00D53A04">
            <w:pPr>
              <w:jc w:val="center"/>
              <w:rPr>
                <w:rFonts w:cs="Calibri"/>
                <w:color w:val="000000"/>
              </w:rPr>
            </w:pPr>
          </w:p>
        </w:tc>
      </w:tr>
      <w:tr w:rsidR="00D53A04" w:rsidRPr="00EB2995" w:rsidTr="00D53A04">
        <w:trPr>
          <w:trHeight w:val="305"/>
        </w:trPr>
        <w:tc>
          <w:tcPr>
            <w:tcW w:w="1260" w:type="dxa"/>
            <w:tcBorders>
              <w:top w:val="nil"/>
              <w:left w:val="single" w:sz="4" w:space="0" w:color="auto"/>
              <w:bottom w:val="nil"/>
              <w:right w:val="nil"/>
            </w:tcBorders>
            <w:noWrap/>
            <w:vAlign w:val="bottom"/>
          </w:tcPr>
          <w:p w:rsidR="00D53A04" w:rsidRPr="00EB2995" w:rsidRDefault="00D53A04" w:rsidP="00D53A04">
            <w:pPr>
              <w:jc w:val="right"/>
              <w:rPr>
                <w:rFonts w:cs="Calibri"/>
                <w:color w:val="000000"/>
              </w:rPr>
            </w:pPr>
            <w:r w:rsidRPr="00EB2995">
              <w:rPr>
                <w:rFonts w:cs="Calibri"/>
                <w:color w:val="000000"/>
              </w:rPr>
              <w:t>401.2</w:t>
            </w:r>
          </w:p>
        </w:tc>
        <w:tc>
          <w:tcPr>
            <w:tcW w:w="1260" w:type="dxa"/>
            <w:tcBorders>
              <w:top w:val="nil"/>
              <w:left w:val="nil"/>
              <w:bottom w:val="nil"/>
              <w:right w:val="nil"/>
            </w:tcBorders>
            <w:noWrap/>
            <w:vAlign w:val="bottom"/>
          </w:tcPr>
          <w:p w:rsidR="00D53A04" w:rsidRPr="00EB2995" w:rsidRDefault="00D53A04" w:rsidP="00D53A04">
            <w:pPr>
              <w:jc w:val="right"/>
              <w:rPr>
                <w:rFonts w:cs="Calibri"/>
                <w:color w:val="000000"/>
              </w:rPr>
            </w:pPr>
            <w:r w:rsidRPr="00EB2995">
              <w:rPr>
                <w:rFonts w:cs="Calibri"/>
                <w:color w:val="000000"/>
              </w:rPr>
              <w:t>0</w:t>
            </w:r>
          </w:p>
        </w:tc>
        <w:tc>
          <w:tcPr>
            <w:tcW w:w="1248" w:type="dxa"/>
            <w:tcBorders>
              <w:top w:val="nil"/>
              <w:left w:val="nil"/>
              <w:bottom w:val="nil"/>
              <w:right w:val="nil"/>
            </w:tcBorders>
            <w:noWrap/>
            <w:vAlign w:val="bottom"/>
          </w:tcPr>
          <w:p w:rsidR="00D53A04" w:rsidRPr="00EB2995" w:rsidRDefault="00D53A04" w:rsidP="00D53A04">
            <w:pPr>
              <w:jc w:val="right"/>
              <w:rPr>
                <w:rFonts w:cs="Calibri"/>
                <w:color w:val="000000"/>
              </w:rPr>
            </w:pPr>
            <w:r w:rsidRPr="00EB2995">
              <w:rPr>
                <w:rFonts w:cs="Calibri"/>
                <w:color w:val="000000"/>
              </w:rPr>
              <w:t>401.2</w:t>
            </w:r>
          </w:p>
        </w:tc>
        <w:tc>
          <w:tcPr>
            <w:tcW w:w="1274" w:type="dxa"/>
            <w:tcBorders>
              <w:top w:val="nil"/>
              <w:left w:val="nil"/>
              <w:bottom w:val="nil"/>
              <w:right w:val="single" w:sz="4" w:space="0" w:color="auto"/>
            </w:tcBorders>
            <w:noWrap/>
            <w:vAlign w:val="bottom"/>
          </w:tcPr>
          <w:p w:rsidR="00D53A04" w:rsidRPr="00EB2995" w:rsidRDefault="00D53A04" w:rsidP="00D53A04">
            <w:pPr>
              <w:jc w:val="right"/>
              <w:rPr>
                <w:rFonts w:cs="Calibri"/>
                <w:color w:val="000000"/>
              </w:rPr>
            </w:pPr>
            <w:r w:rsidRPr="00EB2995">
              <w:rPr>
                <w:rFonts w:cs="Calibri"/>
                <w:color w:val="000000"/>
              </w:rPr>
              <w:t>52.9%</w:t>
            </w:r>
          </w:p>
        </w:tc>
        <w:tc>
          <w:tcPr>
            <w:tcW w:w="3235" w:type="dxa"/>
            <w:tcBorders>
              <w:top w:val="nil"/>
              <w:left w:val="single" w:sz="4" w:space="0" w:color="auto"/>
              <w:bottom w:val="nil"/>
              <w:right w:val="single" w:sz="4" w:space="0" w:color="auto"/>
            </w:tcBorders>
            <w:noWrap/>
          </w:tcPr>
          <w:p w:rsidR="00D53A04" w:rsidRPr="00EB2995" w:rsidRDefault="00D53A04" w:rsidP="00D53A04">
            <w:pPr>
              <w:rPr>
                <w:rFonts w:cs="Calibri"/>
                <w:color w:val="000000"/>
              </w:rPr>
            </w:pPr>
            <w:r w:rsidRPr="00EB2995">
              <w:rPr>
                <w:rFonts w:cs="Calibri"/>
                <w:color w:val="000000"/>
              </w:rPr>
              <w:t>Equities</w:t>
            </w:r>
          </w:p>
        </w:tc>
        <w:tc>
          <w:tcPr>
            <w:tcW w:w="1249" w:type="dxa"/>
            <w:tcBorders>
              <w:top w:val="nil"/>
              <w:left w:val="single" w:sz="4" w:space="0" w:color="auto"/>
              <w:bottom w:val="nil"/>
              <w:right w:val="nil"/>
            </w:tcBorders>
            <w:noWrap/>
            <w:vAlign w:val="bottom"/>
          </w:tcPr>
          <w:p w:rsidR="00D53A04" w:rsidRPr="00EB2995" w:rsidRDefault="00D53A04" w:rsidP="00D53A04">
            <w:pPr>
              <w:jc w:val="right"/>
              <w:rPr>
                <w:rFonts w:cs="Calibri"/>
                <w:color w:val="000000"/>
              </w:rPr>
            </w:pPr>
            <w:r w:rsidRPr="00EB2995">
              <w:rPr>
                <w:rFonts w:cs="Calibri"/>
                <w:color w:val="000000"/>
              </w:rPr>
              <w:t>388.2</w:t>
            </w:r>
          </w:p>
        </w:tc>
        <w:tc>
          <w:tcPr>
            <w:tcW w:w="1249" w:type="dxa"/>
            <w:tcBorders>
              <w:top w:val="nil"/>
              <w:left w:val="nil"/>
              <w:bottom w:val="nil"/>
              <w:right w:val="nil"/>
            </w:tcBorders>
            <w:noWrap/>
            <w:vAlign w:val="bottom"/>
          </w:tcPr>
          <w:p w:rsidR="00D53A04" w:rsidRPr="00EB2995" w:rsidRDefault="00D53A04" w:rsidP="00D53A04">
            <w:pPr>
              <w:jc w:val="right"/>
              <w:rPr>
                <w:rFonts w:cs="Calibri"/>
                <w:color w:val="000000"/>
              </w:rPr>
            </w:pPr>
            <w:r w:rsidRPr="00EB2995">
              <w:rPr>
                <w:rFonts w:cs="Calibri"/>
                <w:color w:val="000000"/>
              </w:rPr>
              <w:t>0</w:t>
            </w:r>
          </w:p>
        </w:tc>
        <w:tc>
          <w:tcPr>
            <w:tcW w:w="1249" w:type="dxa"/>
            <w:tcBorders>
              <w:top w:val="nil"/>
              <w:left w:val="nil"/>
              <w:bottom w:val="nil"/>
              <w:right w:val="nil"/>
            </w:tcBorders>
            <w:noWrap/>
            <w:vAlign w:val="bottom"/>
          </w:tcPr>
          <w:p w:rsidR="00D53A04" w:rsidRPr="00EB2995" w:rsidRDefault="00D53A04" w:rsidP="00D53A04">
            <w:pPr>
              <w:jc w:val="right"/>
              <w:rPr>
                <w:rFonts w:cs="Calibri"/>
                <w:color w:val="000000"/>
              </w:rPr>
            </w:pPr>
            <w:r w:rsidRPr="00EB2995">
              <w:rPr>
                <w:rFonts w:cs="Calibri"/>
                <w:color w:val="000000"/>
              </w:rPr>
              <w:t>388.2</w:t>
            </w:r>
          </w:p>
        </w:tc>
        <w:tc>
          <w:tcPr>
            <w:tcW w:w="1291" w:type="dxa"/>
            <w:tcBorders>
              <w:top w:val="nil"/>
              <w:left w:val="nil"/>
              <w:bottom w:val="nil"/>
              <w:right w:val="single" w:sz="4" w:space="0" w:color="auto"/>
            </w:tcBorders>
            <w:noWrap/>
            <w:vAlign w:val="bottom"/>
          </w:tcPr>
          <w:p w:rsidR="00D53A04" w:rsidRPr="00EB2995" w:rsidRDefault="00D53A04" w:rsidP="00D53A04">
            <w:pPr>
              <w:jc w:val="right"/>
              <w:rPr>
                <w:rFonts w:cs="Calibri"/>
                <w:color w:val="000000"/>
              </w:rPr>
            </w:pPr>
            <w:r w:rsidRPr="00EB2995">
              <w:rPr>
                <w:rFonts w:cs="Calibri"/>
                <w:color w:val="000000"/>
              </w:rPr>
              <w:t>53.7%</w:t>
            </w:r>
          </w:p>
        </w:tc>
        <w:tc>
          <w:tcPr>
            <w:tcW w:w="597" w:type="dxa"/>
            <w:tcBorders>
              <w:top w:val="nil"/>
              <w:left w:val="single" w:sz="4" w:space="0" w:color="auto"/>
              <w:bottom w:val="nil"/>
              <w:right w:val="nil"/>
            </w:tcBorders>
            <w:noWrap/>
          </w:tcPr>
          <w:p w:rsidR="00D53A04" w:rsidRPr="00EB2995" w:rsidRDefault="00D53A04" w:rsidP="00D53A04">
            <w:pPr>
              <w:jc w:val="center"/>
              <w:rPr>
                <w:rFonts w:cs="Calibri"/>
                <w:color w:val="000000"/>
              </w:rPr>
            </w:pPr>
          </w:p>
        </w:tc>
      </w:tr>
      <w:tr w:rsidR="00D53A04" w:rsidRPr="00EB2995" w:rsidTr="00D53A04">
        <w:trPr>
          <w:trHeight w:val="305"/>
        </w:trPr>
        <w:tc>
          <w:tcPr>
            <w:tcW w:w="1260" w:type="dxa"/>
            <w:tcBorders>
              <w:top w:val="nil"/>
              <w:left w:val="single" w:sz="4" w:space="0" w:color="auto"/>
              <w:bottom w:val="nil"/>
              <w:right w:val="nil"/>
            </w:tcBorders>
            <w:noWrap/>
            <w:vAlign w:val="bottom"/>
          </w:tcPr>
          <w:p w:rsidR="00D53A04" w:rsidRPr="00EB2995" w:rsidRDefault="00D53A04" w:rsidP="00D53A04">
            <w:pPr>
              <w:jc w:val="right"/>
              <w:rPr>
                <w:rFonts w:cs="Calibri"/>
                <w:color w:val="000000"/>
              </w:rPr>
            </w:pPr>
            <w:r w:rsidRPr="00EB2995">
              <w:rPr>
                <w:rFonts w:cs="Calibri"/>
                <w:color w:val="000000"/>
              </w:rPr>
              <w:t>101.0</w:t>
            </w:r>
          </w:p>
        </w:tc>
        <w:tc>
          <w:tcPr>
            <w:tcW w:w="1260" w:type="dxa"/>
            <w:tcBorders>
              <w:top w:val="nil"/>
              <w:left w:val="nil"/>
              <w:bottom w:val="nil"/>
              <w:right w:val="nil"/>
            </w:tcBorders>
            <w:noWrap/>
            <w:vAlign w:val="bottom"/>
          </w:tcPr>
          <w:p w:rsidR="00D53A04" w:rsidRPr="00EB2995" w:rsidRDefault="00D53A04" w:rsidP="00D53A04">
            <w:pPr>
              <w:jc w:val="right"/>
              <w:rPr>
                <w:rFonts w:cs="Calibri"/>
                <w:color w:val="000000"/>
              </w:rPr>
            </w:pPr>
            <w:r w:rsidRPr="00EB2995">
              <w:rPr>
                <w:rFonts w:cs="Calibri"/>
                <w:color w:val="000000"/>
              </w:rPr>
              <w:t>0</w:t>
            </w:r>
          </w:p>
        </w:tc>
        <w:tc>
          <w:tcPr>
            <w:tcW w:w="1248" w:type="dxa"/>
            <w:tcBorders>
              <w:top w:val="nil"/>
              <w:left w:val="nil"/>
              <w:bottom w:val="nil"/>
              <w:right w:val="nil"/>
            </w:tcBorders>
            <w:noWrap/>
            <w:vAlign w:val="bottom"/>
          </w:tcPr>
          <w:p w:rsidR="00D53A04" w:rsidRPr="00EB2995" w:rsidRDefault="00D53A04" w:rsidP="00D53A04">
            <w:pPr>
              <w:jc w:val="right"/>
              <w:rPr>
                <w:rFonts w:cs="Calibri"/>
                <w:color w:val="000000"/>
              </w:rPr>
            </w:pPr>
            <w:r w:rsidRPr="00EB2995">
              <w:rPr>
                <w:rFonts w:cs="Calibri"/>
                <w:color w:val="000000"/>
              </w:rPr>
              <w:t>101.0</w:t>
            </w:r>
          </w:p>
        </w:tc>
        <w:tc>
          <w:tcPr>
            <w:tcW w:w="1274" w:type="dxa"/>
            <w:tcBorders>
              <w:top w:val="nil"/>
              <w:left w:val="nil"/>
              <w:bottom w:val="nil"/>
              <w:right w:val="single" w:sz="4" w:space="0" w:color="auto"/>
            </w:tcBorders>
            <w:noWrap/>
            <w:vAlign w:val="bottom"/>
          </w:tcPr>
          <w:p w:rsidR="00D53A04" w:rsidRPr="00EB2995" w:rsidRDefault="00D53A04" w:rsidP="00D53A04">
            <w:pPr>
              <w:jc w:val="right"/>
              <w:rPr>
                <w:rFonts w:cs="Calibri"/>
                <w:color w:val="000000"/>
              </w:rPr>
            </w:pPr>
            <w:r w:rsidRPr="00EB2995">
              <w:rPr>
                <w:rFonts w:cs="Calibri"/>
                <w:color w:val="000000"/>
              </w:rPr>
              <w:t>13.3%</w:t>
            </w:r>
          </w:p>
        </w:tc>
        <w:tc>
          <w:tcPr>
            <w:tcW w:w="3235" w:type="dxa"/>
            <w:tcBorders>
              <w:top w:val="nil"/>
              <w:left w:val="single" w:sz="4" w:space="0" w:color="auto"/>
              <w:bottom w:val="nil"/>
              <w:right w:val="single" w:sz="4" w:space="0" w:color="auto"/>
            </w:tcBorders>
            <w:noWrap/>
          </w:tcPr>
          <w:p w:rsidR="00D53A04" w:rsidRPr="00EB2995" w:rsidRDefault="00D53A04" w:rsidP="00D53A04">
            <w:pPr>
              <w:rPr>
                <w:rFonts w:cs="Calibri"/>
                <w:color w:val="000000"/>
              </w:rPr>
            </w:pPr>
            <w:r w:rsidRPr="00EB2995">
              <w:rPr>
                <w:rFonts w:cs="Calibri"/>
                <w:color w:val="000000"/>
              </w:rPr>
              <w:t>Bonds</w:t>
            </w:r>
          </w:p>
        </w:tc>
        <w:tc>
          <w:tcPr>
            <w:tcW w:w="1249" w:type="dxa"/>
            <w:tcBorders>
              <w:top w:val="nil"/>
              <w:left w:val="single" w:sz="4" w:space="0" w:color="auto"/>
              <w:bottom w:val="nil"/>
              <w:right w:val="nil"/>
            </w:tcBorders>
            <w:noWrap/>
            <w:vAlign w:val="bottom"/>
          </w:tcPr>
          <w:p w:rsidR="00D53A04" w:rsidRPr="00EB2995" w:rsidRDefault="00D53A04" w:rsidP="00D53A04">
            <w:pPr>
              <w:jc w:val="right"/>
              <w:rPr>
                <w:rFonts w:cs="Calibri"/>
                <w:color w:val="000000"/>
              </w:rPr>
            </w:pPr>
            <w:r w:rsidRPr="00EB2995">
              <w:rPr>
                <w:rFonts w:cs="Calibri"/>
                <w:color w:val="000000"/>
              </w:rPr>
              <w:t>92.9</w:t>
            </w:r>
          </w:p>
        </w:tc>
        <w:tc>
          <w:tcPr>
            <w:tcW w:w="1249" w:type="dxa"/>
            <w:tcBorders>
              <w:top w:val="nil"/>
              <w:left w:val="nil"/>
              <w:bottom w:val="nil"/>
              <w:right w:val="nil"/>
            </w:tcBorders>
            <w:noWrap/>
            <w:vAlign w:val="bottom"/>
          </w:tcPr>
          <w:p w:rsidR="00D53A04" w:rsidRPr="00EB2995" w:rsidRDefault="00D53A04" w:rsidP="00D53A04">
            <w:pPr>
              <w:jc w:val="right"/>
              <w:rPr>
                <w:rFonts w:cs="Calibri"/>
                <w:color w:val="000000"/>
              </w:rPr>
            </w:pPr>
            <w:r w:rsidRPr="00EB2995">
              <w:rPr>
                <w:rFonts w:cs="Calibri"/>
                <w:color w:val="000000"/>
              </w:rPr>
              <w:t>0</w:t>
            </w:r>
          </w:p>
        </w:tc>
        <w:tc>
          <w:tcPr>
            <w:tcW w:w="1249" w:type="dxa"/>
            <w:tcBorders>
              <w:top w:val="nil"/>
              <w:left w:val="nil"/>
              <w:bottom w:val="nil"/>
              <w:right w:val="nil"/>
            </w:tcBorders>
            <w:noWrap/>
            <w:vAlign w:val="bottom"/>
          </w:tcPr>
          <w:p w:rsidR="00D53A04" w:rsidRPr="00EB2995" w:rsidRDefault="00D53A04" w:rsidP="00D53A04">
            <w:pPr>
              <w:jc w:val="right"/>
              <w:rPr>
                <w:rFonts w:cs="Calibri"/>
                <w:color w:val="000000"/>
              </w:rPr>
            </w:pPr>
            <w:r w:rsidRPr="00EB2995">
              <w:rPr>
                <w:rFonts w:cs="Calibri"/>
                <w:color w:val="000000"/>
              </w:rPr>
              <w:t>92.9</w:t>
            </w:r>
          </w:p>
        </w:tc>
        <w:tc>
          <w:tcPr>
            <w:tcW w:w="1291" w:type="dxa"/>
            <w:tcBorders>
              <w:top w:val="nil"/>
              <w:left w:val="nil"/>
              <w:bottom w:val="nil"/>
              <w:right w:val="single" w:sz="4" w:space="0" w:color="auto"/>
            </w:tcBorders>
            <w:noWrap/>
            <w:vAlign w:val="bottom"/>
          </w:tcPr>
          <w:p w:rsidR="00D53A04" w:rsidRPr="00EB2995" w:rsidRDefault="00D53A04" w:rsidP="00D53A04">
            <w:pPr>
              <w:jc w:val="right"/>
              <w:rPr>
                <w:rFonts w:cs="Calibri"/>
                <w:color w:val="000000"/>
              </w:rPr>
            </w:pPr>
            <w:r w:rsidRPr="00EB2995">
              <w:rPr>
                <w:rFonts w:cs="Calibri"/>
                <w:color w:val="000000"/>
              </w:rPr>
              <w:t>12.8%</w:t>
            </w:r>
          </w:p>
        </w:tc>
        <w:tc>
          <w:tcPr>
            <w:tcW w:w="597" w:type="dxa"/>
            <w:tcBorders>
              <w:top w:val="nil"/>
              <w:left w:val="single" w:sz="4" w:space="0" w:color="auto"/>
              <w:bottom w:val="nil"/>
              <w:right w:val="nil"/>
            </w:tcBorders>
            <w:noWrap/>
          </w:tcPr>
          <w:p w:rsidR="00D53A04" w:rsidRPr="00EB2995" w:rsidRDefault="00D53A04" w:rsidP="00D53A04">
            <w:pPr>
              <w:jc w:val="center"/>
              <w:rPr>
                <w:rFonts w:cs="Calibri"/>
                <w:color w:val="000000"/>
              </w:rPr>
            </w:pPr>
          </w:p>
        </w:tc>
      </w:tr>
      <w:tr w:rsidR="00D53A04" w:rsidRPr="00EB2995" w:rsidTr="00D53A04">
        <w:trPr>
          <w:trHeight w:val="305"/>
        </w:trPr>
        <w:tc>
          <w:tcPr>
            <w:tcW w:w="1260" w:type="dxa"/>
            <w:tcBorders>
              <w:top w:val="nil"/>
              <w:left w:val="single" w:sz="4" w:space="0" w:color="auto"/>
              <w:bottom w:val="nil"/>
              <w:right w:val="nil"/>
            </w:tcBorders>
            <w:noWrap/>
            <w:vAlign w:val="bottom"/>
          </w:tcPr>
          <w:p w:rsidR="00D53A04" w:rsidRPr="00EB2995" w:rsidRDefault="00D53A04" w:rsidP="00D53A04">
            <w:pPr>
              <w:jc w:val="right"/>
              <w:rPr>
                <w:rFonts w:cs="Calibri"/>
                <w:color w:val="000000"/>
              </w:rPr>
            </w:pPr>
            <w:r w:rsidRPr="00EB2995">
              <w:rPr>
                <w:rFonts w:cs="Calibri"/>
                <w:color w:val="000000"/>
              </w:rPr>
              <w:t>0</w:t>
            </w:r>
          </w:p>
        </w:tc>
        <w:tc>
          <w:tcPr>
            <w:tcW w:w="1260" w:type="dxa"/>
            <w:tcBorders>
              <w:top w:val="nil"/>
              <w:left w:val="nil"/>
              <w:bottom w:val="nil"/>
              <w:right w:val="nil"/>
            </w:tcBorders>
            <w:noWrap/>
            <w:vAlign w:val="bottom"/>
          </w:tcPr>
          <w:p w:rsidR="00D53A04" w:rsidRPr="00EB2995" w:rsidRDefault="00D53A04" w:rsidP="00D53A04">
            <w:pPr>
              <w:jc w:val="right"/>
              <w:rPr>
                <w:rFonts w:cs="Calibri"/>
                <w:color w:val="000000"/>
              </w:rPr>
            </w:pPr>
            <w:r w:rsidRPr="00EB2995">
              <w:rPr>
                <w:rFonts w:cs="Calibri"/>
                <w:color w:val="000000"/>
              </w:rPr>
              <w:t>32.8</w:t>
            </w:r>
          </w:p>
        </w:tc>
        <w:tc>
          <w:tcPr>
            <w:tcW w:w="1248" w:type="dxa"/>
            <w:tcBorders>
              <w:top w:val="nil"/>
              <w:left w:val="nil"/>
              <w:bottom w:val="nil"/>
              <w:right w:val="nil"/>
            </w:tcBorders>
            <w:noWrap/>
            <w:vAlign w:val="bottom"/>
          </w:tcPr>
          <w:p w:rsidR="00D53A04" w:rsidRPr="00EB2995" w:rsidRDefault="00D53A04" w:rsidP="00D53A04">
            <w:pPr>
              <w:jc w:val="right"/>
              <w:rPr>
                <w:rFonts w:cs="Calibri"/>
                <w:color w:val="000000"/>
              </w:rPr>
            </w:pPr>
            <w:r w:rsidRPr="00EB2995">
              <w:rPr>
                <w:rFonts w:cs="Calibri"/>
                <w:color w:val="000000"/>
              </w:rPr>
              <w:t>32.8</w:t>
            </w:r>
          </w:p>
        </w:tc>
        <w:tc>
          <w:tcPr>
            <w:tcW w:w="1274" w:type="dxa"/>
            <w:tcBorders>
              <w:top w:val="nil"/>
              <w:left w:val="nil"/>
              <w:bottom w:val="nil"/>
              <w:right w:val="single" w:sz="4" w:space="0" w:color="auto"/>
            </w:tcBorders>
            <w:noWrap/>
            <w:vAlign w:val="bottom"/>
          </w:tcPr>
          <w:p w:rsidR="00D53A04" w:rsidRPr="00EB2995" w:rsidRDefault="00D53A04" w:rsidP="00D53A04">
            <w:pPr>
              <w:jc w:val="right"/>
              <w:rPr>
                <w:rFonts w:cs="Calibri"/>
                <w:color w:val="000000"/>
              </w:rPr>
            </w:pPr>
            <w:r w:rsidRPr="00EB2995">
              <w:rPr>
                <w:rFonts w:cs="Calibri"/>
                <w:color w:val="000000"/>
              </w:rPr>
              <w:t>4.3%</w:t>
            </w:r>
          </w:p>
        </w:tc>
        <w:tc>
          <w:tcPr>
            <w:tcW w:w="3235" w:type="dxa"/>
            <w:tcBorders>
              <w:top w:val="nil"/>
              <w:left w:val="single" w:sz="4" w:space="0" w:color="auto"/>
              <w:bottom w:val="nil"/>
              <w:right w:val="single" w:sz="4" w:space="0" w:color="auto"/>
            </w:tcBorders>
            <w:noWrap/>
          </w:tcPr>
          <w:p w:rsidR="00D53A04" w:rsidRPr="00EB2995" w:rsidRDefault="00D53A04" w:rsidP="00D53A04">
            <w:pPr>
              <w:rPr>
                <w:rFonts w:cs="Calibri"/>
                <w:color w:val="000000"/>
              </w:rPr>
            </w:pPr>
            <w:r w:rsidRPr="00EB2995">
              <w:rPr>
                <w:rFonts w:cs="Calibri"/>
                <w:color w:val="000000"/>
              </w:rPr>
              <w:t>Infrastructure</w:t>
            </w:r>
          </w:p>
        </w:tc>
        <w:tc>
          <w:tcPr>
            <w:tcW w:w="1249" w:type="dxa"/>
            <w:tcBorders>
              <w:top w:val="nil"/>
              <w:left w:val="single" w:sz="4" w:space="0" w:color="auto"/>
              <w:bottom w:val="nil"/>
              <w:right w:val="nil"/>
            </w:tcBorders>
            <w:noWrap/>
            <w:vAlign w:val="bottom"/>
          </w:tcPr>
          <w:p w:rsidR="00D53A04" w:rsidRPr="00EB2995" w:rsidRDefault="00D53A04" w:rsidP="00D53A04">
            <w:pPr>
              <w:jc w:val="right"/>
              <w:rPr>
                <w:rFonts w:cs="Calibri"/>
                <w:color w:val="000000"/>
              </w:rPr>
            </w:pPr>
            <w:r w:rsidRPr="00EB2995">
              <w:rPr>
                <w:rFonts w:cs="Calibri"/>
                <w:color w:val="000000"/>
              </w:rPr>
              <w:t>0</w:t>
            </w:r>
          </w:p>
        </w:tc>
        <w:tc>
          <w:tcPr>
            <w:tcW w:w="1249" w:type="dxa"/>
            <w:tcBorders>
              <w:top w:val="nil"/>
              <w:left w:val="nil"/>
              <w:bottom w:val="nil"/>
              <w:right w:val="nil"/>
            </w:tcBorders>
            <w:noWrap/>
            <w:vAlign w:val="bottom"/>
          </w:tcPr>
          <w:p w:rsidR="00D53A04" w:rsidRPr="00EB2995" w:rsidRDefault="00D53A04" w:rsidP="00D53A04">
            <w:pPr>
              <w:jc w:val="right"/>
              <w:rPr>
                <w:rFonts w:cs="Calibri"/>
                <w:color w:val="000000"/>
              </w:rPr>
            </w:pPr>
            <w:r w:rsidRPr="00EB2995">
              <w:rPr>
                <w:rFonts w:cs="Calibri"/>
                <w:color w:val="000000"/>
              </w:rPr>
              <w:t>26.0</w:t>
            </w:r>
          </w:p>
        </w:tc>
        <w:tc>
          <w:tcPr>
            <w:tcW w:w="1249" w:type="dxa"/>
            <w:tcBorders>
              <w:top w:val="nil"/>
              <w:left w:val="nil"/>
              <w:bottom w:val="nil"/>
              <w:right w:val="nil"/>
            </w:tcBorders>
            <w:noWrap/>
            <w:vAlign w:val="bottom"/>
          </w:tcPr>
          <w:p w:rsidR="00D53A04" w:rsidRPr="00EB2995" w:rsidRDefault="00D53A04" w:rsidP="00D53A04">
            <w:pPr>
              <w:jc w:val="right"/>
              <w:rPr>
                <w:rFonts w:cs="Calibri"/>
                <w:color w:val="000000"/>
              </w:rPr>
            </w:pPr>
            <w:r w:rsidRPr="00EB2995">
              <w:rPr>
                <w:rFonts w:cs="Calibri"/>
                <w:color w:val="000000"/>
              </w:rPr>
              <w:t>26.0</w:t>
            </w:r>
          </w:p>
        </w:tc>
        <w:tc>
          <w:tcPr>
            <w:tcW w:w="1291" w:type="dxa"/>
            <w:tcBorders>
              <w:top w:val="nil"/>
              <w:left w:val="nil"/>
              <w:bottom w:val="nil"/>
              <w:right w:val="single" w:sz="4" w:space="0" w:color="auto"/>
            </w:tcBorders>
            <w:noWrap/>
            <w:vAlign w:val="bottom"/>
          </w:tcPr>
          <w:p w:rsidR="00D53A04" w:rsidRPr="00EB2995" w:rsidRDefault="00D53A04" w:rsidP="00D53A04">
            <w:pPr>
              <w:jc w:val="right"/>
              <w:rPr>
                <w:rFonts w:cs="Calibri"/>
                <w:color w:val="000000"/>
              </w:rPr>
            </w:pPr>
            <w:r w:rsidRPr="00EB2995">
              <w:rPr>
                <w:rFonts w:cs="Calibri"/>
                <w:color w:val="000000"/>
              </w:rPr>
              <w:t>3.6%</w:t>
            </w:r>
          </w:p>
        </w:tc>
        <w:tc>
          <w:tcPr>
            <w:tcW w:w="597" w:type="dxa"/>
            <w:tcBorders>
              <w:top w:val="nil"/>
              <w:left w:val="single" w:sz="4" w:space="0" w:color="auto"/>
              <w:bottom w:val="nil"/>
              <w:right w:val="nil"/>
            </w:tcBorders>
            <w:noWrap/>
          </w:tcPr>
          <w:p w:rsidR="00D53A04" w:rsidRPr="00EB2995" w:rsidRDefault="00D53A04" w:rsidP="00D53A04">
            <w:pPr>
              <w:jc w:val="center"/>
              <w:rPr>
                <w:rFonts w:cs="Calibri"/>
                <w:color w:val="000000"/>
              </w:rPr>
            </w:pPr>
          </w:p>
        </w:tc>
      </w:tr>
      <w:tr w:rsidR="00D53A04" w:rsidRPr="00EB2995" w:rsidTr="00D53A04">
        <w:trPr>
          <w:trHeight w:val="305"/>
        </w:trPr>
        <w:tc>
          <w:tcPr>
            <w:tcW w:w="1260" w:type="dxa"/>
            <w:tcBorders>
              <w:top w:val="nil"/>
              <w:left w:val="single" w:sz="4" w:space="0" w:color="auto"/>
              <w:bottom w:val="nil"/>
              <w:right w:val="nil"/>
            </w:tcBorders>
            <w:noWrap/>
            <w:vAlign w:val="bottom"/>
          </w:tcPr>
          <w:p w:rsidR="00D53A04" w:rsidRPr="00EB2995" w:rsidRDefault="00D53A04" w:rsidP="00D53A04">
            <w:pPr>
              <w:jc w:val="right"/>
              <w:rPr>
                <w:rFonts w:cs="Calibri"/>
                <w:color w:val="000000"/>
              </w:rPr>
            </w:pPr>
            <w:r w:rsidRPr="00EB2995">
              <w:rPr>
                <w:rFonts w:cs="Calibri"/>
                <w:color w:val="000000"/>
              </w:rPr>
              <w:t>150.5</w:t>
            </w:r>
          </w:p>
        </w:tc>
        <w:tc>
          <w:tcPr>
            <w:tcW w:w="1260" w:type="dxa"/>
            <w:tcBorders>
              <w:top w:val="nil"/>
              <w:left w:val="nil"/>
              <w:bottom w:val="nil"/>
              <w:right w:val="nil"/>
            </w:tcBorders>
            <w:noWrap/>
            <w:vAlign w:val="bottom"/>
          </w:tcPr>
          <w:p w:rsidR="00D53A04" w:rsidRPr="00EB2995" w:rsidRDefault="00D53A04" w:rsidP="00D53A04">
            <w:pPr>
              <w:jc w:val="right"/>
              <w:rPr>
                <w:rFonts w:cs="Calibri"/>
                <w:color w:val="000000"/>
              </w:rPr>
            </w:pPr>
            <w:r w:rsidRPr="00EB2995">
              <w:rPr>
                <w:rFonts w:cs="Calibri"/>
                <w:color w:val="000000"/>
              </w:rPr>
              <w:t>0</w:t>
            </w:r>
          </w:p>
        </w:tc>
        <w:tc>
          <w:tcPr>
            <w:tcW w:w="1248" w:type="dxa"/>
            <w:tcBorders>
              <w:top w:val="nil"/>
              <w:left w:val="nil"/>
              <w:bottom w:val="nil"/>
              <w:right w:val="nil"/>
            </w:tcBorders>
            <w:noWrap/>
            <w:vAlign w:val="bottom"/>
          </w:tcPr>
          <w:p w:rsidR="00D53A04" w:rsidRPr="00EB2995" w:rsidRDefault="00D53A04" w:rsidP="00D53A04">
            <w:pPr>
              <w:jc w:val="right"/>
              <w:rPr>
                <w:rFonts w:cs="Calibri"/>
                <w:color w:val="000000"/>
              </w:rPr>
            </w:pPr>
            <w:r w:rsidRPr="00EB2995">
              <w:rPr>
                <w:rFonts w:cs="Calibri"/>
                <w:color w:val="000000"/>
              </w:rPr>
              <w:t>150.5</w:t>
            </w:r>
          </w:p>
        </w:tc>
        <w:tc>
          <w:tcPr>
            <w:tcW w:w="1274" w:type="dxa"/>
            <w:tcBorders>
              <w:top w:val="nil"/>
              <w:left w:val="nil"/>
              <w:bottom w:val="nil"/>
              <w:right w:val="single" w:sz="4" w:space="0" w:color="auto"/>
            </w:tcBorders>
            <w:noWrap/>
            <w:vAlign w:val="bottom"/>
          </w:tcPr>
          <w:p w:rsidR="00D53A04" w:rsidRPr="00EB2995" w:rsidRDefault="00D53A04" w:rsidP="00D53A04">
            <w:pPr>
              <w:jc w:val="right"/>
              <w:rPr>
                <w:rFonts w:cs="Calibri"/>
                <w:color w:val="000000"/>
              </w:rPr>
            </w:pPr>
            <w:r w:rsidRPr="00EB2995">
              <w:rPr>
                <w:rFonts w:cs="Calibri"/>
                <w:color w:val="000000"/>
              </w:rPr>
              <w:t>19.9%</w:t>
            </w:r>
          </w:p>
        </w:tc>
        <w:tc>
          <w:tcPr>
            <w:tcW w:w="3235" w:type="dxa"/>
            <w:tcBorders>
              <w:top w:val="nil"/>
              <w:left w:val="single" w:sz="4" w:space="0" w:color="auto"/>
              <w:bottom w:val="nil"/>
              <w:right w:val="single" w:sz="4" w:space="0" w:color="auto"/>
            </w:tcBorders>
            <w:noWrap/>
          </w:tcPr>
          <w:p w:rsidR="00D53A04" w:rsidRPr="00EB2995" w:rsidRDefault="00D53A04" w:rsidP="00D53A04">
            <w:pPr>
              <w:rPr>
                <w:rFonts w:cs="Calibri"/>
                <w:color w:val="000000"/>
              </w:rPr>
            </w:pPr>
            <w:r w:rsidRPr="00EB2995">
              <w:rPr>
                <w:rFonts w:cs="Calibri"/>
                <w:color w:val="000000"/>
              </w:rPr>
              <w:t>Other</w:t>
            </w:r>
          </w:p>
        </w:tc>
        <w:tc>
          <w:tcPr>
            <w:tcW w:w="1249" w:type="dxa"/>
            <w:tcBorders>
              <w:top w:val="nil"/>
              <w:left w:val="single" w:sz="4" w:space="0" w:color="auto"/>
              <w:bottom w:val="nil"/>
              <w:right w:val="nil"/>
            </w:tcBorders>
            <w:noWrap/>
            <w:vAlign w:val="bottom"/>
          </w:tcPr>
          <w:p w:rsidR="00D53A04" w:rsidRPr="00EB2995" w:rsidRDefault="00D53A04" w:rsidP="00D53A04">
            <w:pPr>
              <w:jc w:val="right"/>
              <w:rPr>
                <w:rFonts w:cs="Calibri"/>
                <w:color w:val="000000"/>
              </w:rPr>
            </w:pPr>
            <w:r w:rsidRPr="00EB2995">
              <w:rPr>
                <w:rFonts w:cs="Calibri"/>
                <w:color w:val="000000"/>
              </w:rPr>
              <w:t>139.4</w:t>
            </w:r>
          </w:p>
        </w:tc>
        <w:tc>
          <w:tcPr>
            <w:tcW w:w="1249" w:type="dxa"/>
            <w:tcBorders>
              <w:top w:val="nil"/>
              <w:left w:val="nil"/>
              <w:bottom w:val="nil"/>
              <w:right w:val="nil"/>
            </w:tcBorders>
            <w:noWrap/>
            <w:vAlign w:val="bottom"/>
          </w:tcPr>
          <w:p w:rsidR="00D53A04" w:rsidRPr="00EB2995" w:rsidRDefault="00D53A04" w:rsidP="00D53A04">
            <w:pPr>
              <w:jc w:val="right"/>
              <w:rPr>
                <w:rFonts w:cs="Calibri"/>
                <w:color w:val="000000"/>
              </w:rPr>
            </w:pPr>
            <w:r w:rsidRPr="00EB2995">
              <w:rPr>
                <w:rFonts w:cs="Calibri"/>
                <w:color w:val="000000"/>
              </w:rPr>
              <w:t>0</w:t>
            </w:r>
          </w:p>
        </w:tc>
        <w:tc>
          <w:tcPr>
            <w:tcW w:w="1249" w:type="dxa"/>
            <w:tcBorders>
              <w:top w:val="nil"/>
              <w:left w:val="nil"/>
              <w:bottom w:val="nil"/>
              <w:right w:val="nil"/>
            </w:tcBorders>
            <w:noWrap/>
            <w:vAlign w:val="bottom"/>
          </w:tcPr>
          <w:p w:rsidR="00D53A04" w:rsidRPr="00EB2995" w:rsidRDefault="00D53A04" w:rsidP="00D53A04">
            <w:pPr>
              <w:jc w:val="right"/>
              <w:rPr>
                <w:rFonts w:cs="Calibri"/>
                <w:color w:val="000000"/>
              </w:rPr>
            </w:pPr>
            <w:r w:rsidRPr="00EB2995">
              <w:rPr>
                <w:rFonts w:cs="Calibri"/>
                <w:color w:val="000000"/>
              </w:rPr>
              <w:t>139.4</w:t>
            </w:r>
          </w:p>
        </w:tc>
        <w:tc>
          <w:tcPr>
            <w:tcW w:w="1291" w:type="dxa"/>
            <w:tcBorders>
              <w:top w:val="nil"/>
              <w:left w:val="nil"/>
              <w:bottom w:val="nil"/>
              <w:right w:val="single" w:sz="4" w:space="0" w:color="auto"/>
            </w:tcBorders>
            <w:noWrap/>
            <w:vAlign w:val="bottom"/>
          </w:tcPr>
          <w:p w:rsidR="00D53A04" w:rsidRPr="00EB2995" w:rsidRDefault="00D53A04" w:rsidP="00D53A04">
            <w:pPr>
              <w:jc w:val="right"/>
              <w:rPr>
                <w:rFonts w:cs="Calibri"/>
                <w:color w:val="000000"/>
              </w:rPr>
            </w:pPr>
            <w:r w:rsidRPr="00EB2995">
              <w:rPr>
                <w:rFonts w:cs="Calibri"/>
                <w:color w:val="000000"/>
              </w:rPr>
              <w:t>19.3%</w:t>
            </w:r>
          </w:p>
        </w:tc>
        <w:tc>
          <w:tcPr>
            <w:tcW w:w="597" w:type="dxa"/>
            <w:tcBorders>
              <w:top w:val="nil"/>
              <w:left w:val="single" w:sz="4" w:space="0" w:color="auto"/>
              <w:bottom w:val="nil"/>
              <w:right w:val="nil"/>
            </w:tcBorders>
            <w:noWrap/>
          </w:tcPr>
          <w:p w:rsidR="00D53A04" w:rsidRPr="00EB2995" w:rsidRDefault="00D53A04" w:rsidP="00D53A04">
            <w:pPr>
              <w:jc w:val="center"/>
              <w:rPr>
                <w:rFonts w:cs="Calibri"/>
                <w:color w:val="000000"/>
              </w:rPr>
            </w:pPr>
          </w:p>
        </w:tc>
      </w:tr>
      <w:tr w:rsidR="00D53A04" w:rsidRPr="00EB2995" w:rsidTr="00D53A04">
        <w:trPr>
          <w:trHeight w:val="305"/>
        </w:trPr>
        <w:tc>
          <w:tcPr>
            <w:tcW w:w="1260" w:type="dxa"/>
            <w:tcBorders>
              <w:top w:val="nil"/>
              <w:left w:val="single" w:sz="4" w:space="0" w:color="auto"/>
              <w:right w:val="nil"/>
            </w:tcBorders>
            <w:noWrap/>
          </w:tcPr>
          <w:p w:rsidR="00D53A04" w:rsidRPr="00EB2995" w:rsidRDefault="00D53A04" w:rsidP="00D53A04">
            <w:pPr>
              <w:jc w:val="right"/>
              <w:rPr>
                <w:rFonts w:cs="Calibri"/>
                <w:color w:val="000000"/>
              </w:rPr>
            </w:pPr>
          </w:p>
        </w:tc>
        <w:tc>
          <w:tcPr>
            <w:tcW w:w="1260" w:type="dxa"/>
            <w:tcBorders>
              <w:top w:val="nil"/>
              <w:left w:val="nil"/>
              <w:right w:val="nil"/>
            </w:tcBorders>
            <w:noWrap/>
          </w:tcPr>
          <w:p w:rsidR="00D53A04" w:rsidRPr="00EB2995" w:rsidRDefault="00D53A04" w:rsidP="00D53A04">
            <w:pPr>
              <w:jc w:val="right"/>
              <w:rPr>
                <w:rFonts w:cs="Calibri"/>
                <w:color w:val="000000"/>
              </w:rPr>
            </w:pPr>
          </w:p>
        </w:tc>
        <w:tc>
          <w:tcPr>
            <w:tcW w:w="1248" w:type="dxa"/>
            <w:tcBorders>
              <w:top w:val="nil"/>
              <w:left w:val="nil"/>
              <w:right w:val="nil"/>
            </w:tcBorders>
            <w:noWrap/>
          </w:tcPr>
          <w:p w:rsidR="00D53A04" w:rsidRPr="00EB2995" w:rsidRDefault="00D53A04" w:rsidP="00D53A04">
            <w:pPr>
              <w:jc w:val="right"/>
              <w:rPr>
                <w:rFonts w:cs="Calibri"/>
                <w:color w:val="000000"/>
              </w:rPr>
            </w:pPr>
          </w:p>
        </w:tc>
        <w:tc>
          <w:tcPr>
            <w:tcW w:w="1274" w:type="dxa"/>
            <w:tcBorders>
              <w:top w:val="nil"/>
              <w:left w:val="nil"/>
              <w:right w:val="single" w:sz="4" w:space="0" w:color="auto"/>
            </w:tcBorders>
            <w:noWrap/>
            <w:vAlign w:val="bottom"/>
          </w:tcPr>
          <w:p w:rsidR="00D53A04" w:rsidRPr="00EB2995" w:rsidRDefault="00D53A04" w:rsidP="00D53A04">
            <w:pPr>
              <w:jc w:val="right"/>
              <w:rPr>
                <w:rFonts w:cs="Calibri"/>
              </w:rPr>
            </w:pPr>
          </w:p>
        </w:tc>
        <w:tc>
          <w:tcPr>
            <w:tcW w:w="3235" w:type="dxa"/>
            <w:tcBorders>
              <w:top w:val="nil"/>
              <w:left w:val="single" w:sz="4" w:space="0" w:color="auto"/>
              <w:bottom w:val="nil"/>
              <w:right w:val="single" w:sz="4" w:space="0" w:color="auto"/>
            </w:tcBorders>
            <w:noWrap/>
          </w:tcPr>
          <w:p w:rsidR="00D53A04" w:rsidRPr="00EB2995" w:rsidRDefault="00D53A04" w:rsidP="00D53A04">
            <w:pPr>
              <w:rPr>
                <w:rFonts w:cs="Calibri"/>
                <w:color w:val="000000"/>
              </w:rPr>
            </w:pPr>
            <w:r w:rsidRPr="00EB2995">
              <w:rPr>
                <w:rFonts w:cs="Calibri"/>
                <w:b/>
                <w:bCs/>
                <w:color w:val="000000"/>
              </w:rPr>
              <w:t>Cash and cash equivalents</w:t>
            </w:r>
          </w:p>
        </w:tc>
        <w:tc>
          <w:tcPr>
            <w:tcW w:w="1249" w:type="dxa"/>
            <w:tcBorders>
              <w:top w:val="nil"/>
              <w:left w:val="single" w:sz="4" w:space="0" w:color="auto"/>
              <w:right w:val="nil"/>
            </w:tcBorders>
            <w:noWrap/>
          </w:tcPr>
          <w:p w:rsidR="00D53A04" w:rsidRPr="00EB2995" w:rsidRDefault="00D53A04" w:rsidP="00D53A04">
            <w:pPr>
              <w:jc w:val="right"/>
              <w:rPr>
                <w:rFonts w:cs="Calibri"/>
                <w:color w:val="000000"/>
              </w:rPr>
            </w:pPr>
          </w:p>
        </w:tc>
        <w:tc>
          <w:tcPr>
            <w:tcW w:w="1249" w:type="dxa"/>
            <w:tcBorders>
              <w:top w:val="nil"/>
              <w:left w:val="nil"/>
              <w:right w:val="nil"/>
            </w:tcBorders>
            <w:noWrap/>
          </w:tcPr>
          <w:p w:rsidR="00D53A04" w:rsidRPr="00EB2995" w:rsidRDefault="00D53A04" w:rsidP="00D53A04">
            <w:pPr>
              <w:jc w:val="right"/>
              <w:rPr>
                <w:rFonts w:cs="Calibri"/>
                <w:color w:val="000000"/>
              </w:rPr>
            </w:pPr>
          </w:p>
        </w:tc>
        <w:tc>
          <w:tcPr>
            <w:tcW w:w="1249" w:type="dxa"/>
            <w:tcBorders>
              <w:top w:val="nil"/>
              <w:left w:val="nil"/>
              <w:right w:val="nil"/>
            </w:tcBorders>
            <w:noWrap/>
          </w:tcPr>
          <w:p w:rsidR="00D53A04" w:rsidRPr="00EB2995" w:rsidRDefault="00D53A04" w:rsidP="00D53A04">
            <w:pPr>
              <w:jc w:val="right"/>
              <w:rPr>
                <w:rFonts w:cs="Calibri"/>
                <w:color w:val="000000"/>
              </w:rPr>
            </w:pPr>
          </w:p>
        </w:tc>
        <w:tc>
          <w:tcPr>
            <w:tcW w:w="1291" w:type="dxa"/>
            <w:tcBorders>
              <w:top w:val="nil"/>
              <w:left w:val="nil"/>
              <w:right w:val="single" w:sz="4" w:space="0" w:color="auto"/>
            </w:tcBorders>
            <w:noWrap/>
            <w:vAlign w:val="bottom"/>
          </w:tcPr>
          <w:p w:rsidR="00D53A04" w:rsidRPr="00EB2995" w:rsidRDefault="00D53A04" w:rsidP="00D53A04">
            <w:pPr>
              <w:jc w:val="right"/>
              <w:rPr>
                <w:rFonts w:cs="Calibri"/>
              </w:rPr>
            </w:pPr>
          </w:p>
        </w:tc>
        <w:tc>
          <w:tcPr>
            <w:tcW w:w="597" w:type="dxa"/>
            <w:tcBorders>
              <w:top w:val="nil"/>
              <w:left w:val="single" w:sz="4" w:space="0" w:color="auto"/>
              <w:bottom w:val="nil"/>
              <w:right w:val="nil"/>
            </w:tcBorders>
            <w:noWrap/>
          </w:tcPr>
          <w:p w:rsidR="00D53A04" w:rsidRPr="00EB2995" w:rsidRDefault="00D53A04" w:rsidP="00D53A04">
            <w:pPr>
              <w:jc w:val="center"/>
              <w:rPr>
                <w:rFonts w:cs="Calibri"/>
                <w:color w:val="000000"/>
              </w:rPr>
            </w:pPr>
          </w:p>
        </w:tc>
      </w:tr>
      <w:tr w:rsidR="00D53A04" w:rsidRPr="00EB2995" w:rsidTr="00D53A04">
        <w:trPr>
          <w:trHeight w:val="305"/>
        </w:trPr>
        <w:tc>
          <w:tcPr>
            <w:tcW w:w="1260" w:type="dxa"/>
            <w:tcBorders>
              <w:top w:val="nil"/>
              <w:left w:val="single" w:sz="4" w:space="0" w:color="auto"/>
              <w:bottom w:val="single" w:sz="4" w:space="0" w:color="auto"/>
              <w:right w:val="nil"/>
            </w:tcBorders>
            <w:noWrap/>
            <w:vAlign w:val="bottom"/>
          </w:tcPr>
          <w:p w:rsidR="00D53A04" w:rsidRPr="00EB2995" w:rsidRDefault="00D53A04" w:rsidP="00D53A04">
            <w:pPr>
              <w:jc w:val="right"/>
              <w:rPr>
                <w:rFonts w:cs="Calibri"/>
                <w:bCs/>
                <w:color w:val="000000"/>
              </w:rPr>
            </w:pPr>
            <w:r w:rsidRPr="00EB2995">
              <w:rPr>
                <w:rFonts w:cs="Calibri"/>
                <w:bCs/>
                <w:color w:val="000000"/>
              </w:rPr>
              <w:t>20.8</w:t>
            </w:r>
          </w:p>
        </w:tc>
        <w:tc>
          <w:tcPr>
            <w:tcW w:w="1260" w:type="dxa"/>
            <w:tcBorders>
              <w:top w:val="nil"/>
              <w:left w:val="nil"/>
              <w:bottom w:val="single" w:sz="4" w:space="0" w:color="auto"/>
              <w:right w:val="nil"/>
            </w:tcBorders>
            <w:noWrap/>
            <w:vAlign w:val="bottom"/>
          </w:tcPr>
          <w:p w:rsidR="00D53A04" w:rsidRPr="00EB2995" w:rsidRDefault="00D53A04" w:rsidP="00D53A04">
            <w:pPr>
              <w:jc w:val="right"/>
              <w:rPr>
                <w:rFonts w:cs="Calibri"/>
              </w:rPr>
            </w:pPr>
            <w:r w:rsidRPr="00EB2995">
              <w:rPr>
                <w:rFonts w:cs="Calibri"/>
              </w:rPr>
              <w:t>0</w:t>
            </w:r>
          </w:p>
        </w:tc>
        <w:tc>
          <w:tcPr>
            <w:tcW w:w="1248" w:type="dxa"/>
            <w:tcBorders>
              <w:top w:val="nil"/>
              <w:left w:val="nil"/>
              <w:bottom w:val="single" w:sz="4" w:space="0" w:color="auto"/>
              <w:right w:val="nil"/>
            </w:tcBorders>
            <w:noWrap/>
            <w:vAlign w:val="bottom"/>
          </w:tcPr>
          <w:p w:rsidR="00D53A04" w:rsidRPr="00EB2995" w:rsidRDefault="00D53A04" w:rsidP="00D53A04">
            <w:pPr>
              <w:jc w:val="right"/>
              <w:rPr>
                <w:rFonts w:cs="Calibri"/>
              </w:rPr>
            </w:pPr>
            <w:r w:rsidRPr="00EB2995">
              <w:rPr>
                <w:rFonts w:cs="Calibri"/>
              </w:rPr>
              <w:t>20.8</w:t>
            </w:r>
          </w:p>
        </w:tc>
        <w:tc>
          <w:tcPr>
            <w:tcW w:w="1274" w:type="dxa"/>
            <w:tcBorders>
              <w:top w:val="nil"/>
              <w:left w:val="nil"/>
              <w:bottom w:val="single" w:sz="4" w:space="0" w:color="auto"/>
              <w:right w:val="single" w:sz="4" w:space="0" w:color="auto"/>
            </w:tcBorders>
            <w:noWrap/>
            <w:vAlign w:val="bottom"/>
          </w:tcPr>
          <w:p w:rsidR="00D53A04" w:rsidRPr="00EB2995" w:rsidRDefault="00D53A04" w:rsidP="00D53A04">
            <w:pPr>
              <w:jc w:val="right"/>
              <w:rPr>
                <w:rFonts w:cs="Calibri"/>
              </w:rPr>
            </w:pPr>
            <w:r w:rsidRPr="00EB2995">
              <w:rPr>
                <w:rFonts w:cs="Calibri"/>
              </w:rPr>
              <w:t>2.7%</w:t>
            </w:r>
          </w:p>
        </w:tc>
        <w:tc>
          <w:tcPr>
            <w:tcW w:w="3235" w:type="dxa"/>
            <w:tcBorders>
              <w:top w:val="nil"/>
              <w:left w:val="single" w:sz="4" w:space="0" w:color="auto"/>
              <w:bottom w:val="nil"/>
              <w:right w:val="single" w:sz="4" w:space="0" w:color="auto"/>
            </w:tcBorders>
            <w:noWrap/>
          </w:tcPr>
          <w:p w:rsidR="00D53A04" w:rsidRPr="00EB2995" w:rsidRDefault="00D53A04" w:rsidP="00D53A04">
            <w:pPr>
              <w:rPr>
                <w:rFonts w:cs="Calibri"/>
                <w:b/>
                <w:bCs/>
                <w:color w:val="000000"/>
              </w:rPr>
            </w:pPr>
            <w:r w:rsidRPr="00EB2995">
              <w:rPr>
                <w:rFonts w:cs="Calibri"/>
                <w:color w:val="000000"/>
              </w:rPr>
              <w:t>All</w:t>
            </w:r>
          </w:p>
        </w:tc>
        <w:tc>
          <w:tcPr>
            <w:tcW w:w="1249" w:type="dxa"/>
            <w:tcBorders>
              <w:top w:val="nil"/>
              <w:left w:val="single" w:sz="4" w:space="0" w:color="auto"/>
              <w:bottom w:val="single" w:sz="4" w:space="0" w:color="auto"/>
              <w:right w:val="nil"/>
            </w:tcBorders>
            <w:noWrap/>
            <w:vAlign w:val="bottom"/>
          </w:tcPr>
          <w:p w:rsidR="00D53A04" w:rsidRPr="00EB2995" w:rsidRDefault="00D53A04" w:rsidP="00D53A04">
            <w:pPr>
              <w:jc w:val="right"/>
              <w:rPr>
                <w:rFonts w:cs="Calibri"/>
                <w:bCs/>
                <w:color w:val="000000"/>
              </w:rPr>
            </w:pPr>
            <w:r w:rsidRPr="00EB2995">
              <w:rPr>
                <w:rFonts w:cs="Calibri"/>
                <w:bCs/>
                <w:color w:val="000000"/>
              </w:rPr>
              <w:t>40.5</w:t>
            </w:r>
          </w:p>
        </w:tc>
        <w:tc>
          <w:tcPr>
            <w:tcW w:w="1249" w:type="dxa"/>
            <w:tcBorders>
              <w:top w:val="nil"/>
              <w:left w:val="nil"/>
              <w:bottom w:val="single" w:sz="4" w:space="0" w:color="auto"/>
              <w:right w:val="nil"/>
            </w:tcBorders>
            <w:noWrap/>
            <w:vAlign w:val="bottom"/>
          </w:tcPr>
          <w:p w:rsidR="00D53A04" w:rsidRPr="00EB2995" w:rsidRDefault="00D53A04" w:rsidP="00D53A04">
            <w:pPr>
              <w:jc w:val="right"/>
              <w:rPr>
                <w:rFonts w:cs="Calibri"/>
              </w:rPr>
            </w:pPr>
            <w:r w:rsidRPr="00EB2995">
              <w:rPr>
                <w:rFonts w:cs="Calibri"/>
              </w:rPr>
              <w:t>0</w:t>
            </w:r>
          </w:p>
        </w:tc>
        <w:tc>
          <w:tcPr>
            <w:tcW w:w="1249" w:type="dxa"/>
            <w:tcBorders>
              <w:top w:val="nil"/>
              <w:left w:val="nil"/>
              <w:bottom w:val="single" w:sz="4" w:space="0" w:color="auto"/>
              <w:right w:val="nil"/>
            </w:tcBorders>
            <w:noWrap/>
            <w:vAlign w:val="bottom"/>
          </w:tcPr>
          <w:p w:rsidR="00D53A04" w:rsidRPr="00EB2995" w:rsidRDefault="00D53A04" w:rsidP="00D53A04">
            <w:pPr>
              <w:jc w:val="right"/>
              <w:rPr>
                <w:rFonts w:cs="Calibri"/>
              </w:rPr>
            </w:pPr>
            <w:r w:rsidRPr="00EB2995">
              <w:rPr>
                <w:rFonts w:cs="Calibri"/>
              </w:rPr>
              <w:t>40.5</w:t>
            </w:r>
          </w:p>
        </w:tc>
        <w:tc>
          <w:tcPr>
            <w:tcW w:w="1291" w:type="dxa"/>
            <w:tcBorders>
              <w:top w:val="nil"/>
              <w:left w:val="nil"/>
              <w:bottom w:val="single" w:sz="4" w:space="0" w:color="auto"/>
              <w:right w:val="single" w:sz="4" w:space="0" w:color="auto"/>
            </w:tcBorders>
            <w:noWrap/>
            <w:vAlign w:val="bottom"/>
          </w:tcPr>
          <w:p w:rsidR="00D53A04" w:rsidRPr="00EB2995" w:rsidRDefault="00D53A04" w:rsidP="00D53A04">
            <w:pPr>
              <w:jc w:val="right"/>
              <w:rPr>
                <w:rFonts w:cs="Calibri"/>
              </w:rPr>
            </w:pPr>
            <w:r w:rsidRPr="00EB2995">
              <w:rPr>
                <w:rFonts w:cs="Calibri"/>
              </w:rPr>
              <w:t>5.6%</w:t>
            </w:r>
          </w:p>
        </w:tc>
        <w:tc>
          <w:tcPr>
            <w:tcW w:w="597" w:type="dxa"/>
            <w:tcBorders>
              <w:top w:val="nil"/>
              <w:left w:val="single" w:sz="4" w:space="0" w:color="auto"/>
              <w:right w:val="nil"/>
            </w:tcBorders>
            <w:noWrap/>
          </w:tcPr>
          <w:p w:rsidR="00D53A04" w:rsidRPr="00EB2995" w:rsidRDefault="00D53A04" w:rsidP="00D53A04">
            <w:pPr>
              <w:jc w:val="center"/>
              <w:rPr>
                <w:rFonts w:cs="Calibri"/>
                <w:color w:val="000000"/>
              </w:rPr>
            </w:pPr>
          </w:p>
        </w:tc>
      </w:tr>
      <w:tr w:rsidR="00D53A04" w:rsidRPr="00EB2995" w:rsidTr="00D53A04">
        <w:trPr>
          <w:trHeight w:val="305"/>
        </w:trPr>
        <w:tc>
          <w:tcPr>
            <w:tcW w:w="1260" w:type="dxa"/>
            <w:tcBorders>
              <w:top w:val="single" w:sz="4" w:space="0" w:color="auto"/>
              <w:left w:val="single" w:sz="4" w:space="0" w:color="auto"/>
              <w:bottom w:val="single" w:sz="4" w:space="0" w:color="auto"/>
              <w:right w:val="nil"/>
            </w:tcBorders>
            <w:noWrap/>
            <w:vAlign w:val="bottom"/>
          </w:tcPr>
          <w:p w:rsidR="00D53A04" w:rsidRPr="00EB2995" w:rsidRDefault="00D53A04" w:rsidP="00D53A04">
            <w:pPr>
              <w:jc w:val="right"/>
              <w:rPr>
                <w:rFonts w:cs="Calibri"/>
                <w:b/>
                <w:color w:val="000000"/>
              </w:rPr>
            </w:pPr>
            <w:r w:rsidRPr="00EB2995">
              <w:rPr>
                <w:rFonts w:cs="Calibri"/>
                <w:b/>
                <w:color w:val="000000"/>
              </w:rPr>
              <w:t>673.7</w:t>
            </w:r>
          </w:p>
        </w:tc>
        <w:tc>
          <w:tcPr>
            <w:tcW w:w="1260" w:type="dxa"/>
            <w:tcBorders>
              <w:top w:val="single" w:sz="4" w:space="0" w:color="auto"/>
              <w:left w:val="nil"/>
              <w:bottom w:val="single" w:sz="4" w:space="0" w:color="auto"/>
              <w:right w:val="nil"/>
            </w:tcBorders>
            <w:noWrap/>
            <w:vAlign w:val="bottom"/>
          </w:tcPr>
          <w:p w:rsidR="00D53A04" w:rsidRPr="00EB2995" w:rsidRDefault="00D53A04" w:rsidP="00D53A04">
            <w:pPr>
              <w:jc w:val="right"/>
              <w:rPr>
                <w:rFonts w:cs="Calibri"/>
                <w:b/>
                <w:color w:val="000000"/>
              </w:rPr>
            </w:pPr>
            <w:r w:rsidRPr="00EB2995">
              <w:rPr>
                <w:rFonts w:cs="Calibri"/>
                <w:b/>
                <w:color w:val="000000"/>
              </w:rPr>
              <w:t>84.1</w:t>
            </w:r>
          </w:p>
        </w:tc>
        <w:tc>
          <w:tcPr>
            <w:tcW w:w="1248" w:type="dxa"/>
            <w:tcBorders>
              <w:top w:val="single" w:sz="4" w:space="0" w:color="auto"/>
              <w:left w:val="nil"/>
              <w:bottom w:val="single" w:sz="4" w:space="0" w:color="auto"/>
              <w:right w:val="nil"/>
            </w:tcBorders>
            <w:noWrap/>
            <w:vAlign w:val="bottom"/>
          </w:tcPr>
          <w:p w:rsidR="00D53A04" w:rsidRPr="00EB2995" w:rsidRDefault="00D53A04" w:rsidP="00D53A04">
            <w:pPr>
              <w:jc w:val="right"/>
              <w:rPr>
                <w:rFonts w:cs="Calibri"/>
                <w:b/>
                <w:color w:val="000000"/>
              </w:rPr>
            </w:pPr>
            <w:r w:rsidRPr="00EB2995">
              <w:rPr>
                <w:rFonts w:cs="Calibri"/>
                <w:b/>
                <w:color w:val="000000"/>
              </w:rPr>
              <w:t>757.8</w:t>
            </w:r>
          </w:p>
        </w:tc>
        <w:tc>
          <w:tcPr>
            <w:tcW w:w="1274" w:type="dxa"/>
            <w:tcBorders>
              <w:top w:val="single" w:sz="4" w:space="0" w:color="auto"/>
              <w:left w:val="nil"/>
              <w:bottom w:val="single" w:sz="4" w:space="0" w:color="auto"/>
              <w:right w:val="single" w:sz="4" w:space="0" w:color="auto"/>
            </w:tcBorders>
            <w:noWrap/>
            <w:vAlign w:val="bottom"/>
          </w:tcPr>
          <w:p w:rsidR="00D53A04" w:rsidRPr="00EB2995" w:rsidRDefault="00D53A04" w:rsidP="00D53A04">
            <w:pPr>
              <w:jc w:val="right"/>
              <w:rPr>
                <w:rFonts w:cs="Calibri"/>
                <w:b/>
                <w:color w:val="000000"/>
              </w:rPr>
            </w:pPr>
            <w:r w:rsidRPr="00EB2995">
              <w:rPr>
                <w:rFonts w:cs="Calibri"/>
                <w:b/>
                <w:color w:val="000000"/>
              </w:rPr>
              <w:t>100.0%</w:t>
            </w:r>
          </w:p>
        </w:tc>
        <w:tc>
          <w:tcPr>
            <w:tcW w:w="3235" w:type="dxa"/>
            <w:tcBorders>
              <w:top w:val="nil"/>
              <w:left w:val="single" w:sz="4" w:space="0" w:color="auto"/>
              <w:bottom w:val="nil"/>
              <w:right w:val="single" w:sz="4" w:space="0" w:color="auto"/>
            </w:tcBorders>
            <w:noWrap/>
          </w:tcPr>
          <w:p w:rsidR="00D53A04" w:rsidRPr="00EB2995" w:rsidRDefault="00D53A04" w:rsidP="00D53A04">
            <w:pPr>
              <w:rPr>
                <w:rFonts w:cs="Calibri"/>
                <w:color w:val="000000"/>
              </w:rPr>
            </w:pPr>
            <w:r w:rsidRPr="00EB2995">
              <w:rPr>
                <w:rFonts w:cs="Calibri"/>
                <w:b/>
                <w:bCs/>
                <w:color w:val="000000"/>
              </w:rPr>
              <w:t>Totals</w:t>
            </w:r>
          </w:p>
        </w:tc>
        <w:tc>
          <w:tcPr>
            <w:tcW w:w="1249" w:type="dxa"/>
            <w:tcBorders>
              <w:top w:val="single" w:sz="4" w:space="0" w:color="auto"/>
              <w:left w:val="single" w:sz="4" w:space="0" w:color="auto"/>
              <w:bottom w:val="single" w:sz="4" w:space="0" w:color="auto"/>
              <w:right w:val="nil"/>
            </w:tcBorders>
            <w:noWrap/>
            <w:vAlign w:val="bottom"/>
          </w:tcPr>
          <w:p w:rsidR="00D53A04" w:rsidRPr="00EB2995" w:rsidRDefault="00D53A04" w:rsidP="00D53A04">
            <w:pPr>
              <w:jc w:val="right"/>
              <w:rPr>
                <w:rFonts w:cs="Calibri"/>
                <w:b/>
                <w:color w:val="000000"/>
              </w:rPr>
            </w:pPr>
            <w:r w:rsidRPr="00EB2995">
              <w:rPr>
                <w:rFonts w:cs="Calibri"/>
                <w:b/>
                <w:color w:val="000000"/>
              </w:rPr>
              <w:t>661.1</w:t>
            </w:r>
          </w:p>
        </w:tc>
        <w:tc>
          <w:tcPr>
            <w:tcW w:w="1249" w:type="dxa"/>
            <w:tcBorders>
              <w:top w:val="single" w:sz="4" w:space="0" w:color="auto"/>
              <w:left w:val="nil"/>
              <w:bottom w:val="single" w:sz="4" w:space="0" w:color="auto"/>
              <w:right w:val="nil"/>
            </w:tcBorders>
            <w:noWrap/>
            <w:vAlign w:val="bottom"/>
          </w:tcPr>
          <w:p w:rsidR="00D53A04" w:rsidRPr="00EB2995" w:rsidRDefault="00D53A04" w:rsidP="00D53A04">
            <w:pPr>
              <w:jc w:val="right"/>
              <w:rPr>
                <w:rFonts w:cs="Calibri"/>
                <w:b/>
                <w:color w:val="000000"/>
              </w:rPr>
            </w:pPr>
            <w:r w:rsidRPr="00EB2995">
              <w:rPr>
                <w:rFonts w:cs="Calibri"/>
                <w:b/>
                <w:color w:val="000000"/>
              </w:rPr>
              <w:t>62.3</w:t>
            </w:r>
          </w:p>
        </w:tc>
        <w:tc>
          <w:tcPr>
            <w:tcW w:w="1249" w:type="dxa"/>
            <w:tcBorders>
              <w:top w:val="single" w:sz="4" w:space="0" w:color="auto"/>
              <w:left w:val="nil"/>
              <w:bottom w:val="single" w:sz="4" w:space="0" w:color="auto"/>
              <w:right w:val="nil"/>
            </w:tcBorders>
            <w:noWrap/>
            <w:vAlign w:val="bottom"/>
          </w:tcPr>
          <w:p w:rsidR="00D53A04" w:rsidRPr="00EB2995" w:rsidRDefault="00D53A04" w:rsidP="00D53A04">
            <w:pPr>
              <w:jc w:val="right"/>
              <w:rPr>
                <w:rFonts w:cs="Calibri"/>
                <w:b/>
                <w:color w:val="000000"/>
              </w:rPr>
            </w:pPr>
            <w:r w:rsidRPr="00EB2995">
              <w:rPr>
                <w:rFonts w:cs="Calibri"/>
                <w:b/>
                <w:color w:val="000000"/>
              </w:rPr>
              <w:t>723.4</w:t>
            </w:r>
          </w:p>
        </w:tc>
        <w:tc>
          <w:tcPr>
            <w:tcW w:w="1291" w:type="dxa"/>
            <w:tcBorders>
              <w:top w:val="single" w:sz="4" w:space="0" w:color="auto"/>
              <w:left w:val="nil"/>
              <w:bottom w:val="single" w:sz="4" w:space="0" w:color="auto"/>
              <w:right w:val="single" w:sz="4" w:space="0" w:color="auto"/>
            </w:tcBorders>
            <w:noWrap/>
            <w:vAlign w:val="bottom"/>
          </w:tcPr>
          <w:p w:rsidR="00D53A04" w:rsidRPr="00EB2995" w:rsidRDefault="00D53A04" w:rsidP="00D53A04">
            <w:pPr>
              <w:jc w:val="right"/>
              <w:rPr>
                <w:rFonts w:cs="Calibri"/>
                <w:b/>
                <w:color w:val="000000"/>
              </w:rPr>
            </w:pPr>
            <w:r w:rsidRPr="00EB2995">
              <w:rPr>
                <w:rFonts w:cs="Calibri"/>
                <w:b/>
                <w:color w:val="000000"/>
              </w:rPr>
              <w:t>100.0%</w:t>
            </w:r>
          </w:p>
        </w:tc>
        <w:tc>
          <w:tcPr>
            <w:tcW w:w="597" w:type="dxa"/>
            <w:tcBorders>
              <w:top w:val="nil"/>
              <w:left w:val="single" w:sz="4" w:space="0" w:color="auto"/>
              <w:right w:val="nil"/>
            </w:tcBorders>
            <w:noWrap/>
          </w:tcPr>
          <w:p w:rsidR="00D53A04" w:rsidRPr="00EB2995" w:rsidRDefault="00D53A04" w:rsidP="00D53A04">
            <w:pPr>
              <w:jc w:val="center"/>
              <w:rPr>
                <w:rFonts w:cs="Calibri"/>
                <w:color w:val="000000"/>
              </w:rPr>
            </w:pPr>
          </w:p>
        </w:tc>
      </w:tr>
    </w:tbl>
    <w:p w:rsidR="00F72906" w:rsidRDefault="00F72906" w:rsidP="00F72906"/>
    <w:p w:rsidR="00F72906" w:rsidRDefault="00F72906" w:rsidP="00F72906"/>
    <w:p w:rsidR="00D53A04" w:rsidRDefault="00D53A04" w:rsidP="00F72906">
      <w:pPr>
        <w:sectPr w:rsidR="00D53A04" w:rsidSect="00D53A04">
          <w:pgSz w:w="16838" w:h="11906" w:orient="landscape"/>
          <w:pgMar w:top="709" w:right="1440" w:bottom="1440" w:left="1440" w:header="708" w:footer="708" w:gutter="0"/>
          <w:cols w:space="708"/>
          <w:docGrid w:linePitch="360"/>
        </w:sectPr>
      </w:pPr>
    </w:p>
    <w:p w:rsidR="00D53A04" w:rsidRDefault="00D53A04" w:rsidP="00F72906"/>
    <w:p w:rsidR="00F72906" w:rsidRDefault="00F72906" w:rsidP="00D53A04">
      <w:pPr>
        <w:pStyle w:val="Heading1"/>
      </w:pPr>
      <w:bookmarkStart w:id="18" w:name="_Toc61870288"/>
      <w:r>
        <w:t>Housing Revenue Account</w:t>
      </w:r>
      <w:bookmarkEnd w:id="18"/>
    </w:p>
    <w:p w:rsidR="00F72906" w:rsidRDefault="00F72906" w:rsidP="00D53A04">
      <w:pPr>
        <w:pStyle w:val="Heading2"/>
      </w:pPr>
      <w:bookmarkStart w:id="19" w:name="_Toc61870289"/>
      <w:r>
        <w:t>Income and Expenditure Statement for the Year Ended 31 March 2020</w:t>
      </w:r>
      <w:bookmarkEnd w:id="19"/>
      <w:r>
        <w:t xml:space="preserve"> </w:t>
      </w:r>
    </w:p>
    <w:p w:rsidR="00F72906" w:rsidRDefault="00F72906" w:rsidP="00F72906">
      <w:r>
        <w:t>This statement reflects a statutory obligation to account separately for the council's housing provision. It shows the major elements of housing expenditure and income.</w:t>
      </w:r>
    </w:p>
    <w:tbl>
      <w:tblPr>
        <w:tblW w:w="9200" w:type="dxa"/>
        <w:tblLook w:val="04A0" w:firstRow="1" w:lastRow="0" w:firstColumn="1" w:lastColumn="0" w:noHBand="0" w:noVBand="1"/>
      </w:tblPr>
      <w:tblGrid>
        <w:gridCol w:w="1080"/>
        <w:gridCol w:w="7040"/>
        <w:gridCol w:w="1080"/>
      </w:tblGrid>
      <w:tr w:rsidR="00D53A04" w:rsidRPr="00EB2995" w:rsidTr="00D53A04">
        <w:trPr>
          <w:trHeight w:hRule="exact" w:val="397"/>
        </w:trPr>
        <w:tc>
          <w:tcPr>
            <w:tcW w:w="1080" w:type="dxa"/>
            <w:tcBorders>
              <w:top w:val="nil"/>
              <w:left w:val="nil"/>
              <w:bottom w:val="nil"/>
              <w:right w:val="nil"/>
            </w:tcBorders>
            <w:shd w:val="clear" w:color="auto" w:fill="auto"/>
            <w:vAlign w:val="bottom"/>
            <w:hideMark/>
          </w:tcPr>
          <w:p w:rsidR="00D53A04" w:rsidRPr="00EB2995" w:rsidRDefault="00D53A04" w:rsidP="00D53A04">
            <w:pPr>
              <w:jc w:val="center"/>
              <w:rPr>
                <w:rFonts w:cs="Calibri"/>
                <w:b/>
                <w:bCs/>
                <w:color w:val="000000"/>
                <w:lang w:eastAsia="en-GB"/>
              </w:rPr>
            </w:pPr>
            <w:r w:rsidRPr="00EB2995">
              <w:rPr>
                <w:rFonts w:cs="Calibri"/>
                <w:b/>
                <w:bCs/>
                <w:color w:val="000000"/>
                <w:lang w:eastAsia="en-GB"/>
              </w:rPr>
              <w:t>2018/19</w:t>
            </w:r>
          </w:p>
        </w:tc>
        <w:tc>
          <w:tcPr>
            <w:tcW w:w="7040" w:type="dxa"/>
            <w:tcBorders>
              <w:top w:val="nil"/>
              <w:left w:val="nil"/>
              <w:bottom w:val="nil"/>
              <w:right w:val="nil"/>
            </w:tcBorders>
            <w:shd w:val="clear" w:color="auto" w:fill="auto"/>
            <w:noWrap/>
            <w:vAlign w:val="bottom"/>
            <w:hideMark/>
          </w:tcPr>
          <w:p w:rsidR="00D53A04" w:rsidRPr="00EB2995" w:rsidRDefault="00D53A04" w:rsidP="00D53A04">
            <w:pPr>
              <w:jc w:val="center"/>
              <w:rPr>
                <w:rFonts w:cs="Calibri"/>
                <w:b/>
                <w:bCs/>
                <w:color w:val="000000"/>
                <w:lang w:eastAsia="en-GB"/>
              </w:rPr>
            </w:pPr>
          </w:p>
        </w:tc>
        <w:tc>
          <w:tcPr>
            <w:tcW w:w="1080" w:type="dxa"/>
            <w:tcBorders>
              <w:top w:val="nil"/>
              <w:left w:val="nil"/>
              <w:bottom w:val="nil"/>
              <w:right w:val="nil"/>
            </w:tcBorders>
            <w:shd w:val="clear" w:color="auto" w:fill="auto"/>
            <w:vAlign w:val="bottom"/>
            <w:hideMark/>
          </w:tcPr>
          <w:p w:rsidR="00D53A04" w:rsidRPr="00EB2995" w:rsidRDefault="00D53A04" w:rsidP="00D53A04">
            <w:pPr>
              <w:jc w:val="center"/>
              <w:rPr>
                <w:rFonts w:cs="Calibri"/>
                <w:b/>
                <w:bCs/>
                <w:color w:val="000000"/>
                <w:lang w:eastAsia="en-GB"/>
              </w:rPr>
            </w:pPr>
            <w:r w:rsidRPr="00EB2995">
              <w:rPr>
                <w:rFonts w:cs="Calibri"/>
                <w:b/>
                <w:bCs/>
                <w:color w:val="000000"/>
                <w:lang w:eastAsia="en-GB"/>
              </w:rPr>
              <w:t>2019/20</w:t>
            </w:r>
          </w:p>
        </w:tc>
      </w:tr>
      <w:tr w:rsidR="00D53A04" w:rsidRPr="00EB2995" w:rsidTr="00D53A04">
        <w:trPr>
          <w:trHeight w:hRule="exact" w:val="397"/>
        </w:trPr>
        <w:tc>
          <w:tcPr>
            <w:tcW w:w="1080" w:type="dxa"/>
            <w:tcBorders>
              <w:top w:val="nil"/>
              <w:left w:val="nil"/>
              <w:bottom w:val="nil"/>
              <w:right w:val="nil"/>
            </w:tcBorders>
            <w:shd w:val="clear" w:color="auto" w:fill="auto"/>
            <w:vAlign w:val="bottom"/>
            <w:hideMark/>
          </w:tcPr>
          <w:p w:rsidR="00D53A04" w:rsidRPr="00EB2995" w:rsidRDefault="00D53A04" w:rsidP="00D53A04">
            <w:pPr>
              <w:jc w:val="center"/>
              <w:rPr>
                <w:rFonts w:cs="Calibri"/>
                <w:b/>
                <w:bCs/>
                <w:color w:val="000000"/>
                <w:lang w:eastAsia="en-GB"/>
              </w:rPr>
            </w:pPr>
            <w:r w:rsidRPr="00EB2995">
              <w:rPr>
                <w:rFonts w:cs="Calibri"/>
                <w:b/>
                <w:bCs/>
                <w:color w:val="000000"/>
                <w:lang w:eastAsia="en-GB"/>
              </w:rPr>
              <w:t>£m</w:t>
            </w:r>
          </w:p>
        </w:tc>
        <w:tc>
          <w:tcPr>
            <w:tcW w:w="7040" w:type="dxa"/>
            <w:tcBorders>
              <w:top w:val="nil"/>
              <w:left w:val="nil"/>
              <w:bottom w:val="nil"/>
              <w:right w:val="nil"/>
            </w:tcBorders>
            <w:shd w:val="clear" w:color="auto" w:fill="auto"/>
            <w:noWrap/>
            <w:vAlign w:val="bottom"/>
            <w:hideMark/>
          </w:tcPr>
          <w:p w:rsidR="00D53A04" w:rsidRPr="00EB2995" w:rsidRDefault="00D53A04" w:rsidP="00D53A04">
            <w:pPr>
              <w:jc w:val="center"/>
              <w:rPr>
                <w:rFonts w:cs="Calibri"/>
                <w:b/>
                <w:bCs/>
                <w:color w:val="000000"/>
                <w:lang w:eastAsia="en-GB"/>
              </w:rPr>
            </w:pPr>
          </w:p>
        </w:tc>
        <w:tc>
          <w:tcPr>
            <w:tcW w:w="1080" w:type="dxa"/>
            <w:tcBorders>
              <w:top w:val="nil"/>
              <w:left w:val="nil"/>
              <w:bottom w:val="nil"/>
              <w:right w:val="nil"/>
            </w:tcBorders>
            <w:shd w:val="clear" w:color="auto" w:fill="auto"/>
            <w:vAlign w:val="bottom"/>
            <w:hideMark/>
          </w:tcPr>
          <w:p w:rsidR="00D53A04" w:rsidRPr="00EB2995" w:rsidRDefault="00D53A04" w:rsidP="00D53A04">
            <w:pPr>
              <w:jc w:val="center"/>
              <w:rPr>
                <w:rFonts w:cs="Calibri"/>
                <w:b/>
                <w:bCs/>
                <w:color w:val="000000"/>
                <w:lang w:eastAsia="en-GB"/>
              </w:rPr>
            </w:pPr>
            <w:r w:rsidRPr="00EB2995">
              <w:rPr>
                <w:rFonts w:cs="Calibri"/>
                <w:b/>
                <w:bCs/>
                <w:color w:val="000000"/>
                <w:lang w:eastAsia="en-GB"/>
              </w:rPr>
              <w:t>£m</w:t>
            </w:r>
          </w:p>
        </w:tc>
      </w:tr>
      <w:tr w:rsidR="00D53A04" w:rsidRPr="00EB2995" w:rsidTr="00D53A04">
        <w:trPr>
          <w:trHeight w:hRule="exact" w:val="397"/>
        </w:trPr>
        <w:tc>
          <w:tcPr>
            <w:tcW w:w="1080" w:type="dxa"/>
            <w:tcBorders>
              <w:top w:val="single" w:sz="4" w:space="0" w:color="auto"/>
              <w:left w:val="single" w:sz="4" w:space="0" w:color="auto"/>
              <w:bottom w:val="nil"/>
              <w:right w:val="single" w:sz="4" w:space="0" w:color="auto"/>
            </w:tcBorders>
            <w:shd w:val="clear" w:color="auto" w:fill="auto"/>
            <w:noWrap/>
            <w:vAlign w:val="bottom"/>
            <w:hideMark/>
          </w:tcPr>
          <w:p w:rsidR="00D53A04" w:rsidRPr="00EB2995" w:rsidRDefault="00D53A04" w:rsidP="00D53A04">
            <w:pPr>
              <w:rPr>
                <w:rFonts w:cs="Calibri"/>
                <w:color w:val="000000"/>
                <w:lang w:eastAsia="en-GB"/>
              </w:rPr>
            </w:pPr>
            <w:r w:rsidRPr="00EB2995">
              <w:rPr>
                <w:rFonts w:cs="Calibri"/>
                <w:color w:val="000000"/>
                <w:lang w:eastAsia="en-GB"/>
              </w:rPr>
              <w:t> </w:t>
            </w:r>
          </w:p>
        </w:tc>
        <w:tc>
          <w:tcPr>
            <w:tcW w:w="7040" w:type="dxa"/>
            <w:tcBorders>
              <w:top w:val="nil"/>
              <w:left w:val="nil"/>
              <w:bottom w:val="nil"/>
              <w:right w:val="nil"/>
            </w:tcBorders>
            <w:shd w:val="clear" w:color="auto" w:fill="auto"/>
            <w:noWrap/>
            <w:vAlign w:val="bottom"/>
            <w:hideMark/>
          </w:tcPr>
          <w:p w:rsidR="00D53A04" w:rsidRPr="00EB2995" w:rsidRDefault="00D53A04" w:rsidP="00D53A04">
            <w:pPr>
              <w:rPr>
                <w:rFonts w:cs="Calibri"/>
                <w:b/>
                <w:bCs/>
                <w:color w:val="000000"/>
                <w:lang w:eastAsia="en-GB"/>
              </w:rPr>
            </w:pPr>
            <w:r w:rsidRPr="00EB2995">
              <w:rPr>
                <w:rFonts w:cs="Calibri"/>
                <w:b/>
                <w:bCs/>
                <w:color w:val="000000"/>
                <w:lang w:eastAsia="en-GB"/>
              </w:rPr>
              <w:t>Income</w:t>
            </w:r>
          </w:p>
        </w:tc>
        <w:tc>
          <w:tcPr>
            <w:tcW w:w="1080" w:type="dxa"/>
            <w:tcBorders>
              <w:top w:val="single" w:sz="4" w:space="0" w:color="auto"/>
              <w:left w:val="single" w:sz="4" w:space="0" w:color="auto"/>
              <w:bottom w:val="nil"/>
              <w:right w:val="single" w:sz="4" w:space="0" w:color="auto"/>
            </w:tcBorders>
            <w:shd w:val="clear" w:color="auto" w:fill="auto"/>
            <w:noWrap/>
            <w:vAlign w:val="bottom"/>
            <w:hideMark/>
          </w:tcPr>
          <w:p w:rsidR="00D53A04" w:rsidRPr="00EB2995" w:rsidRDefault="00D53A04" w:rsidP="00D53A04">
            <w:pPr>
              <w:rPr>
                <w:rFonts w:cs="Calibri"/>
                <w:color w:val="000000"/>
                <w:lang w:eastAsia="en-GB"/>
              </w:rPr>
            </w:pPr>
            <w:r w:rsidRPr="00EB2995">
              <w:rPr>
                <w:rFonts w:cs="Calibri"/>
                <w:color w:val="000000"/>
                <w:lang w:eastAsia="en-GB"/>
              </w:rPr>
              <w:t> </w:t>
            </w:r>
          </w:p>
        </w:tc>
      </w:tr>
      <w:tr w:rsidR="00D53A04" w:rsidRPr="00EB2995" w:rsidTr="00D53A04">
        <w:trPr>
          <w:trHeight w:hRule="exact" w:val="397"/>
        </w:trPr>
        <w:tc>
          <w:tcPr>
            <w:tcW w:w="1080" w:type="dxa"/>
            <w:tcBorders>
              <w:top w:val="nil"/>
              <w:left w:val="single" w:sz="4" w:space="0" w:color="auto"/>
              <w:bottom w:val="nil"/>
              <w:right w:val="single" w:sz="4" w:space="0" w:color="auto"/>
            </w:tcBorders>
            <w:shd w:val="clear" w:color="auto" w:fill="auto"/>
            <w:noWrap/>
            <w:vAlign w:val="bottom"/>
            <w:hideMark/>
          </w:tcPr>
          <w:p w:rsidR="00D53A04" w:rsidRPr="00EB2995" w:rsidRDefault="00D53A04" w:rsidP="00D53A04">
            <w:pPr>
              <w:jc w:val="right"/>
              <w:rPr>
                <w:rFonts w:cs="Calibri"/>
                <w:color w:val="000000"/>
                <w:lang w:eastAsia="en-GB"/>
              </w:rPr>
            </w:pPr>
            <w:r w:rsidRPr="00EB2995">
              <w:rPr>
                <w:rFonts w:cs="Calibri"/>
                <w:color w:val="000000"/>
                <w:lang w:eastAsia="en-GB"/>
              </w:rPr>
              <w:t xml:space="preserve">(45.5) </w:t>
            </w:r>
          </w:p>
        </w:tc>
        <w:tc>
          <w:tcPr>
            <w:tcW w:w="7040" w:type="dxa"/>
            <w:tcBorders>
              <w:top w:val="nil"/>
              <w:left w:val="nil"/>
              <w:bottom w:val="nil"/>
              <w:right w:val="nil"/>
            </w:tcBorders>
            <w:shd w:val="clear" w:color="auto" w:fill="auto"/>
            <w:vAlign w:val="bottom"/>
            <w:hideMark/>
          </w:tcPr>
          <w:p w:rsidR="00D53A04" w:rsidRPr="00EB2995" w:rsidRDefault="00D53A04" w:rsidP="00D53A04">
            <w:pPr>
              <w:rPr>
                <w:rFonts w:cs="Calibri"/>
                <w:lang w:eastAsia="en-GB"/>
              </w:rPr>
            </w:pPr>
            <w:r w:rsidRPr="00EB2995">
              <w:rPr>
                <w:rFonts w:cs="Calibri"/>
                <w:lang w:eastAsia="en-GB"/>
              </w:rPr>
              <w:t>Dwelling rents</w:t>
            </w:r>
          </w:p>
        </w:tc>
        <w:tc>
          <w:tcPr>
            <w:tcW w:w="1080" w:type="dxa"/>
            <w:tcBorders>
              <w:top w:val="nil"/>
              <w:left w:val="single" w:sz="4" w:space="0" w:color="auto"/>
              <w:bottom w:val="nil"/>
              <w:right w:val="single" w:sz="4" w:space="0" w:color="auto"/>
            </w:tcBorders>
            <w:shd w:val="clear" w:color="auto" w:fill="auto"/>
            <w:noWrap/>
            <w:vAlign w:val="bottom"/>
            <w:hideMark/>
          </w:tcPr>
          <w:p w:rsidR="00D53A04" w:rsidRPr="00EB2995" w:rsidRDefault="00D53A04" w:rsidP="00D53A04">
            <w:pPr>
              <w:jc w:val="right"/>
              <w:rPr>
                <w:rFonts w:cs="Calibri"/>
                <w:color w:val="000000"/>
                <w:lang w:eastAsia="en-GB"/>
              </w:rPr>
            </w:pPr>
            <w:r w:rsidRPr="00EB2995">
              <w:rPr>
                <w:rFonts w:cs="Calibri"/>
                <w:color w:val="000000"/>
                <w:lang w:eastAsia="en-GB"/>
              </w:rPr>
              <w:t xml:space="preserve">(45.7) </w:t>
            </w:r>
          </w:p>
        </w:tc>
      </w:tr>
      <w:tr w:rsidR="00D53A04" w:rsidRPr="00EB2995" w:rsidTr="00D53A04">
        <w:trPr>
          <w:trHeight w:hRule="exact" w:val="397"/>
        </w:trPr>
        <w:tc>
          <w:tcPr>
            <w:tcW w:w="1080" w:type="dxa"/>
            <w:tcBorders>
              <w:top w:val="nil"/>
              <w:left w:val="single" w:sz="4" w:space="0" w:color="auto"/>
              <w:bottom w:val="nil"/>
              <w:right w:val="single" w:sz="4" w:space="0" w:color="auto"/>
            </w:tcBorders>
            <w:shd w:val="clear" w:color="auto" w:fill="auto"/>
            <w:noWrap/>
            <w:vAlign w:val="bottom"/>
            <w:hideMark/>
          </w:tcPr>
          <w:p w:rsidR="00D53A04" w:rsidRPr="00EB2995" w:rsidRDefault="00D53A04" w:rsidP="00D53A04">
            <w:pPr>
              <w:jc w:val="right"/>
              <w:rPr>
                <w:rFonts w:cs="Calibri"/>
                <w:color w:val="000000"/>
                <w:lang w:eastAsia="en-GB"/>
              </w:rPr>
            </w:pPr>
            <w:r w:rsidRPr="00EB2995">
              <w:rPr>
                <w:rFonts w:cs="Calibri"/>
                <w:color w:val="000000"/>
                <w:lang w:eastAsia="en-GB"/>
              </w:rPr>
              <w:t xml:space="preserve">(0.2) </w:t>
            </w:r>
          </w:p>
        </w:tc>
        <w:tc>
          <w:tcPr>
            <w:tcW w:w="7040" w:type="dxa"/>
            <w:tcBorders>
              <w:top w:val="nil"/>
              <w:left w:val="nil"/>
              <w:bottom w:val="nil"/>
              <w:right w:val="nil"/>
            </w:tcBorders>
            <w:shd w:val="clear" w:color="auto" w:fill="auto"/>
            <w:vAlign w:val="bottom"/>
            <w:hideMark/>
          </w:tcPr>
          <w:p w:rsidR="00D53A04" w:rsidRPr="00EB2995" w:rsidRDefault="00D53A04" w:rsidP="00D53A04">
            <w:pPr>
              <w:rPr>
                <w:rFonts w:cs="Calibri"/>
                <w:lang w:eastAsia="en-GB"/>
              </w:rPr>
            </w:pPr>
            <w:r w:rsidRPr="00EB2995">
              <w:rPr>
                <w:rFonts w:cs="Calibri"/>
                <w:lang w:eastAsia="en-GB"/>
              </w:rPr>
              <w:t>Non-dwelling rents</w:t>
            </w:r>
          </w:p>
        </w:tc>
        <w:tc>
          <w:tcPr>
            <w:tcW w:w="1080" w:type="dxa"/>
            <w:tcBorders>
              <w:top w:val="nil"/>
              <w:left w:val="single" w:sz="4" w:space="0" w:color="auto"/>
              <w:bottom w:val="nil"/>
              <w:right w:val="single" w:sz="4" w:space="0" w:color="auto"/>
            </w:tcBorders>
            <w:shd w:val="clear" w:color="auto" w:fill="auto"/>
            <w:noWrap/>
            <w:vAlign w:val="bottom"/>
            <w:hideMark/>
          </w:tcPr>
          <w:p w:rsidR="00D53A04" w:rsidRPr="00EB2995" w:rsidRDefault="00D53A04" w:rsidP="00D53A04">
            <w:pPr>
              <w:jc w:val="right"/>
              <w:rPr>
                <w:rFonts w:cs="Calibri"/>
                <w:color w:val="000000"/>
                <w:lang w:eastAsia="en-GB"/>
              </w:rPr>
            </w:pPr>
            <w:r w:rsidRPr="00EB2995">
              <w:rPr>
                <w:rFonts w:cs="Calibri"/>
                <w:color w:val="000000"/>
                <w:lang w:eastAsia="en-GB"/>
              </w:rPr>
              <w:t xml:space="preserve">(0.2) </w:t>
            </w:r>
          </w:p>
        </w:tc>
      </w:tr>
      <w:tr w:rsidR="00D53A04" w:rsidRPr="00EB2995" w:rsidTr="00D53A04">
        <w:trPr>
          <w:trHeight w:hRule="exact" w:val="397"/>
        </w:trPr>
        <w:tc>
          <w:tcPr>
            <w:tcW w:w="1080" w:type="dxa"/>
            <w:tcBorders>
              <w:top w:val="nil"/>
              <w:left w:val="single" w:sz="4" w:space="0" w:color="auto"/>
              <w:bottom w:val="nil"/>
              <w:right w:val="single" w:sz="4" w:space="0" w:color="auto"/>
            </w:tcBorders>
            <w:shd w:val="clear" w:color="auto" w:fill="auto"/>
            <w:noWrap/>
            <w:vAlign w:val="bottom"/>
            <w:hideMark/>
          </w:tcPr>
          <w:p w:rsidR="00D53A04" w:rsidRPr="00EB2995" w:rsidRDefault="00D53A04" w:rsidP="00D53A04">
            <w:pPr>
              <w:jc w:val="right"/>
              <w:rPr>
                <w:rFonts w:cs="Calibri"/>
                <w:color w:val="000000"/>
                <w:lang w:eastAsia="en-GB"/>
              </w:rPr>
            </w:pPr>
            <w:r w:rsidRPr="00EB2995">
              <w:rPr>
                <w:rFonts w:cs="Calibri"/>
                <w:color w:val="000000"/>
                <w:lang w:eastAsia="en-GB"/>
              </w:rPr>
              <w:t xml:space="preserve">(2.8) </w:t>
            </w:r>
          </w:p>
        </w:tc>
        <w:tc>
          <w:tcPr>
            <w:tcW w:w="7040" w:type="dxa"/>
            <w:tcBorders>
              <w:top w:val="nil"/>
              <w:left w:val="nil"/>
              <w:bottom w:val="nil"/>
              <w:right w:val="nil"/>
            </w:tcBorders>
            <w:shd w:val="clear" w:color="auto" w:fill="auto"/>
            <w:vAlign w:val="bottom"/>
            <w:hideMark/>
          </w:tcPr>
          <w:p w:rsidR="00D53A04" w:rsidRPr="00EB2995" w:rsidRDefault="00D53A04" w:rsidP="00D53A04">
            <w:pPr>
              <w:rPr>
                <w:rFonts w:cs="Calibri"/>
                <w:lang w:eastAsia="en-GB"/>
              </w:rPr>
            </w:pPr>
            <w:r w:rsidRPr="00EB2995">
              <w:rPr>
                <w:rFonts w:cs="Calibri"/>
                <w:lang w:eastAsia="en-GB"/>
              </w:rPr>
              <w:t>Tenants charges for services and facilities</w:t>
            </w:r>
          </w:p>
        </w:tc>
        <w:tc>
          <w:tcPr>
            <w:tcW w:w="1080" w:type="dxa"/>
            <w:tcBorders>
              <w:top w:val="nil"/>
              <w:left w:val="single" w:sz="4" w:space="0" w:color="auto"/>
              <w:bottom w:val="nil"/>
              <w:right w:val="single" w:sz="4" w:space="0" w:color="auto"/>
            </w:tcBorders>
            <w:shd w:val="clear" w:color="auto" w:fill="auto"/>
            <w:noWrap/>
            <w:vAlign w:val="bottom"/>
            <w:hideMark/>
          </w:tcPr>
          <w:p w:rsidR="00D53A04" w:rsidRPr="00EB2995" w:rsidRDefault="00D53A04" w:rsidP="00D53A04">
            <w:pPr>
              <w:jc w:val="right"/>
              <w:rPr>
                <w:rFonts w:cs="Calibri"/>
                <w:color w:val="000000"/>
                <w:lang w:eastAsia="en-GB"/>
              </w:rPr>
            </w:pPr>
            <w:r w:rsidRPr="00EB2995">
              <w:rPr>
                <w:rFonts w:cs="Calibri"/>
                <w:color w:val="000000"/>
                <w:lang w:eastAsia="en-GB"/>
              </w:rPr>
              <w:t xml:space="preserve">(2.9) </w:t>
            </w:r>
          </w:p>
        </w:tc>
      </w:tr>
      <w:tr w:rsidR="00D53A04" w:rsidRPr="00EB2995" w:rsidTr="00D53A04">
        <w:trPr>
          <w:trHeight w:hRule="exact" w:val="397"/>
        </w:trPr>
        <w:tc>
          <w:tcPr>
            <w:tcW w:w="1080" w:type="dxa"/>
            <w:tcBorders>
              <w:top w:val="nil"/>
              <w:left w:val="single" w:sz="4" w:space="0" w:color="auto"/>
              <w:bottom w:val="nil"/>
              <w:right w:val="single" w:sz="4" w:space="0" w:color="auto"/>
            </w:tcBorders>
            <w:shd w:val="clear" w:color="auto" w:fill="auto"/>
            <w:noWrap/>
            <w:vAlign w:val="bottom"/>
            <w:hideMark/>
          </w:tcPr>
          <w:p w:rsidR="00D53A04" w:rsidRPr="00EB2995" w:rsidRDefault="00D53A04" w:rsidP="00D53A04">
            <w:pPr>
              <w:jc w:val="right"/>
              <w:rPr>
                <w:rFonts w:cs="Calibri"/>
                <w:color w:val="000000"/>
                <w:lang w:eastAsia="en-GB"/>
              </w:rPr>
            </w:pPr>
            <w:r w:rsidRPr="00EB2995">
              <w:rPr>
                <w:rFonts w:cs="Calibri"/>
                <w:color w:val="000000"/>
                <w:lang w:eastAsia="en-GB"/>
              </w:rPr>
              <w:t xml:space="preserve">(0.3) </w:t>
            </w:r>
          </w:p>
        </w:tc>
        <w:tc>
          <w:tcPr>
            <w:tcW w:w="7040" w:type="dxa"/>
            <w:tcBorders>
              <w:top w:val="nil"/>
              <w:left w:val="nil"/>
              <w:bottom w:val="nil"/>
              <w:right w:val="nil"/>
            </w:tcBorders>
            <w:shd w:val="clear" w:color="auto" w:fill="auto"/>
            <w:vAlign w:val="bottom"/>
            <w:hideMark/>
          </w:tcPr>
          <w:p w:rsidR="00D53A04" w:rsidRPr="00EB2995" w:rsidRDefault="00D53A04" w:rsidP="00D53A04">
            <w:pPr>
              <w:rPr>
                <w:rFonts w:cs="Calibri"/>
                <w:lang w:eastAsia="en-GB"/>
              </w:rPr>
            </w:pPr>
            <w:r w:rsidRPr="00EB2995">
              <w:rPr>
                <w:rFonts w:cs="Calibri"/>
                <w:lang w:eastAsia="en-GB"/>
              </w:rPr>
              <w:t>Contribution towards expenditure</w:t>
            </w:r>
          </w:p>
        </w:tc>
        <w:tc>
          <w:tcPr>
            <w:tcW w:w="1080" w:type="dxa"/>
            <w:tcBorders>
              <w:top w:val="nil"/>
              <w:left w:val="single" w:sz="4" w:space="0" w:color="auto"/>
              <w:bottom w:val="nil"/>
              <w:right w:val="single" w:sz="4" w:space="0" w:color="auto"/>
            </w:tcBorders>
            <w:shd w:val="clear" w:color="auto" w:fill="auto"/>
            <w:noWrap/>
            <w:vAlign w:val="bottom"/>
            <w:hideMark/>
          </w:tcPr>
          <w:p w:rsidR="00D53A04" w:rsidRPr="00EB2995" w:rsidRDefault="00D53A04" w:rsidP="00D53A04">
            <w:pPr>
              <w:jc w:val="right"/>
              <w:rPr>
                <w:rFonts w:cs="Calibri"/>
                <w:color w:val="000000"/>
                <w:lang w:eastAsia="en-GB"/>
              </w:rPr>
            </w:pPr>
            <w:r w:rsidRPr="00EB2995">
              <w:rPr>
                <w:rFonts w:cs="Calibri"/>
                <w:color w:val="000000"/>
                <w:lang w:eastAsia="en-GB"/>
              </w:rPr>
              <w:t xml:space="preserve">(1.7) </w:t>
            </w:r>
          </w:p>
        </w:tc>
      </w:tr>
      <w:tr w:rsidR="00D53A04" w:rsidRPr="00EB2995" w:rsidTr="00D53A04">
        <w:trPr>
          <w:trHeight w:hRule="exact" w:val="397"/>
        </w:trPr>
        <w:tc>
          <w:tcPr>
            <w:tcW w:w="1080" w:type="dxa"/>
            <w:tcBorders>
              <w:top w:val="nil"/>
              <w:left w:val="single" w:sz="4" w:space="0" w:color="auto"/>
              <w:bottom w:val="nil"/>
              <w:right w:val="single" w:sz="4" w:space="0" w:color="auto"/>
            </w:tcBorders>
            <w:shd w:val="clear" w:color="auto" w:fill="auto"/>
            <w:noWrap/>
            <w:vAlign w:val="bottom"/>
            <w:hideMark/>
          </w:tcPr>
          <w:p w:rsidR="00D53A04" w:rsidRPr="00EB2995" w:rsidRDefault="00D53A04" w:rsidP="00D53A04">
            <w:pPr>
              <w:jc w:val="right"/>
              <w:rPr>
                <w:rFonts w:cs="Calibri"/>
                <w:color w:val="000000"/>
                <w:lang w:eastAsia="en-GB"/>
              </w:rPr>
            </w:pPr>
            <w:r w:rsidRPr="00EB2995">
              <w:rPr>
                <w:rFonts w:cs="Calibri"/>
                <w:color w:val="000000"/>
                <w:lang w:eastAsia="en-GB"/>
              </w:rPr>
              <w:t xml:space="preserve">(2.7) </w:t>
            </w:r>
          </w:p>
        </w:tc>
        <w:tc>
          <w:tcPr>
            <w:tcW w:w="7040" w:type="dxa"/>
            <w:tcBorders>
              <w:top w:val="nil"/>
              <w:left w:val="nil"/>
              <w:bottom w:val="nil"/>
              <w:right w:val="nil"/>
            </w:tcBorders>
            <w:shd w:val="clear" w:color="auto" w:fill="auto"/>
            <w:vAlign w:val="bottom"/>
            <w:hideMark/>
          </w:tcPr>
          <w:p w:rsidR="00D53A04" w:rsidRPr="00EB2995" w:rsidRDefault="00D53A04" w:rsidP="00D53A04">
            <w:pPr>
              <w:rPr>
                <w:rFonts w:cs="Calibri"/>
                <w:lang w:eastAsia="en-GB"/>
              </w:rPr>
            </w:pPr>
            <w:r w:rsidRPr="00EB2995">
              <w:rPr>
                <w:rFonts w:cs="Calibri"/>
                <w:lang w:eastAsia="en-GB"/>
              </w:rPr>
              <w:t>Leaseholders charges for services and facilities</w:t>
            </w:r>
          </w:p>
        </w:tc>
        <w:tc>
          <w:tcPr>
            <w:tcW w:w="1080" w:type="dxa"/>
            <w:tcBorders>
              <w:top w:val="nil"/>
              <w:left w:val="single" w:sz="4" w:space="0" w:color="auto"/>
              <w:bottom w:val="nil"/>
              <w:right w:val="single" w:sz="4" w:space="0" w:color="auto"/>
            </w:tcBorders>
            <w:shd w:val="clear" w:color="auto" w:fill="auto"/>
            <w:noWrap/>
            <w:vAlign w:val="bottom"/>
            <w:hideMark/>
          </w:tcPr>
          <w:p w:rsidR="00D53A04" w:rsidRPr="00EB2995" w:rsidRDefault="00D53A04" w:rsidP="00D53A04">
            <w:pPr>
              <w:jc w:val="right"/>
              <w:rPr>
                <w:rFonts w:cs="Calibri"/>
                <w:color w:val="000000"/>
                <w:lang w:eastAsia="en-GB"/>
              </w:rPr>
            </w:pPr>
            <w:r w:rsidRPr="00EB2995">
              <w:rPr>
                <w:rFonts w:cs="Calibri"/>
                <w:color w:val="000000"/>
                <w:lang w:eastAsia="en-GB"/>
              </w:rPr>
              <w:t xml:space="preserve">(2.8) </w:t>
            </w:r>
          </w:p>
        </w:tc>
      </w:tr>
      <w:tr w:rsidR="00D53A04" w:rsidRPr="00EB2995" w:rsidTr="00D53A04">
        <w:trPr>
          <w:trHeight w:hRule="exact" w:val="397"/>
        </w:trPr>
        <w:tc>
          <w:tcPr>
            <w:tcW w:w="1080" w:type="dxa"/>
            <w:tcBorders>
              <w:top w:val="nil"/>
              <w:left w:val="single" w:sz="4" w:space="0" w:color="auto"/>
              <w:bottom w:val="nil"/>
              <w:right w:val="single" w:sz="4" w:space="0" w:color="auto"/>
            </w:tcBorders>
            <w:shd w:val="clear" w:color="auto" w:fill="auto"/>
            <w:noWrap/>
            <w:vAlign w:val="bottom"/>
            <w:hideMark/>
          </w:tcPr>
          <w:p w:rsidR="00D53A04" w:rsidRPr="00EB2995" w:rsidRDefault="00D53A04" w:rsidP="00D53A04">
            <w:pPr>
              <w:jc w:val="right"/>
              <w:rPr>
                <w:rFonts w:cs="Calibri"/>
                <w:color w:val="000000"/>
                <w:lang w:eastAsia="en-GB"/>
              </w:rPr>
            </w:pPr>
            <w:r w:rsidRPr="00EB2995">
              <w:rPr>
                <w:rFonts w:cs="Calibri"/>
                <w:color w:val="000000"/>
                <w:lang w:eastAsia="en-GB"/>
              </w:rPr>
              <w:t xml:space="preserve">(3.4) </w:t>
            </w:r>
          </w:p>
        </w:tc>
        <w:tc>
          <w:tcPr>
            <w:tcW w:w="7040" w:type="dxa"/>
            <w:tcBorders>
              <w:top w:val="nil"/>
              <w:left w:val="nil"/>
              <w:bottom w:val="nil"/>
              <w:right w:val="nil"/>
            </w:tcBorders>
            <w:shd w:val="clear" w:color="auto" w:fill="auto"/>
            <w:vAlign w:val="bottom"/>
            <w:hideMark/>
          </w:tcPr>
          <w:p w:rsidR="00D53A04" w:rsidRPr="00EB2995" w:rsidRDefault="00D53A04" w:rsidP="00D53A04">
            <w:pPr>
              <w:rPr>
                <w:rFonts w:cs="Calibri"/>
                <w:lang w:eastAsia="en-GB"/>
              </w:rPr>
            </w:pPr>
            <w:r w:rsidRPr="00EB2995">
              <w:rPr>
                <w:rFonts w:cs="Calibri"/>
                <w:lang w:eastAsia="en-GB"/>
              </w:rPr>
              <w:t>Other income</w:t>
            </w:r>
          </w:p>
        </w:tc>
        <w:tc>
          <w:tcPr>
            <w:tcW w:w="1080" w:type="dxa"/>
            <w:tcBorders>
              <w:top w:val="nil"/>
              <w:left w:val="single" w:sz="4" w:space="0" w:color="auto"/>
              <w:bottom w:val="nil"/>
              <w:right w:val="single" w:sz="4" w:space="0" w:color="auto"/>
            </w:tcBorders>
            <w:shd w:val="clear" w:color="auto" w:fill="auto"/>
            <w:noWrap/>
            <w:vAlign w:val="bottom"/>
            <w:hideMark/>
          </w:tcPr>
          <w:p w:rsidR="00D53A04" w:rsidRPr="00EB2995" w:rsidRDefault="00D53A04" w:rsidP="00D53A04">
            <w:pPr>
              <w:jc w:val="right"/>
              <w:rPr>
                <w:rFonts w:cs="Calibri"/>
                <w:color w:val="000000"/>
                <w:lang w:eastAsia="en-GB"/>
              </w:rPr>
            </w:pPr>
            <w:r w:rsidRPr="00EB2995">
              <w:rPr>
                <w:rFonts w:cs="Calibri"/>
                <w:color w:val="000000"/>
                <w:lang w:eastAsia="en-GB"/>
              </w:rPr>
              <w:t xml:space="preserve">(2.3) </w:t>
            </w:r>
          </w:p>
        </w:tc>
      </w:tr>
      <w:tr w:rsidR="00D53A04" w:rsidRPr="00EB2995" w:rsidTr="00D53A04">
        <w:trPr>
          <w:trHeight w:hRule="exact" w:val="397"/>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3A04" w:rsidRPr="00EB2995" w:rsidRDefault="00D53A04" w:rsidP="00D53A04">
            <w:pPr>
              <w:jc w:val="right"/>
              <w:rPr>
                <w:rFonts w:cs="Calibri"/>
                <w:b/>
                <w:bCs/>
                <w:color w:val="000000"/>
                <w:lang w:eastAsia="en-GB"/>
              </w:rPr>
            </w:pPr>
            <w:r w:rsidRPr="00EB2995">
              <w:rPr>
                <w:rFonts w:cs="Calibri"/>
                <w:b/>
                <w:bCs/>
                <w:color w:val="000000"/>
                <w:lang w:eastAsia="en-GB"/>
              </w:rPr>
              <w:t xml:space="preserve">(55.0) </w:t>
            </w:r>
          </w:p>
        </w:tc>
        <w:tc>
          <w:tcPr>
            <w:tcW w:w="7040" w:type="dxa"/>
            <w:tcBorders>
              <w:top w:val="nil"/>
              <w:left w:val="nil"/>
              <w:bottom w:val="nil"/>
              <w:right w:val="nil"/>
            </w:tcBorders>
            <w:shd w:val="clear" w:color="auto" w:fill="auto"/>
            <w:vAlign w:val="bottom"/>
            <w:hideMark/>
          </w:tcPr>
          <w:p w:rsidR="00D53A04" w:rsidRPr="00EB2995" w:rsidRDefault="00D53A04" w:rsidP="00D53A04">
            <w:pPr>
              <w:rPr>
                <w:rFonts w:cs="Calibri"/>
                <w:b/>
                <w:bCs/>
                <w:lang w:eastAsia="en-GB"/>
              </w:rPr>
            </w:pPr>
            <w:r w:rsidRPr="00EB2995">
              <w:rPr>
                <w:rFonts w:cs="Calibri"/>
                <w:b/>
                <w:bCs/>
                <w:lang w:eastAsia="en-GB"/>
              </w:rPr>
              <w:t>Total Income</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3A04" w:rsidRPr="00EB2995" w:rsidRDefault="00D53A04" w:rsidP="00D53A04">
            <w:pPr>
              <w:jc w:val="right"/>
              <w:rPr>
                <w:rFonts w:cs="Calibri"/>
                <w:b/>
                <w:bCs/>
                <w:color w:val="000000"/>
                <w:lang w:eastAsia="en-GB"/>
              </w:rPr>
            </w:pPr>
            <w:r w:rsidRPr="00EB2995">
              <w:rPr>
                <w:rFonts w:cs="Calibri"/>
                <w:b/>
                <w:bCs/>
                <w:color w:val="000000"/>
                <w:lang w:eastAsia="en-GB"/>
              </w:rPr>
              <w:t xml:space="preserve">(55.6) </w:t>
            </w:r>
          </w:p>
        </w:tc>
      </w:tr>
      <w:tr w:rsidR="00D53A04" w:rsidRPr="00EB2995" w:rsidTr="00D53A04">
        <w:trPr>
          <w:trHeight w:hRule="exact" w:val="397"/>
        </w:trPr>
        <w:tc>
          <w:tcPr>
            <w:tcW w:w="1080" w:type="dxa"/>
            <w:tcBorders>
              <w:top w:val="nil"/>
              <w:left w:val="nil"/>
              <w:bottom w:val="nil"/>
              <w:right w:val="nil"/>
            </w:tcBorders>
            <w:shd w:val="clear" w:color="auto" w:fill="auto"/>
            <w:noWrap/>
            <w:vAlign w:val="bottom"/>
            <w:hideMark/>
          </w:tcPr>
          <w:p w:rsidR="00D53A04" w:rsidRPr="00EB2995" w:rsidRDefault="00D53A04" w:rsidP="00D53A04">
            <w:pPr>
              <w:jc w:val="right"/>
              <w:rPr>
                <w:rFonts w:cs="Calibri"/>
                <w:b/>
                <w:bCs/>
                <w:color w:val="000000"/>
                <w:lang w:eastAsia="en-GB"/>
              </w:rPr>
            </w:pPr>
          </w:p>
        </w:tc>
        <w:tc>
          <w:tcPr>
            <w:tcW w:w="7040" w:type="dxa"/>
            <w:tcBorders>
              <w:top w:val="nil"/>
              <w:left w:val="nil"/>
              <w:bottom w:val="nil"/>
              <w:right w:val="nil"/>
            </w:tcBorders>
            <w:shd w:val="clear" w:color="auto" w:fill="auto"/>
            <w:noWrap/>
            <w:vAlign w:val="bottom"/>
            <w:hideMark/>
          </w:tcPr>
          <w:p w:rsidR="00D53A04" w:rsidRPr="00EB2995" w:rsidRDefault="00D53A04" w:rsidP="00D53A04">
            <w:pPr>
              <w:rPr>
                <w:rFonts w:cs="Calibri"/>
                <w:sz w:val="20"/>
                <w:szCs w:val="20"/>
                <w:lang w:eastAsia="en-GB"/>
              </w:rPr>
            </w:pPr>
          </w:p>
        </w:tc>
        <w:tc>
          <w:tcPr>
            <w:tcW w:w="1080" w:type="dxa"/>
            <w:tcBorders>
              <w:top w:val="nil"/>
              <w:left w:val="nil"/>
              <w:bottom w:val="nil"/>
              <w:right w:val="nil"/>
            </w:tcBorders>
            <w:shd w:val="clear" w:color="auto" w:fill="auto"/>
            <w:noWrap/>
            <w:vAlign w:val="bottom"/>
            <w:hideMark/>
          </w:tcPr>
          <w:p w:rsidR="00D53A04" w:rsidRPr="00EB2995" w:rsidRDefault="00D53A04" w:rsidP="00D53A04">
            <w:pPr>
              <w:rPr>
                <w:rFonts w:cs="Calibri"/>
                <w:sz w:val="20"/>
                <w:szCs w:val="20"/>
                <w:lang w:eastAsia="en-GB"/>
              </w:rPr>
            </w:pPr>
          </w:p>
        </w:tc>
      </w:tr>
      <w:tr w:rsidR="00D53A04" w:rsidRPr="00EB2995" w:rsidTr="00D53A04">
        <w:trPr>
          <w:trHeight w:hRule="exact" w:val="397"/>
        </w:trPr>
        <w:tc>
          <w:tcPr>
            <w:tcW w:w="1080" w:type="dxa"/>
            <w:tcBorders>
              <w:top w:val="single" w:sz="4" w:space="0" w:color="auto"/>
              <w:left w:val="single" w:sz="4" w:space="0" w:color="auto"/>
              <w:bottom w:val="nil"/>
              <w:right w:val="single" w:sz="4" w:space="0" w:color="auto"/>
            </w:tcBorders>
            <w:shd w:val="clear" w:color="auto" w:fill="auto"/>
            <w:noWrap/>
            <w:vAlign w:val="bottom"/>
            <w:hideMark/>
          </w:tcPr>
          <w:p w:rsidR="00D53A04" w:rsidRPr="00EB2995" w:rsidRDefault="00D53A04" w:rsidP="00D53A04">
            <w:pPr>
              <w:rPr>
                <w:rFonts w:cs="Calibri"/>
                <w:color w:val="000000"/>
                <w:lang w:eastAsia="en-GB"/>
              </w:rPr>
            </w:pPr>
            <w:r w:rsidRPr="00EB2995">
              <w:rPr>
                <w:rFonts w:cs="Calibri"/>
                <w:color w:val="000000"/>
                <w:lang w:eastAsia="en-GB"/>
              </w:rPr>
              <w:t> </w:t>
            </w:r>
          </w:p>
        </w:tc>
        <w:tc>
          <w:tcPr>
            <w:tcW w:w="7040" w:type="dxa"/>
            <w:tcBorders>
              <w:top w:val="nil"/>
              <w:left w:val="nil"/>
              <w:bottom w:val="nil"/>
              <w:right w:val="nil"/>
            </w:tcBorders>
            <w:shd w:val="clear" w:color="auto" w:fill="auto"/>
            <w:vAlign w:val="bottom"/>
            <w:hideMark/>
          </w:tcPr>
          <w:p w:rsidR="00D53A04" w:rsidRPr="00EB2995" w:rsidRDefault="00D53A04" w:rsidP="00D53A04">
            <w:pPr>
              <w:rPr>
                <w:rFonts w:cs="Calibri"/>
                <w:b/>
                <w:bCs/>
                <w:lang w:eastAsia="en-GB"/>
              </w:rPr>
            </w:pPr>
            <w:r w:rsidRPr="00EB2995">
              <w:rPr>
                <w:rFonts w:cs="Calibri"/>
                <w:b/>
                <w:bCs/>
                <w:lang w:eastAsia="en-GB"/>
              </w:rPr>
              <w:t>Expenditure</w:t>
            </w:r>
          </w:p>
        </w:tc>
        <w:tc>
          <w:tcPr>
            <w:tcW w:w="1080" w:type="dxa"/>
            <w:tcBorders>
              <w:top w:val="single" w:sz="4" w:space="0" w:color="auto"/>
              <w:left w:val="single" w:sz="4" w:space="0" w:color="auto"/>
              <w:bottom w:val="nil"/>
              <w:right w:val="single" w:sz="4" w:space="0" w:color="auto"/>
            </w:tcBorders>
            <w:shd w:val="clear" w:color="auto" w:fill="auto"/>
            <w:noWrap/>
            <w:vAlign w:val="bottom"/>
            <w:hideMark/>
          </w:tcPr>
          <w:p w:rsidR="00D53A04" w:rsidRPr="00EB2995" w:rsidRDefault="00D53A04" w:rsidP="00D53A04">
            <w:pPr>
              <w:rPr>
                <w:rFonts w:cs="Calibri"/>
                <w:color w:val="000000"/>
                <w:lang w:eastAsia="en-GB"/>
              </w:rPr>
            </w:pPr>
            <w:r w:rsidRPr="00EB2995">
              <w:rPr>
                <w:rFonts w:cs="Calibri"/>
                <w:color w:val="000000"/>
                <w:lang w:eastAsia="en-GB"/>
              </w:rPr>
              <w:t> </w:t>
            </w:r>
          </w:p>
        </w:tc>
      </w:tr>
      <w:tr w:rsidR="00D53A04" w:rsidRPr="00EB2995" w:rsidTr="00D53A04">
        <w:trPr>
          <w:trHeight w:hRule="exact" w:val="397"/>
        </w:trPr>
        <w:tc>
          <w:tcPr>
            <w:tcW w:w="1080" w:type="dxa"/>
            <w:tcBorders>
              <w:top w:val="nil"/>
              <w:left w:val="single" w:sz="4" w:space="0" w:color="auto"/>
              <w:bottom w:val="nil"/>
              <w:right w:val="single" w:sz="4" w:space="0" w:color="auto"/>
            </w:tcBorders>
            <w:shd w:val="clear" w:color="auto" w:fill="auto"/>
            <w:noWrap/>
            <w:vAlign w:val="bottom"/>
            <w:hideMark/>
          </w:tcPr>
          <w:p w:rsidR="00D53A04" w:rsidRPr="00EB2995" w:rsidRDefault="00D53A04" w:rsidP="00D53A04">
            <w:pPr>
              <w:jc w:val="right"/>
              <w:rPr>
                <w:rFonts w:cs="Calibri"/>
                <w:color w:val="000000"/>
                <w:lang w:eastAsia="en-GB"/>
              </w:rPr>
            </w:pPr>
            <w:r w:rsidRPr="00EB2995">
              <w:rPr>
                <w:rFonts w:cs="Calibri"/>
                <w:color w:val="000000"/>
                <w:lang w:eastAsia="en-GB"/>
              </w:rPr>
              <w:t xml:space="preserve">10.6 </w:t>
            </w:r>
          </w:p>
        </w:tc>
        <w:tc>
          <w:tcPr>
            <w:tcW w:w="7040" w:type="dxa"/>
            <w:tcBorders>
              <w:top w:val="nil"/>
              <w:left w:val="nil"/>
              <w:bottom w:val="nil"/>
              <w:right w:val="nil"/>
            </w:tcBorders>
            <w:shd w:val="clear" w:color="auto" w:fill="auto"/>
            <w:vAlign w:val="bottom"/>
            <w:hideMark/>
          </w:tcPr>
          <w:p w:rsidR="00D53A04" w:rsidRPr="00EB2995" w:rsidRDefault="00D53A04" w:rsidP="00D53A04">
            <w:pPr>
              <w:rPr>
                <w:rFonts w:cs="Calibri"/>
                <w:lang w:eastAsia="en-GB"/>
              </w:rPr>
            </w:pPr>
            <w:r w:rsidRPr="00EB2995">
              <w:rPr>
                <w:rFonts w:cs="Calibri"/>
                <w:lang w:eastAsia="en-GB"/>
              </w:rPr>
              <w:t>Repairs and maintenance</w:t>
            </w:r>
          </w:p>
        </w:tc>
        <w:tc>
          <w:tcPr>
            <w:tcW w:w="1080" w:type="dxa"/>
            <w:tcBorders>
              <w:top w:val="nil"/>
              <w:left w:val="single" w:sz="4" w:space="0" w:color="auto"/>
              <w:bottom w:val="nil"/>
              <w:right w:val="single" w:sz="4" w:space="0" w:color="auto"/>
            </w:tcBorders>
            <w:shd w:val="clear" w:color="auto" w:fill="auto"/>
            <w:noWrap/>
            <w:vAlign w:val="bottom"/>
            <w:hideMark/>
          </w:tcPr>
          <w:p w:rsidR="00D53A04" w:rsidRPr="00EB2995" w:rsidRDefault="00D53A04" w:rsidP="00D53A04">
            <w:pPr>
              <w:jc w:val="right"/>
              <w:rPr>
                <w:rFonts w:cs="Calibri"/>
                <w:color w:val="000000"/>
                <w:lang w:eastAsia="en-GB"/>
              </w:rPr>
            </w:pPr>
            <w:r w:rsidRPr="00EB2995">
              <w:rPr>
                <w:rFonts w:cs="Calibri"/>
                <w:color w:val="000000"/>
                <w:lang w:eastAsia="en-GB"/>
              </w:rPr>
              <w:t xml:space="preserve">12.1 </w:t>
            </w:r>
          </w:p>
        </w:tc>
      </w:tr>
      <w:tr w:rsidR="00D53A04" w:rsidRPr="00EB2995" w:rsidTr="00D53A04">
        <w:trPr>
          <w:trHeight w:hRule="exact" w:val="397"/>
        </w:trPr>
        <w:tc>
          <w:tcPr>
            <w:tcW w:w="1080" w:type="dxa"/>
            <w:tcBorders>
              <w:top w:val="nil"/>
              <w:left w:val="single" w:sz="4" w:space="0" w:color="auto"/>
              <w:bottom w:val="nil"/>
              <w:right w:val="single" w:sz="4" w:space="0" w:color="auto"/>
            </w:tcBorders>
            <w:shd w:val="clear" w:color="auto" w:fill="auto"/>
            <w:noWrap/>
            <w:vAlign w:val="bottom"/>
            <w:hideMark/>
          </w:tcPr>
          <w:p w:rsidR="00D53A04" w:rsidRPr="00EB2995" w:rsidRDefault="00D53A04" w:rsidP="00D53A04">
            <w:pPr>
              <w:jc w:val="right"/>
              <w:rPr>
                <w:rFonts w:cs="Calibri"/>
                <w:color w:val="000000"/>
                <w:lang w:eastAsia="en-GB"/>
              </w:rPr>
            </w:pPr>
            <w:r w:rsidRPr="00EB2995">
              <w:rPr>
                <w:rFonts w:cs="Calibri"/>
                <w:color w:val="000000"/>
                <w:lang w:eastAsia="en-GB"/>
              </w:rPr>
              <w:t xml:space="preserve">12.1 </w:t>
            </w:r>
          </w:p>
        </w:tc>
        <w:tc>
          <w:tcPr>
            <w:tcW w:w="7040" w:type="dxa"/>
            <w:tcBorders>
              <w:top w:val="nil"/>
              <w:left w:val="nil"/>
              <w:bottom w:val="nil"/>
              <w:right w:val="nil"/>
            </w:tcBorders>
            <w:shd w:val="clear" w:color="auto" w:fill="auto"/>
            <w:vAlign w:val="bottom"/>
            <w:hideMark/>
          </w:tcPr>
          <w:p w:rsidR="00D53A04" w:rsidRPr="00EB2995" w:rsidRDefault="00D53A04" w:rsidP="00D53A04">
            <w:pPr>
              <w:rPr>
                <w:rFonts w:cs="Calibri"/>
                <w:lang w:eastAsia="en-GB"/>
              </w:rPr>
            </w:pPr>
            <w:r w:rsidRPr="00EB2995">
              <w:rPr>
                <w:rFonts w:cs="Calibri"/>
                <w:lang w:eastAsia="en-GB"/>
              </w:rPr>
              <w:t>Supervision and management</w:t>
            </w:r>
          </w:p>
        </w:tc>
        <w:tc>
          <w:tcPr>
            <w:tcW w:w="1080" w:type="dxa"/>
            <w:tcBorders>
              <w:top w:val="nil"/>
              <w:left w:val="single" w:sz="4" w:space="0" w:color="auto"/>
              <w:bottom w:val="nil"/>
              <w:right w:val="single" w:sz="4" w:space="0" w:color="auto"/>
            </w:tcBorders>
            <w:shd w:val="clear" w:color="auto" w:fill="auto"/>
            <w:noWrap/>
            <w:vAlign w:val="bottom"/>
            <w:hideMark/>
          </w:tcPr>
          <w:p w:rsidR="00D53A04" w:rsidRPr="00EB2995" w:rsidRDefault="00D53A04" w:rsidP="00D53A04">
            <w:pPr>
              <w:jc w:val="right"/>
              <w:rPr>
                <w:rFonts w:cs="Calibri"/>
                <w:color w:val="000000"/>
                <w:lang w:eastAsia="en-GB"/>
              </w:rPr>
            </w:pPr>
            <w:r w:rsidRPr="00EB2995">
              <w:rPr>
                <w:rFonts w:cs="Calibri"/>
                <w:color w:val="000000"/>
                <w:lang w:eastAsia="en-GB"/>
              </w:rPr>
              <w:t xml:space="preserve">12.0 </w:t>
            </w:r>
          </w:p>
        </w:tc>
      </w:tr>
      <w:tr w:rsidR="00D53A04" w:rsidRPr="00EB2995" w:rsidTr="00D53A04">
        <w:trPr>
          <w:trHeight w:hRule="exact" w:val="397"/>
        </w:trPr>
        <w:tc>
          <w:tcPr>
            <w:tcW w:w="1080" w:type="dxa"/>
            <w:tcBorders>
              <w:top w:val="nil"/>
              <w:left w:val="single" w:sz="4" w:space="0" w:color="auto"/>
              <w:bottom w:val="nil"/>
              <w:right w:val="single" w:sz="4" w:space="0" w:color="auto"/>
            </w:tcBorders>
            <w:shd w:val="clear" w:color="auto" w:fill="auto"/>
            <w:noWrap/>
            <w:vAlign w:val="bottom"/>
            <w:hideMark/>
          </w:tcPr>
          <w:p w:rsidR="00D53A04" w:rsidRPr="00EB2995" w:rsidRDefault="00D53A04" w:rsidP="00D53A04">
            <w:pPr>
              <w:jc w:val="right"/>
              <w:rPr>
                <w:rFonts w:cs="Calibri"/>
                <w:color w:val="000000"/>
                <w:lang w:eastAsia="en-GB"/>
              </w:rPr>
            </w:pPr>
            <w:r w:rsidRPr="00EB2995">
              <w:rPr>
                <w:rFonts w:cs="Calibri"/>
                <w:color w:val="000000"/>
                <w:lang w:eastAsia="en-GB"/>
              </w:rPr>
              <w:t xml:space="preserve">3.9 </w:t>
            </w:r>
          </w:p>
        </w:tc>
        <w:tc>
          <w:tcPr>
            <w:tcW w:w="7040" w:type="dxa"/>
            <w:tcBorders>
              <w:top w:val="nil"/>
              <w:left w:val="nil"/>
              <w:bottom w:val="nil"/>
              <w:right w:val="nil"/>
            </w:tcBorders>
            <w:shd w:val="clear" w:color="auto" w:fill="auto"/>
            <w:vAlign w:val="bottom"/>
            <w:hideMark/>
          </w:tcPr>
          <w:p w:rsidR="00D53A04" w:rsidRPr="00EB2995" w:rsidRDefault="00D53A04" w:rsidP="00D53A04">
            <w:pPr>
              <w:rPr>
                <w:rFonts w:cs="Calibri"/>
                <w:lang w:eastAsia="en-GB"/>
              </w:rPr>
            </w:pPr>
            <w:r w:rsidRPr="00EB2995">
              <w:rPr>
                <w:rFonts w:cs="Calibri"/>
                <w:lang w:eastAsia="en-GB"/>
              </w:rPr>
              <w:t>Special services</w:t>
            </w:r>
          </w:p>
        </w:tc>
        <w:tc>
          <w:tcPr>
            <w:tcW w:w="1080" w:type="dxa"/>
            <w:tcBorders>
              <w:top w:val="nil"/>
              <w:left w:val="single" w:sz="4" w:space="0" w:color="auto"/>
              <w:bottom w:val="nil"/>
              <w:right w:val="single" w:sz="4" w:space="0" w:color="auto"/>
            </w:tcBorders>
            <w:shd w:val="clear" w:color="auto" w:fill="auto"/>
            <w:noWrap/>
            <w:vAlign w:val="bottom"/>
            <w:hideMark/>
          </w:tcPr>
          <w:p w:rsidR="00D53A04" w:rsidRPr="00EB2995" w:rsidRDefault="00D53A04" w:rsidP="00D53A04">
            <w:pPr>
              <w:jc w:val="right"/>
              <w:rPr>
                <w:rFonts w:cs="Calibri"/>
                <w:color w:val="000000"/>
                <w:lang w:eastAsia="en-GB"/>
              </w:rPr>
            </w:pPr>
            <w:r w:rsidRPr="00EB2995">
              <w:rPr>
                <w:rFonts w:cs="Calibri"/>
                <w:color w:val="000000"/>
                <w:lang w:eastAsia="en-GB"/>
              </w:rPr>
              <w:t xml:space="preserve">4.1 </w:t>
            </w:r>
          </w:p>
        </w:tc>
      </w:tr>
      <w:tr w:rsidR="00D53A04" w:rsidRPr="00EB2995" w:rsidTr="00D53A04">
        <w:trPr>
          <w:trHeight w:hRule="exact" w:val="397"/>
        </w:trPr>
        <w:tc>
          <w:tcPr>
            <w:tcW w:w="1080" w:type="dxa"/>
            <w:tcBorders>
              <w:top w:val="nil"/>
              <w:left w:val="single" w:sz="4" w:space="0" w:color="auto"/>
              <w:bottom w:val="nil"/>
              <w:right w:val="single" w:sz="4" w:space="0" w:color="auto"/>
            </w:tcBorders>
            <w:shd w:val="clear" w:color="auto" w:fill="auto"/>
            <w:noWrap/>
            <w:vAlign w:val="bottom"/>
            <w:hideMark/>
          </w:tcPr>
          <w:p w:rsidR="00D53A04" w:rsidRPr="00EB2995" w:rsidRDefault="00D53A04" w:rsidP="00D53A04">
            <w:pPr>
              <w:jc w:val="right"/>
              <w:rPr>
                <w:rFonts w:cs="Calibri"/>
                <w:color w:val="000000"/>
                <w:lang w:eastAsia="en-GB"/>
              </w:rPr>
            </w:pPr>
            <w:r w:rsidRPr="00EB2995">
              <w:rPr>
                <w:rFonts w:cs="Calibri"/>
                <w:color w:val="000000"/>
                <w:lang w:eastAsia="en-GB"/>
              </w:rPr>
              <w:t xml:space="preserve">2.2 </w:t>
            </w:r>
          </w:p>
        </w:tc>
        <w:tc>
          <w:tcPr>
            <w:tcW w:w="7040" w:type="dxa"/>
            <w:tcBorders>
              <w:top w:val="nil"/>
              <w:left w:val="nil"/>
              <w:bottom w:val="nil"/>
              <w:right w:val="nil"/>
            </w:tcBorders>
            <w:shd w:val="clear" w:color="auto" w:fill="auto"/>
            <w:vAlign w:val="bottom"/>
            <w:hideMark/>
          </w:tcPr>
          <w:p w:rsidR="00D53A04" w:rsidRPr="00EB2995" w:rsidRDefault="00D53A04" w:rsidP="00D53A04">
            <w:pPr>
              <w:rPr>
                <w:rFonts w:cs="Calibri"/>
                <w:lang w:eastAsia="en-GB"/>
              </w:rPr>
            </w:pPr>
            <w:r w:rsidRPr="00EB2995">
              <w:rPr>
                <w:rFonts w:cs="Calibri"/>
                <w:lang w:eastAsia="en-GB"/>
              </w:rPr>
              <w:t>Rents, rates, taxes and others charges</w:t>
            </w:r>
          </w:p>
        </w:tc>
        <w:tc>
          <w:tcPr>
            <w:tcW w:w="1080" w:type="dxa"/>
            <w:tcBorders>
              <w:top w:val="nil"/>
              <w:left w:val="single" w:sz="4" w:space="0" w:color="auto"/>
              <w:bottom w:val="nil"/>
              <w:right w:val="single" w:sz="4" w:space="0" w:color="auto"/>
            </w:tcBorders>
            <w:shd w:val="clear" w:color="auto" w:fill="auto"/>
            <w:noWrap/>
            <w:vAlign w:val="bottom"/>
            <w:hideMark/>
          </w:tcPr>
          <w:p w:rsidR="00D53A04" w:rsidRPr="00EB2995" w:rsidRDefault="00D53A04" w:rsidP="00D53A04">
            <w:pPr>
              <w:jc w:val="right"/>
              <w:rPr>
                <w:rFonts w:cs="Calibri"/>
                <w:color w:val="000000"/>
                <w:lang w:eastAsia="en-GB"/>
              </w:rPr>
            </w:pPr>
            <w:r w:rsidRPr="00EB2995">
              <w:rPr>
                <w:rFonts w:cs="Calibri"/>
                <w:color w:val="000000"/>
                <w:lang w:eastAsia="en-GB"/>
              </w:rPr>
              <w:t xml:space="preserve">2.1 </w:t>
            </w:r>
          </w:p>
        </w:tc>
      </w:tr>
      <w:tr w:rsidR="00D53A04" w:rsidRPr="00EB2995" w:rsidTr="00D53A04">
        <w:trPr>
          <w:trHeight w:hRule="exact" w:val="397"/>
        </w:trPr>
        <w:tc>
          <w:tcPr>
            <w:tcW w:w="1080" w:type="dxa"/>
            <w:tcBorders>
              <w:top w:val="nil"/>
              <w:left w:val="single" w:sz="4" w:space="0" w:color="auto"/>
              <w:bottom w:val="nil"/>
              <w:right w:val="single" w:sz="4" w:space="0" w:color="auto"/>
            </w:tcBorders>
            <w:shd w:val="clear" w:color="auto" w:fill="auto"/>
            <w:noWrap/>
            <w:vAlign w:val="bottom"/>
            <w:hideMark/>
          </w:tcPr>
          <w:p w:rsidR="00D53A04" w:rsidRPr="00EB2995" w:rsidRDefault="00D53A04" w:rsidP="00D53A04">
            <w:pPr>
              <w:jc w:val="right"/>
              <w:rPr>
                <w:rFonts w:cs="Calibri"/>
                <w:color w:val="000000"/>
                <w:lang w:eastAsia="en-GB"/>
              </w:rPr>
            </w:pPr>
            <w:r w:rsidRPr="00EB2995">
              <w:rPr>
                <w:rFonts w:cs="Calibri"/>
                <w:color w:val="000000"/>
                <w:lang w:eastAsia="en-GB"/>
              </w:rPr>
              <w:t xml:space="preserve">7.3 </w:t>
            </w:r>
          </w:p>
        </w:tc>
        <w:tc>
          <w:tcPr>
            <w:tcW w:w="7040" w:type="dxa"/>
            <w:tcBorders>
              <w:top w:val="nil"/>
              <w:left w:val="nil"/>
              <w:bottom w:val="nil"/>
              <w:right w:val="nil"/>
            </w:tcBorders>
            <w:shd w:val="clear" w:color="auto" w:fill="auto"/>
            <w:vAlign w:val="bottom"/>
            <w:hideMark/>
          </w:tcPr>
          <w:p w:rsidR="00D53A04" w:rsidRPr="00EB2995" w:rsidRDefault="00D53A04" w:rsidP="00D53A04">
            <w:pPr>
              <w:rPr>
                <w:rFonts w:cs="Calibri"/>
                <w:lang w:eastAsia="en-GB"/>
              </w:rPr>
            </w:pPr>
            <w:r w:rsidRPr="00EB2995">
              <w:rPr>
                <w:rFonts w:cs="Calibri"/>
                <w:lang w:eastAsia="en-GB"/>
              </w:rPr>
              <w:t>Depreciation of non-current assets</w:t>
            </w:r>
          </w:p>
        </w:tc>
        <w:tc>
          <w:tcPr>
            <w:tcW w:w="1080" w:type="dxa"/>
            <w:tcBorders>
              <w:top w:val="nil"/>
              <w:left w:val="single" w:sz="4" w:space="0" w:color="auto"/>
              <w:bottom w:val="nil"/>
              <w:right w:val="single" w:sz="4" w:space="0" w:color="auto"/>
            </w:tcBorders>
            <w:shd w:val="clear" w:color="auto" w:fill="auto"/>
            <w:noWrap/>
            <w:vAlign w:val="bottom"/>
            <w:hideMark/>
          </w:tcPr>
          <w:p w:rsidR="00D53A04" w:rsidRPr="00EB2995" w:rsidRDefault="00D53A04" w:rsidP="00D53A04">
            <w:pPr>
              <w:jc w:val="right"/>
              <w:rPr>
                <w:rFonts w:cs="Calibri"/>
                <w:color w:val="000000"/>
                <w:lang w:eastAsia="en-GB"/>
              </w:rPr>
            </w:pPr>
            <w:r w:rsidRPr="00EB2995">
              <w:rPr>
                <w:rFonts w:cs="Calibri"/>
                <w:color w:val="000000"/>
                <w:lang w:eastAsia="en-GB"/>
              </w:rPr>
              <w:t xml:space="preserve">7.8 </w:t>
            </w:r>
          </w:p>
        </w:tc>
      </w:tr>
      <w:tr w:rsidR="00D53A04" w:rsidRPr="00EB2995" w:rsidTr="00D53A04">
        <w:trPr>
          <w:trHeight w:hRule="exact" w:val="397"/>
        </w:trPr>
        <w:tc>
          <w:tcPr>
            <w:tcW w:w="1080" w:type="dxa"/>
            <w:tcBorders>
              <w:top w:val="nil"/>
              <w:left w:val="single" w:sz="4" w:space="0" w:color="auto"/>
              <w:bottom w:val="nil"/>
              <w:right w:val="single" w:sz="4" w:space="0" w:color="auto"/>
            </w:tcBorders>
            <w:shd w:val="clear" w:color="auto" w:fill="auto"/>
            <w:noWrap/>
            <w:vAlign w:val="bottom"/>
            <w:hideMark/>
          </w:tcPr>
          <w:p w:rsidR="00D53A04" w:rsidRPr="00EB2995" w:rsidRDefault="00D53A04" w:rsidP="00D53A04">
            <w:pPr>
              <w:jc w:val="right"/>
              <w:rPr>
                <w:rFonts w:cs="Calibri"/>
                <w:color w:val="000000"/>
                <w:lang w:eastAsia="en-GB"/>
              </w:rPr>
            </w:pPr>
            <w:r w:rsidRPr="00EB2995">
              <w:rPr>
                <w:rFonts w:cs="Calibri"/>
                <w:color w:val="000000"/>
                <w:lang w:eastAsia="en-GB"/>
              </w:rPr>
              <w:t xml:space="preserve">0.1 </w:t>
            </w:r>
          </w:p>
        </w:tc>
        <w:tc>
          <w:tcPr>
            <w:tcW w:w="7040" w:type="dxa"/>
            <w:tcBorders>
              <w:top w:val="nil"/>
              <w:left w:val="nil"/>
              <w:bottom w:val="nil"/>
              <w:right w:val="nil"/>
            </w:tcBorders>
            <w:shd w:val="clear" w:color="auto" w:fill="auto"/>
            <w:vAlign w:val="bottom"/>
            <w:hideMark/>
          </w:tcPr>
          <w:p w:rsidR="00D53A04" w:rsidRPr="00EB2995" w:rsidRDefault="00D53A04" w:rsidP="00D53A04">
            <w:pPr>
              <w:rPr>
                <w:rFonts w:cs="Calibri"/>
                <w:lang w:eastAsia="en-GB"/>
              </w:rPr>
            </w:pPr>
            <w:r w:rsidRPr="00EB2995">
              <w:rPr>
                <w:rFonts w:cs="Calibri"/>
                <w:lang w:eastAsia="en-GB"/>
              </w:rPr>
              <w:t>Movement in the allowance for bad or doubtful debts</w:t>
            </w:r>
          </w:p>
        </w:tc>
        <w:tc>
          <w:tcPr>
            <w:tcW w:w="1080" w:type="dxa"/>
            <w:tcBorders>
              <w:top w:val="nil"/>
              <w:left w:val="single" w:sz="4" w:space="0" w:color="auto"/>
              <w:bottom w:val="nil"/>
              <w:right w:val="single" w:sz="4" w:space="0" w:color="auto"/>
            </w:tcBorders>
            <w:shd w:val="clear" w:color="auto" w:fill="auto"/>
            <w:noWrap/>
            <w:vAlign w:val="bottom"/>
            <w:hideMark/>
          </w:tcPr>
          <w:p w:rsidR="00D53A04" w:rsidRPr="00EB2995" w:rsidRDefault="00D53A04" w:rsidP="00D53A04">
            <w:pPr>
              <w:jc w:val="right"/>
              <w:rPr>
                <w:rFonts w:cs="Calibri"/>
                <w:color w:val="000000"/>
                <w:lang w:eastAsia="en-GB"/>
              </w:rPr>
            </w:pPr>
            <w:r w:rsidRPr="00EB2995">
              <w:rPr>
                <w:rFonts w:cs="Calibri"/>
                <w:color w:val="000000"/>
                <w:lang w:eastAsia="en-GB"/>
              </w:rPr>
              <w:t xml:space="preserve">0.1 </w:t>
            </w:r>
          </w:p>
        </w:tc>
      </w:tr>
      <w:tr w:rsidR="00D53A04" w:rsidRPr="00EB2995" w:rsidTr="00D53A04">
        <w:trPr>
          <w:trHeight w:hRule="exact" w:val="397"/>
        </w:trPr>
        <w:tc>
          <w:tcPr>
            <w:tcW w:w="1080" w:type="dxa"/>
            <w:tcBorders>
              <w:top w:val="nil"/>
              <w:left w:val="single" w:sz="4" w:space="0" w:color="auto"/>
              <w:bottom w:val="nil"/>
              <w:right w:val="single" w:sz="4" w:space="0" w:color="auto"/>
            </w:tcBorders>
            <w:shd w:val="clear" w:color="auto" w:fill="auto"/>
            <w:noWrap/>
            <w:vAlign w:val="bottom"/>
            <w:hideMark/>
          </w:tcPr>
          <w:p w:rsidR="00D53A04" w:rsidRPr="00EB2995" w:rsidRDefault="00D53A04" w:rsidP="00D53A04">
            <w:pPr>
              <w:jc w:val="right"/>
              <w:rPr>
                <w:rFonts w:cs="Calibri"/>
                <w:color w:val="000000"/>
                <w:lang w:eastAsia="en-GB"/>
              </w:rPr>
            </w:pPr>
            <w:r w:rsidRPr="00EB2995">
              <w:rPr>
                <w:rFonts w:cs="Calibri"/>
                <w:color w:val="000000"/>
                <w:lang w:eastAsia="en-GB"/>
              </w:rPr>
              <w:t xml:space="preserve">32.4 </w:t>
            </w:r>
          </w:p>
        </w:tc>
        <w:tc>
          <w:tcPr>
            <w:tcW w:w="7040" w:type="dxa"/>
            <w:tcBorders>
              <w:top w:val="nil"/>
              <w:left w:val="nil"/>
              <w:bottom w:val="nil"/>
              <w:right w:val="nil"/>
            </w:tcBorders>
            <w:shd w:val="clear" w:color="auto" w:fill="auto"/>
            <w:vAlign w:val="bottom"/>
            <w:hideMark/>
          </w:tcPr>
          <w:p w:rsidR="00D53A04" w:rsidRPr="00EB2995" w:rsidRDefault="00D53A04" w:rsidP="00D53A04">
            <w:pPr>
              <w:rPr>
                <w:rFonts w:cs="Calibri"/>
                <w:lang w:eastAsia="en-GB"/>
              </w:rPr>
            </w:pPr>
            <w:r w:rsidRPr="00EB2995">
              <w:rPr>
                <w:rFonts w:cs="Calibri"/>
                <w:lang w:eastAsia="en-GB"/>
              </w:rPr>
              <w:t>Impairments and revaluation losses to non-current assets</w:t>
            </w:r>
          </w:p>
        </w:tc>
        <w:tc>
          <w:tcPr>
            <w:tcW w:w="1080" w:type="dxa"/>
            <w:tcBorders>
              <w:top w:val="nil"/>
              <w:left w:val="single" w:sz="4" w:space="0" w:color="auto"/>
              <w:bottom w:val="nil"/>
              <w:right w:val="single" w:sz="4" w:space="0" w:color="auto"/>
            </w:tcBorders>
            <w:shd w:val="clear" w:color="auto" w:fill="auto"/>
            <w:noWrap/>
            <w:vAlign w:val="bottom"/>
            <w:hideMark/>
          </w:tcPr>
          <w:p w:rsidR="00D53A04" w:rsidRPr="00EB2995" w:rsidRDefault="00D53A04" w:rsidP="00D53A04">
            <w:pPr>
              <w:jc w:val="right"/>
              <w:rPr>
                <w:rFonts w:cs="Calibri"/>
                <w:color w:val="000000"/>
                <w:lang w:eastAsia="en-GB"/>
              </w:rPr>
            </w:pPr>
            <w:r>
              <w:rPr>
                <w:rFonts w:cs="Calibri"/>
                <w:color w:val="000000"/>
                <w:lang w:eastAsia="en-GB"/>
              </w:rPr>
              <w:t>20.8</w:t>
            </w:r>
            <w:r w:rsidRPr="00EB2995">
              <w:rPr>
                <w:rFonts w:cs="Calibri"/>
                <w:color w:val="000000"/>
                <w:lang w:eastAsia="en-GB"/>
              </w:rPr>
              <w:t xml:space="preserve"> </w:t>
            </w:r>
          </w:p>
        </w:tc>
      </w:tr>
      <w:tr w:rsidR="00D53A04" w:rsidRPr="00EB2995" w:rsidTr="00D53A04">
        <w:trPr>
          <w:trHeight w:hRule="exact" w:val="397"/>
        </w:trPr>
        <w:tc>
          <w:tcPr>
            <w:tcW w:w="1080" w:type="dxa"/>
            <w:tcBorders>
              <w:top w:val="nil"/>
              <w:left w:val="single" w:sz="4" w:space="0" w:color="auto"/>
              <w:bottom w:val="nil"/>
              <w:right w:val="single" w:sz="4" w:space="0" w:color="auto"/>
            </w:tcBorders>
            <w:shd w:val="clear" w:color="auto" w:fill="auto"/>
            <w:noWrap/>
            <w:vAlign w:val="bottom"/>
            <w:hideMark/>
          </w:tcPr>
          <w:p w:rsidR="00D53A04" w:rsidRPr="00EB2995" w:rsidRDefault="00D53A04" w:rsidP="00D53A04">
            <w:pPr>
              <w:jc w:val="right"/>
              <w:rPr>
                <w:rFonts w:cs="Calibri"/>
                <w:color w:val="000000"/>
                <w:lang w:eastAsia="en-GB"/>
              </w:rPr>
            </w:pPr>
            <w:r w:rsidRPr="00EB2995">
              <w:rPr>
                <w:rFonts w:cs="Calibri"/>
                <w:color w:val="000000"/>
                <w:lang w:eastAsia="en-GB"/>
              </w:rPr>
              <w:t xml:space="preserve">3.4 </w:t>
            </w:r>
          </w:p>
        </w:tc>
        <w:tc>
          <w:tcPr>
            <w:tcW w:w="7040" w:type="dxa"/>
            <w:tcBorders>
              <w:top w:val="nil"/>
              <w:left w:val="nil"/>
              <w:bottom w:val="nil"/>
              <w:right w:val="nil"/>
            </w:tcBorders>
            <w:shd w:val="clear" w:color="auto" w:fill="auto"/>
            <w:vAlign w:val="bottom"/>
            <w:hideMark/>
          </w:tcPr>
          <w:p w:rsidR="00D53A04" w:rsidRPr="00EB2995" w:rsidRDefault="00D53A04" w:rsidP="00D53A04">
            <w:pPr>
              <w:rPr>
                <w:rFonts w:cs="Calibri"/>
                <w:lang w:eastAsia="en-GB"/>
              </w:rPr>
            </w:pPr>
            <w:r w:rsidRPr="00EB2995">
              <w:rPr>
                <w:rFonts w:cs="Calibri"/>
                <w:lang w:eastAsia="en-GB"/>
              </w:rPr>
              <w:t>Revenue expenditure funded from capital under statute (REFCUS)</w:t>
            </w:r>
          </w:p>
        </w:tc>
        <w:tc>
          <w:tcPr>
            <w:tcW w:w="1080" w:type="dxa"/>
            <w:tcBorders>
              <w:top w:val="nil"/>
              <w:left w:val="single" w:sz="4" w:space="0" w:color="auto"/>
              <w:bottom w:val="nil"/>
              <w:right w:val="single" w:sz="4" w:space="0" w:color="auto"/>
            </w:tcBorders>
            <w:shd w:val="clear" w:color="auto" w:fill="auto"/>
            <w:noWrap/>
            <w:vAlign w:val="bottom"/>
            <w:hideMark/>
          </w:tcPr>
          <w:p w:rsidR="00D53A04" w:rsidRPr="00EB2995" w:rsidRDefault="00D53A04" w:rsidP="00D53A04">
            <w:pPr>
              <w:jc w:val="right"/>
              <w:rPr>
                <w:rFonts w:cs="Calibri"/>
                <w:color w:val="000000"/>
                <w:lang w:eastAsia="en-GB"/>
              </w:rPr>
            </w:pPr>
            <w:r w:rsidRPr="00EB2995">
              <w:rPr>
                <w:rFonts w:cs="Calibri"/>
                <w:color w:val="000000"/>
                <w:lang w:eastAsia="en-GB"/>
              </w:rPr>
              <w:t xml:space="preserve">0.0 </w:t>
            </w:r>
          </w:p>
        </w:tc>
      </w:tr>
      <w:tr w:rsidR="00D53A04" w:rsidRPr="00EB2995" w:rsidTr="00D53A04">
        <w:trPr>
          <w:trHeight w:hRule="exact" w:val="397"/>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3A04" w:rsidRPr="00EB2995" w:rsidRDefault="00D53A04" w:rsidP="00D53A04">
            <w:pPr>
              <w:jc w:val="right"/>
              <w:rPr>
                <w:rFonts w:cs="Calibri"/>
                <w:b/>
                <w:bCs/>
                <w:color w:val="000000"/>
                <w:lang w:eastAsia="en-GB"/>
              </w:rPr>
            </w:pPr>
            <w:r w:rsidRPr="00EB2995">
              <w:rPr>
                <w:rFonts w:cs="Calibri"/>
                <w:b/>
                <w:bCs/>
                <w:color w:val="000000"/>
                <w:lang w:eastAsia="en-GB"/>
              </w:rPr>
              <w:t xml:space="preserve">72.0 </w:t>
            </w:r>
          </w:p>
        </w:tc>
        <w:tc>
          <w:tcPr>
            <w:tcW w:w="7040" w:type="dxa"/>
            <w:tcBorders>
              <w:top w:val="nil"/>
              <w:left w:val="nil"/>
              <w:bottom w:val="nil"/>
              <w:right w:val="nil"/>
            </w:tcBorders>
            <w:shd w:val="clear" w:color="auto" w:fill="auto"/>
            <w:vAlign w:val="bottom"/>
            <w:hideMark/>
          </w:tcPr>
          <w:p w:rsidR="00D53A04" w:rsidRPr="00EB2995" w:rsidRDefault="00D53A04" w:rsidP="00D53A04">
            <w:pPr>
              <w:rPr>
                <w:rFonts w:cs="Calibri"/>
                <w:b/>
                <w:bCs/>
                <w:lang w:eastAsia="en-GB"/>
              </w:rPr>
            </w:pPr>
            <w:r w:rsidRPr="00EB2995">
              <w:rPr>
                <w:rFonts w:cs="Calibri"/>
                <w:b/>
                <w:bCs/>
                <w:lang w:eastAsia="en-GB"/>
              </w:rPr>
              <w:t>Total Expenditure</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3A04" w:rsidRPr="00EB2995" w:rsidRDefault="00D53A04" w:rsidP="00D53A04">
            <w:pPr>
              <w:jc w:val="right"/>
              <w:rPr>
                <w:rFonts w:cs="Calibri"/>
                <w:b/>
                <w:bCs/>
                <w:color w:val="000000"/>
                <w:lang w:eastAsia="en-GB"/>
              </w:rPr>
            </w:pPr>
            <w:r>
              <w:rPr>
                <w:rFonts w:cs="Calibri"/>
                <w:b/>
                <w:bCs/>
                <w:color w:val="000000"/>
                <w:lang w:eastAsia="en-GB"/>
              </w:rPr>
              <w:t>59.0</w:t>
            </w:r>
            <w:r w:rsidRPr="00EB2995">
              <w:rPr>
                <w:rFonts w:cs="Calibri"/>
                <w:b/>
                <w:bCs/>
                <w:color w:val="000000"/>
                <w:lang w:eastAsia="en-GB"/>
              </w:rPr>
              <w:t xml:space="preserve"> </w:t>
            </w:r>
          </w:p>
        </w:tc>
      </w:tr>
      <w:tr w:rsidR="00D53A04" w:rsidRPr="00EB2995" w:rsidTr="00D53A04">
        <w:trPr>
          <w:trHeight w:hRule="exact" w:val="397"/>
        </w:trPr>
        <w:tc>
          <w:tcPr>
            <w:tcW w:w="1080" w:type="dxa"/>
            <w:tcBorders>
              <w:top w:val="nil"/>
              <w:left w:val="nil"/>
              <w:bottom w:val="nil"/>
              <w:right w:val="nil"/>
            </w:tcBorders>
            <w:shd w:val="clear" w:color="auto" w:fill="auto"/>
            <w:noWrap/>
            <w:vAlign w:val="bottom"/>
            <w:hideMark/>
          </w:tcPr>
          <w:p w:rsidR="00D53A04" w:rsidRPr="00EB2995" w:rsidRDefault="00D53A04" w:rsidP="00D53A04">
            <w:pPr>
              <w:jc w:val="right"/>
              <w:rPr>
                <w:rFonts w:cs="Calibri"/>
                <w:b/>
                <w:bCs/>
                <w:color w:val="000000"/>
                <w:lang w:eastAsia="en-GB"/>
              </w:rPr>
            </w:pPr>
          </w:p>
        </w:tc>
        <w:tc>
          <w:tcPr>
            <w:tcW w:w="7040" w:type="dxa"/>
            <w:tcBorders>
              <w:top w:val="nil"/>
              <w:left w:val="nil"/>
              <w:bottom w:val="nil"/>
              <w:right w:val="nil"/>
            </w:tcBorders>
            <w:shd w:val="clear" w:color="auto" w:fill="auto"/>
            <w:noWrap/>
            <w:vAlign w:val="bottom"/>
            <w:hideMark/>
          </w:tcPr>
          <w:p w:rsidR="00D53A04" w:rsidRPr="00EB2995" w:rsidRDefault="00D53A04" w:rsidP="00D53A04">
            <w:pPr>
              <w:rPr>
                <w:rFonts w:cs="Calibri"/>
                <w:sz w:val="20"/>
                <w:szCs w:val="20"/>
                <w:lang w:eastAsia="en-GB"/>
              </w:rPr>
            </w:pPr>
          </w:p>
        </w:tc>
        <w:tc>
          <w:tcPr>
            <w:tcW w:w="1080" w:type="dxa"/>
            <w:tcBorders>
              <w:top w:val="nil"/>
              <w:left w:val="nil"/>
              <w:bottom w:val="nil"/>
              <w:right w:val="nil"/>
            </w:tcBorders>
            <w:shd w:val="clear" w:color="auto" w:fill="auto"/>
            <w:noWrap/>
            <w:vAlign w:val="bottom"/>
            <w:hideMark/>
          </w:tcPr>
          <w:p w:rsidR="00D53A04" w:rsidRPr="00EB2995" w:rsidRDefault="00D53A04" w:rsidP="00D53A04">
            <w:pPr>
              <w:rPr>
                <w:rFonts w:cs="Calibri"/>
                <w:sz w:val="20"/>
                <w:szCs w:val="20"/>
                <w:lang w:eastAsia="en-GB"/>
              </w:rPr>
            </w:pPr>
          </w:p>
        </w:tc>
      </w:tr>
      <w:tr w:rsidR="00D53A04" w:rsidRPr="00EB2995" w:rsidTr="00D53A04">
        <w:trPr>
          <w:trHeight w:hRule="exact" w:val="816"/>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3A04" w:rsidRPr="00EB2995" w:rsidRDefault="00D53A04" w:rsidP="00D53A04">
            <w:pPr>
              <w:jc w:val="right"/>
              <w:rPr>
                <w:rFonts w:cs="Calibri"/>
                <w:b/>
                <w:bCs/>
                <w:color w:val="000000"/>
                <w:lang w:eastAsia="en-GB"/>
              </w:rPr>
            </w:pPr>
            <w:r w:rsidRPr="00EB2995">
              <w:rPr>
                <w:rFonts w:cs="Calibri"/>
                <w:b/>
                <w:bCs/>
                <w:color w:val="000000"/>
                <w:lang w:eastAsia="en-GB"/>
              </w:rPr>
              <w:t xml:space="preserve">17.0 </w:t>
            </w:r>
          </w:p>
        </w:tc>
        <w:tc>
          <w:tcPr>
            <w:tcW w:w="7040" w:type="dxa"/>
            <w:tcBorders>
              <w:top w:val="nil"/>
              <w:left w:val="nil"/>
              <w:bottom w:val="nil"/>
              <w:right w:val="nil"/>
            </w:tcBorders>
            <w:shd w:val="clear" w:color="auto" w:fill="auto"/>
            <w:vAlign w:val="bottom"/>
            <w:hideMark/>
          </w:tcPr>
          <w:p w:rsidR="00D53A04" w:rsidRPr="00EB2995" w:rsidRDefault="00D53A04" w:rsidP="00D53A04">
            <w:pPr>
              <w:rPr>
                <w:rFonts w:cs="Calibri"/>
                <w:b/>
                <w:bCs/>
                <w:lang w:eastAsia="en-GB"/>
              </w:rPr>
            </w:pPr>
            <w:r w:rsidRPr="00EB2995">
              <w:rPr>
                <w:rFonts w:cs="Calibri"/>
                <w:b/>
                <w:bCs/>
                <w:lang w:eastAsia="en-GB"/>
              </w:rPr>
              <w:t>Net Cost of Services included in the Council's Income and Expenditure Account</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3A04" w:rsidRPr="00EB2995" w:rsidRDefault="00D53A04" w:rsidP="00D53A04">
            <w:pPr>
              <w:jc w:val="right"/>
              <w:rPr>
                <w:rFonts w:cs="Calibri"/>
                <w:b/>
                <w:bCs/>
                <w:color w:val="000000"/>
                <w:lang w:eastAsia="en-GB"/>
              </w:rPr>
            </w:pPr>
            <w:r>
              <w:rPr>
                <w:rFonts w:cs="Calibri"/>
                <w:b/>
                <w:bCs/>
                <w:color w:val="000000"/>
                <w:lang w:eastAsia="en-GB"/>
              </w:rPr>
              <w:t>3.4</w:t>
            </w:r>
            <w:r w:rsidRPr="00EB2995">
              <w:rPr>
                <w:rFonts w:cs="Calibri"/>
                <w:b/>
                <w:bCs/>
                <w:color w:val="000000"/>
                <w:lang w:eastAsia="en-GB"/>
              </w:rPr>
              <w:t xml:space="preserve"> </w:t>
            </w:r>
          </w:p>
        </w:tc>
      </w:tr>
      <w:tr w:rsidR="00D53A04" w:rsidRPr="00EB2995" w:rsidTr="00D53A04">
        <w:trPr>
          <w:trHeight w:hRule="exact" w:val="850"/>
        </w:trPr>
        <w:tc>
          <w:tcPr>
            <w:tcW w:w="1080" w:type="dxa"/>
            <w:tcBorders>
              <w:top w:val="nil"/>
              <w:left w:val="single" w:sz="4" w:space="0" w:color="auto"/>
              <w:bottom w:val="nil"/>
              <w:right w:val="single" w:sz="4" w:space="0" w:color="auto"/>
            </w:tcBorders>
            <w:shd w:val="clear" w:color="auto" w:fill="auto"/>
            <w:noWrap/>
            <w:vAlign w:val="bottom"/>
            <w:hideMark/>
          </w:tcPr>
          <w:p w:rsidR="00D53A04" w:rsidRPr="00EB2995" w:rsidRDefault="00D53A04" w:rsidP="00D53A04">
            <w:pPr>
              <w:rPr>
                <w:rFonts w:cs="Calibri"/>
                <w:color w:val="000000"/>
                <w:lang w:eastAsia="en-GB"/>
              </w:rPr>
            </w:pPr>
            <w:r w:rsidRPr="00EB2995">
              <w:rPr>
                <w:rFonts w:cs="Calibri"/>
                <w:color w:val="000000"/>
                <w:lang w:eastAsia="en-GB"/>
              </w:rPr>
              <w:t> </w:t>
            </w:r>
          </w:p>
        </w:tc>
        <w:tc>
          <w:tcPr>
            <w:tcW w:w="7040" w:type="dxa"/>
            <w:tcBorders>
              <w:top w:val="nil"/>
              <w:left w:val="nil"/>
              <w:bottom w:val="nil"/>
              <w:right w:val="nil"/>
            </w:tcBorders>
            <w:shd w:val="clear" w:color="auto" w:fill="auto"/>
            <w:vAlign w:val="bottom"/>
            <w:hideMark/>
          </w:tcPr>
          <w:p w:rsidR="00D53A04" w:rsidRPr="00EB2995" w:rsidRDefault="00D53A04" w:rsidP="00D53A04">
            <w:pPr>
              <w:rPr>
                <w:rFonts w:cs="Calibri"/>
                <w:b/>
                <w:bCs/>
                <w:color w:val="000000"/>
                <w:lang w:eastAsia="en-GB"/>
              </w:rPr>
            </w:pPr>
            <w:r w:rsidRPr="00EB2995">
              <w:rPr>
                <w:rFonts w:cs="Calibri"/>
                <w:b/>
                <w:bCs/>
                <w:color w:val="000000"/>
                <w:lang w:eastAsia="en-GB"/>
              </w:rPr>
              <w:t>HRA share of the operating income and expenditure included in the Council's income and expenditure</w:t>
            </w:r>
          </w:p>
        </w:tc>
        <w:tc>
          <w:tcPr>
            <w:tcW w:w="1080" w:type="dxa"/>
            <w:tcBorders>
              <w:top w:val="nil"/>
              <w:left w:val="single" w:sz="4" w:space="0" w:color="auto"/>
              <w:bottom w:val="nil"/>
              <w:right w:val="single" w:sz="4" w:space="0" w:color="auto"/>
            </w:tcBorders>
            <w:shd w:val="clear" w:color="auto" w:fill="auto"/>
            <w:noWrap/>
            <w:vAlign w:val="bottom"/>
            <w:hideMark/>
          </w:tcPr>
          <w:p w:rsidR="00D53A04" w:rsidRPr="00EB2995" w:rsidRDefault="00D53A04" w:rsidP="00D53A04">
            <w:pPr>
              <w:rPr>
                <w:rFonts w:cs="Calibri"/>
                <w:color w:val="000000"/>
                <w:lang w:eastAsia="en-GB"/>
              </w:rPr>
            </w:pPr>
            <w:r w:rsidRPr="00EB2995">
              <w:rPr>
                <w:rFonts w:cs="Calibri"/>
                <w:color w:val="000000"/>
                <w:lang w:eastAsia="en-GB"/>
              </w:rPr>
              <w:t> </w:t>
            </w:r>
          </w:p>
        </w:tc>
      </w:tr>
      <w:tr w:rsidR="00D53A04" w:rsidRPr="00EB2995" w:rsidTr="00D53A04">
        <w:trPr>
          <w:trHeight w:hRule="exact" w:val="397"/>
        </w:trPr>
        <w:tc>
          <w:tcPr>
            <w:tcW w:w="1080" w:type="dxa"/>
            <w:tcBorders>
              <w:top w:val="nil"/>
              <w:left w:val="single" w:sz="4" w:space="0" w:color="auto"/>
              <w:bottom w:val="nil"/>
              <w:right w:val="single" w:sz="4" w:space="0" w:color="auto"/>
            </w:tcBorders>
            <w:shd w:val="clear" w:color="auto" w:fill="auto"/>
            <w:noWrap/>
            <w:vAlign w:val="bottom"/>
            <w:hideMark/>
          </w:tcPr>
          <w:p w:rsidR="00D53A04" w:rsidRPr="00EB2995" w:rsidRDefault="00D53A04" w:rsidP="00D53A04">
            <w:pPr>
              <w:jc w:val="right"/>
              <w:rPr>
                <w:rFonts w:cs="Calibri"/>
                <w:color w:val="000000"/>
                <w:lang w:eastAsia="en-GB"/>
              </w:rPr>
            </w:pPr>
            <w:r w:rsidRPr="00EB2995">
              <w:rPr>
                <w:rFonts w:cs="Calibri"/>
                <w:color w:val="000000"/>
                <w:lang w:eastAsia="en-GB"/>
              </w:rPr>
              <w:t xml:space="preserve">1.4 </w:t>
            </w:r>
          </w:p>
        </w:tc>
        <w:tc>
          <w:tcPr>
            <w:tcW w:w="7040" w:type="dxa"/>
            <w:tcBorders>
              <w:top w:val="nil"/>
              <w:left w:val="nil"/>
              <w:bottom w:val="nil"/>
              <w:right w:val="nil"/>
            </w:tcBorders>
            <w:shd w:val="clear" w:color="auto" w:fill="auto"/>
            <w:vAlign w:val="bottom"/>
            <w:hideMark/>
          </w:tcPr>
          <w:p w:rsidR="00D53A04" w:rsidRPr="00EB2995" w:rsidRDefault="00D53A04" w:rsidP="00D53A04">
            <w:pPr>
              <w:rPr>
                <w:rFonts w:cs="Calibri"/>
                <w:lang w:eastAsia="en-GB"/>
              </w:rPr>
            </w:pPr>
            <w:r w:rsidRPr="00EB2995">
              <w:rPr>
                <w:rFonts w:cs="Calibri"/>
                <w:lang w:eastAsia="en-GB"/>
              </w:rPr>
              <w:t>Payment to capital receipts pool</w:t>
            </w:r>
          </w:p>
        </w:tc>
        <w:tc>
          <w:tcPr>
            <w:tcW w:w="1080" w:type="dxa"/>
            <w:tcBorders>
              <w:top w:val="nil"/>
              <w:left w:val="single" w:sz="4" w:space="0" w:color="auto"/>
              <w:bottom w:val="nil"/>
              <w:right w:val="single" w:sz="4" w:space="0" w:color="auto"/>
            </w:tcBorders>
            <w:shd w:val="clear" w:color="auto" w:fill="auto"/>
            <w:noWrap/>
            <w:vAlign w:val="bottom"/>
            <w:hideMark/>
          </w:tcPr>
          <w:p w:rsidR="00D53A04" w:rsidRPr="00EB2995" w:rsidRDefault="00D53A04" w:rsidP="00D53A04">
            <w:pPr>
              <w:jc w:val="right"/>
              <w:rPr>
                <w:rFonts w:cs="Calibri"/>
                <w:color w:val="000000"/>
                <w:lang w:eastAsia="en-GB"/>
              </w:rPr>
            </w:pPr>
            <w:r w:rsidRPr="00EB2995">
              <w:rPr>
                <w:rFonts w:cs="Calibri"/>
                <w:color w:val="000000"/>
                <w:lang w:eastAsia="en-GB"/>
              </w:rPr>
              <w:t xml:space="preserve">4.2 </w:t>
            </w:r>
          </w:p>
        </w:tc>
      </w:tr>
      <w:tr w:rsidR="00D53A04" w:rsidRPr="00EB2995" w:rsidTr="00D53A04">
        <w:trPr>
          <w:trHeight w:hRule="exact" w:val="397"/>
        </w:trPr>
        <w:tc>
          <w:tcPr>
            <w:tcW w:w="1080" w:type="dxa"/>
            <w:tcBorders>
              <w:top w:val="nil"/>
              <w:left w:val="single" w:sz="4" w:space="0" w:color="auto"/>
              <w:bottom w:val="nil"/>
              <w:right w:val="single" w:sz="4" w:space="0" w:color="auto"/>
            </w:tcBorders>
            <w:shd w:val="clear" w:color="auto" w:fill="auto"/>
            <w:noWrap/>
            <w:vAlign w:val="bottom"/>
            <w:hideMark/>
          </w:tcPr>
          <w:p w:rsidR="00D53A04" w:rsidRPr="00EB2995" w:rsidRDefault="00D53A04" w:rsidP="00D53A04">
            <w:pPr>
              <w:jc w:val="right"/>
              <w:rPr>
                <w:rFonts w:cs="Calibri"/>
                <w:color w:val="000000"/>
                <w:lang w:eastAsia="en-GB"/>
              </w:rPr>
            </w:pPr>
            <w:r w:rsidRPr="00EB2995">
              <w:rPr>
                <w:rFonts w:cs="Calibri"/>
                <w:color w:val="000000"/>
                <w:lang w:eastAsia="en-GB"/>
              </w:rPr>
              <w:t xml:space="preserve">(3.1) </w:t>
            </w:r>
          </w:p>
        </w:tc>
        <w:tc>
          <w:tcPr>
            <w:tcW w:w="7040" w:type="dxa"/>
            <w:tcBorders>
              <w:top w:val="nil"/>
              <w:left w:val="nil"/>
              <w:bottom w:val="nil"/>
              <w:right w:val="nil"/>
            </w:tcBorders>
            <w:shd w:val="clear" w:color="auto" w:fill="auto"/>
            <w:vAlign w:val="bottom"/>
            <w:hideMark/>
          </w:tcPr>
          <w:p w:rsidR="00D53A04" w:rsidRPr="00EB2995" w:rsidRDefault="00D53A04" w:rsidP="00D53A04">
            <w:pPr>
              <w:rPr>
                <w:rFonts w:cs="Calibri"/>
                <w:lang w:eastAsia="en-GB"/>
              </w:rPr>
            </w:pPr>
            <w:r w:rsidRPr="00EB2995">
              <w:rPr>
                <w:rFonts w:cs="Calibri"/>
                <w:lang w:eastAsia="en-GB"/>
              </w:rPr>
              <w:t>(Gain) or loss on sale of HRA non-current assets</w:t>
            </w:r>
          </w:p>
        </w:tc>
        <w:tc>
          <w:tcPr>
            <w:tcW w:w="1080" w:type="dxa"/>
            <w:tcBorders>
              <w:top w:val="nil"/>
              <w:left w:val="single" w:sz="4" w:space="0" w:color="auto"/>
              <w:bottom w:val="nil"/>
              <w:right w:val="single" w:sz="4" w:space="0" w:color="auto"/>
            </w:tcBorders>
            <w:shd w:val="clear" w:color="auto" w:fill="auto"/>
            <w:noWrap/>
            <w:vAlign w:val="bottom"/>
            <w:hideMark/>
          </w:tcPr>
          <w:p w:rsidR="00D53A04" w:rsidRPr="00EB2995" w:rsidRDefault="00D53A04" w:rsidP="00D53A04">
            <w:pPr>
              <w:jc w:val="right"/>
              <w:rPr>
                <w:rFonts w:cs="Calibri"/>
                <w:color w:val="000000"/>
                <w:lang w:eastAsia="en-GB"/>
              </w:rPr>
            </w:pPr>
            <w:r w:rsidRPr="00EB2995">
              <w:rPr>
                <w:rFonts w:cs="Calibri"/>
                <w:color w:val="000000"/>
                <w:lang w:eastAsia="en-GB"/>
              </w:rPr>
              <w:t xml:space="preserve">(3.8) </w:t>
            </w:r>
          </w:p>
        </w:tc>
      </w:tr>
      <w:tr w:rsidR="00D53A04" w:rsidRPr="00EB2995" w:rsidTr="00D53A04">
        <w:trPr>
          <w:trHeight w:hRule="exact" w:val="397"/>
        </w:trPr>
        <w:tc>
          <w:tcPr>
            <w:tcW w:w="1080" w:type="dxa"/>
            <w:tcBorders>
              <w:top w:val="nil"/>
              <w:left w:val="single" w:sz="4" w:space="0" w:color="auto"/>
              <w:bottom w:val="nil"/>
              <w:right w:val="single" w:sz="4" w:space="0" w:color="auto"/>
            </w:tcBorders>
            <w:shd w:val="clear" w:color="auto" w:fill="auto"/>
            <w:noWrap/>
            <w:vAlign w:val="bottom"/>
            <w:hideMark/>
          </w:tcPr>
          <w:p w:rsidR="00D53A04" w:rsidRPr="00EB2995" w:rsidRDefault="00D53A04" w:rsidP="00D53A04">
            <w:pPr>
              <w:jc w:val="right"/>
              <w:rPr>
                <w:rFonts w:cs="Calibri"/>
                <w:color w:val="000000"/>
                <w:lang w:eastAsia="en-GB"/>
              </w:rPr>
            </w:pPr>
            <w:r w:rsidRPr="00EB2995">
              <w:rPr>
                <w:rFonts w:cs="Calibri"/>
                <w:color w:val="000000"/>
                <w:lang w:eastAsia="en-GB"/>
              </w:rPr>
              <w:t xml:space="preserve">6.5 </w:t>
            </w:r>
          </w:p>
        </w:tc>
        <w:tc>
          <w:tcPr>
            <w:tcW w:w="7040" w:type="dxa"/>
            <w:tcBorders>
              <w:top w:val="nil"/>
              <w:left w:val="nil"/>
              <w:bottom w:val="nil"/>
              <w:right w:val="nil"/>
            </w:tcBorders>
            <w:shd w:val="clear" w:color="auto" w:fill="auto"/>
            <w:vAlign w:val="bottom"/>
            <w:hideMark/>
          </w:tcPr>
          <w:p w:rsidR="00D53A04" w:rsidRPr="00EB2995" w:rsidRDefault="00D53A04" w:rsidP="00D53A04">
            <w:pPr>
              <w:rPr>
                <w:rFonts w:cs="Calibri"/>
                <w:lang w:eastAsia="en-GB"/>
              </w:rPr>
            </w:pPr>
            <w:r w:rsidRPr="00EB2995">
              <w:rPr>
                <w:rFonts w:cs="Calibri"/>
                <w:lang w:eastAsia="en-GB"/>
              </w:rPr>
              <w:t>Interest payable and similar charges</w:t>
            </w:r>
          </w:p>
        </w:tc>
        <w:tc>
          <w:tcPr>
            <w:tcW w:w="1080" w:type="dxa"/>
            <w:tcBorders>
              <w:top w:val="nil"/>
              <w:left w:val="single" w:sz="4" w:space="0" w:color="auto"/>
              <w:bottom w:val="nil"/>
              <w:right w:val="single" w:sz="4" w:space="0" w:color="auto"/>
            </w:tcBorders>
            <w:shd w:val="clear" w:color="auto" w:fill="auto"/>
            <w:noWrap/>
            <w:vAlign w:val="bottom"/>
            <w:hideMark/>
          </w:tcPr>
          <w:p w:rsidR="00D53A04" w:rsidRPr="00EB2995" w:rsidRDefault="00D53A04" w:rsidP="00D53A04">
            <w:pPr>
              <w:jc w:val="right"/>
              <w:rPr>
                <w:rFonts w:cs="Calibri"/>
                <w:color w:val="000000"/>
                <w:lang w:eastAsia="en-GB"/>
              </w:rPr>
            </w:pPr>
            <w:r w:rsidRPr="00EB2995">
              <w:rPr>
                <w:rFonts w:cs="Calibri"/>
                <w:color w:val="000000"/>
                <w:lang w:eastAsia="en-GB"/>
              </w:rPr>
              <w:t xml:space="preserve">6.6 </w:t>
            </w:r>
          </w:p>
        </w:tc>
      </w:tr>
      <w:tr w:rsidR="00D53A04" w:rsidRPr="00EB2995" w:rsidTr="00D53A04">
        <w:trPr>
          <w:trHeight w:hRule="exact" w:val="397"/>
        </w:trPr>
        <w:tc>
          <w:tcPr>
            <w:tcW w:w="1080" w:type="dxa"/>
            <w:tcBorders>
              <w:top w:val="nil"/>
              <w:left w:val="single" w:sz="4" w:space="0" w:color="auto"/>
              <w:bottom w:val="nil"/>
              <w:right w:val="single" w:sz="4" w:space="0" w:color="auto"/>
            </w:tcBorders>
            <w:shd w:val="clear" w:color="auto" w:fill="auto"/>
            <w:noWrap/>
            <w:vAlign w:val="bottom"/>
            <w:hideMark/>
          </w:tcPr>
          <w:p w:rsidR="00D53A04" w:rsidRPr="00EB2995" w:rsidRDefault="00D53A04" w:rsidP="00D53A04">
            <w:pPr>
              <w:jc w:val="right"/>
              <w:rPr>
                <w:rFonts w:cs="Calibri"/>
                <w:color w:val="000000"/>
                <w:lang w:eastAsia="en-GB"/>
              </w:rPr>
            </w:pPr>
            <w:r w:rsidRPr="00EB2995">
              <w:rPr>
                <w:rFonts w:cs="Calibri"/>
                <w:color w:val="000000"/>
                <w:lang w:eastAsia="en-GB"/>
              </w:rPr>
              <w:lastRenderedPageBreak/>
              <w:t xml:space="preserve">0.1 </w:t>
            </w:r>
          </w:p>
        </w:tc>
        <w:tc>
          <w:tcPr>
            <w:tcW w:w="7040" w:type="dxa"/>
            <w:tcBorders>
              <w:top w:val="nil"/>
              <w:left w:val="nil"/>
              <w:bottom w:val="nil"/>
              <w:right w:val="nil"/>
            </w:tcBorders>
            <w:shd w:val="clear" w:color="auto" w:fill="auto"/>
            <w:vAlign w:val="bottom"/>
            <w:hideMark/>
          </w:tcPr>
          <w:p w:rsidR="00D53A04" w:rsidRPr="00EB2995" w:rsidRDefault="00D53A04" w:rsidP="00D53A04">
            <w:pPr>
              <w:rPr>
                <w:rFonts w:cs="Calibri"/>
                <w:lang w:eastAsia="en-GB"/>
              </w:rPr>
            </w:pPr>
            <w:r w:rsidRPr="00EB2995">
              <w:rPr>
                <w:rFonts w:cs="Calibri"/>
                <w:lang w:eastAsia="en-GB"/>
              </w:rPr>
              <w:t>Amortised payment and discount</w:t>
            </w:r>
          </w:p>
        </w:tc>
        <w:tc>
          <w:tcPr>
            <w:tcW w:w="1080" w:type="dxa"/>
            <w:tcBorders>
              <w:top w:val="nil"/>
              <w:left w:val="single" w:sz="4" w:space="0" w:color="auto"/>
              <w:bottom w:val="nil"/>
              <w:right w:val="single" w:sz="4" w:space="0" w:color="auto"/>
            </w:tcBorders>
            <w:shd w:val="clear" w:color="auto" w:fill="auto"/>
            <w:noWrap/>
            <w:vAlign w:val="bottom"/>
            <w:hideMark/>
          </w:tcPr>
          <w:p w:rsidR="00D53A04" w:rsidRPr="00EB2995" w:rsidRDefault="00D53A04" w:rsidP="00D53A04">
            <w:pPr>
              <w:jc w:val="right"/>
              <w:rPr>
                <w:rFonts w:cs="Calibri"/>
                <w:color w:val="000000"/>
                <w:lang w:eastAsia="en-GB"/>
              </w:rPr>
            </w:pPr>
            <w:r w:rsidRPr="00EB2995">
              <w:rPr>
                <w:rFonts w:cs="Calibri"/>
                <w:color w:val="000000"/>
                <w:lang w:eastAsia="en-GB"/>
              </w:rPr>
              <w:t xml:space="preserve">0.1 </w:t>
            </w:r>
          </w:p>
        </w:tc>
      </w:tr>
      <w:tr w:rsidR="00D53A04" w:rsidRPr="00EB2995" w:rsidTr="00D53A04">
        <w:trPr>
          <w:trHeight w:hRule="exact" w:val="397"/>
        </w:trPr>
        <w:tc>
          <w:tcPr>
            <w:tcW w:w="1080" w:type="dxa"/>
            <w:tcBorders>
              <w:top w:val="nil"/>
              <w:left w:val="single" w:sz="4" w:space="0" w:color="auto"/>
              <w:bottom w:val="nil"/>
              <w:right w:val="single" w:sz="4" w:space="0" w:color="auto"/>
            </w:tcBorders>
            <w:shd w:val="clear" w:color="auto" w:fill="auto"/>
            <w:noWrap/>
            <w:vAlign w:val="bottom"/>
            <w:hideMark/>
          </w:tcPr>
          <w:p w:rsidR="00D53A04" w:rsidRPr="00EB2995" w:rsidRDefault="00D53A04" w:rsidP="00D53A04">
            <w:pPr>
              <w:jc w:val="right"/>
              <w:rPr>
                <w:rFonts w:cs="Calibri"/>
                <w:color w:val="000000"/>
                <w:lang w:eastAsia="en-GB"/>
              </w:rPr>
            </w:pPr>
            <w:r w:rsidRPr="00EB2995">
              <w:rPr>
                <w:rFonts w:cs="Calibri"/>
                <w:color w:val="000000"/>
                <w:lang w:eastAsia="en-GB"/>
              </w:rPr>
              <w:t xml:space="preserve">(0.1) </w:t>
            </w:r>
          </w:p>
        </w:tc>
        <w:tc>
          <w:tcPr>
            <w:tcW w:w="7040" w:type="dxa"/>
            <w:tcBorders>
              <w:top w:val="nil"/>
              <w:left w:val="nil"/>
              <w:bottom w:val="nil"/>
              <w:right w:val="nil"/>
            </w:tcBorders>
            <w:shd w:val="clear" w:color="auto" w:fill="auto"/>
            <w:vAlign w:val="bottom"/>
            <w:hideMark/>
          </w:tcPr>
          <w:p w:rsidR="00D53A04" w:rsidRPr="00EB2995" w:rsidRDefault="00D53A04" w:rsidP="00D53A04">
            <w:pPr>
              <w:rPr>
                <w:rFonts w:cs="Calibri"/>
                <w:lang w:eastAsia="en-GB"/>
              </w:rPr>
            </w:pPr>
            <w:r w:rsidRPr="00EB2995">
              <w:rPr>
                <w:rFonts w:cs="Calibri"/>
                <w:lang w:eastAsia="en-GB"/>
              </w:rPr>
              <w:t>Interest and investment income</w:t>
            </w:r>
          </w:p>
        </w:tc>
        <w:tc>
          <w:tcPr>
            <w:tcW w:w="1080" w:type="dxa"/>
            <w:tcBorders>
              <w:top w:val="nil"/>
              <w:left w:val="single" w:sz="4" w:space="0" w:color="auto"/>
              <w:bottom w:val="nil"/>
              <w:right w:val="single" w:sz="4" w:space="0" w:color="auto"/>
            </w:tcBorders>
            <w:shd w:val="clear" w:color="auto" w:fill="auto"/>
            <w:noWrap/>
            <w:vAlign w:val="bottom"/>
            <w:hideMark/>
          </w:tcPr>
          <w:p w:rsidR="00D53A04" w:rsidRPr="00EB2995" w:rsidRDefault="00D53A04" w:rsidP="00D53A04">
            <w:pPr>
              <w:jc w:val="right"/>
              <w:rPr>
                <w:rFonts w:cs="Calibri"/>
                <w:color w:val="000000"/>
                <w:lang w:eastAsia="en-GB"/>
              </w:rPr>
            </w:pPr>
            <w:r w:rsidRPr="00EB2995">
              <w:rPr>
                <w:rFonts w:cs="Calibri"/>
                <w:color w:val="000000"/>
                <w:lang w:eastAsia="en-GB"/>
              </w:rPr>
              <w:t xml:space="preserve">(0.1) </w:t>
            </w:r>
          </w:p>
        </w:tc>
      </w:tr>
      <w:tr w:rsidR="00D53A04" w:rsidRPr="00EB2995" w:rsidTr="00D53A04">
        <w:trPr>
          <w:trHeight w:hRule="exact" w:val="397"/>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3A04" w:rsidRPr="00EB2995" w:rsidRDefault="00D53A04" w:rsidP="00D53A04">
            <w:pPr>
              <w:jc w:val="right"/>
              <w:rPr>
                <w:rFonts w:cs="Calibri"/>
                <w:b/>
                <w:bCs/>
                <w:color w:val="000000"/>
                <w:lang w:eastAsia="en-GB"/>
              </w:rPr>
            </w:pPr>
            <w:r w:rsidRPr="00EB2995">
              <w:rPr>
                <w:rFonts w:cs="Calibri"/>
                <w:b/>
                <w:bCs/>
                <w:color w:val="000000"/>
                <w:lang w:eastAsia="en-GB"/>
              </w:rPr>
              <w:t xml:space="preserve">21.9 </w:t>
            </w:r>
          </w:p>
        </w:tc>
        <w:tc>
          <w:tcPr>
            <w:tcW w:w="7040" w:type="dxa"/>
            <w:tcBorders>
              <w:top w:val="nil"/>
              <w:left w:val="nil"/>
              <w:bottom w:val="nil"/>
              <w:right w:val="nil"/>
            </w:tcBorders>
            <w:shd w:val="clear" w:color="auto" w:fill="auto"/>
            <w:vAlign w:val="bottom"/>
            <w:hideMark/>
          </w:tcPr>
          <w:p w:rsidR="00D53A04" w:rsidRPr="00EB2995" w:rsidRDefault="00D53A04" w:rsidP="00D53A04">
            <w:pPr>
              <w:rPr>
                <w:rFonts w:cs="Calibri"/>
                <w:b/>
                <w:bCs/>
                <w:lang w:eastAsia="en-GB"/>
              </w:rPr>
            </w:pPr>
            <w:r w:rsidRPr="00EB2995">
              <w:rPr>
                <w:rFonts w:cs="Calibri"/>
                <w:b/>
                <w:bCs/>
                <w:lang w:eastAsia="en-GB"/>
              </w:rPr>
              <w:t>(Surplus) or Deficit for the Year on HRA Services</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3A04" w:rsidRPr="00EB2995" w:rsidRDefault="00D53A04" w:rsidP="00D53A04">
            <w:pPr>
              <w:jc w:val="right"/>
              <w:rPr>
                <w:rFonts w:cs="Calibri"/>
                <w:b/>
                <w:bCs/>
                <w:color w:val="000000"/>
                <w:lang w:eastAsia="en-GB"/>
              </w:rPr>
            </w:pPr>
            <w:r>
              <w:rPr>
                <w:rFonts w:cs="Calibri"/>
                <w:b/>
                <w:bCs/>
                <w:color w:val="000000"/>
                <w:lang w:eastAsia="en-GB"/>
              </w:rPr>
              <w:t>10.4</w:t>
            </w:r>
            <w:r w:rsidRPr="00EB2995">
              <w:rPr>
                <w:rFonts w:cs="Calibri"/>
                <w:b/>
                <w:bCs/>
                <w:color w:val="000000"/>
                <w:lang w:eastAsia="en-GB"/>
              </w:rPr>
              <w:t xml:space="preserve"> </w:t>
            </w:r>
          </w:p>
        </w:tc>
      </w:tr>
    </w:tbl>
    <w:p w:rsidR="00F72906" w:rsidRDefault="00F72906" w:rsidP="00F72906"/>
    <w:tbl>
      <w:tblPr>
        <w:tblW w:w="9200" w:type="dxa"/>
        <w:tblLook w:val="04A0" w:firstRow="1" w:lastRow="0" w:firstColumn="1" w:lastColumn="0" w:noHBand="0" w:noVBand="1"/>
      </w:tblPr>
      <w:tblGrid>
        <w:gridCol w:w="1080"/>
        <w:gridCol w:w="7040"/>
        <w:gridCol w:w="1080"/>
      </w:tblGrid>
      <w:tr w:rsidR="00D53A04" w:rsidRPr="00EB2995" w:rsidTr="00D53A04">
        <w:trPr>
          <w:trHeight w:val="402"/>
        </w:trPr>
        <w:tc>
          <w:tcPr>
            <w:tcW w:w="1080" w:type="dxa"/>
            <w:tcBorders>
              <w:top w:val="nil"/>
              <w:left w:val="nil"/>
              <w:bottom w:val="nil"/>
              <w:right w:val="nil"/>
            </w:tcBorders>
            <w:shd w:val="clear" w:color="auto" w:fill="auto"/>
            <w:vAlign w:val="bottom"/>
            <w:hideMark/>
          </w:tcPr>
          <w:p w:rsidR="00D53A04" w:rsidRPr="00EB2995" w:rsidRDefault="00D53A04" w:rsidP="00D53A04">
            <w:pPr>
              <w:jc w:val="center"/>
              <w:rPr>
                <w:rFonts w:cs="Calibri"/>
                <w:b/>
                <w:bCs/>
                <w:color w:val="000000"/>
                <w:lang w:eastAsia="en-GB"/>
              </w:rPr>
            </w:pPr>
            <w:r w:rsidRPr="00EB2995">
              <w:rPr>
                <w:rFonts w:cs="Calibri"/>
                <w:b/>
                <w:bCs/>
                <w:color w:val="000000"/>
                <w:lang w:eastAsia="en-GB"/>
              </w:rPr>
              <w:t>2018/19</w:t>
            </w:r>
          </w:p>
        </w:tc>
        <w:tc>
          <w:tcPr>
            <w:tcW w:w="7040" w:type="dxa"/>
            <w:tcBorders>
              <w:top w:val="nil"/>
              <w:left w:val="nil"/>
              <w:bottom w:val="nil"/>
              <w:right w:val="nil"/>
            </w:tcBorders>
            <w:shd w:val="clear" w:color="auto" w:fill="auto"/>
            <w:noWrap/>
            <w:vAlign w:val="bottom"/>
            <w:hideMark/>
          </w:tcPr>
          <w:p w:rsidR="00D53A04" w:rsidRPr="00EB2995" w:rsidRDefault="00D53A04" w:rsidP="00D53A04">
            <w:pPr>
              <w:rPr>
                <w:rFonts w:cs="Calibri"/>
                <w:b/>
                <w:bCs/>
                <w:color w:val="000000"/>
                <w:lang w:eastAsia="en-GB"/>
              </w:rPr>
            </w:pPr>
            <w:r w:rsidRPr="00EB2995">
              <w:rPr>
                <w:rFonts w:cs="Calibri"/>
                <w:b/>
                <w:bCs/>
                <w:color w:val="000000"/>
                <w:lang w:eastAsia="en-GB"/>
              </w:rPr>
              <w:t xml:space="preserve"> Movement on the HRA Statement</w:t>
            </w:r>
          </w:p>
        </w:tc>
        <w:tc>
          <w:tcPr>
            <w:tcW w:w="1080" w:type="dxa"/>
            <w:tcBorders>
              <w:top w:val="nil"/>
              <w:left w:val="nil"/>
              <w:bottom w:val="nil"/>
              <w:right w:val="nil"/>
            </w:tcBorders>
            <w:shd w:val="clear" w:color="auto" w:fill="auto"/>
            <w:vAlign w:val="bottom"/>
            <w:hideMark/>
          </w:tcPr>
          <w:p w:rsidR="00D53A04" w:rsidRPr="00EB2995" w:rsidRDefault="00D53A04" w:rsidP="00D53A04">
            <w:pPr>
              <w:jc w:val="center"/>
              <w:rPr>
                <w:rFonts w:cs="Calibri"/>
                <w:b/>
                <w:bCs/>
                <w:color w:val="000000"/>
                <w:lang w:eastAsia="en-GB"/>
              </w:rPr>
            </w:pPr>
            <w:r w:rsidRPr="00EB2995">
              <w:rPr>
                <w:rFonts w:cs="Calibri"/>
                <w:b/>
                <w:bCs/>
                <w:color w:val="000000"/>
                <w:lang w:eastAsia="en-GB"/>
              </w:rPr>
              <w:t>2019/20</w:t>
            </w:r>
          </w:p>
        </w:tc>
      </w:tr>
      <w:tr w:rsidR="00D53A04" w:rsidRPr="00EB2995" w:rsidTr="00D53A04">
        <w:trPr>
          <w:trHeight w:val="402"/>
        </w:trPr>
        <w:tc>
          <w:tcPr>
            <w:tcW w:w="1080" w:type="dxa"/>
            <w:tcBorders>
              <w:top w:val="nil"/>
              <w:left w:val="nil"/>
              <w:bottom w:val="nil"/>
              <w:right w:val="nil"/>
            </w:tcBorders>
            <w:shd w:val="clear" w:color="auto" w:fill="auto"/>
            <w:noWrap/>
            <w:vAlign w:val="bottom"/>
            <w:hideMark/>
          </w:tcPr>
          <w:p w:rsidR="00D53A04" w:rsidRPr="00EB2995" w:rsidRDefault="00D53A04" w:rsidP="00D53A04">
            <w:pPr>
              <w:jc w:val="center"/>
              <w:rPr>
                <w:rFonts w:cs="Calibri"/>
                <w:b/>
                <w:bCs/>
                <w:color w:val="000000"/>
                <w:lang w:eastAsia="en-GB"/>
              </w:rPr>
            </w:pPr>
            <w:r w:rsidRPr="00EB2995">
              <w:rPr>
                <w:rFonts w:cs="Calibri"/>
                <w:b/>
                <w:bCs/>
                <w:color w:val="000000"/>
                <w:lang w:eastAsia="en-GB"/>
              </w:rPr>
              <w:t>£m</w:t>
            </w:r>
          </w:p>
        </w:tc>
        <w:tc>
          <w:tcPr>
            <w:tcW w:w="7040" w:type="dxa"/>
            <w:tcBorders>
              <w:top w:val="nil"/>
              <w:left w:val="nil"/>
              <w:bottom w:val="nil"/>
              <w:right w:val="nil"/>
            </w:tcBorders>
            <w:shd w:val="clear" w:color="auto" w:fill="auto"/>
            <w:noWrap/>
            <w:vAlign w:val="bottom"/>
            <w:hideMark/>
          </w:tcPr>
          <w:p w:rsidR="00D53A04" w:rsidRPr="00EB2995" w:rsidRDefault="00D53A04" w:rsidP="00D53A04">
            <w:pPr>
              <w:jc w:val="center"/>
              <w:rPr>
                <w:rFonts w:cs="Calibri"/>
                <w:b/>
                <w:bCs/>
                <w:color w:val="000000"/>
                <w:lang w:eastAsia="en-GB"/>
              </w:rPr>
            </w:pPr>
          </w:p>
        </w:tc>
        <w:tc>
          <w:tcPr>
            <w:tcW w:w="1080" w:type="dxa"/>
            <w:tcBorders>
              <w:top w:val="nil"/>
              <w:left w:val="nil"/>
              <w:bottom w:val="nil"/>
              <w:right w:val="nil"/>
            </w:tcBorders>
            <w:shd w:val="clear" w:color="auto" w:fill="auto"/>
            <w:noWrap/>
            <w:vAlign w:val="bottom"/>
            <w:hideMark/>
          </w:tcPr>
          <w:p w:rsidR="00D53A04" w:rsidRPr="00EB2995" w:rsidRDefault="00D53A04" w:rsidP="00D53A04">
            <w:pPr>
              <w:jc w:val="center"/>
              <w:rPr>
                <w:rFonts w:cs="Calibri"/>
                <w:b/>
                <w:bCs/>
                <w:color w:val="000000"/>
                <w:lang w:eastAsia="en-GB"/>
              </w:rPr>
            </w:pPr>
            <w:r w:rsidRPr="00EB2995">
              <w:rPr>
                <w:rFonts w:cs="Calibri"/>
                <w:b/>
                <w:bCs/>
                <w:color w:val="000000"/>
                <w:lang w:eastAsia="en-GB"/>
              </w:rPr>
              <w:t>£m</w:t>
            </w:r>
          </w:p>
        </w:tc>
      </w:tr>
      <w:tr w:rsidR="00D53A04" w:rsidRPr="00EB2995" w:rsidTr="00D53A04">
        <w:trPr>
          <w:trHeight w:val="402"/>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3A04" w:rsidRPr="00EB2995" w:rsidRDefault="00D53A04" w:rsidP="00D53A04">
            <w:pPr>
              <w:jc w:val="right"/>
              <w:rPr>
                <w:rFonts w:cs="Calibri"/>
                <w:color w:val="000000"/>
                <w:lang w:eastAsia="en-GB"/>
              </w:rPr>
            </w:pPr>
            <w:r w:rsidRPr="00EB2995">
              <w:rPr>
                <w:rFonts w:cs="Calibri"/>
                <w:color w:val="000000"/>
                <w:lang w:eastAsia="en-GB"/>
              </w:rPr>
              <w:t xml:space="preserve">(3.7) </w:t>
            </w:r>
          </w:p>
        </w:tc>
        <w:tc>
          <w:tcPr>
            <w:tcW w:w="7040" w:type="dxa"/>
            <w:tcBorders>
              <w:top w:val="nil"/>
              <w:left w:val="nil"/>
              <w:bottom w:val="nil"/>
              <w:right w:val="nil"/>
            </w:tcBorders>
            <w:shd w:val="clear" w:color="auto" w:fill="auto"/>
            <w:noWrap/>
            <w:vAlign w:val="bottom"/>
            <w:hideMark/>
          </w:tcPr>
          <w:p w:rsidR="00D53A04" w:rsidRPr="00EB2995" w:rsidRDefault="00D53A04" w:rsidP="00D53A04">
            <w:pPr>
              <w:rPr>
                <w:rFonts w:cs="Calibri"/>
                <w:b/>
                <w:bCs/>
                <w:color w:val="000000"/>
                <w:lang w:eastAsia="en-GB"/>
              </w:rPr>
            </w:pPr>
            <w:r w:rsidRPr="00EB2995">
              <w:rPr>
                <w:rFonts w:cs="Calibri"/>
                <w:b/>
                <w:bCs/>
                <w:color w:val="000000"/>
                <w:lang w:eastAsia="en-GB"/>
              </w:rPr>
              <w:t>Housing Revenue Account balance brought forward</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3A04" w:rsidRPr="00EB2995" w:rsidRDefault="00D53A04" w:rsidP="00D53A04">
            <w:pPr>
              <w:jc w:val="right"/>
              <w:rPr>
                <w:rFonts w:cs="Calibri"/>
                <w:color w:val="000000"/>
                <w:lang w:eastAsia="en-GB"/>
              </w:rPr>
            </w:pPr>
            <w:r w:rsidRPr="00EB2995">
              <w:rPr>
                <w:rFonts w:cs="Calibri"/>
                <w:color w:val="000000"/>
                <w:lang w:eastAsia="en-GB"/>
              </w:rPr>
              <w:t>(1.4)</w:t>
            </w:r>
          </w:p>
        </w:tc>
      </w:tr>
      <w:tr w:rsidR="00D53A04" w:rsidRPr="00EB2995" w:rsidTr="00D53A04">
        <w:trPr>
          <w:trHeight w:val="402"/>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D53A04" w:rsidRPr="00EB2995" w:rsidRDefault="00D53A04" w:rsidP="00D53A04">
            <w:pPr>
              <w:jc w:val="right"/>
              <w:rPr>
                <w:rFonts w:cs="Calibri"/>
                <w:color w:val="000000"/>
                <w:lang w:eastAsia="en-GB"/>
              </w:rPr>
            </w:pPr>
            <w:r w:rsidRPr="00EB2995">
              <w:rPr>
                <w:rFonts w:cs="Calibri"/>
                <w:color w:val="000000"/>
                <w:lang w:eastAsia="en-GB"/>
              </w:rPr>
              <w:t xml:space="preserve">21.9 </w:t>
            </w:r>
          </w:p>
        </w:tc>
        <w:tc>
          <w:tcPr>
            <w:tcW w:w="7040" w:type="dxa"/>
            <w:tcBorders>
              <w:top w:val="nil"/>
              <w:left w:val="nil"/>
              <w:bottom w:val="nil"/>
              <w:right w:val="nil"/>
            </w:tcBorders>
            <w:shd w:val="clear" w:color="auto" w:fill="auto"/>
            <w:noWrap/>
            <w:vAlign w:val="bottom"/>
            <w:hideMark/>
          </w:tcPr>
          <w:p w:rsidR="00D53A04" w:rsidRPr="00EB2995" w:rsidRDefault="00D53A04" w:rsidP="00D53A04">
            <w:pPr>
              <w:rPr>
                <w:rFonts w:cs="Calibri"/>
                <w:color w:val="000000"/>
                <w:lang w:eastAsia="en-GB"/>
              </w:rPr>
            </w:pPr>
            <w:r w:rsidRPr="00EB2995">
              <w:rPr>
                <w:rFonts w:cs="Calibri"/>
                <w:color w:val="000000"/>
                <w:lang w:eastAsia="en-GB"/>
              </w:rPr>
              <w:t>(Surplus) or deficit on the provision of services</w:t>
            </w:r>
          </w:p>
        </w:tc>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D53A04" w:rsidRPr="00EB2995" w:rsidRDefault="00D53A04" w:rsidP="00D53A04">
            <w:pPr>
              <w:jc w:val="right"/>
              <w:rPr>
                <w:rFonts w:cs="Calibri"/>
                <w:color w:val="000000"/>
                <w:lang w:eastAsia="en-GB"/>
              </w:rPr>
            </w:pPr>
            <w:r>
              <w:rPr>
                <w:rFonts w:cs="Calibri"/>
                <w:color w:val="000000"/>
                <w:lang w:eastAsia="en-GB"/>
              </w:rPr>
              <w:t>10.4</w:t>
            </w:r>
            <w:r w:rsidRPr="00EB2995">
              <w:rPr>
                <w:rFonts w:cs="Calibri"/>
                <w:color w:val="000000"/>
                <w:lang w:eastAsia="en-GB"/>
              </w:rPr>
              <w:t xml:space="preserve"> </w:t>
            </w:r>
          </w:p>
        </w:tc>
      </w:tr>
      <w:tr w:rsidR="00D53A04" w:rsidRPr="00EB2995" w:rsidTr="00D53A04">
        <w:trPr>
          <w:trHeight w:val="402"/>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D53A04" w:rsidRPr="00EB2995" w:rsidRDefault="00D53A04" w:rsidP="00D53A04">
            <w:pPr>
              <w:jc w:val="right"/>
              <w:rPr>
                <w:rFonts w:cs="Calibri"/>
                <w:color w:val="000000"/>
                <w:lang w:eastAsia="en-GB"/>
              </w:rPr>
            </w:pPr>
            <w:r w:rsidRPr="00EB2995">
              <w:rPr>
                <w:rFonts w:cs="Calibri"/>
                <w:color w:val="000000"/>
                <w:lang w:eastAsia="en-GB"/>
              </w:rPr>
              <w:t xml:space="preserve">(19.6) </w:t>
            </w:r>
          </w:p>
        </w:tc>
        <w:tc>
          <w:tcPr>
            <w:tcW w:w="7040" w:type="dxa"/>
            <w:tcBorders>
              <w:top w:val="nil"/>
              <w:left w:val="nil"/>
              <w:bottom w:val="nil"/>
              <w:right w:val="nil"/>
            </w:tcBorders>
            <w:shd w:val="clear" w:color="auto" w:fill="auto"/>
            <w:noWrap/>
            <w:vAlign w:val="bottom"/>
            <w:hideMark/>
          </w:tcPr>
          <w:p w:rsidR="00D53A04" w:rsidRPr="00EB2995" w:rsidRDefault="00D53A04" w:rsidP="00D53A04">
            <w:pPr>
              <w:rPr>
                <w:rFonts w:cs="Calibri"/>
                <w:color w:val="000000"/>
                <w:lang w:eastAsia="en-GB"/>
              </w:rPr>
            </w:pPr>
            <w:r w:rsidRPr="00EB2995">
              <w:rPr>
                <w:rFonts w:cs="Calibri"/>
                <w:color w:val="000000"/>
                <w:lang w:eastAsia="en-GB"/>
              </w:rPr>
              <w:t>Adjustment between accounting basis and funding basis under regulations</w:t>
            </w:r>
          </w:p>
        </w:tc>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D53A04" w:rsidRPr="00EB2995" w:rsidRDefault="00D53A04" w:rsidP="00D53A04">
            <w:pPr>
              <w:jc w:val="right"/>
              <w:rPr>
                <w:rFonts w:cs="Calibri"/>
                <w:color w:val="000000"/>
                <w:lang w:eastAsia="en-GB"/>
              </w:rPr>
            </w:pPr>
            <w:r>
              <w:rPr>
                <w:rFonts w:cs="Calibri"/>
                <w:color w:val="000000"/>
                <w:lang w:eastAsia="en-GB"/>
              </w:rPr>
              <w:t>(13.1</w:t>
            </w:r>
            <w:r w:rsidRPr="00EB2995">
              <w:rPr>
                <w:rFonts w:cs="Calibri"/>
                <w:color w:val="000000"/>
                <w:lang w:eastAsia="en-GB"/>
              </w:rPr>
              <w:t xml:space="preserve">) </w:t>
            </w:r>
          </w:p>
        </w:tc>
      </w:tr>
      <w:tr w:rsidR="00D53A04" w:rsidRPr="00EB2995" w:rsidTr="00D53A04">
        <w:trPr>
          <w:trHeight w:val="402"/>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D53A04" w:rsidRPr="00EB2995" w:rsidRDefault="00D53A04" w:rsidP="00D53A04">
            <w:pPr>
              <w:jc w:val="right"/>
              <w:rPr>
                <w:rFonts w:cs="Calibri"/>
                <w:b/>
                <w:bCs/>
                <w:color w:val="000000"/>
                <w:lang w:eastAsia="en-GB"/>
              </w:rPr>
            </w:pPr>
            <w:r w:rsidRPr="00EB2995">
              <w:rPr>
                <w:rFonts w:cs="Calibri"/>
                <w:b/>
                <w:bCs/>
                <w:color w:val="000000"/>
                <w:lang w:eastAsia="en-GB"/>
              </w:rPr>
              <w:t xml:space="preserve">2.3 </w:t>
            </w:r>
          </w:p>
        </w:tc>
        <w:tc>
          <w:tcPr>
            <w:tcW w:w="7040" w:type="dxa"/>
            <w:tcBorders>
              <w:top w:val="nil"/>
              <w:left w:val="nil"/>
              <w:bottom w:val="nil"/>
              <w:right w:val="nil"/>
            </w:tcBorders>
            <w:shd w:val="clear" w:color="auto" w:fill="auto"/>
            <w:noWrap/>
            <w:vAlign w:val="bottom"/>
            <w:hideMark/>
          </w:tcPr>
          <w:p w:rsidR="00D53A04" w:rsidRPr="00EB2995" w:rsidRDefault="00D53A04" w:rsidP="00D53A04">
            <w:pPr>
              <w:rPr>
                <w:rFonts w:cs="Calibri"/>
                <w:b/>
                <w:bCs/>
                <w:color w:val="000000"/>
                <w:lang w:eastAsia="en-GB"/>
              </w:rPr>
            </w:pPr>
            <w:r w:rsidRPr="00EB2995">
              <w:rPr>
                <w:rFonts w:cs="Calibri"/>
                <w:b/>
                <w:bCs/>
                <w:color w:val="000000"/>
                <w:lang w:eastAsia="en-GB"/>
              </w:rPr>
              <w:t>Net (increase) or decrease before transfers to or from reserves</w:t>
            </w:r>
          </w:p>
        </w:tc>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D53A04" w:rsidRPr="00EB2995" w:rsidRDefault="00D53A04" w:rsidP="00D53A04">
            <w:pPr>
              <w:jc w:val="right"/>
              <w:rPr>
                <w:rFonts w:cs="Calibri"/>
                <w:b/>
                <w:bCs/>
                <w:color w:val="000000"/>
                <w:lang w:eastAsia="en-GB"/>
              </w:rPr>
            </w:pPr>
            <w:r w:rsidRPr="00EB2995">
              <w:rPr>
                <w:rFonts w:cs="Calibri"/>
                <w:b/>
                <w:bCs/>
                <w:color w:val="000000"/>
                <w:lang w:eastAsia="en-GB"/>
              </w:rPr>
              <w:t xml:space="preserve">(2.7) </w:t>
            </w:r>
          </w:p>
        </w:tc>
      </w:tr>
      <w:tr w:rsidR="00D53A04" w:rsidRPr="00EB2995" w:rsidTr="00D53A04">
        <w:trPr>
          <w:trHeight w:val="402"/>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D53A04" w:rsidRPr="00EB2995" w:rsidRDefault="00D53A04" w:rsidP="00D53A04">
            <w:pPr>
              <w:jc w:val="right"/>
              <w:rPr>
                <w:rFonts w:cs="Calibri"/>
                <w:color w:val="000000"/>
                <w:lang w:eastAsia="en-GB"/>
              </w:rPr>
            </w:pPr>
            <w:r w:rsidRPr="00EB2995">
              <w:rPr>
                <w:rFonts w:cs="Calibri"/>
                <w:color w:val="000000"/>
                <w:lang w:eastAsia="en-GB"/>
              </w:rPr>
              <w:t xml:space="preserve">0.0 </w:t>
            </w:r>
          </w:p>
        </w:tc>
        <w:tc>
          <w:tcPr>
            <w:tcW w:w="7040" w:type="dxa"/>
            <w:tcBorders>
              <w:top w:val="nil"/>
              <w:left w:val="nil"/>
              <w:bottom w:val="nil"/>
              <w:right w:val="nil"/>
            </w:tcBorders>
            <w:shd w:val="clear" w:color="auto" w:fill="auto"/>
            <w:noWrap/>
            <w:vAlign w:val="bottom"/>
            <w:hideMark/>
          </w:tcPr>
          <w:p w:rsidR="00D53A04" w:rsidRPr="00EB2995" w:rsidRDefault="00D53A04" w:rsidP="00D53A04">
            <w:pPr>
              <w:rPr>
                <w:rFonts w:cs="Calibri"/>
                <w:color w:val="000000"/>
                <w:lang w:eastAsia="en-GB"/>
              </w:rPr>
            </w:pPr>
            <w:r w:rsidRPr="00EB2995">
              <w:rPr>
                <w:rFonts w:cs="Calibri"/>
                <w:color w:val="000000"/>
                <w:lang w:eastAsia="en-GB"/>
              </w:rPr>
              <w:t>Transfers to/(from) Earmarked Reserves</w:t>
            </w:r>
          </w:p>
        </w:tc>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D53A04" w:rsidRPr="00EB2995" w:rsidRDefault="00D53A04" w:rsidP="00D53A04">
            <w:pPr>
              <w:jc w:val="right"/>
              <w:rPr>
                <w:rFonts w:cs="Calibri"/>
                <w:color w:val="000000"/>
                <w:lang w:eastAsia="en-GB"/>
              </w:rPr>
            </w:pPr>
            <w:r w:rsidRPr="00EB2995">
              <w:rPr>
                <w:rFonts w:cs="Calibri"/>
                <w:color w:val="000000"/>
                <w:lang w:eastAsia="en-GB"/>
              </w:rPr>
              <w:t xml:space="preserve">2.7 </w:t>
            </w:r>
          </w:p>
        </w:tc>
      </w:tr>
      <w:tr w:rsidR="00D53A04" w:rsidRPr="00EB2995" w:rsidTr="00D53A04">
        <w:trPr>
          <w:trHeight w:val="402"/>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D53A04" w:rsidRPr="00EB2995" w:rsidRDefault="00D53A04" w:rsidP="00D53A04">
            <w:pPr>
              <w:jc w:val="right"/>
              <w:rPr>
                <w:rFonts w:cs="Calibri"/>
                <w:b/>
                <w:bCs/>
                <w:color w:val="000000"/>
                <w:lang w:eastAsia="en-GB"/>
              </w:rPr>
            </w:pPr>
            <w:r w:rsidRPr="00EB2995">
              <w:rPr>
                <w:rFonts w:cs="Calibri"/>
                <w:b/>
                <w:bCs/>
                <w:color w:val="000000"/>
                <w:lang w:eastAsia="en-GB"/>
              </w:rPr>
              <w:t xml:space="preserve">2.3 </w:t>
            </w:r>
          </w:p>
        </w:tc>
        <w:tc>
          <w:tcPr>
            <w:tcW w:w="7040" w:type="dxa"/>
            <w:tcBorders>
              <w:top w:val="nil"/>
              <w:left w:val="nil"/>
              <w:bottom w:val="nil"/>
              <w:right w:val="nil"/>
            </w:tcBorders>
            <w:shd w:val="clear" w:color="auto" w:fill="auto"/>
            <w:noWrap/>
            <w:vAlign w:val="bottom"/>
            <w:hideMark/>
          </w:tcPr>
          <w:p w:rsidR="00D53A04" w:rsidRPr="00EB2995" w:rsidRDefault="00D53A04" w:rsidP="00D53A04">
            <w:pPr>
              <w:rPr>
                <w:rFonts w:cs="Calibri"/>
                <w:b/>
                <w:bCs/>
                <w:color w:val="000000"/>
                <w:lang w:eastAsia="en-GB"/>
              </w:rPr>
            </w:pPr>
            <w:r w:rsidRPr="00EB2995">
              <w:rPr>
                <w:rFonts w:cs="Calibri"/>
                <w:b/>
                <w:bCs/>
                <w:color w:val="000000"/>
                <w:lang w:eastAsia="en-GB"/>
              </w:rPr>
              <w:t>(Increase) or decrease in year on the HRA</w:t>
            </w:r>
          </w:p>
        </w:tc>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D53A04" w:rsidRPr="00EB2995" w:rsidRDefault="00D53A04" w:rsidP="00D53A04">
            <w:pPr>
              <w:jc w:val="right"/>
              <w:rPr>
                <w:rFonts w:cs="Calibri"/>
                <w:b/>
                <w:bCs/>
                <w:color w:val="000000"/>
                <w:lang w:eastAsia="en-GB"/>
              </w:rPr>
            </w:pPr>
            <w:r w:rsidRPr="00EB2995">
              <w:rPr>
                <w:rFonts w:cs="Calibri"/>
                <w:b/>
                <w:bCs/>
                <w:color w:val="000000"/>
                <w:lang w:eastAsia="en-GB"/>
              </w:rPr>
              <w:t xml:space="preserve">0.0 </w:t>
            </w:r>
          </w:p>
        </w:tc>
      </w:tr>
      <w:tr w:rsidR="00D53A04" w:rsidRPr="00EB2995" w:rsidTr="00D53A04">
        <w:trPr>
          <w:trHeight w:val="402"/>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D53A04" w:rsidRPr="00EB2995" w:rsidRDefault="00D53A04" w:rsidP="00D53A04">
            <w:pPr>
              <w:jc w:val="right"/>
              <w:rPr>
                <w:rFonts w:cs="Calibri"/>
                <w:b/>
                <w:bCs/>
                <w:color w:val="000000"/>
                <w:lang w:eastAsia="en-GB"/>
              </w:rPr>
            </w:pPr>
            <w:r w:rsidRPr="00EB2995">
              <w:rPr>
                <w:rFonts w:cs="Calibri"/>
                <w:b/>
                <w:bCs/>
                <w:color w:val="000000"/>
                <w:lang w:eastAsia="en-GB"/>
              </w:rPr>
              <w:t xml:space="preserve">(1.4) </w:t>
            </w:r>
          </w:p>
        </w:tc>
        <w:tc>
          <w:tcPr>
            <w:tcW w:w="7040" w:type="dxa"/>
            <w:tcBorders>
              <w:top w:val="nil"/>
              <w:left w:val="nil"/>
              <w:bottom w:val="nil"/>
              <w:right w:val="nil"/>
            </w:tcBorders>
            <w:shd w:val="clear" w:color="auto" w:fill="auto"/>
            <w:noWrap/>
            <w:vAlign w:val="bottom"/>
            <w:hideMark/>
          </w:tcPr>
          <w:p w:rsidR="00D53A04" w:rsidRPr="00EB2995" w:rsidRDefault="00D53A04" w:rsidP="00D53A04">
            <w:pPr>
              <w:rPr>
                <w:rFonts w:cs="Calibri"/>
                <w:b/>
                <w:bCs/>
                <w:color w:val="000000"/>
                <w:lang w:eastAsia="en-GB"/>
              </w:rPr>
            </w:pPr>
            <w:r w:rsidRPr="00EB2995">
              <w:rPr>
                <w:rFonts w:cs="Calibri"/>
                <w:b/>
                <w:bCs/>
                <w:color w:val="000000"/>
                <w:lang w:eastAsia="en-GB"/>
              </w:rPr>
              <w:t>Balance as at 31 March carried forward</w:t>
            </w:r>
          </w:p>
        </w:tc>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D53A04" w:rsidRPr="00EB2995" w:rsidRDefault="00D53A04" w:rsidP="00D53A04">
            <w:pPr>
              <w:jc w:val="right"/>
              <w:rPr>
                <w:rFonts w:cs="Calibri"/>
                <w:b/>
                <w:bCs/>
                <w:color w:val="000000"/>
                <w:lang w:eastAsia="en-GB"/>
              </w:rPr>
            </w:pPr>
            <w:r w:rsidRPr="00EB2995">
              <w:rPr>
                <w:rFonts w:cs="Calibri"/>
                <w:b/>
                <w:bCs/>
                <w:color w:val="000000"/>
                <w:lang w:eastAsia="en-GB"/>
              </w:rPr>
              <w:t xml:space="preserve">(1.4) </w:t>
            </w:r>
          </w:p>
        </w:tc>
      </w:tr>
      <w:tr w:rsidR="00D53A04" w:rsidRPr="00EB2995" w:rsidTr="00D53A04">
        <w:trPr>
          <w:trHeight w:val="402"/>
        </w:trPr>
        <w:tc>
          <w:tcPr>
            <w:tcW w:w="1080" w:type="dxa"/>
            <w:tcBorders>
              <w:top w:val="nil"/>
              <w:left w:val="nil"/>
              <w:bottom w:val="nil"/>
              <w:right w:val="nil"/>
            </w:tcBorders>
            <w:shd w:val="clear" w:color="auto" w:fill="auto"/>
            <w:noWrap/>
            <w:vAlign w:val="bottom"/>
            <w:hideMark/>
          </w:tcPr>
          <w:p w:rsidR="00D53A04" w:rsidRPr="00EB2995" w:rsidRDefault="00D53A04" w:rsidP="00D53A04">
            <w:pPr>
              <w:jc w:val="right"/>
              <w:rPr>
                <w:rFonts w:cs="Calibri"/>
                <w:b/>
                <w:bCs/>
                <w:color w:val="000000"/>
                <w:lang w:eastAsia="en-GB"/>
              </w:rPr>
            </w:pPr>
          </w:p>
        </w:tc>
        <w:tc>
          <w:tcPr>
            <w:tcW w:w="7040" w:type="dxa"/>
            <w:tcBorders>
              <w:top w:val="nil"/>
              <w:left w:val="nil"/>
              <w:bottom w:val="nil"/>
              <w:right w:val="nil"/>
            </w:tcBorders>
            <w:shd w:val="clear" w:color="auto" w:fill="auto"/>
            <w:noWrap/>
            <w:vAlign w:val="bottom"/>
            <w:hideMark/>
          </w:tcPr>
          <w:p w:rsidR="00D53A04" w:rsidRPr="00EB2995" w:rsidRDefault="00D53A04" w:rsidP="00D53A04">
            <w:pPr>
              <w:rPr>
                <w:rFonts w:cs="Calibri"/>
                <w:sz w:val="20"/>
                <w:szCs w:val="20"/>
                <w:lang w:eastAsia="en-GB"/>
              </w:rPr>
            </w:pPr>
          </w:p>
        </w:tc>
        <w:tc>
          <w:tcPr>
            <w:tcW w:w="1080" w:type="dxa"/>
            <w:tcBorders>
              <w:top w:val="nil"/>
              <w:left w:val="nil"/>
              <w:bottom w:val="nil"/>
              <w:right w:val="nil"/>
            </w:tcBorders>
            <w:shd w:val="clear" w:color="auto" w:fill="auto"/>
            <w:noWrap/>
            <w:vAlign w:val="bottom"/>
            <w:hideMark/>
          </w:tcPr>
          <w:p w:rsidR="00D53A04" w:rsidRPr="00EB2995" w:rsidRDefault="00D53A04" w:rsidP="00D53A04">
            <w:pPr>
              <w:rPr>
                <w:rFonts w:cs="Calibri"/>
                <w:sz w:val="20"/>
                <w:szCs w:val="20"/>
                <w:lang w:eastAsia="en-GB"/>
              </w:rPr>
            </w:pPr>
          </w:p>
        </w:tc>
      </w:tr>
      <w:tr w:rsidR="00D53A04" w:rsidRPr="00EB2995" w:rsidTr="00D53A04">
        <w:trPr>
          <w:trHeight w:val="402"/>
        </w:trPr>
        <w:tc>
          <w:tcPr>
            <w:tcW w:w="1080" w:type="dxa"/>
            <w:tcBorders>
              <w:top w:val="nil"/>
              <w:left w:val="nil"/>
              <w:bottom w:val="nil"/>
              <w:right w:val="nil"/>
            </w:tcBorders>
            <w:shd w:val="clear" w:color="auto" w:fill="auto"/>
            <w:noWrap/>
            <w:vAlign w:val="bottom"/>
            <w:hideMark/>
          </w:tcPr>
          <w:p w:rsidR="00D53A04" w:rsidRPr="00EB2995" w:rsidRDefault="00D53A04" w:rsidP="00D53A04">
            <w:pPr>
              <w:rPr>
                <w:rFonts w:cs="Calibri"/>
                <w:sz w:val="20"/>
                <w:szCs w:val="20"/>
                <w:lang w:eastAsia="en-GB"/>
              </w:rPr>
            </w:pPr>
          </w:p>
        </w:tc>
        <w:tc>
          <w:tcPr>
            <w:tcW w:w="7040" w:type="dxa"/>
            <w:tcBorders>
              <w:top w:val="nil"/>
              <w:left w:val="nil"/>
              <w:bottom w:val="nil"/>
              <w:right w:val="nil"/>
            </w:tcBorders>
            <w:shd w:val="clear" w:color="auto" w:fill="auto"/>
            <w:noWrap/>
            <w:vAlign w:val="bottom"/>
            <w:hideMark/>
          </w:tcPr>
          <w:p w:rsidR="00D53A04" w:rsidRPr="00EB2995" w:rsidRDefault="00D53A04" w:rsidP="00D53A04">
            <w:pPr>
              <w:rPr>
                <w:rFonts w:cs="Calibri"/>
                <w:b/>
                <w:bCs/>
                <w:color w:val="000000"/>
                <w:lang w:eastAsia="en-GB"/>
              </w:rPr>
            </w:pPr>
            <w:r w:rsidRPr="00EB2995">
              <w:rPr>
                <w:rFonts w:cs="Calibri"/>
                <w:b/>
                <w:bCs/>
                <w:color w:val="000000"/>
                <w:lang w:eastAsia="en-GB"/>
              </w:rPr>
              <w:t xml:space="preserve">HRA adjustments between accounting basis and funding basis under </w:t>
            </w:r>
          </w:p>
        </w:tc>
        <w:tc>
          <w:tcPr>
            <w:tcW w:w="1080" w:type="dxa"/>
            <w:tcBorders>
              <w:top w:val="nil"/>
              <w:left w:val="nil"/>
              <w:bottom w:val="nil"/>
              <w:right w:val="nil"/>
            </w:tcBorders>
            <w:shd w:val="clear" w:color="auto" w:fill="auto"/>
            <w:noWrap/>
            <w:vAlign w:val="bottom"/>
            <w:hideMark/>
          </w:tcPr>
          <w:p w:rsidR="00D53A04" w:rsidRPr="00EB2995" w:rsidRDefault="00D53A04" w:rsidP="00D53A04">
            <w:pPr>
              <w:rPr>
                <w:rFonts w:cs="Calibri"/>
                <w:b/>
                <w:bCs/>
                <w:color w:val="000000"/>
                <w:lang w:eastAsia="en-GB"/>
              </w:rPr>
            </w:pPr>
          </w:p>
        </w:tc>
      </w:tr>
      <w:tr w:rsidR="00D53A04" w:rsidRPr="00EB2995" w:rsidTr="00D53A04">
        <w:trPr>
          <w:trHeight w:val="402"/>
        </w:trPr>
        <w:tc>
          <w:tcPr>
            <w:tcW w:w="1080" w:type="dxa"/>
            <w:tcBorders>
              <w:top w:val="nil"/>
              <w:left w:val="nil"/>
              <w:bottom w:val="nil"/>
              <w:right w:val="nil"/>
            </w:tcBorders>
            <w:shd w:val="clear" w:color="auto" w:fill="auto"/>
            <w:noWrap/>
            <w:vAlign w:val="bottom"/>
            <w:hideMark/>
          </w:tcPr>
          <w:p w:rsidR="00D53A04" w:rsidRPr="00EB2995" w:rsidRDefault="00D53A04" w:rsidP="00D53A04">
            <w:pPr>
              <w:rPr>
                <w:rFonts w:cs="Calibri"/>
                <w:sz w:val="20"/>
                <w:szCs w:val="20"/>
                <w:lang w:eastAsia="en-GB"/>
              </w:rPr>
            </w:pPr>
          </w:p>
        </w:tc>
        <w:tc>
          <w:tcPr>
            <w:tcW w:w="7040" w:type="dxa"/>
            <w:tcBorders>
              <w:top w:val="nil"/>
              <w:left w:val="nil"/>
              <w:bottom w:val="nil"/>
              <w:right w:val="nil"/>
            </w:tcBorders>
            <w:shd w:val="clear" w:color="auto" w:fill="auto"/>
            <w:noWrap/>
            <w:vAlign w:val="bottom"/>
            <w:hideMark/>
          </w:tcPr>
          <w:p w:rsidR="00D53A04" w:rsidRPr="00EB2995" w:rsidRDefault="00D53A04" w:rsidP="00D53A04">
            <w:pPr>
              <w:rPr>
                <w:rFonts w:cs="Calibri"/>
                <w:b/>
                <w:bCs/>
                <w:color w:val="000000"/>
                <w:lang w:eastAsia="en-GB"/>
              </w:rPr>
            </w:pPr>
            <w:r w:rsidRPr="00EB2995">
              <w:rPr>
                <w:rFonts w:cs="Calibri"/>
                <w:b/>
                <w:bCs/>
                <w:color w:val="000000"/>
                <w:lang w:eastAsia="en-GB"/>
              </w:rPr>
              <w:t>regulations</w:t>
            </w:r>
          </w:p>
        </w:tc>
        <w:tc>
          <w:tcPr>
            <w:tcW w:w="1080" w:type="dxa"/>
            <w:tcBorders>
              <w:top w:val="nil"/>
              <w:left w:val="nil"/>
              <w:bottom w:val="nil"/>
              <w:right w:val="nil"/>
            </w:tcBorders>
            <w:shd w:val="clear" w:color="auto" w:fill="auto"/>
            <w:noWrap/>
            <w:vAlign w:val="bottom"/>
            <w:hideMark/>
          </w:tcPr>
          <w:p w:rsidR="00D53A04" w:rsidRPr="00EB2995" w:rsidRDefault="00D53A04" w:rsidP="00D53A04">
            <w:pPr>
              <w:rPr>
                <w:rFonts w:cs="Calibri"/>
                <w:b/>
                <w:bCs/>
                <w:color w:val="000000"/>
                <w:lang w:eastAsia="en-GB"/>
              </w:rPr>
            </w:pPr>
          </w:p>
        </w:tc>
      </w:tr>
      <w:tr w:rsidR="00D53A04" w:rsidRPr="00EB2995" w:rsidTr="00D53A04">
        <w:trPr>
          <w:trHeight w:val="402"/>
        </w:trPr>
        <w:tc>
          <w:tcPr>
            <w:tcW w:w="1080" w:type="dxa"/>
            <w:tcBorders>
              <w:top w:val="nil"/>
              <w:left w:val="nil"/>
              <w:bottom w:val="nil"/>
              <w:right w:val="nil"/>
            </w:tcBorders>
            <w:shd w:val="clear" w:color="auto" w:fill="auto"/>
            <w:vAlign w:val="bottom"/>
            <w:hideMark/>
          </w:tcPr>
          <w:p w:rsidR="00D53A04" w:rsidRPr="00EB2995" w:rsidRDefault="00D53A04" w:rsidP="00D53A04">
            <w:pPr>
              <w:jc w:val="center"/>
              <w:rPr>
                <w:rFonts w:cs="Calibri"/>
                <w:b/>
                <w:bCs/>
                <w:color w:val="000000"/>
                <w:lang w:eastAsia="en-GB"/>
              </w:rPr>
            </w:pPr>
            <w:r w:rsidRPr="00EB2995">
              <w:rPr>
                <w:rFonts w:cs="Calibri"/>
                <w:b/>
                <w:bCs/>
                <w:color w:val="000000"/>
                <w:lang w:eastAsia="en-GB"/>
              </w:rPr>
              <w:t>2018/19</w:t>
            </w:r>
          </w:p>
        </w:tc>
        <w:tc>
          <w:tcPr>
            <w:tcW w:w="7040" w:type="dxa"/>
            <w:tcBorders>
              <w:top w:val="nil"/>
              <w:left w:val="nil"/>
              <w:bottom w:val="nil"/>
              <w:right w:val="nil"/>
            </w:tcBorders>
            <w:shd w:val="clear" w:color="auto" w:fill="auto"/>
            <w:noWrap/>
            <w:vAlign w:val="bottom"/>
            <w:hideMark/>
          </w:tcPr>
          <w:p w:rsidR="00D53A04" w:rsidRPr="00EB2995" w:rsidRDefault="00D53A04" w:rsidP="00D53A04">
            <w:pPr>
              <w:jc w:val="center"/>
              <w:rPr>
                <w:rFonts w:cs="Calibri"/>
                <w:b/>
                <w:bCs/>
                <w:color w:val="000000"/>
                <w:lang w:eastAsia="en-GB"/>
              </w:rPr>
            </w:pPr>
          </w:p>
        </w:tc>
        <w:tc>
          <w:tcPr>
            <w:tcW w:w="1080" w:type="dxa"/>
            <w:tcBorders>
              <w:top w:val="nil"/>
              <w:left w:val="nil"/>
              <w:bottom w:val="nil"/>
              <w:right w:val="nil"/>
            </w:tcBorders>
            <w:shd w:val="clear" w:color="auto" w:fill="auto"/>
            <w:vAlign w:val="bottom"/>
            <w:hideMark/>
          </w:tcPr>
          <w:p w:rsidR="00D53A04" w:rsidRPr="00EB2995" w:rsidRDefault="00D53A04" w:rsidP="00D53A04">
            <w:pPr>
              <w:jc w:val="center"/>
              <w:rPr>
                <w:rFonts w:cs="Calibri"/>
                <w:b/>
                <w:bCs/>
                <w:color w:val="000000"/>
                <w:lang w:eastAsia="en-GB"/>
              </w:rPr>
            </w:pPr>
            <w:r w:rsidRPr="00EB2995">
              <w:rPr>
                <w:rFonts w:cs="Calibri"/>
                <w:b/>
                <w:bCs/>
                <w:color w:val="000000"/>
                <w:lang w:eastAsia="en-GB"/>
              </w:rPr>
              <w:t>2019/20</w:t>
            </w:r>
          </w:p>
        </w:tc>
      </w:tr>
      <w:tr w:rsidR="00D53A04" w:rsidRPr="00EB2995" w:rsidTr="00D53A04">
        <w:trPr>
          <w:trHeight w:val="402"/>
        </w:trPr>
        <w:tc>
          <w:tcPr>
            <w:tcW w:w="1080" w:type="dxa"/>
            <w:tcBorders>
              <w:top w:val="nil"/>
              <w:left w:val="nil"/>
              <w:bottom w:val="nil"/>
              <w:right w:val="nil"/>
            </w:tcBorders>
            <w:shd w:val="clear" w:color="auto" w:fill="auto"/>
            <w:noWrap/>
            <w:vAlign w:val="bottom"/>
            <w:hideMark/>
          </w:tcPr>
          <w:p w:rsidR="00D53A04" w:rsidRPr="00EB2995" w:rsidRDefault="00D53A04" w:rsidP="00D53A04">
            <w:pPr>
              <w:jc w:val="center"/>
              <w:rPr>
                <w:rFonts w:cs="Calibri"/>
                <w:b/>
                <w:bCs/>
                <w:color w:val="000000"/>
                <w:lang w:eastAsia="en-GB"/>
              </w:rPr>
            </w:pPr>
            <w:r w:rsidRPr="00EB2995">
              <w:rPr>
                <w:rFonts w:cs="Calibri"/>
                <w:b/>
                <w:bCs/>
                <w:color w:val="000000"/>
                <w:lang w:eastAsia="en-GB"/>
              </w:rPr>
              <w:t>£m</w:t>
            </w:r>
          </w:p>
        </w:tc>
        <w:tc>
          <w:tcPr>
            <w:tcW w:w="7040" w:type="dxa"/>
            <w:tcBorders>
              <w:top w:val="nil"/>
              <w:left w:val="nil"/>
              <w:bottom w:val="nil"/>
              <w:right w:val="nil"/>
            </w:tcBorders>
            <w:shd w:val="clear" w:color="auto" w:fill="auto"/>
            <w:noWrap/>
            <w:vAlign w:val="bottom"/>
            <w:hideMark/>
          </w:tcPr>
          <w:p w:rsidR="00D53A04" w:rsidRPr="00EB2995" w:rsidRDefault="00D53A04" w:rsidP="00D53A04">
            <w:pPr>
              <w:jc w:val="center"/>
              <w:rPr>
                <w:rFonts w:cs="Calibri"/>
                <w:b/>
                <w:bCs/>
                <w:color w:val="000000"/>
                <w:lang w:eastAsia="en-GB"/>
              </w:rPr>
            </w:pPr>
          </w:p>
        </w:tc>
        <w:tc>
          <w:tcPr>
            <w:tcW w:w="1080" w:type="dxa"/>
            <w:tcBorders>
              <w:top w:val="nil"/>
              <w:left w:val="nil"/>
              <w:bottom w:val="nil"/>
              <w:right w:val="nil"/>
            </w:tcBorders>
            <w:shd w:val="clear" w:color="auto" w:fill="auto"/>
            <w:noWrap/>
            <w:vAlign w:val="bottom"/>
            <w:hideMark/>
          </w:tcPr>
          <w:p w:rsidR="00D53A04" w:rsidRPr="00EB2995" w:rsidRDefault="00D53A04" w:rsidP="00D53A04">
            <w:pPr>
              <w:jc w:val="center"/>
              <w:rPr>
                <w:rFonts w:cs="Calibri"/>
                <w:b/>
                <w:bCs/>
                <w:color w:val="000000"/>
                <w:lang w:eastAsia="en-GB"/>
              </w:rPr>
            </w:pPr>
            <w:r w:rsidRPr="00EB2995">
              <w:rPr>
                <w:rFonts w:cs="Calibri"/>
                <w:b/>
                <w:bCs/>
                <w:color w:val="000000"/>
                <w:lang w:eastAsia="en-GB"/>
              </w:rPr>
              <w:t>£m</w:t>
            </w:r>
          </w:p>
        </w:tc>
      </w:tr>
      <w:tr w:rsidR="00D53A04" w:rsidRPr="00EB2995" w:rsidTr="00D53A04">
        <w:trPr>
          <w:trHeight w:val="402"/>
        </w:trPr>
        <w:tc>
          <w:tcPr>
            <w:tcW w:w="1080" w:type="dxa"/>
            <w:tcBorders>
              <w:top w:val="single" w:sz="4" w:space="0" w:color="auto"/>
              <w:left w:val="single" w:sz="4" w:space="0" w:color="auto"/>
              <w:bottom w:val="nil"/>
              <w:right w:val="single" w:sz="4" w:space="0" w:color="auto"/>
            </w:tcBorders>
            <w:shd w:val="clear" w:color="auto" w:fill="auto"/>
            <w:noWrap/>
            <w:vAlign w:val="bottom"/>
            <w:hideMark/>
          </w:tcPr>
          <w:p w:rsidR="00D53A04" w:rsidRPr="00EB2995" w:rsidRDefault="00D53A04" w:rsidP="00D53A04">
            <w:pPr>
              <w:jc w:val="right"/>
              <w:rPr>
                <w:rFonts w:cs="Calibri"/>
                <w:color w:val="000000"/>
                <w:lang w:eastAsia="en-GB"/>
              </w:rPr>
            </w:pPr>
            <w:r w:rsidRPr="00EB2995">
              <w:rPr>
                <w:rFonts w:cs="Calibri"/>
                <w:color w:val="000000"/>
                <w:lang w:eastAsia="en-GB"/>
              </w:rPr>
              <w:t xml:space="preserve">3.1 </w:t>
            </w:r>
          </w:p>
        </w:tc>
        <w:tc>
          <w:tcPr>
            <w:tcW w:w="7040" w:type="dxa"/>
            <w:tcBorders>
              <w:top w:val="nil"/>
              <w:left w:val="nil"/>
              <w:bottom w:val="nil"/>
              <w:right w:val="nil"/>
            </w:tcBorders>
            <w:shd w:val="clear" w:color="auto" w:fill="auto"/>
            <w:noWrap/>
            <w:vAlign w:val="bottom"/>
            <w:hideMark/>
          </w:tcPr>
          <w:p w:rsidR="00D53A04" w:rsidRPr="00EB2995" w:rsidRDefault="00D53A04" w:rsidP="00D53A04">
            <w:pPr>
              <w:rPr>
                <w:rFonts w:cs="Calibri"/>
                <w:color w:val="000000"/>
                <w:lang w:eastAsia="en-GB"/>
              </w:rPr>
            </w:pPr>
            <w:r w:rsidRPr="00EB2995">
              <w:rPr>
                <w:rFonts w:cs="Calibri"/>
                <w:color w:val="000000"/>
                <w:lang w:eastAsia="en-GB"/>
              </w:rPr>
              <w:t>Gain or loss on sale of HRA non-current assets</w:t>
            </w:r>
          </w:p>
        </w:tc>
        <w:tc>
          <w:tcPr>
            <w:tcW w:w="1080" w:type="dxa"/>
            <w:tcBorders>
              <w:top w:val="single" w:sz="4" w:space="0" w:color="auto"/>
              <w:left w:val="single" w:sz="4" w:space="0" w:color="auto"/>
              <w:bottom w:val="nil"/>
              <w:right w:val="single" w:sz="4" w:space="0" w:color="auto"/>
            </w:tcBorders>
            <w:shd w:val="clear" w:color="auto" w:fill="auto"/>
            <w:noWrap/>
            <w:vAlign w:val="bottom"/>
            <w:hideMark/>
          </w:tcPr>
          <w:p w:rsidR="00D53A04" w:rsidRPr="00EB2995" w:rsidRDefault="00D53A04" w:rsidP="00D53A04">
            <w:pPr>
              <w:jc w:val="right"/>
              <w:rPr>
                <w:rFonts w:cs="Calibri"/>
                <w:color w:val="000000"/>
                <w:lang w:eastAsia="en-GB"/>
              </w:rPr>
            </w:pPr>
            <w:r w:rsidRPr="00EB2995">
              <w:rPr>
                <w:rFonts w:cs="Calibri"/>
                <w:color w:val="000000"/>
                <w:lang w:eastAsia="en-GB"/>
              </w:rPr>
              <w:t>3.</w:t>
            </w:r>
            <w:r>
              <w:rPr>
                <w:rFonts w:cs="Calibri"/>
                <w:color w:val="000000"/>
                <w:lang w:eastAsia="en-GB"/>
              </w:rPr>
              <w:t>7</w:t>
            </w:r>
          </w:p>
        </w:tc>
      </w:tr>
      <w:tr w:rsidR="00D53A04" w:rsidRPr="00EB2995" w:rsidTr="00D53A04">
        <w:trPr>
          <w:trHeight w:val="402"/>
        </w:trPr>
        <w:tc>
          <w:tcPr>
            <w:tcW w:w="1080" w:type="dxa"/>
            <w:tcBorders>
              <w:top w:val="nil"/>
              <w:left w:val="single" w:sz="4" w:space="0" w:color="auto"/>
              <w:bottom w:val="nil"/>
              <w:right w:val="single" w:sz="4" w:space="0" w:color="auto"/>
            </w:tcBorders>
            <w:shd w:val="clear" w:color="auto" w:fill="auto"/>
            <w:noWrap/>
            <w:vAlign w:val="bottom"/>
            <w:hideMark/>
          </w:tcPr>
          <w:p w:rsidR="00D53A04" w:rsidRPr="00EB2995" w:rsidRDefault="00D53A04" w:rsidP="00D53A04">
            <w:pPr>
              <w:jc w:val="right"/>
              <w:rPr>
                <w:rFonts w:cs="Calibri"/>
                <w:color w:val="000000"/>
                <w:lang w:eastAsia="en-GB"/>
              </w:rPr>
            </w:pPr>
            <w:r w:rsidRPr="00EB2995">
              <w:rPr>
                <w:rFonts w:cs="Calibri"/>
                <w:color w:val="000000"/>
                <w:lang w:eastAsia="en-GB"/>
              </w:rPr>
              <w:t xml:space="preserve">12.8 </w:t>
            </w:r>
          </w:p>
        </w:tc>
        <w:tc>
          <w:tcPr>
            <w:tcW w:w="7040" w:type="dxa"/>
            <w:tcBorders>
              <w:top w:val="nil"/>
              <w:left w:val="nil"/>
              <w:bottom w:val="nil"/>
              <w:right w:val="nil"/>
            </w:tcBorders>
            <w:shd w:val="clear" w:color="auto" w:fill="auto"/>
            <w:noWrap/>
            <w:vAlign w:val="bottom"/>
            <w:hideMark/>
          </w:tcPr>
          <w:p w:rsidR="00D53A04" w:rsidRPr="00EB2995" w:rsidRDefault="00D53A04" w:rsidP="00D53A04">
            <w:pPr>
              <w:rPr>
                <w:rFonts w:cs="Calibri"/>
                <w:color w:val="000000"/>
                <w:lang w:eastAsia="en-GB"/>
              </w:rPr>
            </w:pPr>
            <w:r w:rsidRPr="00EB2995">
              <w:rPr>
                <w:rFonts w:cs="Calibri"/>
                <w:color w:val="000000"/>
                <w:lang w:eastAsia="en-GB"/>
              </w:rPr>
              <w:t>Capital expenditure funded by HRA</w:t>
            </w:r>
          </w:p>
        </w:tc>
        <w:tc>
          <w:tcPr>
            <w:tcW w:w="1080" w:type="dxa"/>
            <w:tcBorders>
              <w:top w:val="nil"/>
              <w:left w:val="single" w:sz="4" w:space="0" w:color="auto"/>
              <w:bottom w:val="nil"/>
              <w:right w:val="single" w:sz="4" w:space="0" w:color="auto"/>
            </w:tcBorders>
            <w:shd w:val="clear" w:color="auto" w:fill="auto"/>
            <w:noWrap/>
            <w:vAlign w:val="bottom"/>
            <w:hideMark/>
          </w:tcPr>
          <w:p w:rsidR="00D53A04" w:rsidRPr="00EB2995" w:rsidRDefault="00D53A04" w:rsidP="00D53A04">
            <w:pPr>
              <w:jc w:val="right"/>
              <w:rPr>
                <w:rFonts w:cs="Calibri"/>
                <w:color w:val="000000"/>
                <w:lang w:eastAsia="en-GB"/>
              </w:rPr>
            </w:pPr>
            <w:r w:rsidRPr="00EB2995">
              <w:rPr>
                <w:rFonts w:cs="Calibri"/>
                <w:color w:val="000000"/>
                <w:lang w:eastAsia="en-GB"/>
              </w:rPr>
              <w:t>7.</w:t>
            </w:r>
            <w:r>
              <w:rPr>
                <w:rFonts w:cs="Calibri"/>
                <w:color w:val="000000"/>
                <w:lang w:eastAsia="en-GB"/>
              </w:rPr>
              <w:t>3</w:t>
            </w:r>
          </w:p>
        </w:tc>
      </w:tr>
      <w:tr w:rsidR="00D53A04" w:rsidRPr="00EB2995" w:rsidTr="00D53A04">
        <w:trPr>
          <w:trHeight w:val="402"/>
        </w:trPr>
        <w:tc>
          <w:tcPr>
            <w:tcW w:w="1080" w:type="dxa"/>
            <w:tcBorders>
              <w:top w:val="nil"/>
              <w:left w:val="single" w:sz="4" w:space="0" w:color="auto"/>
              <w:bottom w:val="nil"/>
              <w:right w:val="single" w:sz="4" w:space="0" w:color="auto"/>
            </w:tcBorders>
            <w:shd w:val="clear" w:color="auto" w:fill="auto"/>
            <w:noWrap/>
            <w:vAlign w:val="bottom"/>
            <w:hideMark/>
          </w:tcPr>
          <w:p w:rsidR="00D53A04" w:rsidRPr="00EB2995" w:rsidRDefault="00D53A04" w:rsidP="00D53A04">
            <w:pPr>
              <w:jc w:val="right"/>
              <w:rPr>
                <w:rFonts w:cs="Calibri"/>
                <w:color w:val="000000"/>
                <w:lang w:eastAsia="en-GB"/>
              </w:rPr>
            </w:pPr>
            <w:r w:rsidRPr="00EB2995">
              <w:rPr>
                <w:rFonts w:cs="Calibri"/>
                <w:color w:val="000000"/>
                <w:lang w:eastAsia="en-GB"/>
              </w:rPr>
              <w:t xml:space="preserve">0.7 </w:t>
            </w:r>
          </w:p>
        </w:tc>
        <w:tc>
          <w:tcPr>
            <w:tcW w:w="7040" w:type="dxa"/>
            <w:tcBorders>
              <w:top w:val="nil"/>
              <w:left w:val="nil"/>
              <w:bottom w:val="nil"/>
              <w:right w:val="nil"/>
            </w:tcBorders>
            <w:shd w:val="clear" w:color="auto" w:fill="auto"/>
            <w:noWrap/>
            <w:vAlign w:val="bottom"/>
            <w:hideMark/>
          </w:tcPr>
          <w:p w:rsidR="00D53A04" w:rsidRPr="00EB2995" w:rsidRDefault="00D53A04" w:rsidP="00D53A04">
            <w:pPr>
              <w:rPr>
                <w:rFonts w:cs="Calibri"/>
                <w:color w:val="000000"/>
                <w:lang w:eastAsia="en-GB"/>
              </w:rPr>
            </w:pPr>
            <w:r w:rsidRPr="00EB2995">
              <w:rPr>
                <w:rFonts w:cs="Calibri"/>
                <w:color w:val="000000"/>
                <w:lang w:eastAsia="en-GB"/>
              </w:rPr>
              <w:t>Amortised payment and discount</w:t>
            </w:r>
          </w:p>
        </w:tc>
        <w:tc>
          <w:tcPr>
            <w:tcW w:w="1080" w:type="dxa"/>
            <w:tcBorders>
              <w:top w:val="nil"/>
              <w:left w:val="single" w:sz="4" w:space="0" w:color="auto"/>
              <w:bottom w:val="nil"/>
              <w:right w:val="single" w:sz="4" w:space="0" w:color="auto"/>
            </w:tcBorders>
            <w:shd w:val="clear" w:color="auto" w:fill="auto"/>
            <w:noWrap/>
            <w:vAlign w:val="bottom"/>
            <w:hideMark/>
          </w:tcPr>
          <w:p w:rsidR="00D53A04" w:rsidRPr="00EB2995" w:rsidRDefault="00D53A04" w:rsidP="00D53A04">
            <w:pPr>
              <w:jc w:val="right"/>
              <w:rPr>
                <w:rFonts w:cs="Calibri"/>
                <w:color w:val="000000"/>
                <w:lang w:eastAsia="en-GB"/>
              </w:rPr>
            </w:pPr>
            <w:r w:rsidRPr="00EB2995">
              <w:rPr>
                <w:rFonts w:cs="Calibri"/>
                <w:color w:val="000000"/>
                <w:lang w:eastAsia="en-GB"/>
              </w:rPr>
              <w:t>0.3</w:t>
            </w:r>
          </w:p>
        </w:tc>
      </w:tr>
      <w:tr w:rsidR="00D53A04" w:rsidRPr="00EB2995" w:rsidTr="00D53A04">
        <w:trPr>
          <w:trHeight w:val="402"/>
        </w:trPr>
        <w:tc>
          <w:tcPr>
            <w:tcW w:w="1080" w:type="dxa"/>
            <w:tcBorders>
              <w:top w:val="nil"/>
              <w:left w:val="single" w:sz="4" w:space="0" w:color="auto"/>
              <w:bottom w:val="nil"/>
              <w:right w:val="single" w:sz="4" w:space="0" w:color="auto"/>
            </w:tcBorders>
            <w:shd w:val="clear" w:color="auto" w:fill="auto"/>
            <w:noWrap/>
            <w:vAlign w:val="bottom"/>
            <w:hideMark/>
          </w:tcPr>
          <w:p w:rsidR="00D53A04" w:rsidRPr="00EB2995" w:rsidRDefault="00D53A04" w:rsidP="00D53A04">
            <w:pPr>
              <w:jc w:val="right"/>
              <w:rPr>
                <w:rFonts w:cs="Calibri"/>
                <w:color w:val="000000"/>
                <w:lang w:eastAsia="en-GB"/>
              </w:rPr>
            </w:pPr>
            <w:r w:rsidRPr="00EB2995">
              <w:rPr>
                <w:rFonts w:cs="Calibri"/>
                <w:color w:val="000000"/>
                <w:lang w:eastAsia="en-GB"/>
              </w:rPr>
              <w:t xml:space="preserve">(32.4) </w:t>
            </w:r>
          </w:p>
        </w:tc>
        <w:tc>
          <w:tcPr>
            <w:tcW w:w="7040" w:type="dxa"/>
            <w:tcBorders>
              <w:top w:val="nil"/>
              <w:left w:val="nil"/>
              <w:bottom w:val="nil"/>
              <w:right w:val="nil"/>
            </w:tcBorders>
            <w:shd w:val="clear" w:color="auto" w:fill="auto"/>
            <w:noWrap/>
            <w:vAlign w:val="bottom"/>
            <w:hideMark/>
          </w:tcPr>
          <w:p w:rsidR="00D53A04" w:rsidRPr="00EB2995" w:rsidRDefault="00D53A04" w:rsidP="00D53A04">
            <w:pPr>
              <w:rPr>
                <w:rFonts w:cs="Calibri"/>
                <w:color w:val="000000"/>
                <w:lang w:eastAsia="en-GB"/>
              </w:rPr>
            </w:pPr>
            <w:r w:rsidRPr="00EB2995">
              <w:rPr>
                <w:rFonts w:cs="Calibri"/>
                <w:color w:val="000000"/>
                <w:lang w:eastAsia="en-GB"/>
              </w:rPr>
              <w:t>Downward revaluation of non-current assets</w:t>
            </w:r>
          </w:p>
        </w:tc>
        <w:tc>
          <w:tcPr>
            <w:tcW w:w="1080" w:type="dxa"/>
            <w:tcBorders>
              <w:top w:val="nil"/>
              <w:left w:val="single" w:sz="4" w:space="0" w:color="auto"/>
              <w:bottom w:val="nil"/>
              <w:right w:val="single" w:sz="4" w:space="0" w:color="auto"/>
            </w:tcBorders>
            <w:shd w:val="clear" w:color="auto" w:fill="auto"/>
            <w:noWrap/>
            <w:vAlign w:val="bottom"/>
            <w:hideMark/>
          </w:tcPr>
          <w:p w:rsidR="00D53A04" w:rsidRPr="00EB2995" w:rsidRDefault="00D53A04" w:rsidP="00D53A04">
            <w:pPr>
              <w:jc w:val="right"/>
              <w:rPr>
                <w:rFonts w:cs="Calibri"/>
                <w:color w:val="000000"/>
                <w:lang w:eastAsia="en-GB"/>
              </w:rPr>
            </w:pPr>
            <w:r>
              <w:rPr>
                <w:rFonts w:cs="Calibri"/>
                <w:color w:val="000000"/>
                <w:lang w:eastAsia="en-GB"/>
              </w:rPr>
              <w:t>(20.8</w:t>
            </w:r>
            <w:r w:rsidRPr="00EB2995">
              <w:rPr>
                <w:rFonts w:cs="Calibri"/>
                <w:color w:val="000000"/>
                <w:lang w:eastAsia="en-GB"/>
              </w:rPr>
              <w:t>)</w:t>
            </w:r>
          </w:p>
        </w:tc>
      </w:tr>
      <w:tr w:rsidR="00D53A04" w:rsidRPr="00EB2995" w:rsidTr="00D53A04">
        <w:trPr>
          <w:trHeight w:val="402"/>
        </w:trPr>
        <w:tc>
          <w:tcPr>
            <w:tcW w:w="1080" w:type="dxa"/>
            <w:tcBorders>
              <w:top w:val="nil"/>
              <w:left w:val="single" w:sz="4" w:space="0" w:color="auto"/>
              <w:bottom w:val="nil"/>
              <w:right w:val="single" w:sz="4" w:space="0" w:color="auto"/>
            </w:tcBorders>
            <w:shd w:val="clear" w:color="auto" w:fill="auto"/>
            <w:noWrap/>
            <w:vAlign w:val="bottom"/>
            <w:hideMark/>
          </w:tcPr>
          <w:p w:rsidR="00D53A04" w:rsidRPr="00EB2995" w:rsidRDefault="00D53A04" w:rsidP="00D53A04">
            <w:pPr>
              <w:jc w:val="right"/>
              <w:rPr>
                <w:rFonts w:cs="Calibri"/>
                <w:color w:val="000000"/>
                <w:lang w:eastAsia="en-GB"/>
              </w:rPr>
            </w:pPr>
            <w:r w:rsidRPr="00EB2995">
              <w:rPr>
                <w:rFonts w:cs="Calibri"/>
                <w:color w:val="000000"/>
                <w:lang w:eastAsia="en-GB"/>
              </w:rPr>
              <w:t xml:space="preserve">(1.4) </w:t>
            </w:r>
          </w:p>
        </w:tc>
        <w:tc>
          <w:tcPr>
            <w:tcW w:w="7040" w:type="dxa"/>
            <w:tcBorders>
              <w:top w:val="nil"/>
              <w:left w:val="nil"/>
              <w:bottom w:val="nil"/>
              <w:right w:val="nil"/>
            </w:tcBorders>
            <w:shd w:val="clear" w:color="auto" w:fill="auto"/>
            <w:noWrap/>
            <w:vAlign w:val="bottom"/>
            <w:hideMark/>
          </w:tcPr>
          <w:p w:rsidR="00D53A04" w:rsidRPr="00EB2995" w:rsidRDefault="00D53A04" w:rsidP="00D53A04">
            <w:pPr>
              <w:rPr>
                <w:rFonts w:cs="Calibri"/>
                <w:color w:val="000000"/>
                <w:lang w:eastAsia="en-GB"/>
              </w:rPr>
            </w:pPr>
            <w:r w:rsidRPr="00EB2995">
              <w:rPr>
                <w:rFonts w:cs="Calibri"/>
                <w:color w:val="000000"/>
                <w:lang w:eastAsia="en-GB"/>
              </w:rPr>
              <w:t>Payments to the capital receipts pool</w:t>
            </w:r>
          </w:p>
        </w:tc>
        <w:tc>
          <w:tcPr>
            <w:tcW w:w="1080" w:type="dxa"/>
            <w:tcBorders>
              <w:top w:val="nil"/>
              <w:left w:val="single" w:sz="4" w:space="0" w:color="auto"/>
              <w:bottom w:val="nil"/>
              <w:right w:val="single" w:sz="4" w:space="0" w:color="auto"/>
            </w:tcBorders>
            <w:shd w:val="clear" w:color="auto" w:fill="auto"/>
            <w:noWrap/>
            <w:vAlign w:val="bottom"/>
            <w:hideMark/>
          </w:tcPr>
          <w:p w:rsidR="00D53A04" w:rsidRPr="00EB2995" w:rsidRDefault="00D53A04" w:rsidP="00D53A04">
            <w:pPr>
              <w:jc w:val="right"/>
              <w:rPr>
                <w:rFonts w:cs="Calibri"/>
                <w:color w:val="000000"/>
                <w:lang w:eastAsia="en-GB"/>
              </w:rPr>
            </w:pPr>
            <w:r>
              <w:rPr>
                <w:rFonts w:cs="Calibri"/>
                <w:color w:val="000000"/>
                <w:lang w:eastAsia="en-GB"/>
              </w:rPr>
              <w:t>(4.2</w:t>
            </w:r>
            <w:r w:rsidRPr="00EB2995">
              <w:rPr>
                <w:rFonts w:cs="Calibri"/>
                <w:color w:val="000000"/>
                <w:lang w:eastAsia="en-GB"/>
              </w:rPr>
              <w:t>)</w:t>
            </w:r>
          </w:p>
        </w:tc>
      </w:tr>
      <w:tr w:rsidR="00D53A04" w:rsidRPr="00EB2995" w:rsidTr="00D53A04">
        <w:trPr>
          <w:trHeight w:val="402"/>
        </w:trPr>
        <w:tc>
          <w:tcPr>
            <w:tcW w:w="1080" w:type="dxa"/>
            <w:tcBorders>
              <w:top w:val="nil"/>
              <w:left w:val="single" w:sz="4" w:space="0" w:color="auto"/>
              <w:bottom w:val="nil"/>
              <w:right w:val="single" w:sz="4" w:space="0" w:color="auto"/>
            </w:tcBorders>
            <w:shd w:val="clear" w:color="auto" w:fill="auto"/>
            <w:noWrap/>
            <w:vAlign w:val="bottom"/>
            <w:hideMark/>
          </w:tcPr>
          <w:p w:rsidR="00D53A04" w:rsidRPr="00EB2995" w:rsidRDefault="00D53A04" w:rsidP="00D53A04">
            <w:pPr>
              <w:jc w:val="right"/>
              <w:rPr>
                <w:rFonts w:cs="Calibri"/>
                <w:color w:val="000000"/>
                <w:lang w:eastAsia="en-GB"/>
              </w:rPr>
            </w:pPr>
            <w:r w:rsidRPr="00EB2995">
              <w:rPr>
                <w:rFonts w:cs="Calibri"/>
                <w:color w:val="000000"/>
                <w:lang w:eastAsia="en-GB"/>
              </w:rPr>
              <w:t xml:space="preserve">0.0 </w:t>
            </w:r>
          </w:p>
        </w:tc>
        <w:tc>
          <w:tcPr>
            <w:tcW w:w="7040" w:type="dxa"/>
            <w:tcBorders>
              <w:top w:val="nil"/>
              <w:left w:val="nil"/>
              <w:bottom w:val="nil"/>
              <w:right w:val="nil"/>
            </w:tcBorders>
            <w:shd w:val="clear" w:color="auto" w:fill="auto"/>
            <w:noWrap/>
            <w:vAlign w:val="bottom"/>
            <w:hideMark/>
          </w:tcPr>
          <w:p w:rsidR="00D53A04" w:rsidRPr="00EB2995" w:rsidRDefault="00D53A04" w:rsidP="00D53A04">
            <w:pPr>
              <w:rPr>
                <w:rFonts w:cs="Calibri"/>
                <w:color w:val="000000"/>
                <w:lang w:eastAsia="en-GB"/>
              </w:rPr>
            </w:pPr>
            <w:r w:rsidRPr="00EB2995">
              <w:rPr>
                <w:rFonts w:cs="Calibri"/>
                <w:color w:val="000000"/>
                <w:lang w:eastAsia="en-GB"/>
              </w:rPr>
              <w:t>Pooled capital receipts -contribution to administration costs</w:t>
            </w:r>
          </w:p>
        </w:tc>
        <w:tc>
          <w:tcPr>
            <w:tcW w:w="1080" w:type="dxa"/>
            <w:tcBorders>
              <w:top w:val="nil"/>
              <w:left w:val="single" w:sz="4" w:space="0" w:color="auto"/>
              <w:bottom w:val="nil"/>
              <w:right w:val="single" w:sz="4" w:space="0" w:color="auto"/>
            </w:tcBorders>
            <w:shd w:val="clear" w:color="auto" w:fill="auto"/>
            <w:noWrap/>
            <w:vAlign w:val="bottom"/>
            <w:hideMark/>
          </w:tcPr>
          <w:p w:rsidR="00D53A04" w:rsidRPr="00EB2995" w:rsidRDefault="00D53A04" w:rsidP="00D53A04">
            <w:pPr>
              <w:jc w:val="right"/>
              <w:rPr>
                <w:rFonts w:cs="Calibri"/>
                <w:color w:val="000000"/>
                <w:lang w:eastAsia="en-GB"/>
              </w:rPr>
            </w:pPr>
            <w:r w:rsidRPr="00EB2995">
              <w:rPr>
                <w:rFonts w:cs="Calibri"/>
                <w:color w:val="000000"/>
                <w:lang w:eastAsia="en-GB"/>
              </w:rPr>
              <w:t>0.0</w:t>
            </w:r>
          </w:p>
        </w:tc>
      </w:tr>
      <w:tr w:rsidR="00D53A04" w:rsidRPr="00EB2995" w:rsidTr="00D53A04">
        <w:trPr>
          <w:trHeight w:val="375"/>
        </w:trPr>
        <w:tc>
          <w:tcPr>
            <w:tcW w:w="1080" w:type="dxa"/>
            <w:tcBorders>
              <w:top w:val="nil"/>
              <w:left w:val="single" w:sz="4" w:space="0" w:color="auto"/>
              <w:bottom w:val="nil"/>
              <w:right w:val="single" w:sz="4" w:space="0" w:color="auto"/>
            </w:tcBorders>
            <w:shd w:val="clear" w:color="auto" w:fill="auto"/>
            <w:noWrap/>
            <w:vAlign w:val="bottom"/>
            <w:hideMark/>
          </w:tcPr>
          <w:p w:rsidR="00D53A04" w:rsidRPr="00EB2995" w:rsidRDefault="00D53A04" w:rsidP="00D53A04">
            <w:pPr>
              <w:jc w:val="right"/>
              <w:rPr>
                <w:rFonts w:cs="Calibri"/>
                <w:color w:val="000000"/>
                <w:lang w:eastAsia="en-GB"/>
              </w:rPr>
            </w:pPr>
            <w:r w:rsidRPr="00EB2995">
              <w:rPr>
                <w:rFonts w:cs="Calibri"/>
                <w:color w:val="000000"/>
                <w:lang w:eastAsia="en-GB"/>
              </w:rPr>
              <w:t xml:space="preserve">0.1 </w:t>
            </w:r>
          </w:p>
        </w:tc>
        <w:tc>
          <w:tcPr>
            <w:tcW w:w="7040" w:type="dxa"/>
            <w:tcBorders>
              <w:top w:val="nil"/>
              <w:left w:val="nil"/>
              <w:bottom w:val="nil"/>
              <w:right w:val="nil"/>
            </w:tcBorders>
            <w:shd w:val="clear" w:color="auto" w:fill="auto"/>
            <w:noWrap/>
            <w:vAlign w:val="bottom"/>
            <w:hideMark/>
          </w:tcPr>
          <w:p w:rsidR="00D53A04" w:rsidRPr="00EB2995" w:rsidRDefault="00D53A04" w:rsidP="00D53A04">
            <w:pPr>
              <w:rPr>
                <w:rFonts w:cs="Calibri"/>
                <w:color w:val="000000"/>
                <w:lang w:eastAsia="en-GB"/>
              </w:rPr>
            </w:pPr>
            <w:r w:rsidRPr="00EB2995">
              <w:rPr>
                <w:rFonts w:cs="Calibri"/>
                <w:color w:val="000000"/>
                <w:lang w:eastAsia="en-GB"/>
              </w:rPr>
              <w:t>Pension interest cost and expected return on pension costs</w:t>
            </w:r>
          </w:p>
        </w:tc>
        <w:tc>
          <w:tcPr>
            <w:tcW w:w="1080" w:type="dxa"/>
            <w:tcBorders>
              <w:top w:val="nil"/>
              <w:left w:val="single" w:sz="4" w:space="0" w:color="auto"/>
              <w:bottom w:val="nil"/>
              <w:right w:val="single" w:sz="4" w:space="0" w:color="auto"/>
            </w:tcBorders>
            <w:shd w:val="clear" w:color="auto" w:fill="auto"/>
            <w:noWrap/>
            <w:vAlign w:val="bottom"/>
            <w:hideMark/>
          </w:tcPr>
          <w:p w:rsidR="00D53A04" w:rsidRPr="00EB2995" w:rsidRDefault="00D53A04" w:rsidP="00D53A04">
            <w:pPr>
              <w:jc w:val="right"/>
              <w:rPr>
                <w:rFonts w:cs="Calibri"/>
                <w:color w:val="000000"/>
                <w:lang w:eastAsia="en-GB"/>
              </w:rPr>
            </w:pPr>
            <w:r w:rsidRPr="00EB2995">
              <w:rPr>
                <w:rFonts w:cs="Calibri"/>
                <w:color w:val="000000"/>
                <w:lang w:eastAsia="en-GB"/>
              </w:rPr>
              <w:t>0.0</w:t>
            </w:r>
          </w:p>
        </w:tc>
      </w:tr>
      <w:tr w:rsidR="00D53A04" w:rsidRPr="00EB2995" w:rsidTr="00D53A04">
        <w:trPr>
          <w:trHeight w:val="375"/>
        </w:trPr>
        <w:tc>
          <w:tcPr>
            <w:tcW w:w="1080" w:type="dxa"/>
            <w:tcBorders>
              <w:top w:val="nil"/>
              <w:left w:val="single" w:sz="4" w:space="0" w:color="auto"/>
              <w:bottom w:val="nil"/>
              <w:right w:val="single" w:sz="4" w:space="0" w:color="auto"/>
            </w:tcBorders>
            <w:shd w:val="clear" w:color="auto" w:fill="auto"/>
            <w:noWrap/>
            <w:vAlign w:val="bottom"/>
            <w:hideMark/>
          </w:tcPr>
          <w:p w:rsidR="00D53A04" w:rsidRPr="00EB2995" w:rsidRDefault="00D53A04" w:rsidP="00D53A04">
            <w:pPr>
              <w:jc w:val="right"/>
              <w:rPr>
                <w:rFonts w:cs="Calibri"/>
                <w:color w:val="000000"/>
                <w:lang w:eastAsia="en-GB"/>
              </w:rPr>
            </w:pPr>
            <w:r>
              <w:rPr>
                <w:rFonts w:cs="Calibri"/>
                <w:color w:val="000000"/>
                <w:lang w:eastAsia="en-GB"/>
              </w:rPr>
              <w:t>2</w:t>
            </w:r>
            <w:r w:rsidRPr="00EB2995">
              <w:rPr>
                <w:rFonts w:cs="Calibri"/>
                <w:color w:val="000000"/>
                <w:lang w:eastAsia="en-GB"/>
              </w:rPr>
              <w:t xml:space="preserve">0.0 </w:t>
            </w:r>
          </w:p>
        </w:tc>
        <w:tc>
          <w:tcPr>
            <w:tcW w:w="7040" w:type="dxa"/>
            <w:tcBorders>
              <w:top w:val="nil"/>
              <w:left w:val="nil"/>
              <w:bottom w:val="nil"/>
              <w:right w:val="nil"/>
            </w:tcBorders>
            <w:shd w:val="clear" w:color="auto" w:fill="auto"/>
            <w:noWrap/>
            <w:vAlign w:val="bottom"/>
            <w:hideMark/>
          </w:tcPr>
          <w:p w:rsidR="00D53A04" w:rsidRPr="00EB2995" w:rsidRDefault="00D53A04" w:rsidP="00D53A04">
            <w:pPr>
              <w:rPr>
                <w:rFonts w:cs="Calibri"/>
                <w:color w:val="000000"/>
                <w:lang w:eastAsia="en-GB"/>
              </w:rPr>
            </w:pPr>
            <w:r w:rsidRPr="00EB2995">
              <w:rPr>
                <w:rFonts w:cs="Calibri"/>
                <w:color w:val="000000"/>
                <w:lang w:eastAsia="en-GB"/>
              </w:rPr>
              <w:t>Exceptional items - pension liability IAS19 adjustment</w:t>
            </w:r>
          </w:p>
        </w:tc>
        <w:tc>
          <w:tcPr>
            <w:tcW w:w="1080" w:type="dxa"/>
            <w:tcBorders>
              <w:top w:val="nil"/>
              <w:left w:val="single" w:sz="4" w:space="0" w:color="auto"/>
              <w:bottom w:val="nil"/>
              <w:right w:val="single" w:sz="4" w:space="0" w:color="auto"/>
            </w:tcBorders>
            <w:shd w:val="clear" w:color="auto" w:fill="auto"/>
            <w:noWrap/>
            <w:vAlign w:val="bottom"/>
            <w:hideMark/>
          </w:tcPr>
          <w:p w:rsidR="00D53A04" w:rsidRPr="00EB2995" w:rsidRDefault="00D53A04" w:rsidP="00D53A04">
            <w:pPr>
              <w:jc w:val="right"/>
              <w:rPr>
                <w:rFonts w:cs="Calibri"/>
                <w:color w:val="000000"/>
                <w:lang w:eastAsia="en-GB"/>
              </w:rPr>
            </w:pPr>
            <w:r w:rsidRPr="00EB2995">
              <w:rPr>
                <w:rFonts w:cs="Calibri"/>
                <w:color w:val="000000"/>
                <w:lang w:eastAsia="en-GB"/>
              </w:rPr>
              <w:t>0.0</w:t>
            </w:r>
          </w:p>
        </w:tc>
      </w:tr>
      <w:tr w:rsidR="00D53A04" w:rsidRPr="00EB2995" w:rsidTr="00D53A04">
        <w:trPr>
          <w:trHeight w:val="402"/>
        </w:trPr>
        <w:tc>
          <w:tcPr>
            <w:tcW w:w="1080" w:type="dxa"/>
            <w:tcBorders>
              <w:top w:val="nil"/>
              <w:left w:val="single" w:sz="4" w:space="0" w:color="auto"/>
              <w:bottom w:val="nil"/>
              <w:right w:val="single" w:sz="4" w:space="0" w:color="auto"/>
            </w:tcBorders>
            <w:shd w:val="clear" w:color="auto" w:fill="auto"/>
            <w:noWrap/>
            <w:vAlign w:val="bottom"/>
            <w:hideMark/>
          </w:tcPr>
          <w:p w:rsidR="00D53A04" w:rsidRPr="00EB2995" w:rsidRDefault="00D53A04" w:rsidP="00D53A04">
            <w:pPr>
              <w:jc w:val="right"/>
              <w:rPr>
                <w:rFonts w:cs="Calibri"/>
                <w:color w:val="000000"/>
                <w:lang w:eastAsia="en-GB"/>
              </w:rPr>
            </w:pPr>
            <w:r w:rsidRPr="00EB2995">
              <w:rPr>
                <w:rFonts w:cs="Calibri"/>
                <w:color w:val="000000"/>
                <w:lang w:eastAsia="en-GB"/>
              </w:rPr>
              <w:t xml:space="preserve">8.2 </w:t>
            </w:r>
          </w:p>
        </w:tc>
        <w:tc>
          <w:tcPr>
            <w:tcW w:w="7040" w:type="dxa"/>
            <w:tcBorders>
              <w:top w:val="nil"/>
              <w:left w:val="nil"/>
              <w:bottom w:val="nil"/>
              <w:right w:val="nil"/>
            </w:tcBorders>
            <w:shd w:val="clear" w:color="auto" w:fill="auto"/>
            <w:noWrap/>
            <w:vAlign w:val="bottom"/>
            <w:hideMark/>
          </w:tcPr>
          <w:p w:rsidR="00D53A04" w:rsidRPr="00EB2995" w:rsidRDefault="00D53A04" w:rsidP="00D53A04">
            <w:pPr>
              <w:rPr>
                <w:rFonts w:cs="Calibri"/>
                <w:color w:val="000000"/>
                <w:lang w:eastAsia="en-GB"/>
              </w:rPr>
            </w:pPr>
            <w:r w:rsidRPr="00EB2995">
              <w:rPr>
                <w:rFonts w:cs="Calibri"/>
                <w:color w:val="000000"/>
                <w:lang w:eastAsia="en-GB"/>
              </w:rPr>
              <w:t>Transfers to major repairs reserve</w:t>
            </w:r>
          </w:p>
        </w:tc>
        <w:tc>
          <w:tcPr>
            <w:tcW w:w="1080" w:type="dxa"/>
            <w:tcBorders>
              <w:top w:val="nil"/>
              <w:left w:val="single" w:sz="4" w:space="0" w:color="auto"/>
              <w:bottom w:val="nil"/>
              <w:right w:val="single" w:sz="4" w:space="0" w:color="auto"/>
            </w:tcBorders>
            <w:shd w:val="clear" w:color="auto" w:fill="auto"/>
            <w:noWrap/>
            <w:vAlign w:val="bottom"/>
            <w:hideMark/>
          </w:tcPr>
          <w:p w:rsidR="00D53A04" w:rsidRPr="00EB2995" w:rsidRDefault="00D53A04" w:rsidP="00D53A04">
            <w:pPr>
              <w:jc w:val="right"/>
              <w:rPr>
                <w:rFonts w:cs="Calibri"/>
                <w:color w:val="000000"/>
                <w:lang w:eastAsia="en-GB"/>
              </w:rPr>
            </w:pPr>
            <w:r>
              <w:rPr>
                <w:rFonts w:cs="Calibri"/>
                <w:color w:val="000000"/>
                <w:lang w:eastAsia="en-GB"/>
              </w:rPr>
              <w:t>8.4</w:t>
            </w:r>
          </w:p>
        </w:tc>
      </w:tr>
      <w:tr w:rsidR="00D53A04" w:rsidRPr="00EB2995" w:rsidTr="00D53A04">
        <w:trPr>
          <w:trHeight w:val="402"/>
        </w:trPr>
        <w:tc>
          <w:tcPr>
            <w:tcW w:w="1080" w:type="dxa"/>
            <w:tcBorders>
              <w:top w:val="nil"/>
              <w:left w:val="single" w:sz="4" w:space="0" w:color="auto"/>
              <w:bottom w:val="nil"/>
              <w:right w:val="single" w:sz="4" w:space="0" w:color="auto"/>
            </w:tcBorders>
            <w:shd w:val="clear" w:color="auto" w:fill="auto"/>
            <w:noWrap/>
            <w:vAlign w:val="bottom"/>
            <w:hideMark/>
          </w:tcPr>
          <w:p w:rsidR="00D53A04" w:rsidRPr="00EB2995" w:rsidRDefault="00D53A04" w:rsidP="00D53A04">
            <w:pPr>
              <w:jc w:val="right"/>
              <w:rPr>
                <w:rFonts w:cs="Calibri"/>
                <w:color w:val="000000"/>
                <w:lang w:eastAsia="en-GB"/>
              </w:rPr>
            </w:pPr>
            <w:r w:rsidRPr="00EB2995">
              <w:rPr>
                <w:rFonts w:cs="Calibri"/>
                <w:color w:val="000000"/>
                <w:lang w:eastAsia="en-GB"/>
              </w:rPr>
              <w:t xml:space="preserve">(7.3) </w:t>
            </w:r>
          </w:p>
        </w:tc>
        <w:tc>
          <w:tcPr>
            <w:tcW w:w="7040" w:type="dxa"/>
            <w:tcBorders>
              <w:top w:val="nil"/>
              <w:left w:val="nil"/>
              <w:bottom w:val="nil"/>
              <w:right w:val="nil"/>
            </w:tcBorders>
            <w:shd w:val="clear" w:color="auto" w:fill="auto"/>
            <w:noWrap/>
            <w:vAlign w:val="bottom"/>
            <w:hideMark/>
          </w:tcPr>
          <w:p w:rsidR="00D53A04" w:rsidRPr="00EB2995" w:rsidRDefault="00D53A04" w:rsidP="00D53A04">
            <w:pPr>
              <w:rPr>
                <w:rFonts w:cs="Calibri"/>
                <w:color w:val="000000"/>
                <w:lang w:eastAsia="en-GB"/>
              </w:rPr>
            </w:pPr>
            <w:r w:rsidRPr="00EB2995">
              <w:rPr>
                <w:rFonts w:cs="Calibri"/>
                <w:color w:val="000000"/>
                <w:lang w:eastAsia="en-GB"/>
              </w:rPr>
              <w:t>Transfers to capital adjustment account</w:t>
            </w:r>
          </w:p>
        </w:tc>
        <w:tc>
          <w:tcPr>
            <w:tcW w:w="1080" w:type="dxa"/>
            <w:tcBorders>
              <w:top w:val="nil"/>
              <w:left w:val="single" w:sz="4" w:space="0" w:color="auto"/>
              <w:bottom w:val="nil"/>
              <w:right w:val="single" w:sz="4" w:space="0" w:color="auto"/>
            </w:tcBorders>
            <w:shd w:val="clear" w:color="auto" w:fill="auto"/>
            <w:noWrap/>
            <w:vAlign w:val="bottom"/>
            <w:hideMark/>
          </w:tcPr>
          <w:p w:rsidR="00D53A04" w:rsidRPr="00EB2995" w:rsidRDefault="00D53A04" w:rsidP="00D53A04">
            <w:pPr>
              <w:jc w:val="right"/>
              <w:rPr>
                <w:rFonts w:cs="Calibri"/>
                <w:color w:val="000000"/>
                <w:lang w:eastAsia="en-GB"/>
              </w:rPr>
            </w:pPr>
            <w:r w:rsidRPr="00EB2995">
              <w:rPr>
                <w:rFonts w:cs="Calibri"/>
                <w:color w:val="000000"/>
                <w:lang w:eastAsia="en-GB"/>
              </w:rPr>
              <w:t>(7.8)</w:t>
            </w:r>
          </w:p>
        </w:tc>
      </w:tr>
      <w:tr w:rsidR="00D53A04" w:rsidRPr="00EB2995" w:rsidTr="00D53A04">
        <w:trPr>
          <w:trHeight w:val="402"/>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D53A04" w:rsidRPr="00EB2995" w:rsidRDefault="00D53A04" w:rsidP="00D53A04">
            <w:pPr>
              <w:jc w:val="right"/>
              <w:rPr>
                <w:rFonts w:cs="Calibri"/>
                <w:color w:val="000000"/>
                <w:lang w:eastAsia="en-GB"/>
              </w:rPr>
            </w:pPr>
            <w:r w:rsidRPr="00EB2995">
              <w:rPr>
                <w:rFonts w:cs="Calibri"/>
                <w:color w:val="000000"/>
                <w:lang w:eastAsia="en-GB"/>
              </w:rPr>
              <w:t xml:space="preserve">(3.4) </w:t>
            </w:r>
          </w:p>
        </w:tc>
        <w:tc>
          <w:tcPr>
            <w:tcW w:w="7040" w:type="dxa"/>
            <w:tcBorders>
              <w:top w:val="nil"/>
              <w:left w:val="nil"/>
              <w:bottom w:val="nil"/>
              <w:right w:val="nil"/>
            </w:tcBorders>
            <w:shd w:val="clear" w:color="auto" w:fill="auto"/>
            <w:vAlign w:val="bottom"/>
            <w:hideMark/>
          </w:tcPr>
          <w:p w:rsidR="00D53A04" w:rsidRPr="00EB2995" w:rsidRDefault="00D53A04" w:rsidP="00D53A04">
            <w:pPr>
              <w:rPr>
                <w:rFonts w:cs="Calibri"/>
                <w:lang w:eastAsia="en-GB"/>
              </w:rPr>
            </w:pPr>
            <w:r w:rsidRPr="00EB2995">
              <w:rPr>
                <w:rFonts w:cs="Calibri"/>
                <w:lang w:eastAsia="en-GB"/>
              </w:rPr>
              <w:t>Revenue expenditure funded from capital under statute (REFCUS)</w:t>
            </w:r>
          </w:p>
        </w:tc>
        <w:tc>
          <w:tcPr>
            <w:tcW w:w="1080" w:type="dxa"/>
            <w:tcBorders>
              <w:top w:val="nil"/>
              <w:left w:val="single" w:sz="4" w:space="0" w:color="auto"/>
              <w:bottom w:val="nil"/>
              <w:right w:val="single" w:sz="4" w:space="0" w:color="auto"/>
            </w:tcBorders>
            <w:shd w:val="clear" w:color="auto" w:fill="auto"/>
            <w:noWrap/>
            <w:vAlign w:val="bottom"/>
            <w:hideMark/>
          </w:tcPr>
          <w:p w:rsidR="00D53A04" w:rsidRPr="00EB2995" w:rsidRDefault="00D53A04" w:rsidP="00D53A04">
            <w:pPr>
              <w:jc w:val="right"/>
              <w:rPr>
                <w:rFonts w:cs="Calibri"/>
                <w:color w:val="000000"/>
                <w:lang w:eastAsia="en-GB"/>
              </w:rPr>
            </w:pPr>
            <w:r w:rsidRPr="00EB2995">
              <w:rPr>
                <w:rFonts w:cs="Calibri"/>
                <w:color w:val="000000"/>
                <w:lang w:eastAsia="en-GB"/>
              </w:rPr>
              <w:t>0.0</w:t>
            </w:r>
          </w:p>
        </w:tc>
      </w:tr>
      <w:tr w:rsidR="00D53A04" w:rsidRPr="00EB2995" w:rsidTr="00D53A04">
        <w:trPr>
          <w:trHeight w:val="69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D53A04" w:rsidRPr="00EB2995" w:rsidRDefault="00D53A04" w:rsidP="00D53A04">
            <w:pPr>
              <w:jc w:val="right"/>
              <w:rPr>
                <w:rFonts w:cs="Calibri"/>
                <w:b/>
                <w:bCs/>
                <w:color w:val="000000"/>
                <w:lang w:eastAsia="en-GB"/>
              </w:rPr>
            </w:pPr>
            <w:r w:rsidRPr="00EB2995">
              <w:rPr>
                <w:rFonts w:cs="Calibri"/>
                <w:b/>
                <w:bCs/>
                <w:color w:val="000000"/>
                <w:lang w:eastAsia="en-GB"/>
              </w:rPr>
              <w:t xml:space="preserve">(19.6) </w:t>
            </w:r>
          </w:p>
        </w:tc>
        <w:tc>
          <w:tcPr>
            <w:tcW w:w="7040" w:type="dxa"/>
            <w:tcBorders>
              <w:top w:val="nil"/>
              <w:left w:val="nil"/>
              <w:bottom w:val="nil"/>
              <w:right w:val="nil"/>
            </w:tcBorders>
            <w:shd w:val="clear" w:color="auto" w:fill="auto"/>
            <w:vAlign w:val="bottom"/>
            <w:hideMark/>
          </w:tcPr>
          <w:p w:rsidR="00D53A04" w:rsidRPr="00EB2995" w:rsidRDefault="00D53A04" w:rsidP="00D53A04">
            <w:pPr>
              <w:rPr>
                <w:rFonts w:cs="Calibri"/>
                <w:b/>
                <w:bCs/>
                <w:color w:val="000000"/>
                <w:lang w:eastAsia="en-GB"/>
              </w:rPr>
            </w:pPr>
            <w:r w:rsidRPr="00EB2995">
              <w:rPr>
                <w:rFonts w:cs="Calibri"/>
                <w:b/>
                <w:bCs/>
                <w:color w:val="000000"/>
                <w:lang w:eastAsia="en-GB"/>
              </w:rPr>
              <w:t>Total adjustments between accounting basis and funding basis under Regulations</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3A04" w:rsidRPr="00EB2995" w:rsidRDefault="00D53A04" w:rsidP="00D53A04">
            <w:pPr>
              <w:jc w:val="right"/>
              <w:rPr>
                <w:rFonts w:cs="Calibri"/>
                <w:b/>
                <w:bCs/>
                <w:color w:val="000000"/>
                <w:lang w:eastAsia="en-GB"/>
              </w:rPr>
            </w:pPr>
            <w:r>
              <w:rPr>
                <w:rFonts w:cs="Calibri"/>
                <w:b/>
                <w:bCs/>
                <w:color w:val="000000"/>
                <w:lang w:eastAsia="en-GB"/>
              </w:rPr>
              <w:t>(13.1</w:t>
            </w:r>
            <w:r w:rsidRPr="00EB2995">
              <w:rPr>
                <w:rFonts w:cs="Calibri"/>
                <w:b/>
                <w:bCs/>
                <w:color w:val="000000"/>
                <w:lang w:eastAsia="en-GB"/>
              </w:rPr>
              <w:t>)</w:t>
            </w:r>
          </w:p>
        </w:tc>
      </w:tr>
    </w:tbl>
    <w:p w:rsidR="00F72906" w:rsidRDefault="00F72906" w:rsidP="00D53A04">
      <w:pPr>
        <w:pStyle w:val="Heading2"/>
      </w:pPr>
      <w:bookmarkStart w:id="20" w:name="_Toc61870290"/>
      <w:r>
        <w:lastRenderedPageBreak/>
        <w:t>Notes to the Housing Revenue Account</w:t>
      </w:r>
      <w:bookmarkEnd w:id="20"/>
    </w:p>
    <w:p w:rsidR="00F72906" w:rsidRDefault="00F72906" w:rsidP="00D53A04">
      <w:pPr>
        <w:pStyle w:val="Heading3"/>
      </w:pPr>
      <w:r>
        <w:t>Note 1 – Housing Stock</w:t>
      </w:r>
    </w:p>
    <w:p w:rsidR="00F72906" w:rsidRDefault="00F72906" w:rsidP="00F72906"/>
    <w:p w:rsidR="00F72906" w:rsidRDefault="00F72906" w:rsidP="00F72906">
      <w:r>
        <w:t>The Council's stock of dwellings increased during the year from 7,751 to 7,794, a net increase of 43 dwellings. In addition to the units listed below, the Council also owns the freehold on 3,771 properties with leaseholders paying service charges and contributing towards the co</w:t>
      </w:r>
      <w:r w:rsidR="00D53A04">
        <w:t>st of major works to the block.</w:t>
      </w:r>
    </w:p>
    <w:p w:rsidR="00F72906" w:rsidRDefault="00F72906" w:rsidP="00F72906">
      <w:r>
        <w:t>The number of dwelling units at the end of the year was made up as follows:</w:t>
      </w:r>
    </w:p>
    <w:tbl>
      <w:tblPr>
        <w:tblW w:w="8222" w:type="dxa"/>
        <w:tblLook w:val="04A0" w:firstRow="1" w:lastRow="0" w:firstColumn="1" w:lastColumn="0" w:noHBand="0" w:noVBand="1"/>
      </w:tblPr>
      <w:tblGrid>
        <w:gridCol w:w="2200"/>
        <w:gridCol w:w="1840"/>
        <w:gridCol w:w="1365"/>
        <w:gridCol w:w="124"/>
        <w:gridCol w:w="1328"/>
        <w:gridCol w:w="1365"/>
      </w:tblGrid>
      <w:tr w:rsidR="00D53A04" w:rsidRPr="00EB2995" w:rsidTr="00D53A04">
        <w:trPr>
          <w:gridAfter w:val="3"/>
          <w:wAfter w:w="2817" w:type="dxa"/>
          <w:trHeight w:val="300"/>
        </w:trPr>
        <w:tc>
          <w:tcPr>
            <w:tcW w:w="2200" w:type="dxa"/>
            <w:tcBorders>
              <w:top w:val="nil"/>
              <w:left w:val="nil"/>
              <w:bottom w:val="nil"/>
              <w:right w:val="nil"/>
            </w:tcBorders>
            <w:shd w:val="clear" w:color="auto" w:fill="auto"/>
            <w:noWrap/>
            <w:vAlign w:val="bottom"/>
            <w:hideMark/>
          </w:tcPr>
          <w:p w:rsidR="00D53A04" w:rsidRPr="00EB2995" w:rsidRDefault="00D53A04" w:rsidP="00D53A04">
            <w:pPr>
              <w:rPr>
                <w:rFonts w:cs="Calibri"/>
                <w:sz w:val="20"/>
                <w:szCs w:val="20"/>
                <w:lang w:eastAsia="en-GB"/>
              </w:rPr>
            </w:pPr>
          </w:p>
        </w:tc>
        <w:tc>
          <w:tcPr>
            <w:tcW w:w="1840" w:type="dxa"/>
            <w:tcBorders>
              <w:top w:val="nil"/>
              <w:left w:val="nil"/>
              <w:bottom w:val="nil"/>
              <w:right w:val="nil"/>
            </w:tcBorders>
            <w:shd w:val="clear" w:color="auto" w:fill="auto"/>
            <w:noWrap/>
            <w:vAlign w:val="bottom"/>
            <w:hideMark/>
          </w:tcPr>
          <w:p w:rsidR="00D53A04" w:rsidRPr="00EB2995" w:rsidRDefault="00D53A04" w:rsidP="00D53A04">
            <w:pPr>
              <w:jc w:val="right"/>
              <w:rPr>
                <w:rFonts w:cs="Calibri"/>
                <w:b/>
                <w:bCs/>
                <w:color w:val="000000"/>
                <w:lang w:eastAsia="en-GB"/>
              </w:rPr>
            </w:pPr>
            <w:r w:rsidRPr="00EB2995">
              <w:rPr>
                <w:rFonts w:cs="Calibri"/>
                <w:b/>
                <w:bCs/>
                <w:color w:val="000000"/>
                <w:lang w:eastAsia="en-GB"/>
              </w:rPr>
              <w:t>31-Mar-2019</w:t>
            </w:r>
          </w:p>
        </w:tc>
        <w:tc>
          <w:tcPr>
            <w:tcW w:w="1365" w:type="dxa"/>
            <w:tcBorders>
              <w:top w:val="nil"/>
              <w:left w:val="nil"/>
              <w:bottom w:val="nil"/>
              <w:right w:val="nil"/>
            </w:tcBorders>
            <w:shd w:val="clear" w:color="auto" w:fill="auto"/>
            <w:noWrap/>
            <w:vAlign w:val="bottom"/>
            <w:hideMark/>
          </w:tcPr>
          <w:p w:rsidR="00D53A04" w:rsidRPr="00EB2995" w:rsidRDefault="00D53A04" w:rsidP="00D53A04">
            <w:pPr>
              <w:jc w:val="right"/>
              <w:rPr>
                <w:rFonts w:cs="Calibri"/>
                <w:b/>
                <w:bCs/>
                <w:color w:val="000000"/>
                <w:lang w:eastAsia="en-GB"/>
              </w:rPr>
            </w:pPr>
            <w:r w:rsidRPr="00EB2995">
              <w:rPr>
                <w:rFonts w:cs="Calibri"/>
                <w:b/>
                <w:bCs/>
                <w:color w:val="000000"/>
                <w:lang w:eastAsia="en-GB"/>
              </w:rPr>
              <w:t>31-Mar-2020</w:t>
            </w:r>
          </w:p>
        </w:tc>
      </w:tr>
      <w:tr w:rsidR="00D53A04" w:rsidRPr="00EB2995" w:rsidTr="00D53A04">
        <w:trPr>
          <w:trHeight w:val="600"/>
        </w:trPr>
        <w:tc>
          <w:tcPr>
            <w:tcW w:w="2200" w:type="dxa"/>
            <w:tcBorders>
              <w:top w:val="nil"/>
              <w:left w:val="nil"/>
              <w:bottom w:val="nil"/>
              <w:right w:val="nil"/>
            </w:tcBorders>
            <w:shd w:val="clear" w:color="auto" w:fill="auto"/>
            <w:vAlign w:val="bottom"/>
            <w:hideMark/>
          </w:tcPr>
          <w:p w:rsidR="00D53A04" w:rsidRPr="00EB2995" w:rsidRDefault="00D53A04" w:rsidP="00D53A04">
            <w:pPr>
              <w:rPr>
                <w:rFonts w:cs="Calibri"/>
                <w:b/>
                <w:bCs/>
                <w:color w:val="000000"/>
                <w:sz w:val="20"/>
                <w:szCs w:val="20"/>
                <w:lang w:eastAsia="en-GB"/>
              </w:rPr>
            </w:pPr>
            <w:r w:rsidRPr="00EB2995">
              <w:rPr>
                <w:rFonts w:cs="Calibri"/>
                <w:b/>
                <w:bCs/>
                <w:color w:val="000000"/>
                <w:sz w:val="20"/>
                <w:szCs w:val="20"/>
                <w:lang w:eastAsia="en-GB"/>
              </w:rPr>
              <w:t>Stock Type</w:t>
            </w:r>
          </w:p>
        </w:tc>
        <w:tc>
          <w:tcPr>
            <w:tcW w:w="1840" w:type="dxa"/>
            <w:tcBorders>
              <w:top w:val="nil"/>
              <w:left w:val="nil"/>
              <w:bottom w:val="nil"/>
              <w:right w:val="nil"/>
            </w:tcBorders>
            <w:shd w:val="clear" w:color="auto" w:fill="auto"/>
            <w:vAlign w:val="bottom"/>
            <w:hideMark/>
          </w:tcPr>
          <w:p w:rsidR="00D53A04" w:rsidRPr="00EB2995" w:rsidRDefault="00D53A04" w:rsidP="00D53A04">
            <w:pPr>
              <w:jc w:val="right"/>
              <w:rPr>
                <w:rFonts w:cs="Calibri"/>
                <w:b/>
                <w:bCs/>
                <w:color w:val="000000"/>
                <w:lang w:eastAsia="en-GB"/>
              </w:rPr>
            </w:pPr>
            <w:r w:rsidRPr="00EB2995">
              <w:rPr>
                <w:rFonts w:cs="Calibri"/>
                <w:b/>
                <w:bCs/>
                <w:color w:val="000000"/>
                <w:lang w:eastAsia="en-GB"/>
              </w:rPr>
              <w:t>Dwellings Units</w:t>
            </w:r>
          </w:p>
        </w:tc>
        <w:tc>
          <w:tcPr>
            <w:tcW w:w="1489" w:type="dxa"/>
            <w:gridSpan w:val="2"/>
            <w:tcBorders>
              <w:top w:val="nil"/>
              <w:left w:val="nil"/>
              <w:bottom w:val="nil"/>
              <w:right w:val="nil"/>
            </w:tcBorders>
            <w:shd w:val="clear" w:color="auto" w:fill="auto"/>
            <w:vAlign w:val="bottom"/>
            <w:hideMark/>
          </w:tcPr>
          <w:p w:rsidR="00D53A04" w:rsidRPr="00EB2995" w:rsidRDefault="00D53A04" w:rsidP="00D53A04">
            <w:pPr>
              <w:jc w:val="right"/>
              <w:rPr>
                <w:rFonts w:cs="Calibri"/>
                <w:b/>
                <w:bCs/>
                <w:color w:val="000000"/>
                <w:lang w:eastAsia="en-GB"/>
              </w:rPr>
            </w:pPr>
            <w:r w:rsidRPr="00EB2995">
              <w:rPr>
                <w:rFonts w:cs="Calibri"/>
                <w:b/>
                <w:bCs/>
                <w:color w:val="000000"/>
                <w:lang w:eastAsia="en-GB"/>
              </w:rPr>
              <w:t>RTB Disposals</w:t>
            </w:r>
          </w:p>
        </w:tc>
        <w:tc>
          <w:tcPr>
            <w:tcW w:w="1328" w:type="dxa"/>
            <w:tcBorders>
              <w:top w:val="nil"/>
              <w:left w:val="nil"/>
              <w:bottom w:val="nil"/>
              <w:right w:val="nil"/>
            </w:tcBorders>
            <w:shd w:val="clear" w:color="auto" w:fill="auto"/>
            <w:vAlign w:val="bottom"/>
            <w:hideMark/>
          </w:tcPr>
          <w:p w:rsidR="00D53A04" w:rsidRPr="00EB2995" w:rsidRDefault="00D53A04" w:rsidP="00D53A04">
            <w:pPr>
              <w:jc w:val="right"/>
              <w:rPr>
                <w:rFonts w:cs="Calibri"/>
                <w:b/>
                <w:bCs/>
                <w:color w:val="000000"/>
                <w:lang w:eastAsia="en-GB"/>
              </w:rPr>
            </w:pPr>
            <w:r w:rsidRPr="00EB2995">
              <w:rPr>
                <w:rFonts w:cs="Calibri"/>
                <w:b/>
                <w:bCs/>
                <w:color w:val="000000"/>
                <w:lang w:eastAsia="en-GB"/>
              </w:rPr>
              <w:t>Acquisitions</w:t>
            </w:r>
          </w:p>
        </w:tc>
        <w:tc>
          <w:tcPr>
            <w:tcW w:w="1365" w:type="dxa"/>
            <w:tcBorders>
              <w:top w:val="nil"/>
              <w:left w:val="nil"/>
              <w:bottom w:val="nil"/>
              <w:right w:val="nil"/>
            </w:tcBorders>
            <w:shd w:val="clear" w:color="auto" w:fill="auto"/>
            <w:vAlign w:val="bottom"/>
            <w:hideMark/>
          </w:tcPr>
          <w:p w:rsidR="00D53A04" w:rsidRPr="00EB2995" w:rsidRDefault="00D53A04" w:rsidP="00D53A04">
            <w:pPr>
              <w:jc w:val="right"/>
              <w:rPr>
                <w:rFonts w:cs="Calibri"/>
                <w:b/>
                <w:bCs/>
                <w:color w:val="000000"/>
                <w:lang w:eastAsia="en-GB"/>
              </w:rPr>
            </w:pPr>
            <w:r w:rsidRPr="00EB2995">
              <w:rPr>
                <w:rFonts w:cs="Calibri"/>
                <w:b/>
                <w:bCs/>
                <w:color w:val="000000"/>
                <w:lang w:eastAsia="en-GB"/>
              </w:rPr>
              <w:t>Dwellings Units</w:t>
            </w:r>
          </w:p>
        </w:tc>
      </w:tr>
      <w:tr w:rsidR="00D53A04" w:rsidRPr="00EB2995" w:rsidTr="00D53A04">
        <w:trPr>
          <w:trHeight w:val="300"/>
        </w:trPr>
        <w:tc>
          <w:tcPr>
            <w:tcW w:w="2200" w:type="dxa"/>
            <w:tcBorders>
              <w:top w:val="nil"/>
              <w:left w:val="nil"/>
              <w:bottom w:val="nil"/>
              <w:right w:val="nil"/>
            </w:tcBorders>
            <w:shd w:val="clear" w:color="auto" w:fill="auto"/>
            <w:vAlign w:val="bottom"/>
            <w:hideMark/>
          </w:tcPr>
          <w:p w:rsidR="00D53A04" w:rsidRPr="00EB2995" w:rsidRDefault="00D53A04" w:rsidP="00D53A04">
            <w:pPr>
              <w:rPr>
                <w:rFonts w:cs="Calibri"/>
                <w:color w:val="000000"/>
                <w:sz w:val="20"/>
                <w:szCs w:val="20"/>
                <w:lang w:eastAsia="en-GB"/>
              </w:rPr>
            </w:pPr>
            <w:r w:rsidRPr="00EB2995">
              <w:rPr>
                <w:rFonts w:cs="Calibri"/>
                <w:color w:val="000000"/>
                <w:sz w:val="20"/>
                <w:szCs w:val="20"/>
                <w:lang w:eastAsia="en-GB"/>
              </w:rPr>
              <w:t xml:space="preserve">Flats </w:t>
            </w:r>
          </w:p>
        </w:tc>
        <w:tc>
          <w:tcPr>
            <w:tcW w:w="1840" w:type="dxa"/>
            <w:tcBorders>
              <w:top w:val="single" w:sz="4" w:space="0" w:color="auto"/>
              <w:left w:val="single" w:sz="4" w:space="0" w:color="auto"/>
              <w:bottom w:val="nil"/>
              <w:right w:val="single" w:sz="4" w:space="0" w:color="auto"/>
            </w:tcBorders>
            <w:shd w:val="clear" w:color="auto" w:fill="auto"/>
            <w:noWrap/>
            <w:vAlign w:val="bottom"/>
            <w:hideMark/>
          </w:tcPr>
          <w:p w:rsidR="00D53A04" w:rsidRPr="00EB2995" w:rsidRDefault="00D53A04" w:rsidP="00D53A04">
            <w:pPr>
              <w:jc w:val="right"/>
              <w:rPr>
                <w:rFonts w:cs="Calibri"/>
                <w:color w:val="000000"/>
                <w:lang w:eastAsia="en-GB"/>
              </w:rPr>
            </w:pPr>
            <w:r w:rsidRPr="00EB2995">
              <w:rPr>
                <w:rFonts w:cs="Calibri"/>
                <w:color w:val="000000"/>
                <w:lang w:eastAsia="en-GB"/>
              </w:rPr>
              <w:t xml:space="preserve">5,699 </w:t>
            </w:r>
          </w:p>
        </w:tc>
        <w:tc>
          <w:tcPr>
            <w:tcW w:w="1489" w:type="dxa"/>
            <w:gridSpan w:val="2"/>
            <w:tcBorders>
              <w:top w:val="single" w:sz="4" w:space="0" w:color="auto"/>
              <w:left w:val="nil"/>
              <w:bottom w:val="nil"/>
              <w:right w:val="single" w:sz="4" w:space="0" w:color="auto"/>
            </w:tcBorders>
            <w:shd w:val="clear" w:color="auto" w:fill="auto"/>
            <w:noWrap/>
            <w:vAlign w:val="bottom"/>
            <w:hideMark/>
          </w:tcPr>
          <w:p w:rsidR="00D53A04" w:rsidRPr="00EB2995" w:rsidRDefault="00D53A04" w:rsidP="00D53A04">
            <w:pPr>
              <w:jc w:val="right"/>
              <w:rPr>
                <w:rFonts w:cs="Calibri"/>
                <w:color w:val="000000"/>
                <w:lang w:eastAsia="en-GB"/>
              </w:rPr>
            </w:pPr>
            <w:r w:rsidRPr="00EB2995">
              <w:rPr>
                <w:rFonts w:cs="Calibri"/>
                <w:color w:val="000000"/>
                <w:lang w:eastAsia="en-GB"/>
              </w:rPr>
              <w:t>(21)</w:t>
            </w:r>
          </w:p>
        </w:tc>
        <w:tc>
          <w:tcPr>
            <w:tcW w:w="1328" w:type="dxa"/>
            <w:tcBorders>
              <w:top w:val="single" w:sz="4" w:space="0" w:color="auto"/>
              <w:left w:val="nil"/>
              <w:bottom w:val="nil"/>
              <w:right w:val="single" w:sz="4" w:space="0" w:color="auto"/>
            </w:tcBorders>
            <w:shd w:val="clear" w:color="auto" w:fill="auto"/>
            <w:noWrap/>
            <w:vAlign w:val="bottom"/>
            <w:hideMark/>
          </w:tcPr>
          <w:p w:rsidR="00D53A04" w:rsidRPr="00EB2995" w:rsidRDefault="00D53A04" w:rsidP="00D53A04">
            <w:pPr>
              <w:jc w:val="right"/>
              <w:rPr>
                <w:rFonts w:cs="Calibri"/>
                <w:color w:val="000000"/>
                <w:lang w:eastAsia="en-GB"/>
              </w:rPr>
            </w:pPr>
            <w:r w:rsidRPr="00EB2995">
              <w:rPr>
                <w:rFonts w:cs="Calibri"/>
                <w:color w:val="000000"/>
                <w:lang w:eastAsia="en-GB"/>
              </w:rPr>
              <w:t>53</w:t>
            </w:r>
          </w:p>
        </w:tc>
        <w:tc>
          <w:tcPr>
            <w:tcW w:w="1365" w:type="dxa"/>
            <w:tcBorders>
              <w:top w:val="single" w:sz="4" w:space="0" w:color="auto"/>
              <w:left w:val="nil"/>
              <w:bottom w:val="nil"/>
              <w:right w:val="single" w:sz="4" w:space="0" w:color="auto"/>
            </w:tcBorders>
            <w:shd w:val="clear" w:color="auto" w:fill="auto"/>
            <w:noWrap/>
            <w:vAlign w:val="bottom"/>
            <w:hideMark/>
          </w:tcPr>
          <w:p w:rsidR="00D53A04" w:rsidRPr="00EB2995" w:rsidRDefault="00D53A04" w:rsidP="00D53A04">
            <w:pPr>
              <w:jc w:val="right"/>
              <w:rPr>
                <w:rFonts w:cs="Calibri"/>
                <w:color w:val="000000"/>
                <w:lang w:eastAsia="en-GB"/>
              </w:rPr>
            </w:pPr>
            <w:r w:rsidRPr="00EB2995">
              <w:rPr>
                <w:rFonts w:cs="Calibri"/>
                <w:color w:val="000000"/>
                <w:lang w:eastAsia="en-GB"/>
              </w:rPr>
              <w:t xml:space="preserve">5,731 </w:t>
            </w:r>
          </w:p>
        </w:tc>
      </w:tr>
      <w:tr w:rsidR="00D53A04" w:rsidRPr="00EB2995" w:rsidTr="00D53A04">
        <w:trPr>
          <w:trHeight w:val="300"/>
        </w:trPr>
        <w:tc>
          <w:tcPr>
            <w:tcW w:w="2200" w:type="dxa"/>
            <w:tcBorders>
              <w:top w:val="nil"/>
              <w:left w:val="nil"/>
              <w:bottom w:val="nil"/>
              <w:right w:val="nil"/>
            </w:tcBorders>
            <w:shd w:val="clear" w:color="auto" w:fill="auto"/>
            <w:noWrap/>
            <w:vAlign w:val="bottom"/>
            <w:hideMark/>
          </w:tcPr>
          <w:p w:rsidR="00D53A04" w:rsidRPr="00EB2995" w:rsidRDefault="00D53A04" w:rsidP="00D53A04">
            <w:pPr>
              <w:rPr>
                <w:rFonts w:cs="Calibri"/>
                <w:sz w:val="20"/>
                <w:szCs w:val="20"/>
                <w:lang w:eastAsia="en-GB"/>
              </w:rPr>
            </w:pPr>
            <w:r w:rsidRPr="00EB2995">
              <w:rPr>
                <w:rFonts w:cs="Calibri"/>
                <w:sz w:val="20"/>
                <w:szCs w:val="20"/>
                <w:lang w:eastAsia="en-GB"/>
              </w:rPr>
              <w:t>Houses</w:t>
            </w:r>
          </w:p>
        </w:tc>
        <w:tc>
          <w:tcPr>
            <w:tcW w:w="1840" w:type="dxa"/>
            <w:tcBorders>
              <w:top w:val="nil"/>
              <w:left w:val="single" w:sz="4" w:space="0" w:color="auto"/>
              <w:bottom w:val="nil"/>
              <w:right w:val="single" w:sz="4" w:space="0" w:color="auto"/>
            </w:tcBorders>
            <w:shd w:val="clear" w:color="auto" w:fill="auto"/>
            <w:noWrap/>
            <w:vAlign w:val="bottom"/>
            <w:hideMark/>
          </w:tcPr>
          <w:p w:rsidR="00D53A04" w:rsidRPr="00EB2995" w:rsidRDefault="00D53A04" w:rsidP="00D53A04">
            <w:pPr>
              <w:jc w:val="right"/>
              <w:rPr>
                <w:rFonts w:cs="Calibri"/>
                <w:color w:val="000000"/>
                <w:lang w:eastAsia="en-GB"/>
              </w:rPr>
            </w:pPr>
            <w:r w:rsidRPr="00EB2995">
              <w:rPr>
                <w:rFonts w:cs="Calibri"/>
                <w:color w:val="000000"/>
                <w:lang w:eastAsia="en-GB"/>
              </w:rPr>
              <w:t xml:space="preserve">2,052 </w:t>
            </w:r>
          </w:p>
        </w:tc>
        <w:tc>
          <w:tcPr>
            <w:tcW w:w="1489" w:type="dxa"/>
            <w:gridSpan w:val="2"/>
            <w:tcBorders>
              <w:top w:val="nil"/>
              <w:left w:val="nil"/>
              <w:bottom w:val="nil"/>
              <w:right w:val="single" w:sz="4" w:space="0" w:color="auto"/>
            </w:tcBorders>
            <w:shd w:val="clear" w:color="auto" w:fill="auto"/>
            <w:noWrap/>
            <w:vAlign w:val="bottom"/>
            <w:hideMark/>
          </w:tcPr>
          <w:p w:rsidR="00D53A04" w:rsidRPr="00EB2995" w:rsidRDefault="00D53A04" w:rsidP="00D53A04">
            <w:pPr>
              <w:jc w:val="right"/>
              <w:rPr>
                <w:rFonts w:cs="Calibri"/>
                <w:color w:val="000000"/>
                <w:lang w:eastAsia="en-GB"/>
              </w:rPr>
            </w:pPr>
            <w:r w:rsidRPr="00EB2995">
              <w:rPr>
                <w:rFonts w:cs="Calibri"/>
                <w:color w:val="000000"/>
                <w:lang w:eastAsia="en-GB"/>
              </w:rPr>
              <w:t>(3)</w:t>
            </w:r>
          </w:p>
        </w:tc>
        <w:tc>
          <w:tcPr>
            <w:tcW w:w="1328" w:type="dxa"/>
            <w:tcBorders>
              <w:top w:val="nil"/>
              <w:left w:val="nil"/>
              <w:bottom w:val="nil"/>
              <w:right w:val="single" w:sz="4" w:space="0" w:color="auto"/>
            </w:tcBorders>
            <w:shd w:val="clear" w:color="auto" w:fill="auto"/>
            <w:noWrap/>
            <w:vAlign w:val="bottom"/>
            <w:hideMark/>
          </w:tcPr>
          <w:p w:rsidR="00D53A04" w:rsidRPr="00EB2995" w:rsidRDefault="00D53A04" w:rsidP="00D53A04">
            <w:pPr>
              <w:jc w:val="right"/>
              <w:rPr>
                <w:rFonts w:cs="Calibri"/>
                <w:color w:val="000000"/>
                <w:lang w:eastAsia="en-GB"/>
              </w:rPr>
            </w:pPr>
            <w:r w:rsidRPr="00EB2995">
              <w:rPr>
                <w:rFonts w:cs="Calibri"/>
                <w:color w:val="000000"/>
                <w:lang w:eastAsia="en-GB"/>
              </w:rPr>
              <w:t>14</w:t>
            </w:r>
          </w:p>
        </w:tc>
        <w:tc>
          <w:tcPr>
            <w:tcW w:w="1365" w:type="dxa"/>
            <w:tcBorders>
              <w:top w:val="nil"/>
              <w:left w:val="nil"/>
              <w:bottom w:val="nil"/>
              <w:right w:val="single" w:sz="4" w:space="0" w:color="auto"/>
            </w:tcBorders>
            <w:shd w:val="clear" w:color="auto" w:fill="auto"/>
            <w:noWrap/>
            <w:vAlign w:val="bottom"/>
            <w:hideMark/>
          </w:tcPr>
          <w:p w:rsidR="00D53A04" w:rsidRPr="00EB2995" w:rsidRDefault="00D53A04" w:rsidP="00D53A04">
            <w:pPr>
              <w:jc w:val="right"/>
              <w:rPr>
                <w:rFonts w:cs="Calibri"/>
                <w:color w:val="000000"/>
                <w:lang w:eastAsia="en-GB"/>
              </w:rPr>
            </w:pPr>
            <w:r w:rsidRPr="00EB2995">
              <w:rPr>
                <w:rFonts w:cs="Calibri"/>
                <w:color w:val="000000"/>
                <w:lang w:eastAsia="en-GB"/>
              </w:rPr>
              <w:t xml:space="preserve">2,063 </w:t>
            </w:r>
          </w:p>
        </w:tc>
      </w:tr>
      <w:tr w:rsidR="00D53A04" w:rsidRPr="00EB2995" w:rsidTr="00D53A04">
        <w:trPr>
          <w:trHeight w:val="300"/>
        </w:trPr>
        <w:tc>
          <w:tcPr>
            <w:tcW w:w="2200" w:type="dxa"/>
            <w:tcBorders>
              <w:top w:val="nil"/>
              <w:left w:val="nil"/>
              <w:bottom w:val="nil"/>
              <w:right w:val="nil"/>
            </w:tcBorders>
            <w:shd w:val="clear" w:color="auto" w:fill="auto"/>
            <w:vAlign w:val="bottom"/>
            <w:hideMark/>
          </w:tcPr>
          <w:p w:rsidR="00D53A04" w:rsidRPr="00EB2995" w:rsidRDefault="00D53A04" w:rsidP="00D53A04">
            <w:pPr>
              <w:rPr>
                <w:rFonts w:cs="Calibri"/>
                <w:b/>
                <w:bCs/>
                <w:color w:val="000000"/>
                <w:sz w:val="20"/>
                <w:szCs w:val="20"/>
                <w:lang w:eastAsia="en-GB"/>
              </w:rPr>
            </w:pPr>
            <w:r w:rsidRPr="00EB2995">
              <w:rPr>
                <w:rFonts w:cs="Calibri"/>
                <w:b/>
                <w:bCs/>
                <w:color w:val="000000"/>
                <w:sz w:val="20"/>
                <w:szCs w:val="20"/>
                <w:lang w:eastAsia="en-GB"/>
              </w:rPr>
              <w:t>Total Dwellings Units</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3A04" w:rsidRPr="00EB2995" w:rsidRDefault="00D53A04" w:rsidP="00D53A04">
            <w:pPr>
              <w:jc w:val="right"/>
              <w:rPr>
                <w:rFonts w:cs="Calibri"/>
                <w:b/>
                <w:bCs/>
                <w:color w:val="000000"/>
                <w:lang w:eastAsia="en-GB"/>
              </w:rPr>
            </w:pPr>
            <w:r w:rsidRPr="00EB2995">
              <w:rPr>
                <w:rFonts w:cs="Calibri"/>
                <w:b/>
                <w:bCs/>
                <w:color w:val="000000"/>
                <w:lang w:eastAsia="en-GB"/>
              </w:rPr>
              <w:t xml:space="preserve">7,751 </w:t>
            </w:r>
          </w:p>
        </w:tc>
        <w:tc>
          <w:tcPr>
            <w:tcW w:w="1489" w:type="dxa"/>
            <w:gridSpan w:val="2"/>
            <w:tcBorders>
              <w:top w:val="single" w:sz="4" w:space="0" w:color="auto"/>
              <w:left w:val="nil"/>
              <w:bottom w:val="single" w:sz="4" w:space="0" w:color="auto"/>
              <w:right w:val="single" w:sz="4" w:space="0" w:color="auto"/>
            </w:tcBorders>
            <w:shd w:val="clear" w:color="auto" w:fill="auto"/>
            <w:noWrap/>
            <w:vAlign w:val="bottom"/>
            <w:hideMark/>
          </w:tcPr>
          <w:p w:rsidR="00D53A04" w:rsidRPr="00EB2995" w:rsidRDefault="00D53A04" w:rsidP="00D53A04">
            <w:pPr>
              <w:jc w:val="right"/>
              <w:rPr>
                <w:rFonts w:cs="Calibri"/>
                <w:b/>
                <w:bCs/>
                <w:color w:val="000000"/>
                <w:lang w:eastAsia="en-GB"/>
              </w:rPr>
            </w:pPr>
            <w:r w:rsidRPr="00EB2995">
              <w:rPr>
                <w:rFonts w:cs="Calibri"/>
                <w:b/>
                <w:bCs/>
                <w:color w:val="000000"/>
                <w:lang w:eastAsia="en-GB"/>
              </w:rPr>
              <w:t>(24)</w:t>
            </w:r>
          </w:p>
        </w:tc>
        <w:tc>
          <w:tcPr>
            <w:tcW w:w="1328" w:type="dxa"/>
            <w:tcBorders>
              <w:top w:val="single" w:sz="4" w:space="0" w:color="auto"/>
              <w:left w:val="nil"/>
              <w:bottom w:val="single" w:sz="4" w:space="0" w:color="auto"/>
              <w:right w:val="single" w:sz="4" w:space="0" w:color="auto"/>
            </w:tcBorders>
            <w:shd w:val="clear" w:color="auto" w:fill="auto"/>
            <w:noWrap/>
            <w:vAlign w:val="bottom"/>
            <w:hideMark/>
          </w:tcPr>
          <w:p w:rsidR="00D53A04" w:rsidRPr="00EB2995" w:rsidRDefault="00D53A04" w:rsidP="00D53A04">
            <w:pPr>
              <w:jc w:val="right"/>
              <w:rPr>
                <w:rFonts w:cs="Calibri"/>
                <w:b/>
                <w:bCs/>
                <w:color w:val="000000"/>
                <w:lang w:eastAsia="en-GB"/>
              </w:rPr>
            </w:pPr>
            <w:r w:rsidRPr="00EB2995">
              <w:rPr>
                <w:rFonts w:cs="Calibri"/>
                <w:b/>
                <w:bCs/>
                <w:color w:val="000000"/>
                <w:lang w:eastAsia="en-GB"/>
              </w:rPr>
              <w:t>67</w:t>
            </w:r>
          </w:p>
        </w:tc>
        <w:tc>
          <w:tcPr>
            <w:tcW w:w="1365" w:type="dxa"/>
            <w:tcBorders>
              <w:top w:val="single" w:sz="4" w:space="0" w:color="auto"/>
              <w:left w:val="nil"/>
              <w:bottom w:val="single" w:sz="4" w:space="0" w:color="auto"/>
              <w:right w:val="single" w:sz="4" w:space="0" w:color="auto"/>
            </w:tcBorders>
            <w:shd w:val="clear" w:color="auto" w:fill="auto"/>
            <w:noWrap/>
            <w:vAlign w:val="bottom"/>
            <w:hideMark/>
          </w:tcPr>
          <w:p w:rsidR="00D53A04" w:rsidRPr="00EB2995" w:rsidRDefault="00D53A04" w:rsidP="00D53A04">
            <w:pPr>
              <w:jc w:val="right"/>
              <w:rPr>
                <w:rFonts w:cs="Calibri"/>
                <w:b/>
                <w:bCs/>
                <w:color w:val="000000"/>
                <w:lang w:eastAsia="en-GB"/>
              </w:rPr>
            </w:pPr>
            <w:r w:rsidRPr="00EB2995">
              <w:rPr>
                <w:rFonts w:cs="Calibri"/>
                <w:b/>
                <w:bCs/>
                <w:color w:val="000000"/>
                <w:lang w:eastAsia="en-GB"/>
              </w:rPr>
              <w:t xml:space="preserve">7,794 </w:t>
            </w:r>
          </w:p>
        </w:tc>
      </w:tr>
    </w:tbl>
    <w:p w:rsidR="00F72906" w:rsidRDefault="00F72906" w:rsidP="00F72906"/>
    <w:p w:rsidR="00F72906" w:rsidRDefault="00F72906" w:rsidP="00D53A04">
      <w:pPr>
        <w:pStyle w:val="Heading3"/>
      </w:pPr>
      <w:r>
        <w:t>Note 2 – Rent Arrears</w:t>
      </w:r>
    </w:p>
    <w:p w:rsidR="00F72906" w:rsidRDefault="00F72906" w:rsidP="00F72906"/>
    <w:p w:rsidR="00F72906" w:rsidRDefault="00F72906" w:rsidP="00F72906">
      <w:r>
        <w:t>The level of service charge and rent arrears at 31st March 2020 was £4.2m . Movement on the arrears and related provisions are shown below.</w:t>
      </w:r>
    </w:p>
    <w:tbl>
      <w:tblPr>
        <w:tblW w:w="8503" w:type="dxa"/>
        <w:tblInd w:w="93" w:type="dxa"/>
        <w:tblLook w:val="00A0" w:firstRow="1" w:lastRow="0" w:firstColumn="1" w:lastColumn="0" w:noHBand="0" w:noVBand="0"/>
      </w:tblPr>
      <w:tblGrid>
        <w:gridCol w:w="1417"/>
        <w:gridCol w:w="5669"/>
        <w:gridCol w:w="1417"/>
      </w:tblGrid>
      <w:tr w:rsidR="00D53A04" w:rsidRPr="00EB2995" w:rsidTr="00D53A04">
        <w:trPr>
          <w:trHeight w:val="315"/>
        </w:trPr>
        <w:tc>
          <w:tcPr>
            <w:tcW w:w="1417" w:type="dxa"/>
            <w:tcBorders>
              <w:top w:val="nil"/>
              <w:left w:val="nil"/>
              <w:bottom w:val="nil"/>
              <w:right w:val="nil"/>
            </w:tcBorders>
            <w:noWrap/>
            <w:vAlign w:val="bottom"/>
          </w:tcPr>
          <w:p w:rsidR="00D53A04" w:rsidRPr="00EB2995" w:rsidRDefault="00D53A04" w:rsidP="00D53A04">
            <w:pPr>
              <w:jc w:val="right"/>
              <w:rPr>
                <w:rFonts w:cs="Calibri"/>
                <w:b/>
              </w:rPr>
            </w:pPr>
            <w:r w:rsidRPr="00EB2995">
              <w:rPr>
                <w:rFonts w:cs="Calibri"/>
                <w:b/>
              </w:rPr>
              <w:t>31-Mar-2019</w:t>
            </w:r>
          </w:p>
        </w:tc>
        <w:tc>
          <w:tcPr>
            <w:tcW w:w="5669" w:type="dxa"/>
            <w:tcBorders>
              <w:top w:val="nil"/>
              <w:left w:val="nil"/>
              <w:bottom w:val="nil"/>
              <w:right w:val="nil"/>
            </w:tcBorders>
            <w:noWrap/>
            <w:vAlign w:val="bottom"/>
          </w:tcPr>
          <w:p w:rsidR="00D53A04" w:rsidRPr="00EB2995" w:rsidRDefault="00D53A04" w:rsidP="00D53A04">
            <w:pPr>
              <w:jc w:val="right"/>
              <w:rPr>
                <w:rFonts w:cs="Calibri"/>
              </w:rPr>
            </w:pPr>
          </w:p>
        </w:tc>
        <w:tc>
          <w:tcPr>
            <w:tcW w:w="1417" w:type="dxa"/>
            <w:tcBorders>
              <w:top w:val="nil"/>
              <w:left w:val="nil"/>
              <w:bottom w:val="nil"/>
              <w:right w:val="nil"/>
            </w:tcBorders>
            <w:noWrap/>
            <w:vAlign w:val="bottom"/>
          </w:tcPr>
          <w:p w:rsidR="00D53A04" w:rsidRPr="00EB2995" w:rsidRDefault="00D53A04" w:rsidP="00D53A04">
            <w:pPr>
              <w:jc w:val="right"/>
              <w:rPr>
                <w:rFonts w:cs="Calibri"/>
                <w:b/>
              </w:rPr>
            </w:pPr>
            <w:r w:rsidRPr="00EB2995">
              <w:rPr>
                <w:rFonts w:cs="Calibri"/>
                <w:b/>
              </w:rPr>
              <w:t>31-Mar-2020</w:t>
            </w:r>
          </w:p>
        </w:tc>
      </w:tr>
      <w:tr w:rsidR="00D53A04" w:rsidRPr="00EB2995" w:rsidTr="00D53A04">
        <w:trPr>
          <w:trHeight w:val="315"/>
        </w:trPr>
        <w:tc>
          <w:tcPr>
            <w:tcW w:w="1417" w:type="dxa"/>
            <w:tcBorders>
              <w:top w:val="nil"/>
              <w:left w:val="nil"/>
              <w:bottom w:val="nil"/>
              <w:right w:val="nil"/>
            </w:tcBorders>
            <w:noWrap/>
            <w:vAlign w:val="bottom"/>
          </w:tcPr>
          <w:p w:rsidR="00D53A04" w:rsidRPr="00EB2995" w:rsidRDefault="00D53A04" w:rsidP="00D53A04">
            <w:pPr>
              <w:jc w:val="right"/>
              <w:rPr>
                <w:rFonts w:cs="Calibri"/>
                <w:b/>
              </w:rPr>
            </w:pPr>
            <w:r w:rsidRPr="00EB2995">
              <w:rPr>
                <w:rFonts w:cs="Calibri"/>
                <w:b/>
              </w:rPr>
              <w:t>£m</w:t>
            </w:r>
          </w:p>
        </w:tc>
        <w:tc>
          <w:tcPr>
            <w:tcW w:w="5669" w:type="dxa"/>
            <w:tcBorders>
              <w:top w:val="nil"/>
              <w:left w:val="nil"/>
              <w:bottom w:val="nil"/>
              <w:right w:val="nil"/>
            </w:tcBorders>
            <w:noWrap/>
            <w:vAlign w:val="bottom"/>
          </w:tcPr>
          <w:p w:rsidR="00D53A04" w:rsidRPr="00EB2995" w:rsidRDefault="00D53A04" w:rsidP="00D53A04">
            <w:pPr>
              <w:jc w:val="right"/>
              <w:rPr>
                <w:rFonts w:cs="Calibri"/>
              </w:rPr>
            </w:pPr>
          </w:p>
        </w:tc>
        <w:tc>
          <w:tcPr>
            <w:tcW w:w="1417" w:type="dxa"/>
            <w:tcBorders>
              <w:top w:val="nil"/>
              <w:left w:val="nil"/>
              <w:bottom w:val="nil"/>
              <w:right w:val="nil"/>
            </w:tcBorders>
            <w:noWrap/>
            <w:vAlign w:val="bottom"/>
          </w:tcPr>
          <w:p w:rsidR="00D53A04" w:rsidRPr="00EB2995" w:rsidRDefault="00D53A04" w:rsidP="00D53A04">
            <w:pPr>
              <w:jc w:val="right"/>
              <w:rPr>
                <w:rFonts w:cs="Calibri"/>
                <w:b/>
              </w:rPr>
            </w:pPr>
            <w:r w:rsidRPr="00EB2995">
              <w:rPr>
                <w:rFonts w:cs="Calibri"/>
                <w:b/>
              </w:rPr>
              <w:t>£m</w:t>
            </w:r>
          </w:p>
        </w:tc>
      </w:tr>
      <w:tr w:rsidR="00D53A04" w:rsidRPr="00EB2995" w:rsidTr="00D53A04">
        <w:trPr>
          <w:trHeight w:val="315"/>
        </w:trPr>
        <w:tc>
          <w:tcPr>
            <w:tcW w:w="1417" w:type="dxa"/>
            <w:tcBorders>
              <w:top w:val="single" w:sz="4" w:space="0" w:color="auto"/>
              <w:left w:val="single" w:sz="4" w:space="0" w:color="auto"/>
              <w:bottom w:val="nil"/>
              <w:right w:val="single" w:sz="4" w:space="0" w:color="auto"/>
            </w:tcBorders>
            <w:noWrap/>
            <w:vAlign w:val="bottom"/>
          </w:tcPr>
          <w:p w:rsidR="00D53A04" w:rsidRPr="00EB2995" w:rsidRDefault="00D53A04" w:rsidP="00D53A04">
            <w:pPr>
              <w:jc w:val="right"/>
              <w:rPr>
                <w:rFonts w:cs="Calibri"/>
              </w:rPr>
            </w:pPr>
            <w:r w:rsidRPr="00EB2995">
              <w:rPr>
                <w:rFonts w:cs="Calibri"/>
              </w:rPr>
              <w:t>(4.2)</w:t>
            </w:r>
          </w:p>
        </w:tc>
        <w:tc>
          <w:tcPr>
            <w:tcW w:w="5669" w:type="dxa"/>
            <w:tcBorders>
              <w:top w:val="nil"/>
              <w:left w:val="nil"/>
              <w:bottom w:val="nil"/>
              <w:right w:val="nil"/>
            </w:tcBorders>
            <w:noWrap/>
            <w:vAlign w:val="bottom"/>
          </w:tcPr>
          <w:p w:rsidR="00D53A04" w:rsidRPr="00EB2995" w:rsidRDefault="00D53A04" w:rsidP="00D53A04">
            <w:pPr>
              <w:rPr>
                <w:rFonts w:cs="Calibri"/>
              </w:rPr>
            </w:pPr>
            <w:r w:rsidRPr="00EB2995">
              <w:rPr>
                <w:rFonts w:cs="Calibri"/>
              </w:rPr>
              <w:t>Arrears from tenants</w:t>
            </w:r>
          </w:p>
        </w:tc>
        <w:tc>
          <w:tcPr>
            <w:tcW w:w="1417" w:type="dxa"/>
            <w:tcBorders>
              <w:top w:val="single" w:sz="4" w:space="0" w:color="auto"/>
              <w:left w:val="single" w:sz="4" w:space="0" w:color="auto"/>
              <w:bottom w:val="nil"/>
              <w:right w:val="single" w:sz="4" w:space="0" w:color="auto"/>
            </w:tcBorders>
            <w:noWrap/>
            <w:vAlign w:val="bottom"/>
          </w:tcPr>
          <w:p w:rsidR="00D53A04" w:rsidRPr="00EB2995" w:rsidRDefault="00D53A04" w:rsidP="00D53A04">
            <w:pPr>
              <w:jc w:val="right"/>
              <w:rPr>
                <w:rFonts w:cs="Calibri"/>
              </w:rPr>
            </w:pPr>
            <w:r w:rsidRPr="00EB2995">
              <w:rPr>
                <w:rFonts w:cs="Calibri"/>
              </w:rPr>
              <w:t>(4.8)</w:t>
            </w:r>
          </w:p>
        </w:tc>
      </w:tr>
      <w:tr w:rsidR="00D53A04" w:rsidRPr="00EB2995" w:rsidTr="00D53A04">
        <w:trPr>
          <w:trHeight w:val="300"/>
        </w:trPr>
        <w:tc>
          <w:tcPr>
            <w:tcW w:w="1417" w:type="dxa"/>
            <w:tcBorders>
              <w:top w:val="nil"/>
              <w:left w:val="single" w:sz="4" w:space="0" w:color="auto"/>
              <w:bottom w:val="nil"/>
              <w:right w:val="single" w:sz="4" w:space="0" w:color="auto"/>
            </w:tcBorders>
            <w:noWrap/>
            <w:vAlign w:val="bottom"/>
          </w:tcPr>
          <w:p w:rsidR="00D53A04" w:rsidRPr="00EB2995" w:rsidRDefault="00D53A04" w:rsidP="00D53A04">
            <w:pPr>
              <w:jc w:val="right"/>
              <w:rPr>
                <w:rFonts w:cs="Calibri"/>
              </w:rPr>
            </w:pPr>
            <w:r w:rsidRPr="00EB2995">
              <w:rPr>
                <w:rFonts w:cs="Calibri"/>
              </w:rPr>
              <w:t>(7.6)</w:t>
            </w:r>
          </w:p>
        </w:tc>
        <w:tc>
          <w:tcPr>
            <w:tcW w:w="5669" w:type="dxa"/>
            <w:tcBorders>
              <w:top w:val="nil"/>
              <w:left w:val="nil"/>
              <w:bottom w:val="nil"/>
              <w:right w:val="nil"/>
            </w:tcBorders>
            <w:noWrap/>
            <w:vAlign w:val="bottom"/>
          </w:tcPr>
          <w:p w:rsidR="00D53A04" w:rsidRPr="00EB2995" w:rsidRDefault="00D53A04" w:rsidP="00D53A04">
            <w:pPr>
              <w:rPr>
                <w:rFonts w:cs="Calibri"/>
              </w:rPr>
            </w:pPr>
            <w:r w:rsidRPr="00EB2995">
              <w:rPr>
                <w:rFonts w:cs="Calibri"/>
              </w:rPr>
              <w:t>Arrears from Right to Buy Leaseholders</w:t>
            </w:r>
          </w:p>
        </w:tc>
        <w:tc>
          <w:tcPr>
            <w:tcW w:w="1417" w:type="dxa"/>
            <w:tcBorders>
              <w:top w:val="nil"/>
              <w:left w:val="single" w:sz="4" w:space="0" w:color="auto"/>
              <w:bottom w:val="nil"/>
              <w:right w:val="single" w:sz="4" w:space="0" w:color="auto"/>
            </w:tcBorders>
            <w:noWrap/>
            <w:vAlign w:val="bottom"/>
          </w:tcPr>
          <w:p w:rsidR="00D53A04" w:rsidRPr="00EB2995" w:rsidRDefault="00D53A04" w:rsidP="00D53A04">
            <w:pPr>
              <w:jc w:val="right"/>
              <w:rPr>
                <w:rFonts w:cs="Calibri"/>
              </w:rPr>
            </w:pPr>
            <w:r w:rsidRPr="00EB2995">
              <w:rPr>
                <w:rFonts w:cs="Calibri"/>
              </w:rPr>
              <w:t>(6.6)</w:t>
            </w:r>
          </w:p>
        </w:tc>
      </w:tr>
      <w:tr w:rsidR="00D53A04" w:rsidRPr="00EB2995" w:rsidTr="00D53A04">
        <w:trPr>
          <w:trHeight w:val="300"/>
        </w:trPr>
        <w:tc>
          <w:tcPr>
            <w:tcW w:w="1417" w:type="dxa"/>
            <w:tcBorders>
              <w:top w:val="nil"/>
              <w:left w:val="single" w:sz="4" w:space="0" w:color="auto"/>
              <w:bottom w:val="nil"/>
              <w:right w:val="single" w:sz="4" w:space="0" w:color="auto"/>
            </w:tcBorders>
            <w:noWrap/>
            <w:vAlign w:val="bottom"/>
          </w:tcPr>
          <w:p w:rsidR="00D53A04" w:rsidRPr="00EB2995" w:rsidRDefault="00D53A04" w:rsidP="00D53A04">
            <w:pPr>
              <w:jc w:val="right"/>
              <w:rPr>
                <w:rFonts w:cs="Calibri"/>
              </w:rPr>
            </w:pPr>
            <w:r w:rsidRPr="00EB2995">
              <w:rPr>
                <w:rFonts w:cs="Calibri"/>
              </w:rPr>
              <w:t>7.1</w:t>
            </w:r>
          </w:p>
        </w:tc>
        <w:tc>
          <w:tcPr>
            <w:tcW w:w="5669" w:type="dxa"/>
            <w:tcBorders>
              <w:top w:val="nil"/>
              <w:left w:val="nil"/>
              <w:bottom w:val="nil"/>
              <w:right w:val="nil"/>
            </w:tcBorders>
            <w:noWrap/>
            <w:vAlign w:val="bottom"/>
          </w:tcPr>
          <w:p w:rsidR="00D53A04" w:rsidRPr="00EB2995" w:rsidRDefault="00D53A04" w:rsidP="00D53A04">
            <w:pPr>
              <w:rPr>
                <w:rFonts w:cs="Calibri"/>
              </w:rPr>
            </w:pPr>
            <w:r w:rsidRPr="00EB2995">
              <w:rPr>
                <w:rFonts w:cs="Calibri"/>
              </w:rPr>
              <w:t>Impairment</w:t>
            </w:r>
          </w:p>
        </w:tc>
        <w:tc>
          <w:tcPr>
            <w:tcW w:w="1417" w:type="dxa"/>
            <w:tcBorders>
              <w:top w:val="nil"/>
              <w:left w:val="single" w:sz="4" w:space="0" w:color="auto"/>
              <w:bottom w:val="nil"/>
              <w:right w:val="single" w:sz="4" w:space="0" w:color="auto"/>
            </w:tcBorders>
            <w:noWrap/>
            <w:vAlign w:val="bottom"/>
          </w:tcPr>
          <w:p w:rsidR="00D53A04" w:rsidRPr="00EB2995" w:rsidRDefault="00D53A04" w:rsidP="00D53A04">
            <w:pPr>
              <w:jc w:val="right"/>
              <w:rPr>
                <w:rFonts w:cs="Calibri"/>
              </w:rPr>
            </w:pPr>
            <w:r w:rsidRPr="00EB2995">
              <w:rPr>
                <w:rFonts w:cs="Calibri"/>
              </w:rPr>
              <w:t>7.2</w:t>
            </w:r>
          </w:p>
        </w:tc>
      </w:tr>
      <w:tr w:rsidR="00D53A04" w:rsidRPr="00EB2995" w:rsidTr="00D53A04">
        <w:trPr>
          <w:trHeight w:val="300"/>
        </w:trPr>
        <w:tc>
          <w:tcPr>
            <w:tcW w:w="1417" w:type="dxa"/>
            <w:tcBorders>
              <w:top w:val="single" w:sz="4" w:space="0" w:color="auto"/>
              <w:left w:val="single" w:sz="4" w:space="0" w:color="auto"/>
              <w:bottom w:val="single" w:sz="4" w:space="0" w:color="auto"/>
              <w:right w:val="single" w:sz="4" w:space="0" w:color="auto"/>
            </w:tcBorders>
            <w:noWrap/>
            <w:vAlign w:val="bottom"/>
          </w:tcPr>
          <w:p w:rsidR="00D53A04" w:rsidRPr="00EB2995" w:rsidRDefault="00D53A04" w:rsidP="00D53A04">
            <w:pPr>
              <w:jc w:val="right"/>
              <w:rPr>
                <w:rFonts w:cs="Calibri"/>
                <w:b/>
              </w:rPr>
            </w:pPr>
            <w:r w:rsidRPr="00EB2995">
              <w:rPr>
                <w:rFonts w:cs="Calibri"/>
                <w:b/>
              </w:rPr>
              <w:t>(4.7)</w:t>
            </w:r>
          </w:p>
        </w:tc>
        <w:tc>
          <w:tcPr>
            <w:tcW w:w="5669" w:type="dxa"/>
            <w:tcBorders>
              <w:top w:val="nil"/>
              <w:left w:val="nil"/>
              <w:bottom w:val="nil"/>
              <w:right w:val="nil"/>
            </w:tcBorders>
            <w:noWrap/>
            <w:vAlign w:val="bottom"/>
          </w:tcPr>
          <w:p w:rsidR="00D53A04" w:rsidRPr="00EB2995" w:rsidRDefault="00D53A04" w:rsidP="00D53A04">
            <w:pPr>
              <w:rPr>
                <w:rFonts w:cs="Calibri"/>
                <w:b/>
              </w:rPr>
            </w:pPr>
            <w:r w:rsidRPr="00EB2995">
              <w:rPr>
                <w:rFonts w:cs="Calibri"/>
                <w:b/>
              </w:rPr>
              <w:t>Total Arrears</w:t>
            </w:r>
          </w:p>
        </w:tc>
        <w:tc>
          <w:tcPr>
            <w:tcW w:w="1417" w:type="dxa"/>
            <w:tcBorders>
              <w:top w:val="single" w:sz="4" w:space="0" w:color="auto"/>
              <w:left w:val="single" w:sz="4" w:space="0" w:color="auto"/>
              <w:bottom w:val="single" w:sz="4" w:space="0" w:color="auto"/>
              <w:right w:val="single" w:sz="4" w:space="0" w:color="auto"/>
            </w:tcBorders>
            <w:noWrap/>
            <w:vAlign w:val="bottom"/>
          </w:tcPr>
          <w:p w:rsidR="00D53A04" w:rsidRPr="00EB2995" w:rsidRDefault="00D53A04" w:rsidP="00D53A04">
            <w:pPr>
              <w:jc w:val="right"/>
              <w:rPr>
                <w:rFonts w:cs="Calibri"/>
                <w:b/>
              </w:rPr>
            </w:pPr>
            <w:r w:rsidRPr="00EB2995">
              <w:rPr>
                <w:rFonts w:cs="Calibri"/>
                <w:b/>
              </w:rPr>
              <w:t>(4.2)</w:t>
            </w:r>
          </w:p>
        </w:tc>
      </w:tr>
    </w:tbl>
    <w:p w:rsidR="009C7D60" w:rsidRDefault="009C7D60" w:rsidP="00D53A04">
      <w:pPr>
        <w:pStyle w:val="Heading3"/>
      </w:pPr>
    </w:p>
    <w:p w:rsidR="00F72906" w:rsidRDefault="00F72906" w:rsidP="00D53A04">
      <w:pPr>
        <w:pStyle w:val="Heading3"/>
      </w:pPr>
      <w:r>
        <w:t>Note 3 – Non-current Assets</w:t>
      </w:r>
    </w:p>
    <w:tbl>
      <w:tblPr>
        <w:tblW w:w="8758" w:type="dxa"/>
        <w:tblLook w:val="00A0" w:firstRow="1" w:lastRow="0" w:firstColumn="1" w:lastColumn="0" w:noHBand="0" w:noVBand="0"/>
      </w:tblPr>
      <w:tblGrid>
        <w:gridCol w:w="142"/>
        <w:gridCol w:w="1276"/>
        <w:gridCol w:w="3566"/>
        <w:gridCol w:w="120"/>
        <w:gridCol w:w="1133"/>
        <w:gridCol w:w="1133"/>
        <w:gridCol w:w="1388"/>
      </w:tblGrid>
      <w:tr w:rsidR="00D53A04" w:rsidRPr="00EB2995" w:rsidTr="00D53A04">
        <w:trPr>
          <w:trHeight w:val="600"/>
        </w:trPr>
        <w:tc>
          <w:tcPr>
            <w:tcW w:w="1418" w:type="dxa"/>
            <w:gridSpan w:val="2"/>
            <w:tcBorders>
              <w:top w:val="nil"/>
              <w:left w:val="nil"/>
              <w:bottom w:val="nil"/>
              <w:right w:val="nil"/>
            </w:tcBorders>
            <w:shd w:val="clear" w:color="auto" w:fill="auto"/>
            <w:vAlign w:val="bottom"/>
          </w:tcPr>
          <w:p w:rsidR="00D53A04" w:rsidRPr="00EB2995" w:rsidRDefault="00D53A04" w:rsidP="00D53A04">
            <w:pPr>
              <w:ind w:left="34" w:hanging="34"/>
              <w:jc w:val="center"/>
              <w:rPr>
                <w:rFonts w:cs="Calibri"/>
                <w:b/>
              </w:rPr>
            </w:pPr>
            <w:r w:rsidRPr="00EB2995">
              <w:rPr>
                <w:rFonts w:cs="Calibri"/>
                <w:b/>
              </w:rPr>
              <w:t>2018/19</w:t>
            </w:r>
          </w:p>
        </w:tc>
        <w:tc>
          <w:tcPr>
            <w:tcW w:w="3566" w:type="dxa"/>
            <w:tcBorders>
              <w:top w:val="nil"/>
              <w:left w:val="nil"/>
              <w:bottom w:val="nil"/>
              <w:right w:val="nil"/>
            </w:tcBorders>
            <w:shd w:val="clear" w:color="000000" w:fill="FFFFFF"/>
            <w:noWrap/>
          </w:tcPr>
          <w:p w:rsidR="00D53A04" w:rsidRPr="00EB2995" w:rsidRDefault="00D53A04" w:rsidP="00D53A04">
            <w:pPr>
              <w:jc w:val="center"/>
              <w:rPr>
                <w:rFonts w:cs="Calibri"/>
              </w:rPr>
            </w:pPr>
          </w:p>
        </w:tc>
        <w:tc>
          <w:tcPr>
            <w:tcW w:w="3774" w:type="dxa"/>
            <w:gridSpan w:val="4"/>
            <w:tcBorders>
              <w:top w:val="nil"/>
              <w:left w:val="nil"/>
              <w:right w:val="nil"/>
            </w:tcBorders>
            <w:shd w:val="clear" w:color="000000" w:fill="FFFFFF"/>
            <w:vAlign w:val="bottom"/>
          </w:tcPr>
          <w:p w:rsidR="00D53A04" w:rsidRPr="00EB2995" w:rsidRDefault="00D53A04" w:rsidP="00D53A04">
            <w:pPr>
              <w:jc w:val="center"/>
              <w:rPr>
                <w:rFonts w:cs="Calibri"/>
                <w:b/>
                <w:bCs/>
              </w:rPr>
            </w:pPr>
            <w:r w:rsidRPr="00EB2995">
              <w:rPr>
                <w:rFonts w:cs="Calibri"/>
                <w:b/>
                <w:bCs/>
              </w:rPr>
              <w:t>2019/20</w:t>
            </w:r>
          </w:p>
        </w:tc>
      </w:tr>
      <w:tr w:rsidR="00D53A04" w:rsidRPr="00EB2995" w:rsidTr="00D53A04">
        <w:trPr>
          <w:gridBefore w:val="1"/>
          <w:wBefore w:w="142" w:type="dxa"/>
          <w:trHeight w:val="600"/>
        </w:trPr>
        <w:tc>
          <w:tcPr>
            <w:tcW w:w="1276" w:type="dxa"/>
            <w:tcBorders>
              <w:top w:val="nil"/>
              <w:left w:val="nil"/>
              <w:bottom w:val="nil"/>
              <w:right w:val="nil"/>
            </w:tcBorders>
            <w:shd w:val="clear" w:color="auto" w:fill="auto"/>
          </w:tcPr>
          <w:p w:rsidR="00D53A04" w:rsidRPr="00EB2995" w:rsidRDefault="00D53A04" w:rsidP="00D53A04">
            <w:pPr>
              <w:jc w:val="center"/>
              <w:rPr>
                <w:rFonts w:cs="Calibri"/>
                <w:b/>
              </w:rPr>
            </w:pPr>
            <w:r w:rsidRPr="00EB2995">
              <w:rPr>
                <w:rFonts w:cs="Calibri"/>
                <w:b/>
              </w:rPr>
              <w:t>Total Non- Current Assets</w:t>
            </w:r>
          </w:p>
        </w:tc>
        <w:tc>
          <w:tcPr>
            <w:tcW w:w="3686" w:type="dxa"/>
            <w:gridSpan w:val="2"/>
            <w:tcBorders>
              <w:top w:val="nil"/>
              <w:left w:val="nil"/>
              <w:bottom w:val="nil"/>
              <w:right w:val="nil"/>
            </w:tcBorders>
            <w:shd w:val="clear" w:color="000000" w:fill="FFFFFF"/>
            <w:noWrap/>
          </w:tcPr>
          <w:p w:rsidR="00D53A04" w:rsidRPr="00EB2995" w:rsidRDefault="00D53A04" w:rsidP="00D53A04">
            <w:pPr>
              <w:jc w:val="center"/>
              <w:rPr>
                <w:rFonts w:cs="Calibri"/>
              </w:rPr>
            </w:pPr>
          </w:p>
        </w:tc>
        <w:tc>
          <w:tcPr>
            <w:tcW w:w="1133" w:type="dxa"/>
            <w:tcBorders>
              <w:top w:val="nil"/>
              <w:left w:val="nil"/>
              <w:right w:val="nil"/>
            </w:tcBorders>
            <w:shd w:val="clear" w:color="000000" w:fill="FFFFFF"/>
          </w:tcPr>
          <w:p w:rsidR="00D53A04" w:rsidRPr="00EB2995" w:rsidRDefault="00D53A04" w:rsidP="00D53A04">
            <w:pPr>
              <w:ind w:left="-168" w:firstLine="168"/>
              <w:jc w:val="center"/>
              <w:rPr>
                <w:rFonts w:cs="Calibri"/>
                <w:b/>
                <w:bCs/>
              </w:rPr>
            </w:pPr>
            <w:r w:rsidRPr="00EB2995">
              <w:rPr>
                <w:rFonts w:cs="Calibri"/>
                <w:b/>
                <w:bCs/>
              </w:rPr>
              <w:t>Council Dwellings</w:t>
            </w:r>
          </w:p>
        </w:tc>
        <w:tc>
          <w:tcPr>
            <w:tcW w:w="1133" w:type="dxa"/>
            <w:tcBorders>
              <w:top w:val="nil"/>
              <w:left w:val="nil"/>
              <w:right w:val="nil"/>
            </w:tcBorders>
            <w:shd w:val="clear" w:color="000000" w:fill="FFFFFF"/>
          </w:tcPr>
          <w:p w:rsidR="00D53A04" w:rsidRPr="00EB2995" w:rsidRDefault="00D53A04" w:rsidP="00D53A04">
            <w:pPr>
              <w:jc w:val="center"/>
              <w:rPr>
                <w:rFonts w:cs="Calibri"/>
                <w:b/>
                <w:bCs/>
              </w:rPr>
            </w:pPr>
            <w:r w:rsidRPr="00EB2995">
              <w:rPr>
                <w:rFonts w:cs="Calibri"/>
                <w:b/>
                <w:bCs/>
              </w:rPr>
              <w:t>Non- Dwellings</w:t>
            </w:r>
          </w:p>
        </w:tc>
        <w:tc>
          <w:tcPr>
            <w:tcW w:w="1388" w:type="dxa"/>
            <w:tcBorders>
              <w:top w:val="nil"/>
              <w:left w:val="nil"/>
              <w:right w:val="nil"/>
            </w:tcBorders>
            <w:shd w:val="clear" w:color="000000" w:fill="FFFFFF"/>
            <w:noWrap/>
          </w:tcPr>
          <w:p w:rsidR="00D53A04" w:rsidRPr="00EB2995" w:rsidRDefault="00D53A04" w:rsidP="00D53A04">
            <w:pPr>
              <w:jc w:val="center"/>
              <w:rPr>
                <w:rFonts w:cs="Calibri"/>
                <w:b/>
                <w:bCs/>
              </w:rPr>
            </w:pPr>
            <w:r w:rsidRPr="00EB2995">
              <w:rPr>
                <w:rFonts w:cs="Calibri"/>
                <w:b/>
                <w:bCs/>
              </w:rPr>
              <w:t>Total Non- Current Assets</w:t>
            </w:r>
          </w:p>
        </w:tc>
      </w:tr>
      <w:tr w:rsidR="00D53A04" w:rsidRPr="00EB2995" w:rsidTr="00D53A04">
        <w:trPr>
          <w:gridBefore w:val="1"/>
          <w:wBefore w:w="142" w:type="dxa"/>
          <w:trHeight w:val="300"/>
        </w:trPr>
        <w:tc>
          <w:tcPr>
            <w:tcW w:w="1276" w:type="dxa"/>
            <w:tcBorders>
              <w:top w:val="nil"/>
              <w:left w:val="nil"/>
              <w:bottom w:val="single" w:sz="4" w:space="0" w:color="auto"/>
              <w:right w:val="nil"/>
            </w:tcBorders>
            <w:shd w:val="clear" w:color="auto" w:fill="auto"/>
          </w:tcPr>
          <w:p w:rsidR="00D53A04" w:rsidRPr="00EB2995" w:rsidRDefault="00D53A04" w:rsidP="00D53A04">
            <w:pPr>
              <w:jc w:val="center"/>
              <w:rPr>
                <w:rFonts w:cs="Calibri"/>
                <w:b/>
              </w:rPr>
            </w:pPr>
            <w:r w:rsidRPr="00EB2995">
              <w:rPr>
                <w:rFonts w:cs="Calibri"/>
                <w:b/>
              </w:rPr>
              <w:t>£m</w:t>
            </w:r>
          </w:p>
        </w:tc>
        <w:tc>
          <w:tcPr>
            <w:tcW w:w="3686" w:type="dxa"/>
            <w:gridSpan w:val="2"/>
            <w:tcBorders>
              <w:top w:val="nil"/>
              <w:left w:val="nil"/>
              <w:right w:val="nil"/>
            </w:tcBorders>
            <w:shd w:val="clear" w:color="000000" w:fill="FFFFFF"/>
            <w:noWrap/>
          </w:tcPr>
          <w:p w:rsidR="00D53A04" w:rsidRPr="00EB2995" w:rsidRDefault="00D53A04" w:rsidP="00D53A04">
            <w:pPr>
              <w:jc w:val="center"/>
              <w:rPr>
                <w:rFonts w:cs="Calibri"/>
              </w:rPr>
            </w:pPr>
          </w:p>
        </w:tc>
        <w:tc>
          <w:tcPr>
            <w:tcW w:w="1133" w:type="dxa"/>
            <w:tcBorders>
              <w:top w:val="nil"/>
              <w:left w:val="nil"/>
              <w:bottom w:val="single" w:sz="4" w:space="0" w:color="auto"/>
              <w:right w:val="nil"/>
            </w:tcBorders>
            <w:shd w:val="clear" w:color="000000" w:fill="FFFFFF"/>
            <w:noWrap/>
          </w:tcPr>
          <w:p w:rsidR="00D53A04" w:rsidRPr="00EB2995" w:rsidRDefault="00D53A04" w:rsidP="00D53A04">
            <w:pPr>
              <w:jc w:val="center"/>
              <w:rPr>
                <w:rFonts w:cs="Calibri"/>
                <w:b/>
                <w:bCs/>
              </w:rPr>
            </w:pPr>
            <w:r w:rsidRPr="00EB2995">
              <w:rPr>
                <w:rFonts w:cs="Calibri"/>
                <w:b/>
                <w:bCs/>
              </w:rPr>
              <w:t>£m</w:t>
            </w:r>
          </w:p>
        </w:tc>
        <w:tc>
          <w:tcPr>
            <w:tcW w:w="1133" w:type="dxa"/>
            <w:tcBorders>
              <w:top w:val="nil"/>
              <w:left w:val="nil"/>
              <w:bottom w:val="single" w:sz="4" w:space="0" w:color="auto"/>
              <w:right w:val="nil"/>
            </w:tcBorders>
            <w:shd w:val="clear" w:color="000000" w:fill="FFFFFF"/>
            <w:noWrap/>
          </w:tcPr>
          <w:p w:rsidR="00D53A04" w:rsidRPr="00EB2995" w:rsidRDefault="00D53A04" w:rsidP="00D53A04">
            <w:pPr>
              <w:jc w:val="center"/>
              <w:rPr>
                <w:rFonts w:cs="Calibri"/>
                <w:b/>
                <w:bCs/>
              </w:rPr>
            </w:pPr>
            <w:r w:rsidRPr="00EB2995">
              <w:rPr>
                <w:rFonts w:cs="Calibri"/>
                <w:b/>
                <w:bCs/>
              </w:rPr>
              <w:t>£m</w:t>
            </w:r>
          </w:p>
        </w:tc>
        <w:tc>
          <w:tcPr>
            <w:tcW w:w="1388" w:type="dxa"/>
            <w:tcBorders>
              <w:top w:val="nil"/>
              <w:left w:val="nil"/>
              <w:bottom w:val="single" w:sz="4" w:space="0" w:color="auto"/>
              <w:right w:val="nil"/>
            </w:tcBorders>
            <w:shd w:val="clear" w:color="000000" w:fill="FFFFFF"/>
            <w:noWrap/>
          </w:tcPr>
          <w:p w:rsidR="00D53A04" w:rsidRPr="00EB2995" w:rsidRDefault="00D53A04" w:rsidP="00D53A04">
            <w:pPr>
              <w:jc w:val="center"/>
              <w:rPr>
                <w:rFonts w:cs="Calibri"/>
                <w:b/>
                <w:bCs/>
              </w:rPr>
            </w:pPr>
            <w:r w:rsidRPr="00EB2995">
              <w:rPr>
                <w:rFonts w:cs="Calibri"/>
                <w:b/>
                <w:bCs/>
              </w:rPr>
              <w:t>£m</w:t>
            </w:r>
          </w:p>
        </w:tc>
      </w:tr>
      <w:tr w:rsidR="00D53A04" w:rsidRPr="00EB2995" w:rsidTr="00D53A04">
        <w:trPr>
          <w:gridBefore w:val="1"/>
          <w:wBefore w:w="142" w:type="dxa"/>
          <w:trHeight w:val="362"/>
        </w:trPr>
        <w:tc>
          <w:tcPr>
            <w:tcW w:w="1276" w:type="dxa"/>
            <w:tcBorders>
              <w:top w:val="single" w:sz="4" w:space="0" w:color="auto"/>
              <w:left w:val="single" w:sz="4" w:space="0" w:color="auto"/>
              <w:bottom w:val="nil"/>
              <w:right w:val="single" w:sz="4" w:space="0" w:color="auto"/>
            </w:tcBorders>
            <w:shd w:val="clear" w:color="auto" w:fill="auto"/>
            <w:vAlign w:val="center"/>
          </w:tcPr>
          <w:p w:rsidR="00D53A04" w:rsidRPr="00EB2995" w:rsidRDefault="00D53A04" w:rsidP="00D53A04">
            <w:pPr>
              <w:jc w:val="right"/>
              <w:rPr>
                <w:rFonts w:cs="Calibri"/>
                <w:b/>
              </w:rPr>
            </w:pPr>
            <w:r w:rsidRPr="00EB2995">
              <w:rPr>
                <w:rFonts w:cs="Calibri"/>
                <w:b/>
                <w:bCs/>
                <w:color w:val="000000"/>
              </w:rPr>
              <w:t>649.2</w:t>
            </w:r>
          </w:p>
        </w:tc>
        <w:tc>
          <w:tcPr>
            <w:tcW w:w="3686" w:type="dxa"/>
            <w:gridSpan w:val="2"/>
            <w:tcBorders>
              <w:top w:val="nil"/>
              <w:left w:val="nil"/>
              <w:bottom w:val="nil"/>
              <w:right w:val="single" w:sz="4" w:space="0" w:color="auto"/>
            </w:tcBorders>
            <w:shd w:val="clear" w:color="000000" w:fill="FFFFFF"/>
            <w:noWrap/>
            <w:vAlign w:val="center"/>
          </w:tcPr>
          <w:p w:rsidR="00D53A04" w:rsidRPr="00EB2995" w:rsidRDefault="00D53A04" w:rsidP="00D53A04">
            <w:pPr>
              <w:rPr>
                <w:rFonts w:cs="Calibri"/>
                <w:b/>
              </w:rPr>
            </w:pPr>
            <w:r w:rsidRPr="00EB2995">
              <w:rPr>
                <w:rFonts w:cs="Calibri"/>
                <w:b/>
              </w:rPr>
              <w:t xml:space="preserve">Opening Net Book Value at 1 April </w:t>
            </w:r>
          </w:p>
        </w:tc>
        <w:tc>
          <w:tcPr>
            <w:tcW w:w="1133" w:type="dxa"/>
            <w:tcBorders>
              <w:top w:val="single" w:sz="4" w:space="0" w:color="auto"/>
              <w:left w:val="single" w:sz="4" w:space="0" w:color="auto"/>
              <w:right w:val="single" w:sz="4" w:space="0" w:color="auto"/>
            </w:tcBorders>
            <w:shd w:val="clear" w:color="000000" w:fill="FFFFFF"/>
            <w:noWrap/>
            <w:vAlign w:val="center"/>
          </w:tcPr>
          <w:p w:rsidR="00D53A04" w:rsidRPr="00EB2995" w:rsidRDefault="00D53A04" w:rsidP="00D53A04">
            <w:pPr>
              <w:jc w:val="right"/>
              <w:rPr>
                <w:rFonts w:cs="Calibri"/>
                <w:b/>
                <w:bCs/>
                <w:color w:val="000000"/>
              </w:rPr>
            </w:pPr>
            <w:r w:rsidRPr="00EB2995">
              <w:rPr>
                <w:rFonts w:cs="Calibri"/>
                <w:b/>
                <w:bCs/>
                <w:color w:val="000000"/>
              </w:rPr>
              <w:t>602.2</w:t>
            </w:r>
          </w:p>
        </w:tc>
        <w:tc>
          <w:tcPr>
            <w:tcW w:w="1133" w:type="dxa"/>
            <w:tcBorders>
              <w:top w:val="single" w:sz="4" w:space="0" w:color="auto"/>
              <w:left w:val="single" w:sz="4" w:space="0" w:color="auto"/>
              <w:right w:val="single" w:sz="4" w:space="0" w:color="auto"/>
            </w:tcBorders>
            <w:shd w:val="clear" w:color="000000" w:fill="FFFFFF"/>
            <w:noWrap/>
            <w:vAlign w:val="center"/>
          </w:tcPr>
          <w:p w:rsidR="00D53A04" w:rsidRPr="00EB2995" w:rsidRDefault="00D53A04" w:rsidP="00D53A04">
            <w:pPr>
              <w:jc w:val="right"/>
              <w:rPr>
                <w:rFonts w:cs="Calibri"/>
                <w:b/>
                <w:bCs/>
                <w:color w:val="000000"/>
              </w:rPr>
            </w:pPr>
            <w:r w:rsidRPr="00EB2995">
              <w:rPr>
                <w:rFonts w:cs="Calibri"/>
                <w:b/>
                <w:bCs/>
                <w:color w:val="000000"/>
              </w:rPr>
              <w:t>15.0</w:t>
            </w:r>
          </w:p>
        </w:tc>
        <w:tc>
          <w:tcPr>
            <w:tcW w:w="1388" w:type="dxa"/>
            <w:tcBorders>
              <w:top w:val="single" w:sz="4" w:space="0" w:color="auto"/>
              <w:left w:val="single" w:sz="4" w:space="0" w:color="auto"/>
              <w:right w:val="single" w:sz="4" w:space="0" w:color="auto"/>
            </w:tcBorders>
            <w:shd w:val="clear" w:color="000000" w:fill="FFFFFF"/>
            <w:noWrap/>
            <w:vAlign w:val="center"/>
          </w:tcPr>
          <w:p w:rsidR="00D53A04" w:rsidRPr="00EB2995" w:rsidRDefault="00D53A04" w:rsidP="00D53A04">
            <w:pPr>
              <w:jc w:val="right"/>
              <w:rPr>
                <w:rFonts w:cs="Calibri"/>
                <w:b/>
                <w:bCs/>
                <w:color w:val="000000"/>
              </w:rPr>
            </w:pPr>
            <w:r w:rsidRPr="00EB2995">
              <w:rPr>
                <w:rFonts w:cs="Calibri"/>
                <w:b/>
                <w:bCs/>
                <w:color w:val="000000"/>
              </w:rPr>
              <w:t>617.2</w:t>
            </w:r>
          </w:p>
        </w:tc>
      </w:tr>
      <w:tr w:rsidR="00D53A04" w:rsidRPr="00EB2995" w:rsidTr="00D53A04">
        <w:trPr>
          <w:gridBefore w:val="1"/>
          <w:wBefore w:w="142" w:type="dxa"/>
          <w:trHeight w:val="362"/>
        </w:trPr>
        <w:tc>
          <w:tcPr>
            <w:tcW w:w="1276" w:type="dxa"/>
            <w:tcBorders>
              <w:top w:val="single" w:sz="4" w:space="0" w:color="auto"/>
              <w:left w:val="single" w:sz="4" w:space="0" w:color="auto"/>
              <w:bottom w:val="nil"/>
              <w:right w:val="single" w:sz="4" w:space="0" w:color="auto"/>
            </w:tcBorders>
            <w:shd w:val="clear" w:color="auto" w:fill="auto"/>
            <w:vAlign w:val="center"/>
          </w:tcPr>
          <w:p w:rsidR="00D53A04" w:rsidRPr="00EB2995" w:rsidRDefault="00D53A04" w:rsidP="00D53A04">
            <w:pPr>
              <w:jc w:val="right"/>
              <w:rPr>
                <w:rFonts w:cs="Calibri"/>
                <w:b/>
                <w:bCs/>
                <w:color w:val="000000"/>
              </w:rPr>
            </w:pPr>
          </w:p>
        </w:tc>
        <w:tc>
          <w:tcPr>
            <w:tcW w:w="3686" w:type="dxa"/>
            <w:gridSpan w:val="2"/>
            <w:tcBorders>
              <w:top w:val="nil"/>
              <w:left w:val="nil"/>
              <w:bottom w:val="nil"/>
              <w:right w:val="single" w:sz="4" w:space="0" w:color="auto"/>
            </w:tcBorders>
            <w:shd w:val="clear" w:color="000000" w:fill="FFFFFF"/>
            <w:noWrap/>
            <w:vAlign w:val="center"/>
          </w:tcPr>
          <w:p w:rsidR="00D53A04" w:rsidRPr="00EB2995" w:rsidRDefault="00D53A04" w:rsidP="00D53A04">
            <w:pPr>
              <w:rPr>
                <w:rFonts w:cs="Calibri"/>
                <w:b/>
              </w:rPr>
            </w:pPr>
          </w:p>
        </w:tc>
        <w:tc>
          <w:tcPr>
            <w:tcW w:w="1133" w:type="dxa"/>
            <w:tcBorders>
              <w:top w:val="single" w:sz="4" w:space="0" w:color="auto"/>
              <w:left w:val="single" w:sz="4" w:space="0" w:color="auto"/>
              <w:right w:val="single" w:sz="4" w:space="0" w:color="auto"/>
            </w:tcBorders>
            <w:shd w:val="clear" w:color="000000" w:fill="FFFFFF"/>
            <w:noWrap/>
            <w:vAlign w:val="center"/>
          </w:tcPr>
          <w:p w:rsidR="00D53A04" w:rsidRPr="00EB2995" w:rsidRDefault="00D53A04" w:rsidP="00D53A04">
            <w:pPr>
              <w:jc w:val="right"/>
              <w:rPr>
                <w:rFonts w:cs="Calibri"/>
                <w:b/>
                <w:bCs/>
                <w:color w:val="000000"/>
              </w:rPr>
            </w:pPr>
          </w:p>
        </w:tc>
        <w:tc>
          <w:tcPr>
            <w:tcW w:w="1133" w:type="dxa"/>
            <w:tcBorders>
              <w:top w:val="single" w:sz="4" w:space="0" w:color="auto"/>
              <w:left w:val="single" w:sz="4" w:space="0" w:color="auto"/>
              <w:right w:val="single" w:sz="4" w:space="0" w:color="auto"/>
            </w:tcBorders>
            <w:shd w:val="clear" w:color="000000" w:fill="FFFFFF"/>
            <w:noWrap/>
            <w:vAlign w:val="center"/>
          </w:tcPr>
          <w:p w:rsidR="00D53A04" w:rsidRPr="00EB2995" w:rsidRDefault="00D53A04" w:rsidP="00D53A04">
            <w:pPr>
              <w:jc w:val="right"/>
              <w:rPr>
                <w:rFonts w:cs="Calibri"/>
                <w:b/>
                <w:bCs/>
                <w:color w:val="000000"/>
              </w:rPr>
            </w:pPr>
          </w:p>
        </w:tc>
        <w:tc>
          <w:tcPr>
            <w:tcW w:w="1388" w:type="dxa"/>
            <w:tcBorders>
              <w:top w:val="single" w:sz="4" w:space="0" w:color="auto"/>
              <w:left w:val="single" w:sz="4" w:space="0" w:color="auto"/>
              <w:right w:val="single" w:sz="4" w:space="0" w:color="auto"/>
            </w:tcBorders>
            <w:shd w:val="clear" w:color="000000" w:fill="FFFFFF"/>
            <w:noWrap/>
            <w:vAlign w:val="center"/>
          </w:tcPr>
          <w:p w:rsidR="00D53A04" w:rsidRPr="00EB2995" w:rsidRDefault="00D53A04" w:rsidP="00D53A04">
            <w:pPr>
              <w:jc w:val="right"/>
              <w:rPr>
                <w:rFonts w:cs="Calibri"/>
                <w:b/>
                <w:bCs/>
                <w:color w:val="000000"/>
              </w:rPr>
            </w:pPr>
          </w:p>
        </w:tc>
      </w:tr>
      <w:tr w:rsidR="00D53A04" w:rsidRPr="00EB2995" w:rsidTr="00D53A04">
        <w:trPr>
          <w:gridBefore w:val="1"/>
          <w:wBefore w:w="142" w:type="dxa"/>
          <w:trHeight w:val="362"/>
        </w:trPr>
        <w:tc>
          <w:tcPr>
            <w:tcW w:w="1276" w:type="dxa"/>
            <w:tcBorders>
              <w:top w:val="nil"/>
              <w:left w:val="single" w:sz="4" w:space="0" w:color="auto"/>
              <w:right w:val="single" w:sz="4" w:space="0" w:color="auto"/>
            </w:tcBorders>
            <w:shd w:val="clear" w:color="auto" w:fill="auto"/>
          </w:tcPr>
          <w:p w:rsidR="00D53A04" w:rsidRPr="00EB2995" w:rsidRDefault="00D53A04" w:rsidP="00D53A04">
            <w:pPr>
              <w:jc w:val="right"/>
              <w:rPr>
                <w:rFonts w:cs="Calibri"/>
              </w:rPr>
            </w:pPr>
            <w:r w:rsidRPr="00EB2995">
              <w:rPr>
                <w:rFonts w:cs="Calibri"/>
                <w:bCs/>
                <w:color w:val="000000"/>
              </w:rPr>
              <w:lastRenderedPageBreak/>
              <w:t>(23.2)</w:t>
            </w:r>
          </w:p>
        </w:tc>
        <w:tc>
          <w:tcPr>
            <w:tcW w:w="3686" w:type="dxa"/>
            <w:gridSpan w:val="2"/>
            <w:tcBorders>
              <w:top w:val="nil"/>
              <w:left w:val="nil"/>
              <w:right w:val="single" w:sz="4" w:space="0" w:color="auto"/>
            </w:tcBorders>
            <w:shd w:val="clear" w:color="000000" w:fill="FFFFFF"/>
            <w:noWrap/>
            <w:vAlign w:val="center"/>
          </w:tcPr>
          <w:p w:rsidR="00D53A04" w:rsidRPr="00EB2995" w:rsidRDefault="00D53A04" w:rsidP="00D53A04">
            <w:pPr>
              <w:rPr>
                <w:rFonts w:cs="Calibri"/>
              </w:rPr>
            </w:pPr>
            <w:r w:rsidRPr="00EB2995">
              <w:rPr>
                <w:rFonts w:cs="Calibri"/>
              </w:rPr>
              <w:t>Revaluations</w:t>
            </w:r>
          </w:p>
        </w:tc>
        <w:tc>
          <w:tcPr>
            <w:tcW w:w="1133" w:type="dxa"/>
            <w:tcBorders>
              <w:top w:val="nil"/>
              <w:left w:val="single" w:sz="4" w:space="0" w:color="auto"/>
              <w:bottom w:val="nil"/>
              <w:right w:val="single" w:sz="4" w:space="0" w:color="auto"/>
            </w:tcBorders>
            <w:shd w:val="clear" w:color="000000" w:fill="FFFFFF"/>
            <w:noWrap/>
            <w:vAlign w:val="center"/>
          </w:tcPr>
          <w:p w:rsidR="00D53A04" w:rsidRPr="00EB2995" w:rsidRDefault="00D53A04" w:rsidP="00D53A04">
            <w:pPr>
              <w:jc w:val="right"/>
              <w:rPr>
                <w:rFonts w:cs="Calibri"/>
                <w:bCs/>
                <w:color w:val="000000"/>
              </w:rPr>
            </w:pPr>
            <w:r>
              <w:rPr>
                <w:rFonts w:cs="Calibri"/>
                <w:color w:val="000000"/>
              </w:rPr>
              <w:t>(17.9)</w:t>
            </w:r>
          </w:p>
        </w:tc>
        <w:tc>
          <w:tcPr>
            <w:tcW w:w="1133" w:type="dxa"/>
            <w:tcBorders>
              <w:top w:val="nil"/>
              <w:left w:val="single" w:sz="4" w:space="0" w:color="auto"/>
              <w:bottom w:val="nil"/>
              <w:right w:val="single" w:sz="4" w:space="0" w:color="auto"/>
            </w:tcBorders>
            <w:shd w:val="clear" w:color="000000" w:fill="FFFFFF"/>
            <w:noWrap/>
            <w:vAlign w:val="center"/>
          </w:tcPr>
          <w:p w:rsidR="00D53A04" w:rsidRPr="00EB2995" w:rsidRDefault="00D53A04" w:rsidP="00D53A04">
            <w:pPr>
              <w:jc w:val="right"/>
              <w:rPr>
                <w:rFonts w:cs="Calibri"/>
                <w:bCs/>
                <w:color w:val="000000"/>
              </w:rPr>
            </w:pPr>
            <w:r>
              <w:rPr>
                <w:rFonts w:cs="Calibri"/>
                <w:color w:val="000000"/>
              </w:rPr>
              <w:t>0.4</w:t>
            </w:r>
          </w:p>
        </w:tc>
        <w:tc>
          <w:tcPr>
            <w:tcW w:w="1388" w:type="dxa"/>
            <w:tcBorders>
              <w:top w:val="nil"/>
              <w:left w:val="single" w:sz="4" w:space="0" w:color="auto"/>
              <w:bottom w:val="nil"/>
              <w:right w:val="single" w:sz="4" w:space="0" w:color="auto"/>
            </w:tcBorders>
            <w:shd w:val="clear" w:color="000000" w:fill="FFFFFF"/>
            <w:noWrap/>
            <w:vAlign w:val="center"/>
          </w:tcPr>
          <w:p w:rsidR="00D53A04" w:rsidRPr="00EB2995" w:rsidRDefault="00D53A04" w:rsidP="00D53A04">
            <w:pPr>
              <w:jc w:val="right"/>
              <w:rPr>
                <w:rFonts w:cs="Calibri"/>
                <w:bCs/>
                <w:color w:val="000000"/>
              </w:rPr>
            </w:pPr>
            <w:r>
              <w:rPr>
                <w:rFonts w:cs="Calibri"/>
                <w:color w:val="000000"/>
              </w:rPr>
              <w:t>(17.5)</w:t>
            </w:r>
          </w:p>
        </w:tc>
      </w:tr>
      <w:tr w:rsidR="00D53A04" w:rsidRPr="00EB2995" w:rsidTr="00D53A04">
        <w:trPr>
          <w:gridBefore w:val="1"/>
          <w:wBefore w:w="142" w:type="dxa"/>
          <w:trHeight w:val="362"/>
        </w:trPr>
        <w:tc>
          <w:tcPr>
            <w:tcW w:w="1276" w:type="dxa"/>
            <w:tcBorders>
              <w:top w:val="nil"/>
              <w:left w:val="single" w:sz="4" w:space="0" w:color="auto"/>
              <w:right w:val="single" w:sz="4" w:space="0" w:color="auto"/>
            </w:tcBorders>
            <w:shd w:val="clear" w:color="auto" w:fill="auto"/>
          </w:tcPr>
          <w:p w:rsidR="00D53A04" w:rsidRPr="00EB2995" w:rsidRDefault="00D53A04" w:rsidP="00D53A04">
            <w:pPr>
              <w:jc w:val="right"/>
              <w:rPr>
                <w:rFonts w:cs="Calibri"/>
                <w:color w:val="000000"/>
              </w:rPr>
            </w:pPr>
            <w:r w:rsidRPr="00EB2995">
              <w:rPr>
                <w:rFonts w:cs="Calibri"/>
                <w:bCs/>
                <w:color w:val="000000"/>
              </w:rPr>
              <w:t>(0.1)</w:t>
            </w:r>
          </w:p>
        </w:tc>
        <w:tc>
          <w:tcPr>
            <w:tcW w:w="3686" w:type="dxa"/>
            <w:gridSpan w:val="2"/>
            <w:tcBorders>
              <w:top w:val="nil"/>
              <w:left w:val="nil"/>
              <w:right w:val="single" w:sz="4" w:space="0" w:color="auto"/>
            </w:tcBorders>
            <w:shd w:val="clear" w:color="000000" w:fill="FFFFFF"/>
            <w:noWrap/>
            <w:vAlign w:val="center"/>
          </w:tcPr>
          <w:p w:rsidR="00D53A04" w:rsidRPr="00EB2995" w:rsidRDefault="00D53A04" w:rsidP="00D53A04">
            <w:pPr>
              <w:rPr>
                <w:rFonts w:cs="Calibri"/>
              </w:rPr>
            </w:pPr>
            <w:r w:rsidRPr="00EB2995">
              <w:rPr>
                <w:rFonts w:cs="Calibri"/>
              </w:rPr>
              <w:t>Impairment</w:t>
            </w:r>
          </w:p>
        </w:tc>
        <w:tc>
          <w:tcPr>
            <w:tcW w:w="1133" w:type="dxa"/>
            <w:tcBorders>
              <w:top w:val="nil"/>
              <w:left w:val="single" w:sz="4" w:space="0" w:color="auto"/>
              <w:bottom w:val="nil"/>
              <w:right w:val="single" w:sz="4" w:space="0" w:color="auto"/>
            </w:tcBorders>
            <w:shd w:val="clear" w:color="000000" w:fill="FFFFFF"/>
            <w:noWrap/>
            <w:vAlign w:val="center"/>
          </w:tcPr>
          <w:p w:rsidR="00D53A04" w:rsidRPr="00EB2995" w:rsidRDefault="00D53A04" w:rsidP="00D53A04">
            <w:pPr>
              <w:jc w:val="right"/>
              <w:rPr>
                <w:rFonts w:cs="Calibri"/>
                <w:bCs/>
                <w:color w:val="000000"/>
              </w:rPr>
            </w:pPr>
            <w:r>
              <w:rPr>
                <w:rFonts w:cs="Calibri"/>
                <w:color w:val="000000"/>
              </w:rPr>
              <w:t>(0.1)</w:t>
            </w:r>
          </w:p>
        </w:tc>
        <w:tc>
          <w:tcPr>
            <w:tcW w:w="1133" w:type="dxa"/>
            <w:tcBorders>
              <w:top w:val="nil"/>
              <w:left w:val="single" w:sz="4" w:space="0" w:color="auto"/>
              <w:bottom w:val="nil"/>
              <w:right w:val="single" w:sz="4" w:space="0" w:color="auto"/>
            </w:tcBorders>
            <w:shd w:val="clear" w:color="000000" w:fill="FFFFFF"/>
            <w:noWrap/>
            <w:vAlign w:val="center"/>
          </w:tcPr>
          <w:p w:rsidR="00D53A04" w:rsidRPr="00EB2995" w:rsidRDefault="00D53A04" w:rsidP="00D53A04">
            <w:pPr>
              <w:jc w:val="right"/>
              <w:rPr>
                <w:rFonts w:cs="Calibri"/>
                <w:bCs/>
                <w:color w:val="000000"/>
              </w:rPr>
            </w:pPr>
            <w:r>
              <w:rPr>
                <w:rFonts w:cs="Calibri"/>
                <w:color w:val="000000"/>
              </w:rPr>
              <w:t>(0.1)</w:t>
            </w:r>
          </w:p>
        </w:tc>
        <w:tc>
          <w:tcPr>
            <w:tcW w:w="1388" w:type="dxa"/>
            <w:tcBorders>
              <w:top w:val="nil"/>
              <w:left w:val="single" w:sz="4" w:space="0" w:color="auto"/>
              <w:bottom w:val="nil"/>
              <w:right w:val="single" w:sz="4" w:space="0" w:color="auto"/>
            </w:tcBorders>
            <w:shd w:val="clear" w:color="000000" w:fill="FFFFFF"/>
            <w:noWrap/>
            <w:vAlign w:val="center"/>
          </w:tcPr>
          <w:p w:rsidR="00D53A04" w:rsidRPr="00EB2995" w:rsidRDefault="00D53A04" w:rsidP="00D53A04">
            <w:pPr>
              <w:jc w:val="right"/>
              <w:rPr>
                <w:rFonts w:cs="Calibri"/>
                <w:bCs/>
                <w:color w:val="000000"/>
              </w:rPr>
            </w:pPr>
            <w:r>
              <w:rPr>
                <w:rFonts w:cs="Calibri"/>
                <w:color w:val="000000"/>
              </w:rPr>
              <w:t>(0.2)</w:t>
            </w:r>
          </w:p>
        </w:tc>
      </w:tr>
      <w:tr w:rsidR="00D53A04" w:rsidRPr="00EB2995" w:rsidTr="00D53A04">
        <w:trPr>
          <w:gridBefore w:val="1"/>
          <w:wBefore w:w="142" w:type="dxa"/>
          <w:trHeight w:val="362"/>
        </w:trPr>
        <w:tc>
          <w:tcPr>
            <w:tcW w:w="1276" w:type="dxa"/>
            <w:tcBorders>
              <w:left w:val="single" w:sz="4" w:space="0" w:color="auto"/>
              <w:bottom w:val="nil"/>
              <w:right w:val="single" w:sz="4" w:space="0" w:color="auto"/>
            </w:tcBorders>
            <w:shd w:val="clear" w:color="auto" w:fill="auto"/>
          </w:tcPr>
          <w:p w:rsidR="00D53A04" w:rsidRPr="00EB2995" w:rsidRDefault="00D53A04" w:rsidP="00D53A04">
            <w:pPr>
              <w:jc w:val="right"/>
              <w:rPr>
                <w:rFonts w:cs="Calibri"/>
              </w:rPr>
            </w:pPr>
            <w:r w:rsidRPr="00EB2995">
              <w:rPr>
                <w:rFonts w:cs="Calibri"/>
                <w:bCs/>
                <w:color w:val="000000"/>
              </w:rPr>
              <w:t>27.0</w:t>
            </w:r>
          </w:p>
        </w:tc>
        <w:tc>
          <w:tcPr>
            <w:tcW w:w="3686" w:type="dxa"/>
            <w:gridSpan w:val="2"/>
            <w:tcBorders>
              <w:left w:val="nil"/>
              <w:bottom w:val="nil"/>
              <w:right w:val="single" w:sz="4" w:space="0" w:color="auto"/>
            </w:tcBorders>
            <w:shd w:val="clear" w:color="000000" w:fill="FFFFFF"/>
            <w:noWrap/>
            <w:vAlign w:val="center"/>
          </w:tcPr>
          <w:p w:rsidR="00D53A04" w:rsidRPr="00EB2995" w:rsidRDefault="00D53A04" w:rsidP="00D53A04">
            <w:pPr>
              <w:rPr>
                <w:rFonts w:cs="Calibri"/>
              </w:rPr>
            </w:pPr>
            <w:r w:rsidRPr="00EB2995">
              <w:rPr>
                <w:rFonts w:cs="Calibri"/>
              </w:rPr>
              <w:t xml:space="preserve">Capital Expenditure </w:t>
            </w:r>
          </w:p>
        </w:tc>
        <w:tc>
          <w:tcPr>
            <w:tcW w:w="1133" w:type="dxa"/>
            <w:tcBorders>
              <w:top w:val="nil"/>
              <w:left w:val="single" w:sz="4" w:space="0" w:color="auto"/>
              <w:bottom w:val="nil"/>
              <w:right w:val="single" w:sz="4" w:space="0" w:color="auto"/>
            </w:tcBorders>
            <w:shd w:val="clear" w:color="000000" w:fill="FFFFFF"/>
            <w:noWrap/>
            <w:vAlign w:val="center"/>
          </w:tcPr>
          <w:p w:rsidR="00D53A04" w:rsidRPr="00EB2995" w:rsidRDefault="00D53A04" w:rsidP="00D53A04">
            <w:pPr>
              <w:jc w:val="right"/>
              <w:rPr>
                <w:rFonts w:cs="Calibri"/>
                <w:bCs/>
                <w:color w:val="000000"/>
              </w:rPr>
            </w:pPr>
            <w:r>
              <w:rPr>
                <w:rFonts w:cs="Calibri"/>
                <w:color w:val="000000"/>
              </w:rPr>
              <w:t>33.7</w:t>
            </w:r>
          </w:p>
        </w:tc>
        <w:tc>
          <w:tcPr>
            <w:tcW w:w="1133" w:type="dxa"/>
            <w:tcBorders>
              <w:top w:val="nil"/>
              <w:left w:val="single" w:sz="4" w:space="0" w:color="auto"/>
              <w:bottom w:val="nil"/>
              <w:right w:val="single" w:sz="4" w:space="0" w:color="auto"/>
            </w:tcBorders>
            <w:shd w:val="clear" w:color="000000" w:fill="FFFFFF"/>
            <w:noWrap/>
            <w:vAlign w:val="center"/>
          </w:tcPr>
          <w:p w:rsidR="00D53A04" w:rsidRPr="00EB2995" w:rsidRDefault="00D53A04" w:rsidP="00D53A04">
            <w:pPr>
              <w:jc w:val="right"/>
              <w:rPr>
                <w:rFonts w:cs="Calibri"/>
                <w:bCs/>
                <w:color w:val="000000"/>
              </w:rPr>
            </w:pPr>
            <w:r>
              <w:rPr>
                <w:rFonts w:cs="Calibri"/>
                <w:color w:val="000000"/>
              </w:rPr>
              <w:t>0.1</w:t>
            </w:r>
          </w:p>
        </w:tc>
        <w:tc>
          <w:tcPr>
            <w:tcW w:w="1388" w:type="dxa"/>
            <w:tcBorders>
              <w:top w:val="nil"/>
              <w:left w:val="single" w:sz="4" w:space="0" w:color="auto"/>
              <w:bottom w:val="nil"/>
              <w:right w:val="single" w:sz="4" w:space="0" w:color="auto"/>
            </w:tcBorders>
            <w:shd w:val="clear" w:color="000000" w:fill="FFFFFF"/>
            <w:noWrap/>
            <w:vAlign w:val="center"/>
          </w:tcPr>
          <w:p w:rsidR="00D53A04" w:rsidRPr="00EB2995" w:rsidRDefault="00D53A04" w:rsidP="00D53A04">
            <w:pPr>
              <w:jc w:val="right"/>
              <w:rPr>
                <w:rFonts w:cs="Calibri"/>
                <w:bCs/>
                <w:color w:val="000000"/>
              </w:rPr>
            </w:pPr>
            <w:r>
              <w:rPr>
                <w:rFonts w:cs="Calibri"/>
                <w:color w:val="000000"/>
              </w:rPr>
              <w:t>33.8</w:t>
            </w:r>
          </w:p>
        </w:tc>
      </w:tr>
      <w:tr w:rsidR="00D53A04" w:rsidRPr="00EB2995" w:rsidTr="00D53A04">
        <w:trPr>
          <w:gridBefore w:val="1"/>
          <w:wBefore w:w="142" w:type="dxa"/>
          <w:trHeight w:val="362"/>
        </w:trPr>
        <w:tc>
          <w:tcPr>
            <w:tcW w:w="1276" w:type="dxa"/>
            <w:tcBorders>
              <w:top w:val="nil"/>
              <w:left w:val="single" w:sz="4" w:space="0" w:color="auto"/>
              <w:bottom w:val="nil"/>
              <w:right w:val="single" w:sz="4" w:space="0" w:color="auto"/>
            </w:tcBorders>
            <w:shd w:val="clear" w:color="auto" w:fill="auto"/>
          </w:tcPr>
          <w:p w:rsidR="00D53A04" w:rsidRPr="00EB2995" w:rsidRDefault="00D53A04" w:rsidP="00D53A04">
            <w:pPr>
              <w:jc w:val="right"/>
              <w:rPr>
                <w:rFonts w:cs="Calibri"/>
              </w:rPr>
            </w:pPr>
            <w:r w:rsidRPr="00EB2995">
              <w:rPr>
                <w:rFonts w:cs="Calibri"/>
                <w:bCs/>
                <w:color w:val="000000"/>
              </w:rPr>
              <w:t>(1.5)</w:t>
            </w:r>
          </w:p>
        </w:tc>
        <w:tc>
          <w:tcPr>
            <w:tcW w:w="3686" w:type="dxa"/>
            <w:gridSpan w:val="2"/>
            <w:tcBorders>
              <w:top w:val="nil"/>
              <w:left w:val="nil"/>
              <w:bottom w:val="nil"/>
              <w:right w:val="single" w:sz="4" w:space="0" w:color="auto"/>
            </w:tcBorders>
            <w:shd w:val="clear" w:color="000000" w:fill="FFFFFF"/>
            <w:noWrap/>
            <w:vAlign w:val="center"/>
          </w:tcPr>
          <w:p w:rsidR="00D53A04" w:rsidRPr="00EB2995" w:rsidRDefault="00D53A04" w:rsidP="00D53A04">
            <w:pPr>
              <w:rPr>
                <w:rFonts w:cs="Calibri"/>
              </w:rPr>
            </w:pPr>
            <w:r w:rsidRPr="00EB2995">
              <w:rPr>
                <w:rFonts w:cs="Calibri"/>
              </w:rPr>
              <w:t xml:space="preserve">Disposals </w:t>
            </w:r>
          </w:p>
        </w:tc>
        <w:tc>
          <w:tcPr>
            <w:tcW w:w="1133" w:type="dxa"/>
            <w:tcBorders>
              <w:top w:val="nil"/>
              <w:left w:val="single" w:sz="4" w:space="0" w:color="auto"/>
              <w:bottom w:val="nil"/>
              <w:right w:val="single" w:sz="4" w:space="0" w:color="auto"/>
            </w:tcBorders>
            <w:shd w:val="clear" w:color="000000" w:fill="FFFFFF"/>
            <w:noWrap/>
            <w:vAlign w:val="center"/>
          </w:tcPr>
          <w:p w:rsidR="00D53A04" w:rsidRPr="00EB2995" w:rsidRDefault="00D53A04" w:rsidP="00D53A04">
            <w:pPr>
              <w:jc w:val="right"/>
              <w:rPr>
                <w:rFonts w:cs="Calibri"/>
                <w:bCs/>
                <w:color w:val="000000"/>
              </w:rPr>
            </w:pPr>
            <w:r>
              <w:rPr>
                <w:rFonts w:cs="Calibri"/>
                <w:color w:val="000000"/>
              </w:rPr>
              <w:t>(1.7)</w:t>
            </w:r>
          </w:p>
        </w:tc>
        <w:tc>
          <w:tcPr>
            <w:tcW w:w="1133" w:type="dxa"/>
            <w:tcBorders>
              <w:top w:val="nil"/>
              <w:left w:val="single" w:sz="4" w:space="0" w:color="auto"/>
              <w:bottom w:val="nil"/>
              <w:right w:val="single" w:sz="4" w:space="0" w:color="auto"/>
            </w:tcBorders>
            <w:shd w:val="clear" w:color="000000" w:fill="FFFFFF"/>
            <w:noWrap/>
            <w:vAlign w:val="center"/>
          </w:tcPr>
          <w:p w:rsidR="00D53A04" w:rsidRPr="00EB2995" w:rsidRDefault="00D53A04" w:rsidP="00D53A04">
            <w:pPr>
              <w:jc w:val="right"/>
              <w:rPr>
                <w:rFonts w:cs="Calibri"/>
                <w:bCs/>
                <w:color w:val="000000"/>
              </w:rPr>
            </w:pPr>
            <w:r>
              <w:rPr>
                <w:rFonts w:cs="Calibri"/>
                <w:color w:val="000000"/>
              </w:rPr>
              <w:t>0.0</w:t>
            </w:r>
          </w:p>
        </w:tc>
        <w:tc>
          <w:tcPr>
            <w:tcW w:w="1388" w:type="dxa"/>
            <w:tcBorders>
              <w:top w:val="nil"/>
              <w:left w:val="single" w:sz="4" w:space="0" w:color="auto"/>
              <w:bottom w:val="nil"/>
              <w:right w:val="single" w:sz="4" w:space="0" w:color="auto"/>
            </w:tcBorders>
            <w:shd w:val="clear" w:color="000000" w:fill="FFFFFF"/>
            <w:noWrap/>
            <w:vAlign w:val="center"/>
          </w:tcPr>
          <w:p w:rsidR="00D53A04" w:rsidRPr="00EB2995" w:rsidRDefault="00D53A04" w:rsidP="00D53A04">
            <w:pPr>
              <w:jc w:val="right"/>
              <w:rPr>
                <w:rFonts w:cs="Calibri"/>
                <w:bCs/>
                <w:color w:val="000000"/>
              </w:rPr>
            </w:pPr>
            <w:r>
              <w:rPr>
                <w:rFonts w:cs="Calibri"/>
                <w:color w:val="000000"/>
              </w:rPr>
              <w:t>(1.7)</w:t>
            </w:r>
          </w:p>
        </w:tc>
      </w:tr>
      <w:tr w:rsidR="00D53A04" w:rsidRPr="00EB2995" w:rsidTr="00D53A04">
        <w:trPr>
          <w:gridBefore w:val="1"/>
          <w:wBefore w:w="142" w:type="dxa"/>
          <w:trHeight w:val="362"/>
        </w:trPr>
        <w:tc>
          <w:tcPr>
            <w:tcW w:w="1276" w:type="dxa"/>
            <w:tcBorders>
              <w:top w:val="nil"/>
              <w:left w:val="single" w:sz="4" w:space="0" w:color="auto"/>
              <w:bottom w:val="nil"/>
              <w:right w:val="single" w:sz="4" w:space="0" w:color="auto"/>
            </w:tcBorders>
            <w:shd w:val="clear" w:color="auto" w:fill="auto"/>
          </w:tcPr>
          <w:p w:rsidR="00D53A04" w:rsidRPr="00EB2995" w:rsidRDefault="00D53A04" w:rsidP="00D53A04">
            <w:pPr>
              <w:jc w:val="right"/>
              <w:rPr>
                <w:rFonts w:cs="Calibri"/>
              </w:rPr>
            </w:pPr>
            <w:r w:rsidRPr="00EB2995">
              <w:rPr>
                <w:rFonts w:cs="Calibri"/>
                <w:bCs/>
                <w:color w:val="000000"/>
              </w:rPr>
              <w:t>(7.4)</w:t>
            </w:r>
          </w:p>
        </w:tc>
        <w:tc>
          <w:tcPr>
            <w:tcW w:w="3686" w:type="dxa"/>
            <w:gridSpan w:val="2"/>
            <w:tcBorders>
              <w:top w:val="nil"/>
              <w:left w:val="nil"/>
              <w:bottom w:val="nil"/>
              <w:right w:val="single" w:sz="4" w:space="0" w:color="auto"/>
            </w:tcBorders>
            <w:shd w:val="clear" w:color="000000" w:fill="FFFFFF"/>
            <w:noWrap/>
            <w:vAlign w:val="center"/>
          </w:tcPr>
          <w:p w:rsidR="00D53A04" w:rsidRPr="00EB2995" w:rsidRDefault="00D53A04" w:rsidP="00D53A04">
            <w:pPr>
              <w:rPr>
                <w:rFonts w:cs="Calibri"/>
              </w:rPr>
            </w:pPr>
            <w:r w:rsidRPr="00EB2995">
              <w:rPr>
                <w:rFonts w:cs="Calibri"/>
              </w:rPr>
              <w:t>Depreciation for the year</w:t>
            </w:r>
          </w:p>
        </w:tc>
        <w:tc>
          <w:tcPr>
            <w:tcW w:w="1133" w:type="dxa"/>
            <w:tcBorders>
              <w:top w:val="nil"/>
              <w:left w:val="single" w:sz="4" w:space="0" w:color="auto"/>
              <w:bottom w:val="nil"/>
              <w:right w:val="single" w:sz="4" w:space="0" w:color="auto"/>
            </w:tcBorders>
            <w:shd w:val="clear" w:color="000000" w:fill="FFFFFF"/>
            <w:noWrap/>
            <w:vAlign w:val="center"/>
          </w:tcPr>
          <w:p w:rsidR="00D53A04" w:rsidRPr="00EB2995" w:rsidRDefault="00D53A04" w:rsidP="00D53A04">
            <w:pPr>
              <w:jc w:val="right"/>
              <w:rPr>
                <w:rFonts w:cs="Calibri"/>
                <w:bCs/>
                <w:color w:val="000000"/>
              </w:rPr>
            </w:pPr>
            <w:r>
              <w:rPr>
                <w:rFonts w:cs="Calibri"/>
                <w:color w:val="000000"/>
              </w:rPr>
              <w:t>(7.6)</w:t>
            </w:r>
          </w:p>
        </w:tc>
        <w:tc>
          <w:tcPr>
            <w:tcW w:w="1133" w:type="dxa"/>
            <w:tcBorders>
              <w:top w:val="nil"/>
              <w:left w:val="single" w:sz="4" w:space="0" w:color="auto"/>
              <w:bottom w:val="nil"/>
              <w:right w:val="single" w:sz="4" w:space="0" w:color="auto"/>
            </w:tcBorders>
            <w:shd w:val="clear" w:color="000000" w:fill="FFFFFF"/>
            <w:noWrap/>
            <w:vAlign w:val="center"/>
          </w:tcPr>
          <w:p w:rsidR="00D53A04" w:rsidRPr="00EB2995" w:rsidRDefault="00D53A04" w:rsidP="00D53A04">
            <w:pPr>
              <w:jc w:val="right"/>
              <w:rPr>
                <w:rFonts w:cs="Calibri"/>
                <w:bCs/>
                <w:color w:val="000000"/>
              </w:rPr>
            </w:pPr>
            <w:r>
              <w:rPr>
                <w:rFonts w:cs="Calibri"/>
                <w:color w:val="000000"/>
              </w:rPr>
              <w:t>(0.3)</w:t>
            </w:r>
          </w:p>
        </w:tc>
        <w:tc>
          <w:tcPr>
            <w:tcW w:w="1388" w:type="dxa"/>
            <w:tcBorders>
              <w:top w:val="nil"/>
              <w:left w:val="single" w:sz="4" w:space="0" w:color="auto"/>
              <w:bottom w:val="nil"/>
              <w:right w:val="single" w:sz="4" w:space="0" w:color="auto"/>
            </w:tcBorders>
            <w:shd w:val="clear" w:color="000000" w:fill="FFFFFF"/>
            <w:noWrap/>
            <w:vAlign w:val="center"/>
          </w:tcPr>
          <w:p w:rsidR="00D53A04" w:rsidRPr="00EB2995" w:rsidRDefault="00D53A04" w:rsidP="00D53A04">
            <w:pPr>
              <w:jc w:val="right"/>
              <w:rPr>
                <w:rFonts w:cs="Calibri"/>
                <w:bCs/>
                <w:color w:val="000000"/>
              </w:rPr>
            </w:pPr>
            <w:r>
              <w:rPr>
                <w:rFonts w:cs="Calibri"/>
                <w:color w:val="000000"/>
              </w:rPr>
              <w:t>(7.9)</w:t>
            </w:r>
          </w:p>
        </w:tc>
      </w:tr>
      <w:tr w:rsidR="00D53A04" w:rsidRPr="00EB2995" w:rsidTr="00D53A04">
        <w:trPr>
          <w:gridBefore w:val="1"/>
          <w:wBefore w:w="142" w:type="dxa"/>
          <w:trHeight w:val="362"/>
        </w:trPr>
        <w:tc>
          <w:tcPr>
            <w:tcW w:w="1276" w:type="dxa"/>
            <w:tcBorders>
              <w:top w:val="nil"/>
              <w:left w:val="single" w:sz="4" w:space="0" w:color="auto"/>
              <w:bottom w:val="single" w:sz="4" w:space="0" w:color="auto"/>
              <w:right w:val="single" w:sz="4" w:space="0" w:color="auto"/>
            </w:tcBorders>
            <w:shd w:val="clear" w:color="auto" w:fill="auto"/>
            <w:vAlign w:val="center"/>
          </w:tcPr>
          <w:p w:rsidR="00D53A04" w:rsidRPr="00EB2995" w:rsidRDefault="00D53A04" w:rsidP="00D53A04">
            <w:pPr>
              <w:jc w:val="right"/>
              <w:rPr>
                <w:rFonts w:cs="Calibri"/>
              </w:rPr>
            </w:pPr>
            <w:r w:rsidRPr="00EB2995">
              <w:rPr>
                <w:rFonts w:cs="Calibri"/>
                <w:bCs/>
                <w:color w:val="000000"/>
              </w:rPr>
              <w:t>(26.8)</w:t>
            </w:r>
          </w:p>
        </w:tc>
        <w:tc>
          <w:tcPr>
            <w:tcW w:w="3686" w:type="dxa"/>
            <w:gridSpan w:val="2"/>
            <w:tcBorders>
              <w:top w:val="nil"/>
              <w:left w:val="nil"/>
              <w:bottom w:val="nil"/>
              <w:right w:val="single" w:sz="4" w:space="0" w:color="auto"/>
            </w:tcBorders>
            <w:shd w:val="clear" w:color="000000" w:fill="FFFFFF"/>
            <w:noWrap/>
            <w:vAlign w:val="center"/>
          </w:tcPr>
          <w:p w:rsidR="00D53A04" w:rsidRPr="00EB2995" w:rsidRDefault="00D53A04" w:rsidP="00D53A04">
            <w:pPr>
              <w:rPr>
                <w:rFonts w:cs="Calibri"/>
              </w:rPr>
            </w:pPr>
            <w:r w:rsidRPr="00EB2995">
              <w:rPr>
                <w:rFonts w:cs="Calibri"/>
              </w:rPr>
              <w:t>Other Movements</w:t>
            </w:r>
          </w:p>
        </w:tc>
        <w:tc>
          <w:tcPr>
            <w:tcW w:w="1133" w:type="dxa"/>
            <w:tcBorders>
              <w:top w:val="nil"/>
              <w:left w:val="single" w:sz="4" w:space="0" w:color="auto"/>
              <w:bottom w:val="nil"/>
              <w:right w:val="single" w:sz="4" w:space="0" w:color="auto"/>
            </w:tcBorders>
            <w:shd w:val="clear" w:color="000000" w:fill="FFFFFF"/>
            <w:noWrap/>
            <w:vAlign w:val="center"/>
          </w:tcPr>
          <w:p w:rsidR="00D53A04" w:rsidRPr="00EB2995" w:rsidRDefault="00D53A04" w:rsidP="00D53A04">
            <w:pPr>
              <w:jc w:val="right"/>
              <w:rPr>
                <w:rFonts w:cs="Calibri"/>
                <w:bCs/>
                <w:color w:val="000000"/>
              </w:rPr>
            </w:pPr>
            <w:r>
              <w:rPr>
                <w:rFonts w:cs="Calibri"/>
                <w:color w:val="000000"/>
              </w:rPr>
              <w:t>9.9</w:t>
            </w:r>
          </w:p>
        </w:tc>
        <w:tc>
          <w:tcPr>
            <w:tcW w:w="1133" w:type="dxa"/>
            <w:tcBorders>
              <w:top w:val="nil"/>
              <w:left w:val="single" w:sz="4" w:space="0" w:color="auto"/>
              <w:bottom w:val="single" w:sz="4" w:space="0" w:color="auto"/>
              <w:right w:val="single" w:sz="4" w:space="0" w:color="auto"/>
            </w:tcBorders>
            <w:shd w:val="clear" w:color="000000" w:fill="FFFFFF"/>
            <w:noWrap/>
            <w:vAlign w:val="center"/>
          </w:tcPr>
          <w:p w:rsidR="00D53A04" w:rsidRPr="00EB2995" w:rsidRDefault="00D53A04" w:rsidP="00D53A04">
            <w:pPr>
              <w:jc w:val="right"/>
              <w:rPr>
                <w:rFonts w:cs="Calibri"/>
                <w:bCs/>
                <w:color w:val="000000"/>
              </w:rPr>
            </w:pPr>
            <w:r>
              <w:rPr>
                <w:rFonts w:cs="Calibri"/>
                <w:color w:val="000000"/>
              </w:rPr>
              <w:t>0.0</w:t>
            </w:r>
          </w:p>
        </w:tc>
        <w:tc>
          <w:tcPr>
            <w:tcW w:w="1388" w:type="dxa"/>
            <w:tcBorders>
              <w:top w:val="nil"/>
              <w:left w:val="single" w:sz="4" w:space="0" w:color="auto"/>
              <w:bottom w:val="nil"/>
              <w:right w:val="single" w:sz="4" w:space="0" w:color="auto"/>
            </w:tcBorders>
            <w:shd w:val="clear" w:color="000000" w:fill="FFFFFF"/>
            <w:noWrap/>
            <w:vAlign w:val="center"/>
          </w:tcPr>
          <w:p w:rsidR="00D53A04" w:rsidRPr="00EB2995" w:rsidRDefault="00D53A04" w:rsidP="00D53A04">
            <w:pPr>
              <w:jc w:val="right"/>
              <w:rPr>
                <w:rFonts w:cs="Calibri"/>
                <w:bCs/>
                <w:color w:val="000000"/>
              </w:rPr>
            </w:pPr>
            <w:r>
              <w:rPr>
                <w:rFonts w:cs="Calibri"/>
                <w:color w:val="000000"/>
              </w:rPr>
              <w:t>9.9</w:t>
            </w:r>
          </w:p>
        </w:tc>
      </w:tr>
      <w:tr w:rsidR="00D53A04" w:rsidRPr="00EB2995" w:rsidTr="00D53A04">
        <w:trPr>
          <w:gridBefore w:val="1"/>
          <w:wBefore w:w="142" w:type="dxa"/>
          <w:trHeight w:val="362"/>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53A04" w:rsidRPr="00EB2995" w:rsidRDefault="00D53A04" w:rsidP="00D53A04">
            <w:pPr>
              <w:jc w:val="right"/>
              <w:rPr>
                <w:rFonts w:cs="Calibri"/>
                <w:b/>
              </w:rPr>
            </w:pPr>
            <w:r w:rsidRPr="00EB2995">
              <w:rPr>
                <w:rFonts w:cs="Calibri"/>
                <w:b/>
                <w:bCs/>
                <w:color w:val="000000"/>
              </w:rPr>
              <w:t>617.2</w:t>
            </w:r>
          </w:p>
        </w:tc>
        <w:tc>
          <w:tcPr>
            <w:tcW w:w="3686" w:type="dxa"/>
            <w:gridSpan w:val="2"/>
            <w:tcBorders>
              <w:top w:val="nil"/>
              <w:left w:val="nil"/>
              <w:bottom w:val="nil"/>
              <w:right w:val="single" w:sz="4" w:space="0" w:color="auto"/>
            </w:tcBorders>
            <w:shd w:val="clear" w:color="000000" w:fill="FFFFFF"/>
            <w:noWrap/>
            <w:vAlign w:val="center"/>
          </w:tcPr>
          <w:p w:rsidR="00D53A04" w:rsidRPr="00EB2995" w:rsidRDefault="00D53A04" w:rsidP="00D53A04">
            <w:pPr>
              <w:rPr>
                <w:rFonts w:cs="Calibri"/>
                <w:b/>
                <w:bCs/>
              </w:rPr>
            </w:pPr>
            <w:r w:rsidRPr="00EB2995">
              <w:rPr>
                <w:rFonts w:cs="Calibri"/>
                <w:b/>
                <w:bCs/>
              </w:rPr>
              <w:t xml:space="preserve">Closing Net Book Value at 31 March </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53A04" w:rsidRPr="00EB2995" w:rsidRDefault="00D53A04" w:rsidP="00D53A04">
            <w:pPr>
              <w:jc w:val="right"/>
              <w:rPr>
                <w:rFonts w:cs="Calibri"/>
                <w:b/>
                <w:bCs/>
                <w:color w:val="000000"/>
              </w:rPr>
            </w:pPr>
            <w:r>
              <w:rPr>
                <w:rFonts w:cs="Calibri"/>
                <w:b/>
                <w:bCs/>
                <w:color w:val="000000"/>
              </w:rPr>
              <w:t>618.5</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53A04" w:rsidRPr="00EB2995" w:rsidRDefault="00D53A04" w:rsidP="00D53A04">
            <w:pPr>
              <w:jc w:val="right"/>
              <w:rPr>
                <w:rFonts w:cs="Calibri"/>
                <w:b/>
                <w:bCs/>
                <w:color w:val="000000"/>
              </w:rPr>
            </w:pPr>
            <w:r>
              <w:rPr>
                <w:rFonts w:cs="Calibri"/>
                <w:b/>
                <w:bCs/>
                <w:color w:val="000000"/>
              </w:rPr>
              <w:t>15.1</w:t>
            </w:r>
          </w:p>
        </w:tc>
        <w:tc>
          <w:tcPr>
            <w:tcW w:w="138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53A04" w:rsidRPr="00EB2995" w:rsidRDefault="00D53A04" w:rsidP="00D53A04">
            <w:pPr>
              <w:jc w:val="right"/>
              <w:rPr>
                <w:rFonts w:cs="Calibri"/>
                <w:b/>
                <w:bCs/>
                <w:color w:val="000000"/>
              </w:rPr>
            </w:pPr>
            <w:r>
              <w:rPr>
                <w:rFonts w:cs="Calibri"/>
                <w:b/>
                <w:bCs/>
                <w:color w:val="000000"/>
              </w:rPr>
              <w:t>633.6</w:t>
            </w:r>
          </w:p>
        </w:tc>
      </w:tr>
    </w:tbl>
    <w:p w:rsidR="00F72906" w:rsidRDefault="00F72906" w:rsidP="00F72906">
      <w:r>
        <w:t xml:space="preserve">HRA dwellings are valued at Existing Use Value – Social Housing in the balance sheet. The Council calculates any arising revaluation loss or gain on the properties held within the HRA through the application of a regional annual housing indexation factor. The HRA Non Operational Assets have been revalued by </w:t>
      </w:r>
      <w:r w:rsidR="00AF636E">
        <w:t>the Council's internal valuers.</w:t>
      </w:r>
    </w:p>
    <w:p w:rsidR="00F72906" w:rsidRDefault="00F72906" w:rsidP="00F72906">
      <w:r>
        <w:t>The vacant possession value of dwellings within the HRA at 31 March 2020 was £2.470 billion (£2.409 billion at 31 March 2019). The difference between vacant possession value of the HRA dwellings and balance sheet value within the HRA shows the economic cost to the government of providing Council housing at less than open market value.</w:t>
      </w:r>
    </w:p>
    <w:p w:rsidR="00F72906" w:rsidRDefault="00F72906" w:rsidP="00A570D1">
      <w:pPr>
        <w:pStyle w:val="Heading3"/>
      </w:pPr>
      <w:r>
        <w:t>Note 4 – HRA Capital Receipts</w:t>
      </w:r>
    </w:p>
    <w:tbl>
      <w:tblPr>
        <w:tblW w:w="8503" w:type="dxa"/>
        <w:tblLook w:val="00A0" w:firstRow="1" w:lastRow="0" w:firstColumn="1" w:lastColumn="0" w:noHBand="0" w:noVBand="0"/>
      </w:tblPr>
      <w:tblGrid>
        <w:gridCol w:w="1417"/>
        <w:gridCol w:w="5669"/>
        <w:gridCol w:w="1417"/>
      </w:tblGrid>
      <w:tr w:rsidR="00A570D1" w:rsidRPr="00EB2995" w:rsidTr="00A70A31">
        <w:trPr>
          <w:trHeight w:hRule="exact" w:val="301"/>
        </w:trPr>
        <w:tc>
          <w:tcPr>
            <w:tcW w:w="1417" w:type="dxa"/>
          </w:tcPr>
          <w:p w:rsidR="00A570D1" w:rsidRPr="00EB2995" w:rsidRDefault="00A570D1" w:rsidP="00A70A31">
            <w:pPr>
              <w:jc w:val="right"/>
              <w:rPr>
                <w:rFonts w:cs="Calibri"/>
                <w:b/>
                <w:bCs/>
              </w:rPr>
            </w:pPr>
            <w:r w:rsidRPr="00EB2995">
              <w:rPr>
                <w:rFonts w:cs="Calibri"/>
                <w:b/>
                <w:bCs/>
              </w:rPr>
              <w:t>2018/19</w:t>
            </w:r>
          </w:p>
        </w:tc>
        <w:tc>
          <w:tcPr>
            <w:tcW w:w="5669" w:type="dxa"/>
            <w:noWrap/>
          </w:tcPr>
          <w:p w:rsidR="00A570D1" w:rsidRPr="00EB2995" w:rsidRDefault="00A570D1" w:rsidP="00A70A31">
            <w:pPr>
              <w:jc w:val="right"/>
              <w:rPr>
                <w:rFonts w:cs="Calibri"/>
              </w:rPr>
            </w:pPr>
          </w:p>
        </w:tc>
        <w:tc>
          <w:tcPr>
            <w:tcW w:w="1417" w:type="dxa"/>
            <w:noWrap/>
          </w:tcPr>
          <w:p w:rsidR="00A570D1" w:rsidRPr="00EB2995" w:rsidRDefault="00A570D1" w:rsidP="00A70A31">
            <w:pPr>
              <w:jc w:val="right"/>
              <w:rPr>
                <w:rFonts w:cs="Calibri"/>
                <w:b/>
                <w:bCs/>
              </w:rPr>
            </w:pPr>
            <w:r w:rsidRPr="00EB2995">
              <w:rPr>
                <w:rFonts w:cs="Calibri"/>
                <w:b/>
                <w:bCs/>
              </w:rPr>
              <w:t>2019/20</w:t>
            </w:r>
          </w:p>
        </w:tc>
      </w:tr>
      <w:tr w:rsidR="00A570D1" w:rsidRPr="00EB2995" w:rsidTr="00A70A31">
        <w:trPr>
          <w:trHeight w:hRule="exact" w:val="301"/>
        </w:trPr>
        <w:tc>
          <w:tcPr>
            <w:tcW w:w="1417" w:type="dxa"/>
            <w:tcBorders>
              <w:bottom w:val="single" w:sz="4" w:space="0" w:color="auto"/>
            </w:tcBorders>
          </w:tcPr>
          <w:p w:rsidR="00A570D1" w:rsidRPr="00EB2995" w:rsidRDefault="00A570D1" w:rsidP="00A70A31">
            <w:pPr>
              <w:jc w:val="right"/>
              <w:rPr>
                <w:rFonts w:cs="Calibri"/>
                <w:b/>
                <w:bCs/>
              </w:rPr>
            </w:pPr>
            <w:r w:rsidRPr="00EB2995">
              <w:rPr>
                <w:rFonts w:cs="Calibri"/>
                <w:b/>
                <w:bCs/>
              </w:rPr>
              <w:t>£m</w:t>
            </w:r>
          </w:p>
        </w:tc>
        <w:tc>
          <w:tcPr>
            <w:tcW w:w="5669" w:type="dxa"/>
            <w:noWrap/>
          </w:tcPr>
          <w:p w:rsidR="00A570D1" w:rsidRPr="00EB2995" w:rsidRDefault="00A570D1" w:rsidP="00A70A31">
            <w:pPr>
              <w:jc w:val="right"/>
              <w:rPr>
                <w:rFonts w:cs="Calibri"/>
              </w:rPr>
            </w:pPr>
          </w:p>
        </w:tc>
        <w:tc>
          <w:tcPr>
            <w:tcW w:w="1417" w:type="dxa"/>
            <w:tcBorders>
              <w:bottom w:val="single" w:sz="4" w:space="0" w:color="auto"/>
            </w:tcBorders>
            <w:noWrap/>
          </w:tcPr>
          <w:p w:rsidR="00A570D1" w:rsidRPr="00EB2995" w:rsidRDefault="00A570D1" w:rsidP="00A70A31">
            <w:pPr>
              <w:jc w:val="right"/>
              <w:rPr>
                <w:rFonts w:cs="Calibri"/>
                <w:b/>
                <w:bCs/>
              </w:rPr>
            </w:pPr>
            <w:r w:rsidRPr="00EB2995">
              <w:rPr>
                <w:rFonts w:cs="Calibri"/>
                <w:b/>
                <w:bCs/>
              </w:rPr>
              <w:t>£m</w:t>
            </w:r>
          </w:p>
        </w:tc>
      </w:tr>
      <w:tr w:rsidR="00A570D1" w:rsidRPr="00EB2995" w:rsidTr="00A70A31">
        <w:trPr>
          <w:trHeight w:hRule="exact" w:val="301"/>
        </w:trPr>
        <w:tc>
          <w:tcPr>
            <w:tcW w:w="1417" w:type="dxa"/>
            <w:tcBorders>
              <w:top w:val="single" w:sz="4" w:space="0" w:color="auto"/>
              <w:left w:val="single" w:sz="4" w:space="0" w:color="auto"/>
              <w:right w:val="single" w:sz="4" w:space="0" w:color="auto"/>
            </w:tcBorders>
            <w:vAlign w:val="bottom"/>
          </w:tcPr>
          <w:p w:rsidR="00A570D1" w:rsidRPr="00EB2995" w:rsidRDefault="00A570D1" w:rsidP="00A70A31">
            <w:pPr>
              <w:jc w:val="right"/>
              <w:rPr>
                <w:rFonts w:cs="Calibri"/>
              </w:rPr>
            </w:pPr>
            <w:r w:rsidRPr="00EB2995">
              <w:rPr>
                <w:rFonts w:cs="Calibri"/>
              </w:rPr>
              <w:t>(3.9)</w:t>
            </w:r>
          </w:p>
        </w:tc>
        <w:tc>
          <w:tcPr>
            <w:tcW w:w="5669" w:type="dxa"/>
            <w:tcBorders>
              <w:left w:val="single" w:sz="4" w:space="0" w:color="auto"/>
              <w:right w:val="single" w:sz="4" w:space="0" w:color="auto"/>
            </w:tcBorders>
            <w:noWrap/>
          </w:tcPr>
          <w:p w:rsidR="00A570D1" w:rsidRPr="00EB2995" w:rsidRDefault="00A570D1" w:rsidP="00A70A31">
            <w:pPr>
              <w:rPr>
                <w:rFonts w:cs="Calibri"/>
              </w:rPr>
            </w:pPr>
            <w:r w:rsidRPr="00EB2995">
              <w:rPr>
                <w:rFonts w:cs="Calibri"/>
              </w:rPr>
              <w:t>Dwellings</w:t>
            </w:r>
          </w:p>
        </w:tc>
        <w:tc>
          <w:tcPr>
            <w:tcW w:w="1417" w:type="dxa"/>
            <w:tcBorders>
              <w:top w:val="single" w:sz="4" w:space="0" w:color="auto"/>
              <w:left w:val="single" w:sz="4" w:space="0" w:color="auto"/>
              <w:right w:val="single" w:sz="4" w:space="0" w:color="auto"/>
            </w:tcBorders>
            <w:noWrap/>
            <w:vAlign w:val="bottom"/>
          </w:tcPr>
          <w:p w:rsidR="00A570D1" w:rsidRPr="00EB2995" w:rsidRDefault="00A570D1" w:rsidP="00A70A31">
            <w:pPr>
              <w:jc w:val="right"/>
              <w:rPr>
                <w:rFonts w:cs="Calibri"/>
              </w:rPr>
            </w:pPr>
            <w:r w:rsidRPr="00EB2995">
              <w:rPr>
                <w:rFonts w:cs="Calibri"/>
              </w:rPr>
              <w:t>(4.7)</w:t>
            </w:r>
          </w:p>
        </w:tc>
      </w:tr>
      <w:tr w:rsidR="00A570D1" w:rsidRPr="00EB2995" w:rsidTr="00A70A31">
        <w:trPr>
          <w:trHeight w:hRule="exact" w:val="301"/>
        </w:trPr>
        <w:tc>
          <w:tcPr>
            <w:tcW w:w="1417" w:type="dxa"/>
            <w:tcBorders>
              <w:top w:val="single" w:sz="4" w:space="0" w:color="auto"/>
              <w:left w:val="single" w:sz="4" w:space="0" w:color="auto"/>
              <w:bottom w:val="single" w:sz="4" w:space="0" w:color="auto"/>
              <w:right w:val="single" w:sz="4" w:space="0" w:color="auto"/>
            </w:tcBorders>
            <w:vAlign w:val="bottom"/>
          </w:tcPr>
          <w:p w:rsidR="00A570D1" w:rsidRPr="00EB2995" w:rsidRDefault="00A570D1" w:rsidP="00A70A31">
            <w:pPr>
              <w:jc w:val="right"/>
              <w:rPr>
                <w:rFonts w:cs="Calibri"/>
                <w:b/>
                <w:bCs/>
              </w:rPr>
            </w:pPr>
            <w:r w:rsidRPr="00EB2995">
              <w:rPr>
                <w:rFonts w:cs="Calibri"/>
                <w:b/>
              </w:rPr>
              <w:t>(3.9)</w:t>
            </w:r>
          </w:p>
        </w:tc>
        <w:tc>
          <w:tcPr>
            <w:tcW w:w="5669" w:type="dxa"/>
            <w:tcBorders>
              <w:left w:val="single" w:sz="4" w:space="0" w:color="auto"/>
              <w:right w:val="single" w:sz="4" w:space="0" w:color="auto"/>
            </w:tcBorders>
            <w:noWrap/>
          </w:tcPr>
          <w:p w:rsidR="00A570D1" w:rsidRPr="00EB2995" w:rsidRDefault="00A570D1" w:rsidP="009C7D60">
            <w:pPr>
              <w:rPr>
                <w:rFonts w:cs="Calibri"/>
                <w:b/>
              </w:rPr>
            </w:pPr>
            <w:r w:rsidRPr="00EB2995">
              <w:rPr>
                <w:rFonts w:cs="Calibri"/>
                <w:b/>
              </w:rPr>
              <w:t xml:space="preserve">Total Receipts </w:t>
            </w:r>
          </w:p>
        </w:tc>
        <w:tc>
          <w:tcPr>
            <w:tcW w:w="1417" w:type="dxa"/>
            <w:tcBorders>
              <w:top w:val="single" w:sz="4" w:space="0" w:color="auto"/>
              <w:left w:val="single" w:sz="4" w:space="0" w:color="auto"/>
              <w:bottom w:val="single" w:sz="4" w:space="0" w:color="auto"/>
              <w:right w:val="single" w:sz="4" w:space="0" w:color="auto"/>
            </w:tcBorders>
            <w:noWrap/>
            <w:vAlign w:val="bottom"/>
          </w:tcPr>
          <w:p w:rsidR="00A570D1" w:rsidRPr="00EB2995" w:rsidRDefault="00A570D1" w:rsidP="00A70A31">
            <w:pPr>
              <w:jc w:val="right"/>
              <w:rPr>
                <w:rFonts w:cs="Calibri"/>
                <w:b/>
              </w:rPr>
            </w:pPr>
            <w:r w:rsidRPr="00EB2995">
              <w:rPr>
                <w:rFonts w:cs="Calibri"/>
                <w:b/>
              </w:rPr>
              <w:t>(4.7)</w:t>
            </w:r>
          </w:p>
        </w:tc>
      </w:tr>
    </w:tbl>
    <w:p w:rsidR="00F72906" w:rsidRDefault="00F72906" w:rsidP="00F72906"/>
    <w:p w:rsidR="00F72906" w:rsidRDefault="00F72906" w:rsidP="00A570D1">
      <w:pPr>
        <w:pStyle w:val="Heading3"/>
      </w:pPr>
      <w:r>
        <w:t>Note 5 – Net Interest Charged to the HRA</w:t>
      </w:r>
    </w:p>
    <w:p w:rsidR="00F72906" w:rsidRDefault="00F72906" w:rsidP="00F72906">
      <w:r>
        <w:t>The net interest charge to the HRA, is calculated in accordance with government regulation.</w:t>
      </w:r>
    </w:p>
    <w:tbl>
      <w:tblPr>
        <w:tblW w:w="9607" w:type="dxa"/>
        <w:tblLook w:val="00A0" w:firstRow="1" w:lastRow="0" w:firstColumn="1" w:lastColumn="0" w:noHBand="0" w:noVBand="0"/>
      </w:tblPr>
      <w:tblGrid>
        <w:gridCol w:w="1417"/>
        <w:gridCol w:w="5669"/>
        <w:gridCol w:w="1417"/>
        <w:gridCol w:w="1104"/>
      </w:tblGrid>
      <w:tr w:rsidR="00A570D1" w:rsidRPr="00EB2995" w:rsidTr="00A70A31">
        <w:trPr>
          <w:trHeight w:val="315"/>
        </w:trPr>
        <w:tc>
          <w:tcPr>
            <w:tcW w:w="1417" w:type="dxa"/>
            <w:tcBorders>
              <w:top w:val="nil"/>
              <w:left w:val="nil"/>
              <w:bottom w:val="nil"/>
              <w:right w:val="nil"/>
            </w:tcBorders>
            <w:noWrap/>
            <w:vAlign w:val="bottom"/>
          </w:tcPr>
          <w:p w:rsidR="00A570D1" w:rsidRPr="00EB2995" w:rsidRDefault="00A570D1" w:rsidP="00A70A31">
            <w:pPr>
              <w:jc w:val="right"/>
              <w:rPr>
                <w:rFonts w:cs="Calibri"/>
                <w:b/>
                <w:bCs/>
              </w:rPr>
            </w:pPr>
            <w:r w:rsidRPr="00EB2995">
              <w:rPr>
                <w:rFonts w:cs="Calibri"/>
                <w:b/>
                <w:bCs/>
              </w:rPr>
              <w:t>2018/19</w:t>
            </w:r>
          </w:p>
        </w:tc>
        <w:tc>
          <w:tcPr>
            <w:tcW w:w="5669" w:type="dxa"/>
            <w:tcBorders>
              <w:top w:val="nil"/>
              <w:left w:val="nil"/>
              <w:bottom w:val="nil"/>
              <w:right w:val="nil"/>
            </w:tcBorders>
            <w:noWrap/>
            <w:vAlign w:val="bottom"/>
          </w:tcPr>
          <w:p w:rsidR="00A570D1" w:rsidRPr="00EB2995" w:rsidRDefault="00A570D1" w:rsidP="00A70A31">
            <w:pPr>
              <w:jc w:val="right"/>
              <w:rPr>
                <w:rFonts w:cs="Calibri"/>
                <w:b/>
                <w:bCs/>
              </w:rPr>
            </w:pPr>
          </w:p>
        </w:tc>
        <w:tc>
          <w:tcPr>
            <w:tcW w:w="1417" w:type="dxa"/>
            <w:tcBorders>
              <w:top w:val="nil"/>
              <w:left w:val="nil"/>
              <w:bottom w:val="nil"/>
              <w:right w:val="nil"/>
            </w:tcBorders>
            <w:noWrap/>
            <w:vAlign w:val="bottom"/>
          </w:tcPr>
          <w:p w:rsidR="00A570D1" w:rsidRPr="00EB2995" w:rsidRDefault="00A570D1" w:rsidP="00A70A31">
            <w:pPr>
              <w:jc w:val="right"/>
              <w:rPr>
                <w:rFonts w:cs="Calibri"/>
                <w:b/>
                <w:bCs/>
              </w:rPr>
            </w:pPr>
            <w:r w:rsidRPr="00EB2995">
              <w:rPr>
                <w:rFonts w:cs="Calibri"/>
                <w:b/>
                <w:bCs/>
              </w:rPr>
              <w:t>2019/20</w:t>
            </w:r>
          </w:p>
        </w:tc>
        <w:tc>
          <w:tcPr>
            <w:tcW w:w="1104" w:type="dxa"/>
            <w:tcBorders>
              <w:top w:val="nil"/>
              <w:left w:val="nil"/>
              <w:bottom w:val="nil"/>
              <w:right w:val="nil"/>
            </w:tcBorders>
          </w:tcPr>
          <w:p w:rsidR="00A570D1" w:rsidRPr="00EB2995" w:rsidRDefault="00A570D1" w:rsidP="00A70A31">
            <w:pPr>
              <w:jc w:val="right"/>
              <w:rPr>
                <w:rFonts w:cs="Calibri"/>
                <w:b/>
                <w:bCs/>
              </w:rPr>
            </w:pPr>
          </w:p>
        </w:tc>
      </w:tr>
      <w:tr w:rsidR="00A570D1" w:rsidRPr="00EB2995" w:rsidTr="00A70A31">
        <w:trPr>
          <w:trHeight w:val="315"/>
        </w:trPr>
        <w:tc>
          <w:tcPr>
            <w:tcW w:w="1417" w:type="dxa"/>
            <w:tcBorders>
              <w:top w:val="nil"/>
              <w:left w:val="nil"/>
              <w:bottom w:val="nil"/>
              <w:right w:val="nil"/>
            </w:tcBorders>
            <w:noWrap/>
            <w:vAlign w:val="bottom"/>
          </w:tcPr>
          <w:p w:rsidR="00A570D1" w:rsidRPr="00EB2995" w:rsidRDefault="00A570D1" w:rsidP="00A70A31">
            <w:pPr>
              <w:jc w:val="right"/>
              <w:rPr>
                <w:rFonts w:cs="Calibri"/>
                <w:b/>
                <w:bCs/>
              </w:rPr>
            </w:pPr>
            <w:r w:rsidRPr="00EB2995">
              <w:rPr>
                <w:rFonts w:cs="Calibri"/>
                <w:b/>
                <w:bCs/>
              </w:rPr>
              <w:t>£m</w:t>
            </w:r>
          </w:p>
        </w:tc>
        <w:tc>
          <w:tcPr>
            <w:tcW w:w="5669" w:type="dxa"/>
            <w:tcBorders>
              <w:top w:val="nil"/>
              <w:left w:val="nil"/>
              <w:bottom w:val="nil"/>
              <w:right w:val="nil"/>
            </w:tcBorders>
            <w:noWrap/>
            <w:vAlign w:val="bottom"/>
          </w:tcPr>
          <w:p w:rsidR="00A570D1" w:rsidRPr="00EB2995" w:rsidRDefault="00A570D1" w:rsidP="00A70A31">
            <w:pPr>
              <w:jc w:val="right"/>
              <w:rPr>
                <w:rFonts w:cs="Calibri"/>
                <w:b/>
                <w:bCs/>
              </w:rPr>
            </w:pPr>
          </w:p>
        </w:tc>
        <w:tc>
          <w:tcPr>
            <w:tcW w:w="1417" w:type="dxa"/>
            <w:tcBorders>
              <w:top w:val="nil"/>
              <w:left w:val="nil"/>
              <w:bottom w:val="nil"/>
              <w:right w:val="nil"/>
            </w:tcBorders>
            <w:noWrap/>
            <w:vAlign w:val="bottom"/>
          </w:tcPr>
          <w:p w:rsidR="00A570D1" w:rsidRPr="00EB2995" w:rsidRDefault="00A570D1" w:rsidP="00A70A31">
            <w:pPr>
              <w:jc w:val="right"/>
              <w:rPr>
                <w:rFonts w:cs="Calibri"/>
                <w:b/>
                <w:bCs/>
              </w:rPr>
            </w:pPr>
            <w:r w:rsidRPr="00EB2995">
              <w:rPr>
                <w:rFonts w:cs="Calibri"/>
                <w:b/>
                <w:bCs/>
              </w:rPr>
              <w:t>£m</w:t>
            </w:r>
          </w:p>
        </w:tc>
        <w:tc>
          <w:tcPr>
            <w:tcW w:w="1104" w:type="dxa"/>
            <w:tcBorders>
              <w:top w:val="nil"/>
              <w:left w:val="nil"/>
              <w:bottom w:val="nil"/>
              <w:right w:val="nil"/>
            </w:tcBorders>
          </w:tcPr>
          <w:p w:rsidR="00A570D1" w:rsidRPr="00EB2995" w:rsidRDefault="00A570D1" w:rsidP="00A70A31">
            <w:pPr>
              <w:jc w:val="right"/>
              <w:rPr>
                <w:rFonts w:cs="Calibri"/>
                <w:b/>
                <w:bCs/>
              </w:rPr>
            </w:pPr>
          </w:p>
        </w:tc>
      </w:tr>
      <w:tr w:rsidR="00A570D1" w:rsidRPr="00EB2995" w:rsidTr="00A70A31">
        <w:trPr>
          <w:trHeight w:val="315"/>
        </w:trPr>
        <w:tc>
          <w:tcPr>
            <w:tcW w:w="1417" w:type="dxa"/>
            <w:tcBorders>
              <w:top w:val="single" w:sz="4" w:space="0" w:color="auto"/>
              <w:left w:val="single" w:sz="4" w:space="0" w:color="auto"/>
              <w:bottom w:val="nil"/>
              <w:right w:val="single" w:sz="4" w:space="0" w:color="auto"/>
            </w:tcBorders>
            <w:noWrap/>
            <w:vAlign w:val="bottom"/>
          </w:tcPr>
          <w:p w:rsidR="00A570D1" w:rsidRPr="00EB2995" w:rsidRDefault="00A570D1" w:rsidP="00A70A31">
            <w:pPr>
              <w:jc w:val="right"/>
              <w:rPr>
                <w:rFonts w:cs="Calibri"/>
                <w:b/>
                <w:bCs/>
              </w:rPr>
            </w:pPr>
            <w:r w:rsidRPr="00EB2995">
              <w:rPr>
                <w:rFonts w:cs="Calibri"/>
              </w:rPr>
              <w:t>6.5</w:t>
            </w:r>
          </w:p>
        </w:tc>
        <w:tc>
          <w:tcPr>
            <w:tcW w:w="5669" w:type="dxa"/>
            <w:tcBorders>
              <w:top w:val="nil"/>
              <w:left w:val="nil"/>
              <w:bottom w:val="nil"/>
              <w:right w:val="nil"/>
            </w:tcBorders>
            <w:noWrap/>
            <w:vAlign w:val="bottom"/>
          </w:tcPr>
          <w:p w:rsidR="00A570D1" w:rsidRPr="00EB2995" w:rsidRDefault="00A570D1" w:rsidP="00A70A31">
            <w:pPr>
              <w:rPr>
                <w:rFonts w:cs="Calibri"/>
              </w:rPr>
            </w:pPr>
            <w:r w:rsidRPr="00EB2995">
              <w:rPr>
                <w:rFonts w:cs="Calibri"/>
              </w:rPr>
              <w:t>Interest on HRA mid-year Capital Financing Requirement</w:t>
            </w:r>
          </w:p>
        </w:tc>
        <w:tc>
          <w:tcPr>
            <w:tcW w:w="1417" w:type="dxa"/>
            <w:tcBorders>
              <w:top w:val="single" w:sz="4" w:space="0" w:color="auto"/>
              <w:left w:val="single" w:sz="4" w:space="0" w:color="auto"/>
              <w:bottom w:val="nil"/>
              <w:right w:val="single" w:sz="4" w:space="0" w:color="auto"/>
            </w:tcBorders>
            <w:noWrap/>
            <w:vAlign w:val="bottom"/>
          </w:tcPr>
          <w:p w:rsidR="00A570D1" w:rsidRPr="00EB2995" w:rsidRDefault="00A570D1" w:rsidP="00A70A31">
            <w:pPr>
              <w:jc w:val="right"/>
              <w:rPr>
                <w:rFonts w:cs="Calibri"/>
              </w:rPr>
            </w:pPr>
            <w:r w:rsidRPr="00EB2995">
              <w:rPr>
                <w:rFonts w:cs="Calibri"/>
              </w:rPr>
              <w:t>6.6</w:t>
            </w:r>
          </w:p>
        </w:tc>
        <w:tc>
          <w:tcPr>
            <w:tcW w:w="1104" w:type="dxa"/>
            <w:tcBorders>
              <w:top w:val="nil"/>
              <w:left w:val="nil"/>
              <w:bottom w:val="nil"/>
              <w:right w:val="nil"/>
            </w:tcBorders>
          </w:tcPr>
          <w:p w:rsidR="00A570D1" w:rsidRPr="00EB2995" w:rsidRDefault="00A570D1" w:rsidP="00A70A31">
            <w:pPr>
              <w:jc w:val="right"/>
              <w:rPr>
                <w:rFonts w:cs="Calibri"/>
              </w:rPr>
            </w:pPr>
          </w:p>
        </w:tc>
      </w:tr>
      <w:tr w:rsidR="00A570D1" w:rsidRPr="00EB2995" w:rsidTr="00A70A31">
        <w:trPr>
          <w:gridAfter w:val="1"/>
          <w:wAfter w:w="1104" w:type="dxa"/>
          <w:trHeight w:val="300"/>
        </w:trPr>
        <w:tc>
          <w:tcPr>
            <w:tcW w:w="1417" w:type="dxa"/>
            <w:tcBorders>
              <w:top w:val="single" w:sz="4" w:space="0" w:color="auto"/>
              <w:left w:val="single" w:sz="4" w:space="0" w:color="auto"/>
              <w:bottom w:val="single" w:sz="4" w:space="0" w:color="auto"/>
              <w:right w:val="single" w:sz="4" w:space="0" w:color="auto"/>
            </w:tcBorders>
            <w:noWrap/>
            <w:vAlign w:val="bottom"/>
          </w:tcPr>
          <w:p w:rsidR="00A570D1" w:rsidRPr="00EB2995" w:rsidRDefault="00A570D1" w:rsidP="00A70A31">
            <w:pPr>
              <w:jc w:val="right"/>
              <w:rPr>
                <w:rFonts w:cs="Calibri"/>
              </w:rPr>
            </w:pPr>
            <w:r w:rsidRPr="00EB2995">
              <w:rPr>
                <w:rFonts w:cs="Calibri"/>
                <w:b/>
                <w:bCs/>
              </w:rPr>
              <w:t>6.5</w:t>
            </w:r>
          </w:p>
        </w:tc>
        <w:tc>
          <w:tcPr>
            <w:tcW w:w="5669" w:type="dxa"/>
            <w:tcBorders>
              <w:top w:val="nil"/>
              <w:left w:val="nil"/>
              <w:bottom w:val="nil"/>
              <w:right w:val="nil"/>
            </w:tcBorders>
            <w:noWrap/>
            <w:vAlign w:val="bottom"/>
          </w:tcPr>
          <w:p w:rsidR="00A570D1" w:rsidRPr="00EB2995" w:rsidRDefault="00A570D1" w:rsidP="00A70A31">
            <w:pPr>
              <w:rPr>
                <w:rFonts w:cs="Calibri"/>
                <w:b/>
              </w:rPr>
            </w:pPr>
            <w:r w:rsidRPr="00EB2995">
              <w:rPr>
                <w:rFonts w:cs="Calibri"/>
                <w:b/>
              </w:rPr>
              <w:t xml:space="preserve">Total Interest </w:t>
            </w:r>
          </w:p>
        </w:tc>
        <w:tc>
          <w:tcPr>
            <w:tcW w:w="1417" w:type="dxa"/>
            <w:tcBorders>
              <w:top w:val="single" w:sz="4" w:space="0" w:color="auto"/>
              <w:left w:val="single" w:sz="4" w:space="0" w:color="auto"/>
              <w:bottom w:val="single" w:sz="4" w:space="0" w:color="auto"/>
              <w:right w:val="single" w:sz="4" w:space="0" w:color="auto"/>
            </w:tcBorders>
            <w:noWrap/>
            <w:vAlign w:val="bottom"/>
          </w:tcPr>
          <w:p w:rsidR="00A570D1" w:rsidRPr="00EB2995" w:rsidRDefault="00A570D1" w:rsidP="00A70A31">
            <w:pPr>
              <w:jc w:val="right"/>
              <w:rPr>
                <w:rFonts w:cs="Calibri"/>
                <w:b/>
              </w:rPr>
            </w:pPr>
            <w:r w:rsidRPr="00EB2995">
              <w:rPr>
                <w:rFonts w:cs="Calibri"/>
                <w:b/>
              </w:rPr>
              <w:t>6.6</w:t>
            </w:r>
          </w:p>
        </w:tc>
      </w:tr>
    </w:tbl>
    <w:p w:rsidR="00F72906" w:rsidRDefault="00F72906" w:rsidP="00A570D1">
      <w:pPr>
        <w:pStyle w:val="Heading3"/>
      </w:pPr>
      <w:r>
        <w:t>Note 6 – Major Repairs Reserve (MRR)</w:t>
      </w:r>
    </w:p>
    <w:p w:rsidR="00F72906" w:rsidRDefault="00F72906" w:rsidP="00F72906"/>
    <w:p w:rsidR="00F72906" w:rsidRDefault="00F72906" w:rsidP="00F72906">
      <w:r>
        <w:t>The MRR is a specific capital reserve held to fund the HRA capital programme or make repayments on amounts borrowed on historic HRA capital expenditure.</w:t>
      </w:r>
    </w:p>
    <w:tbl>
      <w:tblPr>
        <w:tblW w:w="8689" w:type="dxa"/>
        <w:tblLook w:val="00A0" w:firstRow="1" w:lastRow="0" w:firstColumn="1" w:lastColumn="0" w:noHBand="0" w:noVBand="0"/>
      </w:tblPr>
      <w:tblGrid>
        <w:gridCol w:w="1601"/>
        <w:gridCol w:w="5487"/>
        <w:gridCol w:w="1601"/>
      </w:tblGrid>
      <w:tr w:rsidR="00A570D1" w:rsidRPr="00EB2995" w:rsidTr="00A70A31">
        <w:trPr>
          <w:trHeight w:val="315"/>
        </w:trPr>
        <w:tc>
          <w:tcPr>
            <w:tcW w:w="1601" w:type="dxa"/>
            <w:tcBorders>
              <w:top w:val="nil"/>
              <w:left w:val="nil"/>
              <w:bottom w:val="nil"/>
              <w:right w:val="nil"/>
            </w:tcBorders>
            <w:vAlign w:val="bottom"/>
          </w:tcPr>
          <w:p w:rsidR="00A570D1" w:rsidRPr="00EB2995" w:rsidRDefault="00A570D1" w:rsidP="00A70A31">
            <w:pPr>
              <w:jc w:val="right"/>
              <w:rPr>
                <w:rFonts w:cs="Calibri"/>
                <w:b/>
                <w:bCs/>
              </w:rPr>
            </w:pPr>
            <w:r w:rsidRPr="00EB2995">
              <w:rPr>
                <w:rFonts w:cs="Calibri"/>
                <w:b/>
                <w:bCs/>
              </w:rPr>
              <w:t>2018/19</w:t>
            </w:r>
          </w:p>
        </w:tc>
        <w:tc>
          <w:tcPr>
            <w:tcW w:w="5487" w:type="dxa"/>
            <w:tcBorders>
              <w:top w:val="nil"/>
              <w:left w:val="nil"/>
              <w:bottom w:val="nil"/>
              <w:right w:val="nil"/>
            </w:tcBorders>
            <w:noWrap/>
            <w:vAlign w:val="bottom"/>
          </w:tcPr>
          <w:p w:rsidR="00A570D1" w:rsidRPr="00EB2995" w:rsidRDefault="00A570D1" w:rsidP="00A70A31">
            <w:pPr>
              <w:jc w:val="right"/>
              <w:rPr>
                <w:rFonts w:cs="Calibri"/>
                <w:b/>
                <w:bCs/>
              </w:rPr>
            </w:pPr>
          </w:p>
        </w:tc>
        <w:tc>
          <w:tcPr>
            <w:tcW w:w="1601" w:type="dxa"/>
            <w:tcBorders>
              <w:top w:val="nil"/>
              <w:left w:val="nil"/>
              <w:bottom w:val="nil"/>
              <w:right w:val="nil"/>
            </w:tcBorders>
            <w:noWrap/>
            <w:vAlign w:val="bottom"/>
          </w:tcPr>
          <w:p w:rsidR="00A570D1" w:rsidRPr="00EB2995" w:rsidRDefault="00A570D1" w:rsidP="00A70A31">
            <w:pPr>
              <w:jc w:val="right"/>
              <w:rPr>
                <w:rFonts w:cs="Calibri"/>
                <w:b/>
                <w:bCs/>
              </w:rPr>
            </w:pPr>
            <w:r w:rsidRPr="00EB2995">
              <w:rPr>
                <w:rFonts w:cs="Calibri"/>
                <w:b/>
                <w:bCs/>
              </w:rPr>
              <w:t>2019/20</w:t>
            </w:r>
          </w:p>
        </w:tc>
      </w:tr>
      <w:tr w:rsidR="00A570D1" w:rsidRPr="00EB2995" w:rsidTr="00A70A31">
        <w:trPr>
          <w:trHeight w:val="315"/>
        </w:trPr>
        <w:tc>
          <w:tcPr>
            <w:tcW w:w="1601" w:type="dxa"/>
            <w:tcBorders>
              <w:top w:val="nil"/>
              <w:left w:val="nil"/>
              <w:bottom w:val="single" w:sz="4" w:space="0" w:color="auto"/>
              <w:right w:val="nil"/>
            </w:tcBorders>
            <w:vAlign w:val="bottom"/>
          </w:tcPr>
          <w:p w:rsidR="00A570D1" w:rsidRPr="00EB2995" w:rsidRDefault="00A570D1" w:rsidP="00A70A31">
            <w:pPr>
              <w:jc w:val="right"/>
              <w:rPr>
                <w:rFonts w:cs="Calibri"/>
                <w:b/>
                <w:bCs/>
              </w:rPr>
            </w:pPr>
            <w:r w:rsidRPr="00EB2995">
              <w:rPr>
                <w:rFonts w:cs="Calibri"/>
                <w:b/>
                <w:bCs/>
              </w:rPr>
              <w:t>£m</w:t>
            </w:r>
          </w:p>
        </w:tc>
        <w:tc>
          <w:tcPr>
            <w:tcW w:w="5487" w:type="dxa"/>
            <w:tcBorders>
              <w:top w:val="nil"/>
              <w:left w:val="nil"/>
              <w:bottom w:val="nil"/>
              <w:right w:val="nil"/>
            </w:tcBorders>
            <w:noWrap/>
            <w:vAlign w:val="bottom"/>
          </w:tcPr>
          <w:p w:rsidR="00A570D1" w:rsidRPr="00EB2995" w:rsidRDefault="00A570D1" w:rsidP="00A70A31">
            <w:pPr>
              <w:jc w:val="right"/>
              <w:rPr>
                <w:rFonts w:cs="Calibri"/>
                <w:b/>
                <w:bCs/>
              </w:rPr>
            </w:pPr>
          </w:p>
        </w:tc>
        <w:tc>
          <w:tcPr>
            <w:tcW w:w="1601" w:type="dxa"/>
            <w:tcBorders>
              <w:top w:val="nil"/>
              <w:left w:val="nil"/>
              <w:bottom w:val="single" w:sz="4" w:space="0" w:color="auto"/>
              <w:right w:val="nil"/>
            </w:tcBorders>
            <w:noWrap/>
            <w:vAlign w:val="bottom"/>
          </w:tcPr>
          <w:p w:rsidR="00A570D1" w:rsidRPr="00EB2995" w:rsidRDefault="00A570D1" w:rsidP="00A70A31">
            <w:pPr>
              <w:jc w:val="right"/>
              <w:rPr>
                <w:rFonts w:cs="Calibri"/>
                <w:b/>
                <w:bCs/>
              </w:rPr>
            </w:pPr>
            <w:r w:rsidRPr="00EB2995">
              <w:rPr>
                <w:rFonts w:cs="Calibri"/>
                <w:b/>
                <w:bCs/>
              </w:rPr>
              <w:t>£m</w:t>
            </w:r>
          </w:p>
        </w:tc>
      </w:tr>
      <w:tr w:rsidR="00A570D1" w:rsidRPr="00EB2995" w:rsidTr="00A70A31">
        <w:trPr>
          <w:trHeight w:val="315"/>
        </w:trPr>
        <w:tc>
          <w:tcPr>
            <w:tcW w:w="1601" w:type="dxa"/>
            <w:tcBorders>
              <w:top w:val="single" w:sz="4" w:space="0" w:color="auto"/>
              <w:left w:val="single" w:sz="4" w:space="0" w:color="auto"/>
              <w:right w:val="single" w:sz="4" w:space="0" w:color="auto"/>
            </w:tcBorders>
            <w:vAlign w:val="bottom"/>
          </w:tcPr>
          <w:p w:rsidR="00A570D1" w:rsidRPr="00EB2995" w:rsidRDefault="00A570D1" w:rsidP="00A70A31">
            <w:pPr>
              <w:jc w:val="right"/>
              <w:rPr>
                <w:rFonts w:cs="Calibri"/>
              </w:rPr>
            </w:pPr>
            <w:r w:rsidRPr="00EB2995">
              <w:rPr>
                <w:rFonts w:cs="Calibri"/>
              </w:rPr>
              <w:t>0.0</w:t>
            </w:r>
          </w:p>
        </w:tc>
        <w:tc>
          <w:tcPr>
            <w:tcW w:w="5487" w:type="dxa"/>
            <w:tcBorders>
              <w:top w:val="nil"/>
              <w:left w:val="single" w:sz="4" w:space="0" w:color="auto"/>
              <w:bottom w:val="nil"/>
              <w:right w:val="single" w:sz="4" w:space="0" w:color="auto"/>
            </w:tcBorders>
            <w:noWrap/>
            <w:vAlign w:val="bottom"/>
          </w:tcPr>
          <w:p w:rsidR="00A570D1" w:rsidRPr="00EB2995" w:rsidRDefault="00A570D1" w:rsidP="00A70A31">
            <w:pPr>
              <w:rPr>
                <w:rFonts w:cs="Calibri"/>
              </w:rPr>
            </w:pPr>
            <w:r w:rsidRPr="00EB2995">
              <w:rPr>
                <w:rFonts w:cs="Calibri"/>
              </w:rPr>
              <w:t>Balance at beginning of the year</w:t>
            </w:r>
          </w:p>
        </w:tc>
        <w:tc>
          <w:tcPr>
            <w:tcW w:w="1601" w:type="dxa"/>
            <w:tcBorders>
              <w:top w:val="single" w:sz="4" w:space="0" w:color="auto"/>
              <w:left w:val="single" w:sz="4" w:space="0" w:color="auto"/>
              <w:bottom w:val="nil"/>
              <w:right w:val="single" w:sz="4" w:space="0" w:color="auto"/>
            </w:tcBorders>
            <w:noWrap/>
            <w:vAlign w:val="bottom"/>
          </w:tcPr>
          <w:p w:rsidR="00A570D1" w:rsidRPr="00EB2995" w:rsidRDefault="00A570D1" w:rsidP="00A70A31">
            <w:pPr>
              <w:jc w:val="right"/>
              <w:rPr>
                <w:rFonts w:cs="Calibri"/>
              </w:rPr>
            </w:pPr>
            <w:r w:rsidRPr="00EB2995">
              <w:rPr>
                <w:rFonts w:cs="Calibri"/>
              </w:rPr>
              <w:t>0.0</w:t>
            </w:r>
          </w:p>
        </w:tc>
      </w:tr>
      <w:tr w:rsidR="00A570D1" w:rsidRPr="00EB2995" w:rsidTr="00A70A31">
        <w:trPr>
          <w:trHeight w:val="300"/>
        </w:trPr>
        <w:tc>
          <w:tcPr>
            <w:tcW w:w="1601" w:type="dxa"/>
            <w:tcBorders>
              <w:left w:val="single" w:sz="4" w:space="0" w:color="auto"/>
              <w:right w:val="single" w:sz="4" w:space="0" w:color="auto"/>
            </w:tcBorders>
            <w:vAlign w:val="bottom"/>
          </w:tcPr>
          <w:p w:rsidR="00A570D1" w:rsidRPr="00EB2995" w:rsidRDefault="00A570D1" w:rsidP="00A70A31">
            <w:pPr>
              <w:jc w:val="right"/>
              <w:rPr>
                <w:rFonts w:cs="Calibri"/>
              </w:rPr>
            </w:pPr>
            <w:r w:rsidRPr="00EB2995">
              <w:rPr>
                <w:rFonts w:cs="Calibri"/>
                <w:bCs/>
              </w:rPr>
              <w:t>(7.3)</w:t>
            </w:r>
          </w:p>
        </w:tc>
        <w:tc>
          <w:tcPr>
            <w:tcW w:w="5487" w:type="dxa"/>
            <w:tcBorders>
              <w:top w:val="nil"/>
              <w:left w:val="single" w:sz="4" w:space="0" w:color="auto"/>
              <w:bottom w:val="nil"/>
              <w:right w:val="single" w:sz="4" w:space="0" w:color="auto"/>
            </w:tcBorders>
            <w:noWrap/>
            <w:vAlign w:val="bottom"/>
          </w:tcPr>
          <w:p w:rsidR="00A570D1" w:rsidRPr="00EB2995" w:rsidRDefault="00A570D1" w:rsidP="00A70A31">
            <w:pPr>
              <w:rPr>
                <w:rFonts w:cs="Calibri"/>
              </w:rPr>
            </w:pPr>
            <w:r w:rsidRPr="00EB2995">
              <w:rPr>
                <w:rFonts w:cs="Calibri"/>
              </w:rPr>
              <w:t>Depreciation charge on HRA Assets</w:t>
            </w:r>
          </w:p>
        </w:tc>
        <w:tc>
          <w:tcPr>
            <w:tcW w:w="1601" w:type="dxa"/>
            <w:tcBorders>
              <w:left w:val="single" w:sz="4" w:space="0" w:color="auto"/>
              <w:right w:val="single" w:sz="4" w:space="0" w:color="auto"/>
            </w:tcBorders>
            <w:noWrap/>
            <w:vAlign w:val="bottom"/>
          </w:tcPr>
          <w:p w:rsidR="00A570D1" w:rsidRPr="00EB2995" w:rsidRDefault="00A570D1" w:rsidP="00A70A31">
            <w:pPr>
              <w:jc w:val="right"/>
              <w:rPr>
                <w:rFonts w:cs="Calibri"/>
                <w:bCs/>
              </w:rPr>
            </w:pPr>
            <w:r w:rsidRPr="00EB2995">
              <w:rPr>
                <w:rFonts w:cs="Calibri"/>
                <w:bCs/>
              </w:rPr>
              <w:t>(7.9)</w:t>
            </w:r>
          </w:p>
        </w:tc>
      </w:tr>
      <w:tr w:rsidR="00A570D1" w:rsidRPr="00EB2995" w:rsidTr="00A70A31">
        <w:trPr>
          <w:trHeight w:val="300"/>
        </w:trPr>
        <w:tc>
          <w:tcPr>
            <w:tcW w:w="1601" w:type="dxa"/>
            <w:tcBorders>
              <w:left w:val="single" w:sz="4" w:space="0" w:color="auto"/>
              <w:bottom w:val="single" w:sz="4" w:space="0" w:color="auto"/>
              <w:right w:val="single" w:sz="4" w:space="0" w:color="auto"/>
            </w:tcBorders>
            <w:vAlign w:val="bottom"/>
          </w:tcPr>
          <w:p w:rsidR="00A570D1" w:rsidRPr="00EB2995" w:rsidRDefault="00A570D1" w:rsidP="00A70A31">
            <w:pPr>
              <w:jc w:val="right"/>
              <w:rPr>
                <w:rFonts w:cs="Calibri"/>
              </w:rPr>
            </w:pPr>
            <w:r w:rsidRPr="00EB2995">
              <w:rPr>
                <w:rFonts w:cs="Calibri"/>
                <w:bCs/>
              </w:rPr>
              <w:lastRenderedPageBreak/>
              <w:t>7.3</w:t>
            </w:r>
          </w:p>
        </w:tc>
        <w:tc>
          <w:tcPr>
            <w:tcW w:w="5487" w:type="dxa"/>
            <w:tcBorders>
              <w:top w:val="nil"/>
              <w:left w:val="single" w:sz="4" w:space="0" w:color="auto"/>
              <w:bottom w:val="nil"/>
              <w:right w:val="single" w:sz="4" w:space="0" w:color="auto"/>
            </w:tcBorders>
            <w:noWrap/>
            <w:vAlign w:val="bottom"/>
          </w:tcPr>
          <w:p w:rsidR="00A570D1" w:rsidRPr="00EB2995" w:rsidRDefault="00A570D1" w:rsidP="00A70A31">
            <w:pPr>
              <w:rPr>
                <w:rFonts w:cs="Calibri"/>
              </w:rPr>
            </w:pPr>
            <w:r w:rsidRPr="00EB2995">
              <w:rPr>
                <w:rFonts w:cs="Calibri"/>
              </w:rPr>
              <w:t>Reserve applied to fund the HRA capital programme</w:t>
            </w:r>
          </w:p>
        </w:tc>
        <w:tc>
          <w:tcPr>
            <w:tcW w:w="1601" w:type="dxa"/>
            <w:tcBorders>
              <w:left w:val="single" w:sz="4" w:space="0" w:color="auto"/>
              <w:bottom w:val="single" w:sz="4" w:space="0" w:color="auto"/>
              <w:right w:val="single" w:sz="4" w:space="0" w:color="auto"/>
            </w:tcBorders>
            <w:noWrap/>
            <w:vAlign w:val="bottom"/>
          </w:tcPr>
          <w:p w:rsidR="00A570D1" w:rsidRPr="00EB2995" w:rsidRDefault="00A570D1" w:rsidP="00A70A31">
            <w:pPr>
              <w:jc w:val="right"/>
              <w:rPr>
                <w:rFonts w:cs="Calibri"/>
                <w:bCs/>
              </w:rPr>
            </w:pPr>
            <w:r w:rsidRPr="00EB2995">
              <w:rPr>
                <w:rFonts w:cs="Calibri"/>
                <w:bCs/>
              </w:rPr>
              <w:t>7.9</w:t>
            </w:r>
          </w:p>
        </w:tc>
      </w:tr>
      <w:tr w:rsidR="00A570D1" w:rsidRPr="00EB2995" w:rsidTr="00A70A31">
        <w:trPr>
          <w:trHeight w:val="300"/>
        </w:trPr>
        <w:tc>
          <w:tcPr>
            <w:tcW w:w="1601" w:type="dxa"/>
            <w:tcBorders>
              <w:top w:val="single" w:sz="4" w:space="0" w:color="auto"/>
              <w:left w:val="single" w:sz="4" w:space="0" w:color="auto"/>
              <w:bottom w:val="single" w:sz="4" w:space="0" w:color="auto"/>
              <w:right w:val="single" w:sz="4" w:space="0" w:color="auto"/>
            </w:tcBorders>
            <w:vAlign w:val="bottom"/>
          </w:tcPr>
          <w:p w:rsidR="00A570D1" w:rsidRPr="00EB2995" w:rsidRDefault="00A570D1" w:rsidP="00A70A31">
            <w:pPr>
              <w:jc w:val="right"/>
              <w:rPr>
                <w:rFonts w:cs="Calibri"/>
                <w:b/>
                <w:bCs/>
              </w:rPr>
            </w:pPr>
            <w:r w:rsidRPr="00EB2995">
              <w:rPr>
                <w:rFonts w:cs="Calibri"/>
                <w:b/>
                <w:bCs/>
              </w:rPr>
              <w:t>0.0</w:t>
            </w:r>
          </w:p>
        </w:tc>
        <w:tc>
          <w:tcPr>
            <w:tcW w:w="5487" w:type="dxa"/>
            <w:tcBorders>
              <w:top w:val="nil"/>
              <w:left w:val="nil"/>
              <w:bottom w:val="nil"/>
              <w:right w:val="nil"/>
            </w:tcBorders>
            <w:noWrap/>
            <w:vAlign w:val="bottom"/>
          </w:tcPr>
          <w:p w:rsidR="00A570D1" w:rsidRPr="00EB2995" w:rsidRDefault="00A570D1" w:rsidP="00A70A31">
            <w:pPr>
              <w:rPr>
                <w:rFonts w:cs="Calibri"/>
                <w:b/>
              </w:rPr>
            </w:pPr>
            <w:r w:rsidRPr="00EB2995">
              <w:rPr>
                <w:rFonts w:cs="Calibri"/>
                <w:b/>
              </w:rPr>
              <w:t>Balance at end of year</w:t>
            </w:r>
          </w:p>
        </w:tc>
        <w:tc>
          <w:tcPr>
            <w:tcW w:w="1601" w:type="dxa"/>
            <w:tcBorders>
              <w:top w:val="single" w:sz="4" w:space="0" w:color="auto"/>
              <w:left w:val="single" w:sz="4" w:space="0" w:color="auto"/>
              <w:bottom w:val="single" w:sz="4" w:space="0" w:color="auto"/>
              <w:right w:val="single" w:sz="4" w:space="0" w:color="auto"/>
            </w:tcBorders>
            <w:noWrap/>
            <w:vAlign w:val="bottom"/>
          </w:tcPr>
          <w:p w:rsidR="00A570D1" w:rsidRPr="00EB2995" w:rsidRDefault="00A570D1" w:rsidP="00A70A31">
            <w:pPr>
              <w:jc w:val="right"/>
              <w:rPr>
                <w:rFonts w:cs="Calibri"/>
                <w:b/>
              </w:rPr>
            </w:pPr>
            <w:r w:rsidRPr="00EB2995">
              <w:rPr>
                <w:rFonts w:cs="Calibri"/>
                <w:b/>
              </w:rPr>
              <w:t>0.0</w:t>
            </w:r>
          </w:p>
        </w:tc>
      </w:tr>
    </w:tbl>
    <w:p w:rsidR="00A570D1" w:rsidRDefault="00A570D1" w:rsidP="00F72906">
      <w:pPr>
        <w:sectPr w:rsidR="00A570D1" w:rsidSect="00D53A04">
          <w:pgSz w:w="11906" w:h="16838"/>
          <w:pgMar w:top="1440" w:right="1440" w:bottom="1440" w:left="709" w:header="708" w:footer="708" w:gutter="0"/>
          <w:cols w:space="708"/>
          <w:docGrid w:linePitch="360"/>
        </w:sectPr>
      </w:pPr>
    </w:p>
    <w:p w:rsidR="00F72906" w:rsidRDefault="00F72906" w:rsidP="00A570D1">
      <w:pPr>
        <w:pStyle w:val="Heading1"/>
      </w:pPr>
      <w:bookmarkStart w:id="21" w:name="_Toc61870291"/>
      <w:r>
        <w:lastRenderedPageBreak/>
        <w:t>Collection Fund</w:t>
      </w:r>
      <w:bookmarkEnd w:id="21"/>
    </w:p>
    <w:p w:rsidR="00F72906" w:rsidRDefault="00F72906" w:rsidP="00231ED3">
      <w:pPr>
        <w:pStyle w:val="Heading2"/>
      </w:pPr>
      <w:bookmarkStart w:id="22" w:name="_Toc61870292"/>
      <w:r>
        <w:t>Collection Fund Account for the Year ended 31 March 2020</w:t>
      </w:r>
      <w:bookmarkEnd w:id="22"/>
    </w:p>
    <w:p w:rsidR="00231ED3" w:rsidRDefault="00F72906" w:rsidP="00F72906">
      <w:r>
        <w:t>This is a statutory fund separate from the General Fund of the Council. The Collection Fund accounts independently for income relating to Council Tax and Non-Domestic Rates on behalf of those bodies (including the Council's own General Fund) for whom the income has been raised. Administrative costs for Council Tax are borne by the General Fund.</w:t>
      </w:r>
    </w:p>
    <w:tbl>
      <w:tblPr>
        <w:tblW w:w="9946" w:type="dxa"/>
        <w:tblLook w:val="04A0" w:firstRow="1" w:lastRow="0" w:firstColumn="1" w:lastColumn="0" w:noHBand="0" w:noVBand="1"/>
      </w:tblPr>
      <w:tblGrid>
        <w:gridCol w:w="940"/>
        <w:gridCol w:w="1005"/>
        <w:gridCol w:w="1316"/>
        <w:gridCol w:w="3608"/>
        <w:gridCol w:w="942"/>
        <w:gridCol w:w="1008"/>
        <w:gridCol w:w="1129"/>
      </w:tblGrid>
      <w:tr w:rsidR="00231ED3" w:rsidRPr="008C1B39" w:rsidTr="00231ED3">
        <w:trPr>
          <w:trHeight w:hRule="exact" w:val="397"/>
        </w:trPr>
        <w:tc>
          <w:tcPr>
            <w:tcW w:w="3261" w:type="dxa"/>
            <w:gridSpan w:val="3"/>
            <w:tcBorders>
              <w:top w:val="nil"/>
              <w:left w:val="nil"/>
              <w:bottom w:val="nil"/>
              <w:right w:val="nil"/>
            </w:tcBorders>
            <w:shd w:val="clear" w:color="auto" w:fill="auto"/>
            <w:noWrap/>
            <w:vAlign w:val="bottom"/>
            <w:hideMark/>
          </w:tcPr>
          <w:p w:rsidR="00231ED3" w:rsidRPr="008C1B39" w:rsidRDefault="00231ED3" w:rsidP="00A70A31">
            <w:pPr>
              <w:jc w:val="right"/>
              <w:rPr>
                <w:rFonts w:cs="Calibri"/>
                <w:b/>
                <w:bCs/>
                <w:color w:val="000000"/>
                <w:lang w:eastAsia="en-GB"/>
              </w:rPr>
            </w:pPr>
            <w:r w:rsidRPr="008C1B39">
              <w:rPr>
                <w:rFonts w:cs="Calibri"/>
                <w:b/>
                <w:bCs/>
                <w:color w:val="000000"/>
                <w:lang w:eastAsia="en-GB"/>
              </w:rPr>
              <w:t>2018/19</w:t>
            </w:r>
          </w:p>
        </w:tc>
        <w:tc>
          <w:tcPr>
            <w:tcW w:w="3608" w:type="dxa"/>
            <w:tcBorders>
              <w:top w:val="nil"/>
              <w:left w:val="nil"/>
              <w:bottom w:val="nil"/>
              <w:right w:val="nil"/>
            </w:tcBorders>
            <w:shd w:val="clear" w:color="auto" w:fill="auto"/>
            <w:noWrap/>
            <w:vAlign w:val="bottom"/>
            <w:hideMark/>
          </w:tcPr>
          <w:p w:rsidR="00231ED3" w:rsidRPr="008C1B39" w:rsidRDefault="00231ED3" w:rsidP="00A70A31">
            <w:pPr>
              <w:jc w:val="right"/>
              <w:rPr>
                <w:rFonts w:cs="Calibri"/>
                <w:b/>
                <w:bCs/>
                <w:color w:val="000000"/>
                <w:lang w:eastAsia="en-GB"/>
              </w:rPr>
            </w:pPr>
          </w:p>
        </w:tc>
        <w:tc>
          <w:tcPr>
            <w:tcW w:w="3077" w:type="dxa"/>
            <w:gridSpan w:val="3"/>
            <w:tcBorders>
              <w:top w:val="nil"/>
              <w:left w:val="nil"/>
              <w:bottom w:val="nil"/>
              <w:right w:val="nil"/>
            </w:tcBorders>
            <w:shd w:val="clear" w:color="auto" w:fill="auto"/>
            <w:noWrap/>
            <w:vAlign w:val="bottom"/>
            <w:hideMark/>
          </w:tcPr>
          <w:p w:rsidR="00231ED3" w:rsidRPr="008C1B39" w:rsidRDefault="00231ED3" w:rsidP="00A70A31">
            <w:pPr>
              <w:jc w:val="right"/>
              <w:rPr>
                <w:rFonts w:cs="Calibri"/>
                <w:b/>
                <w:bCs/>
                <w:color w:val="000000"/>
                <w:lang w:eastAsia="en-GB"/>
              </w:rPr>
            </w:pPr>
            <w:r w:rsidRPr="008C1B39">
              <w:rPr>
                <w:rFonts w:cs="Calibri"/>
                <w:b/>
                <w:bCs/>
                <w:color w:val="000000"/>
                <w:lang w:eastAsia="en-GB"/>
              </w:rPr>
              <w:t>2019/20</w:t>
            </w:r>
          </w:p>
        </w:tc>
      </w:tr>
      <w:tr w:rsidR="00231ED3" w:rsidRPr="00EB2995" w:rsidTr="00231ED3">
        <w:trPr>
          <w:trHeight w:hRule="exact" w:val="788"/>
        </w:trPr>
        <w:tc>
          <w:tcPr>
            <w:tcW w:w="940" w:type="dxa"/>
            <w:tcBorders>
              <w:top w:val="nil"/>
              <w:left w:val="nil"/>
              <w:bottom w:val="nil"/>
              <w:right w:val="nil"/>
            </w:tcBorders>
            <w:shd w:val="clear" w:color="auto" w:fill="auto"/>
            <w:vAlign w:val="bottom"/>
            <w:hideMark/>
          </w:tcPr>
          <w:p w:rsidR="00231ED3" w:rsidRPr="00EB2995" w:rsidRDefault="00231ED3" w:rsidP="00A70A31">
            <w:pPr>
              <w:jc w:val="right"/>
              <w:rPr>
                <w:rFonts w:cs="Calibri"/>
                <w:b/>
                <w:bCs/>
                <w:color w:val="000000"/>
                <w:lang w:eastAsia="en-GB"/>
              </w:rPr>
            </w:pPr>
            <w:r w:rsidRPr="00EB2995">
              <w:rPr>
                <w:rFonts w:cs="Calibri"/>
                <w:b/>
                <w:bCs/>
                <w:color w:val="000000"/>
                <w:lang w:eastAsia="en-GB"/>
              </w:rPr>
              <w:t>Council Tax</w:t>
            </w:r>
          </w:p>
        </w:tc>
        <w:tc>
          <w:tcPr>
            <w:tcW w:w="1005" w:type="dxa"/>
            <w:tcBorders>
              <w:top w:val="nil"/>
              <w:left w:val="nil"/>
              <w:bottom w:val="nil"/>
              <w:right w:val="nil"/>
            </w:tcBorders>
            <w:shd w:val="clear" w:color="auto" w:fill="auto"/>
            <w:vAlign w:val="bottom"/>
            <w:hideMark/>
          </w:tcPr>
          <w:p w:rsidR="00231ED3" w:rsidRPr="00EB2995" w:rsidRDefault="00231ED3" w:rsidP="00A70A31">
            <w:pPr>
              <w:jc w:val="right"/>
              <w:rPr>
                <w:rFonts w:cs="Calibri"/>
                <w:b/>
                <w:bCs/>
                <w:color w:val="000000"/>
                <w:lang w:eastAsia="en-GB"/>
              </w:rPr>
            </w:pPr>
            <w:r w:rsidRPr="00EB2995">
              <w:rPr>
                <w:rFonts w:cs="Calibri"/>
                <w:b/>
                <w:bCs/>
                <w:color w:val="000000"/>
                <w:lang w:eastAsia="en-GB"/>
              </w:rPr>
              <w:t>Business Rates</w:t>
            </w:r>
          </w:p>
        </w:tc>
        <w:tc>
          <w:tcPr>
            <w:tcW w:w="1316" w:type="dxa"/>
            <w:tcBorders>
              <w:top w:val="nil"/>
              <w:left w:val="nil"/>
              <w:bottom w:val="nil"/>
              <w:right w:val="nil"/>
            </w:tcBorders>
            <w:shd w:val="clear" w:color="auto" w:fill="auto"/>
            <w:vAlign w:val="bottom"/>
            <w:hideMark/>
          </w:tcPr>
          <w:p w:rsidR="00231ED3" w:rsidRPr="00EB2995" w:rsidRDefault="00231ED3" w:rsidP="00A70A31">
            <w:pPr>
              <w:jc w:val="right"/>
              <w:rPr>
                <w:rFonts w:cs="Calibri"/>
                <w:b/>
                <w:bCs/>
                <w:color w:val="000000"/>
                <w:lang w:eastAsia="en-GB"/>
              </w:rPr>
            </w:pPr>
            <w:r w:rsidRPr="00EB2995">
              <w:rPr>
                <w:rFonts w:cs="Calibri"/>
                <w:b/>
                <w:bCs/>
                <w:color w:val="000000"/>
                <w:lang w:eastAsia="en-GB"/>
              </w:rPr>
              <w:t>Total Collection Fund</w:t>
            </w:r>
          </w:p>
        </w:tc>
        <w:tc>
          <w:tcPr>
            <w:tcW w:w="3608" w:type="dxa"/>
            <w:tcBorders>
              <w:top w:val="nil"/>
              <w:left w:val="nil"/>
              <w:bottom w:val="nil"/>
              <w:right w:val="nil"/>
            </w:tcBorders>
            <w:shd w:val="clear" w:color="auto" w:fill="auto"/>
            <w:vAlign w:val="bottom"/>
            <w:hideMark/>
          </w:tcPr>
          <w:p w:rsidR="00231ED3" w:rsidRPr="00EB2995" w:rsidRDefault="00231ED3" w:rsidP="00A70A31">
            <w:pPr>
              <w:jc w:val="right"/>
              <w:rPr>
                <w:rFonts w:cs="Calibri"/>
                <w:b/>
                <w:bCs/>
                <w:color w:val="000000"/>
                <w:lang w:eastAsia="en-GB"/>
              </w:rPr>
            </w:pPr>
          </w:p>
        </w:tc>
        <w:tc>
          <w:tcPr>
            <w:tcW w:w="942" w:type="dxa"/>
            <w:tcBorders>
              <w:top w:val="nil"/>
              <w:left w:val="nil"/>
              <w:bottom w:val="nil"/>
              <w:right w:val="nil"/>
            </w:tcBorders>
            <w:shd w:val="clear" w:color="auto" w:fill="auto"/>
            <w:vAlign w:val="bottom"/>
            <w:hideMark/>
          </w:tcPr>
          <w:p w:rsidR="00231ED3" w:rsidRPr="00EB2995" w:rsidRDefault="00231ED3" w:rsidP="00A70A31">
            <w:pPr>
              <w:jc w:val="right"/>
              <w:rPr>
                <w:rFonts w:cs="Calibri"/>
                <w:b/>
                <w:bCs/>
                <w:color w:val="000000"/>
                <w:lang w:eastAsia="en-GB"/>
              </w:rPr>
            </w:pPr>
            <w:r w:rsidRPr="00EB2995">
              <w:rPr>
                <w:rFonts w:cs="Calibri"/>
                <w:b/>
                <w:bCs/>
                <w:color w:val="000000"/>
                <w:lang w:eastAsia="en-GB"/>
              </w:rPr>
              <w:t>Council Tax</w:t>
            </w:r>
          </w:p>
        </w:tc>
        <w:tc>
          <w:tcPr>
            <w:tcW w:w="1008" w:type="dxa"/>
            <w:tcBorders>
              <w:top w:val="nil"/>
              <w:left w:val="nil"/>
              <w:bottom w:val="nil"/>
              <w:right w:val="nil"/>
            </w:tcBorders>
            <w:shd w:val="clear" w:color="auto" w:fill="auto"/>
            <w:vAlign w:val="bottom"/>
            <w:hideMark/>
          </w:tcPr>
          <w:p w:rsidR="00231ED3" w:rsidRPr="00EB2995" w:rsidRDefault="00231ED3" w:rsidP="00A70A31">
            <w:pPr>
              <w:jc w:val="right"/>
              <w:rPr>
                <w:rFonts w:cs="Calibri"/>
                <w:b/>
                <w:bCs/>
                <w:color w:val="000000"/>
                <w:lang w:eastAsia="en-GB"/>
              </w:rPr>
            </w:pPr>
            <w:r w:rsidRPr="00EB2995">
              <w:rPr>
                <w:rFonts w:cs="Calibri"/>
                <w:b/>
                <w:bCs/>
                <w:color w:val="000000"/>
                <w:lang w:eastAsia="en-GB"/>
              </w:rPr>
              <w:t>Business Rates</w:t>
            </w:r>
          </w:p>
        </w:tc>
        <w:tc>
          <w:tcPr>
            <w:tcW w:w="1127" w:type="dxa"/>
            <w:tcBorders>
              <w:top w:val="nil"/>
              <w:left w:val="nil"/>
              <w:bottom w:val="nil"/>
              <w:right w:val="nil"/>
            </w:tcBorders>
            <w:shd w:val="clear" w:color="auto" w:fill="auto"/>
            <w:vAlign w:val="bottom"/>
            <w:hideMark/>
          </w:tcPr>
          <w:p w:rsidR="00231ED3" w:rsidRPr="00EB2995" w:rsidRDefault="00231ED3" w:rsidP="00A70A31">
            <w:pPr>
              <w:jc w:val="right"/>
              <w:rPr>
                <w:rFonts w:cs="Calibri"/>
                <w:b/>
                <w:bCs/>
                <w:color w:val="000000"/>
                <w:lang w:eastAsia="en-GB"/>
              </w:rPr>
            </w:pPr>
            <w:r w:rsidRPr="00EB2995">
              <w:rPr>
                <w:rFonts w:cs="Calibri"/>
                <w:b/>
                <w:bCs/>
                <w:color w:val="000000"/>
                <w:lang w:eastAsia="en-GB"/>
              </w:rPr>
              <w:t>Total Collection Fund</w:t>
            </w:r>
          </w:p>
        </w:tc>
      </w:tr>
      <w:tr w:rsidR="00231ED3" w:rsidRPr="00EB2995" w:rsidTr="00231ED3">
        <w:trPr>
          <w:trHeight w:hRule="exact" w:val="397"/>
        </w:trPr>
        <w:tc>
          <w:tcPr>
            <w:tcW w:w="940" w:type="dxa"/>
            <w:tcBorders>
              <w:top w:val="nil"/>
              <w:left w:val="nil"/>
              <w:bottom w:val="single" w:sz="4" w:space="0" w:color="auto"/>
              <w:right w:val="nil"/>
            </w:tcBorders>
            <w:shd w:val="clear" w:color="auto" w:fill="auto"/>
            <w:vAlign w:val="bottom"/>
            <w:hideMark/>
          </w:tcPr>
          <w:p w:rsidR="00231ED3" w:rsidRPr="00EB2995" w:rsidRDefault="00231ED3" w:rsidP="00A70A31">
            <w:pPr>
              <w:jc w:val="right"/>
              <w:rPr>
                <w:rFonts w:cs="Calibri"/>
                <w:b/>
                <w:bCs/>
                <w:color w:val="000000"/>
                <w:lang w:eastAsia="en-GB"/>
              </w:rPr>
            </w:pPr>
            <w:r w:rsidRPr="00EB2995">
              <w:rPr>
                <w:rFonts w:cs="Calibri"/>
                <w:b/>
                <w:bCs/>
                <w:color w:val="000000"/>
                <w:lang w:eastAsia="en-GB"/>
              </w:rPr>
              <w:t>£m</w:t>
            </w:r>
          </w:p>
        </w:tc>
        <w:tc>
          <w:tcPr>
            <w:tcW w:w="1005" w:type="dxa"/>
            <w:tcBorders>
              <w:top w:val="nil"/>
              <w:left w:val="nil"/>
              <w:bottom w:val="single" w:sz="4" w:space="0" w:color="auto"/>
              <w:right w:val="nil"/>
            </w:tcBorders>
            <w:shd w:val="clear" w:color="auto" w:fill="auto"/>
            <w:vAlign w:val="bottom"/>
            <w:hideMark/>
          </w:tcPr>
          <w:p w:rsidR="00231ED3" w:rsidRPr="00EB2995" w:rsidRDefault="00231ED3" w:rsidP="00A70A31">
            <w:pPr>
              <w:jc w:val="right"/>
              <w:rPr>
                <w:rFonts w:cs="Calibri"/>
                <w:b/>
                <w:bCs/>
                <w:color w:val="000000"/>
                <w:lang w:eastAsia="en-GB"/>
              </w:rPr>
            </w:pPr>
            <w:r w:rsidRPr="00EB2995">
              <w:rPr>
                <w:rFonts w:cs="Calibri"/>
                <w:b/>
                <w:bCs/>
                <w:color w:val="000000"/>
                <w:lang w:eastAsia="en-GB"/>
              </w:rPr>
              <w:t>£m</w:t>
            </w:r>
          </w:p>
        </w:tc>
        <w:tc>
          <w:tcPr>
            <w:tcW w:w="1316" w:type="dxa"/>
            <w:tcBorders>
              <w:top w:val="nil"/>
              <w:left w:val="nil"/>
              <w:bottom w:val="single" w:sz="4" w:space="0" w:color="auto"/>
              <w:right w:val="nil"/>
            </w:tcBorders>
            <w:shd w:val="clear" w:color="auto" w:fill="auto"/>
            <w:vAlign w:val="bottom"/>
            <w:hideMark/>
          </w:tcPr>
          <w:p w:rsidR="00231ED3" w:rsidRPr="00EB2995" w:rsidRDefault="00231ED3" w:rsidP="00A70A31">
            <w:pPr>
              <w:jc w:val="right"/>
              <w:rPr>
                <w:rFonts w:cs="Calibri"/>
                <w:b/>
                <w:bCs/>
                <w:color w:val="000000"/>
                <w:lang w:eastAsia="en-GB"/>
              </w:rPr>
            </w:pPr>
            <w:r w:rsidRPr="00EB2995">
              <w:rPr>
                <w:rFonts w:cs="Calibri"/>
                <w:b/>
                <w:bCs/>
                <w:color w:val="000000"/>
                <w:lang w:eastAsia="en-GB"/>
              </w:rPr>
              <w:t>£m</w:t>
            </w:r>
          </w:p>
        </w:tc>
        <w:tc>
          <w:tcPr>
            <w:tcW w:w="3608" w:type="dxa"/>
            <w:tcBorders>
              <w:top w:val="nil"/>
              <w:left w:val="nil"/>
              <w:bottom w:val="nil"/>
              <w:right w:val="nil"/>
            </w:tcBorders>
            <w:shd w:val="clear" w:color="auto" w:fill="auto"/>
            <w:vAlign w:val="bottom"/>
            <w:hideMark/>
          </w:tcPr>
          <w:p w:rsidR="00231ED3" w:rsidRPr="00EB2995" w:rsidRDefault="00231ED3" w:rsidP="00A70A31">
            <w:pPr>
              <w:jc w:val="right"/>
              <w:rPr>
                <w:rFonts w:cs="Calibri"/>
                <w:b/>
                <w:bCs/>
                <w:color w:val="000000"/>
                <w:lang w:eastAsia="en-GB"/>
              </w:rPr>
            </w:pPr>
          </w:p>
        </w:tc>
        <w:tc>
          <w:tcPr>
            <w:tcW w:w="942" w:type="dxa"/>
            <w:tcBorders>
              <w:top w:val="nil"/>
              <w:left w:val="nil"/>
              <w:bottom w:val="single" w:sz="4" w:space="0" w:color="auto"/>
              <w:right w:val="nil"/>
            </w:tcBorders>
            <w:shd w:val="clear" w:color="auto" w:fill="auto"/>
            <w:vAlign w:val="bottom"/>
            <w:hideMark/>
          </w:tcPr>
          <w:p w:rsidR="00231ED3" w:rsidRPr="00EB2995" w:rsidRDefault="00231ED3" w:rsidP="00A70A31">
            <w:pPr>
              <w:jc w:val="right"/>
              <w:rPr>
                <w:rFonts w:cs="Calibri"/>
                <w:b/>
                <w:bCs/>
                <w:color w:val="000000"/>
                <w:lang w:eastAsia="en-GB"/>
              </w:rPr>
            </w:pPr>
            <w:r w:rsidRPr="00EB2995">
              <w:rPr>
                <w:rFonts w:cs="Calibri"/>
                <w:b/>
                <w:bCs/>
                <w:color w:val="000000"/>
                <w:lang w:eastAsia="en-GB"/>
              </w:rPr>
              <w:t>£m</w:t>
            </w:r>
          </w:p>
        </w:tc>
        <w:tc>
          <w:tcPr>
            <w:tcW w:w="1008" w:type="dxa"/>
            <w:tcBorders>
              <w:top w:val="nil"/>
              <w:left w:val="nil"/>
              <w:bottom w:val="single" w:sz="4" w:space="0" w:color="auto"/>
              <w:right w:val="nil"/>
            </w:tcBorders>
            <w:shd w:val="clear" w:color="auto" w:fill="auto"/>
            <w:vAlign w:val="bottom"/>
            <w:hideMark/>
          </w:tcPr>
          <w:p w:rsidR="00231ED3" w:rsidRPr="00EB2995" w:rsidRDefault="00231ED3" w:rsidP="00A70A31">
            <w:pPr>
              <w:jc w:val="right"/>
              <w:rPr>
                <w:rFonts w:cs="Calibri"/>
                <w:b/>
                <w:bCs/>
                <w:color w:val="000000"/>
                <w:lang w:eastAsia="en-GB"/>
              </w:rPr>
            </w:pPr>
            <w:r w:rsidRPr="00EB2995">
              <w:rPr>
                <w:rFonts w:cs="Calibri"/>
                <w:b/>
                <w:bCs/>
                <w:color w:val="000000"/>
                <w:lang w:eastAsia="en-GB"/>
              </w:rPr>
              <w:t>£m</w:t>
            </w:r>
          </w:p>
        </w:tc>
        <w:tc>
          <w:tcPr>
            <w:tcW w:w="1127" w:type="dxa"/>
            <w:tcBorders>
              <w:top w:val="nil"/>
              <w:left w:val="nil"/>
              <w:bottom w:val="single" w:sz="4" w:space="0" w:color="auto"/>
              <w:right w:val="nil"/>
            </w:tcBorders>
            <w:shd w:val="clear" w:color="auto" w:fill="auto"/>
            <w:vAlign w:val="bottom"/>
            <w:hideMark/>
          </w:tcPr>
          <w:p w:rsidR="00231ED3" w:rsidRPr="00EB2995" w:rsidRDefault="00231ED3" w:rsidP="00A70A31">
            <w:pPr>
              <w:jc w:val="right"/>
              <w:rPr>
                <w:rFonts w:cs="Calibri"/>
                <w:b/>
                <w:bCs/>
                <w:color w:val="000000"/>
                <w:lang w:eastAsia="en-GB"/>
              </w:rPr>
            </w:pPr>
            <w:r w:rsidRPr="00EB2995">
              <w:rPr>
                <w:rFonts w:cs="Calibri"/>
                <w:b/>
                <w:bCs/>
                <w:color w:val="000000"/>
                <w:lang w:eastAsia="en-GB"/>
              </w:rPr>
              <w:t>£m</w:t>
            </w:r>
          </w:p>
        </w:tc>
      </w:tr>
      <w:tr w:rsidR="00231ED3" w:rsidRPr="00EB2995" w:rsidTr="00231ED3">
        <w:trPr>
          <w:trHeight w:hRule="exact" w:val="397"/>
        </w:trPr>
        <w:tc>
          <w:tcPr>
            <w:tcW w:w="940" w:type="dxa"/>
            <w:tcBorders>
              <w:top w:val="nil"/>
              <w:left w:val="single" w:sz="4" w:space="0" w:color="auto"/>
              <w:bottom w:val="nil"/>
              <w:right w:val="nil"/>
            </w:tcBorders>
            <w:shd w:val="clear" w:color="auto" w:fill="auto"/>
            <w:vAlign w:val="bottom"/>
            <w:hideMark/>
          </w:tcPr>
          <w:p w:rsidR="00231ED3" w:rsidRPr="00EB2995" w:rsidRDefault="00231ED3" w:rsidP="00A70A31">
            <w:pPr>
              <w:jc w:val="right"/>
              <w:rPr>
                <w:rFonts w:cs="Calibri"/>
                <w:b/>
                <w:bCs/>
                <w:color w:val="000000"/>
                <w:lang w:eastAsia="en-GB"/>
              </w:rPr>
            </w:pPr>
            <w:r w:rsidRPr="00EB2995">
              <w:rPr>
                <w:rFonts w:cs="Calibri"/>
                <w:b/>
                <w:bCs/>
                <w:color w:val="000000"/>
                <w:lang w:eastAsia="en-GB"/>
              </w:rPr>
              <w:t> </w:t>
            </w:r>
          </w:p>
        </w:tc>
        <w:tc>
          <w:tcPr>
            <w:tcW w:w="1005" w:type="dxa"/>
            <w:tcBorders>
              <w:top w:val="nil"/>
              <w:left w:val="nil"/>
              <w:bottom w:val="nil"/>
              <w:right w:val="nil"/>
            </w:tcBorders>
            <w:shd w:val="clear" w:color="auto" w:fill="auto"/>
            <w:vAlign w:val="bottom"/>
            <w:hideMark/>
          </w:tcPr>
          <w:p w:rsidR="00231ED3" w:rsidRPr="00EB2995" w:rsidRDefault="00231ED3" w:rsidP="00A70A31">
            <w:pPr>
              <w:jc w:val="right"/>
              <w:rPr>
                <w:rFonts w:cs="Calibri"/>
                <w:b/>
                <w:bCs/>
                <w:color w:val="000000"/>
                <w:lang w:eastAsia="en-GB"/>
              </w:rPr>
            </w:pPr>
            <w:r w:rsidRPr="00EB2995">
              <w:rPr>
                <w:rFonts w:cs="Calibri"/>
                <w:b/>
                <w:bCs/>
                <w:color w:val="000000"/>
                <w:lang w:eastAsia="en-GB"/>
              </w:rPr>
              <w:t> </w:t>
            </w:r>
          </w:p>
        </w:tc>
        <w:tc>
          <w:tcPr>
            <w:tcW w:w="1316" w:type="dxa"/>
            <w:tcBorders>
              <w:top w:val="nil"/>
              <w:left w:val="nil"/>
              <w:bottom w:val="nil"/>
              <w:right w:val="single" w:sz="4" w:space="0" w:color="auto"/>
            </w:tcBorders>
            <w:shd w:val="clear" w:color="auto" w:fill="auto"/>
            <w:vAlign w:val="bottom"/>
            <w:hideMark/>
          </w:tcPr>
          <w:p w:rsidR="00231ED3" w:rsidRPr="00EB2995" w:rsidRDefault="00231ED3" w:rsidP="00A70A31">
            <w:pPr>
              <w:jc w:val="right"/>
              <w:rPr>
                <w:rFonts w:cs="Calibri"/>
                <w:b/>
                <w:bCs/>
                <w:color w:val="000000"/>
                <w:lang w:eastAsia="en-GB"/>
              </w:rPr>
            </w:pPr>
            <w:r w:rsidRPr="00EB2995">
              <w:rPr>
                <w:rFonts w:cs="Calibri"/>
                <w:b/>
                <w:bCs/>
                <w:color w:val="000000"/>
                <w:lang w:eastAsia="en-GB"/>
              </w:rPr>
              <w:t> </w:t>
            </w:r>
          </w:p>
        </w:tc>
        <w:tc>
          <w:tcPr>
            <w:tcW w:w="3608" w:type="dxa"/>
            <w:tcBorders>
              <w:top w:val="nil"/>
              <w:left w:val="nil"/>
              <w:bottom w:val="nil"/>
              <w:right w:val="nil"/>
            </w:tcBorders>
            <w:shd w:val="clear" w:color="auto" w:fill="auto"/>
            <w:vAlign w:val="bottom"/>
            <w:hideMark/>
          </w:tcPr>
          <w:p w:rsidR="00231ED3" w:rsidRPr="00EB2995" w:rsidRDefault="00231ED3" w:rsidP="00A70A31">
            <w:pPr>
              <w:rPr>
                <w:rFonts w:cs="Calibri"/>
                <w:b/>
                <w:bCs/>
                <w:color w:val="000000"/>
                <w:lang w:eastAsia="en-GB"/>
              </w:rPr>
            </w:pPr>
            <w:r w:rsidRPr="00EB2995">
              <w:rPr>
                <w:rFonts w:cs="Calibri"/>
                <w:b/>
                <w:bCs/>
                <w:color w:val="000000"/>
                <w:lang w:eastAsia="en-GB"/>
              </w:rPr>
              <w:t>Statutory collections</w:t>
            </w:r>
          </w:p>
        </w:tc>
        <w:tc>
          <w:tcPr>
            <w:tcW w:w="942" w:type="dxa"/>
            <w:tcBorders>
              <w:top w:val="nil"/>
              <w:left w:val="single" w:sz="4" w:space="0" w:color="auto"/>
              <w:bottom w:val="nil"/>
              <w:right w:val="nil"/>
            </w:tcBorders>
            <w:shd w:val="clear" w:color="auto" w:fill="auto"/>
            <w:vAlign w:val="bottom"/>
            <w:hideMark/>
          </w:tcPr>
          <w:p w:rsidR="00231ED3" w:rsidRPr="00EB2995" w:rsidRDefault="00231ED3" w:rsidP="00A70A31">
            <w:pPr>
              <w:jc w:val="right"/>
              <w:rPr>
                <w:rFonts w:cs="Calibri"/>
                <w:b/>
                <w:bCs/>
                <w:color w:val="000000"/>
                <w:lang w:eastAsia="en-GB"/>
              </w:rPr>
            </w:pPr>
            <w:r w:rsidRPr="00EB2995">
              <w:rPr>
                <w:rFonts w:cs="Calibri"/>
                <w:b/>
                <w:bCs/>
                <w:color w:val="000000"/>
                <w:lang w:eastAsia="en-GB"/>
              </w:rPr>
              <w:t> </w:t>
            </w:r>
          </w:p>
        </w:tc>
        <w:tc>
          <w:tcPr>
            <w:tcW w:w="1008" w:type="dxa"/>
            <w:tcBorders>
              <w:top w:val="nil"/>
              <w:left w:val="nil"/>
              <w:bottom w:val="nil"/>
              <w:right w:val="nil"/>
            </w:tcBorders>
            <w:shd w:val="clear" w:color="auto" w:fill="auto"/>
            <w:vAlign w:val="bottom"/>
            <w:hideMark/>
          </w:tcPr>
          <w:p w:rsidR="00231ED3" w:rsidRPr="00EB2995" w:rsidRDefault="00231ED3" w:rsidP="00A70A31">
            <w:pPr>
              <w:jc w:val="right"/>
              <w:rPr>
                <w:rFonts w:cs="Calibri"/>
                <w:b/>
                <w:bCs/>
                <w:color w:val="000000"/>
                <w:lang w:eastAsia="en-GB"/>
              </w:rPr>
            </w:pPr>
            <w:r w:rsidRPr="00EB2995">
              <w:rPr>
                <w:rFonts w:cs="Calibri"/>
                <w:b/>
                <w:bCs/>
                <w:color w:val="000000"/>
                <w:lang w:eastAsia="en-GB"/>
              </w:rPr>
              <w:t> </w:t>
            </w:r>
          </w:p>
        </w:tc>
        <w:tc>
          <w:tcPr>
            <w:tcW w:w="1127" w:type="dxa"/>
            <w:tcBorders>
              <w:top w:val="nil"/>
              <w:left w:val="nil"/>
              <w:bottom w:val="nil"/>
              <w:right w:val="single" w:sz="4" w:space="0" w:color="auto"/>
            </w:tcBorders>
            <w:shd w:val="clear" w:color="auto" w:fill="auto"/>
            <w:vAlign w:val="bottom"/>
            <w:hideMark/>
          </w:tcPr>
          <w:p w:rsidR="00231ED3" w:rsidRPr="00EB2995" w:rsidRDefault="00231ED3" w:rsidP="00A70A31">
            <w:pPr>
              <w:jc w:val="right"/>
              <w:rPr>
                <w:rFonts w:cs="Calibri"/>
                <w:b/>
                <w:bCs/>
                <w:color w:val="000000"/>
                <w:lang w:eastAsia="en-GB"/>
              </w:rPr>
            </w:pPr>
            <w:r w:rsidRPr="00EB2995">
              <w:rPr>
                <w:rFonts w:cs="Calibri"/>
                <w:b/>
                <w:bCs/>
                <w:color w:val="000000"/>
                <w:lang w:eastAsia="en-GB"/>
              </w:rPr>
              <w:t> </w:t>
            </w:r>
          </w:p>
        </w:tc>
      </w:tr>
      <w:tr w:rsidR="00231ED3" w:rsidRPr="00EB2995" w:rsidTr="00231ED3">
        <w:trPr>
          <w:trHeight w:hRule="exact" w:val="397"/>
        </w:trPr>
        <w:tc>
          <w:tcPr>
            <w:tcW w:w="940" w:type="dxa"/>
            <w:tcBorders>
              <w:top w:val="nil"/>
              <w:left w:val="single" w:sz="4" w:space="0" w:color="auto"/>
              <w:bottom w:val="nil"/>
              <w:right w:val="nil"/>
            </w:tcBorders>
            <w:shd w:val="clear" w:color="auto" w:fill="auto"/>
            <w:noWrap/>
            <w:vAlign w:val="bottom"/>
            <w:hideMark/>
          </w:tcPr>
          <w:p w:rsidR="00231ED3" w:rsidRPr="00EB2995" w:rsidRDefault="00231ED3" w:rsidP="00A70A31">
            <w:pPr>
              <w:jc w:val="right"/>
              <w:rPr>
                <w:rFonts w:cs="Calibri"/>
                <w:color w:val="000000"/>
                <w:lang w:eastAsia="en-GB"/>
              </w:rPr>
            </w:pPr>
            <w:r w:rsidRPr="00EB2995">
              <w:rPr>
                <w:rFonts w:cs="Calibri"/>
                <w:color w:val="000000"/>
                <w:lang w:eastAsia="en-GB"/>
              </w:rPr>
              <w:t>(140.6)</w:t>
            </w:r>
          </w:p>
        </w:tc>
        <w:tc>
          <w:tcPr>
            <w:tcW w:w="1005" w:type="dxa"/>
            <w:tcBorders>
              <w:top w:val="nil"/>
              <w:left w:val="nil"/>
              <w:bottom w:val="nil"/>
              <w:right w:val="nil"/>
            </w:tcBorders>
            <w:shd w:val="clear" w:color="auto" w:fill="auto"/>
            <w:noWrap/>
            <w:vAlign w:val="bottom"/>
            <w:hideMark/>
          </w:tcPr>
          <w:p w:rsidR="00231ED3" w:rsidRPr="00EB2995" w:rsidRDefault="00231ED3" w:rsidP="00A70A31">
            <w:pPr>
              <w:jc w:val="right"/>
              <w:rPr>
                <w:rFonts w:cs="Calibri"/>
                <w:color w:val="000000"/>
                <w:lang w:eastAsia="en-GB"/>
              </w:rPr>
            </w:pPr>
            <w:r w:rsidRPr="00EB2995">
              <w:rPr>
                <w:rFonts w:cs="Calibri"/>
                <w:color w:val="000000"/>
                <w:lang w:eastAsia="en-GB"/>
              </w:rPr>
              <w:t>(126.3)</w:t>
            </w:r>
          </w:p>
        </w:tc>
        <w:tc>
          <w:tcPr>
            <w:tcW w:w="1316" w:type="dxa"/>
            <w:tcBorders>
              <w:top w:val="nil"/>
              <w:left w:val="nil"/>
              <w:bottom w:val="nil"/>
              <w:right w:val="single" w:sz="4" w:space="0" w:color="auto"/>
            </w:tcBorders>
            <w:shd w:val="clear" w:color="auto" w:fill="auto"/>
            <w:noWrap/>
            <w:vAlign w:val="bottom"/>
            <w:hideMark/>
          </w:tcPr>
          <w:p w:rsidR="00231ED3" w:rsidRPr="00EB2995" w:rsidRDefault="00231ED3" w:rsidP="00A70A31">
            <w:pPr>
              <w:jc w:val="right"/>
              <w:rPr>
                <w:rFonts w:cs="Calibri"/>
                <w:b/>
                <w:bCs/>
                <w:color w:val="000000"/>
                <w:lang w:eastAsia="en-GB"/>
              </w:rPr>
            </w:pPr>
            <w:r w:rsidRPr="00EB2995">
              <w:rPr>
                <w:rFonts w:cs="Calibri"/>
                <w:b/>
                <w:bCs/>
                <w:color w:val="000000"/>
                <w:lang w:eastAsia="en-GB"/>
              </w:rPr>
              <w:t>(266.9)</w:t>
            </w:r>
          </w:p>
        </w:tc>
        <w:tc>
          <w:tcPr>
            <w:tcW w:w="3608" w:type="dxa"/>
            <w:tcBorders>
              <w:top w:val="nil"/>
              <w:left w:val="nil"/>
              <w:bottom w:val="nil"/>
              <w:right w:val="nil"/>
            </w:tcBorders>
            <w:shd w:val="clear" w:color="auto" w:fill="auto"/>
            <w:noWrap/>
            <w:vAlign w:val="bottom"/>
            <w:hideMark/>
          </w:tcPr>
          <w:p w:rsidR="00231ED3" w:rsidRPr="00EB2995" w:rsidRDefault="00231ED3" w:rsidP="00A70A31">
            <w:pPr>
              <w:rPr>
                <w:rFonts w:cs="Calibri"/>
                <w:color w:val="000000"/>
                <w:lang w:eastAsia="en-GB"/>
              </w:rPr>
            </w:pPr>
            <w:r w:rsidRPr="00EB2995">
              <w:rPr>
                <w:rFonts w:cs="Calibri"/>
                <w:color w:val="000000"/>
                <w:lang w:eastAsia="en-GB"/>
              </w:rPr>
              <w:t>Income from Tax Payers</w:t>
            </w:r>
          </w:p>
        </w:tc>
        <w:tc>
          <w:tcPr>
            <w:tcW w:w="942" w:type="dxa"/>
            <w:tcBorders>
              <w:top w:val="nil"/>
              <w:left w:val="single" w:sz="4" w:space="0" w:color="auto"/>
              <w:bottom w:val="nil"/>
              <w:right w:val="nil"/>
            </w:tcBorders>
            <w:shd w:val="clear" w:color="auto" w:fill="auto"/>
            <w:noWrap/>
            <w:vAlign w:val="bottom"/>
            <w:hideMark/>
          </w:tcPr>
          <w:p w:rsidR="00231ED3" w:rsidRPr="00EB2995" w:rsidRDefault="00231ED3" w:rsidP="00A70A31">
            <w:pPr>
              <w:jc w:val="right"/>
              <w:rPr>
                <w:rFonts w:cs="Calibri"/>
                <w:color w:val="000000"/>
                <w:lang w:eastAsia="en-GB"/>
              </w:rPr>
            </w:pPr>
            <w:r w:rsidRPr="00EB2995">
              <w:rPr>
                <w:rFonts w:cs="Calibri"/>
                <w:color w:val="000000"/>
                <w:lang w:eastAsia="en-GB"/>
              </w:rPr>
              <w:t>(152.1)</w:t>
            </w:r>
          </w:p>
        </w:tc>
        <w:tc>
          <w:tcPr>
            <w:tcW w:w="1008" w:type="dxa"/>
            <w:tcBorders>
              <w:top w:val="nil"/>
              <w:left w:val="nil"/>
              <w:bottom w:val="nil"/>
              <w:right w:val="nil"/>
            </w:tcBorders>
            <w:shd w:val="clear" w:color="auto" w:fill="auto"/>
            <w:noWrap/>
            <w:vAlign w:val="bottom"/>
            <w:hideMark/>
          </w:tcPr>
          <w:p w:rsidR="00231ED3" w:rsidRPr="00EB2995" w:rsidRDefault="00231ED3" w:rsidP="00A70A31">
            <w:pPr>
              <w:jc w:val="right"/>
              <w:rPr>
                <w:rFonts w:cs="Calibri"/>
                <w:color w:val="000000"/>
                <w:lang w:eastAsia="en-GB"/>
              </w:rPr>
            </w:pPr>
            <w:r w:rsidRPr="00EB2995">
              <w:rPr>
                <w:rFonts w:cs="Calibri"/>
                <w:color w:val="000000"/>
                <w:lang w:eastAsia="en-GB"/>
              </w:rPr>
              <w:t>(123.5)</w:t>
            </w:r>
          </w:p>
        </w:tc>
        <w:tc>
          <w:tcPr>
            <w:tcW w:w="1127" w:type="dxa"/>
            <w:tcBorders>
              <w:top w:val="nil"/>
              <w:left w:val="nil"/>
              <w:bottom w:val="nil"/>
              <w:right w:val="single" w:sz="4" w:space="0" w:color="auto"/>
            </w:tcBorders>
            <w:shd w:val="clear" w:color="auto" w:fill="auto"/>
            <w:noWrap/>
            <w:vAlign w:val="bottom"/>
            <w:hideMark/>
          </w:tcPr>
          <w:p w:rsidR="00231ED3" w:rsidRPr="00EB2995" w:rsidRDefault="00231ED3" w:rsidP="00A70A31">
            <w:pPr>
              <w:jc w:val="right"/>
              <w:rPr>
                <w:rFonts w:cs="Calibri"/>
                <w:b/>
                <w:bCs/>
                <w:color w:val="000000"/>
                <w:lang w:eastAsia="en-GB"/>
              </w:rPr>
            </w:pPr>
            <w:r w:rsidRPr="00EB2995">
              <w:rPr>
                <w:rFonts w:cs="Calibri"/>
                <w:b/>
                <w:bCs/>
                <w:color w:val="000000"/>
                <w:lang w:eastAsia="en-GB"/>
              </w:rPr>
              <w:t>(275.6)</w:t>
            </w:r>
          </w:p>
        </w:tc>
      </w:tr>
      <w:tr w:rsidR="00231ED3" w:rsidRPr="00EB2995" w:rsidTr="00231ED3">
        <w:trPr>
          <w:trHeight w:hRule="exact" w:val="397"/>
        </w:trPr>
        <w:tc>
          <w:tcPr>
            <w:tcW w:w="940" w:type="dxa"/>
            <w:tcBorders>
              <w:top w:val="nil"/>
              <w:left w:val="single" w:sz="4" w:space="0" w:color="auto"/>
              <w:bottom w:val="nil"/>
              <w:right w:val="nil"/>
            </w:tcBorders>
            <w:shd w:val="clear" w:color="auto" w:fill="auto"/>
            <w:noWrap/>
            <w:vAlign w:val="bottom"/>
            <w:hideMark/>
          </w:tcPr>
          <w:p w:rsidR="00231ED3" w:rsidRPr="00EB2995" w:rsidRDefault="00231ED3" w:rsidP="00A70A31">
            <w:pPr>
              <w:rPr>
                <w:rFonts w:cs="Calibri"/>
                <w:color w:val="FF0000"/>
                <w:lang w:eastAsia="en-GB"/>
              </w:rPr>
            </w:pPr>
            <w:r w:rsidRPr="00EB2995">
              <w:rPr>
                <w:rFonts w:cs="Calibri"/>
                <w:color w:val="FF0000"/>
                <w:lang w:eastAsia="en-GB"/>
              </w:rPr>
              <w:t> </w:t>
            </w:r>
          </w:p>
        </w:tc>
        <w:tc>
          <w:tcPr>
            <w:tcW w:w="1005" w:type="dxa"/>
            <w:tcBorders>
              <w:top w:val="nil"/>
              <w:left w:val="nil"/>
              <w:bottom w:val="nil"/>
              <w:right w:val="nil"/>
            </w:tcBorders>
            <w:shd w:val="clear" w:color="auto" w:fill="auto"/>
            <w:noWrap/>
            <w:vAlign w:val="bottom"/>
            <w:hideMark/>
          </w:tcPr>
          <w:p w:rsidR="00231ED3" w:rsidRPr="00EB2995" w:rsidRDefault="00231ED3" w:rsidP="00A70A31">
            <w:pPr>
              <w:jc w:val="right"/>
              <w:rPr>
                <w:rFonts w:cs="Calibri"/>
                <w:color w:val="000000"/>
                <w:lang w:eastAsia="en-GB"/>
              </w:rPr>
            </w:pPr>
            <w:r w:rsidRPr="00EB2995">
              <w:rPr>
                <w:rFonts w:cs="Calibri"/>
                <w:color w:val="000000"/>
                <w:lang w:eastAsia="en-GB"/>
              </w:rPr>
              <w:t>(3.0)</w:t>
            </w:r>
          </w:p>
        </w:tc>
        <w:tc>
          <w:tcPr>
            <w:tcW w:w="1316" w:type="dxa"/>
            <w:tcBorders>
              <w:top w:val="nil"/>
              <w:left w:val="nil"/>
              <w:bottom w:val="nil"/>
              <w:right w:val="single" w:sz="4" w:space="0" w:color="auto"/>
            </w:tcBorders>
            <w:shd w:val="clear" w:color="auto" w:fill="auto"/>
            <w:noWrap/>
            <w:vAlign w:val="bottom"/>
            <w:hideMark/>
          </w:tcPr>
          <w:p w:rsidR="00231ED3" w:rsidRPr="00EB2995" w:rsidRDefault="00231ED3" w:rsidP="00A70A31">
            <w:pPr>
              <w:jc w:val="right"/>
              <w:rPr>
                <w:rFonts w:cs="Calibri"/>
                <w:b/>
                <w:bCs/>
                <w:color w:val="000000"/>
                <w:lang w:eastAsia="en-GB"/>
              </w:rPr>
            </w:pPr>
            <w:r w:rsidRPr="00EB2995">
              <w:rPr>
                <w:rFonts w:cs="Calibri"/>
                <w:b/>
                <w:bCs/>
                <w:color w:val="000000"/>
                <w:lang w:eastAsia="en-GB"/>
              </w:rPr>
              <w:t>(3.0)</w:t>
            </w:r>
          </w:p>
        </w:tc>
        <w:tc>
          <w:tcPr>
            <w:tcW w:w="3608" w:type="dxa"/>
            <w:tcBorders>
              <w:top w:val="nil"/>
              <w:left w:val="nil"/>
              <w:bottom w:val="nil"/>
              <w:right w:val="nil"/>
            </w:tcBorders>
            <w:shd w:val="clear" w:color="auto" w:fill="auto"/>
            <w:noWrap/>
            <w:vAlign w:val="bottom"/>
            <w:hideMark/>
          </w:tcPr>
          <w:p w:rsidR="00231ED3" w:rsidRPr="00EB2995" w:rsidRDefault="00231ED3" w:rsidP="00A70A31">
            <w:pPr>
              <w:rPr>
                <w:rFonts w:cs="Calibri"/>
                <w:color w:val="000000"/>
                <w:lang w:eastAsia="en-GB"/>
              </w:rPr>
            </w:pPr>
            <w:r w:rsidRPr="00EB2995">
              <w:rPr>
                <w:rFonts w:cs="Calibri"/>
                <w:color w:val="000000"/>
                <w:lang w:eastAsia="en-GB"/>
              </w:rPr>
              <w:t>Business Rates Supplement</w:t>
            </w:r>
          </w:p>
        </w:tc>
        <w:tc>
          <w:tcPr>
            <w:tcW w:w="942" w:type="dxa"/>
            <w:tcBorders>
              <w:top w:val="nil"/>
              <w:left w:val="single" w:sz="4" w:space="0" w:color="auto"/>
              <w:bottom w:val="nil"/>
              <w:right w:val="nil"/>
            </w:tcBorders>
            <w:shd w:val="clear" w:color="auto" w:fill="auto"/>
            <w:noWrap/>
            <w:vAlign w:val="bottom"/>
            <w:hideMark/>
          </w:tcPr>
          <w:p w:rsidR="00231ED3" w:rsidRPr="00EB2995" w:rsidRDefault="00231ED3" w:rsidP="00A70A31">
            <w:pPr>
              <w:rPr>
                <w:rFonts w:cs="Calibri"/>
                <w:color w:val="FF0000"/>
                <w:lang w:eastAsia="en-GB"/>
              </w:rPr>
            </w:pPr>
            <w:r w:rsidRPr="00EB2995">
              <w:rPr>
                <w:rFonts w:cs="Calibri"/>
                <w:color w:val="FF0000"/>
                <w:lang w:eastAsia="en-GB"/>
              </w:rPr>
              <w:t> </w:t>
            </w:r>
          </w:p>
        </w:tc>
        <w:tc>
          <w:tcPr>
            <w:tcW w:w="1008" w:type="dxa"/>
            <w:tcBorders>
              <w:top w:val="nil"/>
              <w:left w:val="nil"/>
              <w:bottom w:val="nil"/>
              <w:right w:val="nil"/>
            </w:tcBorders>
            <w:shd w:val="clear" w:color="auto" w:fill="auto"/>
            <w:noWrap/>
            <w:vAlign w:val="bottom"/>
            <w:hideMark/>
          </w:tcPr>
          <w:p w:rsidR="00231ED3" w:rsidRPr="00EB2995" w:rsidRDefault="00231ED3" w:rsidP="00A70A31">
            <w:pPr>
              <w:jc w:val="right"/>
              <w:rPr>
                <w:rFonts w:cs="Calibri"/>
                <w:color w:val="000000"/>
                <w:lang w:eastAsia="en-GB"/>
              </w:rPr>
            </w:pPr>
            <w:r w:rsidRPr="00EB2995">
              <w:rPr>
                <w:rFonts w:cs="Calibri"/>
                <w:color w:val="000000"/>
                <w:lang w:eastAsia="en-GB"/>
              </w:rPr>
              <w:t>(3.0)</w:t>
            </w:r>
          </w:p>
        </w:tc>
        <w:tc>
          <w:tcPr>
            <w:tcW w:w="1127" w:type="dxa"/>
            <w:tcBorders>
              <w:top w:val="nil"/>
              <w:left w:val="nil"/>
              <w:bottom w:val="nil"/>
              <w:right w:val="single" w:sz="4" w:space="0" w:color="auto"/>
            </w:tcBorders>
            <w:shd w:val="clear" w:color="auto" w:fill="auto"/>
            <w:noWrap/>
            <w:vAlign w:val="bottom"/>
            <w:hideMark/>
          </w:tcPr>
          <w:p w:rsidR="00231ED3" w:rsidRPr="00EB2995" w:rsidRDefault="00231ED3" w:rsidP="00A70A31">
            <w:pPr>
              <w:jc w:val="right"/>
              <w:rPr>
                <w:rFonts w:cs="Calibri"/>
                <w:b/>
                <w:bCs/>
                <w:color w:val="000000"/>
                <w:lang w:eastAsia="en-GB"/>
              </w:rPr>
            </w:pPr>
            <w:r w:rsidRPr="00EB2995">
              <w:rPr>
                <w:rFonts w:cs="Calibri"/>
                <w:b/>
                <w:bCs/>
                <w:color w:val="000000"/>
                <w:lang w:eastAsia="en-GB"/>
              </w:rPr>
              <w:t>(3.0)</w:t>
            </w:r>
          </w:p>
        </w:tc>
      </w:tr>
      <w:tr w:rsidR="00231ED3" w:rsidRPr="00EB2995" w:rsidTr="00231ED3">
        <w:trPr>
          <w:trHeight w:hRule="exact" w:val="397"/>
        </w:trPr>
        <w:tc>
          <w:tcPr>
            <w:tcW w:w="940" w:type="dxa"/>
            <w:tcBorders>
              <w:top w:val="nil"/>
              <w:left w:val="single" w:sz="4" w:space="0" w:color="auto"/>
              <w:bottom w:val="nil"/>
              <w:right w:val="nil"/>
            </w:tcBorders>
            <w:shd w:val="clear" w:color="auto" w:fill="auto"/>
            <w:noWrap/>
            <w:vAlign w:val="bottom"/>
            <w:hideMark/>
          </w:tcPr>
          <w:p w:rsidR="00231ED3" w:rsidRPr="00EB2995" w:rsidRDefault="00231ED3" w:rsidP="00A70A31">
            <w:pPr>
              <w:rPr>
                <w:rFonts w:cs="Calibri"/>
                <w:color w:val="FF0000"/>
                <w:lang w:eastAsia="en-GB"/>
              </w:rPr>
            </w:pPr>
            <w:r w:rsidRPr="00EB2995">
              <w:rPr>
                <w:rFonts w:cs="Calibri"/>
                <w:color w:val="FF0000"/>
                <w:lang w:eastAsia="en-GB"/>
              </w:rPr>
              <w:t> </w:t>
            </w:r>
          </w:p>
        </w:tc>
        <w:tc>
          <w:tcPr>
            <w:tcW w:w="1005" w:type="dxa"/>
            <w:tcBorders>
              <w:top w:val="nil"/>
              <w:left w:val="nil"/>
              <w:bottom w:val="nil"/>
              <w:right w:val="nil"/>
            </w:tcBorders>
            <w:shd w:val="clear" w:color="auto" w:fill="auto"/>
            <w:noWrap/>
            <w:vAlign w:val="bottom"/>
            <w:hideMark/>
          </w:tcPr>
          <w:p w:rsidR="00231ED3" w:rsidRPr="00EB2995" w:rsidRDefault="00231ED3" w:rsidP="00A70A31">
            <w:pPr>
              <w:jc w:val="right"/>
              <w:rPr>
                <w:rFonts w:cs="Calibri"/>
                <w:color w:val="000000"/>
                <w:lang w:eastAsia="en-GB"/>
              </w:rPr>
            </w:pPr>
            <w:r w:rsidRPr="00EB2995">
              <w:rPr>
                <w:rFonts w:cs="Calibri"/>
                <w:color w:val="000000"/>
                <w:lang w:eastAsia="en-GB"/>
              </w:rPr>
              <w:t>(1.4)</w:t>
            </w:r>
          </w:p>
        </w:tc>
        <w:tc>
          <w:tcPr>
            <w:tcW w:w="1316" w:type="dxa"/>
            <w:tcBorders>
              <w:top w:val="nil"/>
              <w:left w:val="nil"/>
              <w:bottom w:val="nil"/>
              <w:right w:val="single" w:sz="4" w:space="0" w:color="auto"/>
            </w:tcBorders>
            <w:shd w:val="clear" w:color="auto" w:fill="auto"/>
            <w:noWrap/>
            <w:vAlign w:val="bottom"/>
            <w:hideMark/>
          </w:tcPr>
          <w:p w:rsidR="00231ED3" w:rsidRPr="00EB2995" w:rsidRDefault="00231ED3" w:rsidP="00A70A31">
            <w:pPr>
              <w:jc w:val="right"/>
              <w:rPr>
                <w:rFonts w:cs="Calibri"/>
                <w:b/>
                <w:bCs/>
                <w:color w:val="000000"/>
                <w:lang w:eastAsia="en-GB"/>
              </w:rPr>
            </w:pPr>
            <w:r w:rsidRPr="00EB2995">
              <w:rPr>
                <w:rFonts w:cs="Calibri"/>
                <w:b/>
                <w:bCs/>
                <w:color w:val="000000"/>
                <w:lang w:eastAsia="en-GB"/>
              </w:rPr>
              <w:t>(1.4)</w:t>
            </w:r>
          </w:p>
        </w:tc>
        <w:tc>
          <w:tcPr>
            <w:tcW w:w="3608" w:type="dxa"/>
            <w:tcBorders>
              <w:top w:val="nil"/>
              <w:left w:val="nil"/>
              <w:bottom w:val="nil"/>
              <w:right w:val="nil"/>
            </w:tcBorders>
            <w:shd w:val="clear" w:color="auto" w:fill="auto"/>
            <w:noWrap/>
            <w:vAlign w:val="bottom"/>
            <w:hideMark/>
          </w:tcPr>
          <w:p w:rsidR="00231ED3" w:rsidRPr="00EB2995" w:rsidRDefault="00231ED3" w:rsidP="00A70A31">
            <w:pPr>
              <w:rPr>
                <w:rFonts w:cs="Calibri"/>
                <w:color w:val="000000"/>
                <w:lang w:eastAsia="en-GB"/>
              </w:rPr>
            </w:pPr>
            <w:r w:rsidRPr="00EB2995">
              <w:rPr>
                <w:rFonts w:cs="Calibri"/>
                <w:color w:val="000000"/>
                <w:lang w:eastAsia="en-GB"/>
              </w:rPr>
              <w:t>Transitional Relief</w:t>
            </w:r>
          </w:p>
        </w:tc>
        <w:tc>
          <w:tcPr>
            <w:tcW w:w="942" w:type="dxa"/>
            <w:tcBorders>
              <w:top w:val="nil"/>
              <w:left w:val="single" w:sz="4" w:space="0" w:color="auto"/>
              <w:bottom w:val="nil"/>
              <w:right w:val="nil"/>
            </w:tcBorders>
            <w:shd w:val="clear" w:color="auto" w:fill="auto"/>
            <w:noWrap/>
            <w:vAlign w:val="bottom"/>
            <w:hideMark/>
          </w:tcPr>
          <w:p w:rsidR="00231ED3" w:rsidRPr="00EB2995" w:rsidRDefault="00231ED3" w:rsidP="00A70A31">
            <w:pPr>
              <w:rPr>
                <w:rFonts w:cs="Calibri"/>
                <w:color w:val="FF0000"/>
                <w:lang w:eastAsia="en-GB"/>
              </w:rPr>
            </w:pPr>
            <w:r w:rsidRPr="00EB2995">
              <w:rPr>
                <w:rFonts w:cs="Calibri"/>
                <w:color w:val="FF0000"/>
                <w:lang w:eastAsia="en-GB"/>
              </w:rPr>
              <w:t> </w:t>
            </w:r>
          </w:p>
        </w:tc>
        <w:tc>
          <w:tcPr>
            <w:tcW w:w="1008" w:type="dxa"/>
            <w:tcBorders>
              <w:top w:val="nil"/>
              <w:left w:val="nil"/>
              <w:bottom w:val="nil"/>
              <w:right w:val="nil"/>
            </w:tcBorders>
            <w:shd w:val="clear" w:color="auto" w:fill="auto"/>
            <w:noWrap/>
            <w:vAlign w:val="bottom"/>
            <w:hideMark/>
          </w:tcPr>
          <w:p w:rsidR="00231ED3" w:rsidRPr="00EB2995" w:rsidRDefault="00231ED3" w:rsidP="00A70A31">
            <w:pPr>
              <w:jc w:val="right"/>
              <w:rPr>
                <w:rFonts w:cs="Calibri"/>
                <w:color w:val="000000"/>
                <w:lang w:eastAsia="en-GB"/>
              </w:rPr>
            </w:pPr>
            <w:r w:rsidRPr="00EB2995">
              <w:rPr>
                <w:rFonts w:cs="Calibri"/>
                <w:color w:val="000000"/>
                <w:lang w:eastAsia="en-GB"/>
              </w:rPr>
              <w:t>(1.3)</w:t>
            </w:r>
          </w:p>
        </w:tc>
        <w:tc>
          <w:tcPr>
            <w:tcW w:w="1127" w:type="dxa"/>
            <w:tcBorders>
              <w:top w:val="nil"/>
              <w:left w:val="nil"/>
              <w:bottom w:val="nil"/>
              <w:right w:val="single" w:sz="4" w:space="0" w:color="auto"/>
            </w:tcBorders>
            <w:shd w:val="clear" w:color="auto" w:fill="auto"/>
            <w:noWrap/>
            <w:vAlign w:val="bottom"/>
            <w:hideMark/>
          </w:tcPr>
          <w:p w:rsidR="00231ED3" w:rsidRPr="00EB2995" w:rsidRDefault="00231ED3" w:rsidP="00A70A31">
            <w:pPr>
              <w:jc w:val="right"/>
              <w:rPr>
                <w:rFonts w:cs="Calibri"/>
                <w:b/>
                <w:bCs/>
                <w:color w:val="000000"/>
                <w:lang w:eastAsia="en-GB"/>
              </w:rPr>
            </w:pPr>
            <w:r w:rsidRPr="00EB2995">
              <w:rPr>
                <w:rFonts w:cs="Calibri"/>
                <w:b/>
                <w:bCs/>
                <w:color w:val="000000"/>
                <w:lang w:eastAsia="en-GB"/>
              </w:rPr>
              <w:t>(1.3)</w:t>
            </w:r>
          </w:p>
        </w:tc>
      </w:tr>
      <w:tr w:rsidR="00231ED3" w:rsidRPr="00EB2995" w:rsidTr="00231ED3">
        <w:trPr>
          <w:trHeight w:hRule="exact" w:val="397"/>
        </w:trPr>
        <w:tc>
          <w:tcPr>
            <w:tcW w:w="940" w:type="dxa"/>
            <w:tcBorders>
              <w:top w:val="single" w:sz="4" w:space="0" w:color="auto"/>
              <w:left w:val="single" w:sz="4" w:space="0" w:color="auto"/>
              <w:bottom w:val="nil"/>
              <w:right w:val="nil"/>
            </w:tcBorders>
            <w:shd w:val="clear" w:color="auto" w:fill="auto"/>
            <w:noWrap/>
            <w:vAlign w:val="bottom"/>
            <w:hideMark/>
          </w:tcPr>
          <w:p w:rsidR="00231ED3" w:rsidRPr="00EB2995" w:rsidRDefault="00231ED3" w:rsidP="00A70A31">
            <w:pPr>
              <w:jc w:val="right"/>
              <w:rPr>
                <w:rFonts w:cs="Calibri"/>
                <w:b/>
                <w:bCs/>
                <w:color w:val="000000"/>
                <w:lang w:eastAsia="en-GB"/>
              </w:rPr>
            </w:pPr>
            <w:r w:rsidRPr="00EB2995">
              <w:rPr>
                <w:rFonts w:cs="Calibri"/>
                <w:b/>
                <w:bCs/>
                <w:color w:val="000000"/>
                <w:lang w:eastAsia="en-GB"/>
              </w:rPr>
              <w:t>(140.6)</w:t>
            </w:r>
          </w:p>
        </w:tc>
        <w:tc>
          <w:tcPr>
            <w:tcW w:w="1005" w:type="dxa"/>
            <w:tcBorders>
              <w:top w:val="single" w:sz="4" w:space="0" w:color="auto"/>
              <w:left w:val="nil"/>
              <w:bottom w:val="nil"/>
              <w:right w:val="nil"/>
            </w:tcBorders>
            <w:shd w:val="clear" w:color="auto" w:fill="auto"/>
            <w:noWrap/>
            <w:vAlign w:val="bottom"/>
            <w:hideMark/>
          </w:tcPr>
          <w:p w:rsidR="00231ED3" w:rsidRPr="00EB2995" w:rsidRDefault="00231ED3" w:rsidP="00A70A31">
            <w:pPr>
              <w:jc w:val="right"/>
              <w:rPr>
                <w:rFonts w:cs="Calibri"/>
                <w:b/>
                <w:bCs/>
                <w:color w:val="000000"/>
                <w:lang w:eastAsia="en-GB"/>
              </w:rPr>
            </w:pPr>
            <w:r w:rsidRPr="00EB2995">
              <w:rPr>
                <w:rFonts w:cs="Calibri"/>
                <w:b/>
                <w:bCs/>
                <w:color w:val="000000"/>
                <w:lang w:eastAsia="en-GB"/>
              </w:rPr>
              <w:t>(130.7)</w:t>
            </w:r>
          </w:p>
        </w:tc>
        <w:tc>
          <w:tcPr>
            <w:tcW w:w="1316" w:type="dxa"/>
            <w:tcBorders>
              <w:top w:val="single" w:sz="4" w:space="0" w:color="auto"/>
              <w:left w:val="nil"/>
              <w:bottom w:val="nil"/>
              <w:right w:val="single" w:sz="4" w:space="0" w:color="auto"/>
            </w:tcBorders>
            <w:shd w:val="clear" w:color="auto" w:fill="auto"/>
            <w:noWrap/>
            <w:vAlign w:val="bottom"/>
            <w:hideMark/>
          </w:tcPr>
          <w:p w:rsidR="00231ED3" w:rsidRPr="00EB2995" w:rsidRDefault="00231ED3" w:rsidP="00A70A31">
            <w:pPr>
              <w:jc w:val="right"/>
              <w:rPr>
                <w:rFonts w:cs="Calibri"/>
                <w:b/>
                <w:bCs/>
                <w:color w:val="000000"/>
                <w:lang w:eastAsia="en-GB"/>
              </w:rPr>
            </w:pPr>
            <w:r w:rsidRPr="00EB2995">
              <w:rPr>
                <w:rFonts w:cs="Calibri"/>
                <w:b/>
                <w:bCs/>
                <w:color w:val="000000"/>
                <w:lang w:eastAsia="en-GB"/>
              </w:rPr>
              <w:t>(271.3)</w:t>
            </w:r>
          </w:p>
        </w:tc>
        <w:tc>
          <w:tcPr>
            <w:tcW w:w="3608" w:type="dxa"/>
            <w:tcBorders>
              <w:top w:val="nil"/>
              <w:left w:val="nil"/>
              <w:bottom w:val="nil"/>
              <w:right w:val="nil"/>
            </w:tcBorders>
            <w:shd w:val="clear" w:color="auto" w:fill="auto"/>
            <w:noWrap/>
            <w:vAlign w:val="bottom"/>
            <w:hideMark/>
          </w:tcPr>
          <w:p w:rsidR="00231ED3" w:rsidRPr="00EB2995" w:rsidRDefault="00231ED3" w:rsidP="00A70A31">
            <w:pPr>
              <w:rPr>
                <w:rFonts w:cs="Calibri"/>
                <w:b/>
                <w:bCs/>
                <w:color w:val="000000"/>
                <w:lang w:eastAsia="en-GB"/>
              </w:rPr>
            </w:pPr>
            <w:r w:rsidRPr="00EB2995">
              <w:rPr>
                <w:rFonts w:cs="Calibri"/>
                <w:b/>
                <w:bCs/>
                <w:color w:val="000000"/>
                <w:lang w:eastAsia="en-GB"/>
              </w:rPr>
              <w:t>Total Income</w:t>
            </w:r>
          </w:p>
        </w:tc>
        <w:tc>
          <w:tcPr>
            <w:tcW w:w="942" w:type="dxa"/>
            <w:tcBorders>
              <w:top w:val="single" w:sz="4" w:space="0" w:color="auto"/>
              <w:left w:val="single" w:sz="4" w:space="0" w:color="auto"/>
              <w:bottom w:val="nil"/>
              <w:right w:val="nil"/>
            </w:tcBorders>
            <w:shd w:val="clear" w:color="auto" w:fill="auto"/>
            <w:noWrap/>
            <w:vAlign w:val="bottom"/>
            <w:hideMark/>
          </w:tcPr>
          <w:p w:rsidR="00231ED3" w:rsidRPr="00EB2995" w:rsidRDefault="00231ED3" w:rsidP="00A70A31">
            <w:pPr>
              <w:jc w:val="right"/>
              <w:rPr>
                <w:rFonts w:cs="Calibri"/>
                <w:b/>
                <w:bCs/>
                <w:color w:val="000000"/>
                <w:lang w:eastAsia="en-GB"/>
              </w:rPr>
            </w:pPr>
            <w:r w:rsidRPr="00EB2995">
              <w:rPr>
                <w:rFonts w:cs="Calibri"/>
                <w:b/>
                <w:bCs/>
                <w:color w:val="000000"/>
                <w:lang w:eastAsia="en-GB"/>
              </w:rPr>
              <w:t>(152.1)</w:t>
            </w:r>
          </w:p>
        </w:tc>
        <w:tc>
          <w:tcPr>
            <w:tcW w:w="1008" w:type="dxa"/>
            <w:tcBorders>
              <w:top w:val="single" w:sz="4" w:space="0" w:color="auto"/>
              <w:left w:val="nil"/>
              <w:bottom w:val="nil"/>
              <w:right w:val="nil"/>
            </w:tcBorders>
            <w:shd w:val="clear" w:color="auto" w:fill="auto"/>
            <w:noWrap/>
            <w:vAlign w:val="bottom"/>
            <w:hideMark/>
          </w:tcPr>
          <w:p w:rsidR="00231ED3" w:rsidRPr="00EB2995" w:rsidRDefault="00231ED3" w:rsidP="00A70A31">
            <w:pPr>
              <w:jc w:val="right"/>
              <w:rPr>
                <w:rFonts w:cs="Calibri"/>
                <w:b/>
                <w:bCs/>
                <w:color w:val="000000"/>
                <w:lang w:eastAsia="en-GB"/>
              </w:rPr>
            </w:pPr>
            <w:r w:rsidRPr="00EB2995">
              <w:rPr>
                <w:rFonts w:cs="Calibri"/>
                <w:b/>
                <w:bCs/>
                <w:color w:val="000000"/>
                <w:lang w:eastAsia="en-GB"/>
              </w:rPr>
              <w:t>(127.8)</w:t>
            </w:r>
          </w:p>
        </w:tc>
        <w:tc>
          <w:tcPr>
            <w:tcW w:w="1127" w:type="dxa"/>
            <w:tcBorders>
              <w:top w:val="single" w:sz="4" w:space="0" w:color="auto"/>
              <w:left w:val="nil"/>
              <w:bottom w:val="nil"/>
              <w:right w:val="single" w:sz="4" w:space="0" w:color="auto"/>
            </w:tcBorders>
            <w:shd w:val="clear" w:color="auto" w:fill="auto"/>
            <w:noWrap/>
            <w:vAlign w:val="bottom"/>
            <w:hideMark/>
          </w:tcPr>
          <w:p w:rsidR="00231ED3" w:rsidRPr="00EB2995" w:rsidRDefault="00231ED3" w:rsidP="00A70A31">
            <w:pPr>
              <w:jc w:val="right"/>
              <w:rPr>
                <w:rFonts w:cs="Calibri"/>
                <w:b/>
                <w:bCs/>
                <w:color w:val="000000"/>
                <w:lang w:eastAsia="en-GB"/>
              </w:rPr>
            </w:pPr>
            <w:r w:rsidRPr="00EB2995">
              <w:rPr>
                <w:rFonts w:cs="Calibri"/>
                <w:b/>
                <w:bCs/>
                <w:color w:val="000000"/>
                <w:lang w:eastAsia="en-GB"/>
              </w:rPr>
              <w:t>(279.9)</w:t>
            </w:r>
          </w:p>
        </w:tc>
      </w:tr>
      <w:tr w:rsidR="00231ED3" w:rsidRPr="00EB2995" w:rsidTr="00231ED3">
        <w:trPr>
          <w:trHeight w:hRule="exact" w:val="397"/>
        </w:trPr>
        <w:tc>
          <w:tcPr>
            <w:tcW w:w="940" w:type="dxa"/>
            <w:tcBorders>
              <w:top w:val="nil"/>
              <w:left w:val="single" w:sz="4" w:space="0" w:color="auto"/>
              <w:bottom w:val="nil"/>
              <w:right w:val="nil"/>
            </w:tcBorders>
            <w:shd w:val="clear" w:color="auto" w:fill="auto"/>
            <w:noWrap/>
            <w:vAlign w:val="bottom"/>
            <w:hideMark/>
          </w:tcPr>
          <w:p w:rsidR="00231ED3" w:rsidRPr="00EB2995" w:rsidRDefault="00231ED3" w:rsidP="00A70A31">
            <w:pPr>
              <w:rPr>
                <w:rFonts w:cs="Calibri"/>
                <w:color w:val="000000"/>
                <w:lang w:eastAsia="en-GB"/>
              </w:rPr>
            </w:pPr>
            <w:r w:rsidRPr="00EB2995">
              <w:rPr>
                <w:rFonts w:cs="Calibri"/>
                <w:color w:val="000000"/>
                <w:lang w:eastAsia="en-GB"/>
              </w:rPr>
              <w:t> </w:t>
            </w:r>
          </w:p>
        </w:tc>
        <w:tc>
          <w:tcPr>
            <w:tcW w:w="1005" w:type="dxa"/>
            <w:tcBorders>
              <w:top w:val="nil"/>
              <w:left w:val="nil"/>
              <w:bottom w:val="nil"/>
              <w:right w:val="nil"/>
            </w:tcBorders>
            <w:shd w:val="clear" w:color="auto" w:fill="auto"/>
            <w:noWrap/>
            <w:vAlign w:val="bottom"/>
            <w:hideMark/>
          </w:tcPr>
          <w:p w:rsidR="00231ED3" w:rsidRPr="00EB2995" w:rsidRDefault="00231ED3" w:rsidP="00A70A31">
            <w:pPr>
              <w:rPr>
                <w:rFonts w:cs="Calibri"/>
                <w:color w:val="000000"/>
                <w:lang w:eastAsia="en-GB"/>
              </w:rPr>
            </w:pPr>
          </w:p>
        </w:tc>
        <w:tc>
          <w:tcPr>
            <w:tcW w:w="1316" w:type="dxa"/>
            <w:tcBorders>
              <w:top w:val="nil"/>
              <w:left w:val="nil"/>
              <w:bottom w:val="nil"/>
              <w:right w:val="single" w:sz="4" w:space="0" w:color="auto"/>
            </w:tcBorders>
            <w:shd w:val="clear" w:color="auto" w:fill="auto"/>
            <w:noWrap/>
            <w:vAlign w:val="bottom"/>
            <w:hideMark/>
          </w:tcPr>
          <w:p w:rsidR="00231ED3" w:rsidRPr="00EB2995" w:rsidRDefault="00231ED3" w:rsidP="00A70A31">
            <w:pPr>
              <w:rPr>
                <w:rFonts w:cs="Calibri"/>
                <w:b/>
                <w:bCs/>
                <w:color w:val="000000"/>
                <w:lang w:eastAsia="en-GB"/>
              </w:rPr>
            </w:pPr>
            <w:r w:rsidRPr="00EB2995">
              <w:rPr>
                <w:rFonts w:cs="Calibri"/>
                <w:b/>
                <w:bCs/>
                <w:color w:val="000000"/>
                <w:lang w:eastAsia="en-GB"/>
              </w:rPr>
              <w:t> </w:t>
            </w:r>
          </w:p>
        </w:tc>
        <w:tc>
          <w:tcPr>
            <w:tcW w:w="3608" w:type="dxa"/>
            <w:tcBorders>
              <w:top w:val="nil"/>
              <w:left w:val="nil"/>
              <w:bottom w:val="nil"/>
              <w:right w:val="nil"/>
            </w:tcBorders>
            <w:shd w:val="clear" w:color="auto" w:fill="auto"/>
            <w:noWrap/>
            <w:vAlign w:val="bottom"/>
            <w:hideMark/>
          </w:tcPr>
          <w:p w:rsidR="00231ED3" w:rsidRPr="00EB2995" w:rsidRDefault="00231ED3" w:rsidP="00A70A31">
            <w:pPr>
              <w:rPr>
                <w:rFonts w:cs="Calibri"/>
                <w:b/>
                <w:bCs/>
                <w:color w:val="000000"/>
                <w:lang w:eastAsia="en-GB"/>
              </w:rPr>
            </w:pPr>
          </w:p>
        </w:tc>
        <w:tc>
          <w:tcPr>
            <w:tcW w:w="942" w:type="dxa"/>
            <w:tcBorders>
              <w:top w:val="nil"/>
              <w:left w:val="single" w:sz="4" w:space="0" w:color="auto"/>
              <w:bottom w:val="nil"/>
              <w:right w:val="nil"/>
            </w:tcBorders>
            <w:shd w:val="clear" w:color="auto" w:fill="auto"/>
            <w:noWrap/>
            <w:vAlign w:val="bottom"/>
            <w:hideMark/>
          </w:tcPr>
          <w:p w:rsidR="00231ED3" w:rsidRPr="00EB2995" w:rsidRDefault="00231ED3" w:rsidP="00A70A31">
            <w:pPr>
              <w:rPr>
                <w:rFonts w:cs="Calibri"/>
                <w:color w:val="000000"/>
                <w:lang w:eastAsia="en-GB"/>
              </w:rPr>
            </w:pPr>
            <w:r w:rsidRPr="00EB2995">
              <w:rPr>
                <w:rFonts w:cs="Calibri"/>
                <w:color w:val="000000"/>
                <w:lang w:eastAsia="en-GB"/>
              </w:rPr>
              <w:t> </w:t>
            </w:r>
          </w:p>
        </w:tc>
        <w:tc>
          <w:tcPr>
            <w:tcW w:w="1008" w:type="dxa"/>
            <w:tcBorders>
              <w:top w:val="nil"/>
              <w:left w:val="nil"/>
              <w:bottom w:val="nil"/>
              <w:right w:val="nil"/>
            </w:tcBorders>
            <w:shd w:val="clear" w:color="auto" w:fill="auto"/>
            <w:noWrap/>
            <w:vAlign w:val="bottom"/>
            <w:hideMark/>
          </w:tcPr>
          <w:p w:rsidR="00231ED3" w:rsidRPr="00EB2995" w:rsidRDefault="00231ED3" w:rsidP="00A70A31">
            <w:pPr>
              <w:rPr>
                <w:rFonts w:cs="Calibri"/>
                <w:color w:val="000000"/>
                <w:lang w:eastAsia="en-GB"/>
              </w:rPr>
            </w:pPr>
          </w:p>
        </w:tc>
        <w:tc>
          <w:tcPr>
            <w:tcW w:w="1127" w:type="dxa"/>
            <w:tcBorders>
              <w:top w:val="nil"/>
              <w:left w:val="nil"/>
              <w:bottom w:val="nil"/>
              <w:right w:val="single" w:sz="4" w:space="0" w:color="auto"/>
            </w:tcBorders>
            <w:shd w:val="clear" w:color="auto" w:fill="auto"/>
            <w:noWrap/>
            <w:vAlign w:val="bottom"/>
            <w:hideMark/>
          </w:tcPr>
          <w:p w:rsidR="00231ED3" w:rsidRPr="00EB2995" w:rsidRDefault="00231ED3" w:rsidP="00A70A31">
            <w:pPr>
              <w:rPr>
                <w:rFonts w:cs="Calibri"/>
                <w:b/>
                <w:bCs/>
                <w:color w:val="000000"/>
                <w:lang w:eastAsia="en-GB"/>
              </w:rPr>
            </w:pPr>
            <w:r w:rsidRPr="00EB2995">
              <w:rPr>
                <w:rFonts w:cs="Calibri"/>
                <w:b/>
                <w:bCs/>
                <w:color w:val="000000"/>
                <w:lang w:eastAsia="en-GB"/>
              </w:rPr>
              <w:t> </w:t>
            </w:r>
          </w:p>
        </w:tc>
      </w:tr>
      <w:tr w:rsidR="00231ED3" w:rsidRPr="00EB2995" w:rsidTr="00231ED3">
        <w:trPr>
          <w:trHeight w:hRule="exact" w:val="397"/>
        </w:trPr>
        <w:tc>
          <w:tcPr>
            <w:tcW w:w="940" w:type="dxa"/>
            <w:tcBorders>
              <w:top w:val="nil"/>
              <w:left w:val="single" w:sz="4" w:space="0" w:color="auto"/>
              <w:bottom w:val="nil"/>
              <w:right w:val="nil"/>
            </w:tcBorders>
            <w:shd w:val="clear" w:color="auto" w:fill="auto"/>
            <w:noWrap/>
            <w:vAlign w:val="bottom"/>
            <w:hideMark/>
          </w:tcPr>
          <w:p w:rsidR="00231ED3" w:rsidRPr="00EB2995" w:rsidRDefault="00231ED3" w:rsidP="00A70A31">
            <w:pPr>
              <w:rPr>
                <w:rFonts w:cs="Calibri"/>
                <w:color w:val="000000"/>
                <w:lang w:eastAsia="en-GB"/>
              </w:rPr>
            </w:pPr>
            <w:r w:rsidRPr="00EB2995">
              <w:rPr>
                <w:rFonts w:cs="Calibri"/>
                <w:color w:val="000000"/>
                <w:lang w:eastAsia="en-GB"/>
              </w:rPr>
              <w:t> </w:t>
            </w:r>
          </w:p>
        </w:tc>
        <w:tc>
          <w:tcPr>
            <w:tcW w:w="1005" w:type="dxa"/>
            <w:tcBorders>
              <w:top w:val="nil"/>
              <w:left w:val="nil"/>
              <w:bottom w:val="nil"/>
              <w:right w:val="nil"/>
            </w:tcBorders>
            <w:shd w:val="clear" w:color="auto" w:fill="auto"/>
            <w:noWrap/>
            <w:vAlign w:val="bottom"/>
            <w:hideMark/>
          </w:tcPr>
          <w:p w:rsidR="00231ED3" w:rsidRPr="00EB2995" w:rsidRDefault="00231ED3" w:rsidP="00A70A31">
            <w:pPr>
              <w:rPr>
                <w:rFonts w:cs="Calibri"/>
                <w:color w:val="000000"/>
                <w:lang w:eastAsia="en-GB"/>
              </w:rPr>
            </w:pPr>
          </w:p>
        </w:tc>
        <w:tc>
          <w:tcPr>
            <w:tcW w:w="1316" w:type="dxa"/>
            <w:tcBorders>
              <w:top w:val="nil"/>
              <w:left w:val="nil"/>
              <w:bottom w:val="nil"/>
              <w:right w:val="single" w:sz="4" w:space="0" w:color="auto"/>
            </w:tcBorders>
            <w:shd w:val="clear" w:color="auto" w:fill="auto"/>
            <w:noWrap/>
            <w:vAlign w:val="bottom"/>
            <w:hideMark/>
          </w:tcPr>
          <w:p w:rsidR="00231ED3" w:rsidRPr="00EB2995" w:rsidRDefault="00231ED3" w:rsidP="00A70A31">
            <w:pPr>
              <w:rPr>
                <w:rFonts w:cs="Calibri"/>
                <w:b/>
                <w:bCs/>
                <w:color w:val="000000"/>
                <w:lang w:eastAsia="en-GB"/>
              </w:rPr>
            </w:pPr>
            <w:r w:rsidRPr="00EB2995">
              <w:rPr>
                <w:rFonts w:cs="Calibri"/>
                <w:b/>
                <w:bCs/>
                <w:color w:val="000000"/>
                <w:lang w:eastAsia="en-GB"/>
              </w:rPr>
              <w:t> </w:t>
            </w:r>
          </w:p>
        </w:tc>
        <w:tc>
          <w:tcPr>
            <w:tcW w:w="3608" w:type="dxa"/>
            <w:tcBorders>
              <w:top w:val="nil"/>
              <w:left w:val="nil"/>
              <w:bottom w:val="nil"/>
              <w:right w:val="nil"/>
            </w:tcBorders>
            <w:shd w:val="clear" w:color="auto" w:fill="auto"/>
            <w:noWrap/>
            <w:vAlign w:val="bottom"/>
            <w:hideMark/>
          </w:tcPr>
          <w:p w:rsidR="00231ED3" w:rsidRPr="00EB2995" w:rsidRDefault="00231ED3" w:rsidP="00A70A31">
            <w:pPr>
              <w:rPr>
                <w:rFonts w:cs="Calibri"/>
                <w:b/>
                <w:bCs/>
                <w:color w:val="000000"/>
                <w:lang w:eastAsia="en-GB"/>
              </w:rPr>
            </w:pPr>
            <w:r w:rsidRPr="00EB2995">
              <w:rPr>
                <w:rFonts w:cs="Calibri"/>
                <w:b/>
                <w:bCs/>
                <w:color w:val="000000"/>
                <w:lang w:eastAsia="en-GB"/>
              </w:rPr>
              <w:t>Precepts, demands &amp; shares</w:t>
            </w:r>
          </w:p>
        </w:tc>
        <w:tc>
          <w:tcPr>
            <w:tcW w:w="942" w:type="dxa"/>
            <w:tcBorders>
              <w:top w:val="nil"/>
              <w:left w:val="single" w:sz="4" w:space="0" w:color="auto"/>
              <w:bottom w:val="nil"/>
              <w:right w:val="nil"/>
            </w:tcBorders>
            <w:shd w:val="clear" w:color="auto" w:fill="auto"/>
            <w:noWrap/>
            <w:vAlign w:val="bottom"/>
            <w:hideMark/>
          </w:tcPr>
          <w:p w:rsidR="00231ED3" w:rsidRPr="00EB2995" w:rsidRDefault="00231ED3" w:rsidP="00A70A31">
            <w:pPr>
              <w:rPr>
                <w:rFonts w:cs="Calibri"/>
                <w:color w:val="000000"/>
                <w:lang w:eastAsia="en-GB"/>
              </w:rPr>
            </w:pPr>
            <w:r w:rsidRPr="00EB2995">
              <w:rPr>
                <w:rFonts w:cs="Calibri"/>
                <w:color w:val="000000"/>
                <w:lang w:eastAsia="en-GB"/>
              </w:rPr>
              <w:t> </w:t>
            </w:r>
          </w:p>
        </w:tc>
        <w:tc>
          <w:tcPr>
            <w:tcW w:w="1008" w:type="dxa"/>
            <w:tcBorders>
              <w:top w:val="nil"/>
              <w:left w:val="nil"/>
              <w:bottom w:val="nil"/>
              <w:right w:val="nil"/>
            </w:tcBorders>
            <w:shd w:val="clear" w:color="auto" w:fill="auto"/>
            <w:noWrap/>
            <w:vAlign w:val="bottom"/>
            <w:hideMark/>
          </w:tcPr>
          <w:p w:rsidR="00231ED3" w:rsidRPr="00EB2995" w:rsidRDefault="00231ED3" w:rsidP="00A70A31">
            <w:pPr>
              <w:rPr>
                <w:rFonts w:cs="Calibri"/>
                <w:color w:val="000000"/>
                <w:lang w:eastAsia="en-GB"/>
              </w:rPr>
            </w:pPr>
          </w:p>
        </w:tc>
        <w:tc>
          <w:tcPr>
            <w:tcW w:w="1127" w:type="dxa"/>
            <w:tcBorders>
              <w:top w:val="nil"/>
              <w:left w:val="nil"/>
              <w:bottom w:val="nil"/>
              <w:right w:val="single" w:sz="4" w:space="0" w:color="auto"/>
            </w:tcBorders>
            <w:shd w:val="clear" w:color="auto" w:fill="auto"/>
            <w:noWrap/>
            <w:vAlign w:val="bottom"/>
            <w:hideMark/>
          </w:tcPr>
          <w:p w:rsidR="00231ED3" w:rsidRPr="00EB2995" w:rsidRDefault="00231ED3" w:rsidP="00A70A31">
            <w:pPr>
              <w:rPr>
                <w:rFonts w:cs="Calibri"/>
                <w:b/>
                <w:bCs/>
                <w:color w:val="000000"/>
                <w:lang w:eastAsia="en-GB"/>
              </w:rPr>
            </w:pPr>
            <w:r w:rsidRPr="00EB2995">
              <w:rPr>
                <w:rFonts w:cs="Calibri"/>
                <w:b/>
                <w:bCs/>
                <w:color w:val="000000"/>
                <w:lang w:eastAsia="en-GB"/>
              </w:rPr>
              <w:t> </w:t>
            </w:r>
          </w:p>
        </w:tc>
      </w:tr>
      <w:tr w:rsidR="00231ED3" w:rsidRPr="00EB2995" w:rsidTr="00231ED3">
        <w:trPr>
          <w:trHeight w:hRule="exact" w:val="397"/>
        </w:trPr>
        <w:tc>
          <w:tcPr>
            <w:tcW w:w="940" w:type="dxa"/>
            <w:tcBorders>
              <w:top w:val="nil"/>
              <w:left w:val="single" w:sz="4" w:space="0" w:color="auto"/>
              <w:bottom w:val="nil"/>
              <w:right w:val="nil"/>
            </w:tcBorders>
            <w:shd w:val="clear" w:color="auto" w:fill="auto"/>
            <w:noWrap/>
            <w:vAlign w:val="bottom"/>
            <w:hideMark/>
          </w:tcPr>
          <w:p w:rsidR="00231ED3" w:rsidRPr="00EB2995" w:rsidRDefault="00231ED3" w:rsidP="00A70A31">
            <w:pPr>
              <w:jc w:val="right"/>
              <w:rPr>
                <w:rFonts w:cs="Calibri"/>
                <w:color w:val="000000"/>
                <w:lang w:eastAsia="en-GB"/>
              </w:rPr>
            </w:pPr>
            <w:r w:rsidRPr="00EB2995">
              <w:rPr>
                <w:rFonts w:cs="Calibri"/>
                <w:color w:val="000000"/>
                <w:lang w:eastAsia="en-GB"/>
              </w:rPr>
              <w:t>115.0</w:t>
            </w:r>
          </w:p>
        </w:tc>
        <w:tc>
          <w:tcPr>
            <w:tcW w:w="1005" w:type="dxa"/>
            <w:tcBorders>
              <w:top w:val="nil"/>
              <w:left w:val="nil"/>
              <w:bottom w:val="nil"/>
              <w:right w:val="nil"/>
            </w:tcBorders>
            <w:shd w:val="clear" w:color="auto" w:fill="auto"/>
            <w:noWrap/>
            <w:vAlign w:val="bottom"/>
            <w:hideMark/>
          </w:tcPr>
          <w:p w:rsidR="00231ED3" w:rsidRPr="00EB2995" w:rsidRDefault="00231ED3" w:rsidP="00A70A31">
            <w:pPr>
              <w:jc w:val="right"/>
              <w:rPr>
                <w:rFonts w:cs="Calibri"/>
                <w:color w:val="000000"/>
                <w:lang w:eastAsia="en-GB"/>
              </w:rPr>
            </w:pPr>
            <w:r w:rsidRPr="00EB2995">
              <w:rPr>
                <w:rFonts w:cs="Calibri"/>
                <w:color w:val="000000"/>
                <w:lang w:eastAsia="en-GB"/>
              </w:rPr>
              <w:t>83.6</w:t>
            </w:r>
          </w:p>
        </w:tc>
        <w:tc>
          <w:tcPr>
            <w:tcW w:w="1316" w:type="dxa"/>
            <w:tcBorders>
              <w:top w:val="nil"/>
              <w:left w:val="nil"/>
              <w:bottom w:val="nil"/>
              <w:right w:val="single" w:sz="4" w:space="0" w:color="auto"/>
            </w:tcBorders>
            <w:shd w:val="clear" w:color="auto" w:fill="auto"/>
            <w:noWrap/>
            <w:vAlign w:val="bottom"/>
            <w:hideMark/>
          </w:tcPr>
          <w:p w:rsidR="00231ED3" w:rsidRPr="00EB2995" w:rsidRDefault="00231ED3" w:rsidP="00A70A31">
            <w:pPr>
              <w:jc w:val="right"/>
              <w:rPr>
                <w:rFonts w:cs="Calibri"/>
                <w:b/>
                <w:bCs/>
                <w:color w:val="000000"/>
                <w:lang w:eastAsia="en-GB"/>
              </w:rPr>
            </w:pPr>
            <w:r w:rsidRPr="00EB2995">
              <w:rPr>
                <w:rFonts w:cs="Calibri"/>
                <w:b/>
                <w:bCs/>
                <w:color w:val="000000"/>
                <w:lang w:eastAsia="en-GB"/>
              </w:rPr>
              <w:t>198.6</w:t>
            </w:r>
          </w:p>
        </w:tc>
        <w:tc>
          <w:tcPr>
            <w:tcW w:w="3608" w:type="dxa"/>
            <w:tcBorders>
              <w:top w:val="nil"/>
              <w:left w:val="nil"/>
              <w:bottom w:val="nil"/>
              <w:right w:val="nil"/>
            </w:tcBorders>
            <w:shd w:val="clear" w:color="auto" w:fill="auto"/>
            <w:noWrap/>
            <w:vAlign w:val="bottom"/>
            <w:hideMark/>
          </w:tcPr>
          <w:p w:rsidR="00231ED3" w:rsidRPr="00EB2995" w:rsidRDefault="00231ED3" w:rsidP="00A70A31">
            <w:pPr>
              <w:rPr>
                <w:rFonts w:cs="Calibri"/>
                <w:color w:val="000000"/>
                <w:lang w:eastAsia="en-GB"/>
              </w:rPr>
            </w:pPr>
            <w:r w:rsidRPr="00EB2995">
              <w:rPr>
                <w:rFonts w:cs="Calibri"/>
                <w:color w:val="000000"/>
                <w:lang w:eastAsia="en-GB"/>
              </w:rPr>
              <w:t>LB Brent</w:t>
            </w:r>
          </w:p>
        </w:tc>
        <w:tc>
          <w:tcPr>
            <w:tcW w:w="942" w:type="dxa"/>
            <w:tcBorders>
              <w:top w:val="nil"/>
              <w:left w:val="single" w:sz="4" w:space="0" w:color="auto"/>
              <w:bottom w:val="nil"/>
              <w:right w:val="nil"/>
            </w:tcBorders>
            <w:shd w:val="clear" w:color="auto" w:fill="auto"/>
            <w:noWrap/>
            <w:vAlign w:val="bottom"/>
            <w:hideMark/>
          </w:tcPr>
          <w:p w:rsidR="00231ED3" w:rsidRPr="00EB2995" w:rsidRDefault="00231ED3" w:rsidP="00A70A31">
            <w:pPr>
              <w:jc w:val="right"/>
              <w:rPr>
                <w:rFonts w:cs="Calibri"/>
                <w:color w:val="000000"/>
                <w:lang w:eastAsia="en-GB"/>
              </w:rPr>
            </w:pPr>
            <w:r w:rsidRPr="00EB2995">
              <w:rPr>
                <w:rFonts w:cs="Calibri"/>
                <w:color w:val="000000"/>
                <w:lang w:eastAsia="en-GB"/>
              </w:rPr>
              <w:t>122.0</w:t>
            </w:r>
          </w:p>
        </w:tc>
        <w:tc>
          <w:tcPr>
            <w:tcW w:w="1008" w:type="dxa"/>
            <w:tcBorders>
              <w:top w:val="nil"/>
              <w:left w:val="nil"/>
              <w:bottom w:val="nil"/>
              <w:right w:val="nil"/>
            </w:tcBorders>
            <w:shd w:val="clear" w:color="auto" w:fill="auto"/>
            <w:noWrap/>
            <w:vAlign w:val="bottom"/>
            <w:hideMark/>
          </w:tcPr>
          <w:p w:rsidR="00231ED3" w:rsidRPr="00EB2995" w:rsidRDefault="00231ED3" w:rsidP="00A70A31">
            <w:pPr>
              <w:jc w:val="right"/>
              <w:rPr>
                <w:rFonts w:cs="Calibri"/>
                <w:color w:val="000000"/>
                <w:lang w:eastAsia="en-GB"/>
              </w:rPr>
            </w:pPr>
            <w:r w:rsidRPr="00EB2995">
              <w:rPr>
                <w:rFonts w:cs="Calibri"/>
                <w:color w:val="000000"/>
                <w:lang w:eastAsia="en-GB"/>
              </w:rPr>
              <w:t>62.4</w:t>
            </w:r>
          </w:p>
        </w:tc>
        <w:tc>
          <w:tcPr>
            <w:tcW w:w="1127" w:type="dxa"/>
            <w:tcBorders>
              <w:top w:val="nil"/>
              <w:left w:val="nil"/>
              <w:bottom w:val="nil"/>
              <w:right w:val="single" w:sz="4" w:space="0" w:color="auto"/>
            </w:tcBorders>
            <w:shd w:val="clear" w:color="auto" w:fill="auto"/>
            <w:noWrap/>
            <w:vAlign w:val="bottom"/>
            <w:hideMark/>
          </w:tcPr>
          <w:p w:rsidR="00231ED3" w:rsidRPr="00EB2995" w:rsidRDefault="00231ED3" w:rsidP="00A70A31">
            <w:pPr>
              <w:jc w:val="right"/>
              <w:rPr>
                <w:rFonts w:cs="Calibri"/>
                <w:b/>
                <w:bCs/>
                <w:color w:val="000000"/>
                <w:lang w:eastAsia="en-GB"/>
              </w:rPr>
            </w:pPr>
            <w:r w:rsidRPr="00EB2995">
              <w:rPr>
                <w:rFonts w:cs="Calibri"/>
                <w:b/>
                <w:bCs/>
                <w:color w:val="000000"/>
                <w:lang w:eastAsia="en-GB"/>
              </w:rPr>
              <w:t>184.4</w:t>
            </w:r>
          </w:p>
        </w:tc>
      </w:tr>
      <w:tr w:rsidR="00231ED3" w:rsidRPr="00EB2995" w:rsidTr="00231ED3">
        <w:trPr>
          <w:trHeight w:hRule="exact" w:val="397"/>
        </w:trPr>
        <w:tc>
          <w:tcPr>
            <w:tcW w:w="940" w:type="dxa"/>
            <w:tcBorders>
              <w:top w:val="nil"/>
              <w:left w:val="single" w:sz="4" w:space="0" w:color="auto"/>
              <w:bottom w:val="nil"/>
              <w:right w:val="nil"/>
            </w:tcBorders>
            <w:shd w:val="clear" w:color="auto" w:fill="auto"/>
            <w:noWrap/>
            <w:vAlign w:val="bottom"/>
            <w:hideMark/>
          </w:tcPr>
          <w:p w:rsidR="00231ED3" w:rsidRPr="00EB2995" w:rsidRDefault="00231ED3" w:rsidP="00A70A31">
            <w:pPr>
              <w:jc w:val="right"/>
              <w:rPr>
                <w:rFonts w:cs="Calibri"/>
                <w:color w:val="000000"/>
                <w:lang w:eastAsia="en-GB"/>
              </w:rPr>
            </w:pPr>
            <w:r w:rsidRPr="00EB2995">
              <w:rPr>
                <w:rFonts w:cs="Calibri"/>
                <w:color w:val="000000"/>
                <w:lang w:eastAsia="en-GB"/>
              </w:rPr>
              <w:t>28.1</w:t>
            </w:r>
          </w:p>
        </w:tc>
        <w:tc>
          <w:tcPr>
            <w:tcW w:w="1005" w:type="dxa"/>
            <w:tcBorders>
              <w:top w:val="nil"/>
              <w:left w:val="nil"/>
              <w:bottom w:val="nil"/>
              <w:right w:val="nil"/>
            </w:tcBorders>
            <w:shd w:val="clear" w:color="auto" w:fill="auto"/>
            <w:noWrap/>
            <w:vAlign w:val="bottom"/>
            <w:hideMark/>
          </w:tcPr>
          <w:p w:rsidR="00231ED3" w:rsidRPr="00EB2995" w:rsidRDefault="00231ED3" w:rsidP="00A70A31">
            <w:pPr>
              <w:jc w:val="right"/>
              <w:rPr>
                <w:rFonts w:cs="Calibri"/>
                <w:color w:val="000000"/>
                <w:lang w:eastAsia="en-GB"/>
              </w:rPr>
            </w:pPr>
            <w:r w:rsidRPr="00EB2995">
              <w:rPr>
                <w:rFonts w:cs="Calibri"/>
                <w:color w:val="000000"/>
                <w:lang w:eastAsia="en-GB"/>
              </w:rPr>
              <w:t>47.0</w:t>
            </w:r>
          </w:p>
        </w:tc>
        <w:tc>
          <w:tcPr>
            <w:tcW w:w="1316" w:type="dxa"/>
            <w:tcBorders>
              <w:top w:val="nil"/>
              <w:left w:val="nil"/>
              <w:bottom w:val="nil"/>
              <w:right w:val="single" w:sz="4" w:space="0" w:color="auto"/>
            </w:tcBorders>
            <w:shd w:val="clear" w:color="auto" w:fill="auto"/>
            <w:noWrap/>
            <w:vAlign w:val="bottom"/>
            <w:hideMark/>
          </w:tcPr>
          <w:p w:rsidR="00231ED3" w:rsidRPr="00EB2995" w:rsidRDefault="00231ED3" w:rsidP="00A70A31">
            <w:pPr>
              <w:jc w:val="right"/>
              <w:rPr>
                <w:rFonts w:cs="Calibri"/>
                <w:b/>
                <w:bCs/>
                <w:color w:val="000000"/>
                <w:lang w:eastAsia="en-GB"/>
              </w:rPr>
            </w:pPr>
            <w:r w:rsidRPr="00EB2995">
              <w:rPr>
                <w:rFonts w:cs="Calibri"/>
                <w:b/>
                <w:bCs/>
                <w:color w:val="000000"/>
                <w:lang w:eastAsia="en-GB"/>
              </w:rPr>
              <w:t>75.2</w:t>
            </w:r>
          </w:p>
        </w:tc>
        <w:tc>
          <w:tcPr>
            <w:tcW w:w="3608" w:type="dxa"/>
            <w:tcBorders>
              <w:top w:val="nil"/>
              <w:left w:val="nil"/>
              <w:bottom w:val="nil"/>
              <w:right w:val="nil"/>
            </w:tcBorders>
            <w:shd w:val="clear" w:color="auto" w:fill="auto"/>
            <w:noWrap/>
            <w:vAlign w:val="bottom"/>
            <w:hideMark/>
          </w:tcPr>
          <w:p w:rsidR="00231ED3" w:rsidRPr="00EB2995" w:rsidRDefault="00231ED3" w:rsidP="00A70A31">
            <w:pPr>
              <w:rPr>
                <w:rFonts w:cs="Calibri"/>
                <w:color w:val="000000"/>
                <w:lang w:eastAsia="en-GB"/>
              </w:rPr>
            </w:pPr>
            <w:r w:rsidRPr="00EB2995">
              <w:rPr>
                <w:rFonts w:cs="Calibri"/>
                <w:color w:val="000000"/>
                <w:lang w:eastAsia="en-GB"/>
              </w:rPr>
              <w:t>GLA</w:t>
            </w:r>
          </w:p>
        </w:tc>
        <w:tc>
          <w:tcPr>
            <w:tcW w:w="942" w:type="dxa"/>
            <w:tcBorders>
              <w:top w:val="nil"/>
              <w:left w:val="single" w:sz="4" w:space="0" w:color="auto"/>
              <w:bottom w:val="nil"/>
              <w:right w:val="nil"/>
            </w:tcBorders>
            <w:shd w:val="clear" w:color="auto" w:fill="auto"/>
            <w:noWrap/>
            <w:vAlign w:val="bottom"/>
            <w:hideMark/>
          </w:tcPr>
          <w:p w:rsidR="00231ED3" w:rsidRPr="00EB2995" w:rsidRDefault="00231ED3" w:rsidP="00A70A31">
            <w:pPr>
              <w:jc w:val="right"/>
              <w:rPr>
                <w:rFonts w:cs="Calibri"/>
                <w:color w:val="000000"/>
                <w:lang w:eastAsia="en-GB"/>
              </w:rPr>
            </w:pPr>
            <w:r w:rsidRPr="00EB2995">
              <w:rPr>
                <w:rFonts w:cs="Calibri"/>
                <w:color w:val="000000"/>
                <w:lang w:eastAsia="en-GB"/>
              </w:rPr>
              <w:t>31.0</w:t>
            </w:r>
          </w:p>
        </w:tc>
        <w:tc>
          <w:tcPr>
            <w:tcW w:w="1008" w:type="dxa"/>
            <w:tcBorders>
              <w:top w:val="nil"/>
              <w:left w:val="nil"/>
              <w:bottom w:val="nil"/>
              <w:right w:val="nil"/>
            </w:tcBorders>
            <w:shd w:val="clear" w:color="auto" w:fill="auto"/>
            <w:noWrap/>
            <w:vAlign w:val="bottom"/>
            <w:hideMark/>
          </w:tcPr>
          <w:p w:rsidR="00231ED3" w:rsidRPr="00EB2995" w:rsidRDefault="00231ED3" w:rsidP="00A70A31">
            <w:pPr>
              <w:jc w:val="right"/>
              <w:rPr>
                <w:rFonts w:cs="Calibri"/>
                <w:color w:val="000000"/>
                <w:lang w:eastAsia="en-GB"/>
              </w:rPr>
            </w:pPr>
            <w:r w:rsidRPr="00EB2995">
              <w:rPr>
                <w:rFonts w:cs="Calibri"/>
                <w:color w:val="000000"/>
                <w:lang w:eastAsia="en-GB"/>
              </w:rPr>
              <w:t>35.1</w:t>
            </w:r>
          </w:p>
        </w:tc>
        <w:tc>
          <w:tcPr>
            <w:tcW w:w="1127" w:type="dxa"/>
            <w:tcBorders>
              <w:top w:val="nil"/>
              <w:left w:val="nil"/>
              <w:bottom w:val="nil"/>
              <w:right w:val="single" w:sz="4" w:space="0" w:color="auto"/>
            </w:tcBorders>
            <w:shd w:val="clear" w:color="auto" w:fill="auto"/>
            <w:noWrap/>
            <w:vAlign w:val="bottom"/>
            <w:hideMark/>
          </w:tcPr>
          <w:p w:rsidR="00231ED3" w:rsidRPr="00EB2995" w:rsidRDefault="00231ED3" w:rsidP="00A70A31">
            <w:pPr>
              <w:jc w:val="right"/>
              <w:rPr>
                <w:rFonts w:cs="Calibri"/>
                <w:b/>
                <w:bCs/>
                <w:color w:val="000000"/>
                <w:lang w:eastAsia="en-GB"/>
              </w:rPr>
            </w:pPr>
            <w:r w:rsidRPr="00EB2995">
              <w:rPr>
                <w:rFonts w:cs="Calibri"/>
                <w:b/>
                <w:bCs/>
                <w:color w:val="000000"/>
                <w:lang w:eastAsia="en-GB"/>
              </w:rPr>
              <w:t>66.1</w:t>
            </w:r>
          </w:p>
        </w:tc>
      </w:tr>
      <w:tr w:rsidR="00231ED3" w:rsidRPr="00EB2995" w:rsidTr="00231ED3">
        <w:trPr>
          <w:trHeight w:hRule="exact" w:val="397"/>
        </w:trPr>
        <w:tc>
          <w:tcPr>
            <w:tcW w:w="940" w:type="dxa"/>
            <w:tcBorders>
              <w:top w:val="nil"/>
              <w:left w:val="single" w:sz="4" w:space="0" w:color="auto"/>
              <w:bottom w:val="nil"/>
              <w:right w:val="nil"/>
            </w:tcBorders>
            <w:shd w:val="clear" w:color="auto" w:fill="auto"/>
            <w:noWrap/>
            <w:vAlign w:val="bottom"/>
            <w:hideMark/>
          </w:tcPr>
          <w:p w:rsidR="00231ED3" w:rsidRPr="00EB2995" w:rsidRDefault="00231ED3" w:rsidP="00A70A31">
            <w:pPr>
              <w:rPr>
                <w:rFonts w:cs="Calibri"/>
                <w:color w:val="FF0000"/>
                <w:lang w:eastAsia="en-GB"/>
              </w:rPr>
            </w:pPr>
            <w:r w:rsidRPr="00EB2995">
              <w:rPr>
                <w:rFonts w:cs="Calibri"/>
                <w:color w:val="FF0000"/>
                <w:lang w:eastAsia="en-GB"/>
              </w:rPr>
              <w:t> </w:t>
            </w:r>
          </w:p>
        </w:tc>
        <w:tc>
          <w:tcPr>
            <w:tcW w:w="1005" w:type="dxa"/>
            <w:tcBorders>
              <w:top w:val="nil"/>
              <w:left w:val="nil"/>
              <w:bottom w:val="nil"/>
              <w:right w:val="nil"/>
            </w:tcBorders>
            <w:shd w:val="clear" w:color="auto" w:fill="auto"/>
            <w:noWrap/>
            <w:vAlign w:val="bottom"/>
            <w:hideMark/>
          </w:tcPr>
          <w:p w:rsidR="00231ED3" w:rsidRPr="00EB2995" w:rsidRDefault="00231ED3" w:rsidP="00A70A31">
            <w:pPr>
              <w:rPr>
                <w:rFonts w:cs="Calibri"/>
                <w:color w:val="FF0000"/>
                <w:lang w:eastAsia="en-GB"/>
              </w:rPr>
            </w:pPr>
          </w:p>
        </w:tc>
        <w:tc>
          <w:tcPr>
            <w:tcW w:w="1316" w:type="dxa"/>
            <w:tcBorders>
              <w:top w:val="nil"/>
              <w:left w:val="nil"/>
              <w:bottom w:val="nil"/>
              <w:right w:val="single" w:sz="4" w:space="0" w:color="auto"/>
            </w:tcBorders>
            <w:shd w:val="clear" w:color="auto" w:fill="auto"/>
            <w:noWrap/>
            <w:vAlign w:val="bottom"/>
            <w:hideMark/>
          </w:tcPr>
          <w:p w:rsidR="00231ED3" w:rsidRPr="00EB2995" w:rsidRDefault="00231ED3" w:rsidP="00A70A31">
            <w:pPr>
              <w:jc w:val="right"/>
              <w:rPr>
                <w:rFonts w:cs="Calibri"/>
                <w:b/>
                <w:bCs/>
                <w:color w:val="000000"/>
                <w:lang w:eastAsia="en-GB"/>
              </w:rPr>
            </w:pPr>
            <w:r w:rsidRPr="00EB2995">
              <w:rPr>
                <w:rFonts w:cs="Calibri"/>
                <w:b/>
                <w:bCs/>
                <w:color w:val="000000"/>
                <w:lang w:eastAsia="en-GB"/>
              </w:rPr>
              <w:t>0.0</w:t>
            </w:r>
          </w:p>
        </w:tc>
        <w:tc>
          <w:tcPr>
            <w:tcW w:w="3608" w:type="dxa"/>
            <w:tcBorders>
              <w:top w:val="nil"/>
              <w:left w:val="nil"/>
              <w:bottom w:val="nil"/>
              <w:right w:val="nil"/>
            </w:tcBorders>
            <w:shd w:val="clear" w:color="auto" w:fill="auto"/>
            <w:noWrap/>
            <w:vAlign w:val="bottom"/>
            <w:hideMark/>
          </w:tcPr>
          <w:p w:rsidR="00231ED3" w:rsidRPr="00EB2995" w:rsidRDefault="00231ED3" w:rsidP="00A70A31">
            <w:pPr>
              <w:rPr>
                <w:rFonts w:cs="Calibri"/>
                <w:color w:val="000000"/>
                <w:lang w:eastAsia="en-GB"/>
              </w:rPr>
            </w:pPr>
            <w:r w:rsidRPr="00EB2995">
              <w:rPr>
                <w:rFonts w:cs="Calibri"/>
                <w:color w:val="000000"/>
                <w:lang w:eastAsia="en-GB"/>
              </w:rPr>
              <w:t>Central Government</w:t>
            </w:r>
          </w:p>
        </w:tc>
        <w:tc>
          <w:tcPr>
            <w:tcW w:w="942" w:type="dxa"/>
            <w:tcBorders>
              <w:top w:val="nil"/>
              <w:left w:val="single" w:sz="4" w:space="0" w:color="auto"/>
              <w:bottom w:val="nil"/>
              <w:right w:val="nil"/>
            </w:tcBorders>
            <w:shd w:val="clear" w:color="auto" w:fill="auto"/>
            <w:noWrap/>
            <w:vAlign w:val="bottom"/>
            <w:hideMark/>
          </w:tcPr>
          <w:p w:rsidR="00231ED3" w:rsidRPr="00EB2995" w:rsidRDefault="00231ED3" w:rsidP="00A70A31">
            <w:pPr>
              <w:rPr>
                <w:rFonts w:cs="Calibri"/>
                <w:color w:val="FF0000"/>
                <w:lang w:eastAsia="en-GB"/>
              </w:rPr>
            </w:pPr>
            <w:r w:rsidRPr="00EB2995">
              <w:rPr>
                <w:rFonts w:cs="Calibri"/>
                <w:color w:val="FF0000"/>
                <w:lang w:eastAsia="en-GB"/>
              </w:rPr>
              <w:t> </w:t>
            </w:r>
          </w:p>
        </w:tc>
        <w:tc>
          <w:tcPr>
            <w:tcW w:w="1008" w:type="dxa"/>
            <w:tcBorders>
              <w:top w:val="nil"/>
              <w:left w:val="nil"/>
              <w:bottom w:val="nil"/>
              <w:right w:val="nil"/>
            </w:tcBorders>
            <w:shd w:val="clear" w:color="auto" w:fill="auto"/>
            <w:noWrap/>
            <w:vAlign w:val="bottom"/>
            <w:hideMark/>
          </w:tcPr>
          <w:p w:rsidR="00231ED3" w:rsidRPr="00EB2995" w:rsidRDefault="00231ED3" w:rsidP="00A70A31">
            <w:pPr>
              <w:jc w:val="right"/>
              <w:rPr>
                <w:rFonts w:cs="Calibri"/>
                <w:color w:val="000000"/>
                <w:lang w:eastAsia="en-GB"/>
              </w:rPr>
            </w:pPr>
            <w:r w:rsidRPr="00EB2995">
              <w:rPr>
                <w:rFonts w:cs="Calibri"/>
                <w:color w:val="000000"/>
                <w:lang w:eastAsia="en-GB"/>
              </w:rPr>
              <w:t>32.5</w:t>
            </w:r>
          </w:p>
        </w:tc>
        <w:tc>
          <w:tcPr>
            <w:tcW w:w="1127" w:type="dxa"/>
            <w:tcBorders>
              <w:top w:val="nil"/>
              <w:left w:val="nil"/>
              <w:bottom w:val="nil"/>
              <w:right w:val="single" w:sz="4" w:space="0" w:color="auto"/>
            </w:tcBorders>
            <w:shd w:val="clear" w:color="auto" w:fill="auto"/>
            <w:noWrap/>
            <w:vAlign w:val="bottom"/>
            <w:hideMark/>
          </w:tcPr>
          <w:p w:rsidR="00231ED3" w:rsidRPr="00EB2995" w:rsidRDefault="00231ED3" w:rsidP="00A70A31">
            <w:pPr>
              <w:jc w:val="right"/>
              <w:rPr>
                <w:rFonts w:cs="Calibri"/>
                <w:b/>
                <w:bCs/>
                <w:color w:val="000000"/>
                <w:lang w:eastAsia="en-GB"/>
              </w:rPr>
            </w:pPr>
            <w:r w:rsidRPr="00EB2995">
              <w:rPr>
                <w:rFonts w:cs="Calibri"/>
                <w:b/>
                <w:bCs/>
                <w:color w:val="000000"/>
                <w:lang w:eastAsia="en-GB"/>
              </w:rPr>
              <w:t>32.5</w:t>
            </w:r>
          </w:p>
        </w:tc>
      </w:tr>
      <w:tr w:rsidR="00231ED3" w:rsidRPr="00EB2995" w:rsidTr="00231ED3">
        <w:trPr>
          <w:trHeight w:hRule="exact" w:val="397"/>
        </w:trPr>
        <w:tc>
          <w:tcPr>
            <w:tcW w:w="940" w:type="dxa"/>
            <w:tcBorders>
              <w:top w:val="nil"/>
              <w:left w:val="single" w:sz="4" w:space="0" w:color="auto"/>
              <w:bottom w:val="nil"/>
              <w:right w:val="nil"/>
            </w:tcBorders>
            <w:shd w:val="clear" w:color="auto" w:fill="auto"/>
            <w:noWrap/>
            <w:vAlign w:val="bottom"/>
            <w:hideMark/>
          </w:tcPr>
          <w:p w:rsidR="00231ED3" w:rsidRPr="00EB2995" w:rsidRDefault="00231ED3" w:rsidP="00A70A31">
            <w:pPr>
              <w:rPr>
                <w:rFonts w:cs="Calibri"/>
                <w:color w:val="FF0000"/>
                <w:lang w:eastAsia="en-GB"/>
              </w:rPr>
            </w:pPr>
            <w:r w:rsidRPr="00EB2995">
              <w:rPr>
                <w:rFonts w:cs="Calibri"/>
                <w:color w:val="FF0000"/>
                <w:lang w:eastAsia="en-GB"/>
              </w:rPr>
              <w:t> </w:t>
            </w:r>
          </w:p>
        </w:tc>
        <w:tc>
          <w:tcPr>
            <w:tcW w:w="1005" w:type="dxa"/>
            <w:tcBorders>
              <w:top w:val="nil"/>
              <w:left w:val="nil"/>
              <w:bottom w:val="nil"/>
              <w:right w:val="nil"/>
            </w:tcBorders>
            <w:shd w:val="clear" w:color="auto" w:fill="auto"/>
            <w:noWrap/>
            <w:vAlign w:val="bottom"/>
            <w:hideMark/>
          </w:tcPr>
          <w:p w:rsidR="00231ED3" w:rsidRPr="00EB2995" w:rsidRDefault="00231ED3" w:rsidP="00A70A31">
            <w:pPr>
              <w:jc w:val="right"/>
              <w:rPr>
                <w:rFonts w:cs="Calibri"/>
                <w:color w:val="000000"/>
                <w:lang w:eastAsia="en-GB"/>
              </w:rPr>
            </w:pPr>
            <w:r w:rsidRPr="00EB2995">
              <w:rPr>
                <w:rFonts w:cs="Calibri"/>
                <w:color w:val="000000"/>
                <w:lang w:eastAsia="en-GB"/>
              </w:rPr>
              <w:t>3.0</w:t>
            </w:r>
          </w:p>
        </w:tc>
        <w:tc>
          <w:tcPr>
            <w:tcW w:w="1316" w:type="dxa"/>
            <w:tcBorders>
              <w:top w:val="nil"/>
              <w:left w:val="nil"/>
              <w:bottom w:val="nil"/>
              <w:right w:val="single" w:sz="4" w:space="0" w:color="auto"/>
            </w:tcBorders>
            <w:shd w:val="clear" w:color="auto" w:fill="auto"/>
            <w:noWrap/>
            <w:vAlign w:val="bottom"/>
            <w:hideMark/>
          </w:tcPr>
          <w:p w:rsidR="00231ED3" w:rsidRPr="00EB2995" w:rsidRDefault="00231ED3" w:rsidP="00A70A31">
            <w:pPr>
              <w:jc w:val="right"/>
              <w:rPr>
                <w:rFonts w:cs="Calibri"/>
                <w:b/>
                <w:bCs/>
                <w:color w:val="000000"/>
                <w:lang w:eastAsia="en-GB"/>
              </w:rPr>
            </w:pPr>
            <w:r w:rsidRPr="00EB2995">
              <w:rPr>
                <w:rFonts w:cs="Calibri"/>
                <w:b/>
                <w:bCs/>
                <w:color w:val="000000"/>
                <w:lang w:eastAsia="en-GB"/>
              </w:rPr>
              <w:t>3.0</w:t>
            </w:r>
          </w:p>
        </w:tc>
        <w:tc>
          <w:tcPr>
            <w:tcW w:w="3608" w:type="dxa"/>
            <w:tcBorders>
              <w:top w:val="nil"/>
              <w:left w:val="nil"/>
              <w:bottom w:val="nil"/>
              <w:right w:val="nil"/>
            </w:tcBorders>
            <w:shd w:val="clear" w:color="auto" w:fill="auto"/>
            <w:noWrap/>
            <w:vAlign w:val="bottom"/>
            <w:hideMark/>
          </w:tcPr>
          <w:p w:rsidR="00231ED3" w:rsidRPr="00EB2995" w:rsidRDefault="00231ED3" w:rsidP="00A70A31">
            <w:pPr>
              <w:rPr>
                <w:rFonts w:cs="Calibri"/>
                <w:color w:val="000000"/>
                <w:lang w:eastAsia="en-GB"/>
              </w:rPr>
            </w:pPr>
            <w:r w:rsidRPr="00EB2995">
              <w:rPr>
                <w:rFonts w:cs="Calibri"/>
                <w:color w:val="000000"/>
                <w:lang w:eastAsia="en-GB"/>
              </w:rPr>
              <w:t>GLA - Business Rates Supplement</w:t>
            </w:r>
          </w:p>
        </w:tc>
        <w:tc>
          <w:tcPr>
            <w:tcW w:w="942" w:type="dxa"/>
            <w:tcBorders>
              <w:top w:val="nil"/>
              <w:left w:val="single" w:sz="4" w:space="0" w:color="auto"/>
              <w:bottom w:val="nil"/>
              <w:right w:val="nil"/>
            </w:tcBorders>
            <w:shd w:val="clear" w:color="auto" w:fill="auto"/>
            <w:noWrap/>
            <w:vAlign w:val="bottom"/>
            <w:hideMark/>
          </w:tcPr>
          <w:p w:rsidR="00231ED3" w:rsidRPr="00EB2995" w:rsidRDefault="00231ED3" w:rsidP="00A70A31">
            <w:pPr>
              <w:rPr>
                <w:rFonts w:cs="Calibri"/>
                <w:color w:val="FF0000"/>
                <w:lang w:eastAsia="en-GB"/>
              </w:rPr>
            </w:pPr>
            <w:r w:rsidRPr="00EB2995">
              <w:rPr>
                <w:rFonts w:cs="Calibri"/>
                <w:color w:val="FF0000"/>
                <w:lang w:eastAsia="en-GB"/>
              </w:rPr>
              <w:t> </w:t>
            </w:r>
          </w:p>
        </w:tc>
        <w:tc>
          <w:tcPr>
            <w:tcW w:w="1008" w:type="dxa"/>
            <w:tcBorders>
              <w:top w:val="nil"/>
              <w:left w:val="nil"/>
              <w:bottom w:val="nil"/>
              <w:right w:val="nil"/>
            </w:tcBorders>
            <w:shd w:val="clear" w:color="auto" w:fill="auto"/>
            <w:noWrap/>
            <w:vAlign w:val="bottom"/>
            <w:hideMark/>
          </w:tcPr>
          <w:p w:rsidR="00231ED3" w:rsidRPr="00EB2995" w:rsidRDefault="00231ED3" w:rsidP="00A70A31">
            <w:pPr>
              <w:jc w:val="right"/>
              <w:rPr>
                <w:rFonts w:cs="Calibri"/>
                <w:color w:val="000000"/>
                <w:lang w:eastAsia="en-GB"/>
              </w:rPr>
            </w:pPr>
            <w:r w:rsidRPr="00EB2995">
              <w:rPr>
                <w:rFonts w:cs="Calibri"/>
                <w:color w:val="000000"/>
                <w:lang w:eastAsia="en-GB"/>
              </w:rPr>
              <w:t>3.0</w:t>
            </w:r>
          </w:p>
        </w:tc>
        <w:tc>
          <w:tcPr>
            <w:tcW w:w="1127" w:type="dxa"/>
            <w:tcBorders>
              <w:top w:val="nil"/>
              <w:left w:val="nil"/>
              <w:bottom w:val="nil"/>
              <w:right w:val="single" w:sz="4" w:space="0" w:color="auto"/>
            </w:tcBorders>
            <w:shd w:val="clear" w:color="auto" w:fill="auto"/>
            <w:noWrap/>
            <w:vAlign w:val="bottom"/>
            <w:hideMark/>
          </w:tcPr>
          <w:p w:rsidR="00231ED3" w:rsidRPr="00EB2995" w:rsidRDefault="00231ED3" w:rsidP="00A70A31">
            <w:pPr>
              <w:jc w:val="right"/>
              <w:rPr>
                <w:rFonts w:cs="Calibri"/>
                <w:b/>
                <w:bCs/>
                <w:color w:val="000000"/>
                <w:lang w:eastAsia="en-GB"/>
              </w:rPr>
            </w:pPr>
            <w:r w:rsidRPr="00EB2995">
              <w:rPr>
                <w:rFonts w:cs="Calibri"/>
                <w:b/>
                <w:bCs/>
                <w:color w:val="000000"/>
                <w:lang w:eastAsia="en-GB"/>
              </w:rPr>
              <w:t>3.0</w:t>
            </w:r>
          </w:p>
        </w:tc>
      </w:tr>
      <w:tr w:rsidR="00231ED3" w:rsidRPr="00EB2995" w:rsidTr="00231ED3">
        <w:trPr>
          <w:trHeight w:hRule="exact" w:val="397"/>
        </w:trPr>
        <w:tc>
          <w:tcPr>
            <w:tcW w:w="940" w:type="dxa"/>
            <w:tcBorders>
              <w:top w:val="nil"/>
              <w:left w:val="single" w:sz="4" w:space="0" w:color="auto"/>
              <w:bottom w:val="nil"/>
              <w:right w:val="nil"/>
            </w:tcBorders>
            <w:shd w:val="clear" w:color="auto" w:fill="auto"/>
            <w:noWrap/>
            <w:vAlign w:val="bottom"/>
            <w:hideMark/>
          </w:tcPr>
          <w:p w:rsidR="00231ED3" w:rsidRPr="00EB2995" w:rsidRDefault="00231ED3" w:rsidP="00A70A31">
            <w:pPr>
              <w:rPr>
                <w:rFonts w:cs="Calibri"/>
                <w:color w:val="000000"/>
                <w:lang w:eastAsia="en-GB"/>
              </w:rPr>
            </w:pPr>
            <w:r w:rsidRPr="00EB2995">
              <w:rPr>
                <w:rFonts w:cs="Calibri"/>
                <w:color w:val="000000"/>
                <w:lang w:eastAsia="en-GB"/>
              </w:rPr>
              <w:t> </w:t>
            </w:r>
          </w:p>
        </w:tc>
        <w:tc>
          <w:tcPr>
            <w:tcW w:w="1005" w:type="dxa"/>
            <w:tcBorders>
              <w:top w:val="nil"/>
              <w:left w:val="nil"/>
              <w:bottom w:val="nil"/>
              <w:right w:val="nil"/>
            </w:tcBorders>
            <w:shd w:val="clear" w:color="auto" w:fill="auto"/>
            <w:noWrap/>
            <w:vAlign w:val="bottom"/>
            <w:hideMark/>
          </w:tcPr>
          <w:p w:rsidR="00231ED3" w:rsidRPr="00EB2995" w:rsidRDefault="00231ED3" w:rsidP="00A70A31">
            <w:pPr>
              <w:rPr>
                <w:rFonts w:cs="Calibri"/>
                <w:color w:val="000000"/>
                <w:lang w:eastAsia="en-GB"/>
              </w:rPr>
            </w:pPr>
          </w:p>
        </w:tc>
        <w:tc>
          <w:tcPr>
            <w:tcW w:w="1316" w:type="dxa"/>
            <w:tcBorders>
              <w:top w:val="nil"/>
              <w:left w:val="nil"/>
              <w:bottom w:val="nil"/>
              <w:right w:val="single" w:sz="4" w:space="0" w:color="auto"/>
            </w:tcBorders>
            <w:shd w:val="clear" w:color="auto" w:fill="auto"/>
            <w:noWrap/>
            <w:vAlign w:val="bottom"/>
            <w:hideMark/>
          </w:tcPr>
          <w:p w:rsidR="00231ED3" w:rsidRPr="00EB2995" w:rsidRDefault="00231ED3" w:rsidP="00A70A31">
            <w:pPr>
              <w:rPr>
                <w:rFonts w:cs="Calibri"/>
                <w:b/>
                <w:bCs/>
                <w:color w:val="000000"/>
                <w:lang w:eastAsia="en-GB"/>
              </w:rPr>
            </w:pPr>
            <w:r w:rsidRPr="00EB2995">
              <w:rPr>
                <w:rFonts w:cs="Calibri"/>
                <w:b/>
                <w:bCs/>
                <w:color w:val="000000"/>
                <w:lang w:eastAsia="en-GB"/>
              </w:rPr>
              <w:t> </w:t>
            </w:r>
          </w:p>
        </w:tc>
        <w:tc>
          <w:tcPr>
            <w:tcW w:w="3608" w:type="dxa"/>
            <w:tcBorders>
              <w:top w:val="nil"/>
              <w:left w:val="nil"/>
              <w:bottom w:val="nil"/>
              <w:right w:val="nil"/>
            </w:tcBorders>
            <w:shd w:val="clear" w:color="auto" w:fill="auto"/>
            <w:noWrap/>
            <w:vAlign w:val="bottom"/>
            <w:hideMark/>
          </w:tcPr>
          <w:p w:rsidR="00231ED3" w:rsidRPr="00EB2995" w:rsidRDefault="00231ED3" w:rsidP="00A70A31">
            <w:pPr>
              <w:rPr>
                <w:rFonts w:cs="Calibri"/>
                <w:b/>
                <w:bCs/>
                <w:color w:val="000000"/>
                <w:lang w:eastAsia="en-GB"/>
              </w:rPr>
            </w:pPr>
          </w:p>
        </w:tc>
        <w:tc>
          <w:tcPr>
            <w:tcW w:w="942" w:type="dxa"/>
            <w:tcBorders>
              <w:top w:val="nil"/>
              <w:left w:val="single" w:sz="4" w:space="0" w:color="auto"/>
              <w:bottom w:val="nil"/>
              <w:right w:val="nil"/>
            </w:tcBorders>
            <w:shd w:val="clear" w:color="auto" w:fill="auto"/>
            <w:noWrap/>
            <w:vAlign w:val="bottom"/>
            <w:hideMark/>
          </w:tcPr>
          <w:p w:rsidR="00231ED3" w:rsidRPr="00EB2995" w:rsidRDefault="00231ED3" w:rsidP="00A70A31">
            <w:pPr>
              <w:rPr>
                <w:rFonts w:cs="Calibri"/>
                <w:color w:val="000000"/>
                <w:lang w:eastAsia="en-GB"/>
              </w:rPr>
            </w:pPr>
            <w:r w:rsidRPr="00EB2995">
              <w:rPr>
                <w:rFonts w:cs="Calibri"/>
                <w:color w:val="000000"/>
                <w:lang w:eastAsia="en-GB"/>
              </w:rPr>
              <w:t> </w:t>
            </w:r>
          </w:p>
        </w:tc>
        <w:tc>
          <w:tcPr>
            <w:tcW w:w="1008" w:type="dxa"/>
            <w:tcBorders>
              <w:top w:val="nil"/>
              <w:left w:val="nil"/>
              <w:bottom w:val="nil"/>
              <w:right w:val="nil"/>
            </w:tcBorders>
            <w:shd w:val="clear" w:color="auto" w:fill="auto"/>
            <w:noWrap/>
            <w:vAlign w:val="bottom"/>
            <w:hideMark/>
          </w:tcPr>
          <w:p w:rsidR="00231ED3" w:rsidRPr="00EB2995" w:rsidRDefault="00231ED3" w:rsidP="00A70A31">
            <w:pPr>
              <w:rPr>
                <w:rFonts w:cs="Calibri"/>
                <w:color w:val="000000"/>
                <w:lang w:eastAsia="en-GB"/>
              </w:rPr>
            </w:pPr>
          </w:p>
        </w:tc>
        <w:tc>
          <w:tcPr>
            <w:tcW w:w="1127" w:type="dxa"/>
            <w:tcBorders>
              <w:top w:val="nil"/>
              <w:left w:val="nil"/>
              <w:bottom w:val="nil"/>
              <w:right w:val="single" w:sz="4" w:space="0" w:color="auto"/>
            </w:tcBorders>
            <w:shd w:val="clear" w:color="auto" w:fill="auto"/>
            <w:noWrap/>
            <w:vAlign w:val="bottom"/>
            <w:hideMark/>
          </w:tcPr>
          <w:p w:rsidR="00231ED3" w:rsidRPr="00EB2995" w:rsidRDefault="00231ED3" w:rsidP="00A70A31">
            <w:pPr>
              <w:rPr>
                <w:rFonts w:cs="Calibri"/>
                <w:b/>
                <w:bCs/>
                <w:color w:val="000000"/>
                <w:lang w:eastAsia="en-GB"/>
              </w:rPr>
            </w:pPr>
            <w:r w:rsidRPr="00EB2995">
              <w:rPr>
                <w:rFonts w:cs="Calibri"/>
                <w:b/>
                <w:bCs/>
                <w:color w:val="000000"/>
                <w:lang w:eastAsia="en-GB"/>
              </w:rPr>
              <w:t> </w:t>
            </w:r>
          </w:p>
        </w:tc>
      </w:tr>
      <w:tr w:rsidR="00231ED3" w:rsidRPr="00EB2995" w:rsidTr="00231ED3">
        <w:trPr>
          <w:trHeight w:hRule="exact" w:val="397"/>
        </w:trPr>
        <w:tc>
          <w:tcPr>
            <w:tcW w:w="940" w:type="dxa"/>
            <w:tcBorders>
              <w:top w:val="nil"/>
              <w:left w:val="single" w:sz="4" w:space="0" w:color="auto"/>
              <w:bottom w:val="nil"/>
              <w:right w:val="nil"/>
            </w:tcBorders>
            <w:shd w:val="clear" w:color="auto" w:fill="auto"/>
            <w:noWrap/>
            <w:vAlign w:val="bottom"/>
            <w:hideMark/>
          </w:tcPr>
          <w:p w:rsidR="00231ED3" w:rsidRPr="00EB2995" w:rsidRDefault="00231ED3" w:rsidP="00A70A31">
            <w:pPr>
              <w:rPr>
                <w:rFonts w:cs="Calibri"/>
                <w:color w:val="000000"/>
                <w:lang w:eastAsia="en-GB"/>
              </w:rPr>
            </w:pPr>
            <w:r w:rsidRPr="00EB2995">
              <w:rPr>
                <w:rFonts w:cs="Calibri"/>
                <w:color w:val="000000"/>
                <w:lang w:eastAsia="en-GB"/>
              </w:rPr>
              <w:t> </w:t>
            </w:r>
          </w:p>
        </w:tc>
        <w:tc>
          <w:tcPr>
            <w:tcW w:w="1005" w:type="dxa"/>
            <w:tcBorders>
              <w:top w:val="nil"/>
              <w:left w:val="nil"/>
              <w:bottom w:val="nil"/>
              <w:right w:val="nil"/>
            </w:tcBorders>
            <w:shd w:val="clear" w:color="auto" w:fill="auto"/>
            <w:noWrap/>
            <w:vAlign w:val="bottom"/>
            <w:hideMark/>
          </w:tcPr>
          <w:p w:rsidR="00231ED3" w:rsidRPr="00EB2995" w:rsidRDefault="00231ED3" w:rsidP="00A70A31">
            <w:pPr>
              <w:rPr>
                <w:rFonts w:cs="Calibri"/>
                <w:color w:val="000000"/>
                <w:lang w:eastAsia="en-GB"/>
              </w:rPr>
            </w:pPr>
          </w:p>
        </w:tc>
        <w:tc>
          <w:tcPr>
            <w:tcW w:w="1316" w:type="dxa"/>
            <w:tcBorders>
              <w:top w:val="nil"/>
              <w:left w:val="nil"/>
              <w:bottom w:val="nil"/>
              <w:right w:val="single" w:sz="4" w:space="0" w:color="auto"/>
            </w:tcBorders>
            <w:shd w:val="clear" w:color="auto" w:fill="auto"/>
            <w:noWrap/>
            <w:vAlign w:val="bottom"/>
            <w:hideMark/>
          </w:tcPr>
          <w:p w:rsidR="00231ED3" w:rsidRPr="00EB2995" w:rsidRDefault="00231ED3" w:rsidP="00A70A31">
            <w:pPr>
              <w:rPr>
                <w:rFonts w:cs="Calibri"/>
                <w:b/>
                <w:bCs/>
                <w:color w:val="000000"/>
                <w:lang w:eastAsia="en-GB"/>
              </w:rPr>
            </w:pPr>
            <w:r w:rsidRPr="00EB2995">
              <w:rPr>
                <w:rFonts w:cs="Calibri"/>
                <w:b/>
                <w:bCs/>
                <w:color w:val="000000"/>
                <w:lang w:eastAsia="en-GB"/>
              </w:rPr>
              <w:t> </w:t>
            </w:r>
          </w:p>
        </w:tc>
        <w:tc>
          <w:tcPr>
            <w:tcW w:w="3608" w:type="dxa"/>
            <w:tcBorders>
              <w:top w:val="nil"/>
              <w:left w:val="nil"/>
              <w:bottom w:val="nil"/>
              <w:right w:val="nil"/>
            </w:tcBorders>
            <w:shd w:val="clear" w:color="auto" w:fill="auto"/>
            <w:noWrap/>
            <w:vAlign w:val="bottom"/>
            <w:hideMark/>
          </w:tcPr>
          <w:p w:rsidR="00231ED3" w:rsidRPr="00EB2995" w:rsidRDefault="00231ED3" w:rsidP="00A70A31">
            <w:pPr>
              <w:rPr>
                <w:rFonts w:cs="Calibri"/>
                <w:b/>
                <w:bCs/>
                <w:color w:val="000000"/>
                <w:lang w:eastAsia="en-GB"/>
              </w:rPr>
            </w:pPr>
            <w:r w:rsidRPr="00EB2995">
              <w:rPr>
                <w:rFonts w:cs="Calibri"/>
                <w:b/>
                <w:bCs/>
                <w:color w:val="000000"/>
                <w:lang w:eastAsia="en-GB"/>
              </w:rPr>
              <w:t>Share of surplus/(deficit)</w:t>
            </w:r>
          </w:p>
        </w:tc>
        <w:tc>
          <w:tcPr>
            <w:tcW w:w="942" w:type="dxa"/>
            <w:tcBorders>
              <w:top w:val="nil"/>
              <w:left w:val="single" w:sz="4" w:space="0" w:color="auto"/>
              <w:bottom w:val="nil"/>
              <w:right w:val="nil"/>
            </w:tcBorders>
            <w:shd w:val="clear" w:color="auto" w:fill="auto"/>
            <w:noWrap/>
            <w:vAlign w:val="bottom"/>
            <w:hideMark/>
          </w:tcPr>
          <w:p w:rsidR="00231ED3" w:rsidRPr="00EB2995" w:rsidRDefault="00231ED3" w:rsidP="00A70A31">
            <w:pPr>
              <w:rPr>
                <w:rFonts w:cs="Calibri"/>
                <w:color w:val="000000"/>
                <w:lang w:eastAsia="en-GB"/>
              </w:rPr>
            </w:pPr>
            <w:r w:rsidRPr="00EB2995">
              <w:rPr>
                <w:rFonts w:cs="Calibri"/>
                <w:color w:val="000000"/>
                <w:lang w:eastAsia="en-GB"/>
              </w:rPr>
              <w:t> </w:t>
            </w:r>
          </w:p>
        </w:tc>
        <w:tc>
          <w:tcPr>
            <w:tcW w:w="1008" w:type="dxa"/>
            <w:tcBorders>
              <w:top w:val="nil"/>
              <w:left w:val="nil"/>
              <w:bottom w:val="nil"/>
              <w:right w:val="nil"/>
            </w:tcBorders>
            <w:shd w:val="clear" w:color="auto" w:fill="auto"/>
            <w:noWrap/>
            <w:vAlign w:val="bottom"/>
            <w:hideMark/>
          </w:tcPr>
          <w:p w:rsidR="00231ED3" w:rsidRPr="00EB2995" w:rsidRDefault="00231ED3" w:rsidP="00A70A31">
            <w:pPr>
              <w:rPr>
                <w:rFonts w:cs="Calibri"/>
                <w:color w:val="000000"/>
                <w:lang w:eastAsia="en-GB"/>
              </w:rPr>
            </w:pPr>
          </w:p>
        </w:tc>
        <w:tc>
          <w:tcPr>
            <w:tcW w:w="1127" w:type="dxa"/>
            <w:tcBorders>
              <w:top w:val="nil"/>
              <w:left w:val="nil"/>
              <w:bottom w:val="nil"/>
              <w:right w:val="single" w:sz="4" w:space="0" w:color="auto"/>
            </w:tcBorders>
            <w:shd w:val="clear" w:color="auto" w:fill="auto"/>
            <w:noWrap/>
            <w:vAlign w:val="bottom"/>
            <w:hideMark/>
          </w:tcPr>
          <w:p w:rsidR="00231ED3" w:rsidRPr="00EB2995" w:rsidRDefault="00231ED3" w:rsidP="00A70A31">
            <w:pPr>
              <w:rPr>
                <w:rFonts w:cs="Calibri"/>
                <w:b/>
                <w:bCs/>
                <w:color w:val="000000"/>
                <w:lang w:eastAsia="en-GB"/>
              </w:rPr>
            </w:pPr>
            <w:r w:rsidRPr="00EB2995">
              <w:rPr>
                <w:rFonts w:cs="Calibri"/>
                <w:b/>
                <w:bCs/>
                <w:color w:val="000000"/>
                <w:lang w:eastAsia="en-GB"/>
              </w:rPr>
              <w:t> </w:t>
            </w:r>
          </w:p>
        </w:tc>
      </w:tr>
      <w:tr w:rsidR="00231ED3" w:rsidRPr="00EB2995" w:rsidTr="00231ED3">
        <w:trPr>
          <w:trHeight w:hRule="exact" w:val="397"/>
        </w:trPr>
        <w:tc>
          <w:tcPr>
            <w:tcW w:w="940" w:type="dxa"/>
            <w:tcBorders>
              <w:top w:val="nil"/>
              <w:left w:val="single" w:sz="4" w:space="0" w:color="auto"/>
              <w:bottom w:val="nil"/>
              <w:right w:val="nil"/>
            </w:tcBorders>
            <w:shd w:val="clear" w:color="auto" w:fill="auto"/>
            <w:noWrap/>
            <w:vAlign w:val="bottom"/>
            <w:hideMark/>
          </w:tcPr>
          <w:p w:rsidR="00231ED3" w:rsidRPr="00EB2995" w:rsidRDefault="00231ED3" w:rsidP="00A70A31">
            <w:pPr>
              <w:jc w:val="right"/>
              <w:rPr>
                <w:rFonts w:cs="Calibri"/>
                <w:color w:val="000000"/>
                <w:lang w:eastAsia="en-GB"/>
              </w:rPr>
            </w:pPr>
            <w:r w:rsidRPr="00EB2995">
              <w:rPr>
                <w:rFonts w:cs="Calibri"/>
                <w:color w:val="000000"/>
                <w:lang w:eastAsia="en-GB"/>
              </w:rPr>
              <w:t>1.4</w:t>
            </w:r>
          </w:p>
        </w:tc>
        <w:tc>
          <w:tcPr>
            <w:tcW w:w="1005" w:type="dxa"/>
            <w:tcBorders>
              <w:top w:val="nil"/>
              <w:left w:val="nil"/>
              <w:bottom w:val="nil"/>
              <w:right w:val="nil"/>
            </w:tcBorders>
            <w:shd w:val="clear" w:color="auto" w:fill="auto"/>
            <w:noWrap/>
            <w:vAlign w:val="bottom"/>
            <w:hideMark/>
          </w:tcPr>
          <w:p w:rsidR="00231ED3" w:rsidRPr="00EB2995" w:rsidRDefault="00231ED3" w:rsidP="00A70A31">
            <w:pPr>
              <w:jc w:val="right"/>
              <w:rPr>
                <w:rFonts w:cs="Calibri"/>
                <w:color w:val="000000"/>
                <w:lang w:eastAsia="en-GB"/>
              </w:rPr>
            </w:pPr>
            <w:r w:rsidRPr="00EB2995">
              <w:rPr>
                <w:rFonts w:cs="Calibri"/>
                <w:color w:val="000000"/>
                <w:lang w:eastAsia="en-GB"/>
              </w:rPr>
              <w:t>0.1</w:t>
            </w:r>
          </w:p>
        </w:tc>
        <w:tc>
          <w:tcPr>
            <w:tcW w:w="1316" w:type="dxa"/>
            <w:tcBorders>
              <w:top w:val="nil"/>
              <w:left w:val="nil"/>
              <w:bottom w:val="nil"/>
              <w:right w:val="single" w:sz="4" w:space="0" w:color="auto"/>
            </w:tcBorders>
            <w:shd w:val="clear" w:color="auto" w:fill="auto"/>
            <w:noWrap/>
            <w:vAlign w:val="bottom"/>
            <w:hideMark/>
          </w:tcPr>
          <w:p w:rsidR="00231ED3" w:rsidRPr="00EB2995" w:rsidRDefault="00231ED3" w:rsidP="00A70A31">
            <w:pPr>
              <w:jc w:val="right"/>
              <w:rPr>
                <w:rFonts w:cs="Calibri"/>
                <w:b/>
                <w:bCs/>
                <w:color w:val="000000"/>
                <w:lang w:eastAsia="en-GB"/>
              </w:rPr>
            </w:pPr>
            <w:r w:rsidRPr="00EB2995">
              <w:rPr>
                <w:rFonts w:cs="Calibri"/>
                <w:b/>
                <w:bCs/>
                <w:color w:val="000000"/>
                <w:lang w:eastAsia="en-GB"/>
              </w:rPr>
              <w:t>1.5</w:t>
            </w:r>
          </w:p>
        </w:tc>
        <w:tc>
          <w:tcPr>
            <w:tcW w:w="3608" w:type="dxa"/>
            <w:tcBorders>
              <w:top w:val="nil"/>
              <w:left w:val="nil"/>
              <w:bottom w:val="nil"/>
              <w:right w:val="nil"/>
            </w:tcBorders>
            <w:shd w:val="clear" w:color="auto" w:fill="auto"/>
            <w:noWrap/>
            <w:vAlign w:val="bottom"/>
            <w:hideMark/>
          </w:tcPr>
          <w:p w:rsidR="00231ED3" w:rsidRPr="00EB2995" w:rsidRDefault="00231ED3" w:rsidP="00A70A31">
            <w:pPr>
              <w:rPr>
                <w:rFonts w:cs="Calibri"/>
                <w:color w:val="000000"/>
                <w:lang w:eastAsia="en-GB"/>
              </w:rPr>
            </w:pPr>
            <w:r w:rsidRPr="00EB2995">
              <w:rPr>
                <w:rFonts w:cs="Calibri"/>
                <w:color w:val="000000"/>
                <w:lang w:eastAsia="en-GB"/>
              </w:rPr>
              <w:t>LB Brent</w:t>
            </w:r>
          </w:p>
        </w:tc>
        <w:tc>
          <w:tcPr>
            <w:tcW w:w="942" w:type="dxa"/>
            <w:tcBorders>
              <w:top w:val="nil"/>
              <w:left w:val="single" w:sz="4" w:space="0" w:color="auto"/>
              <w:bottom w:val="nil"/>
              <w:right w:val="nil"/>
            </w:tcBorders>
            <w:shd w:val="clear" w:color="auto" w:fill="auto"/>
            <w:noWrap/>
            <w:vAlign w:val="bottom"/>
            <w:hideMark/>
          </w:tcPr>
          <w:p w:rsidR="00231ED3" w:rsidRPr="00EB2995" w:rsidRDefault="00231ED3" w:rsidP="00A70A31">
            <w:pPr>
              <w:jc w:val="right"/>
              <w:rPr>
                <w:rFonts w:cs="Calibri"/>
                <w:color w:val="000000"/>
                <w:lang w:eastAsia="en-GB"/>
              </w:rPr>
            </w:pPr>
            <w:r w:rsidRPr="00EB2995">
              <w:rPr>
                <w:rFonts w:cs="Calibri"/>
                <w:color w:val="000000"/>
                <w:lang w:eastAsia="en-GB"/>
              </w:rPr>
              <w:t>0.8</w:t>
            </w:r>
          </w:p>
        </w:tc>
        <w:tc>
          <w:tcPr>
            <w:tcW w:w="1008" w:type="dxa"/>
            <w:tcBorders>
              <w:top w:val="nil"/>
              <w:left w:val="nil"/>
              <w:bottom w:val="nil"/>
              <w:right w:val="nil"/>
            </w:tcBorders>
            <w:shd w:val="clear" w:color="auto" w:fill="auto"/>
            <w:noWrap/>
            <w:vAlign w:val="bottom"/>
            <w:hideMark/>
          </w:tcPr>
          <w:p w:rsidR="00231ED3" w:rsidRPr="00EB2995" w:rsidRDefault="00231ED3" w:rsidP="00A70A31">
            <w:pPr>
              <w:jc w:val="right"/>
              <w:rPr>
                <w:rFonts w:cs="Calibri"/>
                <w:color w:val="000000"/>
                <w:lang w:eastAsia="en-GB"/>
              </w:rPr>
            </w:pPr>
            <w:r w:rsidRPr="00EB2995">
              <w:rPr>
                <w:rFonts w:cs="Calibri"/>
                <w:color w:val="000000"/>
                <w:lang w:eastAsia="en-GB"/>
              </w:rPr>
              <w:t>3.3</w:t>
            </w:r>
          </w:p>
        </w:tc>
        <w:tc>
          <w:tcPr>
            <w:tcW w:w="1127" w:type="dxa"/>
            <w:tcBorders>
              <w:top w:val="nil"/>
              <w:left w:val="nil"/>
              <w:bottom w:val="nil"/>
              <w:right w:val="single" w:sz="4" w:space="0" w:color="auto"/>
            </w:tcBorders>
            <w:shd w:val="clear" w:color="auto" w:fill="auto"/>
            <w:noWrap/>
            <w:vAlign w:val="bottom"/>
            <w:hideMark/>
          </w:tcPr>
          <w:p w:rsidR="00231ED3" w:rsidRPr="00EB2995" w:rsidRDefault="00231ED3" w:rsidP="00A70A31">
            <w:pPr>
              <w:jc w:val="right"/>
              <w:rPr>
                <w:rFonts w:cs="Calibri"/>
                <w:b/>
                <w:bCs/>
                <w:color w:val="000000"/>
                <w:lang w:eastAsia="en-GB"/>
              </w:rPr>
            </w:pPr>
            <w:r w:rsidRPr="00EB2995">
              <w:rPr>
                <w:rFonts w:cs="Calibri"/>
                <w:b/>
                <w:bCs/>
                <w:color w:val="000000"/>
                <w:lang w:eastAsia="en-GB"/>
              </w:rPr>
              <w:t>4.1</w:t>
            </w:r>
          </w:p>
        </w:tc>
      </w:tr>
      <w:tr w:rsidR="00231ED3" w:rsidRPr="00EB2995" w:rsidTr="00231ED3">
        <w:trPr>
          <w:trHeight w:hRule="exact" w:val="397"/>
        </w:trPr>
        <w:tc>
          <w:tcPr>
            <w:tcW w:w="940" w:type="dxa"/>
            <w:tcBorders>
              <w:top w:val="nil"/>
              <w:left w:val="single" w:sz="4" w:space="0" w:color="auto"/>
              <w:bottom w:val="nil"/>
              <w:right w:val="nil"/>
            </w:tcBorders>
            <w:shd w:val="clear" w:color="auto" w:fill="auto"/>
            <w:noWrap/>
            <w:vAlign w:val="bottom"/>
            <w:hideMark/>
          </w:tcPr>
          <w:p w:rsidR="00231ED3" w:rsidRPr="00EB2995" w:rsidRDefault="00231ED3" w:rsidP="00A70A31">
            <w:pPr>
              <w:jc w:val="right"/>
              <w:rPr>
                <w:rFonts w:cs="Calibri"/>
                <w:color w:val="000000"/>
                <w:lang w:eastAsia="en-GB"/>
              </w:rPr>
            </w:pPr>
            <w:r w:rsidRPr="00EB2995">
              <w:rPr>
                <w:rFonts w:cs="Calibri"/>
                <w:color w:val="000000"/>
                <w:lang w:eastAsia="en-GB"/>
              </w:rPr>
              <w:t>0.4</w:t>
            </w:r>
          </w:p>
        </w:tc>
        <w:tc>
          <w:tcPr>
            <w:tcW w:w="1005" w:type="dxa"/>
            <w:tcBorders>
              <w:top w:val="nil"/>
              <w:left w:val="nil"/>
              <w:bottom w:val="nil"/>
              <w:right w:val="nil"/>
            </w:tcBorders>
            <w:shd w:val="clear" w:color="auto" w:fill="auto"/>
            <w:noWrap/>
            <w:vAlign w:val="bottom"/>
            <w:hideMark/>
          </w:tcPr>
          <w:p w:rsidR="00231ED3" w:rsidRPr="00EB2995" w:rsidRDefault="00231ED3" w:rsidP="00A70A31">
            <w:pPr>
              <w:jc w:val="right"/>
              <w:rPr>
                <w:rFonts w:cs="Calibri"/>
                <w:color w:val="000000"/>
                <w:lang w:eastAsia="en-GB"/>
              </w:rPr>
            </w:pPr>
            <w:r w:rsidRPr="00EB2995">
              <w:rPr>
                <w:rFonts w:cs="Calibri"/>
                <w:color w:val="000000"/>
                <w:lang w:eastAsia="en-GB"/>
              </w:rPr>
              <w:t>0.1</w:t>
            </w:r>
          </w:p>
        </w:tc>
        <w:tc>
          <w:tcPr>
            <w:tcW w:w="1316" w:type="dxa"/>
            <w:tcBorders>
              <w:top w:val="nil"/>
              <w:left w:val="nil"/>
              <w:bottom w:val="nil"/>
              <w:right w:val="single" w:sz="4" w:space="0" w:color="auto"/>
            </w:tcBorders>
            <w:shd w:val="clear" w:color="auto" w:fill="auto"/>
            <w:noWrap/>
            <w:vAlign w:val="bottom"/>
            <w:hideMark/>
          </w:tcPr>
          <w:p w:rsidR="00231ED3" w:rsidRPr="00EB2995" w:rsidRDefault="00231ED3" w:rsidP="00A70A31">
            <w:pPr>
              <w:jc w:val="right"/>
              <w:rPr>
                <w:rFonts w:cs="Calibri"/>
                <w:b/>
                <w:bCs/>
                <w:color w:val="000000"/>
                <w:lang w:eastAsia="en-GB"/>
              </w:rPr>
            </w:pPr>
            <w:r w:rsidRPr="00EB2995">
              <w:rPr>
                <w:rFonts w:cs="Calibri"/>
                <w:b/>
                <w:bCs/>
                <w:color w:val="000000"/>
                <w:lang w:eastAsia="en-GB"/>
              </w:rPr>
              <w:t>0.4</w:t>
            </w:r>
          </w:p>
        </w:tc>
        <w:tc>
          <w:tcPr>
            <w:tcW w:w="3608" w:type="dxa"/>
            <w:tcBorders>
              <w:top w:val="nil"/>
              <w:left w:val="nil"/>
              <w:bottom w:val="nil"/>
              <w:right w:val="nil"/>
            </w:tcBorders>
            <w:shd w:val="clear" w:color="auto" w:fill="auto"/>
            <w:noWrap/>
            <w:vAlign w:val="bottom"/>
            <w:hideMark/>
          </w:tcPr>
          <w:p w:rsidR="00231ED3" w:rsidRPr="00EB2995" w:rsidRDefault="00231ED3" w:rsidP="00A70A31">
            <w:pPr>
              <w:rPr>
                <w:rFonts w:cs="Calibri"/>
                <w:color w:val="000000"/>
                <w:lang w:eastAsia="en-GB"/>
              </w:rPr>
            </w:pPr>
            <w:r w:rsidRPr="00EB2995">
              <w:rPr>
                <w:rFonts w:cs="Calibri"/>
                <w:color w:val="000000"/>
                <w:lang w:eastAsia="en-GB"/>
              </w:rPr>
              <w:t>GLA</w:t>
            </w:r>
          </w:p>
        </w:tc>
        <w:tc>
          <w:tcPr>
            <w:tcW w:w="942" w:type="dxa"/>
            <w:tcBorders>
              <w:top w:val="nil"/>
              <w:left w:val="single" w:sz="4" w:space="0" w:color="auto"/>
              <w:bottom w:val="nil"/>
              <w:right w:val="nil"/>
            </w:tcBorders>
            <w:shd w:val="clear" w:color="auto" w:fill="auto"/>
            <w:noWrap/>
            <w:vAlign w:val="bottom"/>
            <w:hideMark/>
          </w:tcPr>
          <w:p w:rsidR="00231ED3" w:rsidRPr="00EB2995" w:rsidRDefault="00231ED3" w:rsidP="00A70A31">
            <w:pPr>
              <w:jc w:val="right"/>
              <w:rPr>
                <w:rFonts w:cs="Calibri"/>
                <w:color w:val="000000"/>
                <w:lang w:eastAsia="en-GB"/>
              </w:rPr>
            </w:pPr>
            <w:r w:rsidRPr="00EB2995">
              <w:rPr>
                <w:rFonts w:cs="Calibri"/>
                <w:color w:val="000000"/>
                <w:lang w:eastAsia="en-GB"/>
              </w:rPr>
              <w:t>0.2</w:t>
            </w:r>
          </w:p>
        </w:tc>
        <w:tc>
          <w:tcPr>
            <w:tcW w:w="1008" w:type="dxa"/>
            <w:tcBorders>
              <w:top w:val="nil"/>
              <w:left w:val="nil"/>
              <w:bottom w:val="nil"/>
              <w:right w:val="nil"/>
            </w:tcBorders>
            <w:shd w:val="clear" w:color="auto" w:fill="auto"/>
            <w:noWrap/>
            <w:vAlign w:val="bottom"/>
            <w:hideMark/>
          </w:tcPr>
          <w:p w:rsidR="00231ED3" w:rsidRPr="00EB2995" w:rsidRDefault="00231ED3" w:rsidP="00A70A31">
            <w:pPr>
              <w:jc w:val="right"/>
              <w:rPr>
                <w:rFonts w:cs="Calibri"/>
                <w:color w:val="000000"/>
                <w:lang w:eastAsia="en-GB"/>
              </w:rPr>
            </w:pPr>
            <w:r w:rsidRPr="00EB2995">
              <w:rPr>
                <w:rFonts w:cs="Calibri"/>
                <w:color w:val="000000"/>
                <w:lang w:eastAsia="en-GB"/>
              </w:rPr>
              <w:t>0.7</w:t>
            </w:r>
          </w:p>
        </w:tc>
        <w:tc>
          <w:tcPr>
            <w:tcW w:w="1127" w:type="dxa"/>
            <w:tcBorders>
              <w:top w:val="nil"/>
              <w:left w:val="nil"/>
              <w:bottom w:val="nil"/>
              <w:right w:val="single" w:sz="4" w:space="0" w:color="auto"/>
            </w:tcBorders>
            <w:shd w:val="clear" w:color="auto" w:fill="auto"/>
            <w:noWrap/>
            <w:vAlign w:val="bottom"/>
            <w:hideMark/>
          </w:tcPr>
          <w:p w:rsidR="00231ED3" w:rsidRPr="00EB2995" w:rsidRDefault="00231ED3" w:rsidP="00A70A31">
            <w:pPr>
              <w:jc w:val="right"/>
              <w:rPr>
                <w:rFonts w:cs="Calibri"/>
                <w:b/>
                <w:bCs/>
                <w:color w:val="000000"/>
                <w:lang w:eastAsia="en-GB"/>
              </w:rPr>
            </w:pPr>
            <w:r w:rsidRPr="00EB2995">
              <w:rPr>
                <w:rFonts w:cs="Calibri"/>
                <w:b/>
                <w:bCs/>
                <w:color w:val="000000"/>
                <w:lang w:eastAsia="en-GB"/>
              </w:rPr>
              <w:t>0.9</w:t>
            </w:r>
          </w:p>
        </w:tc>
      </w:tr>
      <w:tr w:rsidR="00231ED3" w:rsidRPr="00EB2995" w:rsidTr="00231ED3">
        <w:trPr>
          <w:trHeight w:hRule="exact" w:val="397"/>
        </w:trPr>
        <w:tc>
          <w:tcPr>
            <w:tcW w:w="940" w:type="dxa"/>
            <w:tcBorders>
              <w:top w:val="nil"/>
              <w:left w:val="single" w:sz="4" w:space="0" w:color="auto"/>
              <w:bottom w:val="nil"/>
              <w:right w:val="nil"/>
            </w:tcBorders>
            <w:shd w:val="clear" w:color="auto" w:fill="auto"/>
            <w:noWrap/>
            <w:vAlign w:val="bottom"/>
            <w:hideMark/>
          </w:tcPr>
          <w:p w:rsidR="00231ED3" w:rsidRPr="00EB2995" w:rsidRDefault="00231ED3" w:rsidP="00A70A31">
            <w:pPr>
              <w:rPr>
                <w:rFonts w:cs="Calibri"/>
                <w:color w:val="FF0000"/>
                <w:lang w:eastAsia="en-GB"/>
              </w:rPr>
            </w:pPr>
            <w:r w:rsidRPr="00EB2995">
              <w:rPr>
                <w:rFonts w:cs="Calibri"/>
                <w:color w:val="FF0000"/>
                <w:lang w:eastAsia="en-GB"/>
              </w:rPr>
              <w:t> </w:t>
            </w:r>
          </w:p>
        </w:tc>
        <w:tc>
          <w:tcPr>
            <w:tcW w:w="1005" w:type="dxa"/>
            <w:tcBorders>
              <w:top w:val="nil"/>
              <w:left w:val="nil"/>
              <w:bottom w:val="nil"/>
              <w:right w:val="nil"/>
            </w:tcBorders>
            <w:shd w:val="clear" w:color="auto" w:fill="auto"/>
            <w:noWrap/>
            <w:vAlign w:val="bottom"/>
            <w:hideMark/>
          </w:tcPr>
          <w:p w:rsidR="00231ED3" w:rsidRPr="00EB2995" w:rsidRDefault="00231ED3" w:rsidP="00A70A31">
            <w:pPr>
              <w:jc w:val="right"/>
              <w:rPr>
                <w:rFonts w:cs="Calibri"/>
                <w:color w:val="000000"/>
                <w:lang w:eastAsia="en-GB"/>
              </w:rPr>
            </w:pPr>
            <w:r w:rsidRPr="00EB2995">
              <w:rPr>
                <w:rFonts w:cs="Calibri"/>
                <w:color w:val="000000"/>
                <w:lang w:eastAsia="en-GB"/>
              </w:rPr>
              <w:t>0.1</w:t>
            </w:r>
          </w:p>
        </w:tc>
        <w:tc>
          <w:tcPr>
            <w:tcW w:w="1316" w:type="dxa"/>
            <w:tcBorders>
              <w:top w:val="nil"/>
              <w:left w:val="nil"/>
              <w:bottom w:val="nil"/>
              <w:right w:val="single" w:sz="4" w:space="0" w:color="auto"/>
            </w:tcBorders>
            <w:shd w:val="clear" w:color="auto" w:fill="auto"/>
            <w:noWrap/>
            <w:vAlign w:val="bottom"/>
            <w:hideMark/>
          </w:tcPr>
          <w:p w:rsidR="00231ED3" w:rsidRPr="00EB2995" w:rsidRDefault="00231ED3" w:rsidP="00A70A31">
            <w:pPr>
              <w:jc w:val="right"/>
              <w:rPr>
                <w:rFonts w:cs="Calibri"/>
                <w:b/>
                <w:bCs/>
                <w:color w:val="000000"/>
                <w:lang w:eastAsia="en-GB"/>
              </w:rPr>
            </w:pPr>
            <w:r w:rsidRPr="00EB2995">
              <w:rPr>
                <w:rFonts w:cs="Calibri"/>
                <w:b/>
                <w:bCs/>
                <w:color w:val="000000"/>
                <w:lang w:eastAsia="en-GB"/>
              </w:rPr>
              <w:t>0.1</w:t>
            </w:r>
          </w:p>
        </w:tc>
        <w:tc>
          <w:tcPr>
            <w:tcW w:w="3608" w:type="dxa"/>
            <w:tcBorders>
              <w:top w:val="nil"/>
              <w:left w:val="nil"/>
              <w:bottom w:val="nil"/>
              <w:right w:val="nil"/>
            </w:tcBorders>
            <w:shd w:val="clear" w:color="auto" w:fill="auto"/>
            <w:noWrap/>
            <w:vAlign w:val="bottom"/>
            <w:hideMark/>
          </w:tcPr>
          <w:p w:rsidR="00231ED3" w:rsidRPr="00EB2995" w:rsidRDefault="00231ED3" w:rsidP="00A70A31">
            <w:pPr>
              <w:rPr>
                <w:rFonts w:cs="Calibri"/>
                <w:color w:val="000000"/>
                <w:lang w:eastAsia="en-GB"/>
              </w:rPr>
            </w:pPr>
            <w:r w:rsidRPr="00EB2995">
              <w:rPr>
                <w:rFonts w:cs="Calibri"/>
                <w:color w:val="000000"/>
                <w:lang w:eastAsia="en-GB"/>
              </w:rPr>
              <w:t>Central Government</w:t>
            </w:r>
          </w:p>
        </w:tc>
        <w:tc>
          <w:tcPr>
            <w:tcW w:w="942" w:type="dxa"/>
            <w:tcBorders>
              <w:top w:val="nil"/>
              <w:left w:val="single" w:sz="4" w:space="0" w:color="auto"/>
              <w:bottom w:val="nil"/>
              <w:right w:val="nil"/>
            </w:tcBorders>
            <w:shd w:val="clear" w:color="auto" w:fill="auto"/>
            <w:noWrap/>
            <w:vAlign w:val="bottom"/>
            <w:hideMark/>
          </w:tcPr>
          <w:p w:rsidR="00231ED3" w:rsidRPr="00EB2995" w:rsidRDefault="00231ED3" w:rsidP="00A70A31">
            <w:pPr>
              <w:rPr>
                <w:rFonts w:cs="Calibri"/>
                <w:color w:val="FF0000"/>
                <w:lang w:eastAsia="en-GB"/>
              </w:rPr>
            </w:pPr>
            <w:r w:rsidRPr="00EB2995">
              <w:rPr>
                <w:rFonts w:cs="Calibri"/>
                <w:color w:val="FF0000"/>
                <w:lang w:eastAsia="en-GB"/>
              </w:rPr>
              <w:t> </w:t>
            </w:r>
          </w:p>
        </w:tc>
        <w:tc>
          <w:tcPr>
            <w:tcW w:w="1008" w:type="dxa"/>
            <w:tcBorders>
              <w:top w:val="nil"/>
              <w:left w:val="nil"/>
              <w:bottom w:val="nil"/>
              <w:right w:val="nil"/>
            </w:tcBorders>
            <w:shd w:val="clear" w:color="auto" w:fill="auto"/>
            <w:noWrap/>
            <w:vAlign w:val="bottom"/>
            <w:hideMark/>
          </w:tcPr>
          <w:p w:rsidR="00231ED3" w:rsidRPr="00EB2995" w:rsidRDefault="00231ED3" w:rsidP="00A70A31">
            <w:pPr>
              <w:jc w:val="right"/>
              <w:rPr>
                <w:rFonts w:cs="Calibri"/>
                <w:color w:val="000000"/>
                <w:lang w:eastAsia="en-GB"/>
              </w:rPr>
            </w:pPr>
            <w:r w:rsidRPr="00EB2995">
              <w:rPr>
                <w:rFonts w:cs="Calibri"/>
                <w:color w:val="000000"/>
                <w:lang w:eastAsia="en-GB"/>
              </w:rPr>
              <w:t>(2.0)</w:t>
            </w:r>
          </w:p>
        </w:tc>
        <w:tc>
          <w:tcPr>
            <w:tcW w:w="1127" w:type="dxa"/>
            <w:tcBorders>
              <w:top w:val="nil"/>
              <w:left w:val="nil"/>
              <w:bottom w:val="nil"/>
              <w:right w:val="single" w:sz="4" w:space="0" w:color="auto"/>
            </w:tcBorders>
            <w:shd w:val="clear" w:color="auto" w:fill="auto"/>
            <w:noWrap/>
            <w:vAlign w:val="bottom"/>
            <w:hideMark/>
          </w:tcPr>
          <w:p w:rsidR="00231ED3" w:rsidRPr="00EB2995" w:rsidRDefault="00231ED3" w:rsidP="00A70A31">
            <w:pPr>
              <w:jc w:val="right"/>
              <w:rPr>
                <w:rFonts w:cs="Calibri"/>
                <w:b/>
                <w:bCs/>
                <w:color w:val="000000"/>
                <w:lang w:eastAsia="en-GB"/>
              </w:rPr>
            </w:pPr>
            <w:r w:rsidRPr="00EB2995">
              <w:rPr>
                <w:rFonts w:cs="Calibri"/>
                <w:b/>
                <w:bCs/>
                <w:color w:val="000000"/>
                <w:lang w:eastAsia="en-GB"/>
              </w:rPr>
              <w:t>(2.0)</w:t>
            </w:r>
          </w:p>
        </w:tc>
      </w:tr>
      <w:tr w:rsidR="00231ED3" w:rsidRPr="00EB2995" w:rsidTr="00231ED3">
        <w:trPr>
          <w:trHeight w:hRule="exact" w:val="397"/>
        </w:trPr>
        <w:tc>
          <w:tcPr>
            <w:tcW w:w="940" w:type="dxa"/>
            <w:tcBorders>
              <w:top w:val="nil"/>
              <w:left w:val="single" w:sz="4" w:space="0" w:color="auto"/>
              <w:bottom w:val="nil"/>
              <w:right w:val="nil"/>
            </w:tcBorders>
            <w:shd w:val="clear" w:color="auto" w:fill="auto"/>
            <w:noWrap/>
            <w:vAlign w:val="bottom"/>
            <w:hideMark/>
          </w:tcPr>
          <w:p w:rsidR="00231ED3" w:rsidRPr="00EB2995" w:rsidRDefault="00231ED3" w:rsidP="00A70A31">
            <w:pPr>
              <w:rPr>
                <w:rFonts w:cs="Calibri"/>
                <w:color w:val="000000"/>
                <w:lang w:eastAsia="en-GB"/>
              </w:rPr>
            </w:pPr>
            <w:r w:rsidRPr="00EB2995">
              <w:rPr>
                <w:rFonts w:cs="Calibri"/>
                <w:color w:val="000000"/>
                <w:lang w:eastAsia="en-GB"/>
              </w:rPr>
              <w:t> </w:t>
            </w:r>
          </w:p>
        </w:tc>
        <w:tc>
          <w:tcPr>
            <w:tcW w:w="1005" w:type="dxa"/>
            <w:tcBorders>
              <w:top w:val="nil"/>
              <w:left w:val="nil"/>
              <w:bottom w:val="nil"/>
              <w:right w:val="nil"/>
            </w:tcBorders>
            <w:shd w:val="clear" w:color="auto" w:fill="auto"/>
            <w:noWrap/>
            <w:vAlign w:val="bottom"/>
            <w:hideMark/>
          </w:tcPr>
          <w:p w:rsidR="00231ED3" w:rsidRPr="00EB2995" w:rsidRDefault="00231ED3" w:rsidP="00A70A31">
            <w:pPr>
              <w:rPr>
                <w:rFonts w:cs="Calibri"/>
                <w:color w:val="000000"/>
                <w:lang w:eastAsia="en-GB"/>
              </w:rPr>
            </w:pPr>
          </w:p>
        </w:tc>
        <w:tc>
          <w:tcPr>
            <w:tcW w:w="1316" w:type="dxa"/>
            <w:tcBorders>
              <w:top w:val="nil"/>
              <w:left w:val="nil"/>
              <w:bottom w:val="nil"/>
              <w:right w:val="single" w:sz="4" w:space="0" w:color="auto"/>
            </w:tcBorders>
            <w:shd w:val="clear" w:color="auto" w:fill="auto"/>
            <w:noWrap/>
            <w:vAlign w:val="bottom"/>
            <w:hideMark/>
          </w:tcPr>
          <w:p w:rsidR="00231ED3" w:rsidRPr="00EB2995" w:rsidRDefault="00231ED3" w:rsidP="00A70A31">
            <w:pPr>
              <w:rPr>
                <w:rFonts w:cs="Calibri"/>
                <w:b/>
                <w:bCs/>
                <w:color w:val="000000"/>
                <w:lang w:eastAsia="en-GB"/>
              </w:rPr>
            </w:pPr>
            <w:r w:rsidRPr="00EB2995">
              <w:rPr>
                <w:rFonts w:cs="Calibri"/>
                <w:b/>
                <w:bCs/>
                <w:color w:val="000000"/>
                <w:lang w:eastAsia="en-GB"/>
              </w:rPr>
              <w:t> </w:t>
            </w:r>
          </w:p>
        </w:tc>
        <w:tc>
          <w:tcPr>
            <w:tcW w:w="3608" w:type="dxa"/>
            <w:tcBorders>
              <w:top w:val="nil"/>
              <w:left w:val="nil"/>
              <w:bottom w:val="nil"/>
              <w:right w:val="nil"/>
            </w:tcBorders>
            <w:shd w:val="clear" w:color="auto" w:fill="auto"/>
            <w:noWrap/>
            <w:vAlign w:val="bottom"/>
            <w:hideMark/>
          </w:tcPr>
          <w:p w:rsidR="00231ED3" w:rsidRPr="00EB2995" w:rsidRDefault="00231ED3" w:rsidP="00A70A31">
            <w:pPr>
              <w:rPr>
                <w:rFonts w:cs="Calibri"/>
                <w:b/>
                <w:bCs/>
                <w:color w:val="000000"/>
                <w:lang w:eastAsia="en-GB"/>
              </w:rPr>
            </w:pPr>
          </w:p>
        </w:tc>
        <w:tc>
          <w:tcPr>
            <w:tcW w:w="942" w:type="dxa"/>
            <w:tcBorders>
              <w:top w:val="nil"/>
              <w:left w:val="single" w:sz="4" w:space="0" w:color="auto"/>
              <w:bottom w:val="nil"/>
              <w:right w:val="nil"/>
            </w:tcBorders>
            <w:shd w:val="clear" w:color="auto" w:fill="auto"/>
            <w:noWrap/>
            <w:vAlign w:val="bottom"/>
            <w:hideMark/>
          </w:tcPr>
          <w:p w:rsidR="00231ED3" w:rsidRPr="00EB2995" w:rsidRDefault="00231ED3" w:rsidP="00A70A31">
            <w:pPr>
              <w:rPr>
                <w:rFonts w:cs="Calibri"/>
                <w:color w:val="000000"/>
                <w:lang w:eastAsia="en-GB"/>
              </w:rPr>
            </w:pPr>
            <w:r w:rsidRPr="00EB2995">
              <w:rPr>
                <w:rFonts w:cs="Calibri"/>
                <w:color w:val="000000"/>
                <w:lang w:eastAsia="en-GB"/>
              </w:rPr>
              <w:t> </w:t>
            </w:r>
          </w:p>
        </w:tc>
        <w:tc>
          <w:tcPr>
            <w:tcW w:w="1008" w:type="dxa"/>
            <w:tcBorders>
              <w:top w:val="nil"/>
              <w:left w:val="nil"/>
              <w:bottom w:val="nil"/>
              <w:right w:val="nil"/>
            </w:tcBorders>
            <w:shd w:val="clear" w:color="auto" w:fill="auto"/>
            <w:noWrap/>
            <w:vAlign w:val="bottom"/>
            <w:hideMark/>
          </w:tcPr>
          <w:p w:rsidR="00231ED3" w:rsidRPr="00EB2995" w:rsidRDefault="00231ED3" w:rsidP="00A70A31">
            <w:pPr>
              <w:rPr>
                <w:rFonts w:cs="Calibri"/>
                <w:color w:val="000000"/>
                <w:lang w:eastAsia="en-GB"/>
              </w:rPr>
            </w:pPr>
          </w:p>
        </w:tc>
        <w:tc>
          <w:tcPr>
            <w:tcW w:w="1127" w:type="dxa"/>
            <w:tcBorders>
              <w:top w:val="nil"/>
              <w:left w:val="nil"/>
              <w:bottom w:val="nil"/>
              <w:right w:val="single" w:sz="4" w:space="0" w:color="auto"/>
            </w:tcBorders>
            <w:shd w:val="clear" w:color="auto" w:fill="auto"/>
            <w:noWrap/>
            <w:vAlign w:val="bottom"/>
            <w:hideMark/>
          </w:tcPr>
          <w:p w:rsidR="00231ED3" w:rsidRPr="00EB2995" w:rsidRDefault="00231ED3" w:rsidP="00A70A31">
            <w:pPr>
              <w:rPr>
                <w:rFonts w:cs="Calibri"/>
                <w:b/>
                <w:bCs/>
                <w:color w:val="000000"/>
                <w:lang w:eastAsia="en-GB"/>
              </w:rPr>
            </w:pPr>
            <w:r w:rsidRPr="00EB2995">
              <w:rPr>
                <w:rFonts w:cs="Calibri"/>
                <w:b/>
                <w:bCs/>
                <w:color w:val="000000"/>
                <w:lang w:eastAsia="en-GB"/>
              </w:rPr>
              <w:t> </w:t>
            </w:r>
          </w:p>
        </w:tc>
      </w:tr>
      <w:tr w:rsidR="00231ED3" w:rsidRPr="00EB2995" w:rsidTr="00231ED3">
        <w:trPr>
          <w:trHeight w:hRule="exact" w:val="397"/>
        </w:trPr>
        <w:tc>
          <w:tcPr>
            <w:tcW w:w="940" w:type="dxa"/>
            <w:tcBorders>
              <w:top w:val="nil"/>
              <w:left w:val="single" w:sz="4" w:space="0" w:color="auto"/>
              <w:bottom w:val="nil"/>
              <w:right w:val="nil"/>
            </w:tcBorders>
            <w:shd w:val="clear" w:color="auto" w:fill="auto"/>
            <w:noWrap/>
            <w:vAlign w:val="bottom"/>
            <w:hideMark/>
          </w:tcPr>
          <w:p w:rsidR="00231ED3" w:rsidRPr="00EB2995" w:rsidRDefault="00231ED3" w:rsidP="00A70A31">
            <w:pPr>
              <w:rPr>
                <w:rFonts w:cs="Calibri"/>
                <w:color w:val="000000"/>
                <w:lang w:eastAsia="en-GB"/>
              </w:rPr>
            </w:pPr>
            <w:r w:rsidRPr="00EB2995">
              <w:rPr>
                <w:rFonts w:cs="Calibri"/>
                <w:color w:val="000000"/>
                <w:lang w:eastAsia="en-GB"/>
              </w:rPr>
              <w:t> </w:t>
            </w:r>
          </w:p>
        </w:tc>
        <w:tc>
          <w:tcPr>
            <w:tcW w:w="1005" w:type="dxa"/>
            <w:tcBorders>
              <w:top w:val="nil"/>
              <w:left w:val="nil"/>
              <w:bottom w:val="nil"/>
              <w:right w:val="nil"/>
            </w:tcBorders>
            <w:shd w:val="clear" w:color="auto" w:fill="auto"/>
            <w:noWrap/>
            <w:vAlign w:val="bottom"/>
            <w:hideMark/>
          </w:tcPr>
          <w:p w:rsidR="00231ED3" w:rsidRPr="00EB2995" w:rsidRDefault="00231ED3" w:rsidP="00A70A31">
            <w:pPr>
              <w:rPr>
                <w:rFonts w:cs="Calibri"/>
                <w:color w:val="000000"/>
                <w:lang w:eastAsia="en-GB"/>
              </w:rPr>
            </w:pPr>
          </w:p>
        </w:tc>
        <w:tc>
          <w:tcPr>
            <w:tcW w:w="1316" w:type="dxa"/>
            <w:tcBorders>
              <w:top w:val="nil"/>
              <w:left w:val="nil"/>
              <w:bottom w:val="nil"/>
              <w:right w:val="single" w:sz="4" w:space="0" w:color="auto"/>
            </w:tcBorders>
            <w:shd w:val="clear" w:color="auto" w:fill="auto"/>
            <w:noWrap/>
            <w:vAlign w:val="bottom"/>
            <w:hideMark/>
          </w:tcPr>
          <w:p w:rsidR="00231ED3" w:rsidRPr="00EB2995" w:rsidRDefault="00231ED3" w:rsidP="00A70A31">
            <w:pPr>
              <w:rPr>
                <w:rFonts w:cs="Calibri"/>
                <w:b/>
                <w:bCs/>
                <w:color w:val="000000"/>
                <w:lang w:eastAsia="en-GB"/>
              </w:rPr>
            </w:pPr>
            <w:r w:rsidRPr="00EB2995">
              <w:rPr>
                <w:rFonts w:cs="Calibri"/>
                <w:b/>
                <w:bCs/>
                <w:color w:val="000000"/>
                <w:lang w:eastAsia="en-GB"/>
              </w:rPr>
              <w:t> </w:t>
            </w:r>
          </w:p>
        </w:tc>
        <w:tc>
          <w:tcPr>
            <w:tcW w:w="3608" w:type="dxa"/>
            <w:tcBorders>
              <w:top w:val="nil"/>
              <w:left w:val="nil"/>
              <w:bottom w:val="nil"/>
              <w:right w:val="nil"/>
            </w:tcBorders>
            <w:shd w:val="clear" w:color="auto" w:fill="auto"/>
            <w:noWrap/>
            <w:vAlign w:val="bottom"/>
            <w:hideMark/>
          </w:tcPr>
          <w:p w:rsidR="00231ED3" w:rsidRPr="00EB2995" w:rsidRDefault="00231ED3" w:rsidP="00A70A31">
            <w:pPr>
              <w:rPr>
                <w:rFonts w:cs="Calibri"/>
                <w:b/>
                <w:bCs/>
                <w:color w:val="000000"/>
                <w:lang w:eastAsia="en-GB"/>
              </w:rPr>
            </w:pPr>
            <w:r w:rsidRPr="00EB2995">
              <w:rPr>
                <w:rFonts w:cs="Calibri"/>
                <w:b/>
                <w:bCs/>
                <w:color w:val="000000"/>
                <w:lang w:eastAsia="en-GB"/>
              </w:rPr>
              <w:t>Charges to the fund</w:t>
            </w:r>
          </w:p>
        </w:tc>
        <w:tc>
          <w:tcPr>
            <w:tcW w:w="942" w:type="dxa"/>
            <w:tcBorders>
              <w:top w:val="nil"/>
              <w:left w:val="single" w:sz="4" w:space="0" w:color="auto"/>
              <w:bottom w:val="nil"/>
              <w:right w:val="nil"/>
            </w:tcBorders>
            <w:shd w:val="clear" w:color="auto" w:fill="auto"/>
            <w:noWrap/>
            <w:vAlign w:val="bottom"/>
            <w:hideMark/>
          </w:tcPr>
          <w:p w:rsidR="00231ED3" w:rsidRPr="00EB2995" w:rsidRDefault="00231ED3" w:rsidP="00A70A31">
            <w:pPr>
              <w:rPr>
                <w:rFonts w:cs="Calibri"/>
                <w:color w:val="000000"/>
                <w:lang w:eastAsia="en-GB"/>
              </w:rPr>
            </w:pPr>
            <w:r w:rsidRPr="00EB2995">
              <w:rPr>
                <w:rFonts w:cs="Calibri"/>
                <w:color w:val="000000"/>
                <w:lang w:eastAsia="en-GB"/>
              </w:rPr>
              <w:t> </w:t>
            </w:r>
          </w:p>
        </w:tc>
        <w:tc>
          <w:tcPr>
            <w:tcW w:w="1008" w:type="dxa"/>
            <w:tcBorders>
              <w:top w:val="nil"/>
              <w:left w:val="nil"/>
              <w:bottom w:val="nil"/>
              <w:right w:val="nil"/>
            </w:tcBorders>
            <w:shd w:val="clear" w:color="auto" w:fill="auto"/>
            <w:noWrap/>
            <w:vAlign w:val="bottom"/>
            <w:hideMark/>
          </w:tcPr>
          <w:p w:rsidR="00231ED3" w:rsidRPr="00EB2995" w:rsidRDefault="00231ED3" w:rsidP="00A70A31">
            <w:pPr>
              <w:rPr>
                <w:rFonts w:cs="Calibri"/>
                <w:color w:val="000000"/>
                <w:lang w:eastAsia="en-GB"/>
              </w:rPr>
            </w:pPr>
          </w:p>
        </w:tc>
        <w:tc>
          <w:tcPr>
            <w:tcW w:w="1127" w:type="dxa"/>
            <w:tcBorders>
              <w:top w:val="nil"/>
              <w:left w:val="nil"/>
              <w:bottom w:val="nil"/>
              <w:right w:val="single" w:sz="4" w:space="0" w:color="auto"/>
            </w:tcBorders>
            <w:shd w:val="clear" w:color="auto" w:fill="auto"/>
            <w:noWrap/>
            <w:vAlign w:val="bottom"/>
            <w:hideMark/>
          </w:tcPr>
          <w:p w:rsidR="00231ED3" w:rsidRPr="00EB2995" w:rsidRDefault="00231ED3" w:rsidP="00A70A31">
            <w:pPr>
              <w:rPr>
                <w:rFonts w:cs="Calibri"/>
                <w:b/>
                <w:bCs/>
                <w:color w:val="000000"/>
                <w:lang w:eastAsia="en-GB"/>
              </w:rPr>
            </w:pPr>
            <w:r w:rsidRPr="00EB2995">
              <w:rPr>
                <w:rFonts w:cs="Calibri"/>
                <w:b/>
                <w:bCs/>
                <w:color w:val="000000"/>
                <w:lang w:eastAsia="en-GB"/>
              </w:rPr>
              <w:t> </w:t>
            </w:r>
          </w:p>
        </w:tc>
      </w:tr>
      <w:tr w:rsidR="00231ED3" w:rsidRPr="00EB2995" w:rsidTr="00231ED3">
        <w:trPr>
          <w:trHeight w:hRule="exact" w:val="397"/>
        </w:trPr>
        <w:tc>
          <w:tcPr>
            <w:tcW w:w="940" w:type="dxa"/>
            <w:tcBorders>
              <w:top w:val="nil"/>
              <w:left w:val="single" w:sz="4" w:space="0" w:color="auto"/>
              <w:bottom w:val="nil"/>
              <w:right w:val="nil"/>
            </w:tcBorders>
            <w:shd w:val="clear" w:color="auto" w:fill="auto"/>
            <w:noWrap/>
            <w:vAlign w:val="bottom"/>
            <w:hideMark/>
          </w:tcPr>
          <w:p w:rsidR="00231ED3" w:rsidRPr="00EB2995" w:rsidRDefault="00231ED3" w:rsidP="00A70A31">
            <w:pPr>
              <w:jc w:val="right"/>
              <w:rPr>
                <w:rFonts w:cs="Calibri"/>
                <w:color w:val="000000"/>
                <w:lang w:eastAsia="en-GB"/>
              </w:rPr>
            </w:pPr>
            <w:r w:rsidRPr="00EB2995">
              <w:rPr>
                <w:rFonts w:cs="Calibri"/>
                <w:color w:val="000000"/>
                <w:lang w:eastAsia="en-GB"/>
              </w:rPr>
              <w:t>(1.9)</w:t>
            </w:r>
          </w:p>
        </w:tc>
        <w:tc>
          <w:tcPr>
            <w:tcW w:w="1005" w:type="dxa"/>
            <w:tcBorders>
              <w:top w:val="nil"/>
              <w:left w:val="nil"/>
              <w:bottom w:val="nil"/>
              <w:right w:val="nil"/>
            </w:tcBorders>
            <w:shd w:val="clear" w:color="auto" w:fill="auto"/>
            <w:noWrap/>
            <w:vAlign w:val="bottom"/>
            <w:hideMark/>
          </w:tcPr>
          <w:p w:rsidR="00231ED3" w:rsidRPr="00EB2995" w:rsidRDefault="00231ED3" w:rsidP="00A70A31">
            <w:pPr>
              <w:jc w:val="right"/>
              <w:rPr>
                <w:rFonts w:cs="Calibri"/>
                <w:color w:val="000000"/>
                <w:lang w:eastAsia="en-GB"/>
              </w:rPr>
            </w:pPr>
            <w:r w:rsidRPr="00EB2995">
              <w:rPr>
                <w:rFonts w:cs="Calibri"/>
                <w:color w:val="000000"/>
                <w:lang w:eastAsia="en-GB"/>
              </w:rPr>
              <w:t>(6.8)</w:t>
            </w:r>
          </w:p>
        </w:tc>
        <w:tc>
          <w:tcPr>
            <w:tcW w:w="1316" w:type="dxa"/>
            <w:tcBorders>
              <w:top w:val="nil"/>
              <w:left w:val="nil"/>
              <w:bottom w:val="nil"/>
              <w:right w:val="single" w:sz="4" w:space="0" w:color="auto"/>
            </w:tcBorders>
            <w:shd w:val="clear" w:color="auto" w:fill="auto"/>
            <w:noWrap/>
            <w:vAlign w:val="bottom"/>
            <w:hideMark/>
          </w:tcPr>
          <w:p w:rsidR="00231ED3" w:rsidRPr="00EB2995" w:rsidRDefault="00231ED3" w:rsidP="00A70A31">
            <w:pPr>
              <w:jc w:val="right"/>
              <w:rPr>
                <w:rFonts w:cs="Calibri"/>
                <w:b/>
                <w:bCs/>
                <w:color w:val="000000"/>
                <w:lang w:eastAsia="en-GB"/>
              </w:rPr>
            </w:pPr>
            <w:r w:rsidRPr="00EB2995">
              <w:rPr>
                <w:rFonts w:cs="Calibri"/>
                <w:b/>
                <w:bCs/>
                <w:color w:val="000000"/>
                <w:lang w:eastAsia="en-GB"/>
              </w:rPr>
              <w:t>(8.7)</w:t>
            </w:r>
          </w:p>
        </w:tc>
        <w:tc>
          <w:tcPr>
            <w:tcW w:w="3608" w:type="dxa"/>
            <w:tcBorders>
              <w:top w:val="nil"/>
              <w:left w:val="nil"/>
              <w:bottom w:val="nil"/>
              <w:right w:val="nil"/>
            </w:tcBorders>
            <w:shd w:val="clear" w:color="auto" w:fill="auto"/>
            <w:noWrap/>
            <w:vAlign w:val="bottom"/>
            <w:hideMark/>
          </w:tcPr>
          <w:p w:rsidR="00231ED3" w:rsidRPr="00EB2995" w:rsidRDefault="00231ED3" w:rsidP="00A70A31">
            <w:pPr>
              <w:rPr>
                <w:rFonts w:cs="Calibri"/>
                <w:color w:val="000000"/>
                <w:lang w:eastAsia="en-GB"/>
              </w:rPr>
            </w:pPr>
            <w:r w:rsidRPr="00EB2995">
              <w:rPr>
                <w:rFonts w:cs="Calibri"/>
                <w:color w:val="000000"/>
                <w:lang w:eastAsia="en-GB"/>
              </w:rPr>
              <w:t>Provisions for uncollectable amounts</w:t>
            </w:r>
          </w:p>
        </w:tc>
        <w:tc>
          <w:tcPr>
            <w:tcW w:w="942" w:type="dxa"/>
            <w:tcBorders>
              <w:top w:val="nil"/>
              <w:left w:val="single" w:sz="4" w:space="0" w:color="auto"/>
              <w:bottom w:val="nil"/>
              <w:right w:val="nil"/>
            </w:tcBorders>
            <w:shd w:val="clear" w:color="auto" w:fill="auto"/>
            <w:noWrap/>
            <w:vAlign w:val="bottom"/>
            <w:hideMark/>
          </w:tcPr>
          <w:p w:rsidR="00231ED3" w:rsidRPr="00EB2995" w:rsidRDefault="00231ED3" w:rsidP="00A70A31">
            <w:pPr>
              <w:jc w:val="right"/>
              <w:rPr>
                <w:rFonts w:cs="Calibri"/>
                <w:color w:val="000000"/>
                <w:lang w:eastAsia="en-GB"/>
              </w:rPr>
            </w:pPr>
            <w:r w:rsidRPr="00EB2995">
              <w:rPr>
                <w:rFonts w:cs="Calibri"/>
                <w:color w:val="000000"/>
                <w:lang w:eastAsia="en-GB"/>
              </w:rPr>
              <w:t>0.5</w:t>
            </w:r>
          </w:p>
        </w:tc>
        <w:tc>
          <w:tcPr>
            <w:tcW w:w="1008" w:type="dxa"/>
            <w:tcBorders>
              <w:top w:val="nil"/>
              <w:left w:val="nil"/>
              <w:bottom w:val="nil"/>
              <w:right w:val="nil"/>
            </w:tcBorders>
            <w:shd w:val="clear" w:color="auto" w:fill="auto"/>
            <w:noWrap/>
            <w:vAlign w:val="bottom"/>
            <w:hideMark/>
          </w:tcPr>
          <w:p w:rsidR="00231ED3" w:rsidRPr="00EB2995" w:rsidRDefault="00231ED3" w:rsidP="00A70A31">
            <w:pPr>
              <w:jc w:val="right"/>
              <w:rPr>
                <w:rFonts w:cs="Calibri"/>
                <w:color w:val="000000"/>
                <w:lang w:eastAsia="en-GB"/>
              </w:rPr>
            </w:pPr>
            <w:r w:rsidRPr="00EB2995">
              <w:rPr>
                <w:rFonts w:cs="Calibri"/>
                <w:color w:val="000000"/>
                <w:lang w:eastAsia="en-GB"/>
              </w:rPr>
              <w:t>(3.0)</w:t>
            </w:r>
          </w:p>
        </w:tc>
        <w:tc>
          <w:tcPr>
            <w:tcW w:w="1127" w:type="dxa"/>
            <w:tcBorders>
              <w:top w:val="nil"/>
              <w:left w:val="nil"/>
              <w:bottom w:val="nil"/>
              <w:right w:val="single" w:sz="4" w:space="0" w:color="auto"/>
            </w:tcBorders>
            <w:shd w:val="clear" w:color="auto" w:fill="auto"/>
            <w:noWrap/>
            <w:vAlign w:val="bottom"/>
            <w:hideMark/>
          </w:tcPr>
          <w:p w:rsidR="00231ED3" w:rsidRPr="00EB2995" w:rsidRDefault="00231ED3" w:rsidP="00A70A31">
            <w:pPr>
              <w:jc w:val="right"/>
              <w:rPr>
                <w:rFonts w:cs="Calibri"/>
                <w:b/>
                <w:bCs/>
                <w:color w:val="000000"/>
                <w:lang w:eastAsia="en-GB"/>
              </w:rPr>
            </w:pPr>
            <w:r w:rsidRPr="00EB2995">
              <w:rPr>
                <w:rFonts w:cs="Calibri"/>
                <w:b/>
                <w:bCs/>
                <w:color w:val="000000"/>
                <w:lang w:eastAsia="en-GB"/>
              </w:rPr>
              <w:t>(2.5)</w:t>
            </w:r>
          </w:p>
        </w:tc>
      </w:tr>
      <w:tr w:rsidR="00231ED3" w:rsidRPr="00EB2995" w:rsidTr="00231ED3">
        <w:trPr>
          <w:trHeight w:hRule="exact" w:val="397"/>
        </w:trPr>
        <w:tc>
          <w:tcPr>
            <w:tcW w:w="940" w:type="dxa"/>
            <w:tcBorders>
              <w:top w:val="nil"/>
              <w:left w:val="single" w:sz="4" w:space="0" w:color="auto"/>
              <w:bottom w:val="nil"/>
              <w:right w:val="nil"/>
            </w:tcBorders>
            <w:shd w:val="clear" w:color="auto" w:fill="auto"/>
            <w:noWrap/>
            <w:vAlign w:val="bottom"/>
            <w:hideMark/>
          </w:tcPr>
          <w:p w:rsidR="00231ED3" w:rsidRPr="00EB2995" w:rsidRDefault="00231ED3" w:rsidP="00A70A31">
            <w:pPr>
              <w:jc w:val="right"/>
              <w:rPr>
                <w:rFonts w:cs="Calibri"/>
                <w:color w:val="000000"/>
                <w:lang w:eastAsia="en-GB"/>
              </w:rPr>
            </w:pPr>
            <w:r w:rsidRPr="00EB2995">
              <w:rPr>
                <w:rFonts w:cs="Calibri"/>
                <w:color w:val="000000"/>
                <w:lang w:eastAsia="en-GB"/>
              </w:rPr>
              <w:t>0.0</w:t>
            </w:r>
          </w:p>
        </w:tc>
        <w:tc>
          <w:tcPr>
            <w:tcW w:w="1005" w:type="dxa"/>
            <w:tcBorders>
              <w:top w:val="nil"/>
              <w:left w:val="nil"/>
              <w:bottom w:val="nil"/>
              <w:right w:val="nil"/>
            </w:tcBorders>
            <w:shd w:val="clear" w:color="auto" w:fill="auto"/>
            <w:noWrap/>
            <w:vAlign w:val="bottom"/>
            <w:hideMark/>
          </w:tcPr>
          <w:p w:rsidR="00231ED3" w:rsidRPr="00EB2995" w:rsidRDefault="00231ED3" w:rsidP="00A70A31">
            <w:pPr>
              <w:jc w:val="right"/>
              <w:rPr>
                <w:rFonts w:cs="Calibri"/>
                <w:color w:val="000000"/>
                <w:lang w:eastAsia="en-GB"/>
              </w:rPr>
            </w:pPr>
            <w:r w:rsidRPr="00EB2995">
              <w:rPr>
                <w:rFonts w:cs="Calibri"/>
                <w:color w:val="000000"/>
                <w:lang w:eastAsia="en-GB"/>
              </w:rPr>
              <w:t>0.0</w:t>
            </w:r>
          </w:p>
        </w:tc>
        <w:tc>
          <w:tcPr>
            <w:tcW w:w="1316" w:type="dxa"/>
            <w:tcBorders>
              <w:top w:val="nil"/>
              <w:left w:val="nil"/>
              <w:bottom w:val="nil"/>
              <w:right w:val="single" w:sz="4" w:space="0" w:color="auto"/>
            </w:tcBorders>
            <w:shd w:val="clear" w:color="auto" w:fill="auto"/>
            <w:noWrap/>
            <w:vAlign w:val="bottom"/>
            <w:hideMark/>
          </w:tcPr>
          <w:p w:rsidR="00231ED3" w:rsidRPr="00EB2995" w:rsidRDefault="00231ED3" w:rsidP="00A70A31">
            <w:pPr>
              <w:jc w:val="right"/>
              <w:rPr>
                <w:rFonts w:cs="Calibri"/>
                <w:b/>
                <w:bCs/>
                <w:color w:val="000000"/>
                <w:lang w:eastAsia="en-GB"/>
              </w:rPr>
            </w:pPr>
            <w:r w:rsidRPr="00EB2995">
              <w:rPr>
                <w:rFonts w:cs="Calibri"/>
                <w:b/>
                <w:bCs/>
                <w:color w:val="000000"/>
                <w:lang w:eastAsia="en-GB"/>
              </w:rPr>
              <w:t>0.0</w:t>
            </w:r>
          </w:p>
        </w:tc>
        <w:tc>
          <w:tcPr>
            <w:tcW w:w="3608" w:type="dxa"/>
            <w:tcBorders>
              <w:top w:val="nil"/>
              <w:left w:val="nil"/>
              <w:bottom w:val="nil"/>
              <w:right w:val="nil"/>
            </w:tcBorders>
            <w:shd w:val="clear" w:color="auto" w:fill="auto"/>
            <w:noWrap/>
            <w:vAlign w:val="bottom"/>
            <w:hideMark/>
          </w:tcPr>
          <w:p w:rsidR="00231ED3" w:rsidRPr="00EB2995" w:rsidRDefault="00231ED3" w:rsidP="00A70A31">
            <w:pPr>
              <w:rPr>
                <w:rFonts w:cs="Calibri"/>
                <w:color w:val="000000"/>
                <w:lang w:eastAsia="en-GB"/>
              </w:rPr>
            </w:pPr>
            <w:r w:rsidRPr="00EB2995">
              <w:rPr>
                <w:rFonts w:cs="Calibri"/>
                <w:color w:val="000000"/>
                <w:lang w:eastAsia="en-GB"/>
              </w:rPr>
              <w:t>Write offs/(Write backs)</w:t>
            </w:r>
          </w:p>
        </w:tc>
        <w:tc>
          <w:tcPr>
            <w:tcW w:w="942" w:type="dxa"/>
            <w:tcBorders>
              <w:top w:val="nil"/>
              <w:left w:val="single" w:sz="4" w:space="0" w:color="auto"/>
              <w:bottom w:val="nil"/>
              <w:right w:val="nil"/>
            </w:tcBorders>
            <w:shd w:val="clear" w:color="auto" w:fill="auto"/>
            <w:noWrap/>
            <w:vAlign w:val="bottom"/>
            <w:hideMark/>
          </w:tcPr>
          <w:p w:rsidR="00231ED3" w:rsidRPr="00EB2995" w:rsidRDefault="00231ED3" w:rsidP="00A70A31">
            <w:pPr>
              <w:jc w:val="right"/>
              <w:rPr>
                <w:rFonts w:cs="Calibri"/>
                <w:color w:val="000000"/>
                <w:lang w:eastAsia="en-GB"/>
              </w:rPr>
            </w:pPr>
            <w:r w:rsidRPr="00EB2995">
              <w:rPr>
                <w:rFonts w:cs="Calibri"/>
                <w:color w:val="000000"/>
                <w:lang w:eastAsia="en-GB"/>
              </w:rPr>
              <w:t>0.0</w:t>
            </w:r>
          </w:p>
        </w:tc>
        <w:tc>
          <w:tcPr>
            <w:tcW w:w="1008" w:type="dxa"/>
            <w:tcBorders>
              <w:top w:val="nil"/>
              <w:left w:val="nil"/>
              <w:bottom w:val="nil"/>
              <w:right w:val="nil"/>
            </w:tcBorders>
            <w:shd w:val="clear" w:color="auto" w:fill="auto"/>
            <w:noWrap/>
            <w:vAlign w:val="bottom"/>
            <w:hideMark/>
          </w:tcPr>
          <w:p w:rsidR="00231ED3" w:rsidRPr="00EB2995" w:rsidRDefault="00231ED3" w:rsidP="00A70A31">
            <w:pPr>
              <w:jc w:val="right"/>
              <w:rPr>
                <w:rFonts w:cs="Calibri"/>
                <w:color w:val="000000"/>
                <w:lang w:eastAsia="en-GB"/>
              </w:rPr>
            </w:pPr>
            <w:r w:rsidRPr="00EB2995">
              <w:rPr>
                <w:rFonts w:cs="Calibri"/>
                <w:color w:val="000000"/>
                <w:lang w:eastAsia="en-GB"/>
              </w:rPr>
              <w:t>0.0</w:t>
            </w:r>
          </w:p>
        </w:tc>
        <w:tc>
          <w:tcPr>
            <w:tcW w:w="1127" w:type="dxa"/>
            <w:tcBorders>
              <w:top w:val="nil"/>
              <w:left w:val="nil"/>
              <w:bottom w:val="nil"/>
              <w:right w:val="single" w:sz="4" w:space="0" w:color="auto"/>
            </w:tcBorders>
            <w:shd w:val="clear" w:color="auto" w:fill="auto"/>
            <w:noWrap/>
            <w:vAlign w:val="bottom"/>
            <w:hideMark/>
          </w:tcPr>
          <w:p w:rsidR="00231ED3" w:rsidRPr="00EB2995" w:rsidRDefault="00231ED3" w:rsidP="00A70A31">
            <w:pPr>
              <w:jc w:val="right"/>
              <w:rPr>
                <w:rFonts w:cs="Calibri"/>
                <w:b/>
                <w:bCs/>
                <w:color w:val="000000"/>
                <w:lang w:eastAsia="en-GB"/>
              </w:rPr>
            </w:pPr>
            <w:r w:rsidRPr="00EB2995">
              <w:rPr>
                <w:rFonts w:cs="Calibri"/>
                <w:b/>
                <w:bCs/>
                <w:color w:val="000000"/>
                <w:lang w:eastAsia="en-GB"/>
              </w:rPr>
              <w:t>0.0</w:t>
            </w:r>
          </w:p>
        </w:tc>
      </w:tr>
      <w:tr w:rsidR="00231ED3" w:rsidRPr="00EB2995" w:rsidTr="00231ED3">
        <w:trPr>
          <w:trHeight w:hRule="exact" w:val="397"/>
        </w:trPr>
        <w:tc>
          <w:tcPr>
            <w:tcW w:w="940" w:type="dxa"/>
            <w:tcBorders>
              <w:top w:val="nil"/>
              <w:left w:val="single" w:sz="4" w:space="0" w:color="auto"/>
              <w:bottom w:val="nil"/>
              <w:right w:val="nil"/>
            </w:tcBorders>
            <w:shd w:val="clear" w:color="auto" w:fill="auto"/>
            <w:noWrap/>
            <w:vAlign w:val="bottom"/>
            <w:hideMark/>
          </w:tcPr>
          <w:p w:rsidR="00231ED3" w:rsidRPr="00EB2995" w:rsidRDefault="00231ED3" w:rsidP="00A70A31">
            <w:pPr>
              <w:rPr>
                <w:rFonts w:cs="Calibri"/>
                <w:color w:val="FF0000"/>
                <w:lang w:eastAsia="en-GB"/>
              </w:rPr>
            </w:pPr>
            <w:r w:rsidRPr="00EB2995">
              <w:rPr>
                <w:rFonts w:cs="Calibri"/>
                <w:color w:val="FF0000"/>
                <w:lang w:eastAsia="en-GB"/>
              </w:rPr>
              <w:t> </w:t>
            </w:r>
          </w:p>
        </w:tc>
        <w:tc>
          <w:tcPr>
            <w:tcW w:w="1005" w:type="dxa"/>
            <w:tcBorders>
              <w:top w:val="nil"/>
              <w:left w:val="nil"/>
              <w:bottom w:val="nil"/>
              <w:right w:val="nil"/>
            </w:tcBorders>
            <w:shd w:val="clear" w:color="auto" w:fill="auto"/>
            <w:noWrap/>
            <w:vAlign w:val="bottom"/>
            <w:hideMark/>
          </w:tcPr>
          <w:p w:rsidR="00231ED3" w:rsidRPr="00EB2995" w:rsidRDefault="00231ED3" w:rsidP="00A70A31">
            <w:pPr>
              <w:jc w:val="right"/>
              <w:rPr>
                <w:rFonts w:cs="Calibri"/>
                <w:color w:val="000000"/>
                <w:lang w:eastAsia="en-GB"/>
              </w:rPr>
            </w:pPr>
            <w:r w:rsidRPr="00EB2995">
              <w:rPr>
                <w:rFonts w:cs="Calibri"/>
                <w:color w:val="000000"/>
                <w:lang w:eastAsia="en-GB"/>
              </w:rPr>
              <w:t>0.4</w:t>
            </w:r>
          </w:p>
        </w:tc>
        <w:tc>
          <w:tcPr>
            <w:tcW w:w="1316" w:type="dxa"/>
            <w:tcBorders>
              <w:top w:val="nil"/>
              <w:left w:val="nil"/>
              <w:bottom w:val="nil"/>
              <w:right w:val="single" w:sz="4" w:space="0" w:color="auto"/>
            </w:tcBorders>
            <w:shd w:val="clear" w:color="auto" w:fill="auto"/>
            <w:noWrap/>
            <w:vAlign w:val="bottom"/>
            <w:hideMark/>
          </w:tcPr>
          <w:p w:rsidR="00231ED3" w:rsidRPr="00EB2995" w:rsidRDefault="00231ED3" w:rsidP="00A70A31">
            <w:pPr>
              <w:jc w:val="right"/>
              <w:rPr>
                <w:rFonts w:cs="Calibri"/>
                <w:b/>
                <w:bCs/>
                <w:color w:val="000000"/>
                <w:lang w:eastAsia="en-GB"/>
              </w:rPr>
            </w:pPr>
            <w:r w:rsidRPr="00EB2995">
              <w:rPr>
                <w:rFonts w:cs="Calibri"/>
                <w:b/>
                <w:bCs/>
                <w:color w:val="000000"/>
                <w:lang w:eastAsia="en-GB"/>
              </w:rPr>
              <w:t>0.4</w:t>
            </w:r>
          </w:p>
        </w:tc>
        <w:tc>
          <w:tcPr>
            <w:tcW w:w="3608" w:type="dxa"/>
            <w:tcBorders>
              <w:top w:val="nil"/>
              <w:left w:val="nil"/>
              <w:bottom w:val="nil"/>
              <w:right w:val="nil"/>
            </w:tcBorders>
            <w:shd w:val="clear" w:color="auto" w:fill="auto"/>
            <w:noWrap/>
            <w:vAlign w:val="bottom"/>
            <w:hideMark/>
          </w:tcPr>
          <w:p w:rsidR="00231ED3" w:rsidRPr="00EB2995" w:rsidRDefault="00231ED3" w:rsidP="00A70A31">
            <w:pPr>
              <w:rPr>
                <w:rFonts w:cs="Calibri"/>
                <w:color w:val="000000"/>
                <w:lang w:eastAsia="en-GB"/>
              </w:rPr>
            </w:pPr>
            <w:r w:rsidRPr="00EB2995">
              <w:rPr>
                <w:rFonts w:cs="Calibri"/>
                <w:color w:val="000000"/>
                <w:lang w:eastAsia="en-GB"/>
              </w:rPr>
              <w:t>Cost of Collection Allowance</w:t>
            </w:r>
          </w:p>
        </w:tc>
        <w:tc>
          <w:tcPr>
            <w:tcW w:w="942" w:type="dxa"/>
            <w:tcBorders>
              <w:top w:val="nil"/>
              <w:left w:val="single" w:sz="4" w:space="0" w:color="auto"/>
              <w:bottom w:val="nil"/>
              <w:right w:val="nil"/>
            </w:tcBorders>
            <w:shd w:val="clear" w:color="auto" w:fill="auto"/>
            <w:noWrap/>
            <w:vAlign w:val="bottom"/>
            <w:hideMark/>
          </w:tcPr>
          <w:p w:rsidR="00231ED3" w:rsidRPr="00EB2995" w:rsidRDefault="00231ED3" w:rsidP="00A70A31">
            <w:pPr>
              <w:rPr>
                <w:rFonts w:cs="Calibri"/>
                <w:color w:val="FF0000"/>
                <w:lang w:eastAsia="en-GB"/>
              </w:rPr>
            </w:pPr>
            <w:r w:rsidRPr="00EB2995">
              <w:rPr>
                <w:rFonts w:cs="Calibri"/>
                <w:color w:val="FF0000"/>
                <w:lang w:eastAsia="en-GB"/>
              </w:rPr>
              <w:t> </w:t>
            </w:r>
          </w:p>
        </w:tc>
        <w:tc>
          <w:tcPr>
            <w:tcW w:w="1008" w:type="dxa"/>
            <w:tcBorders>
              <w:top w:val="nil"/>
              <w:left w:val="nil"/>
              <w:bottom w:val="nil"/>
              <w:right w:val="nil"/>
            </w:tcBorders>
            <w:shd w:val="clear" w:color="auto" w:fill="auto"/>
            <w:noWrap/>
            <w:vAlign w:val="bottom"/>
            <w:hideMark/>
          </w:tcPr>
          <w:p w:rsidR="00231ED3" w:rsidRPr="00EB2995" w:rsidRDefault="00231ED3" w:rsidP="00A70A31">
            <w:pPr>
              <w:jc w:val="right"/>
              <w:rPr>
                <w:rFonts w:cs="Calibri"/>
                <w:color w:val="000000"/>
                <w:lang w:eastAsia="en-GB"/>
              </w:rPr>
            </w:pPr>
            <w:r w:rsidRPr="00EB2995">
              <w:rPr>
                <w:rFonts w:cs="Calibri"/>
                <w:color w:val="000000"/>
                <w:lang w:eastAsia="en-GB"/>
              </w:rPr>
              <w:t>0.4</w:t>
            </w:r>
          </w:p>
        </w:tc>
        <w:tc>
          <w:tcPr>
            <w:tcW w:w="1127" w:type="dxa"/>
            <w:tcBorders>
              <w:top w:val="nil"/>
              <w:left w:val="nil"/>
              <w:bottom w:val="nil"/>
              <w:right w:val="single" w:sz="4" w:space="0" w:color="auto"/>
            </w:tcBorders>
            <w:shd w:val="clear" w:color="auto" w:fill="auto"/>
            <w:noWrap/>
            <w:vAlign w:val="bottom"/>
            <w:hideMark/>
          </w:tcPr>
          <w:p w:rsidR="00231ED3" w:rsidRPr="00EB2995" w:rsidRDefault="00231ED3" w:rsidP="00A70A31">
            <w:pPr>
              <w:jc w:val="right"/>
              <w:rPr>
                <w:rFonts w:cs="Calibri"/>
                <w:b/>
                <w:bCs/>
                <w:color w:val="000000"/>
                <w:lang w:eastAsia="en-GB"/>
              </w:rPr>
            </w:pPr>
            <w:r w:rsidRPr="00EB2995">
              <w:rPr>
                <w:rFonts w:cs="Calibri"/>
                <w:b/>
                <w:bCs/>
                <w:color w:val="000000"/>
                <w:lang w:eastAsia="en-GB"/>
              </w:rPr>
              <w:t>0.4</w:t>
            </w:r>
          </w:p>
        </w:tc>
      </w:tr>
      <w:tr w:rsidR="00231ED3" w:rsidRPr="00EB2995" w:rsidTr="00231ED3">
        <w:trPr>
          <w:trHeight w:hRule="exact" w:val="397"/>
        </w:trPr>
        <w:tc>
          <w:tcPr>
            <w:tcW w:w="940" w:type="dxa"/>
            <w:tcBorders>
              <w:top w:val="single" w:sz="4" w:space="0" w:color="auto"/>
              <w:left w:val="single" w:sz="4" w:space="0" w:color="auto"/>
              <w:bottom w:val="nil"/>
              <w:right w:val="nil"/>
            </w:tcBorders>
            <w:shd w:val="clear" w:color="auto" w:fill="auto"/>
            <w:noWrap/>
            <w:vAlign w:val="bottom"/>
            <w:hideMark/>
          </w:tcPr>
          <w:p w:rsidR="00231ED3" w:rsidRPr="00EB2995" w:rsidRDefault="00231ED3" w:rsidP="00A70A31">
            <w:pPr>
              <w:jc w:val="right"/>
              <w:rPr>
                <w:rFonts w:cs="Calibri"/>
                <w:b/>
                <w:bCs/>
                <w:color w:val="000000"/>
                <w:lang w:eastAsia="en-GB"/>
              </w:rPr>
            </w:pPr>
            <w:r w:rsidRPr="00EB2995">
              <w:rPr>
                <w:rFonts w:cs="Calibri"/>
                <w:b/>
                <w:bCs/>
                <w:color w:val="000000"/>
                <w:lang w:eastAsia="en-GB"/>
              </w:rPr>
              <w:t>143.1</w:t>
            </w:r>
          </w:p>
        </w:tc>
        <w:tc>
          <w:tcPr>
            <w:tcW w:w="1005" w:type="dxa"/>
            <w:tcBorders>
              <w:top w:val="single" w:sz="4" w:space="0" w:color="auto"/>
              <w:left w:val="nil"/>
              <w:bottom w:val="nil"/>
              <w:right w:val="nil"/>
            </w:tcBorders>
            <w:shd w:val="clear" w:color="auto" w:fill="auto"/>
            <w:noWrap/>
            <w:vAlign w:val="bottom"/>
            <w:hideMark/>
          </w:tcPr>
          <w:p w:rsidR="00231ED3" w:rsidRPr="00EB2995" w:rsidRDefault="00231ED3" w:rsidP="00A70A31">
            <w:pPr>
              <w:jc w:val="right"/>
              <w:rPr>
                <w:rFonts w:cs="Calibri"/>
                <w:b/>
                <w:bCs/>
                <w:color w:val="000000"/>
                <w:lang w:eastAsia="en-GB"/>
              </w:rPr>
            </w:pPr>
            <w:r w:rsidRPr="00EB2995">
              <w:rPr>
                <w:rFonts w:cs="Calibri"/>
                <w:b/>
                <w:bCs/>
                <w:color w:val="000000"/>
                <w:lang w:eastAsia="en-GB"/>
              </w:rPr>
              <w:t>127.5</w:t>
            </w:r>
          </w:p>
        </w:tc>
        <w:tc>
          <w:tcPr>
            <w:tcW w:w="1316" w:type="dxa"/>
            <w:tcBorders>
              <w:top w:val="single" w:sz="4" w:space="0" w:color="auto"/>
              <w:left w:val="nil"/>
              <w:bottom w:val="nil"/>
              <w:right w:val="single" w:sz="4" w:space="0" w:color="auto"/>
            </w:tcBorders>
            <w:shd w:val="clear" w:color="auto" w:fill="auto"/>
            <w:noWrap/>
            <w:vAlign w:val="bottom"/>
            <w:hideMark/>
          </w:tcPr>
          <w:p w:rsidR="00231ED3" w:rsidRPr="00EB2995" w:rsidRDefault="00231ED3" w:rsidP="00A70A31">
            <w:pPr>
              <w:jc w:val="right"/>
              <w:rPr>
                <w:rFonts w:cs="Calibri"/>
                <w:b/>
                <w:bCs/>
                <w:color w:val="000000"/>
                <w:lang w:eastAsia="en-GB"/>
              </w:rPr>
            </w:pPr>
            <w:r w:rsidRPr="00EB2995">
              <w:rPr>
                <w:rFonts w:cs="Calibri"/>
                <w:b/>
                <w:bCs/>
                <w:color w:val="000000"/>
                <w:lang w:eastAsia="en-GB"/>
              </w:rPr>
              <w:t>270.5</w:t>
            </w:r>
          </w:p>
        </w:tc>
        <w:tc>
          <w:tcPr>
            <w:tcW w:w="3608" w:type="dxa"/>
            <w:tcBorders>
              <w:top w:val="nil"/>
              <w:left w:val="nil"/>
              <w:bottom w:val="nil"/>
              <w:right w:val="nil"/>
            </w:tcBorders>
            <w:shd w:val="clear" w:color="auto" w:fill="auto"/>
            <w:noWrap/>
            <w:vAlign w:val="bottom"/>
            <w:hideMark/>
          </w:tcPr>
          <w:p w:rsidR="00231ED3" w:rsidRPr="00EB2995" w:rsidRDefault="00231ED3" w:rsidP="00A70A31">
            <w:pPr>
              <w:rPr>
                <w:rFonts w:cs="Calibri"/>
                <w:b/>
                <w:bCs/>
                <w:color w:val="000000"/>
                <w:lang w:eastAsia="en-GB"/>
              </w:rPr>
            </w:pPr>
            <w:r w:rsidRPr="00EB2995">
              <w:rPr>
                <w:rFonts w:cs="Calibri"/>
                <w:b/>
                <w:bCs/>
                <w:color w:val="000000"/>
                <w:lang w:eastAsia="en-GB"/>
              </w:rPr>
              <w:t>Total Expenditure</w:t>
            </w:r>
          </w:p>
        </w:tc>
        <w:tc>
          <w:tcPr>
            <w:tcW w:w="942" w:type="dxa"/>
            <w:tcBorders>
              <w:top w:val="single" w:sz="4" w:space="0" w:color="auto"/>
              <w:left w:val="single" w:sz="4" w:space="0" w:color="auto"/>
              <w:bottom w:val="nil"/>
              <w:right w:val="nil"/>
            </w:tcBorders>
            <w:shd w:val="clear" w:color="auto" w:fill="auto"/>
            <w:noWrap/>
            <w:vAlign w:val="bottom"/>
            <w:hideMark/>
          </w:tcPr>
          <w:p w:rsidR="00231ED3" w:rsidRPr="00EB2995" w:rsidRDefault="00231ED3" w:rsidP="00A70A31">
            <w:pPr>
              <w:jc w:val="right"/>
              <w:rPr>
                <w:rFonts w:cs="Calibri"/>
                <w:b/>
                <w:bCs/>
                <w:color w:val="000000"/>
                <w:lang w:eastAsia="en-GB"/>
              </w:rPr>
            </w:pPr>
            <w:r w:rsidRPr="00EB2995">
              <w:rPr>
                <w:rFonts w:cs="Calibri"/>
                <w:b/>
                <w:bCs/>
                <w:color w:val="000000"/>
                <w:lang w:eastAsia="en-GB"/>
              </w:rPr>
              <w:t>154.5</w:t>
            </w:r>
          </w:p>
        </w:tc>
        <w:tc>
          <w:tcPr>
            <w:tcW w:w="1008" w:type="dxa"/>
            <w:tcBorders>
              <w:top w:val="single" w:sz="4" w:space="0" w:color="auto"/>
              <w:left w:val="nil"/>
              <w:bottom w:val="nil"/>
              <w:right w:val="nil"/>
            </w:tcBorders>
            <w:shd w:val="clear" w:color="auto" w:fill="auto"/>
            <w:noWrap/>
            <w:vAlign w:val="bottom"/>
            <w:hideMark/>
          </w:tcPr>
          <w:p w:rsidR="00231ED3" w:rsidRPr="00EB2995" w:rsidRDefault="00231ED3" w:rsidP="00A70A31">
            <w:pPr>
              <w:jc w:val="right"/>
              <w:rPr>
                <w:rFonts w:cs="Calibri"/>
                <w:b/>
                <w:bCs/>
                <w:color w:val="000000"/>
                <w:lang w:eastAsia="en-GB"/>
              </w:rPr>
            </w:pPr>
            <w:r w:rsidRPr="00EB2995">
              <w:rPr>
                <w:rFonts w:cs="Calibri"/>
                <w:b/>
                <w:bCs/>
                <w:color w:val="000000"/>
                <w:lang w:eastAsia="en-GB"/>
              </w:rPr>
              <w:t>132.4</w:t>
            </w:r>
          </w:p>
        </w:tc>
        <w:tc>
          <w:tcPr>
            <w:tcW w:w="1127" w:type="dxa"/>
            <w:tcBorders>
              <w:top w:val="single" w:sz="4" w:space="0" w:color="auto"/>
              <w:left w:val="nil"/>
              <w:bottom w:val="nil"/>
              <w:right w:val="single" w:sz="4" w:space="0" w:color="auto"/>
            </w:tcBorders>
            <w:shd w:val="clear" w:color="auto" w:fill="auto"/>
            <w:noWrap/>
            <w:vAlign w:val="bottom"/>
            <w:hideMark/>
          </w:tcPr>
          <w:p w:rsidR="00231ED3" w:rsidRPr="00EB2995" w:rsidRDefault="00231ED3" w:rsidP="00A70A31">
            <w:pPr>
              <w:jc w:val="right"/>
              <w:rPr>
                <w:rFonts w:cs="Calibri"/>
                <w:b/>
                <w:bCs/>
                <w:color w:val="000000"/>
                <w:lang w:eastAsia="en-GB"/>
              </w:rPr>
            </w:pPr>
            <w:r w:rsidRPr="00EB2995">
              <w:rPr>
                <w:rFonts w:cs="Calibri"/>
                <w:b/>
                <w:bCs/>
                <w:color w:val="000000"/>
                <w:lang w:eastAsia="en-GB"/>
              </w:rPr>
              <w:t>286.9</w:t>
            </w:r>
          </w:p>
        </w:tc>
      </w:tr>
      <w:tr w:rsidR="00231ED3" w:rsidRPr="00EB2995" w:rsidTr="00231ED3">
        <w:trPr>
          <w:trHeight w:hRule="exact" w:val="397"/>
        </w:trPr>
        <w:tc>
          <w:tcPr>
            <w:tcW w:w="940" w:type="dxa"/>
            <w:tcBorders>
              <w:top w:val="nil"/>
              <w:left w:val="single" w:sz="4" w:space="0" w:color="auto"/>
              <w:bottom w:val="nil"/>
              <w:right w:val="nil"/>
            </w:tcBorders>
            <w:shd w:val="clear" w:color="auto" w:fill="auto"/>
            <w:noWrap/>
            <w:vAlign w:val="bottom"/>
            <w:hideMark/>
          </w:tcPr>
          <w:p w:rsidR="00231ED3" w:rsidRPr="00EB2995" w:rsidRDefault="00231ED3" w:rsidP="00A70A31">
            <w:pPr>
              <w:rPr>
                <w:rFonts w:cs="Calibri"/>
                <w:b/>
                <w:bCs/>
                <w:color w:val="000000"/>
                <w:lang w:eastAsia="en-GB"/>
              </w:rPr>
            </w:pPr>
            <w:r w:rsidRPr="00EB2995">
              <w:rPr>
                <w:rFonts w:cs="Calibri"/>
                <w:b/>
                <w:bCs/>
                <w:color w:val="000000"/>
                <w:lang w:eastAsia="en-GB"/>
              </w:rPr>
              <w:t> </w:t>
            </w:r>
          </w:p>
        </w:tc>
        <w:tc>
          <w:tcPr>
            <w:tcW w:w="1005" w:type="dxa"/>
            <w:tcBorders>
              <w:top w:val="nil"/>
              <w:left w:val="nil"/>
              <w:bottom w:val="nil"/>
              <w:right w:val="nil"/>
            </w:tcBorders>
            <w:shd w:val="clear" w:color="auto" w:fill="auto"/>
            <w:noWrap/>
            <w:vAlign w:val="bottom"/>
            <w:hideMark/>
          </w:tcPr>
          <w:p w:rsidR="00231ED3" w:rsidRPr="00EB2995" w:rsidRDefault="00231ED3" w:rsidP="00A70A31">
            <w:pPr>
              <w:rPr>
                <w:rFonts w:cs="Calibri"/>
                <w:b/>
                <w:bCs/>
                <w:color w:val="000000"/>
                <w:lang w:eastAsia="en-GB"/>
              </w:rPr>
            </w:pPr>
          </w:p>
        </w:tc>
        <w:tc>
          <w:tcPr>
            <w:tcW w:w="1316" w:type="dxa"/>
            <w:tcBorders>
              <w:top w:val="nil"/>
              <w:left w:val="nil"/>
              <w:bottom w:val="nil"/>
              <w:right w:val="single" w:sz="4" w:space="0" w:color="auto"/>
            </w:tcBorders>
            <w:shd w:val="clear" w:color="auto" w:fill="auto"/>
            <w:noWrap/>
            <w:vAlign w:val="bottom"/>
            <w:hideMark/>
          </w:tcPr>
          <w:p w:rsidR="00231ED3" w:rsidRPr="00EB2995" w:rsidRDefault="00231ED3" w:rsidP="00A70A31">
            <w:pPr>
              <w:rPr>
                <w:rFonts w:cs="Calibri"/>
                <w:b/>
                <w:bCs/>
                <w:color w:val="000000"/>
                <w:lang w:eastAsia="en-GB"/>
              </w:rPr>
            </w:pPr>
            <w:r w:rsidRPr="00EB2995">
              <w:rPr>
                <w:rFonts w:cs="Calibri"/>
                <w:b/>
                <w:bCs/>
                <w:color w:val="000000"/>
                <w:lang w:eastAsia="en-GB"/>
              </w:rPr>
              <w:t> </w:t>
            </w:r>
          </w:p>
        </w:tc>
        <w:tc>
          <w:tcPr>
            <w:tcW w:w="3608" w:type="dxa"/>
            <w:tcBorders>
              <w:top w:val="nil"/>
              <w:left w:val="nil"/>
              <w:bottom w:val="nil"/>
              <w:right w:val="nil"/>
            </w:tcBorders>
            <w:shd w:val="clear" w:color="auto" w:fill="auto"/>
            <w:noWrap/>
            <w:vAlign w:val="bottom"/>
            <w:hideMark/>
          </w:tcPr>
          <w:p w:rsidR="00231ED3" w:rsidRPr="00EB2995" w:rsidRDefault="00231ED3" w:rsidP="00A70A31">
            <w:pPr>
              <w:rPr>
                <w:rFonts w:cs="Calibri"/>
                <w:b/>
                <w:bCs/>
                <w:color w:val="000000"/>
                <w:lang w:eastAsia="en-GB"/>
              </w:rPr>
            </w:pPr>
          </w:p>
        </w:tc>
        <w:tc>
          <w:tcPr>
            <w:tcW w:w="942" w:type="dxa"/>
            <w:tcBorders>
              <w:top w:val="nil"/>
              <w:left w:val="single" w:sz="4" w:space="0" w:color="auto"/>
              <w:bottom w:val="nil"/>
              <w:right w:val="nil"/>
            </w:tcBorders>
            <w:shd w:val="clear" w:color="auto" w:fill="auto"/>
            <w:noWrap/>
            <w:vAlign w:val="bottom"/>
            <w:hideMark/>
          </w:tcPr>
          <w:p w:rsidR="00231ED3" w:rsidRPr="00EB2995" w:rsidRDefault="00231ED3" w:rsidP="00A70A31">
            <w:pPr>
              <w:rPr>
                <w:rFonts w:cs="Calibri"/>
                <w:b/>
                <w:bCs/>
                <w:color w:val="000000"/>
                <w:lang w:eastAsia="en-GB"/>
              </w:rPr>
            </w:pPr>
            <w:r w:rsidRPr="00EB2995">
              <w:rPr>
                <w:rFonts w:cs="Calibri"/>
                <w:b/>
                <w:bCs/>
                <w:color w:val="000000"/>
                <w:lang w:eastAsia="en-GB"/>
              </w:rPr>
              <w:t> </w:t>
            </w:r>
          </w:p>
        </w:tc>
        <w:tc>
          <w:tcPr>
            <w:tcW w:w="1008" w:type="dxa"/>
            <w:tcBorders>
              <w:top w:val="nil"/>
              <w:left w:val="nil"/>
              <w:bottom w:val="nil"/>
              <w:right w:val="nil"/>
            </w:tcBorders>
            <w:shd w:val="clear" w:color="auto" w:fill="auto"/>
            <w:noWrap/>
            <w:vAlign w:val="bottom"/>
            <w:hideMark/>
          </w:tcPr>
          <w:p w:rsidR="00231ED3" w:rsidRPr="00EB2995" w:rsidRDefault="00231ED3" w:rsidP="00A70A31">
            <w:pPr>
              <w:rPr>
                <w:rFonts w:cs="Calibri"/>
                <w:b/>
                <w:bCs/>
                <w:color w:val="000000"/>
                <w:lang w:eastAsia="en-GB"/>
              </w:rPr>
            </w:pPr>
          </w:p>
        </w:tc>
        <w:tc>
          <w:tcPr>
            <w:tcW w:w="1127" w:type="dxa"/>
            <w:tcBorders>
              <w:top w:val="nil"/>
              <w:left w:val="nil"/>
              <w:bottom w:val="nil"/>
              <w:right w:val="single" w:sz="4" w:space="0" w:color="auto"/>
            </w:tcBorders>
            <w:shd w:val="clear" w:color="auto" w:fill="auto"/>
            <w:noWrap/>
            <w:vAlign w:val="bottom"/>
            <w:hideMark/>
          </w:tcPr>
          <w:p w:rsidR="00231ED3" w:rsidRPr="00EB2995" w:rsidRDefault="00231ED3" w:rsidP="00A70A31">
            <w:pPr>
              <w:rPr>
                <w:rFonts w:cs="Calibri"/>
                <w:b/>
                <w:bCs/>
                <w:color w:val="000000"/>
                <w:lang w:eastAsia="en-GB"/>
              </w:rPr>
            </w:pPr>
            <w:r w:rsidRPr="00EB2995">
              <w:rPr>
                <w:rFonts w:cs="Calibri"/>
                <w:b/>
                <w:bCs/>
                <w:color w:val="000000"/>
                <w:lang w:eastAsia="en-GB"/>
              </w:rPr>
              <w:t> </w:t>
            </w:r>
          </w:p>
        </w:tc>
      </w:tr>
      <w:tr w:rsidR="00231ED3" w:rsidRPr="00EB2995" w:rsidTr="00231ED3">
        <w:trPr>
          <w:trHeight w:hRule="exact" w:val="397"/>
        </w:trPr>
        <w:tc>
          <w:tcPr>
            <w:tcW w:w="940" w:type="dxa"/>
            <w:tcBorders>
              <w:top w:val="single" w:sz="4" w:space="0" w:color="auto"/>
              <w:left w:val="single" w:sz="4" w:space="0" w:color="auto"/>
              <w:bottom w:val="single" w:sz="4" w:space="0" w:color="auto"/>
              <w:right w:val="nil"/>
            </w:tcBorders>
            <w:shd w:val="clear" w:color="auto" w:fill="auto"/>
            <w:noWrap/>
            <w:vAlign w:val="bottom"/>
            <w:hideMark/>
          </w:tcPr>
          <w:p w:rsidR="00231ED3" w:rsidRPr="00EB2995" w:rsidRDefault="00231ED3" w:rsidP="00A70A31">
            <w:pPr>
              <w:jc w:val="right"/>
              <w:rPr>
                <w:rFonts w:cs="Calibri"/>
                <w:b/>
                <w:bCs/>
                <w:color w:val="000000"/>
                <w:lang w:eastAsia="en-GB"/>
              </w:rPr>
            </w:pPr>
            <w:r w:rsidRPr="00EB2995">
              <w:rPr>
                <w:rFonts w:cs="Calibri"/>
                <w:b/>
                <w:bCs/>
                <w:color w:val="000000"/>
                <w:lang w:eastAsia="en-GB"/>
              </w:rPr>
              <w:t>2.4</w:t>
            </w:r>
          </w:p>
        </w:tc>
        <w:tc>
          <w:tcPr>
            <w:tcW w:w="1005" w:type="dxa"/>
            <w:tcBorders>
              <w:top w:val="single" w:sz="4" w:space="0" w:color="auto"/>
              <w:left w:val="nil"/>
              <w:bottom w:val="single" w:sz="4" w:space="0" w:color="auto"/>
              <w:right w:val="nil"/>
            </w:tcBorders>
            <w:shd w:val="clear" w:color="auto" w:fill="auto"/>
            <w:noWrap/>
            <w:vAlign w:val="bottom"/>
            <w:hideMark/>
          </w:tcPr>
          <w:p w:rsidR="00231ED3" w:rsidRPr="00EB2995" w:rsidRDefault="00231ED3" w:rsidP="00A70A31">
            <w:pPr>
              <w:jc w:val="right"/>
              <w:rPr>
                <w:rFonts w:cs="Calibri"/>
                <w:b/>
                <w:bCs/>
                <w:color w:val="000000"/>
                <w:lang w:eastAsia="en-GB"/>
              </w:rPr>
            </w:pPr>
            <w:r w:rsidRPr="00EB2995">
              <w:rPr>
                <w:rFonts w:cs="Calibri"/>
                <w:b/>
                <w:bCs/>
                <w:color w:val="000000"/>
                <w:lang w:eastAsia="en-GB"/>
              </w:rPr>
              <w:t>(3.2)</w:t>
            </w:r>
          </w:p>
        </w:tc>
        <w:tc>
          <w:tcPr>
            <w:tcW w:w="1316" w:type="dxa"/>
            <w:tcBorders>
              <w:top w:val="single" w:sz="4" w:space="0" w:color="auto"/>
              <w:left w:val="nil"/>
              <w:bottom w:val="single" w:sz="4" w:space="0" w:color="auto"/>
              <w:right w:val="single" w:sz="4" w:space="0" w:color="auto"/>
            </w:tcBorders>
            <w:shd w:val="clear" w:color="auto" w:fill="auto"/>
            <w:noWrap/>
            <w:vAlign w:val="bottom"/>
            <w:hideMark/>
          </w:tcPr>
          <w:p w:rsidR="00231ED3" w:rsidRPr="00EB2995" w:rsidRDefault="00231ED3" w:rsidP="00A70A31">
            <w:pPr>
              <w:jc w:val="right"/>
              <w:rPr>
                <w:rFonts w:cs="Calibri"/>
                <w:b/>
                <w:bCs/>
                <w:color w:val="000000"/>
                <w:lang w:eastAsia="en-GB"/>
              </w:rPr>
            </w:pPr>
            <w:r w:rsidRPr="00EB2995">
              <w:rPr>
                <w:rFonts w:cs="Calibri"/>
                <w:b/>
                <w:bCs/>
                <w:color w:val="000000"/>
                <w:lang w:eastAsia="en-GB"/>
              </w:rPr>
              <w:t>(0.8)</w:t>
            </w:r>
          </w:p>
        </w:tc>
        <w:tc>
          <w:tcPr>
            <w:tcW w:w="3608" w:type="dxa"/>
            <w:tcBorders>
              <w:top w:val="nil"/>
              <w:left w:val="nil"/>
              <w:bottom w:val="nil"/>
              <w:right w:val="nil"/>
            </w:tcBorders>
            <w:shd w:val="clear" w:color="auto" w:fill="auto"/>
            <w:noWrap/>
            <w:vAlign w:val="bottom"/>
            <w:hideMark/>
          </w:tcPr>
          <w:p w:rsidR="00231ED3" w:rsidRPr="00EB2995" w:rsidRDefault="00231ED3" w:rsidP="00A70A31">
            <w:pPr>
              <w:rPr>
                <w:rFonts w:cs="Calibri"/>
                <w:b/>
                <w:bCs/>
                <w:color w:val="000000"/>
                <w:lang w:eastAsia="en-GB"/>
              </w:rPr>
            </w:pPr>
            <w:r w:rsidRPr="00EB2995">
              <w:rPr>
                <w:rFonts w:cs="Calibri"/>
                <w:b/>
                <w:bCs/>
                <w:color w:val="000000"/>
                <w:lang w:eastAsia="en-GB"/>
              </w:rPr>
              <w:t>(Surplus)/Deficit in year</w:t>
            </w:r>
          </w:p>
        </w:tc>
        <w:tc>
          <w:tcPr>
            <w:tcW w:w="942" w:type="dxa"/>
            <w:tcBorders>
              <w:top w:val="single" w:sz="4" w:space="0" w:color="auto"/>
              <w:left w:val="single" w:sz="4" w:space="0" w:color="auto"/>
              <w:bottom w:val="single" w:sz="4" w:space="0" w:color="auto"/>
              <w:right w:val="nil"/>
            </w:tcBorders>
            <w:shd w:val="clear" w:color="auto" w:fill="auto"/>
            <w:noWrap/>
            <w:vAlign w:val="bottom"/>
            <w:hideMark/>
          </w:tcPr>
          <w:p w:rsidR="00231ED3" w:rsidRPr="00EB2995" w:rsidRDefault="00231ED3" w:rsidP="00A70A31">
            <w:pPr>
              <w:jc w:val="right"/>
              <w:rPr>
                <w:rFonts w:cs="Calibri"/>
                <w:b/>
                <w:bCs/>
                <w:color w:val="000000"/>
                <w:lang w:eastAsia="en-GB"/>
              </w:rPr>
            </w:pPr>
            <w:r w:rsidRPr="00EB2995">
              <w:rPr>
                <w:rFonts w:cs="Calibri"/>
                <w:b/>
                <w:bCs/>
                <w:color w:val="000000"/>
                <w:lang w:eastAsia="en-GB"/>
              </w:rPr>
              <w:t>2.4</w:t>
            </w:r>
          </w:p>
        </w:tc>
        <w:tc>
          <w:tcPr>
            <w:tcW w:w="1008" w:type="dxa"/>
            <w:tcBorders>
              <w:top w:val="single" w:sz="4" w:space="0" w:color="auto"/>
              <w:left w:val="nil"/>
              <w:bottom w:val="single" w:sz="4" w:space="0" w:color="auto"/>
              <w:right w:val="nil"/>
            </w:tcBorders>
            <w:shd w:val="clear" w:color="auto" w:fill="auto"/>
            <w:noWrap/>
            <w:vAlign w:val="bottom"/>
            <w:hideMark/>
          </w:tcPr>
          <w:p w:rsidR="00231ED3" w:rsidRPr="00EB2995" w:rsidRDefault="00231ED3" w:rsidP="00A70A31">
            <w:pPr>
              <w:jc w:val="right"/>
              <w:rPr>
                <w:rFonts w:cs="Calibri"/>
                <w:b/>
                <w:bCs/>
                <w:color w:val="000000"/>
                <w:lang w:eastAsia="en-GB"/>
              </w:rPr>
            </w:pPr>
            <w:r w:rsidRPr="00EB2995">
              <w:rPr>
                <w:rFonts w:cs="Calibri"/>
                <w:b/>
                <w:bCs/>
                <w:color w:val="000000"/>
                <w:lang w:eastAsia="en-GB"/>
              </w:rPr>
              <w:t>4.6</w:t>
            </w:r>
          </w:p>
        </w:tc>
        <w:tc>
          <w:tcPr>
            <w:tcW w:w="1127" w:type="dxa"/>
            <w:tcBorders>
              <w:top w:val="single" w:sz="4" w:space="0" w:color="auto"/>
              <w:left w:val="nil"/>
              <w:bottom w:val="single" w:sz="4" w:space="0" w:color="auto"/>
              <w:right w:val="single" w:sz="4" w:space="0" w:color="auto"/>
            </w:tcBorders>
            <w:shd w:val="clear" w:color="auto" w:fill="auto"/>
            <w:noWrap/>
            <w:vAlign w:val="bottom"/>
            <w:hideMark/>
          </w:tcPr>
          <w:p w:rsidR="00231ED3" w:rsidRPr="00EB2995" w:rsidRDefault="00231ED3" w:rsidP="00A70A31">
            <w:pPr>
              <w:jc w:val="right"/>
              <w:rPr>
                <w:rFonts w:cs="Calibri"/>
                <w:b/>
                <w:bCs/>
                <w:color w:val="000000"/>
                <w:lang w:eastAsia="en-GB"/>
              </w:rPr>
            </w:pPr>
            <w:r w:rsidRPr="00EB2995">
              <w:rPr>
                <w:rFonts w:cs="Calibri"/>
                <w:b/>
                <w:bCs/>
                <w:color w:val="000000"/>
                <w:lang w:eastAsia="en-GB"/>
              </w:rPr>
              <w:t>7.0</w:t>
            </w:r>
          </w:p>
        </w:tc>
      </w:tr>
      <w:tr w:rsidR="00231ED3" w:rsidRPr="00EB2995" w:rsidTr="00231ED3">
        <w:trPr>
          <w:trHeight w:hRule="exact" w:val="397"/>
        </w:trPr>
        <w:tc>
          <w:tcPr>
            <w:tcW w:w="940" w:type="dxa"/>
            <w:tcBorders>
              <w:top w:val="nil"/>
              <w:left w:val="nil"/>
              <w:bottom w:val="nil"/>
              <w:right w:val="nil"/>
            </w:tcBorders>
            <w:shd w:val="clear" w:color="auto" w:fill="auto"/>
            <w:noWrap/>
            <w:vAlign w:val="bottom"/>
            <w:hideMark/>
          </w:tcPr>
          <w:p w:rsidR="00231ED3" w:rsidRPr="00EB2995" w:rsidRDefault="00231ED3" w:rsidP="00A70A31">
            <w:pPr>
              <w:jc w:val="right"/>
              <w:rPr>
                <w:rFonts w:cs="Calibri"/>
                <w:b/>
                <w:bCs/>
                <w:color w:val="000000"/>
                <w:lang w:eastAsia="en-GB"/>
              </w:rPr>
            </w:pPr>
          </w:p>
        </w:tc>
        <w:tc>
          <w:tcPr>
            <w:tcW w:w="1005" w:type="dxa"/>
            <w:tcBorders>
              <w:top w:val="nil"/>
              <w:left w:val="nil"/>
              <w:bottom w:val="nil"/>
              <w:right w:val="nil"/>
            </w:tcBorders>
            <w:shd w:val="clear" w:color="auto" w:fill="auto"/>
            <w:noWrap/>
            <w:vAlign w:val="bottom"/>
            <w:hideMark/>
          </w:tcPr>
          <w:p w:rsidR="00231ED3" w:rsidRPr="00EB2995" w:rsidRDefault="00231ED3" w:rsidP="00A70A31">
            <w:pPr>
              <w:rPr>
                <w:rFonts w:cs="Calibri"/>
                <w:sz w:val="20"/>
                <w:szCs w:val="20"/>
                <w:lang w:eastAsia="en-GB"/>
              </w:rPr>
            </w:pPr>
          </w:p>
        </w:tc>
        <w:tc>
          <w:tcPr>
            <w:tcW w:w="1316" w:type="dxa"/>
            <w:tcBorders>
              <w:top w:val="nil"/>
              <w:left w:val="nil"/>
              <w:bottom w:val="nil"/>
              <w:right w:val="nil"/>
            </w:tcBorders>
            <w:shd w:val="clear" w:color="auto" w:fill="auto"/>
            <w:noWrap/>
            <w:vAlign w:val="bottom"/>
            <w:hideMark/>
          </w:tcPr>
          <w:p w:rsidR="00231ED3" w:rsidRPr="00EB2995" w:rsidRDefault="00231ED3" w:rsidP="00A70A31">
            <w:pPr>
              <w:rPr>
                <w:rFonts w:cs="Calibri"/>
                <w:sz w:val="20"/>
                <w:szCs w:val="20"/>
                <w:lang w:eastAsia="en-GB"/>
              </w:rPr>
            </w:pPr>
          </w:p>
        </w:tc>
        <w:tc>
          <w:tcPr>
            <w:tcW w:w="3608" w:type="dxa"/>
            <w:tcBorders>
              <w:top w:val="nil"/>
              <w:left w:val="nil"/>
              <w:bottom w:val="nil"/>
              <w:right w:val="nil"/>
            </w:tcBorders>
            <w:shd w:val="clear" w:color="auto" w:fill="auto"/>
            <w:noWrap/>
            <w:vAlign w:val="bottom"/>
            <w:hideMark/>
          </w:tcPr>
          <w:p w:rsidR="00231ED3" w:rsidRPr="00EB2995" w:rsidRDefault="00231ED3" w:rsidP="00A70A31">
            <w:pPr>
              <w:rPr>
                <w:rFonts w:cs="Calibri"/>
                <w:sz w:val="20"/>
                <w:szCs w:val="20"/>
                <w:lang w:eastAsia="en-GB"/>
              </w:rPr>
            </w:pPr>
          </w:p>
        </w:tc>
        <w:tc>
          <w:tcPr>
            <w:tcW w:w="942" w:type="dxa"/>
            <w:tcBorders>
              <w:top w:val="nil"/>
              <w:left w:val="nil"/>
              <w:bottom w:val="nil"/>
              <w:right w:val="nil"/>
            </w:tcBorders>
            <w:shd w:val="clear" w:color="auto" w:fill="auto"/>
            <w:noWrap/>
            <w:vAlign w:val="bottom"/>
            <w:hideMark/>
          </w:tcPr>
          <w:p w:rsidR="00231ED3" w:rsidRPr="00EB2995" w:rsidRDefault="00231ED3" w:rsidP="00A70A31">
            <w:pPr>
              <w:rPr>
                <w:rFonts w:cs="Calibri"/>
                <w:sz w:val="20"/>
                <w:szCs w:val="20"/>
                <w:lang w:eastAsia="en-GB"/>
              </w:rPr>
            </w:pPr>
          </w:p>
        </w:tc>
        <w:tc>
          <w:tcPr>
            <w:tcW w:w="1008" w:type="dxa"/>
            <w:tcBorders>
              <w:top w:val="nil"/>
              <w:left w:val="nil"/>
              <w:bottom w:val="nil"/>
              <w:right w:val="nil"/>
            </w:tcBorders>
            <w:shd w:val="clear" w:color="auto" w:fill="auto"/>
            <w:noWrap/>
            <w:vAlign w:val="bottom"/>
            <w:hideMark/>
          </w:tcPr>
          <w:p w:rsidR="00231ED3" w:rsidRPr="00EB2995" w:rsidRDefault="00231ED3" w:rsidP="00A70A31">
            <w:pPr>
              <w:rPr>
                <w:rFonts w:cs="Calibri"/>
                <w:sz w:val="20"/>
                <w:szCs w:val="20"/>
                <w:lang w:eastAsia="en-GB"/>
              </w:rPr>
            </w:pPr>
          </w:p>
        </w:tc>
        <w:tc>
          <w:tcPr>
            <w:tcW w:w="1127" w:type="dxa"/>
            <w:tcBorders>
              <w:top w:val="nil"/>
              <w:left w:val="nil"/>
              <w:bottom w:val="nil"/>
              <w:right w:val="nil"/>
            </w:tcBorders>
            <w:shd w:val="clear" w:color="auto" w:fill="auto"/>
            <w:noWrap/>
            <w:vAlign w:val="bottom"/>
            <w:hideMark/>
          </w:tcPr>
          <w:p w:rsidR="00231ED3" w:rsidRPr="00EB2995" w:rsidRDefault="00231ED3" w:rsidP="00A70A31">
            <w:pPr>
              <w:rPr>
                <w:rFonts w:cs="Calibri"/>
                <w:sz w:val="20"/>
                <w:szCs w:val="20"/>
                <w:lang w:eastAsia="en-GB"/>
              </w:rPr>
            </w:pPr>
          </w:p>
        </w:tc>
      </w:tr>
      <w:tr w:rsidR="00231ED3" w:rsidRPr="00EB2995" w:rsidTr="00231ED3">
        <w:trPr>
          <w:trHeight w:hRule="exact" w:val="397"/>
        </w:trPr>
        <w:tc>
          <w:tcPr>
            <w:tcW w:w="940" w:type="dxa"/>
            <w:tcBorders>
              <w:top w:val="nil"/>
              <w:left w:val="nil"/>
              <w:bottom w:val="nil"/>
              <w:right w:val="nil"/>
            </w:tcBorders>
            <w:shd w:val="clear" w:color="auto" w:fill="auto"/>
            <w:noWrap/>
            <w:vAlign w:val="bottom"/>
            <w:hideMark/>
          </w:tcPr>
          <w:p w:rsidR="00231ED3" w:rsidRPr="00EB2995" w:rsidRDefault="00231ED3" w:rsidP="00A70A31">
            <w:pPr>
              <w:rPr>
                <w:rFonts w:cs="Calibri"/>
                <w:sz w:val="20"/>
                <w:szCs w:val="20"/>
                <w:lang w:eastAsia="en-GB"/>
              </w:rPr>
            </w:pPr>
          </w:p>
        </w:tc>
        <w:tc>
          <w:tcPr>
            <w:tcW w:w="1005" w:type="dxa"/>
            <w:tcBorders>
              <w:top w:val="nil"/>
              <w:left w:val="nil"/>
              <w:bottom w:val="nil"/>
              <w:right w:val="nil"/>
            </w:tcBorders>
            <w:shd w:val="clear" w:color="auto" w:fill="auto"/>
            <w:noWrap/>
            <w:vAlign w:val="bottom"/>
            <w:hideMark/>
          </w:tcPr>
          <w:p w:rsidR="00231ED3" w:rsidRPr="00EB2995" w:rsidRDefault="00231ED3" w:rsidP="00A70A31">
            <w:pPr>
              <w:rPr>
                <w:rFonts w:cs="Calibri"/>
                <w:sz w:val="20"/>
                <w:szCs w:val="20"/>
                <w:lang w:eastAsia="en-GB"/>
              </w:rPr>
            </w:pPr>
          </w:p>
        </w:tc>
        <w:tc>
          <w:tcPr>
            <w:tcW w:w="1316" w:type="dxa"/>
            <w:tcBorders>
              <w:top w:val="nil"/>
              <w:left w:val="nil"/>
              <w:bottom w:val="nil"/>
              <w:right w:val="nil"/>
            </w:tcBorders>
            <w:shd w:val="clear" w:color="auto" w:fill="auto"/>
            <w:noWrap/>
            <w:vAlign w:val="bottom"/>
            <w:hideMark/>
          </w:tcPr>
          <w:p w:rsidR="00231ED3" w:rsidRPr="00EB2995" w:rsidRDefault="00231ED3" w:rsidP="00A70A31">
            <w:pPr>
              <w:rPr>
                <w:rFonts w:cs="Calibri"/>
                <w:sz w:val="20"/>
                <w:szCs w:val="20"/>
                <w:lang w:eastAsia="en-GB"/>
              </w:rPr>
            </w:pPr>
          </w:p>
        </w:tc>
        <w:tc>
          <w:tcPr>
            <w:tcW w:w="3608" w:type="dxa"/>
            <w:tcBorders>
              <w:top w:val="nil"/>
              <w:left w:val="nil"/>
              <w:bottom w:val="nil"/>
              <w:right w:val="nil"/>
            </w:tcBorders>
            <w:shd w:val="clear" w:color="auto" w:fill="auto"/>
            <w:noWrap/>
            <w:vAlign w:val="bottom"/>
            <w:hideMark/>
          </w:tcPr>
          <w:p w:rsidR="00231ED3" w:rsidRPr="00EB2995" w:rsidRDefault="00231ED3" w:rsidP="00A70A31">
            <w:pPr>
              <w:rPr>
                <w:rFonts w:cs="Calibri"/>
                <w:b/>
                <w:bCs/>
                <w:color w:val="000000"/>
                <w:lang w:eastAsia="en-GB"/>
              </w:rPr>
            </w:pPr>
            <w:r w:rsidRPr="00EB2995">
              <w:rPr>
                <w:rFonts w:cs="Calibri"/>
                <w:b/>
                <w:bCs/>
                <w:color w:val="000000"/>
                <w:lang w:eastAsia="en-GB"/>
              </w:rPr>
              <w:t>Movements on Balances</w:t>
            </w:r>
          </w:p>
        </w:tc>
        <w:tc>
          <w:tcPr>
            <w:tcW w:w="942" w:type="dxa"/>
            <w:tcBorders>
              <w:top w:val="nil"/>
              <w:left w:val="nil"/>
              <w:bottom w:val="nil"/>
              <w:right w:val="nil"/>
            </w:tcBorders>
            <w:shd w:val="clear" w:color="auto" w:fill="auto"/>
            <w:noWrap/>
            <w:vAlign w:val="bottom"/>
            <w:hideMark/>
          </w:tcPr>
          <w:p w:rsidR="00231ED3" w:rsidRPr="00EB2995" w:rsidRDefault="00231ED3" w:rsidP="00A70A31">
            <w:pPr>
              <w:rPr>
                <w:rFonts w:cs="Calibri"/>
                <w:b/>
                <w:bCs/>
                <w:color w:val="000000"/>
                <w:lang w:eastAsia="en-GB"/>
              </w:rPr>
            </w:pPr>
          </w:p>
        </w:tc>
        <w:tc>
          <w:tcPr>
            <w:tcW w:w="1008" w:type="dxa"/>
            <w:tcBorders>
              <w:top w:val="nil"/>
              <w:left w:val="nil"/>
              <w:bottom w:val="nil"/>
              <w:right w:val="nil"/>
            </w:tcBorders>
            <w:shd w:val="clear" w:color="auto" w:fill="auto"/>
            <w:noWrap/>
            <w:vAlign w:val="bottom"/>
            <w:hideMark/>
          </w:tcPr>
          <w:p w:rsidR="00231ED3" w:rsidRPr="00EB2995" w:rsidRDefault="00231ED3" w:rsidP="00A70A31">
            <w:pPr>
              <w:rPr>
                <w:rFonts w:cs="Calibri"/>
                <w:sz w:val="20"/>
                <w:szCs w:val="20"/>
                <w:lang w:eastAsia="en-GB"/>
              </w:rPr>
            </w:pPr>
          </w:p>
        </w:tc>
        <w:tc>
          <w:tcPr>
            <w:tcW w:w="1127" w:type="dxa"/>
            <w:tcBorders>
              <w:top w:val="nil"/>
              <w:left w:val="nil"/>
              <w:bottom w:val="nil"/>
              <w:right w:val="nil"/>
            </w:tcBorders>
            <w:shd w:val="clear" w:color="auto" w:fill="auto"/>
            <w:noWrap/>
            <w:vAlign w:val="bottom"/>
            <w:hideMark/>
          </w:tcPr>
          <w:p w:rsidR="00231ED3" w:rsidRPr="00EB2995" w:rsidRDefault="00231ED3" w:rsidP="00A70A31">
            <w:pPr>
              <w:rPr>
                <w:rFonts w:cs="Calibri"/>
                <w:sz w:val="20"/>
                <w:szCs w:val="20"/>
                <w:lang w:eastAsia="en-GB"/>
              </w:rPr>
            </w:pPr>
          </w:p>
        </w:tc>
      </w:tr>
      <w:tr w:rsidR="00231ED3" w:rsidRPr="00EB2995" w:rsidTr="00231ED3">
        <w:trPr>
          <w:trHeight w:hRule="exact" w:val="397"/>
        </w:trPr>
        <w:tc>
          <w:tcPr>
            <w:tcW w:w="940" w:type="dxa"/>
            <w:tcBorders>
              <w:top w:val="single" w:sz="4" w:space="0" w:color="auto"/>
              <w:left w:val="single" w:sz="4" w:space="0" w:color="auto"/>
              <w:bottom w:val="nil"/>
              <w:right w:val="nil"/>
            </w:tcBorders>
            <w:shd w:val="clear" w:color="auto" w:fill="auto"/>
            <w:noWrap/>
            <w:vAlign w:val="bottom"/>
            <w:hideMark/>
          </w:tcPr>
          <w:p w:rsidR="00231ED3" w:rsidRPr="00EB2995" w:rsidRDefault="00231ED3" w:rsidP="00A70A31">
            <w:pPr>
              <w:jc w:val="right"/>
              <w:rPr>
                <w:rFonts w:cs="Calibri"/>
                <w:color w:val="000000"/>
                <w:lang w:eastAsia="en-GB"/>
              </w:rPr>
            </w:pPr>
            <w:r w:rsidRPr="00EB2995">
              <w:rPr>
                <w:rFonts w:cs="Calibri"/>
                <w:color w:val="000000"/>
                <w:lang w:eastAsia="en-GB"/>
              </w:rPr>
              <w:t>(6.0)</w:t>
            </w:r>
          </w:p>
        </w:tc>
        <w:tc>
          <w:tcPr>
            <w:tcW w:w="1005" w:type="dxa"/>
            <w:tcBorders>
              <w:top w:val="single" w:sz="4" w:space="0" w:color="auto"/>
              <w:left w:val="nil"/>
              <w:bottom w:val="nil"/>
              <w:right w:val="nil"/>
            </w:tcBorders>
            <w:shd w:val="clear" w:color="auto" w:fill="auto"/>
            <w:noWrap/>
            <w:vAlign w:val="bottom"/>
            <w:hideMark/>
          </w:tcPr>
          <w:p w:rsidR="00231ED3" w:rsidRPr="00EB2995" w:rsidRDefault="00231ED3" w:rsidP="00A70A31">
            <w:pPr>
              <w:jc w:val="right"/>
              <w:rPr>
                <w:rFonts w:cs="Calibri"/>
                <w:color w:val="000000"/>
                <w:lang w:eastAsia="en-GB"/>
              </w:rPr>
            </w:pPr>
            <w:r w:rsidRPr="00EB2995">
              <w:rPr>
                <w:rFonts w:cs="Calibri"/>
                <w:color w:val="000000"/>
                <w:lang w:eastAsia="en-GB"/>
              </w:rPr>
              <w:t>5.7</w:t>
            </w:r>
          </w:p>
        </w:tc>
        <w:tc>
          <w:tcPr>
            <w:tcW w:w="1316" w:type="dxa"/>
            <w:tcBorders>
              <w:top w:val="single" w:sz="4" w:space="0" w:color="auto"/>
              <w:left w:val="nil"/>
              <w:bottom w:val="nil"/>
              <w:right w:val="single" w:sz="4" w:space="0" w:color="auto"/>
            </w:tcBorders>
            <w:shd w:val="clear" w:color="auto" w:fill="auto"/>
            <w:noWrap/>
            <w:vAlign w:val="bottom"/>
            <w:hideMark/>
          </w:tcPr>
          <w:p w:rsidR="00231ED3" w:rsidRPr="00EB2995" w:rsidRDefault="00231ED3" w:rsidP="00A70A31">
            <w:pPr>
              <w:jc w:val="right"/>
              <w:rPr>
                <w:rFonts w:cs="Calibri"/>
                <w:b/>
                <w:bCs/>
                <w:color w:val="000000"/>
                <w:lang w:eastAsia="en-GB"/>
              </w:rPr>
            </w:pPr>
            <w:r w:rsidRPr="00EB2995">
              <w:rPr>
                <w:rFonts w:cs="Calibri"/>
                <w:b/>
                <w:bCs/>
                <w:color w:val="000000"/>
                <w:lang w:eastAsia="en-GB"/>
              </w:rPr>
              <w:t>(0.3)</w:t>
            </w:r>
          </w:p>
        </w:tc>
        <w:tc>
          <w:tcPr>
            <w:tcW w:w="3608" w:type="dxa"/>
            <w:tcBorders>
              <w:top w:val="nil"/>
              <w:left w:val="nil"/>
              <w:bottom w:val="nil"/>
              <w:right w:val="nil"/>
            </w:tcBorders>
            <w:shd w:val="clear" w:color="auto" w:fill="auto"/>
            <w:noWrap/>
            <w:vAlign w:val="bottom"/>
            <w:hideMark/>
          </w:tcPr>
          <w:p w:rsidR="00231ED3" w:rsidRPr="00EB2995" w:rsidRDefault="00231ED3" w:rsidP="00A70A31">
            <w:pPr>
              <w:rPr>
                <w:rFonts w:cs="Calibri"/>
                <w:color w:val="000000"/>
                <w:lang w:eastAsia="en-GB"/>
              </w:rPr>
            </w:pPr>
            <w:r w:rsidRPr="00EB2995">
              <w:rPr>
                <w:rFonts w:cs="Calibri"/>
                <w:color w:val="000000"/>
                <w:lang w:eastAsia="en-GB"/>
              </w:rPr>
              <w:t>(Surplus)/Deficit brought forward</w:t>
            </w:r>
          </w:p>
        </w:tc>
        <w:tc>
          <w:tcPr>
            <w:tcW w:w="942" w:type="dxa"/>
            <w:tcBorders>
              <w:top w:val="single" w:sz="4" w:space="0" w:color="auto"/>
              <w:left w:val="single" w:sz="4" w:space="0" w:color="auto"/>
              <w:bottom w:val="nil"/>
              <w:right w:val="nil"/>
            </w:tcBorders>
            <w:shd w:val="clear" w:color="auto" w:fill="auto"/>
            <w:noWrap/>
            <w:vAlign w:val="bottom"/>
            <w:hideMark/>
          </w:tcPr>
          <w:p w:rsidR="00231ED3" w:rsidRPr="00EB2995" w:rsidRDefault="00231ED3" w:rsidP="00A70A31">
            <w:pPr>
              <w:jc w:val="right"/>
              <w:rPr>
                <w:rFonts w:cs="Calibri"/>
                <w:color w:val="000000"/>
                <w:lang w:eastAsia="en-GB"/>
              </w:rPr>
            </w:pPr>
            <w:r w:rsidRPr="00EB2995">
              <w:rPr>
                <w:rFonts w:cs="Calibri"/>
                <w:color w:val="000000"/>
                <w:lang w:eastAsia="en-GB"/>
              </w:rPr>
              <w:t>(3.6)</w:t>
            </w:r>
          </w:p>
        </w:tc>
        <w:tc>
          <w:tcPr>
            <w:tcW w:w="1008" w:type="dxa"/>
            <w:tcBorders>
              <w:top w:val="single" w:sz="4" w:space="0" w:color="auto"/>
              <w:left w:val="nil"/>
              <w:bottom w:val="nil"/>
              <w:right w:val="nil"/>
            </w:tcBorders>
            <w:shd w:val="clear" w:color="auto" w:fill="auto"/>
            <w:noWrap/>
            <w:vAlign w:val="bottom"/>
            <w:hideMark/>
          </w:tcPr>
          <w:p w:rsidR="00231ED3" w:rsidRPr="00EB2995" w:rsidRDefault="00231ED3" w:rsidP="00A70A31">
            <w:pPr>
              <w:jc w:val="right"/>
              <w:rPr>
                <w:rFonts w:cs="Calibri"/>
                <w:color w:val="000000"/>
                <w:lang w:eastAsia="en-GB"/>
              </w:rPr>
            </w:pPr>
            <w:r w:rsidRPr="00EB2995">
              <w:rPr>
                <w:rFonts w:cs="Calibri"/>
                <w:color w:val="000000"/>
                <w:lang w:eastAsia="en-GB"/>
              </w:rPr>
              <w:t>2.5</w:t>
            </w:r>
          </w:p>
        </w:tc>
        <w:tc>
          <w:tcPr>
            <w:tcW w:w="1127" w:type="dxa"/>
            <w:tcBorders>
              <w:top w:val="single" w:sz="4" w:space="0" w:color="auto"/>
              <w:left w:val="nil"/>
              <w:bottom w:val="nil"/>
              <w:right w:val="single" w:sz="4" w:space="0" w:color="auto"/>
            </w:tcBorders>
            <w:shd w:val="clear" w:color="auto" w:fill="auto"/>
            <w:noWrap/>
            <w:vAlign w:val="bottom"/>
            <w:hideMark/>
          </w:tcPr>
          <w:p w:rsidR="00231ED3" w:rsidRPr="00EB2995" w:rsidRDefault="00231ED3" w:rsidP="00A70A31">
            <w:pPr>
              <w:jc w:val="right"/>
              <w:rPr>
                <w:rFonts w:cs="Calibri"/>
                <w:b/>
                <w:bCs/>
                <w:color w:val="000000"/>
                <w:lang w:eastAsia="en-GB"/>
              </w:rPr>
            </w:pPr>
            <w:r w:rsidRPr="00EB2995">
              <w:rPr>
                <w:rFonts w:cs="Calibri"/>
                <w:b/>
                <w:bCs/>
                <w:color w:val="000000"/>
                <w:lang w:eastAsia="en-GB"/>
              </w:rPr>
              <w:t>(1.1)</w:t>
            </w:r>
          </w:p>
        </w:tc>
      </w:tr>
      <w:tr w:rsidR="00231ED3" w:rsidRPr="00EB2995" w:rsidTr="00231ED3">
        <w:trPr>
          <w:trHeight w:hRule="exact" w:val="397"/>
        </w:trPr>
        <w:tc>
          <w:tcPr>
            <w:tcW w:w="940" w:type="dxa"/>
            <w:tcBorders>
              <w:top w:val="nil"/>
              <w:left w:val="single" w:sz="4" w:space="0" w:color="auto"/>
              <w:bottom w:val="single" w:sz="4" w:space="0" w:color="auto"/>
              <w:right w:val="nil"/>
            </w:tcBorders>
            <w:shd w:val="clear" w:color="auto" w:fill="auto"/>
            <w:noWrap/>
            <w:vAlign w:val="bottom"/>
            <w:hideMark/>
          </w:tcPr>
          <w:p w:rsidR="00231ED3" w:rsidRPr="00EB2995" w:rsidRDefault="00231ED3" w:rsidP="00A70A31">
            <w:pPr>
              <w:jc w:val="right"/>
              <w:rPr>
                <w:rFonts w:cs="Calibri"/>
                <w:color w:val="000000"/>
                <w:lang w:eastAsia="en-GB"/>
              </w:rPr>
            </w:pPr>
            <w:r w:rsidRPr="00EB2995">
              <w:rPr>
                <w:rFonts w:cs="Calibri"/>
                <w:color w:val="000000"/>
                <w:lang w:eastAsia="en-GB"/>
              </w:rPr>
              <w:t>2.4</w:t>
            </w:r>
          </w:p>
        </w:tc>
        <w:tc>
          <w:tcPr>
            <w:tcW w:w="1005" w:type="dxa"/>
            <w:tcBorders>
              <w:top w:val="nil"/>
              <w:left w:val="single" w:sz="4" w:space="0" w:color="auto"/>
              <w:bottom w:val="single" w:sz="4" w:space="0" w:color="auto"/>
              <w:right w:val="nil"/>
            </w:tcBorders>
            <w:shd w:val="clear" w:color="auto" w:fill="auto"/>
            <w:noWrap/>
            <w:vAlign w:val="bottom"/>
            <w:hideMark/>
          </w:tcPr>
          <w:p w:rsidR="00231ED3" w:rsidRPr="00EB2995" w:rsidRDefault="00231ED3" w:rsidP="00A70A31">
            <w:pPr>
              <w:jc w:val="right"/>
              <w:rPr>
                <w:rFonts w:cs="Calibri"/>
                <w:color w:val="000000"/>
                <w:lang w:eastAsia="en-GB"/>
              </w:rPr>
            </w:pPr>
            <w:r w:rsidRPr="00EB2995">
              <w:rPr>
                <w:rFonts w:cs="Calibri"/>
                <w:color w:val="000000"/>
                <w:lang w:eastAsia="en-GB"/>
              </w:rPr>
              <w:t>(3.2)</w:t>
            </w:r>
          </w:p>
        </w:tc>
        <w:tc>
          <w:tcPr>
            <w:tcW w:w="1316" w:type="dxa"/>
            <w:tcBorders>
              <w:top w:val="nil"/>
              <w:left w:val="nil"/>
              <w:bottom w:val="single" w:sz="4" w:space="0" w:color="auto"/>
              <w:right w:val="single" w:sz="4" w:space="0" w:color="auto"/>
            </w:tcBorders>
            <w:shd w:val="clear" w:color="auto" w:fill="auto"/>
            <w:noWrap/>
            <w:vAlign w:val="bottom"/>
            <w:hideMark/>
          </w:tcPr>
          <w:p w:rsidR="00231ED3" w:rsidRPr="00EB2995" w:rsidRDefault="00231ED3" w:rsidP="00A70A31">
            <w:pPr>
              <w:jc w:val="right"/>
              <w:rPr>
                <w:rFonts w:cs="Calibri"/>
                <w:b/>
                <w:bCs/>
                <w:color w:val="000000"/>
                <w:lang w:eastAsia="en-GB"/>
              </w:rPr>
            </w:pPr>
            <w:r w:rsidRPr="00EB2995">
              <w:rPr>
                <w:rFonts w:cs="Calibri"/>
                <w:b/>
                <w:bCs/>
                <w:color w:val="000000"/>
                <w:lang w:eastAsia="en-GB"/>
              </w:rPr>
              <w:t>(0.8)</w:t>
            </w:r>
          </w:p>
        </w:tc>
        <w:tc>
          <w:tcPr>
            <w:tcW w:w="3608" w:type="dxa"/>
            <w:tcBorders>
              <w:top w:val="nil"/>
              <w:left w:val="nil"/>
              <w:bottom w:val="nil"/>
              <w:right w:val="nil"/>
            </w:tcBorders>
            <w:shd w:val="clear" w:color="auto" w:fill="auto"/>
            <w:noWrap/>
            <w:vAlign w:val="bottom"/>
            <w:hideMark/>
          </w:tcPr>
          <w:p w:rsidR="00231ED3" w:rsidRPr="00EB2995" w:rsidRDefault="00231ED3" w:rsidP="00A70A31">
            <w:pPr>
              <w:rPr>
                <w:rFonts w:cs="Calibri"/>
                <w:color w:val="000000"/>
                <w:lang w:eastAsia="en-GB"/>
              </w:rPr>
            </w:pPr>
            <w:r w:rsidRPr="00EB2995">
              <w:rPr>
                <w:rFonts w:cs="Calibri"/>
                <w:color w:val="000000"/>
                <w:lang w:eastAsia="en-GB"/>
              </w:rPr>
              <w:t>Total Net (Surplus)/Deficit in year</w:t>
            </w:r>
          </w:p>
        </w:tc>
        <w:tc>
          <w:tcPr>
            <w:tcW w:w="942" w:type="dxa"/>
            <w:tcBorders>
              <w:top w:val="nil"/>
              <w:left w:val="single" w:sz="4" w:space="0" w:color="auto"/>
              <w:bottom w:val="single" w:sz="4" w:space="0" w:color="auto"/>
              <w:right w:val="nil"/>
            </w:tcBorders>
            <w:shd w:val="clear" w:color="auto" w:fill="auto"/>
            <w:noWrap/>
            <w:vAlign w:val="bottom"/>
            <w:hideMark/>
          </w:tcPr>
          <w:p w:rsidR="00231ED3" w:rsidRPr="00EB2995" w:rsidRDefault="00231ED3" w:rsidP="00A70A31">
            <w:pPr>
              <w:jc w:val="right"/>
              <w:rPr>
                <w:rFonts w:cs="Calibri"/>
                <w:color w:val="000000"/>
                <w:lang w:eastAsia="en-GB"/>
              </w:rPr>
            </w:pPr>
            <w:r w:rsidRPr="00EB2995">
              <w:rPr>
                <w:rFonts w:cs="Calibri"/>
                <w:color w:val="000000"/>
                <w:lang w:eastAsia="en-GB"/>
              </w:rPr>
              <w:t>2.4</w:t>
            </w:r>
          </w:p>
        </w:tc>
        <w:tc>
          <w:tcPr>
            <w:tcW w:w="1008" w:type="dxa"/>
            <w:tcBorders>
              <w:top w:val="nil"/>
              <w:left w:val="nil"/>
              <w:bottom w:val="single" w:sz="4" w:space="0" w:color="auto"/>
              <w:right w:val="nil"/>
            </w:tcBorders>
            <w:shd w:val="clear" w:color="auto" w:fill="auto"/>
            <w:noWrap/>
            <w:vAlign w:val="bottom"/>
            <w:hideMark/>
          </w:tcPr>
          <w:p w:rsidR="00231ED3" w:rsidRPr="00EB2995" w:rsidRDefault="00231ED3" w:rsidP="00A70A31">
            <w:pPr>
              <w:jc w:val="right"/>
              <w:rPr>
                <w:rFonts w:cs="Calibri"/>
                <w:color w:val="000000"/>
                <w:lang w:eastAsia="en-GB"/>
              </w:rPr>
            </w:pPr>
            <w:r w:rsidRPr="00EB2995">
              <w:rPr>
                <w:rFonts w:cs="Calibri"/>
                <w:color w:val="000000"/>
                <w:lang w:eastAsia="en-GB"/>
              </w:rPr>
              <w:t>4.6</w:t>
            </w:r>
          </w:p>
        </w:tc>
        <w:tc>
          <w:tcPr>
            <w:tcW w:w="1127" w:type="dxa"/>
            <w:tcBorders>
              <w:top w:val="nil"/>
              <w:left w:val="nil"/>
              <w:bottom w:val="single" w:sz="4" w:space="0" w:color="auto"/>
              <w:right w:val="single" w:sz="4" w:space="0" w:color="auto"/>
            </w:tcBorders>
            <w:shd w:val="clear" w:color="auto" w:fill="auto"/>
            <w:noWrap/>
            <w:vAlign w:val="bottom"/>
            <w:hideMark/>
          </w:tcPr>
          <w:p w:rsidR="00231ED3" w:rsidRPr="00EB2995" w:rsidRDefault="00231ED3" w:rsidP="00A70A31">
            <w:pPr>
              <w:jc w:val="right"/>
              <w:rPr>
                <w:rFonts w:cs="Calibri"/>
                <w:b/>
                <w:bCs/>
                <w:color w:val="000000"/>
                <w:lang w:eastAsia="en-GB"/>
              </w:rPr>
            </w:pPr>
            <w:r w:rsidRPr="00EB2995">
              <w:rPr>
                <w:rFonts w:cs="Calibri"/>
                <w:b/>
                <w:bCs/>
                <w:color w:val="000000"/>
                <w:lang w:eastAsia="en-GB"/>
              </w:rPr>
              <w:t>7.0</w:t>
            </w:r>
          </w:p>
        </w:tc>
      </w:tr>
      <w:tr w:rsidR="00231ED3" w:rsidRPr="00EB2995" w:rsidTr="00231ED3">
        <w:trPr>
          <w:trHeight w:hRule="exact" w:val="397"/>
        </w:trPr>
        <w:tc>
          <w:tcPr>
            <w:tcW w:w="940" w:type="dxa"/>
            <w:tcBorders>
              <w:top w:val="nil"/>
              <w:left w:val="single" w:sz="4" w:space="0" w:color="auto"/>
              <w:bottom w:val="single" w:sz="4" w:space="0" w:color="auto"/>
              <w:right w:val="nil"/>
            </w:tcBorders>
            <w:shd w:val="clear" w:color="auto" w:fill="auto"/>
            <w:noWrap/>
            <w:vAlign w:val="bottom"/>
            <w:hideMark/>
          </w:tcPr>
          <w:p w:rsidR="00231ED3" w:rsidRPr="00EB2995" w:rsidRDefault="00231ED3" w:rsidP="00A70A31">
            <w:pPr>
              <w:jc w:val="right"/>
              <w:rPr>
                <w:rFonts w:cs="Calibri"/>
                <w:b/>
                <w:bCs/>
                <w:color w:val="000000"/>
                <w:lang w:eastAsia="en-GB"/>
              </w:rPr>
            </w:pPr>
            <w:r w:rsidRPr="00EB2995">
              <w:rPr>
                <w:rFonts w:cs="Calibri"/>
                <w:b/>
                <w:bCs/>
                <w:color w:val="000000"/>
                <w:lang w:eastAsia="en-GB"/>
              </w:rPr>
              <w:t>(3.6)</w:t>
            </w:r>
          </w:p>
        </w:tc>
        <w:tc>
          <w:tcPr>
            <w:tcW w:w="1005" w:type="dxa"/>
            <w:tcBorders>
              <w:top w:val="nil"/>
              <w:left w:val="nil"/>
              <w:bottom w:val="single" w:sz="4" w:space="0" w:color="auto"/>
              <w:right w:val="nil"/>
            </w:tcBorders>
            <w:shd w:val="clear" w:color="auto" w:fill="auto"/>
            <w:noWrap/>
            <w:vAlign w:val="bottom"/>
            <w:hideMark/>
          </w:tcPr>
          <w:p w:rsidR="00231ED3" w:rsidRPr="00EB2995" w:rsidRDefault="00231ED3" w:rsidP="00A70A31">
            <w:pPr>
              <w:jc w:val="right"/>
              <w:rPr>
                <w:rFonts w:cs="Calibri"/>
                <w:b/>
                <w:bCs/>
                <w:color w:val="000000"/>
                <w:lang w:eastAsia="en-GB"/>
              </w:rPr>
            </w:pPr>
            <w:r w:rsidRPr="00EB2995">
              <w:rPr>
                <w:rFonts w:cs="Calibri"/>
                <w:b/>
                <w:bCs/>
                <w:color w:val="000000"/>
                <w:lang w:eastAsia="en-GB"/>
              </w:rPr>
              <w:t>2.5</w:t>
            </w:r>
          </w:p>
        </w:tc>
        <w:tc>
          <w:tcPr>
            <w:tcW w:w="1316" w:type="dxa"/>
            <w:tcBorders>
              <w:top w:val="nil"/>
              <w:left w:val="nil"/>
              <w:bottom w:val="single" w:sz="4" w:space="0" w:color="auto"/>
              <w:right w:val="single" w:sz="4" w:space="0" w:color="auto"/>
            </w:tcBorders>
            <w:shd w:val="clear" w:color="auto" w:fill="auto"/>
            <w:noWrap/>
            <w:vAlign w:val="bottom"/>
            <w:hideMark/>
          </w:tcPr>
          <w:p w:rsidR="00231ED3" w:rsidRPr="00EB2995" w:rsidRDefault="00231ED3" w:rsidP="00A70A31">
            <w:pPr>
              <w:jc w:val="right"/>
              <w:rPr>
                <w:rFonts w:cs="Calibri"/>
                <w:b/>
                <w:bCs/>
                <w:color w:val="000000"/>
                <w:lang w:eastAsia="en-GB"/>
              </w:rPr>
            </w:pPr>
            <w:r w:rsidRPr="00EB2995">
              <w:rPr>
                <w:rFonts w:cs="Calibri"/>
                <w:b/>
                <w:bCs/>
                <w:color w:val="000000"/>
                <w:lang w:eastAsia="en-GB"/>
              </w:rPr>
              <w:t>(1.1)</w:t>
            </w:r>
          </w:p>
        </w:tc>
        <w:tc>
          <w:tcPr>
            <w:tcW w:w="3608" w:type="dxa"/>
            <w:tcBorders>
              <w:top w:val="nil"/>
              <w:left w:val="nil"/>
              <w:bottom w:val="nil"/>
              <w:right w:val="nil"/>
            </w:tcBorders>
            <w:shd w:val="clear" w:color="auto" w:fill="auto"/>
            <w:noWrap/>
            <w:vAlign w:val="bottom"/>
            <w:hideMark/>
          </w:tcPr>
          <w:p w:rsidR="00231ED3" w:rsidRPr="00EB2995" w:rsidRDefault="00231ED3" w:rsidP="00A70A31">
            <w:pPr>
              <w:rPr>
                <w:rFonts w:cs="Calibri"/>
                <w:b/>
                <w:bCs/>
                <w:color w:val="000000"/>
                <w:lang w:eastAsia="en-GB"/>
              </w:rPr>
            </w:pPr>
            <w:r w:rsidRPr="00EB2995">
              <w:rPr>
                <w:rFonts w:cs="Calibri"/>
                <w:b/>
                <w:bCs/>
                <w:color w:val="000000"/>
                <w:lang w:eastAsia="en-GB"/>
              </w:rPr>
              <w:t>(Surplus)/Deficit carried forward</w:t>
            </w:r>
          </w:p>
        </w:tc>
        <w:tc>
          <w:tcPr>
            <w:tcW w:w="942" w:type="dxa"/>
            <w:tcBorders>
              <w:top w:val="nil"/>
              <w:left w:val="single" w:sz="4" w:space="0" w:color="auto"/>
              <w:bottom w:val="single" w:sz="4" w:space="0" w:color="auto"/>
              <w:right w:val="nil"/>
            </w:tcBorders>
            <w:shd w:val="clear" w:color="auto" w:fill="auto"/>
            <w:noWrap/>
            <w:vAlign w:val="bottom"/>
            <w:hideMark/>
          </w:tcPr>
          <w:p w:rsidR="00231ED3" w:rsidRPr="00EB2995" w:rsidRDefault="00231ED3" w:rsidP="00A70A31">
            <w:pPr>
              <w:jc w:val="right"/>
              <w:rPr>
                <w:rFonts w:cs="Calibri"/>
                <w:b/>
                <w:bCs/>
                <w:color w:val="000000"/>
                <w:lang w:eastAsia="en-GB"/>
              </w:rPr>
            </w:pPr>
            <w:r w:rsidRPr="00EB2995">
              <w:rPr>
                <w:rFonts w:cs="Calibri"/>
                <w:b/>
                <w:bCs/>
                <w:color w:val="000000"/>
                <w:lang w:eastAsia="en-GB"/>
              </w:rPr>
              <w:t>(1.2)</w:t>
            </w:r>
          </w:p>
        </w:tc>
        <w:tc>
          <w:tcPr>
            <w:tcW w:w="1008" w:type="dxa"/>
            <w:tcBorders>
              <w:top w:val="nil"/>
              <w:left w:val="nil"/>
              <w:bottom w:val="single" w:sz="4" w:space="0" w:color="auto"/>
              <w:right w:val="nil"/>
            </w:tcBorders>
            <w:shd w:val="clear" w:color="auto" w:fill="auto"/>
            <w:noWrap/>
            <w:vAlign w:val="bottom"/>
            <w:hideMark/>
          </w:tcPr>
          <w:p w:rsidR="00231ED3" w:rsidRPr="00EB2995" w:rsidRDefault="00231ED3" w:rsidP="00A70A31">
            <w:pPr>
              <w:jc w:val="right"/>
              <w:rPr>
                <w:rFonts w:cs="Calibri"/>
                <w:b/>
                <w:bCs/>
                <w:color w:val="000000"/>
                <w:lang w:eastAsia="en-GB"/>
              </w:rPr>
            </w:pPr>
            <w:r w:rsidRPr="00EB2995">
              <w:rPr>
                <w:rFonts w:cs="Calibri"/>
                <w:b/>
                <w:bCs/>
                <w:color w:val="000000"/>
                <w:lang w:eastAsia="en-GB"/>
              </w:rPr>
              <w:t>7.1</w:t>
            </w:r>
          </w:p>
        </w:tc>
        <w:tc>
          <w:tcPr>
            <w:tcW w:w="1127" w:type="dxa"/>
            <w:tcBorders>
              <w:top w:val="nil"/>
              <w:left w:val="nil"/>
              <w:bottom w:val="single" w:sz="4" w:space="0" w:color="auto"/>
              <w:right w:val="single" w:sz="4" w:space="0" w:color="auto"/>
            </w:tcBorders>
            <w:shd w:val="clear" w:color="auto" w:fill="auto"/>
            <w:noWrap/>
            <w:vAlign w:val="bottom"/>
            <w:hideMark/>
          </w:tcPr>
          <w:p w:rsidR="00231ED3" w:rsidRPr="00EB2995" w:rsidRDefault="00231ED3" w:rsidP="00A70A31">
            <w:pPr>
              <w:jc w:val="right"/>
              <w:rPr>
                <w:rFonts w:cs="Calibri"/>
                <w:b/>
                <w:bCs/>
                <w:color w:val="000000"/>
                <w:lang w:eastAsia="en-GB"/>
              </w:rPr>
            </w:pPr>
            <w:r w:rsidRPr="00EB2995">
              <w:rPr>
                <w:rFonts w:cs="Calibri"/>
                <w:b/>
                <w:bCs/>
                <w:color w:val="000000"/>
                <w:lang w:eastAsia="en-GB"/>
              </w:rPr>
              <w:t>5.9</w:t>
            </w:r>
          </w:p>
        </w:tc>
      </w:tr>
      <w:tr w:rsidR="00231ED3" w:rsidRPr="00EB2995" w:rsidTr="00231ED3">
        <w:trPr>
          <w:trHeight w:hRule="exact" w:val="397"/>
        </w:trPr>
        <w:tc>
          <w:tcPr>
            <w:tcW w:w="940" w:type="dxa"/>
            <w:tcBorders>
              <w:top w:val="nil"/>
              <w:left w:val="nil"/>
              <w:bottom w:val="nil"/>
              <w:right w:val="nil"/>
            </w:tcBorders>
            <w:shd w:val="clear" w:color="auto" w:fill="auto"/>
            <w:noWrap/>
            <w:vAlign w:val="bottom"/>
            <w:hideMark/>
          </w:tcPr>
          <w:p w:rsidR="00231ED3" w:rsidRPr="00EB2995" w:rsidRDefault="00231ED3" w:rsidP="00A70A31">
            <w:pPr>
              <w:jc w:val="right"/>
              <w:rPr>
                <w:rFonts w:cs="Calibri"/>
                <w:b/>
                <w:bCs/>
                <w:color w:val="000000"/>
                <w:lang w:eastAsia="en-GB"/>
              </w:rPr>
            </w:pPr>
          </w:p>
        </w:tc>
        <w:tc>
          <w:tcPr>
            <w:tcW w:w="1005" w:type="dxa"/>
            <w:tcBorders>
              <w:top w:val="nil"/>
              <w:left w:val="nil"/>
              <w:bottom w:val="nil"/>
              <w:right w:val="nil"/>
            </w:tcBorders>
            <w:shd w:val="clear" w:color="auto" w:fill="auto"/>
            <w:noWrap/>
            <w:vAlign w:val="bottom"/>
            <w:hideMark/>
          </w:tcPr>
          <w:p w:rsidR="00231ED3" w:rsidRPr="00EB2995" w:rsidRDefault="00231ED3" w:rsidP="00A70A31">
            <w:pPr>
              <w:rPr>
                <w:rFonts w:cs="Calibri"/>
                <w:sz w:val="20"/>
                <w:szCs w:val="20"/>
                <w:lang w:eastAsia="en-GB"/>
              </w:rPr>
            </w:pPr>
          </w:p>
        </w:tc>
        <w:tc>
          <w:tcPr>
            <w:tcW w:w="1316" w:type="dxa"/>
            <w:tcBorders>
              <w:top w:val="nil"/>
              <w:left w:val="nil"/>
              <w:bottom w:val="nil"/>
              <w:right w:val="nil"/>
            </w:tcBorders>
            <w:shd w:val="clear" w:color="auto" w:fill="auto"/>
            <w:noWrap/>
            <w:vAlign w:val="bottom"/>
            <w:hideMark/>
          </w:tcPr>
          <w:p w:rsidR="00231ED3" w:rsidRPr="00EB2995" w:rsidRDefault="00231ED3" w:rsidP="00A70A31">
            <w:pPr>
              <w:rPr>
                <w:rFonts w:cs="Calibri"/>
                <w:sz w:val="20"/>
                <w:szCs w:val="20"/>
                <w:lang w:eastAsia="en-GB"/>
              </w:rPr>
            </w:pPr>
          </w:p>
        </w:tc>
        <w:tc>
          <w:tcPr>
            <w:tcW w:w="3608" w:type="dxa"/>
            <w:tcBorders>
              <w:top w:val="nil"/>
              <w:left w:val="nil"/>
              <w:bottom w:val="nil"/>
              <w:right w:val="nil"/>
            </w:tcBorders>
            <w:shd w:val="clear" w:color="auto" w:fill="auto"/>
            <w:noWrap/>
            <w:vAlign w:val="bottom"/>
            <w:hideMark/>
          </w:tcPr>
          <w:p w:rsidR="00231ED3" w:rsidRPr="00EB2995" w:rsidRDefault="00231ED3" w:rsidP="00A70A31">
            <w:pPr>
              <w:rPr>
                <w:rFonts w:cs="Calibri"/>
                <w:sz w:val="20"/>
                <w:szCs w:val="20"/>
                <w:lang w:eastAsia="en-GB"/>
              </w:rPr>
            </w:pPr>
          </w:p>
        </w:tc>
        <w:tc>
          <w:tcPr>
            <w:tcW w:w="942" w:type="dxa"/>
            <w:tcBorders>
              <w:top w:val="nil"/>
              <w:left w:val="nil"/>
              <w:bottom w:val="nil"/>
              <w:right w:val="nil"/>
            </w:tcBorders>
            <w:shd w:val="clear" w:color="auto" w:fill="auto"/>
            <w:noWrap/>
            <w:vAlign w:val="bottom"/>
            <w:hideMark/>
          </w:tcPr>
          <w:p w:rsidR="00231ED3" w:rsidRPr="00EB2995" w:rsidRDefault="00231ED3" w:rsidP="00A70A31">
            <w:pPr>
              <w:rPr>
                <w:rFonts w:cs="Calibri"/>
                <w:sz w:val="20"/>
                <w:szCs w:val="20"/>
                <w:lang w:eastAsia="en-GB"/>
              </w:rPr>
            </w:pPr>
          </w:p>
        </w:tc>
        <w:tc>
          <w:tcPr>
            <w:tcW w:w="1008" w:type="dxa"/>
            <w:tcBorders>
              <w:top w:val="nil"/>
              <w:left w:val="nil"/>
              <w:bottom w:val="nil"/>
              <w:right w:val="nil"/>
            </w:tcBorders>
            <w:shd w:val="clear" w:color="auto" w:fill="auto"/>
            <w:noWrap/>
            <w:vAlign w:val="bottom"/>
            <w:hideMark/>
          </w:tcPr>
          <w:p w:rsidR="00231ED3" w:rsidRPr="00EB2995" w:rsidRDefault="00231ED3" w:rsidP="00A70A31">
            <w:pPr>
              <w:rPr>
                <w:rFonts w:cs="Calibri"/>
                <w:sz w:val="20"/>
                <w:szCs w:val="20"/>
                <w:lang w:eastAsia="en-GB"/>
              </w:rPr>
            </w:pPr>
          </w:p>
        </w:tc>
        <w:tc>
          <w:tcPr>
            <w:tcW w:w="1127" w:type="dxa"/>
            <w:tcBorders>
              <w:top w:val="nil"/>
              <w:left w:val="nil"/>
              <w:bottom w:val="nil"/>
              <w:right w:val="nil"/>
            </w:tcBorders>
            <w:shd w:val="clear" w:color="auto" w:fill="auto"/>
            <w:noWrap/>
            <w:vAlign w:val="bottom"/>
            <w:hideMark/>
          </w:tcPr>
          <w:p w:rsidR="00231ED3" w:rsidRPr="00EB2995" w:rsidRDefault="00231ED3" w:rsidP="00A70A31">
            <w:pPr>
              <w:rPr>
                <w:rFonts w:cs="Calibri"/>
                <w:sz w:val="20"/>
                <w:szCs w:val="20"/>
                <w:lang w:eastAsia="en-GB"/>
              </w:rPr>
            </w:pPr>
          </w:p>
        </w:tc>
      </w:tr>
      <w:tr w:rsidR="00231ED3" w:rsidRPr="00EB2995" w:rsidTr="00231ED3">
        <w:trPr>
          <w:trHeight w:hRule="exact" w:val="397"/>
        </w:trPr>
        <w:tc>
          <w:tcPr>
            <w:tcW w:w="940" w:type="dxa"/>
            <w:tcBorders>
              <w:top w:val="nil"/>
              <w:left w:val="nil"/>
              <w:bottom w:val="nil"/>
              <w:right w:val="nil"/>
            </w:tcBorders>
            <w:shd w:val="clear" w:color="auto" w:fill="auto"/>
            <w:noWrap/>
            <w:vAlign w:val="bottom"/>
            <w:hideMark/>
          </w:tcPr>
          <w:p w:rsidR="00231ED3" w:rsidRPr="00EB2995" w:rsidRDefault="00231ED3" w:rsidP="00A70A31">
            <w:pPr>
              <w:rPr>
                <w:rFonts w:cs="Calibri"/>
                <w:sz w:val="20"/>
                <w:szCs w:val="20"/>
                <w:lang w:eastAsia="en-GB"/>
              </w:rPr>
            </w:pPr>
          </w:p>
        </w:tc>
        <w:tc>
          <w:tcPr>
            <w:tcW w:w="1005" w:type="dxa"/>
            <w:tcBorders>
              <w:top w:val="nil"/>
              <w:left w:val="nil"/>
              <w:bottom w:val="nil"/>
              <w:right w:val="nil"/>
            </w:tcBorders>
            <w:shd w:val="clear" w:color="auto" w:fill="auto"/>
            <w:noWrap/>
            <w:vAlign w:val="bottom"/>
            <w:hideMark/>
          </w:tcPr>
          <w:p w:rsidR="00231ED3" w:rsidRPr="00EB2995" w:rsidRDefault="00231ED3" w:rsidP="00A70A31">
            <w:pPr>
              <w:rPr>
                <w:rFonts w:cs="Calibri"/>
                <w:sz w:val="20"/>
                <w:szCs w:val="20"/>
                <w:lang w:eastAsia="en-GB"/>
              </w:rPr>
            </w:pPr>
          </w:p>
        </w:tc>
        <w:tc>
          <w:tcPr>
            <w:tcW w:w="1316" w:type="dxa"/>
            <w:tcBorders>
              <w:top w:val="nil"/>
              <w:left w:val="nil"/>
              <w:bottom w:val="nil"/>
              <w:right w:val="nil"/>
            </w:tcBorders>
            <w:shd w:val="clear" w:color="auto" w:fill="auto"/>
            <w:noWrap/>
            <w:vAlign w:val="bottom"/>
            <w:hideMark/>
          </w:tcPr>
          <w:p w:rsidR="00231ED3" w:rsidRPr="00EB2995" w:rsidRDefault="00231ED3" w:rsidP="00A70A31">
            <w:pPr>
              <w:rPr>
                <w:rFonts w:cs="Calibri"/>
                <w:sz w:val="20"/>
                <w:szCs w:val="20"/>
                <w:lang w:eastAsia="en-GB"/>
              </w:rPr>
            </w:pPr>
          </w:p>
        </w:tc>
        <w:tc>
          <w:tcPr>
            <w:tcW w:w="4550" w:type="dxa"/>
            <w:gridSpan w:val="2"/>
            <w:tcBorders>
              <w:top w:val="nil"/>
              <w:left w:val="nil"/>
              <w:bottom w:val="nil"/>
              <w:right w:val="nil"/>
            </w:tcBorders>
            <w:shd w:val="clear" w:color="auto" w:fill="auto"/>
            <w:noWrap/>
            <w:vAlign w:val="center"/>
            <w:hideMark/>
          </w:tcPr>
          <w:p w:rsidR="00231ED3" w:rsidRPr="00EB2995" w:rsidRDefault="00231ED3" w:rsidP="00A70A31">
            <w:pPr>
              <w:rPr>
                <w:rFonts w:cs="Calibri"/>
                <w:b/>
                <w:bCs/>
                <w:color w:val="000000"/>
                <w:lang w:eastAsia="en-GB"/>
              </w:rPr>
            </w:pPr>
            <w:r w:rsidRPr="00EB2995">
              <w:rPr>
                <w:rFonts w:cs="Calibri"/>
                <w:b/>
                <w:bCs/>
                <w:color w:val="000000"/>
                <w:lang w:eastAsia="en-GB"/>
              </w:rPr>
              <w:t>Allocation of Collection Fund Balances</w:t>
            </w:r>
          </w:p>
        </w:tc>
        <w:tc>
          <w:tcPr>
            <w:tcW w:w="1008" w:type="dxa"/>
            <w:tcBorders>
              <w:top w:val="nil"/>
              <w:left w:val="nil"/>
              <w:bottom w:val="nil"/>
              <w:right w:val="nil"/>
            </w:tcBorders>
            <w:shd w:val="clear" w:color="auto" w:fill="auto"/>
            <w:noWrap/>
            <w:vAlign w:val="bottom"/>
            <w:hideMark/>
          </w:tcPr>
          <w:p w:rsidR="00231ED3" w:rsidRPr="00EB2995" w:rsidRDefault="00231ED3" w:rsidP="00A70A31">
            <w:pPr>
              <w:rPr>
                <w:rFonts w:cs="Calibri"/>
                <w:b/>
                <w:bCs/>
                <w:color w:val="000000"/>
                <w:lang w:eastAsia="en-GB"/>
              </w:rPr>
            </w:pPr>
          </w:p>
        </w:tc>
        <w:tc>
          <w:tcPr>
            <w:tcW w:w="1127" w:type="dxa"/>
            <w:tcBorders>
              <w:top w:val="nil"/>
              <w:left w:val="nil"/>
              <w:bottom w:val="nil"/>
              <w:right w:val="nil"/>
            </w:tcBorders>
            <w:shd w:val="clear" w:color="auto" w:fill="auto"/>
            <w:noWrap/>
            <w:vAlign w:val="bottom"/>
            <w:hideMark/>
          </w:tcPr>
          <w:p w:rsidR="00231ED3" w:rsidRPr="00EB2995" w:rsidRDefault="00231ED3" w:rsidP="00A70A31">
            <w:pPr>
              <w:rPr>
                <w:rFonts w:cs="Calibri"/>
                <w:sz w:val="20"/>
                <w:szCs w:val="20"/>
                <w:lang w:eastAsia="en-GB"/>
              </w:rPr>
            </w:pPr>
          </w:p>
        </w:tc>
      </w:tr>
      <w:tr w:rsidR="00231ED3" w:rsidRPr="00EB2995" w:rsidTr="00231ED3">
        <w:trPr>
          <w:trHeight w:hRule="exact" w:val="397"/>
        </w:trPr>
        <w:tc>
          <w:tcPr>
            <w:tcW w:w="940" w:type="dxa"/>
            <w:tcBorders>
              <w:top w:val="single" w:sz="4" w:space="0" w:color="auto"/>
              <w:left w:val="single" w:sz="4" w:space="0" w:color="auto"/>
              <w:bottom w:val="nil"/>
              <w:right w:val="nil"/>
            </w:tcBorders>
            <w:shd w:val="clear" w:color="auto" w:fill="auto"/>
            <w:noWrap/>
            <w:vAlign w:val="bottom"/>
            <w:hideMark/>
          </w:tcPr>
          <w:p w:rsidR="00231ED3" w:rsidRPr="00EB2995" w:rsidRDefault="00231ED3" w:rsidP="00A70A31">
            <w:pPr>
              <w:jc w:val="right"/>
              <w:rPr>
                <w:rFonts w:cs="Calibri"/>
                <w:color w:val="000000"/>
                <w:lang w:eastAsia="en-GB"/>
              </w:rPr>
            </w:pPr>
            <w:r w:rsidRPr="00EB2995">
              <w:rPr>
                <w:rFonts w:cs="Calibri"/>
                <w:color w:val="000000"/>
                <w:lang w:eastAsia="en-GB"/>
              </w:rPr>
              <w:t>(2.9)</w:t>
            </w:r>
          </w:p>
        </w:tc>
        <w:tc>
          <w:tcPr>
            <w:tcW w:w="1005" w:type="dxa"/>
            <w:tcBorders>
              <w:top w:val="single" w:sz="4" w:space="0" w:color="auto"/>
              <w:left w:val="nil"/>
              <w:bottom w:val="nil"/>
              <w:right w:val="nil"/>
            </w:tcBorders>
            <w:shd w:val="clear" w:color="auto" w:fill="auto"/>
            <w:noWrap/>
            <w:vAlign w:val="bottom"/>
            <w:hideMark/>
          </w:tcPr>
          <w:p w:rsidR="00231ED3" w:rsidRPr="00EB2995" w:rsidRDefault="00231ED3" w:rsidP="00A70A31">
            <w:pPr>
              <w:jc w:val="right"/>
              <w:rPr>
                <w:rFonts w:cs="Calibri"/>
                <w:color w:val="000000"/>
                <w:lang w:eastAsia="en-GB"/>
              </w:rPr>
            </w:pPr>
            <w:r w:rsidRPr="00EB2995">
              <w:rPr>
                <w:rFonts w:cs="Calibri"/>
                <w:color w:val="000000"/>
                <w:lang w:eastAsia="en-GB"/>
              </w:rPr>
              <w:t>(0.4)</w:t>
            </w:r>
          </w:p>
        </w:tc>
        <w:tc>
          <w:tcPr>
            <w:tcW w:w="1316" w:type="dxa"/>
            <w:tcBorders>
              <w:top w:val="single" w:sz="4" w:space="0" w:color="auto"/>
              <w:left w:val="nil"/>
              <w:bottom w:val="nil"/>
              <w:right w:val="single" w:sz="4" w:space="0" w:color="auto"/>
            </w:tcBorders>
            <w:shd w:val="clear" w:color="auto" w:fill="auto"/>
            <w:noWrap/>
            <w:vAlign w:val="bottom"/>
            <w:hideMark/>
          </w:tcPr>
          <w:p w:rsidR="00231ED3" w:rsidRPr="00EB2995" w:rsidRDefault="00231ED3" w:rsidP="00A70A31">
            <w:pPr>
              <w:jc w:val="right"/>
              <w:rPr>
                <w:rFonts w:cs="Calibri"/>
                <w:b/>
                <w:bCs/>
                <w:color w:val="000000"/>
                <w:lang w:eastAsia="en-GB"/>
              </w:rPr>
            </w:pPr>
            <w:r w:rsidRPr="00EB2995">
              <w:rPr>
                <w:rFonts w:cs="Calibri"/>
                <w:b/>
                <w:bCs/>
                <w:color w:val="000000"/>
                <w:lang w:eastAsia="en-GB"/>
              </w:rPr>
              <w:t>(3.3)</w:t>
            </w:r>
          </w:p>
        </w:tc>
        <w:tc>
          <w:tcPr>
            <w:tcW w:w="3608" w:type="dxa"/>
            <w:tcBorders>
              <w:top w:val="nil"/>
              <w:left w:val="nil"/>
              <w:bottom w:val="nil"/>
              <w:right w:val="nil"/>
            </w:tcBorders>
            <w:shd w:val="clear" w:color="auto" w:fill="auto"/>
            <w:noWrap/>
            <w:vAlign w:val="center"/>
            <w:hideMark/>
          </w:tcPr>
          <w:p w:rsidR="00231ED3" w:rsidRPr="00EB2995" w:rsidRDefault="00231ED3" w:rsidP="00A70A31">
            <w:pPr>
              <w:rPr>
                <w:rFonts w:cs="Calibri"/>
                <w:color w:val="000000"/>
                <w:lang w:eastAsia="en-GB"/>
              </w:rPr>
            </w:pPr>
            <w:r w:rsidRPr="00EB2995">
              <w:rPr>
                <w:rFonts w:cs="Calibri"/>
                <w:color w:val="000000"/>
                <w:lang w:eastAsia="en-GB"/>
              </w:rPr>
              <w:t>LB Brent</w:t>
            </w:r>
          </w:p>
        </w:tc>
        <w:tc>
          <w:tcPr>
            <w:tcW w:w="942" w:type="dxa"/>
            <w:tcBorders>
              <w:top w:val="single" w:sz="4" w:space="0" w:color="auto"/>
              <w:left w:val="single" w:sz="4" w:space="0" w:color="auto"/>
              <w:bottom w:val="nil"/>
              <w:right w:val="nil"/>
            </w:tcBorders>
            <w:shd w:val="clear" w:color="auto" w:fill="auto"/>
            <w:noWrap/>
            <w:vAlign w:val="bottom"/>
            <w:hideMark/>
          </w:tcPr>
          <w:p w:rsidR="00231ED3" w:rsidRPr="00EB2995" w:rsidRDefault="00231ED3" w:rsidP="00A70A31">
            <w:pPr>
              <w:jc w:val="right"/>
              <w:rPr>
                <w:rFonts w:cs="Calibri"/>
                <w:color w:val="000000"/>
                <w:lang w:eastAsia="en-GB"/>
              </w:rPr>
            </w:pPr>
            <w:r w:rsidRPr="00EB2995">
              <w:rPr>
                <w:rFonts w:cs="Calibri"/>
                <w:color w:val="000000"/>
                <w:lang w:eastAsia="en-GB"/>
              </w:rPr>
              <w:t>(0.9)</w:t>
            </w:r>
          </w:p>
        </w:tc>
        <w:tc>
          <w:tcPr>
            <w:tcW w:w="1008" w:type="dxa"/>
            <w:tcBorders>
              <w:top w:val="single" w:sz="4" w:space="0" w:color="auto"/>
              <w:left w:val="nil"/>
              <w:bottom w:val="nil"/>
              <w:right w:val="nil"/>
            </w:tcBorders>
            <w:shd w:val="clear" w:color="auto" w:fill="auto"/>
            <w:noWrap/>
            <w:vAlign w:val="bottom"/>
            <w:hideMark/>
          </w:tcPr>
          <w:p w:rsidR="00231ED3" w:rsidRPr="00EB2995" w:rsidRDefault="00231ED3" w:rsidP="00A70A31">
            <w:pPr>
              <w:jc w:val="right"/>
              <w:rPr>
                <w:rFonts w:cs="Calibri"/>
                <w:color w:val="000000"/>
                <w:lang w:eastAsia="en-GB"/>
              </w:rPr>
            </w:pPr>
            <w:r w:rsidRPr="00EB2995">
              <w:rPr>
                <w:rFonts w:cs="Calibri"/>
                <w:color w:val="000000"/>
                <w:lang w:eastAsia="en-GB"/>
              </w:rPr>
              <w:t>4.2</w:t>
            </w:r>
          </w:p>
        </w:tc>
        <w:tc>
          <w:tcPr>
            <w:tcW w:w="1127" w:type="dxa"/>
            <w:tcBorders>
              <w:top w:val="single" w:sz="4" w:space="0" w:color="auto"/>
              <w:left w:val="nil"/>
              <w:bottom w:val="nil"/>
              <w:right w:val="single" w:sz="4" w:space="0" w:color="auto"/>
            </w:tcBorders>
            <w:shd w:val="clear" w:color="auto" w:fill="auto"/>
            <w:noWrap/>
            <w:vAlign w:val="bottom"/>
            <w:hideMark/>
          </w:tcPr>
          <w:p w:rsidR="00231ED3" w:rsidRPr="00EB2995" w:rsidRDefault="00231ED3" w:rsidP="00A70A31">
            <w:pPr>
              <w:jc w:val="right"/>
              <w:rPr>
                <w:rFonts w:cs="Calibri"/>
                <w:b/>
                <w:bCs/>
                <w:color w:val="000000"/>
                <w:lang w:eastAsia="en-GB"/>
              </w:rPr>
            </w:pPr>
            <w:r w:rsidRPr="00EB2995">
              <w:rPr>
                <w:rFonts w:cs="Calibri"/>
                <w:b/>
                <w:bCs/>
                <w:color w:val="000000"/>
                <w:lang w:eastAsia="en-GB"/>
              </w:rPr>
              <w:t>3.3</w:t>
            </w:r>
          </w:p>
        </w:tc>
      </w:tr>
      <w:tr w:rsidR="00231ED3" w:rsidRPr="00EB2995" w:rsidTr="00231ED3">
        <w:trPr>
          <w:trHeight w:hRule="exact" w:val="397"/>
        </w:trPr>
        <w:tc>
          <w:tcPr>
            <w:tcW w:w="940" w:type="dxa"/>
            <w:tcBorders>
              <w:top w:val="nil"/>
              <w:left w:val="single" w:sz="4" w:space="0" w:color="auto"/>
              <w:bottom w:val="nil"/>
              <w:right w:val="nil"/>
            </w:tcBorders>
            <w:shd w:val="clear" w:color="auto" w:fill="auto"/>
            <w:noWrap/>
            <w:vAlign w:val="bottom"/>
            <w:hideMark/>
          </w:tcPr>
          <w:p w:rsidR="00231ED3" w:rsidRPr="00EB2995" w:rsidRDefault="00231ED3" w:rsidP="00A70A31">
            <w:pPr>
              <w:jc w:val="right"/>
              <w:rPr>
                <w:rFonts w:cs="Calibri"/>
                <w:color w:val="000000"/>
                <w:lang w:eastAsia="en-GB"/>
              </w:rPr>
            </w:pPr>
            <w:r w:rsidRPr="00EB2995">
              <w:rPr>
                <w:rFonts w:cs="Calibri"/>
                <w:color w:val="000000"/>
                <w:lang w:eastAsia="en-GB"/>
              </w:rPr>
              <w:t>(0.7)</w:t>
            </w:r>
          </w:p>
        </w:tc>
        <w:tc>
          <w:tcPr>
            <w:tcW w:w="1005" w:type="dxa"/>
            <w:tcBorders>
              <w:top w:val="nil"/>
              <w:left w:val="nil"/>
              <w:bottom w:val="nil"/>
              <w:right w:val="nil"/>
            </w:tcBorders>
            <w:shd w:val="clear" w:color="auto" w:fill="auto"/>
            <w:noWrap/>
            <w:vAlign w:val="bottom"/>
            <w:hideMark/>
          </w:tcPr>
          <w:p w:rsidR="00231ED3" w:rsidRPr="00EB2995" w:rsidRDefault="00231ED3" w:rsidP="00A70A31">
            <w:pPr>
              <w:jc w:val="right"/>
              <w:rPr>
                <w:rFonts w:cs="Calibri"/>
                <w:color w:val="000000"/>
                <w:lang w:eastAsia="en-GB"/>
              </w:rPr>
            </w:pPr>
            <w:r w:rsidRPr="00EB2995">
              <w:rPr>
                <w:rFonts w:cs="Calibri"/>
                <w:color w:val="000000"/>
                <w:lang w:eastAsia="en-GB"/>
              </w:rPr>
              <w:t>0.9</w:t>
            </w:r>
          </w:p>
        </w:tc>
        <w:tc>
          <w:tcPr>
            <w:tcW w:w="1316" w:type="dxa"/>
            <w:tcBorders>
              <w:top w:val="nil"/>
              <w:left w:val="nil"/>
              <w:bottom w:val="nil"/>
              <w:right w:val="single" w:sz="4" w:space="0" w:color="auto"/>
            </w:tcBorders>
            <w:shd w:val="clear" w:color="auto" w:fill="auto"/>
            <w:noWrap/>
            <w:vAlign w:val="bottom"/>
            <w:hideMark/>
          </w:tcPr>
          <w:p w:rsidR="00231ED3" w:rsidRPr="00EB2995" w:rsidRDefault="00231ED3" w:rsidP="00A70A31">
            <w:pPr>
              <w:jc w:val="right"/>
              <w:rPr>
                <w:rFonts w:cs="Calibri"/>
                <w:b/>
                <w:bCs/>
                <w:color w:val="000000"/>
                <w:lang w:eastAsia="en-GB"/>
              </w:rPr>
            </w:pPr>
            <w:r w:rsidRPr="00EB2995">
              <w:rPr>
                <w:rFonts w:cs="Calibri"/>
                <w:b/>
                <w:bCs/>
                <w:color w:val="000000"/>
                <w:lang w:eastAsia="en-GB"/>
              </w:rPr>
              <w:t>0.2</w:t>
            </w:r>
          </w:p>
        </w:tc>
        <w:tc>
          <w:tcPr>
            <w:tcW w:w="3608" w:type="dxa"/>
            <w:tcBorders>
              <w:top w:val="nil"/>
              <w:left w:val="nil"/>
              <w:bottom w:val="nil"/>
              <w:right w:val="nil"/>
            </w:tcBorders>
            <w:shd w:val="clear" w:color="auto" w:fill="auto"/>
            <w:noWrap/>
            <w:vAlign w:val="center"/>
            <w:hideMark/>
          </w:tcPr>
          <w:p w:rsidR="00231ED3" w:rsidRPr="00EB2995" w:rsidRDefault="00231ED3" w:rsidP="00A70A31">
            <w:pPr>
              <w:rPr>
                <w:rFonts w:cs="Calibri"/>
                <w:color w:val="000000"/>
                <w:lang w:eastAsia="en-GB"/>
              </w:rPr>
            </w:pPr>
            <w:r w:rsidRPr="00EB2995">
              <w:rPr>
                <w:rFonts w:cs="Calibri"/>
                <w:color w:val="000000"/>
                <w:lang w:eastAsia="en-GB"/>
              </w:rPr>
              <w:t>GLA</w:t>
            </w:r>
          </w:p>
        </w:tc>
        <w:tc>
          <w:tcPr>
            <w:tcW w:w="942" w:type="dxa"/>
            <w:tcBorders>
              <w:top w:val="nil"/>
              <w:left w:val="single" w:sz="4" w:space="0" w:color="auto"/>
              <w:bottom w:val="nil"/>
              <w:right w:val="nil"/>
            </w:tcBorders>
            <w:shd w:val="clear" w:color="auto" w:fill="auto"/>
            <w:noWrap/>
            <w:vAlign w:val="bottom"/>
            <w:hideMark/>
          </w:tcPr>
          <w:p w:rsidR="00231ED3" w:rsidRPr="00EB2995" w:rsidRDefault="00231ED3" w:rsidP="00A70A31">
            <w:pPr>
              <w:jc w:val="right"/>
              <w:rPr>
                <w:rFonts w:cs="Calibri"/>
                <w:color w:val="000000"/>
                <w:lang w:eastAsia="en-GB"/>
              </w:rPr>
            </w:pPr>
            <w:r w:rsidRPr="00EB2995">
              <w:rPr>
                <w:rFonts w:cs="Calibri"/>
                <w:color w:val="000000"/>
                <w:lang w:eastAsia="en-GB"/>
              </w:rPr>
              <w:t>(0.3)</w:t>
            </w:r>
          </w:p>
        </w:tc>
        <w:tc>
          <w:tcPr>
            <w:tcW w:w="1008" w:type="dxa"/>
            <w:tcBorders>
              <w:top w:val="nil"/>
              <w:left w:val="nil"/>
              <w:bottom w:val="nil"/>
              <w:right w:val="nil"/>
            </w:tcBorders>
            <w:shd w:val="clear" w:color="auto" w:fill="auto"/>
            <w:noWrap/>
            <w:vAlign w:val="bottom"/>
            <w:hideMark/>
          </w:tcPr>
          <w:p w:rsidR="00231ED3" w:rsidRPr="00EB2995" w:rsidRDefault="00231ED3" w:rsidP="00A70A31">
            <w:pPr>
              <w:jc w:val="right"/>
              <w:rPr>
                <w:rFonts w:cs="Calibri"/>
                <w:color w:val="000000"/>
                <w:lang w:eastAsia="en-GB"/>
              </w:rPr>
            </w:pPr>
            <w:r w:rsidRPr="00EB2995">
              <w:rPr>
                <w:rFonts w:cs="Calibri"/>
                <w:color w:val="000000"/>
                <w:lang w:eastAsia="en-GB"/>
              </w:rPr>
              <w:t>2.3</w:t>
            </w:r>
          </w:p>
        </w:tc>
        <w:tc>
          <w:tcPr>
            <w:tcW w:w="1127" w:type="dxa"/>
            <w:tcBorders>
              <w:top w:val="nil"/>
              <w:left w:val="nil"/>
              <w:bottom w:val="nil"/>
              <w:right w:val="single" w:sz="4" w:space="0" w:color="auto"/>
            </w:tcBorders>
            <w:shd w:val="clear" w:color="auto" w:fill="auto"/>
            <w:noWrap/>
            <w:vAlign w:val="bottom"/>
            <w:hideMark/>
          </w:tcPr>
          <w:p w:rsidR="00231ED3" w:rsidRPr="00EB2995" w:rsidRDefault="00231ED3" w:rsidP="00A70A31">
            <w:pPr>
              <w:jc w:val="right"/>
              <w:rPr>
                <w:rFonts w:cs="Calibri"/>
                <w:b/>
                <w:bCs/>
                <w:color w:val="000000"/>
                <w:lang w:eastAsia="en-GB"/>
              </w:rPr>
            </w:pPr>
            <w:r w:rsidRPr="00EB2995">
              <w:rPr>
                <w:rFonts w:cs="Calibri"/>
                <w:b/>
                <w:bCs/>
                <w:color w:val="000000"/>
                <w:lang w:eastAsia="en-GB"/>
              </w:rPr>
              <w:t>2.0</w:t>
            </w:r>
          </w:p>
        </w:tc>
      </w:tr>
      <w:tr w:rsidR="00231ED3" w:rsidRPr="00EB2995" w:rsidTr="00231ED3">
        <w:trPr>
          <w:trHeight w:hRule="exact" w:val="397"/>
        </w:trPr>
        <w:tc>
          <w:tcPr>
            <w:tcW w:w="940" w:type="dxa"/>
            <w:tcBorders>
              <w:top w:val="nil"/>
              <w:left w:val="single" w:sz="4" w:space="0" w:color="auto"/>
              <w:bottom w:val="single" w:sz="4" w:space="0" w:color="auto"/>
              <w:right w:val="nil"/>
            </w:tcBorders>
            <w:shd w:val="clear" w:color="auto" w:fill="auto"/>
            <w:noWrap/>
            <w:vAlign w:val="bottom"/>
            <w:hideMark/>
          </w:tcPr>
          <w:p w:rsidR="00231ED3" w:rsidRPr="00EB2995" w:rsidRDefault="00231ED3" w:rsidP="00A70A31">
            <w:pPr>
              <w:rPr>
                <w:rFonts w:cs="Calibri"/>
                <w:color w:val="FF0000"/>
                <w:lang w:eastAsia="en-GB"/>
              </w:rPr>
            </w:pPr>
            <w:r w:rsidRPr="00EB2995">
              <w:rPr>
                <w:rFonts w:cs="Calibri"/>
                <w:color w:val="FF0000"/>
                <w:lang w:eastAsia="en-GB"/>
              </w:rPr>
              <w:t> </w:t>
            </w:r>
          </w:p>
        </w:tc>
        <w:tc>
          <w:tcPr>
            <w:tcW w:w="1005" w:type="dxa"/>
            <w:tcBorders>
              <w:top w:val="nil"/>
              <w:left w:val="nil"/>
              <w:bottom w:val="single" w:sz="4" w:space="0" w:color="auto"/>
              <w:right w:val="nil"/>
            </w:tcBorders>
            <w:shd w:val="clear" w:color="auto" w:fill="auto"/>
            <w:noWrap/>
            <w:vAlign w:val="bottom"/>
            <w:hideMark/>
          </w:tcPr>
          <w:p w:rsidR="00231ED3" w:rsidRPr="00EB2995" w:rsidRDefault="00231ED3" w:rsidP="00A70A31">
            <w:pPr>
              <w:jc w:val="right"/>
              <w:rPr>
                <w:rFonts w:cs="Calibri"/>
                <w:color w:val="000000"/>
                <w:lang w:eastAsia="en-GB"/>
              </w:rPr>
            </w:pPr>
            <w:r w:rsidRPr="00EB2995">
              <w:rPr>
                <w:rFonts w:cs="Calibri"/>
                <w:color w:val="000000"/>
                <w:lang w:eastAsia="en-GB"/>
              </w:rPr>
              <w:t>2.0</w:t>
            </w:r>
          </w:p>
        </w:tc>
        <w:tc>
          <w:tcPr>
            <w:tcW w:w="1316" w:type="dxa"/>
            <w:tcBorders>
              <w:top w:val="nil"/>
              <w:left w:val="nil"/>
              <w:bottom w:val="single" w:sz="4" w:space="0" w:color="auto"/>
              <w:right w:val="single" w:sz="4" w:space="0" w:color="auto"/>
            </w:tcBorders>
            <w:shd w:val="clear" w:color="auto" w:fill="auto"/>
            <w:noWrap/>
            <w:vAlign w:val="bottom"/>
            <w:hideMark/>
          </w:tcPr>
          <w:p w:rsidR="00231ED3" w:rsidRPr="00EB2995" w:rsidRDefault="00231ED3" w:rsidP="00A70A31">
            <w:pPr>
              <w:jc w:val="right"/>
              <w:rPr>
                <w:rFonts w:cs="Calibri"/>
                <w:b/>
                <w:bCs/>
                <w:color w:val="000000"/>
                <w:lang w:eastAsia="en-GB"/>
              </w:rPr>
            </w:pPr>
            <w:r w:rsidRPr="00EB2995">
              <w:rPr>
                <w:rFonts w:cs="Calibri"/>
                <w:b/>
                <w:bCs/>
                <w:color w:val="000000"/>
                <w:lang w:eastAsia="en-GB"/>
              </w:rPr>
              <w:t>2.0</w:t>
            </w:r>
          </w:p>
        </w:tc>
        <w:tc>
          <w:tcPr>
            <w:tcW w:w="3608" w:type="dxa"/>
            <w:tcBorders>
              <w:top w:val="nil"/>
              <w:left w:val="nil"/>
              <w:bottom w:val="nil"/>
              <w:right w:val="nil"/>
            </w:tcBorders>
            <w:shd w:val="clear" w:color="auto" w:fill="auto"/>
            <w:noWrap/>
            <w:vAlign w:val="center"/>
            <w:hideMark/>
          </w:tcPr>
          <w:p w:rsidR="00231ED3" w:rsidRPr="00EB2995" w:rsidRDefault="00231ED3" w:rsidP="00A70A31">
            <w:pPr>
              <w:rPr>
                <w:rFonts w:cs="Calibri"/>
                <w:color w:val="000000"/>
                <w:lang w:eastAsia="en-GB"/>
              </w:rPr>
            </w:pPr>
            <w:r w:rsidRPr="00EB2995">
              <w:rPr>
                <w:rFonts w:cs="Calibri"/>
                <w:color w:val="000000"/>
                <w:lang w:eastAsia="en-GB"/>
              </w:rPr>
              <w:t>Central Government</w:t>
            </w:r>
          </w:p>
        </w:tc>
        <w:tc>
          <w:tcPr>
            <w:tcW w:w="942" w:type="dxa"/>
            <w:tcBorders>
              <w:top w:val="nil"/>
              <w:left w:val="single" w:sz="4" w:space="0" w:color="auto"/>
              <w:bottom w:val="single" w:sz="4" w:space="0" w:color="auto"/>
              <w:right w:val="nil"/>
            </w:tcBorders>
            <w:shd w:val="clear" w:color="auto" w:fill="auto"/>
            <w:noWrap/>
            <w:vAlign w:val="bottom"/>
            <w:hideMark/>
          </w:tcPr>
          <w:p w:rsidR="00231ED3" w:rsidRPr="00EB2995" w:rsidRDefault="00231ED3" w:rsidP="00A70A31">
            <w:pPr>
              <w:rPr>
                <w:rFonts w:cs="Calibri"/>
                <w:color w:val="FF0000"/>
                <w:lang w:eastAsia="en-GB"/>
              </w:rPr>
            </w:pPr>
            <w:r w:rsidRPr="00EB2995">
              <w:rPr>
                <w:rFonts w:cs="Calibri"/>
                <w:color w:val="FF0000"/>
                <w:lang w:eastAsia="en-GB"/>
              </w:rPr>
              <w:t> </w:t>
            </w:r>
          </w:p>
        </w:tc>
        <w:tc>
          <w:tcPr>
            <w:tcW w:w="1008" w:type="dxa"/>
            <w:tcBorders>
              <w:top w:val="nil"/>
              <w:left w:val="nil"/>
              <w:bottom w:val="single" w:sz="4" w:space="0" w:color="auto"/>
              <w:right w:val="nil"/>
            </w:tcBorders>
            <w:shd w:val="clear" w:color="auto" w:fill="auto"/>
            <w:noWrap/>
            <w:vAlign w:val="bottom"/>
            <w:hideMark/>
          </w:tcPr>
          <w:p w:rsidR="00231ED3" w:rsidRPr="00EB2995" w:rsidRDefault="00231ED3" w:rsidP="00A70A31">
            <w:pPr>
              <w:jc w:val="right"/>
              <w:rPr>
                <w:rFonts w:cs="Calibri"/>
                <w:color w:val="000000"/>
                <w:lang w:eastAsia="en-GB"/>
              </w:rPr>
            </w:pPr>
            <w:r w:rsidRPr="00EB2995">
              <w:rPr>
                <w:rFonts w:cs="Calibri"/>
                <w:color w:val="000000"/>
                <w:lang w:eastAsia="en-GB"/>
              </w:rPr>
              <w:t>0.6</w:t>
            </w:r>
          </w:p>
        </w:tc>
        <w:tc>
          <w:tcPr>
            <w:tcW w:w="1127" w:type="dxa"/>
            <w:tcBorders>
              <w:top w:val="nil"/>
              <w:left w:val="nil"/>
              <w:bottom w:val="single" w:sz="4" w:space="0" w:color="auto"/>
              <w:right w:val="single" w:sz="4" w:space="0" w:color="auto"/>
            </w:tcBorders>
            <w:shd w:val="clear" w:color="auto" w:fill="auto"/>
            <w:noWrap/>
            <w:vAlign w:val="bottom"/>
            <w:hideMark/>
          </w:tcPr>
          <w:p w:rsidR="00231ED3" w:rsidRPr="00EB2995" w:rsidRDefault="00231ED3" w:rsidP="00A70A31">
            <w:pPr>
              <w:jc w:val="right"/>
              <w:rPr>
                <w:rFonts w:cs="Calibri"/>
                <w:b/>
                <w:bCs/>
                <w:color w:val="000000"/>
                <w:lang w:eastAsia="en-GB"/>
              </w:rPr>
            </w:pPr>
            <w:r w:rsidRPr="00EB2995">
              <w:rPr>
                <w:rFonts w:cs="Calibri"/>
                <w:b/>
                <w:bCs/>
                <w:color w:val="000000"/>
                <w:lang w:eastAsia="en-GB"/>
              </w:rPr>
              <w:t>0.6</w:t>
            </w:r>
          </w:p>
        </w:tc>
      </w:tr>
      <w:tr w:rsidR="00231ED3" w:rsidRPr="00EB2995" w:rsidTr="00231ED3">
        <w:trPr>
          <w:trHeight w:hRule="exact" w:val="397"/>
        </w:trPr>
        <w:tc>
          <w:tcPr>
            <w:tcW w:w="940" w:type="dxa"/>
            <w:tcBorders>
              <w:top w:val="nil"/>
              <w:left w:val="single" w:sz="4" w:space="0" w:color="auto"/>
              <w:bottom w:val="single" w:sz="4" w:space="0" w:color="auto"/>
              <w:right w:val="nil"/>
            </w:tcBorders>
            <w:shd w:val="clear" w:color="auto" w:fill="auto"/>
            <w:noWrap/>
            <w:vAlign w:val="bottom"/>
            <w:hideMark/>
          </w:tcPr>
          <w:p w:rsidR="00231ED3" w:rsidRPr="00EB2995" w:rsidRDefault="00231ED3" w:rsidP="00A70A31">
            <w:pPr>
              <w:jc w:val="right"/>
              <w:rPr>
                <w:rFonts w:cs="Calibri"/>
                <w:b/>
                <w:bCs/>
                <w:color w:val="000000"/>
                <w:lang w:eastAsia="en-GB"/>
              </w:rPr>
            </w:pPr>
            <w:r w:rsidRPr="00EB2995">
              <w:rPr>
                <w:rFonts w:cs="Calibri"/>
                <w:b/>
                <w:bCs/>
                <w:color w:val="000000"/>
                <w:lang w:eastAsia="en-GB"/>
              </w:rPr>
              <w:t>(3.6)</w:t>
            </w:r>
          </w:p>
        </w:tc>
        <w:tc>
          <w:tcPr>
            <w:tcW w:w="1005" w:type="dxa"/>
            <w:tcBorders>
              <w:top w:val="nil"/>
              <w:left w:val="nil"/>
              <w:bottom w:val="single" w:sz="4" w:space="0" w:color="auto"/>
              <w:right w:val="nil"/>
            </w:tcBorders>
            <w:shd w:val="clear" w:color="auto" w:fill="auto"/>
            <w:noWrap/>
            <w:vAlign w:val="bottom"/>
            <w:hideMark/>
          </w:tcPr>
          <w:p w:rsidR="00231ED3" w:rsidRPr="00EB2995" w:rsidRDefault="00231ED3" w:rsidP="00A70A31">
            <w:pPr>
              <w:jc w:val="right"/>
              <w:rPr>
                <w:rFonts w:cs="Calibri"/>
                <w:b/>
                <w:bCs/>
                <w:color w:val="000000"/>
                <w:lang w:eastAsia="en-GB"/>
              </w:rPr>
            </w:pPr>
            <w:r w:rsidRPr="00EB2995">
              <w:rPr>
                <w:rFonts w:cs="Calibri"/>
                <w:b/>
                <w:bCs/>
                <w:color w:val="000000"/>
                <w:lang w:eastAsia="en-GB"/>
              </w:rPr>
              <w:t>2.5</w:t>
            </w:r>
          </w:p>
        </w:tc>
        <w:tc>
          <w:tcPr>
            <w:tcW w:w="1316" w:type="dxa"/>
            <w:tcBorders>
              <w:top w:val="nil"/>
              <w:left w:val="nil"/>
              <w:bottom w:val="single" w:sz="4" w:space="0" w:color="auto"/>
              <w:right w:val="single" w:sz="4" w:space="0" w:color="auto"/>
            </w:tcBorders>
            <w:shd w:val="clear" w:color="auto" w:fill="auto"/>
            <w:noWrap/>
            <w:vAlign w:val="bottom"/>
            <w:hideMark/>
          </w:tcPr>
          <w:p w:rsidR="00231ED3" w:rsidRPr="00EB2995" w:rsidRDefault="00231ED3" w:rsidP="00A70A31">
            <w:pPr>
              <w:jc w:val="right"/>
              <w:rPr>
                <w:rFonts w:cs="Calibri"/>
                <w:b/>
                <w:bCs/>
                <w:color w:val="000000"/>
                <w:lang w:eastAsia="en-GB"/>
              </w:rPr>
            </w:pPr>
            <w:r w:rsidRPr="00EB2995">
              <w:rPr>
                <w:rFonts w:cs="Calibri"/>
                <w:b/>
                <w:bCs/>
                <w:color w:val="000000"/>
                <w:lang w:eastAsia="en-GB"/>
              </w:rPr>
              <w:t>(1.1)</w:t>
            </w:r>
          </w:p>
        </w:tc>
        <w:tc>
          <w:tcPr>
            <w:tcW w:w="3608" w:type="dxa"/>
            <w:tcBorders>
              <w:top w:val="nil"/>
              <w:left w:val="nil"/>
              <w:bottom w:val="nil"/>
              <w:right w:val="nil"/>
            </w:tcBorders>
            <w:shd w:val="clear" w:color="auto" w:fill="auto"/>
            <w:noWrap/>
            <w:vAlign w:val="bottom"/>
            <w:hideMark/>
          </w:tcPr>
          <w:p w:rsidR="00231ED3" w:rsidRPr="00EB2995" w:rsidRDefault="00231ED3" w:rsidP="00A70A31">
            <w:pPr>
              <w:rPr>
                <w:rFonts w:cs="Calibri"/>
                <w:b/>
                <w:bCs/>
                <w:color w:val="000000"/>
                <w:lang w:eastAsia="en-GB"/>
              </w:rPr>
            </w:pPr>
            <w:r w:rsidRPr="00EB2995">
              <w:rPr>
                <w:rFonts w:cs="Calibri"/>
                <w:b/>
                <w:bCs/>
                <w:color w:val="000000"/>
                <w:lang w:eastAsia="en-GB"/>
              </w:rPr>
              <w:t>Total (Surplus)/Deficit</w:t>
            </w:r>
          </w:p>
        </w:tc>
        <w:tc>
          <w:tcPr>
            <w:tcW w:w="942" w:type="dxa"/>
            <w:tcBorders>
              <w:top w:val="nil"/>
              <w:left w:val="single" w:sz="4" w:space="0" w:color="auto"/>
              <w:bottom w:val="single" w:sz="4" w:space="0" w:color="auto"/>
              <w:right w:val="nil"/>
            </w:tcBorders>
            <w:shd w:val="clear" w:color="auto" w:fill="auto"/>
            <w:noWrap/>
            <w:vAlign w:val="bottom"/>
            <w:hideMark/>
          </w:tcPr>
          <w:p w:rsidR="00231ED3" w:rsidRPr="00EB2995" w:rsidRDefault="00231ED3" w:rsidP="00A70A31">
            <w:pPr>
              <w:jc w:val="right"/>
              <w:rPr>
                <w:rFonts w:cs="Calibri"/>
                <w:b/>
                <w:bCs/>
                <w:color w:val="000000"/>
                <w:lang w:eastAsia="en-GB"/>
              </w:rPr>
            </w:pPr>
            <w:r w:rsidRPr="00EB2995">
              <w:rPr>
                <w:rFonts w:cs="Calibri"/>
                <w:b/>
                <w:bCs/>
                <w:color w:val="000000"/>
                <w:lang w:eastAsia="en-GB"/>
              </w:rPr>
              <w:t>(1.2)</w:t>
            </w:r>
          </w:p>
        </w:tc>
        <w:tc>
          <w:tcPr>
            <w:tcW w:w="1008" w:type="dxa"/>
            <w:tcBorders>
              <w:top w:val="nil"/>
              <w:left w:val="nil"/>
              <w:bottom w:val="single" w:sz="4" w:space="0" w:color="auto"/>
              <w:right w:val="nil"/>
            </w:tcBorders>
            <w:shd w:val="clear" w:color="auto" w:fill="auto"/>
            <w:noWrap/>
            <w:vAlign w:val="bottom"/>
            <w:hideMark/>
          </w:tcPr>
          <w:p w:rsidR="00231ED3" w:rsidRPr="00EB2995" w:rsidRDefault="00231ED3" w:rsidP="00A70A31">
            <w:pPr>
              <w:jc w:val="right"/>
              <w:rPr>
                <w:rFonts w:cs="Calibri"/>
                <w:b/>
                <w:bCs/>
                <w:color w:val="000000"/>
                <w:lang w:eastAsia="en-GB"/>
              </w:rPr>
            </w:pPr>
            <w:r w:rsidRPr="00EB2995">
              <w:rPr>
                <w:rFonts w:cs="Calibri"/>
                <w:b/>
                <w:bCs/>
                <w:color w:val="000000"/>
                <w:lang w:eastAsia="en-GB"/>
              </w:rPr>
              <w:t>7.1</w:t>
            </w:r>
          </w:p>
        </w:tc>
        <w:tc>
          <w:tcPr>
            <w:tcW w:w="1127" w:type="dxa"/>
            <w:tcBorders>
              <w:top w:val="nil"/>
              <w:left w:val="nil"/>
              <w:bottom w:val="single" w:sz="4" w:space="0" w:color="auto"/>
              <w:right w:val="single" w:sz="4" w:space="0" w:color="auto"/>
            </w:tcBorders>
            <w:shd w:val="clear" w:color="auto" w:fill="auto"/>
            <w:noWrap/>
            <w:vAlign w:val="bottom"/>
            <w:hideMark/>
          </w:tcPr>
          <w:p w:rsidR="00231ED3" w:rsidRPr="00EB2995" w:rsidRDefault="00231ED3" w:rsidP="00A70A31">
            <w:pPr>
              <w:jc w:val="right"/>
              <w:rPr>
                <w:rFonts w:cs="Calibri"/>
                <w:b/>
                <w:bCs/>
                <w:color w:val="000000"/>
                <w:lang w:eastAsia="en-GB"/>
              </w:rPr>
            </w:pPr>
            <w:r w:rsidRPr="00EB2995">
              <w:rPr>
                <w:rFonts w:cs="Calibri"/>
                <w:b/>
                <w:bCs/>
                <w:color w:val="000000"/>
                <w:lang w:eastAsia="en-GB"/>
              </w:rPr>
              <w:t>5.9</w:t>
            </w:r>
          </w:p>
        </w:tc>
      </w:tr>
    </w:tbl>
    <w:p w:rsidR="00F72906" w:rsidRDefault="00F72906" w:rsidP="00F72906"/>
    <w:p w:rsidR="00F72906" w:rsidRDefault="00F72906" w:rsidP="00231ED3">
      <w:pPr>
        <w:pStyle w:val="Heading2"/>
      </w:pPr>
      <w:bookmarkStart w:id="23" w:name="_Toc61870293"/>
      <w:r>
        <w:t>Notes to the Collection Fund</w:t>
      </w:r>
      <w:bookmarkEnd w:id="23"/>
    </w:p>
    <w:p w:rsidR="00F72906" w:rsidRDefault="00F72906" w:rsidP="00231ED3">
      <w:pPr>
        <w:pStyle w:val="Heading3"/>
      </w:pPr>
      <w:r>
        <w:t>Note 1 – Council Tax</w:t>
      </w:r>
    </w:p>
    <w:p w:rsidR="00F72906" w:rsidRDefault="00F72906" w:rsidP="00F72906">
      <w:r>
        <w:t>Council Tax income derives from charges raised according to the value of residential properties, classified into 8 valuation bands estimating 1 April 1991 values.  Individual charges are calculated by estimating the amount of income required to be taken from the Collection Fund by the precepting authorities (for Brent this is the GLA) and the Council for the forthcoming year and dividing this by the Council Tax Base (the total number of properties in each band adjusted by a proportion to convert the number to a Band D equivalent and adjusted for discounts) which was £1,582.85 for 2019/20 (£1,496.54 in 2018/19).  This basic amount of Council Tax for a Band D property for 2018/19 is multiplied by the proportion specified for the particular band to give an individual amount due.</w:t>
      </w:r>
    </w:p>
    <w:p w:rsidR="00F72906" w:rsidRDefault="00F72906" w:rsidP="00F72906"/>
    <w:p w:rsidR="00F72906" w:rsidRDefault="00F72906" w:rsidP="00F72906">
      <w:r>
        <w:t>Council Tax bills were based on the following proportions for Bands A to H, including the GLA share:</w:t>
      </w:r>
    </w:p>
    <w:tbl>
      <w:tblPr>
        <w:tblW w:w="5529" w:type="dxa"/>
        <w:tblLayout w:type="fixed"/>
        <w:tblLook w:val="0000" w:firstRow="0" w:lastRow="0" w:firstColumn="0" w:lastColumn="0" w:noHBand="0" w:noVBand="0"/>
      </w:tblPr>
      <w:tblGrid>
        <w:gridCol w:w="2304"/>
        <w:gridCol w:w="1152"/>
        <w:gridCol w:w="2073"/>
      </w:tblGrid>
      <w:tr w:rsidR="00231ED3" w:rsidRPr="00EB2995" w:rsidTr="00A70A31">
        <w:trPr>
          <w:cantSplit/>
        </w:trPr>
        <w:tc>
          <w:tcPr>
            <w:tcW w:w="3456" w:type="dxa"/>
            <w:gridSpan w:val="2"/>
            <w:tcBorders>
              <w:top w:val="single" w:sz="4" w:space="0" w:color="auto"/>
              <w:left w:val="single" w:sz="4" w:space="0" w:color="auto"/>
              <w:bottom w:val="single" w:sz="4" w:space="0" w:color="auto"/>
              <w:right w:val="single" w:sz="4" w:space="0" w:color="auto"/>
            </w:tcBorders>
          </w:tcPr>
          <w:p w:rsidR="00231ED3" w:rsidRPr="00EB2995" w:rsidRDefault="00231ED3" w:rsidP="00A70A31">
            <w:pPr>
              <w:spacing w:after="120"/>
              <w:ind w:right="-46"/>
              <w:jc w:val="center"/>
              <w:rPr>
                <w:rFonts w:cs="Calibri"/>
                <w:b/>
              </w:rPr>
            </w:pPr>
            <w:r w:rsidRPr="00EB2995">
              <w:rPr>
                <w:rFonts w:cs="Calibri"/>
                <w:b/>
              </w:rPr>
              <w:t>Proportion of Band D Charge</w:t>
            </w:r>
          </w:p>
        </w:tc>
        <w:tc>
          <w:tcPr>
            <w:tcW w:w="2073" w:type="dxa"/>
            <w:tcBorders>
              <w:top w:val="single" w:sz="4" w:space="0" w:color="auto"/>
              <w:left w:val="single" w:sz="4" w:space="0" w:color="auto"/>
              <w:bottom w:val="single" w:sz="4" w:space="0" w:color="auto"/>
              <w:right w:val="single" w:sz="4" w:space="0" w:color="auto"/>
            </w:tcBorders>
          </w:tcPr>
          <w:p w:rsidR="00231ED3" w:rsidRPr="00EB2995" w:rsidRDefault="00231ED3" w:rsidP="00A70A31">
            <w:pPr>
              <w:spacing w:after="120"/>
              <w:ind w:right="-46"/>
              <w:jc w:val="center"/>
              <w:rPr>
                <w:rFonts w:cs="Calibri"/>
                <w:b/>
              </w:rPr>
            </w:pPr>
            <w:r w:rsidRPr="00EB2995">
              <w:rPr>
                <w:rFonts w:cs="Calibri"/>
                <w:b/>
              </w:rPr>
              <w:t>Number of Band D Equivalent properties</w:t>
            </w:r>
          </w:p>
        </w:tc>
      </w:tr>
      <w:tr w:rsidR="00231ED3" w:rsidRPr="00EB2995" w:rsidTr="00A70A31">
        <w:trPr>
          <w:cantSplit/>
        </w:trPr>
        <w:tc>
          <w:tcPr>
            <w:tcW w:w="2304" w:type="dxa"/>
            <w:tcBorders>
              <w:top w:val="single" w:sz="4" w:space="0" w:color="auto"/>
              <w:left w:val="single" w:sz="4" w:space="0" w:color="auto"/>
            </w:tcBorders>
          </w:tcPr>
          <w:p w:rsidR="00231ED3" w:rsidRPr="00EB2995" w:rsidRDefault="00231ED3" w:rsidP="00A70A31">
            <w:pPr>
              <w:spacing w:after="20"/>
              <w:ind w:right="-46"/>
              <w:jc w:val="center"/>
              <w:rPr>
                <w:rFonts w:cs="Calibri"/>
              </w:rPr>
            </w:pPr>
            <w:r w:rsidRPr="00EB2995">
              <w:rPr>
                <w:rFonts w:cs="Calibri"/>
              </w:rPr>
              <w:t>Band A</w:t>
            </w:r>
          </w:p>
        </w:tc>
        <w:tc>
          <w:tcPr>
            <w:tcW w:w="1152" w:type="dxa"/>
            <w:tcBorders>
              <w:top w:val="single" w:sz="4" w:space="0" w:color="auto"/>
              <w:left w:val="nil"/>
              <w:bottom w:val="nil"/>
              <w:right w:val="single" w:sz="4" w:space="0" w:color="auto"/>
            </w:tcBorders>
            <w:vAlign w:val="center"/>
          </w:tcPr>
          <w:p w:rsidR="00231ED3" w:rsidRPr="00EB2995" w:rsidRDefault="00231ED3" w:rsidP="00A70A31">
            <w:pPr>
              <w:spacing w:after="20"/>
              <w:ind w:right="-46"/>
              <w:jc w:val="center"/>
              <w:rPr>
                <w:rFonts w:cs="Calibri"/>
              </w:rPr>
            </w:pPr>
            <w:r w:rsidRPr="00EB2995">
              <w:rPr>
                <w:rFonts w:cs="Calibri"/>
              </w:rPr>
              <w:t xml:space="preserve"> 6/9</w:t>
            </w:r>
          </w:p>
        </w:tc>
        <w:tc>
          <w:tcPr>
            <w:tcW w:w="2073" w:type="dxa"/>
            <w:tcBorders>
              <w:top w:val="nil"/>
              <w:left w:val="nil"/>
              <w:bottom w:val="nil"/>
              <w:right w:val="single" w:sz="8" w:space="0" w:color="auto"/>
            </w:tcBorders>
            <w:shd w:val="clear" w:color="auto" w:fill="auto"/>
            <w:vAlign w:val="center"/>
          </w:tcPr>
          <w:p w:rsidR="00231ED3" w:rsidRPr="00EB2995" w:rsidRDefault="00231ED3" w:rsidP="00A70A31">
            <w:pPr>
              <w:ind w:right="-46"/>
              <w:jc w:val="center"/>
              <w:rPr>
                <w:rFonts w:cs="Calibri"/>
                <w:color w:val="000000"/>
                <w:lang w:eastAsia="en-GB"/>
              </w:rPr>
            </w:pPr>
            <w:r w:rsidRPr="00EB2995">
              <w:rPr>
                <w:rFonts w:cs="Calibri"/>
                <w:color w:val="000000"/>
              </w:rPr>
              <w:t xml:space="preserve">1,727 </w:t>
            </w:r>
          </w:p>
        </w:tc>
      </w:tr>
      <w:tr w:rsidR="00231ED3" w:rsidRPr="00EB2995" w:rsidTr="00A70A31">
        <w:trPr>
          <w:cantSplit/>
        </w:trPr>
        <w:tc>
          <w:tcPr>
            <w:tcW w:w="2304" w:type="dxa"/>
            <w:tcBorders>
              <w:left w:val="single" w:sz="4" w:space="0" w:color="auto"/>
            </w:tcBorders>
          </w:tcPr>
          <w:p w:rsidR="00231ED3" w:rsidRPr="00EB2995" w:rsidRDefault="00231ED3" w:rsidP="00A70A31">
            <w:pPr>
              <w:spacing w:after="20"/>
              <w:ind w:right="-46"/>
              <w:jc w:val="center"/>
              <w:rPr>
                <w:rFonts w:cs="Calibri"/>
              </w:rPr>
            </w:pPr>
            <w:r w:rsidRPr="00EB2995">
              <w:rPr>
                <w:rFonts w:cs="Calibri"/>
              </w:rPr>
              <w:t>Band B</w:t>
            </w:r>
          </w:p>
        </w:tc>
        <w:tc>
          <w:tcPr>
            <w:tcW w:w="1152" w:type="dxa"/>
            <w:tcBorders>
              <w:top w:val="nil"/>
              <w:left w:val="nil"/>
              <w:bottom w:val="nil"/>
              <w:right w:val="single" w:sz="4" w:space="0" w:color="auto"/>
            </w:tcBorders>
            <w:vAlign w:val="center"/>
          </w:tcPr>
          <w:p w:rsidR="00231ED3" w:rsidRPr="00EB2995" w:rsidRDefault="00231ED3" w:rsidP="00A70A31">
            <w:pPr>
              <w:spacing w:after="20"/>
              <w:ind w:right="-46"/>
              <w:jc w:val="center"/>
              <w:rPr>
                <w:rFonts w:cs="Calibri"/>
              </w:rPr>
            </w:pPr>
            <w:r w:rsidRPr="00EB2995">
              <w:rPr>
                <w:rFonts w:cs="Calibri"/>
              </w:rPr>
              <w:t xml:space="preserve"> 7/9</w:t>
            </w:r>
          </w:p>
        </w:tc>
        <w:tc>
          <w:tcPr>
            <w:tcW w:w="2073" w:type="dxa"/>
            <w:tcBorders>
              <w:top w:val="nil"/>
              <w:left w:val="nil"/>
              <w:bottom w:val="nil"/>
              <w:right w:val="single" w:sz="8" w:space="0" w:color="auto"/>
            </w:tcBorders>
            <w:shd w:val="clear" w:color="auto" w:fill="auto"/>
            <w:vAlign w:val="center"/>
          </w:tcPr>
          <w:p w:rsidR="00231ED3" w:rsidRPr="00EB2995" w:rsidRDefault="00231ED3" w:rsidP="00A70A31">
            <w:pPr>
              <w:ind w:right="-46"/>
              <w:jc w:val="center"/>
              <w:rPr>
                <w:rFonts w:cs="Calibri"/>
                <w:color w:val="000000"/>
              </w:rPr>
            </w:pPr>
            <w:r w:rsidRPr="00EB2995">
              <w:rPr>
                <w:rFonts w:cs="Calibri"/>
                <w:color w:val="000000"/>
              </w:rPr>
              <w:t xml:space="preserve">6,438 </w:t>
            </w:r>
          </w:p>
        </w:tc>
      </w:tr>
      <w:tr w:rsidR="00231ED3" w:rsidRPr="00EB2995" w:rsidTr="00A70A31">
        <w:trPr>
          <w:cantSplit/>
        </w:trPr>
        <w:tc>
          <w:tcPr>
            <w:tcW w:w="2304" w:type="dxa"/>
            <w:tcBorders>
              <w:left w:val="single" w:sz="4" w:space="0" w:color="auto"/>
            </w:tcBorders>
          </w:tcPr>
          <w:p w:rsidR="00231ED3" w:rsidRPr="00EB2995" w:rsidRDefault="00231ED3" w:rsidP="00A70A31">
            <w:pPr>
              <w:spacing w:after="20"/>
              <w:ind w:right="-46"/>
              <w:jc w:val="center"/>
              <w:rPr>
                <w:rFonts w:cs="Calibri"/>
              </w:rPr>
            </w:pPr>
            <w:r w:rsidRPr="00EB2995">
              <w:rPr>
                <w:rFonts w:cs="Calibri"/>
              </w:rPr>
              <w:t>Band C</w:t>
            </w:r>
          </w:p>
        </w:tc>
        <w:tc>
          <w:tcPr>
            <w:tcW w:w="1152" w:type="dxa"/>
            <w:tcBorders>
              <w:top w:val="nil"/>
              <w:left w:val="nil"/>
              <w:bottom w:val="nil"/>
              <w:right w:val="single" w:sz="4" w:space="0" w:color="auto"/>
            </w:tcBorders>
            <w:vAlign w:val="center"/>
          </w:tcPr>
          <w:p w:rsidR="00231ED3" w:rsidRPr="00EB2995" w:rsidRDefault="00231ED3" w:rsidP="00A70A31">
            <w:pPr>
              <w:spacing w:after="20"/>
              <w:ind w:right="-46"/>
              <w:jc w:val="center"/>
              <w:rPr>
                <w:rFonts w:cs="Calibri"/>
              </w:rPr>
            </w:pPr>
            <w:r w:rsidRPr="00EB2995">
              <w:rPr>
                <w:rFonts w:cs="Calibri"/>
              </w:rPr>
              <w:t xml:space="preserve"> 8/9</w:t>
            </w:r>
          </w:p>
        </w:tc>
        <w:tc>
          <w:tcPr>
            <w:tcW w:w="2073" w:type="dxa"/>
            <w:tcBorders>
              <w:top w:val="nil"/>
              <w:left w:val="nil"/>
              <w:bottom w:val="nil"/>
              <w:right w:val="single" w:sz="8" w:space="0" w:color="auto"/>
            </w:tcBorders>
            <w:shd w:val="clear" w:color="auto" w:fill="auto"/>
            <w:vAlign w:val="center"/>
          </w:tcPr>
          <w:p w:rsidR="00231ED3" w:rsidRPr="00EB2995" w:rsidRDefault="00231ED3" w:rsidP="00A70A31">
            <w:pPr>
              <w:ind w:right="-46"/>
              <w:jc w:val="center"/>
              <w:rPr>
                <w:rFonts w:cs="Calibri"/>
                <w:color w:val="000000"/>
              </w:rPr>
            </w:pPr>
            <w:r w:rsidRPr="00EB2995">
              <w:rPr>
                <w:rFonts w:cs="Calibri"/>
                <w:color w:val="000000"/>
              </w:rPr>
              <w:t xml:space="preserve">24,090 </w:t>
            </w:r>
          </w:p>
        </w:tc>
      </w:tr>
      <w:tr w:rsidR="00231ED3" w:rsidRPr="00EB2995" w:rsidTr="00A70A31">
        <w:trPr>
          <w:cantSplit/>
        </w:trPr>
        <w:tc>
          <w:tcPr>
            <w:tcW w:w="2304" w:type="dxa"/>
            <w:tcBorders>
              <w:left w:val="single" w:sz="4" w:space="0" w:color="auto"/>
            </w:tcBorders>
          </w:tcPr>
          <w:p w:rsidR="00231ED3" w:rsidRPr="00EB2995" w:rsidRDefault="00231ED3" w:rsidP="00A70A31">
            <w:pPr>
              <w:spacing w:after="20"/>
              <w:ind w:right="-46"/>
              <w:jc w:val="center"/>
              <w:rPr>
                <w:rFonts w:cs="Calibri"/>
              </w:rPr>
            </w:pPr>
            <w:r w:rsidRPr="00EB2995">
              <w:rPr>
                <w:rFonts w:cs="Calibri"/>
              </w:rPr>
              <w:t>Band D</w:t>
            </w:r>
          </w:p>
        </w:tc>
        <w:tc>
          <w:tcPr>
            <w:tcW w:w="1152" w:type="dxa"/>
            <w:tcBorders>
              <w:top w:val="nil"/>
              <w:left w:val="nil"/>
              <w:bottom w:val="nil"/>
              <w:right w:val="single" w:sz="4" w:space="0" w:color="auto"/>
            </w:tcBorders>
            <w:vAlign w:val="center"/>
          </w:tcPr>
          <w:p w:rsidR="00231ED3" w:rsidRPr="00EB2995" w:rsidRDefault="00231ED3" w:rsidP="00A70A31">
            <w:pPr>
              <w:spacing w:after="20"/>
              <w:ind w:right="-46"/>
              <w:jc w:val="center"/>
              <w:rPr>
                <w:rFonts w:cs="Calibri"/>
              </w:rPr>
            </w:pPr>
            <w:r w:rsidRPr="00EB2995">
              <w:rPr>
                <w:rFonts w:cs="Calibri"/>
              </w:rPr>
              <w:t xml:space="preserve"> 9/9</w:t>
            </w:r>
          </w:p>
        </w:tc>
        <w:tc>
          <w:tcPr>
            <w:tcW w:w="2073" w:type="dxa"/>
            <w:tcBorders>
              <w:top w:val="nil"/>
              <w:left w:val="nil"/>
              <w:bottom w:val="nil"/>
              <w:right w:val="single" w:sz="8" w:space="0" w:color="auto"/>
            </w:tcBorders>
            <w:shd w:val="clear" w:color="auto" w:fill="auto"/>
            <w:vAlign w:val="center"/>
          </w:tcPr>
          <w:p w:rsidR="00231ED3" w:rsidRPr="00EB2995" w:rsidRDefault="00231ED3" w:rsidP="00A70A31">
            <w:pPr>
              <w:ind w:right="-46"/>
              <w:jc w:val="center"/>
              <w:rPr>
                <w:rFonts w:cs="Calibri"/>
                <w:color w:val="000000"/>
              </w:rPr>
            </w:pPr>
            <w:r w:rsidRPr="00EB2995">
              <w:rPr>
                <w:rFonts w:cs="Calibri"/>
                <w:color w:val="000000"/>
              </w:rPr>
              <w:t xml:space="preserve">28,771 </w:t>
            </w:r>
          </w:p>
        </w:tc>
      </w:tr>
      <w:tr w:rsidR="00231ED3" w:rsidRPr="00EB2995" w:rsidTr="00A70A31">
        <w:trPr>
          <w:cantSplit/>
        </w:trPr>
        <w:tc>
          <w:tcPr>
            <w:tcW w:w="2304" w:type="dxa"/>
            <w:tcBorders>
              <w:left w:val="single" w:sz="4" w:space="0" w:color="auto"/>
            </w:tcBorders>
          </w:tcPr>
          <w:p w:rsidR="00231ED3" w:rsidRPr="00EB2995" w:rsidRDefault="00231ED3" w:rsidP="00A70A31">
            <w:pPr>
              <w:spacing w:after="20"/>
              <w:ind w:right="-46"/>
              <w:jc w:val="center"/>
              <w:rPr>
                <w:rFonts w:cs="Calibri"/>
              </w:rPr>
            </w:pPr>
            <w:r w:rsidRPr="00EB2995">
              <w:rPr>
                <w:rFonts w:cs="Calibri"/>
              </w:rPr>
              <w:t>Band E</w:t>
            </w:r>
          </w:p>
        </w:tc>
        <w:tc>
          <w:tcPr>
            <w:tcW w:w="1152" w:type="dxa"/>
            <w:tcBorders>
              <w:top w:val="nil"/>
              <w:left w:val="nil"/>
              <w:bottom w:val="nil"/>
              <w:right w:val="single" w:sz="4" w:space="0" w:color="auto"/>
            </w:tcBorders>
            <w:vAlign w:val="center"/>
          </w:tcPr>
          <w:p w:rsidR="00231ED3" w:rsidRPr="00EB2995" w:rsidRDefault="00231ED3" w:rsidP="00A70A31">
            <w:pPr>
              <w:spacing w:after="20"/>
              <w:ind w:right="-46"/>
              <w:jc w:val="center"/>
              <w:rPr>
                <w:rFonts w:cs="Calibri"/>
              </w:rPr>
            </w:pPr>
            <w:r w:rsidRPr="00EB2995">
              <w:rPr>
                <w:rFonts w:cs="Calibri"/>
              </w:rPr>
              <w:t xml:space="preserve"> 11/9</w:t>
            </w:r>
          </w:p>
        </w:tc>
        <w:tc>
          <w:tcPr>
            <w:tcW w:w="2073" w:type="dxa"/>
            <w:tcBorders>
              <w:top w:val="nil"/>
              <w:left w:val="nil"/>
              <w:bottom w:val="nil"/>
              <w:right w:val="single" w:sz="8" w:space="0" w:color="auto"/>
            </w:tcBorders>
            <w:shd w:val="clear" w:color="auto" w:fill="auto"/>
            <w:vAlign w:val="center"/>
          </w:tcPr>
          <w:p w:rsidR="00231ED3" w:rsidRPr="00EB2995" w:rsidRDefault="00231ED3" w:rsidP="00A70A31">
            <w:pPr>
              <w:ind w:right="-46"/>
              <w:jc w:val="center"/>
              <w:rPr>
                <w:rFonts w:cs="Calibri"/>
                <w:color w:val="000000"/>
              </w:rPr>
            </w:pPr>
            <w:r w:rsidRPr="00EB2995">
              <w:rPr>
                <w:rFonts w:cs="Calibri"/>
                <w:color w:val="000000"/>
              </w:rPr>
              <w:t xml:space="preserve">23,605 </w:t>
            </w:r>
          </w:p>
        </w:tc>
      </w:tr>
      <w:tr w:rsidR="00231ED3" w:rsidRPr="00EB2995" w:rsidTr="00A70A31">
        <w:trPr>
          <w:cantSplit/>
        </w:trPr>
        <w:tc>
          <w:tcPr>
            <w:tcW w:w="2304" w:type="dxa"/>
            <w:tcBorders>
              <w:left w:val="single" w:sz="4" w:space="0" w:color="auto"/>
            </w:tcBorders>
          </w:tcPr>
          <w:p w:rsidR="00231ED3" w:rsidRPr="00EB2995" w:rsidRDefault="00231ED3" w:rsidP="00A70A31">
            <w:pPr>
              <w:spacing w:after="20"/>
              <w:ind w:right="-46"/>
              <w:jc w:val="center"/>
              <w:rPr>
                <w:rFonts w:cs="Calibri"/>
              </w:rPr>
            </w:pPr>
            <w:r w:rsidRPr="00EB2995">
              <w:rPr>
                <w:rFonts w:cs="Calibri"/>
              </w:rPr>
              <w:t>Band F</w:t>
            </w:r>
          </w:p>
        </w:tc>
        <w:tc>
          <w:tcPr>
            <w:tcW w:w="1152" w:type="dxa"/>
            <w:tcBorders>
              <w:top w:val="nil"/>
              <w:left w:val="nil"/>
              <w:bottom w:val="nil"/>
              <w:right w:val="single" w:sz="4" w:space="0" w:color="auto"/>
            </w:tcBorders>
            <w:vAlign w:val="center"/>
          </w:tcPr>
          <w:p w:rsidR="00231ED3" w:rsidRPr="00EB2995" w:rsidRDefault="00231ED3" w:rsidP="00A70A31">
            <w:pPr>
              <w:spacing w:after="20"/>
              <w:ind w:right="-46"/>
              <w:jc w:val="center"/>
              <w:rPr>
                <w:rFonts w:cs="Calibri"/>
              </w:rPr>
            </w:pPr>
            <w:r w:rsidRPr="00EB2995">
              <w:rPr>
                <w:rFonts w:cs="Calibri"/>
              </w:rPr>
              <w:t xml:space="preserve"> 13/9</w:t>
            </w:r>
          </w:p>
        </w:tc>
        <w:tc>
          <w:tcPr>
            <w:tcW w:w="2073" w:type="dxa"/>
            <w:tcBorders>
              <w:top w:val="nil"/>
              <w:left w:val="nil"/>
              <w:bottom w:val="nil"/>
              <w:right w:val="single" w:sz="8" w:space="0" w:color="auto"/>
            </w:tcBorders>
            <w:shd w:val="clear" w:color="auto" w:fill="auto"/>
            <w:vAlign w:val="center"/>
          </w:tcPr>
          <w:p w:rsidR="00231ED3" w:rsidRPr="00EB2995" w:rsidRDefault="00231ED3" w:rsidP="00A70A31">
            <w:pPr>
              <w:ind w:right="-46"/>
              <w:jc w:val="center"/>
              <w:rPr>
                <w:rFonts w:cs="Calibri"/>
                <w:color w:val="000000"/>
              </w:rPr>
            </w:pPr>
            <w:r w:rsidRPr="00EB2995">
              <w:rPr>
                <w:rFonts w:cs="Calibri"/>
                <w:color w:val="000000"/>
              </w:rPr>
              <w:t xml:space="preserve">8,515 </w:t>
            </w:r>
          </w:p>
        </w:tc>
      </w:tr>
      <w:tr w:rsidR="00231ED3" w:rsidRPr="00EB2995" w:rsidTr="00A70A31">
        <w:trPr>
          <w:cantSplit/>
        </w:trPr>
        <w:tc>
          <w:tcPr>
            <w:tcW w:w="2304" w:type="dxa"/>
            <w:tcBorders>
              <w:left w:val="single" w:sz="4" w:space="0" w:color="auto"/>
            </w:tcBorders>
          </w:tcPr>
          <w:p w:rsidR="00231ED3" w:rsidRPr="00EB2995" w:rsidRDefault="00231ED3" w:rsidP="00A70A31">
            <w:pPr>
              <w:spacing w:after="20"/>
              <w:ind w:right="-46"/>
              <w:jc w:val="center"/>
              <w:rPr>
                <w:rFonts w:cs="Calibri"/>
              </w:rPr>
            </w:pPr>
            <w:r w:rsidRPr="00EB2995">
              <w:rPr>
                <w:rFonts w:cs="Calibri"/>
              </w:rPr>
              <w:t>Band G</w:t>
            </w:r>
          </w:p>
        </w:tc>
        <w:tc>
          <w:tcPr>
            <w:tcW w:w="1152" w:type="dxa"/>
            <w:tcBorders>
              <w:top w:val="nil"/>
              <w:left w:val="nil"/>
              <w:bottom w:val="nil"/>
              <w:right w:val="single" w:sz="4" w:space="0" w:color="auto"/>
            </w:tcBorders>
            <w:vAlign w:val="center"/>
          </w:tcPr>
          <w:p w:rsidR="00231ED3" w:rsidRPr="00EB2995" w:rsidRDefault="00231ED3" w:rsidP="00A70A31">
            <w:pPr>
              <w:spacing w:after="20"/>
              <w:ind w:right="-46"/>
              <w:jc w:val="center"/>
              <w:rPr>
                <w:rFonts w:cs="Calibri"/>
              </w:rPr>
            </w:pPr>
            <w:r w:rsidRPr="00EB2995">
              <w:rPr>
                <w:rFonts w:cs="Calibri"/>
              </w:rPr>
              <w:t xml:space="preserve"> 15/9</w:t>
            </w:r>
          </w:p>
        </w:tc>
        <w:tc>
          <w:tcPr>
            <w:tcW w:w="2073" w:type="dxa"/>
            <w:tcBorders>
              <w:top w:val="nil"/>
              <w:left w:val="nil"/>
              <w:bottom w:val="nil"/>
              <w:right w:val="single" w:sz="8" w:space="0" w:color="auto"/>
            </w:tcBorders>
            <w:shd w:val="clear" w:color="auto" w:fill="auto"/>
            <w:vAlign w:val="center"/>
          </w:tcPr>
          <w:p w:rsidR="00231ED3" w:rsidRPr="00EB2995" w:rsidRDefault="00231ED3" w:rsidP="00A70A31">
            <w:pPr>
              <w:ind w:right="-46"/>
              <w:jc w:val="center"/>
              <w:rPr>
                <w:rFonts w:cs="Calibri"/>
                <w:color w:val="000000"/>
              </w:rPr>
            </w:pPr>
            <w:r w:rsidRPr="00EB2995">
              <w:rPr>
                <w:rFonts w:cs="Calibri"/>
                <w:color w:val="000000"/>
              </w:rPr>
              <w:t xml:space="preserve">5,380 </w:t>
            </w:r>
          </w:p>
        </w:tc>
      </w:tr>
      <w:tr w:rsidR="00231ED3" w:rsidRPr="00EB2995" w:rsidTr="00A70A31">
        <w:trPr>
          <w:cantSplit/>
        </w:trPr>
        <w:tc>
          <w:tcPr>
            <w:tcW w:w="2304" w:type="dxa"/>
            <w:tcBorders>
              <w:left w:val="single" w:sz="4" w:space="0" w:color="auto"/>
              <w:bottom w:val="single" w:sz="4" w:space="0" w:color="auto"/>
            </w:tcBorders>
          </w:tcPr>
          <w:p w:rsidR="00231ED3" w:rsidRPr="00EB2995" w:rsidRDefault="00231ED3" w:rsidP="00A70A31">
            <w:pPr>
              <w:spacing w:after="20"/>
              <w:ind w:right="-46"/>
              <w:jc w:val="center"/>
              <w:rPr>
                <w:rFonts w:cs="Calibri"/>
              </w:rPr>
            </w:pPr>
            <w:r w:rsidRPr="00EB2995">
              <w:rPr>
                <w:rFonts w:cs="Calibri"/>
              </w:rPr>
              <w:t>Band H</w:t>
            </w:r>
          </w:p>
        </w:tc>
        <w:tc>
          <w:tcPr>
            <w:tcW w:w="1152" w:type="dxa"/>
            <w:tcBorders>
              <w:top w:val="nil"/>
              <w:left w:val="nil"/>
              <w:bottom w:val="single" w:sz="4" w:space="0" w:color="auto"/>
              <w:right w:val="single" w:sz="4" w:space="0" w:color="auto"/>
            </w:tcBorders>
            <w:vAlign w:val="center"/>
          </w:tcPr>
          <w:p w:rsidR="00231ED3" w:rsidRPr="00EB2995" w:rsidRDefault="00231ED3" w:rsidP="00A70A31">
            <w:pPr>
              <w:spacing w:after="20"/>
              <w:ind w:right="-46"/>
              <w:jc w:val="center"/>
              <w:rPr>
                <w:rFonts w:cs="Calibri"/>
              </w:rPr>
            </w:pPr>
            <w:r w:rsidRPr="00EB2995">
              <w:rPr>
                <w:rFonts w:cs="Calibri"/>
              </w:rPr>
              <w:t xml:space="preserve"> 18/9</w:t>
            </w:r>
          </w:p>
        </w:tc>
        <w:tc>
          <w:tcPr>
            <w:tcW w:w="2073" w:type="dxa"/>
            <w:tcBorders>
              <w:top w:val="nil"/>
              <w:left w:val="nil"/>
              <w:bottom w:val="single" w:sz="8" w:space="0" w:color="auto"/>
              <w:right w:val="single" w:sz="8" w:space="0" w:color="auto"/>
            </w:tcBorders>
            <w:shd w:val="clear" w:color="auto" w:fill="auto"/>
            <w:vAlign w:val="center"/>
          </w:tcPr>
          <w:p w:rsidR="00231ED3" w:rsidRPr="00EB2995" w:rsidRDefault="00231ED3" w:rsidP="00A70A31">
            <w:pPr>
              <w:ind w:right="-46"/>
              <w:jc w:val="center"/>
              <w:rPr>
                <w:rFonts w:cs="Calibri"/>
                <w:color w:val="000000"/>
              </w:rPr>
            </w:pPr>
            <w:r w:rsidRPr="00EB2995">
              <w:rPr>
                <w:rFonts w:cs="Calibri"/>
                <w:color w:val="000000"/>
              </w:rPr>
              <w:t xml:space="preserve">459 </w:t>
            </w:r>
          </w:p>
        </w:tc>
      </w:tr>
    </w:tbl>
    <w:p w:rsidR="00F72906" w:rsidRDefault="00F72906" w:rsidP="00F72906"/>
    <w:p w:rsidR="00F72906" w:rsidRDefault="00F72906" w:rsidP="00F72906">
      <w:r>
        <w:lastRenderedPageBreak/>
        <w:t>The total number of Band D equivalent properties is then multiplied by a percentage to allow for collection loss (97.63%) to give a tax base for budget setting purposes 96,639.  When multiplied by the Band D charge the total budgeted income is £153.0m, of which £122.0m is attributable to Brent and £31.0m to the GLA.</w:t>
      </w:r>
    </w:p>
    <w:p w:rsidR="00F72906" w:rsidRDefault="00F72906" w:rsidP="00F72906"/>
    <w:p w:rsidR="00F72906" w:rsidRDefault="00F72906" w:rsidP="00231ED3">
      <w:pPr>
        <w:pStyle w:val="Heading3"/>
      </w:pPr>
      <w:r>
        <w:t xml:space="preserve">Note 2 – Non-Domestic Rate </w:t>
      </w:r>
    </w:p>
    <w:p w:rsidR="00F72906" w:rsidRDefault="00F72906" w:rsidP="00F72906"/>
    <w:p w:rsidR="00F72906" w:rsidRDefault="00F72906" w:rsidP="00F72906">
      <w:r>
        <w:t>The total Non-Domestic Rateable Value for 2019/20 was £319.4m (£321.1m in 2018/19). The NDR rate multiplier for 2019/20 was £0.49 (£0.48 in 2018/19).</w:t>
      </w:r>
    </w:p>
    <w:p w:rsidR="00F72906" w:rsidRDefault="00F72906" w:rsidP="00F72906"/>
    <w:p w:rsidR="00F72906" w:rsidRDefault="00F72906" w:rsidP="006127BF">
      <w:pPr>
        <w:pStyle w:val="Heading3"/>
      </w:pPr>
      <w:r>
        <w:t>Note 3 – Collection</w:t>
      </w:r>
    </w:p>
    <w:p w:rsidR="00F72906" w:rsidRDefault="00F72906" w:rsidP="00F72906"/>
    <w:p w:rsidR="00F72906" w:rsidRDefault="00F72906" w:rsidP="00F72906">
      <w:r>
        <w:t>For Council Tax, 95.9% of the debit relating to the 2019/20 financial year had been collected by 31 March 2020. This is down from the 96.1% achieved in 2018/19. For Non Domestic Rates the in-year collection rate decreased from 99.02% to 98.23%.</w:t>
      </w:r>
    </w:p>
    <w:p w:rsidR="006127BF" w:rsidRDefault="006127BF">
      <w:r>
        <w:br w:type="page"/>
      </w:r>
    </w:p>
    <w:p w:rsidR="00F72906" w:rsidRDefault="00F72906" w:rsidP="006127BF">
      <w:pPr>
        <w:pStyle w:val="Heading1"/>
      </w:pPr>
      <w:bookmarkStart w:id="24" w:name="_Toc61870294"/>
      <w:r>
        <w:lastRenderedPageBreak/>
        <w:t>Group Accounts</w:t>
      </w:r>
      <w:bookmarkEnd w:id="24"/>
    </w:p>
    <w:p w:rsidR="00F72906" w:rsidRDefault="00F72906" w:rsidP="00F72906">
      <w:r>
        <w:t>Local authorities are required to produce group accounts which include interests in subsidiaries, associates and join</w:t>
      </w:r>
      <w:r w:rsidR="006127BF">
        <w:t>t ventures.</w:t>
      </w:r>
    </w:p>
    <w:p w:rsidR="00F72906" w:rsidRDefault="00F72906" w:rsidP="00F72906">
      <w:r>
        <w:t>The group accounts consolidate the accounts of the First Wave, Barham Park Trust, I4B and LGA Digital Services.  First Wave provide housing management services to the HRA.  Barham Park Trust is a charity that is controlled by the council as a result of the council appointing all the trustees.  I4B Holdings Limited is a company wholly owned by Brent Council to deliver the housing options defined in the Temporary Accommodation reform plan. LGA Digital Service Limited is a company that is 50% owned by the council and 50% owned by t</w:t>
      </w:r>
      <w:r w:rsidR="006127BF">
        <w:t>he Local Government Association</w:t>
      </w:r>
    </w:p>
    <w:p w:rsidR="00F72906" w:rsidRDefault="00F72906" w:rsidP="00F72906">
      <w:r>
        <w:t>The accounts of First Wave, Barham Park Trust, I4B and LGA Digital Services have been consolidated as subsidiaries using the ac</w:t>
      </w:r>
      <w:r w:rsidR="006127BF">
        <w:t>quisition basis of combination.</w:t>
      </w:r>
    </w:p>
    <w:p w:rsidR="00F72906" w:rsidRDefault="00F72906" w:rsidP="00F72906">
      <w:r>
        <w:t>The following group financial statements have been prepared:</w:t>
      </w:r>
    </w:p>
    <w:p w:rsidR="00F72906" w:rsidRDefault="00F72906" w:rsidP="00F72906"/>
    <w:p w:rsidR="00F72906" w:rsidRDefault="00F72906" w:rsidP="00F72906">
      <w:r>
        <w:t>-Group Balance Sheet</w:t>
      </w:r>
    </w:p>
    <w:p w:rsidR="00F72906" w:rsidRDefault="00F72906" w:rsidP="00F72906">
      <w:r>
        <w:t xml:space="preserve">-Group Movement in Reserves Statement </w:t>
      </w:r>
    </w:p>
    <w:p w:rsidR="00F72906" w:rsidRDefault="00F72906" w:rsidP="00F72906">
      <w:r>
        <w:t>-Group Comprehensive Income and Expenditure Account</w:t>
      </w:r>
    </w:p>
    <w:p w:rsidR="00F72906" w:rsidRDefault="00F72906" w:rsidP="00F72906">
      <w:r>
        <w:t>-Group Cash Flow Statement</w:t>
      </w:r>
    </w:p>
    <w:p w:rsidR="00F72906" w:rsidRDefault="00F72906" w:rsidP="00F72906">
      <w:r>
        <w:t xml:space="preserve"> </w:t>
      </w:r>
    </w:p>
    <w:p w:rsidR="00F72906" w:rsidRDefault="00F72906" w:rsidP="00F72906">
      <w:r>
        <w:t>A significant amount of information in these statements is identical to Brent’s accounts on the preceding pages of this document.  Information has not been reproduced in the group accounts where it can be readily seen in Brent’s accounting statements. This includes accounting policies. The accounting policies for the group accounts are the same as for Brent’s single entity accounts and are shown in this document.</w:t>
      </w:r>
    </w:p>
    <w:p w:rsidR="00F72906" w:rsidRDefault="00F72906" w:rsidP="00F72906"/>
    <w:p w:rsidR="009C7D60" w:rsidRDefault="009C7D60" w:rsidP="006127BF">
      <w:pPr>
        <w:pStyle w:val="Heading2"/>
        <w:sectPr w:rsidR="009C7D60" w:rsidSect="00D53A04">
          <w:pgSz w:w="11906" w:h="16838"/>
          <w:pgMar w:top="1440" w:right="1440" w:bottom="1440" w:left="709" w:header="708" w:footer="708" w:gutter="0"/>
          <w:cols w:space="708"/>
          <w:docGrid w:linePitch="360"/>
        </w:sectPr>
      </w:pPr>
    </w:p>
    <w:p w:rsidR="00F72906" w:rsidRDefault="00F72906" w:rsidP="006127BF">
      <w:pPr>
        <w:pStyle w:val="Heading2"/>
      </w:pPr>
      <w:bookmarkStart w:id="25" w:name="_Toc61870295"/>
      <w:r>
        <w:lastRenderedPageBreak/>
        <w:t>Group Accounting Policies</w:t>
      </w:r>
      <w:bookmarkEnd w:id="25"/>
    </w:p>
    <w:p w:rsidR="00F72906" w:rsidRDefault="00F72906" w:rsidP="00F72906">
      <w:r>
        <w:t>The group accounts have been prepared using the same accounting policies as the Brent council Statement of Accounts. Further detail on how this is done is included in the Accounting Policies section below.</w:t>
      </w:r>
      <w:r w:rsidR="009C7D60">
        <w:t xml:space="preserve"> </w:t>
      </w:r>
    </w:p>
    <w:p w:rsidR="00F72906" w:rsidRDefault="00F72906" w:rsidP="000138B2">
      <w:pPr>
        <w:pStyle w:val="Heading2"/>
      </w:pPr>
      <w:bookmarkStart w:id="26" w:name="_Toc61870296"/>
      <w:r>
        <w:t>Group Statements</w:t>
      </w:r>
      <w:bookmarkEnd w:id="26"/>
    </w:p>
    <w:p w:rsidR="00F72906" w:rsidRDefault="00F72906" w:rsidP="006127BF">
      <w:pPr>
        <w:pStyle w:val="Heading3"/>
      </w:pPr>
      <w:r>
        <w:t>Group Balance Sheet</w:t>
      </w:r>
    </w:p>
    <w:tbl>
      <w:tblPr>
        <w:tblW w:w="9639" w:type="dxa"/>
        <w:tblLook w:val="00A0" w:firstRow="1" w:lastRow="0" w:firstColumn="1" w:lastColumn="0" w:noHBand="0" w:noVBand="0"/>
      </w:tblPr>
      <w:tblGrid>
        <w:gridCol w:w="1276"/>
        <w:gridCol w:w="1134"/>
        <w:gridCol w:w="5670"/>
        <w:gridCol w:w="1559"/>
      </w:tblGrid>
      <w:tr w:rsidR="000138B2" w:rsidRPr="00EB2995" w:rsidTr="000138B2">
        <w:trPr>
          <w:trHeight w:hRule="exact" w:val="284"/>
        </w:trPr>
        <w:tc>
          <w:tcPr>
            <w:tcW w:w="1276" w:type="dxa"/>
            <w:tcBorders>
              <w:top w:val="nil"/>
              <w:left w:val="nil"/>
              <w:bottom w:val="nil"/>
              <w:right w:val="nil"/>
            </w:tcBorders>
            <w:vAlign w:val="bottom"/>
          </w:tcPr>
          <w:p w:rsidR="000138B2" w:rsidRPr="00EB2995" w:rsidRDefault="000138B2" w:rsidP="00A70A31">
            <w:pPr>
              <w:jc w:val="right"/>
              <w:rPr>
                <w:rFonts w:cs="Calibri"/>
                <w:b/>
                <w:bCs/>
                <w:color w:val="000000"/>
                <w:lang w:eastAsia="en-GB"/>
              </w:rPr>
            </w:pPr>
            <w:r w:rsidRPr="00EB2995">
              <w:rPr>
                <w:rFonts w:cs="Calibri"/>
                <w:b/>
                <w:bCs/>
                <w:color w:val="000000"/>
                <w:lang w:eastAsia="en-GB"/>
              </w:rPr>
              <w:t>31-Mar</w:t>
            </w:r>
          </w:p>
        </w:tc>
        <w:tc>
          <w:tcPr>
            <w:tcW w:w="1134" w:type="dxa"/>
            <w:tcBorders>
              <w:top w:val="nil"/>
              <w:left w:val="nil"/>
              <w:bottom w:val="nil"/>
              <w:right w:val="nil"/>
            </w:tcBorders>
            <w:vAlign w:val="center"/>
          </w:tcPr>
          <w:p w:rsidR="000138B2" w:rsidRPr="00EB2995" w:rsidRDefault="000138B2" w:rsidP="00A70A31">
            <w:pPr>
              <w:jc w:val="right"/>
              <w:rPr>
                <w:rFonts w:cs="Calibri"/>
                <w:b/>
                <w:bCs/>
                <w:color w:val="000000"/>
                <w:lang w:eastAsia="en-GB"/>
              </w:rPr>
            </w:pPr>
          </w:p>
        </w:tc>
        <w:tc>
          <w:tcPr>
            <w:tcW w:w="5670" w:type="dxa"/>
            <w:tcBorders>
              <w:top w:val="nil"/>
              <w:left w:val="nil"/>
              <w:bottom w:val="nil"/>
              <w:right w:val="nil"/>
            </w:tcBorders>
            <w:noWrap/>
            <w:vAlign w:val="center"/>
          </w:tcPr>
          <w:p w:rsidR="000138B2" w:rsidRPr="00EB2995" w:rsidRDefault="000138B2" w:rsidP="00A70A31">
            <w:pPr>
              <w:jc w:val="right"/>
              <w:rPr>
                <w:rFonts w:cs="Calibri"/>
                <w:sz w:val="20"/>
                <w:szCs w:val="20"/>
                <w:lang w:eastAsia="en-GB"/>
              </w:rPr>
            </w:pPr>
          </w:p>
        </w:tc>
        <w:tc>
          <w:tcPr>
            <w:tcW w:w="1559" w:type="dxa"/>
            <w:tcBorders>
              <w:top w:val="nil"/>
              <w:left w:val="nil"/>
              <w:bottom w:val="nil"/>
              <w:right w:val="nil"/>
            </w:tcBorders>
            <w:noWrap/>
            <w:vAlign w:val="bottom"/>
          </w:tcPr>
          <w:p w:rsidR="000138B2" w:rsidRPr="00EB2995" w:rsidRDefault="000138B2" w:rsidP="00A70A31">
            <w:pPr>
              <w:jc w:val="right"/>
              <w:rPr>
                <w:rFonts w:cs="Calibri"/>
                <w:b/>
                <w:bCs/>
                <w:color w:val="000000"/>
                <w:lang w:eastAsia="en-GB"/>
              </w:rPr>
            </w:pPr>
            <w:r w:rsidRPr="00EB2995">
              <w:rPr>
                <w:rFonts w:cs="Calibri"/>
                <w:b/>
                <w:bCs/>
                <w:color w:val="000000"/>
                <w:lang w:eastAsia="en-GB"/>
              </w:rPr>
              <w:t>31-Mar</w:t>
            </w:r>
          </w:p>
        </w:tc>
      </w:tr>
      <w:tr w:rsidR="000138B2" w:rsidRPr="00EB2995" w:rsidTr="000138B2">
        <w:trPr>
          <w:trHeight w:hRule="exact" w:val="284"/>
        </w:trPr>
        <w:tc>
          <w:tcPr>
            <w:tcW w:w="1276" w:type="dxa"/>
            <w:tcBorders>
              <w:top w:val="nil"/>
              <w:left w:val="nil"/>
              <w:bottom w:val="nil"/>
              <w:right w:val="nil"/>
            </w:tcBorders>
            <w:vAlign w:val="center"/>
          </w:tcPr>
          <w:p w:rsidR="000138B2" w:rsidRPr="00EB2995" w:rsidRDefault="000138B2" w:rsidP="00A70A31">
            <w:pPr>
              <w:jc w:val="right"/>
              <w:rPr>
                <w:rFonts w:cs="Calibri"/>
                <w:b/>
                <w:bCs/>
                <w:color w:val="000000"/>
                <w:lang w:eastAsia="en-GB"/>
              </w:rPr>
            </w:pPr>
            <w:r w:rsidRPr="00EB2995">
              <w:rPr>
                <w:rFonts w:cs="Calibri"/>
                <w:b/>
                <w:bCs/>
                <w:color w:val="000000"/>
                <w:lang w:eastAsia="en-GB"/>
              </w:rPr>
              <w:t>2019</w:t>
            </w:r>
          </w:p>
        </w:tc>
        <w:tc>
          <w:tcPr>
            <w:tcW w:w="1134" w:type="dxa"/>
            <w:tcBorders>
              <w:top w:val="nil"/>
              <w:left w:val="nil"/>
              <w:bottom w:val="nil"/>
              <w:right w:val="nil"/>
            </w:tcBorders>
            <w:vAlign w:val="center"/>
          </w:tcPr>
          <w:p w:rsidR="000138B2" w:rsidRPr="00EB2995" w:rsidRDefault="000138B2" w:rsidP="00A70A31">
            <w:pPr>
              <w:jc w:val="right"/>
              <w:rPr>
                <w:rFonts w:cs="Calibri"/>
                <w:b/>
                <w:bCs/>
                <w:color w:val="000000"/>
                <w:lang w:eastAsia="en-GB"/>
              </w:rPr>
            </w:pPr>
          </w:p>
        </w:tc>
        <w:tc>
          <w:tcPr>
            <w:tcW w:w="5670" w:type="dxa"/>
            <w:tcBorders>
              <w:top w:val="nil"/>
              <w:left w:val="nil"/>
              <w:bottom w:val="nil"/>
              <w:right w:val="nil"/>
            </w:tcBorders>
            <w:noWrap/>
            <w:vAlign w:val="center"/>
          </w:tcPr>
          <w:p w:rsidR="000138B2" w:rsidRPr="00EB2995" w:rsidRDefault="000138B2" w:rsidP="00A70A31">
            <w:pPr>
              <w:jc w:val="right"/>
              <w:rPr>
                <w:rFonts w:cs="Calibri"/>
                <w:sz w:val="20"/>
                <w:szCs w:val="20"/>
                <w:lang w:eastAsia="en-GB"/>
              </w:rPr>
            </w:pPr>
          </w:p>
        </w:tc>
        <w:tc>
          <w:tcPr>
            <w:tcW w:w="1559" w:type="dxa"/>
            <w:tcBorders>
              <w:top w:val="nil"/>
              <w:left w:val="nil"/>
              <w:bottom w:val="nil"/>
              <w:right w:val="nil"/>
            </w:tcBorders>
            <w:noWrap/>
            <w:vAlign w:val="center"/>
          </w:tcPr>
          <w:p w:rsidR="000138B2" w:rsidRPr="00EB2995" w:rsidRDefault="000138B2" w:rsidP="00A70A31">
            <w:pPr>
              <w:jc w:val="right"/>
              <w:rPr>
                <w:rFonts w:cs="Calibri"/>
                <w:b/>
                <w:bCs/>
                <w:color w:val="000000"/>
                <w:lang w:eastAsia="en-GB"/>
              </w:rPr>
            </w:pPr>
            <w:r w:rsidRPr="00EB2995">
              <w:rPr>
                <w:rFonts w:cs="Calibri"/>
                <w:b/>
                <w:bCs/>
                <w:color w:val="000000"/>
                <w:lang w:eastAsia="en-GB"/>
              </w:rPr>
              <w:t>2020</w:t>
            </w:r>
          </w:p>
        </w:tc>
      </w:tr>
      <w:tr w:rsidR="000138B2" w:rsidRPr="00EB2995" w:rsidTr="000138B2">
        <w:trPr>
          <w:trHeight w:hRule="exact" w:val="284"/>
        </w:trPr>
        <w:tc>
          <w:tcPr>
            <w:tcW w:w="1276" w:type="dxa"/>
            <w:tcBorders>
              <w:top w:val="nil"/>
              <w:left w:val="nil"/>
              <w:bottom w:val="nil"/>
              <w:right w:val="nil"/>
            </w:tcBorders>
            <w:vAlign w:val="bottom"/>
          </w:tcPr>
          <w:p w:rsidR="000138B2" w:rsidRPr="00EB2995" w:rsidRDefault="000138B2" w:rsidP="00A70A31">
            <w:pPr>
              <w:jc w:val="right"/>
              <w:rPr>
                <w:rFonts w:cs="Calibri"/>
                <w:b/>
                <w:bCs/>
                <w:color w:val="000000"/>
                <w:lang w:eastAsia="en-GB"/>
              </w:rPr>
            </w:pPr>
            <w:r w:rsidRPr="00EB2995">
              <w:rPr>
                <w:rFonts w:cs="Calibri"/>
                <w:b/>
                <w:bCs/>
                <w:color w:val="000000"/>
                <w:lang w:eastAsia="en-GB"/>
              </w:rPr>
              <w:t>£m</w:t>
            </w:r>
          </w:p>
        </w:tc>
        <w:tc>
          <w:tcPr>
            <w:tcW w:w="1134" w:type="dxa"/>
            <w:tcBorders>
              <w:top w:val="nil"/>
              <w:left w:val="nil"/>
              <w:bottom w:val="nil"/>
              <w:right w:val="nil"/>
            </w:tcBorders>
            <w:vAlign w:val="center"/>
          </w:tcPr>
          <w:p w:rsidR="000138B2" w:rsidRPr="00EB2995" w:rsidRDefault="000138B2" w:rsidP="00A70A31">
            <w:pPr>
              <w:jc w:val="right"/>
              <w:rPr>
                <w:rFonts w:cs="Calibri"/>
                <w:b/>
                <w:bCs/>
                <w:color w:val="000000"/>
                <w:lang w:eastAsia="en-GB"/>
              </w:rPr>
            </w:pPr>
          </w:p>
        </w:tc>
        <w:tc>
          <w:tcPr>
            <w:tcW w:w="5670" w:type="dxa"/>
            <w:tcBorders>
              <w:top w:val="nil"/>
              <w:left w:val="nil"/>
              <w:bottom w:val="nil"/>
              <w:right w:val="nil"/>
            </w:tcBorders>
            <w:noWrap/>
            <w:vAlign w:val="center"/>
          </w:tcPr>
          <w:p w:rsidR="000138B2" w:rsidRPr="00EB2995" w:rsidRDefault="000138B2" w:rsidP="00A70A31">
            <w:pPr>
              <w:rPr>
                <w:rFonts w:cs="Calibri"/>
                <w:sz w:val="20"/>
                <w:szCs w:val="20"/>
                <w:lang w:eastAsia="en-GB"/>
              </w:rPr>
            </w:pPr>
          </w:p>
        </w:tc>
        <w:tc>
          <w:tcPr>
            <w:tcW w:w="1559" w:type="dxa"/>
            <w:tcBorders>
              <w:top w:val="nil"/>
              <w:left w:val="nil"/>
              <w:bottom w:val="single" w:sz="4" w:space="0" w:color="auto"/>
              <w:right w:val="nil"/>
            </w:tcBorders>
            <w:noWrap/>
            <w:vAlign w:val="bottom"/>
          </w:tcPr>
          <w:p w:rsidR="000138B2" w:rsidRPr="00EB2995" w:rsidRDefault="000138B2" w:rsidP="00A70A31">
            <w:pPr>
              <w:jc w:val="right"/>
              <w:rPr>
                <w:rFonts w:cs="Calibri"/>
                <w:b/>
                <w:bCs/>
                <w:color w:val="000000"/>
                <w:lang w:eastAsia="en-GB"/>
              </w:rPr>
            </w:pPr>
            <w:r w:rsidRPr="00EB2995">
              <w:rPr>
                <w:rFonts w:cs="Calibri"/>
                <w:b/>
                <w:bCs/>
                <w:color w:val="000000"/>
                <w:lang w:eastAsia="en-GB"/>
              </w:rPr>
              <w:t>£m</w:t>
            </w:r>
          </w:p>
        </w:tc>
      </w:tr>
      <w:tr w:rsidR="0073204A" w:rsidRPr="00EB2995" w:rsidTr="000138B2">
        <w:trPr>
          <w:trHeight w:hRule="exact" w:val="284"/>
        </w:trPr>
        <w:tc>
          <w:tcPr>
            <w:tcW w:w="1276" w:type="dxa"/>
            <w:tcBorders>
              <w:top w:val="single" w:sz="8" w:space="0" w:color="auto"/>
              <w:left w:val="single" w:sz="8" w:space="0" w:color="auto"/>
              <w:bottom w:val="nil"/>
              <w:right w:val="single" w:sz="8" w:space="0" w:color="auto"/>
            </w:tcBorders>
            <w:vAlign w:val="center"/>
          </w:tcPr>
          <w:p w:rsidR="0073204A" w:rsidRPr="00EB2995" w:rsidRDefault="0073204A" w:rsidP="0073204A">
            <w:pPr>
              <w:jc w:val="right"/>
              <w:rPr>
                <w:rFonts w:cs="Calibri"/>
                <w:color w:val="000000"/>
              </w:rPr>
            </w:pPr>
            <w:r w:rsidRPr="00EB2995">
              <w:rPr>
                <w:rFonts w:cs="Calibri"/>
                <w:color w:val="000000"/>
              </w:rPr>
              <w:t xml:space="preserve">1,794.2 </w:t>
            </w:r>
          </w:p>
        </w:tc>
        <w:tc>
          <w:tcPr>
            <w:tcW w:w="1134" w:type="dxa"/>
            <w:tcBorders>
              <w:top w:val="nil"/>
              <w:left w:val="nil"/>
              <w:bottom w:val="nil"/>
              <w:right w:val="nil"/>
            </w:tcBorders>
            <w:noWrap/>
            <w:vAlign w:val="bottom"/>
          </w:tcPr>
          <w:p w:rsidR="0073204A" w:rsidRPr="00EB2995" w:rsidRDefault="0073204A" w:rsidP="0073204A">
            <w:pPr>
              <w:jc w:val="right"/>
              <w:rPr>
                <w:rFonts w:cs="Calibri"/>
                <w:color w:val="000000"/>
                <w:lang w:eastAsia="en-GB"/>
              </w:rPr>
            </w:pPr>
          </w:p>
        </w:tc>
        <w:tc>
          <w:tcPr>
            <w:tcW w:w="5670" w:type="dxa"/>
            <w:tcBorders>
              <w:top w:val="nil"/>
              <w:left w:val="nil"/>
              <w:bottom w:val="nil"/>
              <w:right w:val="nil"/>
            </w:tcBorders>
            <w:noWrap/>
            <w:vAlign w:val="center"/>
          </w:tcPr>
          <w:p w:rsidR="0073204A" w:rsidRPr="00EB2995" w:rsidRDefault="0073204A" w:rsidP="0073204A">
            <w:pPr>
              <w:rPr>
                <w:rFonts w:cs="Calibri"/>
                <w:color w:val="000000"/>
                <w:lang w:eastAsia="en-GB"/>
              </w:rPr>
            </w:pPr>
            <w:r w:rsidRPr="00EB2995">
              <w:rPr>
                <w:rFonts w:cs="Calibri"/>
                <w:color w:val="000000"/>
                <w:lang w:eastAsia="en-GB"/>
              </w:rPr>
              <w:t>Property, Plant &amp; Equipment</w:t>
            </w:r>
          </w:p>
        </w:tc>
        <w:tc>
          <w:tcPr>
            <w:tcW w:w="1559" w:type="dxa"/>
            <w:tcBorders>
              <w:top w:val="single" w:sz="8" w:space="0" w:color="auto"/>
              <w:left w:val="single" w:sz="8" w:space="0" w:color="auto"/>
              <w:bottom w:val="nil"/>
              <w:right w:val="single" w:sz="8" w:space="0" w:color="auto"/>
            </w:tcBorders>
            <w:shd w:val="clear" w:color="auto" w:fill="auto"/>
            <w:noWrap/>
            <w:vAlign w:val="center"/>
          </w:tcPr>
          <w:p w:rsidR="0073204A" w:rsidRPr="00EB2995" w:rsidRDefault="0073204A" w:rsidP="0073204A">
            <w:pPr>
              <w:jc w:val="right"/>
              <w:rPr>
                <w:rFonts w:cs="Calibri"/>
                <w:color w:val="000000"/>
              </w:rPr>
            </w:pPr>
            <w:r>
              <w:rPr>
                <w:rFonts w:cs="Calibri"/>
                <w:color w:val="000000"/>
              </w:rPr>
              <w:t xml:space="preserve">2,144.8 </w:t>
            </w:r>
          </w:p>
        </w:tc>
      </w:tr>
      <w:tr w:rsidR="0073204A" w:rsidRPr="00EB2995" w:rsidTr="000138B2">
        <w:trPr>
          <w:trHeight w:hRule="exact" w:val="284"/>
        </w:trPr>
        <w:tc>
          <w:tcPr>
            <w:tcW w:w="1276" w:type="dxa"/>
            <w:tcBorders>
              <w:top w:val="nil"/>
              <w:left w:val="single" w:sz="8" w:space="0" w:color="auto"/>
              <w:bottom w:val="nil"/>
              <w:right w:val="single" w:sz="8" w:space="0" w:color="auto"/>
            </w:tcBorders>
            <w:vAlign w:val="center"/>
          </w:tcPr>
          <w:p w:rsidR="0073204A" w:rsidRPr="00EB2995" w:rsidRDefault="0073204A" w:rsidP="0073204A">
            <w:pPr>
              <w:jc w:val="right"/>
              <w:rPr>
                <w:rFonts w:cs="Calibri"/>
                <w:color w:val="000000"/>
              </w:rPr>
            </w:pPr>
            <w:r w:rsidRPr="00EB2995">
              <w:rPr>
                <w:rFonts w:cs="Calibri"/>
                <w:color w:val="000000"/>
              </w:rPr>
              <w:t xml:space="preserve">0.5 </w:t>
            </w:r>
          </w:p>
        </w:tc>
        <w:tc>
          <w:tcPr>
            <w:tcW w:w="1134" w:type="dxa"/>
            <w:tcBorders>
              <w:top w:val="nil"/>
              <w:left w:val="nil"/>
              <w:bottom w:val="nil"/>
              <w:right w:val="nil"/>
            </w:tcBorders>
            <w:noWrap/>
            <w:vAlign w:val="bottom"/>
          </w:tcPr>
          <w:p w:rsidR="0073204A" w:rsidRPr="00EB2995" w:rsidRDefault="0073204A" w:rsidP="0073204A">
            <w:pPr>
              <w:jc w:val="right"/>
              <w:rPr>
                <w:rFonts w:cs="Calibri"/>
                <w:color w:val="000000"/>
                <w:lang w:eastAsia="en-GB"/>
              </w:rPr>
            </w:pPr>
          </w:p>
        </w:tc>
        <w:tc>
          <w:tcPr>
            <w:tcW w:w="5670" w:type="dxa"/>
            <w:tcBorders>
              <w:top w:val="nil"/>
              <w:left w:val="nil"/>
              <w:bottom w:val="nil"/>
              <w:right w:val="nil"/>
            </w:tcBorders>
            <w:noWrap/>
            <w:vAlign w:val="center"/>
          </w:tcPr>
          <w:p w:rsidR="0073204A" w:rsidRPr="00EB2995" w:rsidRDefault="0073204A" w:rsidP="0073204A">
            <w:pPr>
              <w:rPr>
                <w:rFonts w:cs="Calibri"/>
                <w:color w:val="000000"/>
                <w:lang w:eastAsia="en-GB"/>
              </w:rPr>
            </w:pPr>
            <w:r w:rsidRPr="00EB2995">
              <w:rPr>
                <w:rFonts w:cs="Calibri"/>
                <w:color w:val="000000"/>
                <w:lang w:eastAsia="en-GB"/>
              </w:rPr>
              <w:t>Heritage Assets</w:t>
            </w:r>
          </w:p>
        </w:tc>
        <w:tc>
          <w:tcPr>
            <w:tcW w:w="1559" w:type="dxa"/>
            <w:tcBorders>
              <w:top w:val="nil"/>
              <w:left w:val="single" w:sz="8" w:space="0" w:color="auto"/>
              <w:bottom w:val="nil"/>
              <w:right w:val="single" w:sz="8" w:space="0" w:color="auto"/>
            </w:tcBorders>
            <w:shd w:val="clear" w:color="auto" w:fill="auto"/>
            <w:noWrap/>
            <w:vAlign w:val="center"/>
          </w:tcPr>
          <w:p w:rsidR="0073204A" w:rsidRPr="00EB2995" w:rsidRDefault="0073204A" w:rsidP="0073204A">
            <w:pPr>
              <w:jc w:val="right"/>
              <w:rPr>
                <w:rFonts w:cs="Calibri"/>
                <w:color w:val="000000"/>
              </w:rPr>
            </w:pPr>
            <w:r>
              <w:rPr>
                <w:rFonts w:cs="Calibri"/>
                <w:color w:val="000000"/>
              </w:rPr>
              <w:t xml:space="preserve">0.5 </w:t>
            </w:r>
          </w:p>
        </w:tc>
      </w:tr>
      <w:tr w:rsidR="0073204A" w:rsidRPr="00EB2995" w:rsidTr="000138B2">
        <w:trPr>
          <w:trHeight w:hRule="exact" w:val="284"/>
        </w:trPr>
        <w:tc>
          <w:tcPr>
            <w:tcW w:w="1276" w:type="dxa"/>
            <w:tcBorders>
              <w:top w:val="nil"/>
              <w:left w:val="single" w:sz="8" w:space="0" w:color="auto"/>
              <w:bottom w:val="nil"/>
              <w:right w:val="single" w:sz="8" w:space="0" w:color="auto"/>
            </w:tcBorders>
            <w:vAlign w:val="center"/>
          </w:tcPr>
          <w:p w:rsidR="0073204A" w:rsidRPr="00EB2995" w:rsidRDefault="0073204A" w:rsidP="0073204A">
            <w:pPr>
              <w:jc w:val="right"/>
              <w:rPr>
                <w:rFonts w:cs="Calibri"/>
                <w:color w:val="000000"/>
              </w:rPr>
            </w:pPr>
            <w:r w:rsidRPr="00EB2995">
              <w:rPr>
                <w:rFonts w:cs="Calibri"/>
                <w:color w:val="000000"/>
              </w:rPr>
              <w:t xml:space="preserve">12.1 </w:t>
            </w:r>
          </w:p>
        </w:tc>
        <w:tc>
          <w:tcPr>
            <w:tcW w:w="1134" w:type="dxa"/>
            <w:tcBorders>
              <w:top w:val="nil"/>
              <w:left w:val="nil"/>
              <w:bottom w:val="nil"/>
              <w:right w:val="nil"/>
            </w:tcBorders>
            <w:noWrap/>
            <w:vAlign w:val="bottom"/>
          </w:tcPr>
          <w:p w:rsidR="0073204A" w:rsidRPr="00EB2995" w:rsidRDefault="0073204A" w:rsidP="0073204A">
            <w:pPr>
              <w:jc w:val="right"/>
              <w:rPr>
                <w:rFonts w:cs="Calibri"/>
                <w:color w:val="000000"/>
                <w:lang w:eastAsia="en-GB"/>
              </w:rPr>
            </w:pPr>
          </w:p>
        </w:tc>
        <w:tc>
          <w:tcPr>
            <w:tcW w:w="5670" w:type="dxa"/>
            <w:tcBorders>
              <w:top w:val="nil"/>
              <w:left w:val="nil"/>
              <w:bottom w:val="nil"/>
              <w:right w:val="nil"/>
            </w:tcBorders>
            <w:noWrap/>
            <w:vAlign w:val="center"/>
          </w:tcPr>
          <w:p w:rsidR="0073204A" w:rsidRPr="00EB2995" w:rsidRDefault="0073204A" w:rsidP="0073204A">
            <w:pPr>
              <w:rPr>
                <w:rFonts w:cs="Calibri"/>
                <w:color w:val="000000"/>
                <w:lang w:eastAsia="en-GB"/>
              </w:rPr>
            </w:pPr>
            <w:r w:rsidRPr="00EB2995">
              <w:rPr>
                <w:rFonts w:cs="Calibri"/>
                <w:color w:val="000000"/>
                <w:lang w:eastAsia="en-GB"/>
              </w:rPr>
              <w:t>Investment Property</w:t>
            </w:r>
          </w:p>
        </w:tc>
        <w:tc>
          <w:tcPr>
            <w:tcW w:w="1559" w:type="dxa"/>
            <w:tcBorders>
              <w:top w:val="nil"/>
              <w:left w:val="single" w:sz="8" w:space="0" w:color="auto"/>
              <w:bottom w:val="nil"/>
              <w:right w:val="single" w:sz="8" w:space="0" w:color="auto"/>
            </w:tcBorders>
            <w:shd w:val="clear" w:color="auto" w:fill="auto"/>
            <w:noWrap/>
            <w:vAlign w:val="center"/>
          </w:tcPr>
          <w:p w:rsidR="0073204A" w:rsidRPr="00EB2995" w:rsidRDefault="0073204A" w:rsidP="0073204A">
            <w:pPr>
              <w:jc w:val="right"/>
              <w:rPr>
                <w:rFonts w:cs="Calibri"/>
                <w:color w:val="000000"/>
              </w:rPr>
            </w:pPr>
            <w:r>
              <w:rPr>
                <w:rFonts w:cs="Calibri"/>
                <w:color w:val="000000"/>
              </w:rPr>
              <w:t xml:space="preserve">12.4 </w:t>
            </w:r>
          </w:p>
        </w:tc>
      </w:tr>
      <w:tr w:rsidR="0073204A" w:rsidRPr="00EB2995" w:rsidTr="000138B2">
        <w:trPr>
          <w:trHeight w:hRule="exact" w:val="284"/>
        </w:trPr>
        <w:tc>
          <w:tcPr>
            <w:tcW w:w="1276" w:type="dxa"/>
            <w:tcBorders>
              <w:top w:val="nil"/>
              <w:left w:val="single" w:sz="8" w:space="0" w:color="auto"/>
              <w:bottom w:val="nil"/>
              <w:right w:val="single" w:sz="8" w:space="0" w:color="auto"/>
            </w:tcBorders>
            <w:vAlign w:val="center"/>
          </w:tcPr>
          <w:p w:rsidR="0073204A" w:rsidRPr="00EB2995" w:rsidRDefault="0073204A" w:rsidP="0073204A">
            <w:pPr>
              <w:jc w:val="right"/>
              <w:rPr>
                <w:rFonts w:cs="Calibri"/>
                <w:color w:val="000000"/>
              </w:rPr>
            </w:pPr>
            <w:r w:rsidRPr="00EB2995">
              <w:rPr>
                <w:rFonts w:cs="Calibri"/>
                <w:color w:val="000000"/>
              </w:rPr>
              <w:t xml:space="preserve">3.6 </w:t>
            </w:r>
          </w:p>
        </w:tc>
        <w:tc>
          <w:tcPr>
            <w:tcW w:w="1134" w:type="dxa"/>
            <w:tcBorders>
              <w:top w:val="nil"/>
              <w:left w:val="nil"/>
              <w:bottom w:val="nil"/>
              <w:right w:val="nil"/>
            </w:tcBorders>
            <w:noWrap/>
            <w:vAlign w:val="bottom"/>
          </w:tcPr>
          <w:p w:rsidR="0073204A" w:rsidRPr="00EB2995" w:rsidRDefault="0073204A" w:rsidP="0073204A">
            <w:pPr>
              <w:jc w:val="right"/>
              <w:rPr>
                <w:rFonts w:cs="Calibri"/>
                <w:color w:val="000000"/>
                <w:lang w:eastAsia="en-GB"/>
              </w:rPr>
            </w:pPr>
          </w:p>
        </w:tc>
        <w:tc>
          <w:tcPr>
            <w:tcW w:w="5670" w:type="dxa"/>
            <w:tcBorders>
              <w:top w:val="nil"/>
              <w:left w:val="nil"/>
              <w:bottom w:val="nil"/>
              <w:right w:val="nil"/>
            </w:tcBorders>
            <w:noWrap/>
            <w:vAlign w:val="center"/>
          </w:tcPr>
          <w:p w:rsidR="0073204A" w:rsidRPr="00EB2995" w:rsidRDefault="0073204A" w:rsidP="0073204A">
            <w:pPr>
              <w:rPr>
                <w:rFonts w:cs="Calibri"/>
                <w:color w:val="000000"/>
                <w:lang w:eastAsia="en-GB"/>
              </w:rPr>
            </w:pPr>
            <w:r w:rsidRPr="00EB2995">
              <w:rPr>
                <w:rFonts w:cs="Calibri"/>
                <w:color w:val="000000"/>
                <w:lang w:eastAsia="en-GB"/>
              </w:rPr>
              <w:t>Intangible Assets</w:t>
            </w:r>
          </w:p>
        </w:tc>
        <w:tc>
          <w:tcPr>
            <w:tcW w:w="1559" w:type="dxa"/>
            <w:tcBorders>
              <w:top w:val="nil"/>
              <w:left w:val="single" w:sz="8" w:space="0" w:color="auto"/>
              <w:bottom w:val="nil"/>
              <w:right w:val="single" w:sz="8" w:space="0" w:color="auto"/>
            </w:tcBorders>
            <w:shd w:val="clear" w:color="auto" w:fill="auto"/>
            <w:noWrap/>
            <w:vAlign w:val="center"/>
          </w:tcPr>
          <w:p w:rsidR="0073204A" w:rsidRPr="00EB2995" w:rsidRDefault="0073204A" w:rsidP="0073204A">
            <w:pPr>
              <w:jc w:val="right"/>
              <w:rPr>
                <w:rFonts w:cs="Calibri"/>
                <w:color w:val="000000"/>
              </w:rPr>
            </w:pPr>
            <w:r>
              <w:rPr>
                <w:rFonts w:cs="Calibri"/>
                <w:color w:val="000000"/>
              </w:rPr>
              <w:t xml:space="preserve">6.4 </w:t>
            </w:r>
          </w:p>
        </w:tc>
      </w:tr>
      <w:tr w:rsidR="0073204A" w:rsidRPr="00EB2995" w:rsidTr="000138B2">
        <w:trPr>
          <w:trHeight w:hRule="exact" w:val="284"/>
        </w:trPr>
        <w:tc>
          <w:tcPr>
            <w:tcW w:w="1276" w:type="dxa"/>
            <w:tcBorders>
              <w:top w:val="nil"/>
              <w:left w:val="single" w:sz="8" w:space="0" w:color="auto"/>
              <w:bottom w:val="nil"/>
              <w:right w:val="single" w:sz="8" w:space="0" w:color="auto"/>
            </w:tcBorders>
            <w:vAlign w:val="center"/>
          </w:tcPr>
          <w:p w:rsidR="0073204A" w:rsidRPr="00EB2995" w:rsidRDefault="0073204A" w:rsidP="0073204A">
            <w:pPr>
              <w:jc w:val="right"/>
              <w:rPr>
                <w:rFonts w:cs="Calibri"/>
                <w:color w:val="000000"/>
              </w:rPr>
            </w:pPr>
            <w:r w:rsidRPr="00EB2995">
              <w:rPr>
                <w:rFonts w:cs="Calibri"/>
                <w:color w:val="000000"/>
              </w:rPr>
              <w:t>0.0</w:t>
            </w:r>
          </w:p>
        </w:tc>
        <w:tc>
          <w:tcPr>
            <w:tcW w:w="1134" w:type="dxa"/>
            <w:tcBorders>
              <w:top w:val="nil"/>
              <w:left w:val="nil"/>
              <w:bottom w:val="nil"/>
              <w:right w:val="nil"/>
            </w:tcBorders>
            <w:noWrap/>
            <w:vAlign w:val="bottom"/>
          </w:tcPr>
          <w:p w:rsidR="0073204A" w:rsidRPr="00EB2995" w:rsidRDefault="0073204A" w:rsidP="0073204A">
            <w:pPr>
              <w:jc w:val="right"/>
              <w:rPr>
                <w:rFonts w:cs="Calibri"/>
                <w:color w:val="000000"/>
                <w:lang w:eastAsia="en-GB"/>
              </w:rPr>
            </w:pPr>
          </w:p>
        </w:tc>
        <w:tc>
          <w:tcPr>
            <w:tcW w:w="5670" w:type="dxa"/>
            <w:tcBorders>
              <w:top w:val="nil"/>
              <w:left w:val="nil"/>
              <w:bottom w:val="nil"/>
              <w:right w:val="nil"/>
            </w:tcBorders>
            <w:noWrap/>
            <w:vAlign w:val="center"/>
          </w:tcPr>
          <w:p w:rsidR="0073204A" w:rsidRPr="00EB2995" w:rsidRDefault="0073204A" w:rsidP="0073204A">
            <w:pPr>
              <w:rPr>
                <w:rFonts w:cs="Calibri"/>
                <w:color w:val="000000"/>
                <w:lang w:eastAsia="en-GB"/>
              </w:rPr>
            </w:pPr>
            <w:r w:rsidRPr="00EB2995">
              <w:rPr>
                <w:rFonts w:cs="Calibri"/>
                <w:color w:val="000000"/>
                <w:lang w:eastAsia="en-GB"/>
              </w:rPr>
              <w:t>Long Term Investments</w:t>
            </w:r>
          </w:p>
        </w:tc>
        <w:tc>
          <w:tcPr>
            <w:tcW w:w="1559" w:type="dxa"/>
            <w:tcBorders>
              <w:top w:val="nil"/>
              <w:left w:val="single" w:sz="8" w:space="0" w:color="auto"/>
              <w:bottom w:val="nil"/>
              <w:right w:val="single" w:sz="8" w:space="0" w:color="auto"/>
            </w:tcBorders>
            <w:shd w:val="clear" w:color="auto" w:fill="auto"/>
            <w:noWrap/>
            <w:vAlign w:val="center"/>
          </w:tcPr>
          <w:p w:rsidR="0073204A" w:rsidRPr="00EB2995" w:rsidRDefault="0073204A" w:rsidP="0073204A">
            <w:pPr>
              <w:jc w:val="right"/>
              <w:rPr>
                <w:rFonts w:cs="Calibri"/>
                <w:color w:val="000000"/>
              </w:rPr>
            </w:pPr>
            <w:r>
              <w:rPr>
                <w:rFonts w:cs="Calibri"/>
                <w:color w:val="000000"/>
              </w:rPr>
              <w:t xml:space="preserve">0.3 </w:t>
            </w:r>
          </w:p>
        </w:tc>
      </w:tr>
      <w:tr w:rsidR="0073204A" w:rsidRPr="00EB2995" w:rsidTr="000138B2">
        <w:trPr>
          <w:trHeight w:hRule="exact" w:val="284"/>
        </w:trPr>
        <w:tc>
          <w:tcPr>
            <w:tcW w:w="1276" w:type="dxa"/>
            <w:tcBorders>
              <w:top w:val="nil"/>
              <w:left w:val="single" w:sz="8" w:space="0" w:color="auto"/>
              <w:bottom w:val="single" w:sz="8" w:space="0" w:color="auto"/>
              <w:right w:val="single" w:sz="8" w:space="0" w:color="auto"/>
            </w:tcBorders>
            <w:vAlign w:val="center"/>
          </w:tcPr>
          <w:p w:rsidR="0073204A" w:rsidRPr="00EB2995" w:rsidRDefault="0073204A" w:rsidP="0073204A">
            <w:pPr>
              <w:jc w:val="right"/>
              <w:rPr>
                <w:rFonts w:cs="Calibri"/>
                <w:color w:val="000000"/>
              </w:rPr>
            </w:pPr>
            <w:r w:rsidRPr="00EB2995">
              <w:rPr>
                <w:rFonts w:cs="Calibri"/>
                <w:color w:val="000000"/>
              </w:rPr>
              <w:t xml:space="preserve">21.8 </w:t>
            </w:r>
          </w:p>
        </w:tc>
        <w:tc>
          <w:tcPr>
            <w:tcW w:w="1134" w:type="dxa"/>
            <w:tcBorders>
              <w:top w:val="nil"/>
              <w:left w:val="nil"/>
              <w:bottom w:val="nil"/>
              <w:right w:val="nil"/>
            </w:tcBorders>
            <w:noWrap/>
            <w:vAlign w:val="bottom"/>
          </w:tcPr>
          <w:p w:rsidR="0073204A" w:rsidRPr="00EB2995" w:rsidRDefault="0073204A" w:rsidP="0073204A">
            <w:pPr>
              <w:jc w:val="right"/>
              <w:rPr>
                <w:rFonts w:cs="Calibri"/>
                <w:color w:val="000000"/>
                <w:lang w:eastAsia="en-GB"/>
              </w:rPr>
            </w:pPr>
          </w:p>
        </w:tc>
        <w:tc>
          <w:tcPr>
            <w:tcW w:w="5670" w:type="dxa"/>
            <w:tcBorders>
              <w:top w:val="nil"/>
              <w:left w:val="nil"/>
              <w:bottom w:val="nil"/>
              <w:right w:val="single" w:sz="4" w:space="0" w:color="auto"/>
            </w:tcBorders>
            <w:noWrap/>
            <w:vAlign w:val="center"/>
          </w:tcPr>
          <w:p w:rsidR="0073204A" w:rsidRPr="00EB2995" w:rsidRDefault="0073204A" w:rsidP="0073204A">
            <w:pPr>
              <w:rPr>
                <w:rFonts w:cs="Calibri"/>
                <w:color w:val="000000"/>
                <w:lang w:eastAsia="en-GB"/>
              </w:rPr>
            </w:pPr>
            <w:r w:rsidRPr="00EB2995">
              <w:rPr>
                <w:rFonts w:cs="Calibri"/>
                <w:color w:val="000000"/>
                <w:lang w:eastAsia="en-GB"/>
              </w:rPr>
              <w:t>Long Term Debtors</w:t>
            </w:r>
          </w:p>
        </w:tc>
        <w:tc>
          <w:tcPr>
            <w:tcW w:w="1559" w:type="dxa"/>
            <w:tcBorders>
              <w:top w:val="nil"/>
              <w:left w:val="single" w:sz="8" w:space="0" w:color="auto"/>
              <w:bottom w:val="nil"/>
              <w:right w:val="single" w:sz="8" w:space="0" w:color="auto"/>
            </w:tcBorders>
            <w:shd w:val="clear" w:color="auto" w:fill="auto"/>
            <w:noWrap/>
            <w:vAlign w:val="center"/>
          </w:tcPr>
          <w:p w:rsidR="0073204A" w:rsidRPr="00EB2995" w:rsidRDefault="0073204A" w:rsidP="0073204A">
            <w:pPr>
              <w:jc w:val="right"/>
              <w:rPr>
                <w:rFonts w:cs="Calibri"/>
                <w:color w:val="000000"/>
              </w:rPr>
            </w:pPr>
            <w:r>
              <w:rPr>
                <w:rFonts w:cs="Calibri"/>
                <w:color w:val="000000"/>
              </w:rPr>
              <w:t xml:space="preserve">21.1 </w:t>
            </w:r>
          </w:p>
        </w:tc>
      </w:tr>
      <w:tr w:rsidR="0073204A" w:rsidRPr="00EB2995" w:rsidTr="000138B2">
        <w:trPr>
          <w:trHeight w:hRule="exact" w:val="284"/>
        </w:trPr>
        <w:tc>
          <w:tcPr>
            <w:tcW w:w="1276" w:type="dxa"/>
            <w:tcBorders>
              <w:top w:val="nil"/>
              <w:left w:val="single" w:sz="8" w:space="0" w:color="auto"/>
              <w:bottom w:val="nil"/>
              <w:right w:val="single" w:sz="8" w:space="0" w:color="auto"/>
            </w:tcBorders>
            <w:vAlign w:val="center"/>
          </w:tcPr>
          <w:p w:rsidR="0073204A" w:rsidRPr="00EB2995" w:rsidRDefault="0073204A" w:rsidP="0073204A">
            <w:pPr>
              <w:jc w:val="right"/>
              <w:rPr>
                <w:rFonts w:cs="Calibri"/>
                <w:b/>
                <w:bCs/>
                <w:color w:val="000000"/>
              </w:rPr>
            </w:pPr>
            <w:r w:rsidRPr="00EB2995">
              <w:rPr>
                <w:rFonts w:cs="Calibri"/>
                <w:b/>
                <w:color w:val="000000"/>
              </w:rPr>
              <w:t xml:space="preserve">1,832.2 </w:t>
            </w:r>
          </w:p>
        </w:tc>
        <w:tc>
          <w:tcPr>
            <w:tcW w:w="1134" w:type="dxa"/>
            <w:tcBorders>
              <w:top w:val="nil"/>
              <w:left w:val="nil"/>
              <w:bottom w:val="nil"/>
              <w:right w:val="nil"/>
            </w:tcBorders>
            <w:noWrap/>
            <w:vAlign w:val="bottom"/>
          </w:tcPr>
          <w:p w:rsidR="0073204A" w:rsidRPr="00EB2995" w:rsidRDefault="0073204A" w:rsidP="0073204A">
            <w:pPr>
              <w:jc w:val="right"/>
              <w:rPr>
                <w:rFonts w:cs="Calibri"/>
                <w:b/>
                <w:bCs/>
                <w:color w:val="000000"/>
                <w:lang w:eastAsia="en-GB"/>
              </w:rPr>
            </w:pPr>
          </w:p>
        </w:tc>
        <w:tc>
          <w:tcPr>
            <w:tcW w:w="5670" w:type="dxa"/>
            <w:tcBorders>
              <w:top w:val="nil"/>
              <w:left w:val="nil"/>
              <w:bottom w:val="nil"/>
              <w:right w:val="nil"/>
            </w:tcBorders>
            <w:noWrap/>
            <w:vAlign w:val="center"/>
          </w:tcPr>
          <w:p w:rsidR="0073204A" w:rsidRPr="00EB2995" w:rsidRDefault="0073204A" w:rsidP="0073204A">
            <w:pPr>
              <w:rPr>
                <w:rFonts w:cs="Calibri"/>
                <w:b/>
                <w:bCs/>
                <w:color w:val="000000"/>
                <w:lang w:eastAsia="en-GB"/>
              </w:rPr>
            </w:pPr>
            <w:r w:rsidRPr="00EB2995">
              <w:rPr>
                <w:rFonts w:cs="Calibri"/>
                <w:b/>
                <w:bCs/>
                <w:color w:val="000000"/>
                <w:lang w:eastAsia="en-GB"/>
              </w:rPr>
              <w:t>Long Term Assets</w:t>
            </w:r>
          </w:p>
        </w:tc>
        <w:tc>
          <w:tcPr>
            <w:tcW w:w="1559" w:type="dxa"/>
            <w:tcBorders>
              <w:top w:val="single" w:sz="8" w:space="0" w:color="auto"/>
              <w:left w:val="single" w:sz="8" w:space="0" w:color="auto"/>
              <w:bottom w:val="nil"/>
              <w:right w:val="single" w:sz="8" w:space="0" w:color="auto"/>
            </w:tcBorders>
            <w:shd w:val="clear" w:color="auto" w:fill="auto"/>
            <w:noWrap/>
            <w:vAlign w:val="center"/>
          </w:tcPr>
          <w:p w:rsidR="0073204A" w:rsidRPr="00A44970" w:rsidRDefault="0073204A" w:rsidP="0073204A">
            <w:pPr>
              <w:jc w:val="right"/>
              <w:rPr>
                <w:rFonts w:cs="Calibri"/>
                <w:b/>
                <w:color w:val="000000"/>
              </w:rPr>
            </w:pPr>
            <w:r>
              <w:rPr>
                <w:rFonts w:cs="Calibri"/>
                <w:b/>
                <w:color w:val="000000"/>
              </w:rPr>
              <w:t>2,185.5</w:t>
            </w:r>
            <w:r w:rsidRPr="00A44970">
              <w:rPr>
                <w:rFonts w:cs="Calibri"/>
                <w:b/>
                <w:color w:val="000000"/>
              </w:rPr>
              <w:t xml:space="preserve"> </w:t>
            </w:r>
          </w:p>
        </w:tc>
      </w:tr>
      <w:tr w:rsidR="0073204A" w:rsidRPr="00EB2995" w:rsidTr="000138B2">
        <w:trPr>
          <w:trHeight w:hRule="exact" w:val="284"/>
        </w:trPr>
        <w:tc>
          <w:tcPr>
            <w:tcW w:w="1276" w:type="dxa"/>
            <w:tcBorders>
              <w:top w:val="nil"/>
              <w:left w:val="single" w:sz="8" w:space="0" w:color="auto"/>
              <w:bottom w:val="nil"/>
              <w:right w:val="single" w:sz="8" w:space="0" w:color="auto"/>
            </w:tcBorders>
            <w:vAlign w:val="center"/>
          </w:tcPr>
          <w:p w:rsidR="0073204A" w:rsidRPr="00EB2995" w:rsidRDefault="0073204A" w:rsidP="0073204A">
            <w:pPr>
              <w:jc w:val="right"/>
              <w:rPr>
                <w:rFonts w:cs="Calibri"/>
                <w:color w:val="000000"/>
              </w:rPr>
            </w:pPr>
            <w:r w:rsidRPr="00EB2995">
              <w:rPr>
                <w:rFonts w:cs="Calibri"/>
                <w:color w:val="000000"/>
              </w:rPr>
              <w:t xml:space="preserve">61.0 </w:t>
            </w:r>
          </w:p>
        </w:tc>
        <w:tc>
          <w:tcPr>
            <w:tcW w:w="1134" w:type="dxa"/>
            <w:tcBorders>
              <w:top w:val="nil"/>
              <w:left w:val="nil"/>
              <w:bottom w:val="nil"/>
              <w:right w:val="nil"/>
            </w:tcBorders>
            <w:noWrap/>
            <w:vAlign w:val="bottom"/>
          </w:tcPr>
          <w:p w:rsidR="0073204A" w:rsidRPr="00EB2995" w:rsidRDefault="0073204A" w:rsidP="0073204A">
            <w:pPr>
              <w:jc w:val="right"/>
              <w:rPr>
                <w:rFonts w:cs="Calibri"/>
                <w:color w:val="000000"/>
                <w:lang w:eastAsia="en-GB"/>
              </w:rPr>
            </w:pPr>
          </w:p>
        </w:tc>
        <w:tc>
          <w:tcPr>
            <w:tcW w:w="5670" w:type="dxa"/>
            <w:tcBorders>
              <w:top w:val="nil"/>
              <w:left w:val="nil"/>
              <w:bottom w:val="nil"/>
              <w:right w:val="nil"/>
            </w:tcBorders>
            <w:noWrap/>
            <w:vAlign w:val="center"/>
          </w:tcPr>
          <w:p w:rsidR="0073204A" w:rsidRPr="00EB2995" w:rsidRDefault="0073204A" w:rsidP="0073204A">
            <w:pPr>
              <w:rPr>
                <w:rFonts w:cs="Calibri"/>
                <w:color w:val="000000"/>
                <w:lang w:eastAsia="en-GB"/>
              </w:rPr>
            </w:pPr>
            <w:r w:rsidRPr="00EB2995">
              <w:rPr>
                <w:rFonts w:cs="Calibri"/>
                <w:color w:val="000000"/>
                <w:lang w:eastAsia="en-GB"/>
              </w:rPr>
              <w:t>Short Term Investments</w:t>
            </w:r>
          </w:p>
        </w:tc>
        <w:tc>
          <w:tcPr>
            <w:tcW w:w="1559" w:type="dxa"/>
            <w:tcBorders>
              <w:top w:val="nil"/>
              <w:left w:val="single" w:sz="8" w:space="0" w:color="auto"/>
              <w:bottom w:val="nil"/>
              <w:right w:val="single" w:sz="8" w:space="0" w:color="auto"/>
            </w:tcBorders>
            <w:shd w:val="clear" w:color="auto" w:fill="auto"/>
            <w:noWrap/>
            <w:vAlign w:val="center"/>
          </w:tcPr>
          <w:p w:rsidR="0073204A" w:rsidRPr="00EB2995" w:rsidRDefault="0073204A" w:rsidP="0073204A">
            <w:pPr>
              <w:jc w:val="right"/>
              <w:rPr>
                <w:rFonts w:cs="Calibri"/>
                <w:color w:val="000000"/>
              </w:rPr>
            </w:pPr>
            <w:r>
              <w:rPr>
                <w:rFonts w:cs="Calibri"/>
                <w:color w:val="000000"/>
              </w:rPr>
              <w:t xml:space="preserve">0.0 </w:t>
            </w:r>
          </w:p>
        </w:tc>
      </w:tr>
      <w:tr w:rsidR="0073204A" w:rsidRPr="00EB2995" w:rsidTr="000138B2">
        <w:trPr>
          <w:trHeight w:hRule="exact" w:val="284"/>
        </w:trPr>
        <w:tc>
          <w:tcPr>
            <w:tcW w:w="1276" w:type="dxa"/>
            <w:tcBorders>
              <w:top w:val="nil"/>
              <w:left w:val="single" w:sz="8" w:space="0" w:color="auto"/>
              <w:bottom w:val="nil"/>
              <w:right w:val="single" w:sz="8" w:space="0" w:color="auto"/>
            </w:tcBorders>
            <w:vAlign w:val="center"/>
          </w:tcPr>
          <w:p w:rsidR="0073204A" w:rsidRPr="00EB2995" w:rsidRDefault="0073204A" w:rsidP="0073204A">
            <w:pPr>
              <w:jc w:val="right"/>
              <w:rPr>
                <w:rFonts w:cs="Calibri"/>
                <w:color w:val="000000"/>
              </w:rPr>
            </w:pPr>
            <w:r w:rsidRPr="00EB2995">
              <w:rPr>
                <w:rFonts w:cs="Calibri"/>
                <w:color w:val="000000"/>
              </w:rPr>
              <w:t xml:space="preserve">0.0 </w:t>
            </w:r>
          </w:p>
        </w:tc>
        <w:tc>
          <w:tcPr>
            <w:tcW w:w="1134" w:type="dxa"/>
            <w:tcBorders>
              <w:top w:val="nil"/>
              <w:left w:val="nil"/>
              <w:bottom w:val="nil"/>
              <w:right w:val="nil"/>
            </w:tcBorders>
            <w:noWrap/>
            <w:vAlign w:val="bottom"/>
          </w:tcPr>
          <w:p w:rsidR="0073204A" w:rsidRPr="00EB2995" w:rsidRDefault="0073204A" w:rsidP="0073204A">
            <w:pPr>
              <w:jc w:val="right"/>
              <w:rPr>
                <w:rFonts w:cs="Calibri"/>
                <w:color w:val="000000"/>
                <w:lang w:eastAsia="en-GB"/>
              </w:rPr>
            </w:pPr>
          </w:p>
        </w:tc>
        <w:tc>
          <w:tcPr>
            <w:tcW w:w="5670" w:type="dxa"/>
            <w:tcBorders>
              <w:top w:val="nil"/>
              <w:left w:val="nil"/>
              <w:bottom w:val="nil"/>
              <w:right w:val="nil"/>
            </w:tcBorders>
            <w:noWrap/>
            <w:vAlign w:val="center"/>
          </w:tcPr>
          <w:p w:rsidR="0073204A" w:rsidRPr="00EB2995" w:rsidRDefault="0073204A" w:rsidP="0073204A">
            <w:pPr>
              <w:rPr>
                <w:rFonts w:cs="Calibri"/>
                <w:color w:val="000000"/>
                <w:lang w:eastAsia="en-GB"/>
              </w:rPr>
            </w:pPr>
            <w:r w:rsidRPr="00EB2995">
              <w:rPr>
                <w:rFonts w:cs="Calibri"/>
                <w:color w:val="000000"/>
                <w:lang w:eastAsia="en-GB"/>
              </w:rPr>
              <w:t>Assets Held for Sale</w:t>
            </w:r>
          </w:p>
        </w:tc>
        <w:tc>
          <w:tcPr>
            <w:tcW w:w="1559" w:type="dxa"/>
            <w:tcBorders>
              <w:top w:val="nil"/>
              <w:left w:val="single" w:sz="8" w:space="0" w:color="auto"/>
              <w:bottom w:val="nil"/>
              <w:right w:val="single" w:sz="8" w:space="0" w:color="auto"/>
            </w:tcBorders>
            <w:shd w:val="clear" w:color="auto" w:fill="auto"/>
            <w:noWrap/>
            <w:vAlign w:val="center"/>
          </w:tcPr>
          <w:p w:rsidR="0073204A" w:rsidRPr="00EB2995" w:rsidRDefault="0073204A" w:rsidP="0073204A">
            <w:pPr>
              <w:jc w:val="right"/>
              <w:rPr>
                <w:rFonts w:cs="Calibri"/>
                <w:color w:val="000000"/>
              </w:rPr>
            </w:pPr>
            <w:r>
              <w:rPr>
                <w:rFonts w:cs="Calibri"/>
                <w:color w:val="000000"/>
              </w:rPr>
              <w:t xml:space="preserve">0.0 </w:t>
            </w:r>
          </w:p>
        </w:tc>
      </w:tr>
      <w:tr w:rsidR="0073204A" w:rsidRPr="00EB2995" w:rsidTr="000138B2">
        <w:trPr>
          <w:trHeight w:hRule="exact" w:val="284"/>
        </w:trPr>
        <w:tc>
          <w:tcPr>
            <w:tcW w:w="1276" w:type="dxa"/>
            <w:tcBorders>
              <w:top w:val="nil"/>
              <w:left w:val="single" w:sz="8" w:space="0" w:color="auto"/>
              <w:bottom w:val="nil"/>
              <w:right w:val="single" w:sz="8" w:space="0" w:color="auto"/>
            </w:tcBorders>
            <w:vAlign w:val="center"/>
          </w:tcPr>
          <w:p w:rsidR="0073204A" w:rsidRPr="00EB2995" w:rsidRDefault="0073204A" w:rsidP="0073204A">
            <w:pPr>
              <w:jc w:val="right"/>
              <w:rPr>
                <w:rFonts w:cs="Calibri"/>
                <w:color w:val="000000"/>
              </w:rPr>
            </w:pPr>
            <w:r w:rsidRPr="00EB2995">
              <w:rPr>
                <w:rFonts w:cs="Calibri"/>
                <w:color w:val="000000"/>
              </w:rPr>
              <w:t xml:space="preserve">106.3 </w:t>
            </w:r>
          </w:p>
        </w:tc>
        <w:tc>
          <w:tcPr>
            <w:tcW w:w="1134" w:type="dxa"/>
            <w:tcBorders>
              <w:top w:val="nil"/>
              <w:left w:val="nil"/>
              <w:bottom w:val="nil"/>
              <w:right w:val="nil"/>
            </w:tcBorders>
            <w:noWrap/>
            <w:vAlign w:val="bottom"/>
          </w:tcPr>
          <w:p w:rsidR="0073204A" w:rsidRPr="00EB2995" w:rsidRDefault="0073204A" w:rsidP="0073204A">
            <w:pPr>
              <w:jc w:val="right"/>
              <w:rPr>
                <w:rFonts w:cs="Calibri"/>
                <w:color w:val="000000"/>
                <w:lang w:eastAsia="en-GB"/>
              </w:rPr>
            </w:pPr>
          </w:p>
        </w:tc>
        <w:tc>
          <w:tcPr>
            <w:tcW w:w="5670" w:type="dxa"/>
            <w:tcBorders>
              <w:top w:val="nil"/>
              <w:left w:val="nil"/>
              <w:bottom w:val="nil"/>
              <w:right w:val="nil"/>
            </w:tcBorders>
            <w:noWrap/>
            <w:vAlign w:val="center"/>
          </w:tcPr>
          <w:p w:rsidR="0073204A" w:rsidRPr="00EB2995" w:rsidRDefault="0073204A" w:rsidP="0073204A">
            <w:pPr>
              <w:rPr>
                <w:rFonts w:cs="Calibri"/>
                <w:color w:val="000000"/>
                <w:lang w:eastAsia="en-GB"/>
              </w:rPr>
            </w:pPr>
            <w:r w:rsidRPr="00EB2995">
              <w:rPr>
                <w:rFonts w:cs="Calibri"/>
                <w:color w:val="000000"/>
                <w:lang w:eastAsia="en-GB"/>
              </w:rPr>
              <w:t>Short Term Debtors</w:t>
            </w:r>
          </w:p>
        </w:tc>
        <w:tc>
          <w:tcPr>
            <w:tcW w:w="1559" w:type="dxa"/>
            <w:tcBorders>
              <w:top w:val="nil"/>
              <w:left w:val="single" w:sz="8" w:space="0" w:color="auto"/>
              <w:bottom w:val="nil"/>
              <w:right w:val="single" w:sz="8" w:space="0" w:color="auto"/>
            </w:tcBorders>
            <w:shd w:val="clear" w:color="auto" w:fill="auto"/>
            <w:noWrap/>
            <w:vAlign w:val="center"/>
          </w:tcPr>
          <w:p w:rsidR="0073204A" w:rsidRPr="00EB2995" w:rsidRDefault="0073204A" w:rsidP="0073204A">
            <w:pPr>
              <w:jc w:val="right"/>
              <w:rPr>
                <w:rFonts w:cs="Calibri"/>
                <w:color w:val="000000"/>
              </w:rPr>
            </w:pPr>
            <w:r>
              <w:rPr>
                <w:rFonts w:cs="Calibri"/>
                <w:color w:val="000000"/>
              </w:rPr>
              <w:t>158.8</w:t>
            </w:r>
          </w:p>
        </w:tc>
      </w:tr>
      <w:tr w:rsidR="0073204A" w:rsidRPr="00EB2995" w:rsidTr="000138B2">
        <w:trPr>
          <w:trHeight w:hRule="exact" w:val="284"/>
        </w:trPr>
        <w:tc>
          <w:tcPr>
            <w:tcW w:w="1276" w:type="dxa"/>
            <w:tcBorders>
              <w:top w:val="nil"/>
              <w:left w:val="single" w:sz="8" w:space="0" w:color="auto"/>
              <w:bottom w:val="single" w:sz="8" w:space="0" w:color="auto"/>
              <w:right w:val="single" w:sz="8" w:space="0" w:color="auto"/>
            </w:tcBorders>
            <w:vAlign w:val="center"/>
          </w:tcPr>
          <w:p w:rsidR="0073204A" w:rsidRPr="00EB2995" w:rsidRDefault="0073204A" w:rsidP="0073204A">
            <w:pPr>
              <w:jc w:val="right"/>
              <w:rPr>
                <w:rFonts w:cs="Calibri"/>
                <w:color w:val="000000"/>
              </w:rPr>
            </w:pPr>
            <w:r w:rsidRPr="00EB2995">
              <w:rPr>
                <w:rFonts w:cs="Calibri"/>
                <w:color w:val="000000"/>
              </w:rPr>
              <w:t xml:space="preserve">55.6 </w:t>
            </w:r>
          </w:p>
        </w:tc>
        <w:tc>
          <w:tcPr>
            <w:tcW w:w="1134" w:type="dxa"/>
            <w:tcBorders>
              <w:top w:val="nil"/>
              <w:left w:val="nil"/>
              <w:bottom w:val="nil"/>
              <w:right w:val="nil"/>
            </w:tcBorders>
            <w:noWrap/>
            <w:vAlign w:val="bottom"/>
          </w:tcPr>
          <w:p w:rsidR="0073204A" w:rsidRPr="00EB2995" w:rsidRDefault="0073204A" w:rsidP="0073204A">
            <w:pPr>
              <w:jc w:val="right"/>
              <w:rPr>
                <w:rFonts w:cs="Calibri"/>
                <w:color w:val="000000"/>
                <w:lang w:eastAsia="en-GB"/>
              </w:rPr>
            </w:pPr>
          </w:p>
        </w:tc>
        <w:tc>
          <w:tcPr>
            <w:tcW w:w="5670" w:type="dxa"/>
            <w:tcBorders>
              <w:top w:val="nil"/>
              <w:left w:val="nil"/>
              <w:bottom w:val="nil"/>
              <w:right w:val="nil"/>
            </w:tcBorders>
            <w:noWrap/>
            <w:vAlign w:val="center"/>
          </w:tcPr>
          <w:p w:rsidR="0073204A" w:rsidRPr="00EB2995" w:rsidRDefault="0073204A" w:rsidP="0073204A">
            <w:pPr>
              <w:rPr>
                <w:rFonts w:cs="Calibri"/>
                <w:color w:val="000000"/>
                <w:lang w:eastAsia="en-GB"/>
              </w:rPr>
            </w:pPr>
            <w:r w:rsidRPr="00EB2995">
              <w:rPr>
                <w:rFonts w:cs="Calibri"/>
                <w:color w:val="000000"/>
                <w:lang w:eastAsia="en-GB"/>
              </w:rPr>
              <w:t>Cash and Cash Equivalents</w:t>
            </w:r>
          </w:p>
        </w:tc>
        <w:tc>
          <w:tcPr>
            <w:tcW w:w="1559" w:type="dxa"/>
            <w:tcBorders>
              <w:top w:val="nil"/>
              <w:left w:val="single" w:sz="8" w:space="0" w:color="auto"/>
              <w:bottom w:val="single" w:sz="8" w:space="0" w:color="auto"/>
              <w:right w:val="single" w:sz="8" w:space="0" w:color="auto"/>
            </w:tcBorders>
            <w:shd w:val="clear" w:color="auto" w:fill="auto"/>
            <w:noWrap/>
            <w:vAlign w:val="center"/>
          </w:tcPr>
          <w:p w:rsidR="0073204A" w:rsidRPr="00EB2995" w:rsidRDefault="0073204A" w:rsidP="0073204A">
            <w:pPr>
              <w:jc w:val="right"/>
              <w:rPr>
                <w:rFonts w:cs="Calibri"/>
                <w:color w:val="000000"/>
              </w:rPr>
            </w:pPr>
            <w:r>
              <w:rPr>
                <w:rFonts w:cs="Calibri"/>
                <w:color w:val="000000"/>
              </w:rPr>
              <w:t xml:space="preserve">137.9 </w:t>
            </w:r>
          </w:p>
        </w:tc>
      </w:tr>
      <w:tr w:rsidR="0073204A" w:rsidRPr="00EB2995" w:rsidTr="000138B2">
        <w:trPr>
          <w:trHeight w:hRule="exact" w:val="284"/>
        </w:trPr>
        <w:tc>
          <w:tcPr>
            <w:tcW w:w="1276" w:type="dxa"/>
            <w:tcBorders>
              <w:top w:val="nil"/>
              <w:left w:val="single" w:sz="8" w:space="0" w:color="auto"/>
              <w:bottom w:val="nil"/>
              <w:right w:val="single" w:sz="8" w:space="0" w:color="auto"/>
            </w:tcBorders>
            <w:vAlign w:val="center"/>
          </w:tcPr>
          <w:p w:rsidR="0073204A" w:rsidRPr="00EB2995" w:rsidRDefault="0073204A" w:rsidP="0073204A">
            <w:pPr>
              <w:jc w:val="right"/>
              <w:rPr>
                <w:rFonts w:cs="Calibri"/>
                <w:b/>
                <w:bCs/>
                <w:color w:val="000000"/>
              </w:rPr>
            </w:pPr>
            <w:r w:rsidRPr="00EB2995">
              <w:rPr>
                <w:rFonts w:cs="Calibri"/>
                <w:b/>
                <w:color w:val="000000"/>
              </w:rPr>
              <w:t xml:space="preserve">222.9 </w:t>
            </w:r>
          </w:p>
        </w:tc>
        <w:tc>
          <w:tcPr>
            <w:tcW w:w="1134" w:type="dxa"/>
            <w:tcBorders>
              <w:top w:val="nil"/>
              <w:left w:val="nil"/>
              <w:bottom w:val="nil"/>
              <w:right w:val="nil"/>
            </w:tcBorders>
            <w:noWrap/>
            <w:vAlign w:val="bottom"/>
          </w:tcPr>
          <w:p w:rsidR="0073204A" w:rsidRPr="00EB2995" w:rsidRDefault="0073204A" w:rsidP="0073204A">
            <w:pPr>
              <w:jc w:val="right"/>
              <w:rPr>
                <w:rFonts w:cs="Calibri"/>
                <w:b/>
                <w:bCs/>
                <w:color w:val="000000"/>
                <w:lang w:eastAsia="en-GB"/>
              </w:rPr>
            </w:pPr>
          </w:p>
        </w:tc>
        <w:tc>
          <w:tcPr>
            <w:tcW w:w="5670" w:type="dxa"/>
            <w:tcBorders>
              <w:top w:val="nil"/>
              <w:left w:val="nil"/>
              <w:bottom w:val="nil"/>
              <w:right w:val="nil"/>
            </w:tcBorders>
            <w:noWrap/>
            <w:vAlign w:val="center"/>
          </w:tcPr>
          <w:p w:rsidR="0073204A" w:rsidRPr="00EB2995" w:rsidRDefault="0073204A" w:rsidP="0073204A">
            <w:pPr>
              <w:rPr>
                <w:rFonts w:cs="Calibri"/>
                <w:b/>
                <w:bCs/>
                <w:color w:val="000000"/>
                <w:lang w:eastAsia="en-GB"/>
              </w:rPr>
            </w:pPr>
            <w:r w:rsidRPr="00EB2995">
              <w:rPr>
                <w:rFonts w:cs="Calibri"/>
                <w:b/>
                <w:bCs/>
                <w:color w:val="000000"/>
                <w:lang w:eastAsia="en-GB"/>
              </w:rPr>
              <w:t>Current Assets</w:t>
            </w:r>
          </w:p>
        </w:tc>
        <w:tc>
          <w:tcPr>
            <w:tcW w:w="1559" w:type="dxa"/>
            <w:tcBorders>
              <w:top w:val="nil"/>
              <w:left w:val="single" w:sz="8" w:space="0" w:color="auto"/>
              <w:bottom w:val="nil"/>
              <w:right w:val="single" w:sz="8" w:space="0" w:color="auto"/>
            </w:tcBorders>
            <w:shd w:val="clear" w:color="auto" w:fill="auto"/>
            <w:noWrap/>
            <w:vAlign w:val="center"/>
          </w:tcPr>
          <w:p w:rsidR="0073204A" w:rsidRPr="00EB2995" w:rsidRDefault="0073204A" w:rsidP="0073204A">
            <w:pPr>
              <w:jc w:val="right"/>
              <w:rPr>
                <w:rFonts w:cs="Calibri"/>
                <w:b/>
                <w:color w:val="000000"/>
              </w:rPr>
            </w:pPr>
            <w:r w:rsidRPr="00A44970">
              <w:rPr>
                <w:rFonts w:cs="Calibri"/>
                <w:b/>
                <w:color w:val="000000"/>
              </w:rPr>
              <w:t>29</w:t>
            </w:r>
            <w:r>
              <w:rPr>
                <w:rFonts w:cs="Calibri"/>
                <w:b/>
                <w:color w:val="000000"/>
              </w:rPr>
              <w:t>6</w:t>
            </w:r>
            <w:r w:rsidRPr="00A44970">
              <w:rPr>
                <w:rFonts w:cs="Calibri"/>
                <w:b/>
                <w:color w:val="000000"/>
              </w:rPr>
              <w:t>.</w:t>
            </w:r>
            <w:r>
              <w:rPr>
                <w:rFonts w:cs="Calibri"/>
                <w:b/>
                <w:color w:val="000000"/>
              </w:rPr>
              <w:t>7</w:t>
            </w:r>
            <w:r>
              <w:rPr>
                <w:rFonts w:cs="Calibri"/>
                <w:color w:val="000000"/>
              </w:rPr>
              <w:t xml:space="preserve"> </w:t>
            </w:r>
          </w:p>
        </w:tc>
      </w:tr>
      <w:tr w:rsidR="0073204A" w:rsidRPr="00EB2995" w:rsidTr="000138B2">
        <w:trPr>
          <w:trHeight w:hRule="exact" w:val="284"/>
        </w:trPr>
        <w:tc>
          <w:tcPr>
            <w:tcW w:w="1276" w:type="dxa"/>
            <w:tcBorders>
              <w:top w:val="nil"/>
              <w:left w:val="single" w:sz="8" w:space="0" w:color="auto"/>
              <w:bottom w:val="nil"/>
              <w:right w:val="single" w:sz="8" w:space="0" w:color="auto"/>
            </w:tcBorders>
            <w:vAlign w:val="center"/>
          </w:tcPr>
          <w:p w:rsidR="0073204A" w:rsidRPr="00EB2995" w:rsidRDefault="0073204A" w:rsidP="0073204A">
            <w:pPr>
              <w:jc w:val="right"/>
              <w:rPr>
                <w:rFonts w:cs="Calibri"/>
                <w:color w:val="000000"/>
              </w:rPr>
            </w:pPr>
            <w:r w:rsidRPr="00EB2995">
              <w:rPr>
                <w:rFonts w:cs="Calibri"/>
                <w:color w:val="000000"/>
              </w:rPr>
              <w:t>(14.4)</w:t>
            </w:r>
          </w:p>
        </w:tc>
        <w:tc>
          <w:tcPr>
            <w:tcW w:w="1134" w:type="dxa"/>
            <w:tcBorders>
              <w:top w:val="nil"/>
              <w:left w:val="nil"/>
              <w:bottom w:val="nil"/>
              <w:right w:val="nil"/>
            </w:tcBorders>
            <w:noWrap/>
            <w:vAlign w:val="bottom"/>
          </w:tcPr>
          <w:p w:rsidR="0073204A" w:rsidRPr="00EB2995" w:rsidRDefault="0073204A" w:rsidP="0073204A">
            <w:pPr>
              <w:jc w:val="right"/>
              <w:rPr>
                <w:rFonts w:cs="Calibri"/>
                <w:color w:val="000000"/>
              </w:rPr>
            </w:pPr>
          </w:p>
        </w:tc>
        <w:tc>
          <w:tcPr>
            <w:tcW w:w="5670" w:type="dxa"/>
            <w:tcBorders>
              <w:top w:val="nil"/>
              <w:left w:val="nil"/>
              <w:bottom w:val="nil"/>
              <w:right w:val="nil"/>
            </w:tcBorders>
            <w:noWrap/>
            <w:vAlign w:val="center"/>
          </w:tcPr>
          <w:p w:rsidR="0073204A" w:rsidRPr="00EB2995" w:rsidRDefault="0073204A" w:rsidP="0073204A">
            <w:pPr>
              <w:rPr>
                <w:rFonts w:cs="Calibri"/>
                <w:color w:val="000000"/>
              </w:rPr>
            </w:pPr>
            <w:r w:rsidRPr="00EB2995">
              <w:rPr>
                <w:rFonts w:cs="Calibri"/>
                <w:color w:val="000000"/>
              </w:rPr>
              <w:t>Short Term Borrowing</w:t>
            </w:r>
          </w:p>
        </w:tc>
        <w:tc>
          <w:tcPr>
            <w:tcW w:w="1559" w:type="dxa"/>
            <w:tcBorders>
              <w:top w:val="nil"/>
              <w:left w:val="single" w:sz="8" w:space="0" w:color="auto"/>
              <w:bottom w:val="nil"/>
              <w:right w:val="single" w:sz="8" w:space="0" w:color="auto"/>
            </w:tcBorders>
            <w:shd w:val="clear" w:color="auto" w:fill="auto"/>
            <w:noWrap/>
            <w:vAlign w:val="center"/>
          </w:tcPr>
          <w:p w:rsidR="0073204A" w:rsidRPr="00EB2995" w:rsidRDefault="0073204A" w:rsidP="0073204A">
            <w:pPr>
              <w:jc w:val="right"/>
              <w:rPr>
                <w:rFonts w:cs="Calibri"/>
                <w:color w:val="000000"/>
              </w:rPr>
            </w:pPr>
            <w:r>
              <w:rPr>
                <w:rFonts w:cs="Calibri"/>
                <w:color w:val="000000"/>
              </w:rPr>
              <w:t>(140.8)</w:t>
            </w:r>
          </w:p>
        </w:tc>
      </w:tr>
      <w:tr w:rsidR="0073204A" w:rsidRPr="00EB2995" w:rsidTr="000138B2">
        <w:trPr>
          <w:trHeight w:hRule="exact" w:val="284"/>
        </w:trPr>
        <w:tc>
          <w:tcPr>
            <w:tcW w:w="1276" w:type="dxa"/>
            <w:tcBorders>
              <w:top w:val="nil"/>
              <w:left w:val="single" w:sz="8" w:space="0" w:color="auto"/>
              <w:bottom w:val="nil"/>
              <w:right w:val="single" w:sz="8" w:space="0" w:color="auto"/>
            </w:tcBorders>
            <w:vAlign w:val="center"/>
          </w:tcPr>
          <w:p w:rsidR="0073204A" w:rsidRPr="00EB2995" w:rsidRDefault="0073204A" w:rsidP="0073204A">
            <w:pPr>
              <w:jc w:val="right"/>
              <w:rPr>
                <w:rFonts w:cs="Calibri"/>
                <w:color w:val="000000"/>
              </w:rPr>
            </w:pPr>
            <w:r w:rsidRPr="00EB2995">
              <w:rPr>
                <w:rFonts w:cs="Calibri"/>
                <w:color w:val="000000"/>
              </w:rPr>
              <w:t>(142.8)</w:t>
            </w:r>
          </w:p>
        </w:tc>
        <w:tc>
          <w:tcPr>
            <w:tcW w:w="1134" w:type="dxa"/>
            <w:tcBorders>
              <w:top w:val="nil"/>
              <w:left w:val="nil"/>
              <w:bottom w:val="nil"/>
              <w:right w:val="nil"/>
            </w:tcBorders>
            <w:noWrap/>
            <w:vAlign w:val="bottom"/>
          </w:tcPr>
          <w:p w:rsidR="0073204A" w:rsidRPr="00EB2995" w:rsidRDefault="0073204A" w:rsidP="0073204A">
            <w:pPr>
              <w:jc w:val="right"/>
              <w:rPr>
                <w:rFonts w:cs="Calibri"/>
                <w:color w:val="000000"/>
              </w:rPr>
            </w:pPr>
          </w:p>
        </w:tc>
        <w:tc>
          <w:tcPr>
            <w:tcW w:w="5670" w:type="dxa"/>
            <w:tcBorders>
              <w:top w:val="nil"/>
              <w:left w:val="nil"/>
              <w:bottom w:val="nil"/>
              <w:right w:val="nil"/>
            </w:tcBorders>
            <w:noWrap/>
            <w:vAlign w:val="center"/>
          </w:tcPr>
          <w:p w:rsidR="0073204A" w:rsidRPr="00EB2995" w:rsidRDefault="0073204A" w:rsidP="0073204A">
            <w:pPr>
              <w:rPr>
                <w:rFonts w:cs="Calibri"/>
                <w:color w:val="000000"/>
              </w:rPr>
            </w:pPr>
            <w:r w:rsidRPr="00EB2995">
              <w:rPr>
                <w:rFonts w:cs="Calibri"/>
                <w:color w:val="000000"/>
              </w:rPr>
              <w:t>Short Term Creditors</w:t>
            </w:r>
          </w:p>
        </w:tc>
        <w:tc>
          <w:tcPr>
            <w:tcW w:w="1559" w:type="dxa"/>
            <w:tcBorders>
              <w:top w:val="nil"/>
              <w:left w:val="single" w:sz="8" w:space="0" w:color="auto"/>
              <w:bottom w:val="nil"/>
              <w:right w:val="single" w:sz="8" w:space="0" w:color="auto"/>
            </w:tcBorders>
            <w:shd w:val="clear" w:color="auto" w:fill="auto"/>
            <w:noWrap/>
            <w:vAlign w:val="center"/>
          </w:tcPr>
          <w:p w:rsidR="0073204A" w:rsidRPr="00EB2995" w:rsidRDefault="0073204A" w:rsidP="0073204A">
            <w:pPr>
              <w:jc w:val="right"/>
              <w:rPr>
                <w:rFonts w:cs="Calibri"/>
                <w:color w:val="000000"/>
              </w:rPr>
            </w:pPr>
            <w:r>
              <w:rPr>
                <w:rFonts w:cs="Calibri"/>
                <w:color w:val="000000"/>
              </w:rPr>
              <w:t>(128.9)</w:t>
            </w:r>
          </w:p>
        </w:tc>
      </w:tr>
      <w:tr w:rsidR="0073204A" w:rsidRPr="00EB2995" w:rsidTr="000138B2">
        <w:trPr>
          <w:trHeight w:hRule="exact" w:val="284"/>
        </w:trPr>
        <w:tc>
          <w:tcPr>
            <w:tcW w:w="1276" w:type="dxa"/>
            <w:tcBorders>
              <w:top w:val="nil"/>
              <w:left w:val="single" w:sz="8" w:space="0" w:color="auto"/>
              <w:bottom w:val="nil"/>
              <w:right w:val="single" w:sz="8" w:space="0" w:color="auto"/>
            </w:tcBorders>
            <w:vAlign w:val="center"/>
          </w:tcPr>
          <w:p w:rsidR="0073204A" w:rsidRPr="00EB2995" w:rsidRDefault="0073204A" w:rsidP="0073204A">
            <w:pPr>
              <w:jc w:val="right"/>
              <w:rPr>
                <w:rFonts w:cs="Calibri"/>
                <w:color w:val="000000"/>
              </w:rPr>
            </w:pPr>
            <w:r w:rsidRPr="00EB2995">
              <w:rPr>
                <w:rFonts w:cs="Calibri"/>
                <w:color w:val="000000"/>
              </w:rPr>
              <w:t>(0.0)</w:t>
            </w:r>
          </w:p>
        </w:tc>
        <w:tc>
          <w:tcPr>
            <w:tcW w:w="1134" w:type="dxa"/>
            <w:tcBorders>
              <w:top w:val="nil"/>
              <w:left w:val="nil"/>
              <w:bottom w:val="nil"/>
              <w:right w:val="nil"/>
            </w:tcBorders>
            <w:noWrap/>
            <w:vAlign w:val="bottom"/>
          </w:tcPr>
          <w:p w:rsidR="0073204A" w:rsidRPr="00EB2995" w:rsidRDefault="0073204A" w:rsidP="0073204A">
            <w:pPr>
              <w:jc w:val="right"/>
              <w:rPr>
                <w:rFonts w:cs="Calibri"/>
                <w:color w:val="000000"/>
              </w:rPr>
            </w:pPr>
          </w:p>
        </w:tc>
        <w:tc>
          <w:tcPr>
            <w:tcW w:w="5670" w:type="dxa"/>
            <w:tcBorders>
              <w:top w:val="nil"/>
              <w:left w:val="nil"/>
              <w:bottom w:val="nil"/>
              <w:right w:val="nil"/>
            </w:tcBorders>
            <w:noWrap/>
            <w:vAlign w:val="center"/>
          </w:tcPr>
          <w:p w:rsidR="0073204A" w:rsidRPr="00EB2995" w:rsidRDefault="0073204A" w:rsidP="0073204A">
            <w:pPr>
              <w:rPr>
                <w:rFonts w:cs="Calibri"/>
                <w:color w:val="000000"/>
              </w:rPr>
            </w:pPr>
            <w:r w:rsidRPr="00EB2995">
              <w:rPr>
                <w:rFonts w:cs="Calibri"/>
                <w:color w:val="000000"/>
              </w:rPr>
              <w:t>Grants Receipt in Advance- Revenue</w:t>
            </w:r>
          </w:p>
        </w:tc>
        <w:tc>
          <w:tcPr>
            <w:tcW w:w="1559" w:type="dxa"/>
            <w:tcBorders>
              <w:top w:val="nil"/>
              <w:left w:val="single" w:sz="8" w:space="0" w:color="auto"/>
              <w:bottom w:val="nil"/>
              <w:right w:val="single" w:sz="8" w:space="0" w:color="auto"/>
            </w:tcBorders>
            <w:shd w:val="clear" w:color="auto" w:fill="auto"/>
            <w:noWrap/>
            <w:vAlign w:val="center"/>
          </w:tcPr>
          <w:p w:rsidR="0073204A" w:rsidRPr="00EB2995" w:rsidRDefault="0073204A" w:rsidP="0073204A">
            <w:pPr>
              <w:jc w:val="right"/>
              <w:rPr>
                <w:rFonts w:cs="Calibri"/>
                <w:color w:val="000000"/>
              </w:rPr>
            </w:pPr>
            <w:r>
              <w:rPr>
                <w:rFonts w:cs="Calibri"/>
                <w:color w:val="000000"/>
              </w:rPr>
              <w:t>(8.3)</w:t>
            </w:r>
          </w:p>
        </w:tc>
      </w:tr>
      <w:tr w:rsidR="0073204A" w:rsidRPr="00EB2995" w:rsidTr="000138B2">
        <w:trPr>
          <w:trHeight w:hRule="exact" w:val="284"/>
        </w:trPr>
        <w:tc>
          <w:tcPr>
            <w:tcW w:w="1276" w:type="dxa"/>
            <w:tcBorders>
              <w:top w:val="nil"/>
              <w:left w:val="single" w:sz="8" w:space="0" w:color="auto"/>
              <w:bottom w:val="nil"/>
              <w:right w:val="single" w:sz="8" w:space="0" w:color="auto"/>
            </w:tcBorders>
            <w:vAlign w:val="center"/>
          </w:tcPr>
          <w:p w:rsidR="0073204A" w:rsidRPr="00EB2995" w:rsidRDefault="0073204A" w:rsidP="0073204A">
            <w:pPr>
              <w:jc w:val="right"/>
              <w:rPr>
                <w:rFonts w:cs="Calibri"/>
                <w:color w:val="000000"/>
              </w:rPr>
            </w:pPr>
            <w:r w:rsidRPr="00EB2995">
              <w:rPr>
                <w:rFonts w:cs="Calibri"/>
                <w:color w:val="000000"/>
              </w:rPr>
              <w:t>(2.6)</w:t>
            </w:r>
          </w:p>
        </w:tc>
        <w:tc>
          <w:tcPr>
            <w:tcW w:w="1134" w:type="dxa"/>
            <w:tcBorders>
              <w:top w:val="nil"/>
              <w:left w:val="nil"/>
              <w:bottom w:val="nil"/>
              <w:right w:val="nil"/>
            </w:tcBorders>
            <w:noWrap/>
            <w:vAlign w:val="bottom"/>
          </w:tcPr>
          <w:p w:rsidR="0073204A" w:rsidRPr="00EB2995" w:rsidRDefault="0073204A" w:rsidP="0073204A">
            <w:pPr>
              <w:jc w:val="right"/>
              <w:rPr>
                <w:rFonts w:cs="Calibri"/>
                <w:color w:val="000000"/>
              </w:rPr>
            </w:pPr>
          </w:p>
        </w:tc>
        <w:tc>
          <w:tcPr>
            <w:tcW w:w="5670" w:type="dxa"/>
            <w:tcBorders>
              <w:top w:val="nil"/>
              <w:left w:val="nil"/>
              <w:bottom w:val="nil"/>
              <w:right w:val="nil"/>
            </w:tcBorders>
            <w:noWrap/>
            <w:vAlign w:val="center"/>
          </w:tcPr>
          <w:p w:rsidR="0073204A" w:rsidRPr="00EB2995" w:rsidRDefault="0073204A" w:rsidP="0073204A">
            <w:pPr>
              <w:rPr>
                <w:rFonts w:cs="Calibri"/>
                <w:color w:val="000000"/>
              </w:rPr>
            </w:pPr>
            <w:r w:rsidRPr="00EB2995">
              <w:rPr>
                <w:rFonts w:cs="Calibri"/>
                <w:color w:val="000000"/>
              </w:rPr>
              <w:t>Provisions</w:t>
            </w:r>
          </w:p>
        </w:tc>
        <w:tc>
          <w:tcPr>
            <w:tcW w:w="1559" w:type="dxa"/>
            <w:tcBorders>
              <w:top w:val="nil"/>
              <w:left w:val="single" w:sz="8" w:space="0" w:color="auto"/>
              <w:bottom w:val="single" w:sz="8" w:space="0" w:color="auto"/>
              <w:right w:val="single" w:sz="8" w:space="0" w:color="auto"/>
            </w:tcBorders>
            <w:shd w:val="clear" w:color="auto" w:fill="auto"/>
            <w:noWrap/>
            <w:vAlign w:val="center"/>
          </w:tcPr>
          <w:p w:rsidR="0073204A" w:rsidRPr="00EB2995" w:rsidRDefault="0073204A" w:rsidP="0073204A">
            <w:pPr>
              <w:jc w:val="right"/>
              <w:rPr>
                <w:rFonts w:cs="Calibri"/>
                <w:color w:val="000000"/>
              </w:rPr>
            </w:pPr>
            <w:r>
              <w:rPr>
                <w:rFonts w:cs="Calibri"/>
                <w:color w:val="000000"/>
              </w:rPr>
              <w:t>(2.2)</w:t>
            </w:r>
          </w:p>
        </w:tc>
      </w:tr>
      <w:tr w:rsidR="0073204A" w:rsidRPr="00EB2995" w:rsidTr="000138B2">
        <w:trPr>
          <w:trHeight w:hRule="exact" w:val="284"/>
        </w:trPr>
        <w:tc>
          <w:tcPr>
            <w:tcW w:w="1276" w:type="dxa"/>
            <w:tcBorders>
              <w:top w:val="single" w:sz="8" w:space="0" w:color="auto"/>
              <w:left w:val="single" w:sz="8" w:space="0" w:color="auto"/>
              <w:bottom w:val="nil"/>
              <w:right w:val="single" w:sz="8" w:space="0" w:color="auto"/>
            </w:tcBorders>
            <w:vAlign w:val="center"/>
          </w:tcPr>
          <w:p w:rsidR="0073204A" w:rsidRPr="00EB2995" w:rsidRDefault="0073204A" w:rsidP="0073204A">
            <w:pPr>
              <w:jc w:val="right"/>
              <w:rPr>
                <w:rFonts w:cs="Calibri"/>
                <w:b/>
                <w:bCs/>
                <w:color w:val="000000"/>
              </w:rPr>
            </w:pPr>
            <w:r w:rsidRPr="00EB2995">
              <w:rPr>
                <w:rFonts w:cs="Calibri"/>
                <w:b/>
                <w:color w:val="000000"/>
              </w:rPr>
              <w:t>(159.8)</w:t>
            </w:r>
          </w:p>
        </w:tc>
        <w:tc>
          <w:tcPr>
            <w:tcW w:w="1134" w:type="dxa"/>
            <w:tcBorders>
              <w:top w:val="nil"/>
              <w:left w:val="nil"/>
              <w:bottom w:val="nil"/>
              <w:right w:val="nil"/>
            </w:tcBorders>
            <w:noWrap/>
            <w:vAlign w:val="bottom"/>
          </w:tcPr>
          <w:p w:rsidR="0073204A" w:rsidRPr="00EB2995" w:rsidRDefault="0073204A" w:rsidP="0073204A">
            <w:pPr>
              <w:jc w:val="right"/>
              <w:rPr>
                <w:rFonts w:cs="Calibri"/>
                <w:b/>
                <w:bCs/>
                <w:color w:val="000000"/>
                <w:lang w:eastAsia="en-GB"/>
              </w:rPr>
            </w:pPr>
          </w:p>
        </w:tc>
        <w:tc>
          <w:tcPr>
            <w:tcW w:w="5670" w:type="dxa"/>
            <w:tcBorders>
              <w:top w:val="nil"/>
              <w:left w:val="nil"/>
              <w:bottom w:val="nil"/>
              <w:right w:val="nil"/>
            </w:tcBorders>
            <w:noWrap/>
            <w:vAlign w:val="center"/>
          </w:tcPr>
          <w:p w:rsidR="0073204A" w:rsidRPr="00EB2995" w:rsidRDefault="0073204A" w:rsidP="0073204A">
            <w:pPr>
              <w:rPr>
                <w:rFonts w:cs="Calibri"/>
                <w:b/>
                <w:bCs/>
                <w:color w:val="000000"/>
                <w:lang w:eastAsia="en-GB"/>
              </w:rPr>
            </w:pPr>
            <w:r w:rsidRPr="00EB2995">
              <w:rPr>
                <w:rFonts w:cs="Calibri"/>
                <w:b/>
                <w:bCs/>
                <w:color w:val="000000"/>
                <w:lang w:eastAsia="en-GB"/>
              </w:rPr>
              <w:t>Current Liabilities</w:t>
            </w:r>
          </w:p>
        </w:tc>
        <w:tc>
          <w:tcPr>
            <w:tcW w:w="1559" w:type="dxa"/>
            <w:tcBorders>
              <w:top w:val="nil"/>
              <w:left w:val="single" w:sz="8" w:space="0" w:color="auto"/>
              <w:bottom w:val="nil"/>
              <w:right w:val="single" w:sz="8" w:space="0" w:color="auto"/>
            </w:tcBorders>
            <w:shd w:val="clear" w:color="auto" w:fill="auto"/>
            <w:noWrap/>
            <w:vAlign w:val="center"/>
          </w:tcPr>
          <w:p w:rsidR="0073204A" w:rsidRPr="00A44970" w:rsidRDefault="0073204A" w:rsidP="0073204A">
            <w:pPr>
              <w:jc w:val="right"/>
              <w:rPr>
                <w:rFonts w:cs="Calibri"/>
                <w:b/>
                <w:color w:val="000000"/>
              </w:rPr>
            </w:pPr>
            <w:r>
              <w:rPr>
                <w:rFonts w:cs="Calibri"/>
                <w:b/>
                <w:color w:val="000000"/>
              </w:rPr>
              <w:t>(280.2</w:t>
            </w:r>
            <w:r w:rsidRPr="00A44970">
              <w:rPr>
                <w:rFonts w:cs="Calibri"/>
                <w:b/>
                <w:color w:val="000000"/>
              </w:rPr>
              <w:t>)</w:t>
            </w:r>
          </w:p>
        </w:tc>
      </w:tr>
      <w:tr w:rsidR="0073204A" w:rsidRPr="00EB2995" w:rsidTr="000138B2">
        <w:trPr>
          <w:trHeight w:hRule="exact" w:val="284"/>
        </w:trPr>
        <w:tc>
          <w:tcPr>
            <w:tcW w:w="1276" w:type="dxa"/>
            <w:tcBorders>
              <w:top w:val="nil"/>
              <w:left w:val="single" w:sz="8" w:space="0" w:color="auto"/>
              <w:bottom w:val="nil"/>
              <w:right w:val="single" w:sz="8" w:space="0" w:color="auto"/>
            </w:tcBorders>
            <w:vAlign w:val="center"/>
          </w:tcPr>
          <w:p w:rsidR="0073204A" w:rsidRPr="00EB2995" w:rsidRDefault="0073204A" w:rsidP="0073204A">
            <w:pPr>
              <w:jc w:val="right"/>
              <w:rPr>
                <w:rFonts w:cs="Calibri"/>
                <w:color w:val="000000"/>
              </w:rPr>
            </w:pPr>
            <w:r w:rsidRPr="00EB2995">
              <w:rPr>
                <w:rFonts w:cs="Calibri"/>
                <w:color w:val="000000"/>
              </w:rPr>
              <w:t>(32.7)</w:t>
            </w:r>
          </w:p>
        </w:tc>
        <w:tc>
          <w:tcPr>
            <w:tcW w:w="1134" w:type="dxa"/>
            <w:tcBorders>
              <w:top w:val="nil"/>
              <w:left w:val="nil"/>
              <w:bottom w:val="nil"/>
              <w:right w:val="nil"/>
            </w:tcBorders>
            <w:noWrap/>
            <w:vAlign w:val="bottom"/>
          </w:tcPr>
          <w:p w:rsidR="0073204A" w:rsidRPr="00EB2995" w:rsidRDefault="0073204A" w:rsidP="0073204A">
            <w:pPr>
              <w:jc w:val="right"/>
              <w:rPr>
                <w:rFonts w:cs="Calibri"/>
                <w:color w:val="000000"/>
                <w:lang w:eastAsia="en-GB"/>
              </w:rPr>
            </w:pPr>
          </w:p>
        </w:tc>
        <w:tc>
          <w:tcPr>
            <w:tcW w:w="5670" w:type="dxa"/>
            <w:tcBorders>
              <w:top w:val="nil"/>
              <w:left w:val="nil"/>
              <w:bottom w:val="nil"/>
              <w:right w:val="nil"/>
            </w:tcBorders>
            <w:noWrap/>
            <w:vAlign w:val="center"/>
          </w:tcPr>
          <w:p w:rsidR="0073204A" w:rsidRPr="00EB2995" w:rsidRDefault="0073204A" w:rsidP="0073204A">
            <w:pPr>
              <w:rPr>
                <w:rFonts w:cs="Calibri"/>
                <w:color w:val="000000"/>
                <w:lang w:eastAsia="en-GB"/>
              </w:rPr>
            </w:pPr>
            <w:r w:rsidRPr="00EB2995">
              <w:rPr>
                <w:rFonts w:cs="Calibri"/>
                <w:color w:val="000000"/>
                <w:lang w:eastAsia="en-GB"/>
              </w:rPr>
              <w:t>Long Term Creditors</w:t>
            </w:r>
          </w:p>
        </w:tc>
        <w:tc>
          <w:tcPr>
            <w:tcW w:w="1559" w:type="dxa"/>
            <w:tcBorders>
              <w:top w:val="nil"/>
              <w:left w:val="single" w:sz="8" w:space="0" w:color="auto"/>
              <w:bottom w:val="nil"/>
              <w:right w:val="single" w:sz="8" w:space="0" w:color="auto"/>
            </w:tcBorders>
            <w:shd w:val="clear" w:color="auto" w:fill="auto"/>
            <w:noWrap/>
            <w:vAlign w:val="center"/>
          </w:tcPr>
          <w:p w:rsidR="0073204A" w:rsidRPr="00EB2995" w:rsidRDefault="0073204A" w:rsidP="0073204A">
            <w:pPr>
              <w:jc w:val="right"/>
              <w:rPr>
                <w:rFonts w:cs="Calibri"/>
                <w:color w:val="000000"/>
              </w:rPr>
            </w:pPr>
            <w:r>
              <w:rPr>
                <w:rFonts w:cs="Calibri"/>
                <w:color w:val="000000"/>
              </w:rPr>
              <w:t>(29.5)</w:t>
            </w:r>
          </w:p>
        </w:tc>
      </w:tr>
      <w:tr w:rsidR="0073204A" w:rsidRPr="00EB2995" w:rsidTr="000138B2">
        <w:trPr>
          <w:trHeight w:hRule="exact" w:val="284"/>
        </w:trPr>
        <w:tc>
          <w:tcPr>
            <w:tcW w:w="1276" w:type="dxa"/>
            <w:tcBorders>
              <w:top w:val="nil"/>
              <w:left w:val="single" w:sz="8" w:space="0" w:color="auto"/>
              <w:bottom w:val="nil"/>
              <w:right w:val="single" w:sz="8" w:space="0" w:color="auto"/>
            </w:tcBorders>
            <w:vAlign w:val="center"/>
          </w:tcPr>
          <w:p w:rsidR="0073204A" w:rsidRPr="00EB2995" w:rsidRDefault="0073204A" w:rsidP="0073204A">
            <w:pPr>
              <w:jc w:val="right"/>
              <w:rPr>
                <w:rFonts w:cs="Calibri"/>
                <w:color w:val="000000"/>
              </w:rPr>
            </w:pPr>
            <w:r w:rsidRPr="00EB2995">
              <w:rPr>
                <w:rFonts w:cs="Calibri"/>
                <w:color w:val="000000"/>
              </w:rPr>
              <w:t>(19.8)</w:t>
            </w:r>
          </w:p>
        </w:tc>
        <w:tc>
          <w:tcPr>
            <w:tcW w:w="1134" w:type="dxa"/>
            <w:tcBorders>
              <w:top w:val="nil"/>
              <w:left w:val="nil"/>
              <w:bottom w:val="nil"/>
              <w:right w:val="nil"/>
            </w:tcBorders>
            <w:noWrap/>
            <w:vAlign w:val="bottom"/>
          </w:tcPr>
          <w:p w:rsidR="0073204A" w:rsidRPr="00EB2995" w:rsidRDefault="0073204A" w:rsidP="0073204A">
            <w:pPr>
              <w:jc w:val="right"/>
              <w:rPr>
                <w:rFonts w:cs="Calibri"/>
                <w:color w:val="000000"/>
                <w:lang w:eastAsia="en-GB"/>
              </w:rPr>
            </w:pPr>
          </w:p>
        </w:tc>
        <w:tc>
          <w:tcPr>
            <w:tcW w:w="5670" w:type="dxa"/>
            <w:tcBorders>
              <w:top w:val="nil"/>
              <w:left w:val="nil"/>
              <w:bottom w:val="nil"/>
              <w:right w:val="nil"/>
            </w:tcBorders>
            <w:noWrap/>
            <w:vAlign w:val="center"/>
          </w:tcPr>
          <w:p w:rsidR="0073204A" w:rsidRPr="00EB2995" w:rsidRDefault="0073204A" w:rsidP="0073204A">
            <w:pPr>
              <w:rPr>
                <w:rFonts w:cs="Calibri"/>
                <w:color w:val="000000"/>
                <w:lang w:eastAsia="en-GB"/>
              </w:rPr>
            </w:pPr>
            <w:r w:rsidRPr="00EB2995">
              <w:rPr>
                <w:rFonts w:cs="Calibri"/>
                <w:color w:val="000000"/>
                <w:lang w:eastAsia="en-GB"/>
              </w:rPr>
              <w:t>Provisions</w:t>
            </w:r>
          </w:p>
        </w:tc>
        <w:tc>
          <w:tcPr>
            <w:tcW w:w="1559" w:type="dxa"/>
            <w:tcBorders>
              <w:top w:val="nil"/>
              <w:left w:val="single" w:sz="8" w:space="0" w:color="auto"/>
              <w:bottom w:val="nil"/>
              <w:right w:val="single" w:sz="8" w:space="0" w:color="auto"/>
            </w:tcBorders>
            <w:shd w:val="clear" w:color="auto" w:fill="auto"/>
            <w:noWrap/>
            <w:vAlign w:val="center"/>
          </w:tcPr>
          <w:p w:rsidR="0073204A" w:rsidRPr="00EB2995" w:rsidRDefault="0073204A" w:rsidP="0073204A">
            <w:pPr>
              <w:jc w:val="right"/>
              <w:rPr>
                <w:rFonts w:cs="Calibri"/>
                <w:color w:val="000000"/>
              </w:rPr>
            </w:pPr>
            <w:r>
              <w:rPr>
                <w:rFonts w:cs="Calibri"/>
                <w:color w:val="000000"/>
              </w:rPr>
              <w:t>(14.5)</w:t>
            </w:r>
          </w:p>
        </w:tc>
      </w:tr>
      <w:tr w:rsidR="0073204A" w:rsidRPr="00EB2995" w:rsidTr="000138B2">
        <w:trPr>
          <w:trHeight w:hRule="exact" w:val="284"/>
        </w:trPr>
        <w:tc>
          <w:tcPr>
            <w:tcW w:w="1276" w:type="dxa"/>
            <w:tcBorders>
              <w:top w:val="nil"/>
              <w:left w:val="single" w:sz="8" w:space="0" w:color="auto"/>
              <w:bottom w:val="nil"/>
              <w:right w:val="single" w:sz="8" w:space="0" w:color="auto"/>
            </w:tcBorders>
            <w:vAlign w:val="center"/>
          </w:tcPr>
          <w:p w:rsidR="0073204A" w:rsidRPr="00EB2995" w:rsidRDefault="0073204A" w:rsidP="0073204A">
            <w:pPr>
              <w:jc w:val="right"/>
              <w:rPr>
                <w:rFonts w:cs="Calibri"/>
                <w:color w:val="000000"/>
              </w:rPr>
            </w:pPr>
            <w:r w:rsidRPr="00EB2995">
              <w:rPr>
                <w:rFonts w:cs="Calibri"/>
                <w:color w:val="000000"/>
              </w:rPr>
              <w:t>(385.8)</w:t>
            </w:r>
          </w:p>
        </w:tc>
        <w:tc>
          <w:tcPr>
            <w:tcW w:w="1134" w:type="dxa"/>
            <w:tcBorders>
              <w:top w:val="nil"/>
              <w:left w:val="nil"/>
              <w:bottom w:val="nil"/>
              <w:right w:val="nil"/>
            </w:tcBorders>
            <w:noWrap/>
            <w:vAlign w:val="bottom"/>
          </w:tcPr>
          <w:p w:rsidR="0073204A" w:rsidRPr="00EB2995" w:rsidRDefault="0073204A" w:rsidP="0073204A">
            <w:pPr>
              <w:jc w:val="right"/>
              <w:rPr>
                <w:rFonts w:cs="Calibri"/>
                <w:color w:val="000000"/>
                <w:lang w:eastAsia="en-GB"/>
              </w:rPr>
            </w:pPr>
          </w:p>
        </w:tc>
        <w:tc>
          <w:tcPr>
            <w:tcW w:w="5670" w:type="dxa"/>
            <w:tcBorders>
              <w:top w:val="nil"/>
              <w:left w:val="nil"/>
              <w:bottom w:val="nil"/>
              <w:right w:val="nil"/>
            </w:tcBorders>
            <w:noWrap/>
            <w:vAlign w:val="center"/>
          </w:tcPr>
          <w:p w:rsidR="0073204A" w:rsidRPr="00EB2995" w:rsidRDefault="0073204A" w:rsidP="0073204A">
            <w:pPr>
              <w:rPr>
                <w:rFonts w:cs="Calibri"/>
                <w:color w:val="000000"/>
                <w:lang w:eastAsia="en-GB"/>
              </w:rPr>
            </w:pPr>
            <w:r w:rsidRPr="00EB2995">
              <w:rPr>
                <w:rFonts w:cs="Calibri"/>
                <w:color w:val="000000"/>
                <w:lang w:eastAsia="en-GB"/>
              </w:rPr>
              <w:t>Long Term Borrowing</w:t>
            </w:r>
          </w:p>
        </w:tc>
        <w:tc>
          <w:tcPr>
            <w:tcW w:w="1559" w:type="dxa"/>
            <w:tcBorders>
              <w:top w:val="nil"/>
              <w:left w:val="single" w:sz="8" w:space="0" w:color="auto"/>
              <w:bottom w:val="nil"/>
              <w:right w:val="single" w:sz="8" w:space="0" w:color="auto"/>
            </w:tcBorders>
            <w:shd w:val="clear" w:color="auto" w:fill="auto"/>
            <w:noWrap/>
            <w:vAlign w:val="center"/>
          </w:tcPr>
          <w:p w:rsidR="0073204A" w:rsidRPr="00EB2995" w:rsidRDefault="0073204A" w:rsidP="0073204A">
            <w:pPr>
              <w:jc w:val="right"/>
              <w:rPr>
                <w:rFonts w:cs="Calibri"/>
                <w:color w:val="000000"/>
              </w:rPr>
            </w:pPr>
            <w:r>
              <w:rPr>
                <w:rFonts w:cs="Calibri"/>
                <w:color w:val="000000"/>
              </w:rPr>
              <w:t>(462.1)</w:t>
            </w:r>
          </w:p>
        </w:tc>
      </w:tr>
      <w:tr w:rsidR="0073204A" w:rsidRPr="00EB2995" w:rsidTr="000138B2">
        <w:trPr>
          <w:trHeight w:hRule="exact" w:val="284"/>
        </w:trPr>
        <w:tc>
          <w:tcPr>
            <w:tcW w:w="1276" w:type="dxa"/>
            <w:tcBorders>
              <w:top w:val="nil"/>
              <w:left w:val="single" w:sz="8" w:space="0" w:color="auto"/>
              <w:bottom w:val="single" w:sz="8" w:space="0" w:color="auto"/>
              <w:right w:val="single" w:sz="8" w:space="0" w:color="auto"/>
            </w:tcBorders>
            <w:vAlign w:val="center"/>
          </w:tcPr>
          <w:p w:rsidR="0073204A" w:rsidRPr="00EB2995" w:rsidRDefault="0073204A" w:rsidP="0073204A">
            <w:pPr>
              <w:jc w:val="right"/>
              <w:rPr>
                <w:rFonts w:cs="Calibri"/>
                <w:color w:val="000000"/>
              </w:rPr>
            </w:pPr>
            <w:r w:rsidRPr="00EB2995">
              <w:rPr>
                <w:rFonts w:cs="Calibri"/>
                <w:color w:val="000000"/>
              </w:rPr>
              <w:t>(941.8)</w:t>
            </w:r>
          </w:p>
        </w:tc>
        <w:tc>
          <w:tcPr>
            <w:tcW w:w="1134" w:type="dxa"/>
            <w:tcBorders>
              <w:top w:val="nil"/>
              <w:left w:val="nil"/>
              <w:bottom w:val="nil"/>
              <w:right w:val="nil"/>
            </w:tcBorders>
            <w:noWrap/>
            <w:vAlign w:val="bottom"/>
          </w:tcPr>
          <w:p w:rsidR="0073204A" w:rsidRPr="00EB2995" w:rsidRDefault="0073204A" w:rsidP="0073204A">
            <w:pPr>
              <w:jc w:val="right"/>
              <w:rPr>
                <w:rFonts w:cs="Calibri"/>
                <w:color w:val="000000"/>
                <w:lang w:eastAsia="en-GB"/>
              </w:rPr>
            </w:pPr>
          </w:p>
        </w:tc>
        <w:tc>
          <w:tcPr>
            <w:tcW w:w="5670" w:type="dxa"/>
            <w:tcBorders>
              <w:top w:val="nil"/>
              <w:left w:val="nil"/>
              <w:bottom w:val="nil"/>
              <w:right w:val="nil"/>
            </w:tcBorders>
            <w:noWrap/>
            <w:vAlign w:val="center"/>
          </w:tcPr>
          <w:p w:rsidR="0073204A" w:rsidRPr="00EB2995" w:rsidRDefault="0073204A" w:rsidP="0073204A">
            <w:pPr>
              <w:rPr>
                <w:rFonts w:cs="Calibri"/>
                <w:color w:val="000000"/>
                <w:lang w:eastAsia="en-GB"/>
              </w:rPr>
            </w:pPr>
            <w:r w:rsidRPr="00EB2995">
              <w:rPr>
                <w:rFonts w:cs="Calibri"/>
                <w:color w:val="000000"/>
                <w:lang w:eastAsia="en-GB"/>
              </w:rPr>
              <w:t>Other Long Term Liabilities</w:t>
            </w:r>
          </w:p>
        </w:tc>
        <w:tc>
          <w:tcPr>
            <w:tcW w:w="1559" w:type="dxa"/>
            <w:tcBorders>
              <w:top w:val="nil"/>
              <w:left w:val="single" w:sz="8" w:space="0" w:color="auto"/>
              <w:bottom w:val="nil"/>
              <w:right w:val="single" w:sz="8" w:space="0" w:color="auto"/>
            </w:tcBorders>
            <w:shd w:val="clear" w:color="auto" w:fill="auto"/>
            <w:noWrap/>
            <w:vAlign w:val="center"/>
          </w:tcPr>
          <w:p w:rsidR="0073204A" w:rsidRPr="00EB2995" w:rsidRDefault="0073204A" w:rsidP="0073204A">
            <w:pPr>
              <w:jc w:val="right"/>
              <w:rPr>
                <w:rFonts w:cs="Calibri"/>
                <w:color w:val="000000"/>
              </w:rPr>
            </w:pPr>
            <w:r>
              <w:rPr>
                <w:rFonts w:cs="Calibri"/>
                <w:color w:val="000000"/>
              </w:rPr>
              <w:t>(675.2)</w:t>
            </w:r>
          </w:p>
        </w:tc>
      </w:tr>
      <w:tr w:rsidR="0073204A" w:rsidRPr="00EB2995" w:rsidTr="000138B2">
        <w:trPr>
          <w:trHeight w:hRule="exact" w:val="284"/>
        </w:trPr>
        <w:tc>
          <w:tcPr>
            <w:tcW w:w="1276" w:type="dxa"/>
            <w:tcBorders>
              <w:top w:val="nil"/>
              <w:left w:val="single" w:sz="8" w:space="0" w:color="auto"/>
              <w:bottom w:val="nil"/>
              <w:right w:val="single" w:sz="8" w:space="0" w:color="auto"/>
            </w:tcBorders>
            <w:vAlign w:val="center"/>
          </w:tcPr>
          <w:p w:rsidR="0073204A" w:rsidRPr="00EB2995" w:rsidRDefault="0073204A" w:rsidP="0073204A">
            <w:pPr>
              <w:jc w:val="right"/>
              <w:rPr>
                <w:rFonts w:cs="Calibri"/>
                <w:b/>
                <w:bCs/>
                <w:color w:val="000000"/>
              </w:rPr>
            </w:pPr>
            <w:r w:rsidRPr="00EB2995">
              <w:rPr>
                <w:rFonts w:cs="Calibri"/>
                <w:b/>
                <w:color w:val="000000"/>
              </w:rPr>
              <w:t>(1,380.1)</w:t>
            </w:r>
          </w:p>
        </w:tc>
        <w:tc>
          <w:tcPr>
            <w:tcW w:w="1134" w:type="dxa"/>
            <w:tcBorders>
              <w:top w:val="nil"/>
              <w:left w:val="nil"/>
              <w:bottom w:val="nil"/>
              <w:right w:val="nil"/>
            </w:tcBorders>
            <w:noWrap/>
            <w:vAlign w:val="bottom"/>
          </w:tcPr>
          <w:p w:rsidR="0073204A" w:rsidRPr="00EB2995" w:rsidRDefault="0073204A" w:rsidP="0073204A">
            <w:pPr>
              <w:jc w:val="right"/>
              <w:rPr>
                <w:rFonts w:cs="Calibri"/>
                <w:b/>
                <w:bCs/>
                <w:color w:val="000000"/>
                <w:lang w:eastAsia="en-GB"/>
              </w:rPr>
            </w:pPr>
          </w:p>
        </w:tc>
        <w:tc>
          <w:tcPr>
            <w:tcW w:w="5670" w:type="dxa"/>
            <w:tcBorders>
              <w:top w:val="nil"/>
              <w:left w:val="nil"/>
              <w:bottom w:val="nil"/>
              <w:right w:val="nil"/>
            </w:tcBorders>
            <w:noWrap/>
            <w:vAlign w:val="center"/>
          </w:tcPr>
          <w:p w:rsidR="0073204A" w:rsidRPr="00EB2995" w:rsidRDefault="0073204A" w:rsidP="0073204A">
            <w:pPr>
              <w:rPr>
                <w:rFonts w:cs="Calibri"/>
                <w:b/>
                <w:bCs/>
                <w:color w:val="000000"/>
                <w:lang w:eastAsia="en-GB"/>
              </w:rPr>
            </w:pPr>
            <w:r w:rsidRPr="00EB2995">
              <w:rPr>
                <w:rFonts w:cs="Calibri"/>
                <w:b/>
                <w:bCs/>
                <w:color w:val="000000"/>
                <w:lang w:eastAsia="en-GB"/>
              </w:rPr>
              <w:t>Long Term Liabilities</w:t>
            </w:r>
          </w:p>
        </w:tc>
        <w:tc>
          <w:tcPr>
            <w:tcW w:w="1559" w:type="dxa"/>
            <w:tcBorders>
              <w:top w:val="single" w:sz="8" w:space="0" w:color="auto"/>
              <w:left w:val="single" w:sz="8" w:space="0" w:color="auto"/>
              <w:bottom w:val="nil"/>
              <w:right w:val="single" w:sz="8" w:space="0" w:color="auto"/>
            </w:tcBorders>
            <w:shd w:val="clear" w:color="auto" w:fill="auto"/>
            <w:noWrap/>
            <w:vAlign w:val="center"/>
          </w:tcPr>
          <w:p w:rsidR="0073204A" w:rsidRPr="00A44970" w:rsidRDefault="0073204A" w:rsidP="0073204A">
            <w:pPr>
              <w:jc w:val="right"/>
              <w:rPr>
                <w:rFonts w:cs="Calibri"/>
                <w:b/>
                <w:color w:val="000000"/>
              </w:rPr>
            </w:pPr>
            <w:r w:rsidRPr="00A44970">
              <w:rPr>
                <w:rFonts w:cs="Calibri"/>
                <w:b/>
                <w:color w:val="000000"/>
              </w:rPr>
              <w:t>(1,181.3)</w:t>
            </w:r>
          </w:p>
        </w:tc>
      </w:tr>
      <w:tr w:rsidR="0073204A" w:rsidRPr="00EB2995" w:rsidTr="000138B2">
        <w:trPr>
          <w:trHeight w:hRule="exact" w:val="284"/>
        </w:trPr>
        <w:tc>
          <w:tcPr>
            <w:tcW w:w="1276" w:type="dxa"/>
            <w:tcBorders>
              <w:top w:val="nil"/>
              <w:left w:val="single" w:sz="8" w:space="0" w:color="auto"/>
              <w:bottom w:val="nil"/>
              <w:right w:val="single" w:sz="8" w:space="0" w:color="auto"/>
            </w:tcBorders>
            <w:vAlign w:val="center"/>
          </w:tcPr>
          <w:p w:rsidR="0073204A" w:rsidRPr="00EB2995" w:rsidRDefault="0073204A" w:rsidP="0073204A">
            <w:pPr>
              <w:jc w:val="right"/>
              <w:rPr>
                <w:rFonts w:cs="Calibri"/>
                <w:color w:val="000000"/>
              </w:rPr>
            </w:pPr>
            <w:r w:rsidRPr="00EB2995">
              <w:rPr>
                <w:rFonts w:cs="Calibri"/>
                <w:color w:val="000000"/>
              </w:rPr>
              <w:t> </w:t>
            </w:r>
          </w:p>
        </w:tc>
        <w:tc>
          <w:tcPr>
            <w:tcW w:w="1134" w:type="dxa"/>
            <w:tcBorders>
              <w:top w:val="nil"/>
              <w:left w:val="nil"/>
              <w:bottom w:val="nil"/>
              <w:right w:val="nil"/>
            </w:tcBorders>
            <w:noWrap/>
            <w:vAlign w:val="bottom"/>
          </w:tcPr>
          <w:p w:rsidR="0073204A" w:rsidRPr="00EB2995" w:rsidRDefault="0073204A" w:rsidP="0073204A">
            <w:pPr>
              <w:jc w:val="right"/>
              <w:rPr>
                <w:rFonts w:cs="Calibri"/>
                <w:color w:val="000000"/>
                <w:lang w:eastAsia="en-GB"/>
              </w:rPr>
            </w:pPr>
          </w:p>
        </w:tc>
        <w:tc>
          <w:tcPr>
            <w:tcW w:w="5670" w:type="dxa"/>
            <w:tcBorders>
              <w:top w:val="nil"/>
              <w:left w:val="nil"/>
              <w:bottom w:val="nil"/>
              <w:right w:val="nil"/>
            </w:tcBorders>
            <w:noWrap/>
            <w:vAlign w:val="center"/>
          </w:tcPr>
          <w:p w:rsidR="0073204A" w:rsidRPr="00EB2995" w:rsidRDefault="0073204A" w:rsidP="0073204A">
            <w:pPr>
              <w:rPr>
                <w:rFonts w:cs="Calibri"/>
                <w:sz w:val="20"/>
                <w:szCs w:val="20"/>
                <w:lang w:eastAsia="en-GB"/>
              </w:rPr>
            </w:pPr>
          </w:p>
        </w:tc>
        <w:tc>
          <w:tcPr>
            <w:tcW w:w="1559" w:type="dxa"/>
            <w:tcBorders>
              <w:top w:val="nil"/>
              <w:left w:val="single" w:sz="4" w:space="0" w:color="auto"/>
              <w:bottom w:val="single" w:sz="4" w:space="0" w:color="auto"/>
              <w:right w:val="single" w:sz="4" w:space="0" w:color="auto"/>
            </w:tcBorders>
            <w:shd w:val="clear" w:color="auto" w:fill="auto"/>
            <w:noWrap/>
            <w:vAlign w:val="center"/>
          </w:tcPr>
          <w:p w:rsidR="0073204A" w:rsidRPr="00EB2995" w:rsidRDefault="0073204A" w:rsidP="0073204A">
            <w:pPr>
              <w:jc w:val="right"/>
              <w:rPr>
                <w:rFonts w:cs="Calibri"/>
                <w:color w:val="000000"/>
              </w:rPr>
            </w:pPr>
            <w:r w:rsidRPr="00EB2995">
              <w:rPr>
                <w:rFonts w:cs="Calibri"/>
                <w:color w:val="000000"/>
              </w:rPr>
              <w:t> </w:t>
            </w:r>
          </w:p>
        </w:tc>
      </w:tr>
      <w:tr w:rsidR="0073204A" w:rsidRPr="00A44970" w:rsidTr="000138B2">
        <w:trPr>
          <w:trHeight w:hRule="exact" w:val="284"/>
        </w:trPr>
        <w:tc>
          <w:tcPr>
            <w:tcW w:w="1276" w:type="dxa"/>
            <w:tcBorders>
              <w:top w:val="single" w:sz="8" w:space="0" w:color="auto"/>
              <w:left w:val="single" w:sz="8" w:space="0" w:color="auto"/>
              <w:bottom w:val="single" w:sz="8" w:space="0" w:color="auto"/>
              <w:right w:val="single" w:sz="8" w:space="0" w:color="auto"/>
            </w:tcBorders>
            <w:vAlign w:val="center"/>
          </w:tcPr>
          <w:p w:rsidR="0073204A" w:rsidRPr="00EB2995" w:rsidRDefault="0073204A" w:rsidP="0073204A">
            <w:pPr>
              <w:jc w:val="right"/>
              <w:rPr>
                <w:rFonts w:cs="Calibri"/>
                <w:b/>
                <w:bCs/>
                <w:color w:val="000000"/>
              </w:rPr>
            </w:pPr>
            <w:r w:rsidRPr="00EB2995">
              <w:rPr>
                <w:rFonts w:cs="Calibri"/>
                <w:b/>
                <w:color w:val="000000"/>
              </w:rPr>
              <w:t xml:space="preserve">515.2 </w:t>
            </w:r>
          </w:p>
        </w:tc>
        <w:tc>
          <w:tcPr>
            <w:tcW w:w="1134" w:type="dxa"/>
            <w:tcBorders>
              <w:top w:val="nil"/>
              <w:left w:val="nil"/>
              <w:bottom w:val="nil"/>
              <w:right w:val="nil"/>
            </w:tcBorders>
            <w:noWrap/>
            <w:vAlign w:val="bottom"/>
          </w:tcPr>
          <w:p w:rsidR="0073204A" w:rsidRPr="00EB2995" w:rsidRDefault="0073204A" w:rsidP="0073204A">
            <w:pPr>
              <w:jc w:val="right"/>
              <w:rPr>
                <w:rFonts w:cs="Calibri"/>
                <w:b/>
                <w:bCs/>
                <w:color w:val="000000"/>
                <w:lang w:eastAsia="en-GB"/>
              </w:rPr>
            </w:pPr>
          </w:p>
        </w:tc>
        <w:tc>
          <w:tcPr>
            <w:tcW w:w="5670" w:type="dxa"/>
            <w:tcBorders>
              <w:top w:val="nil"/>
              <w:left w:val="nil"/>
              <w:bottom w:val="nil"/>
              <w:right w:val="nil"/>
            </w:tcBorders>
            <w:noWrap/>
            <w:vAlign w:val="center"/>
          </w:tcPr>
          <w:p w:rsidR="0073204A" w:rsidRPr="00EB2995" w:rsidRDefault="0073204A" w:rsidP="0073204A">
            <w:pPr>
              <w:rPr>
                <w:rFonts w:cs="Calibri"/>
                <w:b/>
                <w:bCs/>
                <w:color w:val="000000"/>
                <w:lang w:eastAsia="en-GB"/>
              </w:rPr>
            </w:pPr>
            <w:r w:rsidRPr="00EB2995">
              <w:rPr>
                <w:rFonts w:cs="Calibri"/>
                <w:b/>
                <w:bCs/>
                <w:color w:val="000000"/>
                <w:lang w:eastAsia="en-GB"/>
              </w:rPr>
              <w:t>Net Assets</w:t>
            </w:r>
          </w:p>
        </w:tc>
        <w:tc>
          <w:tcPr>
            <w:tcW w:w="1559" w:type="dxa"/>
            <w:tcBorders>
              <w:top w:val="single" w:sz="4" w:space="0" w:color="auto"/>
              <w:left w:val="single" w:sz="8" w:space="0" w:color="auto"/>
              <w:bottom w:val="single" w:sz="8" w:space="0" w:color="auto"/>
              <w:right w:val="single" w:sz="8" w:space="0" w:color="auto"/>
            </w:tcBorders>
            <w:shd w:val="clear" w:color="auto" w:fill="auto"/>
            <w:noWrap/>
            <w:vAlign w:val="center"/>
          </w:tcPr>
          <w:p w:rsidR="0073204A" w:rsidRPr="00A44970" w:rsidRDefault="0073204A" w:rsidP="0073204A">
            <w:pPr>
              <w:jc w:val="right"/>
              <w:rPr>
                <w:rFonts w:cs="Calibri"/>
                <w:b/>
                <w:color w:val="000000"/>
                <w:lang w:eastAsia="en-GB"/>
              </w:rPr>
            </w:pPr>
            <w:r>
              <w:rPr>
                <w:rFonts w:cs="Calibri"/>
                <w:b/>
                <w:color w:val="000000"/>
              </w:rPr>
              <w:t>1,020.7</w:t>
            </w:r>
            <w:r w:rsidRPr="00A44970">
              <w:rPr>
                <w:rFonts w:cs="Calibri"/>
                <w:b/>
                <w:color w:val="000000"/>
              </w:rPr>
              <w:t xml:space="preserve"> </w:t>
            </w:r>
          </w:p>
        </w:tc>
      </w:tr>
      <w:tr w:rsidR="0073204A" w:rsidRPr="00EB2995" w:rsidTr="000138B2">
        <w:trPr>
          <w:trHeight w:hRule="exact" w:val="284"/>
        </w:trPr>
        <w:tc>
          <w:tcPr>
            <w:tcW w:w="1276" w:type="dxa"/>
            <w:tcBorders>
              <w:top w:val="nil"/>
              <w:left w:val="single" w:sz="8" w:space="0" w:color="auto"/>
              <w:bottom w:val="nil"/>
              <w:right w:val="single" w:sz="8" w:space="0" w:color="auto"/>
            </w:tcBorders>
            <w:vAlign w:val="center"/>
          </w:tcPr>
          <w:p w:rsidR="0073204A" w:rsidRPr="00EB2995" w:rsidRDefault="0073204A" w:rsidP="0073204A">
            <w:pPr>
              <w:jc w:val="right"/>
              <w:rPr>
                <w:rFonts w:cs="Calibri"/>
                <w:color w:val="000000"/>
                <w:lang w:eastAsia="en-GB"/>
              </w:rPr>
            </w:pPr>
            <w:r w:rsidRPr="00EB2995">
              <w:rPr>
                <w:rFonts w:cs="Calibri"/>
                <w:color w:val="000000"/>
              </w:rPr>
              <w:t> </w:t>
            </w:r>
          </w:p>
        </w:tc>
        <w:tc>
          <w:tcPr>
            <w:tcW w:w="1134" w:type="dxa"/>
            <w:tcBorders>
              <w:top w:val="nil"/>
              <w:left w:val="nil"/>
              <w:bottom w:val="nil"/>
              <w:right w:val="nil"/>
            </w:tcBorders>
            <w:noWrap/>
            <w:vAlign w:val="bottom"/>
          </w:tcPr>
          <w:p w:rsidR="0073204A" w:rsidRPr="00EB2995" w:rsidRDefault="0073204A" w:rsidP="0073204A">
            <w:pPr>
              <w:jc w:val="right"/>
              <w:rPr>
                <w:rFonts w:cs="Calibri"/>
                <w:color w:val="000000"/>
                <w:lang w:eastAsia="en-GB"/>
              </w:rPr>
            </w:pPr>
          </w:p>
        </w:tc>
        <w:tc>
          <w:tcPr>
            <w:tcW w:w="5670" w:type="dxa"/>
            <w:tcBorders>
              <w:top w:val="nil"/>
              <w:left w:val="nil"/>
              <w:bottom w:val="nil"/>
              <w:right w:val="nil"/>
            </w:tcBorders>
            <w:noWrap/>
            <w:vAlign w:val="center"/>
          </w:tcPr>
          <w:p w:rsidR="0073204A" w:rsidRPr="00EB2995" w:rsidRDefault="0073204A" w:rsidP="0073204A">
            <w:pPr>
              <w:rPr>
                <w:rFonts w:cs="Calibri"/>
                <w:sz w:val="20"/>
                <w:szCs w:val="20"/>
                <w:lang w:eastAsia="en-GB"/>
              </w:rPr>
            </w:pPr>
          </w:p>
        </w:tc>
        <w:tc>
          <w:tcPr>
            <w:tcW w:w="1559" w:type="dxa"/>
            <w:tcBorders>
              <w:top w:val="nil"/>
              <w:left w:val="single" w:sz="8" w:space="0" w:color="auto"/>
              <w:bottom w:val="nil"/>
              <w:right w:val="single" w:sz="8" w:space="0" w:color="auto"/>
            </w:tcBorders>
            <w:shd w:val="clear" w:color="auto" w:fill="auto"/>
            <w:noWrap/>
            <w:vAlign w:val="center"/>
          </w:tcPr>
          <w:p w:rsidR="0073204A" w:rsidRPr="00EB2995" w:rsidRDefault="0073204A" w:rsidP="0073204A">
            <w:pPr>
              <w:jc w:val="right"/>
              <w:rPr>
                <w:rFonts w:cs="Calibri"/>
                <w:color w:val="000000"/>
              </w:rPr>
            </w:pPr>
          </w:p>
        </w:tc>
      </w:tr>
      <w:tr w:rsidR="0073204A" w:rsidRPr="00EB2995" w:rsidTr="000138B2">
        <w:trPr>
          <w:trHeight w:hRule="exact" w:val="284"/>
        </w:trPr>
        <w:tc>
          <w:tcPr>
            <w:tcW w:w="1276" w:type="dxa"/>
            <w:tcBorders>
              <w:top w:val="nil"/>
              <w:left w:val="single" w:sz="8" w:space="0" w:color="auto"/>
              <w:bottom w:val="nil"/>
              <w:right w:val="single" w:sz="8" w:space="0" w:color="auto"/>
            </w:tcBorders>
            <w:vAlign w:val="center"/>
          </w:tcPr>
          <w:p w:rsidR="0073204A" w:rsidRPr="00EB2995" w:rsidRDefault="0073204A" w:rsidP="0073204A">
            <w:pPr>
              <w:jc w:val="right"/>
              <w:rPr>
                <w:rFonts w:cs="Calibri"/>
                <w:b/>
                <w:bCs/>
                <w:color w:val="000000"/>
                <w:lang w:eastAsia="en-GB"/>
              </w:rPr>
            </w:pPr>
            <w:r w:rsidRPr="00EB2995">
              <w:rPr>
                <w:rFonts w:cs="Calibri"/>
                <w:color w:val="000000"/>
              </w:rPr>
              <w:t> </w:t>
            </w:r>
          </w:p>
        </w:tc>
        <w:tc>
          <w:tcPr>
            <w:tcW w:w="1134" w:type="dxa"/>
            <w:tcBorders>
              <w:top w:val="nil"/>
              <w:left w:val="nil"/>
              <w:bottom w:val="nil"/>
              <w:right w:val="nil"/>
            </w:tcBorders>
            <w:noWrap/>
            <w:vAlign w:val="bottom"/>
          </w:tcPr>
          <w:p w:rsidR="0073204A" w:rsidRPr="00EB2995" w:rsidRDefault="0073204A" w:rsidP="0073204A">
            <w:pPr>
              <w:jc w:val="right"/>
              <w:rPr>
                <w:rFonts w:cs="Calibri"/>
                <w:b/>
                <w:bCs/>
                <w:color w:val="000000"/>
                <w:lang w:eastAsia="en-GB"/>
              </w:rPr>
            </w:pPr>
          </w:p>
        </w:tc>
        <w:tc>
          <w:tcPr>
            <w:tcW w:w="5670" w:type="dxa"/>
            <w:tcBorders>
              <w:top w:val="nil"/>
              <w:left w:val="nil"/>
              <w:bottom w:val="nil"/>
              <w:right w:val="nil"/>
            </w:tcBorders>
            <w:noWrap/>
            <w:vAlign w:val="center"/>
          </w:tcPr>
          <w:p w:rsidR="0073204A" w:rsidRPr="00EB2995" w:rsidRDefault="0073204A" w:rsidP="0073204A">
            <w:pPr>
              <w:rPr>
                <w:rFonts w:cs="Calibri"/>
                <w:b/>
                <w:bCs/>
                <w:color w:val="000000"/>
                <w:lang w:eastAsia="en-GB"/>
              </w:rPr>
            </w:pPr>
            <w:r w:rsidRPr="00EB2995">
              <w:rPr>
                <w:rFonts w:cs="Calibri"/>
                <w:b/>
                <w:bCs/>
                <w:color w:val="000000"/>
                <w:lang w:eastAsia="en-GB"/>
              </w:rPr>
              <w:t>Reserves</w:t>
            </w:r>
          </w:p>
        </w:tc>
        <w:tc>
          <w:tcPr>
            <w:tcW w:w="1559" w:type="dxa"/>
            <w:tcBorders>
              <w:top w:val="nil"/>
              <w:left w:val="single" w:sz="8" w:space="0" w:color="auto"/>
              <w:bottom w:val="nil"/>
              <w:right w:val="single" w:sz="8" w:space="0" w:color="auto"/>
            </w:tcBorders>
            <w:shd w:val="clear" w:color="auto" w:fill="auto"/>
            <w:noWrap/>
            <w:vAlign w:val="center"/>
          </w:tcPr>
          <w:p w:rsidR="0073204A" w:rsidRPr="00EB2995" w:rsidRDefault="0073204A" w:rsidP="0073204A">
            <w:pPr>
              <w:jc w:val="right"/>
              <w:rPr>
                <w:rFonts w:cs="Calibri"/>
                <w:color w:val="000000"/>
              </w:rPr>
            </w:pPr>
          </w:p>
        </w:tc>
      </w:tr>
      <w:tr w:rsidR="0073204A" w:rsidRPr="00EB2995" w:rsidTr="000138B2">
        <w:trPr>
          <w:trHeight w:hRule="exact" w:val="284"/>
        </w:trPr>
        <w:tc>
          <w:tcPr>
            <w:tcW w:w="1276" w:type="dxa"/>
            <w:tcBorders>
              <w:top w:val="nil"/>
              <w:left w:val="single" w:sz="8" w:space="0" w:color="auto"/>
              <w:bottom w:val="nil"/>
              <w:right w:val="single" w:sz="8" w:space="0" w:color="auto"/>
            </w:tcBorders>
            <w:vAlign w:val="center"/>
          </w:tcPr>
          <w:p w:rsidR="0073204A" w:rsidRPr="00EB2995" w:rsidRDefault="0073204A" w:rsidP="0073204A">
            <w:pPr>
              <w:jc w:val="right"/>
              <w:rPr>
                <w:rFonts w:cs="Calibri"/>
                <w:color w:val="000000"/>
              </w:rPr>
            </w:pPr>
            <w:r w:rsidRPr="00EB2995">
              <w:rPr>
                <w:rFonts w:cs="Calibri"/>
                <w:color w:val="000000"/>
              </w:rPr>
              <w:t xml:space="preserve">377.3 </w:t>
            </w:r>
          </w:p>
        </w:tc>
        <w:tc>
          <w:tcPr>
            <w:tcW w:w="1134" w:type="dxa"/>
            <w:tcBorders>
              <w:top w:val="nil"/>
              <w:left w:val="nil"/>
              <w:bottom w:val="nil"/>
              <w:right w:val="nil"/>
            </w:tcBorders>
            <w:noWrap/>
            <w:vAlign w:val="bottom"/>
          </w:tcPr>
          <w:p w:rsidR="0073204A" w:rsidRPr="00EB2995" w:rsidRDefault="0073204A" w:rsidP="0073204A">
            <w:pPr>
              <w:jc w:val="right"/>
              <w:rPr>
                <w:rFonts w:cs="Calibri"/>
                <w:color w:val="000000"/>
                <w:lang w:eastAsia="en-GB"/>
              </w:rPr>
            </w:pPr>
          </w:p>
        </w:tc>
        <w:tc>
          <w:tcPr>
            <w:tcW w:w="5670" w:type="dxa"/>
            <w:tcBorders>
              <w:top w:val="nil"/>
              <w:left w:val="nil"/>
              <w:bottom w:val="nil"/>
              <w:right w:val="nil"/>
            </w:tcBorders>
            <w:noWrap/>
            <w:vAlign w:val="center"/>
          </w:tcPr>
          <w:p w:rsidR="0073204A" w:rsidRPr="00EB2995" w:rsidRDefault="0073204A" w:rsidP="0073204A">
            <w:pPr>
              <w:rPr>
                <w:rFonts w:cs="Calibri"/>
                <w:color w:val="000000"/>
                <w:lang w:eastAsia="en-GB"/>
              </w:rPr>
            </w:pPr>
            <w:r w:rsidRPr="00EB2995">
              <w:rPr>
                <w:rFonts w:cs="Calibri"/>
                <w:color w:val="000000"/>
                <w:lang w:eastAsia="en-GB"/>
              </w:rPr>
              <w:t>Usable Reserves</w:t>
            </w:r>
          </w:p>
        </w:tc>
        <w:tc>
          <w:tcPr>
            <w:tcW w:w="1559" w:type="dxa"/>
            <w:tcBorders>
              <w:top w:val="nil"/>
              <w:left w:val="single" w:sz="8" w:space="0" w:color="auto"/>
              <w:bottom w:val="nil"/>
              <w:right w:val="single" w:sz="8" w:space="0" w:color="auto"/>
            </w:tcBorders>
            <w:shd w:val="clear" w:color="auto" w:fill="auto"/>
            <w:noWrap/>
            <w:vAlign w:val="center"/>
          </w:tcPr>
          <w:p w:rsidR="0073204A" w:rsidRPr="00EB2995" w:rsidRDefault="0073204A" w:rsidP="0073204A">
            <w:pPr>
              <w:jc w:val="right"/>
              <w:rPr>
                <w:rFonts w:cs="Calibri"/>
                <w:color w:val="000000"/>
              </w:rPr>
            </w:pPr>
            <w:r>
              <w:rPr>
                <w:rFonts w:cs="Calibri"/>
                <w:color w:val="000000"/>
              </w:rPr>
              <w:t>(401.0)</w:t>
            </w:r>
          </w:p>
        </w:tc>
      </w:tr>
      <w:tr w:rsidR="0073204A" w:rsidRPr="00EB2995" w:rsidTr="000138B2">
        <w:trPr>
          <w:trHeight w:hRule="exact" w:val="284"/>
        </w:trPr>
        <w:tc>
          <w:tcPr>
            <w:tcW w:w="1276" w:type="dxa"/>
            <w:tcBorders>
              <w:top w:val="nil"/>
              <w:left w:val="single" w:sz="8" w:space="0" w:color="auto"/>
              <w:bottom w:val="nil"/>
              <w:right w:val="single" w:sz="8" w:space="0" w:color="auto"/>
            </w:tcBorders>
            <w:vAlign w:val="center"/>
          </w:tcPr>
          <w:p w:rsidR="0073204A" w:rsidRPr="00EB2995" w:rsidRDefault="0073204A" w:rsidP="0073204A">
            <w:pPr>
              <w:jc w:val="right"/>
              <w:rPr>
                <w:rFonts w:cs="Calibri"/>
                <w:color w:val="000000"/>
              </w:rPr>
            </w:pPr>
            <w:r w:rsidRPr="00EB2995">
              <w:rPr>
                <w:rFonts w:cs="Calibri"/>
                <w:color w:val="000000"/>
              </w:rPr>
              <w:t>137.9</w:t>
            </w:r>
          </w:p>
        </w:tc>
        <w:tc>
          <w:tcPr>
            <w:tcW w:w="1134" w:type="dxa"/>
            <w:tcBorders>
              <w:top w:val="nil"/>
              <w:left w:val="nil"/>
              <w:bottom w:val="nil"/>
              <w:right w:val="nil"/>
            </w:tcBorders>
            <w:noWrap/>
            <w:vAlign w:val="bottom"/>
          </w:tcPr>
          <w:p w:rsidR="0073204A" w:rsidRPr="00EB2995" w:rsidRDefault="0073204A" w:rsidP="0073204A">
            <w:pPr>
              <w:jc w:val="right"/>
              <w:rPr>
                <w:rFonts w:cs="Calibri"/>
                <w:color w:val="000000"/>
                <w:lang w:eastAsia="en-GB"/>
              </w:rPr>
            </w:pPr>
          </w:p>
        </w:tc>
        <w:tc>
          <w:tcPr>
            <w:tcW w:w="5670" w:type="dxa"/>
            <w:tcBorders>
              <w:top w:val="nil"/>
              <w:left w:val="nil"/>
              <w:bottom w:val="nil"/>
              <w:right w:val="nil"/>
            </w:tcBorders>
            <w:noWrap/>
            <w:vAlign w:val="center"/>
          </w:tcPr>
          <w:p w:rsidR="0073204A" w:rsidRPr="00EB2995" w:rsidRDefault="0073204A" w:rsidP="0073204A">
            <w:pPr>
              <w:rPr>
                <w:rFonts w:cs="Calibri"/>
                <w:color w:val="000000"/>
                <w:lang w:eastAsia="en-GB"/>
              </w:rPr>
            </w:pPr>
            <w:r w:rsidRPr="00EB2995">
              <w:rPr>
                <w:rFonts w:cs="Calibri"/>
                <w:color w:val="000000"/>
                <w:lang w:eastAsia="en-GB"/>
              </w:rPr>
              <w:t>Unusable Reserves</w:t>
            </w:r>
          </w:p>
        </w:tc>
        <w:tc>
          <w:tcPr>
            <w:tcW w:w="1559" w:type="dxa"/>
            <w:tcBorders>
              <w:top w:val="nil"/>
              <w:left w:val="single" w:sz="8" w:space="0" w:color="auto"/>
              <w:bottom w:val="nil"/>
              <w:right w:val="single" w:sz="8" w:space="0" w:color="auto"/>
            </w:tcBorders>
            <w:shd w:val="clear" w:color="auto" w:fill="auto"/>
            <w:noWrap/>
            <w:vAlign w:val="center"/>
          </w:tcPr>
          <w:p w:rsidR="0073204A" w:rsidRPr="00EB2995" w:rsidRDefault="0073204A" w:rsidP="0073204A">
            <w:pPr>
              <w:jc w:val="right"/>
              <w:rPr>
                <w:rFonts w:cs="Calibri"/>
                <w:color w:val="000000"/>
              </w:rPr>
            </w:pPr>
            <w:r>
              <w:rPr>
                <w:rFonts w:cs="Calibri"/>
                <w:color w:val="000000"/>
              </w:rPr>
              <w:t>(619.7)</w:t>
            </w:r>
          </w:p>
        </w:tc>
      </w:tr>
      <w:tr w:rsidR="0073204A" w:rsidRPr="00EB2995" w:rsidTr="000138B2">
        <w:trPr>
          <w:trHeight w:hRule="exact" w:val="284"/>
        </w:trPr>
        <w:tc>
          <w:tcPr>
            <w:tcW w:w="1276" w:type="dxa"/>
            <w:tcBorders>
              <w:top w:val="single" w:sz="8" w:space="0" w:color="auto"/>
              <w:left w:val="single" w:sz="8" w:space="0" w:color="auto"/>
              <w:bottom w:val="single" w:sz="8" w:space="0" w:color="auto"/>
              <w:right w:val="single" w:sz="8" w:space="0" w:color="auto"/>
            </w:tcBorders>
            <w:vAlign w:val="center"/>
          </w:tcPr>
          <w:p w:rsidR="0073204A" w:rsidRPr="00EB2995" w:rsidRDefault="0073204A" w:rsidP="0073204A">
            <w:pPr>
              <w:jc w:val="right"/>
              <w:rPr>
                <w:rFonts w:cs="Calibri"/>
                <w:b/>
                <w:bCs/>
                <w:color w:val="000000"/>
              </w:rPr>
            </w:pPr>
            <w:r w:rsidRPr="00EB2995">
              <w:rPr>
                <w:rFonts w:cs="Calibri"/>
                <w:b/>
                <w:color w:val="000000"/>
              </w:rPr>
              <w:t>515.2</w:t>
            </w:r>
          </w:p>
        </w:tc>
        <w:tc>
          <w:tcPr>
            <w:tcW w:w="1134" w:type="dxa"/>
            <w:tcBorders>
              <w:top w:val="nil"/>
              <w:left w:val="nil"/>
              <w:bottom w:val="nil"/>
              <w:right w:val="nil"/>
            </w:tcBorders>
            <w:noWrap/>
            <w:vAlign w:val="bottom"/>
          </w:tcPr>
          <w:p w:rsidR="0073204A" w:rsidRPr="00EB2995" w:rsidRDefault="0073204A" w:rsidP="0073204A">
            <w:pPr>
              <w:jc w:val="right"/>
              <w:rPr>
                <w:rFonts w:cs="Calibri"/>
                <w:b/>
                <w:bCs/>
                <w:color w:val="000000"/>
                <w:lang w:eastAsia="en-GB"/>
              </w:rPr>
            </w:pPr>
          </w:p>
        </w:tc>
        <w:tc>
          <w:tcPr>
            <w:tcW w:w="5670" w:type="dxa"/>
            <w:tcBorders>
              <w:top w:val="nil"/>
              <w:left w:val="nil"/>
              <w:bottom w:val="nil"/>
              <w:right w:val="nil"/>
            </w:tcBorders>
            <w:noWrap/>
            <w:vAlign w:val="center"/>
          </w:tcPr>
          <w:p w:rsidR="0073204A" w:rsidRPr="00EB2995" w:rsidRDefault="0073204A" w:rsidP="0073204A">
            <w:pPr>
              <w:rPr>
                <w:rFonts w:cs="Calibri"/>
                <w:b/>
                <w:bCs/>
                <w:color w:val="000000"/>
                <w:lang w:eastAsia="en-GB"/>
              </w:rPr>
            </w:pPr>
            <w:r w:rsidRPr="00EB2995">
              <w:rPr>
                <w:rFonts w:cs="Calibri"/>
                <w:b/>
                <w:bCs/>
                <w:color w:val="000000"/>
                <w:lang w:eastAsia="en-GB"/>
              </w:rPr>
              <w:t>Total Reserves</w:t>
            </w:r>
          </w:p>
        </w:tc>
        <w:tc>
          <w:tcPr>
            <w:tcW w:w="1559" w:type="dxa"/>
            <w:tcBorders>
              <w:top w:val="single" w:sz="8" w:space="0" w:color="auto"/>
              <w:left w:val="single" w:sz="8" w:space="0" w:color="auto"/>
              <w:bottom w:val="single" w:sz="8" w:space="0" w:color="auto"/>
              <w:right w:val="single" w:sz="8" w:space="0" w:color="auto"/>
            </w:tcBorders>
            <w:shd w:val="clear" w:color="auto" w:fill="auto"/>
            <w:noWrap/>
            <w:vAlign w:val="center"/>
          </w:tcPr>
          <w:p w:rsidR="0073204A" w:rsidRPr="00A44970" w:rsidRDefault="0073204A" w:rsidP="0073204A">
            <w:pPr>
              <w:jc w:val="right"/>
              <w:rPr>
                <w:rFonts w:cs="Calibri"/>
                <w:b/>
                <w:color w:val="000000"/>
              </w:rPr>
            </w:pPr>
            <w:r>
              <w:rPr>
                <w:rFonts w:cs="Calibri"/>
                <w:b/>
                <w:color w:val="000000"/>
              </w:rPr>
              <w:t>(1,020.7</w:t>
            </w:r>
            <w:r w:rsidRPr="00A44970">
              <w:rPr>
                <w:rFonts w:cs="Calibri"/>
                <w:b/>
                <w:color w:val="000000"/>
              </w:rPr>
              <w:t>)</w:t>
            </w:r>
          </w:p>
        </w:tc>
      </w:tr>
    </w:tbl>
    <w:p w:rsidR="00F72906" w:rsidRDefault="00F72906" w:rsidP="00F72906"/>
    <w:p w:rsidR="00F72906" w:rsidRDefault="00F72906" w:rsidP="00F72906">
      <w:r>
        <w:t> </w:t>
      </w:r>
    </w:p>
    <w:p w:rsidR="00A70A31" w:rsidRDefault="00A70A31" w:rsidP="00A70A31">
      <w:pPr>
        <w:pStyle w:val="Heading2"/>
        <w:sectPr w:rsidR="00A70A31" w:rsidSect="00D53A04">
          <w:pgSz w:w="11906" w:h="16838"/>
          <w:pgMar w:top="1440" w:right="1440" w:bottom="1440" w:left="709" w:header="708" w:footer="708" w:gutter="0"/>
          <w:cols w:space="708"/>
          <w:docGrid w:linePitch="360"/>
        </w:sectPr>
      </w:pPr>
    </w:p>
    <w:p w:rsidR="00F72906" w:rsidRDefault="00F72906" w:rsidP="00A70A31">
      <w:pPr>
        <w:pStyle w:val="Heading2"/>
      </w:pPr>
      <w:bookmarkStart w:id="27" w:name="_Toc61870297"/>
      <w:r>
        <w:lastRenderedPageBreak/>
        <w:t>Group Consolidated Income &amp; Expenditure Statement</w:t>
      </w:r>
      <w:bookmarkEnd w:id="27"/>
      <w:r>
        <w:t xml:space="preserve"> </w:t>
      </w:r>
    </w:p>
    <w:tbl>
      <w:tblPr>
        <w:tblW w:w="11205" w:type="dxa"/>
        <w:tblInd w:w="-426" w:type="dxa"/>
        <w:tblLook w:val="00A0" w:firstRow="1" w:lastRow="0" w:firstColumn="1" w:lastColumn="0" w:noHBand="0" w:noVBand="0"/>
      </w:tblPr>
      <w:tblGrid>
        <w:gridCol w:w="1419"/>
        <w:gridCol w:w="893"/>
        <w:gridCol w:w="1454"/>
        <w:gridCol w:w="222"/>
        <w:gridCol w:w="2484"/>
        <w:gridCol w:w="1889"/>
        <w:gridCol w:w="997"/>
        <w:gridCol w:w="1366"/>
        <w:gridCol w:w="481"/>
      </w:tblGrid>
      <w:tr w:rsidR="00A70A31" w:rsidRPr="00EB2995" w:rsidTr="00A70A31">
        <w:trPr>
          <w:trHeight w:hRule="exact" w:val="454"/>
        </w:trPr>
        <w:tc>
          <w:tcPr>
            <w:tcW w:w="3766" w:type="dxa"/>
            <w:gridSpan w:val="3"/>
            <w:tcBorders>
              <w:top w:val="nil"/>
              <w:left w:val="nil"/>
            </w:tcBorders>
            <w:vAlign w:val="center"/>
          </w:tcPr>
          <w:p w:rsidR="00A70A31" w:rsidRPr="00EB2995" w:rsidRDefault="0073204A" w:rsidP="00A70A31">
            <w:pPr>
              <w:jc w:val="right"/>
              <w:rPr>
                <w:rFonts w:cs="Calibri"/>
                <w:b/>
                <w:bCs/>
                <w:color w:val="000000"/>
                <w:lang w:eastAsia="en-GB"/>
              </w:rPr>
            </w:pPr>
            <w:r>
              <w:rPr>
                <w:rFonts w:cs="Calibri"/>
                <w:b/>
                <w:bCs/>
                <w:color w:val="000000"/>
                <w:lang w:eastAsia="en-GB"/>
              </w:rPr>
              <w:t xml:space="preserve">*Restated </w:t>
            </w:r>
            <w:r w:rsidR="00A70A31" w:rsidRPr="00EB2995">
              <w:rPr>
                <w:rFonts w:cs="Calibri"/>
                <w:b/>
                <w:bCs/>
                <w:color w:val="000000"/>
                <w:lang w:eastAsia="en-GB"/>
              </w:rPr>
              <w:t>2018/19</w:t>
            </w:r>
          </w:p>
        </w:tc>
        <w:tc>
          <w:tcPr>
            <w:tcW w:w="0" w:type="auto"/>
            <w:tcBorders>
              <w:top w:val="nil"/>
            </w:tcBorders>
            <w:noWrap/>
            <w:vAlign w:val="bottom"/>
          </w:tcPr>
          <w:p w:rsidR="00A70A31" w:rsidRPr="00EB2995" w:rsidRDefault="00A70A31" w:rsidP="00A70A31">
            <w:pPr>
              <w:jc w:val="right"/>
              <w:rPr>
                <w:rFonts w:cs="Calibri"/>
                <w:b/>
                <w:bCs/>
                <w:color w:val="000000"/>
                <w:lang w:eastAsia="en-GB"/>
              </w:rPr>
            </w:pPr>
          </w:p>
        </w:tc>
        <w:tc>
          <w:tcPr>
            <w:tcW w:w="2484" w:type="dxa"/>
            <w:tcBorders>
              <w:top w:val="nil"/>
            </w:tcBorders>
            <w:noWrap/>
            <w:vAlign w:val="bottom"/>
          </w:tcPr>
          <w:p w:rsidR="00A70A31" w:rsidRPr="00EB2995" w:rsidRDefault="00A70A31" w:rsidP="00A70A31">
            <w:pPr>
              <w:rPr>
                <w:rFonts w:cs="Calibri"/>
                <w:sz w:val="20"/>
                <w:szCs w:val="20"/>
                <w:lang w:eastAsia="en-GB"/>
              </w:rPr>
            </w:pPr>
          </w:p>
        </w:tc>
        <w:tc>
          <w:tcPr>
            <w:tcW w:w="4733" w:type="dxa"/>
            <w:gridSpan w:val="4"/>
            <w:tcBorders>
              <w:top w:val="nil"/>
              <w:right w:val="nil"/>
            </w:tcBorders>
            <w:noWrap/>
            <w:vAlign w:val="center"/>
          </w:tcPr>
          <w:p w:rsidR="00A70A31" w:rsidRPr="00EB2995" w:rsidRDefault="00A70A31" w:rsidP="00A70A31">
            <w:pPr>
              <w:jc w:val="center"/>
              <w:rPr>
                <w:rFonts w:cs="Calibri"/>
                <w:b/>
                <w:bCs/>
                <w:color w:val="000000"/>
                <w:lang w:eastAsia="en-GB"/>
              </w:rPr>
            </w:pPr>
            <w:r w:rsidRPr="00EB2995">
              <w:rPr>
                <w:rFonts w:cs="Calibri"/>
                <w:b/>
                <w:bCs/>
                <w:color w:val="000000"/>
                <w:lang w:eastAsia="en-GB"/>
              </w:rPr>
              <w:t>2019/20</w:t>
            </w:r>
          </w:p>
        </w:tc>
      </w:tr>
      <w:tr w:rsidR="00A70A31" w:rsidRPr="00EB2995" w:rsidTr="00A70A31">
        <w:trPr>
          <w:gridAfter w:val="1"/>
          <w:wAfter w:w="481" w:type="dxa"/>
          <w:trHeight w:hRule="exact" w:val="863"/>
        </w:trPr>
        <w:tc>
          <w:tcPr>
            <w:tcW w:w="1419" w:type="dxa"/>
            <w:tcBorders>
              <w:left w:val="nil"/>
            </w:tcBorders>
            <w:vAlign w:val="center"/>
          </w:tcPr>
          <w:p w:rsidR="00A70A31" w:rsidRPr="00EB2995" w:rsidRDefault="00A70A31" w:rsidP="00A70A31">
            <w:pPr>
              <w:jc w:val="center"/>
              <w:rPr>
                <w:rFonts w:cs="Calibri"/>
                <w:b/>
                <w:bCs/>
                <w:color w:val="000000"/>
                <w:lang w:eastAsia="en-GB"/>
              </w:rPr>
            </w:pPr>
            <w:r w:rsidRPr="00EB2995">
              <w:rPr>
                <w:rFonts w:cs="Calibri"/>
                <w:b/>
                <w:bCs/>
                <w:color w:val="000000"/>
                <w:lang w:eastAsia="en-GB"/>
              </w:rPr>
              <w:t>Gross Expenditure</w:t>
            </w:r>
          </w:p>
        </w:tc>
        <w:tc>
          <w:tcPr>
            <w:tcW w:w="0" w:type="auto"/>
            <w:vAlign w:val="center"/>
          </w:tcPr>
          <w:p w:rsidR="00A70A31" w:rsidRPr="00EB2995" w:rsidRDefault="00A70A31" w:rsidP="00A70A31">
            <w:pPr>
              <w:jc w:val="center"/>
              <w:rPr>
                <w:rFonts w:cs="Calibri"/>
                <w:b/>
                <w:bCs/>
                <w:color w:val="000000"/>
                <w:lang w:eastAsia="en-GB"/>
              </w:rPr>
            </w:pPr>
            <w:r w:rsidRPr="00EB2995">
              <w:rPr>
                <w:rFonts w:cs="Calibri"/>
                <w:b/>
                <w:bCs/>
                <w:color w:val="000000"/>
                <w:lang w:eastAsia="en-GB"/>
              </w:rPr>
              <w:t>Gross Income</w:t>
            </w:r>
          </w:p>
        </w:tc>
        <w:tc>
          <w:tcPr>
            <w:tcW w:w="1454" w:type="dxa"/>
            <w:vAlign w:val="center"/>
          </w:tcPr>
          <w:p w:rsidR="00A70A31" w:rsidRPr="00EB2995" w:rsidRDefault="00A70A31" w:rsidP="00A70A31">
            <w:pPr>
              <w:jc w:val="center"/>
              <w:rPr>
                <w:rFonts w:cs="Calibri"/>
                <w:b/>
                <w:bCs/>
                <w:color w:val="000000"/>
                <w:lang w:eastAsia="en-GB"/>
              </w:rPr>
            </w:pPr>
            <w:r w:rsidRPr="00EB2995">
              <w:rPr>
                <w:rFonts w:cs="Calibri"/>
                <w:b/>
                <w:bCs/>
                <w:color w:val="000000"/>
                <w:lang w:eastAsia="en-GB"/>
              </w:rPr>
              <w:t>Net Expenditure</w:t>
            </w:r>
          </w:p>
        </w:tc>
        <w:tc>
          <w:tcPr>
            <w:tcW w:w="0" w:type="auto"/>
            <w:noWrap/>
            <w:vAlign w:val="center"/>
          </w:tcPr>
          <w:p w:rsidR="00A70A31" w:rsidRPr="00EB2995" w:rsidRDefault="00A70A31" w:rsidP="00A70A31">
            <w:pPr>
              <w:jc w:val="center"/>
              <w:rPr>
                <w:rFonts w:cs="Calibri"/>
                <w:b/>
                <w:bCs/>
                <w:color w:val="000000"/>
                <w:lang w:eastAsia="en-GB"/>
              </w:rPr>
            </w:pPr>
          </w:p>
        </w:tc>
        <w:tc>
          <w:tcPr>
            <w:tcW w:w="2484" w:type="dxa"/>
            <w:noWrap/>
            <w:vAlign w:val="center"/>
          </w:tcPr>
          <w:p w:rsidR="00A70A31" w:rsidRPr="00EB2995" w:rsidRDefault="00A70A31" w:rsidP="00A70A31">
            <w:pPr>
              <w:jc w:val="center"/>
              <w:rPr>
                <w:rFonts w:cs="Calibri"/>
                <w:sz w:val="20"/>
                <w:szCs w:val="20"/>
                <w:lang w:eastAsia="en-GB"/>
              </w:rPr>
            </w:pPr>
          </w:p>
        </w:tc>
        <w:tc>
          <w:tcPr>
            <w:tcW w:w="0" w:type="auto"/>
            <w:vAlign w:val="center"/>
          </w:tcPr>
          <w:p w:rsidR="00A70A31" w:rsidRPr="00EB2995" w:rsidRDefault="00A70A31" w:rsidP="00A70A31">
            <w:pPr>
              <w:jc w:val="center"/>
              <w:rPr>
                <w:rFonts w:cs="Calibri"/>
                <w:b/>
                <w:bCs/>
                <w:color w:val="000000"/>
                <w:lang w:eastAsia="en-GB"/>
              </w:rPr>
            </w:pPr>
            <w:r w:rsidRPr="00EB2995">
              <w:rPr>
                <w:rFonts w:cs="Calibri"/>
                <w:b/>
                <w:bCs/>
                <w:color w:val="000000"/>
                <w:lang w:eastAsia="en-GB"/>
              </w:rPr>
              <w:t>Gross Expenditure</w:t>
            </w:r>
          </w:p>
        </w:tc>
        <w:tc>
          <w:tcPr>
            <w:tcW w:w="997" w:type="dxa"/>
            <w:vAlign w:val="center"/>
          </w:tcPr>
          <w:p w:rsidR="00A70A31" w:rsidRPr="00EB2995" w:rsidRDefault="00A70A31" w:rsidP="00A70A31">
            <w:pPr>
              <w:jc w:val="center"/>
              <w:rPr>
                <w:rFonts w:cs="Calibri"/>
                <w:b/>
                <w:bCs/>
                <w:color w:val="000000"/>
                <w:lang w:eastAsia="en-GB"/>
              </w:rPr>
            </w:pPr>
            <w:r w:rsidRPr="00EB2995">
              <w:rPr>
                <w:rFonts w:cs="Calibri"/>
                <w:b/>
                <w:bCs/>
                <w:color w:val="000000"/>
                <w:lang w:eastAsia="en-GB"/>
              </w:rPr>
              <w:t>Gross Income</w:t>
            </w:r>
          </w:p>
        </w:tc>
        <w:tc>
          <w:tcPr>
            <w:tcW w:w="1366" w:type="dxa"/>
            <w:tcBorders>
              <w:right w:val="nil"/>
            </w:tcBorders>
            <w:vAlign w:val="center"/>
          </w:tcPr>
          <w:p w:rsidR="00A70A31" w:rsidRPr="00EB2995" w:rsidRDefault="00A70A31" w:rsidP="00A70A31">
            <w:pPr>
              <w:jc w:val="center"/>
              <w:rPr>
                <w:rFonts w:cs="Calibri"/>
                <w:b/>
                <w:bCs/>
                <w:color w:val="000000"/>
                <w:lang w:eastAsia="en-GB"/>
              </w:rPr>
            </w:pPr>
            <w:r w:rsidRPr="00EB2995">
              <w:rPr>
                <w:rFonts w:cs="Calibri"/>
                <w:b/>
                <w:bCs/>
                <w:color w:val="000000"/>
                <w:lang w:eastAsia="en-GB"/>
              </w:rPr>
              <w:t>Net Expenditure</w:t>
            </w:r>
          </w:p>
        </w:tc>
      </w:tr>
      <w:tr w:rsidR="00A70A31" w:rsidRPr="00EB2995" w:rsidTr="00A70A31">
        <w:trPr>
          <w:gridAfter w:val="1"/>
          <w:wAfter w:w="481" w:type="dxa"/>
          <w:trHeight w:hRule="exact" w:val="385"/>
        </w:trPr>
        <w:tc>
          <w:tcPr>
            <w:tcW w:w="1419" w:type="dxa"/>
            <w:tcBorders>
              <w:left w:val="nil"/>
              <w:bottom w:val="single" w:sz="4" w:space="0" w:color="auto"/>
            </w:tcBorders>
            <w:vAlign w:val="center"/>
          </w:tcPr>
          <w:p w:rsidR="00A70A31" w:rsidRPr="00EB2995" w:rsidRDefault="00A70A31" w:rsidP="00A70A31">
            <w:pPr>
              <w:jc w:val="center"/>
              <w:rPr>
                <w:rFonts w:cs="Calibri"/>
                <w:b/>
                <w:bCs/>
                <w:color w:val="000000"/>
                <w:lang w:eastAsia="en-GB"/>
              </w:rPr>
            </w:pPr>
            <w:r w:rsidRPr="00EB2995">
              <w:rPr>
                <w:rFonts w:cs="Calibri"/>
                <w:b/>
                <w:bCs/>
                <w:color w:val="000000"/>
                <w:lang w:eastAsia="en-GB"/>
              </w:rPr>
              <w:t>£m</w:t>
            </w:r>
          </w:p>
        </w:tc>
        <w:tc>
          <w:tcPr>
            <w:tcW w:w="0" w:type="auto"/>
            <w:tcBorders>
              <w:bottom w:val="single" w:sz="4" w:space="0" w:color="auto"/>
            </w:tcBorders>
            <w:vAlign w:val="center"/>
          </w:tcPr>
          <w:p w:rsidR="00A70A31" w:rsidRPr="00EB2995" w:rsidRDefault="00A70A31" w:rsidP="00A70A31">
            <w:pPr>
              <w:jc w:val="center"/>
              <w:rPr>
                <w:rFonts w:cs="Calibri"/>
                <w:b/>
                <w:bCs/>
                <w:color w:val="000000"/>
                <w:lang w:eastAsia="en-GB"/>
              </w:rPr>
            </w:pPr>
            <w:r w:rsidRPr="00EB2995">
              <w:rPr>
                <w:rFonts w:cs="Calibri"/>
                <w:b/>
                <w:bCs/>
                <w:color w:val="000000"/>
                <w:lang w:eastAsia="en-GB"/>
              </w:rPr>
              <w:t>£m</w:t>
            </w:r>
          </w:p>
        </w:tc>
        <w:tc>
          <w:tcPr>
            <w:tcW w:w="1454" w:type="dxa"/>
            <w:tcBorders>
              <w:bottom w:val="single" w:sz="4" w:space="0" w:color="auto"/>
            </w:tcBorders>
            <w:noWrap/>
            <w:vAlign w:val="center"/>
          </w:tcPr>
          <w:p w:rsidR="00A70A31" w:rsidRPr="00EB2995" w:rsidRDefault="00A70A31" w:rsidP="00A70A31">
            <w:pPr>
              <w:jc w:val="center"/>
              <w:rPr>
                <w:rFonts w:cs="Calibri"/>
                <w:b/>
                <w:bCs/>
                <w:color w:val="000000"/>
                <w:lang w:eastAsia="en-GB"/>
              </w:rPr>
            </w:pPr>
            <w:r w:rsidRPr="00EB2995">
              <w:rPr>
                <w:rFonts w:cs="Calibri"/>
                <w:b/>
                <w:bCs/>
                <w:color w:val="000000"/>
                <w:lang w:eastAsia="en-GB"/>
              </w:rPr>
              <w:t>£m</w:t>
            </w:r>
          </w:p>
        </w:tc>
        <w:tc>
          <w:tcPr>
            <w:tcW w:w="0" w:type="auto"/>
            <w:noWrap/>
            <w:vAlign w:val="center"/>
          </w:tcPr>
          <w:p w:rsidR="00A70A31" w:rsidRPr="00EB2995" w:rsidRDefault="00A70A31" w:rsidP="00A70A31">
            <w:pPr>
              <w:jc w:val="center"/>
              <w:rPr>
                <w:rFonts w:cs="Calibri"/>
                <w:b/>
                <w:bCs/>
                <w:color w:val="000000"/>
                <w:lang w:eastAsia="en-GB"/>
              </w:rPr>
            </w:pPr>
          </w:p>
        </w:tc>
        <w:tc>
          <w:tcPr>
            <w:tcW w:w="2484" w:type="dxa"/>
            <w:noWrap/>
            <w:vAlign w:val="center"/>
          </w:tcPr>
          <w:p w:rsidR="00A70A31" w:rsidRPr="00EB2995" w:rsidRDefault="00A70A31" w:rsidP="00A70A31">
            <w:pPr>
              <w:jc w:val="center"/>
              <w:rPr>
                <w:rFonts w:cs="Calibri"/>
                <w:sz w:val="20"/>
                <w:szCs w:val="20"/>
                <w:lang w:eastAsia="en-GB"/>
              </w:rPr>
            </w:pPr>
          </w:p>
        </w:tc>
        <w:tc>
          <w:tcPr>
            <w:tcW w:w="0" w:type="auto"/>
            <w:tcBorders>
              <w:bottom w:val="single" w:sz="4" w:space="0" w:color="auto"/>
            </w:tcBorders>
            <w:noWrap/>
            <w:vAlign w:val="center"/>
          </w:tcPr>
          <w:p w:rsidR="00A70A31" w:rsidRPr="00EB2995" w:rsidRDefault="00A70A31" w:rsidP="00A70A31">
            <w:pPr>
              <w:jc w:val="center"/>
              <w:rPr>
                <w:rFonts w:cs="Calibri"/>
                <w:b/>
                <w:bCs/>
                <w:color w:val="000000"/>
                <w:lang w:eastAsia="en-GB"/>
              </w:rPr>
            </w:pPr>
            <w:r w:rsidRPr="00EB2995">
              <w:rPr>
                <w:rFonts w:cs="Calibri"/>
                <w:b/>
                <w:bCs/>
                <w:color w:val="000000"/>
                <w:lang w:eastAsia="en-GB"/>
              </w:rPr>
              <w:t>£m</w:t>
            </w:r>
          </w:p>
        </w:tc>
        <w:tc>
          <w:tcPr>
            <w:tcW w:w="997" w:type="dxa"/>
            <w:tcBorders>
              <w:bottom w:val="single" w:sz="4" w:space="0" w:color="auto"/>
            </w:tcBorders>
            <w:noWrap/>
            <w:vAlign w:val="center"/>
          </w:tcPr>
          <w:p w:rsidR="00A70A31" w:rsidRPr="00EB2995" w:rsidRDefault="00A70A31" w:rsidP="00A70A31">
            <w:pPr>
              <w:jc w:val="center"/>
              <w:rPr>
                <w:rFonts w:cs="Calibri"/>
                <w:b/>
                <w:bCs/>
                <w:color w:val="000000"/>
                <w:lang w:eastAsia="en-GB"/>
              </w:rPr>
            </w:pPr>
            <w:r w:rsidRPr="00EB2995">
              <w:rPr>
                <w:rFonts w:cs="Calibri"/>
                <w:b/>
                <w:bCs/>
                <w:color w:val="000000"/>
                <w:lang w:eastAsia="en-GB"/>
              </w:rPr>
              <w:t>£m</w:t>
            </w:r>
          </w:p>
        </w:tc>
        <w:tc>
          <w:tcPr>
            <w:tcW w:w="1366" w:type="dxa"/>
            <w:tcBorders>
              <w:bottom w:val="single" w:sz="4" w:space="0" w:color="auto"/>
              <w:right w:val="nil"/>
            </w:tcBorders>
            <w:noWrap/>
            <w:vAlign w:val="center"/>
          </w:tcPr>
          <w:p w:rsidR="00A70A31" w:rsidRPr="00EB2995" w:rsidRDefault="00A70A31" w:rsidP="00A70A31">
            <w:pPr>
              <w:jc w:val="center"/>
              <w:rPr>
                <w:rFonts w:cs="Calibri"/>
                <w:b/>
                <w:bCs/>
                <w:color w:val="000000"/>
                <w:lang w:eastAsia="en-GB"/>
              </w:rPr>
            </w:pPr>
            <w:r w:rsidRPr="00EB2995">
              <w:rPr>
                <w:rFonts w:cs="Calibri"/>
                <w:b/>
                <w:bCs/>
                <w:color w:val="000000"/>
                <w:lang w:eastAsia="en-GB"/>
              </w:rPr>
              <w:t>£m</w:t>
            </w:r>
          </w:p>
        </w:tc>
      </w:tr>
      <w:tr w:rsidR="0073204A" w:rsidRPr="00EB2995" w:rsidTr="00A70A31">
        <w:trPr>
          <w:gridAfter w:val="1"/>
          <w:wAfter w:w="481" w:type="dxa"/>
          <w:trHeight w:hRule="exact" w:val="454"/>
        </w:trPr>
        <w:tc>
          <w:tcPr>
            <w:tcW w:w="1419" w:type="dxa"/>
            <w:tcBorders>
              <w:top w:val="single" w:sz="4" w:space="0" w:color="auto"/>
              <w:left w:val="single" w:sz="4" w:space="0" w:color="auto"/>
              <w:bottom w:val="nil"/>
              <w:right w:val="single" w:sz="8" w:space="0" w:color="auto"/>
            </w:tcBorders>
            <w:vAlign w:val="center"/>
          </w:tcPr>
          <w:p w:rsidR="0073204A" w:rsidRPr="00EB2995" w:rsidRDefault="0073204A" w:rsidP="0073204A">
            <w:pPr>
              <w:jc w:val="center"/>
              <w:rPr>
                <w:rFonts w:cs="Calibri"/>
                <w:bCs/>
                <w:color w:val="000000"/>
              </w:rPr>
            </w:pPr>
            <w:r w:rsidRPr="00EB2995">
              <w:rPr>
                <w:rFonts w:cs="Calibri"/>
                <w:color w:val="000000"/>
              </w:rPr>
              <w:t>9.2</w:t>
            </w:r>
          </w:p>
        </w:tc>
        <w:tc>
          <w:tcPr>
            <w:tcW w:w="0" w:type="auto"/>
            <w:tcBorders>
              <w:top w:val="single" w:sz="4" w:space="0" w:color="auto"/>
              <w:left w:val="single" w:sz="8" w:space="0" w:color="auto"/>
              <w:right w:val="single" w:sz="8" w:space="0" w:color="auto"/>
            </w:tcBorders>
            <w:vAlign w:val="center"/>
          </w:tcPr>
          <w:p w:rsidR="0073204A" w:rsidRPr="00EB2995" w:rsidRDefault="0073204A" w:rsidP="0073204A">
            <w:pPr>
              <w:jc w:val="center"/>
              <w:rPr>
                <w:rFonts w:cs="Calibri"/>
                <w:bCs/>
                <w:color w:val="000000"/>
              </w:rPr>
            </w:pPr>
            <w:r w:rsidRPr="00EB2995">
              <w:rPr>
                <w:rFonts w:cs="Calibri"/>
                <w:color w:val="000000"/>
              </w:rPr>
              <w:t>(1.8)</w:t>
            </w:r>
          </w:p>
        </w:tc>
        <w:tc>
          <w:tcPr>
            <w:tcW w:w="1454" w:type="dxa"/>
            <w:tcBorders>
              <w:top w:val="single" w:sz="4" w:space="0" w:color="auto"/>
              <w:left w:val="single" w:sz="8" w:space="0" w:color="auto"/>
              <w:right w:val="single" w:sz="4" w:space="0" w:color="auto"/>
            </w:tcBorders>
            <w:noWrap/>
            <w:vAlign w:val="center"/>
          </w:tcPr>
          <w:p w:rsidR="0073204A" w:rsidRPr="00EB2995" w:rsidRDefault="0073204A" w:rsidP="0073204A">
            <w:pPr>
              <w:jc w:val="center"/>
              <w:rPr>
                <w:rFonts w:cs="Calibri"/>
                <w:b/>
                <w:color w:val="000000"/>
                <w:lang w:eastAsia="en-GB"/>
              </w:rPr>
            </w:pPr>
            <w:r w:rsidRPr="00EB2995">
              <w:rPr>
                <w:rFonts w:cs="Calibri"/>
                <w:b/>
                <w:bCs/>
                <w:color w:val="000000"/>
              </w:rPr>
              <w:t>7.4</w:t>
            </w:r>
          </w:p>
        </w:tc>
        <w:tc>
          <w:tcPr>
            <w:tcW w:w="0" w:type="auto"/>
            <w:tcBorders>
              <w:left w:val="single" w:sz="4" w:space="0" w:color="auto"/>
            </w:tcBorders>
            <w:noWrap/>
            <w:vAlign w:val="bottom"/>
          </w:tcPr>
          <w:p w:rsidR="0073204A" w:rsidRPr="00EB2995" w:rsidRDefault="0073204A" w:rsidP="0073204A">
            <w:pPr>
              <w:jc w:val="right"/>
              <w:rPr>
                <w:rFonts w:cs="Calibri"/>
                <w:color w:val="000000"/>
                <w:lang w:eastAsia="en-GB"/>
              </w:rPr>
            </w:pPr>
          </w:p>
        </w:tc>
        <w:tc>
          <w:tcPr>
            <w:tcW w:w="2484" w:type="dxa"/>
            <w:tcBorders>
              <w:right w:val="single" w:sz="4" w:space="0" w:color="auto"/>
            </w:tcBorders>
            <w:vAlign w:val="center"/>
          </w:tcPr>
          <w:p w:rsidR="0073204A" w:rsidRPr="00EB2995" w:rsidRDefault="0073204A" w:rsidP="0073204A">
            <w:pPr>
              <w:rPr>
                <w:rFonts w:cs="Calibri"/>
                <w:color w:val="000000"/>
                <w:lang w:eastAsia="en-GB"/>
              </w:rPr>
            </w:pPr>
            <w:r w:rsidRPr="00EB2995">
              <w:rPr>
                <w:rFonts w:cs="Calibri"/>
                <w:color w:val="000000"/>
              </w:rPr>
              <w:t>Assistant Chief Executive</w:t>
            </w:r>
          </w:p>
        </w:tc>
        <w:tc>
          <w:tcPr>
            <w:tcW w:w="0" w:type="auto"/>
            <w:tcBorders>
              <w:top w:val="single" w:sz="4" w:space="0" w:color="auto"/>
              <w:left w:val="single" w:sz="4" w:space="0" w:color="auto"/>
            </w:tcBorders>
            <w:shd w:val="clear" w:color="auto" w:fill="auto"/>
            <w:noWrap/>
            <w:vAlign w:val="center"/>
          </w:tcPr>
          <w:p w:rsidR="0073204A" w:rsidRPr="00EB2995" w:rsidRDefault="0073204A" w:rsidP="0073204A">
            <w:pPr>
              <w:jc w:val="center"/>
              <w:rPr>
                <w:rFonts w:cs="Calibri"/>
                <w:color w:val="000000"/>
                <w:lang w:eastAsia="en-GB"/>
              </w:rPr>
            </w:pPr>
            <w:r>
              <w:rPr>
                <w:rFonts w:cs="Calibri"/>
                <w:color w:val="000000"/>
              </w:rPr>
              <w:t xml:space="preserve">11.8 </w:t>
            </w:r>
          </w:p>
        </w:tc>
        <w:tc>
          <w:tcPr>
            <w:tcW w:w="997" w:type="dxa"/>
            <w:tcBorders>
              <w:top w:val="single" w:sz="4" w:space="0" w:color="auto"/>
              <w:right w:val="single" w:sz="4" w:space="0" w:color="auto"/>
            </w:tcBorders>
            <w:shd w:val="clear" w:color="auto" w:fill="auto"/>
            <w:noWrap/>
            <w:vAlign w:val="center"/>
          </w:tcPr>
          <w:p w:rsidR="0073204A" w:rsidRPr="00EB2995" w:rsidRDefault="0073204A" w:rsidP="0073204A">
            <w:pPr>
              <w:jc w:val="center"/>
              <w:rPr>
                <w:rFonts w:cs="Calibri"/>
                <w:color w:val="000000"/>
              </w:rPr>
            </w:pPr>
            <w:r>
              <w:rPr>
                <w:rFonts w:cs="Calibri"/>
                <w:color w:val="000000"/>
              </w:rPr>
              <w:t>(2.2)</w:t>
            </w:r>
          </w:p>
        </w:tc>
        <w:tc>
          <w:tcPr>
            <w:tcW w:w="1366" w:type="dxa"/>
            <w:tcBorders>
              <w:top w:val="single" w:sz="4" w:space="0" w:color="auto"/>
              <w:left w:val="single" w:sz="4" w:space="0" w:color="auto"/>
              <w:right w:val="single" w:sz="4" w:space="0" w:color="auto"/>
            </w:tcBorders>
            <w:shd w:val="clear" w:color="auto" w:fill="auto"/>
            <w:noWrap/>
            <w:vAlign w:val="center"/>
          </w:tcPr>
          <w:p w:rsidR="0073204A" w:rsidRPr="00EB2995" w:rsidRDefault="0073204A" w:rsidP="0073204A">
            <w:pPr>
              <w:jc w:val="center"/>
              <w:rPr>
                <w:rFonts w:cs="Calibri"/>
                <w:b/>
                <w:bCs/>
                <w:color w:val="000000"/>
              </w:rPr>
            </w:pPr>
            <w:r>
              <w:rPr>
                <w:rFonts w:cs="Calibri"/>
                <w:b/>
                <w:bCs/>
                <w:color w:val="000000"/>
              </w:rPr>
              <w:t xml:space="preserve">9.6 </w:t>
            </w:r>
          </w:p>
        </w:tc>
      </w:tr>
      <w:tr w:rsidR="0073204A" w:rsidRPr="00EB2995" w:rsidTr="007D0E47">
        <w:trPr>
          <w:gridAfter w:val="1"/>
          <w:wAfter w:w="481" w:type="dxa"/>
          <w:trHeight w:hRule="exact" w:val="716"/>
        </w:trPr>
        <w:tc>
          <w:tcPr>
            <w:tcW w:w="1419" w:type="dxa"/>
            <w:tcBorders>
              <w:top w:val="nil"/>
              <w:left w:val="single" w:sz="4" w:space="0" w:color="auto"/>
              <w:bottom w:val="nil"/>
              <w:right w:val="single" w:sz="8" w:space="0" w:color="auto"/>
            </w:tcBorders>
            <w:vAlign w:val="center"/>
          </w:tcPr>
          <w:p w:rsidR="0073204A" w:rsidRPr="00EB2995" w:rsidRDefault="0073204A" w:rsidP="0073204A">
            <w:pPr>
              <w:jc w:val="center"/>
              <w:rPr>
                <w:rFonts w:cs="Calibri"/>
                <w:bCs/>
                <w:color w:val="000000"/>
              </w:rPr>
            </w:pPr>
            <w:r w:rsidRPr="00EB2995">
              <w:rPr>
                <w:rFonts w:cs="Calibri"/>
                <w:color w:val="000000"/>
              </w:rPr>
              <w:t>15.7</w:t>
            </w:r>
          </w:p>
        </w:tc>
        <w:tc>
          <w:tcPr>
            <w:tcW w:w="0" w:type="auto"/>
            <w:tcBorders>
              <w:left w:val="single" w:sz="8" w:space="0" w:color="auto"/>
              <w:right w:val="single" w:sz="8" w:space="0" w:color="auto"/>
            </w:tcBorders>
            <w:vAlign w:val="center"/>
          </w:tcPr>
          <w:p w:rsidR="0073204A" w:rsidRPr="00EB2995" w:rsidRDefault="0073204A" w:rsidP="0073204A">
            <w:pPr>
              <w:jc w:val="center"/>
              <w:rPr>
                <w:rFonts w:cs="Calibri"/>
                <w:bCs/>
                <w:color w:val="000000"/>
              </w:rPr>
            </w:pPr>
            <w:r w:rsidRPr="00EB2995">
              <w:rPr>
                <w:rFonts w:cs="Calibri"/>
                <w:color w:val="000000"/>
              </w:rPr>
              <w:t>(1.1)</w:t>
            </w:r>
          </w:p>
        </w:tc>
        <w:tc>
          <w:tcPr>
            <w:tcW w:w="1454" w:type="dxa"/>
            <w:tcBorders>
              <w:left w:val="single" w:sz="8" w:space="0" w:color="auto"/>
              <w:right w:val="single" w:sz="4" w:space="0" w:color="auto"/>
            </w:tcBorders>
            <w:noWrap/>
            <w:vAlign w:val="center"/>
          </w:tcPr>
          <w:p w:rsidR="0073204A" w:rsidRPr="00EB2995" w:rsidRDefault="0073204A" w:rsidP="0073204A">
            <w:pPr>
              <w:jc w:val="center"/>
              <w:rPr>
                <w:rFonts w:cs="Calibri"/>
                <w:b/>
                <w:color w:val="000000"/>
                <w:lang w:eastAsia="en-GB"/>
              </w:rPr>
            </w:pPr>
            <w:r w:rsidRPr="00EB2995">
              <w:rPr>
                <w:rFonts w:cs="Calibri"/>
                <w:b/>
                <w:bCs/>
                <w:color w:val="000000"/>
              </w:rPr>
              <w:t>14.6</w:t>
            </w:r>
          </w:p>
        </w:tc>
        <w:tc>
          <w:tcPr>
            <w:tcW w:w="0" w:type="auto"/>
            <w:tcBorders>
              <w:left w:val="single" w:sz="4" w:space="0" w:color="auto"/>
            </w:tcBorders>
            <w:noWrap/>
            <w:vAlign w:val="bottom"/>
          </w:tcPr>
          <w:p w:rsidR="0073204A" w:rsidRPr="00EB2995" w:rsidRDefault="0073204A" w:rsidP="0073204A">
            <w:pPr>
              <w:jc w:val="right"/>
              <w:rPr>
                <w:rFonts w:cs="Calibri"/>
                <w:color w:val="000000"/>
                <w:lang w:eastAsia="en-GB"/>
              </w:rPr>
            </w:pPr>
          </w:p>
        </w:tc>
        <w:tc>
          <w:tcPr>
            <w:tcW w:w="2484" w:type="dxa"/>
            <w:tcBorders>
              <w:right w:val="single" w:sz="4" w:space="0" w:color="auto"/>
            </w:tcBorders>
            <w:vAlign w:val="bottom"/>
          </w:tcPr>
          <w:p w:rsidR="0073204A" w:rsidRPr="00EB2995" w:rsidRDefault="0073204A" w:rsidP="0073204A">
            <w:pPr>
              <w:rPr>
                <w:rFonts w:cs="Calibri"/>
                <w:color w:val="000000"/>
                <w:lang w:eastAsia="en-GB"/>
              </w:rPr>
            </w:pPr>
            <w:r w:rsidRPr="00EB2995">
              <w:rPr>
                <w:rFonts w:cs="Calibri"/>
                <w:color w:val="000000"/>
              </w:rPr>
              <w:t>Chief Executive Department</w:t>
            </w:r>
          </w:p>
        </w:tc>
        <w:tc>
          <w:tcPr>
            <w:tcW w:w="0" w:type="auto"/>
            <w:tcBorders>
              <w:left w:val="single" w:sz="4" w:space="0" w:color="auto"/>
            </w:tcBorders>
            <w:shd w:val="clear" w:color="auto" w:fill="auto"/>
            <w:noWrap/>
            <w:vAlign w:val="center"/>
          </w:tcPr>
          <w:p w:rsidR="0073204A" w:rsidRPr="00EB2995" w:rsidRDefault="0073204A" w:rsidP="0073204A">
            <w:pPr>
              <w:jc w:val="center"/>
              <w:rPr>
                <w:rFonts w:cs="Calibri"/>
                <w:color w:val="000000"/>
              </w:rPr>
            </w:pPr>
            <w:r>
              <w:rPr>
                <w:rFonts w:cs="Calibri"/>
                <w:color w:val="000000"/>
              </w:rPr>
              <w:t xml:space="preserve">20.1 </w:t>
            </w:r>
          </w:p>
        </w:tc>
        <w:tc>
          <w:tcPr>
            <w:tcW w:w="997" w:type="dxa"/>
            <w:tcBorders>
              <w:right w:val="single" w:sz="4" w:space="0" w:color="auto"/>
            </w:tcBorders>
            <w:shd w:val="clear" w:color="auto" w:fill="auto"/>
            <w:noWrap/>
            <w:vAlign w:val="center"/>
          </w:tcPr>
          <w:p w:rsidR="0073204A" w:rsidRPr="00EB2995" w:rsidRDefault="0073204A" w:rsidP="0073204A">
            <w:pPr>
              <w:jc w:val="center"/>
              <w:rPr>
                <w:rFonts w:cs="Calibri"/>
                <w:color w:val="000000"/>
              </w:rPr>
            </w:pPr>
            <w:r>
              <w:rPr>
                <w:rFonts w:cs="Calibri"/>
                <w:color w:val="000000"/>
              </w:rPr>
              <w:t>(0.9)</w:t>
            </w:r>
          </w:p>
        </w:tc>
        <w:tc>
          <w:tcPr>
            <w:tcW w:w="1366" w:type="dxa"/>
            <w:tcBorders>
              <w:left w:val="single" w:sz="4" w:space="0" w:color="auto"/>
              <w:right w:val="single" w:sz="4" w:space="0" w:color="auto"/>
            </w:tcBorders>
            <w:shd w:val="clear" w:color="auto" w:fill="auto"/>
            <w:noWrap/>
            <w:vAlign w:val="center"/>
          </w:tcPr>
          <w:p w:rsidR="0073204A" w:rsidRPr="00EB2995" w:rsidRDefault="0073204A" w:rsidP="0073204A">
            <w:pPr>
              <w:jc w:val="center"/>
              <w:rPr>
                <w:rFonts w:cs="Calibri"/>
                <w:b/>
                <w:bCs/>
                <w:color w:val="000000"/>
              </w:rPr>
            </w:pPr>
            <w:r>
              <w:rPr>
                <w:rFonts w:cs="Calibri"/>
                <w:b/>
                <w:bCs/>
                <w:color w:val="000000"/>
              </w:rPr>
              <w:t xml:space="preserve">19.2 </w:t>
            </w:r>
          </w:p>
        </w:tc>
      </w:tr>
      <w:tr w:rsidR="0073204A" w:rsidRPr="00EB2995" w:rsidTr="007D0E47">
        <w:trPr>
          <w:gridAfter w:val="1"/>
          <w:wAfter w:w="481" w:type="dxa"/>
          <w:trHeight w:hRule="exact" w:val="713"/>
        </w:trPr>
        <w:tc>
          <w:tcPr>
            <w:tcW w:w="1419" w:type="dxa"/>
            <w:tcBorders>
              <w:top w:val="nil"/>
              <w:left w:val="single" w:sz="4" w:space="0" w:color="auto"/>
              <w:bottom w:val="nil"/>
              <w:right w:val="single" w:sz="8" w:space="0" w:color="auto"/>
            </w:tcBorders>
            <w:vAlign w:val="center"/>
          </w:tcPr>
          <w:p w:rsidR="0073204A" w:rsidRPr="00EB2995" w:rsidRDefault="0073204A" w:rsidP="0073204A">
            <w:pPr>
              <w:jc w:val="center"/>
              <w:rPr>
                <w:rFonts w:cs="Calibri"/>
                <w:bCs/>
                <w:color w:val="000000"/>
              </w:rPr>
            </w:pPr>
            <w:r w:rsidRPr="00EB2995">
              <w:rPr>
                <w:rFonts w:cs="Calibri"/>
                <w:color w:val="000000"/>
              </w:rPr>
              <w:t>76.0</w:t>
            </w:r>
          </w:p>
        </w:tc>
        <w:tc>
          <w:tcPr>
            <w:tcW w:w="0" w:type="auto"/>
            <w:tcBorders>
              <w:left w:val="single" w:sz="8" w:space="0" w:color="auto"/>
              <w:right w:val="single" w:sz="8" w:space="0" w:color="auto"/>
            </w:tcBorders>
            <w:vAlign w:val="center"/>
          </w:tcPr>
          <w:p w:rsidR="0073204A" w:rsidRPr="00EB2995" w:rsidRDefault="0073204A" w:rsidP="0073204A">
            <w:pPr>
              <w:jc w:val="center"/>
              <w:rPr>
                <w:rFonts w:cs="Calibri"/>
                <w:bCs/>
                <w:color w:val="000000"/>
              </w:rPr>
            </w:pPr>
            <w:r w:rsidRPr="00EB2995">
              <w:rPr>
                <w:rFonts w:cs="Calibri"/>
                <w:color w:val="000000"/>
              </w:rPr>
              <w:t>(24.2)</w:t>
            </w:r>
          </w:p>
        </w:tc>
        <w:tc>
          <w:tcPr>
            <w:tcW w:w="1454" w:type="dxa"/>
            <w:tcBorders>
              <w:left w:val="single" w:sz="8" w:space="0" w:color="auto"/>
              <w:right w:val="single" w:sz="4" w:space="0" w:color="auto"/>
            </w:tcBorders>
            <w:noWrap/>
            <w:vAlign w:val="center"/>
          </w:tcPr>
          <w:p w:rsidR="0073204A" w:rsidRPr="00EB2995" w:rsidRDefault="0073204A" w:rsidP="0073204A">
            <w:pPr>
              <w:jc w:val="center"/>
              <w:rPr>
                <w:rFonts w:cs="Calibri"/>
                <w:b/>
                <w:color w:val="000000"/>
                <w:lang w:eastAsia="en-GB"/>
              </w:rPr>
            </w:pPr>
            <w:r w:rsidRPr="00EB2995">
              <w:rPr>
                <w:rFonts w:cs="Calibri"/>
                <w:b/>
                <w:bCs/>
                <w:color w:val="000000"/>
              </w:rPr>
              <w:t>51.8</w:t>
            </w:r>
          </w:p>
        </w:tc>
        <w:tc>
          <w:tcPr>
            <w:tcW w:w="0" w:type="auto"/>
            <w:tcBorders>
              <w:left w:val="single" w:sz="4" w:space="0" w:color="auto"/>
            </w:tcBorders>
            <w:noWrap/>
            <w:vAlign w:val="bottom"/>
          </w:tcPr>
          <w:p w:rsidR="0073204A" w:rsidRPr="00EB2995" w:rsidRDefault="0073204A" w:rsidP="0073204A">
            <w:pPr>
              <w:jc w:val="right"/>
              <w:rPr>
                <w:rFonts w:cs="Calibri"/>
                <w:color w:val="000000"/>
                <w:lang w:eastAsia="en-GB"/>
              </w:rPr>
            </w:pPr>
          </w:p>
        </w:tc>
        <w:tc>
          <w:tcPr>
            <w:tcW w:w="2484" w:type="dxa"/>
            <w:tcBorders>
              <w:right w:val="single" w:sz="4" w:space="0" w:color="auto"/>
            </w:tcBorders>
            <w:vAlign w:val="center"/>
          </w:tcPr>
          <w:p w:rsidR="0073204A" w:rsidRPr="00EB2995" w:rsidRDefault="0073204A" w:rsidP="0073204A">
            <w:pPr>
              <w:rPr>
                <w:rFonts w:cs="Calibri"/>
                <w:color w:val="000000"/>
                <w:lang w:eastAsia="en-GB"/>
              </w:rPr>
            </w:pPr>
            <w:r w:rsidRPr="00EB2995">
              <w:rPr>
                <w:rFonts w:cs="Calibri"/>
                <w:color w:val="000000"/>
              </w:rPr>
              <w:t>Children &amp; Young People (GF)</w:t>
            </w:r>
          </w:p>
        </w:tc>
        <w:tc>
          <w:tcPr>
            <w:tcW w:w="0" w:type="auto"/>
            <w:tcBorders>
              <w:left w:val="single" w:sz="4" w:space="0" w:color="auto"/>
            </w:tcBorders>
            <w:shd w:val="clear" w:color="auto" w:fill="auto"/>
            <w:noWrap/>
            <w:vAlign w:val="center"/>
          </w:tcPr>
          <w:p w:rsidR="0073204A" w:rsidRPr="00EB2995" w:rsidRDefault="0073204A" w:rsidP="0073204A">
            <w:pPr>
              <w:jc w:val="center"/>
              <w:rPr>
                <w:rFonts w:cs="Calibri"/>
                <w:color w:val="000000"/>
              </w:rPr>
            </w:pPr>
            <w:r>
              <w:rPr>
                <w:rFonts w:cs="Calibri"/>
                <w:color w:val="000000"/>
              </w:rPr>
              <w:t xml:space="preserve">80.6 </w:t>
            </w:r>
          </w:p>
        </w:tc>
        <w:tc>
          <w:tcPr>
            <w:tcW w:w="997" w:type="dxa"/>
            <w:tcBorders>
              <w:right w:val="single" w:sz="4" w:space="0" w:color="auto"/>
            </w:tcBorders>
            <w:shd w:val="clear" w:color="auto" w:fill="auto"/>
            <w:noWrap/>
            <w:vAlign w:val="center"/>
          </w:tcPr>
          <w:p w:rsidR="0073204A" w:rsidRPr="00EB2995" w:rsidRDefault="0073204A" w:rsidP="0073204A">
            <w:pPr>
              <w:jc w:val="center"/>
              <w:rPr>
                <w:rFonts w:cs="Calibri"/>
                <w:color w:val="000000"/>
              </w:rPr>
            </w:pPr>
            <w:r>
              <w:rPr>
                <w:rFonts w:cs="Calibri"/>
                <w:color w:val="000000"/>
              </w:rPr>
              <w:t>(30.2)</w:t>
            </w:r>
          </w:p>
        </w:tc>
        <w:tc>
          <w:tcPr>
            <w:tcW w:w="1366" w:type="dxa"/>
            <w:tcBorders>
              <w:left w:val="single" w:sz="4" w:space="0" w:color="auto"/>
              <w:right w:val="single" w:sz="4" w:space="0" w:color="auto"/>
            </w:tcBorders>
            <w:shd w:val="clear" w:color="auto" w:fill="auto"/>
            <w:noWrap/>
            <w:vAlign w:val="center"/>
          </w:tcPr>
          <w:p w:rsidR="0073204A" w:rsidRPr="00EB2995" w:rsidRDefault="0073204A" w:rsidP="0073204A">
            <w:pPr>
              <w:jc w:val="center"/>
              <w:rPr>
                <w:rFonts w:cs="Calibri"/>
                <w:b/>
                <w:bCs/>
                <w:color w:val="000000"/>
              </w:rPr>
            </w:pPr>
            <w:r>
              <w:rPr>
                <w:rFonts w:cs="Calibri"/>
                <w:b/>
                <w:bCs/>
                <w:color w:val="000000"/>
              </w:rPr>
              <w:t xml:space="preserve">50.4 </w:t>
            </w:r>
          </w:p>
        </w:tc>
      </w:tr>
      <w:tr w:rsidR="0073204A" w:rsidRPr="00EB2995" w:rsidTr="007D0E47">
        <w:trPr>
          <w:gridAfter w:val="1"/>
          <w:wAfter w:w="481" w:type="dxa"/>
          <w:trHeight w:hRule="exact" w:val="566"/>
        </w:trPr>
        <w:tc>
          <w:tcPr>
            <w:tcW w:w="1419" w:type="dxa"/>
            <w:tcBorders>
              <w:top w:val="nil"/>
              <w:left w:val="single" w:sz="4" w:space="0" w:color="auto"/>
              <w:bottom w:val="nil"/>
              <w:right w:val="single" w:sz="8" w:space="0" w:color="auto"/>
            </w:tcBorders>
            <w:vAlign w:val="center"/>
          </w:tcPr>
          <w:p w:rsidR="0073204A" w:rsidRPr="00EB2995" w:rsidRDefault="0073204A" w:rsidP="0073204A">
            <w:pPr>
              <w:jc w:val="center"/>
              <w:rPr>
                <w:rFonts w:cs="Calibri"/>
                <w:bCs/>
                <w:color w:val="000000"/>
              </w:rPr>
            </w:pPr>
            <w:r w:rsidRPr="00EB2995">
              <w:rPr>
                <w:rFonts w:cs="Calibri"/>
                <w:color w:val="000000"/>
              </w:rPr>
              <w:t>233.9</w:t>
            </w:r>
          </w:p>
        </w:tc>
        <w:tc>
          <w:tcPr>
            <w:tcW w:w="0" w:type="auto"/>
            <w:tcBorders>
              <w:left w:val="single" w:sz="8" w:space="0" w:color="auto"/>
              <w:right w:val="single" w:sz="8" w:space="0" w:color="auto"/>
            </w:tcBorders>
            <w:vAlign w:val="center"/>
          </w:tcPr>
          <w:p w:rsidR="0073204A" w:rsidRPr="00EB2995" w:rsidRDefault="0073204A" w:rsidP="0073204A">
            <w:pPr>
              <w:jc w:val="center"/>
              <w:rPr>
                <w:rFonts w:cs="Calibri"/>
                <w:bCs/>
                <w:color w:val="000000"/>
              </w:rPr>
            </w:pPr>
            <w:r w:rsidRPr="00EB2995">
              <w:rPr>
                <w:rFonts w:cs="Calibri"/>
                <w:color w:val="000000"/>
              </w:rPr>
              <w:t>(213.4)</w:t>
            </w:r>
          </w:p>
        </w:tc>
        <w:tc>
          <w:tcPr>
            <w:tcW w:w="1454" w:type="dxa"/>
            <w:tcBorders>
              <w:left w:val="single" w:sz="8" w:space="0" w:color="auto"/>
              <w:right w:val="single" w:sz="4" w:space="0" w:color="auto"/>
            </w:tcBorders>
            <w:noWrap/>
            <w:vAlign w:val="center"/>
          </w:tcPr>
          <w:p w:rsidR="0073204A" w:rsidRPr="00EB2995" w:rsidRDefault="0073204A" w:rsidP="0073204A">
            <w:pPr>
              <w:jc w:val="center"/>
              <w:rPr>
                <w:rFonts w:cs="Calibri"/>
                <w:b/>
                <w:color w:val="000000"/>
                <w:lang w:eastAsia="en-GB"/>
              </w:rPr>
            </w:pPr>
            <w:r w:rsidRPr="00EB2995">
              <w:rPr>
                <w:rFonts w:cs="Calibri"/>
                <w:b/>
                <w:bCs/>
                <w:color w:val="000000"/>
              </w:rPr>
              <w:t>20.5</w:t>
            </w:r>
          </w:p>
        </w:tc>
        <w:tc>
          <w:tcPr>
            <w:tcW w:w="0" w:type="auto"/>
            <w:tcBorders>
              <w:left w:val="single" w:sz="4" w:space="0" w:color="auto"/>
            </w:tcBorders>
            <w:noWrap/>
            <w:vAlign w:val="bottom"/>
          </w:tcPr>
          <w:p w:rsidR="0073204A" w:rsidRPr="00EB2995" w:rsidRDefault="0073204A" w:rsidP="0073204A">
            <w:pPr>
              <w:jc w:val="right"/>
              <w:rPr>
                <w:rFonts w:cs="Calibri"/>
                <w:color w:val="000000"/>
                <w:lang w:eastAsia="en-GB"/>
              </w:rPr>
            </w:pPr>
          </w:p>
        </w:tc>
        <w:tc>
          <w:tcPr>
            <w:tcW w:w="2484" w:type="dxa"/>
            <w:tcBorders>
              <w:right w:val="single" w:sz="4" w:space="0" w:color="auto"/>
            </w:tcBorders>
            <w:vAlign w:val="center"/>
          </w:tcPr>
          <w:p w:rsidR="0073204A" w:rsidRPr="00EB2995" w:rsidRDefault="0073204A" w:rsidP="0073204A">
            <w:pPr>
              <w:rPr>
                <w:rFonts w:cs="Calibri"/>
                <w:color w:val="000000"/>
                <w:lang w:eastAsia="en-GB"/>
              </w:rPr>
            </w:pPr>
            <w:r w:rsidRPr="00EB2995">
              <w:rPr>
                <w:rFonts w:cs="Calibri"/>
                <w:color w:val="000000"/>
              </w:rPr>
              <w:t>Children &amp; Young People (DSG)</w:t>
            </w:r>
          </w:p>
        </w:tc>
        <w:tc>
          <w:tcPr>
            <w:tcW w:w="0" w:type="auto"/>
            <w:tcBorders>
              <w:left w:val="single" w:sz="4" w:space="0" w:color="auto"/>
            </w:tcBorders>
            <w:shd w:val="clear" w:color="auto" w:fill="auto"/>
            <w:noWrap/>
            <w:vAlign w:val="center"/>
          </w:tcPr>
          <w:p w:rsidR="0073204A" w:rsidRPr="00EB2995" w:rsidRDefault="0073204A" w:rsidP="0073204A">
            <w:pPr>
              <w:jc w:val="center"/>
              <w:rPr>
                <w:rFonts w:cs="Calibri"/>
                <w:color w:val="000000"/>
              </w:rPr>
            </w:pPr>
            <w:r>
              <w:rPr>
                <w:rFonts w:cs="Calibri"/>
                <w:color w:val="000000"/>
              </w:rPr>
              <w:t>233.8</w:t>
            </w:r>
          </w:p>
        </w:tc>
        <w:tc>
          <w:tcPr>
            <w:tcW w:w="997" w:type="dxa"/>
            <w:tcBorders>
              <w:right w:val="single" w:sz="4" w:space="0" w:color="auto"/>
            </w:tcBorders>
            <w:shd w:val="clear" w:color="auto" w:fill="auto"/>
            <w:noWrap/>
            <w:vAlign w:val="center"/>
          </w:tcPr>
          <w:p w:rsidR="0073204A" w:rsidRPr="00EB2995" w:rsidRDefault="0073204A" w:rsidP="0073204A">
            <w:pPr>
              <w:jc w:val="center"/>
              <w:rPr>
                <w:rFonts w:cs="Calibri"/>
                <w:color w:val="000000"/>
              </w:rPr>
            </w:pPr>
            <w:r>
              <w:rPr>
                <w:rFonts w:cs="Calibri"/>
                <w:color w:val="000000"/>
              </w:rPr>
              <w:t>(202.3)</w:t>
            </w:r>
          </w:p>
        </w:tc>
        <w:tc>
          <w:tcPr>
            <w:tcW w:w="1366" w:type="dxa"/>
            <w:tcBorders>
              <w:left w:val="single" w:sz="4" w:space="0" w:color="auto"/>
              <w:right w:val="single" w:sz="4" w:space="0" w:color="auto"/>
            </w:tcBorders>
            <w:shd w:val="clear" w:color="auto" w:fill="auto"/>
            <w:noWrap/>
            <w:vAlign w:val="center"/>
          </w:tcPr>
          <w:p w:rsidR="0073204A" w:rsidRPr="00EB2995" w:rsidRDefault="0073204A" w:rsidP="0073204A">
            <w:pPr>
              <w:jc w:val="center"/>
              <w:rPr>
                <w:rFonts w:cs="Calibri"/>
                <w:b/>
                <w:bCs/>
                <w:color w:val="000000"/>
              </w:rPr>
            </w:pPr>
            <w:r>
              <w:rPr>
                <w:rFonts w:cs="Calibri"/>
                <w:b/>
                <w:bCs/>
                <w:color w:val="000000"/>
              </w:rPr>
              <w:t>31.5</w:t>
            </w:r>
          </w:p>
        </w:tc>
      </w:tr>
      <w:tr w:rsidR="0073204A" w:rsidRPr="00EB2995" w:rsidTr="007D0E47">
        <w:trPr>
          <w:gridAfter w:val="1"/>
          <w:wAfter w:w="481" w:type="dxa"/>
          <w:trHeight w:hRule="exact" w:val="560"/>
        </w:trPr>
        <w:tc>
          <w:tcPr>
            <w:tcW w:w="1419" w:type="dxa"/>
            <w:tcBorders>
              <w:top w:val="nil"/>
              <w:left w:val="single" w:sz="4" w:space="0" w:color="auto"/>
              <w:bottom w:val="nil"/>
              <w:right w:val="single" w:sz="8" w:space="0" w:color="auto"/>
            </w:tcBorders>
            <w:vAlign w:val="center"/>
          </w:tcPr>
          <w:p w:rsidR="0073204A" w:rsidRPr="00EB2995" w:rsidRDefault="0073204A" w:rsidP="0073204A">
            <w:pPr>
              <w:jc w:val="center"/>
              <w:rPr>
                <w:rFonts w:cs="Calibri"/>
                <w:bCs/>
                <w:color w:val="000000"/>
              </w:rPr>
            </w:pPr>
            <w:r w:rsidRPr="00EB2995">
              <w:rPr>
                <w:rFonts w:cs="Calibri"/>
                <w:color w:val="000000"/>
              </w:rPr>
              <w:t>216.3</w:t>
            </w:r>
          </w:p>
        </w:tc>
        <w:tc>
          <w:tcPr>
            <w:tcW w:w="0" w:type="auto"/>
            <w:tcBorders>
              <w:left w:val="single" w:sz="8" w:space="0" w:color="auto"/>
              <w:right w:val="single" w:sz="8" w:space="0" w:color="auto"/>
            </w:tcBorders>
            <w:vAlign w:val="center"/>
          </w:tcPr>
          <w:p w:rsidR="0073204A" w:rsidRPr="00EB2995" w:rsidRDefault="0073204A" w:rsidP="0073204A">
            <w:pPr>
              <w:jc w:val="center"/>
              <w:rPr>
                <w:rFonts w:cs="Calibri"/>
                <w:bCs/>
                <w:color w:val="000000"/>
              </w:rPr>
            </w:pPr>
            <w:r w:rsidRPr="00EB2995">
              <w:rPr>
                <w:rFonts w:cs="Calibri"/>
                <w:color w:val="000000"/>
              </w:rPr>
              <w:t>(92.5)</w:t>
            </w:r>
          </w:p>
        </w:tc>
        <w:tc>
          <w:tcPr>
            <w:tcW w:w="1454" w:type="dxa"/>
            <w:tcBorders>
              <w:left w:val="single" w:sz="8" w:space="0" w:color="auto"/>
              <w:right w:val="single" w:sz="4" w:space="0" w:color="auto"/>
            </w:tcBorders>
            <w:noWrap/>
            <w:vAlign w:val="center"/>
          </w:tcPr>
          <w:p w:rsidR="0073204A" w:rsidRPr="00EB2995" w:rsidRDefault="0073204A" w:rsidP="0073204A">
            <w:pPr>
              <w:jc w:val="center"/>
              <w:rPr>
                <w:rFonts w:cs="Calibri"/>
                <w:b/>
                <w:color w:val="000000"/>
                <w:lang w:eastAsia="en-GB"/>
              </w:rPr>
            </w:pPr>
            <w:r w:rsidRPr="00EB2995">
              <w:rPr>
                <w:rFonts w:cs="Calibri"/>
                <w:b/>
                <w:bCs/>
                <w:color w:val="000000"/>
              </w:rPr>
              <w:t>123.8</w:t>
            </w:r>
          </w:p>
        </w:tc>
        <w:tc>
          <w:tcPr>
            <w:tcW w:w="0" w:type="auto"/>
            <w:tcBorders>
              <w:left w:val="single" w:sz="4" w:space="0" w:color="auto"/>
            </w:tcBorders>
            <w:noWrap/>
            <w:vAlign w:val="bottom"/>
          </w:tcPr>
          <w:p w:rsidR="0073204A" w:rsidRPr="00EB2995" w:rsidRDefault="0073204A" w:rsidP="0073204A">
            <w:pPr>
              <w:jc w:val="right"/>
              <w:rPr>
                <w:rFonts w:cs="Calibri"/>
                <w:color w:val="000000"/>
                <w:lang w:eastAsia="en-GB"/>
              </w:rPr>
            </w:pPr>
          </w:p>
        </w:tc>
        <w:tc>
          <w:tcPr>
            <w:tcW w:w="2484" w:type="dxa"/>
            <w:tcBorders>
              <w:right w:val="single" w:sz="4" w:space="0" w:color="auto"/>
            </w:tcBorders>
            <w:vAlign w:val="center"/>
          </w:tcPr>
          <w:p w:rsidR="0073204A" w:rsidRPr="00EB2995" w:rsidRDefault="0073204A" w:rsidP="0073204A">
            <w:pPr>
              <w:rPr>
                <w:rFonts w:cs="Calibri"/>
                <w:color w:val="000000"/>
                <w:lang w:eastAsia="en-GB"/>
              </w:rPr>
            </w:pPr>
            <w:r w:rsidRPr="00EB2995">
              <w:rPr>
                <w:rFonts w:cs="Calibri"/>
                <w:color w:val="000000"/>
              </w:rPr>
              <w:t>Community Wellbeing (GF)</w:t>
            </w:r>
          </w:p>
        </w:tc>
        <w:tc>
          <w:tcPr>
            <w:tcW w:w="0" w:type="auto"/>
            <w:tcBorders>
              <w:left w:val="single" w:sz="4" w:space="0" w:color="auto"/>
            </w:tcBorders>
            <w:shd w:val="clear" w:color="auto" w:fill="auto"/>
            <w:noWrap/>
            <w:vAlign w:val="center"/>
          </w:tcPr>
          <w:p w:rsidR="0073204A" w:rsidRPr="00EB2995" w:rsidRDefault="0073204A" w:rsidP="0073204A">
            <w:pPr>
              <w:jc w:val="center"/>
              <w:rPr>
                <w:rFonts w:cs="Calibri"/>
                <w:color w:val="000000"/>
              </w:rPr>
            </w:pPr>
            <w:r>
              <w:rPr>
                <w:rFonts w:cs="Calibri"/>
                <w:color w:val="000000"/>
              </w:rPr>
              <w:t xml:space="preserve">233.2 </w:t>
            </w:r>
          </w:p>
        </w:tc>
        <w:tc>
          <w:tcPr>
            <w:tcW w:w="997" w:type="dxa"/>
            <w:tcBorders>
              <w:right w:val="single" w:sz="4" w:space="0" w:color="auto"/>
            </w:tcBorders>
            <w:shd w:val="clear" w:color="auto" w:fill="auto"/>
            <w:noWrap/>
            <w:vAlign w:val="center"/>
          </w:tcPr>
          <w:p w:rsidR="0073204A" w:rsidRPr="00EB2995" w:rsidRDefault="0073204A" w:rsidP="0073204A">
            <w:pPr>
              <w:jc w:val="center"/>
              <w:rPr>
                <w:rFonts w:cs="Calibri"/>
                <w:color w:val="000000"/>
              </w:rPr>
            </w:pPr>
            <w:r>
              <w:rPr>
                <w:rFonts w:cs="Calibri"/>
                <w:color w:val="000000"/>
              </w:rPr>
              <w:t>(82.4)</w:t>
            </w:r>
          </w:p>
        </w:tc>
        <w:tc>
          <w:tcPr>
            <w:tcW w:w="1366" w:type="dxa"/>
            <w:tcBorders>
              <w:left w:val="single" w:sz="4" w:space="0" w:color="auto"/>
              <w:right w:val="single" w:sz="4" w:space="0" w:color="auto"/>
            </w:tcBorders>
            <w:shd w:val="clear" w:color="auto" w:fill="auto"/>
            <w:noWrap/>
            <w:vAlign w:val="center"/>
          </w:tcPr>
          <w:p w:rsidR="0073204A" w:rsidRPr="00EB2995" w:rsidRDefault="0073204A" w:rsidP="0073204A">
            <w:pPr>
              <w:jc w:val="center"/>
              <w:rPr>
                <w:rFonts w:cs="Calibri"/>
                <w:b/>
                <w:bCs/>
                <w:color w:val="000000"/>
              </w:rPr>
            </w:pPr>
            <w:r>
              <w:rPr>
                <w:rFonts w:cs="Calibri"/>
                <w:b/>
                <w:bCs/>
                <w:color w:val="000000"/>
              </w:rPr>
              <w:t xml:space="preserve">150.8 </w:t>
            </w:r>
          </w:p>
        </w:tc>
      </w:tr>
      <w:tr w:rsidR="0073204A" w:rsidRPr="00EB2995" w:rsidTr="007D0E47">
        <w:trPr>
          <w:gridAfter w:val="1"/>
          <w:wAfter w:w="481" w:type="dxa"/>
          <w:trHeight w:hRule="exact" w:val="569"/>
        </w:trPr>
        <w:tc>
          <w:tcPr>
            <w:tcW w:w="1419" w:type="dxa"/>
            <w:tcBorders>
              <w:top w:val="nil"/>
              <w:left w:val="single" w:sz="4" w:space="0" w:color="auto"/>
              <w:bottom w:val="nil"/>
              <w:right w:val="single" w:sz="8" w:space="0" w:color="auto"/>
            </w:tcBorders>
            <w:vAlign w:val="center"/>
          </w:tcPr>
          <w:p w:rsidR="0073204A" w:rsidRPr="00EB2995" w:rsidRDefault="0073204A" w:rsidP="0073204A">
            <w:pPr>
              <w:jc w:val="center"/>
              <w:rPr>
                <w:rFonts w:cs="Calibri"/>
                <w:bCs/>
                <w:color w:val="000000"/>
              </w:rPr>
            </w:pPr>
            <w:r w:rsidRPr="00EB2995">
              <w:rPr>
                <w:rFonts w:cs="Calibri"/>
                <w:color w:val="000000"/>
              </w:rPr>
              <w:t>76.2</w:t>
            </w:r>
          </w:p>
        </w:tc>
        <w:tc>
          <w:tcPr>
            <w:tcW w:w="0" w:type="auto"/>
            <w:tcBorders>
              <w:left w:val="single" w:sz="8" w:space="0" w:color="auto"/>
              <w:right w:val="single" w:sz="8" w:space="0" w:color="auto"/>
            </w:tcBorders>
            <w:vAlign w:val="center"/>
          </w:tcPr>
          <w:p w:rsidR="0073204A" w:rsidRPr="00EB2995" w:rsidRDefault="0073204A" w:rsidP="0073204A">
            <w:pPr>
              <w:jc w:val="center"/>
              <w:rPr>
                <w:rFonts w:cs="Calibri"/>
                <w:bCs/>
                <w:color w:val="000000"/>
              </w:rPr>
            </w:pPr>
            <w:r w:rsidRPr="00EB2995">
              <w:rPr>
                <w:rFonts w:cs="Calibri"/>
                <w:color w:val="000000"/>
              </w:rPr>
              <w:t>(58.0)</w:t>
            </w:r>
          </w:p>
        </w:tc>
        <w:tc>
          <w:tcPr>
            <w:tcW w:w="1454" w:type="dxa"/>
            <w:tcBorders>
              <w:left w:val="single" w:sz="8" w:space="0" w:color="auto"/>
              <w:right w:val="single" w:sz="4" w:space="0" w:color="auto"/>
            </w:tcBorders>
            <w:noWrap/>
            <w:vAlign w:val="center"/>
          </w:tcPr>
          <w:p w:rsidR="0073204A" w:rsidRPr="00EB2995" w:rsidRDefault="0073204A" w:rsidP="0073204A">
            <w:pPr>
              <w:jc w:val="center"/>
              <w:rPr>
                <w:rFonts w:cs="Calibri"/>
                <w:b/>
                <w:color w:val="000000"/>
                <w:lang w:eastAsia="en-GB"/>
              </w:rPr>
            </w:pPr>
            <w:r w:rsidRPr="00EB2995">
              <w:rPr>
                <w:rFonts w:cs="Calibri"/>
                <w:b/>
                <w:bCs/>
                <w:color w:val="000000"/>
              </w:rPr>
              <w:t>18.2</w:t>
            </w:r>
          </w:p>
        </w:tc>
        <w:tc>
          <w:tcPr>
            <w:tcW w:w="0" w:type="auto"/>
            <w:tcBorders>
              <w:left w:val="single" w:sz="4" w:space="0" w:color="auto"/>
            </w:tcBorders>
            <w:noWrap/>
            <w:vAlign w:val="bottom"/>
          </w:tcPr>
          <w:p w:rsidR="0073204A" w:rsidRPr="00EB2995" w:rsidRDefault="0073204A" w:rsidP="0073204A">
            <w:pPr>
              <w:jc w:val="right"/>
              <w:rPr>
                <w:rFonts w:cs="Calibri"/>
                <w:color w:val="000000"/>
                <w:lang w:eastAsia="en-GB"/>
              </w:rPr>
            </w:pPr>
          </w:p>
        </w:tc>
        <w:tc>
          <w:tcPr>
            <w:tcW w:w="2484" w:type="dxa"/>
            <w:tcBorders>
              <w:right w:val="single" w:sz="4" w:space="0" w:color="auto"/>
            </w:tcBorders>
            <w:vAlign w:val="center"/>
          </w:tcPr>
          <w:p w:rsidR="0073204A" w:rsidRPr="00EB2995" w:rsidRDefault="0073204A" w:rsidP="0073204A">
            <w:pPr>
              <w:rPr>
                <w:rFonts w:cs="Calibri"/>
                <w:color w:val="000000"/>
                <w:lang w:eastAsia="en-GB"/>
              </w:rPr>
            </w:pPr>
            <w:r w:rsidRPr="00EB2995">
              <w:rPr>
                <w:rFonts w:cs="Calibri"/>
                <w:color w:val="000000"/>
              </w:rPr>
              <w:t>Community Wellbeing (HRA)</w:t>
            </w:r>
          </w:p>
        </w:tc>
        <w:tc>
          <w:tcPr>
            <w:tcW w:w="0" w:type="auto"/>
            <w:tcBorders>
              <w:left w:val="single" w:sz="4" w:space="0" w:color="auto"/>
            </w:tcBorders>
            <w:shd w:val="clear" w:color="auto" w:fill="auto"/>
            <w:noWrap/>
            <w:vAlign w:val="center"/>
          </w:tcPr>
          <w:p w:rsidR="0073204A" w:rsidRPr="00EB2995" w:rsidRDefault="0073204A" w:rsidP="0073204A">
            <w:pPr>
              <w:jc w:val="center"/>
              <w:rPr>
                <w:rFonts w:cs="Calibri"/>
                <w:color w:val="000000"/>
              </w:rPr>
            </w:pPr>
            <w:r>
              <w:rPr>
                <w:rFonts w:cs="Calibri"/>
                <w:color w:val="000000"/>
              </w:rPr>
              <w:t xml:space="preserve">61.3 </w:t>
            </w:r>
          </w:p>
        </w:tc>
        <w:tc>
          <w:tcPr>
            <w:tcW w:w="997" w:type="dxa"/>
            <w:tcBorders>
              <w:right w:val="single" w:sz="4" w:space="0" w:color="auto"/>
            </w:tcBorders>
            <w:shd w:val="clear" w:color="auto" w:fill="auto"/>
            <w:noWrap/>
            <w:vAlign w:val="center"/>
          </w:tcPr>
          <w:p w:rsidR="0073204A" w:rsidRPr="00EB2995" w:rsidRDefault="0073204A" w:rsidP="0073204A">
            <w:pPr>
              <w:jc w:val="center"/>
              <w:rPr>
                <w:rFonts w:cs="Calibri"/>
                <w:color w:val="000000"/>
              </w:rPr>
            </w:pPr>
            <w:r>
              <w:rPr>
                <w:rFonts w:cs="Calibri"/>
                <w:color w:val="000000"/>
              </w:rPr>
              <w:t>(58.5)</w:t>
            </w:r>
          </w:p>
        </w:tc>
        <w:tc>
          <w:tcPr>
            <w:tcW w:w="1366" w:type="dxa"/>
            <w:tcBorders>
              <w:left w:val="single" w:sz="4" w:space="0" w:color="auto"/>
              <w:right w:val="single" w:sz="4" w:space="0" w:color="auto"/>
            </w:tcBorders>
            <w:shd w:val="clear" w:color="auto" w:fill="auto"/>
            <w:noWrap/>
            <w:vAlign w:val="center"/>
          </w:tcPr>
          <w:p w:rsidR="0073204A" w:rsidRPr="00EB2995" w:rsidRDefault="0073204A" w:rsidP="0073204A">
            <w:pPr>
              <w:jc w:val="center"/>
              <w:rPr>
                <w:rFonts w:cs="Calibri"/>
                <w:b/>
                <w:bCs/>
                <w:color w:val="000000"/>
              </w:rPr>
            </w:pPr>
            <w:r>
              <w:rPr>
                <w:rFonts w:cs="Calibri"/>
                <w:b/>
                <w:bCs/>
                <w:color w:val="000000"/>
              </w:rPr>
              <w:t xml:space="preserve">2.8 </w:t>
            </w:r>
          </w:p>
        </w:tc>
      </w:tr>
      <w:tr w:rsidR="0073204A" w:rsidRPr="00EB2995" w:rsidTr="007D0E47">
        <w:trPr>
          <w:gridAfter w:val="1"/>
          <w:wAfter w:w="481" w:type="dxa"/>
          <w:trHeight w:hRule="exact" w:val="563"/>
        </w:trPr>
        <w:tc>
          <w:tcPr>
            <w:tcW w:w="1419" w:type="dxa"/>
            <w:tcBorders>
              <w:top w:val="nil"/>
              <w:left w:val="single" w:sz="4" w:space="0" w:color="auto"/>
              <w:bottom w:val="nil"/>
              <w:right w:val="single" w:sz="8" w:space="0" w:color="auto"/>
            </w:tcBorders>
            <w:vAlign w:val="center"/>
          </w:tcPr>
          <w:p w:rsidR="0073204A" w:rsidRPr="00EB2995" w:rsidRDefault="0073204A" w:rsidP="0073204A">
            <w:pPr>
              <w:jc w:val="center"/>
              <w:rPr>
                <w:rFonts w:cs="Calibri"/>
                <w:bCs/>
                <w:color w:val="000000"/>
              </w:rPr>
            </w:pPr>
            <w:r w:rsidRPr="00EB2995">
              <w:rPr>
                <w:rFonts w:cs="Calibri"/>
                <w:color w:val="000000"/>
              </w:rPr>
              <w:t>39.4</w:t>
            </w:r>
          </w:p>
        </w:tc>
        <w:tc>
          <w:tcPr>
            <w:tcW w:w="0" w:type="auto"/>
            <w:tcBorders>
              <w:left w:val="single" w:sz="8" w:space="0" w:color="auto"/>
              <w:right w:val="single" w:sz="8" w:space="0" w:color="auto"/>
            </w:tcBorders>
            <w:vAlign w:val="center"/>
          </w:tcPr>
          <w:p w:rsidR="0073204A" w:rsidRPr="00EB2995" w:rsidRDefault="0073204A" w:rsidP="0073204A">
            <w:pPr>
              <w:jc w:val="center"/>
              <w:rPr>
                <w:rFonts w:cs="Calibri"/>
                <w:bCs/>
                <w:color w:val="000000"/>
              </w:rPr>
            </w:pPr>
            <w:r w:rsidRPr="00EB2995">
              <w:rPr>
                <w:rFonts w:cs="Calibri"/>
                <w:color w:val="000000"/>
              </w:rPr>
              <w:t>(20.1)</w:t>
            </w:r>
          </w:p>
        </w:tc>
        <w:tc>
          <w:tcPr>
            <w:tcW w:w="1454" w:type="dxa"/>
            <w:tcBorders>
              <w:left w:val="single" w:sz="8" w:space="0" w:color="auto"/>
              <w:right w:val="single" w:sz="4" w:space="0" w:color="auto"/>
            </w:tcBorders>
            <w:noWrap/>
            <w:vAlign w:val="center"/>
          </w:tcPr>
          <w:p w:rsidR="0073204A" w:rsidRPr="00EB2995" w:rsidRDefault="0073204A" w:rsidP="0073204A">
            <w:pPr>
              <w:jc w:val="center"/>
              <w:rPr>
                <w:rFonts w:cs="Calibri"/>
                <w:b/>
                <w:color w:val="000000"/>
                <w:lang w:eastAsia="en-GB"/>
              </w:rPr>
            </w:pPr>
            <w:r w:rsidRPr="00EB2995">
              <w:rPr>
                <w:rFonts w:cs="Calibri"/>
                <w:b/>
                <w:bCs/>
                <w:color w:val="000000"/>
              </w:rPr>
              <w:t>19.3</w:t>
            </w:r>
          </w:p>
        </w:tc>
        <w:tc>
          <w:tcPr>
            <w:tcW w:w="0" w:type="auto"/>
            <w:tcBorders>
              <w:left w:val="single" w:sz="4" w:space="0" w:color="auto"/>
            </w:tcBorders>
            <w:noWrap/>
            <w:vAlign w:val="bottom"/>
          </w:tcPr>
          <w:p w:rsidR="0073204A" w:rsidRPr="00EB2995" w:rsidRDefault="0073204A" w:rsidP="0073204A">
            <w:pPr>
              <w:jc w:val="right"/>
              <w:rPr>
                <w:rFonts w:cs="Calibri"/>
                <w:color w:val="000000"/>
                <w:lang w:eastAsia="en-GB"/>
              </w:rPr>
            </w:pPr>
          </w:p>
        </w:tc>
        <w:tc>
          <w:tcPr>
            <w:tcW w:w="2484" w:type="dxa"/>
            <w:tcBorders>
              <w:right w:val="single" w:sz="4" w:space="0" w:color="auto"/>
            </w:tcBorders>
            <w:vAlign w:val="center"/>
          </w:tcPr>
          <w:p w:rsidR="0073204A" w:rsidRPr="00EB2995" w:rsidRDefault="0073204A" w:rsidP="0073204A">
            <w:pPr>
              <w:rPr>
                <w:rFonts w:cs="Calibri"/>
                <w:color w:val="000000"/>
                <w:lang w:eastAsia="en-GB"/>
              </w:rPr>
            </w:pPr>
            <w:r w:rsidRPr="00EB2995">
              <w:rPr>
                <w:rFonts w:cs="Calibri"/>
                <w:color w:val="000000"/>
              </w:rPr>
              <w:t>Customer &amp; Digital Services</w:t>
            </w:r>
          </w:p>
        </w:tc>
        <w:tc>
          <w:tcPr>
            <w:tcW w:w="0" w:type="auto"/>
            <w:tcBorders>
              <w:left w:val="single" w:sz="4" w:space="0" w:color="auto"/>
            </w:tcBorders>
            <w:shd w:val="clear" w:color="auto" w:fill="auto"/>
            <w:noWrap/>
            <w:vAlign w:val="center"/>
          </w:tcPr>
          <w:p w:rsidR="0073204A" w:rsidRPr="00EB2995" w:rsidRDefault="0073204A" w:rsidP="0073204A">
            <w:pPr>
              <w:jc w:val="center"/>
              <w:rPr>
                <w:rFonts w:cs="Calibri"/>
                <w:color w:val="000000"/>
              </w:rPr>
            </w:pPr>
            <w:r>
              <w:rPr>
                <w:rFonts w:cs="Calibri"/>
                <w:color w:val="000000"/>
              </w:rPr>
              <w:t xml:space="preserve">40.1 </w:t>
            </w:r>
          </w:p>
        </w:tc>
        <w:tc>
          <w:tcPr>
            <w:tcW w:w="997" w:type="dxa"/>
            <w:tcBorders>
              <w:right w:val="single" w:sz="4" w:space="0" w:color="auto"/>
            </w:tcBorders>
            <w:shd w:val="clear" w:color="auto" w:fill="auto"/>
            <w:noWrap/>
            <w:vAlign w:val="center"/>
          </w:tcPr>
          <w:p w:rsidR="0073204A" w:rsidRPr="00EB2995" w:rsidRDefault="0073204A" w:rsidP="0073204A">
            <w:pPr>
              <w:jc w:val="center"/>
              <w:rPr>
                <w:rFonts w:cs="Calibri"/>
                <w:color w:val="000000"/>
              </w:rPr>
            </w:pPr>
            <w:r>
              <w:rPr>
                <w:rFonts w:cs="Calibri"/>
                <w:color w:val="000000"/>
              </w:rPr>
              <w:t>(19.3)</w:t>
            </w:r>
          </w:p>
        </w:tc>
        <w:tc>
          <w:tcPr>
            <w:tcW w:w="1366" w:type="dxa"/>
            <w:tcBorders>
              <w:left w:val="single" w:sz="4" w:space="0" w:color="auto"/>
              <w:right w:val="single" w:sz="4" w:space="0" w:color="auto"/>
            </w:tcBorders>
            <w:shd w:val="clear" w:color="auto" w:fill="auto"/>
            <w:noWrap/>
            <w:vAlign w:val="center"/>
          </w:tcPr>
          <w:p w:rsidR="0073204A" w:rsidRPr="00EB2995" w:rsidRDefault="0073204A" w:rsidP="0073204A">
            <w:pPr>
              <w:jc w:val="center"/>
              <w:rPr>
                <w:rFonts w:cs="Calibri"/>
                <w:b/>
                <w:bCs/>
                <w:color w:val="000000"/>
              </w:rPr>
            </w:pPr>
            <w:r>
              <w:rPr>
                <w:rFonts w:cs="Calibri"/>
                <w:b/>
                <w:bCs/>
                <w:color w:val="000000"/>
              </w:rPr>
              <w:t xml:space="preserve">20.8 </w:t>
            </w:r>
          </w:p>
        </w:tc>
      </w:tr>
      <w:tr w:rsidR="0073204A" w:rsidRPr="00EB2995" w:rsidTr="007D0E47">
        <w:trPr>
          <w:gridAfter w:val="1"/>
          <w:wAfter w:w="481" w:type="dxa"/>
          <w:trHeight w:hRule="exact" w:val="570"/>
        </w:trPr>
        <w:tc>
          <w:tcPr>
            <w:tcW w:w="1419" w:type="dxa"/>
            <w:tcBorders>
              <w:top w:val="nil"/>
              <w:left w:val="single" w:sz="4" w:space="0" w:color="auto"/>
              <w:bottom w:val="nil"/>
              <w:right w:val="single" w:sz="8" w:space="0" w:color="auto"/>
            </w:tcBorders>
            <w:vAlign w:val="center"/>
          </w:tcPr>
          <w:p w:rsidR="0073204A" w:rsidRPr="00EB2995" w:rsidRDefault="0073204A" w:rsidP="0073204A">
            <w:pPr>
              <w:jc w:val="center"/>
              <w:rPr>
                <w:rFonts w:cs="Calibri"/>
                <w:color w:val="000000"/>
              </w:rPr>
            </w:pPr>
            <w:r w:rsidRPr="00EB2995">
              <w:rPr>
                <w:rFonts w:cs="Calibri"/>
                <w:color w:val="000000"/>
              </w:rPr>
              <w:t>93.7</w:t>
            </w:r>
          </w:p>
        </w:tc>
        <w:tc>
          <w:tcPr>
            <w:tcW w:w="0" w:type="auto"/>
            <w:tcBorders>
              <w:left w:val="single" w:sz="8" w:space="0" w:color="auto"/>
              <w:right w:val="single" w:sz="8" w:space="0" w:color="auto"/>
            </w:tcBorders>
            <w:vAlign w:val="center"/>
          </w:tcPr>
          <w:p w:rsidR="0073204A" w:rsidRPr="00EB2995" w:rsidRDefault="0073204A" w:rsidP="0073204A">
            <w:pPr>
              <w:jc w:val="center"/>
              <w:rPr>
                <w:rFonts w:cs="Calibri"/>
                <w:color w:val="000000"/>
              </w:rPr>
            </w:pPr>
            <w:r w:rsidRPr="00EB2995">
              <w:rPr>
                <w:rFonts w:cs="Calibri"/>
                <w:color w:val="000000"/>
              </w:rPr>
              <w:t>(44.9)</w:t>
            </w:r>
          </w:p>
        </w:tc>
        <w:tc>
          <w:tcPr>
            <w:tcW w:w="1454" w:type="dxa"/>
            <w:tcBorders>
              <w:left w:val="single" w:sz="8" w:space="0" w:color="auto"/>
              <w:right w:val="single" w:sz="4" w:space="0" w:color="auto"/>
            </w:tcBorders>
            <w:noWrap/>
            <w:vAlign w:val="center"/>
          </w:tcPr>
          <w:p w:rsidR="0073204A" w:rsidRPr="00EB2995" w:rsidRDefault="0073204A" w:rsidP="0073204A">
            <w:pPr>
              <w:jc w:val="center"/>
              <w:rPr>
                <w:rFonts w:cs="Calibri"/>
                <w:b/>
                <w:bCs/>
                <w:color w:val="000000"/>
              </w:rPr>
            </w:pPr>
            <w:r w:rsidRPr="00EB2995">
              <w:rPr>
                <w:rFonts w:cs="Calibri"/>
                <w:b/>
                <w:bCs/>
                <w:color w:val="000000"/>
              </w:rPr>
              <w:t>48.8</w:t>
            </w:r>
          </w:p>
        </w:tc>
        <w:tc>
          <w:tcPr>
            <w:tcW w:w="0" w:type="auto"/>
            <w:tcBorders>
              <w:left w:val="single" w:sz="4" w:space="0" w:color="auto"/>
            </w:tcBorders>
            <w:noWrap/>
            <w:vAlign w:val="bottom"/>
          </w:tcPr>
          <w:p w:rsidR="0073204A" w:rsidRPr="00EB2995" w:rsidRDefault="0073204A" w:rsidP="0073204A">
            <w:pPr>
              <w:jc w:val="right"/>
              <w:rPr>
                <w:rFonts w:cs="Calibri"/>
                <w:color w:val="000000"/>
                <w:lang w:eastAsia="en-GB"/>
              </w:rPr>
            </w:pPr>
          </w:p>
        </w:tc>
        <w:tc>
          <w:tcPr>
            <w:tcW w:w="2484" w:type="dxa"/>
            <w:tcBorders>
              <w:right w:val="single" w:sz="4" w:space="0" w:color="auto"/>
            </w:tcBorders>
            <w:vAlign w:val="bottom"/>
          </w:tcPr>
          <w:p w:rsidR="0073204A" w:rsidRPr="00EB2995" w:rsidRDefault="0073204A" w:rsidP="0073204A">
            <w:pPr>
              <w:rPr>
                <w:rFonts w:cs="Calibri"/>
                <w:color w:val="000000"/>
                <w:lang w:eastAsia="en-GB"/>
              </w:rPr>
            </w:pPr>
            <w:r w:rsidRPr="00EB2995">
              <w:rPr>
                <w:rFonts w:cs="Calibri"/>
                <w:color w:val="000000"/>
              </w:rPr>
              <w:t>Regeneration &amp; Environment</w:t>
            </w:r>
          </w:p>
        </w:tc>
        <w:tc>
          <w:tcPr>
            <w:tcW w:w="0" w:type="auto"/>
            <w:tcBorders>
              <w:left w:val="single" w:sz="4" w:space="0" w:color="auto"/>
            </w:tcBorders>
            <w:shd w:val="clear" w:color="auto" w:fill="auto"/>
            <w:noWrap/>
            <w:vAlign w:val="center"/>
          </w:tcPr>
          <w:p w:rsidR="0073204A" w:rsidRPr="00EB2995" w:rsidRDefault="0073204A" w:rsidP="0073204A">
            <w:pPr>
              <w:jc w:val="center"/>
              <w:rPr>
                <w:rFonts w:cs="Calibri"/>
                <w:color w:val="000000"/>
              </w:rPr>
            </w:pPr>
            <w:r>
              <w:rPr>
                <w:rFonts w:cs="Calibri"/>
                <w:color w:val="000000"/>
              </w:rPr>
              <w:t xml:space="preserve">90.9 </w:t>
            </w:r>
          </w:p>
        </w:tc>
        <w:tc>
          <w:tcPr>
            <w:tcW w:w="997" w:type="dxa"/>
            <w:tcBorders>
              <w:right w:val="single" w:sz="4" w:space="0" w:color="auto"/>
            </w:tcBorders>
            <w:shd w:val="clear" w:color="auto" w:fill="auto"/>
            <w:noWrap/>
            <w:vAlign w:val="center"/>
          </w:tcPr>
          <w:p w:rsidR="0073204A" w:rsidRPr="00EB2995" w:rsidRDefault="0073204A" w:rsidP="0073204A">
            <w:pPr>
              <w:jc w:val="center"/>
              <w:rPr>
                <w:rFonts w:cs="Calibri"/>
                <w:color w:val="000000"/>
              </w:rPr>
            </w:pPr>
            <w:r>
              <w:rPr>
                <w:rFonts w:cs="Calibri"/>
                <w:color w:val="000000"/>
              </w:rPr>
              <w:t>(48.1)</w:t>
            </w:r>
          </w:p>
        </w:tc>
        <w:tc>
          <w:tcPr>
            <w:tcW w:w="1366" w:type="dxa"/>
            <w:tcBorders>
              <w:left w:val="single" w:sz="4" w:space="0" w:color="auto"/>
              <w:right w:val="single" w:sz="4" w:space="0" w:color="auto"/>
            </w:tcBorders>
            <w:shd w:val="clear" w:color="auto" w:fill="auto"/>
            <w:noWrap/>
            <w:vAlign w:val="center"/>
          </w:tcPr>
          <w:p w:rsidR="0073204A" w:rsidRPr="00EB2995" w:rsidRDefault="0073204A" w:rsidP="0073204A">
            <w:pPr>
              <w:jc w:val="center"/>
              <w:rPr>
                <w:rFonts w:cs="Calibri"/>
                <w:b/>
                <w:bCs/>
                <w:color w:val="000000"/>
              </w:rPr>
            </w:pPr>
            <w:r>
              <w:rPr>
                <w:rFonts w:cs="Calibri"/>
                <w:b/>
                <w:bCs/>
                <w:color w:val="000000"/>
              </w:rPr>
              <w:t xml:space="preserve">42.8 </w:t>
            </w:r>
          </w:p>
        </w:tc>
      </w:tr>
      <w:tr w:rsidR="0073204A" w:rsidRPr="00EB2995" w:rsidTr="00A70A31">
        <w:trPr>
          <w:gridAfter w:val="1"/>
          <w:wAfter w:w="481" w:type="dxa"/>
          <w:trHeight w:hRule="exact" w:val="454"/>
        </w:trPr>
        <w:tc>
          <w:tcPr>
            <w:tcW w:w="1419" w:type="dxa"/>
            <w:tcBorders>
              <w:top w:val="nil"/>
              <w:left w:val="single" w:sz="4" w:space="0" w:color="auto"/>
              <w:bottom w:val="single" w:sz="4" w:space="0" w:color="auto"/>
              <w:right w:val="single" w:sz="8" w:space="0" w:color="auto"/>
            </w:tcBorders>
            <w:vAlign w:val="center"/>
          </w:tcPr>
          <w:p w:rsidR="0073204A" w:rsidRPr="00EB2995" w:rsidRDefault="0073204A" w:rsidP="0073204A">
            <w:pPr>
              <w:jc w:val="center"/>
              <w:rPr>
                <w:rFonts w:cs="Calibri"/>
                <w:bCs/>
                <w:color w:val="000000"/>
              </w:rPr>
            </w:pPr>
            <w:r w:rsidRPr="00EB2995">
              <w:rPr>
                <w:rFonts w:cs="Calibri"/>
                <w:color w:val="000000"/>
              </w:rPr>
              <w:t>352.2</w:t>
            </w:r>
          </w:p>
        </w:tc>
        <w:tc>
          <w:tcPr>
            <w:tcW w:w="0" w:type="auto"/>
            <w:tcBorders>
              <w:left w:val="single" w:sz="8" w:space="0" w:color="auto"/>
              <w:bottom w:val="single" w:sz="4" w:space="0" w:color="auto"/>
              <w:right w:val="single" w:sz="8" w:space="0" w:color="auto"/>
            </w:tcBorders>
            <w:vAlign w:val="center"/>
          </w:tcPr>
          <w:p w:rsidR="0073204A" w:rsidRPr="00EB2995" w:rsidRDefault="0073204A" w:rsidP="0073204A">
            <w:pPr>
              <w:jc w:val="center"/>
              <w:rPr>
                <w:rFonts w:cs="Calibri"/>
                <w:bCs/>
                <w:color w:val="000000"/>
              </w:rPr>
            </w:pPr>
            <w:r w:rsidRPr="00EB2995">
              <w:rPr>
                <w:rFonts w:cs="Calibri"/>
                <w:color w:val="000000"/>
              </w:rPr>
              <w:t>(373.9)</w:t>
            </w:r>
          </w:p>
        </w:tc>
        <w:tc>
          <w:tcPr>
            <w:tcW w:w="1454" w:type="dxa"/>
            <w:tcBorders>
              <w:left w:val="single" w:sz="8" w:space="0" w:color="auto"/>
              <w:bottom w:val="single" w:sz="4" w:space="0" w:color="auto"/>
              <w:right w:val="single" w:sz="4" w:space="0" w:color="auto"/>
            </w:tcBorders>
            <w:noWrap/>
            <w:vAlign w:val="center"/>
          </w:tcPr>
          <w:p w:rsidR="0073204A" w:rsidRPr="00EB2995" w:rsidRDefault="0073204A" w:rsidP="0073204A">
            <w:pPr>
              <w:jc w:val="center"/>
              <w:rPr>
                <w:rFonts w:cs="Calibri"/>
                <w:b/>
                <w:bCs/>
                <w:color w:val="000000"/>
              </w:rPr>
            </w:pPr>
            <w:r w:rsidRPr="00EB2995">
              <w:rPr>
                <w:rFonts w:cs="Calibri"/>
                <w:b/>
                <w:bCs/>
                <w:color w:val="000000"/>
              </w:rPr>
              <w:t>(21.7)</w:t>
            </w:r>
          </w:p>
        </w:tc>
        <w:tc>
          <w:tcPr>
            <w:tcW w:w="0" w:type="auto"/>
            <w:tcBorders>
              <w:left w:val="single" w:sz="4" w:space="0" w:color="auto"/>
            </w:tcBorders>
            <w:noWrap/>
            <w:vAlign w:val="bottom"/>
          </w:tcPr>
          <w:p w:rsidR="0073204A" w:rsidRPr="00EB2995" w:rsidRDefault="0073204A" w:rsidP="0073204A">
            <w:pPr>
              <w:jc w:val="right"/>
              <w:rPr>
                <w:rFonts w:cs="Calibri"/>
                <w:color w:val="000000"/>
                <w:lang w:eastAsia="en-GB"/>
              </w:rPr>
            </w:pPr>
          </w:p>
        </w:tc>
        <w:tc>
          <w:tcPr>
            <w:tcW w:w="2484" w:type="dxa"/>
            <w:tcBorders>
              <w:right w:val="single" w:sz="4" w:space="0" w:color="auto"/>
            </w:tcBorders>
            <w:vAlign w:val="center"/>
          </w:tcPr>
          <w:p w:rsidR="0073204A" w:rsidRPr="00EB2995" w:rsidRDefault="0073204A" w:rsidP="0073204A">
            <w:pPr>
              <w:rPr>
                <w:rFonts w:cs="Calibri"/>
                <w:color w:val="000000"/>
                <w:lang w:eastAsia="en-GB"/>
              </w:rPr>
            </w:pPr>
            <w:r w:rsidRPr="00EB2995">
              <w:rPr>
                <w:rFonts w:cs="Calibri"/>
                <w:color w:val="000000"/>
              </w:rPr>
              <w:t>Central Items</w:t>
            </w:r>
          </w:p>
        </w:tc>
        <w:tc>
          <w:tcPr>
            <w:tcW w:w="0" w:type="auto"/>
            <w:tcBorders>
              <w:left w:val="single" w:sz="4" w:space="0" w:color="auto"/>
              <w:bottom w:val="single" w:sz="4" w:space="0" w:color="auto"/>
            </w:tcBorders>
            <w:shd w:val="clear" w:color="auto" w:fill="auto"/>
            <w:noWrap/>
            <w:vAlign w:val="center"/>
          </w:tcPr>
          <w:p w:rsidR="0073204A" w:rsidRPr="00EB2995" w:rsidRDefault="0073204A" w:rsidP="0073204A">
            <w:pPr>
              <w:jc w:val="center"/>
              <w:rPr>
                <w:rFonts w:cs="Calibri"/>
                <w:color w:val="000000"/>
              </w:rPr>
            </w:pPr>
            <w:r>
              <w:rPr>
                <w:rFonts w:cs="Calibri"/>
                <w:color w:val="000000"/>
              </w:rPr>
              <w:t>306.6</w:t>
            </w:r>
          </w:p>
        </w:tc>
        <w:tc>
          <w:tcPr>
            <w:tcW w:w="997" w:type="dxa"/>
            <w:tcBorders>
              <w:bottom w:val="single" w:sz="4" w:space="0" w:color="auto"/>
              <w:right w:val="single" w:sz="4" w:space="0" w:color="auto"/>
            </w:tcBorders>
            <w:shd w:val="clear" w:color="auto" w:fill="auto"/>
            <w:noWrap/>
            <w:vAlign w:val="center"/>
          </w:tcPr>
          <w:p w:rsidR="0073204A" w:rsidRPr="00EB2995" w:rsidRDefault="0073204A" w:rsidP="0073204A">
            <w:pPr>
              <w:jc w:val="center"/>
              <w:rPr>
                <w:rFonts w:cs="Calibri"/>
                <w:color w:val="000000"/>
              </w:rPr>
            </w:pPr>
            <w:r>
              <w:rPr>
                <w:rFonts w:cs="Calibri"/>
                <w:color w:val="000000"/>
              </w:rPr>
              <w:t>(358.5)</w:t>
            </w:r>
          </w:p>
        </w:tc>
        <w:tc>
          <w:tcPr>
            <w:tcW w:w="1366" w:type="dxa"/>
            <w:tcBorders>
              <w:left w:val="single" w:sz="4" w:space="0" w:color="auto"/>
              <w:bottom w:val="single" w:sz="4" w:space="0" w:color="auto"/>
              <w:right w:val="single" w:sz="4" w:space="0" w:color="auto"/>
            </w:tcBorders>
            <w:shd w:val="clear" w:color="auto" w:fill="auto"/>
            <w:noWrap/>
            <w:vAlign w:val="center"/>
          </w:tcPr>
          <w:p w:rsidR="0073204A" w:rsidRPr="00EB2995" w:rsidRDefault="0073204A" w:rsidP="0073204A">
            <w:pPr>
              <w:jc w:val="center"/>
              <w:rPr>
                <w:rFonts w:cs="Calibri"/>
                <w:b/>
                <w:bCs/>
                <w:color w:val="000000"/>
              </w:rPr>
            </w:pPr>
            <w:r>
              <w:rPr>
                <w:rFonts w:cs="Calibri"/>
                <w:b/>
                <w:bCs/>
                <w:color w:val="000000"/>
              </w:rPr>
              <w:t>(51.9)</w:t>
            </w:r>
          </w:p>
        </w:tc>
      </w:tr>
      <w:tr w:rsidR="0073204A" w:rsidRPr="00EB2995" w:rsidTr="00A70A31">
        <w:trPr>
          <w:gridAfter w:val="1"/>
          <w:wAfter w:w="481" w:type="dxa"/>
          <w:trHeight w:hRule="exact" w:val="454"/>
        </w:trPr>
        <w:tc>
          <w:tcPr>
            <w:tcW w:w="1419" w:type="dxa"/>
            <w:tcBorders>
              <w:top w:val="single" w:sz="4" w:space="0" w:color="auto"/>
              <w:left w:val="single" w:sz="4" w:space="0" w:color="auto"/>
              <w:bottom w:val="single" w:sz="4" w:space="0" w:color="auto"/>
              <w:right w:val="single" w:sz="4" w:space="0" w:color="auto"/>
            </w:tcBorders>
            <w:vAlign w:val="center"/>
          </w:tcPr>
          <w:p w:rsidR="0073204A" w:rsidRPr="00EB2995" w:rsidRDefault="0073204A" w:rsidP="0073204A">
            <w:pPr>
              <w:jc w:val="center"/>
              <w:rPr>
                <w:rFonts w:cs="Calibri"/>
                <w:b/>
                <w:bCs/>
                <w:color w:val="000000"/>
              </w:rPr>
            </w:pPr>
            <w:r w:rsidRPr="00EB2995">
              <w:rPr>
                <w:rFonts w:cs="Calibri"/>
                <w:b/>
                <w:bCs/>
                <w:color w:val="000000"/>
              </w:rPr>
              <w:t>1,112.6</w:t>
            </w:r>
          </w:p>
        </w:tc>
        <w:tc>
          <w:tcPr>
            <w:tcW w:w="0" w:type="auto"/>
            <w:tcBorders>
              <w:top w:val="single" w:sz="4" w:space="0" w:color="auto"/>
              <w:left w:val="single" w:sz="4" w:space="0" w:color="auto"/>
              <w:bottom w:val="single" w:sz="4" w:space="0" w:color="auto"/>
              <w:right w:val="single" w:sz="4" w:space="0" w:color="auto"/>
            </w:tcBorders>
            <w:vAlign w:val="center"/>
          </w:tcPr>
          <w:p w:rsidR="0073204A" w:rsidRPr="00EB2995" w:rsidRDefault="0073204A" w:rsidP="0073204A">
            <w:pPr>
              <w:jc w:val="center"/>
              <w:rPr>
                <w:rFonts w:cs="Calibri"/>
                <w:b/>
                <w:bCs/>
                <w:color w:val="000000"/>
              </w:rPr>
            </w:pPr>
            <w:r w:rsidRPr="00EB2995">
              <w:rPr>
                <w:rFonts w:cs="Calibri"/>
                <w:b/>
                <w:bCs/>
                <w:color w:val="000000"/>
              </w:rPr>
              <w:t>(829.9)</w:t>
            </w:r>
          </w:p>
        </w:tc>
        <w:tc>
          <w:tcPr>
            <w:tcW w:w="1454" w:type="dxa"/>
            <w:tcBorders>
              <w:top w:val="single" w:sz="4" w:space="0" w:color="auto"/>
              <w:left w:val="single" w:sz="4" w:space="0" w:color="auto"/>
              <w:bottom w:val="single" w:sz="4" w:space="0" w:color="auto"/>
              <w:right w:val="single" w:sz="4" w:space="0" w:color="auto"/>
            </w:tcBorders>
            <w:noWrap/>
            <w:vAlign w:val="center"/>
          </w:tcPr>
          <w:p w:rsidR="0073204A" w:rsidRPr="00EB2995" w:rsidRDefault="0073204A" w:rsidP="0073204A">
            <w:pPr>
              <w:jc w:val="center"/>
              <w:rPr>
                <w:rFonts w:cs="Calibri"/>
                <w:b/>
                <w:bCs/>
                <w:color w:val="000000"/>
                <w:lang w:eastAsia="en-GB"/>
              </w:rPr>
            </w:pPr>
            <w:r w:rsidRPr="00EB2995">
              <w:rPr>
                <w:rFonts w:cs="Calibri"/>
                <w:b/>
                <w:bCs/>
                <w:color w:val="000000"/>
              </w:rPr>
              <w:t>282.7</w:t>
            </w:r>
          </w:p>
        </w:tc>
        <w:tc>
          <w:tcPr>
            <w:tcW w:w="0" w:type="auto"/>
            <w:tcBorders>
              <w:left w:val="single" w:sz="4" w:space="0" w:color="auto"/>
            </w:tcBorders>
            <w:noWrap/>
            <w:vAlign w:val="bottom"/>
          </w:tcPr>
          <w:p w:rsidR="0073204A" w:rsidRPr="00EB2995" w:rsidRDefault="0073204A" w:rsidP="0073204A">
            <w:pPr>
              <w:jc w:val="right"/>
              <w:rPr>
                <w:rFonts w:cs="Calibri"/>
                <w:b/>
                <w:bCs/>
                <w:color w:val="000000"/>
                <w:lang w:eastAsia="en-GB"/>
              </w:rPr>
            </w:pPr>
          </w:p>
        </w:tc>
        <w:tc>
          <w:tcPr>
            <w:tcW w:w="2484" w:type="dxa"/>
            <w:tcBorders>
              <w:right w:val="single" w:sz="4" w:space="0" w:color="auto"/>
            </w:tcBorders>
            <w:vAlign w:val="center"/>
          </w:tcPr>
          <w:p w:rsidR="0073204A" w:rsidRPr="00EB2995" w:rsidRDefault="0073204A" w:rsidP="0073204A">
            <w:pPr>
              <w:rPr>
                <w:rFonts w:cs="Calibri"/>
                <w:b/>
                <w:bCs/>
                <w:color w:val="000000"/>
                <w:lang w:eastAsia="en-GB"/>
              </w:rPr>
            </w:pPr>
            <w:r w:rsidRPr="00EB2995">
              <w:rPr>
                <w:rFonts w:cs="Calibri"/>
                <w:b/>
                <w:bCs/>
                <w:color w:val="000000"/>
                <w:lang w:eastAsia="en-GB"/>
              </w:rPr>
              <w:t>Cost of Services</w:t>
            </w:r>
          </w:p>
        </w:tc>
        <w:tc>
          <w:tcPr>
            <w:tcW w:w="0" w:type="auto"/>
            <w:tcBorders>
              <w:top w:val="single" w:sz="4" w:space="0" w:color="auto"/>
              <w:left w:val="single" w:sz="4" w:space="0" w:color="auto"/>
              <w:bottom w:val="single" w:sz="4" w:space="0" w:color="auto"/>
            </w:tcBorders>
            <w:shd w:val="clear" w:color="auto" w:fill="auto"/>
            <w:noWrap/>
            <w:vAlign w:val="center"/>
          </w:tcPr>
          <w:p w:rsidR="0073204A" w:rsidRPr="00EB2995" w:rsidRDefault="0073204A" w:rsidP="0073204A">
            <w:pPr>
              <w:jc w:val="center"/>
              <w:rPr>
                <w:rFonts w:cs="Calibri"/>
                <w:b/>
                <w:bCs/>
                <w:color w:val="000000"/>
              </w:rPr>
            </w:pPr>
            <w:r>
              <w:rPr>
                <w:rFonts w:cs="Calibri"/>
                <w:b/>
                <w:bCs/>
                <w:color w:val="000000"/>
              </w:rPr>
              <w:t xml:space="preserve">1,078.4 </w:t>
            </w:r>
          </w:p>
        </w:tc>
        <w:tc>
          <w:tcPr>
            <w:tcW w:w="997" w:type="dxa"/>
            <w:tcBorders>
              <w:top w:val="single" w:sz="4" w:space="0" w:color="auto"/>
              <w:bottom w:val="single" w:sz="4" w:space="0" w:color="auto"/>
              <w:right w:val="single" w:sz="4" w:space="0" w:color="auto"/>
            </w:tcBorders>
            <w:shd w:val="clear" w:color="auto" w:fill="auto"/>
            <w:noWrap/>
            <w:vAlign w:val="center"/>
          </w:tcPr>
          <w:p w:rsidR="0073204A" w:rsidRPr="00EB2995" w:rsidRDefault="0073204A" w:rsidP="0073204A">
            <w:pPr>
              <w:jc w:val="center"/>
              <w:rPr>
                <w:rFonts w:cs="Calibri"/>
                <w:b/>
                <w:bCs/>
                <w:color w:val="000000"/>
              </w:rPr>
            </w:pPr>
            <w:r>
              <w:rPr>
                <w:rFonts w:cs="Calibri"/>
                <w:b/>
                <w:bCs/>
                <w:color w:val="000000"/>
              </w:rPr>
              <w:t>(802.4)</w:t>
            </w:r>
          </w:p>
        </w:tc>
        <w:tc>
          <w:tcPr>
            <w:tcW w:w="13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204A" w:rsidRPr="00EB2995" w:rsidRDefault="0073204A" w:rsidP="0073204A">
            <w:pPr>
              <w:jc w:val="center"/>
              <w:rPr>
                <w:rFonts w:cs="Calibri"/>
                <w:b/>
                <w:bCs/>
                <w:color w:val="000000"/>
              </w:rPr>
            </w:pPr>
            <w:r>
              <w:rPr>
                <w:rFonts w:cs="Calibri"/>
                <w:b/>
                <w:bCs/>
                <w:color w:val="000000"/>
              </w:rPr>
              <w:t xml:space="preserve">276.0 </w:t>
            </w:r>
          </w:p>
        </w:tc>
      </w:tr>
      <w:tr w:rsidR="00A70A31" w:rsidRPr="00EB2995" w:rsidTr="007D0E47">
        <w:trPr>
          <w:gridAfter w:val="1"/>
          <w:wAfter w:w="481" w:type="dxa"/>
          <w:trHeight w:hRule="exact" w:val="659"/>
        </w:trPr>
        <w:tc>
          <w:tcPr>
            <w:tcW w:w="1419" w:type="dxa"/>
            <w:tcBorders>
              <w:top w:val="single" w:sz="4" w:space="0" w:color="auto"/>
              <w:bottom w:val="nil"/>
            </w:tcBorders>
          </w:tcPr>
          <w:p w:rsidR="00A70A31" w:rsidRPr="00EB2995" w:rsidRDefault="00A70A31" w:rsidP="00A70A31">
            <w:pPr>
              <w:jc w:val="right"/>
              <w:rPr>
                <w:rFonts w:cs="Calibri"/>
                <w:color w:val="000000"/>
              </w:rPr>
            </w:pPr>
          </w:p>
        </w:tc>
        <w:tc>
          <w:tcPr>
            <w:tcW w:w="0" w:type="auto"/>
            <w:tcBorders>
              <w:top w:val="single" w:sz="4" w:space="0" w:color="auto"/>
              <w:bottom w:val="nil"/>
              <w:right w:val="single" w:sz="4" w:space="0" w:color="auto"/>
            </w:tcBorders>
          </w:tcPr>
          <w:p w:rsidR="00A70A31" w:rsidRPr="00EB2995" w:rsidRDefault="00A70A31" w:rsidP="00A70A31">
            <w:pPr>
              <w:jc w:val="right"/>
              <w:rPr>
                <w:rFonts w:cs="Calibri"/>
                <w:color w:val="000000"/>
              </w:rPr>
            </w:pPr>
          </w:p>
        </w:tc>
        <w:tc>
          <w:tcPr>
            <w:tcW w:w="1454" w:type="dxa"/>
            <w:tcBorders>
              <w:top w:val="single" w:sz="4" w:space="0" w:color="auto"/>
              <w:left w:val="single" w:sz="4" w:space="0" w:color="auto"/>
              <w:right w:val="single" w:sz="4" w:space="0" w:color="auto"/>
            </w:tcBorders>
            <w:noWrap/>
            <w:vAlign w:val="center"/>
          </w:tcPr>
          <w:p w:rsidR="00A70A31" w:rsidRPr="00EB2995" w:rsidRDefault="00A70A31" w:rsidP="00A70A31">
            <w:pPr>
              <w:jc w:val="center"/>
              <w:rPr>
                <w:rFonts w:cs="Calibri"/>
                <w:color w:val="000000"/>
                <w:lang w:eastAsia="en-GB"/>
              </w:rPr>
            </w:pPr>
            <w:r w:rsidRPr="00EB2995">
              <w:rPr>
                <w:rFonts w:cs="Calibri"/>
                <w:color w:val="000000"/>
              </w:rPr>
              <w:t>63.2</w:t>
            </w:r>
          </w:p>
        </w:tc>
        <w:tc>
          <w:tcPr>
            <w:tcW w:w="0" w:type="auto"/>
            <w:tcBorders>
              <w:left w:val="single" w:sz="4" w:space="0" w:color="auto"/>
            </w:tcBorders>
            <w:noWrap/>
            <w:vAlign w:val="bottom"/>
          </w:tcPr>
          <w:p w:rsidR="00A70A31" w:rsidRPr="00EB2995" w:rsidRDefault="00A70A31" w:rsidP="00A70A31">
            <w:pPr>
              <w:jc w:val="right"/>
              <w:rPr>
                <w:rFonts w:cs="Calibri"/>
                <w:color w:val="000000"/>
                <w:lang w:eastAsia="en-GB"/>
              </w:rPr>
            </w:pPr>
          </w:p>
        </w:tc>
        <w:tc>
          <w:tcPr>
            <w:tcW w:w="2484" w:type="dxa"/>
            <w:vAlign w:val="center"/>
          </w:tcPr>
          <w:p w:rsidR="00A70A31" w:rsidRPr="00EB2995" w:rsidRDefault="00A70A31" w:rsidP="00A70A31">
            <w:pPr>
              <w:rPr>
                <w:rFonts w:cs="Calibri"/>
                <w:color w:val="000000"/>
                <w:lang w:eastAsia="en-GB"/>
              </w:rPr>
            </w:pPr>
            <w:r w:rsidRPr="00EB2995">
              <w:rPr>
                <w:rFonts w:cs="Calibri"/>
                <w:color w:val="000000"/>
                <w:lang w:eastAsia="en-GB"/>
              </w:rPr>
              <w:t xml:space="preserve">Other operating expenditure </w:t>
            </w:r>
          </w:p>
        </w:tc>
        <w:tc>
          <w:tcPr>
            <w:tcW w:w="0" w:type="auto"/>
            <w:tcBorders>
              <w:top w:val="single" w:sz="4" w:space="0" w:color="auto"/>
              <w:left w:val="nil"/>
            </w:tcBorders>
            <w:noWrap/>
            <w:vAlign w:val="center"/>
          </w:tcPr>
          <w:p w:rsidR="00A70A31" w:rsidRPr="00EB2995" w:rsidRDefault="00A70A31" w:rsidP="00A70A31">
            <w:pPr>
              <w:rPr>
                <w:rFonts w:cs="Calibri"/>
                <w:color w:val="000000"/>
                <w:lang w:eastAsia="en-GB"/>
              </w:rPr>
            </w:pPr>
          </w:p>
        </w:tc>
        <w:tc>
          <w:tcPr>
            <w:tcW w:w="997" w:type="dxa"/>
            <w:tcBorders>
              <w:top w:val="single" w:sz="4" w:space="0" w:color="auto"/>
              <w:right w:val="single" w:sz="4" w:space="0" w:color="auto"/>
            </w:tcBorders>
            <w:noWrap/>
            <w:vAlign w:val="center"/>
          </w:tcPr>
          <w:p w:rsidR="00A70A31" w:rsidRPr="00EB2995" w:rsidRDefault="00A70A31" w:rsidP="00A70A31">
            <w:pPr>
              <w:jc w:val="center"/>
              <w:rPr>
                <w:rFonts w:cs="Calibri"/>
                <w:sz w:val="20"/>
                <w:szCs w:val="20"/>
                <w:lang w:eastAsia="en-GB"/>
              </w:rPr>
            </w:pPr>
            <w:r>
              <w:rPr>
                <w:rFonts w:cs="Calibri"/>
                <w:color w:val="000000"/>
              </w:rPr>
              <w:t xml:space="preserve"> </w:t>
            </w:r>
          </w:p>
        </w:tc>
        <w:tc>
          <w:tcPr>
            <w:tcW w:w="1366" w:type="dxa"/>
            <w:tcBorders>
              <w:top w:val="single" w:sz="4" w:space="0" w:color="auto"/>
              <w:left w:val="single" w:sz="4" w:space="0" w:color="auto"/>
              <w:right w:val="single" w:sz="4" w:space="0" w:color="auto"/>
            </w:tcBorders>
            <w:shd w:val="clear" w:color="auto" w:fill="auto"/>
            <w:noWrap/>
            <w:vAlign w:val="center"/>
          </w:tcPr>
          <w:p w:rsidR="00A70A31" w:rsidRPr="00EB2995" w:rsidRDefault="00A70A31" w:rsidP="00A70A31">
            <w:pPr>
              <w:jc w:val="center"/>
              <w:rPr>
                <w:rFonts w:cs="Calibri"/>
                <w:color w:val="000000"/>
              </w:rPr>
            </w:pPr>
            <w:r>
              <w:rPr>
                <w:rFonts w:cs="Calibri"/>
                <w:color w:val="000000"/>
              </w:rPr>
              <w:t xml:space="preserve">3.2 </w:t>
            </w:r>
          </w:p>
        </w:tc>
      </w:tr>
      <w:tr w:rsidR="00A70A31" w:rsidRPr="00EB2995" w:rsidTr="007D0E47">
        <w:trPr>
          <w:gridAfter w:val="1"/>
          <w:wAfter w:w="481" w:type="dxa"/>
          <w:trHeight w:hRule="exact" w:val="700"/>
        </w:trPr>
        <w:tc>
          <w:tcPr>
            <w:tcW w:w="1419" w:type="dxa"/>
            <w:tcBorders>
              <w:top w:val="nil"/>
              <w:bottom w:val="nil"/>
            </w:tcBorders>
          </w:tcPr>
          <w:p w:rsidR="00A70A31" w:rsidRPr="00EB2995" w:rsidRDefault="00A70A31" w:rsidP="00A70A31">
            <w:pPr>
              <w:jc w:val="right"/>
              <w:rPr>
                <w:rFonts w:cs="Calibri"/>
                <w:color w:val="000000"/>
              </w:rPr>
            </w:pPr>
          </w:p>
        </w:tc>
        <w:tc>
          <w:tcPr>
            <w:tcW w:w="0" w:type="auto"/>
            <w:tcBorders>
              <w:top w:val="nil"/>
              <w:bottom w:val="nil"/>
              <w:right w:val="single" w:sz="4" w:space="0" w:color="auto"/>
            </w:tcBorders>
          </w:tcPr>
          <w:p w:rsidR="00A70A31" w:rsidRPr="00EB2995" w:rsidRDefault="00A70A31" w:rsidP="00A70A31">
            <w:pPr>
              <w:jc w:val="right"/>
              <w:rPr>
                <w:rFonts w:cs="Calibri"/>
                <w:color w:val="000000"/>
              </w:rPr>
            </w:pPr>
          </w:p>
        </w:tc>
        <w:tc>
          <w:tcPr>
            <w:tcW w:w="1454" w:type="dxa"/>
            <w:tcBorders>
              <w:left w:val="single" w:sz="4" w:space="0" w:color="auto"/>
              <w:right w:val="single" w:sz="4" w:space="0" w:color="auto"/>
            </w:tcBorders>
            <w:noWrap/>
            <w:vAlign w:val="center"/>
          </w:tcPr>
          <w:p w:rsidR="00A70A31" w:rsidRPr="00EB2995" w:rsidRDefault="00A70A31" w:rsidP="00A70A31">
            <w:pPr>
              <w:jc w:val="center"/>
              <w:rPr>
                <w:rFonts w:cs="Calibri"/>
                <w:color w:val="000000"/>
                <w:lang w:eastAsia="en-GB"/>
              </w:rPr>
            </w:pPr>
            <w:r w:rsidRPr="00EB2995">
              <w:rPr>
                <w:rFonts w:cs="Calibri"/>
                <w:color w:val="000000"/>
              </w:rPr>
              <w:t>39.4</w:t>
            </w:r>
          </w:p>
        </w:tc>
        <w:tc>
          <w:tcPr>
            <w:tcW w:w="0" w:type="auto"/>
            <w:tcBorders>
              <w:left w:val="single" w:sz="4" w:space="0" w:color="auto"/>
            </w:tcBorders>
            <w:noWrap/>
            <w:vAlign w:val="bottom"/>
          </w:tcPr>
          <w:p w:rsidR="00A70A31" w:rsidRPr="00EB2995" w:rsidRDefault="00A70A31" w:rsidP="00A70A31">
            <w:pPr>
              <w:jc w:val="right"/>
              <w:rPr>
                <w:rFonts w:cs="Calibri"/>
                <w:color w:val="000000"/>
                <w:lang w:eastAsia="en-GB"/>
              </w:rPr>
            </w:pPr>
          </w:p>
        </w:tc>
        <w:tc>
          <w:tcPr>
            <w:tcW w:w="4373" w:type="dxa"/>
            <w:gridSpan w:val="2"/>
            <w:vAlign w:val="center"/>
          </w:tcPr>
          <w:p w:rsidR="00A70A31" w:rsidRPr="00EB2995" w:rsidRDefault="00A70A31" w:rsidP="00A70A31">
            <w:pPr>
              <w:rPr>
                <w:rFonts w:cs="Calibri"/>
                <w:color w:val="000000"/>
                <w:lang w:eastAsia="en-GB"/>
              </w:rPr>
            </w:pPr>
            <w:r w:rsidRPr="00EB2995">
              <w:rPr>
                <w:rFonts w:cs="Calibri"/>
                <w:color w:val="000000"/>
                <w:lang w:eastAsia="en-GB"/>
              </w:rPr>
              <w:t xml:space="preserve">Financing and investment income &amp; expenditure </w:t>
            </w:r>
          </w:p>
        </w:tc>
        <w:tc>
          <w:tcPr>
            <w:tcW w:w="997" w:type="dxa"/>
            <w:tcBorders>
              <w:right w:val="single" w:sz="4" w:space="0" w:color="auto"/>
            </w:tcBorders>
            <w:noWrap/>
            <w:vAlign w:val="center"/>
          </w:tcPr>
          <w:p w:rsidR="00A70A31" w:rsidRPr="00EB2995" w:rsidRDefault="00A70A31" w:rsidP="00A70A31">
            <w:pPr>
              <w:jc w:val="center"/>
              <w:rPr>
                <w:rFonts w:cs="Calibri"/>
                <w:color w:val="000000"/>
                <w:sz w:val="20"/>
                <w:szCs w:val="20"/>
                <w:lang w:eastAsia="en-GB"/>
              </w:rPr>
            </w:pPr>
          </w:p>
        </w:tc>
        <w:tc>
          <w:tcPr>
            <w:tcW w:w="1366" w:type="dxa"/>
            <w:tcBorders>
              <w:left w:val="single" w:sz="4" w:space="0" w:color="auto"/>
              <w:right w:val="single" w:sz="4" w:space="0" w:color="auto"/>
            </w:tcBorders>
            <w:shd w:val="clear" w:color="auto" w:fill="auto"/>
            <w:noWrap/>
            <w:vAlign w:val="center"/>
          </w:tcPr>
          <w:p w:rsidR="00A70A31" w:rsidRPr="00EB2995" w:rsidRDefault="00A70A31" w:rsidP="00A70A31">
            <w:pPr>
              <w:jc w:val="center"/>
              <w:rPr>
                <w:rFonts w:cs="Calibri"/>
                <w:color w:val="000000"/>
                <w:lang w:eastAsia="en-GB"/>
              </w:rPr>
            </w:pPr>
            <w:r>
              <w:rPr>
                <w:rFonts w:cs="Calibri"/>
                <w:color w:val="000000"/>
              </w:rPr>
              <w:t xml:space="preserve">43.3 </w:t>
            </w:r>
          </w:p>
        </w:tc>
      </w:tr>
      <w:tr w:rsidR="00A70A31" w:rsidRPr="00EB2995" w:rsidTr="00A70A31">
        <w:trPr>
          <w:gridAfter w:val="1"/>
          <w:wAfter w:w="481" w:type="dxa"/>
          <w:trHeight w:hRule="exact" w:val="454"/>
        </w:trPr>
        <w:tc>
          <w:tcPr>
            <w:tcW w:w="1419" w:type="dxa"/>
            <w:tcBorders>
              <w:top w:val="nil"/>
            </w:tcBorders>
          </w:tcPr>
          <w:p w:rsidR="00A70A31" w:rsidRPr="00EB2995" w:rsidRDefault="00A70A31" w:rsidP="00A70A31">
            <w:pPr>
              <w:jc w:val="right"/>
              <w:rPr>
                <w:rFonts w:cs="Calibri"/>
                <w:color w:val="000000"/>
              </w:rPr>
            </w:pPr>
          </w:p>
        </w:tc>
        <w:tc>
          <w:tcPr>
            <w:tcW w:w="0" w:type="auto"/>
            <w:tcBorders>
              <w:top w:val="nil"/>
              <w:right w:val="single" w:sz="4" w:space="0" w:color="auto"/>
            </w:tcBorders>
          </w:tcPr>
          <w:p w:rsidR="00A70A31" w:rsidRPr="00EB2995" w:rsidRDefault="00A70A31" w:rsidP="00A70A31">
            <w:pPr>
              <w:jc w:val="right"/>
              <w:rPr>
                <w:rFonts w:cs="Calibri"/>
                <w:color w:val="000000"/>
              </w:rPr>
            </w:pPr>
          </w:p>
        </w:tc>
        <w:tc>
          <w:tcPr>
            <w:tcW w:w="1454" w:type="dxa"/>
            <w:tcBorders>
              <w:left w:val="single" w:sz="4" w:space="0" w:color="auto"/>
              <w:bottom w:val="single" w:sz="4" w:space="0" w:color="auto"/>
              <w:right w:val="single" w:sz="4" w:space="0" w:color="auto"/>
            </w:tcBorders>
            <w:noWrap/>
            <w:vAlign w:val="center"/>
          </w:tcPr>
          <w:p w:rsidR="00A70A31" w:rsidRPr="00EB2995" w:rsidRDefault="00A70A31" w:rsidP="00A70A31">
            <w:pPr>
              <w:jc w:val="center"/>
              <w:rPr>
                <w:rFonts w:cs="Calibri"/>
                <w:color w:val="000000"/>
                <w:lang w:eastAsia="en-GB"/>
              </w:rPr>
            </w:pPr>
            <w:r w:rsidRPr="00EB2995">
              <w:rPr>
                <w:rFonts w:cs="Calibri"/>
                <w:color w:val="000000"/>
              </w:rPr>
              <w:t>(328.5)</w:t>
            </w:r>
          </w:p>
        </w:tc>
        <w:tc>
          <w:tcPr>
            <w:tcW w:w="0" w:type="auto"/>
            <w:tcBorders>
              <w:left w:val="single" w:sz="4" w:space="0" w:color="auto"/>
            </w:tcBorders>
            <w:noWrap/>
            <w:vAlign w:val="bottom"/>
          </w:tcPr>
          <w:p w:rsidR="00A70A31" w:rsidRPr="00EB2995" w:rsidRDefault="00A70A31" w:rsidP="00A70A31">
            <w:pPr>
              <w:jc w:val="right"/>
              <w:rPr>
                <w:rFonts w:cs="Calibri"/>
                <w:color w:val="000000"/>
                <w:lang w:eastAsia="en-GB"/>
              </w:rPr>
            </w:pPr>
          </w:p>
        </w:tc>
        <w:tc>
          <w:tcPr>
            <w:tcW w:w="4373" w:type="dxa"/>
            <w:gridSpan w:val="2"/>
            <w:vAlign w:val="center"/>
          </w:tcPr>
          <w:p w:rsidR="00A70A31" w:rsidRPr="00EB2995" w:rsidRDefault="00A70A31" w:rsidP="00A70A31">
            <w:pPr>
              <w:rPr>
                <w:rFonts w:cs="Calibri"/>
                <w:color w:val="000000"/>
                <w:lang w:eastAsia="en-GB"/>
              </w:rPr>
            </w:pPr>
            <w:r w:rsidRPr="00EB2995">
              <w:rPr>
                <w:rFonts w:cs="Calibri"/>
                <w:color w:val="000000"/>
                <w:lang w:eastAsia="en-GB"/>
              </w:rPr>
              <w:t xml:space="preserve">Taxation and non-specific grant income </w:t>
            </w:r>
          </w:p>
        </w:tc>
        <w:tc>
          <w:tcPr>
            <w:tcW w:w="997" w:type="dxa"/>
            <w:tcBorders>
              <w:right w:val="single" w:sz="4" w:space="0" w:color="auto"/>
            </w:tcBorders>
            <w:noWrap/>
            <w:vAlign w:val="center"/>
          </w:tcPr>
          <w:p w:rsidR="00A70A31" w:rsidRPr="00EB2995" w:rsidRDefault="00A70A31" w:rsidP="00A70A31">
            <w:pPr>
              <w:jc w:val="center"/>
              <w:rPr>
                <w:rFonts w:cs="Calibri"/>
                <w:color w:val="000000"/>
                <w:sz w:val="20"/>
                <w:szCs w:val="20"/>
                <w:lang w:eastAsia="en-GB"/>
              </w:rPr>
            </w:pPr>
          </w:p>
        </w:tc>
        <w:tc>
          <w:tcPr>
            <w:tcW w:w="1366" w:type="dxa"/>
            <w:tcBorders>
              <w:left w:val="single" w:sz="4" w:space="0" w:color="auto"/>
              <w:bottom w:val="single" w:sz="4" w:space="0" w:color="auto"/>
              <w:right w:val="single" w:sz="4" w:space="0" w:color="auto"/>
            </w:tcBorders>
            <w:shd w:val="clear" w:color="auto" w:fill="auto"/>
            <w:noWrap/>
            <w:vAlign w:val="center"/>
          </w:tcPr>
          <w:p w:rsidR="00A70A31" w:rsidRPr="00EB2995" w:rsidRDefault="00A70A31" w:rsidP="00A70A31">
            <w:pPr>
              <w:jc w:val="center"/>
              <w:rPr>
                <w:rFonts w:cs="Calibri"/>
                <w:color w:val="000000"/>
              </w:rPr>
            </w:pPr>
            <w:r>
              <w:rPr>
                <w:rFonts w:cs="Calibri"/>
                <w:color w:val="000000"/>
              </w:rPr>
              <w:t>(329.4)</w:t>
            </w:r>
          </w:p>
        </w:tc>
      </w:tr>
      <w:tr w:rsidR="0073204A" w:rsidRPr="00EB2995" w:rsidTr="00A70A31">
        <w:trPr>
          <w:gridAfter w:val="1"/>
          <w:wAfter w:w="481" w:type="dxa"/>
          <w:trHeight w:hRule="exact" w:val="454"/>
        </w:trPr>
        <w:tc>
          <w:tcPr>
            <w:tcW w:w="1419" w:type="dxa"/>
            <w:tcBorders>
              <w:top w:val="nil"/>
              <w:bottom w:val="nil"/>
            </w:tcBorders>
          </w:tcPr>
          <w:p w:rsidR="0073204A" w:rsidRPr="00EB2995" w:rsidRDefault="0073204A" w:rsidP="0073204A">
            <w:pPr>
              <w:jc w:val="right"/>
              <w:rPr>
                <w:rFonts w:cs="Calibri"/>
                <w:b/>
                <w:bCs/>
                <w:color w:val="000000"/>
              </w:rPr>
            </w:pPr>
          </w:p>
        </w:tc>
        <w:tc>
          <w:tcPr>
            <w:tcW w:w="0" w:type="auto"/>
            <w:tcBorders>
              <w:top w:val="nil"/>
              <w:bottom w:val="nil"/>
              <w:right w:val="single" w:sz="4" w:space="0" w:color="auto"/>
            </w:tcBorders>
          </w:tcPr>
          <w:p w:rsidR="0073204A" w:rsidRPr="00EB2995" w:rsidRDefault="0073204A" w:rsidP="0073204A">
            <w:pPr>
              <w:jc w:val="right"/>
              <w:rPr>
                <w:rFonts w:cs="Calibri"/>
                <w:b/>
                <w:bCs/>
                <w:color w:val="000000"/>
              </w:rPr>
            </w:pPr>
          </w:p>
        </w:tc>
        <w:tc>
          <w:tcPr>
            <w:tcW w:w="1454" w:type="dxa"/>
            <w:tcBorders>
              <w:top w:val="single" w:sz="4" w:space="0" w:color="auto"/>
              <w:left w:val="single" w:sz="4" w:space="0" w:color="auto"/>
              <w:bottom w:val="single" w:sz="4" w:space="0" w:color="auto"/>
              <w:right w:val="single" w:sz="4" w:space="0" w:color="auto"/>
            </w:tcBorders>
            <w:noWrap/>
            <w:vAlign w:val="center"/>
          </w:tcPr>
          <w:p w:rsidR="0073204A" w:rsidRPr="00EB2995" w:rsidRDefault="0073204A" w:rsidP="0073204A">
            <w:pPr>
              <w:jc w:val="center"/>
              <w:rPr>
                <w:rFonts w:cs="Calibri"/>
                <w:b/>
                <w:bCs/>
                <w:color w:val="000000"/>
                <w:lang w:eastAsia="en-GB"/>
              </w:rPr>
            </w:pPr>
            <w:r w:rsidRPr="00EB2995">
              <w:rPr>
                <w:rFonts w:cs="Calibri"/>
                <w:b/>
                <w:bCs/>
                <w:color w:val="000000"/>
              </w:rPr>
              <w:t>56.8</w:t>
            </w:r>
          </w:p>
        </w:tc>
        <w:tc>
          <w:tcPr>
            <w:tcW w:w="0" w:type="auto"/>
            <w:tcBorders>
              <w:left w:val="single" w:sz="4" w:space="0" w:color="auto"/>
            </w:tcBorders>
            <w:noWrap/>
            <w:vAlign w:val="bottom"/>
          </w:tcPr>
          <w:p w:rsidR="0073204A" w:rsidRPr="00EB2995" w:rsidRDefault="0073204A" w:rsidP="0073204A">
            <w:pPr>
              <w:jc w:val="right"/>
              <w:rPr>
                <w:rFonts w:cs="Calibri"/>
                <w:b/>
                <w:bCs/>
                <w:color w:val="000000"/>
                <w:lang w:eastAsia="en-GB"/>
              </w:rPr>
            </w:pPr>
          </w:p>
        </w:tc>
        <w:tc>
          <w:tcPr>
            <w:tcW w:w="4373" w:type="dxa"/>
            <w:gridSpan w:val="2"/>
            <w:vAlign w:val="center"/>
          </w:tcPr>
          <w:p w:rsidR="0073204A" w:rsidRPr="00EB2995" w:rsidRDefault="0073204A" w:rsidP="0073204A">
            <w:pPr>
              <w:rPr>
                <w:rFonts w:cs="Calibri"/>
                <w:b/>
                <w:bCs/>
                <w:color w:val="000000"/>
                <w:lang w:eastAsia="en-GB"/>
              </w:rPr>
            </w:pPr>
            <w:r w:rsidRPr="00EB2995">
              <w:rPr>
                <w:rFonts w:cs="Calibri"/>
                <w:b/>
                <w:bCs/>
                <w:color w:val="000000"/>
                <w:lang w:eastAsia="en-GB"/>
              </w:rPr>
              <w:t>(Surplus) or Deficit on Provision of Services</w:t>
            </w:r>
          </w:p>
        </w:tc>
        <w:tc>
          <w:tcPr>
            <w:tcW w:w="997" w:type="dxa"/>
            <w:tcBorders>
              <w:right w:val="single" w:sz="4" w:space="0" w:color="auto"/>
            </w:tcBorders>
            <w:noWrap/>
            <w:vAlign w:val="center"/>
          </w:tcPr>
          <w:p w:rsidR="0073204A" w:rsidRPr="00EB2995" w:rsidRDefault="0073204A" w:rsidP="0073204A">
            <w:pPr>
              <w:jc w:val="center"/>
              <w:rPr>
                <w:rFonts w:cs="Calibri"/>
                <w:b/>
                <w:bCs/>
                <w:color w:val="000000"/>
                <w:sz w:val="20"/>
                <w:szCs w:val="20"/>
                <w:lang w:eastAsia="en-GB"/>
              </w:rPr>
            </w:pPr>
          </w:p>
        </w:tc>
        <w:tc>
          <w:tcPr>
            <w:tcW w:w="13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204A" w:rsidRPr="00EB2995" w:rsidRDefault="0073204A" w:rsidP="0073204A">
            <w:pPr>
              <w:jc w:val="center"/>
              <w:rPr>
                <w:rFonts w:cs="Calibri"/>
                <w:b/>
                <w:bCs/>
                <w:color w:val="000000"/>
                <w:lang w:eastAsia="en-GB"/>
              </w:rPr>
            </w:pPr>
            <w:r>
              <w:rPr>
                <w:rFonts w:cs="Calibri"/>
                <w:b/>
                <w:bCs/>
                <w:color w:val="000000"/>
              </w:rPr>
              <w:t>(6.9)</w:t>
            </w:r>
          </w:p>
        </w:tc>
      </w:tr>
      <w:tr w:rsidR="0073204A" w:rsidRPr="00EB2995" w:rsidTr="007D0E47">
        <w:trPr>
          <w:gridAfter w:val="1"/>
          <w:wAfter w:w="481" w:type="dxa"/>
          <w:trHeight w:hRule="exact" w:val="805"/>
        </w:trPr>
        <w:tc>
          <w:tcPr>
            <w:tcW w:w="1419" w:type="dxa"/>
            <w:tcBorders>
              <w:top w:val="nil"/>
              <w:bottom w:val="nil"/>
            </w:tcBorders>
          </w:tcPr>
          <w:p w:rsidR="0073204A" w:rsidRPr="00EB2995" w:rsidRDefault="0073204A" w:rsidP="0073204A">
            <w:pPr>
              <w:jc w:val="right"/>
              <w:rPr>
                <w:rFonts w:cs="Calibri"/>
                <w:color w:val="000000"/>
              </w:rPr>
            </w:pPr>
          </w:p>
        </w:tc>
        <w:tc>
          <w:tcPr>
            <w:tcW w:w="0" w:type="auto"/>
            <w:tcBorders>
              <w:top w:val="nil"/>
              <w:bottom w:val="nil"/>
              <w:right w:val="single" w:sz="4" w:space="0" w:color="auto"/>
            </w:tcBorders>
          </w:tcPr>
          <w:p w:rsidR="0073204A" w:rsidRPr="00EB2995" w:rsidRDefault="0073204A" w:rsidP="0073204A">
            <w:pPr>
              <w:jc w:val="right"/>
              <w:rPr>
                <w:rFonts w:cs="Calibri"/>
                <w:color w:val="000000"/>
              </w:rPr>
            </w:pPr>
          </w:p>
        </w:tc>
        <w:tc>
          <w:tcPr>
            <w:tcW w:w="1454" w:type="dxa"/>
            <w:tcBorders>
              <w:top w:val="single" w:sz="4" w:space="0" w:color="auto"/>
              <w:left w:val="single" w:sz="4" w:space="0" w:color="auto"/>
              <w:right w:val="single" w:sz="4" w:space="0" w:color="auto"/>
            </w:tcBorders>
            <w:noWrap/>
            <w:vAlign w:val="center"/>
          </w:tcPr>
          <w:p w:rsidR="0073204A" w:rsidRPr="00EB2995" w:rsidRDefault="0073204A" w:rsidP="0073204A">
            <w:pPr>
              <w:jc w:val="center"/>
              <w:rPr>
                <w:rFonts w:cs="Calibri"/>
                <w:color w:val="000000"/>
                <w:lang w:eastAsia="en-GB"/>
              </w:rPr>
            </w:pPr>
            <w:r w:rsidRPr="00EB2995">
              <w:rPr>
                <w:rFonts w:cs="Calibri"/>
                <w:color w:val="000000"/>
              </w:rPr>
              <w:t>(98.3)</w:t>
            </w:r>
          </w:p>
        </w:tc>
        <w:tc>
          <w:tcPr>
            <w:tcW w:w="0" w:type="auto"/>
            <w:tcBorders>
              <w:left w:val="single" w:sz="4" w:space="0" w:color="auto"/>
            </w:tcBorders>
            <w:noWrap/>
            <w:vAlign w:val="bottom"/>
          </w:tcPr>
          <w:p w:rsidR="0073204A" w:rsidRPr="00EB2995" w:rsidRDefault="0073204A" w:rsidP="0073204A">
            <w:pPr>
              <w:jc w:val="right"/>
              <w:rPr>
                <w:rFonts w:cs="Calibri"/>
                <w:color w:val="000000"/>
                <w:lang w:eastAsia="en-GB"/>
              </w:rPr>
            </w:pPr>
          </w:p>
        </w:tc>
        <w:tc>
          <w:tcPr>
            <w:tcW w:w="4373" w:type="dxa"/>
            <w:gridSpan w:val="2"/>
            <w:vAlign w:val="center"/>
          </w:tcPr>
          <w:p w:rsidR="0073204A" w:rsidRPr="00EB2995" w:rsidRDefault="0073204A" w:rsidP="0073204A">
            <w:pPr>
              <w:rPr>
                <w:rFonts w:cs="Calibri"/>
                <w:color w:val="000000"/>
                <w:lang w:eastAsia="en-GB"/>
              </w:rPr>
            </w:pPr>
            <w:r w:rsidRPr="00EB2995">
              <w:rPr>
                <w:rFonts w:cs="Calibri"/>
                <w:color w:val="000000"/>
                <w:lang w:eastAsia="en-GB"/>
              </w:rPr>
              <w:t>(Surplus) or deficit on revaluation of Property, Plant and Equipment assets</w:t>
            </w:r>
          </w:p>
        </w:tc>
        <w:tc>
          <w:tcPr>
            <w:tcW w:w="997" w:type="dxa"/>
            <w:tcBorders>
              <w:right w:val="single" w:sz="4" w:space="0" w:color="auto"/>
            </w:tcBorders>
            <w:noWrap/>
            <w:vAlign w:val="center"/>
          </w:tcPr>
          <w:p w:rsidR="0073204A" w:rsidRPr="00EB2995" w:rsidRDefault="0073204A" w:rsidP="0073204A">
            <w:pPr>
              <w:jc w:val="center"/>
              <w:rPr>
                <w:rFonts w:cs="Calibri"/>
                <w:color w:val="000000"/>
                <w:sz w:val="20"/>
                <w:szCs w:val="20"/>
                <w:lang w:eastAsia="en-GB"/>
              </w:rPr>
            </w:pPr>
          </w:p>
        </w:tc>
        <w:tc>
          <w:tcPr>
            <w:tcW w:w="1366" w:type="dxa"/>
            <w:tcBorders>
              <w:top w:val="single" w:sz="4" w:space="0" w:color="auto"/>
              <w:left w:val="single" w:sz="4" w:space="0" w:color="auto"/>
              <w:right w:val="single" w:sz="4" w:space="0" w:color="auto"/>
            </w:tcBorders>
            <w:shd w:val="clear" w:color="auto" w:fill="auto"/>
            <w:noWrap/>
            <w:vAlign w:val="center"/>
          </w:tcPr>
          <w:p w:rsidR="0073204A" w:rsidRPr="00EB2995" w:rsidRDefault="0073204A" w:rsidP="0073204A">
            <w:pPr>
              <w:jc w:val="center"/>
              <w:rPr>
                <w:rFonts w:cs="Calibri"/>
                <w:color w:val="000000"/>
              </w:rPr>
            </w:pPr>
            <w:r>
              <w:rPr>
                <w:rFonts w:cs="Calibri"/>
                <w:color w:val="000000"/>
              </w:rPr>
              <w:t>(210.1)</w:t>
            </w:r>
          </w:p>
        </w:tc>
      </w:tr>
      <w:tr w:rsidR="0073204A" w:rsidRPr="00EB2995" w:rsidTr="007D0E47">
        <w:trPr>
          <w:gridAfter w:val="1"/>
          <w:wAfter w:w="481" w:type="dxa"/>
          <w:trHeight w:hRule="exact" w:val="692"/>
        </w:trPr>
        <w:tc>
          <w:tcPr>
            <w:tcW w:w="1419" w:type="dxa"/>
            <w:tcBorders>
              <w:top w:val="nil"/>
              <w:bottom w:val="nil"/>
            </w:tcBorders>
          </w:tcPr>
          <w:p w:rsidR="0073204A" w:rsidRPr="00EB2995" w:rsidRDefault="0073204A" w:rsidP="0073204A">
            <w:pPr>
              <w:jc w:val="right"/>
              <w:rPr>
                <w:rFonts w:cs="Calibri"/>
                <w:color w:val="000000"/>
              </w:rPr>
            </w:pPr>
          </w:p>
        </w:tc>
        <w:tc>
          <w:tcPr>
            <w:tcW w:w="0" w:type="auto"/>
            <w:tcBorders>
              <w:top w:val="nil"/>
              <w:bottom w:val="nil"/>
              <w:right w:val="single" w:sz="4" w:space="0" w:color="auto"/>
            </w:tcBorders>
          </w:tcPr>
          <w:p w:rsidR="0073204A" w:rsidRPr="00EB2995" w:rsidRDefault="0073204A" w:rsidP="0073204A">
            <w:pPr>
              <w:jc w:val="right"/>
              <w:rPr>
                <w:rFonts w:cs="Calibri"/>
                <w:color w:val="000000"/>
              </w:rPr>
            </w:pPr>
          </w:p>
        </w:tc>
        <w:tc>
          <w:tcPr>
            <w:tcW w:w="1454" w:type="dxa"/>
            <w:tcBorders>
              <w:left w:val="single" w:sz="4" w:space="0" w:color="auto"/>
              <w:bottom w:val="single" w:sz="4" w:space="0" w:color="auto"/>
              <w:right w:val="single" w:sz="4" w:space="0" w:color="auto"/>
            </w:tcBorders>
            <w:noWrap/>
            <w:vAlign w:val="center"/>
          </w:tcPr>
          <w:p w:rsidR="0073204A" w:rsidRPr="00EB2995" w:rsidRDefault="0073204A" w:rsidP="0073204A">
            <w:pPr>
              <w:jc w:val="center"/>
              <w:rPr>
                <w:rFonts w:cs="Calibri"/>
                <w:color w:val="000000"/>
                <w:lang w:eastAsia="en-GB"/>
              </w:rPr>
            </w:pPr>
            <w:r w:rsidRPr="00EB2995">
              <w:rPr>
                <w:rFonts w:cs="Calibri"/>
                <w:color w:val="000000"/>
              </w:rPr>
              <w:t>56.6</w:t>
            </w:r>
          </w:p>
        </w:tc>
        <w:tc>
          <w:tcPr>
            <w:tcW w:w="0" w:type="auto"/>
            <w:tcBorders>
              <w:left w:val="single" w:sz="4" w:space="0" w:color="auto"/>
            </w:tcBorders>
            <w:noWrap/>
            <w:vAlign w:val="bottom"/>
          </w:tcPr>
          <w:p w:rsidR="0073204A" w:rsidRPr="00EB2995" w:rsidRDefault="0073204A" w:rsidP="0073204A">
            <w:pPr>
              <w:jc w:val="right"/>
              <w:rPr>
                <w:rFonts w:cs="Calibri"/>
                <w:color w:val="000000"/>
                <w:lang w:eastAsia="en-GB"/>
              </w:rPr>
            </w:pPr>
          </w:p>
        </w:tc>
        <w:tc>
          <w:tcPr>
            <w:tcW w:w="4373" w:type="dxa"/>
            <w:gridSpan w:val="2"/>
            <w:vAlign w:val="center"/>
          </w:tcPr>
          <w:p w:rsidR="0073204A" w:rsidRPr="00EB2995" w:rsidRDefault="0073204A" w:rsidP="0073204A">
            <w:pPr>
              <w:rPr>
                <w:rFonts w:cs="Calibri"/>
                <w:color w:val="000000"/>
                <w:lang w:eastAsia="en-GB"/>
              </w:rPr>
            </w:pPr>
            <w:r w:rsidRPr="00EB2995">
              <w:rPr>
                <w:rFonts w:cs="Calibri"/>
                <w:color w:val="000000"/>
                <w:lang w:eastAsia="en-GB"/>
              </w:rPr>
              <w:t>Actuarial (gains)/losses on pension assets and liabilities</w:t>
            </w:r>
          </w:p>
        </w:tc>
        <w:tc>
          <w:tcPr>
            <w:tcW w:w="997" w:type="dxa"/>
            <w:tcBorders>
              <w:right w:val="single" w:sz="4" w:space="0" w:color="auto"/>
            </w:tcBorders>
            <w:noWrap/>
            <w:vAlign w:val="center"/>
          </w:tcPr>
          <w:p w:rsidR="0073204A" w:rsidRPr="00EB2995" w:rsidRDefault="0073204A" w:rsidP="0073204A">
            <w:pPr>
              <w:jc w:val="center"/>
              <w:rPr>
                <w:rFonts w:cs="Calibri"/>
                <w:color w:val="000000"/>
                <w:sz w:val="20"/>
                <w:szCs w:val="20"/>
                <w:lang w:eastAsia="en-GB"/>
              </w:rPr>
            </w:pPr>
          </w:p>
        </w:tc>
        <w:tc>
          <w:tcPr>
            <w:tcW w:w="1366" w:type="dxa"/>
            <w:tcBorders>
              <w:left w:val="single" w:sz="4" w:space="0" w:color="auto"/>
              <w:bottom w:val="single" w:sz="4" w:space="0" w:color="auto"/>
              <w:right w:val="single" w:sz="4" w:space="0" w:color="auto"/>
            </w:tcBorders>
            <w:shd w:val="clear" w:color="auto" w:fill="auto"/>
            <w:noWrap/>
            <w:vAlign w:val="center"/>
          </w:tcPr>
          <w:p w:rsidR="0073204A" w:rsidRPr="00EB2995" w:rsidRDefault="0073204A" w:rsidP="0073204A">
            <w:pPr>
              <w:jc w:val="center"/>
              <w:rPr>
                <w:rFonts w:cs="Calibri"/>
                <w:color w:val="000000"/>
              </w:rPr>
            </w:pPr>
            <w:r>
              <w:rPr>
                <w:rFonts w:cs="Calibri"/>
                <w:color w:val="000000"/>
              </w:rPr>
              <w:t>(288.6)</w:t>
            </w:r>
          </w:p>
        </w:tc>
      </w:tr>
      <w:tr w:rsidR="0073204A" w:rsidRPr="00EB2995" w:rsidTr="007D0E47">
        <w:trPr>
          <w:gridAfter w:val="1"/>
          <w:wAfter w:w="481" w:type="dxa"/>
          <w:trHeight w:hRule="exact" w:val="868"/>
        </w:trPr>
        <w:tc>
          <w:tcPr>
            <w:tcW w:w="1419" w:type="dxa"/>
          </w:tcPr>
          <w:p w:rsidR="0073204A" w:rsidRPr="00EB2995" w:rsidRDefault="0073204A" w:rsidP="0073204A">
            <w:pPr>
              <w:jc w:val="right"/>
              <w:rPr>
                <w:rFonts w:cs="Calibri"/>
                <w:b/>
                <w:bCs/>
                <w:color w:val="000000"/>
              </w:rPr>
            </w:pPr>
          </w:p>
        </w:tc>
        <w:tc>
          <w:tcPr>
            <w:tcW w:w="0" w:type="auto"/>
            <w:tcBorders>
              <w:right w:val="single" w:sz="4" w:space="0" w:color="auto"/>
            </w:tcBorders>
          </w:tcPr>
          <w:p w:rsidR="0073204A" w:rsidRPr="00EB2995" w:rsidRDefault="0073204A" w:rsidP="0073204A">
            <w:pPr>
              <w:jc w:val="right"/>
              <w:rPr>
                <w:rFonts w:cs="Calibri"/>
                <w:b/>
                <w:bCs/>
                <w:color w:val="000000"/>
              </w:rPr>
            </w:pPr>
          </w:p>
        </w:tc>
        <w:tc>
          <w:tcPr>
            <w:tcW w:w="1454" w:type="dxa"/>
            <w:tcBorders>
              <w:top w:val="single" w:sz="4" w:space="0" w:color="auto"/>
              <w:left w:val="single" w:sz="4" w:space="0" w:color="auto"/>
              <w:bottom w:val="single" w:sz="4" w:space="0" w:color="auto"/>
              <w:right w:val="single" w:sz="4" w:space="0" w:color="auto"/>
            </w:tcBorders>
            <w:noWrap/>
            <w:vAlign w:val="center"/>
          </w:tcPr>
          <w:p w:rsidR="0073204A" w:rsidRPr="00EB2995" w:rsidRDefault="0073204A" w:rsidP="0073204A">
            <w:pPr>
              <w:jc w:val="center"/>
              <w:rPr>
                <w:rFonts w:cs="Calibri"/>
                <w:b/>
                <w:bCs/>
                <w:color w:val="000000"/>
                <w:lang w:eastAsia="en-GB"/>
              </w:rPr>
            </w:pPr>
            <w:r w:rsidRPr="00EB2995">
              <w:rPr>
                <w:rFonts w:cs="Calibri"/>
                <w:b/>
                <w:bCs/>
                <w:color w:val="000000"/>
              </w:rPr>
              <w:t>(41.7)</w:t>
            </w:r>
          </w:p>
        </w:tc>
        <w:tc>
          <w:tcPr>
            <w:tcW w:w="0" w:type="auto"/>
            <w:tcBorders>
              <w:left w:val="single" w:sz="4" w:space="0" w:color="auto"/>
            </w:tcBorders>
            <w:noWrap/>
            <w:vAlign w:val="bottom"/>
          </w:tcPr>
          <w:p w:rsidR="0073204A" w:rsidRPr="00EB2995" w:rsidRDefault="0073204A" w:rsidP="0073204A">
            <w:pPr>
              <w:jc w:val="right"/>
              <w:rPr>
                <w:rFonts w:cs="Calibri"/>
                <w:b/>
                <w:bCs/>
                <w:color w:val="000000"/>
                <w:lang w:eastAsia="en-GB"/>
              </w:rPr>
            </w:pPr>
          </w:p>
        </w:tc>
        <w:tc>
          <w:tcPr>
            <w:tcW w:w="2484" w:type="dxa"/>
            <w:vAlign w:val="center"/>
          </w:tcPr>
          <w:p w:rsidR="0073204A" w:rsidRPr="00EB2995" w:rsidRDefault="0073204A" w:rsidP="0073204A">
            <w:pPr>
              <w:rPr>
                <w:rFonts w:cs="Calibri"/>
                <w:b/>
                <w:bCs/>
                <w:color w:val="000000"/>
                <w:lang w:eastAsia="en-GB"/>
              </w:rPr>
            </w:pPr>
            <w:r w:rsidRPr="00EB2995">
              <w:rPr>
                <w:rFonts w:cs="Calibri"/>
                <w:b/>
                <w:bCs/>
                <w:color w:val="000000"/>
                <w:lang w:eastAsia="en-GB"/>
              </w:rPr>
              <w:t>Other Comprehensive Income and Expenditure</w:t>
            </w:r>
          </w:p>
        </w:tc>
        <w:tc>
          <w:tcPr>
            <w:tcW w:w="0" w:type="auto"/>
            <w:tcBorders>
              <w:left w:val="nil"/>
            </w:tcBorders>
            <w:noWrap/>
            <w:vAlign w:val="center"/>
          </w:tcPr>
          <w:p w:rsidR="0073204A" w:rsidRPr="00EB2995" w:rsidRDefault="0073204A" w:rsidP="0073204A">
            <w:pPr>
              <w:rPr>
                <w:rFonts w:cs="Calibri"/>
                <w:b/>
                <w:bCs/>
                <w:color w:val="000000"/>
                <w:lang w:eastAsia="en-GB"/>
              </w:rPr>
            </w:pPr>
          </w:p>
        </w:tc>
        <w:tc>
          <w:tcPr>
            <w:tcW w:w="997" w:type="dxa"/>
            <w:tcBorders>
              <w:right w:val="single" w:sz="4" w:space="0" w:color="auto"/>
            </w:tcBorders>
            <w:noWrap/>
            <w:vAlign w:val="center"/>
          </w:tcPr>
          <w:p w:rsidR="0073204A" w:rsidRPr="00EB2995" w:rsidRDefault="0073204A" w:rsidP="0073204A">
            <w:pPr>
              <w:rPr>
                <w:rFonts w:cs="Calibri"/>
                <w:b/>
                <w:bCs/>
                <w:color w:val="000000"/>
              </w:rPr>
            </w:pPr>
          </w:p>
        </w:tc>
        <w:tc>
          <w:tcPr>
            <w:tcW w:w="13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204A" w:rsidRPr="00EB2995" w:rsidRDefault="0073204A" w:rsidP="0073204A">
            <w:pPr>
              <w:jc w:val="center"/>
              <w:rPr>
                <w:rFonts w:cs="Calibri"/>
                <w:b/>
                <w:bCs/>
                <w:color w:val="000000"/>
              </w:rPr>
            </w:pPr>
            <w:r>
              <w:rPr>
                <w:rFonts w:cs="Calibri"/>
                <w:b/>
                <w:bCs/>
                <w:color w:val="000000"/>
              </w:rPr>
              <w:t>(498.7)</w:t>
            </w:r>
          </w:p>
        </w:tc>
      </w:tr>
      <w:tr w:rsidR="00A70A31" w:rsidRPr="00EB2995" w:rsidTr="007D0E47">
        <w:trPr>
          <w:gridAfter w:val="1"/>
          <w:wAfter w:w="481" w:type="dxa"/>
          <w:trHeight w:hRule="exact" w:val="710"/>
        </w:trPr>
        <w:tc>
          <w:tcPr>
            <w:tcW w:w="1419" w:type="dxa"/>
            <w:tcBorders>
              <w:top w:val="nil"/>
            </w:tcBorders>
          </w:tcPr>
          <w:p w:rsidR="00A70A31" w:rsidRPr="00EB2995" w:rsidRDefault="00A70A31" w:rsidP="00A70A31">
            <w:pPr>
              <w:jc w:val="right"/>
              <w:rPr>
                <w:rFonts w:cs="Calibri"/>
                <w:b/>
                <w:bCs/>
                <w:color w:val="000000"/>
                <w:lang w:eastAsia="en-GB"/>
              </w:rPr>
            </w:pPr>
          </w:p>
        </w:tc>
        <w:tc>
          <w:tcPr>
            <w:tcW w:w="0" w:type="auto"/>
            <w:tcBorders>
              <w:top w:val="nil"/>
              <w:right w:val="single" w:sz="4" w:space="0" w:color="auto"/>
            </w:tcBorders>
          </w:tcPr>
          <w:p w:rsidR="00A70A31" w:rsidRPr="00EB2995" w:rsidRDefault="00A70A31" w:rsidP="00A70A31">
            <w:pPr>
              <w:jc w:val="right"/>
              <w:rPr>
                <w:rFonts w:cs="Calibri"/>
                <w:b/>
                <w:bCs/>
                <w:color w:val="000000"/>
                <w:lang w:eastAsia="en-GB"/>
              </w:rPr>
            </w:pPr>
          </w:p>
        </w:tc>
        <w:tc>
          <w:tcPr>
            <w:tcW w:w="1454" w:type="dxa"/>
            <w:tcBorders>
              <w:top w:val="single" w:sz="4" w:space="0" w:color="auto"/>
              <w:left w:val="single" w:sz="4" w:space="0" w:color="auto"/>
              <w:bottom w:val="single" w:sz="4" w:space="0" w:color="auto"/>
              <w:right w:val="single" w:sz="4" w:space="0" w:color="auto"/>
            </w:tcBorders>
            <w:noWrap/>
            <w:vAlign w:val="center"/>
          </w:tcPr>
          <w:p w:rsidR="00A70A31" w:rsidRPr="00EB2995" w:rsidRDefault="00A70A31" w:rsidP="00A70A31">
            <w:pPr>
              <w:jc w:val="center"/>
              <w:rPr>
                <w:rFonts w:cs="Calibri"/>
                <w:b/>
                <w:bCs/>
                <w:color w:val="000000"/>
                <w:lang w:eastAsia="en-GB"/>
              </w:rPr>
            </w:pPr>
            <w:r w:rsidRPr="00EB2995">
              <w:rPr>
                <w:rFonts w:cs="Calibri"/>
                <w:b/>
                <w:bCs/>
                <w:color w:val="000000"/>
              </w:rPr>
              <w:t>(15.1)</w:t>
            </w:r>
          </w:p>
        </w:tc>
        <w:tc>
          <w:tcPr>
            <w:tcW w:w="0" w:type="auto"/>
            <w:tcBorders>
              <w:left w:val="single" w:sz="4" w:space="0" w:color="auto"/>
              <w:bottom w:val="nil"/>
            </w:tcBorders>
            <w:noWrap/>
            <w:vAlign w:val="bottom"/>
          </w:tcPr>
          <w:p w:rsidR="00A70A31" w:rsidRPr="00EB2995" w:rsidRDefault="00A70A31" w:rsidP="00A70A31">
            <w:pPr>
              <w:jc w:val="right"/>
              <w:rPr>
                <w:rFonts w:cs="Calibri"/>
                <w:b/>
                <w:bCs/>
                <w:color w:val="000000"/>
                <w:lang w:eastAsia="en-GB"/>
              </w:rPr>
            </w:pPr>
          </w:p>
        </w:tc>
        <w:tc>
          <w:tcPr>
            <w:tcW w:w="2484" w:type="dxa"/>
            <w:tcBorders>
              <w:bottom w:val="nil"/>
            </w:tcBorders>
            <w:vAlign w:val="center"/>
          </w:tcPr>
          <w:p w:rsidR="00A70A31" w:rsidRPr="00EB2995" w:rsidRDefault="00A70A31" w:rsidP="00A70A31">
            <w:pPr>
              <w:rPr>
                <w:rFonts w:cs="Calibri"/>
                <w:b/>
                <w:bCs/>
                <w:color w:val="000000"/>
                <w:lang w:eastAsia="en-GB"/>
              </w:rPr>
            </w:pPr>
            <w:r w:rsidRPr="00EB2995">
              <w:rPr>
                <w:rFonts w:cs="Calibri"/>
                <w:b/>
                <w:bCs/>
                <w:color w:val="000000"/>
                <w:lang w:eastAsia="en-GB"/>
              </w:rPr>
              <w:t>Total Comprehensive Income and Expenditure</w:t>
            </w:r>
          </w:p>
        </w:tc>
        <w:tc>
          <w:tcPr>
            <w:tcW w:w="2886" w:type="dxa"/>
            <w:gridSpan w:val="2"/>
            <w:tcBorders>
              <w:left w:val="nil"/>
              <w:right w:val="single" w:sz="4" w:space="0" w:color="auto"/>
            </w:tcBorders>
            <w:noWrap/>
            <w:vAlign w:val="center"/>
          </w:tcPr>
          <w:p w:rsidR="00A70A31" w:rsidRPr="00EB2995" w:rsidRDefault="00A70A31" w:rsidP="00A70A31">
            <w:pPr>
              <w:rPr>
                <w:rFonts w:cs="Calibri"/>
                <w:b/>
                <w:bCs/>
                <w:color w:val="000000"/>
                <w:lang w:eastAsia="en-GB"/>
              </w:rPr>
            </w:pPr>
          </w:p>
        </w:tc>
        <w:tc>
          <w:tcPr>
            <w:tcW w:w="1366" w:type="dxa"/>
            <w:tcBorders>
              <w:top w:val="single" w:sz="4" w:space="0" w:color="auto"/>
              <w:left w:val="single" w:sz="4" w:space="0" w:color="auto"/>
              <w:bottom w:val="single" w:sz="4" w:space="0" w:color="auto"/>
              <w:right w:val="single" w:sz="4" w:space="0" w:color="auto"/>
            </w:tcBorders>
            <w:noWrap/>
            <w:vAlign w:val="center"/>
          </w:tcPr>
          <w:p w:rsidR="00A70A31" w:rsidRPr="00A44970" w:rsidRDefault="0073204A" w:rsidP="00A70A31">
            <w:pPr>
              <w:jc w:val="center"/>
              <w:rPr>
                <w:rFonts w:cs="Calibri"/>
                <w:b/>
                <w:bCs/>
                <w:color w:val="000000"/>
                <w:lang w:eastAsia="en-GB"/>
              </w:rPr>
            </w:pPr>
            <w:r>
              <w:rPr>
                <w:rFonts w:cs="Calibri"/>
                <w:b/>
                <w:bCs/>
                <w:color w:val="000000"/>
              </w:rPr>
              <w:t>(505</w:t>
            </w:r>
            <w:r w:rsidR="00A70A31">
              <w:rPr>
                <w:rFonts w:cs="Calibri"/>
                <w:b/>
                <w:bCs/>
                <w:color w:val="000000"/>
              </w:rPr>
              <w:t>.6)</w:t>
            </w:r>
          </w:p>
        </w:tc>
      </w:tr>
    </w:tbl>
    <w:p w:rsidR="00F72906" w:rsidRDefault="00F72906" w:rsidP="00F72906"/>
    <w:p w:rsidR="0073204A" w:rsidRPr="00EB2995" w:rsidRDefault="00F72906" w:rsidP="0073204A">
      <w:pPr>
        <w:rPr>
          <w:rFonts w:cs="Calibri"/>
          <w:iCs/>
          <w:color w:val="000000"/>
          <w:sz w:val="23"/>
          <w:szCs w:val="23"/>
        </w:rPr>
      </w:pPr>
      <w:r>
        <w:lastRenderedPageBreak/>
        <w:t> </w:t>
      </w:r>
      <w:r w:rsidR="0073204A">
        <w:rPr>
          <w:rFonts w:cs="Calibri"/>
          <w:iCs/>
          <w:color w:val="000000"/>
          <w:sz w:val="23"/>
          <w:szCs w:val="23"/>
        </w:rPr>
        <w:t>*The prior year figures has been restated for Brent Council’s 2019/20 Corporate Restructuring, whereby the Assistant Chief Executive, Chief Executive Department and Customer &amp; Digital Services Directorates has been created to replace the Resource Department and Performance, Policy &amp; Partnership Directorates.</w:t>
      </w:r>
    </w:p>
    <w:p w:rsidR="00F72906" w:rsidRDefault="00F72906" w:rsidP="00F72906"/>
    <w:p w:rsidR="00F72906" w:rsidRDefault="00F72906" w:rsidP="007D0E47">
      <w:pPr>
        <w:pStyle w:val="Heading2"/>
      </w:pPr>
      <w:bookmarkStart w:id="28" w:name="_Toc61870298"/>
      <w:r>
        <w:t>Group Cashflow Statement</w:t>
      </w:r>
      <w:bookmarkEnd w:id="28"/>
      <w:r>
        <w:tab/>
      </w:r>
      <w:r>
        <w:tab/>
      </w:r>
    </w:p>
    <w:tbl>
      <w:tblPr>
        <w:tblW w:w="9356" w:type="dxa"/>
        <w:tblLook w:val="04A0" w:firstRow="1" w:lastRow="0" w:firstColumn="1" w:lastColumn="0" w:noHBand="0" w:noVBand="1"/>
      </w:tblPr>
      <w:tblGrid>
        <w:gridCol w:w="1418"/>
        <w:gridCol w:w="5360"/>
        <w:gridCol w:w="1160"/>
        <w:gridCol w:w="1418"/>
      </w:tblGrid>
      <w:tr w:rsidR="007D0E47" w:rsidRPr="00EB2995" w:rsidTr="0023590A">
        <w:trPr>
          <w:trHeight w:val="375"/>
        </w:trPr>
        <w:tc>
          <w:tcPr>
            <w:tcW w:w="6778" w:type="dxa"/>
            <w:gridSpan w:val="2"/>
            <w:tcBorders>
              <w:top w:val="nil"/>
              <w:left w:val="nil"/>
              <w:bottom w:val="nil"/>
              <w:right w:val="nil"/>
            </w:tcBorders>
            <w:shd w:val="clear" w:color="auto" w:fill="auto"/>
            <w:noWrap/>
            <w:vAlign w:val="bottom"/>
            <w:hideMark/>
          </w:tcPr>
          <w:p w:rsidR="007D0E47" w:rsidRPr="00EB2995" w:rsidRDefault="007D0E47" w:rsidP="0023590A">
            <w:pPr>
              <w:rPr>
                <w:rFonts w:cs="Calibri"/>
                <w:color w:val="FF33CC"/>
              </w:rPr>
            </w:pPr>
          </w:p>
        </w:tc>
        <w:tc>
          <w:tcPr>
            <w:tcW w:w="1160" w:type="dxa"/>
            <w:tcBorders>
              <w:top w:val="nil"/>
              <w:left w:val="nil"/>
              <w:bottom w:val="nil"/>
              <w:right w:val="nil"/>
            </w:tcBorders>
            <w:shd w:val="clear" w:color="auto" w:fill="auto"/>
            <w:noWrap/>
            <w:vAlign w:val="bottom"/>
            <w:hideMark/>
          </w:tcPr>
          <w:p w:rsidR="007D0E47" w:rsidRPr="00EB2995" w:rsidRDefault="007D0E47" w:rsidP="0023590A">
            <w:pPr>
              <w:rPr>
                <w:rFonts w:cs="Calibri"/>
                <w:b/>
                <w:bCs/>
                <w:color w:val="000000"/>
                <w:sz w:val="28"/>
                <w:szCs w:val="28"/>
                <w:lang w:eastAsia="en-GB"/>
              </w:rPr>
            </w:pPr>
          </w:p>
        </w:tc>
        <w:tc>
          <w:tcPr>
            <w:tcW w:w="1418" w:type="dxa"/>
            <w:tcBorders>
              <w:top w:val="nil"/>
              <w:left w:val="nil"/>
              <w:bottom w:val="nil"/>
              <w:right w:val="nil"/>
            </w:tcBorders>
            <w:shd w:val="clear" w:color="auto" w:fill="auto"/>
            <w:noWrap/>
            <w:vAlign w:val="bottom"/>
            <w:hideMark/>
          </w:tcPr>
          <w:p w:rsidR="007D0E47" w:rsidRPr="00EB2995" w:rsidRDefault="007D0E47" w:rsidP="0023590A">
            <w:pPr>
              <w:rPr>
                <w:rFonts w:cs="Calibri"/>
                <w:sz w:val="20"/>
                <w:szCs w:val="20"/>
                <w:lang w:eastAsia="en-GB"/>
              </w:rPr>
            </w:pPr>
          </w:p>
        </w:tc>
      </w:tr>
      <w:tr w:rsidR="007D0E47" w:rsidRPr="00EB2995" w:rsidTr="0023590A">
        <w:trPr>
          <w:trHeight w:val="300"/>
        </w:trPr>
        <w:tc>
          <w:tcPr>
            <w:tcW w:w="1418" w:type="dxa"/>
            <w:tcBorders>
              <w:top w:val="nil"/>
              <w:left w:val="nil"/>
              <w:bottom w:val="nil"/>
              <w:right w:val="nil"/>
            </w:tcBorders>
            <w:shd w:val="clear" w:color="auto" w:fill="auto"/>
            <w:noWrap/>
            <w:vAlign w:val="center"/>
            <w:hideMark/>
          </w:tcPr>
          <w:p w:rsidR="007D0E47" w:rsidRPr="00EB2995" w:rsidRDefault="007D0E47" w:rsidP="0023590A">
            <w:pPr>
              <w:jc w:val="right"/>
              <w:rPr>
                <w:rFonts w:cs="Calibri"/>
                <w:b/>
                <w:bCs/>
                <w:color w:val="000000"/>
                <w:lang w:eastAsia="en-GB"/>
              </w:rPr>
            </w:pPr>
            <w:r w:rsidRPr="00EB2995">
              <w:rPr>
                <w:rFonts w:cs="Calibri"/>
                <w:b/>
                <w:bCs/>
                <w:color w:val="000000"/>
                <w:lang w:eastAsia="en-GB"/>
              </w:rPr>
              <w:t>2018/19</w:t>
            </w:r>
          </w:p>
        </w:tc>
        <w:tc>
          <w:tcPr>
            <w:tcW w:w="5360" w:type="dxa"/>
            <w:tcBorders>
              <w:top w:val="nil"/>
              <w:left w:val="nil"/>
              <w:bottom w:val="nil"/>
              <w:right w:val="nil"/>
            </w:tcBorders>
            <w:shd w:val="clear" w:color="auto" w:fill="auto"/>
            <w:vAlign w:val="center"/>
            <w:hideMark/>
          </w:tcPr>
          <w:p w:rsidR="007D0E47" w:rsidRPr="00EB2995" w:rsidRDefault="007D0E47" w:rsidP="0023590A">
            <w:pPr>
              <w:jc w:val="right"/>
              <w:rPr>
                <w:rFonts w:cs="Calibri"/>
                <w:b/>
                <w:bCs/>
                <w:color w:val="000000"/>
                <w:lang w:eastAsia="en-GB"/>
              </w:rPr>
            </w:pPr>
          </w:p>
        </w:tc>
        <w:tc>
          <w:tcPr>
            <w:tcW w:w="1160" w:type="dxa"/>
            <w:tcBorders>
              <w:top w:val="nil"/>
              <w:left w:val="nil"/>
              <w:bottom w:val="nil"/>
              <w:right w:val="nil"/>
            </w:tcBorders>
            <w:shd w:val="clear" w:color="auto" w:fill="auto"/>
            <w:vAlign w:val="center"/>
            <w:hideMark/>
          </w:tcPr>
          <w:p w:rsidR="007D0E47" w:rsidRPr="00EB2995" w:rsidRDefault="007D0E47" w:rsidP="0023590A">
            <w:pPr>
              <w:jc w:val="right"/>
              <w:rPr>
                <w:rFonts w:cs="Calibri"/>
                <w:sz w:val="20"/>
                <w:szCs w:val="20"/>
                <w:lang w:eastAsia="en-GB"/>
              </w:rPr>
            </w:pPr>
          </w:p>
        </w:tc>
        <w:tc>
          <w:tcPr>
            <w:tcW w:w="1418" w:type="dxa"/>
            <w:tcBorders>
              <w:top w:val="nil"/>
              <w:left w:val="nil"/>
              <w:bottom w:val="nil"/>
              <w:right w:val="nil"/>
            </w:tcBorders>
            <w:shd w:val="clear" w:color="auto" w:fill="auto"/>
            <w:noWrap/>
            <w:vAlign w:val="center"/>
            <w:hideMark/>
          </w:tcPr>
          <w:p w:rsidR="007D0E47" w:rsidRPr="00EB2995" w:rsidRDefault="007D0E47" w:rsidP="0023590A">
            <w:pPr>
              <w:jc w:val="right"/>
              <w:rPr>
                <w:rFonts w:cs="Calibri"/>
                <w:b/>
                <w:bCs/>
                <w:color w:val="000000"/>
                <w:lang w:eastAsia="en-GB"/>
              </w:rPr>
            </w:pPr>
            <w:r w:rsidRPr="00EB2995">
              <w:rPr>
                <w:rFonts w:cs="Calibri"/>
                <w:b/>
                <w:bCs/>
                <w:color w:val="000000"/>
                <w:lang w:eastAsia="en-GB"/>
              </w:rPr>
              <w:t>2019/20</w:t>
            </w:r>
          </w:p>
        </w:tc>
      </w:tr>
      <w:tr w:rsidR="007D0E47" w:rsidRPr="00EB2995" w:rsidTr="0023590A">
        <w:trPr>
          <w:trHeight w:val="315"/>
        </w:trPr>
        <w:tc>
          <w:tcPr>
            <w:tcW w:w="1418" w:type="dxa"/>
            <w:tcBorders>
              <w:top w:val="nil"/>
              <w:left w:val="nil"/>
              <w:bottom w:val="single" w:sz="4" w:space="0" w:color="auto"/>
              <w:right w:val="nil"/>
            </w:tcBorders>
            <w:shd w:val="clear" w:color="auto" w:fill="auto"/>
            <w:noWrap/>
            <w:vAlign w:val="center"/>
            <w:hideMark/>
          </w:tcPr>
          <w:p w:rsidR="007D0E47" w:rsidRPr="00EB2995" w:rsidRDefault="007D0E47" w:rsidP="0023590A">
            <w:pPr>
              <w:jc w:val="right"/>
              <w:rPr>
                <w:rFonts w:cs="Calibri"/>
                <w:b/>
                <w:bCs/>
                <w:color w:val="000000"/>
                <w:lang w:eastAsia="en-GB"/>
              </w:rPr>
            </w:pPr>
            <w:r w:rsidRPr="00EB2995">
              <w:rPr>
                <w:rFonts w:cs="Calibri"/>
                <w:b/>
                <w:bCs/>
                <w:color w:val="000000"/>
                <w:lang w:eastAsia="en-GB"/>
              </w:rPr>
              <w:t>£m</w:t>
            </w:r>
          </w:p>
        </w:tc>
        <w:tc>
          <w:tcPr>
            <w:tcW w:w="5360" w:type="dxa"/>
            <w:tcBorders>
              <w:top w:val="nil"/>
              <w:left w:val="nil"/>
              <w:bottom w:val="nil"/>
              <w:right w:val="nil"/>
            </w:tcBorders>
            <w:shd w:val="clear" w:color="auto" w:fill="auto"/>
            <w:vAlign w:val="center"/>
            <w:hideMark/>
          </w:tcPr>
          <w:p w:rsidR="007D0E47" w:rsidRPr="00EB2995" w:rsidRDefault="007D0E47" w:rsidP="0023590A">
            <w:pPr>
              <w:jc w:val="right"/>
              <w:rPr>
                <w:rFonts w:cs="Calibri"/>
                <w:b/>
                <w:bCs/>
                <w:color w:val="000000"/>
                <w:lang w:eastAsia="en-GB"/>
              </w:rPr>
            </w:pPr>
          </w:p>
        </w:tc>
        <w:tc>
          <w:tcPr>
            <w:tcW w:w="1160" w:type="dxa"/>
            <w:tcBorders>
              <w:top w:val="nil"/>
              <w:left w:val="nil"/>
              <w:bottom w:val="nil"/>
              <w:right w:val="nil"/>
            </w:tcBorders>
            <w:shd w:val="clear" w:color="auto" w:fill="auto"/>
            <w:vAlign w:val="center"/>
          </w:tcPr>
          <w:p w:rsidR="007D0E47" w:rsidRPr="00EB2995" w:rsidRDefault="007D0E47" w:rsidP="0023590A">
            <w:pPr>
              <w:jc w:val="right"/>
              <w:rPr>
                <w:rFonts w:cs="Calibri"/>
                <w:b/>
                <w:bCs/>
                <w:color w:val="000000"/>
                <w:lang w:eastAsia="en-GB"/>
              </w:rPr>
            </w:pPr>
          </w:p>
        </w:tc>
        <w:tc>
          <w:tcPr>
            <w:tcW w:w="1418" w:type="dxa"/>
            <w:tcBorders>
              <w:top w:val="nil"/>
              <w:left w:val="nil"/>
              <w:bottom w:val="single" w:sz="8" w:space="0" w:color="auto"/>
              <w:right w:val="nil"/>
            </w:tcBorders>
            <w:shd w:val="clear" w:color="auto" w:fill="auto"/>
            <w:noWrap/>
            <w:vAlign w:val="center"/>
            <w:hideMark/>
          </w:tcPr>
          <w:p w:rsidR="007D0E47" w:rsidRPr="00EB2995" w:rsidRDefault="007D0E47" w:rsidP="0023590A">
            <w:pPr>
              <w:jc w:val="right"/>
              <w:rPr>
                <w:rFonts w:cs="Calibri"/>
                <w:b/>
                <w:bCs/>
                <w:color w:val="000000"/>
                <w:lang w:eastAsia="en-GB"/>
              </w:rPr>
            </w:pPr>
            <w:r w:rsidRPr="00EB2995">
              <w:rPr>
                <w:rFonts w:cs="Calibri"/>
                <w:b/>
                <w:bCs/>
                <w:color w:val="000000"/>
                <w:lang w:eastAsia="en-GB"/>
              </w:rPr>
              <w:t>£m</w:t>
            </w:r>
          </w:p>
        </w:tc>
      </w:tr>
      <w:tr w:rsidR="0073204A" w:rsidRPr="00EB2995" w:rsidTr="0023590A">
        <w:trPr>
          <w:trHeight w:val="300"/>
        </w:trPr>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73204A" w:rsidRPr="00EB2995" w:rsidRDefault="0073204A" w:rsidP="0073204A">
            <w:pPr>
              <w:jc w:val="right"/>
              <w:rPr>
                <w:rFonts w:cs="Calibri"/>
                <w:color w:val="000000"/>
                <w:lang w:eastAsia="en-GB"/>
              </w:rPr>
            </w:pPr>
            <w:r w:rsidRPr="00EB2995">
              <w:rPr>
                <w:rFonts w:cs="Calibri"/>
                <w:color w:val="000000"/>
                <w:lang w:eastAsia="en-GB"/>
              </w:rPr>
              <w:t>(56.8)</w:t>
            </w:r>
          </w:p>
        </w:tc>
        <w:tc>
          <w:tcPr>
            <w:tcW w:w="5360" w:type="dxa"/>
            <w:tcBorders>
              <w:top w:val="nil"/>
              <w:left w:val="single" w:sz="4" w:space="0" w:color="auto"/>
              <w:bottom w:val="nil"/>
              <w:right w:val="nil"/>
            </w:tcBorders>
            <w:shd w:val="clear" w:color="auto" w:fill="auto"/>
            <w:vAlign w:val="center"/>
            <w:hideMark/>
          </w:tcPr>
          <w:p w:rsidR="0073204A" w:rsidRPr="00EB2995" w:rsidRDefault="0073204A" w:rsidP="0073204A">
            <w:pPr>
              <w:rPr>
                <w:rFonts w:cs="Calibri"/>
                <w:color w:val="000000"/>
                <w:lang w:eastAsia="en-GB"/>
              </w:rPr>
            </w:pPr>
            <w:r w:rsidRPr="00EB2995">
              <w:rPr>
                <w:rFonts w:cs="Calibri"/>
                <w:color w:val="000000"/>
                <w:lang w:eastAsia="en-GB"/>
              </w:rPr>
              <w:t>Net surplus or (deficit) on the provision of services</w:t>
            </w:r>
          </w:p>
        </w:tc>
        <w:tc>
          <w:tcPr>
            <w:tcW w:w="1160" w:type="dxa"/>
            <w:tcBorders>
              <w:top w:val="nil"/>
              <w:left w:val="nil"/>
              <w:bottom w:val="nil"/>
              <w:right w:val="single" w:sz="8" w:space="0" w:color="auto"/>
            </w:tcBorders>
            <w:shd w:val="clear" w:color="auto" w:fill="auto"/>
            <w:vAlign w:val="center"/>
          </w:tcPr>
          <w:p w:rsidR="0073204A" w:rsidRPr="00EB2995" w:rsidRDefault="0073204A" w:rsidP="0073204A">
            <w:pPr>
              <w:jc w:val="right"/>
              <w:rPr>
                <w:rFonts w:cs="Calibri"/>
                <w:color w:val="000000"/>
                <w:lang w:eastAsia="en-GB"/>
              </w:rPr>
            </w:pPr>
          </w:p>
        </w:tc>
        <w:tc>
          <w:tcPr>
            <w:tcW w:w="1418" w:type="dxa"/>
            <w:tcBorders>
              <w:top w:val="nil"/>
              <w:left w:val="nil"/>
              <w:bottom w:val="nil"/>
              <w:right w:val="single" w:sz="8" w:space="0" w:color="auto"/>
            </w:tcBorders>
            <w:shd w:val="clear" w:color="auto" w:fill="auto"/>
            <w:noWrap/>
            <w:vAlign w:val="bottom"/>
          </w:tcPr>
          <w:p w:rsidR="0073204A" w:rsidRPr="00EB2995" w:rsidRDefault="0073204A" w:rsidP="0073204A">
            <w:pPr>
              <w:jc w:val="right"/>
              <w:rPr>
                <w:rFonts w:cs="Calibri"/>
                <w:color w:val="000000"/>
                <w:lang w:eastAsia="en-GB"/>
              </w:rPr>
            </w:pPr>
            <w:r>
              <w:rPr>
                <w:rFonts w:cs="Calibri"/>
                <w:color w:val="000000"/>
              </w:rPr>
              <w:t>6.9</w:t>
            </w:r>
          </w:p>
        </w:tc>
      </w:tr>
      <w:tr w:rsidR="0073204A" w:rsidRPr="00EB2995" w:rsidTr="0023590A">
        <w:trPr>
          <w:trHeight w:val="300"/>
        </w:trPr>
        <w:tc>
          <w:tcPr>
            <w:tcW w:w="1418" w:type="dxa"/>
            <w:tcBorders>
              <w:top w:val="nil"/>
              <w:left w:val="single" w:sz="4" w:space="0" w:color="auto"/>
              <w:bottom w:val="nil"/>
              <w:right w:val="single" w:sz="4" w:space="0" w:color="auto"/>
            </w:tcBorders>
            <w:shd w:val="clear" w:color="auto" w:fill="auto"/>
            <w:noWrap/>
            <w:vAlign w:val="center"/>
            <w:hideMark/>
          </w:tcPr>
          <w:p w:rsidR="0073204A" w:rsidRPr="00EB2995" w:rsidRDefault="0073204A" w:rsidP="0073204A">
            <w:pPr>
              <w:jc w:val="right"/>
              <w:rPr>
                <w:rFonts w:cs="Calibri"/>
                <w:color w:val="000000"/>
                <w:lang w:eastAsia="en-GB"/>
              </w:rPr>
            </w:pPr>
            <w:r w:rsidRPr="00EB2995">
              <w:rPr>
                <w:rFonts w:cs="Calibri"/>
                <w:color w:val="000000"/>
              </w:rPr>
              <w:t>123.3</w:t>
            </w:r>
          </w:p>
        </w:tc>
        <w:tc>
          <w:tcPr>
            <w:tcW w:w="5360" w:type="dxa"/>
            <w:tcBorders>
              <w:top w:val="nil"/>
              <w:left w:val="single" w:sz="4" w:space="0" w:color="auto"/>
              <w:bottom w:val="nil"/>
              <w:right w:val="nil"/>
            </w:tcBorders>
            <w:shd w:val="clear" w:color="auto" w:fill="auto"/>
            <w:vAlign w:val="center"/>
            <w:hideMark/>
          </w:tcPr>
          <w:p w:rsidR="0073204A" w:rsidRPr="00EB2995" w:rsidRDefault="0073204A" w:rsidP="0073204A">
            <w:pPr>
              <w:rPr>
                <w:rFonts w:cs="Calibri"/>
                <w:color w:val="000000"/>
                <w:lang w:eastAsia="en-GB"/>
              </w:rPr>
            </w:pPr>
            <w:r w:rsidRPr="00EB2995">
              <w:rPr>
                <w:rFonts w:cs="Calibri"/>
                <w:color w:val="000000"/>
                <w:lang w:eastAsia="en-GB"/>
              </w:rPr>
              <w:t>Adjustments for non-cash movements</w:t>
            </w:r>
          </w:p>
        </w:tc>
        <w:tc>
          <w:tcPr>
            <w:tcW w:w="1160" w:type="dxa"/>
            <w:tcBorders>
              <w:top w:val="nil"/>
              <w:left w:val="nil"/>
              <w:bottom w:val="nil"/>
              <w:right w:val="single" w:sz="8" w:space="0" w:color="auto"/>
            </w:tcBorders>
            <w:shd w:val="clear" w:color="auto" w:fill="auto"/>
            <w:vAlign w:val="center"/>
          </w:tcPr>
          <w:p w:rsidR="0073204A" w:rsidRPr="00EB2995" w:rsidRDefault="0073204A" w:rsidP="0073204A">
            <w:pPr>
              <w:jc w:val="right"/>
              <w:rPr>
                <w:rFonts w:cs="Calibri"/>
                <w:color w:val="000000"/>
                <w:lang w:eastAsia="en-GB"/>
              </w:rPr>
            </w:pPr>
          </w:p>
        </w:tc>
        <w:tc>
          <w:tcPr>
            <w:tcW w:w="1418" w:type="dxa"/>
            <w:tcBorders>
              <w:top w:val="nil"/>
              <w:left w:val="nil"/>
              <w:bottom w:val="nil"/>
              <w:right w:val="single" w:sz="8" w:space="0" w:color="auto"/>
            </w:tcBorders>
            <w:shd w:val="clear" w:color="auto" w:fill="auto"/>
            <w:noWrap/>
            <w:vAlign w:val="bottom"/>
          </w:tcPr>
          <w:p w:rsidR="0073204A" w:rsidRPr="00EB2995" w:rsidRDefault="0073204A" w:rsidP="0073204A">
            <w:pPr>
              <w:jc w:val="right"/>
              <w:rPr>
                <w:rFonts w:cs="Calibri"/>
                <w:color w:val="000000"/>
              </w:rPr>
            </w:pPr>
            <w:r>
              <w:rPr>
                <w:rFonts w:cs="Calibri"/>
                <w:color w:val="000000"/>
              </w:rPr>
              <w:t>26.4</w:t>
            </w:r>
          </w:p>
        </w:tc>
      </w:tr>
      <w:tr w:rsidR="0073204A" w:rsidRPr="00EB2995" w:rsidTr="0023590A">
        <w:trPr>
          <w:trHeight w:val="315"/>
        </w:trPr>
        <w:tc>
          <w:tcPr>
            <w:tcW w:w="1418" w:type="dxa"/>
            <w:tcBorders>
              <w:top w:val="nil"/>
              <w:left w:val="single" w:sz="4" w:space="0" w:color="auto"/>
              <w:bottom w:val="single" w:sz="8" w:space="0" w:color="auto"/>
              <w:right w:val="single" w:sz="4" w:space="0" w:color="auto"/>
            </w:tcBorders>
            <w:shd w:val="clear" w:color="auto" w:fill="auto"/>
            <w:noWrap/>
            <w:vAlign w:val="center"/>
            <w:hideMark/>
          </w:tcPr>
          <w:p w:rsidR="0073204A" w:rsidRPr="00EB2995" w:rsidRDefault="0073204A" w:rsidP="0073204A">
            <w:pPr>
              <w:jc w:val="right"/>
              <w:rPr>
                <w:rFonts w:cs="Calibri"/>
                <w:color w:val="000000"/>
                <w:lang w:eastAsia="en-GB"/>
              </w:rPr>
            </w:pPr>
            <w:r w:rsidRPr="00EB2995">
              <w:rPr>
                <w:rFonts w:cs="Calibri"/>
                <w:color w:val="000000"/>
              </w:rPr>
              <w:t>71.9</w:t>
            </w:r>
          </w:p>
        </w:tc>
        <w:tc>
          <w:tcPr>
            <w:tcW w:w="5360" w:type="dxa"/>
            <w:tcBorders>
              <w:top w:val="nil"/>
              <w:left w:val="single" w:sz="4" w:space="0" w:color="auto"/>
              <w:bottom w:val="nil"/>
              <w:right w:val="nil"/>
            </w:tcBorders>
            <w:shd w:val="clear" w:color="auto" w:fill="auto"/>
            <w:vAlign w:val="center"/>
            <w:hideMark/>
          </w:tcPr>
          <w:p w:rsidR="0073204A" w:rsidRPr="00EB2995" w:rsidRDefault="0073204A" w:rsidP="0073204A">
            <w:pPr>
              <w:rPr>
                <w:rFonts w:cs="Calibri"/>
                <w:color w:val="000000"/>
                <w:lang w:eastAsia="en-GB"/>
              </w:rPr>
            </w:pPr>
            <w:r w:rsidRPr="00EB2995">
              <w:rPr>
                <w:rFonts w:cs="Calibri"/>
                <w:color w:val="000000"/>
                <w:lang w:eastAsia="en-GB"/>
              </w:rPr>
              <w:t>Adjustments for investing and financing activities</w:t>
            </w:r>
          </w:p>
        </w:tc>
        <w:tc>
          <w:tcPr>
            <w:tcW w:w="1160" w:type="dxa"/>
            <w:tcBorders>
              <w:top w:val="nil"/>
              <w:left w:val="nil"/>
              <w:bottom w:val="nil"/>
              <w:right w:val="single" w:sz="8" w:space="0" w:color="auto"/>
            </w:tcBorders>
            <w:shd w:val="clear" w:color="auto" w:fill="auto"/>
            <w:vAlign w:val="center"/>
          </w:tcPr>
          <w:p w:rsidR="0073204A" w:rsidRPr="00EB2995" w:rsidRDefault="0073204A" w:rsidP="0073204A">
            <w:pPr>
              <w:jc w:val="center"/>
              <w:rPr>
                <w:rFonts w:cs="Calibri"/>
                <w:color w:val="000000"/>
                <w:lang w:eastAsia="en-GB"/>
              </w:rPr>
            </w:pPr>
          </w:p>
        </w:tc>
        <w:tc>
          <w:tcPr>
            <w:tcW w:w="1418" w:type="dxa"/>
            <w:tcBorders>
              <w:top w:val="nil"/>
              <w:left w:val="nil"/>
              <w:bottom w:val="single" w:sz="8" w:space="0" w:color="auto"/>
              <w:right w:val="single" w:sz="8" w:space="0" w:color="auto"/>
            </w:tcBorders>
            <w:shd w:val="clear" w:color="auto" w:fill="auto"/>
            <w:noWrap/>
            <w:vAlign w:val="bottom"/>
          </w:tcPr>
          <w:p w:rsidR="0073204A" w:rsidRPr="00EB2995" w:rsidRDefault="0073204A" w:rsidP="0073204A">
            <w:pPr>
              <w:jc w:val="right"/>
              <w:rPr>
                <w:rFonts w:cs="Calibri"/>
                <w:color w:val="000000"/>
              </w:rPr>
            </w:pPr>
            <w:r>
              <w:rPr>
                <w:rFonts w:cs="Calibri"/>
                <w:color w:val="000000"/>
              </w:rPr>
              <w:t>(76.9)</w:t>
            </w:r>
          </w:p>
        </w:tc>
      </w:tr>
      <w:tr w:rsidR="0073204A" w:rsidRPr="00EB2995" w:rsidTr="0023590A">
        <w:trPr>
          <w:trHeight w:val="300"/>
        </w:trPr>
        <w:tc>
          <w:tcPr>
            <w:tcW w:w="1418" w:type="dxa"/>
            <w:tcBorders>
              <w:top w:val="nil"/>
              <w:left w:val="single" w:sz="4" w:space="0" w:color="auto"/>
              <w:bottom w:val="nil"/>
              <w:right w:val="single" w:sz="4" w:space="0" w:color="auto"/>
            </w:tcBorders>
            <w:shd w:val="clear" w:color="auto" w:fill="auto"/>
            <w:noWrap/>
            <w:vAlign w:val="center"/>
            <w:hideMark/>
          </w:tcPr>
          <w:p w:rsidR="0073204A" w:rsidRPr="00EB2995" w:rsidRDefault="0073204A" w:rsidP="0073204A">
            <w:pPr>
              <w:jc w:val="right"/>
              <w:rPr>
                <w:rFonts w:cs="Calibri"/>
                <w:b/>
                <w:bCs/>
                <w:color w:val="000000"/>
                <w:lang w:eastAsia="en-GB"/>
              </w:rPr>
            </w:pPr>
            <w:r w:rsidRPr="00EB2995">
              <w:rPr>
                <w:rFonts w:cs="Calibri"/>
                <w:b/>
                <w:bCs/>
                <w:color w:val="000000"/>
              </w:rPr>
              <w:t>138.4</w:t>
            </w:r>
          </w:p>
        </w:tc>
        <w:tc>
          <w:tcPr>
            <w:tcW w:w="5360" w:type="dxa"/>
            <w:tcBorders>
              <w:top w:val="nil"/>
              <w:left w:val="single" w:sz="4" w:space="0" w:color="auto"/>
              <w:bottom w:val="nil"/>
              <w:right w:val="nil"/>
            </w:tcBorders>
            <w:shd w:val="clear" w:color="auto" w:fill="auto"/>
            <w:noWrap/>
            <w:vAlign w:val="bottom"/>
            <w:hideMark/>
          </w:tcPr>
          <w:p w:rsidR="0073204A" w:rsidRPr="00EB2995" w:rsidRDefault="0073204A" w:rsidP="0073204A">
            <w:pPr>
              <w:rPr>
                <w:rFonts w:cs="Calibri"/>
                <w:color w:val="000000"/>
                <w:lang w:eastAsia="en-GB"/>
              </w:rPr>
            </w:pPr>
            <w:r w:rsidRPr="00EB2995">
              <w:rPr>
                <w:rFonts w:cs="Calibri"/>
                <w:color w:val="000000"/>
                <w:lang w:eastAsia="en-GB"/>
              </w:rPr>
              <w:t xml:space="preserve">Net cash inflows/(outflows) from Operating Activities </w:t>
            </w:r>
          </w:p>
        </w:tc>
        <w:tc>
          <w:tcPr>
            <w:tcW w:w="1160" w:type="dxa"/>
            <w:tcBorders>
              <w:top w:val="nil"/>
              <w:left w:val="nil"/>
              <w:bottom w:val="nil"/>
              <w:right w:val="single" w:sz="8" w:space="0" w:color="auto"/>
            </w:tcBorders>
            <w:shd w:val="clear" w:color="auto" w:fill="auto"/>
            <w:vAlign w:val="center"/>
          </w:tcPr>
          <w:p w:rsidR="0073204A" w:rsidRPr="00EB2995" w:rsidRDefault="0073204A" w:rsidP="0073204A">
            <w:pPr>
              <w:jc w:val="center"/>
              <w:rPr>
                <w:rFonts w:cs="Calibri"/>
                <w:color w:val="000000"/>
                <w:lang w:eastAsia="en-GB"/>
              </w:rPr>
            </w:pPr>
          </w:p>
        </w:tc>
        <w:tc>
          <w:tcPr>
            <w:tcW w:w="1418" w:type="dxa"/>
            <w:tcBorders>
              <w:top w:val="nil"/>
              <w:left w:val="nil"/>
              <w:bottom w:val="nil"/>
              <w:right w:val="single" w:sz="8" w:space="0" w:color="auto"/>
            </w:tcBorders>
            <w:shd w:val="clear" w:color="auto" w:fill="auto"/>
            <w:noWrap/>
            <w:vAlign w:val="center"/>
          </w:tcPr>
          <w:p w:rsidR="0073204A" w:rsidRPr="00EB2995" w:rsidRDefault="0073204A" w:rsidP="0073204A">
            <w:pPr>
              <w:jc w:val="right"/>
              <w:rPr>
                <w:rFonts w:cs="Calibri"/>
                <w:b/>
                <w:bCs/>
                <w:color w:val="000000"/>
              </w:rPr>
            </w:pPr>
            <w:r>
              <w:rPr>
                <w:rFonts w:cs="Calibri"/>
                <w:b/>
                <w:bCs/>
                <w:color w:val="000000"/>
              </w:rPr>
              <w:t>(43.6)</w:t>
            </w:r>
          </w:p>
        </w:tc>
      </w:tr>
      <w:tr w:rsidR="0073204A" w:rsidRPr="00EB2995" w:rsidTr="0023590A">
        <w:trPr>
          <w:trHeight w:val="300"/>
        </w:trPr>
        <w:tc>
          <w:tcPr>
            <w:tcW w:w="1418" w:type="dxa"/>
            <w:tcBorders>
              <w:top w:val="nil"/>
              <w:left w:val="single" w:sz="4" w:space="0" w:color="auto"/>
              <w:bottom w:val="nil"/>
              <w:right w:val="single" w:sz="4" w:space="0" w:color="auto"/>
            </w:tcBorders>
            <w:shd w:val="clear" w:color="auto" w:fill="auto"/>
            <w:noWrap/>
            <w:vAlign w:val="center"/>
            <w:hideMark/>
          </w:tcPr>
          <w:p w:rsidR="0073204A" w:rsidRPr="00EB2995" w:rsidRDefault="0073204A" w:rsidP="0073204A">
            <w:pPr>
              <w:jc w:val="right"/>
              <w:rPr>
                <w:rFonts w:cs="Calibri"/>
                <w:color w:val="000000"/>
                <w:lang w:eastAsia="en-GB"/>
              </w:rPr>
            </w:pPr>
            <w:r w:rsidRPr="00EB2995">
              <w:rPr>
                <w:rFonts w:cs="Calibri"/>
                <w:color w:val="000000"/>
              </w:rPr>
              <w:t>(96.6)</w:t>
            </w:r>
          </w:p>
        </w:tc>
        <w:tc>
          <w:tcPr>
            <w:tcW w:w="5360" w:type="dxa"/>
            <w:tcBorders>
              <w:top w:val="nil"/>
              <w:left w:val="single" w:sz="4" w:space="0" w:color="auto"/>
              <w:bottom w:val="nil"/>
              <w:right w:val="nil"/>
            </w:tcBorders>
            <w:shd w:val="clear" w:color="auto" w:fill="auto"/>
            <w:vAlign w:val="center"/>
            <w:hideMark/>
          </w:tcPr>
          <w:p w:rsidR="0073204A" w:rsidRPr="00EB2995" w:rsidRDefault="0073204A" w:rsidP="0073204A">
            <w:pPr>
              <w:rPr>
                <w:rFonts w:cs="Calibri"/>
                <w:color w:val="000000"/>
                <w:lang w:eastAsia="en-GB"/>
              </w:rPr>
            </w:pPr>
            <w:r w:rsidRPr="00EB2995">
              <w:rPr>
                <w:rFonts w:cs="Calibri"/>
                <w:color w:val="000000"/>
                <w:lang w:eastAsia="en-GB"/>
              </w:rPr>
              <w:t>Net cash inflows/(outflow) from Investing activities</w:t>
            </w:r>
          </w:p>
        </w:tc>
        <w:tc>
          <w:tcPr>
            <w:tcW w:w="1160" w:type="dxa"/>
            <w:tcBorders>
              <w:top w:val="nil"/>
              <w:left w:val="nil"/>
              <w:bottom w:val="nil"/>
              <w:right w:val="single" w:sz="8" w:space="0" w:color="auto"/>
            </w:tcBorders>
            <w:shd w:val="clear" w:color="auto" w:fill="auto"/>
            <w:vAlign w:val="center"/>
          </w:tcPr>
          <w:p w:rsidR="0073204A" w:rsidRPr="00EB2995" w:rsidRDefault="0073204A" w:rsidP="0073204A">
            <w:pPr>
              <w:jc w:val="center"/>
              <w:rPr>
                <w:rFonts w:cs="Calibri"/>
                <w:sz w:val="20"/>
                <w:szCs w:val="20"/>
                <w:lang w:eastAsia="en-GB"/>
              </w:rPr>
            </w:pPr>
          </w:p>
        </w:tc>
        <w:tc>
          <w:tcPr>
            <w:tcW w:w="1418" w:type="dxa"/>
            <w:tcBorders>
              <w:top w:val="nil"/>
              <w:left w:val="nil"/>
              <w:bottom w:val="nil"/>
              <w:right w:val="single" w:sz="8" w:space="0" w:color="auto"/>
            </w:tcBorders>
            <w:shd w:val="clear" w:color="auto" w:fill="auto"/>
            <w:noWrap/>
            <w:vAlign w:val="bottom"/>
          </w:tcPr>
          <w:p w:rsidR="0073204A" w:rsidRPr="00EB2995" w:rsidRDefault="0073204A" w:rsidP="0073204A">
            <w:pPr>
              <w:jc w:val="right"/>
              <w:rPr>
                <w:rFonts w:cs="Calibri"/>
                <w:color w:val="000000"/>
              </w:rPr>
            </w:pPr>
            <w:r>
              <w:rPr>
                <w:rFonts w:cs="Calibri"/>
                <w:color w:val="000000"/>
              </w:rPr>
              <w:t>(10.9)</w:t>
            </w:r>
          </w:p>
        </w:tc>
      </w:tr>
      <w:tr w:rsidR="0073204A" w:rsidRPr="00EB2995" w:rsidTr="0023590A">
        <w:trPr>
          <w:trHeight w:val="315"/>
        </w:trPr>
        <w:tc>
          <w:tcPr>
            <w:tcW w:w="1418" w:type="dxa"/>
            <w:tcBorders>
              <w:top w:val="nil"/>
              <w:left w:val="single" w:sz="4" w:space="0" w:color="auto"/>
              <w:bottom w:val="single" w:sz="8" w:space="0" w:color="auto"/>
              <w:right w:val="single" w:sz="4" w:space="0" w:color="auto"/>
            </w:tcBorders>
            <w:shd w:val="clear" w:color="auto" w:fill="auto"/>
            <w:noWrap/>
            <w:vAlign w:val="center"/>
            <w:hideMark/>
          </w:tcPr>
          <w:p w:rsidR="0073204A" w:rsidRPr="00EB2995" w:rsidRDefault="0073204A" w:rsidP="0073204A">
            <w:pPr>
              <w:jc w:val="right"/>
              <w:rPr>
                <w:rFonts w:cs="Calibri"/>
                <w:color w:val="000000"/>
                <w:lang w:eastAsia="en-GB"/>
              </w:rPr>
            </w:pPr>
            <w:r w:rsidRPr="00EB2995">
              <w:rPr>
                <w:rFonts w:cs="Calibri"/>
                <w:color w:val="000000"/>
              </w:rPr>
              <w:t>(36.5)</w:t>
            </w:r>
          </w:p>
        </w:tc>
        <w:tc>
          <w:tcPr>
            <w:tcW w:w="5360" w:type="dxa"/>
            <w:tcBorders>
              <w:top w:val="nil"/>
              <w:left w:val="single" w:sz="4" w:space="0" w:color="auto"/>
              <w:bottom w:val="nil"/>
              <w:right w:val="nil"/>
            </w:tcBorders>
            <w:shd w:val="clear" w:color="auto" w:fill="auto"/>
            <w:noWrap/>
            <w:vAlign w:val="bottom"/>
            <w:hideMark/>
          </w:tcPr>
          <w:p w:rsidR="0073204A" w:rsidRPr="00EB2995" w:rsidRDefault="0073204A" w:rsidP="0073204A">
            <w:pPr>
              <w:rPr>
                <w:rFonts w:cs="Calibri"/>
                <w:color w:val="000000"/>
                <w:lang w:eastAsia="en-GB"/>
              </w:rPr>
            </w:pPr>
            <w:r w:rsidRPr="00EB2995">
              <w:rPr>
                <w:rFonts w:cs="Calibri"/>
                <w:color w:val="000000"/>
                <w:lang w:eastAsia="en-GB"/>
              </w:rPr>
              <w:t>Net cash inflows/(outflow) from Financing activities</w:t>
            </w:r>
          </w:p>
        </w:tc>
        <w:tc>
          <w:tcPr>
            <w:tcW w:w="1160" w:type="dxa"/>
            <w:tcBorders>
              <w:top w:val="nil"/>
              <w:left w:val="nil"/>
              <w:bottom w:val="nil"/>
              <w:right w:val="single" w:sz="8" w:space="0" w:color="auto"/>
            </w:tcBorders>
            <w:shd w:val="clear" w:color="auto" w:fill="auto"/>
            <w:vAlign w:val="center"/>
          </w:tcPr>
          <w:p w:rsidR="0073204A" w:rsidRPr="00EB2995" w:rsidRDefault="0073204A" w:rsidP="0073204A">
            <w:pPr>
              <w:jc w:val="center"/>
              <w:rPr>
                <w:rFonts w:cs="Calibri"/>
                <w:color w:val="000000"/>
                <w:lang w:eastAsia="en-GB"/>
              </w:rPr>
            </w:pPr>
          </w:p>
        </w:tc>
        <w:tc>
          <w:tcPr>
            <w:tcW w:w="1418" w:type="dxa"/>
            <w:tcBorders>
              <w:top w:val="nil"/>
              <w:left w:val="nil"/>
              <w:bottom w:val="single" w:sz="8" w:space="0" w:color="auto"/>
              <w:right w:val="single" w:sz="8" w:space="0" w:color="auto"/>
            </w:tcBorders>
            <w:shd w:val="clear" w:color="auto" w:fill="auto"/>
            <w:noWrap/>
            <w:vAlign w:val="bottom"/>
          </w:tcPr>
          <w:p w:rsidR="0073204A" w:rsidRPr="00EB2995" w:rsidRDefault="0073204A" w:rsidP="0073204A">
            <w:pPr>
              <w:jc w:val="right"/>
              <w:rPr>
                <w:rFonts w:cs="Calibri"/>
                <w:color w:val="000000"/>
              </w:rPr>
            </w:pPr>
            <w:r>
              <w:rPr>
                <w:rFonts w:cs="Calibri"/>
                <w:color w:val="000000"/>
              </w:rPr>
              <w:t>136.8</w:t>
            </w:r>
          </w:p>
        </w:tc>
      </w:tr>
      <w:tr w:rsidR="0073204A" w:rsidRPr="00EB2995" w:rsidTr="0023590A">
        <w:trPr>
          <w:trHeight w:val="300"/>
        </w:trPr>
        <w:tc>
          <w:tcPr>
            <w:tcW w:w="1418" w:type="dxa"/>
            <w:tcBorders>
              <w:top w:val="nil"/>
              <w:left w:val="single" w:sz="4" w:space="0" w:color="auto"/>
              <w:bottom w:val="nil"/>
              <w:right w:val="single" w:sz="4" w:space="0" w:color="auto"/>
            </w:tcBorders>
            <w:shd w:val="clear" w:color="auto" w:fill="auto"/>
            <w:noWrap/>
            <w:vAlign w:val="center"/>
            <w:hideMark/>
          </w:tcPr>
          <w:p w:rsidR="0073204A" w:rsidRPr="00EB2995" w:rsidRDefault="0073204A" w:rsidP="0073204A">
            <w:pPr>
              <w:jc w:val="right"/>
              <w:rPr>
                <w:rFonts w:cs="Calibri"/>
                <w:b/>
                <w:bCs/>
                <w:color w:val="000000"/>
                <w:lang w:eastAsia="en-GB"/>
              </w:rPr>
            </w:pPr>
            <w:r w:rsidRPr="00EB2995">
              <w:rPr>
                <w:rFonts w:cs="Calibri"/>
                <w:b/>
                <w:bCs/>
                <w:color w:val="000000"/>
              </w:rPr>
              <w:t>5.3</w:t>
            </w:r>
          </w:p>
        </w:tc>
        <w:tc>
          <w:tcPr>
            <w:tcW w:w="5360" w:type="dxa"/>
            <w:tcBorders>
              <w:top w:val="nil"/>
              <w:left w:val="single" w:sz="4" w:space="0" w:color="auto"/>
              <w:bottom w:val="nil"/>
              <w:right w:val="nil"/>
            </w:tcBorders>
            <w:shd w:val="clear" w:color="auto" w:fill="auto"/>
            <w:vAlign w:val="center"/>
            <w:hideMark/>
          </w:tcPr>
          <w:p w:rsidR="0073204A" w:rsidRPr="00EB2995" w:rsidRDefault="0073204A" w:rsidP="0073204A">
            <w:pPr>
              <w:rPr>
                <w:rFonts w:cs="Calibri"/>
                <w:b/>
                <w:bCs/>
                <w:color w:val="000000"/>
                <w:lang w:eastAsia="en-GB"/>
              </w:rPr>
            </w:pPr>
            <w:r w:rsidRPr="00EB2995">
              <w:rPr>
                <w:rFonts w:cs="Calibri"/>
                <w:b/>
                <w:bCs/>
                <w:color w:val="000000"/>
                <w:lang w:eastAsia="en-GB"/>
              </w:rPr>
              <w:t>Net increase/(decrease) in cash and cash equivalents</w:t>
            </w:r>
          </w:p>
        </w:tc>
        <w:tc>
          <w:tcPr>
            <w:tcW w:w="1160" w:type="dxa"/>
            <w:tcBorders>
              <w:top w:val="nil"/>
              <w:left w:val="nil"/>
              <w:bottom w:val="nil"/>
              <w:right w:val="single" w:sz="8" w:space="0" w:color="auto"/>
            </w:tcBorders>
            <w:shd w:val="clear" w:color="auto" w:fill="auto"/>
            <w:vAlign w:val="center"/>
          </w:tcPr>
          <w:p w:rsidR="0073204A" w:rsidRPr="00EB2995" w:rsidRDefault="0073204A" w:rsidP="0073204A">
            <w:pPr>
              <w:jc w:val="center"/>
              <w:rPr>
                <w:rFonts w:cs="Calibri"/>
                <w:b/>
                <w:bCs/>
                <w:color w:val="000000"/>
                <w:lang w:eastAsia="en-GB"/>
              </w:rPr>
            </w:pPr>
          </w:p>
        </w:tc>
        <w:tc>
          <w:tcPr>
            <w:tcW w:w="1418" w:type="dxa"/>
            <w:tcBorders>
              <w:top w:val="nil"/>
              <w:left w:val="nil"/>
              <w:bottom w:val="nil"/>
              <w:right w:val="single" w:sz="8" w:space="0" w:color="auto"/>
            </w:tcBorders>
            <w:shd w:val="clear" w:color="auto" w:fill="auto"/>
            <w:noWrap/>
            <w:vAlign w:val="center"/>
          </w:tcPr>
          <w:p w:rsidR="0073204A" w:rsidRPr="00EB2995" w:rsidRDefault="0073204A" w:rsidP="0073204A">
            <w:pPr>
              <w:jc w:val="right"/>
              <w:rPr>
                <w:rFonts w:cs="Calibri"/>
                <w:b/>
                <w:bCs/>
                <w:color w:val="000000"/>
              </w:rPr>
            </w:pPr>
            <w:r>
              <w:rPr>
                <w:rFonts w:cs="Calibri"/>
                <w:b/>
                <w:bCs/>
                <w:color w:val="000000"/>
              </w:rPr>
              <w:t>82.3</w:t>
            </w:r>
          </w:p>
        </w:tc>
      </w:tr>
      <w:tr w:rsidR="0073204A" w:rsidRPr="00EB2995" w:rsidTr="0023590A">
        <w:trPr>
          <w:trHeight w:val="615"/>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73204A" w:rsidRPr="00EB2995" w:rsidRDefault="0073204A" w:rsidP="0073204A">
            <w:pPr>
              <w:jc w:val="right"/>
              <w:rPr>
                <w:rFonts w:cs="Calibri"/>
                <w:color w:val="000000"/>
                <w:lang w:eastAsia="en-GB"/>
              </w:rPr>
            </w:pPr>
            <w:r w:rsidRPr="00EB2995">
              <w:rPr>
                <w:rFonts w:cs="Calibri"/>
                <w:color w:val="000000"/>
              </w:rPr>
              <w:t>50.2</w:t>
            </w:r>
          </w:p>
        </w:tc>
        <w:tc>
          <w:tcPr>
            <w:tcW w:w="5360" w:type="dxa"/>
            <w:tcBorders>
              <w:top w:val="nil"/>
              <w:left w:val="single" w:sz="4" w:space="0" w:color="auto"/>
              <w:bottom w:val="nil"/>
              <w:right w:val="nil"/>
            </w:tcBorders>
            <w:shd w:val="clear" w:color="auto" w:fill="auto"/>
            <w:vAlign w:val="center"/>
            <w:hideMark/>
          </w:tcPr>
          <w:p w:rsidR="0073204A" w:rsidRPr="00EB2995" w:rsidRDefault="0073204A" w:rsidP="0073204A">
            <w:pPr>
              <w:rPr>
                <w:rFonts w:cs="Calibri"/>
                <w:color w:val="000000"/>
                <w:lang w:eastAsia="en-GB"/>
              </w:rPr>
            </w:pPr>
            <w:r w:rsidRPr="00EB2995">
              <w:rPr>
                <w:rFonts w:cs="Calibri"/>
                <w:color w:val="000000"/>
                <w:lang w:eastAsia="en-GB"/>
              </w:rPr>
              <w:t>Cash and cash equivalents at the beginning of the reporting period</w:t>
            </w:r>
          </w:p>
        </w:tc>
        <w:tc>
          <w:tcPr>
            <w:tcW w:w="1160" w:type="dxa"/>
            <w:tcBorders>
              <w:top w:val="nil"/>
              <w:left w:val="nil"/>
              <w:bottom w:val="nil"/>
              <w:right w:val="single" w:sz="8" w:space="0" w:color="auto"/>
            </w:tcBorders>
            <w:shd w:val="clear" w:color="auto" w:fill="auto"/>
            <w:vAlign w:val="center"/>
          </w:tcPr>
          <w:p w:rsidR="0073204A" w:rsidRPr="00EB2995" w:rsidRDefault="0073204A" w:rsidP="0073204A">
            <w:pPr>
              <w:jc w:val="center"/>
              <w:rPr>
                <w:rFonts w:cs="Calibri"/>
                <w:color w:val="000000"/>
                <w:lang w:eastAsia="en-GB"/>
              </w:rPr>
            </w:pPr>
          </w:p>
        </w:tc>
        <w:tc>
          <w:tcPr>
            <w:tcW w:w="1418" w:type="dxa"/>
            <w:tcBorders>
              <w:top w:val="nil"/>
              <w:left w:val="nil"/>
              <w:bottom w:val="single" w:sz="8" w:space="0" w:color="auto"/>
              <w:right w:val="single" w:sz="8" w:space="0" w:color="auto"/>
            </w:tcBorders>
            <w:shd w:val="clear" w:color="auto" w:fill="auto"/>
            <w:noWrap/>
            <w:vAlign w:val="bottom"/>
          </w:tcPr>
          <w:p w:rsidR="0073204A" w:rsidRPr="00EB2995" w:rsidRDefault="0073204A" w:rsidP="0073204A">
            <w:pPr>
              <w:jc w:val="right"/>
              <w:rPr>
                <w:rFonts w:cs="Calibri"/>
                <w:color w:val="000000"/>
              </w:rPr>
            </w:pPr>
            <w:r>
              <w:rPr>
                <w:rFonts w:cs="Calibri"/>
                <w:color w:val="000000"/>
              </w:rPr>
              <w:t>55.6</w:t>
            </w:r>
          </w:p>
        </w:tc>
      </w:tr>
      <w:tr w:rsidR="0073204A" w:rsidRPr="00EB2995" w:rsidTr="0023590A">
        <w:trPr>
          <w:trHeight w:val="615"/>
        </w:trPr>
        <w:tc>
          <w:tcPr>
            <w:tcW w:w="1418"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73204A" w:rsidRPr="00EB2995" w:rsidRDefault="0073204A" w:rsidP="0073204A">
            <w:pPr>
              <w:jc w:val="right"/>
              <w:rPr>
                <w:rFonts w:cs="Calibri"/>
                <w:b/>
                <w:bCs/>
                <w:color w:val="000000"/>
                <w:lang w:eastAsia="en-GB"/>
              </w:rPr>
            </w:pPr>
            <w:r w:rsidRPr="00EB2995">
              <w:rPr>
                <w:rFonts w:cs="Calibri"/>
                <w:b/>
                <w:bCs/>
                <w:color w:val="000000"/>
              </w:rPr>
              <w:t>55.5</w:t>
            </w:r>
          </w:p>
        </w:tc>
        <w:tc>
          <w:tcPr>
            <w:tcW w:w="5360" w:type="dxa"/>
            <w:tcBorders>
              <w:top w:val="nil"/>
              <w:left w:val="nil"/>
              <w:bottom w:val="nil"/>
              <w:right w:val="nil"/>
            </w:tcBorders>
            <w:shd w:val="clear" w:color="auto" w:fill="auto"/>
            <w:vAlign w:val="center"/>
            <w:hideMark/>
          </w:tcPr>
          <w:p w:rsidR="0073204A" w:rsidRPr="00EB2995" w:rsidRDefault="0073204A" w:rsidP="0073204A">
            <w:pPr>
              <w:rPr>
                <w:rFonts w:cs="Calibri"/>
                <w:b/>
                <w:bCs/>
                <w:color w:val="000000"/>
                <w:lang w:eastAsia="en-GB"/>
              </w:rPr>
            </w:pPr>
            <w:r w:rsidRPr="00EB2995">
              <w:rPr>
                <w:rFonts w:cs="Calibri"/>
                <w:b/>
                <w:bCs/>
                <w:color w:val="000000"/>
                <w:lang w:eastAsia="en-GB"/>
              </w:rPr>
              <w:t>Cash and cash equivalents at the end of the reporting period</w:t>
            </w:r>
          </w:p>
        </w:tc>
        <w:tc>
          <w:tcPr>
            <w:tcW w:w="1160" w:type="dxa"/>
            <w:tcBorders>
              <w:top w:val="nil"/>
              <w:left w:val="nil"/>
              <w:bottom w:val="nil"/>
              <w:right w:val="single" w:sz="8" w:space="0" w:color="auto"/>
            </w:tcBorders>
            <w:shd w:val="clear" w:color="auto" w:fill="auto"/>
            <w:vAlign w:val="center"/>
          </w:tcPr>
          <w:p w:rsidR="0073204A" w:rsidRPr="00EB2995" w:rsidRDefault="0073204A" w:rsidP="0073204A">
            <w:pPr>
              <w:jc w:val="center"/>
              <w:rPr>
                <w:rFonts w:cs="Calibri"/>
                <w:color w:val="000000"/>
                <w:lang w:eastAsia="en-GB"/>
              </w:rPr>
            </w:pPr>
          </w:p>
        </w:tc>
        <w:tc>
          <w:tcPr>
            <w:tcW w:w="1418" w:type="dxa"/>
            <w:tcBorders>
              <w:top w:val="nil"/>
              <w:left w:val="nil"/>
              <w:bottom w:val="single" w:sz="8" w:space="0" w:color="auto"/>
              <w:right w:val="single" w:sz="8" w:space="0" w:color="auto"/>
            </w:tcBorders>
            <w:shd w:val="clear" w:color="auto" w:fill="auto"/>
            <w:noWrap/>
            <w:vAlign w:val="center"/>
          </w:tcPr>
          <w:p w:rsidR="0073204A" w:rsidRPr="00EB2995" w:rsidRDefault="0073204A" w:rsidP="0073204A">
            <w:pPr>
              <w:jc w:val="right"/>
              <w:rPr>
                <w:rFonts w:cs="Calibri"/>
                <w:b/>
                <w:bCs/>
                <w:color w:val="000000"/>
              </w:rPr>
            </w:pPr>
            <w:r>
              <w:rPr>
                <w:rFonts w:cs="Calibri"/>
                <w:b/>
                <w:bCs/>
                <w:color w:val="000000"/>
              </w:rPr>
              <w:t>137.9</w:t>
            </w:r>
          </w:p>
        </w:tc>
      </w:tr>
    </w:tbl>
    <w:p w:rsidR="007D0E47" w:rsidRDefault="007D0E47" w:rsidP="00F72906"/>
    <w:p w:rsidR="007D0E47" w:rsidRDefault="007D0E47" w:rsidP="00F72906"/>
    <w:p w:rsidR="007D0E47" w:rsidRDefault="007D0E47" w:rsidP="00F72906">
      <w:pPr>
        <w:sectPr w:rsidR="007D0E47" w:rsidSect="00D53A04">
          <w:pgSz w:w="11906" w:h="16838"/>
          <w:pgMar w:top="1440" w:right="1440" w:bottom="1440" w:left="709" w:header="708" w:footer="708" w:gutter="0"/>
          <w:cols w:space="708"/>
          <w:docGrid w:linePitch="360"/>
        </w:sectPr>
      </w:pPr>
    </w:p>
    <w:p w:rsidR="0067327D" w:rsidRDefault="00F72906" w:rsidP="009C7D60">
      <w:pPr>
        <w:pStyle w:val="Heading2"/>
      </w:pPr>
      <w:bookmarkStart w:id="29" w:name="_Toc61870299"/>
      <w:r>
        <w:lastRenderedPageBreak/>
        <w:t>Group Movement In Reserves</w:t>
      </w:r>
      <w:bookmarkEnd w:id="29"/>
      <w:r>
        <w:t xml:space="preserve"> </w:t>
      </w:r>
    </w:p>
    <w:tbl>
      <w:tblPr>
        <w:tblW w:w="16610"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872"/>
        <w:gridCol w:w="993"/>
        <w:gridCol w:w="1134"/>
        <w:gridCol w:w="867"/>
        <w:gridCol w:w="1134"/>
        <w:gridCol w:w="992"/>
        <w:gridCol w:w="995"/>
        <w:gridCol w:w="1143"/>
        <w:gridCol w:w="1009"/>
        <w:gridCol w:w="1029"/>
        <w:gridCol w:w="983"/>
        <w:gridCol w:w="1465"/>
        <w:gridCol w:w="974"/>
        <w:gridCol w:w="43"/>
      </w:tblGrid>
      <w:tr w:rsidR="0073204A" w:rsidRPr="002D2E2C" w:rsidTr="00891A96">
        <w:trPr>
          <w:gridAfter w:val="1"/>
          <w:wAfter w:w="43" w:type="dxa"/>
          <w:trHeight w:val="1644"/>
        </w:trPr>
        <w:tc>
          <w:tcPr>
            <w:tcW w:w="2977" w:type="dxa"/>
            <w:shd w:val="clear" w:color="auto" w:fill="auto"/>
            <w:vAlign w:val="center"/>
            <w:hideMark/>
          </w:tcPr>
          <w:p w:rsidR="0073204A" w:rsidRPr="002D2E2C" w:rsidRDefault="0073204A" w:rsidP="00891A96">
            <w:pPr>
              <w:rPr>
                <w:rFonts w:ascii="Times New Roman" w:hAnsi="Times New Roman"/>
                <w:sz w:val="20"/>
                <w:szCs w:val="20"/>
                <w:lang w:eastAsia="en-GB"/>
              </w:rPr>
            </w:pPr>
          </w:p>
        </w:tc>
        <w:tc>
          <w:tcPr>
            <w:tcW w:w="872" w:type="dxa"/>
            <w:shd w:val="clear" w:color="auto" w:fill="auto"/>
            <w:vAlign w:val="center"/>
            <w:hideMark/>
          </w:tcPr>
          <w:p w:rsidR="0073204A" w:rsidRPr="002D2E2C" w:rsidRDefault="0073204A" w:rsidP="00891A96">
            <w:pPr>
              <w:jc w:val="right"/>
              <w:rPr>
                <w:rFonts w:cs="Calibri"/>
                <w:b/>
                <w:bCs/>
                <w:color w:val="000000"/>
                <w:sz w:val="20"/>
                <w:szCs w:val="20"/>
                <w:lang w:eastAsia="en-GB"/>
              </w:rPr>
            </w:pPr>
            <w:r w:rsidRPr="002D2E2C">
              <w:rPr>
                <w:rFonts w:cs="Calibri"/>
                <w:b/>
                <w:bCs/>
                <w:color w:val="000000"/>
                <w:sz w:val="20"/>
                <w:szCs w:val="20"/>
                <w:lang w:eastAsia="en-GB"/>
              </w:rPr>
              <w:t>General Fund Balance</w:t>
            </w:r>
          </w:p>
        </w:tc>
        <w:tc>
          <w:tcPr>
            <w:tcW w:w="993" w:type="dxa"/>
            <w:shd w:val="clear" w:color="auto" w:fill="auto"/>
            <w:vAlign w:val="center"/>
            <w:hideMark/>
          </w:tcPr>
          <w:p w:rsidR="0073204A" w:rsidRPr="002D2E2C" w:rsidRDefault="0073204A" w:rsidP="00891A96">
            <w:pPr>
              <w:ind w:hanging="213"/>
              <w:jc w:val="right"/>
              <w:rPr>
                <w:rFonts w:cs="Calibri"/>
                <w:b/>
                <w:bCs/>
                <w:color w:val="000000"/>
                <w:sz w:val="20"/>
                <w:szCs w:val="20"/>
                <w:lang w:eastAsia="en-GB"/>
              </w:rPr>
            </w:pPr>
            <w:r w:rsidRPr="002D2E2C">
              <w:rPr>
                <w:rFonts w:cs="Calibri"/>
                <w:b/>
                <w:bCs/>
                <w:color w:val="000000"/>
                <w:sz w:val="20"/>
                <w:szCs w:val="20"/>
                <w:lang w:eastAsia="en-GB"/>
              </w:rPr>
              <w:t>School Balances</w:t>
            </w:r>
          </w:p>
        </w:tc>
        <w:tc>
          <w:tcPr>
            <w:tcW w:w="1134" w:type="dxa"/>
            <w:shd w:val="clear" w:color="auto" w:fill="auto"/>
            <w:vAlign w:val="center"/>
            <w:hideMark/>
          </w:tcPr>
          <w:p w:rsidR="0073204A" w:rsidRPr="002D2E2C" w:rsidRDefault="0073204A" w:rsidP="00891A96">
            <w:pPr>
              <w:jc w:val="right"/>
              <w:rPr>
                <w:rFonts w:cs="Calibri"/>
                <w:b/>
                <w:bCs/>
                <w:color w:val="000000"/>
                <w:sz w:val="20"/>
                <w:szCs w:val="20"/>
                <w:lang w:eastAsia="en-GB"/>
              </w:rPr>
            </w:pPr>
            <w:r w:rsidRPr="002D2E2C">
              <w:rPr>
                <w:rFonts w:cs="Calibri"/>
                <w:b/>
                <w:bCs/>
                <w:color w:val="000000"/>
                <w:sz w:val="20"/>
                <w:szCs w:val="20"/>
                <w:lang w:eastAsia="en-GB"/>
              </w:rPr>
              <w:t>Earmarked Reserves General Fund</w:t>
            </w:r>
          </w:p>
        </w:tc>
        <w:tc>
          <w:tcPr>
            <w:tcW w:w="867" w:type="dxa"/>
            <w:shd w:val="clear" w:color="auto" w:fill="auto"/>
            <w:vAlign w:val="center"/>
            <w:hideMark/>
          </w:tcPr>
          <w:p w:rsidR="0073204A" w:rsidRPr="002D2E2C" w:rsidRDefault="0073204A" w:rsidP="00891A96">
            <w:pPr>
              <w:jc w:val="right"/>
              <w:rPr>
                <w:rFonts w:cs="Calibri"/>
                <w:b/>
                <w:bCs/>
                <w:color w:val="000000"/>
                <w:sz w:val="20"/>
                <w:szCs w:val="20"/>
                <w:lang w:eastAsia="en-GB"/>
              </w:rPr>
            </w:pPr>
            <w:r w:rsidRPr="002D2E2C">
              <w:rPr>
                <w:rFonts w:cs="Calibri"/>
                <w:b/>
                <w:bCs/>
                <w:color w:val="000000"/>
                <w:sz w:val="20"/>
                <w:szCs w:val="20"/>
                <w:lang w:eastAsia="en-GB"/>
              </w:rPr>
              <w:t>HRA Balance</w:t>
            </w:r>
          </w:p>
        </w:tc>
        <w:tc>
          <w:tcPr>
            <w:tcW w:w="1134" w:type="dxa"/>
            <w:shd w:val="clear" w:color="auto" w:fill="auto"/>
            <w:vAlign w:val="center"/>
            <w:hideMark/>
          </w:tcPr>
          <w:p w:rsidR="0073204A" w:rsidRPr="002D2E2C" w:rsidRDefault="0073204A" w:rsidP="00891A96">
            <w:pPr>
              <w:jc w:val="right"/>
              <w:rPr>
                <w:rFonts w:cs="Calibri"/>
                <w:b/>
                <w:bCs/>
                <w:color w:val="000000"/>
                <w:sz w:val="20"/>
                <w:szCs w:val="20"/>
                <w:lang w:eastAsia="en-GB"/>
              </w:rPr>
            </w:pPr>
            <w:r w:rsidRPr="002D2E2C">
              <w:rPr>
                <w:rFonts w:cs="Calibri"/>
                <w:b/>
                <w:bCs/>
                <w:color w:val="000000"/>
                <w:sz w:val="20"/>
                <w:szCs w:val="20"/>
                <w:lang w:eastAsia="en-GB"/>
              </w:rPr>
              <w:t>Earmarked Reserves HRA</w:t>
            </w:r>
          </w:p>
        </w:tc>
        <w:tc>
          <w:tcPr>
            <w:tcW w:w="992" w:type="dxa"/>
            <w:shd w:val="clear" w:color="auto" w:fill="auto"/>
            <w:vAlign w:val="center"/>
            <w:hideMark/>
          </w:tcPr>
          <w:p w:rsidR="0073204A" w:rsidRPr="002D2E2C" w:rsidRDefault="0073204A" w:rsidP="00891A96">
            <w:pPr>
              <w:jc w:val="right"/>
              <w:rPr>
                <w:rFonts w:cs="Calibri"/>
                <w:b/>
                <w:bCs/>
                <w:color w:val="000000"/>
                <w:sz w:val="20"/>
                <w:szCs w:val="20"/>
                <w:lang w:eastAsia="en-GB"/>
              </w:rPr>
            </w:pPr>
            <w:r w:rsidRPr="002D2E2C">
              <w:rPr>
                <w:rFonts w:cs="Calibri"/>
                <w:b/>
                <w:bCs/>
                <w:color w:val="000000"/>
                <w:sz w:val="20"/>
                <w:szCs w:val="20"/>
                <w:lang w:eastAsia="en-GB"/>
              </w:rPr>
              <w:t>Capital Receipts Reserve</w:t>
            </w:r>
          </w:p>
        </w:tc>
        <w:tc>
          <w:tcPr>
            <w:tcW w:w="995" w:type="dxa"/>
            <w:shd w:val="clear" w:color="auto" w:fill="auto"/>
            <w:vAlign w:val="center"/>
            <w:hideMark/>
          </w:tcPr>
          <w:p w:rsidR="0073204A" w:rsidRPr="002D2E2C" w:rsidRDefault="0073204A" w:rsidP="00891A96">
            <w:pPr>
              <w:jc w:val="right"/>
              <w:rPr>
                <w:rFonts w:cs="Calibri"/>
                <w:b/>
                <w:bCs/>
                <w:color w:val="000000"/>
                <w:sz w:val="20"/>
                <w:szCs w:val="20"/>
                <w:lang w:eastAsia="en-GB"/>
              </w:rPr>
            </w:pPr>
            <w:r w:rsidRPr="002D2E2C">
              <w:rPr>
                <w:rFonts w:cs="Calibri"/>
                <w:b/>
                <w:bCs/>
                <w:color w:val="000000"/>
                <w:sz w:val="20"/>
                <w:szCs w:val="20"/>
                <w:lang w:eastAsia="en-GB"/>
              </w:rPr>
              <w:t>Major Repairs Reserve</w:t>
            </w:r>
          </w:p>
        </w:tc>
        <w:tc>
          <w:tcPr>
            <w:tcW w:w="1143" w:type="dxa"/>
            <w:shd w:val="clear" w:color="auto" w:fill="auto"/>
            <w:vAlign w:val="center"/>
            <w:hideMark/>
          </w:tcPr>
          <w:p w:rsidR="0073204A" w:rsidRPr="002D2E2C" w:rsidRDefault="0073204A" w:rsidP="00891A96">
            <w:pPr>
              <w:jc w:val="right"/>
              <w:rPr>
                <w:rFonts w:cs="Calibri"/>
                <w:b/>
                <w:bCs/>
                <w:color w:val="000000"/>
                <w:sz w:val="20"/>
                <w:szCs w:val="20"/>
                <w:lang w:eastAsia="en-GB"/>
              </w:rPr>
            </w:pPr>
            <w:r w:rsidRPr="002D2E2C">
              <w:rPr>
                <w:rFonts w:cs="Calibri"/>
                <w:b/>
                <w:bCs/>
                <w:color w:val="000000"/>
                <w:sz w:val="20"/>
                <w:szCs w:val="20"/>
                <w:lang w:eastAsia="en-GB"/>
              </w:rPr>
              <w:t>Capital Grants Unapplied</w:t>
            </w:r>
          </w:p>
        </w:tc>
        <w:tc>
          <w:tcPr>
            <w:tcW w:w="1009" w:type="dxa"/>
            <w:shd w:val="clear" w:color="auto" w:fill="auto"/>
            <w:vAlign w:val="center"/>
            <w:hideMark/>
          </w:tcPr>
          <w:p w:rsidR="0073204A" w:rsidRPr="002D2E2C" w:rsidRDefault="0073204A" w:rsidP="00891A96">
            <w:pPr>
              <w:jc w:val="right"/>
              <w:rPr>
                <w:rFonts w:cs="Calibri"/>
                <w:b/>
                <w:bCs/>
                <w:color w:val="000000"/>
                <w:sz w:val="20"/>
                <w:szCs w:val="20"/>
                <w:lang w:eastAsia="en-GB"/>
              </w:rPr>
            </w:pPr>
            <w:r w:rsidRPr="002D2E2C">
              <w:rPr>
                <w:rFonts w:cs="Calibri"/>
                <w:b/>
                <w:bCs/>
                <w:color w:val="000000"/>
                <w:sz w:val="20"/>
                <w:szCs w:val="20"/>
                <w:lang w:eastAsia="en-GB"/>
              </w:rPr>
              <w:t>Total Usable Reserves</w:t>
            </w:r>
          </w:p>
        </w:tc>
        <w:tc>
          <w:tcPr>
            <w:tcW w:w="1029" w:type="dxa"/>
            <w:shd w:val="clear" w:color="auto" w:fill="auto"/>
            <w:vAlign w:val="center"/>
            <w:hideMark/>
          </w:tcPr>
          <w:p w:rsidR="0073204A" w:rsidRPr="002D2E2C" w:rsidRDefault="0073204A" w:rsidP="00891A96">
            <w:pPr>
              <w:jc w:val="right"/>
              <w:rPr>
                <w:rFonts w:cs="Calibri"/>
                <w:b/>
                <w:bCs/>
                <w:color w:val="000000"/>
                <w:sz w:val="20"/>
                <w:szCs w:val="20"/>
                <w:lang w:eastAsia="en-GB"/>
              </w:rPr>
            </w:pPr>
            <w:r w:rsidRPr="002D2E2C">
              <w:rPr>
                <w:rFonts w:cs="Calibri"/>
                <w:b/>
                <w:bCs/>
                <w:color w:val="000000"/>
                <w:sz w:val="20"/>
                <w:szCs w:val="20"/>
                <w:lang w:eastAsia="en-GB"/>
              </w:rPr>
              <w:t>Unusable Reserves</w:t>
            </w:r>
          </w:p>
        </w:tc>
        <w:tc>
          <w:tcPr>
            <w:tcW w:w="983" w:type="dxa"/>
            <w:shd w:val="clear" w:color="auto" w:fill="auto"/>
            <w:vAlign w:val="center"/>
            <w:hideMark/>
          </w:tcPr>
          <w:p w:rsidR="0073204A" w:rsidRPr="002D2E2C" w:rsidRDefault="0073204A" w:rsidP="00891A96">
            <w:pPr>
              <w:jc w:val="right"/>
              <w:rPr>
                <w:rFonts w:cs="Calibri"/>
                <w:b/>
                <w:bCs/>
                <w:color w:val="000000"/>
                <w:sz w:val="20"/>
                <w:szCs w:val="20"/>
                <w:lang w:eastAsia="en-GB"/>
              </w:rPr>
            </w:pPr>
            <w:r w:rsidRPr="002D2E2C">
              <w:rPr>
                <w:rFonts w:cs="Calibri"/>
                <w:b/>
                <w:bCs/>
                <w:color w:val="000000"/>
                <w:sz w:val="20"/>
                <w:szCs w:val="20"/>
                <w:lang w:eastAsia="en-GB"/>
              </w:rPr>
              <w:t>Total Council Reserves</w:t>
            </w:r>
          </w:p>
        </w:tc>
        <w:tc>
          <w:tcPr>
            <w:tcW w:w="1465" w:type="dxa"/>
            <w:shd w:val="clear" w:color="auto" w:fill="auto"/>
            <w:vAlign w:val="center"/>
            <w:hideMark/>
          </w:tcPr>
          <w:p w:rsidR="0073204A" w:rsidRPr="002D2E2C" w:rsidRDefault="0073204A" w:rsidP="00891A96">
            <w:pPr>
              <w:jc w:val="right"/>
              <w:rPr>
                <w:rFonts w:cs="Calibri"/>
                <w:b/>
                <w:bCs/>
                <w:color w:val="000000"/>
                <w:sz w:val="20"/>
                <w:szCs w:val="20"/>
                <w:lang w:eastAsia="en-GB"/>
              </w:rPr>
            </w:pPr>
            <w:r w:rsidRPr="002D2E2C">
              <w:rPr>
                <w:rFonts w:cs="Calibri"/>
                <w:b/>
                <w:bCs/>
                <w:color w:val="000000"/>
                <w:sz w:val="20"/>
                <w:szCs w:val="20"/>
                <w:lang w:eastAsia="en-GB"/>
              </w:rPr>
              <w:t>Council's Share of Reserves of Subsidiaries, Associated and Joint Ventures</w:t>
            </w:r>
          </w:p>
        </w:tc>
        <w:tc>
          <w:tcPr>
            <w:tcW w:w="974" w:type="dxa"/>
            <w:shd w:val="clear" w:color="auto" w:fill="auto"/>
            <w:vAlign w:val="center"/>
            <w:hideMark/>
          </w:tcPr>
          <w:p w:rsidR="0073204A" w:rsidRPr="002D2E2C" w:rsidRDefault="0073204A" w:rsidP="00891A96">
            <w:pPr>
              <w:jc w:val="right"/>
              <w:rPr>
                <w:rFonts w:cs="Calibri"/>
                <w:b/>
                <w:bCs/>
                <w:color w:val="000000"/>
                <w:sz w:val="20"/>
                <w:szCs w:val="20"/>
                <w:lang w:eastAsia="en-GB"/>
              </w:rPr>
            </w:pPr>
            <w:r w:rsidRPr="002D2E2C">
              <w:rPr>
                <w:rFonts w:cs="Calibri"/>
                <w:b/>
                <w:bCs/>
                <w:color w:val="000000"/>
                <w:sz w:val="20"/>
                <w:szCs w:val="20"/>
                <w:lang w:eastAsia="en-GB"/>
              </w:rPr>
              <w:t>Total Group Reserves</w:t>
            </w:r>
          </w:p>
        </w:tc>
      </w:tr>
      <w:tr w:rsidR="0073204A" w:rsidRPr="002D2E2C" w:rsidTr="00891A96">
        <w:trPr>
          <w:gridAfter w:val="1"/>
          <w:wAfter w:w="43" w:type="dxa"/>
          <w:trHeight w:val="315"/>
        </w:trPr>
        <w:tc>
          <w:tcPr>
            <w:tcW w:w="2977" w:type="dxa"/>
            <w:shd w:val="clear" w:color="auto" w:fill="auto"/>
            <w:vAlign w:val="center"/>
            <w:hideMark/>
          </w:tcPr>
          <w:p w:rsidR="0073204A" w:rsidRPr="002D2E2C" w:rsidRDefault="0073204A" w:rsidP="00891A96">
            <w:pPr>
              <w:jc w:val="right"/>
              <w:rPr>
                <w:rFonts w:cs="Calibri"/>
                <w:b/>
                <w:bCs/>
                <w:color w:val="000000"/>
                <w:sz w:val="20"/>
                <w:szCs w:val="20"/>
                <w:lang w:eastAsia="en-GB"/>
              </w:rPr>
            </w:pPr>
          </w:p>
        </w:tc>
        <w:tc>
          <w:tcPr>
            <w:tcW w:w="872" w:type="dxa"/>
            <w:shd w:val="clear" w:color="auto" w:fill="auto"/>
            <w:noWrap/>
            <w:vAlign w:val="center"/>
            <w:hideMark/>
          </w:tcPr>
          <w:p w:rsidR="0073204A" w:rsidRPr="002D2E2C" w:rsidRDefault="0073204A" w:rsidP="00891A96">
            <w:pPr>
              <w:jc w:val="right"/>
              <w:rPr>
                <w:rFonts w:cs="Calibri"/>
                <w:b/>
                <w:bCs/>
                <w:color w:val="000000"/>
                <w:sz w:val="20"/>
                <w:szCs w:val="20"/>
                <w:lang w:eastAsia="en-GB"/>
              </w:rPr>
            </w:pPr>
            <w:r w:rsidRPr="002D2E2C">
              <w:rPr>
                <w:rFonts w:cs="Calibri"/>
                <w:b/>
                <w:bCs/>
                <w:color w:val="000000"/>
                <w:sz w:val="20"/>
                <w:szCs w:val="20"/>
                <w:lang w:eastAsia="en-GB"/>
              </w:rPr>
              <w:t>£m</w:t>
            </w:r>
          </w:p>
        </w:tc>
        <w:tc>
          <w:tcPr>
            <w:tcW w:w="993" w:type="dxa"/>
            <w:shd w:val="clear" w:color="auto" w:fill="auto"/>
            <w:noWrap/>
            <w:vAlign w:val="center"/>
            <w:hideMark/>
          </w:tcPr>
          <w:p w:rsidR="0073204A" w:rsidRPr="002D2E2C" w:rsidRDefault="0073204A" w:rsidP="00891A96">
            <w:pPr>
              <w:jc w:val="right"/>
              <w:rPr>
                <w:rFonts w:cs="Calibri"/>
                <w:b/>
                <w:bCs/>
                <w:color w:val="000000"/>
                <w:sz w:val="20"/>
                <w:szCs w:val="20"/>
                <w:lang w:eastAsia="en-GB"/>
              </w:rPr>
            </w:pPr>
            <w:r w:rsidRPr="002D2E2C">
              <w:rPr>
                <w:rFonts w:cs="Calibri"/>
                <w:b/>
                <w:bCs/>
                <w:color w:val="000000"/>
                <w:sz w:val="20"/>
                <w:szCs w:val="20"/>
                <w:lang w:eastAsia="en-GB"/>
              </w:rPr>
              <w:t>£m</w:t>
            </w:r>
          </w:p>
        </w:tc>
        <w:tc>
          <w:tcPr>
            <w:tcW w:w="1134" w:type="dxa"/>
            <w:shd w:val="clear" w:color="auto" w:fill="auto"/>
            <w:noWrap/>
            <w:vAlign w:val="center"/>
            <w:hideMark/>
          </w:tcPr>
          <w:p w:rsidR="0073204A" w:rsidRPr="002D2E2C" w:rsidRDefault="0073204A" w:rsidP="00891A96">
            <w:pPr>
              <w:jc w:val="right"/>
              <w:rPr>
                <w:rFonts w:cs="Calibri"/>
                <w:b/>
                <w:bCs/>
                <w:color w:val="000000"/>
                <w:sz w:val="20"/>
                <w:szCs w:val="20"/>
                <w:lang w:eastAsia="en-GB"/>
              </w:rPr>
            </w:pPr>
            <w:r w:rsidRPr="002D2E2C">
              <w:rPr>
                <w:rFonts w:cs="Calibri"/>
                <w:b/>
                <w:bCs/>
                <w:color w:val="000000"/>
                <w:sz w:val="20"/>
                <w:szCs w:val="20"/>
                <w:lang w:eastAsia="en-GB"/>
              </w:rPr>
              <w:t>£m</w:t>
            </w:r>
          </w:p>
        </w:tc>
        <w:tc>
          <w:tcPr>
            <w:tcW w:w="867" w:type="dxa"/>
            <w:shd w:val="clear" w:color="auto" w:fill="auto"/>
            <w:noWrap/>
            <w:vAlign w:val="center"/>
            <w:hideMark/>
          </w:tcPr>
          <w:p w:rsidR="0073204A" w:rsidRPr="002D2E2C" w:rsidRDefault="0073204A" w:rsidP="00891A96">
            <w:pPr>
              <w:jc w:val="right"/>
              <w:rPr>
                <w:rFonts w:cs="Calibri"/>
                <w:b/>
                <w:bCs/>
                <w:color w:val="000000"/>
                <w:sz w:val="20"/>
                <w:szCs w:val="20"/>
                <w:lang w:eastAsia="en-GB"/>
              </w:rPr>
            </w:pPr>
            <w:r w:rsidRPr="002D2E2C">
              <w:rPr>
                <w:rFonts w:cs="Calibri"/>
                <w:b/>
                <w:bCs/>
                <w:color w:val="000000"/>
                <w:sz w:val="20"/>
                <w:szCs w:val="20"/>
                <w:lang w:eastAsia="en-GB"/>
              </w:rPr>
              <w:t>£m</w:t>
            </w:r>
          </w:p>
        </w:tc>
        <w:tc>
          <w:tcPr>
            <w:tcW w:w="1134" w:type="dxa"/>
            <w:shd w:val="clear" w:color="auto" w:fill="auto"/>
            <w:vAlign w:val="center"/>
            <w:hideMark/>
          </w:tcPr>
          <w:p w:rsidR="0073204A" w:rsidRPr="002D2E2C" w:rsidRDefault="0073204A" w:rsidP="00891A96">
            <w:pPr>
              <w:jc w:val="right"/>
              <w:rPr>
                <w:rFonts w:cs="Calibri"/>
                <w:b/>
                <w:bCs/>
                <w:color w:val="000000"/>
                <w:sz w:val="20"/>
                <w:szCs w:val="20"/>
                <w:lang w:eastAsia="en-GB"/>
              </w:rPr>
            </w:pPr>
            <w:r w:rsidRPr="002D2E2C">
              <w:rPr>
                <w:rFonts w:cs="Calibri"/>
                <w:b/>
                <w:bCs/>
                <w:color w:val="000000"/>
                <w:sz w:val="20"/>
                <w:szCs w:val="20"/>
                <w:lang w:eastAsia="en-GB"/>
              </w:rPr>
              <w:t>£m</w:t>
            </w:r>
          </w:p>
        </w:tc>
        <w:tc>
          <w:tcPr>
            <w:tcW w:w="992" w:type="dxa"/>
            <w:shd w:val="clear" w:color="auto" w:fill="auto"/>
            <w:vAlign w:val="center"/>
            <w:hideMark/>
          </w:tcPr>
          <w:p w:rsidR="0073204A" w:rsidRPr="002D2E2C" w:rsidRDefault="0073204A" w:rsidP="00891A96">
            <w:pPr>
              <w:jc w:val="right"/>
              <w:rPr>
                <w:rFonts w:cs="Calibri"/>
                <w:b/>
                <w:bCs/>
                <w:color w:val="000000"/>
                <w:sz w:val="20"/>
                <w:szCs w:val="20"/>
                <w:lang w:eastAsia="en-GB"/>
              </w:rPr>
            </w:pPr>
            <w:r w:rsidRPr="002D2E2C">
              <w:rPr>
                <w:rFonts w:cs="Calibri"/>
                <w:b/>
                <w:bCs/>
                <w:color w:val="000000"/>
                <w:sz w:val="20"/>
                <w:szCs w:val="20"/>
                <w:lang w:eastAsia="en-GB"/>
              </w:rPr>
              <w:t>£m</w:t>
            </w:r>
          </w:p>
        </w:tc>
        <w:tc>
          <w:tcPr>
            <w:tcW w:w="995" w:type="dxa"/>
            <w:shd w:val="clear" w:color="auto" w:fill="auto"/>
            <w:vAlign w:val="center"/>
            <w:hideMark/>
          </w:tcPr>
          <w:p w:rsidR="0073204A" w:rsidRPr="002D2E2C" w:rsidRDefault="0073204A" w:rsidP="00891A96">
            <w:pPr>
              <w:jc w:val="right"/>
              <w:rPr>
                <w:rFonts w:cs="Calibri"/>
                <w:b/>
                <w:bCs/>
                <w:color w:val="000000"/>
                <w:sz w:val="20"/>
                <w:szCs w:val="20"/>
                <w:lang w:eastAsia="en-GB"/>
              </w:rPr>
            </w:pPr>
            <w:r w:rsidRPr="002D2E2C">
              <w:rPr>
                <w:rFonts w:cs="Calibri"/>
                <w:b/>
                <w:bCs/>
                <w:color w:val="000000"/>
                <w:sz w:val="20"/>
                <w:szCs w:val="20"/>
                <w:lang w:eastAsia="en-GB"/>
              </w:rPr>
              <w:t>£m</w:t>
            </w:r>
          </w:p>
        </w:tc>
        <w:tc>
          <w:tcPr>
            <w:tcW w:w="1143" w:type="dxa"/>
            <w:shd w:val="clear" w:color="auto" w:fill="auto"/>
            <w:vAlign w:val="center"/>
            <w:hideMark/>
          </w:tcPr>
          <w:p w:rsidR="0073204A" w:rsidRPr="002D2E2C" w:rsidRDefault="0073204A" w:rsidP="00891A96">
            <w:pPr>
              <w:jc w:val="right"/>
              <w:rPr>
                <w:rFonts w:cs="Calibri"/>
                <w:b/>
                <w:bCs/>
                <w:color w:val="000000"/>
                <w:sz w:val="20"/>
                <w:szCs w:val="20"/>
                <w:lang w:eastAsia="en-GB"/>
              </w:rPr>
            </w:pPr>
            <w:r w:rsidRPr="002D2E2C">
              <w:rPr>
                <w:rFonts w:cs="Calibri"/>
                <w:b/>
                <w:bCs/>
                <w:color w:val="000000"/>
                <w:sz w:val="20"/>
                <w:szCs w:val="20"/>
                <w:lang w:eastAsia="en-GB"/>
              </w:rPr>
              <w:t>£m</w:t>
            </w:r>
          </w:p>
        </w:tc>
        <w:tc>
          <w:tcPr>
            <w:tcW w:w="1009" w:type="dxa"/>
            <w:shd w:val="clear" w:color="auto" w:fill="auto"/>
            <w:vAlign w:val="center"/>
            <w:hideMark/>
          </w:tcPr>
          <w:p w:rsidR="0073204A" w:rsidRPr="002D2E2C" w:rsidRDefault="0073204A" w:rsidP="00891A96">
            <w:pPr>
              <w:jc w:val="right"/>
              <w:rPr>
                <w:rFonts w:cs="Calibri"/>
                <w:b/>
                <w:bCs/>
                <w:color w:val="000000"/>
                <w:sz w:val="20"/>
                <w:szCs w:val="20"/>
                <w:lang w:eastAsia="en-GB"/>
              </w:rPr>
            </w:pPr>
            <w:r w:rsidRPr="002D2E2C">
              <w:rPr>
                <w:rFonts w:cs="Calibri"/>
                <w:b/>
                <w:bCs/>
                <w:color w:val="000000"/>
                <w:sz w:val="20"/>
                <w:szCs w:val="20"/>
                <w:lang w:eastAsia="en-GB"/>
              </w:rPr>
              <w:t>£m</w:t>
            </w:r>
          </w:p>
        </w:tc>
        <w:tc>
          <w:tcPr>
            <w:tcW w:w="1029" w:type="dxa"/>
            <w:shd w:val="clear" w:color="auto" w:fill="auto"/>
            <w:vAlign w:val="center"/>
            <w:hideMark/>
          </w:tcPr>
          <w:p w:rsidR="0073204A" w:rsidRPr="002D2E2C" w:rsidRDefault="0073204A" w:rsidP="00891A96">
            <w:pPr>
              <w:jc w:val="right"/>
              <w:rPr>
                <w:rFonts w:cs="Calibri"/>
                <w:b/>
                <w:bCs/>
                <w:color w:val="000000"/>
                <w:sz w:val="20"/>
                <w:szCs w:val="20"/>
                <w:lang w:eastAsia="en-GB"/>
              </w:rPr>
            </w:pPr>
            <w:r w:rsidRPr="002D2E2C">
              <w:rPr>
                <w:rFonts w:cs="Calibri"/>
                <w:b/>
                <w:bCs/>
                <w:color w:val="000000"/>
                <w:sz w:val="20"/>
                <w:szCs w:val="20"/>
                <w:lang w:eastAsia="en-GB"/>
              </w:rPr>
              <w:t>£m</w:t>
            </w:r>
          </w:p>
        </w:tc>
        <w:tc>
          <w:tcPr>
            <w:tcW w:w="983" w:type="dxa"/>
            <w:shd w:val="clear" w:color="auto" w:fill="auto"/>
            <w:vAlign w:val="center"/>
            <w:hideMark/>
          </w:tcPr>
          <w:p w:rsidR="0073204A" w:rsidRPr="002D2E2C" w:rsidRDefault="0073204A" w:rsidP="00891A96">
            <w:pPr>
              <w:jc w:val="right"/>
              <w:rPr>
                <w:rFonts w:cs="Calibri"/>
                <w:b/>
                <w:bCs/>
                <w:color w:val="000000"/>
                <w:sz w:val="20"/>
                <w:szCs w:val="20"/>
                <w:lang w:eastAsia="en-GB"/>
              </w:rPr>
            </w:pPr>
            <w:r w:rsidRPr="002D2E2C">
              <w:rPr>
                <w:rFonts w:cs="Calibri"/>
                <w:b/>
                <w:bCs/>
                <w:color w:val="000000"/>
                <w:sz w:val="20"/>
                <w:szCs w:val="20"/>
                <w:lang w:eastAsia="en-GB"/>
              </w:rPr>
              <w:t>£m</w:t>
            </w:r>
          </w:p>
        </w:tc>
        <w:tc>
          <w:tcPr>
            <w:tcW w:w="1465" w:type="dxa"/>
            <w:shd w:val="clear" w:color="auto" w:fill="auto"/>
            <w:vAlign w:val="center"/>
            <w:hideMark/>
          </w:tcPr>
          <w:p w:rsidR="0073204A" w:rsidRPr="002D2E2C" w:rsidRDefault="0073204A" w:rsidP="00891A96">
            <w:pPr>
              <w:jc w:val="right"/>
              <w:rPr>
                <w:rFonts w:cs="Calibri"/>
                <w:b/>
                <w:bCs/>
                <w:color w:val="000000"/>
                <w:sz w:val="20"/>
                <w:szCs w:val="20"/>
                <w:lang w:eastAsia="en-GB"/>
              </w:rPr>
            </w:pPr>
            <w:r w:rsidRPr="002D2E2C">
              <w:rPr>
                <w:rFonts w:cs="Calibri"/>
                <w:b/>
                <w:bCs/>
                <w:color w:val="000000"/>
                <w:sz w:val="20"/>
                <w:szCs w:val="20"/>
                <w:lang w:eastAsia="en-GB"/>
              </w:rPr>
              <w:t>£m</w:t>
            </w:r>
          </w:p>
        </w:tc>
        <w:tc>
          <w:tcPr>
            <w:tcW w:w="974" w:type="dxa"/>
            <w:shd w:val="clear" w:color="auto" w:fill="auto"/>
            <w:vAlign w:val="center"/>
            <w:hideMark/>
          </w:tcPr>
          <w:p w:rsidR="0073204A" w:rsidRPr="002D2E2C" w:rsidRDefault="0073204A" w:rsidP="00891A96">
            <w:pPr>
              <w:jc w:val="right"/>
              <w:rPr>
                <w:rFonts w:cs="Calibri"/>
                <w:b/>
                <w:bCs/>
                <w:color w:val="000000"/>
                <w:sz w:val="20"/>
                <w:szCs w:val="20"/>
                <w:lang w:eastAsia="en-GB"/>
              </w:rPr>
            </w:pPr>
            <w:r w:rsidRPr="002D2E2C">
              <w:rPr>
                <w:rFonts w:cs="Calibri"/>
                <w:b/>
                <w:bCs/>
                <w:color w:val="000000"/>
                <w:sz w:val="20"/>
                <w:szCs w:val="20"/>
                <w:lang w:eastAsia="en-GB"/>
              </w:rPr>
              <w:t>£m</w:t>
            </w:r>
          </w:p>
        </w:tc>
      </w:tr>
      <w:tr w:rsidR="0073204A" w:rsidRPr="002D2E2C" w:rsidTr="00891A96">
        <w:trPr>
          <w:gridAfter w:val="1"/>
          <w:wAfter w:w="43" w:type="dxa"/>
          <w:trHeight w:val="411"/>
        </w:trPr>
        <w:tc>
          <w:tcPr>
            <w:tcW w:w="2977" w:type="dxa"/>
            <w:shd w:val="clear" w:color="auto" w:fill="auto"/>
            <w:vAlign w:val="center"/>
            <w:hideMark/>
          </w:tcPr>
          <w:p w:rsidR="0073204A" w:rsidRPr="002D2E2C" w:rsidRDefault="0073204A" w:rsidP="00891A96">
            <w:pPr>
              <w:rPr>
                <w:rFonts w:cs="Calibri"/>
                <w:b/>
                <w:bCs/>
                <w:color w:val="000000"/>
                <w:sz w:val="20"/>
                <w:szCs w:val="20"/>
                <w:lang w:eastAsia="en-GB"/>
              </w:rPr>
            </w:pPr>
            <w:r w:rsidRPr="002D2E2C">
              <w:rPr>
                <w:rFonts w:cs="Calibri"/>
                <w:b/>
                <w:bCs/>
                <w:color w:val="000000"/>
                <w:sz w:val="20"/>
                <w:szCs w:val="20"/>
                <w:lang w:eastAsia="en-GB"/>
              </w:rPr>
              <w:t xml:space="preserve"> Balance as at 1 April 2019</w:t>
            </w:r>
          </w:p>
        </w:tc>
        <w:tc>
          <w:tcPr>
            <w:tcW w:w="872" w:type="dxa"/>
            <w:shd w:val="clear" w:color="auto" w:fill="auto"/>
            <w:noWrap/>
            <w:vAlign w:val="center"/>
            <w:hideMark/>
          </w:tcPr>
          <w:p w:rsidR="0073204A" w:rsidRPr="002D2E2C" w:rsidRDefault="0073204A" w:rsidP="00891A96">
            <w:pPr>
              <w:ind w:left="-275"/>
              <w:jc w:val="right"/>
              <w:rPr>
                <w:rFonts w:cs="Calibri"/>
                <w:b/>
                <w:bCs/>
                <w:color w:val="000000"/>
                <w:sz w:val="20"/>
                <w:szCs w:val="20"/>
                <w:lang w:eastAsia="en-GB"/>
              </w:rPr>
            </w:pPr>
            <w:r w:rsidRPr="002D2E2C">
              <w:rPr>
                <w:rFonts w:cs="Calibri"/>
                <w:b/>
                <w:bCs/>
                <w:color w:val="000000"/>
                <w:sz w:val="20"/>
                <w:szCs w:val="20"/>
                <w:lang w:eastAsia="en-GB"/>
              </w:rPr>
              <w:t>(15.1)</w:t>
            </w:r>
          </w:p>
        </w:tc>
        <w:tc>
          <w:tcPr>
            <w:tcW w:w="993" w:type="dxa"/>
            <w:shd w:val="clear" w:color="auto" w:fill="auto"/>
            <w:noWrap/>
            <w:vAlign w:val="center"/>
            <w:hideMark/>
          </w:tcPr>
          <w:p w:rsidR="0073204A" w:rsidRPr="002D2E2C" w:rsidRDefault="0073204A" w:rsidP="00891A96">
            <w:pPr>
              <w:jc w:val="right"/>
              <w:rPr>
                <w:rFonts w:cs="Calibri"/>
                <w:b/>
                <w:bCs/>
                <w:color w:val="000000"/>
                <w:sz w:val="20"/>
                <w:szCs w:val="20"/>
                <w:lang w:eastAsia="en-GB"/>
              </w:rPr>
            </w:pPr>
            <w:r w:rsidRPr="002D2E2C">
              <w:rPr>
                <w:rFonts w:cs="Calibri"/>
                <w:b/>
                <w:bCs/>
                <w:color w:val="000000"/>
                <w:sz w:val="20"/>
                <w:szCs w:val="20"/>
                <w:lang w:eastAsia="en-GB"/>
              </w:rPr>
              <w:t>(18.6)</w:t>
            </w:r>
          </w:p>
        </w:tc>
        <w:tc>
          <w:tcPr>
            <w:tcW w:w="1134" w:type="dxa"/>
            <w:shd w:val="clear" w:color="auto" w:fill="auto"/>
            <w:noWrap/>
            <w:vAlign w:val="center"/>
            <w:hideMark/>
          </w:tcPr>
          <w:p w:rsidR="0073204A" w:rsidRPr="002D2E2C" w:rsidRDefault="0073204A" w:rsidP="00891A96">
            <w:pPr>
              <w:jc w:val="right"/>
              <w:rPr>
                <w:rFonts w:cs="Calibri"/>
                <w:b/>
                <w:bCs/>
                <w:color w:val="000000"/>
                <w:sz w:val="20"/>
                <w:szCs w:val="20"/>
                <w:lang w:eastAsia="en-GB"/>
              </w:rPr>
            </w:pPr>
            <w:r w:rsidRPr="002D2E2C">
              <w:rPr>
                <w:rFonts w:cs="Calibri"/>
                <w:b/>
                <w:bCs/>
                <w:color w:val="000000"/>
                <w:sz w:val="20"/>
                <w:szCs w:val="20"/>
                <w:lang w:eastAsia="en-GB"/>
              </w:rPr>
              <w:t>(233.8)</w:t>
            </w:r>
          </w:p>
        </w:tc>
        <w:tc>
          <w:tcPr>
            <w:tcW w:w="867" w:type="dxa"/>
            <w:shd w:val="clear" w:color="auto" w:fill="auto"/>
            <w:noWrap/>
            <w:vAlign w:val="center"/>
            <w:hideMark/>
          </w:tcPr>
          <w:p w:rsidR="0073204A" w:rsidRPr="002D2E2C" w:rsidRDefault="0073204A" w:rsidP="00891A96">
            <w:pPr>
              <w:jc w:val="right"/>
              <w:rPr>
                <w:rFonts w:cs="Calibri"/>
                <w:b/>
                <w:bCs/>
                <w:color w:val="000000"/>
                <w:sz w:val="20"/>
                <w:szCs w:val="20"/>
                <w:lang w:eastAsia="en-GB"/>
              </w:rPr>
            </w:pPr>
            <w:r w:rsidRPr="002D2E2C">
              <w:rPr>
                <w:rFonts w:cs="Calibri"/>
                <w:b/>
                <w:bCs/>
                <w:color w:val="000000"/>
                <w:sz w:val="20"/>
                <w:szCs w:val="20"/>
                <w:lang w:eastAsia="en-GB"/>
              </w:rPr>
              <w:t>(1.4)</w:t>
            </w:r>
          </w:p>
        </w:tc>
        <w:tc>
          <w:tcPr>
            <w:tcW w:w="1134" w:type="dxa"/>
            <w:shd w:val="clear" w:color="auto" w:fill="auto"/>
            <w:noWrap/>
            <w:vAlign w:val="center"/>
            <w:hideMark/>
          </w:tcPr>
          <w:p w:rsidR="0073204A" w:rsidRPr="002D2E2C" w:rsidRDefault="0073204A" w:rsidP="00891A96">
            <w:pPr>
              <w:jc w:val="right"/>
              <w:rPr>
                <w:rFonts w:cs="Calibri"/>
                <w:b/>
                <w:bCs/>
                <w:color w:val="000000"/>
                <w:sz w:val="20"/>
                <w:szCs w:val="20"/>
                <w:lang w:eastAsia="en-GB"/>
              </w:rPr>
            </w:pPr>
            <w:r w:rsidRPr="002D2E2C">
              <w:rPr>
                <w:rFonts w:cs="Calibri"/>
                <w:b/>
                <w:bCs/>
                <w:color w:val="000000"/>
                <w:sz w:val="20"/>
                <w:szCs w:val="20"/>
                <w:lang w:eastAsia="en-GB"/>
              </w:rPr>
              <w:t>(1.7)</w:t>
            </w:r>
          </w:p>
        </w:tc>
        <w:tc>
          <w:tcPr>
            <w:tcW w:w="992" w:type="dxa"/>
            <w:shd w:val="clear" w:color="auto" w:fill="auto"/>
            <w:noWrap/>
            <w:vAlign w:val="center"/>
            <w:hideMark/>
          </w:tcPr>
          <w:p w:rsidR="0073204A" w:rsidRPr="002D2E2C" w:rsidRDefault="0073204A" w:rsidP="00891A96">
            <w:pPr>
              <w:jc w:val="right"/>
              <w:rPr>
                <w:rFonts w:cs="Calibri"/>
                <w:b/>
                <w:bCs/>
                <w:color w:val="000000"/>
                <w:sz w:val="20"/>
                <w:szCs w:val="20"/>
                <w:lang w:eastAsia="en-GB"/>
              </w:rPr>
            </w:pPr>
            <w:r w:rsidRPr="002D2E2C">
              <w:rPr>
                <w:rFonts w:cs="Calibri"/>
                <w:b/>
                <w:bCs/>
                <w:color w:val="000000"/>
                <w:sz w:val="20"/>
                <w:szCs w:val="20"/>
                <w:lang w:eastAsia="en-GB"/>
              </w:rPr>
              <w:t>(25.4)</w:t>
            </w:r>
          </w:p>
        </w:tc>
        <w:tc>
          <w:tcPr>
            <w:tcW w:w="995" w:type="dxa"/>
            <w:shd w:val="clear" w:color="auto" w:fill="auto"/>
            <w:noWrap/>
            <w:vAlign w:val="center"/>
            <w:hideMark/>
          </w:tcPr>
          <w:p w:rsidR="0073204A" w:rsidRPr="002D2E2C" w:rsidRDefault="0073204A" w:rsidP="00891A96">
            <w:pPr>
              <w:jc w:val="right"/>
              <w:rPr>
                <w:rFonts w:cs="Calibri"/>
                <w:b/>
                <w:bCs/>
                <w:color w:val="000000"/>
                <w:sz w:val="20"/>
                <w:szCs w:val="20"/>
                <w:lang w:eastAsia="en-GB"/>
              </w:rPr>
            </w:pPr>
            <w:r w:rsidRPr="002D2E2C">
              <w:rPr>
                <w:rFonts w:cs="Calibri"/>
                <w:b/>
                <w:bCs/>
                <w:color w:val="000000"/>
                <w:sz w:val="20"/>
                <w:szCs w:val="20"/>
                <w:lang w:eastAsia="en-GB"/>
              </w:rPr>
              <w:t>0.0</w:t>
            </w:r>
          </w:p>
        </w:tc>
        <w:tc>
          <w:tcPr>
            <w:tcW w:w="1143" w:type="dxa"/>
            <w:shd w:val="clear" w:color="auto" w:fill="auto"/>
            <w:noWrap/>
            <w:vAlign w:val="center"/>
            <w:hideMark/>
          </w:tcPr>
          <w:p w:rsidR="0073204A" w:rsidRPr="002D2E2C" w:rsidRDefault="0073204A" w:rsidP="00891A96">
            <w:pPr>
              <w:jc w:val="right"/>
              <w:rPr>
                <w:rFonts w:cs="Calibri"/>
                <w:b/>
                <w:bCs/>
                <w:color w:val="000000"/>
                <w:sz w:val="20"/>
                <w:szCs w:val="20"/>
                <w:lang w:eastAsia="en-GB"/>
              </w:rPr>
            </w:pPr>
            <w:r w:rsidRPr="002D2E2C">
              <w:rPr>
                <w:rFonts w:cs="Calibri"/>
                <w:b/>
                <w:bCs/>
                <w:color w:val="000000"/>
                <w:sz w:val="20"/>
                <w:szCs w:val="20"/>
                <w:lang w:eastAsia="en-GB"/>
              </w:rPr>
              <w:t>(72.4)</w:t>
            </w:r>
          </w:p>
        </w:tc>
        <w:tc>
          <w:tcPr>
            <w:tcW w:w="1009" w:type="dxa"/>
            <w:shd w:val="clear" w:color="auto" w:fill="auto"/>
            <w:noWrap/>
            <w:vAlign w:val="center"/>
            <w:hideMark/>
          </w:tcPr>
          <w:p w:rsidR="0073204A" w:rsidRPr="002D2E2C" w:rsidRDefault="0073204A" w:rsidP="00891A96">
            <w:pPr>
              <w:jc w:val="right"/>
              <w:rPr>
                <w:rFonts w:cs="Calibri"/>
                <w:b/>
                <w:bCs/>
                <w:color w:val="000000"/>
                <w:sz w:val="20"/>
                <w:szCs w:val="20"/>
                <w:lang w:eastAsia="en-GB"/>
              </w:rPr>
            </w:pPr>
            <w:r w:rsidRPr="002D2E2C">
              <w:rPr>
                <w:rFonts w:cs="Calibri"/>
                <w:b/>
                <w:bCs/>
                <w:color w:val="000000"/>
                <w:sz w:val="20"/>
                <w:szCs w:val="20"/>
                <w:lang w:eastAsia="en-GB"/>
              </w:rPr>
              <w:t>(368.4)</w:t>
            </w:r>
          </w:p>
        </w:tc>
        <w:tc>
          <w:tcPr>
            <w:tcW w:w="1029" w:type="dxa"/>
            <w:shd w:val="clear" w:color="auto" w:fill="auto"/>
            <w:noWrap/>
            <w:vAlign w:val="center"/>
            <w:hideMark/>
          </w:tcPr>
          <w:p w:rsidR="0073204A" w:rsidRPr="002D2E2C" w:rsidRDefault="0073204A" w:rsidP="00891A96">
            <w:pPr>
              <w:jc w:val="right"/>
              <w:rPr>
                <w:rFonts w:cs="Calibri"/>
                <w:b/>
                <w:bCs/>
                <w:color w:val="000000"/>
                <w:sz w:val="20"/>
                <w:szCs w:val="20"/>
                <w:lang w:eastAsia="en-GB"/>
              </w:rPr>
            </w:pPr>
            <w:r w:rsidRPr="002D2E2C">
              <w:rPr>
                <w:rFonts w:cs="Calibri"/>
                <w:b/>
                <w:bCs/>
                <w:color w:val="000000"/>
                <w:sz w:val="20"/>
                <w:szCs w:val="20"/>
                <w:lang w:eastAsia="en-GB"/>
              </w:rPr>
              <w:t>(124.9)</w:t>
            </w:r>
          </w:p>
        </w:tc>
        <w:tc>
          <w:tcPr>
            <w:tcW w:w="983" w:type="dxa"/>
            <w:shd w:val="clear" w:color="auto" w:fill="auto"/>
            <w:noWrap/>
            <w:vAlign w:val="center"/>
            <w:hideMark/>
          </w:tcPr>
          <w:p w:rsidR="0073204A" w:rsidRPr="002D2E2C" w:rsidRDefault="0073204A" w:rsidP="00891A96">
            <w:pPr>
              <w:jc w:val="right"/>
              <w:rPr>
                <w:rFonts w:cs="Calibri"/>
                <w:b/>
                <w:bCs/>
                <w:color w:val="000000"/>
                <w:sz w:val="20"/>
                <w:szCs w:val="20"/>
                <w:lang w:eastAsia="en-GB"/>
              </w:rPr>
            </w:pPr>
            <w:r w:rsidRPr="002D2E2C">
              <w:rPr>
                <w:rFonts w:cs="Calibri"/>
                <w:b/>
                <w:bCs/>
                <w:color w:val="000000"/>
                <w:sz w:val="20"/>
                <w:szCs w:val="20"/>
                <w:lang w:eastAsia="en-GB"/>
              </w:rPr>
              <w:t>(493.3)</w:t>
            </w:r>
          </w:p>
        </w:tc>
        <w:tc>
          <w:tcPr>
            <w:tcW w:w="1465" w:type="dxa"/>
            <w:shd w:val="clear" w:color="auto" w:fill="auto"/>
            <w:noWrap/>
            <w:vAlign w:val="center"/>
            <w:hideMark/>
          </w:tcPr>
          <w:p w:rsidR="0073204A" w:rsidRPr="002D2E2C" w:rsidRDefault="0073204A" w:rsidP="00891A96">
            <w:pPr>
              <w:jc w:val="right"/>
              <w:rPr>
                <w:rFonts w:cs="Calibri"/>
                <w:b/>
                <w:bCs/>
                <w:color w:val="000000"/>
                <w:sz w:val="20"/>
                <w:szCs w:val="20"/>
                <w:lang w:eastAsia="en-GB"/>
              </w:rPr>
            </w:pPr>
            <w:r w:rsidRPr="002D2E2C">
              <w:rPr>
                <w:rFonts w:cs="Calibri"/>
                <w:b/>
                <w:bCs/>
                <w:color w:val="000000"/>
                <w:sz w:val="20"/>
                <w:szCs w:val="20"/>
                <w:lang w:eastAsia="en-GB"/>
              </w:rPr>
              <w:t>(21.8)</w:t>
            </w:r>
          </w:p>
        </w:tc>
        <w:tc>
          <w:tcPr>
            <w:tcW w:w="974" w:type="dxa"/>
            <w:shd w:val="clear" w:color="auto" w:fill="auto"/>
            <w:noWrap/>
            <w:vAlign w:val="center"/>
            <w:hideMark/>
          </w:tcPr>
          <w:p w:rsidR="0073204A" w:rsidRPr="002D2E2C" w:rsidRDefault="0073204A" w:rsidP="00891A96">
            <w:pPr>
              <w:jc w:val="right"/>
              <w:rPr>
                <w:rFonts w:cs="Calibri"/>
                <w:b/>
                <w:bCs/>
                <w:color w:val="000000"/>
                <w:sz w:val="20"/>
                <w:szCs w:val="20"/>
                <w:lang w:eastAsia="en-GB"/>
              </w:rPr>
            </w:pPr>
            <w:r w:rsidRPr="002D2E2C">
              <w:rPr>
                <w:rFonts w:cs="Calibri"/>
                <w:b/>
                <w:bCs/>
                <w:color w:val="000000"/>
                <w:sz w:val="20"/>
                <w:szCs w:val="20"/>
                <w:lang w:eastAsia="en-GB"/>
              </w:rPr>
              <w:t>(515.1)</w:t>
            </w:r>
          </w:p>
        </w:tc>
      </w:tr>
      <w:tr w:rsidR="00891A96" w:rsidRPr="002D2E2C" w:rsidTr="00891A96">
        <w:trPr>
          <w:trHeight w:val="465"/>
        </w:trPr>
        <w:tc>
          <w:tcPr>
            <w:tcW w:w="16610" w:type="dxa"/>
            <w:gridSpan w:val="15"/>
            <w:shd w:val="clear" w:color="auto" w:fill="auto"/>
            <w:vAlign w:val="center"/>
            <w:hideMark/>
          </w:tcPr>
          <w:p w:rsidR="00891A96" w:rsidRPr="002D2E2C" w:rsidRDefault="00891A96" w:rsidP="00891A96">
            <w:pPr>
              <w:rPr>
                <w:rFonts w:cs="Calibri"/>
                <w:b/>
                <w:bCs/>
                <w:color w:val="000000"/>
                <w:sz w:val="20"/>
                <w:szCs w:val="20"/>
                <w:lang w:eastAsia="en-GB"/>
              </w:rPr>
            </w:pPr>
            <w:r w:rsidRPr="002D2E2C">
              <w:rPr>
                <w:rFonts w:cs="Calibri"/>
                <w:b/>
                <w:bCs/>
                <w:color w:val="000000"/>
                <w:sz w:val="20"/>
                <w:szCs w:val="20"/>
                <w:lang w:eastAsia="en-GB"/>
              </w:rPr>
              <w:t>Mov</w:t>
            </w:r>
            <w:r>
              <w:rPr>
                <w:rFonts w:cs="Calibri"/>
                <w:b/>
                <w:bCs/>
                <w:color w:val="000000"/>
                <w:sz w:val="20"/>
                <w:szCs w:val="20"/>
                <w:lang w:eastAsia="en-GB"/>
              </w:rPr>
              <w:t>ement in reserves during 2019/20</w:t>
            </w:r>
          </w:p>
        </w:tc>
      </w:tr>
      <w:tr w:rsidR="0073204A" w:rsidRPr="002D2E2C" w:rsidTr="00891A96">
        <w:trPr>
          <w:gridAfter w:val="1"/>
          <w:wAfter w:w="43" w:type="dxa"/>
          <w:trHeight w:val="529"/>
        </w:trPr>
        <w:tc>
          <w:tcPr>
            <w:tcW w:w="2977" w:type="dxa"/>
            <w:shd w:val="clear" w:color="auto" w:fill="auto"/>
            <w:vAlign w:val="center"/>
            <w:hideMark/>
          </w:tcPr>
          <w:p w:rsidR="0073204A" w:rsidRPr="002D2E2C" w:rsidRDefault="0073204A" w:rsidP="00891A96">
            <w:pPr>
              <w:rPr>
                <w:rFonts w:cs="Calibri"/>
                <w:color w:val="000000"/>
                <w:sz w:val="20"/>
                <w:szCs w:val="20"/>
                <w:lang w:eastAsia="en-GB"/>
              </w:rPr>
            </w:pPr>
            <w:r w:rsidRPr="002D2E2C">
              <w:rPr>
                <w:rFonts w:cs="Calibri"/>
                <w:color w:val="000000"/>
                <w:sz w:val="20"/>
                <w:szCs w:val="20"/>
                <w:lang w:eastAsia="en-GB"/>
              </w:rPr>
              <w:t>(Surplus) or deficit on the provision of services</w:t>
            </w:r>
          </w:p>
        </w:tc>
        <w:tc>
          <w:tcPr>
            <w:tcW w:w="872" w:type="dxa"/>
            <w:shd w:val="clear" w:color="auto" w:fill="auto"/>
            <w:noWrap/>
            <w:vAlign w:val="center"/>
            <w:hideMark/>
          </w:tcPr>
          <w:p w:rsidR="0073204A" w:rsidRPr="002D2E2C" w:rsidRDefault="0073204A" w:rsidP="00891A96">
            <w:pPr>
              <w:jc w:val="right"/>
              <w:rPr>
                <w:rFonts w:cs="Calibri"/>
                <w:color w:val="000000"/>
                <w:sz w:val="20"/>
                <w:szCs w:val="20"/>
                <w:lang w:eastAsia="en-GB"/>
              </w:rPr>
            </w:pPr>
            <w:r w:rsidRPr="002D2E2C">
              <w:rPr>
                <w:rFonts w:cs="Calibri"/>
                <w:color w:val="000000"/>
                <w:sz w:val="20"/>
                <w:szCs w:val="20"/>
                <w:lang w:eastAsia="en-GB"/>
              </w:rPr>
              <w:t>(2</w:t>
            </w:r>
            <w:r>
              <w:rPr>
                <w:rFonts w:cs="Calibri"/>
                <w:color w:val="000000"/>
                <w:sz w:val="20"/>
                <w:szCs w:val="20"/>
                <w:lang w:eastAsia="en-GB"/>
              </w:rPr>
              <w:t>0.1</w:t>
            </w:r>
            <w:r w:rsidRPr="002D2E2C">
              <w:rPr>
                <w:rFonts w:cs="Calibri"/>
                <w:color w:val="000000"/>
                <w:sz w:val="20"/>
                <w:szCs w:val="20"/>
                <w:lang w:eastAsia="en-GB"/>
              </w:rPr>
              <w:t>)</w:t>
            </w:r>
          </w:p>
        </w:tc>
        <w:tc>
          <w:tcPr>
            <w:tcW w:w="993" w:type="dxa"/>
            <w:shd w:val="clear" w:color="auto" w:fill="auto"/>
            <w:noWrap/>
            <w:vAlign w:val="center"/>
            <w:hideMark/>
          </w:tcPr>
          <w:p w:rsidR="0073204A" w:rsidRPr="002D2E2C" w:rsidRDefault="0073204A" w:rsidP="00891A96">
            <w:pPr>
              <w:jc w:val="right"/>
              <w:rPr>
                <w:rFonts w:cs="Calibri"/>
                <w:color w:val="000000"/>
                <w:sz w:val="20"/>
                <w:szCs w:val="20"/>
                <w:lang w:eastAsia="en-GB"/>
              </w:rPr>
            </w:pPr>
            <w:r w:rsidRPr="002D2E2C">
              <w:rPr>
                <w:rFonts w:cs="Calibri"/>
                <w:color w:val="000000"/>
                <w:sz w:val="20"/>
                <w:szCs w:val="20"/>
                <w:lang w:eastAsia="en-GB"/>
              </w:rPr>
              <w:t>0.0</w:t>
            </w:r>
          </w:p>
        </w:tc>
        <w:tc>
          <w:tcPr>
            <w:tcW w:w="1134" w:type="dxa"/>
            <w:shd w:val="clear" w:color="auto" w:fill="auto"/>
            <w:vAlign w:val="center"/>
            <w:hideMark/>
          </w:tcPr>
          <w:p w:rsidR="0073204A" w:rsidRPr="002D2E2C" w:rsidRDefault="0073204A" w:rsidP="00891A96">
            <w:pPr>
              <w:jc w:val="right"/>
              <w:rPr>
                <w:rFonts w:cs="Calibri"/>
                <w:color w:val="000000"/>
                <w:sz w:val="20"/>
                <w:szCs w:val="20"/>
                <w:lang w:eastAsia="en-GB"/>
              </w:rPr>
            </w:pPr>
            <w:r w:rsidRPr="002D2E2C">
              <w:rPr>
                <w:rFonts w:cs="Calibri"/>
                <w:color w:val="000000"/>
                <w:sz w:val="20"/>
                <w:szCs w:val="20"/>
                <w:lang w:eastAsia="en-GB"/>
              </w:rPr>
              <w:t>0.0</w:t>
            </w:r>
          </w:p>
        </w:tc>
        <w:tc>
          <w:tcPr>
            <w:tcW w:w="867" w:type="dxa"/>
            <w:shd w:val="clear" w:color="auto" w:fill="auto"/>
            <w:noWrap/>
            <w:vAlign w:val="center"/>
            <w:hideMark/>
          </w:tcPr>
          <w:p w:rsidR="0073204A" w:rsidRPr="002D2E2C" w:rsidRDefault="0073204A" w:rsidP="00891A96">
            <w:pPr>
              <w:jc w:val="right"/>
              <w:rPr>
                <w:rFonts w:cs="Calibri"/>
                <w:color w:val="000000"/>
                <w:sz w:val="20"/>
                <w:szCs w:val="20"/>
                <w:lang w:eastAsia="en-GB"/>
              </w:rPr>
            </w:pPr>
            <w:r w:rsidRPr="002D2E2C">
              <w:rPr>
                <w:rFonts w:cs="Calibri"/>
                <w:color w:val="000000"/>
                <w:sz w:val="20"/>
                <w:szCs w:val="20"/>
                <w:lang w:eastAsia="en-GB"/>
              </w:rPr>
              <w:t>10.4</w:t>
            </w:r>
          </w:p>
        </w:tc>
        <w:tc>
          <w:tcPr>
            <w:tcW w:w="1134" w:type="dxa"/>
            <w:shd w:val="clear" w:color="auto" w:fill="auto"/>
            <w:noWrap/>
            <w:vAlign w:val="center"/>
            <w:hideMark/>
          </w:tcPr>
          <w:p w:rsidR="0073204A" w:rsidRPr="002D2E2C" w:rsidRDefault="0073204A" w:rsidP="00891A96">
            <w:pPr>
              <w:jc w:val="right"/>
              <w:rPr>
                <w:rFonts w:cs="Calibri"/>
                <w:color w:val="000000"/>
                <w:sz w:val="20"/>
                <w:szCs w:val="20"/>
                <w:lang w:eastAsia="en-GB"/>
              </w:rPr>
            </w:pPr>
            <w:r w:rsidRPr="002D2E2C">
              <w:rPr>
                <w:rFonts w:cs="Calibri"/>
                <w:color w:val="000000"/>
                <w:sz w:val="20"/>
                <w:szCs w:val="20"/>
                <w:lang w:eastAsia="en-GB"/>
              </w:rPr>
              <w:t>0.0</w:t>
            </w:r>
          </w:p>
        </w:tc>
        <w:tc>
          <w:tcPr>
            <w:tcW w:w="992" w:type="dxa"/>
            <w:shd w:val="clear" w:color="auto" w:fill="auto"/>
            <w:noWrap/>
            <w:vAlign w:val="center"/>
            <w:hideMark/>
          </w:tcPr>
          <w:p w:rsidR="0073204A" w:rsidRPr="002D2E2C" w:rsidRDefault="0073204A" w:rsidP="00891A96">
            <w:pPr>
              <w:jc w:val="right"/>
              <w:rPr>
                <w:rFonts w:cs="Calibri"/>
                <w:color w:val="000000"/>
                <w:sz w:val="20"/>
                <w:szCs w:val="20"/>
                <w:lang w:eastAsia="en-GB"/>
              </w:rPr>
            </w:pPr>
            <w:r w:rsidRPr="002D2E2C">
              <w:rPr>
                <w:rFonts w:cs="Calibri"/>
                <w:color w:val="000000"/>
                <w:sz w:val="20"/>
                <w:szCs w:val="20"/>
                <w:lang w:eastAsia="en-GB"/>
              </w:rPr>
              <w:t>0.0</w:t>
            </w:r>
          </w:p>
        </w:tc>
        <w:tc>
          <w:tcPr>
            <w:tcW w:w="995" w:type="dxa"/>
            <w:shd w:val="clear" w:color="auto" w:fill="auto"/>
            <w:noWrap/>
            <w:vAlign w:val="center"/>
            <w:hideMark/>
          </w:tcPr>
          <w:p w:rsidR="0073204A" w:rsidRPr="002D2E2C" w:rsidRDefault="0073204A" w:rsidP="00891A96">
            <w:pPr>
              <w:jc w:val="right"/>
              <w:rPr>
                <w:rFonts w:cs="Calibri"/>
                <w:color w:val="000000"/>
                <w:sz w:val="20"/>
                <w:szCs w:val="20"/>
                <w:lang w:eastAsia="en-GB"/>
              </w:rPr>
            </w:pPr>
            <w:r w:rsidRPr="002D2E2C">
              <w:rPr>
                <w:rFonts w:cs="Calibri"/>
                <w:color w:val="000000"/>
                <w:sz w:val="20"/>
                <w:szCs w:val="20"/>
                <w:lang w:eastAsia="en-GB"/>
              </w:rPr>
              <w:t>0.0</w:t>
            </w:r>
          </w:p>
        </w:tc>
        <w:tc>
          <w:tcPr>
            <w:tcW w:w="1143" w:type="dxa"/>
            <w:shd w:val="clear" w:color="auto" w:fill="auto"/>
            <w:noWrap/>
            <w:vAlign w:val="center"/>
            <w:hideMark/>
          </w:tcPr>
          <w:p w:rsidR="0073204A" w:rsidRPr="002D2E2C" w:rsidRDefault="0073204A" w:rsidP="00891A96">
            <w:pPr>
              <w:jc w:val="right"/>
              <w:rPr>
                <w:rFonts w:cs="Calibri"/>
                <w:color w:val="000000"/>
                <w:sz w:val="20"/>
                <w:szCs w:val="20"/>
                <w:lang w:eastAsia="en-GB"/>
              </w:rPr>
            </w:pPr>
            <w:r w:rsidRPr="002D2E2C">
              <w:rPr>
                <w:rFonts w:cs="Calibri"/>
                <w:color w:val="000000"/>
                <w:sz w:val="20"/>
                <w:szCs w:val="20"/>
                <w:lang w:eastAsia="en-GB"/>
              </w:rPr>
              <w:t>0.0</w:t>
            </w:r>
          </w:p>
        </w:tc>
        <w:tc>
          <w:tcPr>
            <w:tcW w:w="1009" w:type="dxa"/>
            <w:shd w:val="clear" w:color="auto" w:fill="auto"/>
            <w:noWrap/>
            <w:vAlign w:val="center"/>
            <w:hideMark/>
          </w:tcPr>
          <w:p w:rsidR="0073204A" w:rsidRPr="002D2E2C" w:rsidRDefault="0073204A" w:rsidP="00891A96">
            <w:pPr>
              <w:jc w:val="right"/>
              <w:rPr>
                <w:rFonts w:cs="Calibri"/>
                <w:b/>
                <w:bCs/>
                <w:color w:val="000000"/>
                <w:sz w:val="20"/>
                <w:szCs w:val="20"/>
                <w:lang w:eastAsia="en-GB"/>
              </w:rPr>
            </w:pPr>
            <w:r w:rsidRPr="002D2E2C">
              <w:rPr>
                <w:rFonts w:cs="Calibri"/>
                <w:b/>
                <w:bCs/>
                <w:color w:val="000000"/>
                <w:sz w:val="20"/>
                <w:szCs w:val="20"/>
                <w:lang w:eastAsia="en-GB"/>
              </w:rPr>
              <w:t>(</w:t>
            </w:r>
            <w:r>
              <w:rPr>
                <w:rFonts w:cs="Calibri"/>
                <w:b/>
                <w:bCs/>
                <w:color w:val="000000"/>
                <w:sz w:val="20"/>
                <w:szCs w:val="20"/>
                <w:lang w:eastAsia="en-GB"/>
              </w:rPr>
              <w:t>9.7</w:t>
            </w:r>
            <w:r w:rsidRPr="002D2E2C">
              <w:rPr>
                <w:rFonts w:cs="Calibri"/>
                <w:b/>
                <w:bCs/>
                <w:color w:val="000000"/>
                <w:sz w:val="20"/>
                <w:szCs w:val="20"/>
                <w:lang w:eastAsia="en-GB"/>
              </w:rPr>
              <w:t>)</w:t>
            </w:r>
          </w:p>
        </w:tc>
        <w:tc>
          <w:tcPr>
            <w:tcW w:w="1029" w:type="dxa"/>
            <w:shd w:val="clear" w:color="auto" w:fill="auto"/>
            <w:noWrap/>
            <w:vAlign w:val="center"/>
            <w:hideMark/>
          </w:tcPr>
          <w:p w:rsidR="0073204A" w:rsidRPr="002D2E2C" w:rsidRDefault="0073204A" w:rsidP="00891A96">
            <w:pPr>
              <w:jc w:val="right"/>
              <w:rPr>
                <w:rFonts w:cs="Calibri"/>
                <w:color w:val="000000"/>
                <w:sz w:val="20"/>
                <w:szCs w:val="20"/>
                <w:lang w:eastAsia="en-GB"/>
              </w:rPr>
            </w:pPr>
            <w:r w:rsidRPr="002D2E2C">
              <w:rPr>
                <w:rFonts w:cs="Calibri"/>
                <w:color w:val="000000"/>
                <w:sz w:val="20"/>
                <w:szCs w:val="20"/>
                <w:lang w:eastAsia="en-GB"/>
              </w:rPr>
              <w:t>0.0</w:t>
            </w:r>
          </w:p>
        </w:tc>
        <w:tc>
          <w:tcPr>
            <w:tcW w:w="983" w:type="dxa"/>
            <w:shd w:val="clear" w:color="auto" w:fill="auto"/>
            <w:noWrap/>
            <w:vAlign w:val="center"/>
            <w:hideMark/>
          </w:tcPr>
          <w:p w:rsidR="0073204A" w:rsidRPr="002D2E2C" w:rsidRDefault="0073204A" w:rsidP="00891A96">
            <w:pPr>
              <w:jc w:val="right"/>
              <w:rPr>
                <w:rFonts w:cs="Calibri"/>
                <w:b/>
                <w:bCs/>
                <w:color w:val="000000"/>
                <w:sz w:val="20"/>
                <w:szCs w:val="20"/>
                <w:lang w:eastAsia="en-GB"/>
              </w:rPr>
            </w:pPr>
            <w:r w:rsidRPr="002D2E2C">
              <w:rPr>
                <w:rFonts w:cs="Calibri"/>
                <w:b/>
                <w:bCs/>
                <w:color w:val="000000"/>
                <w:sz w:val="20"/>
                <w:szCs w:val="20"/>
                <w:lang w:eastAsia="en-GB"/>
              </w:rPr>
              <w:t>(</w:t>
            </w:r>
            <w:r>
              <w:rPr>
                <w:rFonts w:cs="Calibri"/>
                <w:b/>
                <w:bCs/>
                <w:color w:val="000000"/>
                <w:sz w:val="20"/>
                <w:szCs w:val="20"/>
                <w:lang w:eastAsia="en-GB"/>
              </w:rPr>
              <w:t>9.7</w:t>
            </w:r>
            <w:r w:rsidRPr="002D2E2C">
              <w:rPr>
                <w:rFonts w:cs="Calibri"/>
                <w:b/>
                <w:bCs/>
                <w:color w:val="000000"/>
                <w:sz w:val="20"/>
                <w:szCs w:val="20"/>
                <w:lang w:eastAsia="en-GB"/>
              </w:rPr>
              <w:t>)</w:t>
            </w:r>
          </w:p>
        </w:tc>
        <w:tc>
          <w:tcPr>
            <w:tcW w:w="1465" w:type="dxa"/>
            <w:shd w:val="clear" w:color="auto" w:fill="auto"/>
            <w:noWrap/>
            <w:vAlign w:val="center"/>
            <w:hideMark/>
          </w:tcPr>
          <w:p w:rsidR="0073204A" w:rsidRPr="002D2E2C" w:rsidRDefault="0073204A" w:rsidP="00891A96">
            <w:pPr>
              <w:jc w:val="right"/>
              <w:rPr>
                <w:rFonts w:cs="Calibri"/>
                <w:b/>
                <w:bCs/>
                <w:color w:val="000000"/>
                <w:sz w:val="20"/>
                <w:szCs w:val="20"/>
                <w:lang w:eastAsia="en-GB"/>
              </w:rPr>
            </w:pPr>
            <w:r w:rsidRPr="002D2E2C">
              <w:rPr>
                <w:rFonts w:cs="Calibri"/>
                <w:b/>
                <w:bCs/>
                <w:color w:val="000000"/>
                <w:sz w:val="20"/>
                <w:szCs w:val="20"/>
                <w:lang w:eastAsia="en-GB"/>
              </w:rPr>
              <w:t>2.8</w:t>
            </w:r>
          </w:p>
        </w:tc>
        <w:tc>
          <w:tcPr>
            <w:tcW w:w="974" w:type="dxa"/>
            <w:shd w:val="clear" w:color="auto" w:fill="auto"/>
            <w:noWrap/>
            <w:vAlign w:val="center"/>
            <w:hideMark/>
          </w:tcPr>
          <w:p w:rsidR="0073204A" w:rsidRPr="002D2E2C" w:rsidRDefault="0073204A" w:rsidP="00891A96">
            <w:pPr>
              <w:jc w:val="right"/>
              <w:rPr>
                <w:rFonts w:cs="Calibri"/>
                <w:b/>
                <w:bCs/>
                <w:color w:val="000000"/>
                <w:sz w:val="20"/>
                <w:szCs w:val="20"/>
                <w:lang w:eastAsia="en-GB"/>
              </w:rPr>
            </w:pPr>
            <w:r w:rsidRPr="002D2E2C">
              <w:rPr>
                <w:rFonts w:cs="Calibri"/>
                <w:b/>
                <w:bCs/>
                <w:color w:val="000000"/>
                <w:sz w:val="20"/>
                <w:szCs w:val="20"/>
                <w:lang w:eastAsia="en-GB"/>
              </w:rPr>
              <w:t>(</w:t>
            </w:r>
            <w:r>
              <w:rPr>
                <w:rFonts w:cs="Calibri"/>
                <w:b/>
                <w:bCs/>
                <w:color w:val="000000"/>
                <w:sz w:val="20"/>
                <w:szCs w:val="20"/>
                <w:lang w:eastAsia="en-GB"/>
              </w:rPr>
              <w:t>6.9</w:t>
            </w:r>
            <w:r w:rsidRPr="002D2E2C">
              <w:rPr>
                <w:rFonts w:cs="Calibri"/>
                <w:b/>
                <w:bCs/>
                <w:color w:val="000000"/>
                <w:sz w:val="20"/>
                <w:szCs w:val="20"/>
                <w:lang w:eastAsia="en-GB"/>
              </w:rPr>
              <w:t>)</w:t>
            </w:r>
          </w:p>
        </w:tc>
      </w:tr>
      <w:tr w:rsidR="0073204A" w:rsidRPr="002D2E2C" w:rsidTr="00891A96">
        <w:trPr>
          <w:gridAfter w:val="1"/>
          <w:wAfter w:w="43" w:type="dxa"/>
          <w:trHeight w:val="370"/>
        </w:trPr>
        <w:tc>
          <w:tcPr>
            <w:tcW w:w="2977" w:type="dxa"/>
            <w:shd w:val="clear" w:color="auto" w:fill="auto"/>
            <w:vAlign w:val="center"/>
            <w:hideMark/>
          </w:tcPr>
          <w:p w:rsidR="0073204A" w:rsidRPr="002D2E2C" w:rsidRDefault="0073204A" w:rsidP="00891A96">
            <w:pPr>
              <w:rPr>
                <w:rFonts w:cs="Calibri"/>
                <w:color w:val="000000"/>
                <w:sz w:val="20"/>
                <w:szCs w:val="20"/>
                <w:lang w:eastAsia="en-GB"/>
              </w:rPr>
            </w:pPr>
            <w:r w:rsidRPr="002D2E2C">
              <w:rPr>
                <w:rFonts w:cs="Calibri"/>
                <w:color w:val="000000"/>
                <w:sz w:val="20"/>
                <w:szCs w:val="20"/>
                <w:lang w:eastAsia="en-GB"/>
              </w:rPr>
              <w:t>Other comprehensive income &amp; expenditure</w:t>
            </w:r>
          </w:p>
        </w:tc>
        <w:tc>
          <w:tcPr>
            <w:tcW w:w="872" w:type="dxa"/>
            <w:shd w:val="clear" w:color="auto" w:fill="auto"/>
            <w:noWrap/>
            <w:vAlign w:val="center"/>
            <w:hideMark/>
          </w:tcPr>
          <w:p w:rsidR="0073204A" w:rsidRPr="002D2E2C" w:rsidRDefault="0073204A" w:rsidP="00891A96">
            <w:pPr>
              <w:jc w:val="right"/>
              <w:rPr>
                <w:rFonts w:cs="Calibri"/>
                <w:color w:val="000000"/>
                <w:sz w:val="20"/>
                <w:szCs w:val="20"/>
                <w:lang w:eastAsia="en-GB"/>
              </w:rPr>
            </w:pPr>
            <w:r w:rsidRPr="002D2E2C">
              <w:rPr>
                <w:rFonts w:cs="Calibri"/>
                <w:color w:val="000000"/>
                <w:sz w:val="20"/>
                <w:szCs w:val="20"/>
                <w:lang w:eastAsia="en-GB"/>
              </w:rPr>
              <w:t>0.0</w:t>
            </w:r>
          </w:p>
        </w:tc>
        <w:tc>
          <w:tcPr>
            <w:tcW w:w="993" w:type="dxa"/>
            <w:shd w:val="clear" w:color="auto" w:fill="auto"/>
            <w:noWrap/>
            <w:vAlign w:val="center"/>
            <w:hideMark/>
          </w:tcPr>
          <w:p w:rsidR="0073204A" w:rsidRPr="002D2E2C" w:rsidRDefault="0073204A" w:rsidP="00891A96">
            <w:pPr>
              <w:jc w:val="right"/>
              <w:rPr>
                <w:rFonts w:cs="Calibri"/>
                <w:color w:val="000000"/>
                <w:sz w:val="20"/>
                <w:szCs w:val="20"/>
                <w:lang w:eastAsia="en-GB"/>
              </w:rPr>
            </w:pPr>
            <w:r w:rsidRPr="002D2E2C">
              <w:rPr>
                <w:rFonts w:cs="Calibri"/>
                <w:color w:val="000000"/>
                <w:sz w:val="20"/>
                <w:szCs w:val="20"/>
                <w:lang w:eastAsia="en-GB"/>
              </w:rPr>
              <w:t>0.0</w:t>
            </w:r>
          </w:p>
        </w:tc>
        <w:tc>
          <w:tcPr>
            <w:tcW w:w="1134" w:type="dxa"/>
            <w:shd w:val="clear" w:color="auto" w:fill="auto"/>
            <w:vAlign w:val="center"/>
            <w:hideMark/>
          </w:tcPr>
          <w:p w:rsidR="0073204A" w:rsidRPr="002D2E2C" w:rsidRDefault="0073204A" w:rsidP="00891A96">
            <w:pPr>
              <w:jc w:val="right"/>
              <w:rPr>
                <w:rFonts w:cs="Calibri"/>
                <w:color w:val="000000"/>
                <w:sz w:val="20"/>
                <w:szCs w:val="20"/>
                <w:lang w:eastAsia="en-GB"/>
              </w:rPr>
            </w:pPr>
            <w:r w:rsidRPr="002D2E2C">
              <w:rPr>
                <w:rFonts w:cs="Calibri"/>
                <w:color w:val="000000"/>
                <w:sz w:val="20"/>
                <w:szCs w:val="20"/>
                <w:lang w:eastAsia="en-GB"/>
              </w:rPr>
              <w:t>0.0</w:t>
            </w:r>
          </w:p>
        </w:tc>
        <w:tc>
          <w:tcPr>
            <w:tcW w:w="867" w:type="dxa"/>
            <w:shd w:val="clear" w:color="auto" w:fill="auto"/>
            <w:vAlign w:val="center"/>
            <w:hideMark/>
          </w:tcPr>
          <w:p w:rsidR="0073204A" w:rsidRPr="002D2E2C" w:rsidRDefault="0073204A" w:rsidP="00891A96">
            <w:pPr>
              <w:jc w:val="right"/>
              <w:rPr>
                <w:rFonts w:cs="Calibri"/>
                <w:color w:val="000000"/>
                <w:sz w:val="20"/>
                <w:szCs w:val="20"/>
                <w:lang w:eastAsia="en-GB"/>
              </w:rPr>
            </w:pPr>
            <w:r w:rsidRPr="002D2E2C">
              <w:rPr>
                <w:rFonts w:cs="Calibri"/>
                <w:color w:val="000000"/>
                <w:sz w:val="20"/>
                <w:szCs w:val="20"/>
                <w:lang w:eastAsia="en-GB"/>
              </w:rPr>
              <w:t>0.0</w:t>
            </w:r>
          </w:p>
        </w:tc>
        <w:tc>
          <w:tcPr>
            <w:tcW w:w="1134" w:type="dxa"/>
            <w:shd w:val="clear" w:color="auto" w:fill="auto"/>
            <w:vAlign w:val="center"/>
            <w:hideMark/>
          </w:tcPr>
          <w:p w:rsidR="0073204A" w:rsidRPr="002D2E2C" w:rsidRDefault="0073204A" w:rsidP="00891A96">
            <w:pPr>
              <w:jc w:val="right"/>
              <w:rPr>
                <w:rFonts w:cs="Calibri"/>
                <w:color w:val="000000"/>
                <w:sz w:val="20"/>
                <w:szCs w:val="20"/>
                <w:lang w:eastAsia="en-GB"/>
              </w:rPr>
            </w:pPr>
            <w:r w:rsidRPr="002D2E2C">
              <w:rPr>
                <w:rFonts w:cs="Calibri"/>
                <w:color w:val="000000"/>
                <w:sz w:val="20"/>
                <w:szCs w:val="20"/>
                <w:lang w:eastAsia="en-GB"/>
              </w:rPr>
              <w:t>0.0</w:t>
            </w:r>
          </w:p>
        </w:tc>
        <w:tc>
          <w:tcPr>
            <w:tcW w:w="992" w:type="dxa"/>
            <w:shd w:val="clear" w:color="auto" w:fill="auto"/>
            <w:vAlign w:val="center"/>
            <w:hideMark/>
          </w:tcPr>
          <w:p w:rsidR="0073204A" w:rsidRPr="002D2E2C" w:rsidRDefault="0073204A" w:rsidP="00891A96">
            <w:pPr>
              <w:jc w:val="right"/>
              <w:rPr>
                <w:rFonts w:cs="Calibri"/>
                <w:color w:val="000000"/>
                <w:sz w:val="20"/>
                <w:szCs w:val="20"/>
                <w:lang w:eastAsia="en-GB"/>
              </w:rPr>
            </w:pPr>
            <w:r w:rsidRPr="002D2E2C">
              <w:rPr>
                <w:rFonts w:cs="Calibri"/>
                <w:color w:val="000000"/>
                <w:sz w:val="20"/>
                <w:szCs w:val="20"/>
                <w:lang w:eastAsia="en-GB"/>
              </w:rPr>
              <w:t>0.0</w:t>
            </w:r>
          </w:p>
        </w:tc>
        <w:tc>
          <w:tcPr>
            <w:tcW w:w="995" w:type="dxa"/>
            <w:shd w:val="clear" w:color="auto" w:fill="auto"/>
            <w:vAlign w:val="center"/>
            <w:hideMark/>
          </w:tcPr>
          <w:p w:rsidR="0073204A" w:rsidRPr="002D2E2C" w:rsidRDefault="0073204A" w:rsidP="00891A96">
            <w:pPr>
              <w:jc w:val="right"/>
              <w:rPr>
                <w:rFonts w:cs="Calibri"/>
                <w:color w:val="000000"/>
                <w:sz w:val="20"/>
                <w:szCs w:val="20"/>
                <w:lang w:eastAsia="en-GB"/>
              </w:rPr>
            </w:pPr>
            <w:r w:rsidRPr="002D2E2C">
              <w:rPr>
                <w:rFonts w:cs="Calibri"/>
                <w:color w:val="000000"/>
                <w:sz w:val="20"/>
                <w:szCs w:val="20"/>
                <w:lang w:eastAsia="en-GB"/>
              </w:rPr>
              <w:t>0.0</w:t>
            </w:r>
          </w:p>
        </w:tc>
        <w:tc>
          <w:tcPr>
            <w:tcW w:w="1143" w:type="dxa"/>
            <w:shd w:val="clear" w:color="auto" w:fill="auto"/>
            <w:vAlign w:val="center"/>
            <w:hideMark/>
          </w:tcPr>
          <w:p w:rsidR="0073204A" w:rsidRPr="002D2E2C" w:rsidRDefault="0073204A" w:rsidP="00891A96">
            <w:pPr>
              <w:jc w:val="right"/>
              <w:rPr>
                <w:rFonts w:cs="Calibri"/>
                <w:color w:val="000000"/>
                <w:sz w:val="20"/>
                <w:szCs w:val="20"/>
                <w:lang w:eastAsia="en-GB"/>
              </w:rPr>
            </w:pPr>
            <w:r w:rsidRPr="002D2E2C">
              <w:rPr>
                <w:rFonts w:cs="Calibri"/>
                <w:color w:val="000000"/>
                <w:sz w:val="20"/>
                <w:szCs w:val="20"/>
                <w:lang w:eastAsia="en-GB"/>
              </w:rPr>
              <w:t>0.0</w:t>
            </w:r>
          </w:p>
        </w:tc>
        <w:tc>
          <w:tcPr>
            <w:tcW w:w="1009" w:type="dxa"/>
            <w:shd w:val="clear" w:color="auto" w:fill="auto"/>
            <w:vAlign w:val="center"/>
            <w:hideMark/>
          </w:tcPr>
          <w:p w:rsidR="0073204A" w:rsidRPr="002D2E2C" w:rsidRDefault="0073204A" w:rsidP="00891A96">
            <w:pPr>
              <w:jc w:val="right"/>
              <w:rPr>
                <w:rFonts w:cs="Calibri"/>
                <w:b/>
                <w:bCs/>
                <w:color w:val="000000"/>
                <w:sz w:val="20"/>
                <w:szCs w:val="20"/>
                <w:lang w:eastAsia="en-GB"/>
              </w:rPr>
            </w:pPr>
            <w:r w:rsidRPr="002D2E2C">
              <w:rPr>
                <w:rFonts w:cs="Calibri"/>
                <w:b/>
                <w:bCs/>
                <w:color w:val="000000"/>
                <w:sz w:val="20"/>
                <w:szCs w:val="20"/>
                <w:lang w:eastAsia="en-GB"/>
              </w:rPr>
              <w:t>0.0</w:t>
            </w:r>
          </w:p>
        </w:tc>
        <w:tc>
          <w:tcPr>
            <w:tcW w:w="1029" w:type="dxa"/>
            <w:shd w:val="clear" w:color="auto" w:fill="auto"/>
            <w:noWrap/>
            <w:vAlign w:val="center"/>
            <w:hideMark/>
          </w:tcPr>
          <w:p w:rsidR="0073204A" w:rsidRPr="002D2E2C" w:rsidRDefault="0073204A" w:rsidP="00891A96">
            <w:pPr>
              <w:jc w:val="right"/>
              <w:rPr>
                <w:rFonts w:cs="Calibri"/>
                <w:color w:val="000000"/>
                <w:sz w:val="20"/>
                <w:szCs w:val="20"/>
                <w:lang w:eastAsia="en-GB"/>
              </w:rPr>
            </w:pPr>
            <w:r w:rsidRPr="002D2E2C">
              <w:rPr>
                <w:rFonts w:cs="Calibri"/>
                <w:color w:val="000000"/>
                <w:sz w:val="20"/>
                <w:szCs w:val="20"/>
                <w:lang w:eastAsia="en-GB"/>
              </w:rPr>
              <w:t>(497.1)</w:t>
            </w:r>
          </w:p>
        </w:tc>
        <w:tc>
          <w:tcPr>
            <w:tcW w:w="983" w:type="dxa"/>
            <w:shd w:val="clear" w:color="auto" w:fill="auto"/>
            <w:noWrap/>
            <w:vAlign w:val="center"/>
            <w:hideMark/>
          </w:tcPr>
          <w:p w:rsidR="0073204A" w:rsidRPr="002D2E2C" w:rsidRDefault="0073204A" w:rsidP="00891A96">
            <w:pPr>
              <w:jc w:val="right"/>
              <w:rPr>
                <w:rFonts w:cs="Calibri"/>
                <w:b/>
                <w:bCs/>
                <w:color w:val="000000"/>
                <w:sz w:val="20"/>
                <w:szCs w:val="20"/>
                <w:lang w:eastAsia="en-GB"/>
              </w:rPr>
            </w:pPr>
            <w:r w:rsidRPr="002D2E2C">
              <w:rPr>
                <w:rFonts w:cs="Calibri"/>
                <w:b/>
                <w:bCs/>
                <w:color w:val="000000"/>
                <w:sz w:val="20"/>
                <w:szCs w:val="20"/>
                <w:lang w:eastAsia="en-GB"/>
              </w:rPr>
              <w:t>(497.1)</w:t>
            </w:r>
          </w:p>
        </w:tc>
        <w:tc>
          <w:tcPr>
            <w:tcW w:w="1465" w:type="dxa"/>
            <w:shd w:val="clear" w:color="auto" w:fill="auto"/>
            <w:noWrap/>
            <w:vAlign w:val="center"/>
            <w:hideMark/>
          </w:tcPr>
          <w:p w:rsidR="0073204A" w:rsidRPr="002D2E2C" w:rsidRDefault="0073204A" w:rsidP="00891A96">
            <w:pPr>
              <w:jc w:val="right"/>
              <w:rPr>
                <w:rFonts w:cs="Calibri"/>
                <w:b/>
                <w:bCs/>
                <w:color w:val="000000"/>
                <w:sz w:val="20"/>
                <w:szCs w:val="20"/>
                <w:lang w:eastAsia="en-GB"/>
              </w:rPr>
            </w:pPr>
            <w:r w:rsidRPr="002D2E2C">
              <w:rPr>
                <w:rFonts w:cs="Calibri"/>
                <w:b/>
                <w:bCs/>
                <w:color w:val="000000"/>
                <w:sz w:val="20"/>
                <w:szCs w:val="20"/>
                <w:lang w:eastAsia="en-GB"/>
              </w:rPr>
              <w:t>(1.6)</w:t>
            </w:r>
          </w:p>
        </w:tc>
        <w:tc>
          <w:tcPr>
            <w:tcW w:w="974" w:type="dxa"/>
            <w:shd w:val="clear" w:color="auto" w:fill="auto"/>
            <w:noWrap/>
            <w:vAlign w:val="center"/>
            <w:hideMark/>
          </w:tcPr>
          <w:p w:rsidR="0073204A" w:rsidRPr="002D2E2C" w:rsidRDefault="0073204A" w:rsidP="00891A96">
            <w:pPr>
              <w:jc w:val="right"/>
              <w:rPr>
                <w:rFonts w:cs="Calibri"/>
                <w:b/>
                <w:bCs/>
                <w:color w:val="000000"/>
                <w:sz w:val="20"/>
                <w:szCs w:val="20"/>
                <w:lang w:eastAsia="en-GB"/>
              </w:rPr>
            </w:pPr>
            <w:r w:rsidRPr="002D2E2C">
              <w:rPr>
                <w:rFonts w:cs="Calibri"/>
                <w:b/>
                <w:bCs/>
                <w:color w:val="000000"/>
                <w:sz w:val="20"/>
                <w:szCs w:val="20"/>
                <w:lang w:eastAsia="en-GB"/>
              </w:rPr>
              <w:t>(498.7)</w:t>
            </w:r>
          </w:p>
        </w:tc>
      </w:tr>
      <w:tr w:rsidR="0073204A" w:rsidRPr="002D2E2C" w:rsidTr="00891A96">
        <w:trPr>
          <w:gridAfter w:val="1"/>
          <w:wAfter w:w="43" w:type="dxa"/>
          <w:trHeight w:val="510"/>
        </w:trPr>
        <w:tc>
          <w:tcPr>
            <w:tcW w:w="2977" w:type="dxa"/>
            <w:shd w:val="clear" w:color="auto" w:fill="auto"/>
            <w:vAlign w:val="center"/>
            <w:hideMark/>
          </w:tcPr>
          <w:p w:rsidR="0073204A" w:rsidRPr="002D2E2C" w:rsidRDefault="0073204A" w:rsidP="00891A96">
            <w:pPr>
              <w:rPr>
                <w:rFonts w:cs="Calibri"/>
                <w:b/>
                <w:bCs/>
                <w:color w:val="000000"/>
                <w:sz w:val="20"/>
                <w:szCs w:val="20"/>
                <w:lang w:eastAsia="en-GB"/>
              </w:rPr>
            </w:pPr>
            <w:r w:rsidRPr="002D2E2C">
              <w:rPr>
                <w:rFonts w:cs="Calibri"/>
                <w:b/>
                <w:bCs/>
                <w:color w:val="000000"/>
                <w:sz w:val="20"/>
                <w:szCs w:val="20"/>
                <w:lang w:eastAsia="en-GB"/>
              </w:rPr>
              <w:t>Total comprehensive income &amp; expenditure</w:t>
            </w:r>
          </w:p>
        </w:tc>
        <w:tc>
          <w:tcPr>
            <w:tcW w:w="872" w:type="dxa"/>
            <w:shd w:val="clear" w:color="auto" w:fill="auto"/>
            <w:noWrap/>
            <w:vAlign w:val="center"/>
            <w:hideMark/>
          </w:tcPr>
          <w:p w:rsidR="0073204A" w:rsidRPr="002D2E2C" w:rsidRDefault="0073204A" w:rsidP="00891A96">
            <w:pPr>
              <w:jc w:val="right"/>
              <w:rPr>
                <w:rFonts w:cs="Calibri"/>
                <w:b/>
                <w:bCs/>
                <w:color w:val="000000"/>
                <w:sz w:val="20"/>
                <w:szCs w:val="20"/>
                <w:lang w:eastAsia="en-GB"/>
              </w:rPr>
            </w:pPr>
            <w:r w:rsidRPr="002D2E2C">
              <w:rPr>
                <w:rFonts w:cs="Calibri"/>
                <w:b/>
                <w:bCs/>
                <w:color w:val="000000"/>
                <w:sz w:val="20"/>
                <w:szCs w:val="20"/>
                <w:lang w:eastAsia="en-GB"/>
              </w:rPr>
              <w:t>(2</w:t>
            </w:r>
            <w:r>
              <w:rPr>
                <w:rFonts w:cs="Calibri"/>
                <w:b/>
                <w:bCs/>
                <w:color w:val="000000"/>
                <w:sz w:val="20"/>
                <w:szCs w:val="20"/>
                <w:lang w:eastAsia="en-GB"/>
              </w:rPr>
              <w:t>0.1</w:t>
            </w:r>
            <w:r w:rsidRPr="002D2E2C">
              <w:rPr>
                <w:rFonts w:cs="Calibri"/>
                <w:b/>
                <w:bCs/>
                <w:color w:val="000000"/>
                <w:sz w:val="20"/>
                <w:szCs w:val="20"/>
                <w:lang w:eastAsia="en-GB"/>
              </w:rPr>
              <w:t>)</w:t>
            </w:r>
          </w:p>
        </w:tc>
        <w:tc>
          <w:tcPr>
            <w:tcW w:w="993" w:type="dxa"/>
            <w:shd w:val="clear" w:color="auto" w:fill="auto"/>
            <w:noWrap/>
            <w:vAlign w:val="center"/>
            <w:hideMark/>
          </w:tcPr>
          <w:p w:rsidR="0073204A" w:rsidRPr="002D2E2C" w:rsidRDefault="0073204A" w:rsidP="00891A96">
            <w:pPr>
              <w:jc w:val="right"/>
              <w:rPr>
                <w:rFonts w:cs="Calibri"/>
                <w:b/>
                <w:bCs/>
                <w:color w:val="000000"/>
                <w:sz w:val="20"/>
                <w:szCs w:val="20"/>
                <w:lang w:eastAsia="en-GB"/>
              </w:rPr>
            </w:pPr>
            <w:r w:rsidRPr="002D2E2C">
              <w:rPr>
                <w:rFonts w:cs="Calibri"/>
                <w:b/>
                <w:bCs/>
                <w:color w:val="000000"/>
                <w:sz w:val="20"/>
                <w:szCs w:val="20"/>
                <w:lang w:eastAsia="en-GB"/>
              </w:rPr>
              <w:t>0.0</w:t>
            </w:r>
          </w:p>
        </w:tc>
        <w:tc>
          <w:tcPr>
            <w:tcW w:w="1134" w:type="dxa"/>
            <w:shd w:val="clear" w:color="auto" w:fill="auto"/>
            <w:vAlign w:val="center"/>
            <w:hideMark/>
          </w:tcPr>
          <w:p w:rsidR="0073204A" w:rsidRPr="002D2E2C" w:rsidRDefault="0073204A" w:rsidP="00891A96">
            <w:pPr>
              <w:jc w:val="right"/>
              <w:rPr>
                <w:rFonts w:cs="Calibri"/>
                <w:b/>
                <w:bCs/>
                <w:color w:val="000000"/>
                <w:sz w:val="20"/>
                <w:szCs w:val="20"/>
                <w:lang w:eastAsia="en-GB"/>
              </w:rPr>
            </w:pPr>
            <w:r w:rsidRPr="002D2E2C">
              <w:rPr>
                <w:rFonts w:cs="Calibri"/>
                <w:b/>
                <w:bCs/>
                <w:color w:val="000000"/>
                <w:sz w:val="20"/>
                <w:szCs w:val="20"/>
                <w:lang w:eastAsia="en-GB"/>
              </w:rPr>
              <w:t>0.0</w:t>
            </w:r>
          </w:p>
        </w:tc>
        <w:tc>
          <w:tcPr>
            <w:tcW w:w="867" w:type="dxa"/>
            <w:shd w:val="clear" w:color="auto" w:fill="auto"/>
            <w:vAlign w:val="center"/>
            <w:hideMark/>
          </w:tcPr>
          <w:p w:rsidR="0073204A" w:rsidRPr="002D2E2C" w:rsidRDefault="0073204A" w:rsidP="00891A96">
            <w:pPr>
              <w:jc w:val="right"/>
              <w:rPr>
                <w:rFonts w:cs="Calibri"/>
                <w:b/>
                <w:bCs/>
                <w:color w:val="000000"/>
                <w:sz w:val="20"/>
                <w:szCs w:val="20"/>
                <w:lang w:eastAsia="en-GB"/>
              </w:rPr>
            </w:pPr>
            <w:r w:rsidRPr="002D2E2C">
              <w:rPr>
                <w:rFonts w:cs="Calibri"/>
                <w:b/>
                <w:bCs/>
                <w:color w:val="000000"/>
                <w:sz w:val="20"/>
                <w:szCs w:val="20"/>
                <w:lang w:eastAsia="en-GB"/>
              </w:rPr>
              <w:t>10.4</w:t>
            </w:r>
          </w:p>
        </w:tc>
        <w:tc>
          <w:tcPr>
            <w:tcW w:w="1134" w:type="dxa"/>
            <w:shd w:val="clear" w:color="auto" w:fill="auto"/>
            <w:vAlign w:val="center"/>
            <w:hideMark/>
          </w:tcPr>
          <w:p w:rsidR="0073204A" w:rsidRPr="002D2E2C" w:rsidRDefault="0073204A" w:rsidP="00891A96">
            <w:pPr>
              <w:jc w:val="right"/>
              <w:rPr>
                <w:rFonts w:cs="Calibri"/>
                <w:b/>
                <w:bCs/>
                <w:color w:val="000000"/>
                <w:sz w:val="20"/>
                <w:szCs w:val="20"/>
                <w:lang w:eastAsia="en-GB"/>
              </w:rPr>
            </w:pPr>
            <w:r w:rsidRPr="002D2E2C">
              <w:rPr>
                <w:rFonts w:cs="Calibri"/>
                <w:b/>
                <w:bCs/>
                <w:color w:val="000000"/>
                <w:sz w:val="20"/>
                <w:szCs w:val="20"/>
                <w:lang w:eastAsia="en-GB"/>
              </w:rPr>
              <w:t>0.0</w:t>
            </w:r>
          </w:p>
        </w:tc>
        <w:tc>
          <w:tcPr>
            <w:tcW w:w="992" w:type="dxa"/>
            <w:shd w:val="clear" w:color="auto" w:fill="auto"/>
            <w:vAlign w:val="center"/>
            <w:hideMark/>
          </w:tcPr>
          <w:p w:rsidR="0073204A" w:rsidRPr="002D2E2C" w:rsidRDefault="0073204A" w:rsidP="00891A96">
            <w:pPr>
              <w:jc w:val="right"/>
              <w:rPr>
                <w:rFonts w:cs="Calibri"/>
                <w:b/>
                <w:bCs/>
                <w:color w:val="000000"/>
                <w:sz w:val="20"/>
                <w:szCs w:val="20"/>
                <w:lang w:eastAsia="en-GB"/>
              </w:rPr>
            </w:pPr>
            <w:r w:rsidRPr="002D2E2C">
              <w:rPr>
                <w:rFonts w:cs="Calibri"/>
                <w:b/>
                <w:bCs/>
                <w:color w:val="000000"/>
                <w:sz w:val="20"/>
                <w:szCs w:val="20"/>
                <w:lang w:eastAsia="en-GB"/>
              </w:rPr>
              <w:t>0.0</w:t>
            </w:r>
          </w:p>
        </w:tc>
        <w:tc>
          <w:tcPr>
            <w:tcW w:w="995" w:type="dxa"/>
            <w:shd w:val="clear" w:color="auto" w:fill="auto"/>
            <w:vAlign w:val="center"/>
            <w:hideMark/>
          </w:tcPr>
          <w:p w:rsidR="0073204A" w:rsidRPr="002D2E2C" w:rsidRDefault="0073204A" w:rsidP="00891A96">
            <w:pPr>
              <w:jc w:val="right"/>
              <w:rPr>
                <w:rFonts w:cs="Calibri"/>
                <w:b/>
                <w:bCs/>
                <w:color w:val="000000"/>
                <w:sz w:val="20"/>
                <w:szCs w:val="20"/>
                <w:lang w:eastAsia="en-GB"/>
              </w:rPr>
            </w:pPr>
            <w:r w:rsidRPr="002D2E2C">
              <w:rPr>
                <w:rFonts w:cs="Calibri"/>
                <w:b/>
                <w:bCs/>
                <w:color w:val="000000"/>
                <w:sz w:val="20"/>
                <w:szCs w:val="20"/>
                <w:lang w:eastAsia="en-GB"/>
              </w:rPr>
              <w:t>0.0</w:t>
            </w:r>
          </w:p>
        </w:tc>
        <w:tc>
          <w:tcPr>
            <w:tcW w:w="1143" w:type="dxa"/>
            <w:shd w:val="clear" w:color="auto" w:fill="auto"/>
            <w:vAlign w:val="center"/>
            <w:hideMark/>
          </w:tcPr>
          <w:p w:rsidR="0073204A" w:rsidRPr="002D2E2C" w:rsidRDefault="0073204A" w:rsidP="00891A96">
            <w:pPr>
              <w:jc w:val="right"/>
              <w:rPr>
                <w:rFonts w:cs="Calibri"/>
                <w:b/>
                <w:bCs/>
                <w:color w:val="000000"/>
                <w:sz w:val="20"/>
                <w:szCs w:val="20"/>
                <w:lang w:eastAsia="en-GB"/>
              </w:rPr>
            </w:pPr>
            <w:r w:rsidRPr="002D2E2C">
              <w:rPr>
                <w:rFonts w:cs="Calibri"/>
                <w:b/>
                <w:bCs/>
                <w:color w:val="000000"/>
                <w:sz w:val="20"/>
                <w:szCs w:val="20"/>
                <w:lang w:eastAsia="en-GB"/>
              </w:rPr>
              <w:t>0.0</w:t>
            </w:r>
          </w:p>
        </w:tc>
        <w:tc>
          <w:tcPr>
            <w:tcW w:w="1009" w:type="dxa"/>
            <w:shd w:val="clear" w:color="auto" w:fill="auto"/>
            <w:vAlign w:val="center"/>
            <w:hideMark/>
          </w:tcPr>
          <w:p w:rsidR="0073204A" w:rsidRPr="002D2E2C" w:rsidRDefault="0073204A" w:rsidP="00891A96">
            <w:pPr>
              <w:jc w:val="right"/>
              <w:rPr>
                <w:rFonts w:cs="Calibri"/>
                <w:b/>
                <w:bCs/>
                <w:color w:val="000000"/>
                <w:sz w:val="20"/>
                <w:szCs w:val="20"/>
                <w:lang w:eastAsia="en-GB"/>
              </w:rPr>
            </w:pPr>
            <w:r w:rsidRPr="002D2E2C">
              <w:rPr>
                <w:rFonts w:cs="Calibri"/>
                <w:b/>
                <w:bCs/>
                <w:color w:val="000000"/>
                <w:sz w:val="20"/>
                <w:szCs w:val="20"/>
                <w:lang w:eastAsia="en-GB"/>
              </w:rPr>
              <w:t>(</w:t>
            </w:r>
            <w:r>
              <w:rPr>
                <w:rFonts w:cs="Calibri"/>
                <w:b/>
                <w:bCs/>
                <w:color w:val="000000"/>
                <w:sz w:val="20"/>
                <w:szCs w:val="20"/>
                <w:lang w:eastAsia="en-GB"/>
              </w:rPr>
              <w:t>9.7</w:t>
            </w:r>
            <w:r w:rsidRPr="002D2E2C">
              <w:rPr>
                <w:rFonts w:cs="Calibri"/>
                <w:b/>
                <w:bCs/>
                <w:color w:val="000000"/>
                <w:sz w:val="20"/>
                <w:szCs w:val="20"/>
                <w:lang w:eastAsia="en-GB"/>
              </w:rPr>
              <w:t>)</w:t>
            </w:r>
          </w:p>
        </w:tc>
        <w:tc>
          <w:tcPr>
            <w:tcW w:w="1029" w:type="dxa"/>
            <w:shd w:val="clear" w:color="auto" w:fill="auto"/>
            <w:noWrap/>
            <w:vAlign w:val="center"/>
            <w:hideMark/>
          </w:tcPr>
          <w:p w:rsidR="0073204A" w:rsidRPr="002D2E2C" w:rsidRDefault="0073204A" w:rsidP="00891A96">
            <w:pPr>
              <w:jc w:val="right"/>
              <w:rPr>
                <w:rFonts w:cs="Calibri"/>
                <w:color w:val="000000"/>
                <w:sz w:val="20"/>
                <w:szCs w:val="20"/>
                <w:lang w:eastAsia="en-GB"/>
              </w:rPr>
            </w:pPr>
            <w:r w:rsidRPr="002D2E2C">
              <w:rPr>
                <w:rFonts w:cs="Calibri"/>
                <w:color w:val="000000"/>
                <w:sz w:val="20"/>
                <w:szCs w:val="20"/>
                <w:lang w:eastAsia="en-GB"/>
              </w:rPr>
              <w:t>(497.1)</w:t>
            </w:r>
          </w:p>
        </w:tc>
        <w:tc>
          <w:tcPr>
            <w:tcW w:w="983" w:type="dxa"/>
            <w:shd w:val="clear" w:color="auto" w:fill="auto"/>
            <w:noWrap/>
            <w:vAlign w:val="center"/>
            <w:hideMark/>
          </w:tcPr>
          <w:p w:rsidR="0073204A" w:rsidRPr="002D2E2C" w:rsidRDefault="0073204A" w:rsidP="00891A96">
            <w:pPr>
              <w:jc w:val="right"/>
              <w:rPr>
                <w:rFonts w:cs="Calibri"/>
                <w:b/>
                <w:bCs/>
                <w:color w:val="000000"/>
                <w:sz w:val="20"/>
                <w:szCs w:val="20"/>
                <w:lang w:eastAsia="en-GB"/>
              </w:rPr>
            </w:pPr>
            <w:r w:rsidRPr="002D2E2C">
              <w:rPr>
                <w:rFonts w:cs="Calibri"/>
                <w:b/>
                <w:bCs/>
                <w:color w:val="000000"/>
                <w:sz w:val="20"/>
                <w:szCs w:val="20"/>
                <w:lang w:eastAsia="en-GB"/>
              </w:rPr>
              <w:t>(50</w:t>
            </w:r>
            <w:r>
              <w:rPr>
                <w:rFonts w:cs="Calibri"/>
                <w:b/>
                <w:bCs/>
                <w:color w:val="000000"/>
                <w:sz w:val="20"/>
                <w:szCs w:val="20"/>
                <w:lang w:eastAsia="en-GB"/>
              </w:rPr>
              <w:t>6.8</w:t>
            </w:r>
            <w:r w:rsidRPr="002D2E2C">
              <w:rPr>
                <w:rFonts w:cs="Calibri"/>
                <w:b/>
                <w:bCs/>
                <w:color w:val="000000"/>
                <w:sz w:val="20"/>
                <w:szCs w:val="20"/>
                <w:lang w:eastAsia="en-GB"/>
              </w:rPr>
              <w:t>)</w:t>
            </w:r>
          </w:p>
        </w:tc>
        <w:tc>
          <w:tcPr>
            <w:tcW w:w="1465" w:type="dxa"/>
            <w:shd w:val="clear" w:color="auto" w:fill="auto"/>
            <w:noWrap/>
            <w:vAlign w:val="center"/>
            <w:hideMark/>
          </w:tcPr>
          <w:p w:rsidR="0073204A" w:rsidRPr="002D2E2C" w:rsidRDefault="0073204A" w:rsidP="00891A96">
            <w:pPr>
              <w:jc w:val="right"/>
              <w:rPr>
                <w:rFonts w:cs="Calibri"/>
                <w:b/>
                <w:bCs/>
                <w:color w:val="000000"/>
                <w:sz w:val="20"/>
                <w:szCs w:val="20"/>
                <w:lang w:eastAsia="en-GB"/>
              </w:rPr>
            </w:pPr>
            <w:r w:rsidRPr="002D2E2C">
              <w:rPr>
                <w:rFonts w:cs="Calibri"/>
                <w:b/>
                <w:bCs/>
                <w:color w:val="000000"/>
                <w:sz w:val="20"/>
                <w:szCs w:val="20"/>
                <w:lang w:eastAsia="en-GB"/>
              </w:rPr>
              <w:t>1.2</w:t>
            </w:r>
          </w:p>
        </w:tc>
        <w:tc>
          <w:tcPr>
            <w:tcW w:w="974" w:type="dxa"/>
            <w:shd w:val="clear" w:color="auto" w:fill="auto"/>
            <w:noWrap/>
            <w:vAlign w:val="center"/>
            <w:hideMark/>
          </w:tcPr>
          <w:p w:rsidR="0073204A" w:rsidRPr="002D2E2C" w:rsidRDefault="0073204A" w:rsidP="00891A96">
            <w:pPr>
              <w:jc w:val="right"/>
              <w:rPr>
                <w:rFonts w:cs="Calibri"/>
                <w:b/>
                <w:bCs/>
                <w:color w:val="000000"/>
                <w:sz w:val="20"/>
                <w:szCs w:val="20"/>
                <w:lang w:eastAsia="en-GB"/>
              </w:rPr>
            </w:pPr>
            <w:r w:rsidRPr="002D2E2C">
              <w:rPr>
                <w:rFonts w:cs="Calibri"/>
                <w:b/>
                <w:bCs/>
                <w:color w:val="000000"/>
                <w:sz w:val="20"/>
                <w:szCs w:val="20"/>
                <w:lang w:eastAsia="en-GB"/>
              </w:rPr>
              <w:t>(50</w:t>
            </w:r>
            <w:r>
              <w:rPr>
                <w:rFonts w:cs="Calibri"/>
                <w:b/>
                <w:bCs/>
                <w:color w:val="000000"/>
                <w:sz w:val="20"/>
                <w:szCs w:val="20"/>
                <w:lang w:eastAsia="en-GB"/>
              </w:rPr>
              <w:t>5</w:t>
            </w:r>
            <w:r w:rsidRPr="002D2E2C">
              <w:rPr>
                <w:rFonts w:cs="Calibri"/>
                <w:b/>
                <w:bCs/>
                <w:color w:val="000000"/>
                <w:sz w:val="20"/>
                <w:szCs w:val="20"/>
                <w:lang w:eastAsia="en-GB"/>
              </w:rPr>
              <w:t>.</w:t>
            </w:r>
            <w:r>
              <w:rPr>
                <w:rFonts w:cs="Calibri"/>
                <w:b/>
                <w:bCs/>
                <w:color w:val="000000"/>
                <w:sz w:val="20"/>
                <w:szCs w:val="20"/>
                <w:lang w:eastAsia="en-GB"/>
              </w:rPr>
              <w:t>6</w:t>
            </w:r>
            <w:r w:rsidRPr="002D2E2C">
              <w:rPr>
                <w:rFonts w:cs="Calibri"/>
                <w:b/>
                <w:bCs/>
                <w:color w:val="000000"/>
                <w:sz w:val="20"/>
                <w:szCs w:val="20"/>
                <w:lang w:eastAsia="en-GB"/>
              </w:rPr>
              <w:t>)</w:t>
            </w:r>
          </w:p>
        </w:tc>
      </w:tr>
      <w:tr w:rsidR="0073204A" w:rsidRPr="002D2E2C" w:rsidTr="00891A96">
        <w:trPr>
          <w:gridAfter w:val="1"/>
          <w:wAfter w:w="43" w:type="dxa"/>
          <w:trHeight w:val="765"/>
        </w:trPr>
        <w:tc>
          <w:tcPr>
            <w:tcW w:w="2977" w:type="dxa"/>
            <w:shd w:val="clear" w:color="auto" w:fill="auto"/>
            <w:vAlign w:val="center"/>
            <w:hideMark/>
          </w:tcPr>
          <w:p w:rsidR="0073204A" w:rsidRPr="002D2E2C" w:rsidRDefault="0073204A" w:rsidP="00891A96">
            <w:pPr>
              <w:rPr>
                <w:rFonts w:cs="Calibri"/>
                <w:color w:val="000000"/>
                <w:sz w:val="20"/>
                <w:szCs w:val="20"/>
                <w:lang w:eastAsia="en-GB"/>
              </w:rPr>
            </w:pPr>
            <w:r w:rsidRPr="002D2E2C">
              <w:rPr>
                <w:rFonts w:cs="Calibri"/>
                <w:color w:val="000000"/>
                <w:sz w:val="20"/>
                <w:szCs w:val="20"/>
                <w:lang w:eastAsia="en-GB"/>
              </w:rPr>
              <w:t>Adjustments between Group Accounts and Council Accounts</w:t>
            </w:r>
          </w:p>
        </w:tc>
        <w:tc>
          <w:tcPr>
            <w:tcW w:w="872" w:type="dxa"/>
            <w:shd w:val="clear" w:color="auto" w:fill="auto"/>
            <w:noWrap/>
            <w:vAlign w:val="center"/>
            <w:hideMark/>
          </w:tcPr>
          <w:p w:rsidR="0073204A" w:rsidRPr="002D2E2C" w:rsidRDefault="0073204A" w:rsidP="00891A96">
            <w:pPr>
              <w:jc w:val="right"/>
              <w:rPr>
                <w:rFonts w:cs="Calibri"/>
                <w:color w:val="000000"/>
                <w:sz w:val="20"/>
                <w:szCs w:val="20"/>
                <w:lang w:eastAsia="en-GB"/>
              </w:rPr>
            </w:pPr>
            <w:r w:rsidRPr="002D2E2C">
              <w:rPr>
                <w:rFonts w:cs="Calibri"/>
                <w:color w:val="000000"/>
                <w:sz w:val="20"/>
                <w:szCs w:val="20"/>
                <w:lang w:eastAsia="en-GB"/>
              </w:rPr>
              <w:t>5.5</w:t>
            </w:r>
          </w:p>
        </w:tc>
        <w:tc>
          <w:tcPr>
            <w:tcW w:w="993" w:type="dxa"/>
            <w:shd w:val="clear" w:color="auto" w:fill="auto"/>
            <w:noWrap/>
            <w:vAlign w:val="center"/>
            <w:hideMark/>
          </w:tcPr>
          <w:p w:rsidR="0073204A" w:rsidRPr="002D2E2C" w:rsidRDefault="0073204A" w:rsidP="00891A96">
            <w:pPr>
              <w:jc w:val="right"/>
              <w:rPr>
                <w:rFonts w:cs="Calibri"/>
                <w:color w:val="000000"/>
                <w:sz w:val="20"/>
                <w:szCs w:val="20"/>
                <w:lang w:eastAsia="en-GB"/>
              </w:rPr>
            </w:pPr>
            <w:r w:rsidRPr="002D2E2C">
              <w:rPr>
                <w:rFonts w:cs="Calibri"/>
                <w:color w:val="000000"/>
                <w:sz w:val="20"/>
                <w:szCs w:val="20"/>
                <w:lang w:eastAsia="en-GB"/>
              </w:rPr>
              <w:t>0.0</w:t>
            </w:r>
          </w:p>
        </w:tc>
        <w:tc>
          <w:tcPr>
            <w:tcW w:w="1134" w:type="dxa"/>
            <w:shd w:val="clear" w:color="auto" w:fill="auto"/>
            <w:vAlign w:val="center"/>
            <w:hideMark/>
          </w:tcPr>
          <w:p w:rsidR="0073204A" w:rsidRPr="002D2E2C" w:rsidRDefault="0073204A" w:rsidP="00891A96">
            <w:pPr>
              <w:jc w:val="right"/>
              <w:rPr>
                <w:rFonts w:cs="Calibri"/>
                <w:color w:val="000000"/>
                <w:sz w:val="20"/>
                <w:szCs w:val="20"/>
                <w:lang w:eastAsia="en-GB"/>
              </w:rPr>
            </w:pPr>
            <w:r w:rsidRPr="002D2E2C">
              <w:rPr>
                <w:rFonts w:cs="Calibri"/>
                <w:color w:val="000000"/>
                <w:sz w:val="20"/>
                <w:szCs w:val="20"/>
                <w:lang w:eastAsia="en-GB"/>
              </w:rPr>
              <w:t>0.0</w:t>
            </w:r>
          </w:p>
        </w:tc>
        <w:tc>
          <w:tcPr>
            <w:tcW w:w="867" w:type="dxa"/>
            <w:shd w:val="clear" w:color="auto" w:fill="auto"/>
            <w:vAlign w:val="center"/>
            <w:hideMark/>
          </w:tcPr>
          <w:p w:rsidR="0073204A" w:rsidRPr="002D2E2C" w:rsidRDefault="0073204A" w:rsidP="00891A96">
            <w:pPr>
              <w:jc w:val="right"/>
              <w:rPr>
                <w:rFonts w:cs="Calibri"/>
                <w:color w:val="000000"/>
                <w:sz w:val="20"/>
                <w:szCs w:val="20"/>
                <w:lang w:eastAsia="en-GB"/>
              </w:rPr>
            </w:pPr>
            <w:r w:rsidRPr="002D2E2C">
              <w:rPr>
                <w:rFonts w:cs="Calibri"/>
                <w:color w:val="000000"/>
                <w:sz w:val="20"/>
                <w:szCs w:val="20"/>
                <w:lang w:eastAsia="en-GB"/>
              </w:rPr>
              <w:t>0.0</w:t>
            </w:r>
          </w:p>
        </w:tc>
        <w:tc>
          <w:tcPr>
            <w:tcW w:w="1134" w:type="dxa"/>
            <w:shd w:val="clear" w:color="auto" w:fill="auto"/>
            <w:vAlign w:val="center"/>
            <w:hideMark/>
          </w:tcPr>
          <w:p w:rsidR="0073204A" w:rsidRPr="002D2E2C" w:rsidRDefault="0073204A" w:rsidP="00891A96">
            <w:pPr>
              <w:jc w:val="right"/>
              <w:rPr>
                <w:rFonts w:cs="Calibri"/>
                <w:color w:val="000000"/>
                <w:sz w:val="20"/>
                <w:szCs w:val="20"/>
                <w:lang w:eastAsia="en-GB"/>
              </w:rPr>
            </w:pPr>
            <w:r w:rsidRPr="002D2E2C">
              <w:rPr>
                <w:rFonts w:cs="Calibri"/>
                <w:color w:val="000000"/>
                <w:sz w:val="20"/>
                <w:szCs w:val="20"/>
                <w:lang w:eastAsia="en-GB"/>
              </w:rPr>
              <w:t>0.0</w:t>
            </w:r>
          </w:p>
        </w:tc>
        <w:tc>
          <w:tcPr>
            <w:tcW w:w="992" w:type="dxa"/>
            <w:shd w:val="clear" w:color="auto" w:fill="auto"/>
            <w:vAlign w:val="center"/>
            <w:hideMark/>
          </w:tcPr>
          <w:p w:rsidR="0073204A" w:rsidRPr="002D2E2C" w:rsidRDefault="0073204A" w:rsidP="00891A96">
            <w:pPr>
              <w:jc w:val="right"/>
              <w:rPr>
                <w:rFonts w:cs="Calibri"/>
                <w:color w:val="000000"/>
                <w:sz w:val="20"/>
                <w:szCs w:val="20"/>
                <w:lang w:eastAsia="en-GB"/>
              </w:rPr>
            </w:pPr>
            <w:r w:rsidRPr="002D2E2C">
              <w:rPr>
                <w:rFonts w:cs="Calibri"/>
                <w:color w:val="000000"/>
                <w:sz w:val="20"/>
                <w:szCs w:val="20"/>
                <w:lang w:eastAsia="en-GB"/>
              </w:rPr>
              <w:t>0.0</w:t>
            </w:r>
          </w:p>
        </w:tc>
        <w:tc>
          <w:tcPr>
            <w:tcW w:w="995" w:type="dxa"/>
            <w:shd w:val="clear" w:color="auto" w:fill="auto"/>
            <w:vAlign w:val="center"/>
            <w:hideMark/>
          </w:tcPr>
          <w:p w:rsidR="0073204A" w:rsidRPr="002D2E2C" w:rsidRDefault="0073204A" w:rsidP="00891A96">
            <w:pPr>
              <w:jc w:val="right"/>
              <w:rPr>
                <w:rFonts w:cs="Calibri"/>
                <w:color w:val="000000"/>
                <w:sz w:val="20"/>
                <w:szCs w:val="20"/>
                <w:lang w:eastAsia="en-GB"/>
              </w:rPr>
            </w:pPr>
            <w:r w:rsidRPr="002D2E2C">
              <w:rPr>
                <w:rFonts w:cs="Calibri"/>
                <w:color w:val="000000"/>
                <w:sz w:val="20"/>
                <w:szCs w:val="20"/>
                <w:lang w:eastAsia="en-GB"/>
              </w:rPr>
              <w:t>0.0</w:t>
            </w:r>
          </w:p>
        </w:tc>
        <w:tc>
          <w:tcPr>
            <w:tcW w:w="1143" w:type="dxa"/>
            <w:shd w:val="clear" w:color="auto" w:fill="auto"/>
            <w:vAlign w:val="center"/>
            <w:hideMark/>
          </w:tcPr>
          <w:p w:rsidR="0073204A" w:rsidRPr="002D2E2C" w:rsidRDefault="0073204A" w:rsidP="00891A96">
            <w:pPr>
              <w:jc w:val="right"/>
              <w:rPr>
                <w:rFonts w:cs="Calibri"/>
                <w:color w:val="000000"/>
                <w:sz w:val="20"/>
                <w:szCs w:val="20"/>
                <w:lang w:eastAsia="en-GB"/>
              </w:rPr>
            </w:pPr>
            <w:r w:rsidRPr="002D2E2C">
              <w:rPr>
                <w:rFonts w:cs="Calibri"/>
                <w:color w:val="000000"/>
                <w:sz w:val="20"/>
                <w:szCs w:val="20"/>
                <w:lang w:eastAsia="en-GB"/>
              </w:rPr>
              <w:t>0.0</w:t>
            </w:r>
          </w:p>
        </w:tc>
        <w:tc>
          <w:tcPr>
            <w:tcW w:w="1009" w:type="dxa"/>
            <w:shd w:val="clear" w:color="auto" w:fill="auto"/>
            <w:vAlign w:val="center"/>
            <w:hideMark/>
          </w:tcPr>
          <w:p w:rsidR="0073204A" w:rsidRPr="002D2E2C" w:rsidRDefault="0073204A" w:rsidP="00891A96">
            <w:pPr>
              <w:jc w:val="right"/>
              <w:rPr>
                <w:rFonts w:cs="Calibri"/>
                <w:color w:val="000000"/>
                <w:sz w:val="20"/>
                <w:szCs w:val="20"/>
                <w:lang w:eastAsia="en-GB"/>
              </w:rPr>
            </w:pPr>
            <w:r w:rsidRPr="002D2E2C">
              <w:rPr>
                <w:rFonts w:cs="Calibri"/>
                <w:color w:val="000000"/>
                <w:sz w:val="20"/>
                <w:szCs w:val="20"/>
                <w:lang w:eastAsia="en-GB"/>
              </w:rPr>
              <w:t>5.5</w:t>
            </w:r>
          </w:p>
        </w:tc>
        <w:tc>
          <w:tcPr>
            <w:tcW w:w="1029" w:type="dxa"/>
            <w:shd w:val="clear" w:color="auto" w:fill="auto"/>
            <w:noWrap/>
            <w:vAlign w:val="center"/>
            <w:hideMark/>
          </w:tcPr>
          <w:p w:rsidR="0073204A" w:rsidRPr="002D2E2C" w:rsidRDefault="0073204A" w:rsidP="00891A96">
            <w:pPr>
              <w:jc w:val="right"/>
              <w:rPr>
                <w:rFonts w:cs="Calibri"/>
                <w:color w:val="000000"/>
                <w:sz w:val="20"/>
                <w:szCs w:val="20"/>
                <w:lang w:eastAsia="en-GB"/>
              </w:rPr>
            </w:pPr>
            <w:r w:rsidRPr="002D2E2C">
              <w:rPr>
                <w:rFonts w:cs="Calibri"/>
                <w:color w:val="000000"/>
                <w:sz w:val="20"/>
                <w:szCs w:val="20"/>
                <w:lang w:eastAsia="en-GB"/>
              </w:rPr>
              <w:t>0.0</w:t>
            </w:r>
          </w:p>
        </w:tc>
        <w:tc>
          <w:tcPr>
            <w:tcW w:w="983" w:type="dxa"/>
            <w:shd w:val="clear" w:color="auto" w:fill="auto"/>
            <w:noWrap/>
            <w:vAlign w:val="center"/>
            <w:hideMark/>
          </w:tcPr>
          <w:p w:rsidR="0073204A" w:rsidRPr="002D2E2C" w:rsidRDefault="0073204A" w:rsidP="00891A96">
            <w:pPr>
              <w:jc w:val="right"/>
              <w:rPr>
                <w:rFonts w:cs="Calibri"/>
                <w:b/>
                <w:bCs/>
                <w:color w:val="000000"/>
                <w:sz w:val="20"/>
                <w:szCs w:val="20"/>
                <w:lang w:eastAsia="en-GB"/>
              </w:rPr>
            </w:pPr>
            <w:r w:rsidRPr="002D2E2C">
              <w:rPr>
                <w:rFonts w:cs="Calibri"/>
                <w:b/>
                <w:bCs/>
                <w:color w:val="000000"/>
                <w:sz w:val="20"/>
                <w:szCs w:val="20"/>
                <w:lang w:eastAsia="en-GB"/>
              </w:rPr>
              <w:t>5.5</w:t>
            </w:r>
          </w:p>
        </w:tc>
        <w:tc>
          <w:tcPr>
            <w:tcW w:w="1465" w:type="dxa"/>
            <w:shd w:val="clear" w:color="auto" w:fill="auto"/>
            <w:noWrap/>
            <w:vAlign w:val="center"/>
            <w:hideMark/>
          </w:tcPr>
          <w:p w:rsidR="0073204A" w:rsidRPr="002D2E2C" w:rsidRDefault="0073204A" w:rsidP="00891A96">
            <w:pPr>
              <w:jc w:val="right"/>
              <w:rPr>
                <w:rFonts w:cs="Calibri"/>
                <w:color w:val="000000"/>
                <w:sz w:val="20"/>
                <w:szCs w:val="20"/>
                <w:lang w:eastAsia="en-GB"/>
              </w:rPr>
            </w:pPr>
            <w:r w:rsidRPr="002D2E2C">
              <w:rPr>
                <w:rFonts w:cs="Calibri"/>
                <w:color w:val="000000"/>
                <w:sz w:val="20"/>
                <w:szCs w:val="20"/>
                <w:lang w:eastAsia="en-GB"/>
              </w:rPr>
              <w:t>(5.5)</w:t>
            </w:r>
          </w:p>
        </w:tc>
        <w:tc>
          <w:tcPr>
            <w:tcW w:w="974" w:type="dxa"/>
            <w:shd w:val="clear" w:color="auto" w:fill="auto"/>
            <w:noWrap/>
            <w:vAlign w:val="center"/>
            <w:hideMark/>
          </w:tcPr>
          <w:p w:rsidR="0073204A" w:rsidRPr="002D2E2C" w:rsidRDefault="0073204A" w:rsidP="00891A96">
            <w:pPr>
              <w:jc w:val="right"/>
              <w:rPr>
                <w:rFonts w:cs="Calibri"/>
                <w:color w:val="000000"/>
                <w:sz w:val="20"/>
                <w:szCs w:val="20"/>
                <w:lang w:eastAsia="en-GB"/>
              </w:rPr>
            </w:pPr>
            <w:r w:rsidRPr="002D2E2C">
              <w:rPr>
                <w:rFonts w:cs="Calibri"/>
                <w:color w:val="000000"/>
                <w:sz w:val="20"/>
                <w:szCs w:val="20"/>
                <w:lang w:eastAsia="en-GB"/>
              </w:rPr>
              <w:t>0.0</w:t>
            </w:r>
          </w:p>
        </w:tc>
      </w:tr>
      <w:tr w:rsidR="0073204A" w:rsidRPr="002D2E2C" w:rsidTr="00891A96">
        <w:trPr>
          <w:gridAfter w:val="1"/>
          <w:wAfter w:w="43" w:type="dxa"/>
          <w:trHeight w:val="780"/>
        </w:trPr>
        <w:tc>
          <w:tcPr>
            <w:tcW w:w="2977" w:type="dxa"/>
            <w:shd w:val="clear" w:color="auto" w:fill="auto"/>
            <w:vAlign w:val="center"/>
            <w:hideMark/>
          </w:tcPr>
          <w:p w:rsidR="0073204A" w:rsidRPr="002D2E2C" w:rsidRDefault="0073204A" w:rsidP="00891A96">
            <w:pPr>
              <w:rPr>
                <w:rFonts w:cs="Calibri"/>
                <w:color w:val="000000"/>
                <w:sz w:val="20"/>
                <w:szCs w:val="20"/>
                <w:lang w:eastAsia="en-GB"/>
              </w:rPr>
            </w:pPr>
            <w:r w:rsidRPr="002D2E2C">
              <w:rPr>
                <w:rFonts w:cs="Calibri"/>
                <w:color w:val="000000"/>
                <w:sz w:val="20"/>
                <w:szCs w:val="20"/>
                <w:lang w:eastAsia="en-GB"/>
              </w:rPr>
              <w:t xml:space="preserve">Adjustments between accounting basis &amp; funding basis under regulations </w:t>
            </w:r>
          </w:p>
        </w:tc>
        <w:tc>
          <w:tcPr>
            <w:tcW w:w="872" w:type="dxa"/>
            <w:shd w:val="clear" w:color="auto" w:fill="auto"/>
            <w:noWrap/>
            <w:vAlign w:val="center"/>
            <w:hideMark/>
          </w:tcPr>
          <w:p w:rsidR="0073204A" w:rsidRPr="002D2E2C" w:rsidRDefault="0073204A" w:rsidP="00891A96">
            <w:pPr>
              <w:jc w:val="right"/>
              <w:rPr>
                <w:rFonts w:cs="Calibri"/>
                <w:color w:val="000000"/>
                <w:sz w:val="20"/>
                <w:szCs w:val="20"/>
                <w:lang w:eastAsia="en-GB"/>
              </w:rPr>
            </w:pPr>
            <w:r w:rsidRPr="002D2E2C">
              <w:rPr>
                <w:rFonts w:cs="Calibri"/>
                <w:color w:val="000000"/>
                <w:sz w:val="20"/>
                <w:szCs w:val="20"/>
                <w:lang w:eastAsia="en-GB"/>
              </w:rPr>
              <w:t>(16.4)</w:t>
            </w:r>
          </w:p>
        </w:tc>
        <w:tc>
          <w:tcPr>
            <w:tcW w:w="993" w:type="dxa"/>
            <w:shd w:val="clear" w:color="auto" w:fill="auto"/>
            <w:noWrap/>
            <w:vAlign w:val="center"/>
            <w:hideMark/>
          </w:tcPr>
          <w:p w:rsidR="0073204A" w:rsidRPr="002D2E2C" w:rsidRDefault="0073204A" w:rsidP="00891A96">
            <w:pPr>
              <w:jc w:val="right"/>
              <w:rPr>
                <w:rFonts w:cs="Calibri"/>
                <w:color w:val="000000"/>
                <w:sz w:val="20"/>
                <w:szCs w:val="20"/>
                <w:lang w:eastAsia="en-GB"/>
              </w:rPr>
            </w:pPr>
            <w:r w:rsidRPr="002D2E2C">
              <w:rPr>
                <w:rFonts w:cs="Calibri"/>
                <w:color w:val="000000"/>
                <w:sz w:val="20"/>
                <w:szCs w:val="20"/>
                <w:lang w:eastAsia="en-GB"/>
              </w:rPr>
              <w:t>0.0</w:t>
            </w:r>
          </w:p>
        </w:tc>
        <w:tc>
          <w:tcPr>
            <w:tcW w:w="1134" w:type="dxa"/>
            <w:shd w:val="clear" w:color="auto" w:fill="auto"/>
            <w:vAlign w:val="center"/>
            <w:hideMark/>
          </w:tcPr>
          <w:p w:rsidR="0073204A" w:rsidRPr="002D2E2C" w:rsidRDefault="0073204A" w:rsidP="00891A96">
            <w:pPr>
              <w:jc w:val="right"/>
              <w:rPr>
                <w:rFonts w:cs="Calibri"/>
                <w:color w:val="000000"/>
                <w:sz w:val="20"/>
                <w:szCs w:val="20"/>
                <w:lang w:eastAsia="en-GB"/>
              </w:rPr>
            </w:pPr>
            <w:r w:rsidRPr="002D2E2C">
              <w:rPr>
                <w:rFonts w:cs="Calibri"/>
                <w:color w:val="000000"/>
                <w:sz w:val="20"/>
                <w:szCs w:val="20"/>
                <w:lang w:eastAsia="en-GB"/>
              </w:rPr>
              <w:t>0.0</w:t>
            </w:r>
          </w:p>
        </w:tc>
        <w:tc>
          <w:tcPr>
            <w:tcW w:w="867" w:type="dxa"/>
            <w:shd w:val="clear" w:color="auto" w:fill="auto"/>
            <w:vAlign w:val="center"/>
            <w:hideMark/>
          </w:tcPr>
          <w:p w:rsidR="0073204A" w:rsidRPr="002D2E2C" w:rsidRDefault="0073204A" w:rsidP="00891A96">
            <w:pPr>
              <w:jc w:val="right"/>
              <w:rPr>
                <w:rFonts w:cs="Calibri"/>
                <w:color w:val="000000"/>
                <w:sz w:val="20"/>
                <w:szCs w:val="20"/>
                <w:lang w:eastAsia="en-GB"/>
              </w:rPr>
            </w:pPr>
            <w:r w:rsidRPr="002D2E2C">
              <w:rPr>
                <w:rFonts w:cs="Calibri"/>
                <w:color w:val="000000"/>
                <w:sz w:val="20"/>
                <w:szCs w:val="20"/>
                <w:lang w:eastAsia="en-GB"/>
              </w:rPr>
              <w:t>(13.1)</w:t>
            </w:r>
          </w:p>
        </w:tc>
        <w:tc>
          <w:tcPr>
            <w:tcW w:w="1134" w:type="dxa"/>
            <w:shd w:val="clear" w:color="auto" w:fill="auto"/>
            <w:vAlign w:val="center"/>
            <w:hideMark/>
          </w:tcPr>
          <w:p w:rsidR="0073204A" w:rsidRPr="002D2E2C" w:rsidRDefault="0073204A" w:rsidP="00891A96">
            <w:pPr>
              <w:jc w:val="right"/>
              <w:rPr>
                <w:rFonts w:cs="Calibri"/>
                <w:color w:val="000000"/>
                <w:sz w:val="20"/>
                <w:szCs w:val="20"/>
                <w:lang w:eastAsia="en-GB"/>
              </w:rPr>
            </w:pPr>
            <w:r w:rsidRPr="002D2E2C">
              <w:rPr>
                <w:rFonts w:cs="Calibri"/>
                <w:color w:val="000000"/>
                <w:sz w:val="20"/>
                <w:szCs w:val="20"/>
                <w:lang w:eastAsia="en-GB"/>
              </w:rPr>
              <w:t>0.0</w:t>
            </w:r>
          </w:p>
        </w:tc>
        <w:tc>
          <w:tcPr>
            <w:tcW w:w="992" w:type="dxa"/>
            <w:shd w:val="clear" w:color="auto" w:fill="auto"/>
            <w:vAlign w:val="center"/>
            <w:hideMark/>
          </w:tcPr>
          <w:p w:rsidR="0073204A" w:rsidRPr="002D2E2C" w:rsidRDefault="0073204A" w:rsidP="00891A96">
            <w:pPr>
              <w:jc w:val="right"/>
              <w:rPr>
                <w:rFonts w:cs="Calibri"/>
                <w:color w:val="000000"/>
                <w:sz w:val="20"/>
                <w:szCs w:val="20"/>
                <w:lang w:eastAsia="en-GB"/>
              </w:rPr>
            </w:pPr>
            <w:r w:rsidRPr="002D2E2C">
              <w:rPr>
                <w:rFonts w:cs="Calibri"/>
                <w:color w:val="000000"/>
                <w:sz w:val="20"/>
                <w:szCs w:val="20"/>
                <w:lang w:eastAsia="en-GB"/>
              </w:rPr>
              <w:t>13.8</w:t>
            </w:r>
          </w:p>
        </w:tc>
        <w:tc>
          <w:tcPr>
            <w:tcW w:w="995" w:type="dxa"/>
            <w:shd w:val="clear" w:color="auto" w:fill="auto"/>
            <w:vAlign w:val="center"/>
            <w:hideMark/>
          </w:tcPr>
          <w:p w:rsidR="0073204A" w:rsidRPr="002D2E2C" w:rsidRDefault="0073204A" w:rsidP="00891A96">
            <w:pPr>
              <w:jc w:val="right"/>
              <w:rPr>
                <w:rFonts w:cs="Calibri"/>
                <w:color w:val="000000"/>
                <w:sz w:val="20"/>
                <w:szCs w:val="20"/>
                <w:lang w:eastAsia="en-GB"/>
              </w:rPr>
            </w:pPr>
            <w:r w:rsidRPr="002D2E2C">
              <w:rPr>
                <w:rFonts w:cs="Calibri"/>
                <w:color w:val="000000"/>
                <w:sz w:val="20"/>
                <w:szCs w:val="20"/>
                <w:lang w:eastAsia="en-GB"/>
              </w:rPr>
              <w:t>0.0</w:t>
            </w:r>
          </w:p>
        </w:tc>
        <w:tc>
          <w:tcPr>
            <w:tcW w:w="1143" w:type="dxa"/>
            <w:shd w:val="clear" w:color="auto" w:fill="auto"/>
            <w:vAlign w:val="center"/>
            <w:hideMark/>
          </w:tcPr>
          <w:p w:rsidR="0073204A" w:rsidRPr="002D2E2C" w:rsidRDefault="0073204A" w:rsidP="00891A96">
            <w:pPr>
              <w:jc w:val="right"/>
              <w:rPr>
                <w:rFonts w:cs="Calibri"/>
                <w:color w:val="000000"/>
                <w:sz w:val="20"/>
                <w:szCs w:val="20"/>
                <w:lang w:eastAsia="en-GB"/>
              </w:rPr>
            </w:pPr>
            <w:r w:rsidRPr="002D2E2C">
              <w:rPr>
                <w:rFonts w:cs="Calibri"/>
                <w:color w:val="000000"/>
                <w:sz w:val="20"/>
                <w:szCs w:val="20"/>
                <w:lang w:eastAsia="en-GB"/>
              </w:rPr>
              <w:t>(3.0)</w:t>
            </w:r>
          </w:p>
        </w:tc>
        <w:tc>
          <w:tcPr>
            <w:tcW w:w="1009" w:type="dxa"/>
            <w:shd w:val="clear" w:color="auto" w:fill="auto"/>
            <w:vAlign w:val="center"/>
            <w:hideMark/>
          </w:tcPr>
          <w:p w:rsidR="0073204A" w:rsidRPr="002D2E2C" w:rsidRDefault="0073204A" w:rsidP="00891A96">
            <w:pPr>
              <w:jc w:val="right"/>
              <w:rPr>
                <w:rFonts w:cs="Calibri"/>
                <w:b/>
                <w:bCs/>
                <w:color w:val="000000"/>
                <w:sz w:val="20"/>
                <w:szCs w:val="20"/>
                <w:lang w:eastAsia="en-GB"/>
              </w:rPr>
            </w:pPr>
            <w:r w:rsidRPr="002D2E2C">
              <w:rPr>
                <w:rFonts w:cs="Calibri"/>
                <w:b/>
                <w:bCs/>
                <w:color w:val="000000"/>
                <w:sz w:val="20"/>
                <w:szCs w:val="20"/>
                <w:lang w:eastAsia="en-GB"/>
              </w:rPr>
              <w:t>(18.7)</w:t>
            </w:r>
          </w:p>
        </w:tc>
        <w:tc>
          <w:tcPr>
            <w:tcW w:w="1029" w:type="dxa"/>
            <w:shd w:val="clear" w:color="auto" w:fill="auto"/>
            <w:noWrap/>
            <w:vAlign w:val="center"/>
            <w:hideMark/>
          </w:tcPr>
          <w:p w:rsidR="0073204A" w:rsidRPr="002D2E2C" w:rsidRDefault="0073204A" w:rsidP="00891A96">
            <w:pPr>
              <w:jc w:val="right"/>
              <w:rPr>
                <w:rFonts w:cs="Calibri"/>
                <w:color w:val="000000"/>
                <w:sz w:val="20"/>
                <w:szCs w:val="20"/>
                <w:lang w:eastAsia="en-GB"/>
              </w:rPr>
            </w:pPr>
            <w:r w:rsidRPr="002D2E2C">
              <w:rPr>
                <w:rFonts w:cs="Calibri"/>
                <w:color w:val="000000"/>
                <w:sz w:val="20"/>
                <w:szCs w:val="20"/>
                <w:lang w:eastAsia="en-GB"/>
              </w:rPr>
              <w:t>18.7</w:t>
            </w:r>
          </w:p>
        </w:tc>
        <w:tc>
          <w:tcPr>
            <w:tcW w:w="983" w:type="dxa"/>
            <w:shd w:val="clear" w:color="auto" w:fill="auto"/>
            <w:noWrap/>
            <w:vAlign w:val="center"/>
            <w:hideMark/>
          </w:tcPr>
          <w:p w:rsidR="0073204A" w:rsidRPr="002D2E2C" w:rsidRDefault="0073204A" w:rsidP="00891A96">
            <w:pPr>
              <w:jc w:val="right"/>
              <w:rPr>
                <w:rFonts w:cs="Calibri"/>
                <w:b/>
                <w:bCs/>
                <w:color w:val="000000"/>
                <w:sz w:val="20"/>
                <w:szCs w:val="20"/>
                <w:lang w:eastAsia="en-GB"/>
              </w:rPr>
            </w:pPr>
            <w:r w:rsidRPr="002D2E2C">
              <w:rPr>
                <w:rFonts w:cs="Calibri"/>
                <w:b/>
                <w:bCs/>
                <w:color w:val="000000"/>
                <w:sz w:val="20"/>
                <w:szCs w:val="20"/>
                <w:lang w:eastAsia="en-GB"/>
              </w:rPr>
              <w:t>0.0</w:t>
            </w:r>
          </w:p>
        </w:tc>
        <w:tc>
          <w:tcPr>
            <w:tcW w:w="1465" w:type="dxa"/>
            <w:shd w:val="clear" w:color="auto" w:fill="auto"/>
            <w:noWrap/>
            <w:vAlign w:val="center"/>
            <w:hideMark/>
          </w:tcPr>
          <w:p w:rsidR="0073204A" w:rsidRPr="002D2E2C" w:rsidRDefault="0073204A" w:rsidP="00891A96">
            <w:pPr>
              <w:jc w:val="right"/>
              <w:rPr>
                <w:rFonts w:cs="Calibri"/>
                <w:b/>
                <w:bCs/>
                <w:color w:val="000000"/>
                <w:sz w:val="20"/>
                <w:szCs w:val="20"/>
                <w:lang w:eastAsia="en-GB"/>
              </w:rPr>
            </w:pPr>
            <w:r w:rsidRPr="002D2E2C">
              <w:rPr>
                <w:rFonts w:cs="Calibri"/>
                <w:b/>
                <w:bCs/>
                <w:color w:val="000000"/>
                <w:sz w:val="20"/>
                <w:szCs w:val="20"/>
                <w:lang w:eastAsia="en-GB"/>
              </w:rPr>
              <w:t>0.0</w:t>
            </w:r>
          </w:p>
        </w:tc>
        <w:tc>
          <w:tcPr>
            <w:tcW w:w="974" w:type="dxa"/>
            <w:shd w:val="clear" w:color="auto" w:fill="auto"/>
            <w:noWrap/>
            <w:vAlign w:val="center"/>
            <w:hideMark/>
          </w:tcPr>
          <w:p w:rsidR="0073204A" w:rsidRPr="002D2E2C" w:rsidRDefault="0073204A" w:rsidP="00891A96">
            <w:pPr>
              <w:jc w:val="right"/>
              <w:rPr>
                <w:rFonts w:cs="Calibri"/>
                <w:b/>
                <w:bCs/>
                <w:color w:val="000000"/>
                <w:sz w:val="20"/>
                <w:szCs w:val="20"/>
                <w:lang w:eastAsia="en-GB"/>
              </w:rPr>
            </w:pPr>
            <w:r w:rsidRPr="002D2E2C">
              <w:rPr>
                <w:rFonts w:cs="Calibri"/>
                <w:b/>
                <w:bCs/>
                <w:color w:val="000000"/>
                <w:sz w:val="20"/>
                <w:szCs w:val="20"/>
                <w:lang w:eastAsia="en-GB"/>
              </w:rPr>
              <w:t>0.0</w:t>
            </w:r>
          </w:p>
        </w:tc>
      </w:tr>
      <w:tr w:rsidR="0073204A" w:rsidRPr="002D2E2C" w:rsidTr="00891A96">
        <w:trPr>
          <w:gridAfter w:val="1"/>
          <w:wAfter w:w="43" w:type="dxa"/>
          <w:trHeight w:val="765"/>
        </w:trPr>
        <w:tc>
          <w:tcPr>
            <w:tcW w:w="2977" w:type="dxa"/>
            <w:shd w:val="clear" w:color="auto" w:fill="auto"/>
            <w:vAlign w:val="center"/>
            <w:hideMark/>
          </w:tcPr>
          <w:p w:rsidR="0073204A" w:rsidRPr="002D2E2C" w:rsidRDefault="0073204A" w:rsidP="00891A96">
            <w:pPr>
              <w:rPr>
                <w:rFonts w:cs="Calibri"/>
                <w:b/>
                <w:bCs/>
                <w:color w:val="000000"/>
                <w:sz w:val="20"/>
                <w:szCs w:val="20"/>
                <w:lang w:eastAsia="en-GB"/>
              </w:rPr>
            </w:pPr>
            <w:r w:rsidRPr="002D2E2C">
              <w:rPr>
                <w:rFonts w:cs="Calibri"/>
                <w:b/>
                <w:bCs/>
                <w:color w:val="000000"/>
                <w:sz w:val="20"/>
                <w:szCs w:val="20"/>
                <w:lang w:eastAsia="en-GB"/>
              </w:rPr>
              <w:t>Net (increase)/decrease before transfers to earmarked reserves</w:t>
            </w:r>
          </w:p>
        </w:tc>
        <w:tc>
          <w:tcPr>
            <w:tcW w:w="872" w:type="dxa"/>
            <w:shd w:val="clear" w:color="auto" w:fill="auto"/>
            <w:noWrap/>
            <w:vAlign w:val="center"/>
            <w:hideMark/>
          </w:tcPr>
          <w:p w:rsidR="0073204A" w:rsidRPr="002D2E2C" w:rsidRDefault="0073204A" w:rsidP="00891A96">
            <w:pPr>
              <w:jc w:val="right"/>
              <w:rPr>
                <w:rFonts w:cs="Calibri"/>
                <w:b/>
                <w:bCs/>
                <w:color w:val="000000"/>
                <w:sz w:val="20"/>
                <w:szCs w:val="20"/>
                <w:lang w:eastAsia="en-GB"/>
              </w:rPr>
            </w:pPr>
            <w:r w:rsidRPr="002D2E2C">
              <w:rPr>
                <w:rFonts w:cs="Calibri"/>
                <w:b/>
                <w:bCs/>
                <w:color w:val="000000"/>
                <w:sz w:val="20"/>
                <w:szCs w:val="20"/>
                <w:lang w:eastAsia="en-GB"/>
              </w:rPr>
              <w:t>(3</w:t>
            </w:r>
            <w:r>
              <w:rPr>
                <w:rFonts w:cs="Calibri"/>
                <w:b/>
                <w:bCs/>
                <w:color w:val="000000"/>
                <w:sz w:val="20"/>
                <w:szCs w:val="20"/>
                <w:lang w:eastAsia="en-GB"/>
              </w:rPr>
              <w:t>1.0</w:t>
            </w:r>
            <w:r w:rsidRPr="002D2E2C">
              <w:rPr>
                <w:rFonts w:cs="Calibri"/>
                <w:b/>
                <w:bCs/>
                <w:color w:val="000000"/>
                <w:sz w:val="20"/>
                <w:szCs w:val="20"/>
                <w:lang w:eastAsia="en-GB"/>
              </w:rPr>
              <w:t>)</w:t>
            </w:r>
          </w:p>
        </w:tc>
        <w:tc>
          <w:tcPr>
            <w:tcW w:w="993" w:type="dxa"/>
            <w:shd w:val="clear" w:color="auto" w:fill="auto"/>
            <w:noWrap/>
            <w:vAlign w:val="center"/>
            <w:hideMark/>
          </w:tcPr>
          <w:p w:rsidR="0073204A" w:rsidRPr="002D2E2C" w:rsidRDefault="0073204A" w:rsidP="00891A96">
            <w:pPr>
              <w:jc w:val="right"/>
              <w:rPr>
                <w:rFonts w:cs="Calibri"/>
                <w:b/>
                <w:bCs/>
                <w:color w:val="000000"/>
                <w:sz w:val="20"/>
                <w:szCs w:val="20"/>
                <w:lang w:eastAsia="en-GB"/>
              </w:rPr>
            </w:pPr>
            <w:r w:rsidRPr="002D2E2C">
              <w:rPr>
                <w:rFonts w:cs="Calibri"/>
                <w:b/>
                <w:bCs/>
                <w:color w:val="000000"/>
                <w:sz w:val="20"/>
                <w:szCs w:val="20"/>
                <w:lang w:eastAsia="en-GB"/>
              </w:rPr>
              <w:t>0.0</w:t>
            </w:r>
          </w:p>
        </w:tc>
        <w:tc>
          <w:tcPr>
            <w:tcW w:w="1134" w:type="dxa"/>
            <w:shd w:val="clear" w:color="auto" w:fill="auto"/>
            <w:vAlign w:val="center"/>
            <w:hideMark/>
          </w:tcPr>
          <w:p w:rsidR="0073204A" w:rsidRPr="002D2E2C" w:rsidRDefault="0073204A" w:rsidP="00891A96">
            <w:pPr>
              <w:jc w:val="right"/>
              <w:rPr>
                <w:rFonts w:cs="Calibri"/>
                <w:b/>
                <w:bCs/>
                <w:color w:val="000000"/>
                <w:sz w:val="20"/>
                <w:szCs w:val="20"/>
                <w:lang w:eastAsia="en-GB"/>
              </w:rPr>
            </w:pPr>
            <w:r w:rsidRPr="002D2E2C">
              <w:rPr>
                <w:rFonts w:cs="Calibri"/>
                <w:b/>
                <w:bCs/>
                <w:color w:val="000000"/>
                <w:sz w:val="20"/>
                <w:szCs w:val="20"/>
                <w:lang w:eastAsia="en-GB"/>
              </w:rPr>
              <w:t>0.0</w:t>
            </w:r>
          </w:p>
        </w:tc>
        <w:tc>
          <w:tcPr>
            <w:tcW w:w="867" w:type="dxa"/>
            <w:shd w:val="clear" w:color="auto" w:fill="auto"/>
            <w:vAlign w:val="center"/>
            <w:hideMark/>
          </w:tcPr>
          <w:p w:rsidR="0073204A" w:rsidRPr="002D2E2C" w:rsidRDefault="0073204A" w:rsidP="00891A96">
            <w:pPr>
              <w:jc w:val="right"/>
              <w:rPr>
                <w:rFonts w:cs="Calibri"/>
                <w:b/>
                <w:bCs/>
                <w:color w:val="000000"/>
                <w:sz w:val="20"/>
                <w:szCs w:val="20"/>
                <w:lang w:eastAsia="en-GB"/>
              </w:rPr>
            </w:pPr>
            <w:r w:rsidRPr="002D2E2C">
              <w:rPr>
                <w:rFonts w:cs="Calibri"/>
                <w:b/>
                <w:bCs/>
                <w:color w:val="000000"/>
                <w:sz w:val="20"/>
                <w:szCs w:val="20"/>
                <w:lang w:eastAsia="en-GB"/>
              </w:rPr>
              <w:t>(2.7)</w:t>
            </w:r>
          </w:p>
        </w:tc>
        <w:tc>
          <w:tcPr>
            <w:tcW w:w="1134" w:type="dxa"/>
            <w:shd w:val="clear" w:color="auto" w:fill="auto"/>
            <w:vAlign w:val="center"/>
            <w:hideMark/>
          </w:tcPr>
          <w:p w:rsidR="0073204A" w:rsidRPr="002D2E2C" w:rsidRDefault="0073204A" w:rsidP="00891A96">
            <w:pPr>
              <w:jc w:val="right"/>
              <w:rPr>
                <w:rFonts w:cs="Calibri"/>
                <w:b/>
                <w:bCs/>
                <w:color w:val="000000"/>
                <w:sz w:val="20"/>
                <w:szCs w:val="20"/>
                <w:lang w:eastAsia="en-GB"/>
              </w:rPr>
            </w:pPr>
            <w:r w:rsidRPr="002D2E2C">
              <w:rPr>
                <w:rFonts w:cs="Calibri"/>
                <w:b/>
                <w:bCs/>
                <w:color w:val="000000"/>
                <w:sz w:val="20"/>
                <w:szCs w:val="20"/>
                <w:lang w:eastAsia="en-GB"/>
              </w:rPr>
              <w:t>0.0</w:t>
            </w:r>
          </w:p>
        </w:tc>
        <w:tc>
          <w:tcPr>
            <w:tcW w:w="992" w:type="dxa"/>
            <w:shd w:val="clear" w:color="auto" w:fill="auto"/>
            <w:vAlign w:val="center"/>
            <w:hideMark/>
          </w:tcPr>
          <w:p w:rsidR="0073204A" w:rsidRPr="002D2E2C" w:rsidRDefault="0073204A" w:rsidP="00891A96">
            <w:pPr>
              <w:jc w:val="right"/>
              <w:rPr>
                <w:rFonts w:cs="Calibri"/>
                <w:b/>
                <w:bCs/>
                <w:color w:val="000000"/>
                <w:sz w:val="20"/>
                <w:szCs w:val="20"/>
                <w:lang w:eastAsia="en-GB"/>
              </w:rPr>
            </w:pPr>
            <w:r w:rsidRPr="002D2E2C">
              <w:rPr>
                <w:rFonts w:cs="Calibri"/>
                <w:b/>
                <w:bCs/>
                <w:color w:val="000000"/>
                <w:sz w:val="20"/>
                <w:szCs w:val="20"/>
                <w:lang w:eastAsia="en-GB"/>
              </w:rPr>
              <w:t>13.8</w:t>
            </w:r>
          </w:p>
        </w:tc>
        <w:tc>
          <w:tcPr>
            <w:tcW w:w="995" w:type="dxa"/>
            <w:shd w:val="clear" w:color="auto" w:fill="auto"/>
            <w:vAlign w:val="center"/>
            <w:hideMark/>
          </w:tcPr>
          <w:p w:rsidR="0073204A" w:rsidRPr="002D2E2C" w:rsidRDefault="0073204A" w:rsidP="00891A96">
            <w:pPr>
              <w:jc w:val="right"/>
              <w:rPr>
                <w:rFonts w:cs="Calibri"/>
                <w:b/>
                <w:bCs/>
                <w:color w:val="000000"/>
                <w:sz w:val="20"/>
                <w:szCs w:val="20"/>
                <w:lang w:eastAsia="en-GB"/>
              </w:rPr>
            </w:pPr>
            <w:r w:rsidRPr="002D2E2C">
              <w:rPr>
                <w:rFonts w:cs="Calibri"/>
                <w:b/>
                <w:bCs/>
                <w:color w:val="000000"/>
                <w:sz w:val="20"/>
                <w:szCs w:val="20"/>
                <w:lang w:eastAsia="en-GB"/>
              </w:rPr>
              <w:t>0.0</w:t>
            </w:r>
          </w:p>
        </w:tc>
        <w:tc>
          <w:tcPr>
            <w:tcW w:w="1143" w:type="dxa"/>
            <w:shd w:val="clear" w:color="auto" w:fill="auto"/>
            <w:vAlign w:val="center"/>
            <w:hideMark/>
          </w:tcPr>
          <w:p w:rsidR="0073204A" w:rsidRPr="002D2E2C" w:rsidRDefault="0073204A" w:rsidP="00891A96">
            <w:pPr>
              <w:jc w:val="right"/>
              <w:rPr>
                <w:rFonts w:cs="Calibri"/>
                <w:b/>
                <w:bCs/>
                <w:color w:val="000000"/>
                <w:sz w:val="20"/>
                <w:szCs w:val="20"/>
                <w:lang w:eastAsia="en-GB"/>
              </w:rPr>
            </w:pPr>
            <w:r w:rsidRPr="002D2E2C">
              <w:rPr>
                <w:rFonts w:cs="Calibri"/>
                <w:b/>
                <w:bCs/>
                <w:color w:val="000000"/>
                <w:sz w:val="20"/>
                <w:szCs w:val="20"/>
                <w:lang w:eastAsia="en-GB"/>
              </w:rPr>
              <w:t>(3.0)</w:t>
            </w:r>
          </w:p>
        </w:tc>
        <w:tc>
          <w:tcPr>
            <w:tcW w:w="1009" w:type="dxa"/>
            <w:shd w:val="clear" w:color="auto" w:fill="auto"/>
            <w:vAlign w:val="center"/>
            <w:hideMark/>
          </w:tcPr>
          <w:p w:rsidR="0073204A" w:rsidRPr="002D2E2C" w:rsidRDefault="0073204A" w:rsidP="00891A96">
            <w:pPr>
              <w:jc w:val="right"/>
              <w:rPr>
                <w:rFonts w:cs="Calibri"/>
                <w:b/>
                <w:bCs/>
                <w:color w:val="000000"/>
                <w:sz w:val="20"/>
                <w:szCs w:val="20"/>
                <w:lang w:eastAsia="en-GB"/>
              </w:rPr>
            </w:pPr>
            <w:r w:rsidRPr="002D2E2C">
              <w:rPr>
                <w:rFonts w:cs="Calibri"/>
                <w:b/>
                <w:bCs/>
                <w:color w:val="000000"/>
                <w:sz w:val="20"/>
                <w:szCs w:val="20"/>
                <w:lang w:eastAsia="en-GB"/>
              </w:rPr>
              <w:t>(</w:t>
            </w:r>
            <w:r>
              <w:rPr>
                <w:rFonts w:cs="Calibri"/>
                <w:b/>
                <w:bCs/>
                <w:color w:val="000000"/>
                <w:sz w:val="20"/>
                <w:szCs w:val="20"/>
                <w:lang w:eastAsia="en-GB"/>
              </w:rPr>
              <w:t>22.9</w:t>
            </w:r>
            <w:r w:rsidRPr="002D2E2C">
              <w:rPr>
                <w:rFonts w:cs="Calibri"/>
                <w:b/>
                <w:bCs/>
                <w:color w:val="000000"/>
                <w:sz w:val="20"/>
                <w:szCs w:val="20"/>
                <w:lang w:eastAsia="en-GB"/>
              </w:rPr>
              <w:t>)</w:t>
            </w:r>
          </w:p>
        </w:tc>
        <w:tc>
          <w:tcPr>
            <w:tcW w:w="1029" w:type="dxa"/>
            <w:shd w:val="clear" w:color="auto" w:fill="auto"/>
            <w:noWrap/>
            <w:vAlign w:val="center"/>
            <w:hideMark/>
          </w:tcPr>
          <w:p w:rsidR="0073204A" w:rsidRPr="002D2E2C" w:rsidRDefault="0073204A" w:rsidP="00891A96">
            <w:pPr>
              <w:jc w:val="right"/>
              <w:rPr>
                <w:rFonts w:cs="Calibri"/>
                <w:b/>
                <w:bCs/>
                <w:color w:val="000000"/>
                <w:sz w:val="20"/>
                <w:szCs w:val="20"/>
                <w:lang w:eastAsia="en-GB"/>
              </w:rPr>
            </w:pPr>
            <w:r w:rsidRPr="002D2E2C">
              <w:rPr>
                <w:rFonts w:cs="Calibri"/>
                <w:b/>
                <w:bCs/>
                <w:color w:val="000000"/>
                <w:sz w:val="20"/>
                <w:szCs w:val="20"/>
                <w:lang w:eastAsia="en-GB"/>
              </w:rPr>
              <w:t>(478.4)</w:t>
            </w:r>
          </w:p>
        </w:tc>
        <w:tc>
          <w:tcPr>
            <w:tcW w:w="983" w:type="dxa"/>
            <w:shd w:val="clear" w:color="auto" w:fill="auto"/>
            <w:noWrap/>
            <w:vAlign w:val="center"/>
            <w:hideMark/>
          </w:tcPr>
          <w:p w:rsidR="0073204A" w:rsidRPr="002D2E2C" w:rsidRDefault="0073204A" w:rsidP="00891A96">
            <w:pPr>
              <w:jc w:val="right"/>
              <w:rPr>
                <w:rFonts w:cs="Calibri"/>
                <w:b/>
                <w:bCs/>
                <w:color w:val="000000"/>
                <w:sz w:val="20"/>
                <w:szCs w:val="20"/>
                <w:lang w:eastAsia="en-GB"/>
              </w:rPr>
            </w:pPr>
            <w:r w:rsidRPr="002D2E2C">
              <w:rPr>
                <w:rFonts w:cs="Calibri"/>
                <w:b/>
                <w:bCs/>
                <w:color w:val="000000"/>
                <w:sz w:val="20"/>
                <w:szCs w:val="20"/>
                <w:lang w:eastAsia="en-GB"/>
              </w:rPr>
              <w:t>(5</w:t>
            </w:r>
            <w:r>
              <w:rPr>
                <w:rFonts w:cs="Calibri"/>
                <w:b/>
                <w:bCs/>
                <w:color w:val="000000"/>
                <w:sz w:val="20"/>
                <w:szCs w:val="20"/>
                <w:lang w:eastAsia="en-GB"/>
              </w:rPr>
              <w:t>01.3</w:t>
            </w:r>
            <w:r w:rsidRPr="002D2E2C">
              <w:rPr>
                <w:rFonts w:cs="Calibri"/>
                <w:b/>
                <w:bCs/>
                <w:color w:val="000000"/>
                <w:sz w:val="20"/>
                <w:szCs w:val="20"/>
                <w:lang w:eastAsia="en-GB"/>
              </w:rPr>
              <w:t>)</w:t>
            </w:r>
          </w:p>
        </w:tc>
        <w:tc>
          <w:tcPr>
            <w:tcW w:w="1465" w:type="dxa"/>
            <w:shd w:val="clear" w:color="auto" w:fill="auto"/>
            <w:noWrap/>
            <w:vAlign w:val="center"/>
            <w:hideMark/>
          </w:tcPr>
          <w:p w:rsidR="0073204A" w:rsidRPr="002D2E2C" w:rsidRDefault="0073204A" w:rsidP="00891A96">
            <w:pPr>
              <w:jc w:val="right"/>
              <w:rPr>
                <w:rFonts w:cs="Calibri"/>
                <w:b/>
                <w:bCs/>
                <w:color w:val="000000"/>
                <w:sz w:val="20"/>
                <w:szCs w:val="20"/>
                <w:lang w:eastAsia="en-GB"/>
              </w:rPr>
            </w:pPr>
            <w:r w:rsidRPr="002D2E2C">
              <w:rPr>
                <w:rFonts w:cs="Calibri"/>
                <w:b/>
                <w:bCs/>
                <w:color w:val="000000"/>
                <w:sz w:val="20"/>
                <w:szCs w:val="20"/>
                <w:lang w:eastAsia="en-GB"/>
              </w:rPr>
              <w:t>(4.3)</w:t>
            </w:r>
          </w:p>
        </w:tc>
        <w:tc>
          <w:tcPr>
            <w:tcW w:w="974" w:type="dxa"/>
            <w:shd w:val="clear" w:color="auto" w:fill="auto"/>
            <w:noWrap/>
            <w:vAlign w:val="center"/>
            <w:hideMark/>
          </w:tcPr>
          <w:p w:rsidR="0073204A" w:rsidRPr="002D2E2C" w:rsidRDefault="0073204A" w:rsidP="00891A96">
            <w:pPr>
              <w:jc w:val="right"/>
              <w:rPr>
                <w:rFonts w:cs="Calibri"/>
                <w:b/>
                <w:bCs/>
                <w:color w:val="000000"/>
                <w:sz w:val="20"/>
                <w:szCs w:val="20"/>
                <w:lang w:eastAsia="en-GB"/>
              </w:rPr>
            </w:pPr>
            <w:r w:rsidRPr="002D2E2C">
              <w:rPr>
                <w:rFonts w:cs="Calibri"/>
                <w:b/>
                <w:bCs/>
                <w:color w:val="000000"/>
                <w:sz w:val="20"/>
                <w:szCs w:val="20"/>
                <w:lang w:eastAsia="en-GB"/>
              </w:rPr>
              <w:t>(50</w:t>
            </w:r>
            <w:r>
              <w:rPr>
                <w:rFonts w:cs="Calibri"/>
                <w:b/>
                <w:bCs/>
                <w:color w:val="000000"/>
                <w:sz w:val="20"/>
                <w:szCs w:val="20"/>
                <w:lang w:eastAsia="en-GB"/>
              </w:rPr>
              <w:t>5</w:t>
            </w:r>
            <w:r w:rsidRPr="002D2E2C">
              <w:rPr>
                <w:rFonts w:cs="Calibri"/>
                <w:b/>
                <w:bCs/>
                <w:color w:val="000000"/>
                <w:sz w:val="20"/>
                <w:szCs w:val="20"/>
                <w:lang w:eastAsia="en-GB"/>
              </w:rPr>
              <w:t>.</w:t>
            </w:r>
            <w:r>
              <w:rPr>
                <w:rFonts w:cs="Calibri"/>
                <w:b/>
                <w:bCs/>
                <w:color w:val="000000"/>
                <w:sz w:val="20"/>
                <w:szCs w:val="20"/>
                <w:lang w:eastAsia="en-GB"/>
              </w:rPr>
              <w:t>6</w:t>
            </w:r>
            <w:r w:rsidRPr="002D2E2C">
              <w:rPr>
                <w:rFonts w:cs="Calibri"/>
                <w:b/>
                <w:bCs/>
                <w:color w:val="000000"/>
                <w:sz w:val="20"/>
                <w:szCs w:val="20"/>
                <w:lang w:eastAsia="en-GB"/>
              </w:rPr>
              <w:t>)</w:t>
            </w:r>
          </w:p>
        </w:tc>
      </w:tr>
      <w:tr w:rsidR="0073204A" w:rsidRPr="002D2E2C" w:rsidTr="00891A96">
        <w:trPr>
          <w:gridAfter w:val="1"/>
          <w:wAfter w:w="43" w:type="dxa"/>
          <w:trHeight w:val="525"/>
        </w:trPr>
        <w:tc>
          <w:tcPr>
            <w:tcW w:w="2977" w:type="dxa"/>
            <w:shd w:val="clear" w:color="auto" w:fill="auto"/>
            <w:vAlign w:val="center"/>
            <w:hideMark/>
          </w:tcPr>
          <w:p w:rsidR="0073204A" w:rsidRPr="002D2E2C" w:rsidRDefault="0073204A" w:rsidP="00891A96">
            <w:pPr>
              <w:rPr>
                <w:rFonts w:cs="Calibri"/>
                <w:color w:val="000000"/>
                <w:sz w:val="20"/>
                <w:szCs w:val="20"/>
                <w:lang w:eastAsia="en-GB"/>
              </w:rPr>
            </w:pPr>
            <w:r w:rsidRPr="002D2E2C">
              <w:rPr>
                <w:rFonts w:cs="Calibri"/>
                <w:color w:val="000000"/>
                <w:sz w:val="20"/>
                <w:szCs w:val="20"/>
                <w:lang w:eastAsia="en-GB"/>
              </w:rPr>
              <w:t xml:space="preserve">Transfers (to)/from earmarked reserves </w:t>
            </w:r>
          </w:p>
        </w:tc>
        <w:tc>
          <w:tcPr>
            <w:tcW w:w="872" w:type="dxa"/>
            <w:shd w:val="clear" w:color="auto" w:fill="auto"/>
            <w:noWrap/>
            <w:vAlign w:val="center"/>
            <w:hideMark/>
          </w:tcPr>
          <w:p w:rsidR="0073204A" w:rsidRPr="002D2E2C" w:rsidRDefault="0073204A" w:rsidP="00891A96">
            <w:pPr>
              <w:jc w:val="right"/>
              <w:rPr>
                <w:rFonts w:cs="Calibri"/>
                <w:color w:val="000000"/>
                <w:sz w:val="20"/>
                <w:szCs w:val="20"/>
                <w:lang w:eastAsia="en-GB"/>
              </w:rPr>
            </w:pPr>
            <w:r w:rsidRPr="002D2E2C">
              <w:rPr>
                <w:rFonts w:cs="Calibri"/>
                <w:color w:val="000000"/>
                <w:sz w:val="20"/>
                <w:szCs w:val="20"/>
                <w:lang w:eastAsia="en-GB"/>
              </w:rPr>
              <w:t>3</w:t>
            </w:r>
            <w:r>
              <w:rPr>
                <w:rFonts w:cs="Calibri"/>
                <w:color w:val="000000"/>
                <w:sz w:val="20"/>
                <w:szCs w:val="20"/>
                <w:lang w:eastAsia="en-GB"/>
              </w:rPr>
              <w:t>6</w:t>
            </w:r>
            <w:r w:rsidRPr="002D2E2C">
              <w:rPr>
                <w:rFonts w:cs="Calibri"/>
                <w:color w:val="000000"/>
                <w:sz w:val="20"/>
                <w:szCs w:val="20"/>
                <w:lang w:eastAsia="en-GB"/>
              </w:rPr>
              <w:t>.</w:t>
            </w:r>
            <w:r>
              <w:rPr>
                <w:rFonts w:cs="Calibri"/>
                <w:color w:val="000000"/>
                <w:sz w:val="20"/>
                <w:szCs w:val="20"/>
                <w:lang w:eastAsia="en-GB"/>
              </w:rPr>
              <w:t>5</w:t>
            </w:r>
          </w:p>
        </w:tc>
        <w:tc>
          <w:tcPr>
            <w:tcW w:w="993" w:type="dxa"/>
            <w:shd w:val="clear" w:color="auto" w:fill="auto"/>
            <w:noWrap/>
            <w:vAlign w:val="center"/>
            <w:hideMark/>
          </w:tcPr>
          <w:p w:rsidR="0073204A" w:rsidRPr="002D2E2C" w:rsidRDefault="0073204A" w:rsidP="00891A96">
            <w:pPr>
              <w:jc w:val="right"/>
              <w:rPr>
                <w:rFonts w:cs="Calibri"/>
                <w:color w:val="000000"/>
                <w:sz w:val="20"/>
                <w:szCs w:val="20"/>
                <w:lang w:eastAsia="en-GB"/>
              </w:rPr>
            </w:pPr>
            <w:r w:rsidRPr="002D2E2C">
              <w:rPr>
                <w:rFonts w:cs="Calibri"/>
                <w:color w:val="000000"/>
                <w:sz w:val="20"/>
                <w:szCs w:val="20"/>
                <w:lang w:eastAsia="en-GB"/>
              </w:rPr>
              <w:t>10.1</w:t>
            </w:r>
          </w:p>
        </w:tc>
        <w:tc>
          <w:tcPr>
            <w:tcW w:w="1134" w:type="dxa"/>
            <w:shd w:val="clear" w:color="auto" w:fill="auto"/>
            <w:vAlign w:val="center"/>
            <w:hideMark/>
          </w:tcPr>
          <w:p w:rsidR="0073204A" w:rsidRPr="002D2E2C" w:rsidRDefault="0073204A" w:rsidP="00891A96">
            <w:pPr>
              <w:jc w:val="right"/>
              <w:rPr>
                <w:rFonts w:cs="Calibri"/>
                <w:color w:val="000000"/>
                <w:sz w:val="20"/>
                <w:szCs w:val="20"/>
                <w:lang w:eastAsia="en-GB"/>
              </w:rPr>
            </w:pPr>
            <w:r w:rsidRPr="002D2E2C">
              <w:rPr>
                <w:rFonts w:cs="Calibri"/>
                <w:color w:val="000000"/>
                <w:sz w:val="20"/>
                <w:szCs w:val="20"/>
                <w:lang w:eastAsia="en-GB"/>
              </w:rPr>
              <w:t>(4</w:t>
            </w:r>
            <w:r>
              <w:rPr>
                <w:rFonts w:cs="Calibri"/>
                <w:color w:val="000000"/>
                <w:sz w:val="20"/>
                <w:szCs w:val="20"/>
                <w:lang w:eastAsia="en-GB"/>
              </w:rPr>
              <w:t>6.6</w:t>
            </w:r>
            <w:r w:rsidRPr="002D2E2C">
              <w:rPr>
                <w:rFonts w:cs="Calibri"/>
                <w:color w:val="000000"/>
                <w:sz w:val="20"/>
                <w:szCs w:val="20"/>
                <w:lang w:eastAsia="en-GB"/>
              </w:rPr>
              <w:t>)</w:t>
            </w:r>
          </w:p>
        </w:tc>
        <w:tc>
          <w:tcPr>
            <w:tcW w:w="867" w:type="dxa"/>
            <w:shd w:val="clear" w:color="auto" w:fill="auto"/>
            <w:vAlign w:val="center"/>
            <w:hideMark/>
          </w:tcPr>
          <w:p w:rsidR="0073204A" w:rsidRPr="002D2E2C" w:rsidRDefault="0073204A" w:rsidP="00891A96">
            <w:pPr>
              <w:jc w:val="right"/>
              <w:rPr>
                <w:rFonts w:cs="Calibri"/>
                <w:color w:val="000000"/>
                <w:sz w:val="20"/>
                <w:szCs w:val="20"/>
                <w:lang w:eastAsia="en-GB"/>
              </w:rPr>
            </w:pPr>
            <w:r w:rsidRPr="002D2E2C">
              <w:rPr>
                <w:rFonts w:cs="Calibri"/>
                <w:color w:val="000000"/>
                <w:sz w:val="20"/>
                <w:szCs w:val="20"/>
                <w:lang w:eastAsia="en-GB"/>
              </w:rPr>
              <w:t>2.7</w:t>
            </w:r>
          </w:p>
        </w:tc>
        <w:tc>
          <w:tcPr>
            <w:tcW w:w="1134" w:type="dxa"/>
            <w:shd w:val="clear" w:color="auto" w:fill="auto"/>
            <w:vAlign w:val="center"/>
            <w:hideMark/>
          </w:tcPr>
          <w:p w:rsidR="0073204A" w:rsidRPr="002D2E2C" w:rsidRDefault="0073204A" w:rsidP="00891A96">
            <w:pPr>
              <w:jc w:val="right"/>
              <w:rPr>
                <w:rFonts w:cs="Calibri"/>
                <w:color w:val="000000"/>
                <w:sz w:val="20"/>
                <w:szCs w:val="20"/>
                <w:lang w:eastAsia="en-GB"/>
              </w:rPr>
            </w:pPr>
            <w:r w:rsidRPr="002D2E2C">
              <w:rPr>
                <w:rFonts w:cs="Calibri"/>
                <w:color w:val="000000"/>
                <w:sz w:val="20"/>
                <w:szCs w:val="20"/>
                <w:lang w:eastAsia="en-GB"/>
              </w:rPr>
              <w:t>(2.7)</w:t>
            </w:r>
          </w:p>
        </w:tc>
        <w:tc>
          <w:tcPr>
            <w:tcW w:w="992" w:type="dxa"/>
            <w:shd w:val="clear" w:color="auto" w:fill="auto"/>
            <w:vAlign w:val="center"/>
            <w:hideMark/>
          </w:tcPr>
          <w:p w:rsidR="0073204A" w:rsidRPr="002D2E2C" w:rsidRDefault="0073204A" w:rsidP="00891A96">
            <w:pPr>
              <w:jc w:val="right"/>
              <w:rPr>
                <w:rFonts w:cs="Calibri"/>
                <w:color w:val="000000"/>
                <w:sz w:val="20"/>
                <w:szCs w:val="20"/>
                <w:lang w:eastAsia="en-GB"/>
              </w:rPr>
            </w:pPr>
            <w:r w:rsidRPr="002D2E2C">
              <w:rPr>
                <w:rFonts w:cs="Calibri"/>
                <w:color w:val="000000"/>
                <w:sz w:val="20"/>
                <w:szCs w:val="20"/>
                <w:lang w:eastAsia="en-GB"/>
              </w:rPr>
              <w:t>0.0</w:t>
            </w:r>
          </w:p>
        </w:tc>
        <w:tc>
          <w:tcPr>
            <w:tcW w:w="995" w:type="dxa"/>
            <w:shd w:val="clear" w:color="auto" w:fill="auto"/>
            <w:vAlign w:val="center"/>
            <w:hideMark/>
          </w:tcPr>
          <w:p w:rsidR="0073204A" w:rsidRPr="002D2E2C" w:rsidRDefault="0073204A" w:rsidP="00891A96">
            <w:pPr>
              <w:jc w:val="right"/>
              <w:rPr>
                <w:rFonts w:cs="Calibri"/>
                <w:color w:val="000000"/>
                <w:sz w:val="20"/>
                <w:szCs w:val="20"/>
                <w:lang w:eastAsia="en-GB"/>
              </w:rPr>
            </w:pPr>
            <w:r w:rsidRPr="002D2E2C">
              <w:rPr>
                <w:rFonts w:cs="Calibri"/>
                <w:color w:val="000000"/>
                <w:sz w:val="20"/>
                <w:szCs w:val="20"/>
                <w:lang w:eastAsia="en-GB"/>
              </w:rPr>
              <w:t>0.0</w:t>
            </w:r>
          </w:p>
        </w:tc>
        <w:tc>
          <w:tcPr>
            <w:tcW w:w="1143" w:type="dxa"/>
            <w:shd w:val="clear" w:color="auto" w:fill="auto"/>
            <w:vAlign w:val="center"/>
            <w:hideMark/>
          </w:tcPr>
          <w:p w:rsidR="0073204A" w:rsidRPr="002D2E2C" w:rsidRDefault="0073204A" w:rsidP="00891A96">
            <w:pPr>
              <w:jc w:val="right"/>
              <w:rPr>
                <w:rFonts w:cs="Calibri"/>
                <w:color w:val="000000"/>
                <w:sz w:val="20"/>
                <w:szCs w:val="20"/>
                <w:lang w:eastAsia="en-GB"/>
              </w:rPr>
            </w:pPr>
            <w:r w:rsidRPr="002D2E2C">
              <w:rPr>
                <w:rFonts w:cs="Calibri"/>
                <w:color w:val="000000"/>
                <w:sz w:val="20"/>
                <w:szCs w:val="20"/>
                <w:lang w:eastAsia="en-GB"/>
              </w:rPr>
              <w:t>0.0</w:t>
            </w:r>
          </w:p>
        </w:tc>
        <w:tc>
          <w:tcPr>
            <w:tcW w:w="1009" w:type="dxa"/>
            <w:shd w:val="clear" w:color="auto" w:fill="auto"/>
            <w:vAlign w:val="center"/>
            <w:hideMark/>
          </w:tcPr>
          <w:p w:rsidR="0073204A" w:rsidRPr="002D2E2C" w:rsidRDefault="0073204A" w:rsidP="00891A96">
            <w:pPr>
              <w:jc w:val="right"/>
              <w:rPr>
                <w:rFonts w:cs="Calibri"/>
                <w:b/>
                <w:bCs/>
                <w:color w:val="000000"/>
                <w:sz w:val="20"/>
                <w:szCs w:val="20"/>
                <w:lang w:eastAsia="en-GB"/>
              </w:rPr>
            </w:pPr>
            <w:r w:rsidRPr="002D2E2C">
              <w:rPr>
                <w:rFonts w:cs="Calibri"/>
                <w:b/>
                <w:bCs/>
                <w:color w:val="000000"/>
                <w:sz w:val="20"/>
                <w:szCs w:val="20"/>
                <w:lang w:eastAsia="en-GB"/>
              </w:rPr>
              <w:t>0.0</w:t>
            </w:r>
          </w:p>
        </w:tc>
        <w:tc>
          <w:tcPr>
            <w:tcW w:w="1029" w:type="dxa"/>
            <w:shd w:val="clear" w:color="auto" w:fill="auto"/>
            <w:noWrap/>
            <w:vAlign w:val="center"/>
            <w:hideMark/>
          </w:tcPr>
          <w:p w:rsidR="0073204A" w:rsidRPr="002D2E2C" w:rsidRDefault="0073204A" w:rsidP="00891A96">
            <w:pPr>
              <w:jc w:val="right"/>
              <w:rPr>
                <w:rFonts w:cs="Calibri"/>
                <w:color w:val="000000"/>
                <w:sz w:val="20"/>
                <w:szCs w:val="20"/>
                <w:lang w:eastAsia="en-GB"/>
              </w:rPr>
            </w:pPr>
            <w:r w:rsidRPr="002D2E2C">
              <w:rPr>
                <w:rFonts w:cs="Calibri"/>
                <w:color w:val="000000"/>
                <w:sz w:val="20"/>
                <w:szCs w:val="20"/>
                <w:lang w:eastAsia="en-GB"/>
              </w:rPr>
              <w:t>0.0</w:t>
            </w:r>
          </w:p>
        </w:tc>
        <w:tc>
          <w:tcPr>
            <w:tcW w:w="983" w:type="dxa"/>
            <w:shd w:val="clear" w:color="auto" w:fill="auto"/>
            <w:noWrap/>
            <w:vAlign w:val="center"/>
            <w:hideMark/>
          </w:tcPr>
          <w:p w:rsidR="0073204A" w:rsidRPr="002D2E2C" w:rsidRDefault="0073204A" w:rsidP="00891A96">
            <w:pPr>
              <w:jc w:val="right"/>
              <w:rPr>
                <w:rFonts w:cs="Calibri"/>
                <w:b/>
                <w:bCs/>
                <w:color w:val="000000"/>
                <w:sz w:val="20"/>
                <w:szCs w:val="20"/>
                <w:lang w:eastAsia="en-GB"/>
              </w:rPr>
            </w:pPr>
            <w:r w:rsidRPr="002D2E2C">
              <w:rPr>
                <w:rFonts w:cs="Calibri"/>
                <w:b/>
                <w:bCs/>
                <w:color w:val="000000"/>
                <w:sz w:val="20"/>
                <w:szCs w:val="20"/>
                <w:lang w:eastAsia="en-GB"/>
              </w:rPr>
              <w:t>0.0</w:t>
            </w:r>
          </w:p>
        </w:tc>
        <w:tc>
          <w:tcPr>
            <w:tcW w:w="1465" w:type="dxa"/>
            <w:shd w:val="clear" w:color="auto" w:fill="auto"/>
            <w:noWrap/>
            <w:vAlign w:val="center"/>
            <w:hideMark/>
          </w:tcPr>
          <w:p w:rsidR="0073204A" w:rsidRPr="002D2E2C" w:rsidRDefault="0073204A" w:rsidP="00891A96">
            <w:pPr>
              <w:jc w:val="right"/>
              <w:rPr>
                <w:rFonts w:cs="Calibri"/>
                <w:b/>
                <w:bCs/>
                <w:color w:val="000000"/>
                <w:sz w:val="20"/>
                <w:szCs w:val="20"/>
                <w:lang w:eastAsia="en-GB"/>
              </w:rPr>
            </w:pPr>
            <w:r w:rsidRPr="002D2E2C">
              <w:rPr>
                <w:rFonts w:cs="Calibri"/>
                <w:b/>
                <w:bCs/>
                <w:color w:val="000000"/>
                <w:sz w:val="20"/>
                <w:szCs w:val="20"/>
                <w:lang w:eastAsia="en-GB"/>
              </w:rPr>
              <w:t>0.0</w:t>
            </w:r>
          </w:p>
        </w:tc>
        <w:tc>
          <w:tcPr>
            <w:tcW w:w="974" w:type="dxa"/>
            <w:shd w:val="clear" w:color="auto" w:fill="auto"/>
            <w:noWrap/>
            <w:vAlign w:val="center"/>
            <w:hideMark/>
          </w:tcPr>
          <w:p w:rsidR="0073204A" w:rsidRPr="002D2E2C" w:rsidRDefault="0073204A" w:rsidP="00891A96">
            <w:pPr>
              <w:jc w:val="right"/>
              <w:rPr>
                <w:rFonts w:cs="Calibri"/>
                <w:b/>
                <w:bCs/>
                <w:color w:val="000000"/>
                <w:sz w:val="20"/>
                <w:szCs w:val="20"/>
                <w:lang w:eastAsia="en-GB"/>
              </w:rPr>
            </w:pPr>
            <w:r w:rsidRPr="002D2E2C">
              <w:rPr>
                <w:rFonts w:cs="Calibri"/>
                <w:b/>
                <w:bCs/>
                <w:color w:val="000000"/>
                <w:sz w:val="20"/>
                <w:szCs w:val="20"/>
                <w:lang w:eastAsia="en-GB"/>
              </w:rPr>
              <w:t>0.0</w:t>
            </w:r>
          </w:p>
        </w:tc>
      </w:tr>
      <w:tr w:rsidR="0073204A" w:rsidRPr="002D2E2C" w:rsidTr="00891A96">
        <w:trPr>
          <w:gridAfter w:val="1"/>
          <w:wAfter w:w="43" w:type="dxa"/>
          <w:trHeight w:val="525"/>
        </w:trPr>
        <w:tc>
          <w:tcPr>
            <w:tcW w:w="2977" w:type="dxa"/>
            <w:shd w:val="clear" w:color="auto" w:fill="auto"/>
            <w:vAlign w:val="center"/>
            <w:hideMark/>
          </w:tcPr>
          <w:p w:rsidR="0073204A" w:rsidRPr="002D2E2C" w:rsidRDefault="0073204A" w:rsidP="00891A96">
            <w:pPr>
              <w:rPr>
                <w:rFonts w:cs="Calibri"/>
                <w:b/>
                <w:bCs/>
                <w:color w:val="000000"/>
                <w:sz w:val="20"/>
                <w:szCs w:val="20"/>
                <w:lang w:eastAsia="en-GB"/>
              </w:rPr>
            </w:pPr>
            <w:r w:rsidRPr="002D2E2C">
              <w:rPr>
                <w:rFonts w:cs="Calibri"/>
                <w:b/>
                <w:bCs/>
                <w:color w:val="000000"/>
                <w:sz w:val="20"/>
                <w:szCs w:val="20"/>
                <w:lang w:eastAsia="en-GB"/>
              </w:rPr>
              <w:t>(Increase)/decrease in 2019/20</w:t>
            </w:r>
          </w:p>
        </w:tc>
        <w:tc>
          <w:tcPr>
            <w:tcW w:w="872" w:type="dxa"/>
            <w:shd w:val="clear" w:color="auto" w:fill="auto"/>
            <w:noWrap/>
            <w:vAlign w:val="center"/>
            <w:hideMark/>
          </w:tcPr>
          <w:p w:rsidR="0073204A" w:rsidRPr="002D2E2C" w:rsidRDefault="0073204A" w:rsidP="00891A96">
            <w:pPr>
              <w:jc w:val="right"/>
              <w:rPr>
                <w:rFonts w:cs="Calibri"/>
                <w:b/>
                <w:bCs/>
                <w:color w:val="000000"/>
                <w:sz w:val="20"/>
                <w:szCs w:val="20"/>
                <w:lang w:eastAsia="en-GB"/>
              </w:rPr>
            </w:pPr>
            <w:r w:rsidRPr="002D2E2C">
              <w:rPr>
                <w:rFonts w:cs="Calibri"/>
                <w:b/>
                <w:bCs/>
                <w:color w:val="000000"/>
                <w:sz w:val="20"/>
                <w:szCs w:val="20"/>
                <w:lang w:eastAsia="en-GB"/>
              </w:rPr>
              <w:t>5.5</w:t>
            </w:r>
          </w:p>
        </w:tc>
        <w:tc>
          <w:tcPr>
            <w:tcW w:w="993" w:type="dxa"/>
            <w:shd w:val="clear" w:color="auto" w:fill="auto"/>
            <w:noWrap/>
            <w:vAlign w:val="center"/>
            <w:hideMark/>
          </w:tcPr>
          <w:p w:rsidR="0073204A" w:rsidRPr="002D2E2C" w:rsidRDefault="0073204A" w:rsidP="00891A96">
            <w:pPr>
              <w:jc w:val="right"/>
              <w:rPr>
                <w:rFonts w:cs="Calibri"/>
                <w:b/>
                <w:bCs/>
                <w:color w:val="000000"/>
                <w:sz w:val="20"/>
                <w:szCs w:val="20"/>
                <w:lang w:eastAsia="en-GB"/>
              </w:rPr>
            </w:pPr>
            <w:r w:rsidRPr="002D2E2C">
              <w:rPr>
                <w:rFonts w:cs="Calibri"/>
                <w:b/>
                <w:bCs/>
                <w:color w:val="000000"/>
                <w:sz w:val="20"/>
                <w:szCs w:val="20"/>
                <w:lang w:eastAsia="en-GB"/>
              </w:rPr>
              <w:t>10.1</w:t>
            </w:r>
          </w:p>
        </w:tc>
        <w:tc>
          <w:tcPr>
            <w:tcW w:w="1134" w:type="dxa"/>
            <w:shd w:val="clear" w:color="auto" w:fill="auto"/>
            <w:vAlign w:val="center"/>
            <w:hideMark/>
          </w:tcPr>
          <w:p w:rsidR="0073204A" w:rsidRPr="002D2E2C" w:rsidRDefault="0073204A" w:rsidP="00891A96">
            <w:pPr>
              <w:jc w:val="right"/>
              <w:rPr>
                <w:rFonts w:cs="Calibri"/>
                <w:b/>
                <w:bCs/>
                <w:color w:val="000000"/>
                <w:sz w:val="20"/>
                <w:szCs w:val="20"/>
                <w:lang w:eastAsia="en-GB"/>
              </w:rPr>
            </w:pPr>
            <w:r w:rsidRPr="002D2E2C">
              <w:rPr>
                <w:rFonts w:cs="Calibri"/>
                <w:b/>
                <w:bCs/>
                <w:color w:val="000000"/>
                <w:sz w:val="20"/>
                <w:szCs w:val="20"/>
                <w:lang w:eastAsia="en-GB"/>
              </w:rPr>
              <w:t>(4</w:t>
            </w:r>
            <w:r>
              <w:rPr>
                <w:rFonts w:cs="Calibri"/>
                <w:b/>
                <w:bCs/>
                <w:color w:val="000000"/>
                <w:sz w:val="20"/>
                <w:szCs w:val="20"/>
                <w:lang w:eastAsia="en-GB"/>
              </w:rPr>
              <w:t>6.6</w:t>
            </w:r>
            <w:r w:rsidRPr="002D2E2C">
              <w:rPr>
                <w:rFonts w:cs="Calibri"/>
                <w:b/>
                <w:bCs/>
                <w:color w:val="000000"/>
                <w:sz w:val="20"/>
                <w:szCs w:val="20"/>
                <w:lang w:eastAsia="en-GB"/>
              </w:rPr>
              <w:t>)</w:t>
            </w:r>
          </w:p>
        </w:tc>
        <w:tc>
          <w:tcPr>
            <w:tcW w:w="867" w:type="dxa"/>
            <w:shd w:val="clear" w:color="auto" w:fill="auto"/>
            <w:vAlign w:val="center"/>
            <w:hideMark/>
          </w:tcPr>
          <w:p w:rsidR="0073204A" w:rsidRPr="002D2E2C" w:rsidRDefault="0073204A" w:rsidP="00891A96">
            <w:pPr>
              <w:jc w:val="right"/>
              <w:rPr>
                <w:rFonts w:cs="Calibri"/>
                <w:b/>
                <w:bCs/>
                <w:color w:val="000000"/>
                <w:sz w:val="20"/>
                <w:szCs w:val="20"/>
                <w:lang w:eastAsia="en-GB"/>
              </w:rPr>
            </w:pPr>
            <w:r w:rsidRPr="002D2E2C">
              <w:rPr>
                <w:rFonts w:cs="Calibri"/>
                <w:b/>
                <w:bCs/>
                <w:color w:val="000000"/>
                <w:sz w:val="20"/>
                <w:szCs w:val="20"/>
                <w:lang w:eastAsia="en-GB"/>
              </w:rPr>
              <w:t>0.0</w:t>
            </w:r>
          </w:p>
        </w:tc>
        <w:tc>
          <w:tcPr>
            <w:tcW w:w="1134" w:type="dxa"/>
            <w:shd w:val="clear" w:color="auto" w:fill="auto"/>
            <w:vAlign w:val="center"/>
            <w:hideMark/>
          </w:tcPr>
          <w:p w:rsidR="0073204A" w:rsidRPr="002D2E2C" w:rsidRDefault="0073204A" w:rsidP="00891A96">
            <w:pPr>
              <w:jc w:val="right"/>
              <w:rPr>
                <w:rFonts w:cs="Calibri"/>
                <w:b/>
                <w:bCs/>
                <w:color w:val="000000"/>
                <w:sz w:val="20"/>
                <w:szCs w:val="20"/>
                <w:lang w:eastAsia="en-GB"/>
              </w:rPr>
            </w:pPr>
            <w:r w:rsidRPr="002D2E2C">
              <w:rPr>
                <w:rFonts w:cs="Calibri"/>
                <w:b/>
                <w:bCs/>
                <w:color w:val="000000"/>
                <w:sz w:val="20"/>
                <w:szCs w:val="20"/>
                <w:lang w:eastAsia="en-GB"/>
              </w:rPr>
              <w:t>(2.7)</w:t>
            </w:r>
          </w:p>
        </w:tc>
        <w:tc>
          <w:tcPr>
            <w:tcW w:w="992" w:type="dxa"/>
            <w:shd w:val="clear" w:color="auto" w:fill="auto"/>
            <w:vAlign w:val="center"/>
            <w:hideMark/>
          </w:tcPr>
          <w:p w:rsidR="0073204A" w:rsidRPr="002D2E2C" w:rsidRDefault="0073204A" w:rsidP="00891A96">
            <w:pPr>
              <w:jc w:val="right"/>
              <w:rPr>
                <w:rFonts w:cs="Calibri"/>
                <w:b/>
                <w:bCs/>
                <w:color w:val="000000"/>
                <w:sz w:val="20"/>
                <w:szCs w:val="20"/>
                <w:lang w:eastAsia="en-GB"/>
              </w:rPr>
            </w:pPr>
            <w:r w:rsidRPr="002D2E2C">
              <w:rPr>
                <w:rFonts w:cs="Calibri"/>
                <w:b/>
                <w:bCs/>
                <w:color w:val="000000"/>
                <w:sz w:val="20"/>
                <w:szCs w:val="20"/>
                <w:lang w:eastAsia="en-GB"/>
              </w:rPr>
              <w:t>13.8</w:t>
            </w:r>
          </w:p>
        </w:tc>
        <w:tc>
          <w:tcPr>
            <w:tcW w:w="995" w:type="dxa"/>
            <w:shd w:val="clear" w:color="auto" w:fill="auto"/>
            <w:vAlign w:val="center"/>
            <w:hideMark/>
          </w:tcPr>
          <w:p w:rsidR="0073204A" w:rsidRPr="002D2E2C" w:rsidRDefault="0073204A" w:rsidP="00891A96">
            <w:pPr>
              <w:jc w:val="right"/>
              <w:rPr>
                <w:rFonts w:cs="Calibri"/>
                <w:b/>
                <w:bCs/>
                <w:color w:val="000000"/>
                <w:sz w:val="20"/>
                <w:szCs w:val="20"/>
                <w:lang w:eastAsia="en-GB"/>
              </w:rPr>
            </w:pPr>
            <w:r w:rsidRPr="002D2E2C">
              <w:rPr>
                <w:rFonts w:cs="Calibri"/>
                <w:b/>
                <w:bCs/>
                <w:color w:val="000000"/>
                <w:sz w:val="20"/>
                <w:szCs w:val="20"/>
                <w:lang w:eastAsia="en-GB"/>
              </w:rPr>
              <w:t>0.0</w:t>
            </w:r>
          </w:p>
        </w:tc>
        <w:tc>
          <w:tcPr>
            <w:tcW w:w="1143" w:type="dxa"/>
            <w:shd w:val="clear" w:color="auto" w:fill="auto"/>
            <w:vAlign w:val="center"/>
            <w:hideMark/>
          </w:tcPr>
          <w:p w:rsidR="0073204A" w:rsidRPr="002D2E2C" w:rsidRDefault="0073204A" w:rsidP="00891A96">
            <w:pPr>
              <w:jc w:val="right"/>
              <w:rPr>
                <w:rFonts w:cs="Calibri"/>
                <w:b/>
                <w:bCs/>
                <w:color w:val="000000"/>
                <w:sz w:val="20"/>
                <w:szCs w:val="20"/>
                <w:lang w:eastAsia="en-GB"/>
              </w:rPr>
            </w:pPr>
            <w:r w:rsidRPr="002D2E2C">
              <w:rPr>
                <w:rFonts w:cs="Calibri"/>
                <w:b/>
                <w:bCs/>
                <w:color w:val="000000"/>
                <w:sz w:val="20"/>
                <w:szCs w:val="20"/>
                <w:lang w:eastAsia="en-GB"/>
              </w:rPr>
              <w:t>(3.0)</w:t>
            </w:r>
          </w:p>
        </w:tc>
        <w:tc>
          <w:tcPr>
            <w:tcW w:w="1009" w:type="dxa"/>
            <w:shd w:val="clear" w:color="auto" w:fill="auto"/>
            <w:vAlign w:val="center"/>
            <w:hideMark/>
          </w:tcPr>
          <w:p w:rsidR="0073204A" w:rsidRPr="002D2E2C" w:rsidRDefault="0073204A" w:rsidP="00891A96">
            <w:pPr>
              <w:jc w:val="right"/>
              <w:rPr>
                <w:rFonts w:cs="Calibri"/>
                <w:b/>
                <w:bCs/>
                <w:color w:val="000000"/>
                <w:sz w:val="20"/>
                <w:szCs w:val="20"/>
                <w:lang w:eastAsia="en-GB"/>
              </w:rPr>
            </w:pPr>
            <w:r w:rsidRPr="002D2E2C">
              <w:rPr>
                <w:rFonts w:cs="Calibri"/>
                <w:b/>
                <w:bCs/>
                <w:color w:val="000000"/>
                <w:sz w:val="20"/>
                <w:szCs w:val="20"/>
                <w:lang w:eastAsia="en-GB"/>
              </w:rPr>
              <w:t>(</w:t>
            </w:r>
            <w:r>
              <w:rPr>
                <w:rFonts w:cs="Calibri"/>
                <w:b/>
                <w:bCs/>
                <w:color w:val="000000"/>
                <w:sz w:val="20"/>
                <w:szCs w:val="20"/>
                <w:lang w:eastAsia="en-GB"/>
              </w:rPr>
              <w:t>22.9</w:t>
            </w:r>
            <w:r w:rsidRPr="002D2E2C">
              <w:rPr>
                <w:rFonts w:cs="Calibri"/>
                <w:b/>
                <w:bCs/>
                <w:color w:val="000000"/>
                <w:sz w:val="20"/>
                <w:szCs w:val="20"/>
                <w:lang w:eastAsia="en-GB"/>
              </w:rPr>
              <w:t>)</w:t>
            </w:r>
          </w:p>
        </w:tc>
        <w:tc>
          <w:tcPr>
            <w:tcW w:w="1029" w:type="dxa"/>
            <w:shd w:val="clear" w:color="auto" w:fill="auto"/>
            <w:noWrap/>
            <w:vAlign w:val="center"/>
            <w:hideMark/>
          </w:tcPr>
          <w:p w:rsidR="0073204A" w:rsidRPr="002D2E2C" w:rsidRDefault="0073204A" w:rsidP="00891A96">
            <w:pPr>
              <w:jc w:val="right"/>
              <w:rPr>
                <w:rFonts w:cs="Calibri"/>
                <w:b/>
                <w:bCs/>
                <w:color w:val="000000"/>
                <w:sz w:val="20"/>
                <w:szCs w:val="20"/>
                <w:lang w:eastAsia="en-GB"/>
              </w:rPr>
            </w:pPr>
            <w:r w:rsidRPr="002D2E2C">
              <w:rPr>
                <w:rFonts w:cs="Calibri"/>
                <w:b/>
                <w:bCs/>
                <w:color w:val="000000"/>
                <w:sz w:val="20"/>
                <w:szCs w:val="20"/>
                <w:lang w:eastAsia="en-GB"/>
              </w:rPr>
              <w:t>(478.4)</w:t>
            </w:r>
          </w:p>
        </w:tc>
        <w:tc>
          <w:tcPr>
            <w:tcW w:w="983" w:type="dxa"/>
            <w:shd w:val="clear" w:color="auto" w:fill="auto"/>
            <w:noWrap/>
            <w:vAlign w:val="center"/>
            <w:hideMark/>
          </w:tcPr>
          <w:p w:rsidR="0073204A" w:rsidRPr="002D2E2C" w:rsidRDefault="0073204A" w:rsidP="00891A96">
            <w:pPr>
              <w:jc w:val="right"/>
              <w:rPr>
                <w:rFonts w:cs="Calibri"/>
                <w:b/>
                <w:bCs/>
                <w:color w:val="000000"/>
                <w:sz w:val="20"/>
                <w:szCs w:val="20"/>
                <w:lang w:eastAsia="en-GB"/>
              </w:rPr>
            </w:pPr>
            <w:r w:rsidRPr="002D2E2C">
              <w:rPr>
                <w:rFonts w:cs="Calibri"/>
                <w:b/>
                <w:bCs/>
                <w:color w:val="000000"/>
                <w:sz w:val="20"/>
                <w:szCs w:val="20"/>
                <w:lang w:eastAsia="en-GB"/>
              </w:rPr>
              <w:t>(50</w:t>
            </w:r>
            <w:r>
              <w:rPr>
                <w:rFonts w:cs="Calibri"/>
                <w:b/>
                <w:bCs/>
                <w:color w:val="000000"/>
                <w:sz w:val="20"/>
                <w:szCs w:val="20"/>
                <w:lang w:eastAsia="en-GB"/>
              </w:rPr>
              <w:t>1.3</w:t>
            </w:r>
            <w:r w:rsidRPr="002D2E2C">
              <w:rPr>
                <w:rFonts w:cs="Calibri"/>
                <w:b/>
                <w:bCs/>
                <w:color w:val="000000"/>
                <w:sz w:val="20"/>
                <w:szCs w:val="20"/>
                <w:lang w:eastAsia="en-GB"/>
              </w:rPr>
              <w:t>)</w:t>
            </w:r>
          </w:p>
        </w:tc>
        <w:tc>
          <w:tcPr>
            <w:tcW w:w="1465" w:type="dxa"/>
            <w:shd w:val="clear" w:color="auto" w:fill="auto"/>
            <w:noWrap/>
            <w:vAlign w:val="center"/>
            <w:hideMark/>
          </w:tcPr>
          <w:p w:rsidR="0073204A" w:rsidRPr="002D2E2C" w:rsidRDefault="0073204A" w:rsidP="00891A96">
            <w:pPr>
              <w:jc w:val="right"/>
              <w:rPr>
                <w:rFonts w:cs="Calibri"/>
                <w:b/>
                <w:bCs/>
                <w:color w:val="000000"/>
                <w:sz w:val="20"/>
                <w:szCs w:val="20"/>
                <w:lang w:eastAsia="en-GB"/>
              </w:rPr>
            </w:pPr>
            <w:r w:rsidRPr="002D2E2C">
              <w:rPr>
                <w:rFonts w:cs="Calibri"/>
                <w:b/>
                <w:bCs/>
                <w:color w:val="000000"/>
                <w:sz w:val="20"/>
                <w:szCs w:val="20"/>
                <w:lang w:eastAsia="en-GB"/>
              </w:rPr>
              <w:t>(4.3)</w:t>
            </w:r>
          </w:p>
        </w:tc>
        <w:tc>
          <w:tcPr>
            <w:tcW w:w="974" w:type="dxa"/>
            <w:shd w:val="clear" w:color="auto" w:fill="auto"/>
            <w:noWrap/>
            <w:vAlign w:val="center"/>
            <w:hideMark/>
          </w:tcPr>
          <w:p w:rsidR="0073204A" w:rsidRPr="002D2E2C" w:rsidRDefault="0073204A" w:rsidP="00891A96">
            <w:pPr>
              <w:jc w:val="right"/>
              <w:rPr>
                <w:rFonts w:cs="Calibri"/>
                <w:b/>
                <w:bCs/>
                <w:color w:val="000000"/>
                <w:sz w:val="20"/>
                <w:szCs w:val="20"/>
                <w:lang w:eastAsia="en-GB"/>
              </w:rPr>
            </w:pPr>
            <w:r w:rsidRPr="002D2E2C">
              <w:rPr>
                <w:rFonts w:cs="Calibri"/>
                <w:b/>
                <w:bCs/>
                <w:color w:val="000000"/>
                <w:sz w:val="20"/>
                <w:szCs w:val="20"/>
                <w:lang w:eastAsia="en-GB"/>
              </w:rPr>
              <w:t>(50</w:t>
            </w:r>
            <w:r>
              <w:rPr>
                <w:rFonts w:cs="Calibri"/>
                <w:b/>
                <w:bCs/>
                <w:color w:val="000000"/>
                <w:sz w:val="20"/>
                <w:szCs w:val="20"/>
                <w:lang w:eastAsia="en-GB"/>
              </w:rPr>
              <w:t>5</w:t>
            </w:r>
            <w:r w:rsidRPr="002D2E2C">
              <w:rPr>
                <w:rFonts w:cs="Calibri"/>
                <w:b/>
                <w:bCs/>
                <w:color w:val="000000"/>
                <w:sz w:val="20"/>
                <w:szCs w:val="20"/>
                <w:lang w:eastAsia="en-GB"/>
              </w:rPr>
              <w:t>.</w:t>
            </w:r>
            <w:r>
              <w:rPr>
                <w:rFonts w:cs="Calibri"/>
                <w:b/>
                <w:bCs/>
                <w:color w:val="000000"/>
                <w:sz w:val="20"/>
                <w:szCs w:val="20"/>
                <w:lang w:eastAsia="en-GB"/>
              </w:rPr>
              <w:t>6</w:t>
            </w:r>
            <w:r w:rsidRPr="002D2E2C">
              <w:rPr>
                <w:rFonts w:cs="Calibri"/>
                <w:b/>
                <w:bCs/>
                <w:color w:val="000000"/>
                <w:sz w:val="20"/>
                <w:szCs w:val="20"/>
                <w:lang w:eastAsia="en-GB"/>
              </w:rPr>
              <w:t>)</w:t>
            </w:r>
          </w:p>
        </w:tc>
      </w:tr>
      <w:tr w:rsidR="0073204A" w:rsidRPr="002D2E2C" w:rsidTr="00891A96">
        <w:trPr>
          <w:gridAfter w:val="1"/>
          <w:wAfter w:w="43" w:type="dxa"/>
          <w:trHeight w:val="315"/>
        </w:trPr>
        <w:tc>
          <w:tcPr>
            <w:tcW w:w="2977" w:type="dxa"/>
            <w:shd w:val="clear" w:color="auto" w:fill="auto"/>
            <w:vAlign w:val="center"/>
            <w:hideMark/>
          </w:tcPr>
          <w:p w:rsidR="0073204A" w:rsidRPr="002D2E2C" w:rsidRDefault="0073204A" w:rsidP="00891A96">
            <w:pPr>
              <w:rPr>
                <w:rFonts w:cs="Calibri"/>
                <w:b/>
                <w:bCs/>
                <w:color w:val="000000"/>
                <w:sz w:val="20"/>
                <w:szCs w:val="20"/>
                <w:lang w:eastAsia="en-GB"/>
              </w:rPr>
            </w:pPr>
            <w:r w:rsidRPr="002D2E2C">
              <w:rPr>
                <w:rFonts w:cs="Calibri"/>
                <w:b/>
                <w:bCs/>
                <w:color w:val="000000"/>
                <w:sz w:val="20"/>
                <w:szCs w:val="20"/>
                <w:lang w:eastAsia="en-GB"/>
              </w:rPr>
              <w:t>Balance as at 31 March 2020</w:t>
            </w:r>
          </w:p>
        </w:tc>
        <w:tc>
          <w:tcPr>
            <w:tcW w:w="872" w:type="dxa"/>
            <w:shd w:val="clear" w:color="auto" w:fill="auto"/>
            <w:noWrap/>
            <w:vAlign w:val="center"/>
            <w:hideMark/>
          </w:tcPr>
          <w:p w:rsidR="0073204A" w:rsidRPr="002D2E2C" w:rsidRDefault="0073204A" w:rsidP="00891A96">
            <w:pPr>
              <w:jc w:val="right"/>
              <w:rPr>
                <w:rFonts w:cs="Calibri"/>
                <w:b/>
                <w:bCs/>
                <w:color w:val="000000"/>
                <w:sz w:val="20"/>
                <w:szCs w:val="20"/>
                <w:lang w:eastAsia="en-GB"/>
              </w:rPr>
            </w:pPr>
            <w:r w:rsidRPr="002D2E2C">
              <w:rPr>
                <w:rFonts w:cs="Calibri"/>
                <w:b/>
                <w:bCs/>
                <w:color w:val="000000"/>
                <w:sz w:val="20"/>
                <w:szCs w:val="20"/>
                <w:lang w:eastAsia="en-GB"/>
              </w:rPr>
              <w:t>(9.6)</w:t>
            </w:r>
          </w:p>
        </w:tc>
        <w:tc>
          <w:tcPr>
            <w:tcW w:w="993" w:type="dxa"/>
            <w:shd w:val="clear" w:color="auto" w:fill="auto"/>
            <w:noWrap/>
            <w:vAlign w:val="center"/>
            <w:hideMark/>
          </w:tcPr>
          <w:p w:rsidR="0073204A" w:rsidRPr="002D2E2C" w:rsidRDefault="0073204A" w:rsidP="00891A96">
            <w:pPr>
              <w:jc w:val="right"/>
              <w:rPr>
                <w:rFonts w:cs="Calibri"/>
                <w:b/>
                <w:bCs/>
                <w:color w:val="000000"/>
                <w:sz w:val="20"/>
                <w:szCs w:val="20"/>
                <w:lang w:eastAsia="en-GB"/>
              </w:rPr>
            </w:pPr>
            <w:r w:rsidRPr="002D2E2C">
              <w:rPr>
                <w:rFonts w:cs="Calibri"/>
                <w:b/>
                <w:bCs/>
                <w:color w:val="000000"/>
                <w:sz w:val="20"/>
                <w:szCs w:val="20"/>
                <w:lang w:eastAsia="en-GB"/>
              </w:rPr>
              <w:t>(8.5)</w:t>
            </w:r>
          </w:p>
        </w:tc>
        <w:tc>
          <w:tcPr>
            <w:tcW w:w="1134" w:type="dxa"/>
            <w:shd w:val="clear" w:color="auto" w:fill="auto"/>
            <w:vAlign w:val="center"/>
            <w:hideMark/>
          </w:tcPr>
          <w:p w:rsidR="0073204A" w:rsidRPr="002D2E2C" w:rsidRDefault="0073204A" w:rsidP="00891A96">
            <w:pPr>
              <w:jc w:val="right"/>
              <w:rPr>
                <w:rFonts w:cs="Calibri"/>
                <w:b/>
                <w:bCs/>
                <w:color w:val="000000"/>
                <w:sz w:val="20"/>
                <w:szCs w:val="20"/>
                <w:lang w:eastAsia="en-GB"/>
              </w:rPr>
            </w:pPr>
            <w:r w:rsidRPr="002D2E2C">
              <w:rPr>
                <w:rFonts w:cs="Calibri"/>
                <w:b/>
                <w:bCs/>
                <w:color w:val="000000"/>
                <w:sz w:val="20"/>
                <w:szCs w:val="20"/>
                <w:lang w:eastAsia="en-GB"/>
              </w:rPr>
              <w:t>(28</w:t>
            </w:r>
            <w:r>
              <w:rPr>
                <w:rFonts w:cs="Calibri"/>
                <w:b/>
                <w:bCs/>
                <w:color w:val="000000"/>
                <w:sz w:val="20"/>
                <w:szCs w:val="20"/>
                <w:lang w:eastAsia="en-GB"/>
              </w:rPr>
              <w:t>0</w:t>
            </w:r>
            <w:r w:rsidRPr="002D2E2C">
              <w:rPr>
                <w:rFonts w:cs="Calibri"/>
                <w:b/>
                <w:bCs/>
                <w:color w:val="000000"/>
                <w:sz w:val="20"/>
                <w:szCs w:val="20"/>
                <w:lang w:eastAsia="en-GB"/>
              </w:rPr>
              <w:t>.</w:t>
            </w:r>
            <w:r>
              <w:rPr>
                <w:rFonts w:cs="Calibri"/>
                <w:b/>
                <w:bCs/>
                <w:color w:val="000000"/>
                <w:sz w:val="20"/>
                <w:szCs w:val="20"/>
                <w:lang w:eastAsia="en-GB"/>
              </w:rPr>
              <w:t>4</w:t>
            </w:r>
            <w:r w:rsidRPr="002D2E2C">
              <w:rPr>
                <w:rFonts w:cs="Calibri"/>
                <w:b/>
                <w:bCs/>
                <w:color w:val="000000"/>
                <w:sz w:val="20"/>
                <w:szCs w:val="20"/>
                <w:lang w:eastAsia="en-GB"/>
              </w:rPr>
              <w:t>)</w:t>
            </w:r>
          </w:p>
        </w:tc>
        <w:tc>
          <w:tcPr>
            <w:tcW w:w="867" w:type="dxa"/>
            <w:shd w:val="clear" w:color="auto" w:fill="auto"/>
            <w:vAlign w:val="center"/>
            <w:hideMark/>
          </w:tcPr>
          <w:p w:rsidR="0073204A" w:rsidRPr="002D2E2C" w:rsidRDefault="0073204A" w:rsidP="00891A96">
            <w:pPr>
              <w:jc w:val="right"/>
              <w:rPr>
                <w:rFonts w:cs="Calibri"/>
                <w:b/>
                <w:bCs/>
                <w:color w:val="000000"/>
                <w:sz w:val="20"/>
                <w:szCs w:val="20"/>
                <w:lang w:eastAsia="en-GB"/>
              </w:rPr>
            </w:pPr>
            <w:r w:rsidRPr="002D2E2C">
              <w:rPr>
                <w:rFonts w:cs="Calibri"/>
                <w:b/>
                <w:bCs/>
                <w:color w:val="000000"/>
                <w:sz w:val="20"/>
                <w:szCs w:val="20"/>
                <w:lang w:eastAsia="en-GB"/>
              </w:rPr>
              <w:t>(1.4)</w:t>
            </w:r>
          </w:p>
        </w:tc>
        <w:tc>
          <w:tcPr>
            <w:tcW w:w="1134" w:type="dxa"/>
            <w:shd w:val="clear" w:color="auto" w:fill="auto"/>
            <w:vAlign w:val="center"/>
            <w:hideMark/>
          </w:tcPr>
          <w:p w:rsidR="0073204A" w:rsidRPr="002D2E2C" w:rsidRDefault="0073204A" w:rsidP="00891A96">
            <w:pPr>
              <w:jc w:val="right"/>
              <w:rPr>
                <w:rFonts w:cs="Calibri"/>
                <w:b/>
                <w:bCs/>
                <w:color w:val="000000"/>
                <w:sz w:val="20"/>
                <w:szCs w:val="20"/>
                <w:lang w:eastAsia="en-GB"/>
              </w:rPr>
            </w:pPr>
            <w:r w:rsidRPr="002D2E2C">
              <w:rPr>
                <w:rFonts w:cs="Calibri"/>
                <w:b/>
                <w:bCs/>
                <w:color w:val="000000"/>
                <w:sz w:val="20"/>
                <w:szCs w:val="20"/>
                <w:lang w:eastAsia="en-GB"/>
              </w:rPr>
              <w:t>(4.4)</w:t>
            </w:r>
          </w:p>
        </w:tc>
        <w:tc>
          <w:tcPr>
            <w:tcW w:w="992" w:type="dxa"/>
            <w:shd w:val="clear" w:color="auto" w:fill="auto"/>
            <w:vAlign w:val="center"/>
            <w:hideMark/>
          </w:tcPr>
          <w:p w:rsidR="0073204A" w:rsidRPr="002D2E2C" w:rsidRDefault="0073204A" w:rsidP="00891A96">
            <w:pPr>
              <w:jc w:val="right"/>
              <w:rPr>
                <w:rFonts w:cs="Calibri"/>
                <w:b/>
                <w:bCs/>
                <w:color w:val="000000"/>
                <w:sz w:val="20"/>
                <w:szCs w:val="20"/>
                <w:lang w:eastAsia="en-GB"/>
              </w:rPr>
            </w:pPr>
            <w:r w:rsidRPr="002D2E2C">
              <w:rPr>
                <w:rFonts w:cs="Calibri"/>
                <w:b/>
                <w:bCs/>
                <w:color w:val="000000"/>
                <w:sz w:val="20"/>
                <w:szCs w:val="20"/>
                <w:lang w:eastAsia="en-GB"/>
              </w:rPr>
              <w:t>(11.6)</w:t>
            </w:r>
          </w:p>
        </w:tc>
        <w:tc>
          <w:tcPr>
            <w:tcW w:w="995" w:type="dxa"/>
            <w:shd w:val="clear" w:color="auto" w:fill="auto"/>
            <w:vAlign w:val="center"/>
            <w:hideMark/>
          </w:tcPr>
          <w:p w:rsidR="0073204A" w:rsidRPr="002D2E2C" w:rsidRDefault="0073204A" w:rsidP="00891A96">
            <w:pPr>
              <w:jc w:val="right"/>
              <w:rPr>
                <w:rFonts w:cs="Calibri"/>
                <w:b/>
                <w:bCs/>
                <w:color w:val="000000"/>
                <w:sz w:val="20"/>
                <w:szCs w:val="20"/>
                <w:lang w:eastAsia="en-GB"/>
              </w:rPr>
            </w:pPr>
            <w:r w:rsidRPr="002D2E2C">
              <w:rPr>
                <w:rFonts w:cs="Calibri"/>
                <w:b/>
                <w:bCs/>
                <w:color w:val="000000"/>
                <w:sz w:val="20"/>
                <w:szCs w:val="20"/>
                <w:lang w:eastAsia="en-GB"/>
              </w:rPr>
              <w:t>0.0</w:t>
            </w:r>
          </w:p>
        </w:tc>
        <w:tc>
          <w:tcPr>
            <w:tcW w:w="1143" w:type="dxa"/>
            <w:shd w:val="clear" w:color="auto" w:fill="auto"/>
            <w:vAlign w:val="center"/>
            <w:hideMark/>
          </w:tcPr>
          <w:p w:rsidR="0073204A" w:rsidRPr="002D2E2C" w:rsidRDefault="0073204A" w:rsidP="00891A96">
            <w:pPr>
              <w:jc w:val="right"/>
              <w:rPr>
                <w:rFonts w:cs="Calibri"/>
                <w:b/>
                <w:bCs/>
                <w:color w:val="000000"/>
                <w:sz w:val="20"/>
                <w:szCs w:val="20"/>
                <w:lang w:eastAsia="en-GB"/>
              </w:rPr>
            </w:pPr>
            <w:r w:rsidRPr="002D2E2C">
              <w:rPr>
                <w:rFonts w:cs="Calibri"/>
                <w:b/>
                <w:bCs/>
                <w:color w:val="000000"/>
                <w:sz w:val="20"/>
                <w:szCs w:val="20"/>
                <w:lang w:eastAsia="en-GB"/>
              </w:rPr>
              <w:t>(75.4)</w:t>
            </w:r>
          </w:p>
        </w:tc>
        <w:tc>
          <w:tcPr>
            <w:tcW w:w="1009" w:type="dxa"/>
            <w:shd w:val="clear" w:color="auto" w:fill="auto"/>
            <w:vAlign w:val="center"/>
            <w:hideMark/>
          </w:tcPr>
          <w:p w:rsidR="0073204A" w:rsidRPr="002D2E2C" w:rsidRDefault="0073204A" w:rsidP="00891A96">
            <w:pPr>
              <w:jc w:val="right"/>
              <w:rPr>
                <w:rFonts w:cs="Calibri"/>
                <w:b/>
                <w:bCs/>
                <w:color w:val="000000"/>
                <w:sz w:val="20"/>
                <w:szCs w:val="20"/>
                <w:lang w:eastAsia="en-GB"/>
              </w:rPr>
            </w:pPr>
            <w:r w:rsidRPr="002D2E2C">
              <w:rPr>
                <w:rFonts w:cs="Calibri"/>
                <w:b/>
                <w:bCs/>
                <w:color w:val="000000"/>
                <w:sz w:val="20"/>
                <w:szCs w:val="20"/>
                <w:lang w:eastAsia="en-GB"/>
              </w:rPr>
              <w:t>(39</w:t>
            </w:r>
            <w:r>
              <w:rPr>
                <w:rFonts w:cs="Calibri"/>
                <w:b/>
                <w:bCs/>
                <w:color w:val="000000"/>
                <w:sz w:val="20"/>
                <w:szCs w:val="20"/>
                <w:lang w:eastAsia="en-GB"/>
              </w:rPr>
              <w:t>1</w:t>
            </w:r>
            <w:r w:rsidRPr="002D2E2C">
              <w:rPr>
                <w:rFonts w:cs="Calibri"/>
                <w:b/>
                <w:bCs/>
                <w:color w:val="000000"/>
                <w:sz w:val="20"/>
                <w:szCs w:val="20"/>
                <w:lang w:eastAsia="en-GB"/>
              </w:rPr>
              <w:t>.</w:t>
            </w:r>
            <w:r>
              <w:rPr>
                <w:rFonts w:cs="Calibri"/>
                <w:b/>
                <w:bCs/>
                <w:color w:val="000000"/>
                <w:sz w:val="20"/>
                <w:szCs w:val="20"/>
                <w:lang w:eastAsia="en-GB"/>
              </w:rPr>
              <w:t>3</w:t>
            </w:r>
            <w:r w:rsidRPr="002D2E2C">
              <w:rPr>
                <w:rFonts w:cs="Calibri"/>
                <w:b/>
                <w:bCs/>
                <w:color w:val="000000"/>
                <w:sz w:val="20"/>
                <w:szCs w:val="20"/>
                <w:lang w:eastAsia="en-GB"/>
              </w:rPr>
              <w:t>)</w:t>
            </w:r>
          </w:p>
        </w:tc>
        <w:tc>
          <w:tcPr>
            <w:tcW w:w="1029" w:type="dxa"/>
            <w:shd w:val="clear" w:color="auto" w:fill="auto"/>
            <w:noWrap/>
            <w:vAlign w:val="center"/>
            <w:hideMark/>
          </w:tcPr>
          <w:p w:rsidR="0073204A" w:rsidRPr="002D2E2C" w:rsidRDefault="0073204A" w:rsidP="00891A96">
            <w:pPr>
              <w:jc w:val="right"/>
              <w:rPr>
                <w:rFonts w:cs="Calibri"/>
                <w:b/>
                <w:bCs/>
                <w:color w:val="000000"/>
                <w:sz w:val="20"/>
                <w:szCs w:val="20"/>
                <w:lang w:eastAsia="en-GB"/>
              </w:rPr>
            </w:pPr>
            <w:r w:rsidRPr="002D2E2C">
              <w:rPr>
                <w:rFonts w:cs="Calibri"/>
                <w:b/>
                <w:bCs/>
                <w:color w:val="000000"/>
                <w:sz w:val="20"/>
                <w:szCs w:val="20"/>
                <w:lang w:eastAsia="en-GB"/>
              </w:rPr>
              <w:t>(603.3)</w:t>
            </w:r>
          </w:p>
        </w:tc>
        <w:tc>
          <w:tcPr>
            <w:tcW w:w="983" w:type="dxa"/>
            <w:shd w:val="clear" w:color="auto" w:fill="auto"/>
            <w:noWrap/>
            <w:vAlign w:val="center"/>
            <w:hideMark/>
          </w:tcPr>
          <w:p w:rsidR="0073204A" w:rsidRPr="002D2E2C" w:rsidRDefault="0073204A" w:rsidP="00891A96">
            <w:pPr>
              <w:jc w:val="right"/>
              <w:rPr>
                <w:rFonts w:cs="Calibri"/>
                <w:b/>
                <w:bCs/>
                <w:color w:val="000000"/>
                <w:sz w:val="20"/>
                <w:szCs w:val="20"/>
                <w:lang w:eastAsia="en-GB"/>
              </w:rPr>
            </w:pPr>
            <w:r w:rsidRPr="002D2E2C">
              <w:rPr>
                <w:rFonts w:cs="Calibri"/>
                <w:b/>
                <w:bCs/>
                <w:color w:val="000000"/>
                <w:sz w:val="20"/>
                <w:szCs w:val="20"/>
                <w:lang w:eastAsia="en-GB"/>
              </w:rPr>
              <w:t>(99</w:t>
            </w:r>
            <w:r>
              <w:rPr>
                <w:rFonts w:cs="Calibri"/>
                <w:b/>
                <w:bCs/>
                <w:color w:val="000000"/>
                <w:sz w:val="20"/>
                <w:szCs w:val="20"/>
                <w:lang w:eastAsia="en-GB"/>
              </w:rPr>
              <w:t>4.6</w:t>
            </w:r>
            <w:r w:rsidRPr="002D2E2C">
              <w:rPr>
                <w:rFonts w:cs="Calibri"/>
                <w:b/>
                <w:bCs/>
                <w:color w:val="000000"/>
                <w:sz w:val="20"/>
                <w:szCs w:val="20"/>
                <w:lang w:eastAsia="en-GB"/>
              </w:rPr>
              <w:t>)</w:t>
            </w:r>
          </w:p>
        </w:tc>
        <w:tc>
          <w:tcPr>
            <w:tcW w:w="1465" w:type="dxa"/>
            <w:shd w:val="clear" w:color="auto" w:fill="auto"/>
            <w:noWrap/>
            <w:vAlign w:val="center"/>
            <w:hideMark/>
          </w:tcPr>
          <w:p w:rsidR="0073204A" w:rsidRPr="002D2E2C" w:rsidRDefault="0073204A" w:rsidP="00891A96">
            <w:pPr>
              <w:jc w:val="right"/>
              <w:rPr>
                <w:rFonts w:cs="Calibri"/>
                <w:b/>
                <w:bCs/>
                <w:color w:val="000000"/>
                <w:sz w:val="20"/>
                <w:szCs w:val="20"/>
                <w:lang w:eastAsia="en-GB"/>
              </w:rPr>
            </w:pPr>
            <w:r w:rsidRPr="002D2E2C">
              <w:rPr>
                <w:rFonts w:cs="Calibri"/>
                <w:b/>
                <w:bCs/>
                <w:color w:val="000000"/>
                <w:sz w:val="20"/>
                <w:szCs w:val="20"/>
                <w:lang w:eastAsia="en-GB"/>
              </w:rPr>
              <w:t>(26.1)</w:t>
            </w:r>
          </w:p>
        </w:tc>
        <w:tc>
          <w:tcPr>
            <w:tcW w:w="974" w:type="dxa"/>
            <w:shd w:val="clear" w:color="auto" w:fill="auto"/>
            <w:noWrap/>
            <w:vAlign w:val="center"/>
            <w:hideMark/>
          </w:tcPr>
          <w:p w:rsidR="0073204A" w:rsidRPr="002D2E2C" w:rsidRDefault="0073204A" w:rsidP="00891A96">
            <w:pPr>
              <w:jc w:val="right"/>
              <w:rPr>
                <w:rFonts w:cs="Calibri"/>
                <w:b/>
                <w:bCs/>
                <w:color w:val="000000"/>
                <w:sz w:val="20"/>
                <w:szCs w:val="20"/>
                <w:lang w:eastAsia="en-GB"/>
              </w:rPr>
            </w:pPr>
            <w:r w:rsidRPr="002D2E2C">
              <w:rPr>
                <w:rFonts w:cs="Calibri"/>
                <w:b/>
                <w:bCs/>
                <w:color w:val="000000"/>
                <w:sz w:val="20"/>
                <w:szCs w:val="20"/>
                <w:lang w:eastAsia="en-GB"/>
              </w:rPr>
              <w:t>(1,02</w:t>
            </w:r>
            <w:r>
              <w:rPr>
                <w:rFonts w:cs="Calibri"/>
                <w:b/>
                <w:bCs/>
                <w:color w:val="000000"/>
                <w:sz w:val="20"/>
                <w:szCs w:val="20"/>
                <w:lang w:eastAsia="en-GB"/>
              </w:rPr>
              <w:t>0</w:t>
            </w:r>
            <w:r w:rsidRPr="002D2E2C">
              <w:rPr>
                <w:rFonts w:cs="Calibri"/>
                <w:b/>
                <w:bCs/>
                <w:color w:val="000000"/>
                <w:sz w:val="20"/>
                <w:szCs w:val="20"/>
                <w:lang w:eastAsia="en-GB"/>
              </w:rPr>
              <w:t>.</w:t>
            </w:r>
            <w:r>
              <w:rPr>
                <w:rFonts w:cs="Calibri"/>
                <w:b/>
                <w:bCs/>
                <w:color w:val="000000"/>
                <w:sz w:val="20"/>
                <w:szCs w:val="20"/>
                <w:lang w:eastAsia="en-GB"/>
              </w:rPr>
              <w:t>7</w:t>
            </w:r>
            <w:r w:rsidRPr="002D2E2C">
              <w:rPr>
                <w:rFonts w:cs="Calibri"/>
                <w:b/>
                <w:bCs/>
                <w:color w:val="000000"/>
                <w:sz w:val="20"/>
                <w:szCs w:val="20"/>
                <w:lang w:eastAsia="en-GB"/>
              </w:rPr>
              <w:t>)</w:t>
            </w:r>
          </w:p>
        </w:tc>
      </w:tr>
    </w:tbl>
    <w:p w:rsidR="0067327D" w:rsidRDefault="00891A96" w:rsidP="00891A96">
      <w:pPr>
        <w:ind w:left="-993"/>
        <w:sectPr w:rsidR="0067327D" w:rsidSect="00891A96">
          <w:pgSz w:w="16838" w:h="11906" w:orient="landscape"/>
          <w:pgMar w:top="709" w:right="1440" w:bottom="284" w:left="1440" w:header="708" w:footer="708" w:gutter="0"/>
          <w:cols w:space="708"/>
          <w:docGrid w:linePitch="360"/>
        </w:sectPr>
      </w:pPr>
      <w:r>
        <w:t xml:space="preserve"> </w:t>
      </w:r>
    </w:p>
    <w:p w:rsidR="00891A96" w:rsidRPr="00891A96" w:rsidRDefault="00891A96" w:rsidP="00891A96">
      <w:pPr>
        <w:pStyle w:val="Heading2"/>
        <w:rPr>
          <w:rFonts w:ascii="Calibri" w:hAnsi="Calibri" w:cs="Calibri"/>
        </w:rPr>
      </w:pPr>
      <w:bookmarkStart w:id="30" w:name="_Toc493761870"/>
      <w:bookmarkStart w:id="31" w:name="_Toc532852"/>
      <w:bookmarkStart w:id="32" w:name="_Toc50632639"/>
      <w:bookmarkStart w:id="33" w:name="_Toc61870300"/>
      <w:r w:rsidRPr="00EB2995">
        <w:rPr>
          <w:rFonts w:ascii="Calibri" w:hAnsi="Calibri" w:cs="Calibri"/>
        </w:rPr>
        <w:lastRenderedPageBreak/>
        <w:t>Notes to the Group Accounts</w:t>
      </w:r>
      <w:bookmarkEnd w:id="30"/>
      <w:bookmarkEnd w:id="31"/>
      <w:bookmarkEnd w:id="32"/>
      <w:bookmarkEnd w:id="33"/>
    </w:p>
    <w:p w:rsidR="00891A96" w:rsidRPr="00EB2995" w:rsidRDefault="00891A96" w:rsidP="00891A96">
      <w:pPr>
        <w:pStyle w:val="Heading4"/>
        <w:rPr>
          <w:rFonts w:ascii="Calibri" w:hAnsi="Calibri" w:cs="Calibri"/>
        </w:rPr>
      </w:pPr>
      <w:r>
        <w:rPr>
          <w:rFonts w:ascii="Calibri" w:hAnsi="Calibri" w:cs="Calibri"/>
        </w:rPr>
        <w:t xml:space="preserve">Group </w:t>
      </w:r>
      <w:r w:rsidRPr="00EB2995">
        <w:rPr>
          <w:rFonts w:ascii="Calibri" w:hAnsi="Calibri" w:cs="Calibri"/>
        </w:rPr>
        <w:t>Note 1 – Significant movements on balances of property, plant and equipment</w:t>
      </w:r>
    </w:p>
    <w:tbl>
      <w:tblPr>
        <w:tblW w:w="11339" w:type="dxa"/>
        <w:tblInd w:w="-294" w:type="dxa"/>
        <w:tblLook w:val="04A0" w:firstRow="1" w:lastRow="0" w:firstColumn="1" w:lastColumn="0" w:noHBand="0" w:noVBand="1"/>
      </w:tblPr>
      <w:tblGrid>
        <w:gridCol w:w="3403"/>
        <w:gridCol w:w="961"/>
        <w:gridCol w:w="960"/>
        <w:gridCol w:w="960"/>
        <w:gridCol w:w="960"/>
        <w:gridCol w:w="960"/>
        <w:gridCol w:w="1175"/>
        <w:gridCol w:w="960"/>
        <w:gridCol w:w="1000"/>
      </w:tblGrid>
      <w:tr w:rsidR="00891A96" w:rsidRPr="009907EE" w:rsidTr="00891A96">
        <w:trPr>
          <w:trHeight w:val="495"/>
        </w:trPr>
        <w:tc>
          <w:tcPr>
            <w:tcW w:w="340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91A96" w:rsidRPr="009907EE" w:rsidRDefault="00891A96" w:rsidP="00891A96">
            <w:pPr>
              <w:rPr>
                <w:rFonts w:cs="Calibri"/>
                <w:b/>
                <w:bCs/>
                <w:color w:val="000000"/>
                <w:sz w:val="18"/>
                <w:szCs w:val="18"/>
                <w:lang w:eastAsia="en-GB"/>
              </w:rPr>
            </w:pPr>
            <w:r w:rsidRPr="009907EE">
              <w:rPr>
                <w:rFonts w:cs="Calibri"/>
                <w:b/>
                <w:bCs/>
                <w:color w:val="000000"/>
                <w:sz w:val="18"/>
                <w:szCs w:val="18"/>
                <w:lang w:eastAsia="en-GB"/>
              </w:rPr>
              <w:t>Movements in 2019/20</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91A96" w:rsidRPr="009907EE" w:rsidRDefault="00891A96" w:rsidP="00891A96">
            <w:pPr>
              <w:jc w:val="center"/>
              <w:rPr>
                <w:rFonts w:cs="Calibri"/>
                <w:b/>
                <w:bCs/>
                <w:color w:val="000000"/>
                <w:sz w:val="18"/>
                <w:szCs w:val="18"/>
                <w:lang w:eastAsia="en-GB"/>
              </w:rPr>
            </w:pPr>
            <w:r w:rsidRPr="009907EE">
              <w:rPr>
                <w:rFonts w:cs="Calibri"/>
                <w:b/>
                <w:bCs/>
                <w:color w:val="000000"/>
                <w:sz w:val="18"/>
                <w:szCs w:val="18"/>
                <w:lang w:eastAsia="en-GB"/>
              </w:rPr>
              <w:t>Council Dwellings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91A96" w:rsidRPr="009907EE" w:rsidRDefault="00891A96" w:rsidP="00891A96">
            <w:pPr>
              <w:jc w:val="center"/>
              <w:rPr>
                <w:rFonts w:cs="Calibri"/>
                <w:b/>
                <w:bCs/>
                <w:color w:val="000000"/>
                <w:sz w:val="18"/>
                <w:szCs w:val="18"/>
                <w:lang w:eastAsia="en-GB"/>
              </w:rPr>
            </w:pPr>
            <w:r w:rsidRPr="009907EE">
              <w:rPr>
                <w:rFonts w:cs="Calibri"/>
                <w:b/>
                <w:bCs/>
                <w:color w:val="000000"/>
                <w:sz w:val="18"/>
                <w:szCs w:val="18"/>
                <w:lang w:eastAsia="en-GB"/>
              </w:rPr>
              <w:t>Land &amp; Buildings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91A96" w:rsidRPr="009907EE" w:rsidRDefault="00891A96" w:rsidP="00891A96">
            <w:pPr>
              <w:jc w:val="center"/>
              <w:rPr>
                <w:rFonts w:cs="Calibri"/>
                <w:b/>
                <w:bCs/>
                <w:color w:val="000000"/>
                <w:sz w:val="18"/>
                <w:szCs w:val="18"/>
                <w:lang w:eastAsia="en-GB"/>
              </w:rPr>
            </w:pPr>
            <w:r w:rsidRPr="009907EE">
              <w:rPr>
                <w:rFonts w:cs="Calibri"/>
                <w:b/>
                <w:bCs/>
                <w:color w:val="000000"/>
                <w:sz w:val="18"/>
                <w:szCs w:val="18"/>
                <w:lang w:eastAsia="en-GB"/>
              </w:rPr>
              <w:t>VPF&amp;E</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91A96" w:rsidRPr="009907EE" w:rsidRDefault="00891A96" w:rsidP="00891A96">
            <w:pPr>
              <w:jc w:val="center"/>
              <w:rPr>
                <w:rFonts w:cs="Calibri"/>
                <w:b/>
                <w:bCs/>
                <w:color w:val="000000"/>
                <w:sz w:val="18"/>
                <w:szCs w:val="18"/>
                <w:lang w:eastAsia="en-GB"/>
              </w:rPr>
            </w:pPr>
            <w:r w:rsidRPr="009907EE">
              <w:rPr>
                <w:rFonts w:cs="Calibri"/>
                <w:b/>
                <w:bCs/>
                <w:color w:val="000000"/>
                <w:sz w:val="18"/>
                <w:szCs w:val="18"/>
                <w:lang w:eastAsia="en-GB"/>
              </w:rPr>
              <w:t>Infra-structure</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91A96" w:rsidRPr="009907EE" w:rsidRDefault="00891A96" w:rsidP="00891A96">
            <w:pPr>
              <w:jc w:val="center"/>
              <w:rPr>
                <w:rFonts w:cs="Calibri"/>
                <w:b/>
                <w:bCs/>
                <w:color w:val="000000"/>
                <w:sz w:val="18"/>
                <w:szCs w:val="18"/>
                <w:lang w:eastAsia="en-GB"/>
              </w:rPr>
            </w:pPr>
            <w:r w:rsidRPr="009907EE">
              <w:rPr>
                <w:rFonts w:cs="Calibri"/>
                <w:b/>
                <w:bCs/>
                <w:color w:val="000000"/>
                <w:sz w:val="18"/>
                <w:szCs w:val="18"/>
                <w:lang w:eastAsia="en-GB"/>
              </w:rPr>
              <w:t>Surplus Assets</w:t>
            </w:r>
          </w:p>
        </w:tc>
        <w:tc>
          <w:tcPr>
            <w:tcW w:w="1175" w:type="dxa"/>
            <w:tcBorders>
              <w:top w:val="single" w:sz="8" w:space="0" w:color="auto"/>
              <w:left w:val="nil"/>
              <w:bottom w:val="single" w:sz="8" w:space="0" w:color="auto"/>
              <w:right w:val="single" w:sz="8" w:space="0" w:color="auto"/>
            </w:tcBorders>
            <w:shd w:val="clear" w:color="auto" w:fill="auto"/>
            <w:vAlign w:val="center"/>
            <w:hideMark/>
          </w:tcPr>
          <w:p w:rsidR="00891A96" w:rsidRPr="009907EE" w:rsidRDefault="00891A96" w:rsidP="00891A96">
            <w:pPr>
              <w:jc w:val="center"/>
              <w:rPr>
                <w:rFonts w:cs="Calibri"/>
                <w:b/>
                <w:bCs/>
                <w:color w:val="000000"/>
                <w:sz w:val="18"/>
                <w:szCs w:val="18"/>
                <w:lang w:eastAsia="en-GB"/>
              </w:rPr>
            </w:pPr>
            <w:r w:rsidRPr="009907EE">
              <w:rPr>
                <w:rFonts w:cs="Calibri"/>
                <w:b/>
                <w:bCs/>
                <w:color w:val="000000"/>
                <w:sz w:val="18"/>
                <w:szCs w:val="18"/>
                <w:lang w:eastAsia="en-GB"/>
              </w:rPr>
              <w:t>Asset under Construction</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891A96" w:rsidRPr="009907EE" w:rsidRDefault="00891A96" w:rsidP="00891A96">
            <w:pPr>
              <w:jc w:val="center"/>
              <w:rPr>
                <w:rFonts w:cs="Calibri"/>
                <w:b/>
                <w:bCs/>
                <w:color w:val="000000"/>
                <w:sz w:val="18"/>
                <w:szCs w:val="18"/>
                <w:lang w:eastAsia="en-GB"/>
              </w:rPr>
            </w:pPr>
            <w:r w:rsidRPr="009907EE">
              <w:rPr>
                <w:rFonts w:cs="Calibri"/>
                <w:b/>
                <w:bCs/>
                <w:color w:val="000000"/>
                <w:sz w:val="18"/>
                <w:szCs w:val="18"/>
                <w:lang w:eastAsia="en-GB"/>
              </w:rPr>
              <w:t>Total</w:t>
            </w:r>
          </w:p>
        </w:tc>
        <w:tc>
          <w:tcPr>
            <w:tcW w:w="1000" w:type="dxa"/>
            <w:tcBorders>
              <w:top w:val="single" w:sz="8" w:space="0" w:color="auto"/>
              <w:left w:val="nil"/>
              <w:bottom w:val="single" w:sz="8" w:space="0" w:color="auto"/>
              <w:right w:val="single" w:sz="8" w:space="0" w:color="auto"/>
            </w:tcBorders>
            <w:shd w:val="clear" w:color="auto" w:fill="auto"/>
            <w:vAlign w:val="center"/>
            <w:hideMark/>
          </w:tcPr>
          <w:p w:rsidR="00891A96" w:rsidRPr="009907EE" w:rsidRDefault="00891A96" w:rsidP="00891A96">
            <w:pPr>
              <w:rPr>
                <w:rFonts w:cs="Calibri"/>
                <w:b/>
                <w:bCs/>
                <w:i/>
                <w:iCs/>
                <w:color w:val="000000"/>
                <w:sz w:val="18"/>
                <w:szCs w:val="18"/>
                <w:lang w:eastAsia="en-GB"/>
              </w:rPr>
            </w:pPr>
            <w:r w:rsidRPr="009907EE">
              <w:rPr>
                <w:rFonts w:cs="Calibri"/>
                <w:b/>
                <w:bCs/>
                <w:i/>
                <w:iCs/>
                <w:color w:val="000000"/>
                <w:sz w:val="18"/>
                <w:szCs w:val="18"/>
                <w:lang w:eastAsia="en-GB"/>
              </w:rPr>
              <w:t>*PFI Assets</w:t>
            </w:r>
          </w:p>
        </w:tc>
      </w:tr>
      <w:tr w:rsidR="00891A96" w:rsidRPr="009907EE" w:rsidTr="00891A96">
        <w:trPr>
          <w:trHeight w:val="315"/>
        </w:trPr>
        <w:tc>
          <w:tcPr>
            <w:tcW w:w="3403" w:type="dxa"/>
            <w:tcBorders>
              <w:top w:val="nil"/>
              <w:left w:val="single" w:sz="8" w:space="0" w:color="auto"/>
              <w:bottom w:val="single" w:sz="8" w:space="0" w:color="auto"/>
              <w:right w:val="single" w:sz="8" w:space="0" w:color="auto"/>
            </w:tcBorders>
            <w:shd w:val="clear" w:color="auto" w:fill="auto"/>
            <w:vAlign w:val="center"/>
            <w:hideMark/>
          </w:tcPr>
          <w:p w:rsidR="00891A96" w:rsidRPr="009907EE" w:rsidRDefault="00891A96" w:rsidP="00891A96">
            <w:pPr>
              <w:rPr>
                <w:rFonts w:cs="Calibri"/>
                <w:color w:val="000000"/>
                <w:sz w:val="18"/>
                <w:szCs w:val="18"/>
                <w:lang w:eastAsia="en-GB"/>
              </w:rPr>
            </w:pPr>
            <w:r w:rsidRPr="009907EE">
              <w:rPr>
                <w:rFonts w:cs="Calibri"/>
                <w:color w:val="000000"/>
                <w:sz w:val="18"/>
                <w:szCs w:val="18"/>
                <w:lang w:eastAsia="en-GB"/>
              </w:rPr>
              <w:t> </w:t>
            </w:r>
          </w:p>
        </w:tc>
        <w:tc>
          <w:tcPr>
            <w:tcW w:w="960" w:type="dxa"/>
            <w:tcBorders>
              <w:top w:val="nil"/>
              <w:left w:val="nil"/>
              <w:bottom w:val="single" w:sz="8" w:space="0" w:color="auto"/>
              <w:right w:val="single" w:sz="8" w:space="0" w:color="auto"/>
            </w:tcBorders>
            <w:shd w:val="clear" w:color="auto" w:fill="auto"/>
            <w:noWrap/>
            <w:vAlign w:val="center"/>
            <w:hideMark/>
          </w:tcPr>
          <w:p w:rsidR="00891A96" w:rsidRPr="009907EE" w:rsidRDefault="00891A96" w:rsidP="00891A96">
            <w:pPr>
              <w:jc w:val="center"/>
              <w:rPr>
                <w:rFonts w:cs="Calibri"/>
                <w:b/>
                <w:bCs/>
                <w:color w:val="000000"/>
                <w:sz w:val="18"/>
                <w:szCs w:val="18"/>
                <w:lang w:eastAsia="en-GB"/>
              </w:rPr>
            </w:pPr>
            <w:r w:rsidRPr="009907EE">
              <w:rPr>
                <w:rFonts w:cs="Calibri"/>
                <w:b/>
                <w:bCs/>
                <w:color w:val="000000"/>
                <w:sz w:val="18"/>
                <w:szCs w:val="18"/>
                <w:lang w:eastAsia="en-GB"/>
              </w:rPr>
              <w:t>£m</w:t>
            </w:r>
          </w:p>
        </w:tc>
        <w:tc>
          <w:tcPr>
            <w:tcW w:w="960" w:type="dxa"/>
            <w:tcBorders>
              <w:top w:val="nil"/>
              <w:left w:val="nil"/>
              <w:bottom w:val="single" w:sz="8" w:space="0" w:color="auto"/>
              <w:right w:val="single" w:sz="8" w:space="0" w:color="auto"/>
            </w:tcBorders>
            <w:shd w:val="clear" w:color="auto" w:fill="auto"/>
            <w:noWrap/>
            <w:vAlign w:val="center"/>
            <w:hideMark/>
          </w:tcPr>
          <w:p w:rsidR="00891A96" w:rsidRPr="009907EE" w:rsidRDefault="00891A96" w:rsidP="00891A96">
            <w:pPr>
              <w:jc w:val="center"/>
              <w:rPr>
                <w:rFonts w:cs="Calibri"/>
                <w:b/>
                <w:bCs/>
                <w:color w:val="000000"/>
                <w:sz w:val="18"/>
                <w:szCs w:val="18"/>
                <w:lang w:eastAsia="en-GB"/>
              </w:rPr>
            </w:pPr>
            <w:r w:rsidRPr="009907EE">
              <w:rPr>
                <w:rFonts w:cs="Calibri"/>
                <w:b/>
                <w:bCs/>
                <w:color w:val="000000"/>
                <w:sz w:val="18"/>
                <w:szCs w:val="18"/>
                <w:lang w:eastAsia="en-GB"/>
              </w:rPr>
              <w:t>£m</w:t>
            </w:r>
          </w:p>
        </w:tc>
        <w:tc>
          <w:tcPr>
            <w:tcW w:w="960" w:type="dxa"/>
            <w:tcBorders>
              <w:top w:val="nil"/>
              <w:left w:val="nil"/>
              <w:bottom w:val="single" w:sz="8" w:space="0" w:color="auto"/>
              <w:right w:val="single" w:sz="8" w:space="0" w:color="auto"/>
            </w:tcBorders>
            <w:shd w:val="clear" w:color="auto" w:fill="auto"/>
            <w:noWrap/>
            <w:vAlign w:val="center"/>
            <w:hideMark/>
          </w:tcPr>
          <w:p w:rsidR="00891A96" w:rsidRPr="009907EE" w:rsidRDefault="00891A96" w:rsidP="00891A96">
            <w:pPr>
              <w:jc w:val="center"/>
              <w:rPr>
                <w:rFonts w:cs="Calibri"/>
                <w:b/>
                <w:bCs/>
                <w:color w:val="000000"/>
                <w:sz w:val="18"/>
                <w:szCs w:val="18"/>
                <w:lang w:eastAsia="en-GB"/>
              </w:rPr>
            </w:pPr>
            <w:r w:rsidRPr="009907EE">
              <w:rPr>
                <w:rFonts w:cs="Calibri"/>
                <w:b/>
                <w:bCs/>
                <w:color w:val="000000"/>
                <w:sz w:val="18"/>
                <w:szCs w:val="18"/>
                <w:lang w:eastAsia="en-GB"/>
              </w:rPr>
              <w:t>£m</w:t>
            </w:r>
          </w:p>
        </w:tc>
        <w:tc>
          <w:tcPr>
            <w:tcW w:w="960" w:type="dxa"/>
            <w:tcBorders>
              <w:top w:val="nil"/>
              <w:left w:val="nil"/>
              <w:bottom w:val="single" w:sz="8" w:space="0" w:color="auto"/>
              <w:right w:val="single" w:sz="8" w:space="0" w:color="auto"/>
            </w:tcBorders>
            <w:shd w:val="clear" w:color="auto" w:fill="auto"/>
            <w:noWrap/>
            <w:vAlign w:val="center"/>
            <w:hideMark/>
          </w:tcPr>
          <w:p w:rsidR="00891A96" w:rsidRPr="009907EE" w:rsidRDefault="00891A96" w:rsidP="00891A96">
            <w:pPr>
              <w:jc w:val="center"/>
              <w:rPr>
                <w:rFonts w:cs="Calibri"/>
                <w:b/>
                <w:bCs/>
                <w:color w:val="000000"/>
                <w:sz w:val="18"/>
                <w:szCs w:val="18"/>
                <w:lang w:eastAsia="en-GB"/>
              </w:rPr>
            </w:pPr>
            <w:r w:rsidRPr="009907EE">
              <w:rPr>
                <w:rFonts w:cs="Calibri"/>
                <w:b/>
                <w:bCs/>
                <w:color w:val="000000"/>
                <w:sz w:val="18"/>
                <w:szCs w:val="18"/>
                <w:lang w:eastAsia="en-GB"/>
              </w:rPr>
              <w:t>£m</w:t>
            </w:r>
          </w:p>
        </w:tc>
        <w:tc>
          <w:tcPr>
            <w:tcW w:w="960" w:type="dxa"/>
            <w:tcBorders>
              <w:top w:val="nil"/>
              <w:left w:val="nil"/>
              <w:bottom w:val="single" w:sz="8" w:space="0" w:color="auto"/>
              <w:right w:val="single" w:sz="8" w:space="0" w:color="auto"/>
            </w:tcBorders>
            <w:shd w:val="clear" w:color="auto" w:fill="auto"/>
            <w:noWrap/>
            <w:vAlign w:val="center"/>
            <w:hideMark/>
          </w:tcPr>
          <w:p w:rsidR="00891A96" w:rsidRPr="009907EE" w:rsidRDefault="00891A96" w:rsidP="00891A96">
            <w:pPr>
              <w:jc w:val="center"/>
              <w:rPr>
                <w:rFonts w:cs="Calibri"/>
                <w:b/>
                <w:bCs/>
                <w:color w:val="000000"/>
                <w:sz w:val="18"/>
                <w:szCs w:val="18"/>
                <w:lang w:eastAsia="en-GB"/>
              </w:rPr>
            </w:pPr>
            <w:r w:rsidRPr="009907EE">
              <w:rPr>
                <w:rFonts w:cs="Calibri"/>
                <w:b/>
                <w:bCs/>
                <w:color w:val="000000"/>
                <w:sz w:val="18"/>
                <w:szCs w:val="18"/>
                <w:lang w:eastAsia="en-GB"/>
              </w:rPr>
              <w:t>£m</w:t>
            </w:r>
          </w:p>
        </w:tc>
        <w:tc>
          <w:tcPr>
            <w:tcW w:w="1175" w:type="dxa"/>
            <w:tcBorders>
              <w:top w:val="nil"/>
              <w:left w:val="nil"/>
              <w:bottom w:val="single" w:sz="8" w:space="0" w:color="auto"/>
              <w:right w:val="single" w:sz="8" w:space="0" w:color="auto"/>
            </w:tcBorders>
            <w:shd w:val="clear" w:color="auto" w:fill="auto"/>
            <w:noWrap/>
            <w:vAlign w:val="center"/>
            <w:hideMark/>
          </w:tcPr>
          <w:p w:rsidR="00891A96" w:rsidRPr="009907EE" w:rsidRDefault="00891A96" w:rsidP="00891A96">
            <w:pPr>
              <w:jc w:val="center"/>
              <w:rPr>
                <w:rFonts w:cs="Calibri"/>
                <w:b/>
                <w:bCs/>
                <w:color w:val="000000"/>
                <w:sz w:val="18"/>
                <w:szCs w:val="18"/>
                <w:lang w:eastAsia="en-GB"/>
              </w:rPr>
            </w:pPr>
            <w:r w:rsidRPr="009907EE">
              <w:rPr>
                <w:rFonts w:cs="Calibri"/>
                <w:b/>
                <w:bCs/>
                <w:color w:val="000000"/>
                <w:sz w:val="18"/>
                <w:szCs w:val="18"/>
                <w:lang w:eastAsia="en-GB"/>
              </w:rPr>
              <w:t>£m</w:t>
            </w:r>
          </w:p>
        </w:tc>
        <w:tc>
          <w:tcPr>
            <w:tcW w:w="960" w:type="dxa"/>
            <w:tcBorders>
              <w:top w:val="nil"/>
              <w:left w:val="nil"/>
              <w:bottom w:val="single" w:sz="8" w:space="0" w:color="auto"/>
              <w:right w:val="single" w:sz="8" w:space="0" w:color="auto"/>
            </w:tcBorders>
            <w:shd w:val="clear" w:color="auto" w:fill="auto"/>
            <w:noWrap/>
            <w:vAlign w:val="center"/>
            <w:hideMark/>
          </w:tcPr>
          <w:p w:rsidR="00891A96" w:rsidRPr="009907EE" w:rsidRDefault="00891A96" w:rsidP="00891A96">
            <w:pPr>
              <w:jc w:val="center"/>
              <w:rPr>
                <w:rFonts w:cs="Calibri"/>
                <w:b/>
                <w:bCs/>
                <w:color w:val="000000"/>
                <w:sz w:val="18"/>
                <w:szCs w:val="18"/>
                <w:lang w:eastAsia="en-GB"/>
              </w:rPr>
            </w:pPr>
            <w:r w:rsidRPr="009907EE">
              <w:rPr>
                <w:rFonts w:cs="Calibri"/>
                <w:b/>
                <w:bCs/>
                <w:color w:val="000000"/>
                <w:sz w:val="18"/>
                <w:szCs w:val="18"/>
                <w:lang w:eastAsia="en-GB"/>
              </w:rPr>
              <w:t>£m</w:t>
            </w:r>
          </w:p>
        </w:tc>
        <w:tc>
          <w:tcPr>
            <w:tcW w:w="1000" w:type="dxa"/>
            <w:tcBorders>
              <w:top w:val="nil"/>
              <w:left w:val="nil"/>
              <w:bottom w:val="single" w:sz="8" w:space="0" w:color="auto"/>
              <w:right w:val="single" w:sz="8" w:space="0" w:color="auto"/>
            </w:tcBorders>
            <w:shd w:val="clear" w:color="auto" w:fill="auto"/>
            <w:noWrap/>
            <w:vAlign w:val="center"/>
            <w:hideMark/>
          </w:tcPr>
          <w:p w:rsidR="00891A96" w:rsidRPr="009907EE" w:rsidRDefault="00891A96" w:rsidP="00891A96">
            <w:pPr>
              <w:jc w:val="center"/>
              <w:rPr>
                <w:rFonts w:cs="Calibri"/>
                <w:b/>
                <w:bCs/>
                <w:color w:val="000000"/>
                <w:sz w:val="18"/>
                <w:szCs w:val="18"/>
                <w:lang w:eastAsia="en-GB"/>
              </w:rPr>
            </w:pPr>
            <w:r w:rsidRPr="009907EE">
              <w:rPr>
                <w:rFonts w:cs="Calibri"/>
                <w:b/>
                <w:bCs/>
                <w:color w:val="000000"/>
                <w:sz w:val="18"/>
                <w:szCs w:val="18"/>
                <w:lang w:eastAsia="en-GB"/>
              </w:rPr>
              <w:t>£m</w:t>
            </w:r>
          </w:p>
        </w:tc>
      </w:tr>
      <w:tr w:rsidR="00891A96" w:rsidRPr="009907EE" w:rsidTr="00891A96">
        <w:trPr>
          <w:trHeight w:val="315"/>
        </w:trPr>
        <w:tc>
          <w:tcPr>
            <w:tcW w:w="3403" w:type="dxa"/>
            <w:tcBorders>
              <w:top w:val="nil"/>
              <w:left w:val="nil"/>
              <w:bottom w:val="single" w:sz="8" w:space="0" w:color="auto"/>
              <w:right w:val="nil"/>
            </w:tcBorders>
            <w:shd w:val="clear" w:color="auto" w:fill="auto"/>
            <w:vAlign w:val="center"/>
            <w:hideMark/>
          </w:tcPr>
          <w:p w:rsidR="00891A96" w:rsidRPr="009907EE" w:rsidRDefault="00891A96" w:rsidP="00891A96">
            <w:pPr>
              <w:rPr>
                <w:rFonts w:cs="Calibri"/>
                <w:b/>
                <w:bCs/>
                <w:color w:val="000000"/>
                <w:sz w:val="18"/>
                <w:szCs w:val="18"/>
                <w:lang w:eastAsia="en-GB"/>
              </w:rPr>
            </w:pPr>
            <w:r w:rsidRPr="009907EE">
              <w:rPr>
                <w:rFonts w:cs="Calibri"/>
                <w:b/>
                <w:bCs/>
                <w:color w:val="000000"/>
                <w:sz w:val="18"/>
                <w:szCs w:val="18"/>
                <w:lang w:eastAsia="en-GB"/>
              </w:rPr>
              <w:t>Cost or Valuation</w:t>
            </w:r>
          </w:p>
        </w:tc>
        <w:tc>
          <w:tcPr>
            <w:tcW w:w="960" w:type="dxa"/>
            <w:tcBorders>
              <w:top w:val="nil"/>
              <w:left w:val="nil"/>
              <w:bottom w:val="single" w:sz="8" w:space="0" w:color="auto"/>
              <w:right w:val="nil"/>
            </w:tcBorders>
            <w:shd w:val="clear" w:color="auto" w:fill="auto"/>
            <w:noWrap/>
            <w:vAlign w:val="center"/>
            <w:hideMark/>
          </w:tcPr>
          <w:p w:rsidR="00891A96" w:rsidRPr="009907EE" w:rsidRDefault="00891A96" w:rsidP="00891A96">
            <w:pPr>
              <w:rPr>
                <w:rFonts w:cs="Calibri"/>
                <w:color w:val="000000"/>
                <w:sz w:val="18"/>
                <w:szCs w:val="18"/>
                <w:lang w:eastAsia="en-GB"/>
              </w:rPr>
            </w:pPr>
            <w:r w:rsidRPr="009907EE">
              <w:rPr>
                <w:rFonts w:cs="Calibri"/>
                <w:color w:val="000000"/>
                <w:sz w:val="18"/>
                <w:szCs w:val="18"/>
                <w:lang w:eastAsia="en-GB"/>
              </w:rPr>
              <w:t> </w:t>
            </w:r>
          </w:p>
        </w:tc>
        <w:tc>
          <w:tcPr>
            <w:tcW w:w="960" w:type="dxa"/>
            <w:tcBorders>
              <w:top w:val="nil"/>
              <w:left w:val="nil"/>
              <w:bottom w:val="single" w:sz="8" w:space="0" w:color="auto"/>
              <w:right w:val="nil"/>
            </w:tcBorders>
            <w:shd w:val="clear" w:color="auto" w:fill="auto"/>
            <w:noWrap/>
            <w:vAlign w:val="center"/>
            <w:hideMark/>
          </w:tcPr>
          <w:p w:rsidR="00891A96" w:rsidRPr="009907EE" w:rsidRDefault="00891A96" w:rsidP="00891A96">
            <w:pPr>
              <w:rPr>
                <w:rFonts w:cs="Calibri"/>
                <w:color w:val="000000"/>
                <w:sz w:val="18"/>
                <w:szCs w:val="18"/>
                <w:lang w:eastAsia="en-GB"/>
              </w:rPr>
            </w:pPr>
            <w:r w:rsidRPr="009907EE">
              <w:rPr>
                <w:rFonts w:cs="Calibri"/>
                <w:color w:val="000000"/>
                <w:sz w:val="18"/>
                <w:szCs w:val="18"/>
                <w:lang w:eastAsia="en-GB"/>
              </w:rPr>
              <w:t> </w:t>
            </w:r>
          </w:p>
        </w:tc>
        <w:tc>
          <w:tcPr>
            <w:tcW w:w="960" w:type="dxa"/>
            <w:tcBorders>
              <w:top w:val="nil"/>
              <w:left w:val="nil"/>
              <w:bottom w:val="single" w:sz="8" w:space="0" w:color="auto"/>
              <w:right w:val="nil"/>
            </w:tcBorders>
            <w:shd w:val="clear" w:color="auto" w:fill="auto"/>
            <w:noWrap/>
            <w:vAlign w:val="center"/>
            <w:hideMark/>
          </w:tcPr>
          <w:p w:rsidR="00891A96" w:rsidRPr="009907EE" w:rsidRDefault="00891A96" w:rsidP="00891A96">
            <w:pPr>
              <w:rPr>
                <w:rFonts w:cs="Calibri"/>
                <w:color w:val="000000"/>
                <w:sz w:val="18"/>
                <w:szCs w:val="18"/>
                <w:lang w:eastAsia="en-GB"/>
              </w:rPr>
            </w:pPr>
            <w:r w:rsidRPr="009907EE">
              <w:rPr>
                <w:rFonts w:cs="Calibri"/>
                <w:color w:val="000000"/>
                <w:sz w:val="18"/>
                <w:szCs w:val="18"/>
                <w:lang w:eastAsia="en-GB"/>
              </w:rPr>
              <w:t> </w:t>
            </w:r>
          </w:p>
        </w:tc>
        <w:tc>
          <w:tcPr>
            <w:tcW w:w="960" w:type="dxa"/>
            <w:tcBorders>
              <w:top w:val="nil"/>
              <w:left w:val="nil"/>
              <w:bottom w:val="single" w:sz="8" w:space="0" w:color="auto"/>
              <w:right w:val="nil"/>
            </w:tcBorders>
            <w:shd w:val="clear" w:color="auto" w:fill="auto"/>
            <w:noWrap/>
            <w:vAlign w:val="center"/>
            <w:hideMark/>
          </w:tcPr>
          <w:p w:rsidR="00891A96" w:rsidRPr="009907EE" w:rsidRDefault="00891A96" w:rsidP="00891A96">
            <w:pPr>
              <w:rPr>
                <w:rFonts w:cs="Calibri"/>
                <w:color w:val="000000"/>
                <w:sz w:val="18"/>
                <w:szCs w:val="18"/>
                <w:lang w:eastAsia="en-GB"/>
              </w:rPr>
            </w:pPr>
            <w:r w:rsidRPr="009907EE">
              <w:rPr>
                <w:rFonts w:cs="Calibri"/>
                <w:color w:val="000000"/>
                <w:sz w:val="18"/>
                <w:szCs w:val="18"/>
                <w:lang w:eastAsia="en-GB"/>
              </w:rPr>
              <w:t> </w:t>
            </w:r>
          </w:p>
        </w:tc>
        <w:tc>
          <w:tcPr>
            <w:tcW w:w="960" w:type="dxa"/>
            <w:tcBorders>
              <w:top w:val="nil"/>
              <w:left w:val="nil"/>
              <w:bottom w:val="single" w:sz="8" w:space="0" w:color="auto"/>
              <w:right w:val="nil"/>
            </w:tcBorders>
            <w:shd w:val="clear" w:color="auto" w:fill="auto"/>
            <w:noWrap/>
            <w:vAlign w:val="center"/>
            <w:hideMark/>
          </w:tcPr>
          <w:p w:rsidR="00891A96" w:rsidRPr="009907EE" w:rsidRDefault="00891A96" w:rsidP="00891A96">
            <w:pPr>
              <w:rPr>
                <w:rFonts w:cs="Calibri"/>
                <w:color w:val="000000"/>
                <w:sz w:val="18"/>
                <w:szCs w:val="18"/>
                <w:lang w:eastAsia="en-GB"/>
              </w:rPr>
            </w:pPr>
            <w:r w:rsidRPr="009907EE">
              <w:rPr>
                <w:rFonts w:cs="Calibri"/>
                <w:color w:val="000000"/>
                <w:sz w:val="18"/>
                <w:szCs w:val="18"/>
                <w:lang w:eastAsia="en-GB"/>
              </w:rPr>
              <w:t> </w:t>
            </w:r>
          </w:p>
        </w:tc>
        <w:tc>
          <w:tcPr>
            <w:tcW w:w="1175" w:type="dxa"/>
            <w:tcBorders>
              <w:top w:val="nil"/>
              <w:left w:val="nil"/>
              <w:bottom w:val="single" w:sz="8" w:space="0" w:color="auto"/>
              <w:right w:val="nil"/>
            </w:tcBorders>
            <w:shd w:val="clear" w:color="auto" w:fill="auto"/>
            <w:noWrap/>
            <w:vAlign w:val="center"/>
            <w:hideMark/>
          </w:tcPr>
          <w:p w:rsidR="00891A96" w:rsidRPr="009907EE" w:rsidRDefault="00891A96" w:rsidP="00891A96">
            <w:pPr>
              <w:rPr>
                <w:rFonts w:cs="Calibri"/>
                <w:color w:val="000000"/>
                <w:sz w:val="18"/>
                <w:szCs w:val="18"/>
                <w:lang w:eastAsia="en-GB"/>
              </w:rPr>
            </w:pPr>
            <w:r w:rsidRPr="009907EE">
              <w:rPr>
                <w:rFonts w:cs="Calibri"/>
                <w:color w:val="000000"/>
                <w:sz w:val="18"/>
                <w:szCs w:val="18"/>
                <w:lang w:eastAsia="en-GB"/>
              </w:rPr>
              <w:t> </w:t>
            </w:r>
          </w:p>
        </w:tc>
        <w:tc>
          <w:tcPr>
            <w:tcW w:w="960" w:type="dxa"/>
            <w:tcBorders>
              <w:top w:val="nil"/>
              <w:left w:val="nil"/>
              <w:bottom w:val="single" w:sz="8" w:space="0" w:color="auto"/>
              <w:right w:val="nil"/>
            </w:tcBorders>
            <w:shd w:val="clear" w:color="auto" w:fill="auto"/>
            <w:noWrap/>
            <w:vAlign w:val="center"/>
            <w:hideMark/>
          </w:tcPr>
          <w:p w:rsidR="00891A96" w:rsidRPr="009907EE" w:rsidRDefault="00891A96" w:rsidP="00891A96">
            <w:pPr>
              <w:rPr>
                <w:rFonts w:cs="Calibri"/>
                <w:color w:val="000000"/>
                <w:sz w:val="18"/>
                <w:szCs w:val="18"/>
                <w:lang w:eastAsia="en-GB"/>
              </w:rPr>
            </w:pPr>
            <w:r w:rsidRPr="009907EE">
              <w:rPr>
                <w:rFonts w:cs="Calibri"/>
                <w:color w:val="000000"/>
                <w:sz w:val="18"/>
                <w:szCs w:val="18"/>
                <w:lang w:eastAsia="en-GB"/>
              </w:rPr>
              <w:t> </w:t>
            </w:r>
          </w:p>
        </w:tc>
        <w:tc>
          <w:tcPr>
            <w:tcW w:w="1000" w:type="dxa"/>
            <w:tcBorders>
              <w:top w:val="nil"/>
              <w:left w:val="nil"/>
              <w:bottom w:val="single" w:sz="8" w:space="0" w:color="auto"/>
              <w:right w:val="nil"/>
            </w:tcBorders>
            <w:shd w:val="clear" w:color="auto" w:fill="auto"/>
            <w:noWrap/>
            <w:vAlign w:val="center"/>
            <w:hideMark/>
          </w:tcPr>
          <w:p w:rsidR="00891A96" w:rsidRPr="009907EE" w:rsidRDefault="00891A96" w:rsidP="00891A96">
            <w:pPr>
              <w:rPr>
                <w:rFonts w:cs="Calibri"/>
                <w:color w:val="000000"/>
                <w:sz w:val="18"/>
                <w:szCs w:val="18"/>
                <w:lang w:eastAsia="en-GB"/>
              </w:rPr>
            </w:pPr>
            <w:r w:rsidRPr="009907EE">
              <w:rPr>
                <w:rFonts w:cs="Calibri"/>
                <w:color w:val="000000"/>
                <w:sz w:val="18"/>
                <w:szCs w:val="18"/>
                <w:lang w:eastAsia="en-GB"/>
              </w:rPr>
              <w:t> </w:t>
            </w:r>
          </w:p>
        </w:tc>
      </w:tr>
      <w:tr w:rsidR="00891A96" w:rsidRPr="009907EE" w:rsidTr="00891A96">
        <w:trPr>
          <w:trHeight w:val="315"/>
        </w:trPr>
        <w:tc>
          <w:tcPr>
            <w:tcW w:w="3403" w:type="dxa"/>
            <w:tcBorders>
              <w:top w:val="nil"/>
              <w:left w:val="single" w:sz="8" w:space="0" w:color="auto"/>
              <w:bottom w:val="single" w:sz="8" w:space="0" w:color="auto"/>
              <w:right w:val="single" w:sz="8" w:space="0" w:color="auto"/>
            </w:tcBorders>
            <w:shd w:val="clear" w:color="auto" w:fill="auto"/>
            <w:vAlign w:val="center"/>
            <w:hideMark/>
          </w:tcPr>
          <w:p w:rsidR="00891A96" w:rsidRPr="009907EE" w:rsidRDefault="00891A96" w:rsidP="00891A96">
            <w:pPr>
              <w:rPr>
                <w:rFonts w:cs="Calibri"/>
                <w:b/>
                <w:bCs/>
                <w:color w:val="000000"/>
                <w:sz w:val="18"/>
                <w:szCs w:val="18"/>
                <w:lang w:eastAsia="en-GB"/>
              </w:rPr>
            </w:pPr>
            <w:r w:rsidRPr="009907EE">
              <w:rPr>
                <w:rFonts w:cs="Calibri"/>
                <w:b/>
                <w:bCs/>
                <w:color w:val="000000"/>
                <w:sz w:val="18"/>
                <w:szCs w:val="18"/>
                <w:lang w:eastAsia="en-GB"/>
              </w:rPr>
              <w:t>At 1 April 2019</w:t>
            </w:r>
          </w:p>
        </w:tc>
        <w:tc>
          <w:tcPr>
            <w:tcW w:w="960" w:type="dxa"/>
            <w:tcBorders>
              <w:top w:val="nil"/>
              <w:left w:val="nil"/>
              <w:bottom w:val="single" w:sz="8" w:space="0" w:color="auto"/>
              <w:right w:val="nil"/>
            </w:tcBorders>
            <w:shd w:val="clear" w:color="auto" w:fill="auto"/>
            <w:noWrap/>
            <w:vAlign w:val="center"/>
            <w:hideMark/>
          </w:tcPr>
          <w:p w:rsidR="00891A96" w:rsidRPr="009907EE" w:rsidRDefault="00891A96" w:rsidP="00891A96">
            <w:pPr>
              <w:jc w:val="right"/>
              <w:rPr>
                <w:rFonts w:cs="Calibri"/>
                <w:b/>
                <w:bCs/>
                <w:color w:val="000000"/>
                <w:sz w:val="18"/>
                <w:szCs w:val="18"/>
                <w:lang w:eastAsia="en-GB"/>
              </w:rPr>
            </w:pPr>
            <w:r w:rsidRPr="009907EE">
              <w:rPr>
                <w:rFonts w:cs="Calibri"/>
                <w:b/>
                <w:bCs/>
                <w:color w:val="000000"/>
                <w:sz w:val="18"/>
                <w:szCs w:val="18"/>
                <w:lang w:eastAsia="en-GB"/>
              </w:rPr>
              <w:t>609.3</w:t>
            </w:r>
          </w:p>
        </w:tc>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891A96" w:rsidRPr="009907EE" w:rsidRDefault="00891A96" w:rsidP="00891A96">
            <w:pPr>
              <w:jc w:val="right"/>
              <w:rPr>
                <w:rFonts w:cs="Calibri"/>
                <w:b/>
                <w:bCs/>
                <w:color w:val="000000"/>
                <w:sz w:val="18"/>
                <w:szCs w:val="18"/>
                <w:lang w:eastAsia="en-GB"/>
              </w:rPr>
            </w:pPr>
            <w:r w:rsidRPr="009907EE">
              <w:rPr>
                <w:rFonts w:cs="Calibri"/>
                <w:b/>
                <w:bCs/>
                <w:color w:val="000000"/>
                <w:sz w:val="18"/>
                <w:szCs w:val="18"/>
                <w:lang w:eastAsia="en-GB"/>
              </w:rPr>
              <w:t>950.1</w:t>
            </w:r>
          </w:p>
        </w:tc>
        <w:tc>
          <w:tcPr>
            <w:tcW w:w="960" w:type="dxa"/>
            <w:tcBorders>
              <w:top w:val="nil"/>
              <w:left w:val="nil"/>
              <w:bottom w:val="single" w:sz="8" w:space="0" w:color="auto"/>
              <w:right w:val="nil"/>
            </w:tcBorders>
            <w:shd w:val="clear" w:color="auto" w:fill="auto"/>
            <w:noWrap/>
            <w:vAlign w:val="center"/>
            <w:hideMark/>
          </w:tcPr>
          <w:p w:rsidR="00891A96" w:rsidRPr="009907EE" w:rsidRDefault="00891A96" w:rsidP="00891A96">
            <w:pPr>
              <w:jc w:val="right"/>
              <w:rPr>
                <w:rFonts w:cs="Calibri"/>
                <w:b/>
                <w:bCs/>
                <w:color w:val="000000"/>
                <w:sz w:val="18"/>
                <w:szCs w:val="18"/>
                <w:lang w:eastAsia="en-GB"/>
              </w:rPr>
            </w:pPr>
            <w:r w:rsidRPr="009907EE">
              <w:rPr>
                <w:rFonts w:cs="Calibri"/>
                <w:b/>
                <w:bCs/>
                <w:color w:val="000000"/>
                <w:sz w:val="18"/>
                <w:szCs w:val="18"/>
                <w:lang w:eastAsia="en-GB"/>
              </w:rPr>
              <w:t>54.6</w:t>
            </w:r>
          </w:p>
        </w:tc>
        <w:tc>
          <w:tcPr>
            <w:tcW w:w="960" w:type="dxa"/>
            <w:tcBorders>
              <w:top w:val="nil"/>
              <w:left w:val="single" w:sz="8" w:space="0" w:color="auto"/>
              <w:bottom w:val="single" w:sz="8" w:space="0" w:color="auto"/>
              <w:right w:val="nil"/>
            </w:tcBorders>
            <w:shd w:val="clear" w:color="auto" w:fill="auto"/>
            <w:noWrap/>
            <w:vAlign w:val="center"/>
            <w:hideMark/>
          </w:tcPr>
          <w:p w:rsidR="00891A96" w:rsidRPr="009907EE" w:rsidRDefault="00891A96" w:rsidP="00891A96">
            <w:pPr>
              <w:jc w:val="right"/>
              <w:rPr>
                <w:rFonts w:cs="Calibri"/>
                <w:b/>
                <w:bCs/>
                <w:color w:val="000000"/>
                <w:sz w:val="18"/>
                <w:szCs w:val="18"/>
                <w:lang w:eastAsia="en-GB"/>
              </w:rPr>
            </w:pPr>
            <w:r w:rsidRPr="009907EE">
              <w:rPr>
                <w:rFonts w:cs="Calibri"/>
                <w:b/>
                <w:bCs/>
                <w:color w:val="000000"/>
                <w:sz w:val="18"/>
                <w:szCs w:val="18"/>
                <w:lang w:eastAsia="en-GB"/>
              </w:rPr>
              <w:t>273.4</w:t>
            </w:r>
          </w:p>
        </w:tc>
        <w:tc>
          <w:tcPr>
            <w:tcW w:w="960" w:type="dxa"/>
            <w:tcBorders>
              <w:top w:val="nil"/>
              <w:left w:val="single" w:sz="8" w:space="0" w:color="auto"/>
              <w:bottom w:val="single" w:sz="8" w:space="0" w:color="auto"/>
              <w:right w:val="nil"/>
            </w:tcBorders>
            <w:shd w:val="clear" w:color="auto" w:fill="auto"/>
            <w:noWrap/>
            <w:vAlign w:val="center"/>
            <w:hideMark/>
          </w:tcPr>
          <w:p w:rsidR="00891A96" w:rsidRPr="009907EE" w:rsidRDefault="00891A96" w:rsidP="00891A96">
            <w:pPr>
              <w:jc w:val="right"/>
              <w:rPr>
                <w:rFonts w:cs="Calibri"/>
                <w:b/>
                <w:bCs/>
                <w:color w:val="000000"/>
                <w:sz w:val="18"/>
                <w:szCs w:val="18"/>
                <w:lang w:eastAsia="en-GB"/>
              </w:rPr>
            </w:pPr>
            <w:r w:rsidRPr="009907EE">
              <w:rPr>
                <w:rFonts w:cs="Calibri"/>
                <w:b/>
                <w:bCs/>
                <w:color w:val="000000"/>
                <w:sz w:val="18"/>
                <w:szCs w:val="18"/>
                <w:lang w:eastAsia="en-GB"/>
              </w:rPr>
              <w:t>8.2</w:t>
            </w:r>
          </w:p>
        </w:tc>
        <w:tc>
          <w:tcPr>
            <w:tcW w:w="1175" w:type="dxa"/>
            <w:tcBorders>
              <w:top w:val="nil"/>
              <w:left w:val="single" w:sz="8" w:space="0" w:color="auto"/>
              <w:bottom w:val="single" w:sz="8" w:space="0" w:color="auto"/>
              <w:right w:val="nil"/>
            </w:tcBorders>
            <w:shd w:val="clear" w:color="auto" w:fill="auto"/>
            <w:noWrap/>
            <w:vAlign w:val="center"/>
            <w:hideMark/>
          </w:tcPr>
          <w:p w:rsidR="00891A96" w:rsidRPr="009907EE" w:rsidRDefault="00891A96" w:rsidP="00891A96">
            <w:pPr>
              <w:jc w:val="right"/>
              <w:rPr>
                <w:rFonts w:cs="Calibri"/>
                <w:b/>
                <w:bCs/>
                <w:color w:val="000000"/>
                <w:sz w:val="18"/>
                <w:szCs w:val="18"/>
                <w:lang w:eastAsia="en-GB"/>
              </w:rPr>
            </w:pPr>
            <w:r w:rsidRPr="009907EE">
              <w:rPr>
                <w:rFonts w:cs="Calibri"/>
                <w:b/>
                <w:bCs/>
                <w:color w:val="000000"/>
                <w:sz w:val="18"/>
                <w:szCs w:val="18"/>
                <w:lang w:eastAsia="en-GB"/>
              </w:rPr>
              <w:t>44.1</w:t>
            </w:r>
          </w:p>
        </w:tc>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891A96" w:rsidRPr="009907EE" w:rsidRDefault="00891A96" w:rsidP="00891A96">
            <w:pPr>
              <w:jc w:val="right"/>
              <w:rPr>
                <w:rFonts w:cs="Calibri"/>
                <w:b/>
                <w:bCs/>
                <w:color w:val="000000"/>
                <w:sz w:val="18"/>
                <w:szCs w:val="18"/>
                <w:lang w:eastAsia="en-GB"/>
              </w:rPr>
            </w:pPr>
            <w:r w:rsidRPr="009907EE">
              <w:rPr>
                <w:rFonts w:cs="Calibri"/>
                <w:b/>
                <w:bCs/>
                <w:color w:val="000000"/>
                <w:sz w:val="18"/>
                <w:szCs w:val="18"/>
                <w:lang w:eastAsia="en-GB"/>
              </w:rPr>
              <w:t>1,939.6</w:t>
            </w:r>
          </w:p>
        </w:tc>
        <w:tc>
          <w:tcPr>
            <w:tcW w:w="1000" w:type="dxa"/>
            <w:tcBorders>
              <w:top w:val="nil"/>
              <w:left w:val="nil"/>
              <w:bottom w:val="single" w:sz="8" w:space="0" w:color="auto"/>
              <w:right w:val="single" w:sz="8" w:space="0" w:color="auto"/>
            </w:tcBorders>
            <w:shd w:val="clear" w:color="auto" w:fill="auto"/>
            <w:noWrap/>
            <w:vAlign w:val="center"/>
            <w:hideMark/>
          </w:tcPr>
          <w:p w:rsidR="00891A96" w:rsidRPr="009907EE" w:rsidRDefault="00891A96" w:rsidP="00891A96">
            <w:pPr>
              <w:jc w:val="right"/>
              <w:rPr>
                <w:rFonts w:cs="Calibri"/>
                <w:b/>
                <w:bCs/>
                <w:color w:val="000000"/>
                <w:sz w:val="18"/>
                <w:szCs w:val="18"/>
                <w:lang w:eastAsia="en-GB"/>
              </w:rPr>
            </w:pPr>
            <w:r w:rsidRPr="009907EE">
              <w:rPr>
                <w:rFonts w:cs="Calibri"/>
                <w:b/>
                <w:bCs/>
                <w:color w:val="000000"/>
                <w:sz w:val="18"/>
                <w:szCs w:val="18"/>
                <w:lang w:eastAsia="en-GB"/>
              </w:rPr>
              <w:t>128.5</w:t>
            </w:r>
          </w:p>
        </w:tc>
      </w:tr>
      <w:tr w:rsidR="00891A96" w:rsidRPr="009907EE" w:rsidTr="00891A96">
        <w:trPr>
          <w:trHeight w:val="315"/>
        </w:trPr>
        <w:tc>
          <w:tcPr>
            <w:tcW w:w="3403" w:type="dxa"/>
            <w:tcBorders>
              <w:top w:val="nil"/>
              <w:left w:val="single" w:sz="8" w:space="0" w:color="auto"/>
              <w:bottom w:val="single" w:sz="8" w:space="0" w:color="auto"/>
              <w:right w:val="single" w:sz="8" w:space="0" w:color="auto"/>
            </w:tcBorders>
            <w:shd w:val="clear" w:color="auto" w:fill="auto"/>
            <w:vAlign w:val="center"/>
            <w:hideMark/>
          </w:tcPr>
          <w:p w:rsidR="00891A96" w:rsidRPr="009907EE" w:rsidRDefault="00891A96" w:rsidP="00891A96">
            <w:pPr>
              <w:rPr>
                <w:rFonts w:cs="Calibri"/>
                <w:color w:val="000000"/>
                <w:sz w:val="18"/>
                <w:szCs w:val="18"/>
                <w:lang w:eastAsia="en-GB"/>
              </w:rPr>
            </w:pPr>
            <w:r w:rsidRPr="009907EE">
              <w:rPr>
                <w:rFonts w:cs="Calibri"/>
                <w:color w:val="000000"/>
                <w:sz w:val="18"/>
                <w:szCs w:val="18"/>
                <w:lang w:eastAsia="en-GB"/>
              </w:rPr>
              <w:t>Additions</w:t>
            </w:r>
          </w:p>
        </w:tc>
        <w:tc>
          <w:tcPr>
            <w:tcW w:w="960" w:type="dxa"/>
            <w:tcBorders>
              <w:top w:val="nil"/>
              <w:left w:val="nil"/>
              <w:bottom w:val="single" w:sz="8" w:space="0" w:color="auto"/>
              <w:right w:val="nil"/>
            </w:tcBorders>
            <w:shd w:val="clear" w:color="auto" w:fill="auto"/>
            <w:noWrap/>
            <w:vAlign w:val="center"/>
            <w:hideMark/>
          </w:tcPr>
          <w:p w:rsidR="00891A96" w:rsidRPr="009907EE" w:rsidRDefault="00891A96" w:rsidP="00891A96">
            <w:pPr>
              <w:jc w:val="right"/>
              <w:rPr>
                <w:rFonts w:cs="Calibri"/>
                <w:color w:val="000000"/>
                <w:sz w:val="18"/>
                <w:szCs w:val="18"/>
                <w:lang w:eastAsia="en-GB"/>
              </w:rPr>
            </w:pPr>
            <w:r w:rsidRPr="009907EE">
              <w:rPr>
                <w:rFonts w:cs="Calibri"/>
                <w:color w:val="000000"/>
                <w:sz w:val="18"/>
                <w:szCs w:val="18"/>
                <w:lang w:eastAsia="en-GB"/>
              </w:rPr>
              <w:t>33.7</w:t>
            </w:r>
          </w:p>
        </w:tc>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891A96" w:rsidRPr="009907EE" w:rsidRDefault="00891A96" w:rsidP="00891A96">
            <w:pPr>
              <w:jc w:val="right"/>
              <w:rPr>
                <w:rFonts w:cs="Calibri"/>
                <w:color w:val="000000"/>
                <w:sz w:val="18"/>
                <w:szCs w:val="18"/>
                <w:lang w:eastAsia="en-GB"/>
              </w:rPr>
            </w:pPr>
            <w:r w:rsidRPr="009907EE">
              <w:rPr>
                <w:rFonts w:cs="Calibri"/>
                <w:color w:val="000000"/>
                <w:sz w:val="18"/>
                <w:szCs w:val="18"/>
                <w:lang w:eastAsia="en-GB"/>
              </w:rPr>
              <w:t>44.4</w:t>
            </w:r>
          </w:p>
        </w:tc>
        <w:tc>
          <w:tcPr>
            <w:tcW w:w="960" w:type="dxa"/>
            <w:tcBorders>
              <w:top w:val="nil"/>
              <w:left w:val="nil"/>
              <w:bottom w:val="single" w:sz="8" w:space="0" w:color="auto"/>
              <w:right w:val="single" w:sz="8" w:space="0" w:color="auto"/>
            </w:tcBorders>
            <w:shd w:val="clear" w:color="auto" w:fill="auto"/>
            <w:noWrap/>
            <w:vAlign w:val="center"/>
            <w:hideMark/>
          </w:tcPr>
          <w:p w:rsidR="00891A96" w:rsidRPr="009907EE" w:rsidRDefault="00891A96" w:rsidP="00891A96">
            <w:pPr>
              <w:jc w:val="right"/>
              <w:rPr>
                <w:rFonts w:cs="Calibri"/>
                <w:color w:val="000000"/>
                <w:sz w:val="18"/>
                <w:szCs w:val="18"/>
                <w:lang w:eastAsia="en-GB"/>
              </w:rPr>
            </w:pPr>
            <w:r w:rsidRPr="009907EE">
              <w:rPr>
                <w:rFonts w:cs="Calibri"/>
                <w:color w:val="000000"/>
                <w:sz w:val="18"/>
                <w:szCs w:val="18"/>
                <w:lang w:eastAsia="en-GB"/>
              </w:rPr>
              <w:t>1.1</w:t>
            </w:r>
          </w:p>
        </w:tc>
        <w:tc>
          <w:tcPr>
            <w:tcW w:w="960" w:type="dxa"/>
            <w:tcBorders>
              <w:top w:val="nil"/>
              <w:left w:val="nil"/>
              <w:bottom w:val="single" w:sz="8" w:space="0" w:color="auto"/>
              <w:right w:val="single" w:sz="8" w:space="0" w:color="auto"/>
            </w:tcBorders>
            <w:shd w:val="clear" w:color="auto" w:fill="auto"/>
            <w:noWrap/>
            <w:vAlign w:val="center"/>
            <w:hideMark/>
          </w:tcPr>
          <w:p w:rsidR="00891A96" w:rsidRPr="009907EE" w:rsidRDefault="00891A96" w:rsidP="00891A96">
            <w:pPr>
              <w:jc w:val="right"/>
              <w:rPr>
                <w:rFonts w:cs="Calibri"/>
                <w:color w:val="000000"/>
                <w:sz w:val="18"/>
                <w:szCs w:val="18"/>
                <w:lang w:eastAsia="en-GB"/>
              </w:rPr>
            </w:pPr>
            <w:r w:rsidRPr="009907EE">
              <w:rPr>
                <w:rFonts w:cs="Calibri"/>
                <w:color w:val="000000"/>
                <w:sz w:val="18"/>
                <w:szCs w:val="18"/>
                <w:lang w:eastAsia="en-GB"/>
              </w:rPr>
              <w:t>18.1</w:t>
            </w:r>
          </w:p>
        </w:tc>
        <w:tc>
          <w:tcPr>
            <w:tcW w:w="960" w:type="dxa"/>
            <w:tcBorders>
              <w:top w:val="nil"/>
              <w:left w:val="nil"/>
              <w:bottom w:val="single" w:sz="8" w:space="0" w:color="auto"/>
              <w:right w:val="single" w:sz="8" w:space="0" w:color="auto"/>
            </w:tcBorders>
            <w:shd w:val="clear" w:color="auto" w:fill="auto"/>
            <w:noWrap/>
            <w:vAlign w:val="center"/>
            <w:hideMark/>
          </w:tcPr>
          <w:p w:rsidR="00891A96" w:rsidRPr="009907EE" w:rsidRDefault="00891A96" w:rsidP="00891A96">
            <w:pPr>
              <w:jc w:val="right"/>
              <w:rPr>
                <w:rFonts w:cs="Calibri"/>
                <w:color w:val="000000"/>
                <w:sz w:val="18"/>
                <w:szCs w:val="18"/>
                <w:lang w:eastAsia="en-GB"/>
              </w:rPr>
            </w:pPr>
            <w:r w:rsidRPr="009907EE">
              <w:rPr>
                <w:rFonts w:cs="Calibri"/>
                <w:color w:val="000000"/>
                <w:sz w:val="18"/>
                <w:szCs w:val="18"/>
                <w:lang w:eastAsia="en-GB"/>
              </w:rPr>
              <w:t>0.1</w:t>
            </w:r>
          </w:p>
        </w:tc>
        <w:tc>
          <w:tcPr>
            <w:tcW w:w="1175" w:type="dxa"/>
            <w:tcBorders>
              <w:top w:val="nil"/>
              <w:left w:val="nil"/>
              <w:bottom w:val="single" w:sz="8" w:space="0" w:color="auto"/>
              <w:right w:val="single" w:sz="8" w:space="0" w:color="auto"/>
            </w:tcBorders>
            <w:shd w:val="clear" w:color="auto" w:fill="auto"/>
            <w:noWrap/>
            <w:vAlign w:val="center"/>
            <w:hideMark/>
          </w:tcPr>
          <w:p w:rsidR="00891A96" w:rsidRPr="009907EE" w:rsidRDefault="00891A96" w:rsidP="00891A96">
            <w:pPr>
              <w:jc w:val="right"/>
              <w:rPr>
                <w:rFonts w:cs="Calibri"/>
                <w:color w:val="000000"/>
                <w:sz w:val="18"/>
                <w:szCs w:val="18"/>
                <w:lang w:eastAsia="en-GB"/>
              </w:rPr>
            </w:pPr>
            <w:r w:rsidRPr="009907EE">
              <w:rPr>
                <w:rFonts w:cs="Calibri"/>
                <w:color w:val="000000"/>
                <w:sz w:val="18"/>
                <w:szCs w:val="18"/>
                <w:lang w:eastAsia="en-GB"/>
              </w:rPr>
              <w:t>123.8</w:t>
            </w:r>
          </w:p>
        </w:tc>
        <w:tc>
          <w:tcPr>
            <w:tcW w:w="960" w:type="dxa"/>
            <w:tcBorders>
              <w:top w:val="nil"/>
              <w:left w:val="nil"/>
              <w:bottom w:val="single" w:sz="8" w:space="0" w:color="auto"/>
              <w:right w:val="single" w:sz="8" w:space="0" w:color="auto"/>
            </w:tcBorders>
            <w:shd w:val="clear" w:color="auto" w:fill="auto"/>
            <w:noWrap/>
            <w:vAlign w:val="center"/>
            <w:hideMark/>
          </w:tcPr>
          <w:p w:rsidR="00891A96" w:rsidRPr="009907EE" w:rsidRDefault="00891A96" w:rsidP="00891A96">
            <w:pPr>
              <w:jc w:val="right"/>
              <w:rPr>
                <w:rFonts w:cs="Calibri"/>
                <w:b/>
                <w:bCs/>
                <w:color w:val="000000"/>
                <w:sz w:val="18"/>
                <w:szCs w:val="18"/>
                <w:lang w:eastAsia="en-GB"/>
              </w:rPr>
            </w:pPr>
            <w:r w:rsidRPr="009907EE">
              <w:rPr>
                <w:rFonts w:cs="Calibri"/>
                <w:b/>
                <w:bCs/>
                <w:color w:val="000000"/>
                <w:sz w:val="18"/>
                <w:szCs w:val="18"/>
                <w:lang w:eastAsia="en-GB"/>
              </w:rPr>
              <w:t>221.2</w:t>
            </w:r>
          </w:p>
        </w:tc>
        <w:tc>
          <w:tcPr>
            <w:tcW w:w="1000" w:type="dxa"/>
            <w:tcBorders>
              <w:top w:val="nil"/>
              <w:left w:val="nil"/>
              <w:bottom w:val="single" w:sz="8" w:space="0" w:color="auto"/>
              <w:right w:val="single" w:sz="8" w:space="0" w:color="auto"/>
            </w:tcBorders>
            <w:shd w:val="clear" w:color="auto" w:fill="auto"/>
            <w:noWrap/>
            <w:vAlign w:val="center"/>
            <w:hideMark/>
          </w:tcPr>
          <w:p w:rsidR="00891A96" w:rsidRPr="009907EE" w:rsidRDefault="00891A96" w:rsidP="00891A96">
            <w:pPr>
              <w:jc w:val="right"/>
              <w:rPr>
                <w:rFonts w:cs="Calibri"/>
                <w:color w:val="000000"/>
                <w:sz w:val="18"/>
                <w:szCs w:val="18"/>
                <w:lang w:eastAsia="en-GB"/>
              </w:rPr>
            </w:pPr>
            <w:r w:rsidRPr="009907EE">
              <w:rPr>
                <w:rFonts w:cs="Calibri"/>
                <w:color w:val="000000"/>
                <w:sz w:val="18"/>
                <w:szCs w:val="18"/>
                <w:lang w:eastAsia="en-GB"/>
              </w:rPr>
              <w:t>0.9</w:t>
            </w:r>
          </w:p>
        </w:tc>
      </w:tr>
      <w:tr w:rsidR="00891A96" w:rsidRPr="009907EE" w:rsidTr="00891A96">
        <w:trPr>
          <w:trHeight w:val="315"/>
        </w:trPr>
        <w:tc>
          <w:tcPr>
            <w:tcW w:w="3403" w:type="dxa"/>
            <w:tcBorders>
              <w:top w:val="nil"/>
              <w:left w:val="single" w:sz="8" w:space="0" w:color="auto"/>
              <w:bottom w:val="single" w:sz="8" w:space="0" w:color="auto"/>
              <w:right w:val="single" w:sz="8" w:space="0" w:color="auto"/>
            </w:tcBorders>
            <w:shd w:val="clear" w:color="auto" w:fill="auto"/>
            <w:vAlign w:val="center"/>
            <w:hideMark/>
          </w:tcPr>
          <w:p w:rsidR="00891A96" w:rsidRPr="009907EE" w:rsidRDefault="00891A96" w:rsidP="00891A96">
            <w:pPr>
              <w:rPr>
                <w:rFonts w:cs="Calibri"/>
                <w:color w:val="000000"/>
                <w:sz w:val="18"/>
                <w:szCs w:val="18"/>
                <w:lang w:eastAsia="en-GB"/>
              </w:rPr>
            </w:pPr>
            <w:r w:rsidRPr="009907EE">
              <w:rPr>
                <w:rFonts w:cs="Calibri"/>
                <w:color w:val="000000"/>
                <w:sz w:val="18"/>
                <w:szCs w:val="18"/>
                <w:lang w:eastAsia="en-GB"/>
              </w:rPr>
              <w:t>Depreciation written out</w:t>
            </w:r>
          </w:p>
        </w:tc>
        <w:tc>
          <w:tcPr>
            <w:tcW w:w="960" w:type="dxa"/>
            <w:tcBorders>
              <w:top w:val="nil"/>
              <w:left w:val="nil"/>
              <w:bottom w:val="single" w:sz="8" w:space="0" w:color="auto"/>
              <w:right w:val="nil"/>
            </w:tcBorders>
            <w:shd w:val="clear" w:color="auto" w:fill="auto"/>
            <w:noWrap/>
            <w:vAlign w:val="center"/>
            <w:hideMark/>
          </w:tcPr>
          <w:p w:rsidR="00891A96" w:rsidRPr="009907EE" w:rsidRDefault="00891A96" w:rsidP="00891A96">
            <w:pPr>
              <w:jc w:val="right"/>
              <w:rPr>
                <w:rFonts w:cs="Calibri"/>
                <w:color w:val="000000"/>
                <w:sz w:val="18"/>
                <w:szCs w:val="18"/>
                <w:lang w:eastAsia="en-GB"/>
              </w:rPr>
            </w:pPr>
            <w:r w:rsidRPr="009907EE">
              <w:rPr>
                <w:rFonts w:cs="Calibri"/>
                <w:color w:val="000000"/>
                <w:sz w:val="18"/>
                <w:szCs w:val="18"/>
                <w:lang w:eastAsia="en-GB"/>
              </w:rPr>
              <w:t>(7.5)</w:t>
            </w:r>
          </w:p>
        </w:tc>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891A96" w:rsidRPr="009907EE" w:rsidRDefault="00891A96" w:rsidP="00891A96">
            <w:pPr>
              <w:jc w:val="right"/>
              <w:rPr>
                <w:rFonts w:cs="Calibri"/>
                <w:color w:val="000000"/>
                <w:sz w:val="18"/>
                <w:szCs w:val="18"/>
                <w:lang w:eastAsia="en-GB"/>
              </w:rPr>
            </w:pPr>
            <w:r w:rsidRPr="009907EE">
              <w:rPr>
                <w:rFonts w:cs="Calibri"/>
                <w:color w:val="000000"/>
                <w:sz w:val="18"/>
                <w:szCs w:val="18"/>
                <w:lang w:eastAsia="en-GB"/>
              </w:rPr>
              <w:t>(24.1)</w:t>
            </w:r>
          </w:p>
        </w:tc>
        <w:tc>
          <w:tcPr>
            <w:tcW w:w="960" w:type="dxa"/>
            <w:tcBorders>
              <w:top w:val="nil"/>
              <w:left w:val="nil"/>
              <w:bottom w:val="single" w:sz="8" w:space="0" w:color="auto"/>
              <w:right w:val="single" w:sz="8" w:space="0" w:color="auto"/>
            </w:tcBorders>
            <w:shd w:val="clear" w:color="auto" w:fill="auto"/>
            <w:noWrap/>
            <w:vAlign w:val="center"/>
            <w:hideMark/>
          </w:tcPr>
          <w:p w:rsidR="00891A96" w:rsidRPr="009907EE" w:rsidRDefault="00891A96" w:rsidP="00891A96">
            <w:pPr>
              <w:jc w:val="right"/>
              <w:rPr>
                <w:rFonts w:cs="Calibri"/>
                <w:color w:val="000000"/>
                <w:sz w:val="18"/>
                <w:szCs w:val="18"/>
                <w:lang w:eastAsia="en-GB"/>
              </w:rPr>
            </w:pPr>
            <w:r w:rsidRPr="009907EE">
              <w:rPr>
                <w:rFonts w:cs="Calibri"/>
                <w:color w:val="000000"/>
                <w:sz w:val="18"/>
                <w:szCs w:val="18"/>
                <w:lang w:eastAsia="en-GB"/>
              </w:rPr>
              <w:t>0.0</w:t>
            </w:r>
          </w:p>
        </w:tc>
        <w:tc>
          <w:tcPr>
            <w:tcW w:w="960" w:type="dxa"/>
            <w:tcBorders>
              <w:top w:val="nil"/>
              <w:left w:val="nil"/>
              <w:bottom w:val="single" w:sz="8" w:space="0" w:color="auto"/>
              <w:right w:val="single" w:sz="8" w:space="0" w:color="auto"/>
            </w:tcBorders>
            <w:shd w:val="clear" w:color="auto" w:fill="auto"/>
            <w:noWrap/>
            <w:vAlign w:val="center"/>
            <w:hideMark/>
          </w:tcPr>
          <w:p w:rsidR="00891A96" w:rsidRPr="009907EE" w:rsidRDefault="00891A96" w:rsidP="00891A96">
            <w:pPr>
              <w:jc w:val="right"/>
              <w:rPr>
                <w:rFonts w:cs="Calibri"/>
                <w:color w:val="000000"/>
                <w:sz w:val="18"/>
                <w:szCs w:val="18"/>
                <w:lang w:eastAsia="en-GB"/>
              </w:rPr>
            </w:pPr>
            <w:r w:rsidRPr="009907EE">
              <w:rPr>
                <w:rFonts w:cs="Calibri"/>
                <w:color w:val="000000"/>
                <w:sz w:val="18"/>
                <w:szCs w:val="18"/>
                <w:lang w:eastAsia="en-GB"/>
              </w:rPr>
              <w:t>0.0</w:t>
            </w:r>
          </w:p>
        </w:tc>
        <w:tc>
          <w:tcPr>
            <w:tcW w:w="960" w:type="dxa"/>
            <w:tcBorders>
              <w:top w:val="nil"/>
              <w:left w:val="nil"/>
              <w:bottom w:val="single" w:sz="8" w:space="0" w:color="auto"/>
              <w:right w:val="single" w:sz="8" w:space="0" w:color="auto"/>
            </w:tcBorders>
            <w:shd w:val="clear" w:color="auto" w:fill="auto"/>
            <w:noWrap/>
            <w:vAlign w:val="center"/>
            <w:hideMark/>
          </w:tcPr>
          <w:p w:rsidR="00891A96" w:rsidRPr="009907EE" w:rsidRDefault="00891A96" w:rsidP="00891A96">
            <w:pPr>
              <w:jc w:val="right"/>
              <w:rPr>
                <w:rFonts w:cs="Calibri"/>
                <w:color w:val="000000"/>
                <w:sz w:val="18"/>
                <w:szCs w:val="18"/>
                <w:lang w:eastAsia="en-GB"/>
              </w:rPr>
            </w:pPr>
            <w:r w:rsidRPr="009907EE">
              <w:rPr>
                <w:rFonts w:cs="Calibri"/>
                <w:color w:val="000000"/>
                <w:sz w:val="18"/>
                <w:szCs w:val="18"/>
                <w:lang w:eastAsia="en-GB"/>
              </w:rPr>
              <w:t>0.0</w:t>
            </w:r>
          </w:p>
        </w:tc>
        <w:tc>
          <w:tcPr>
            <w:tcW w:w="1175" w:type="dxa"/>
            <w:tcBorders>
              <w:top w:val="nil"/>
              <w:left w:val="nil"/>
              <w:bottom w:val="single" w:sz="8" w:space="0" w:color="auto"/>
              <w:right w:val="single" w:sz="8" w:space="0" w:color="auto"/>
            </w:tcBorders>
            <w:shd w:val="clear" w:color="auto" w:fill="auto"/>
            <w:noWrap/>
            <w:vAlign w:val="center"/>
            <w:hideMark/>
          </w:tcPr>
          <w:p w:rsidR="00891A96" w:rsidRPr="009907EE" w:rsidRDefault="00891A96" w:rsidP="00891A96">
            <w:pPr>
              <w:jc w:val="right"/>
              <w:rPr>
                <w:rFonts w:cs="Calibri"/>
                <w:color w:val="000000"/>
                <w:sz w:val="18"/>
                <w:szCs w:val="18"/>
                <w:lang w:eastAsia="en-GB"/>
              </w:rPr>
            </w:pPr>
            <w:r w:rsidRPr="009907EE">
              <w:rPr>
                <w:rFonts w:cs="Calibri"/>
                <w:color w:val="000000"/>
                <w:sz w:val="18"/>
                <w:szCs w:val="18"/>
                <w:lang w:eastAsia="en-GB"/>
              </w:rPr>
              <w:t>0.0</w:t>
            </w:r>
          </w:p>
        </w:tc>
        <w:tc>
          <w:tcPr>
            <w:tcW w:w="960" w:type="dxa"/>
            <w:tcBorders>
              <w:top w:val="nil"/>
              <w:left w:val="nil"/>
              <w:bottom w:val="single" w:sz="8" w:space="0" w:color="auto"/>
              <w:right w:val="single" w:sz="8" w:space="0" w:color="auto"/>
            </w:tcBorders>
            <w:shd w:val="clear" w:color="auto" w:fill="auto"/>
            <w:noWrap/>
            <w:vAlign w:val="center"/>
            <w:hideMark/>
          </w:tcPr>
          <w:p w:rsidR="00891A96" w:rsidRPr="009907EE" w:rsidRDefault="00891A96" w:rsidP="00891A96">
            <w:pPr>
              <w:jc w:val="right"/>
              <w:rPr>
                <w:rFonts w:cs="Calibri"/>
                <w:b/>
                <w:bCs/>
                <w:color w:val="000000"/>
                <w:sz w:val="18"/>
                <w:szCs w:val="18"/>
                <w:lang w:eastAsia="en-GB"/>
              </w:rPr>
            </w:pPr>
            <w:r w:rsidRPr="009907EE">
              <w:rPr>
                <w:rFonts w:cs="Calibri"/>
                <w:b/>
                <w:bCs/>
                <w:color w:val="000000"/>
                <w:sz w:val="18"/>
                <w:szCs w:val="18"/>
                <w:lang w:eastAsia="en-GB"/>
              </w:rPr>
              <w:t>(31.6)</w:t>
            </w:r>
          </w:p>
        </w:tc>
        <w:tc>
          <w:tcPr>
            <w:tcW w:w="1000" w:type="dxa"/>
            <w:tcBorders>
              <w:top w:val="nil"/>
              <w:left w:val="nil"/>
              <w:bottom w:val="single" w:sz="8" w:space="0" w:color="auto"/>
              <w:right w:val="single" w:sz="8" w:space="0" w:color="auto"/>
            </w:tcBorders>
            <w:shd w:val="clear" w:color="auto" w:fill="auto"/>
            <w:noWrap/>
            <w:vAlign w:val="center"/>
            <w:hideMark/>
          </w:tcPr>
          <w:p w:rsidR="00891A96" w:rsidRPr="009907EE" w:rsidRDefault="00891A96" w:rsidP="00891A96">
            <w:pPr>
              <w:jc w:val="right"/>
              <w:rPr>
                <w:rFonts w:cs="Calibri"/>
                <w:color w:val="000000"/>
                <w:sz w:val="18"/>
                <w:szCs w:val="18"/>
                <w:lang w:eastAsia="en-GB"/>
              </w:rPr>
            </w:pPr>
            <w:r w:rsidRPr="009907EE">
              <w:rPr>
                <w:rFonts w:cs="Calibri"/>
                <w:color w:val="000000"/>
                <w:sz w:val="18"/>
                <w:szCs w:val="18"/>
                <w:lang w:eastAsia="en-GB"/>
              </w:rPr>
              <w:t>(5.3)</w:t>
            </w:r>
          </w:p>
        </w:tc>
      </w:tr>
      <w:tr w:rsidR="00891A96" w:rsidRPr="009907EE" w:rsidTr="00891A96">
        <w:trPr>
          <w:trHeight w:val="248"/>
        </w:trPr>
        <w:tc>
          <w:tcPr>
            <w:tcW w:w="3403" w:type="dxa"/>
            <w:tcBorders>
              <w:top w:val="nil"/>
              <w:left w:val="single" w:sz="8" w:space="0" w:color="auto"/>
              <w:bottom w:val="single" w:sz="8" w:space="0" w:color="auto"/>
              <w:right w:val="single" w:sz="8" w:space="0" w:color="auto"/>
            </w:tcBorders>
            <w:shd w:val="clear" w:color="auto" w:fill="auto"/>
            <w:vAlign w:val="center"/>
            <w:hideMark/>
          </w:tcPr>
          <w:p w:rsidR="00891A96" w:rsidRPr="009907EE" w:rsidRDefault="00891A96" w:rsidP="00891A96">
            <w:pPr>
              <w:rPr>
                <w:rFonts w:cs="Calibri"/>
                <w:color w:val="000000"/>
                <w:sz w:val="18"/>
                <w:szCs w:val="18"/>
                <w:lang w:eastAsia="en-GB"/>
              </w:rPr>
            </w:pPr>
            <w:r w:rsidRPr="009907EE">
              <w:rPr>
                <w:rFonts w:cs="Calibri"/>
                <w:color w:val="000000"/>
                <w:sz w:val="18"/>
                <w:szCs w:val="18"/>
                <w:lang w:eastAsia="en-GB"/>
              </w:rPr>
              <w:t>Revaluation increases (decreases) in the Revaluation Reserve</w:t>
            </w:r>
          </w:p>
        </w:tc>
        <w:tc>
          <w:tcPr>
            <w:tcW w:w="960" w:type="dxa"/>
            <w:tcBorders>
              <w:top w:val="nil"/>
              <w:left w:val="nil"/>
              <w:bottom w:val="single" w:sz="8" w:space="0" w:color="auto"/>
              <w:right w:val="nil"/>
            </w:tcBorders>
            <w:shd w:val="clear" w:color="auto" w:fill="auto"/>
            <w:noWrap/>
            <w:vAlign w:val="center"/>
            <w:hideMark/>
          </w:tcPr>
          <w:p w:rsidR="00891A96" w:rsidRPr="009907EE" w:rsidRDefault="00891A96" w:rsidP="00891A96">
            <w:pPr>
              <w:jc w:val="right"/>
              <w:rPr>
                <w:rFonts w:cs="Calibri"/>
                <w:color w:val="000000"/>
                <w:sz w:val="18"/>
                <w:szCs w:val="18"/>
                <w:lang w:eastAsia="en-GB"/>
              </w:rPr>
            </w:pPr>
            <w:r w:rsidRPr="009907EE">
              <w:rPr>
                <w:rFonts w:cs="Calibri"/>
                <w:color w:val="000000"/>
                <w:sz w:val="18"/>
                <w:szCs w:val="18"/>
                <w:lang w:eastAsia="en-GB"/>
              </w:rPr>
              <w:t>3.0</w:t>
            </w:r>
          </w:p>
        </w:tc>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891A96" w:rsidRPr="009907EE" w:rsidRDefault="00891A96" w:rsidP="00891A96">
            <w:pPr>
              <w:jc w:val="right"/>
              <w:rPr>
                <w:rFonts w:cs="Calibri"/>
                <w:color w:val="000000"/>
                <w:sz w:val="18"/>
                <w:szCs w:val="18"/>
                <w:lang w:eastAsia="en-GB"/>
              </w:rPr>
            </w:pPr>
            <w:r w:rsidRPr="009907EE">
              <w:rPr>
                <w:rFonts w:cs="Calibri"/>
                <w:color w:val="000000"/>
                <w:sz w:val="18"/>
                <w:szCs w:val="18"/>
                <w:lang w:eastAsia="en-GB"/>
              </w:rPr>
              <w:t>207.3</w:t>
            </w:r>
          </w:p>
        </w:tc>
        <w:tc>
          <w:tcPr>
            <w:tcW w:w="960" w:type="dxa"/>
            <w:tcBorders>
              <w:top w:val="nil"/>
              <w:left w:val="nil"/>
              <w:bottom w:val="single" w:sz="8" w:space="0" w:color="auto"/>
              <w:right w:val="single" w:sz="8" w:space="0" w:color="auto"/>
            </w:tcBorders>
            <w:shd w:val="clear" w:color="auto" w:fill="auto"/>
            <w:noWrap/>
            <w:vAlign w:val="center"/>
            <w:hideMark/>
          </w:tcPr>
          <w:p w:rsidR="00891A96" w:rsidRPr="009907EE" w:rsidRDefault="00891A96" w:rsidP="00891A96">
            <w:pPr>
              <w:jc w:val="right"/>
              <w:rPr>
                <w:rFonts w:cs="Calibri"/>
                <w:color w:val="000000"/>
                <w:sz w:val="18"/>
                <w:szCs w:val="18"/>
                <w:lang w:eastAsia="en-GB"/>
              </w:rPr>
            </w:pPr>
            <w:r w:rsidRPr="009907EE">
              <w:rPr>
                <w:rFonts w:cs="Calibri"/>
                <w:color w:val="000000"/>
                <w:sz w:val="18"/>
                <w:szCs w:val="18"/>
                <w:lang w:eastAsia="en-GB"/>
              </w:rPr>
              <w:t>0.0</w:t>
            </w:r>
          </w:p>
        </w:tc>
        <w:tc>
          <w:tcPr>
            <w:tcW w:w="960" w:type="dxa"/>
            <w:tcBorders>
              <w:top w:val="nil"/>
              <w:left w:val="nil"/>
              <w:bottom w:val="single" w:sz="8" w:space="0" w:color="auto"/>
              <w:right w:val="single" w:sz="8" w:space="0" w:color="auto"/>
            </w:tcBorders>
            <w:shd w:val="clear" w:color="auto" w:fill="auto"/>
            <w:noWrap/>
            <w:vAlign w:val="center"/>
            <w:hideMark/>
          </w:tcPr>
          <w:p w:rsidR="00891A96" w:rsidRPr="009907EE" w:rsidRDefault="00891A96" w:rsidP="00891A96">
            <w:pPr>
              <w:jc w:val="right"/>
              <w:rPr>
                <w:rFonts w:cs="Calibri"/>
                <w:color w:val="000000"/>
                <w:sz w:val="18"/>
                <w:szCs w:val="18"/>
                <w:lang w:eastAsia="en-GB"/>
              </w:rPr>
            </w:pPr>
            <w:r w:rsidRPr="009907EE">
              <w:rPr>
                <w:rFonts w:cs="Calibri"/>
                <w:color w:val="000000"/>
                <w:sz w:val="18"/>
                <w:szCs w:val="18"/>
                <w:lang w:eastAsia="en-GB"/>
              </w:rPr>
              <w:t>0.0</w:t>
            </w:r>
          </w:p>
        </w:tc>
        <w:tc>
          <w:tcPr>
            <w:tcW w:w="960" w:type="dxa"/>
            <w:tcBorders>
              <w:top w:val="nil"/>
              <w:left w:val="nil"/>
              <w:bottom w:val="single" w:sz="8" w:space="0" w:color="auto"/>
              <w:right w:val="single" w:sz="8" w:space="0" w:color="auto"/>
            </w:tcBorders>
            <w:shd w:val="clear" w:color="auto" w:fill="auto"/>
            <w:noWrap/>
            <w:vAlign w:val="center"/>
            <w:hideMark/>
          </w:tcPr>
          <w:p w:rsidR="00891A96" w:rsidRPr="009907EE" w:rsidRDefault="00891A96" w:rsidP="00891A96">
            <w:pPr>
              <w:jc w:val="right"/>
              <w:rPr>
                <w:rFonts w:cs="Calibri"/>
                <w:color w:val="000000"/>
                <w:sz w:val="18"/>
                <w:szCs w:val="18"/>
                <w:lang w:eastAsia="en-GB"/>
              </w:rPr>
            </w:pPr>
            <w:r w:rsidRPr="009907EE">
              <w:rPr>
                <w:rFonts w:cs="Calibri"/>
                <w:color w:val="000000"/>
                <w:sz w:val="18"/>
                <w:szCs w:val="18"/>
                <w:lang w:eastAsia="en-GB"/>
              </w:rPr>
              <w:t>(0.1)</w:t>
            </w:r>
          </w:p>
        </w:tc>
        <w:tc>
          <w:tcPr>
            <w:tcW w:w="1175" w:type="dxa"/>
            <w:tcBorders>
              <w:top w:val="nil"/>
              <w:left w:val="nil"/>
              <w:bottom w:val="single" w:sz="8" w:space="0" w:color="auto"/>
              <w:right w:val="single" w:sz="8" w:space="0" w:color="auto"/>
            </w:tcBorders>
            <w:shd w:val="clear" w:color="auto" w:fill="auto"/>
            <w:noWrap/>
            <w:vAlign w:val="center"/>
            <w:hideMark/>
          </w:tcPr>
          <w:p w:rsidR="00891A96" w:rsidRPr="009907EE" w:rsidRDefault="00891A96" w:rsidP="00891A96">
            <w:pPr>
              <w:jc w:val="right"/>
              <w:rPr>
                <w:rFonts w:cs="Calibri"/>
                <w:color w:val="000000"/>
                <w:sz w:val="18"/>
                <w:szCs w:val="18"/>
                <w:lang w:eastAsia="en-GB"/>
              </w:rPr>
            </w:pPr>
            <w:r w:rsidRPr="009907EE">
              <w:rPr>
                <w:rFonts w:cs="Calibri"/>
                <w:color w:val="000000"/>
                <w:sz w:val="18"/>
                <w:szCs w:val="18"/>
                <w:lang w:eastAsia="en-GB"/>
              </w:rPr>
              <w:t>0.0</w:t>
            </w:r>
          </w:p>
        </w:tc>
        <w:tc>
          <w:tcPr>
            <w:tcW w:w="960" w:type="dxa"/>
            <w:tcBorders>
              <w:top w:val="nil"/>
              <w:left w:val="nil"/>
              <w:bottom w:val="single" w:sz="8" w:space="0" w:color="auto"/>
              <w:right w:val="single" w:sz="8" w:space="0" w:color="auto"/>
            </w:tcBorders>
            <w:shd w:val="clear" w:color="auto" w:fill="auto"/>
            <w:noWrap/>
            <w:vAlign w:val="center"/>
            <w:hideMark/>
          </w:tcPr>
          <w:p w:rsidR="00891A96" w:rsidRPr="009907EE" w:rsidRDefault="00891A96" w:rsidP="00891A96">
            <w:pPr>
              <w:jc w:val="right"/>
              <w:rPr>
                <w:rFonts w:cs="Calibri"/>
                <w:b/>
                <w:bCs/>
                <w:color w:val="000000"/>
                <w:sz w:val="18"/>
                <w:szCs w:val="18"/>
                <w:lang w:eastAsia="en-GB"/>
              </w:rPr>
            </w:pPr>
            <w:r w:rsidRPr="009907EE">
              <w:rPr>
                <w:rFonts w:cs="Calibri"/>
                <w:b/>
                <w:bCs/>
                <w:color w:val="000000"/>
                <w:sz w:val="18"/>
                <w:szCs w:val="18"/>
                <w:lang w:eastAsia="en-GB"/>
              </w:rPr>
              <w:t>210.2</w:t>
            </w:r>
          </w:p>
        </w:tc>
        <w:tc>
          <w:tcPr>
            <w:tcW w:w="1000" w:type="dxa"/>
            <w:tcBorders>
              <w:top w:val="nil"/>
              <w:left w:val="nil"/>
              <w:bottom w:val="single" w:sz="8" w:space="0" w:color="auto"/>
              <w:right w:val="single" w:sz="8" w:space="0" w:color="auto"/>
            </w:tcBorders>
            <w:shd w:val="clear" w:color="auto" w:fill="auto"/>
            <w:noWrap/>
            <w:vAlign w:val="center"/>
            <w:hideMark/>
          </w:tcPr>
          <w:p w:rsidR="00891A96" w:rsidRPr="009907EE" w:rsidRDefault="00891A96" w:rsidP="00891A96">
            <w:pPr>
              <w:jc w:val="right"/>
              <w:rPr>
                <w:rFonts w:cs="Calibri"/>
                <w:color w:val="000000"/>
                <w:sz w:val="18"/>
                <w:szCs w:val="18"/>
                <w:lang w:eastAsia="en-GB"/>
              </w:rPr>
            </w:pPr>
            <w:r w:rsidRPr="009907EE">
              <w:rPr>
                <w:rFonts w:cs="Calibri"/>
                <w:color w:val="000000"/>
                <w:sz w:val="18"/>
                <w:szCs w:val="18"/>
                <w:lang w:eastAsia="en-GB"/>
              </w:rPr>
              <w:t>2.8</w:t>
            </w:r>
          </w:p>
        </w:tc>
      </w:tr>
      <w:tr w:rsidR="00891A96" w:rsidRPr="009907EE" w:rsidTr="00891A96">
        <w:trPr>
          <w:trHeight w:val="344"/>
        </w:trPr>
        <w:tc>
          <w:tcPr>
            <w:tcW w:w="3403" w:type="dxa"/>
            <w:tcBorders>
              <w:top w:val="nil"/>
              <w:left w:val="single" w:sz="8" w:space="0" w:color="auto"/>
              <w:bottom w:val="single" w:sz="8" w:space="0" w:color="auto"/>
              <w:right w:val="single" w:sz="8" w:space="0" w:color="auto"/>
            </w:tcBorders>
            <w:shd w:val="clear" w:color="auto" w:fill="auto"/>
            <w:vAlign w:val="center"/>
            <w:hideMark/>
          </w:tcPr>
          <w:p w:rsidR="00891A96" w:rsidRPr="009907EE" w:rsidRDefault="00891A96" w:rsidP="00891A96">
            <w:pPr>
              <w:rPr>
                <w:rFonts w:cs="Calibri"/>
                <w:color w:val="000000"/>
                <w:sz w:val="18"/>
                <w:szCs w:val="18"/>
                <w:lang w:eastAsia="en-GB"/>
              </w:rPr>
            </w:pPr>
            <w:r w:rsidRPr="009907EE">
              <w:rPr>
                <w:rFonts w:cs="Calibri"/>
                <w:color w:val="000000"/>
                <w:sz w:val="18"/>
                <w:szCs w:val="18"/>
                <w:lang w:eastAsia="en-GB"/>
              </w:rPr>
              <w:t>Revaluation increases (decreases) in the Surplus / Deficit on the Provision of Services</w:t>
            </w:r>
          </w:p>
        </w:tc>
        <w:tc>
          <w:tcPr>
            <w:tcW w:w="960" w:type="dxa"/>
            <w:tcBorders>
              <w:top w:val="nil"/>
              <w:left w:val="nil"/>
              <w:bottom w:val="single" w:sz="8" w:space="0" w:color="auto"/>
              <w:right w:val="nil"/>
            </w:tcBorders>
            <w:shd w:val="clear" w:color="auto" w:fill="auto"/>
            <w:noWrap/>
            <w:vAlign w:val="center"/>
            <w:hideMark/>
          </w:tcPr>
          <w:p w:rsidR="00891A96" w:rsidRPr="009907EE" w:rsidRDefault="00891A96" w:rsidP="00891A96">
            <w:pPr>
              <w:jc w:val="right"/>
              <w:rPr>
                <w:rFonts w:cs="Calibri"/>
                <w:color w:val="000000"/>
                <w:sz w:val="18"/>
                <w:szCs w:val="18"/>
                <w:lang w:eastAsia="en-GB"/>
              </w:rPr>
            </w:pPr>
            <w:r w:rsidRPr="009907EE">
              <w:rPr>
                <w:rFonts w:cs="Calibri"/>
                <w:color w:val="000000"/>
                <w:sz w:val="18"/>
                <w:szCs w:val="18"/>
                <w:lang w:eastAsia="en-GB"/>
              </w:rPr>
              <w:t>(20.8)</w:t>
            </w:r>
          </w:p>
        </w:tc>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891A96" w:rsidRPr="009907EE" w:rsidRDefault="00891A96" w:rsidP="00891A96">
            <w:pPr>
              <w:jc w:val="right"/>
              <w:rPr>
                <w:rFonts w:cs="Calibri"/>
                <w:color w:val="000000"/>
                <w:sz w:val="18"/>
                <w:szCs w:val="18"/>
                <w:lang w:eastAsia="en-GB"/>
              </w:rPr>
            </w:pPr>
            <w:r w:rsidRPr="009907EE">
              <w:rPr>
                <w:rFonts w:cs="Calibri"/>
                <w:color w:val="000000"/>
                <w:sz w:val="18"/>
                <w:szCs w:val="18"/>
                <w:lang w:eastAsia="en-GB"/>
              </w:rPr>
              <w:t>(20.8)</w:t>
            </w:r>
          </w:p>
        </w:tc>
        <w:tc>
          <w:tcPr>
            <w:tcW w:w="960" w:type="dxa"/>
            <w:tcBorders>
              <w:top w:val="nil"/>
              <w:left w:val="nil"/>
              <w:bottom w:val="single" w:sz="8" w:space="0" w:color="auto"/>
              <w:right w:val="single" w:sz="8" w:space="0" w:color="auto"/>
            </w:tcBorders>
            <w:shd w:val="clear" w:color="auto" w:fill="auto"/>
            <w:noWrap/>
            <w:vAlign w:val="center"/>
            <w:hideMark/>
          </w:tcPr>
          <w:p w:rsidR="00891A96" w:rsidRPr="009907EE" w:rsidRDefault="00891A96" w:rsidP="00891A96">
            <w:pPr>
              <w:jc w:val="right"/>
              <w:rPr>
                <w:rFonts w:cs="Calibri"/>
                <w:color w:val="000000"/>
                <w:sz w:val="18"/>
                <w:szCs w:val="18"/>
                <w:lang w:eastAsia="en-GB"/>
              </w:rPr>
            </w:pPr>
            <w:r w:rsidRPr="009907EE">
              <w:rPr>
                <w:rFonts w:cs="Calibri"/>
                <w:color w:val="000000"/>
                <w:sz w:val="18"/>
                <w:szCs w:val="18"/>
                <w:lang w:eastAsia="en-GB"/>
              </w:rPr>
              <w:t>0.0</w:t>
            </w:r>
          </w:p>
        </w:tc>
        <w:tc>
          <w:tcPr>
            <w:tcW w:w="960" w:type="dxa"/>
            <w:tcBorders>
              <w:top w:val="nil"/>
              <w:left w:val="nil"/>
              <w:bottom w:val="single" w:sz="8" w:space="0" w:color="auto"/>
              <w:right w:val="single" w:sz="8" w:space="0" w:color="auto"/>
            </w:tcBorders>
            <w:shd w:val="clear" w:color="auto" w:fill="auto"/>
            <w:noWrap/>
            <w:vAlign w:val="center"/>
            <w:hideMark/>
          </w:tcPr>
          <w:p w:rsidR="00891A96" w:rsidRPr="009907EE" w:rsidRDefault="00891A96" w:rsidP="00891A96">
            <w:pPr>
              <w:jc w:val="right"/>
              <w:rPr>
                <w:rFonts w:cs="Calibri"/>
                <w:color w:val="000000"/>
                <w:sz w:val="18"/>
                <w:szCs w:val="18"/>
                <w:lang w:eastAsia="en-GB"/>
              </w:rPr>
            </w:pPr>
            <w:r w:rsidRPr="009907EE">
              <w:rPr>
                <w:rFonts w:cs="Calibri"/>
                <w:color w:val="000000"/>
                <w:sz w:val="18"/>
                <w:szCs w:val="18"/>
                <w:lang w:eastAsia="en-GB"/>
              </w:rPr>
              <w:t>0.0</w:t>
            </w:r>
          </w:p>
        </w:tc>
        <w:tc>
          <w:tcPr>
            <w:tcW w:w="960" w:type="dxa"/>
            <w:tcBorders>
              <w:top w:val="nil"/>
              <w:left w:val="nil"/>
              <w:bottom w:val="single" w:sz="8" w:space="0" w:color="auto"/>
              <w:right w:val="single" w:sz="8" w:space="0" w:color="auto"/>
            </w:tcBorders>
            <w:shd w:val="clear" w:color="auto" w:fill="auto"/>
            <w:noWrap/>
            <w:vAlign w:val="center"/>
            <w:hideMark/>
          </w:tcPr>
          <w:p w:rsidR="00891A96" w:rsidRPr="009907EE" w:rsidRDefault="00891A96" w:rsidP="00891A96">
            <w:pPr>
              <w:jc w:val="right"/>
              <w:rPr>
                <w:rFonts w:cs="Calibri"/>
                <w:color w:val="000000"/>
                <w:sz w:val="18"/>
                <w:szCs w:val="18"/>
                <w:lang w:eastAsia="en-GB"/>
              </w:rPr>
            </w:pPr>
            <w:r w:rsidRPr="009907EE">
              <w:rPr>
                <w:rFonts w:cs="Calibri"/>
                <w:color w:val="000000"/>
                <w:sz w:val="18"/>
                <w:szCs w:val="18"/>
                <w:lang w:eastAsia="en-GB"/>
              </w:rPr>
              <w:t>0.0</w:t>
            </w:r>
          </w:p>
        </w:tc>
        <w:tc>
          <w:tcPr>
            <w:tcW w:w="1175" w:type="dxa"/>
            <w:tcBorders>
              <w:top w:val="nil"/>
              <w:left w:val="nil"/>
              <w:bottom w:val="single" w:sz="8" w:space="0" w:color="auto"/>
              <w:right w:val="single" w:sz="8" w:space="0" w:color="auto"/>
            </w:tcBorders>
            <w:shd w:val="clear" w:color="auto" w:fill="auto"/>
            <w:noWrap/>
            <w:vAlign w:val="center"/>
            <w:hideMark/>
          </w:tcPr>
          <w:p w:rsidR="00891A96" w:rsidRPr="009907EE" w:rsidRDefault="00891A96" w:rsidP="00891A96">
            <w:pPr>
              <w:jc w:val="right"/>
              <w:rPr>
                <w:rFonts w:cs="Calibri"/>
                <w:color w:val="000000"/>
                <w:sz w:val="18"/>
                <w:szCs w:val="18"/>
                <w:lang w:eastAsia="en-GB"/>
              </w:rPr>
            </w:pPr>
            <w:r w:rsidRPr="009907EE">
              <w:rPr>
                <w:rFonts w:cs="Calibri"/>
                <w:color w:val="000000"/>
                <w:sz w:val="18"/>
                <w:szCs w:val="18"/>
                <w:lang w:eastAsia="en-GB"/>
              </w:rPr>
              <w:t>0.0</w:t>
            </w:r>
          </w:p>
        </w:tc>
        <w:tc>
          <w:tcPr>
            <w:tcW w:w="960" w:type="dxa"/>
            <w:tcBorders>
              <w:top w:val="nil"/>
              <w:left w:val="nil"/>
              <w:bottom w:val="single" w:sz="8" w:space="0" w:color="auto"/>
              <w:right w:val="single" w:sz="8" w:space="0" w:color="auto"/>
            </w:tcBorders>
            <w:shd w:val="clear" w:color="auto" w:fill="auto"/>
            <w:noWrap/>
            <w:vAlign w:val="center"/>
            <w:hideMark/>
          </w:tcPr>
          <w:p w:rsidR="00891A96" w:rsidRPr="009907EE" w:rsidRDefault="00891A96" w:rsidP="00891A96">
            <w:pPr>
              <w:jc w:val="right"/>
              <w:rPr>
                <w:rFonts w:cs="Calibri"/>
                <w:b/>
                <w:bCs/>
                <w:color w:val="000000"/>
                <w:sz w:val="18"/>
                <w:szCs w:val="18"/>
                <w:lang w:eastAsia="en-GB"/>
              </w:rPr>
            </w:pPr>
            <w:r w:rsidRPr="009907EE">
              <w:rPr>
                <w:rFonts w:cs="Calibri"/>
                <w:b/>
                <w:bCs/>
                <w:color w:val="000000"/>
                <w:sz w:val="18"/>
                <w:szCs w:val="18"/>
                <w:lang w:eastAsia="en-GB"/>
              </w:rPr>
              <w:t>(41.6)</w:t>
            </w:r>
          </w:p>
        </w:tc>
        <w:tc>
          <w:tcPr>
            <w:tcW w:w="1000" w:type="dxa"/>
            <w:tcBorders>
              <w:top w:val="nil"/>
              <w:left w:val="nil"/>
              <w:bottom w:val="single" w:sz="8" w:space="0" w:color="auto"/>
              <w:right w:val="single" w:sz="8" w:space="0" w:color="auto"/>
            </w:tcBorders>
            <w:shd w:val="clear" w:color="auto" w:fill="auto"/>
            <w:noWrap/>
            <w:vAlign w:val="center"/>
            <w:hideMark/>
          </w:tcPr>
          <w:p w:rsidR="00891A96" w:rsidRPr="009907EE" w:rsidRDefault="00891A96" w:rsidP="00891A96">
            <w:pPr>
              <w:jc w:val="right"/>
              <w:rPr>
                <w:rFonts w:cs="Calibri"/>
                <w:color w:val="000000"/>
                <w:sz w:val="18"/>
                <w:szCs w:val="18"/>
                <w:lang w:eastAsia="en-GB"/>
              </w:rPr>
            </w:pPr>
            <w:r w:rsidRPr="009907EE">
              <w:rPr>
                <w:rFonts w:cs="Calibri"/>
                <w:color w:val="000000"/>
                <w:sz w:val="18"/>
                <w:szCs w:val="18"/>
                <w:lang w:eastAsia="en-GB"/>
              </w:rPr>
              <w:t>0.0</w:t>
            </w:r>
          </w:p>
        </w:tc>
      </w:tr>
      <w:tr w:rsidR="00891A96" w:rsidRPr="009907EE" w:rsidTr="00891A96">
        <w:trPr>
          <w:trHeight w:val="495"/>
        </w:trPr>
        <w:tc>
          <w:tcPr>
            <w:tcW w:w="3403" w:type="dxa"/>
            <w:tcBorders>
              <w:top w:val="nil"/>
              <w:left w:val="single" w:sz="8" w:space="0" w:color="auto"/>
              <w:bottom w:val="single" w:sz="8" w:space="0" w:color="auto"/>
              <w:right w:val="single" w:sz="8" w:space="0" w:color="auto"/>
            </w:tcBorders>
            <w:shd w:val="clear" w:color="auto" w:fill="auto"/>
            <w:vAlign w:val="center"/>
            <w:hideMark/>
          </w:tcPr>
          <w:p w:rsidR="00891A96" w:rsidRPr="009907EE" w:rsidRDefault="00891A96" w:rsidP="00891A96">
            <w:pPr>
              <w:rPr>
                <w:rFonts w:cs="Calibri"/>
                <w:color w:val="000000"/>
                <w:sz w:val="18"/>
                <w:szCs w:val="18"/>
                <w:lang w:eastAsia="en-GB"/>
              </w:rPr>
            </w:pPr>
            <w:r w:rsidRPr="009907EE">
              <w:rPr>
                <w:rFonts w:cs="Calibri"/>
                <w:color w:val="000000"/>
                <w:sz w:val="18"/>
                <w:szCs w:val="18"/>
                <w:lang w:eastAsia="en-GB"/>
              </w:rPr>
              <w:t>Derecognition - Disposals</w:t>
            </w:r>
          </w:p>
        </w:tc>
        <w:tc>
          <w:tcPr>
            <w:tcW w:w="960" w:type="dxa"/>
            <w:tcBorders>
              <w:top w:val="nil"/>
              <w:left w:val="nil"/>
              <w:bottom w:val="single" w:sz="8" w:space="0" w:color="auto"/>
              <w:right w:val="nil"/>
            </w:tcBorders>
            <w:shd w:val="clear" w:color="auto" w:fill="auto"/>
            <w:noWrap/>
            <w:vAlign w:val="center"/>
            <w:hideMark/>
          </w:tcPr>
          <w:p w:rsidR="00891A96" w:rsidRPr="009907EE" w:rsidRDefault="00891A96" w:rsidP="00891A96">
            <w:pPr>
              <w:jc w:val="right"/>
              <w:rPr>
                <w:rFonts w:cs="Calibri"/>
                <w:color w:val="000000"/>
                <w:sz w:val="18"/>
                <w:szCs w:val="18"/>
                <w:lang w:eastAsia="en-GB"/>
              </w:rPr>
            </w:pPr>
            <w:r w:rsidRPr="009907EE">
              <w:rPr>
                <w:rFonts w:cs="Calibri"/>
                <w:color w:val="000000"/>
                <w:sz w:val="18"/>
                <w:szCs w:val="18"/>
                <w:lang w:eastAsia="en-GB"/>
              </w:rPr>
              <w:t>(1.7)</w:t>
            </w:r>
          </w:p>
        </w:tc>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891A96" w:rsidRPr="009907EE" w:rsidRDefault="00891A96" w:rsidP="00891A96">
            <w:pPr>
              <w:jc w:val="right"/>
              <w:rPr>
                <w:rFonts w:cs="Calibri"/>
                <w:color w:val="000000"/>
                <w:sz w:val="18"/>
                <w:szCs w:val="18"/>
                <w:lang w:eastAsia="en-GB"/>
              </w:rPr>
            </w:pPr>
            <w:r w:rsidRPr="009907EE">
              <w:rPr>
                <w:rFonts w:cs="Calibri"/>
                <w:color w:val="000000"/>
                <w:sz w:val="18"/>
                <w:szCs w:val="18"/>
                <w:lang w:eastAsia="en-GB"/>
              </w:rPr>
              <w:t>(0.3)</w:t>
            </w:r>
          </w:p>
        </w:tc>
        <w:tc>
          <w:tcPr>
            <w:tcW w:w="960" w:type="dxa"/>
            <w:tcBorders>
              <w:top w:val="nil"/>
              <w:left w:val="nil"/>
              <w:bottom w:val="single" w:sz="8" w:space="0" w:color="auto"/>
              <w:right w:val="single" w:sz="8" w:space="0" w:color="auto"/>
            </w:tcBorders>
            <w:shd w:val="clear" w:color="auto" w:fill="auto"/>
            <w:noWrap/>
            <w:vAlign w:val="center"/>
            <w:hideMark/>
          </w:tcPr>
          <w:p w:rsidR="00891A96" w:rsidRPr="009907EE" w:rsidRDefault="00891A96" w:rsidP="00891A96">
            <w:pPr>
              <w:jc w:val="right"/>
              <w:rPr>
                <w:rFonts w:cs="Calibri"/>
                <w:color w:val="000000"/>
                <w:sz w:val="18"/>
                <w:szCs w:val="18"/>
                <w:lang w:eastAsia="en-GB"/>
              </w:rPr>
            </w:pPr>
            <w:r w:rsidRPr="009907EE">
              <w:rPr>
                <w:rFonts w:cs="Calibri"/>
                <w:color w:val="000000"/>
                <w:sz w:val="18"/>
                <w:szCs w:val="18"/>
                <w:lang w:eastAsia="en-GB"/>
              </w:rPr>
              <w:t>0.0</w:t>
            </w:r>
          </w:p>
        </w:tc>
        <w:tc>
          <w:tcPr>
            <w:tcW w:w="960" w:type="dxa"/>
            <w:tcBorders>
              <w:top w:val="nil"/>
              <w:left w:val="nil"/>
              <w:bottom w:val="single" w:sz="8" w:space="0" w:color="auto"/>
              <w:right w:val="single" w:sz="8" w:space="0" w:color="auto"/>
            </w:tcBorders>
            <w:shd w:val="clear" w:color="auto" w:fill="auto"/>
            <w:noWrap/>
            <w:vAlign w:val="center"/>
            <w:hideMark/>
          </w:tcPr>
          <w:p w:rsidR="00891A96" w:rsidRPr="009907EE" w:rsidRDefault="00891A96" w:rsidP="00891A96">
            <w:pPr>
              <w:jc w:val="right"/>
              <w:rPr>
                <w:rFonts w:cs="Calibri"/>
                <w:color w:val="000000"/>
                <w:sz w:val="18"/>
                <w:szCs w:val="18"/>
                <w:lang w:eastAsia="en-GB"/>
              </w:rPr>
            </w:pPr>
            <w:r w:rsidRPr="009907EE">
              <w:rPr>
                <w:rFonts w:cs="Calibri"/>
                <w:color w:val="000000"/>
                <w:sz w:val="18"/>
                <w:szCs w:val="18"/>
                <w:lang w:eastAsia="en-GB"/>
              </w:rPr>
              <w:t>0.0</w:t>
            </w:r>
          </w:p>
        </w:tc>
        <w:tc>
          <w:tcPr>
            <w:tcW w:w="960" w:type="dxa"/>
            <w:tcBorders>
              <w:top w:val="nil"/>
              <w:left w:val="nil"/>
              <w:bottom w:val="single" w:sz="8" w:space="0" w:color="auto"/>
              <w:right w:val="single" w:sz="8" w:space="0" w:color="auto"/>
            </w:tcBorders>
            <w:shd w:val="clear" w:color="auto" w:fill="auto"/>
            <w:noWrap/>
            <w:vAlign w:val="center"/>
            <w:hideMark/>
          </w:tcPr>
          <w:p w:rsidR="00891A96" w:rsidRPr="009907EE" w:rsidRDefault="00891A96" w:rsidP="00891A96">
            <w:pPr>
              <w:jc w:val="right"/>
              <w:rPr>
                <w:rFonts w:cs="Calibri"/>
                <w:color w:val="000000"/>
                <w:sz w:val="18"/>
                <w:szCs w:val="18"/>
                <w:lang w:eastAsia="en-GB"/>
              </w:rPr>
            </w:pPr>
            <w:r w:rsidRPr="009907EE">
              <w:rPr>
                <w:rFonts w:cs="Calibri"/>
                <w:color w:val="000000"/>
                <w:sz w:val="18"/>
                <w:szCs w:val="18"/>
                <w:lang w:eastAsia="en-GB"/>
              </w:rPr>
              <w:t>0.0</w:t>
            </w:r>
          </w:p>
        </w:tc>
        <w:tc>
          <w:tcPr>
            <w:tcW w:w="1175" w:type="dxa"/>
            <w:tcBorders>
              <w:top w:val="nil"/>
              <w:left w:val="nil"/>
              <w:bottom w:val="single" w:sz="8" w:space="0" w:color="auto"/>
              <w:right w:val="single" w:sz="8" w:space="0" w:color="auto"/>
            </w:tcBorders>
            <w:shd w:val="clear" w:color="auto" w:fill="auto"/>
            <w:noWrap/>
            <w:vAlign w:val="center"/>
            <w:hideMark/>
          </w:tcPr>
          <w:p w:rsidR="00891A96" w:rsidRPr="009907EE" w:rsidRDefault="00891A96" w:rsidP="00891A96">
            <w:pPr>
              <w:jc w:val="right"/>
              <w:rPr>
                <w:rFonts w:cs="Calibri"/>
                <w:color w:val="000000"/>
                <w:sz w:val="18"/>
                <w:szCs w:val="18"/>
                <w:lang w:eastAsia="en-GB"/>
              </w:rPr>
            </w:pPr>
            <w:r w:rsidRPr="009907EE">
              <w:rPr>
                <w:rFonts w:cs="Calibri"/>
                <w:color w:val="000000"/>
                <w:sz w:val="18"/>
                <w:szCs w:val="18"/>
                <w:lang w:eastAsia="en-GB"/>
              </w:rPr>
              <w:t>(0.1)</w:t>
            </w:r>
          </w:p>
        </w:tc>
        <w:tc>
          <w:tcPr>
            <w:tcW w:w="960" w:type="dxa"/>
            <w:tcBorders>
              <w:top w:val="nil"/>
              <w:left w:val="nil"/>
              <w:bottom w:val="single" w:sz="8" w:space="0" w:color="auto"/>
              <w:right w:val="single" w:sz="8" w:space="0" w:color="auto"/>
            </w:tcBorders>
            <w:shd w:val="clear" w:color="auto" w:fill="auto"/>
            <w:noWrap/>
            <w:vAlign w:val="center"/>
            <w:hideMark/>
          </w:tcPr>
          <w:p w:rsidR="00891A96" w:rsidRPr="009907EE" w:rsidRDefault="00891A96" w:rsidP="00891A96">
            <w:pPr>
              <w:jc w:val="right"/>
              <w:rPr>
                <w:rFonts w:cs="Calibri"/>
                <w:b/>
                <w:bCs/>
                <w:color w:val="000000"/>
                <w:sz w:val="18"/>
                <w:szCs w:val="18"/>
                <w:lang w:eastAsia="en-GB"/>
              </w:rPr>
            </w:pPr>
            <w:r w:rsidRPr="009907EE">
              <w:rPr>
                <w:rFonts w:cs="Calibri"/>
                <w:b/>
                <w:bCs/>
                <w:color w:val="000000"/>
                <w:sz w:val="18"/>
                <w:szCs w:val="18"/>
                <w:lang w:eastAsia="en-GB"/>
              </w:rPr>
              <w:t>(2.1)</w:t>
            </w:r>
          </w:p>
        </w:tc>
        <w:tc>
          <w:tcPr>
            <w:tcW w:w="1000" w:type="dxa"/>
            <w:tcBorders>
              <w:top w:val="nil"/>
              <w:left w:val="nil"/>
              <w:bottom w:val="single" w:sz="8" w:space="0" w:color="auto"/>
              <w:right w:val="single" w:sz="8" w:space="0" w:color="auto"/>
            </w:tcBorders>
            <w:shd w:val="clear" w:color="auto" w:fill="auto"/>
            <w:noWrap/>
            <w:vAlign w:val="center"/>
            <w:hideMark/>
          </w:tcPr>
          <w:p w:rsidR="00891A96" w:rsidRPr="009907EE" w:rsidRDefault="00891A96" w:rsidP="00891A96">
            <w:pPr>
              <w:jc w:val="right"/>
              <w:rPr>
                <w:rFonts w:cs="Calibri"/>
                <w:color w:val="000000"/>
                <w:sz w:val="18"/>
                <w:szCs w:val="18"/>
                <w:lang w:eastAsia="en-GB"/>
              </w:rPr>
            </w:pPr>
            <w:r w:rsidRPr="009907EE">
              <w:rPr>
                <w:rFonts w:cs="Calibri"/>
                <w:color w:val="000000"/>
                <w:sz w:val="18"/>
                <w:szCs w:val="18"/>
                <w:lang w:eastAsia="en-GB"/>
              </w:rPr>
              <w:t>0.0</w:t>
            </w:r>
          </w:p>
        </w:tc>
      </w:tr>
      <w:tr w:rsidR="00891A96" w:rsidRPr="009907EE" w:rsidTr="00891A96">
        <w:trPr>
          <w:trHeight w:val="163"/>
        </w:trPr>
        <w:tc>
          <w:tcPr>
            <w:tcW w:w="3403" w:type="dxa"/>
            <w:tcBorders>
              <w:top w:val="nil"/>
              <w:left w:val="single" w:sz="8" w:space="0" w:color="auto"/>
              <w:bottom w:val="single" w:sz="8" w:space="0" w:color="auto"/>
              <w:right w:val="single" w:sz="8" w:space="0" w:color="auto"/>
            </w:tcBorders>
            <w:shd w:val="clear" w:color="auto" w:fill="auto"/>
            <w:vAlign w:val="center"/>
            <w:hideMark/>
          </w:tcPr>
          <w:p w:rsidR="00891A96" w:rsidRPr="009907EE" w:rsidRDefault="00891A96" w:rsidP="00891A96">
            <w:pPr>
              <w:rPr>
                <w:rFonts w:cs="Calibri"/>
                <w:color w:val="000000"/>
                <w:sz w:val="18"/>
                <w:szCs w:val="18"/>
                <w:lang w:eastAsia="en-GB"/>
              </w:rPr>
            </w:pPr>
            <w:r w:rsidRPr="009907EE">
              <w:rPr>
                <w:rFonts w:cs="Calibri"/>
                <w:color w:val="000000"/>
                <w:sz w:val="18"/>
                <w:szCs w:val="18"/>
                <w:lang w:eastAsia="en-GB"/>
              </w:rPr>
              <w:t>Reclassifications (to/from Assets Held for Sale)</w:t>
            </w:r>
          </w:p>
        </w:tc>
        <w:tc>
          <w:tcPr>
            <w:tcW w:w="960" w:type="dxa"/>
            <w:tcBorders>
              <w:top w:val="nil"/>
              <w:left w:val="nil"/>
              <w:bottom w:val="single" w:sz="8" w:space="0" w:color="auto"/>
              <w:right w:val="nil"/>
            </w:tcBorders>
            <w:shd w:val="clear" w:color="auto" w:fill="auto"/>
            <w:noWrap/>
            <w:vAlign w:val="center"/>
            <w:hideMark/>
          </w:tcPr>
          <w:p w:rsidR="00891A96" w:rsidRPr="009907EE" w:rsidRDefault="00891A96" w:rsidP="00891A96">
            <w:pPr>
              <w:jc w:val="right"/>
              <w:rPr>
                <w:rFonts w:cs="Calibri"/>
                <w:color w:val="000000"/>
                <w:sz w:val="18"/>
                <w:szCs w:val="18"/>
                <w:lang w:eastAsia="en-GB"/>
              </w:rPr>
            </w:pPr>
            <w:r w:rsidRPr="009907EE">
              <w:rPr>
                <w:rFonts w:cs="Calibri"/>
                <w:color w:val="000000"/>
                <w:sz w:val="18"/>
                <w:szCs w:val="18"/>
                <w:lang w:eastAsia="en-GB"/>
              </w:rPr>
              <w:t>0.0</w:t>
            </w:r>
          </w:p>
        </w:tc>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891A96" w:rsidRPr="009907EE" w:rsidRDefault="00891A96" w:rsidP="00891A96">
            <w:pPr>
              <w:jc w:val="right"/>
              <w:rPr>
                <w:rFonts w:cs="Calibri"/>
                <w:color w:val="000000"/>
                <w:sz w:val="18"/>
                <w:szCs w:val="18"/>
                <w:lang w:eastAsia="en-GB"/>
              </w:rPr>
            </w:pPr>
            <w:r w:rsidRPr="009907EE">
              <w:rPr>
                <w:rFonts w:cs="Calibri"/>
                <w:color w:val="000000"/>
                <w:sz w:val="18"/>
                <w:szCs w:val="18"/>
                <w:lang w:eastAsia="en-GB"/>
              </w:rPr>
              <w:t>0.0</w:t>
            </w:r>
          </w:p>
        </w:tc>
        <w:tc>
          <w:tcPr>
            <w:tcW w:w="960" w:type="dxa"/>
            <w:tcBorders>
              <w:top w:val="nil"/>
              <w:left w:val="nil"/>
              <w:bottom w:val="single" w:sz="8" w:space="0" w:color="auto"/>
              <w:right w:val="single" w:sz="8" w:space="0" w:color="auto"/>
            </w:tcBorders>
            <w:shd w:val="clear" w:color="auto" w:fill="auto"/>
            <w:noWrap/>
            <w:vAlign w:val="center"/>
            <w:hideMark/>
          </w:tcPr>
          <w:p w:rsidR="00891A96" w:rsidRPr="009907EE" w:rsidRDefault="00891A96" w:rsidP="00891A96">
            <w:pPr>
              <w:jc w:val="right"/>
              <w:rPr>
                <w:rFonts w:cs="Calibri"/>
                <w:color w:val="000000"/>
                <w:sz w:val="18"/>
                <w:szCs w:val="18"/>
                <w:lang w:eastAsia="en-GB"/>
              </w:rPr>
            </w:pPr>
            <w:r w:rsidRPr="009907EE">
              <w:rPr>
                <w:rFonts w:cs="Calibri"/>
                <w:color w:val="000000"/>
                <w:sz w:val="18"/>
                <w:szCs w:val="18"/>
                <w:lang w:eastAsia="en-GB"/>
              </w:rPr>
              <w:t>0.0</w:t>
            </w:r>
          </w:p>
        </w:tc>
        <w:tc>
          <w:tcPr>
            <w:tcW w:w="960" w:type="dxa"/>
            <w:tcBorders>
              <w:top w:val="nil"/>
              <w:left w:val="nil"/>
              <w:bottom w:val="single" w:sz="8" w:space="0" w:color="auto"/>
              <w:right w:val="single" w:sz="8" w:space="0" w:color="auto"/>
            </w:tcBorders>
            <w:shd w:val="clear" w:color="auto" w:fill="auto"/>
            <w:noWrap/>
            <w:vAlign w:val="center"/>
            <w:hideMark/>
          </w:tcPr>
          <w:p w:rsidR="00891A96" w:rsidRPr="009907EE" w:rsidRDefault="00891A96" w:rsidP="00891A96">
            <w:pPr>
              <w:jc w:val="right"/>
              <w:rPr>
                <w:rFonts w:cs="Calibri"/>
                <w:color w:val="000000"/>
                <w:sz w:val="18"/>
                <w:szCs w:val="18"/>
                <w:lang w:eastAsia="en-GB"/>
              </w:rPr>
            </w:pPr>
            <w:r w:rsidRPr="009907EE">
              <w:rPr>
                <w:rFonts w:cs="Calibri"/>
                <w:color w:val="000000"/>
                <w:sz w:val="18"/>
                <w:szCs w:val="18"/>
                <w:lang w:eastAsia="en-GB"/>
              </w:rPr>
              <w:t>0.0</w:t>
            </w:r>
          </w:p>
        </w:tc>
        <w:tc>
          <w:tcPr>
            <w:tcW w:w="960" w:type="dxa"/>
            <w:tcBorders>
              <w:top w:val="nil"/>
              <w:left w:val="nil"/>
              <w:bottom w:val="single" w:sz="8" w:space="0" w:color="auto"/>
              <w:right w:val="single" w:sz="8" w:space="0" w:color="auto"/>
            </w:tcBorders>
            <w:shd w:val="clear" w:color="auto" w:fill="auto"/>
            <w:noWrap/>
            <w:vAlign w:val="center"/>
            <w:hideMark/>
          </w:tcPr>
          <w:p w:rsidR="00891A96" w:rsidRPr="009907EE" w:rsidRDefault="00891A96" w:rsidP="00891A96">
            <w:pPr>
              <w:jc w:val="right"/>
              <w:rPr>
                <w:rFonts w:cs="Calibri"/>
                <w:color w:val="000000"/>
                <w:sz w:val="18"/>
                <w:szCs w:val="18"/>
                <w:lang w:eastAsia="en-GB"/>
              </w:rPr>
            </w:pPr>
            <w:r w:rsidRPr="009907EE">
              <w:rPr>
                <w:rFonts w:cs="Calibri"/>
                <w:color w:val="000000"/>
                <w:sz w:val="18"/>
                <w:szCs w:val="18"/>
                <w:lang w:eastAsia="en-GB"/>
              </w:rPr>
              <w:t>0.0</w:t>
            </w:r>
          </w:p>
        </w:tc>
        <w:tc>
          <w:tcPr>
            <w:tcW w:w="1175" w:type="dxa"/>
            <w:tcBorders>
              <w:top w:val="nil"/>
              <w:left w:val="nil"/>
              <w:bottom w:val="single" w:sz="8" w:space="0" w:color="auto"/>
              <w:right w:val="single" w:sz="8" w:space="0" w:color="auto"/>
            </w:tcBorders>
            <w:shd w:val="clear" w:color="auto" w:fill="auto"/>
            <w:noWrap/>
            <w:vAlign w:val="center"/>
            <w:hideMark/>
          </w:tcPr>
          <w:p w:rsidR="00891A96" w:rsidRPr="009907EE" w:rsidRDefault="00891A96" w:rsidP="00891A96">
            <w:pPr>
              <w:jc w:val="right"/>
              <w:rPr>
                <w:rFonts w:cs="Calibri"/>
                <w:color w:val="000000"/>
                <w:sz w:val="18"/>
                <w:szCs w:val="18"/>
                <w:lang w:eastAsia="en-GB"/>
              </w:rPr>
            </w:pPr>
            <w:r w:rsidRPr="009907EE">
              <w:rPr>
                <w:rFonts w:cs="Calibri"/>
                <w:color w:val="000000"/>
                <w:sz w:val="18"/>
                <w:szCs w:val="18"/>
                <w:lang w:eastAsia="en-GB"/>
              </w:rPr>
              <w:t>0.0</w:t>
            </w:r>
          </w:p>
        </w:tc>
        <w:tc>
          <w:tcPr>
            <w:tcW w:w="960" w:type="dxa"/>
            <w:tcBorders>
              <w:top w:val="nil"/>
              <w:left w:val="nil"/>
              <w:bottom w:val="single" w:sz="8" w:space="0" w:color="auto"/>
              <w:right w:val="single" w:sz="8" w:space="0" w:color="auto"/>
            </w:tcBorders>
            <w:shd w:val="clear" w:color="auto" w:fill="auto"/>
            <w:noWrap/>
            <w:vAlign w:val="center"/>
            <w:hideMark/>
          </w:tcPr>
          <w:p w:rsidR="00891A96" w:rsidRPr="009907EE" w:rsidRDefault="00891A96" w:rsidP="00891A96">
            <w:pPr>
              <w:jc w:val="right"/>
              <w:rPr>
                <w:rFonts w:cs="Calibri"/>
                <w:b/>
                <w:bCs/>
                <w:color w:val="000000"/>
                <w:sz w:val="18"/>
                <w:szCs w:val="18"/>
                <w:lang w:eastAsia="en-GB"/>
              </w:rPr>
            </w:pPr>
            <w:r w:rsidRPr="009907EE">
              <w:rPr>
                <w:rFonts w:cs="Calibri"/>
                <w:b/>
                <w:bCs/>
                <w:color w:val="000000"/>
                <w:sz w:val="18"/>
                <w:szCs w:val="18"/>
                <w:lang w:eastAsia="en-GB"/>
              </w:rPr>
              <w:t>0.0</w:t>
            </w:r>
          </w:p>
        </w:tc>
        <w:tc>
          <w:tcPr>
            <w:tcW w:w="1000" w:type="dxa"/>
            <w:tcBorders>
              <w:top w:val="nil"/>
              <w:left w:val="nil"/>
              <w:bottom w:val="single" w:sz="8" w:space="0" w:color="auto"/>
              <w:right w:val="single" w:sz="8" w:space="0" w:color="auto"/>
            </w:tcBorders>
            <w:shd w:val="clear" w:color="auto" w:fill="auto"/>
            <w:noWrap/>
            <w:vAlign w:val="center"/>
            <w:hideMark/>
          </w:tcPr>
          <w:p w:rsidR="00891A96" w:rsidRPr="009907EE" w:rsidRDefault="00891A96" w:rsidP="00891A96">
            <w:pPr>
              <w:jc w:val="right"/>
              <w:rPr>
                <w:rFonts w:cs="Calibri"/>
                <w:color w:val="000000"/>
                <w:sz w:val="18"/>
                <w:szCs w:val="18"/>
                <w:lang w:eastAsia="en-GB"/>
              </w:rPr>
            </w:pPr>
            <w:r w:rsidRPr="009907EE">
              <w:rPr>
                <w:rFonts w:cs="Calibri"/>
                <w:color w:val="000000"/>
                <w:sz w:val="18"/>
                <w:szCs w:val="18"/>
                <w:lang w:eastAsia="en-GB"/>
              </w:rPr>
              <w:t>0.0</w:t>
            </w:r>
          </w:p>
        </w:tc>
      </w:tr>
      <w:tr w:rsidR="00891A96" w:rsidRPr="009907EE" w:rsidTr="00891A96">
        <w:trPr>
          <w:trHeight w:val="87"/>
        </w:trPr>
        <w:tc>
          <w:tcPr>
            <w:tcW w:w="3403" w:type="dxa"/>
            <w:tcBorders>
              <w:top w:val="nil"/>
              <w:left w:val="single" w:sz="8" w:space="0" w:color="auto"/>
              <w:bottom w:val="single" w:sz="8" w:space="0" w:color="auto"/>
              <w:right w:val="single" w:sz="8" w:space="0" w:color="auto"/>
            </w:tcBorders>
            <w:shd w:val="clear" w:color="auto" w:fill="auto"/>
            <w:vAlign w:val="center"/>
            <w:hideMark/>
          </w:tcPr>
          <w:p w:rsidR="00891A96" w:rsidRPr="009907EE" w:rsidRDefault="00891A96" w:rsidP="00891A96">
            <w:pPr>
              <w:rPr>
                <w:rFonts w:cs="Calibri"/>
                <w:color w:val="000000"/>
                <w:sz w:val="18"/>
                <w:szCs w:val="18"/>
                <w:lang w:eastAsia="en-GB"/>
              </w:rPr>
            </w:pPr>
            <w:r w:rsidRPr="009907EE">
              <w:rPr>
                <w:rFonts w:cs="Calibri"/>
                <w:color w:val="000000"/>
                <w:sz w:val="18"/>
                <w:szCs w:val="18"/>
                <w:lang w:eastAsia="en-GB"/>
              </w:rPr>
              <w:t>Other movements in Cost or Valuations</w:t>
            </w:r>
          </w:p>
        </w:tc>
        <w:tc>
          <w:tcPr>
            <w:tcW w:w="960" w:type="dxa"/>
            <w:tcBorders>
              <w:top w:val="nil"/>
              <w:left w:val="nil"/>
              <w:bottom w:val="single" w:sz="8" w:space="0" w:color="auto"/>
              <w:right w:val="nil"/>
            </w:tcBorders>
            <w:shd w:val="clear" w:color="auto" w:fill="auto"/>
            <w:noWrap/>
            <w:vAlign w:val="center"/>
            <w:hideMark/>
          </w:tcPr>
          <w:p w:rsidR="00891A96" w:rsidRPr="009907EE" w:rsidRDefault="00891A96" w:rsidP="00891A96">
            <w:pPr>
              <w:jc w:val="right"/>
              <w:rPr>
                <w:rFonts w:cs="Calibri"/>
                <w:color w:val="000000"/>
                <w:sz w:val="18"/>
                <w:szCs w:val="18"/>
                <w:lang w:eastAsia="en-GB"/>
              </w:rPr>
            </w:pPr>
            <w:r w:rsidRPr="009907EE">
              <w:rPr>
                <w:rFonts w:cs="Calibri"/>
                <w:color w:val="000000"/>
                <w:sz w:val="18"/>
                <w:szCs w:val="18"/>
                <w:lang w:eastAsia="en-GB"/>
              </w:rPr>
              <w:t>10.0</w:t>
            </w:r>
          </w:p>
        </w:tc>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891A96" w:rsidRPr="009907EE" w:rsidRDefault="00891A96" w:rsidP="00891A96">
            <w:pPr>
              <w:jc w:val="right"/>
              <w:rPr>
                <w:rFonts w:cs="Calibri"/>
                <w:color w:val="000000"/>
                <w:sz w:val="18"/>
                <w:szCs w:val="18"/>
                <w:lang w:eastAsia="en-GB"/>
              </w:rPr>
            </w:pPr>
            <w:r w:rsidRPr="009907EE">
              <w:rPr>
                <w:rFonts w:cs="Calibri"/>
                <w:color w:val="000000"/>
                <w:sz w:val="18"/>
                <w:szCs w:val="18"/>
                <w:lang w:eastAsia="en-GB"/>
              </w:rPr>
              <w:t>1.9</w:t>
            </w:r>
          </w:p>
        </w:tc>
        <w:tc>
          <w:tcPr>
            <w:tcW w:w="960" w:type="dxa"/>
            <w:tcBorders>
              <w:top w:val="nil"/>
              <w:left w:val="nil"/>
              <w:bottom w:val="single" w:sz="8" w:space="0" w:color="auto"/>
              <w:right w:val="single" w:sz="8" w:space="0" w:color="auto"/>
            </w:tcBorders>
            <w:shd w:val="clear" w:color="auto" w:fill="auto"/>
            <w:noWrap/>
            <w:vAlign w:val="center"/>
            <w:hideMark/>
          </w:tcPr>
          <w:p w:rsidR="00891A96" w:rsidRPr="009907EE" w:rsidRDefault="00891A96" w:rsidP="00891A96">
            <w:pPr>
              <w:jc w:val="right"/>
              <w:rPr>
                <w:rFonts w:cs="Calibri"/>
                <w:color w:val="000000"/>
                <w:sz w:val="18"/>
                <w:szCs w:val="18"/>
                <w:lang w:eastAsia="en-GB"/>
              </w:rPr>
            </w:pPr>
            <w:r w:rsidRPr="009907EE">
              <w:rPr>
                <w:rFonts w:cs="Calibri"/>
                <w:color w:val="000000"/>
                <w:sz w:val="18"/>
                <w:szCs w:val="18"/>
                <w:lang w:eastAsia="en-GB"/>
              </w:rPr>
              <w:t>0.0</w:t>
            </w:r>
          </w:p>
        </w:tc>
        <w:tc>
          <w:tcPr>
            <w:tcW w:w="960" w:type="dxa"/>
            <w:tcBorders>
              <w:top w:val="nil"/>
              <w:left w:val="nil"/>
              <w:bottom w:val="single" w:sz="8" w:space="0" w:color="auto"/>
              <w:right w:val="single" w:sz="8" w:space="0" w:color="auto"/>
            </w:tcBorders>
            <w:shd w:val="clear" w:color="auto" w:fill="auto"/>
            <w:noWrap/>
            <w:vAlign w:val="center"/>
            <w:hideMark/>
          </w:tcPr>
          <w:p w:rsidR="00891A96" w:rsidRPr="009907EE" w:rsidRDefault="00891A96" w:rsidP="00891A96">
            <w:pPr>
              <w:jc w:val="right"/>
              <w:rPr>
                <w:rFonts w:cs="Calibri"/>
                <w:color w:val="000000"/>
                <w:sz w:val="18"/>
                <w:szCs w:val="18"/>
                <w:lang w:eastAsia="en-GB"/>
              </w:rPr>
            </w:pPr>
            <w:r w:rsidRPr="009907EE">
              <w:rPr>
                <w:rFonts w:cs="Calibri"/>
                <w:color w:val="000000"/>
                <w:sz w:val="18"/>
                <w:szCs w:val="18"/>
                <w:lang w:eastAsia="en-GB"/>
              </w:rPr>
              <w:t>0.0</w:t>
            </w:r>
          </w:p>
        </w:tc>
        <w:tc>
          <w:tcPr>
            <w:tcW w:w="960" w:type="dxa"/>
            <w:tcBorders>
              <w:top w:val="nil"/>
              <w:left w:val="nil"/>
              <w:bottom w:val="single" w:sz="8" w:space="0" w:color="auto"/>
              <w:right w:val="single" w:sz="8" w:space="0" w:color="auto"/>
            </w:tcBorders>
            <w:shd w:val="clear" w:color="auto" w:fill="auto"/>
            <w:noWrap/>
            <w:vAlign w:val="center"/>
            <w:hideMark/>
          </w:tcPr>
          <w:p w:rsidR="00891A96" w:rsidRPr="009907EE" w:rsidRDefault="00891A96" w:rsidP="00891A96">
            <w:pPr>
              <w:jc w:val="right"/>
              <w:rPr>
                <w:rFonts w:cs="Calibri"/>
                <w:color w:val="000000"/>
                <w:sz w:val="18"/>
                <w:szCs w:val="18"/>
                <w:lang w:eastAsia="en-GB"/>
              </w:rPr>
            </w:pPr>
            <w:r w:rsidRPr="009907EE">
              <w:rPr>
                <w:rFonts w:cs="Calibri"/>
                <w:color w:val="000000"/>
                <w:sz w:val="18"/>
                <w:szCs w:val="18"/>
                <w:lang w:eastAsia="en-GB"/>
              </w:rPr>
              <w:t>0.0</w:t>
            </w:r>
          </w:p>
        </w:tc>
        <w:tc>
          <w:tcPr>
            <w:tcW w:w="1175" w:type="dxa"/>
            <w:tcBorders>
              <w:top w:val="nil"/>
              <w:left w:val="nil"/>
              <w:bottom w:val="single" w:sz="8" w:space="0" w:color="auto"/>
              <w:right w:val="single" w:sz="8" w:space="0" w:color="auto"/>
            </w:tcBorders>
            <w:shd w:val="clear" w:color="auto" w:fill="auto"/>
            <w:noWrap/>
            <w:vAlign w:val="center"/>
            <w:hideMark/>
          </w:tcPr>
          <w:p w:rsidR="00891A96" w:rsidRPr="009907EE" w:rsidRDefault="00891A96" w:rsidP="00891A96">
            <w:pPr>
              <w:jc w:val="right"/>
              <w:rPr>
                <w:rFonts w:cs="Calibri"/>
                <w:color w:val="000000"/>
                <w:sz w:val="18"/>
                <w:szCs w:val="18"/>
                <w:lang w:eastAsia="en-GB"/>
              </w:rPr>
            </w:pPr>
            <w:r w:rsidRPr="009907EE">
              <w:rPr>
                <w:rFonts w:cs="Calibri"/>
                <w:color w:val="000000"/>
                <w:sz w:val="18"/>
                <w:szCs w:val="18"/>
                <w:lang w:eastAsia="en-GB"/>
              </w:rPr>
              <w:t>(11.9)</w:t>
            </w:r>
          </w:p>
        </w:tc>
        <w:tc>
          <w:tcPr>
            <w:tcW w:w="960" w:type="dxa"/>
            <w:tcBorders>
              <w:top w:val="nil"/>
              <w:left w:val="nil"/>
              <w:bottom w:val="single" w:sz="8" w:space="0" w:color="auto"/>
              <w:right w:val="single" w:sz="8" w:space="0" w:color="auto"/>
            </w:tcBorders>
            <w:shd w:val="clear" w:color="auto" w:fill="auto"/>
            <w:noWrap/>
            <w:vAlign w:val="center"/>
            <w:hideMark/>
          </w:tcPr>
          <w:p w:rsidR="00891A96" w:rsidRPr="009907EE" w:rsidRDefault="00891A96" w:rsidP="00891A96">
            <w:pPr>
              <w:jc w:val="right"/>
              <w:rPr>
                <w:rFonts w:cs="Calibri"/>
                <w:b/>
                <w:bCs/>
                <w:color w:val="000000"/>
                <w:sz w:val="18"/>
                <w:szCs w:val="18"/>
                <w:lang w:eastAsia="en-GB"/>
              </w:rPr>
            </w:pPr>
            <w:r w:rsidRPr="009907EE">
              <w:rPr>
                <w:rFonts w:cs="Calibri"/>
                <w:b/>
                <w:bCs/>
                <w:color w:val="000000"/>
                <w:sz w:val="18"/>
                <w:szCs w:val="18"/>
                <w:lang w:eastAsia="en-GB"/>
              </w:rPr>
              <w:t>0.0</w:t>
            </w:r>
          </w:p>
        </w:tc>
        <w:tc>
          <w:tcPr>
            <w:tcW w:w="1000" w:type="dxa"/>
            <w:tcBorders>
              <w:top w:val="nil"/>
              <w:left w:val="nil"/>
              <w:bottom w:val="single" w:sz="8" w:space="0" w:color="auto"/>
              <w:right w:val="single" w:sz="8" w:space="0" w:color="auto"/>
            </w:tcBorders>
            <w:shd w:val="clear" w:color="auto" w:fill="auto"/>
            <w:noWrap/>
            <w:vAlign w:val="center"/>
            <w:hideMark/>
          </w:tcPr>
          <w:p w:rsidR="00891A96" w:rsidRPr="009907EE" w:rsidRDefault="00891A96" w:rsidP="00891A96">
            <w:pPr>
              <w:jc w:val="right"/>
              <w:rPr>
                <w:rFonts w:cs="Calibri"/>
                <w:color w:val="000000"/>
                <w:sz w:val="18"/>
                <w:szCs w:val="18"/>
                <w:lang w:eastAsia="en-GB"/>
              </w:rPr>
            </w:pPr>
            <w:r w:rsidRPr="009907EE">
              <w:rPr>
                <w:rFonts w:cs="Calibri"/>
                <w:color w:val="000000"/>
                <w:sz w:val="18"/>
                <w:szCs w:val="18"/>
                <w:lang w:eastAsia="en-GB"/>
              </w:rPr>
              <w:t>0.0</w:t>
            </w:r>
          </w:p>
        </w:tc>
      </w:tr>
      <w:tr w:rsidR="00891A96" w:rsidRPr="009907EE" w:rsidTr="00891A96">
        <w:trPr>
          <w:trHeight w:val="315"/>
        </w:trPr>
        <w:tc>
          <w:tcPr>
            <w:tcW w:w="3403" w:type="dxa"/>
            <w:tcBorders>
              <w:top w:val="nil"/>
              <w:left w:val="single" w:sz="8" w:space="0" w:color="auto"/>
              <w:bottom w:val="single" w:sz="8" w:space="0" w:color="auto"/>
              <w:right w:val="single" w:sz="8" w:space="0" w:color="auto"/>
            </w:tcBorders>
            <w:shd w:val="clear" w:color="auto" w:fill="auto"/>
            <w:vAlign w:val="center"/>
            <w:hideMark/>
          </w:tcPr>
          <w:p w:rsidR="00891A96" w:rsidRPr="009907EE" w:rsidRDefault="00891A96" w:rsidP="00891A96">
            <w:pPr>
              <w:rPr>
                <w:rFonts w:cs="Calibri"/>
                <w:b/>
                <w:bCs/>
                <w:color w:val="000000"/>
                <w:sz w:val="18"/>
                <w:szCs w:val="18"/>
                <w:lang w:eastAsia="en-GB"/>
              </w:rPr>
            </w:pPr>
            <w:r w:rsidRPr="009907EE">
              <w:rPr>
                <w:rFonts w:cs="Calibri"/>
                <w:b/>
                <w:bCs/>
                <w:color w:val="000000"/>
                <w:sz w:val="18"/>
                <w:szCs w:val="18"/>
                <w:lang w:eastAsia="en-GB"/>
              </w:rPr>
              <w:t>At 31 March 2020</w:t>
            </w:r>
          </w:p>
        </w:tc>
        <w:tc>
          <w:tcPr>
            <w:tcW w:w="960" w:type="dxa"/>
            <w:tcBorders>
              <w:top w:val="nil"/>
              <w:left w:val="nil"/>
              <w:bottom w:val="single" w:sz="8" w:space="0" w:color="auto"/>
              <w:right w:val="nil"/>
            </w:tcBorders>
            <w:shd w:val="clear" w:color="auto" w:fill="auto"/>
            <w:noWrap/>
            <w:vAlign w:val="center"/>
            <w:hideMark/>
          </w:tcPr>
          <w:p w:rsidR="00891A96" w:rsidRPr="009907EE" w:rsidRDefault="00891A96" w:rsidP="00891A96">
            <w:pPr>
              <w:jc w:val="right"/>
              <w:rPr>
                <w:rFonts w:cs="Calibri"/>
                <w:b/>
                <w:bCs/>
                <w:color w:val="000000"/>
                <w:sz w:val="18"/>
                <w:szCs w:val="18"/>
                <w:lang w:eastAsia="en-GB"/>
              </w:rPr>
            </w:pPr>
            <w:r w:rsidRPr="009907EE">
              <w:rPr>
                <w:rFonts w:cs="Calibri"/>
                <w:b/>
                <w:bCs/>
                <w:color w:val="000000"/>
                <w:sz w:val="18"/>
                <w:szCs w:val="18"/>
                <w:lang w:eastAsia="en-GB"/>
              </w:rPr>
              <w:t>626.0</w:t>
            </w:r>
          </w:p>
        </w:tc>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891A96" w:rsidRPr="009907EE" w:rsidRDefault="00891A96" w:rsidP="00891A96">
            <w:pPr>
              <w:jc w:val="right"/>
              <w:rPr>
                <w:rFonts w:cs="Calibri"/>
                <w:b/>
                <w:bCs/>
                <w:color w:val="000000"/>
                <w:sz w:val="18"/>
                <w:szCs w:val="18"/>
                <w:lang w:eastAsia="en-GB"/>
              </w:rPr>
            </w:pPr>
            <w:r w:rsidRPr="009907EE">
              <w:rPr>
                <w:rFonts w:cs="Calibri"/>
                <w:b/>
                <w:bCs/>
                <w:color w:val="000000"/>
                <w:sz w:val="18"/>
                <w:szCs w:val="18"/>
                <w:lang w:eastAsia="en-GB"/>
              </w:rPr>
              <w:t>1,158.5</w:t>
            </w:r>
          </w:p>
        </w:tc>
        <w:tc>
          <w:tcPr>
            <w:tcW w:w="960" w:type="dxa"/>
            <w:tcBorders>
              <w:top w:val="nil"/>
              <w:left w:val="nil"/>
              <w:bottom w:val="single" w:sz="8" w:space="0" w:color="auto"/>
              <w:right w:val="single" w:sz="8" w:space="0" w:color="auto"/>
            </w:tcBorders>
            <w:shd w:val="clear" w:color="auto" w:fill="auto"/>
            <w:noWrap/>
            <w:vAlign w:val="center"/>
            <w:hideMark/>
          </w:tcPr>
          <w:p w:rsidR="00891A96" w:rsidRPr="009907EE" w:rsidRDefault="00891A96" w:rsidP="00891A96">
            <w:pPr>
              <w:jc w:val="right"/>
              <w:rPr>
                <w:rFonts w:cs="Calibri"/>
                <w:b/>
                <w:bCs/>
                <w:color w:val="000000"/>
                <w:sz w:val="18"/>
                <w:szCs w:val="18"/>
                <w:lang w:eastAsia="en-GB"/>
              </w:rPr>
            </w:pPr>
            <w:r w:rsidRPr="009907EE">
              <w:rPr>
                <w:rFonts w:cs="Calibri"/>
                <w:b/>
                <w:bCs/>
                <w:color w:val="000000"/>
                <w:sz w:val="18"/>
                <w:szCs w:val="18"/>
                <w:lang w:eastAsia="en-GB"/>
              </w:rPr>
              <w:t>55.7</w:t>
            </w:r>
          </w:p>
        </w:tc>
        <w:tc>
          <w:tcPr>
            <w:tcW w:w="960" w:type="dxa"/>
            <w:tcBorders>
              <w:top w:val="nil"/>
              <w:left w:val="nil"/>
              <w:bottom w:val="single" w:sz="8" w:space="0" w:color="auto"/>
              <w:right w:val="single" w:sz="8" w:space="0" w:color="auto"/>
            </w:tcBorders>
            <w:shd w:val="clear" w:color="auto" w:fill="auto"/>
            <w:noWrap/>
            <w:vAlign w:val="center"/>
            <w:hideMark/>
          </w:tcPr>
          <w:p w:rsidR="00891A96" w:rsidRPr="009907EE" w:rsidRDefault="00891A96" w:rsidP="00891A96">
            <w:pPr>
              <w:jc w:val="right"/>
              <w:rPr>
                <w:rFonts w:cs="Calibri"/>
                <w:b/>
                <w:bCs/>
                <w:color w:val="000000"/>
                <w:sz w:val="18"/>
                <w:szCs w:val="18"/>
                <w:lang w:eastAsia="en-GB"/>
              </w:rPr>
            </w:pPr>
            <w:r w:rsidRPr="009907EE">
              <w:rPr>
                <w:rFonts w:cs="Calibri"/>
                <w:b/>
                <w:bCs/>
                <w:color w:val="000000"/>
                <w:sz w:val="18"/>
                <w:szCs w:val="18"/>
                <w:lang w:eastAsia="en-GB"/>
              </w:rPr>
              <w:t>291.5</w:t>
            </w:r>
          </w:p>
        </w:tc>
        <w:tc>
          <w:tcPr>
            <w:tcW w:w="960" w:type="dxa"/>
            <w:tcBorders>
              <w:top w:val="nil"/>
              <w:left w:val="nil"/>
              <w:bottom w:val="single" w:sz="8" w:space="0" w:color="auto"/>
              <w:right w:val="single" w:sz="8" w:space="0" w:color="auto"/>
            </w:tcBorders>
            <w:shd w:val="clear" w:color="auto" w:fill="auto"/>
            <w:noWrap/>
            <w:vAlign w:val="center"/>
            <w:hideMark/>
          </w:tcPr>
          <w:p w:rsidR="00891A96" w:rsidRPr="009907EE" w:rsidRDefault="00891A96" w:rsidP="00891A96">
            <w:pPr>
              <w:jc w:val="right"/>
              <w:rPr>
                <w:rFonts w:cs="Calibri"/>
                <w:b/>
                <w:bCs/>
                <w:color w:val="000000"/>
                <w:sz w:val="18"/>
                <w:szCs w:val="18"/>
                <w:lang w:eastAsia="en-GB"/>
              </w:rPr>
            </w:pPr>
            <w:r w:rsidRPr="009907EE">
              <w:rPr>
                <w:rFonts w:cs="Calibri"/>
                <w:b/>
                <w:bCs/>
                <w:color w:val="000000"/>
                <w:sz w:val="18"/>
                <w:szCs w:val="18"/>
                <w:lang w:eastAsia="en-GB"/>
              </w:rPr>
              <w:t>8.2</w:t>
            </w:r>
          </w:p>
        </w:tc>
        <w:tc>
          <w:tcPr>
            <w:tcW w:w="1175" w:type="dxa"/>
            <w:tcBorders>
              <w:top w:val="nil"/>
              <w:left w:val="nil"/>
              <w:bottom w:val="single" w:sz="8" w:space="0" w:color="auto"/>
              <w:right w:val="single" w:sz="8" w:space="0" w:color="auto"/>
            </w:tcBorders>
            <w:shd w:val="clear" w:color="auto" w:fill="auto"/>
            <w:noWrap/>
            <w:vAlign w:val="center"/>
            <w:hideMark/>
          </w:tcPr>
          <w:p w:rsidR="00891A96" w:rsidRPr="009907EE" w:rsidRDefault="00891A96" w:rsidP="00891A96">
            <w:pPr>
              <w:jc w:val="right"/>
              <w:rPr>
                <w:rFonts w:cs="Calibri"/>
                <w:b/>
                <w:bCs/>
                <w:color w:val="000000"/>
                <w:sz w:val="18"/>
                <w:szCs w:val="18"/>
                <w:lang w:eastAsia="en-GB"/>
              </w:rPr>
            </w:pPr>
            <w:r w:rsidRPr="009907EE">
              <w:rPr>
                <w:rFonts w:cs="Calibri"/>
                <w:b/>
                <w:bCs/>
                <w:color w:val="000000"/>
                <w:sz w:val="18"/>
                <w:szCs w:val="18"/>
                <w:lang w:eastAsia="en-GB"/>
              </w:rPr>
              <w:t>155.9</w:t>
            </w:r>
          </w:p>
        </w:tc>
        <w:tc>
          <w:tcPr>
            <w:tcW w:w="960" w:type="dxa"/>
            <w:tcBorders>
              <w:top w:val="nil"/>
              <w:left w:val="nil"/>
              <w:bottom w:val="single" w:sz="8" w:space="0" w:color="auto"/>
              <w:right w:val="single" w:sz="8" w:space="0" w:color="auto"/>
            </w:tcBorders>
            <w:shd w:val="clear" w:color="auto" w:fill="auto"/>
            <w:noWrap/>
            <w:vAlign w:val="center"/>
            <w:hideMark/>
          </w:tcPr>
          <w:p w:rsidR="00891A96" w:rsidRPr="009907EE" w:rsidRDefault="00891A96" w:rsidP="00891A96">
            <w:pPr>
              <w:jc w:val="right"/>
              <w:rPr>
                <w:rFonts w:cs="Calibri"/>
                <w:b/>
                <w:bCs/>
                <w:color w:val="000000"/>
                <w:sz w:val="18"/>
                <w:szCs w:val="18"/>
                <w:lang w:eastAsia="en-GB"/>
              </w:rPr>
            </w:pPr>
            <w:r w:rsidRPr="009907EE">
              <w:rPr>
                <w:rFonts w:cs="Calibri"/>
                <w:b/>
                <w:bCs/>
                <w:color w:val="000000"/>
                <w:sz w:val="18"/>
                <w:szCs w:val="18"/>
                <w:lang w:eastAsia="en-GB"/>
              </w:rPr>
              <w:t>2,295.7</w:t>
            </w:r>
          </w:p>
        </w:tc>
        <w:tc>
          <w:tcPr>
            <w:tcW w:w="1000" w:type="dxa"/>
            <w:tcBorders>
              <w:top w:val="nil"/>
              <w:left w:val="nil"/>
              <w:bottom w:val="single" w:sz="8" w:space="0" w:color="auto"/>
              <w:right w:val="single" w:sz="8" w:space="0" w:color="auto"/>
            </w:tcBorders>
            <w:shd w:val="clear" w:color="auto" w:fill="auto"/>
            <w:noWrap/>
            <w:vAlign w:val="center"/>
            <w:hideMark/>
          </w:tcPr>
          <w:p w:rsidR="00891A96" w:rsidRPr="009907EE" w:rsidRDefault="00891A96" w:rsidP="00891A96">
            <w:pPr>
              <w:jc w:val="right"/>
              <w:rPr>
                <w:rFonts w:cs="Calibri"/>
                <w:b/>
                <w:bCs/>
                <w:color w:val="000000"/>
                <w:sz w:val="18"/>
                <w:szCs w:val="18"/>
                <w:lang w:eastAsia="en-GB"/>
              </w:rPr>
            </w:pPr>
            <w:r w:rsidRPr="009907EE">
              <w:rPr>
                <w:rFonts w:cs="Calibri"/>
                <w:b/>
                <w:bCs/>
                <w:color w:val="000000"/>
                <w:sz w:val="18"/>
                <w:szCs w:val="18"/>
                <w:lang w:eastAsia="en-GB"/>
              </w:rPr>
              <w:t>126.9</w:t>
            </w:r>
          </w:p>
        </w:tc>
      </w:tr>
      <w:tr w:rsidR="00891A96" w:rsidRPr="009907EE" w:rsidTr="00891A96">
        <w:trPr>
          <w:trHeight w:val="330"/>
        </w:trPr>
        <w:tc>
          <w:tcPr>
            <w:tcW w:w="4364" w:type="dxa"/>
            <w:gridSpan w:val="2"/>
            <w:tcBorders>
              <w:top w:val="single" w:sz="8" w:space="0" w:color="auto"/>
              <w:left w:val="nil"/>
              <w:bottom w:val="single" w:sz="8" w:space="0" w:color="auto"/>
              <w:right w:val="nil"/>
            </w:tcBorders>
            <w:shd w:val="clear" w:color="auto" w:fill="auto"/>
            <w:noWrap/>
            <w:vAlign w:val="center"/>
            <w:hideMark/>
          </w:tcPr>
          <w:p w:rsidR="00891A96" w:rsidRPr="009907EE" w:rsidRDefault="00891A96" w:rsidP="00891A96">
            <w:pPr>
              <w:rPr>
                <w:rFonts w:cs="Calibri"/>
                <w:b/>
                <w:bCs/>
                <w:color w:val="000000"/>
                <w:sz w:val="18"/>
                <w:szCs w:val="18"/>
                <w:lang w:eastAsia="en-GB"/>
              </w:rPr>
            </w:pPr>
            <w:r w:rsidRPr="009907EE">
              <w:rPr>
                <w:rFonts w:cs="Calibri"/>
                <w:b/>
                <w:bCs/>
                <w:color w:val="000000"/>
                <w:sz w:val="18"/>
                <w:szCs w:val="18"/>
                <w:lang w:eastAsia="en-GB"/>
              </w:rPr>
              <w:t> </w:t>
            </w:r>
            <w:r w:rsidRPr="009907EE">
              <w:rPr>
                <w:rFonts w:cs="Calibri"/>
                <w:color w:val="000000"/>
                <w:lang w:eastAsia="en-GB"/>
              </w:rPr>
              <w:t xml:space="preserve"> </w:t>
            </w:r>
            <w:r w:rsidRPr="009907EE">
              <w:rPr>
                <w:rFonts w:cs="Calibri"/>
                <w:b/>
                <w:bCs/>
                <w:color w:val="000000"/>
                <w:sz w:val="18"/>
                <w:szCs w:val="18"/>
                <w:lang w:eastAsia="en-GB"/>
              </w:rPr>
              <w:t>Depreciation and Impairments</w:t>
            </w:r>
          </w:p>
        </w:tc>
        <w:tc>
          <w:tcPr>
            <w:tcW w:w="960" w:type="dxa"/>
            <w:tcBorders>
              <w:top w:val="nil"/>
              <w:left w:val="nil"/>
              <w:bottom w:val="single" w:sz="8" w:space="0" w:color="auto"/>
              <w:right w:val="nil"/>
            </w:tcBorders>
            <w:shd w:val="clear" w:color="auto" w:fill="auto"/>
            <w:noWrap/>
            <w:vAlign w:val="center"/>
            <w:hideMark/>
          </w:tcPr>
          <w:p w:rsidR="00891A96" w:rsidRPr="009907EE" w:rsidRDefault="00891A96" w:rsidP="00891A96">
            <w:pPr>
              <w:rPr>
                <w:rFonts w:cs="Calibri"/>
                <w:b/>
                <w:bCs/>
                <w:color w:val="000000"/>
                <w:sz w:val="18"/>
                <w:szCs w:val="18"/>
                <w:lang w:eastAsia="en-GB"/>
              </w:rPr>
            </w:pPr>
            <w:r w:rsidRPr="009907EE">
              <w:rPr>
                <w:rFonts w:cs="Calibri"/>
                <w:b/>
                <w:bCs/>
                <w:color w:val="000000"/>
                <w:sz w:val="18"/>
                <w:szCs w:val="18"/>
                <w:lang w:eastAsia="en-GB"/>
              </w:rPr>
              <w:t> </w:t>
            </w:r>
          </w:p>
        </w:tc>
        <w:tc>
          <w:tcPr>
            <w:tcW w:w="960" w:type="dxa"/>
            <w:tcBorders>
              <w:top w:val="nil"/>
              <w:left w:val="nil"/>
              <w:bottom w:val="single" w:sz="8" w:space="0" w:color="auto"/>
              <w:right w:val="nil"/>
            </w:tcBorders>
            <w:shd w:val="clear" w:color="auto" w:fill="auto"/>
            <w:noWrap/>
            <w:vAlign w:val="center"/>
            <w:hideMark/>
          </w:tcPr>
          <w:p w:rsidR="00891A96" w:rsidRPr="009907EE" w:rsidRDefault="00891A96" w:rsidP="00891A96">
            <w:pPr>
              <w:rPr>
                <w:rFonts w:cs="Calibri"/>
                <w:b/>
                <w:bCs/>
                <w:color w:val="000000"/>
                <w:sz w:val="18"/>
                <w:szCs w:val="18"/>
                <w:lang w:eastAsia="en-GB"/>
              </w:rPr>
            </w:pPr>
            <w:r w:rsidRPr="009907EE">
              <w:rPr>
                <w:rFonts w:cs="Calibri"/>
                <w:b/>
                <w:bCs/>
                <w:color w:val="000000"/>
                <w:sz w:val="18"/>
                <w:szCs w:val="18"/>
                <w:lang w:eastAsia="en-GB"/>
              </w:rPr>
              <w:t> </w:t>
            </w:r>
          </w:p>
        </w:tc>
        <w:tc>
          <w:tcPr>
            <w:tcW w:w="960" w:type="dxa"/>
            <w:tcBorders>
              <w:top w:val="nil"/>
              <w:left w:val="nil"/>
              <w:bottom w:val="single" w:sz="8" w:space="0" w:color="auto"/>
              <w:right w:val="nil"/>
            </w:tcBorders>
            <w:shd w:val="clear" w:color="auto" w:fill="auto"/>
            <w:noWrap/>
            <w:vAlign w:val="center"/>
            <w:hideMark/>
          </w:tcPr>
          <w:p w:rsidR="00891A96" w:rsidRPr="009907EE" w:rsidRDefault="00891A96" w:rsidP="00891A96">
            <w:pPr>
              <w:rPr>
                <w:rFonts w:cs="Calibri"/>
                <w:b/>
                <w:bCs/>
                <w:color w:val="000000"/>
                <w:sz w:val="18"/>
                <w:szCs w:val="18"/>
                <w:lang w:eastAsia="en-GB"/>
              </w:rPr>
            </w:pPr>
            <w:r w:rsidRPr="009907EE">
              <w:rPr>
                <w:rFonts w:cs="Calibri"/>
                <w:b/>
                <w:bCs/>
                <w:color w:val="000000"/>
                <w:sz w:val="18"/>
                <w:szCs w:val="18"/>
                <w:lang w:eastAsia="en-GB"/>
              </w:rPr>
              <w:t> </w:t>
            </w:r>
          </w:p>
        </w:tc>
        <w:tc>
          <w:tcPr>
            <w:tcW w:w="960" w:type="dxa"/>
            <w:tcBorders>
              <w:top w:val="nil"/>
              <w:left w:val="nil"/>
              <w:bottom w:val="single" w:sz="8" w:space="0" w:color="auto"/>
              <w:right w:val="nil"/>
            </w:tcBorders>
            <w:shd w:val="clear" w:color="auto" w:fill="auto"/>
            <w:noWrap/>
            <w:vAlign w:val="center"/>
            <w:hideMark/>
          </w:tcPr>
          <w:p w:rsidR="00891A96" w:rsidRPr="009907EE" w:rsidRDefault="00891A96" w:rsidP="00891A96">
            <w:pPr>
              <w:rPr>
                <w:rFonts w:cs="Calibri"/>
                <w:color w:val="000000"/>
                <w:sz w:val="18"/>
                <w:szCs w:val="18"/>
                <w:lang w:eastAsia="en-GB"/>
              </w:rPr>
            </w:pPr>
            <w:r w:rsidRPr="009907EE">
              <w:rPr>
                <w:rFonts w:cs="Calibri"/>
                <w:color w:val="000000"/>
                <w:sz w:val="18"/>
                <w:szCs w:val="18"/>
                <w:lang w:eastAsia="en-GB"/>
              </w:rPr>
              <w:t> </w:t>
            </w:r>
          </w:p>
        </w:tc>
        <w:tc>
          <w:tcPr>
            <w:tcW w:w="1175" w:type="dxa"/>
            <w:tcBorders>
              <w:top w:val="nil"/>
              <w:left w:val="nil"/>
              <w:bottom w:val="single" w:sz="8" w:space="0" w:color="auto"/>
              <w:right w:val="nil"/>
            </w:tcBorders>
            <w:shd w:val="clear" w:color="auto" w:fill="auto"/>
            <w:noWrap/>
            <w:vAlign w:val="center"/>
            <w:hideMark/>
          </w:tcPr>
          <w:p w:rsidR="00891A96" w:rsidRPr="009907EE" w:rsidRDefault="00891A96" w:rsidP="00891A96">
            <w:pPr>
              <w:rPr>
                <w:rFonts w:cs="Calibri"/>
                <w:color w:val="000000"/>
                <w:sz w:val="18"/>
                <w:szCs w:val="18"/>
                <w:lang w:eastAsia="en-GB"/>
              </w:rPr>
            </w:pPr>
            <w:r w:rsidRPr="009907EE">
              <w:rPr>
                <w:rFonts w:cs="Calibri"/>
                <w:color w:val="000000"/>
                <w:sz w:val="18"/>
                <w:szCs w:val="18"/>
                <w:lang w:eastAsia="en-GB"/>
              </w:rPr>
              <w:t> </w:t>
            </w:r>
          </w:p>
        </w:tc>
        <w:tc>
          <w:tcPr>
            <w:tcW w:w="960" w:type="dxa"/>
            <w:tcBorders>
              <w:top w:val="nil"/>
              <w:left w:val="nil"/>
              <w:bottom w:val="single" w:sz="8" w:space="0" w:color="auto"/>
              <w:right w:val="nil"/>
            </w:tcBorders>
            <w:shd w:val="clear" w:color="auto" w:fill="auto"/>
            <w:noWrap/>
            <w:vAlign w:val="center"/>
            <w:hideMark/>
          </w:tcPr>
          <w:p w:rsidR="00891A96" w:rsidRPr="009907EE" w:rsidRDefault="00891A96" w:rsidP="00891A96">
            <w:pPr>
              <w:rPr>
                <w:rFonts w:cs="Calibri"/>
                <w:color w:val="000000"/>
                <w:sz w:val="18"/>
                <w:szCs w:val="18"/>
                <w:lang w:eastAsia="en-GB"/>
              </w:rPr>
            </w:pPr>
            <w:r w:rsidRPr="009907EE">
              <w:rPr>
                <w:rFonts w:cs="Calibri"/>
                <w:color w:val="000000"/>
                <w:sz w:val="18"/>
                <w:szCs w:val="18"/>
                <w:lang w:eastAsia="en-GB"/>
              </w:rPr>
              <w:t> </w:t>
            </w:r>
          </w:p>
        </w:tc>
        <w:tc>
          <w:tcPr>
            <w:tcW w:w="1000" w:type="dxa"/>
            <w:tcBorders>
              <w:top w:val="nil"/>
              <w:left w:val="nil"/>
              <w:bottom w:val="single" w:sz="8" w:space="0" w:color="auto"/>
              <w:right w:val="nil"/>
            </w:tcBorders>
            <w:shd w:val="clear" w:color="auto" w:fill="auto"/>
            <w:noWrap/>
            <w:vAlign w:val="center"/>
            <w:hideMark/>
          </w:tcPr>
          <w:p w:rsidR="00891A96" w:rsidRPr="009907EE" w:rsidRDefault="00891A96" w:rsidP="00891A96">
            <w:pPr>
              <w:rPr>
                <w:rFonts w:cs="Calibri"/>
                <w:color w:val="000000"/>
                <w:sz w:val="18"/>
                <w:szCs w:val="18"/>
                <w:lang w:eastAsia="en-GB"/>
              </w:rPr>
            </w:pPr>
            <w:r w:rsidRPr="009907EE">
              <w:rPr>
                <w:rFonts w:cs="Calibri"/>
                <w:color w:val="000000"/>
                <w:sz w:val="18"/>
                <w:szCs w:val="18"/>
                <w:lang w:eastAsia="en-GB"/>
              </w:rPr>
              <w:t> </w:t>
            </w:r>
          </w:p>
        </w:tc>
      </w:tr>
      <w:tr w:rsidR="00891A96" w:rsidRPr="009907EE" w:rsidTr="00891A96">
        <w:trPr>
          <w:trHeight w:val="315"/>
        </w:trPr>
        <w:tc>
          <w:tcPr>
            <w:tcW w:w="3403" w:type="dxa"/>
            <w:tcBorders>
              <w:top w:val="nil"/>
              <w:left w:val="single" w:sz="8" w:space="0" w:color="auto"/>
              <w:bottom w:val="single" w:sz="8" w:space="0" w:color="auto"/>
              <w:right w:val="single" w:sz="8" w:space="0" w:color="auto"/>
            </w:tcBorders>
            <w:shd w:val="clear" w:color="auto" w:fill="auto"/>
            <w:vAlign w:val="center"/>
            <w:hideMark/>
          </w:tcPr>
          <w:p w:rsidR="00891A96" w:rsidRPr="009907EE" w:rsidRDefault="00891A96" w:rsidP="00891A96">
            <w:pPr>
              <w:rPr>
                <w:rFonts w:cs="Calibri"/>
                <w:b/>
                <w:bCs/>
                <w:color w:val="000000"/>
                <w:sz w:val="18"/>
                <w:szCs w:val="18"/>
                <w:lang w:eastAsia="en-GB"/>
              </w:rPr>
            </w:pPr>
            <w:r w:rsidRPr="009907EE">
              <w:rPr>
                <w:rFonts w:cs="Calibri"/>
                <w:b/>
                <w:bCs/>
                <w:color w:val="000000"/>
                <w:sz w:val="18"/>
                <w:szCs w:val="18"/>
                <w:lang w:eastAsia="en-GB"/>
              </w:rPr>
              <w:t>At 1 April 2019</w:t>
            </w:r>
          </w:p>
        </w:tc>
        <w:tc>
          <w:tcPr>
            <w:tcW w:w="960" w:type="dxa"/>
            <w:tcBorders>
              <w:top w:val="nil"/>
              <w:left w:val="nil"/>
              <w:bottom w:val="single" w:sz="8" w:space="0" w:color="auto"/>
              <w:right w:val="nil"/>
            </w:tcBorders>
            <w:shd w:val="clear" w:color="auto" w:fill="auto"/>
            <w:noWrap/>
            <w:vAlign w:val="center"/>
            <w:hideMark/>
          </w:tcPr>
          <w:p w:rsidR="00891A96" w:rsidRPr="009907EE" w:rsidRDefault="00891A96" w:rsidP="00891A96">
            <w:pPr>
              <w:jc w:val="right"/>
              <w:rPr>
                <w:rFonts w:cs="Calibri"/>
                <w:b/>
                <w:bCs/>
                <w:color w:val="000000"/>
                <w:sz w:val="18"/>
                <w:szCs w:val="18"/>
                <w:lang w:eastAsia="en-GB"/>
              </w:rPr>
            </w:pPr>
            <w:r w:rsidRPr="009907EE">
              <w:rPr>
                <w:rFonts w:cs="Calibri"/>
                <w:b/>
                <w:bCs/>
                <w:color w:val="000000"/>
                <w:sz w:val="18"/>
                <w:szCs w:val="18"/>
                <w:lang w:eastAsia="en-GB"/>
              </w:rPr>
              <w:t>(7.1)</w:t>
            </w:r>
          </w:p>
        </w:tc>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891A96" w:rsidRPr="009907EE" w:rsidRDefault="00891A96" w:rsidP="00891A96">
            <w:pPr>
              <w:jc w:val="right"/>
              <w:rPr>
                <w:rFonts w:cs="Calibri"/>
                <w:b/>
                <w:bCs/>
                <w:color w:val="000000"/>
                <w:sz w:val="18"/>
                <w:szCs w:val="18"/>
                <w:lang w:eastAsia="en-GB"/>
              </w:rPr>
            </w:pPr>
            <w:r w:rsidRPr="009907EE">
              <w:rPr>
                <w:rFonts w:cs="Calibri"/>
                <w:b/>
                <w:bCs/>
                <w:color w:val="000000"/>
                <w:sz w:val="18"/>
                <w:szCs w:val="18"/>
                <w:lang w:eastAsia="en-GB"/>
              </w:rPr>
              <w:t>(27.8)</w:t>
            </w:r>
          </w:p>
        </w:tc>
        <w:tc>
          <w:tcPr>
            <w:tcW w:w="960" w:type="dxa"/>
            <w:tcBorders>
              <w:top w:val="nil"/>
              <w:left w:val="nil"/>
              <w:bottom w:val="single" w:sz="8" w:space="0" w:color="auto"/>
              <w:right w:val="nil"/>
            </w:tcBorders>
            <w:shd w:val="clear" w:color="auto" w:fill="auto"/>
            <w:noWrap/>
            <w:vAlign w:val="center"/>
            <w:hideMark/>
          </w:tcPr>
          <w:p w:rsidR="00891A96" w:rsidRPr="009907EE" w:rsidRDefault="00891A96" w:rsidP="00891A96">
            <w:pPr>
              <w:jc w:val="right"/>
              <w:rPr>
                <w:rFonts w:cs="Calibri"/>
                <w:b/>
                <w:bCs/>
                <w:color w:val="000000"/>
                <w:sz w:val="18"/>
                <w:szCs w:val="18"/>
                <w:lang w:eastAsia="en-GB"/>
              </w:rPr>
            </w:pPr>
            <w:r w:rsidRPr="009907EE">
              <w:rPr>
                <w:rFonts w:cs="Calibri"/>
                <w:b/>
                <w:bCs/>
                <w:color w:val="000000"/>
                <w:sz w:val="18"/>
                <w:szCs w:val="18"/>
                <w:lang w:eastAsia="en-GB"/>
              </w:rPr>
              <w:t>(33.0)</w:t>
            </w:r>
          </w:p>
        </w:tc>
        <w:tc>
          <w:tcPr>
            <w:tcW w:w="960" w:type="dxa"/>
            <w:tcBorders>
              <w:top w:val="nil"/>
              <w:left w:val="single" w:sz="8" w:space="0" w:color="auto"/>
              <w:bottom w:val="single" w:sz="8" w:space="0" w:color="auto"/>
              <w:right w:val="nil"/>
            </w:tcBorders>
            <w:shd w:val="clear" w:color="auto" w:fill="auto"/>
            <w:noWrap/>
            <w:vAlign w:val="center"/>
            <w:hideMark/>
          </w:tcPr>
          <w:p w:rsidR="00891A96" w:rsidRPr="009907EE" w:rsidRDefault="00891A96" w:rsidP="00891A96">
            <w:pPr>
              <w:jc w:val="right"/>
              <w:rPr>
                <w:rFonts w:cs="Calibri"/>
                <w:b/>
                <w:bCs/>
                <w:color w:val="000000"/>
                <w:sz w:val="18"/>
                <w:szCs w:val="18"/>
                <w:lang w:eastAsia="en-GB"/>
              </w:rPr>
            </w:pPr>
            <w:r w:rsidRPr="009907EE">
              <w:rPr>
                <w:rFonts w:cs="Calibri"/>
                <w:b/>
                <w:bCs/>
                <w:color w:val="000000"/>
                <w:sz w:val="18"/>
                <w:szCs w:val="18"/>
                <w:lang w:eastAsia="en-GB"/>
              </w:rPr>
              <w:t>(77.9)</w:t>
            </w:r>
          </w:p>
        </w:tc>
        <w:tc>
          <w:tcPr>
            <w:tcW w:w="960" w:type="dxa"/>
            <w:tcBorders>
              <w:top w:val="nil"/>
              <w:left w:val="single" w:sz="8" w:space="0" w:color="auto"/>
              <w:bottom w:val="single" w:sz="8" w:space="0" w:color="auto"/>
              <w:right w:val="nil"/>
            </w:tcBorders>
            <w:shd w:val="clear" w:color="auto" w:fill="auto"/>
            <w:noWrap/>
            <w:vAlign w:val="center"/>
            <w:hideMark/>
          </w:tcPr>
          <w:p w:rsidR="00891A96" w:rsidRPr="009907EE" w:rsidRDefault="00891A96" w:rsidP="00891A96">
            <w:pPr>
              <w:jc w:val="right"/>
              <w:rPr>
                <w:rFonts w:cs="Calibri"/>
                <w:b/>
                <w:bCs/>
                <w:color w:val="000000"/>
                <w:sz w:val="18"/>
                <w:szCs w:val="18"/>
                <w:lang w:eastAsia="en-GB"/>
              </w:rPr>
            </w:pPr>
            <w:r w:rsidRPr="009907EE">
              <w:rPr>
                <w:rFonts w:cs="Calibri"/>
                <w:b/>
                <w:bCs/>
                <w:color w:val="000000"/>
                <w:sz w:val="18"/>
                <w:szCs w:val="18"/>
                <w:lang w:eastAsia="en-GB"/>
              </w:rPr>
              <w:t>0.0</w:t>
            </w:r>
          </w:p>
        </w:tc>
        <w:tc>
          <w:tcPr>
            <w:tcW w:w="1175" w:type="dxa"/>
            <w:tcBorders>
              <w:top w:val="nil"/>
              <w:left w:val="single" w:sz="8" w:space="0" w:color="auto"/>
              <w:bottom w:val="single" w:sz="8" w:space="0" w:color="auto"/>
              <w:right w:val="nil"/>
            </w:tcBorders>
            <w:shd w:val="clear" w:color="auto" w:fill="auto"/>
            <w:noWrap/>
            <w:vAlign w:val="center"/>
            <w:hideMark/>
          </w:tcPr>
          <w:p w:rsidR="00891A96" w:rsidRPr="009907EE" w:rsidRDefault="00891A96" w:rsidP="00891A96">
            <w:pPr>
              <w:jc w:val="right"/>
              <w:rPr>
                <w:rFonts w:cs="Calibri"/>
                <w:b/>
                <w:bCs/>
                <w:color w:val="000000"/>
                <w:sz w:val="18"/>
                <w:szCs w:val="18"/>
                <w:lang w:eastAsia="en-GB"/>
              </w:rPr>
            </w:pPr>
            <w:r w:rsidRPr="009907EE">
              <w:rPr>
                <w:rFonts w:cs="Calibri"/>
                <w:b/>
                <w:bCs/>
                <w:color w:val="000000"/>
                <w:sz w:val="18"/>
                <w:szCs w:val="18"/>
                <w:lang w:eastAsia="en-GB"/>
              </w:rPr>
              <w:t>0.0</w:t>
            </w:r>
          </w:p>
        </w:tc>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891A96" w:rsidRPr="009907EE" w:rsidRDefault="00891A96" w:rsidP="00891A96">
            <w:pPr>
              <w:jc w:val="right"/>
              <w:rPr>
                <w:rFonts w:cs="Calibri"/>
                <w:b/>
                <w:bCs/>
                <w:color w:val="000000"/>
                <w:sz w:val="18"/>
                <w:szCs w:val="18"/>
                <w:lang w:eastAsia="en-GB"/>
              </w:rPr>
            </w:pPr>
            <w:r w:rsidRPr="009907EE">
              <w:rPr>
                <w:rFonts w:cs="Calibri"/>
                <w:b/>
                <w:bCs/>
                <w:color w:val="000000"/>
                <w:sz w:val="18"/>
                <w:szCs w:val="18"/>
                <w:lang w:eastAsia="en-GB"/>
              </w:rPr>
              <w:t>(145.8)</w:t>
            </w:r>
          </w:p>
        </w:tc>
        <w:tc>
          <w:tcPr>
            <w:tcW w:w="1000" w:type="dxa"/>
            <w:tcBorders>
              <w:top w:val="nil"/>
              <w:left w:val="nil"/>
              <w:bottom w:val="single" w:sz="8" w:space="0" w:color="auto"/>
              <w:right w:val="single" w:sz="8" w:space="0" w:color="auto"/>
            </w:tcBorders>
            <w:shd w:val="clear" w:color="auto" w:fill="auto"/>
            <w:noWrap/>
            <w:vAlign w:val="center"/>
            <w:hideMark/>
          </w:tcPr>
          <w:p w:rsidR="00891A96" w:rsidRPr="009907EE" w:rsidRDefault="00891A96" w:rsidP="00891A96">
            <w:pPr>
              <w:jc w:val="right"/>
              <w:rPr>
                <w:rFonts w:cs="Calibri"/>
                <w:b/>
                <w:bCs/>
                <w:color w:val="000000"/>
                <w:sz w:val="18"/>
                <w:szCs w:val="18"/>
                <w:lang w:eastAsia="en-GB"/>
              </w:rPr>
            </w:pPr>
            <w:r w:rsidRPr="009907EE">
              <w:rPr>
                <w:rFonts w:cs="Calibri"/>
                <w:b/>
                <w:bCs/>
                <w:color w:val="000000"/>
                <w:sz w:val="18"/>
                <w:szCs w:val="18"/>
                <w:lang w:eastAsia="en-GB"/>
              </w:rPr>
              <w:t>(14.1)</w:t>
            </w:r>
          </w:p>
        </w:tc>
      </w:tr>
      <w:tr w:rsidR="00891A96" w:rsidRPr="009907EE" w:rsidTr="00891A96">
        <w:trPr>
          <w:trHeight w:val="315"/>
        </w:trPr>
        <w:tc>
          <w:tcPr>
            <w:tcW w:w="3403" w:type="dxa"/>
            <w:tcBorders>
              <w:top w:val="nil"/>
              <w:left w:val="single" w:sz="8" w:space="0" w:color="auto"/>
              <w:bottom w:val="single" w:sz="8" w:space="0" w:color="auto"/>
              <w:right w:val="single" w:sz="8" w:space="0" w:color="auto"/>
            </w:tcBorders>
            <w:shd w:val="clear" w:color="auto" w:fill="auto"/>
            <w:vAlign w:val="center"/>
            <w:hideMark/>
          </w:tcPr>
          <w:p w:rsidR="00891A96" w:rsidRPr="009907EE" w:rsidRDefault="00891A96" w:rsidP="00891A96">
            <w:pPr>
              <w:rPr>
                <w:rFonts w:cs="Calibri"/>
                <w:color w:val="000000"/>
                <w:sz w:val="18"/>
                <w:szCs w:val="18"/>
                <w:lang w:eastAsia="en-GB"/>
              </w:rPr>
            </w:pPr>
            <w:r w:rsidRPr="009907EE">
              <w:rPr>
                <w:rFonts w:cs="Calibri"/>
                <w:color w:val="000000"/>
                <w:sz w:val="18"/>
                <w:szCs w:val="18"/>
                <w:lang w:eastAsia="en-GB"/>
              </w:rPr>
              <w:t>Charge for 2019/20</w:t>
            </w:r>
          </w:p>
        </w:tc>
        <w:tc>
          <w:tcPr>
            <w:tcW w:w="960" w:type="dxa"/>
            <w:tcBorders>
              <w:top w:val="nil"/>
              <w:left w:val="nil"/>
              <w:bottom w:val="single" w:sz="8" w:space="0" w:color="auto"/>
              <w:right w:val="nil"/>
            </w:tcBorders>
            <w:shd w:val="clear" w:color="auto" w:fill="auto"/>
            <w:noWrap/>
            <w:vAlign w:val="center"/>
            <w:hideMark/>
          </w:tcPr>
          <w:p w:rsidR="00891A96" w:rsidRPr="009907EE" w:rsidRDefault="00891A96" w:rsidP="00891A96">
            <w:pPr>
              <w:jc w:val="right"/>
              <w:rPr>
                <w:rFonts w:cs="Calibri"/>
                <w:color w:val="000000"/>
                <w:sz w:val="18"/>
                <w:szCs w:val="18"/>
                <w:lang w:eastAsia="en-GB"/>
              </w:rPr>
            </w:pPr>
            <w:r w:rsidRPr="009907EE">
              <w:rPr>
                <w:rFonts w:cs="Calibri"/>
                <w:color w:val="000000"/>
                <w:sz w:val="18"/>
                <w:szCs w:val="18"/>
                <w:lang w:eastAsia="en-GB"/>
              </w:rPr>
              <w:t>(7.6)</w:t>
            </w:r>
          </w:p>
        </w:tc>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891A96" w:rsidRPr="009907EE" w:rsidRDefault="00891A96" w:rsidP="00891A96">
            <w:pPr>
              <w:jc w:val="right"/>
              <w:rPr>
                <w:rFonts w:cs="Calibri"/>
                <w:color w:val="000000"/>
                <w:sz w:val="18"/>
                <w:szCs w:val="18"/>
                <w:lang w:eastAsia="en-GB"/>
              </w:rPr>
            </w:pPr>
            <w:r w:rsidRPr="009907EE">
              <w:rPr>
                <w:rFonts w:cs="Calibri"/>
                <w:color w:val="000000"/>
                <w:sz w:val="18"/>
                <w:szCs w:val="18"/>
                <w:lang w:eastAsia="en-GB"/>
              </w:rPr>
              <w:t>(18.3)</w:t>
            </w:r>
          </w:p>
        </w:tc>
        <w:tc>
          <w:tcPr>
            <w:tcW w:w="960" w:type="dxa"/>
            <w:tcBorders>
              <w:top w:val="nil"/>
              <w:left w:val="nil"/>
              <w:bottom w:val="single" w:sz="8" w:space="0" w:color="auto"/>
              <w:right w:val="single" w:sz="8" w:space="0" w:color="auto"/>
            </w:tcBorders>
            <w:shd w:val="clear" w:color="auto" w:fill="auto"/>
            <w:noWrap/>
            <w:vAlign w:val="center"/>
            <w:hideMark/>
          </w:tcPr>
          <w:p w:rsidR="00891A96" w:rsidRPr="009907EE" w:rsidRDefault="00891A96" w:rsidP="00891A96">
            <w:pPr>
              <w:jc w:val="right"/>
              <w:rPr>
                <w:rFonts w:cs="Calibri"/>
                <w:color w:val="000000"/>
                <w:sz w:val="18"/>
                <w:szCs w:val="18"/>
                <w:lang w:eastAsia="en-GB"/>
              </w:rPr>
            </w:pPr>
            <w:r w:rsidRPr="009907EE">
              <w:rPr>
                <w:rFonts w:cs="Calibri"/>
                <w:color w:val="000000"/>
                <w:sz w:val="18"/>
                <w:szCs w:val="18"/>
                <w:lang w:eastAsia="en-GB"/>
              </w:rPr>
              <w:t>(3.5)</w:t>
            </w:r>
          </w:p>
        </w:tc>
        <w:tc>
          <w:tcPr>
            <w:tcW w:w="960" w:type="dxa"/>
            <w:tcBorders>
              <w:top w:val="nil"/>
              <w:left w:val="nil"/>
              <w:bottom w:val="single" w:sz="8" w:space="0" w:color="auto"/>
              <w:right w:val="single" w:sz="8" w:space="0" w:color="auto"/>
            </w:tcBorders>
            <w:shd w:val="clear" w:color="auto" w:fill="auto"/>
            <w:noWrap/>
            <w:vAlign w:val="center"/>
            <w:hideMark/>
          </w:tcPr>
          <w:p w:rsidR="00891A96" w:rsidRPr="009907EE" w:rsidRDefault="00891A96" w:rsidP="00891A96">
            <w:pPr>
              <w:jc w:val="right"/>
              <w:rPr>
                <w:rFonts w:cs="Calibri"/>
                <w:color w:val="000000"/>
                <w:sz w:val="18"/>
                <w:szCs w:val="18"/>
                <w:lang w:eastAsia="en-GB"/>
              </w:rPr>
            </w:pPr>
            <w:r w:rsidRPr="009907EE">
              <w:rPr>
                <w:rFonts w:cs="Calibri"/>
                <w:color w:val="000000"/>
                <w:sz w:val="18"/>
                <w:szCs w:val="18"/>
                <w:lang w:eastAsia="en-GB"/>
              </w:rPr>
              <w:t>(6.8)</w:t>
            </w:r>
          </w:p>
        </w:tc>
        <w:tc>
          <w:tcPr>
            <w:tcW w:w="960" w:type="dxa"/>
            <w:tcBorders>
              <w:top w:val="nil"/>
              <w:left w:val="nil"/>
              <w:bottom w:val="single" w:sz="8" w:space="0" w:color="auto"/>
              <w:right w:val="single" w:sz="8" w:space="0" w:color="auto"/>
            </w:tcBorders>
            <w:shd w:val="clear" w:color="auto" w:fill="auto"/>
            <w:noWrap/>
            <w:vAlign w:val="center"/>
            <w:hideMark/>
          </w:tcPr>
          <w:p w:rsidR="00891A96" w:rsidRPr="009907EE" w:rsidRDefault="00891A96" w:rsidP="00891A96">
            <w:pPr>
              <w:jc w:val="right"/>
              <w:rPr>
                <w:rFonts w:cs="Calibri"/>
                <w:color w:val="000000"/>
                <w:sz w:val="18"/>
                <w:szCs w:val="18"/>
                <w:lang w:eastAsia="en-GB"/>
              </w:rPr>
            </w:pPr>
            <w:r w:rsidRPr="009907EE">
              <w:rPr>
                <w:rFonts w:cs="Calibri"/>
                <w:color w:val="000000"/>
                <w:sz w:val="18"/>
                <w:szCs w:val="18"/>
                <w:lang w:eastAsia="en-GB"/>
              </w:rPr>
              <w:t>0.0</w:t>
            </w:r>
          </w:p>
        </w:tc>
        <w:tc>
          <w:tcPr>
            <w:tcW w:w="1175" w:type="dxa"/>
            <w:tcBorders>
              <w:top w:val="nil"/>
              <w:left w:val="nil"/>
              <w:bottom w:val="single" w:sz="8" w:space="0" w:color="auto"/>
              <w:right w:val="single" w:sz="8" w:space="0" w:color="auto"/>
            </w:tcBorders>
            <w:shd w:val="clear" w:color="auto" w:fill="auto"/>
            <w:noWrap/>
            <w:vAlign w:val="center"/>
            <w:hideMark/>
          </w:tcPr>
          <w:p w:rsidR="00891A96" w:rsidRPr="009907EE" w:rsidRDefault="00891A96" w:rsidP="00891A96">
            <w:pPr>
              <w:jc w:val="right"/>
              <w:rPr>
                <w:rFonts w:cs="Calibri"/>
                <w:color w:val="000000"/>
                <w:sz w:val="18"/>
                <w:szCs w:val="18"/>
                <w:lang w:eastAsia="en-GB"/>
              </w:rPr>
            </w:pPr>
            <w:r w:rsidRPr="009907EE">
              <w:rPr>
                <w:rFonts w:cs="Calibri"/>
                <w:color w:val="000000"/>
                <w:sz w:val="18"/>
                <w:szCs w:val="18"/>
                <w:lang w:eastAsia="en-GB"/>
              </w:rPr>
              <w:t>0.0</w:t>
            </w:r>
          </w:p>
        </w:tc>
        <w:tc>
          <w:tcPr>
            <w:tcW w:w="960" w:type="dxa"/>
            <w:tcBorders>
              <w:top w:val="nil"/>
              <w:left w:val="nil"/>
              <w:bottom w:val="single" w:sz="8" w:space="0" w:color="auto"/>
              <w:right w:val="single" w:sz="8" w:space="0" w:color="auto"/>
            </w:tcBorders>
            <w:shd w:val="clear" w:color="auto" w:fill="auto"/>
            <w:noWrap/>
            <w:vAlign w:val="center"/>
            <w:hideMark/>
          </w:tcPr>
          <w:p w:rsidR="00891A96" w:rsidRPr="009907EE" w:rsidRDefault="00891A96" w:rsidP="00891A96">
            <w:pPr>
              <w:jc w:val="right"/>
              <w:rPr>
                <w:rFonts w:cs="Calibri"/>
                <w:b/>
                <w:bCs/>
                <w:color w:val="000000"/>
                <w:sz w:val="18"/>
                <w:szCs w:val="18"/>
                <w:lang w:eastAsia="en-GB"/>
              </w:rPr>
            </w:pPr>
            <w:r w:rsidRPr="009907EE">
              <w:rPr>
                <w:rFonts w:cs="Calibri"/>
                <w:b/>
                <w:bCs/>
                <w:color w:val="000000"/>
                <w:sz w:val="18"/>
                <w:szCs w:val="18"/>
                <w:lang w:eastAsia="en-GB"/>
              </w:rPr>
              <w:t>(36.2)</w:t>
            </w:r>
          </w:p>
        </w:tc>
        <w:tc>
          <w:tcPr>
            <w:tcW w:w="1000" w:type="dxa"/>
            <w:tcBorders>
              <w:top w:val="nil"/>
              <w:left w:val="nil"/>
              <w:bottom w:val="single" w:sz="8" w:space="0" w:color="auto"/>
              <w:right w:val="single" w:sz="8" w:space="0" w:color="auto"/>
            </w:tcBorders>
            <w:shd w:val="clear" w:color="auto" w:fill="auto"/>
            <w:noWrap/>
            <w:vAlign w:val="center"/>
            <w:hideMark/>
          </w:tcPr>
          <w:p w:rsidR="00891A96" w:rsidRPr="009907EE" w:rsidRDefault="00891A96" w:rsidP="00891A96">
            <w:pPr>
              <w:jc w:val="right"/>
              <w:rPr>
                <w:rFonts w:cs="Calibri"/>
                <w:color w:val="000000"/>
                <w:sz w:val="18"/>
                <w:szCs w:val="18"/>
                <w:lang w:eastAsia="en-GB"/>
              </w:rPr>
            </w:pPr>
            <w:r w:rsidRPr="009907EE">
              <w:rPr>
                <w:rFonts w:cs="Calibri"/>
                <w:color w:val="000000"/>
                <w:sz w:val="18"/>
                <w:szCs w:val="18"/>
                <w:lang w:eastAsia="en-GB"/>
              </w:rPr>
              <w:t>(2.4)</w:t>
            </w:r>
          </w:p>
        </w:tc>
      </w:tr>
      <w:tr w:rsidR="00891A96" w:rsidRPr="009907EE" w:rsidTr="00891A96">
        <w:trPr>
          <w:trHeight w:val="72"/>
        </w:trPr>
        <w:tc>
          <w:tcPr>
            <w:tcW w:w="3403" w:type="dxa"/>
            <w:tcBorders>
              <w:top w:val="nil"/>
              <w:left w:val="single" w:sz="8" w:space="0" w:color="auto"/>
              <w:bottom w:val="single" w:sz="8" w:space="0" w:color="auto"/>
              <w:right w:val="single" w:sz="8" w:space="0" w:color="auto"/>
            </w:tcBorders>
            <w:shd w:val="clear" w:color="auto" w:fill="auto"/>
            <w:vAlign w:val="center"/>
            <w:hideMark/>
          </w:tcPr>
          <w:p w:rsidR="00891A96" w:rsidRPr="009907EE" w:rsidRDefault="00891A96" w:rsidP="00891A96">
            <w:pPr>
              <w:rPr>
                <w:rFonts w:cs="Calibri"/>
                <w:color w:val="000000"/>
                <w:sz w:val="18"/>
                <w:szCs w:val="18"/>
                <w:lang w:eastAsia="en-GB"/>
              </w:rPr>
            </w:pPr>
            <w:r w:rsidRPr="009907EE">
              <w:rPr>
                <w:rFonts w:cs="Calibri"/>
                <w:color w:val="000000"/>
                <w:sz w:val="18"/>
                <w:szCs w:val="18"/>
                <w:lang w:eastAsia="en-GB"/>
              </w:rPr>
              <w:t>Depreciation written out</w:t>
            </w:r>
          </w:p>
        </w:tc>
        <w:tc>
          <w:tcPr>
            <w:tcW w:w="960" w:type="dxa"/>
            <w:tcBorders>
              <w:top w:val="nil"/>
              <w:left w:val="nil"/>
              <w:bottom w:val="single" w:sz="8" w:space="0" w:color="auto"/>
              <w:right w:val="nil"/>
            </w:tcBorders>
            <w:shd w:val="clear" w:color="auto" w:fill="auto"/>
            <w:noWrap/>
            <w:vAlign w:val="center"/>
            <w:hideMark/>
          </w:tcPr>
          <w:p w:rsidR="00891A96" w:rsidRPr="009907EE" w:rsidRDefault="00891A96" w:rsidP="00891A96">
            <w:pPr>
              <w:jc w:val="right"/>
              <w:rPr>
                <w:rFonts w:cs="Calibri"/>
                <w:color w:val="000000"/>
                <w:sz w:val="18"/>
                <w:szCs w:val="18"/>
                <w:lang w:eastAsia="en-GB"/>
              </w:rPr>
            </w:pPr>
            <w:r w:rsidRPr="009907EE">
              <w:rPr>
                <w:rFonts w:cs="Calibri"/>
                <w:color w:val="000000"/>
                <w:sz w:val="18"/>
                <w:szCs w:val="18"/>
                <w:lang w:eastAsia="en-GB"/>
              </w:rPr>
              <w:t>7.4</w:t>
            </w:r>
          </w:p>
        </w:tc>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891A96" w:rsidRPr="009907EE" w:rsidRDefault="00891A96" w:rsidP="00891A96">
            <w:pPr>
              <w:jc w:val="right"/>
              <w:rPr>
                <w:rFonts w:cs="Calibri"/>
                <w:color w:val="000000"/>
                <w:sz w:val="18"/>
                <w:szCs w:val="18"/>
                <w:lang w:eastAsia="en-GB"/>
              </w:rPr>
            </w:pPr>
            <w:r w:rsidRPr="009907EE">
              <w:rPr>
                <w:rFonts w:cs="Calibri"/>
                <w:color w:val="000000"/>
                <w:sz w:val="18"/>
                <w:szCs w:val="18"/>
                <w:lang w:eastAsia="en-GB"/>
              </w:rPr>
              <w:t>23.8</w:t>
            </w:r>
          </w:p>
        </w:tc>
        <w:tc>
          <w:tcPr>
            <w:tcW w:w="960" w:type="dxa"/>
            <w:tcBorders>
              <w:top w:val="nil"/>
              <w:left w:val="nil"/>
              <w:bottom w:val="single" w:sz="8" w:space="0" w:color="auto"/>
              <w:right w:val="single" w:sz="8" w:space="0" w:color="auto"/>
            </w:tcBorders>
            <w:shd w:val="clear" w:color="auto" w:fill="auto"/>
            <w:noWrap/>
            <w:vAlign w:val="center"/>
            <w:hideMark/>
          </w:tcPr>
          <w:p w:rsidR="00891A96" w:rsidRPr="009907EE" w:rsidRDefault="00891A96" w:rsidP="00891A96">
            <w:pPr>
              <w:jc w:val="right"/>
              <w:rPr>
                <w:rFonts w:cs="Calibri"/>
                <w:color w:val="000000"/>
                <w:sz w:val="18"/>
                <w:szCs w:val="18"/>
                <w:lang w:eastAsia="en-GB"/>
              </w:rPr>
            </w:pPr>
            <w:r w:rsidRPr="009907EE">
              <w:rPr>
                <w:rFonts w:cs="Calibri"/>
                <w:color w:val="000000"/>
                <w:sz w:val="18"/>
                <w:szCs w:val="18"/>
                <w:lang w:eastAsia="en-GB"/>
              </w:rPr>
              <w:t>0.1</w:t>
            </w:r>
          </w:p>
        </w:tc>
        <w:tc>
          <w:tcPr>
            <w:tcW w:w="960" w:type="dxa"/>
            <w:tcBorders>
              <w:top w:val="nil"/>
              <w:left w:val="nil"/>
              <w:bottom w:val="single" w:sz="8" w:space="0" w:color="auto"/>
              <w:right w:val="single" w:sz="8" w:space="0" w:color="auto"/>
            </w:tcBorders>
            <w:shd w:val="clear" w:color="auto" w:fill="auto"/>
            <w:noWrap/>
            <w:vAlign w:val="center"/>
            <w:hideMark/>
          </w:tcPr>
          <w:p w:rsidR="00891A96" w:rsidRPr="009907EE" w:rsidRDefault="00891A96" w:rsidP="00891A96">
            <w:pPr>
              <w:jc w:val="right"/>
              <w:rPr>
                <w:rFonts w:cs="Calibri"/>
                <w:color w:val="000000"/>
                <w:sz w:val="18"/>
                <w:szCs w:val="18"/>
                <w:lang w:eastAsia="en-GB"/>
              </w:rPr>
            </w:pPr>
            <w:r w:rsidRPr="009907EE">
              <w:rPr>
                <w:rFonts w:cs="Calibri"/>
                <w:color w:val="000000"/>
                <w:sz w:val="18"/>
                <w:szCs w:val="18"/>
                <w:lang w:eastAsia="en-GB"/>
              </w:rPr>
              <w:t>0.1</w:t>
            </w:r>
          </w:p>
        </w:tc>
        <w:tc>
          <w:tcPr>
            <w:tcW w:w="960" w:type="dxa"/>
            <w:tcBorders>
              <w:top w:val="nil"/>
              <w:left w:val="nil"/>
              <w:bottom w:val="single" w:sz="8" w:space="0" w:color="auto"/>
              <w:right w:val="single" w:sz="8" w:space="0" w:color="auto"/>
            </w:tcBorders>
            <w:shd w:val="clear" w:color="auto" w:fill="auto"/>
            <w:noWrap/>
            <w:vAlign w:val="center"/>
            <w:hideMark/>
          </w:tcPr>
          <w:p w:rsidR="00891A96" w:rsidRPr="009907EE" w:rsidRDefault="00891A96" w:rsidP="00891A96">
            <w:pPr>
              <w:jc w:val="right"/>
              <w:rPr>
                <w:rFonts w:cs="Calibri"/>
                <w:color w:val="000000"/>
                <w:sz w:val="18"/>
                <w:szCs w:val="18"/>
                <w:lang w:eastAsia="en-GB"/>
              </w:rPr>
            </w:pPr>
            <w:r w:rsidRPr="009907EE">
              <w:rPr>
                <w:rFonts w:cs="Calibri"/>
                <w:color w:val="000000"/>
                <w:sz w:val="18"/>
                <w:szCs w:val="18"/>
                <w:lang w:eastAsia="en-GB"/>
              </w:rPr>
              <w:t>0.0</w:t>
            </w:r>
          </w:p>
        </w:tc>
        <w:tc>
          <w:tcPr>
            <w:tcW w:w="1175" w:type="dxa"/>
            <w:tcBorders>
              <w:top w:val="nil"/>
              <w:left w:val="nil"/>
              <w:bottom w:val="single" w:sz="8" w:space="0" w:color="auto"/>
              <w:right w:val="single" w:sz="8" w:space="0" w:color="auto"/>
            </w:tcBorders>
            <w:shd w:val="clear" w:color="auto" w:fill="auto"/>
            <w:noWrap/>
            <w:vAlign w:val="center"/>
            <w:hideMark/>
          </w:tcPr>
          <w:p w:rsidR="00891A96" w:rsidRPr="009907EE" w:rsidRDefault="00891A96" w:rsidP="00891A96">
            <w:pPr>
              <w:jc w:val="right"/>
              <w:rPr>
                <w:rFonts w:cs="Calibri"/>
                <w:color w:val="000000"/>
                <w:sz w:val="18"/>
                <w:szCs w:val="18"/>
                <w:lang w:eastAsia="en-GB"/>
              </w:rPr>
            </w:pPr>
            <w:r w:rsidRPr="009907EE">
              <w:rPr>
                <w:rFonts w:cs="Calibri"/>
                <w:color w:val="000000"/>
                <w:sz w:val="18"/>
                <w:szCs w:val="18"/>
                <w:lang w:eastAsia="en-GB"/>
              </w:rPr>
              <w:t>0.0</w:t>
            </w:r>
          </w:p>
        </w:tc>
        <w:tc>
          <w:tcPr>
            <w:tcW w:w="960" w:type="dxa"/>
            <w:tcBorders>
              <w:top w:val="nil"/>
              <w:left w:val="nil"/>
              <w:bottom w:val="single" w:sz="8" w:space="0" w:color="auto"/>
              <w:right w:val="single" w:sz="8" w:space="0" w:color="auto"/>
            </w:tcBorders>
            <w:shd w:val="clear" w:color="auto" w:fill="auto"/>
            <w:noWrap/>
            <w:vAlign w:val="center"/>
            <w:hideMark/>
          </w:tcPr>
          <w:p w:rsidR="00891A96" w:rsidRPr="009907EE" w:rsidRDefault="00891A96" w:rsidP="00891A96">
            <w:pPr>
              <w:jc w:val="right"/>
              <w:rPr>
                <w:rFonts w:cs="Calibri"/>
                <w:b/>
                <w:bCs/>
                <w:color w:val="000000"/>
                <w:sz w:val="18"/>
                <w:szCs w:val="18"/>
                <w:lang w:eastAsia="en-GB"/>
              </w:rPr>
            </w:pPr>
            <w:r w:rsidRPr="009907EE">
              <w:rPr>
                <w:rFonts w:cs="Calibri"/>
                <w:b/>
                <w:bCs/>
                <w:color w:val="000000"/>
                <w:sz w:val="18"/>
                <w:szCs w:val="18"/>
                <w:lang w:eastAsia="en-GB"/>
              </w:rPr>
              <w:t>31.4</w:t>
            </w:r>
          </w:p>
        </w:tc>
        <w:tc>
          <w:tcPr>
            <w:tcW w:w="1000" w:type="dxa"/>
            <w:tcBorders>
              <w:top w:val="nil"/>
              <w:left w:val="nil"/>
              <w:bottom w:val="single" w:sz="8" w:space="0" w:color="auto"/>
              <w:right w:val="single" w:sz="8" w:space="0" w:color="auto"/>
            </w:tcBorders>
            <w:shd w:val="clear" w:color="auto" w:fill="auto"/>
            <w:noWrap/>
            <w:vAlign w:val="center"/>
            <w:hideMark/>
          </w:tcPr>
          <w:p w:rsidR="00891A96" w:rsidRPr="009907EE" w:rsidRDefault="00891A96" w:rsidP="00891A96">
            <w:pPr>
              <w:jc w:val="right"/>
              <w:rPr>
                <w:rFonts w:cs="Calibri"/>
                <w:color w:val="000000"/>
                <w:sz w:val="18"/>
                <w:szCs w:val="18"/>
                <w:lang w:eastAsia="en-GB"/>
              </w:rPr>
            </w:pPr>
            <w:r w:rsidRPr="009907EE">
              <w:rPr>
                <w:rFonts w:cs="Calibri"/>
                <w:color w:val="000000"/>
                <w:sz w:val="18"/>
                <w:szCs w:val="18"/>
                <w:lang w:eastAsia="en-GB"/>
              </w:rPr>
              <w:t>5.3</w:t>
            </w:r>
          </w:p>
        </w:tc>
      </w:tr>
      <w:tr w:rsidR="00891A96" w:rsidRPr="009907EE" w:rsidTr="00891A96">
        <w:trPr>
          <w:trHeight w:val="735"/>
        </w:trPr>
        <w:tc>
          <w:tcPr>
            <w:tcW w:w="3403" w:type="dxa"/>
            <w:tcBorders>
              <w:top w:val="nil"/>
              <w:left w:val="single" w:sz="8" w:space="0" w:color="auto"/>
              <w:bottom w:val="single" w:sz="8" w:space="0" w:color="auto"/>
              <w:right w:val="single" w:sz="8" w:space="0" w:color="auto"/>
            </w:tcBorders>
            <w:shd w:val="clear" w:color="auto" w:fill="auto"/>
            <w:vAlign w:val="center"/>
            <w:hideMark/>
          </w:tcPr>
          <w:p w:rsidR="00891A96" w:rsidRPr="009907EE" w:rsidRDefault="00891A96" w:rsidP="00891A96">
            <w:pPr>
              <w:rPr>
                <w:rFonts w:cs="Calibri"/>
                <w:color w:val="000000"/>
                <w:sz w:val="18"/>
                <w:szCs w:val="18"/>
                <w:lang w:eastAsia="en-GB"/>
              </w:rPr>
            </w:pPr>
            <w:r w:rsidRPr="009907EE">
              <w:rPr>
                <w:rFonts w:cs="Calibri"/>
                <w:color w:val="000000"/>
                <w:sz w:val="18"/>
                <w:szCs w:val="18"/>
                <w:lang w:eastAsia="en-GB"/>
              </w:rPr>
              <w:t>Impairment losses (reversals) recognised in the Revaluation Reserve</w:t>
            </w:r>
          </w:p>
        </w:tc>
        <w:tc>
          <w:tcPr>
            <w:tcW w:w="960" w:type="dxa"/>
            <w:tcBorders>
              <w:top w:val="nil"/>
              <w:left w:val="nil"/>
              <w:bottom w:val="single" w:sz="8" w:space="0" w:color="auto"/>
              <w:right w:val="nil"/>
            </w:tcBorders>
            <w:shd w:val="clear" w:color="auto" w:fill="auto"/>
            <w:noWrap/>
            <w:vAlign w:val="center"/>
            <w:hideMark/>
          </w:tcPr>
          <w:p w:rsidR="00891A96" w:rsidRPr="009907EE" w:rsidRDefault="00891A96" w:rsidP="00891A96">
            <w:pPr>
              <w:jc w:val="right"/>
              <w:rPr>
                <w:rFonts w:cs="Calibri"/>
                <w:color w:val="000000"/>
                <w:sz w:val="18"/>
                <w:szCs w:val="18"/>
                <w:lang w:eastAsia="en-GB"/>
              </w:rPr>
            </w:pPr>
            <w:r w:rsidRPr="009907EE">
              <w:rPr>
                <w:rFonts w:cs="Calibri"/>
                <w:color w:val="000000"/>
                <w:sz w:val="18"/>
                <w:szCs w:val="18"/>
                <w:lang w:eastAsia="en-GB"/>
              </w:rPr>
              <w:t>0.0</w:t>
            </w:r>
          </w:p>
        </w:tc>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891A96" w:rsidRPr="009907EE" w:rsidRDefault="00891A96" w:rsidP="00891A96">
            <w:pPr>
              <w:jc w:val="right"/>
              <w:rPr>
                <w:rFonts w:cs="Calibri"/>
                <w:color w:val="000000"/>
                <w:sz w:val="18"/>
                <w:szCs w:val="18"/>
                <w:lang w:eastAsia="en-GB"/>
              </w:rPr>
            </w:pPr>
            <w:r w:rsidRPr="009907EE">
              <w:rPr>
                <w:rFonts w:cs="Calibri"/>
                <w:color w:val="000000"/>
                <w:sz w:val="18"/>
                <w:szCs w:val="18"/>
                <w:lang w:eastAsia="en-GB"/>
              </w:rPr>
              <w:t>(0.1)</w:t>
            </w:r>
          </w:p>
        </w:tc>
        <w:tc>
          <w:tcPr>
            <w:tcW w:w="960" w:type="dxa"/>
            <w:tcBorders>
              <w:top w:val="nil"/>
              <w:left w:val="nil"/>
              <w:bottom w:val="single" w:sz="8" w:space="0" w:color="auto"/>
              <w:right w:val="single" w:sz="8" w:space="0" w:color="auto"/>
            </w:tcBorders>
            <w:shd w:val="clear" w:color="auto" w:fill="auto"/>
            <w:noWrap/>
            <w:vAlign w:val="center"/>
            <w:hideMark/>
          </w:tcPr>
          <w:p w:rsidR="00891A96" w:rsidRPr="009907EE" w:rsidRDefault="00891A96" w:rsidP="00891A96">
            <w:pPr>
              <w:jc w:val="right"/>
              <w:rPr>
                <w:rFonts w:cs="Calibri"/>
                <w:color w:val="000000"/>
                <w:sz w:val="18"/>
                <w:szCs w:val="18"/>
                <w:lang w:eastAsia="en-GB"/>
              </w:rPr>
            </w:pPr>
            <w:r w:rsidRPr="009907EE">
              <w:rPr>
                <w:rFonts w:cs="Calibri"/>
                <w:color w:val="000000"/>
                <w:sz w:val="18"/>
                <w:szCs w:val="18"/>
                <w:lang w:eastAsia="en-GB"/>
              </w:rPr>
              <w:t>0.0</w:t>
            </w:r>
          </w:p>
        </w:tc>
        <w:tc>
          <w:tcPr>
            <w:tcW w:w="960" w:type="dxa"/>
            <w:tcBorders>
              <w:top w:val="nil"/>
              <w:left w:val="nil"/>
              <w:bottom w:val="single" w:sz="8" w:space="0" w:color="auto"/>
              <w:right w:val="single" w:sz="8" w:space="0" w:color="auto"/>
            </w:tcBorders>
            <w:shd w:val="clear" w:color="auto" w:fill="auto"/>
            <w:noWrap/>
            <w:vAlign w:val="center"/>
            <w:hideMark/>
          </w:tcPr>
          <w:p w:rsidR="00891A96" w:rsidRPr="009907EE" w:rsidRDefault="00891A96" w:rsidP="00891A96">
            <w:pPr>
              <w:jc w:val="right"/>
              <w:rPr>
                <w:rFonts w:cs="Calibri"/>
                <w:color w:val="000000"/>
                <w:sz w:val="18"/>
                <w:szCs w:val="18"/>
                <w:lang w:eastAsia="en-GB"/>
              </w:rPr>
            </w:pPr>
            <w:r w:rsidRPr="009907EE">
              <w:rPr>
                <w:rFonts w:cs="Calibri"/>
                <w:color w:val="000000"/>
                <w:sz w:val="18"/>
                <w:szCs w:val="18"/>
                <w:lang w:eastAsia="en-GB"/>
              </w:rPr>
              <w:t>0.0</w:t>
            </w:r>
          </w:p>
        </w:tc>
        <w:tc>
          <w:tcPr>
            <w:tcW w:w="960" w:type="dxa"/>
            <w:tcBorders>
              <w:top w:val="nil"/>
              <w:left w:val="nil"/>
              <w:bottom w:val="single" w:sz="8" w:space="0" w:color="auto"/>
              <w:right w:val="single" w:sz="8" w:space="0" w:color="auto"/>
            </w:tcBorders>
            <w:shd w:val="clear" w:color="auto" w:fill="auto"/>
            <w:noWrap/>
            <w:vAlign w:val="center"/>
            <w:hideMark/>
          </w:tcPr>
          <w:p w:rsidR="00891A96" w:rsidRPr="009907EE" w:rsidRDefault="00891A96" w:rsidP="00891A96">
            <w:pPr>
              <w:jc w:val="right"/>
              <w:rPr>
                <w:rFonts w:cs="Calibri"/>
                <w:color w:val="000000"/>
                <w:sz w:val="18"/>
                <w:szCs w:val="18"/>
                <w:lang w:eastAsia="en-GB"/>
              </w:rPr>
            </w:pPr>
            <w:r w:rsidRPr="009907EE">
              <w:rPr>
                <w:rFonts w:cs="Calibri"/>
                <w:color w:val="000000"/>
                <w:sz w:val="18"/>
                <w:szCs w:val="18"/>
                <w:lang w:eastAsia="en-GB"/>
              </w:rPr>
              <w:t>0.0</w:t>
            </w:r>
          </w:p>
        </w:tc>
        <w:tc>
          <w:tcPr>
            <w:tcW w:w="1175" w:type="dxa"/>
            <w:tcBorders>
              <w:top w:val="nil"/>
              <w:left w:val="nil"/>
              <w:bottom w:val="single" w:sz="8" w:space="0" w:color="auto"/>
              <w:right w:val="single" w:sz="8" w:space="0" w:color="auto"/>
            </w:tcBorders>
            <w:shd w:val="clear" w:color="auto" w:fill="auto"/>
            <w:noWrap/>
            <w:vAlign w:val="center"/>
            <w:hideMark/>
          </w:tcPr>
          <w:p w:rsidR="00891A96" w:rsidRPr="009907EE" w:rsidRDefault="00891A96" w:rsidP="00891A96">
            <w:pPr>
              <w:jc w:val="right"/>
              <w:rPr>
                <w:rFonts w:cs="Calibri"/>
                <w:color w:val="000000"/>
                <w:sz w:val="18"/>
                <w:szCs w:val="18"/>
                <w:lang w:eastAsia="en-GB"/>
              </w:rPr>
            </w:pPr>
            <w:r w:rsidRPr="009907EE">
              <w:rPr>
                <w:rFonts w:cs="Calibri"/>
                <w:color w:val="000000"/>
                <w:sz w:val="18"/>
                <w:szCs w:val="18"/>
                <w:lang w:eastAsia="en-GB"/>
              </w:rPr>
              <w:t>0.0</w:t>
            </w:r>
          </w:p>
        </w:tc>
        <w:tc>
          <w:tcPr>
            <w:tcW w:w="960" w:type="dxa"/>
            <w:tcBorders>
              <w:top w:val="nil"/>
              <w:left w:val="nil"/>
              <w:bottom w:val="single" w:sz="8" w:space="0" w:color="auto"/>
              <w:right w:val="single" w:sz="8" w:space="0" w:color="auto"/>
            </w:tcBorders>
            <w:shd w:val="clear" w:color="auto" w:fill="auto"/>
            <w:noWrap/>
            <w:vAlign w:val="center"/>
            <w:hideMark/>
          </w:tcPr>
          <w:p w:rsidR="00891A96" w:rsidRPr="009907EE" w:rsidRDefault="00891A96" w:rsidP="00891A96">
            <w:pPr>
              <w:jc w:val="right"/>
              <w:rPr>
                <w:rFonts w:cs="Calibri"/>
                <w:b/>
                <w:bCs/>
                <w:color w:val="000000"/>
                <w:sz w:val="18"/>
                <w:szCs w:val="18"/>
                <w:lang w:eastAsia="en-GB"/>
              </w:rPr>
            </w:pPr>
            <w:r w:rsidRPr="009907EE">
              <w:rPr>
                <w:rFonts w:cs="Calibri"/>
                <w:b/>
                <w:bCs/>
                <w:color w:val="000000"/>
                <w:sz w:val="18"/>
                <w:szCs w:val="18"/>
                <w:lang w:eastAsia="en-GB"/>
              </w:rPr>
              <w:t>(0.1)</w:t>
            </w:r>
          </w:p>
        </w:tc>
        <w:tc>
          <w:tcPr>
            <w:tcW w:w="1000" w:type="dxa"/>
            <w:tcBorders>
              <w:top w:val="nil"/>
              <w:left w:val="nil"/>
              <w:bottom w:val="single" w:sz="8" w:space="0" w:color="auto"/>
              <w:right w:val="single" w:sz="8" w:space="0" w:color="auto"/>
            </w:tcBorders>
            <w:shd w:val="clear" w:color="auto" w:fill="auto"/>
            <w:noWrap/>
            <w:vAlign w:val="center"/>
            <w:hideMark/>
          </w:tcPr>
          <w:p w:rsidR="00891A96" w:rsidRPr="009907EE" w:rsidRDefault="00891A96" w:rsidP="00891A96">
            <w:pPr>
              <w:jc w:val="right"/>
              <w:rPr>
                <w:rFonts w:cs="Calibri"/>
                <w:color w:val="000000"/>
                <w:sz w:val="18"/>
                <w:szCs w:val="18"/>
                <w:lang w:eastAsia="en-GB"/>
              </w:rPr>
            </w:pPr>
            <w:r w:rsidRPr="009907EE">
              <w:rPr>
                <w:rFonts w:cs="Calibri"/>
                <w:color w:val="000000"/>
                <w:sz w:val="18"/>
                <w:szCs w:val="18"/>
                <w:lang w:eastAsia="en-GB"/>
              </w:rPr>
              <w:t>0.0</w:t>
            </w:r>
          </w:p>
        </w:tc>
      </w:tr>
      <w:tr w:rsidR="00891A96" w:rsidRPr="009907EE" w:rsidTr="00891A96">
        <w:trPr>
          <w:trHeight w:val="375"/>
        </w:trPr>
        <w:tc>
          <w:tcPr>
            <w:tcW w:w="3403" w:type="dxa"/>
            <w:tcBorders>
              <w:top w:val="nil"/>
              <w:left w:val="single" w:sz="8" w:space="0" w:color="auto"/>
              <w:bottom w:val="single" w:sz="8" w:space="0" w:color="auto"/>
              <w:right w:val="single" w:sz="8" w:space="0" w:color="auto"/>
            </w:tcBorders>
            <w:shd w:val="clear" w:color="auto" w:fill="auto"/>
            <w:vAlign w:val="center"/>
            <w:hideMark/>
          </w:tcPr>
          <w:p w:rsidR="00891A96" w:rsidRPr="009907EE" w:rsidRDefault="00891A96" w:rsidP="00891A96">
            <w:pPr>
              <w:rPr>
                <w:rFonts w:cs="Calibri"/>
                <w:color w:val="000000"/>
                <w:sz w:val="18"/>
                <w:szCs w:val="18"/>
                <w:lang w:eastAsia="en-GB"/>
              </w:rPr>
            </w:pPr>
            <w:r w:rsidRPr="009907EE">
              <w:rPr>
                <w:rFonts w:cs="Calibri"/>
                <w:color w:val="000000"/>
                <w:sz w:val="18"/>
                <w:szCs w:val="18"/>
                <w:lang w:eastAsia="en-GB"/>
              </w:rPr>
              <w:t>Impairment Losses/(Reversals) recognised in the Surplus/Deficit on the Provision of Services</w:t>
            </w:r>
          </w:p>
        </w:tc>
        <w:tc>
          <w:tcPr>
            <w:tcW w:w="960" w:type="dxa"/>
            <w:tcBorders>
              <w:top w:val="nil"/>
              <w:left w:val="nil"/>
              <w:bottom w:val="single" w:sz="8" w:space="0" w:color="auto"/>
              <w:right w:val="nil"/>
            </w:tcBorders>
            <w:shd w:val="clear" w:color="auto" w:fill="auto"/>
            <w:noWrap/>
            <w:vAlign w:val="center"/>
            <w:hideMark/>
          </w:tcPr>
          <w:p w:rsidR="00891A96" w:rsidRPr="009907EE" w:rsidRDefault="00891A96" w:rsidP="00891A96">
            <w:pPr>
              <w:jc w:val="right"/>
              <w:rPr>
                <w:rFonts w:cs="Calibri"/>
                <w:color w:val="000000"/>
                <w:sz w:val="18"/>
                <w:szCs w:val="18"/>
                <w:lang w:eastAsia="en-GB"/>
              </w:rPr>
            </w:pPr>
            <w:r w:rsidRPr="009907EE">
              <w:rPr>
                <w:rFonts w:cs="Calibri"/>
                <w:color w:val="000000"/>
                <w:sz w:val="18"/>
                <w:szCs w:val="18"/>
                <w:lang w:eastAsia="en-GB"/>
              </w:rPr>
              <w:t>(0.1)</w:t>
            </w:r>
          </w:p>
        </w:tc>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891A96" w:rsidRPr="009907EE" w:rsidRDefault="00891A96" w:rsidP="00891A96">
            <w:pPr>
              <w:jc w:val="right"/>
              <w:rPr>
                <w:rFonts w:cs="Calibri"/>
                <w:color w:val="000000"/>
                <w:sz w:val="18"/>
                <w:szCs w:val="18"/>
                <w:lang w:eastAsia="en-GB"/>
              </w:rPr>
            </w:pPr>
            <w:r w:rsidRPr="009907EE">
              <w:rPr>
                <w:rFonts w:cs="Calibri"/>
                <w:color w:val="000000"/>
                <w:sz w:val="18"/>
                <w:szCs w:val="18"/>
                <w:lang w:eastAsia="en-GB"/>
              </w:rPr>
              <w:t>0.0</w:t>
            </w:r>
          </w:p>
        </w:tc>
        <w:tc>
          <w:tcPr>
            <w:tcW w:w="960" w:type="dxa"/>
            <w:tcBorders>
              <w:top w:val="nil"/>
              <w:left w:val="nil"/>
              <w:bottom w:val="single" w:sz="8" w:space="0" w:color="auto"/>
              <w:right w:val="single" w:sz="8" w:space="0" w:color="auto"/>
            </w:tcBorders>
            <w:shd w:val="clear" w:color="auto" w:fill="auto"/>
            <w:noWrap/>
            <w:vAlign w:val="center"/>
            <w:hideMark/>
          </w:tcPr>
          <w:p w:rsidR="00891A96" w:rsidRPr="009907EE" w:rsidRDefault="00891A96" w:rsidP="00891A96">
            <w:pPr>
              <w:jc w:val="right"/>
              <w:rPr>
                <w:rFonts w:cs="Calibri"/>
                <w:color w:val="000000"/>
                <w:sz w:val="18"/>
                <w:szCs w:val="18"/>
                <w:lang w:eastAsia="en-GB"/>
              </w:rPr>
            </w:pPr>
            <w:r w:rsidRPr="009907EE">
              <w:rPr>
                <w:rFonts w:cs="Calibri"/>
                <w:color w:val="000000"/>
                <w:sz w:val="18"/>
                <w:szCs w:val="18"/>
                <w:lang w:eastAsia="en-GB"/>
              </w:rPr>
              <w:t>0.0</w:t>
            </w:r>
          </w:p>
        </w:tc>
        <w:tc>
          <w:tcPr>
            <w:tcW w:w="960" w:type="dxa"/>
            <w:tcBorders>
              <w:top w:val="nil"/>
              <w:left w:val="nil"/>
              <w:bottom w:val="single" w:sz="8" w:space="0" w:color="auto"/>
              <w:right w:val="single" w:sz="8" w:space="0" w:color="auto"/>
            </w:tcBorders>
            <w:shd w:val="clear" w:color="auto" w:fill="auto"/>
            <w:noWrap/>
            <w:vAlign w:val="center"/>
            <w:hideMark/>
          </w:tcPr>
          <w:p w:rsidR="00891A96" w:rsidRPr="009907EE" w:rsidRDefault="00891A96" w:rsidP="00891A96">
            <w:pPr>
              <w:jc w:val="right"/>
              <w:rPr>
                <w:rFonts w:cs="Calibri"/>
                <w:color w:val="000000"/>
                <w:sz w:val="18"/>
                <w:szCs w:val="18"/>
                <w:lang w:eastAsia="en-GB"/>
              </w:rPr>
            </w:pPr>
            <w:r w:rsidRPr="009907EE">
              <w:rPr>
                <w:rFonts w:cs="Calibri"/>
                <w:color w:val="000000"/>
                <w:sz w:val="18"/>
                <w:szCs w:val="18"/>
                <w:lang w:eastAsia="en-GB"/>
              </w:rPr>
              <w:t>0.0</w:t>
            </w:r>
          </w:p>
        </w:tc>
        <w:tc>
          <w:tcPr>
            <w:tcW w:w="960" w:type="dxa"/>
            <w:tcBorders>
              <w:top w:val="nil"/>
              <w:left w:val="nil"/>
              <w:bottom w:val="single" w:sz="8" w:space="0" w:color="auto"/>
              <w:right w:val="single" w:sz="8" w:space="0" w:color="auto"/>
            </w:tcBorders>
            <w:shd w:val="clear" w:color="auto" w:fill="auto"/>
            <w:noWrap/>
            <w:vAlign w:val="center"/>
            <w:hideMark/>
          </w:tcPr>
          <w:p w:rsidR="00891A96" w:rsidRPr="009907EE" w:rsidRDefault="00891A96" w:rsidP="00891A96">
            <w:pPr>
              <w:jc w:val="right"/>
              <w:rPr>
                <w:rFonts w:cs="Calibri"/>
                <w:color w:val="000000"/>
                <w:sz w:val="18"/>
                <w:szCs w:val="18"/>
                <w:lang w:eastAsia="en-GB"/>
              </w:rPr>
            </w:pPr>
            <w:r w:rsidRPr="009907EE">
              <w:rPr>
                <w:rFonts w:cs="Calibri"/>
                <w:color w:val="000000"/>
                <w:sz w:val="18"/>
                <w:szCs w:val="18"/>
                <w:lang w:eastAsia="en-GB"/>
              </w:rPr>
              <w:t>0.0</w:t>
            </w:r>
          </w:p>
        </w:tc>
        <w:tc>
          <w:tcPr>
            <w:tcW w:w="1175" w:type="dxa"/>
            <w:tcBorders>
              <w:top w:val="nil"/>
              <w:left w:val="nil"/>
              <w:bottom w:val="single" w:sz="8" w:space="0" w:color="auto"/>
              <w:right w:val="single" w:sz="8" w:space="0" w:color="auto"/>
            </w:tcBorders>
            <w:shd w:val="clear" w:color="auto" w:fill="auto"/>
            <w:noWrap/>
            <w:vAlign w:val="center"/>
            <w:hideMark/>
          </w:tcPr>
          <w:p w:rsidR="00891A96" w:rsidRPr="009907EE" w:rsidRDefault="00891A96" w:rsidP="00891A96">
            <w:pPr>
              <w:jc w:val="right"/>
              <w:rPr>
                <w:rFonts w:cs="Calibri"/>
                <w:color w:val="000000"/>
                <w:sz w:val="18"/>
                <w:szCs w:val="18"/>
                <w:lang w:eastAsia="en-GB"/>
              </w:rPr>
            </w:pPr>
            <w:r w:rsidRPr="009907EE">
              <w:rPr>
                <w:rFonts w:cs="Calibri"/>
                <w:color w:val="000000"/>
                <w:sz w:val="18"/>
                <w:szCs w:val="18"/>
                <w:lang w:eastAsia="en-GB"/>
              </w:rPr>
              <w:t>0.0</w:t>
            </w:r>
          </w:p>
        </w:tc>
        <w:tc>
          <w:tcPr>
            <w:tcW w:w="960" w:type="dxa"/>
            <w:tcBorders>
              <w:top w:val="nil"/>
              <w:left w:val="nil"/>
              <w:bottom w:val="single" w:sz="8" w:space="0" w:color="auto"/>
              <w:right w:val="single" w:sz="8" w:space="0" w:color="auto"/>
            </w:tcBorders>
            <w:shd w:val="clear" w:color="auto" w:fill="auto"/>
            <w:noWrap/>
            <w:vAlign w:val="center"/>
            <w:hideMark/>
          </w:tcPr>
          <w:p w:rsidR="00891A96" w:rsidRPr="009907EE" w:rsidRDefault="00891A96" w:rsidP="00891A96">
            <w:pPr>
              <w:jc w:val="right"/>
              <w:rPr>
                <w:rFonts w:cs="Calibri"/>
                <w:b/>
                <w:bCs/>
                <w:color w:val="000000"/>
                <w:sz w:val="18"/>
                <w:szCs w:val="18"/>
                <w:lang w:eastAsia="en-GB"/>
              </w:rPr>
            </w:pPr>
            <w:r w:rsidRPr="009907EE">
              <w:rPr>
                <w:rFonts w:cs="Calibri"/>
                <w:b/>
                <w:bCs/>
                <w:color w:val="000000"/>
                <w:sz w:val="18"/>
                <w:szCs w:val="18"/>
                <w:lang w:eastAsia="en-GB"/>
              </w:rPr>
              <w:t>(0.1)</w:t>
            </w:r>
          </w:p>
        </w:tc>
        <w:tc>
          <w:tcPr>
            <w:tcW w:w="1000" w:type="dxa"/>
            <w:tcBorders>
              <w:top w:val="nil"/>
              <w:left w:val="nil"/>
              <w:bottom w:val="single" w:sz="8" w:space="0" w:color="auto"/>
              <w:right w:val="single" w:sz="8" w:space="0" w:color="auto"/>
            </w:tcBorders>
            <w:shd w:val="clear" w:color="auto" w:fill="auto"/>
            <w:noWrap/>
            <w:vAlign w:val="center"/>
            <w:hideMark/>
          </w:tcPr>
          <w:p w:rsidR="00891A96" w:rsidRPr="009907EE" w:rsidRDefault="00891A96" w:rsidP="00891A96">
            <w:pPr>
              <w:jc w:val="right"/>
              <w:rPr>
                <w:rFonts w:cs="Calibri"/>
                <w:color w:val="000000"/>
                <w:sz w:val="18"/>
                <w:szCs w:val="18"/>
                <w:lang w:eastAsia="en-GB"/>
              </w:rPr>
            </w:pPr>
            <w:r w:rsidRPr="009907EE">
              <w:rPr>
                <w:rFonts w:cs="Calibri"/>
                <w:color w:val="000000"/>
                <w:sz w:val="18"/>
                <w:szCs w:val="18"/>
                <w:lang w:eastAsia="en-GB"/>
              </w:rPr>
              <w:t>0.0</w:t>
            </w:r>
          </w:p>
        </w:tc>
      </w:tr>
      <w:tr w:rsidR="00891A96" w:rsidRPr="009907EE" w:rsidTr="00891A96">
        <w:trPr>
          <w:trHeight w:val="176"/>
        </w:trPr>
        <w:tc>
          <w:tcPr>
            <w:tcW w:w="3403" w:type="dxa"/>
            <w:tcBorders>
              <w:top w:val="nil"/>
              <w:left w:val="single" w:sz="8" w:space="0" w:color="auto"/>
              <w:bottom w:val="single" w:sz="8" w:space="0" w:color="auto"/>
              <w:right w:val="single" w:sz="8" w:space="0" w:color="auto"/>
            </w:tcBorders>
            <w:shd w:val="clear" w:color="auto" w:fill="auto"/>
            <w:vAlign w:val="center"/>
            <w:hideMark/>
          </w:tcPr>
          <w:p w:rsidR="00891A96" w:rsidRPr="009907EE" w:rsidRDefault="00891A96" w:rsidP="00891A96">
            <w:pPr>
              <w:rPr>
                <w:rFonts w:cs="Calibri"/>
                <w:color w:val="000000"/>
                <w:sz w:val="18"/>
                <w:szCs w:val="18"/>
                <w:lang w:eastAsia="en-GB"/>
              </w:rPr>
            </w:pPr>
            <w:r w:rsidRPr="009907EE">
              <w:rPr>
                <w:rFonts w:cs="Calibri"/>
                <w:color w:val="000000"/>
                <w:sz w:val="18"/>
                <w:szCs w:val="18"/>
                <w:lang w:eastAsia="en-GB"/>
              </w:rPr>
              <w:t>Derecognition - Disposals</w:t>
            </w:r>
          </w:p>
        </w:tc>
        <w:tc>
          <w:tcPr>
            <w:tcW w:w="960" w:type="dxa"/>
            <w:tcBorders>
              <w:top w:val="nil"/>
              <w:left w:val="nil"/>
              <w:bottom w:val="single" w:sz="8" w:space="0" w:color="auto"/>
              <w:right w:val="nil"/>
            </w:tcBorders>
            <w:shd w:val="clear" w:color="auto" w:fill="auto"/>
            <w:noWrap/>
            <w:vAlign w:val="center"/>
            <w:hideMark/>
          </w:tcPr>
          <w:p w:rsidR="00891A96" w:rsidRPr="009907EE" w:rsidRDefault="00891A96" w:rsidP="00891A96">
            <w:pPr>
              <w:jc w:val="right"/>
              <w:rPr>
                <w:rFonts w:cs="Calibri"/>
                <w:color w:val="000000"/>
                <w:sz w:val="18"/>
                <w:szCs w:val="18"/>
                <w:lang w:eastAsia="en-GB"/>
              </w:rPr>
            </w:pPr>
            <w:r w:rsidRPr="009907EE">
              <w:rPr>
                <w:rFonts w:cs="Calibri"/>
                <w:color w:val="000000"/>
                <w:sz w:val="18"/>
                <w:szCs w:val="18"/>
                <w:lang w:eastAsia="en-GB"/>
              </w:rPr>
              <w:t>0.0</w:t>
            </w:r>
          </w:p>
        </w:tc>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891A96" w:rsidRPr="009907EE" w:rsidRDefault="00891A96" w:rsidP="00891A96">
            <w:pPr>
              <w:jc w:val="right"/>
              <w:rPr>
                <w:rFonts w:cs="Calibri"/>
                <w:color w:val="000000"/>
                <w:sz w:val="18"/>
                <w:szCs w:val="18"/>
                <w:lang w:eastAsia="en-GB"/>
              </w:rPr>
            </w:pPr>
            <w:r w:rsidRPr="009907EE">
              <w:rPr>
                <w:rFonts w:cs="Calibri"/>
                <w:color w:val="000000"/>
                <w:sz w:val="18"/>
                <w:szCs w:val="18"/>
                <w:lang w:eastAsia="en-GB"/>
              </w:rPr>
              <w:t>0.0</w:t>
            </w:r>
          </w:p>
        </w:tc>
        <w:tc>
          <w:tcPr>
            <w:tcW w:w="960" w:type="dxa"/>
            <w:tcBorders>
              <w:top w:val="nil"/>
              <w:left w:val="nil"/>
              <w:bottom w:val="single" w:sz="8" w:space="0" w:color="auto"/>
              <w:right w:val="single" w:sz="8" w:space="0" w:color="auto"/>
            </w:tcBorders>
            <w:shd w:val="clear" w:color="auto" w:fill="auto"/>
            <w:noWrap/>
            <w:vAlign w:val="center"/>
            <w:hideMark/>
          </w:tcPr>
          <w:p w:rsidR="00891A96" w:rsidRPr="009907EE" w:rsidRDefault="00891A96" w:rsidP="00891A96">
            <w:pPr>
              <w:jc w:val="right"/>
              <w:rPr>
                <w:rFonts w:cs="Calibri"/>
                <w:color w:val="000000"/>
                <w:sz w:val="18"/>
                <w:szCs w:val="18"/>
                <w:lang w:eastAsia="en-GB"/>
              </w:rPr>
            </w:pPr>
            <w:r w:rsidRPr="009907EE">
              <w:rPr>
                <w:rFonts w:cs="Calibri"/>
                <w:color w:val="000000"/>
                <w:sz w:val="18"/>
                <w:szCs w:val="18"/>
                <w:lang w:eastAsia="en-GB"/>
              </w:rPr>
              <w:t>0.0</w:t>
            </w:r>
          </w:p>
        </w:tc>
        <w:tc>
          <w:tcPr>
            <w:tcW w:w="960" w:type="dxa"/>
            <w:tcBorders>
              <w:top w:val="nil"/>
              <w:left w:val="nil"/>
              <w:bottom w:val="single" w:sz="8" w:space="0" w:color="auto"/>
              <w:right w:val="single" w:sz="8" w:space="0" w:color="auto"/>
            </w:tcBorders>
            <w:shd w:val="clear" w:color="auto" w:fill="auto"/>
            <w:noWrap/>
            <w:vAlign w:val="center"/>
            <w:hideMark/>
          </w:tcPr>
          <w:p w:rsidR="00891A96" w:rsidRPr="009907EE" w:rsidRDefault="00891A96" w:rsidP="00891A96">
            <w:pPr>
              <w:jc w:val="right"/>
              <w:rPr>
                <w:rFonts w:cs="Calibri"/>
                <w:color w:val="000000"/>
                <w:sz w:val="18"/>
                <w:szCs w:val="18"/>
                <w:lang w:eastAsia="en-GB"/>
              </w:rPr>
            </w:pPr>
            <w:r w:rsidRPr="009907EE">
              <w:rPr>
                <w:rFonts w:cs="Calibri"/>
                <w:color w:val="000000"/>
                <w:sz w:val="18"/>
                <w:szCs w:val="18"/>
                <w:lang w:eastAsia="en-GB"/>
              </w:rPr>
              <w:t>0.0</w:t>
            </w:r>
          </w:p>
        </w:tc>
        <w:tc>
          <w:tcPr>
            <w:tcW w:w="960" w:type="dxa"/>
            <w:tcBorders>
              <w:top w:val="nil"/>
              <w:left w:val="nil"/>
              <w:bottom w:val="single" w:sz="8" w:space="0" w:color="auto"/>
              <w:right w:val="single" w:sz="8" w:space="0" w:color="auto"/>
            </w:tcBorders>
            <w:shd w:val="clear" w:color="auto" w:fill="auto"/>
            <w:noWrap/>
            <w:vAlign w:val="center"/>
            <w:hideMark/>
          </w:tcPr>
          <w:p w:rsidR="00891A96" w:rsidRPr="009907EE" w:rsidRDefault="00891A96" w:rsidP="00891A96">
            <w:pPr>
              <w:jc w:val="right"/>
              <w:rPr>
                <w:rFonts w:cs="Calibri"/>
                <w:color w:val="000000"/>
                <w:sz w:val="18"/>
                <w:szCs w:val="18"/>
                <w:lang w:eastAsia="en-GB"/>
              </w:rPr>
            </w:pPr>
            <w:r w:rsidRPr="009907EE">
              <w:rPr>
                <w:rFonts w:cs="Calibri"/>
                <w:color w:val="000000"/>
                <w:sz w:val="18"/>
                <w:szCs w:val="18"/>
                <w:lang w:eastAsia="en-GB"/>
              </w:rPr>
              <w:t>0.0</w:t>
            </w:r>
          </w:p>
        </w:tc>
        <w:tc>
          <w:tcPr>
            <w:tcW w:w="1175" w:type="dxa"/>
            <w:tcBorders>
              <w:top w:val="nil"/>
              <w:left w:val="nil"/>
              <w:bottom w:val="single" w:sz="8" w:space="0" w:color="auto"/>
              <w:right w:val="single" w:sz="8" w:space="0" w:color="auto"/>
            </w:tcBorders>
            <w:shd w:val="clear" w:color="auto" w:fill="auto"/>
            <w:noWrap/>
            <w:vAlign w:val="center"/>
            <w:hideMark/>
          </w:tcPr>
          <w:p w:rsidR="00891A96" w:rsidRPr="009907EE" w:rsidRDefault="00891A96" w:rsidP="00891A96">
            <w:pPr>
              <w:jc w:val="right"/>
              <w:rPr>
                <w:rFonts w:cs="Calibri"/>
                <w:color w:val="000000"/>
                <w:sz w:val="18"/>
                <w:szCs w:val="18"/>
                <w:lang w:eastAsia="en-GB"/>
              </w:rPr>
            </w:pPr>
            <w:r w:rsidRPr="009907EE">
              <w:rPr>
                <w:rFonts w:cs="Calibri"/>
                <w:color w:val="000000"/>
                <w:sz w:val="18"/>
                <w:szCs w:val="18"/>
                <w:lang w:eastAsia="en-GB"/>
              </w:rPr>
              <w:t>0.0</w:t>
            </w:r>
          </w:p>
        </w:tc>
        <w:tc>
          <w:tcPr>
            <w:tcW w:w="960" w:type="dxa"/>
            <w:tcBorders>
              <w:top w:val="nil"/>
              <w:left w:val="nil"/>
              <w:bottom w:val="single" w:sz="8" w:space="0" w:color="auto"/>
              <w:right w:val="single" w:sz="8" w:space="0" w:color="auto"/>
            </w:tcBorders>
            <w:shd w:val="clear" w:color="auto" w:fill="auto"/>
            <w:noWrap/>
            <w:vAlign w:val="center"/>
            <w:hideMark/>
          </w:tcPr>
          <w:p w:rsidR="00891A96" w:rsidRPr="009907EE" w:rsidRDefault="00891A96" w:rsidP="00891A96">
            <w:pPr>
              <w:jc w:val="right"/>
              <w:rPr>
                <w:rFonts w:cs="Calibri"/>
                <w:b/>
                <w:bCs/>
                <w:color w:val="000000"/>
                <w:sz w:val="18"/>
                <w:szCs w:val="18"/>
                <w:lang w:eastAsia="en-GB"/>
              </w:rPr>
            </w:pPr>
            <w:r w:rsidRPr="009907EE">
              <w:rPr>
                <w:rFonts w:cs="Calibri"/>
                <w:b/>
                <w:bCs/>
                <w:color w:val="000000"/>
                <w:sz w:val="18"/>
                <w:szCs w:val="18"/>
                <w:lang w:eastAsia="en-GB"/>
              </w:rPr>
              <w:t>0.0</w:t>
            </w:r>
          </w:p>
        </w:tc>
        <w:tc>
          <w:tcPr>
            <w:tcW w:w="1000" w:type="dxa"/>
            <w:tcBorders>
              <w:top w:val="nil"/>
              <w:left w:val="nil"/>
              <w:bottom w:val="single" w:sz="8" w:space="0" w:color="auto"/>
              <w:right w:val="single" w:sz="8" w:space="0" w:color="auto"/>
            </w:tcBorders>
            <w:shd w:val="clear" w:color="auto" w:fill="auto"/>
            <w:noWrap/>
            <w:vAlign w:val="center"/>
            <w:hideMark/>
          </w:tcPr>
          <w:p w:rsidR="00891A96" w:rsidRPr="009907EE" w:rsidRDefault="00891A96" w:rsidP="00891A96">
            <w:pPr>
              <w:jc w:val="right"/>
              <w:rPr>
                <w:rFonts w:cs="Calibri"/>
                <w:color w:val="000000"/>
                <w:sz w:val="18"/>
                <w:szCs w:val="18"/>
                <w:lang w:eastAsia="en-GB"/>
              </w:rPr>
            </w:pPr>
            <w:r w:rsidRPr="009907EE">
              <w:rPr>
                <w:rFonts w:cs="Calibri"/>
                <w:color w:val="000000"/>
                <w:sz w:val="18"/>
                <w:szCs w:val="18"/>
                <w:lang w:eastAsia="en-GB"/>
              </w:rPr>
              <w:t>0.0</w:t>
            </w:r>
          </w:p>
        </w:tc>
      </w:tr>
      <w:tr w:rsidR="00891A96" w:rsidRPr="009907EE" w:rsidTr="00891A96">
        <w:trPr>
          <w:trHeight w:val="337"/>
        </w:trPr>
        <w:tc>
          <w:tcPr>
            <w:tcW w:w="3403" w:type="dxa"/>
            <w:tcBorders>
              <w:top w:val="nil"/>
              <w:left w:val="single" w:sz="8" w:space="0" w:color="auto"/>
              <w:bottom w:val="single" w:sz="8" w:space="0" w:color="auto"/>
              <w:right w:val="single" w:sz="8" w:space="0" w:color="auto"/>
            </w:tcBorders>
            <w:shd w:val="clear" w:color="auto" w:fill="auto"/>
            <w:vAlign w:val="center"/>
            <w:hideMark/>
          </w:tcPr>
          <w:p w:rsidR="00891A96" w:rsidRPr="009907EE" w:rsidRDefault="00891A96" w:rsidP="00891A96">
            <w:pPr>
              <w:rPr>
                <w:rFonts w:cs="Calibri"/>
                <w:color w:val="000000"/>
                <w:sz w:val="18"/>
                <w:szCs w:val="18"/>
                <w:lang w:eastAsia="en-GB"/>
              </w:rPr>
            </w:pPr>
            <w:r w:rsidRPr="009907EE">
              <w:rPr>
                <w:rFonts w:cs="Calibri"/>
                <w:color w:val="000000"/>
                <w:sz w:val="18"/>
                <w:szCs w:val="18"/>
                <w:lang w:eastAsia="en-GB"/>
              </w:rPr>
              <w:t>Reclassifications (to/from Assets Held for Sale)</w:t>
            </w:r>
          </w:p>
        </w:tc>
        <w:tc>
          <w:tcPr>
            <w:tcW w:w="960" w:type="dxa"/>
            <w:tcBorders>
              <w:top w:val="nil"/>
              <w:left w:val="nil"/>
              <w:bottom w:val="single" w:sz="8" w:space="0" w:color="auto"/>
              <w:right w:val="nil"/>
            </w:tcBorders>
            <w:shd w:val="clear" w:color="auto" w:fill="auto"/>
            <w:noWrap/>
            <w:vAlign w:val="center"/>
            <w:hideMark/>
          </w:tcPr>
          <w:p w:rsidR="00891A96" w:rsidRPr="009907EE" w:rsidRDefault="00891A96" w:rsidP="00891A96">
            <w:pPr>
              <w:jc w:val="right"/>
              <w:rPr>
                <w:rFonts w:cs="Calibri"/>
                <w:color w:val="000000"/>
                <w:sz w:val="18"/>
                <w:szCs w:val="18"/>
                <w:lang w:eastAsia="en-GB"/>
              </w:rPr>
            </w:pPr>
            <w:r w:rsidRPr="009907EE">
              <w:rPr>
                <w:rFonts w:cs="Calibri"/>
                <w:color w:val="000000"/>
                <w:sz w:val="18"/>
                <w:szCs w:val="18"/>
                <w:lang w:eastAsia="en-GB"/>
              </w:rPr>
              <w:t>0.0</w:t>
            </w:r>
          </w:p>
        </w:tc>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891A96" w:rsidRPr="009907EE" w:rsidRDefault="00891A96" w:rsidP="00891A96">
            <w:pPr>
              <w:jc w:val="right"/>
              <w:rPr>
                <w:rFonts w:cs="Calibri"/>
                <w:color w:val="000000"/>
                <w:sz w:val="18"/>
                <w:szCs w:val="18"/>
                <w:lang w:eastAsia="en-GB"/>
              </w:rPr>
            </w:pPr>
            <w:r w:rsidRPr="009907EE">
              <w:rPr>
                <w:rFonts w:cs="Calibri"/>
                <w:color w:val="000000"/>
                <w:sz w:val="18"/>
                <w:szCs w:val="18"/>
                <w:lang w:eastAsia="en-GB"/>
              </w:rPr>
              <w:t>0.0</w:t>
            </w:r>
          </w:p>
        </w:tc>
        <w:tc>
          <w:tcPr>
            <w:tcW w:w="960" w:type="dxa"/>
            <w:tcBorders>
              <w:top w:val="nil"/>
              <w:left w:val="nil"/>
              <w:bottom w:val="single" w:sz="8" w:space="0" w:color="auto"/>
              <w:right w:val="single" w:sz="8" w:space="0" w:color="auto"/>
            </w:tcBorders>
            <w:shd w:val="clear" w:color="auto" w:fill="auto"/>
            <w:noWrap/>
            <w:vAlign w:val="center"/>
            <w:hideMark/>
          </w:tcPr>
          <w:p w:rsidR="00891A96" w:rsidRPr="009907EE" w:rsidRDefault="00891A96" w:rsidP="00891A96">
            <w:pPr>
              <w:jc w:val="right"/>
              <w:rPr>
                <w:rFonts w:cs="Calibri"/>
                <w:color w:val="000000"/>
                <w:sz w:val="18"/>
                <w:szCs w:val="18"/>
                <w:lang w:eastAsia="en-GB"/>
              </w:rPr>
            </w:pPr>
            <w:r w:rsidRPr="009907EE">
              <w:rPr>
                <w:rFonts w:cs="Calibri"/>
                <w:color w:val="000000"/>
                <w:sz w:val="18"/>
                <w:szCs w:val="18"/>
                <w:lang w:eastAsia="en-GB"/>
              </w:rPr>
              <w:t>0.0</w:t>
            </w:r>
          </w:p>
        </w:tc>
        <w:tc>
          <w:tcPr>
            <w:tcW w:w="960" w:type="dxa"/>
            <w:tcBorders>
              <w:top w:val="nil"/>
              <w:left w:val="nil"/>
              <w:bottom w:val="single" w:sz="8" w:space="0" w:color="auto"/>
              <w:right w:val="single" w:sz="8" w:space="0" w:color="auto"/>
            </w:tcBorders>
            <w:shd w:val="clear" w:color="auto" w:fill="auto"/>
            <w:noWrap/>
            <w:vAlign w:val="center"/>
            <w:hideMark/>
          </w:tcPr>
          <w:p w:rsidR="00891A96" w:rsidRPr="009907EE" w:rsidRDefault="00891A96" w:rsidP="00891A96">
            <w:pPr>
              <w:jc w:val="right"/>
              <w:rPr>
                <w:rFonts w:cs="Calibri"/>
                <w:color w:val="000000"/>
                <w:sz w:val="18"/>
                <w:szCs w:val="18"/>
                <w:lang w:eastAsia="en-GB"/>
              </w:rPr>
            </w:pPr>
            <w:r w:rsidRPr="009907EE">
              <w:rPr>
                <w:rFonts w:cs="Calibri"/>
                <w:color w:val="000000"/>
                <w:sz w:val="18"/>
                <w:szCs w:val="18"/>
                <w:lang w:eastAsia="en-GB"/>
              </w:rPr>
              <w:t>0.0</w:t>
            </w:r>
          </w:p>
        </w:tc>
        <w:tc>
          <w:tcPr>
            <w:tcW w:w="960" w:type="dxa"/>
            <w:tcBorders>
              <w:top w:val="nil"/>
              <w:left w:val="nil"/>
              <w:bottom w:val="single" w:sz="8" w:space="0" w:color="auto"/>
              <w:right w:val="single" w:sz="8" w:space="0" w:color="auto"/>
            </w:tcBorders>
            <w:shd w:val="clear" w:color="auto" w:fill="auto"/>
            <w:noWrap/>
            <w:vAlign w:val="center"/>
            <w:hideMark/>
          </w:tcPr>
          <w:p w:rsidR="00891A96" w:rsidRPr="009907EE" w:rsidRDefault="00891A96" w:rsidP="00891A96">
            <w:pPr>
              <w:jc w:val="right"/>
              <w:rPr>
                <w:rFonts w:cs="Calibri"/>
                <w:color w:val="000000"/>
                <w:sz w:val="18"/>
                <w:szCs w:val="18"/>
                <w:lang w:eastAsia="en-GB"/>
              </w:rPr>
            </w:pPr>
            <w:r w:rsidRPr="009907EE">
              <w:rPr>
                <w:rFonts w:cs="Calibri"/>
                <w:color w:val="000000"/>
                <w:sz w:val="18"/>
                <w:szCs w:val="18"/>
                <w:lang w:eastAsia="en-GB"/>
              </w:rPr>
              <w:t>0.0</w:t>
            </w:r>
          </w:p>
        </w:tc>
        <w:tc>
          <w:tcPr>
            <w:tcW w:w="1175" w:type="dxa"/>
            <w:tcBorders>
              <w:top w:val="nil"/>
              <w:left w:val="nil"/>
              <w:bottom w:val="single" w:sz="8" w:space="0" w:color="auto"/>
              <w:right w:val="single" w:sz="8" w:space="0" w:color="auto"/>
            </w:tcBorders>
            <w:shd w:val="clear" w:color="auto" w:fill="auto"/>
            <w:noWrap/>
            <w:vAlign w:val="center"/>
            <w:hideMark/>
          </w:tcPr>
          <w:p w:rsidR="00891A96" w:rsidRPr="009907EE" w:rsidRDefault="00891A96" w:rsidP="00891A96">
            <w:pPr>
              <w:jc w:val="right"/>
              <w:rPr>
                <w:rFonts w:cs="Calibri"/>
                <w:color w:val="000000"/>
                <w:sz w:val="18"/>
                <w:szCs w:val="18"/>
                <w:lang w:eastAsia="en-GB"/>
              </w:rPr>
            </w:pPr>
            <w:r w:rsidRPr="009907EE">
              <w:rPr>
                <w:rFonts w:cs="Calibri"/>
                <w:color w:val="000000"/>
                <w:sz w:val="18"/>
                <w:szCs w:val="18"/>
                <w:lang w:eastAsia="en-GB"/>
              </w:rPr>
              <w:t>0.0</w:t>
            </w:r>
          </w:p>
        </w:tc>
        <w:tc>
          <w:tcPr>
            <w:tcW w:w="960" w:type="dxa"/>
            <w:tcBorders>
              <w:top w:val="nil"/>
              <w:left w:val="nil"/>
              <w:bottom w:val="single" w:sz="8" w:space="0" w:color="auto"/>
              <w:right w:val="single" w:sz="8" w:space="0" w:color="auto"/>
            </w:tcBorders>
            <w:shd w:val="clear" w:color="auto" w:fill="auto"/>
            <w:noWrap/>
            <w:vAlign w:val="center"/>
            <w:hideMark/>
          </w:tcPr>
          <w:p w:rsidR="00891A96" w:rsidRPr="009907EE" w:rsidRDefault="00891A96" w:rsidP="00891A96">
            <w:pPr>
              <w:jc w:val="right"/>
              <w:rPr>
                <w:rFonts w:cs="Calibri"/>
                <w:b/>
                <w:bCs/>
                <w:color w:val="000000"/>
                <w:sz w:val="18"/>
                <w:szCs w:val="18"/>
                <w:lang w:eastAsia="en-GB"/>
              </w:rPr>
            </w:pPr>
            <w:r w:rsidRPr="009907EE">
              <w:rPr>
                <w:rFonts w:cs="Calibri"/>
                <w:b/>
                <w:bCs/>
                <w:color w:val="000000"/>
                <w:sz w:val="18"/>
                <w:szCs w:val="18"/>
                <w:lang w:eastAsia="en-GB"/>
              </w:rPr>
              <w:t>0.0</w:t>
            </w:r>
          </w:p>
        </w:tc>
        <w:tc>
          <w:tcPr>
            <w:tcW w:w="1000" w:type="dxa"/>
            <w:tcBorders>
              <w:top w:val="nil"/>
              <w:left w:val="nil"/>
              <w:bottom w:val="single" w:sz="8" w:space="0" w:color="auto"/>
              <w:right w:val="single" w:sz="8" w:space="0" w:color="auto"/>
            </w:tcBorders>
            <w:shd w:val="clear" w:color="auto" w:fill="auto"/>
            <w:noWrap/>
            <w:vAlign w:val="center"/>
            <w:hideMark/>
          </w:tcPr>
          <w:p w:rsidR="00891A96" w:rsidRPr="009907EE" w:rsidRDefault="00891A96" w:rsidP="00891A96">
            <w:pPr>
              <w:jc w:val="right"/>
              <w:rPr>
                <w:rFonts w:cs="Calibri"/>
                <w:color w:val="000000"/>
                <w:sz w:val="18"/>
                <w:szCs w:val="18"/>
                <w:lang w:eastAsia="en-GB"/>
              </w:rPr>
            </w:pPr>
            <w:r w:rsidRPr="009907EE">
              <w:rPr>
                <w:rFonts w:cs="Calibri"/>
                <w:color w:val="000000"/>
                <w:sz w:val="18"/>
                <w:szCs w:val="18"/>
                <w:lang w:eastAsia="en-GB"/>
              </w:rPr>
              <w:t>0.0</w:t>
            </w:r>
          </w:p>
        </w:tc>
      </w:tr>
      <w:tr w:rsidR="00891A96" w:rsidRPr="009907EE" w:rsidTr="00891A96">
        <w:trPr>
          <w:trHeight w:val="72"/>
        </w:trPr>
        <w:tc>
          <w:tcPr>
            <w:tcW w:w="3403" w:type="dxa"/>
            <w:tcBorders>
              <w:top w:val="nil"/>
              <w:left w:val="single" w:sz="8" w:space="0" w:color="auto"/>
              <w:bottom w:val="single" w:sz="8" w:space="0" w:color="auto"/>
              <w:right w:val="single" w:sz="8" w:space="0" w:color="auto"/>
            </w:tcBorders>
            <w:shd w:val="clear" w:color="auto" w:fill="auto"/>
            <w:vAlign w:val="center"/>
            <w:hideMark/>
          </w:tcPr>
          <w:p w:rsidR="00891A96" w:rsidRPr="009907EE" w:rsidRDefault="00891A96" w:rsidP="00891A96">
            <w:pPr>
              <w:rPr>
                <w:rFonts w:cs="Calibri"/>
                <w:color w:val="000000"/>
                <w:sz w:val="18"/>
                <w:szCs w:val="18"/>
                <w:lang w:eastAsia="en-GB"/>
              </w:rPr>
            </w:pPr>
            <w:r w:rsidRPr="009907EE">
              <w:rPr>
                <w:rFonts w:cs="Calibri"/>
                <w:color w:val="000000"/>
                <w:sz w:val="18"/>
                <w:szCs w:val="18"/>
                <w:lang w:eastAsia="en-GB"/>
              </w:rPr>
              <w:t>Other Movements in Depreciation &amp; Impairments</w:t>
            </w:r>
          </w:p>
        </w:tc>
        <w:tc>
          <w:tcPr>
            <w:tcW w:w="960" w:type="dxa"/>
            <w:tcBorders>
              <w:top w:val="nil"/>
              <w:left w:val="nil"/>
              <w:bottom w:val="single" w:sz="8" w:space="0" w:color="auto"/>
              <w:right w:val="nil"/>
            </w:tcBorders>
            <w:shd w:val="clear" w:color="auto" w:fill="auto"/>
            <w:noWrap/>
            <w:vAlign w:val="center"/>
            <w:hideMark/>
          </w:tcPr>
          <w:p w:rsidR="00891A96" w:rsidRPr="009907EE" w:rsidRDefault="00891A96" w:rsidP="00891A96">
            <w:pPr>
              <w:jc w:val="right"/>
              <w:rPr>
                <w:rFonts w:cs="Calibri"/>
                <w:color w:val="000000"/>
                <w:sz w:val="18"/>
                <w:szCs w:val="18"/>
                <w:lang w:eastAsia="en-GB"/>
              </w:rPr>
            </w:pPr>
            <w:r w:rsidRPr="009907EE">
              <w:rPr>
                <w:rFonts w:cs="Calibri"/>
                <w:color w:val="000000"/>
                <w:sz w:val="18"/>
                <w:szCs w:val="18"/>
                <w:lang w:eastAsia="en-GB"/>
              </w:rPr>
              <w:t>(0.1)</w:t>
            </w:r>
          </w:p>
        </w:tc>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891A96" w:rsidRPr="009907EE" w:rsidRDefault="00891A96" w:rsidP="00891A96">
            <w:pPr>
              <w:jc w:val="right"/>
              <w:rPr>
                <w:rFonts w:cs="Calibri"/>
                <w:color w:val="000000"/>
                <w:sz w:val="18"/>
                <w:szCs w:val="18"/>
                <w:lang w:eastAsia="en-GB"/>
              </w:rPr>
            </w:pPr>
            <w:r w:rsidRPr="009907EE">
              <w:rPr>
                <w:rFonts w:cs="Calibri"/>
                <w:color w:val="000000"/>
                <w:sz w:val="18"/>
                <w:szCs w:val="18"/>
                <w:lang w:eastAsia="en-GB"/>
              </w:rPr>
              <w:t>0.1</w:t>
            </w:r>
          </w:p>
        </w:tc>
        <w:tc>
          <w:tcPr>
            <w:tcW w:w="960" w:type="dxa"/>
            <w:tcBorders>
              <w:top w:val="nil"/>
              <w:left w:val="nil"/>
              <w:bottom w:val="single" w:sz="8" w:space="0" w:color="auto"/>
              <w:right w:val="single" w:sz="8" w:space="0" w:color="auto"/>
            </w:tcBorders>
            <w:shd w:val="clear" w:color="auto" w:fill="auto"/>
            <w:noWrap/>
            <w:vAlign w:val="center"/>
            <w:hideMark/>
          </w:tcPr>
          <w:p w:rsidR="00891A96" w:rsidRPr="009907EE" w:rsidRDefault="00891A96" w:rsidP="00891A96">
            <w:pPr>
              <w:jc w:val="right"/>
              <w:rPr>
                <w:rFonts w:cs="Calibri"/>
                <w:color w:val="000000"/>
                <w:sz w:val="18"/>
                <w:szCs w:val="18"/>
                <w:lang w:eastAsia="en-GB"/>
              </w:rPr>
            </w:pPr>
            <w:r w:rsidRPr="009907EE">
              <w:rPr>
                <w:rFonts w:cs="Calibri"/>
                <w:color w:val="000000"/>
                <w:sz w:val="18"/>
                <w:szCs w:val="18"/>
                <w:lang w:eastAsia="en-GB"/>
              </w:rPr>
              <w:t>0.0</w:t>
            </w:r>
          </w:p>
        </w:tc>
        <w:tc>
          <w:tcPr>
            <w:tcW w:w="960" w:type="dxa"/>
            <w:tcBorders>
              <w:top w:val="nil"/>
              <w:left w:val="nil"/>
              <w:bottom w:val="single" w:sz="8" w:space="0" w:color="auto"/>
              <w:right w:val="single" w:sz="8" w:space="0" w:color="auto"/>
            </w:tcBorders>
            <w:shd w:val="clear" w:color="auto" w:fill="auto"/>
            <w:noWrap/>
            <w:vAlign w:val="center"/>
            <w:hideMark/>
          </w:tcPr>
          <w:p w:rsidR="00891A96" w:rsidRPr="009907EE" w:rsidRDefault="00891A96" w:rsidP="00891A96">
            <w:pPr>
              <w:jc w:val="right"/>
              <w:rPr>
                <w:rFonts w:cs="Calibri"/>
                <w:color w:val="000000"/>
                <w:sz w:val="18"/>
                <w:szCs w:val="18"/>
                <w:lang w:eastAsia="en-GB"/>
              </w:rPr>
            </w:pPr>
            <w:r w:rsidRPr="009907EE">
              <w:rPr>
                <w:rFonts w:cs="Calibri"/>
                <w:color w:val="000000"/>
                <w:sz w:val="18"/>
                <w:szCs w:val="18"/>
                <w:lang w:eastAsia="en-GB"/>
              </w:rPr>
              <w:t>0.0</w:t>
            </w:r>
          </w:p>
        </w:tc>
        <w:tc>
          <w:tcPr>
            <w:tcW w:w="960" w:type="dxa"/>
            <w:tcBorders>
              <w:top w:val="nil"/>
              <w:left w:val="nil"/>
              <w:bottom w:val="single" w:sz="8" w:space="0" w:color="auto"/>
              <w:right w:val="single" w:sz="8" w:space="0" w:color="auto"/>
            </w:tcBorders>
            <w:shd w:val="clear" w:color="auto" w:fill="auto"/>
            <w:noWrap/>
            <w:vAlign w:val="center"/>
            <w:hideMark/>
          </w:tcPr>
          <w:p w:rsidR="00891A96" w:rsidRPr="009907EE" w:rsidRDefault="00891A96" w:rsidP="00891A96">
            <w:pPr>
              <w:jc w:val="right"/>
              <w:rPr>
                <w:rFonts w:cs="Calibri"/>
                <w:color w:val="000000"/>
                <w:sz w:val="18"/>
                <w:szCs w:val="18"/>
                <w:lang w:eastAsia="en-GB"/>
              </w:rPr>
            </w:pPr>
            <w:r w:rsidRPr="009907EE">
              <w:rPr>
                <w:rFonts w:cs="Calibri"/>
                <w:color w:val="000000"/>
                <w:sz w:val="18"/>
                <w:szCs w:val="18"/>
                <w:lang w:eastAsia="en-GB"/>
              </w:rPr>
              <w:t>0.0</w:t>
            </w:r>
          </w:p>
        </w:tc>
        <w:tc>
          <w:tcPr>
            <w:tcW w:w="1175" w:type="dxa"/>
            <w:tcBorders>
              <w:top w:val="nil"/>
              <w:left w:val="nil"/>
              <w:bottom w:val="single" w:sz="8" w:space="0" w:color="auto"/>
              <w:right w:val="single" w:sz="8" w:space="0" w:color="auto"/>
            </w:tcBorders>
            <w:shd w:val="clear" w:color="auto" w:fill="auto"/>
            <w:noWrap/>
            <w:vAlign w:val="center"/>
            <w:hideMark/>
          </w:tcPr>
          <w:p w:rsidR="00891A96" w:rsidRPr="009907EE" w:rsidRDefault="00891A96" w:rsidP="00891A96">
            <w:pPr>
              <w:jc w:val="right"/>
              <w:rPr>
                <w:rFonts w:cs="Calibri"/>
                <w:color w:val="000000"/>
                <w:sz w:val="18"/>
                <w:szCs w:val="18"/>
                <w:lang w:eastAsia="en-GB"/>
              </w:rPr>
            </w:pPr>
            <w:r w:rsidRPr="009907EE">
              <w:rPr>
                <w:rFonts w:cs="Calibri"/>
                <w:color w:val="000000"/>
                <w:sz w:val="18"/>
                <w:szCs w:val="18"/>
                <w:lang w:eastAsia="en-GB"/>
              </w:rPr>
              <w:t>0.0</w:t>
            </w:r>
          </w:p>
        </w:tc>
        <w:tc>
          <w:tcPr>
            <w:tcW w:w="960" w:type="dxa"/>
            <w:tcBorders>
              <w:top w:val="nil"/>
              <w:left w:val="nil"/>
              <w:bottom w:val="single" w:sz="8" w:space="0" w:color="auto"/>
              <w:right w:val="single" w:sz="8" w:space="0" w:color="auto"/>
            </w:tcBorders>
            <w:shd w:val="clear" w:color="auto" w:fill="auto"/>
            <w:noWrap/>
            <w:vAlign w:val="center"/>
            <w:hideMark/>
          </w:tcPr>
          <w:p w:rsidR="00891A96" w:rsidRPr="009907EE" w:rsidRDefault="00891A96" w:rsidP="00891A96">
            <w:pPr>
              <w:jc w:val="right"/>
              <w:rPr>
                <w:rFonts w:cs="Calibri"/>
                <w:b/>
                <w:bCs/>
                <w:color w:val="000000"/>
                <w:sz w:val="18"/>
                <w:szCs w:val="18"/>
                <w:lang w:eastAsia="en-GB"/>
              </w:rPr>
            </w:pPr>
            <w:r w:rsidRPr="009907EE">
              <w:rPr>
                <w:rFonts w:cs="Calibri"/>
                <w:b/>
                <w:bCs/>
                <w:color w:val="000000"/>
                <w:sz w:val="18"/>
                <w:szCs w:val="18"/>
                <w:lang w:eastAsia="en-GB"/>
              </w:rPr>
              <w:t>0.0</w:t>
            </w:r>
          </w:p>
        </w:tc>
        <w:tc>
          <w:tcPr>
            <w:tcW w:w="1000" w:type="dxa"/>
            <w:tcBorders>
              <w:top w:val="nil"/>
              <w:left w:val="nil"/>
              <w:bottom w:val="single" w:sz="8" w:space="0" w:color="auto"/>
              <w:right w:val="single" w:sz="8" w:space="0" w:color="auto"/>
            </w:tcBorders>
            <w:shd w:val="clear" w:color="auto" w:fill="auto"/>
            <w:noWrap/>
            <w:vAlign w:val="center"/>
            <w:hideMark/>
          </w:tcPr>
          <w:p w:rsidR="00891A96" w:rsidRPr="009907EE" w:rsidRDefault="00891A96" w:rsidP="00891A96">
            <w:pPr>
              <w:jc w:val="right"/>
              <w:rPr>
                <w:rFonts w:cs="Calibri"/>
                <w:color w:val="000000"/>
                <w:sz w:val="18"/>
                <w:szCs w:val="18"/>
                <w:lang w:eastAsia="en-GB"/>
              </w:rPr>
            </w:pPr>
            <w:r w:rsidRPr="009907EE">
              <w:rPr>
                <w:rFonts w:cs="Calibri"/>
                <w:color w:val="000000"/>
                <w:sz w:val="18"/>
                <w:szCs w:val="18"/>
                <w:lang w:eastAsia="en-GB"/>
              </w:rPr>
              <w:t>0.0</w:t>
            </w:r>
          </w:p>
        </w:tc>
      </w:tr>
      <w:tr w:rsidR="00891A96" w:rsidRPr="009907EE" w:rsidTr="00891A96">
        <w:trPr>
          <w:trHeight w:val="315"/>
        </w:trPr>
        <w:tc>
          <w:tcPr>
            <w:tcW w:w="3403" w:type="dxa"/>
            <w:tcBorders>
              <w:top w:val="nil"/>
              <w:left w:val="single" w:sz="8" w:space="0" w:color="auto"/>
              <w:bottom w:val="single" w:sz="8" w:space="0" w:color="auto"/>
              <w:right w:val="single" w:sz="8" w:space="0" w:color="auto"/>
            </w:tcBorders>
            <w:shd w:val="clear" w:color="auto" w:fill="auto"/>
            <w:vAlign w:val="center"/>
            <w:hideMark/>
          </w:tcPr>
          <w:p w:rsidR="00891A96" w:rsidRPr="009907EE" w:rsidRDefault="00891A96" w:rsidP="00891A96">
            <w:pPr>
              <w:rPr>
                <w:rFonts w:cs="Calibri"/>
                <w:b/>
                <w:bCs/>
                <w:color w:val="000000"/>
                <w:sz w:val="18"/>
                <w:szCs w:val="18"/>
                <w:lang w:eastAsia="en-GB"/>
              </w:rPr>
            </w:pPr>
            <w:r w:rsidRPr="009907EE">
              <w:rPr>
                <w:rFonts w:cs="Calibri"/>
                <w:b/>
                <w:bCs/>
                <w:color w:val="000000"/>
                <w:sz w:val="18"/>
                <w:szCs w:val="18"/>
                <w:lang w:eastAsia="en-GB"/>
              </w:rPr>
              <w:t>At 31 March 2020</w:t>
            </w:r>
          </w:p>
        </w:tc>
        <w:tc>
          <w:tcPr>
            <w:tcW w:w="960" w:type="dxa"/>
            <w:tcBorders>
              <w:top w:val="nil"/>
              <w:left w:val="nil"/>
              <w:bottom w:val="single" w:sz="8" w:space="0" w:color="auto"/>
              <w:right w:val="nil"/>
            </w:tcBorders>
            <w:shd w:val="clear" w:color="auto" w:fill="auto"/>
            <w:noWrap/>
            <w:vAlign w:val="center"/>
            <w:hideMark/>
          </w:tcPr>
          <w:p w:rsidR="00891A96" w:rsidRPr="009907EE" w:rsidRDefault="00891A96" w:rsidP="00891A96">
            <w:pPr>
              <w:jc w:val="right"/>
              <w:rPr>
                <w:rFonts w:cs="Calibri"/>
                <w:b/>
                <w:bCs/>
                <w:color w:val="000000"/>
                <w:sz w:val="18"/>
                <w:szCs w:val="18"/>
                <w:lang w:eastAsia="en-GB"/>
              </w:rPr>
            </w:pPr>
            <w:r w:rsidRPr="009907EE">
              <w:rPr>
                <w:rFonts w:cs="Calibri"/>
                <w:b/>
                <w:bCs/>
                <w:color w:val="000000"/>
                <w:sz w:val="18"/>
                <w:szCs w:val="18"/>
                <w:lang w:eastAsia="en-GB"/>
              </w:rPr>
              <w:t>(7.5)</w:t>
            </w:r>
          </w:p>
        </w:tc>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891A96" w:rsidRPr="009907EE" w:rsidRDefault="00891A96" w:rsidP="00891A96">
            <w:pPr>
              <w:jc w:val="right"/>
              <w:rPr>
                <w:rFonts w:cs="Calibri"/>
                <w:b/>
                <w:bCs/>
                <w:color w:val="000000"/>
                <w:sz w:val="18"/>
                <w:szCs w:val="18"/>
                <w:lang w:eastAsia="en-GB"/>
              </w:rPr>
            </w:pPr>
            <w:r w:rsidRPr="009907EE">
              <w:rPr>
                <w:rFonts w:cs="Calibri"/>
                <w:b/>
                <w:bCs/>
                <w:color w:val="000000"/>
                <w:sz w:val="18"/>
                <w:szCs w:val="18"/>
                <w:lang w:eastAsia="en-GB"/>
              </w:rPr>
              <w:t>(22.3)</w:t>
            </w:r>
          </w:p>
        </w:tc>
        <w:tc>
          <w:tcPr>
            <w:tcW w:w="960" w:type="dxa"/>
            <w:tcBorders>
              <w:top w:val="nil"/>
              <w:left w:val="nil"/>
              <w:bottom w:val="single" w:sz="8" w:space="0" w:color="auto"/>
              <w:right w:val="single" w:sz="8" w:space="0" w:color="auto"/>
            </w:tcBorders>
            <w:shd w:val="clear" w:color="auto" w:fill="auto"/>
            <w:noWrap/>
            <w:vAlign w:val="center"/>
            <w:hideMark/>
          </w:tcPr>
          <w:p w:rsidR="00891A96" w:rsidRPr="009907EE" w:rsidRDefault="00891A96" w:rsidP="00891A96">
            <w:pPr>
              <w:jc w:val="right"/>
              <w:rPr>
                <w:rFonts w:cs="Calibri"/>
                <w:b/>
                <w:bCs/>
                <w:color w:val="000000"/>
                <w:sz w:val="18"/>
                <w:szCs w:val="18"/>
                <w:lang w:eastAsia="en-GB"/>
              </w:rPr>
            </w:pPr>
            <w:r w:rsidRPr="009907EE">
              <w:rPr>
                <w:rFonts w:cs="Calibri"/>
                <w:b/>
                <w:bCs/>
                <w:color w:val="000000"/>
                <w:sz w:val="18"/>
                <w:szCs w:val="18"/>
                <w:lang w:eastAsia="en-GB"/>
              </w:rPr>
              <w:t>(36.4)</w:t>
            </w:r>
          </w:p>
        </w:tc>
        <w:tc>
          <w:tcPr>
            <w:tcW w:w="960" w:type="dxa"/>
            <w:tcBorders>
              <w:top w:val="nil"/>
              <w:left w:val="nil"/>
              <w:bottom w:val="single" w:sz="8" w:space="0" w:color="auto"/>
              <w:right w:val="single" w:sz="8" w:space="0" w:color="auto"/>
            </w:tcBorders>
            <w:shd w:val="clear" w:color="auto" w:fill="auto"/>
            <w:noWrap/>
            <w:vAlign w:val="center"/>
            <w:hideMark/>
          </w:tcPr>
          <w:p w:rsidR="00891A96" w:rsidRPr="009907EE" w:rsidRDefault="00891A96" w:rsidP="00891A96">
            <w:pPr>
              <w:jc w:val="right"/>
              <w:rPr>
                <w:rFonts w:cs="Calibri"/>
                <w:b/>
                <w:bCs/>
                <w:color w:val="000000"/>
                <w:sz w:val="18"/>
                <w:szCs w:val="18"/>
                <w:lang w:eastAsia="en-GB"/>
              </w:rPr>
            </w:pPr>
            <w:r w:rsidRPr="009907EE">
              <w:rPr>
                <w:rFonts w:cs="Calibri"/>
                <w:b/>
                <w:bCs/>
                <w:color w:val="000000"/>
                <w:sz w:val="18"/>
                <w:szCs w:val="18"/>
                <w:lang w:eastAsia="en-GB"/>
              </w:rPr>
              <w:t>(84.6)</w:t>
            </w:r>
          </w:p>
        </w:tc>
        <w:tc>
          <w:tcPr>
            <w:tcW w:w="960" w:type="dxa"/>
            <w:tcBorders>
              <w:top w:val="nil"/>
              <w:left w:val="nil"/>
              <w:bottom w:val="single" w:sz="8" w:space="0" w:color="auto"/>
              <w:right w:val="single" w:sz="8" w:space="0" w:color="auto"/>
            </w:tcBorders>
            <w:shd w:val="clear" w:color="auto" w:fill="auto"/>
            <w:noWrap/>
            <w:vAlign w:val="center"/>
            <w:hideMark/>
          </w:tcPr>
          <w:p w:rsidR="00891A96" w:rsidRPr="009907EE" w:rsidRDefault="00891A96" w:rsidP="00891A96">
            <w:pPr>
              <w:jc w:val="right"/>
              <w:rPr>
                <w:rFonts w:cs="Calibri"/>
                <w:b/>
                <w:bCs/>
                <w:color w:val="000000"/>
                <w:sz w:val="18"/>
                <w:szCs w:val="18"/>
                <w:lang w:eastAsia="en-GB"/>
              </w:rPr>
            </w:pPr>
            <w:r w:rsidRPr="009907EE">
              <w:rPr>
                <w:rFonts w:cs="Calibri"/>
                <w:b/>
                <w:bCs/>
                <w:color w:val="000000"/>
                <w:sz w:val="18"/>
                <w:szCs w:val="18"/>
                <w:lang w:eastAsia="en-GB"/>
              </w:rPr>
              <w:t>0.0</w:t>
            </w:r>
          </w:p>
        </w:tc>
        <w:tc>
          <w:tcPr>
            <w:tcW w:w="1175" w:type="dxa"/>
            <w:tcBorders>
              <w:top w:val="nil"/>
              <w:left w:val="nil"/>
              <w:bottom w:val="single" w:sz="8" w:space="0" w:color="auto"/>
              <w:right w:val="single" w:sz="8" w:space="0" w:color="auto"/>
            </w:tcBorders>
            <w:shd w:val="clear" w:color="auto" w:fill="auto"/>
            <w:noWrap/>
            <w:vAlign w:val="center"/>
            <w:hideMark/>
          </w:tcPr>
          <w:p w:rsidR="00891A96" w:rsidRPr="009907EE" w:rsidRDefault="00891A96" w:rsidP="00891A96">
            <w:pPr>
              <w:jc w:val="right"/>
              <w:rPr>
                <w:rFonts w:cs="Calibri"/>
                <w:b/>
                <w:bCs/>
                <w:color w:val="000000"/>
                <w:sz w:val="18"/>
                <w:szCs w:val="18"/>
                <w:lang w:eastAsia="en-GB"/>
              </w:rPr>
            </w:pPr>
            <w:r w:rsidRPr="009907EE">
              <w:rPr>
                <w:rFonts w:cs="Calibri"/>
                <w:b/>
                <w:bCs/>
                <w:color w:val="000000"/>
                <w:sz w:val="18"/>
                <w:szCs w:val="18"/>
                <w:lang w:eastAsia="en-GB"/>
              </w:rPr>
              <w:t>0.0</w:t>
            </w:r>
          </w:p>
        </w:tc>
        <w:tc>
          <w:tcPr>
            <w:tcW w:w="960" w:type="dxa"/>
            <w:tcBorders>
              <w:top w:val="nil"/>
              <w:left w:val="nil"/>
              <w:bottom w:val="single" w:sz="8" w:space="0" w:color="auto"/>
              <w:right w:val="single" w:sz="8" w:space="0" w:color="auto"/>
            </w:tcBorders>
            <w:shd w:val="clear" w:color="auto" w:fill="auto"/>
            <w:noWrap/>
            <w:vAlign w:val="center"/>
            <w:hideMark/>
          </w:tcPr>
          <w:p w:rsidR="00891A96" w:rsidRPr="009907EE" w:rsidRDefault="00891A96" w:rsidP="00891A96">
            <w:pPr>
              <w:jc w:val="right"/>
              <w:rPr>
                <w:rFonts w:cs="Calibri"/>
                <w:b/>
                <w:bCs/>
                <w:color w:val="000000"/>
                <w:sz w:val="18"/>
                <w:szCs w:val="18"/>
                <w:lang w:eastAsia="en-GB"/>
              </w:rPr>
            </w:pPr>
            <w:r w:rsidRPr="009907EE">
              <w:rPr>
                <w:rFonts w:cs="Calibri"/>
                <w:b/>
                <w:bCs/>
                <w:color w:val="000000"/>
                <w:sz w:val="18"/>
                <w:szCs w:val="18"/>
                <w:lang w:eastAsia="en-GB"/>
              </w:rPr>
              <w:t>(150.8)</w:t>
            </w:r>
          </w:p>
        </w:tc>
        <w:tc>
          <w:tcPr>
            <w:tcW w:w="1000" w:type="dxa"/>
            <w:tcBorders>
              <w:top w:val="nil"/>
              <w:left w:val="nil"/>
              <w:bottom w:val="single" w:sz="8" w:space="0" w:color="auto"/>
              <w:right w:val="single" w:sz="8" w:space="0" w:color="auto"/>
            </w:tcBorders>
            <w:shd w:val="clear" w:color="auto" w:fill="auto"/>
            <w:noWrap/>
            <w:vAlign w:val="center"/>
            <w:hideMark/>
          </w:tcPr>
          <w:p w:rsidR="00891A96" w:rsidRPr="009907EE" w:rsidRDefault="00891A96" w:rsidP="00891A96">
            <w:pPr>
              <w:jc w:val="right"/>
              <w:rPr>
                <w:rFonts w:cs="Calibri"/>
                <w:b/>
                <w:bCs/>
                <w:color w:val="000000"/>
                <w:sz w:val="18"/>
                <w:szCs w:val="18"/>
                <w:lang w:eastAsia="en-GB"/>
              </w:rPr>
            </w:pPr>
            <w:r w:rsidRPr="009907EE">
              <w:rPr>
                <w:rFonts w:cs="Calibri"/>
                <w:b/>
                <w:bCs/>
                <w:color w:val="000000"/>
                <w:sz w:val="18"/>
                <w:szCs w:val="18"/>
                <w:lang w:eastAsia="en-GB"/>
              </w:rPr>
              <w:t>(11.2)</w:t>
            </w:r>
          </w:p>
        </w:tc>
      </w:tr>
      <w:tr w:rsidR="00891A96" w:rsidRPr="009907EE" w:rsidTr="00891A96">
        <w:trPr>
          <w:trHeight w:val="495"/>
        </w:trPr>
        <w:tc>
          <w:tcPr>
            <w:tcW w:w="3403" w:type="dxa"/>
            <w:tcBorders>
              <w:top w:val="nil"/>
              <w:left w:val="nil"/>
              <w:bottom w:val="single" w:sz="8" w:space="0" w:color="auto"/>
              <w:right w:val="nil"/>
            </w:tcBorders>
            <w:shd w:val="clear" w:color="auto" w:fill="auto"/>
            <w:vAlign w:val="center"/>
            <w:hideMark/>
          </w:tcPr>
          <w:p w:rsidR="00891A96" w:rsidRPr="009907EE" w:rsidRDefault="00891A96" w:rsidP="00891A96">
            <w:pPr>
              <w:rPr>
                <w:rFonts w:cs="Calibri"/>
                <w:b/>
                <w:bCs/>
                <w:color w:val="000000"/>
                <w:sz w:val="18"/>
                <w:szCs w:val="18"/>
                <w:lang w:eastAsia="en-GB"/>
              </w:rPr>
            </w:pPr>
            <w:r w:rsidRPr="009907EE">
              <w:rPr>
                <w:rFonts w:cs="Calibri"/>
                <w:b/>
                <w:bCs/>
                <w:color w:val="000000"/>
                <w:sz w:val="18"/>
                <w:szCs w:val="18"/>
                <w:lang w:eastAsia="en-GB"/>
              </w:rPr>
              <w:t>Balance Sheet  Net Book Values (NBV)</w:t>
            </w:r>
          </w:p>
        </w:tc>
        <w:tc>
          <w:tcPr>
            <w:tcW w:w="960" w:type="dxa"/>
            <w:tcBorders>
              <w:top w:val="nil"/>
              <w:left w:val="nil"/>
              <w:bottom w:val="single" w:sz="8" w:space="0" w:color="auto"/>
              <w:right w:val="nil"/>
            </w:tcBorders>
            <w:shd w:val="clear" w:color="auto" w:fill="auto"/>
            <w:vAlign w:val="center"/>
            <w:hideMark/>
          </w:tcPr>
          <w:p w:rsidR="00891A96" w:rsidRPr="009907EE" w:rsidRDefault="00891A96" w:rsidP="00891A96">
            <w:pPr>
              <w:rPr>
                <w:rFonts w:cs="Calibri"/>
                <w:b/>
                <w:bCs/>
                <w:color w:val="000000"/>
                <w:sz w:val="18"/>
                <w:szCs w:val="18"/>
                <w:lang w:eastAsia="en-GB"/>
              </w:rPr>
            </w:pPr>
            <w:r w:rsidRPr="009907EE">
              <w:rPr>
                <w:rFonts w:cs="Calibri"/>
                <w:b/>
                <w:bCs/>
                <w:color w:val="000000"/>
                <w:sz w:val="18"/>
                <w:szCs w:val="18"/>
                <w:lang w:eastAsia="en-GB"/>
              </w:rPr>
              <w:t> </w:t>
            </w:r>
          </w:p>
        </w:tc>
        <w:tc>
          <w:tcPr>
            <w:tcW w:w="960" w:type="dxa"/>
            <w:tcBorders>
              <w:top w:val="nil"/>
              <w:left w:val="nil"/>
              <w:bottom w:val="single" w:sz="8" w:space="0" w:color="auto"/>
              <w:right w:val="nil"/>
            </w:tcBorders>
            <w:shd w:val="clear" w:color="auto" w:fill="auto"/>
            <w:vAlign w:val="center"/>
            <w:hideMark/>
          </w:tcPr>
          <w:p w:rsidR="00891A96" w:rsidRPr="009907EE" w:rsidRDefault="00891A96" w:rsidP="00891A96">
            <w:pPr>
              <w:rPr>
                <w:rFonts w:cs="Calibri"/>
                <w:b/>
                <w:bCs/>
                <w:color w:val="000000"/>
                <w:sz w:val="18"/>
                <w:szCs w:val="18"/>
                <w:lang w:eastAsia="en-GB"/>
              </w:rPr>
            </w:pPr>
            <w:r w:rsidRPr="009907EE">
              <w:rPr>
                <w:rFonts w:cs="Calibri"/>
                <w:b/>
                <w:bCs/>
                <w:color w:val="000000"/>
                <w:sz w:val="18"/>
                <w:szCs w:val="18"/>
                <w:lang w:eastAsia="en-GB"/>
              </w:rPr>
              <w:t> </w:t>
            </w:r>
          </w:p>
        </w:tc>
        <w:tc>
          <w:tcPr>
            <w:tcW w:w="960" w:type="dxa"/>
            <w:tcBorders>
              <w:top w:val="nil"/>
              <w:left w:val="nil"/>
              <w:bottom w:val="single" w:sz="8" w:space="0" w:color="auto"/>
              <w:right w:val="nil"/>
            </w:tcBorders>
            <w:shd w:val="clear" w:color="auto" w:fill="auto"/>
            <w:noWrap/>
            <w:vAlign w:val="center"/>
            <w:hideMark/>
          </w:tcPr>
          <w:p w:rsidR="00891A96" w:rsidRPr="009907EE" w:rsidRDefault="00891A96" w:rsidP="00891A96">
            <w:pPr>
              <w:rPr>
                <w:rFonts w:cs="Calibri"/>
                <w:b/>
                <w:bCs/>
                <w:color w:val="000000"/>
                <w:sz w:val="18"/>
                <w:szCs w:val="18"/>
                <w:lang w:eastAsia="en-GB"/>
              </w:rPr>
            </w:pPr>
            <w:r w:rsidRPr="009907EE">
              <w:rPr>
                <w:rFonts w:cs="Calibri"/>
                <w:b/>
                <w:bCs/>
                <w:color w:val="000000"/>
                <w:sz w:val="18"/>
                <w:szCs w:val="18"/>
                <w:lang w:eastAsia="en-GB"/>
              </w:rPr>
              <w:t> </w:t>
            </w:r>
          </w:p>
        </w:tc>
        <w:tc>
          <w:tcPr>
            <w:tcW w:w="960" w:type="dxa"/>
            <w:tcBorders>
              <w:top w:val="nil"/>
              <w:left w:val="nil"/>
              <w:bottom w:val="single" w:sz="8" w:space="0" w:color="auto"/>
              <w:right w:val="nil"/>
            </w:tcBorders>
            <w:shd w:val="clear" w:color="auto" w:fill="auto"/>
            <w:noWrap/>
            <w:vAlign w:val="center"/>
            <w:hideMark/>
          </w:tcPr>
          <w:p w:rsidR="00891A96" w:rsidRPr="009907EE" w:rsidRDefault="00891A96" w:rsidP="00891A96">
            <w:pPr>
              <w:rPr>
                <w:rFonts w:cs="Calibri"/>
                <w:b/>
                <w:bCs/>
                <w:color w:val="000000"/>
                <w:sz w:val="18"/>
                <w:szCs w:val="18"/>
                <w:lang w:eastAsia="en-GB"/>
              </w:rPr>
            </w:pPr>
            <w:r w:rsidRPr="009907EE">
              <w:rPr>
                <w:rFonts w:cs="Calibri"/>
                <w:b/>
                <w:bCs/>
                <w:color w:val="000000"/>
                <w:sz w:val="18"/>
                <w:szCs w:val="18"/>
                <w:lang w:eastAsia="en-GB"/>
              </w:rPr>
              <w:t> </w:t>
            </w:r>
          </w:p>
        </w:tc>
        <w:tc>
          <w:tcPr>
            <w:tcW w:w="960" w:type="dxa"/>
            <w:tcBorders>
              <w:top w:val="nil"/>
              <w:left w:val="nil"/>
              <w:bottom w:val="single" w:sz="8" w:space="0" w:color="auto"/>
              <w:right w:val="nil"/>
            </w:tcBorders>
            <w:shd w:val="clear" w:color="auto" w:fill="auto"/>
            <w:noWrap/>
            <w:vAlign w:val="center"/>
            <w:hideMark/>
          </w:tcPr>
          <w:p w:rsidR="00891A96" w:rsidRPr="009907EE" w:rsidRDefault="00891A96" w:rsidP="00891A96">
            <w:pPr>
              <w:rPr>
                <w:rFonts w:cs="Calibri"/>
                <w:b/>
                <w:bCs/>
                <w:color w:val="000000"/>
                <w:sz w:val="18"/>
                <w:szCs w:val="18"/>
                <w:lang w:eastAsia="en-GB"/>
              </w:rPr>
            </w:pPr>
            <w:r w:rsidRPr="009907EE">
              <w:rPr>
                <w:rFonts w:cs="Calibri"/>
                <w:b/>
                <w:bCs/>
                <w:color w:val="000000"/>
                <w:sz w:val="18"/>
                <w:szCs w:val="18"/>
                <w:lang w:eastAsia="en-GB"/>
              </w:rPr>
              <w:t> </w:t>
            </w:r>
          </w:p>
        </w:tc>
        <w:tc>
          <w:tcPr>
            <w:tcW w:w="1175" w:type="dxa"/>
            <w:tcBorders>
              <w:top w:val="nil"/>
              <w:left w:val="nil"/>
              <w:bottom w:val="single" w:sz="8" w:space="0" w:color="auto"/>
              <w:right w:val="nil"/>
            </w:tcBorders>
            <w:shd w:val="clear" w:color="auto" w:fill="auto"/>
            <w:noWrap/>
            <w:vAlign w:val="center"/>
            <w:hideMark/>
          </w:tcPr>
          <w:p w:rsidR="00891A96" w:rsidRPr="009907EE" w:rsidRDefault="00891A96" w:rsidP="00891A96">
            <w:pPr>
              <w:rPr>
                <w:rFonts w:cs="Calibri"/>
                <w:b/>
                <w:bCs/>
                <w:color w:val="000000"/>
                <w:sz w:val="18"/>
                <w:szCs w:val="18"/>
                <w:lang w:eastAsia="en-GB"/>
              </w:rPr>
            </w:pPr>
            <w:r w:rsidRPr="009907EE">
              <w:rPr>
                <w:rFonts w:cs="Calibri"/>
                <w:b/>
                <w:bCs/>
                <w:color w:val="000000"/>
                <w:sz w:val="18"/>
                <w:szCs w:val="18"/>
                <w:lang w:eastAsia="en-GB"/>
              </w:rPr>
              <w:t> </w:t>
            </w:r>
          </w:p>
        </w:tc>
        <w:tc>
          <w:tcPr>
            <w:tcW w:w="960" w:type="dxa"/>
            <w:tcBorders>
              <w:top w:val="nil"/>
              <w:left w:val="nil"/>
              <w:bottom w:val="single" w:sz="8" w:space="0" w:color="auto"/>
              <w:right w:val="nil"/>
            </w:tcBorders>
            <w:shd w:val="clear" w:color="auto" w:fill="auto"/>
            <w:noWrap/>
            <w:vAlign w:val="center"/>
            <w:hideMark/>
          </w:tcPr>
          <w:p w:rsidR="00891A96" w:rsidRPr="009907EE" w:rsidRDefault="00891A96" w:rsidP="00891A96">
            <w:pPr>
              <w:rPr>
                <w:rFonts w:cs="Calibri"/>
                <w:b/>
                <w:bCs/>
                <w:color w:val="000000"/>
                <w:sz w:val="18"/>
                <w:szCs w:val="18"/>
                <w:lang w:eastAsia="en-GB"/>
              </w:rPr>
            </w:pPr>
            <w:r w:rsidRPr="009907EE">
              <w:rPr>
                <w:rFonts w:cs="Calibri"/>
                <w:b/>
                <w:bCs/>
                <w:color w:val="000000"/>
                <w:sz w:val="18"/>
                <w:szCs w:val="18"/>
                <w:lang w:eastAsia="en-GB"/>
              </w:rPr>
              <w:t> </w:t>
            </w:r>
          </w:p>
        </w:tc>
        <w:tc>
          <w:tcPr>
            <w:tcW w:w="1000" w:type="dxa"/>
            <w:tcBorders>
              <w:top w:val="nil"/>
              <w:left w:val="nil"/>
              <w:bottom w:val="single" w:sz="8" w:space="0" w:color="auto"/>
              <w:right w:val="nil"/>
            </w:tcBorders>
            <w:shd w:val="clear" w:color="auto" w:fill="auto"/>
            <w:noWrap/>
            <w:vAlign w:val="center"/>
            <w:hideMark/>
          </w:tcPr>
          <w:p w:rsidR="00891A96" w:rsidRPr="009907EE" w:rsidRDefault="00891A96" w:rsidP="00891A96">
            <w:pPr>
              <w:rPr>
                <w:rFonts w:cs="Calibri"/>
                <w:b/>
                <w:bCs/>
                <w:color w:val="000000"/>
                <w:sz w:val="18"/>
                <w:szCs w:val="18"/>
                <w:lang w:eastAsia="en-GB"/>
              </w:rPr>
            </w:pPr>
            <w:r w:rsidRPr="009907EE">
              <w:rPr>
                <w:rFonts w:cs="Calibri"/>
                <w:b/>
                <w:bCs/>
                <w:color w:val="000000"/>
                <w:sz w:val="18"/>
                <w:szCs w:val="18"/>
                <w:lang w:eastAsia="en-GB"/>
              </w:rPr>
              <w:t> </w:t>
            </w:r>
          </w:p>
        </w:tc>
      </w:tr>
      <w:tr w:rsidR="00891A96" w:rsidRPr="009907EE" w:rsidTr="00891A96">
        <w:trPr>
          <w:trHeight w:val="495"/>
        </w:trPr>
        <w:tc>
          <w:tcPr>
            <w:tcW w:w="3403" w:type="dxa"/>
            <w:tcBorders>
              <w:top w:val="nil"/>
              <w:left w:val="single" w:sz="8" w:space="0" w:color="auto"/>
              <w:bottom w:val="single" w:sz="8" w:space="0" w:color="auto"/>
              <w:right w:val="single" w:sz="8" w:space="0" w:color="auto"/>
            </w:tcBorders>
            <w:shd w:val="clear" w:color="auto" w:fill="auto"/>
            <w:vAlign w:val="center"/>
            <w:hideMark/>
          </w:tcPr>
          <w:p w:rsidR="00891A96" w:rsidRPr="009907EE" w:rsidRDefault="00891A96" w:rsidP="00891A96">
            <w:pPr>
              <w:rPr>
                <w:rFonts w:cs="Calibri"/>
                <w:b/>
                <w:bCs/>
                <w:color w:val="000000"/>
                <w:sz w:val="18"/>
                <w:szCs w:val="18"/>
                <w:lang w:eastAsia="en-GB"/>
              </w:rPr>
            </w:pPr>
            <w:r w:rsidRPr="009907EE">
              <w:rPr>
                <w:rFonts w:cs="Calibri"/>
                <w:b/>
                <w:bCs/>
                <w:color w:val="000000"/>
                <w:sz w:val="18"/>
                <w:szCs w:val="18"/>
                <w:lang w:eastAsia="en-GB"/>
              </w:rPr>
              <w:t>Balance Sheet NBV at 31 March 2020</w:t>
            </w:r>
          </w:p>
        </w:tc>
        <w:tc>
          <w:tcPr>
            <w:tcW w:w="960" w:type="dxa"/>
            <w:tcBorders>
              <w:top w:val="nil"/>
              <w:left w:val="nil"/>
              <w:bottom w:val="single" w:sz="8" w:space="0" w:color="auto"/>
              <w:right w:val="single" w:sz="8" w:space="0" w:color="auto"/>
            </w:tcBorders>
            <w:shd w:val="clear" w:color="auto" w:fill="auto"/>
            <w:noWrap/>
            <w:vAlign w:val="center"/>
            <w:hideMark/>
          </w:tcPr>
          <w:p w:rsidR="00891A96" w:rsidRPr="009907EE" w:rsidRDefault="00891A96" w:rsidP="00891A96">
            <w:pPr>
              <w:jc w:val="right"/>
              <w:rPr>
                <w:rFonts w:cs="Calibri"/>
                <w:b/>
                <w:bCs/>
                <w:color w:val="000000"/>
                <w:sz w:val="18"/>
                <w:szCs w:val="18"/>
                <w:lang w:eastAsia="en-GB"/>
              </w:rPr>
            </w:pPr>
            <w:r w:rsidRPr="009907EE">
              <w:rPr>
                <w:rFonts w:cs="Calibri"/>
                <w:b/>
                <w:bCs/>
                <w:color w:val="000000"/>
                <w:sz w:val="18"/>
                <w:szCs w:val="18"/>
                <w:lang w:eastAsia="en-GB"/>
              </w:rPr>
              <w:t>618.5</w:t>
            </w:r>
          </w:p>
        </w:tc>
        <w:tc>
          <w:tcPr>
            <w:tcW w:w="960" w:type="dxa"/>
            <w:tcBorders>
              <w:top w:val="nil"/>
              <w:left w:val="nil"/>
              <w:bottom w:val="single" w:sz="8" w:space="0" w:color="auto"/>
              <w:right w:val="single" w:sz="8" w:space="0" w:color="auto"/>
            </w:tcBorders>
            <w:shd w:val="clear" w:color="auto" w:fill="auto"/>
            <w:noWrap/>
            <w:vAlign w:val="center"/>
            <w:hideMark/>
          </w:tcPr>
          <w:p w:rsidR="00891A96" w:rsidRPr="009907EE" w:rsidRDefault="00891A96" w:rsidP="00891A96">
            <w:pPr>
              <w:jc w:val="right"/>
              <w:rPr>
                <w:rFonts w:cs="Calibri"/>
                <w:b/>
                <w:bCs/>
                <w:color w:val="000000"/>
                <w:sz w:val="18"/>
                <w:szCs w:val="18"/>
                <w:lang w:eastAsia="en-GB"/>
              </w:rPr>
            </w:pPr>
            <w:r w:rsidRPr="009907EE">
              <w:rPr>
                <w:rFonts w:cs="Calibri"/>
                <w:b/>
                <w:bCs/>
                <w:color w:val="000000"/>
                <w:sz w:val="18"/>
                <w:szCs w:val="18"/>
                <w:lang w:eastAsia="en-GB"/>
              </w:rPr>
              <w:t>1,136.2</w:t>
            </w:r>
          </w:p>
        </w:tc>
        <w:tc>
          <w:tcPr>
            <w:tcW w:w="960" w:type="dxa"/>
            <w:tcBorders>
              <w:top w:val="nil"/>
              <w:left w:val="nil"/>
              <w:bottom w:val="single" w:sz="8" w:space="0" w:color="auto"/>
              <w:right w:val="single" w:sz="8" w:space="0" w:color="auto"/>
            </w:tcBorders>
            <w:shd w:val="clear" w:color="auto" w:fill="auto"/>
            <w:noWrap/>
            <w:vAlign w:val="center"/>
            <w:hideMark/>
          </w:tcPr>
          <w:p w:rsidR="00891A96" w:rsidRPr="009907EE" w:rsidRDefault="00891A96" w:rsidP="00891A96">
            <w:pPr>
              <w:jc w:val="right"/>
              <w:rPr>
                <w:rFonts w:cs="Calibri"/>
                <w:b/>
                <w:bCs/>
                <w:color w:val="000000"/>
                <w:sz w:val="18"/>
                <w:szCs w:val="18"/>
                <w:lang w:eastAsia="en-GB"/>
              </w:rPr>
            </w:pPr>
            <w:r w:rsidRPr="009907EE">
              <w:rPr>
                <w:rFonts w:cs="Calibri"/>
                <w:b/>
                <w:bCs/>
                <w:color w:val="000000"/>
                <w:sz w:val="18"/>
                <w:szCs w:val="18"/>
                <w:lang w:eastAsia="en-GB"/>
              </w:rPr>
              <w:t>19.3</w:t>
            </w:r>
          </w:p>
        </w:tc>
        <w:tc>
          <w:tcPr>
            <w:tcW w:w="960" w:type="dxa"/>
            <w:tcBorders>
              <w:top w:val="nil"/>
              <w:left w:val="nil"/>
              <w:bottom w:val="single" w:sz="8" w:space="0" w:color="auto"/>
              <w:right w:val="single" w:sz="8" w:space="0" w:color="auto"/>
            </w:tcBorders>
            <w:shd w:val="clear" w:color="auto" w:fill="auto"/>
            <w:noWrap/>
            <w:vAlign w:val="center"/>
            <w:hideMark/>
          </w:tcPr>
          <w:p w:rsidR="00891A96" w:rsidRPr="009907EE" w:rsidRDefault="00891A96" w:rsidP="00891A96">
            <w:pPr>
              <w:jc w:val="right"/>
              <w:rPr>
                <w:rFonts w:cs="Calibri"/>
                <w:b/>
                <w:bCs/>
                <w:color w:val="000000"/>
                <w:sz w:val="18"/>
                <w:szCs w:val="18"/>
                <w:lang w:eastAsia="en-GB"/>
              </w:rPr>
            </w:pPr>
            <w:r w:rsidRPr="009907EE">
              <w:rPr>
                <w:rFonts w:cs="Calibri"/>
                <w:b/>
                <w:bCs/>
                <w:color w:val="000000"/>
                <w:sz w:val="18"/>
                <w:szCs w:val="18"/>
                <w:lang w:eastAsia="en-GB"/>
              </w:rPr>
              <w:t>206.9</w:t>
            </w:r>
          </w:p>
        </w:tc>
        <w:tc>
          <w:tcPr>
            <w:tcW w:w="960" w:type="dxa"/>
            <w:tcBorders>
              <w:top w:val="nil"/>
              <w:left w:val="nil"/>
              <w:bottom w:val="single" w:sz="8" w:space="0" w:color="auto"/>
              <w:right w:val="single" w:sz="8" w:space="0" w:color="auto"/>
            </w:tcBorders>
            <w:shd w:val="clear" w:color="auto" w:fill="auto"/>
            <w:noWrap/>
            <w:vAlign w:val="center"/>
            <w:hideMark/>
          </w:tcPr>
          <w:p w:rsidR="00891A96" w:rsidRPr="009907EE" w:rsidRDefault="00891A96" w:rsidP="00891A96">
            <w:pPr>
              <w:jc w:val="right"/>
              <w:rPr>
                <w:rFonts w:cs="Calibri"/>
                <w:b/>
                <w:bCs/>
                <w:color w:val="000000"/>
                <w:sz w:val="18"/>
                <w:szCs w:val="18"/>
                <w:lang w:eastAsia="en-GB"/>
              </w:rPr>
            </w:pPr>
            <w:r w:rsidRPr="009907EE">
              <w:rPr>
                <w:rFonts w:cs="Calibri"/>
                <w:b/>
                <w:bCs/>
                <w:color w:val="000000"/>
                <w:sz w:val="18"/>
                <w:szCs w:val="18"/>
                <w:lang w:eastAsia="en-GB"/>
              </w:rPr>
              <w:t>8.2</w:t>
            </w:r>
          </w:p>
        </w:tc>
        <w:tc>
          <w:tcPr>
            <w:tcW w:w="1175" w:type="dxa"/>
            <w:tcBorders>
              <w:top w:val="nil"/>
              <w:left w:val="nil"/>
              <w:bottom w:val="single" w:sz="8" w:space="0" w:color="auto"/>
              <w:right w:val="single" w:sz="8" w:space="0" w:color="auto"/>
            </w:tcBorders>
            <w:shd w:val="clear" w:color="auto" w:fill="auto"/>
            <w:noWrap/>
            <w:vAlign w:val="center"/>
            <w:hideMark/>
          </w:tcPr>
          <w:p w:rsidR="00891A96" w:rsidRPr="009907EE" w:rsidRDefault="00891A96" w:rsidP="00891A96">
            <w:pPr>
              <w:jc w:val="right"/>
              <w:rPr>
                <w:rFonts w:cs="Calibri"/>
                <w:b/>
                <w:bCs/>
                <w:color w:val="000000"/>
                <w:sz w:val="18"/>
                <w:szCs w:val="18"/>
                <w:lang w:eastAsia="en-GB"/>
              </w:rPr>
            </w:pPr>
            <w:r w:rsidRPr="009907EE">
              <w:rPr>
                <w:rFonts w:cs="Calibri"/>
                <w:b/>
                <w:bCs/>
                <w:color w:val="000000"/>
                <w:sz w:val="18"/>
                <w:szCs w:val="18"/>
                <w:lang w:eastAsia="en-GB"/>
              </w:rPr>
              <w:t>155.9</w:t>
            </w:r>
          </w:p>
        </w:tc>
        <w:tc>
          <w:tcPr>
            <w:tcW w:w="960" w:type="dxa"/>
            <w:tcBorders>
              <w:top w:val="nil"/>
              <w:left w:val="nil"/>
              <w:bottom w:val="single" w:sz="8" w:space="0" w:color="auto"/>
              <w:right w:val="single" w:sz="8" w:space="0" w:color="auto"/>
            </w:tcBorders>
            <w:shd w:val="clear" w:color="auto" w:fill="auto"/>
            <w:noWrap/>
            <w:vAlign w:val="center"/>
            <w:hideMark/>
          </w:tcPr>
          <w:p w:rsidR="00891A96" w:rsidRPr="009907EE" w:rsidRDefault="00891A96" w:rsidP="00891A96">
            <w:pPr>
              <w:jc w:val="right"/>
              <w:rPr>
                <w:rFonts w:cs="Calibri"/>
                <w:b/>
                <w:bCs/>
                <w:color w:val="000000"/>
                <w:sz w:val="18"/>
                <w:szCs w:val="18"/>
                <w:lang w:eastAsia="en-GB"/>
              </w:rPr>
            </w:pPr>
            <w:r w:rsidRPr="009907EE">
              <w:rPr>
                <w:rFonts w:cs="Calibri"/>
                <w:b/>
                <w:bCs/>
                <w:color w:val="000000"/>
                <w:sz w:val="18"/>
                <w:szCs w:val="18"/>
                <w:lang w:eastAsia="en-GB"/>
              </w:rPr>
              <w:t>2,144.9</w:t>
            </w:r>
          </w:p>
        </w:tc>
        <w:tc>
          <w:tcPr>
            <w:tcW w:w="1000" w:type="dxa"/>
            <w:tcBorders>
              <w:top w:val="nil"/>
              <w:left w:val="nil"/>
              <w:bottom w:val="single" w:sz="8" w:space="0" w:color="auto"/>
              <w:right w:val="single" w:sz="8" w:space="0" w:color="auto"/>
            </w:tcBorders>
            <w:shd w:val="clear" w:color="auto" w:fill="auto"/>
            <w:noWrap/>
            <w:vAlign w:val="center"/>
            <w:hideMark/>
          </w:tcPr>
          <w:p w:rsidR="00891A96" w:rsidRPr="009907EE" w:rsidRDefault="00891A96" w:rsidP="00891A96">
            <w:pPr>
              <w:jc w:val="right"/>
              <w:rPr>
                <w:rFonts w:cs="Calibri"/>
                <w:b/>
                <w:bCs/>
                <w:color w:val="000000"/>
                <w:sz w:val="18"/>
                <w:szCs w:val="18"/>
                <w:lang w:eastAsia="en-GB"/>
              </w:rPr>
            </w:pPr>
            <w:r w:rsidRPr="009907EE">
              <w:rPr>
                <w:rFonts w:cs="Calibri"/>
                <w:b/>
                <w:bCs/>
                <w:color w:val="000000"/>
                <w:sz w:val="18"/>
                <w:szCs w:val="18"/>
                <w:lang w:eastAsia="en-GB"/>
              </w:rPr>
              <w:t>115.7</w:t>
            </w:r>
          </w:p>
        </w:tc>
      </w:tr>
      <w:tr w:rsidR="00891A96" w:rsidRPr="009907EE" w:rsidTr="00891A96">
        <w:trPr>
          <w:trHeight w:val="495"/>
        </w:trPr>
        <w:tc>
          <w:tcPr>
            <w:tcW w:w="3403" w:type="dxa"/>
            <w:tcBorders>
              <w:top w:val="nil"/>
              <w:left w:val="single" w:sz="8" w:space="0" w:color="auto"/>
              <w:bottom w:val="single" w:sz="8" w:space="0" w:color="auto"/>
              <w:right w:val="single" w:sz="8" w:space="0" w:color="auto"/>
            </w:tcBorders>
            <w:shd w:val="clear" w:color="auto" w:fill="auto"/>
            <w:vAlign w:val="center"/>
            <w:hideMark/>
          </w:tcPr>
          <w:p w:rsidR="00891A96" w:rsidRPr="009907EE" w:rsidRDefault="00891A96" w:rsidP="00891A96">
            <w:pPr>
              <w:rPr>
                <w:rFonts w:cs="Calibri"/>
                <w:b/>
                <w:bCs/>
                <w:color w:val="000000"/>
                <w:sz w:val="18"/>
                <w:szCs w:val="18"/>
                <w:lang w:eastAsia="en-GB"/>
              </w:rPr>
            </w:pPr>
            <w:r w:rsidRPr="009907EE">
              <w:rPr>
                <w:rFonts w:cs="Calibri"/>
                <w:b/>
                <w:bCs/>
                <w:color w:val="000000"/>
                <w:sz w:val="18"/>
                <w:szCs w:val="18"/>
                <w:lang w:eastAsia="en-GB"/>
              </w:rPr>
              <w:t>Balance Sheet NBV at 1 April  2019</w:t>
            </w:r>
          </w:p>
        </w:tc>
        <w:tc>
          <w:tcPr>
            <w:tcW w:w="960" w:type="dxa"/>
            <w:tcBorders>
              <w:top w:val="nil"/>
              <w:left w:val="nil"/>
              <w:bottom w:val="single" w:sz="8" w:space="0" w:color="auto"/>
              <w:right w:val="single" w:sz="8" w:space="0" w:color="auto"/>
            </w:tcBorders>
            <w:shd w:val="clear" w:color="auto" w:fill="auto"/>
            <w:noWrap/>
            <w:vAlign w:val="center"/>
            <w:hideMark/>
          </w:tcPr>
          <w:p w:rsidR="00891A96" w:rsidRPr="009907EE" w:rsidRDefault="00891A96" w:rsidP="00891A96">
            <w:pPr>
              <w:jc w:val="right"/>
              <w:rPr>
                <w:rFonts w:cs="Calibri"/>
                <w:b/>
                <w:bCs/>
                <w:color w:val="000000"/>
                <w:sz w:val="18"/>
                <w:szCs w:val="18"/>
                <w:lang w:eastAsia="en-GB"/>
              </w:rPr>
            </w:pPr>
            <w:r w:rsidRPr="009907EE">
              <w:rPr>
                <w:rFonts w:cs="Calibri"/>
                <w:b/>
                <w:bCs/>
                <w:color w:val="000000"/>
                <w:sz w:val="18"/>
                <w:szCs w:val="18"/>
                <w:lang w:eastAsia="en-GB"/>
              </w:rPr>
              <w:t>602.2</w:t>
            </w:r>
          </w:p>
        </w:tc>
        <w:tc>
          <w:tcPr>
            <w:tcW w:w="960" w:type="dxa"/>
            <w:tcBorders>
              <w:top w:val="nil"/>
              <w:left w:val="nil"/>
              <w:bottom w:val="single" w:sz="8" w:space="0" w:color="auto"/>
              <w:right w:val="single" w:sz="8" w:space="0" w:color="auto"/>
            </w:tcBorders>
            <w:shd w:val="clear" w:color="auto" w:fill="auto"/>
            <w:noWrap/>
            <w:vAlign w:val="center"/>
            <w:hideMark/>
          </w:tcPr>
          <w:p w:rsidR="00891A96" w:rsidRPr="009907EE" w:rsidRDefault="00891A96" w:rsidP="00891A96">
            <w:pPr>
              <w:jc w:val="right"/>
              <w:rPr>
                <w:rFonts w:cs="Calibri"/>
                <w:b/>
                <w:bCs/>
                <w:color w:val="000000"/>
                <w:sz w:val="18"/>
                <w:szCs w:val="18"/>
                <w:lang w:eastAsia="en-GB"/>
              </w:rPr>
            </w:pPr>
            <w:r w:rsidRPr="009907EE">
              <w:rPr>
                <w:rFonts w:cs="Calibri"/>
                <w:b/>
                <w:bCs/>
                <w:color w:val="000000"/>
                <w:sz w:val="18"/>
                <w:szCs w:val="18"/>
                <w:lang w:eastAsia="en-GB"/>
              </w:rPr>
              <w:t>922.3</w:t>
            </w:r>
          </w:p>
        </w:tc>
        <w:tc>
          <w:tcPr>
            <w:tcW w:w="960" w:type="dxa"/>
            <w:tcBorders>
              <w:top w:val="nil"/>
              <w:left w:val="nil"/>
              <w:bottom w:val="single" w:sz="8" w:space="0" w:color="auto"/>
              <w:right w:val="single" w:sz="8" w:space="0" w:color="auto"/>
            </w:tcBorders>
            <w:shd w:val="clear" w:color="auto" w:fill="auto"/>
            <w:noWrap/>
            <w:vAlign w:val="center"/>
            <w:hideMark/>
          </w:tcPr>
          <w:p w:rsidR="00891A96" w:rsidRPr="009907EE" w:rsidRDefault="00891A96" w:rsidP="00891A96">
            <w:pPr>
              <w:jc w:val="right"/>
              <w:rPr>
                <w:rFonts w:cs="Calibri"/>
                <w:b/>
                <w:bCs/>
                <w:color w:val="000000"/>
                <w:sz w:val="18"/>
                <w:szCs w:val="18"/>
                <w:lang w:eastAsia="en-GB"/>
              </w:rPr>
            </w:pPr>
            <w:r w:rsidRPr="009907EE">
              <w:rPr>
                <w:rFonts w:cs="Calibri"/>
                <w:b/>
                <w:bCs/>
                <w:color w:val="000000"/>
                <w:sz w:val="18"/>
                <w:szCs w:val="18"/>
                <w:lang w:eastAsia="en-GB"/>
              </w:rPr>
              <w:t>21.6</w:t>
            </w:r>
          </w:p>
        </w:tc>
        <w:tc>
          <w:tcPr>
            <w:tcW w:w="960" w:type="dxa"/>
            <w:tcBorders>
              <w:top w:val="nil"/>
              <w:left w:val="nil"/>
              <w:bottom w:val="single" w:sz="8" w:space="0" w:color="auto"/>
              <w:right w:val="single" w:sz="8" w:space="0" w:color="auto"/>
            </w:tcBorders>
            <w:shd w:val="clear" w:color="auto" w:fill="auto"/>
            <w:noWrap/>
            <w:vAlign w:val="center"/>
            <w:hideMark/>
          </w:tcPr>
          <w:p w:rsidR="00891A96" w:rsidRPr="009907EE" w:rsidRDefault="00891A96" w:rsidP="00891A96">
            <w:pPr>
              <w:jc w:val="right"/>
              <w:rPr>
                <w:rFonts w:cs="Calibri"/>
                <w:b/>
                <w:bCs/>
                <w:color w:val="000000"/>
                <w:sz w:val="18"/>
                <w:szCs w:val="18"/>
                <w:lang w:eastAsia="en-GB"/>
              </w:rPr>
            </w:pPr>
            <w:r w:rsidRPr="009907EE">
              <w:rPr>
                <w:rFonts w:cs="Calibri"/>
                <w:b/>
                <w:bCs/>
                <w:color w:val="000000"/>
                <w:sz w:val="18"/>
                <w:szCs w:val="18"/>
                <w:lang w:eastAsia="en-GB"/>
              </w:rPr>
              <w:t>195.5</w:t>
            </w:r>
          </w:p>
        </w:tc>
        <w:tc>
          <w:tcPr>
            <w:tcW w:w="960" w:type="dxa"/>
            <w:tcBorders>
              <w:top w:val="nil"/>
              <w:left w:val="nil"/>
              <w:bottom w:val="single" w:sz="8" w:space="0" w:color="auto"/>
              <w:right w:val="single" w:sz="8" w:space="0" w:color="auto"/>
            </w:tcBorders>
            <w:shd w:val="clear" w:color="auto" w:fill="auto"/>
            <w:noWrap/>
            <w:vAlign w:val="center"/>
            <w:hideMark/>
          </w:tcPr>
          <w:p w:rsidR="00891A96" w:rsidRPr="009907EE" w:rsidRDefault="00891A96" w:rsidP="00891A96">
            <w:pPr>
              <w:jc w:val="right"/>
              <w:rPr>
                <w:rFonts w:cs="Calibri"/>
                <w:b/>
                <w:bCs/>
                <w:color w:val="000000"/>
                <w:sz w:val="18"/>
                <w:szCs w:val="18"/>
                <w:lang w:eastAsia="en-GB"/>
              </w:rPr>
            </w:pPr>
            <w:r w:rsidRPr="009907EE">
              <w:rPr>
                <w:rFonts w:cs="Calibri"/>
                <w:b/>
                <w:bCs/>
                <w:color w:val="000000"/>
                <w:sz w:val="18"/>
                <w:szCs w:val="18"/>
                <w:lang w:eastAsia="en-GB"/>
              </w:rPr>
              <w:t>8.2</w:t>
            </w:r>
          </w:p>
        </w:tc>
        <w:tc>
          <w:tcPr>
            <w:tcW w:w="1175" w:type="dxa"/>
            <w:tcBorders>
              <w:top w:val="nil"/>
              <w:left w:val="nil"/>
              <w:bottom w:val="single" w:sz="8" w:space="0" w:color="auto"/>
              <w:right w:val="single" w:sz="8" w:space="0" w:color="auto"/>
            </w:tcBorders>
            <w:shd w:val="clear" w:color="auto" w:fill="auto"/>
            <w:noWrap/>
            <w:vAlign w:val="center"/>
            <w:hideMark/>
          </w:tcPr>
          <w:p w:rsidR="00891A96" w:rsidRPr="009907EE" w:rsidRDefault="00891A96" w:rsidP="00891A96">
            <w:pPr>
              <w:jc w:val="right"/>
              <w:rPr>
                <w:rFonts w:cs="Calibri"/>
                <w:b/>
                <w:bCs/>
                <w:color w:val="000000"/>
                <w:sz w:val="18"/>
                <w:szCs w:val="18"/>
                <w:lang w:eastAsia="en-GB"/>
              </w:rPr>
            </w:pPr>
            <w:r w:rsidRPr="009907EE">
              <w:rPr>
                <w:rFonts w:cs="Calibri"/>
                <w:b/>
                <w:bCs/>
                <w:color w:val="000000"/>
                <w:sz w:val="18"/>
                <w:szCs w:val="18"/>
                <w:lang w:eastAsia="en-GB"/>
              </w:rPr>
              <w:t>44.1</w:t>
            </w:r>
          </w:p>
        </w:tc>
        <w:tc>
          <w:tcPr>
            <w:tcW w:w="960" w:type="dxa"/>
            <w:tcBorders>
              <w:top w:val="nil"/>
              <w:left w:val="nil"/>
              <w:bottom w:val="single" w:sz="8" w:space="0" w:color="auto"/>
              <w:right w:val="single" w:sz="8" w:space="0" w:color="auto"/>
            </w:tcBorders>
            <w:shd w:val="clear" w:color="auto" w:fill="auto"/>
            <w:noWrap/>
            <w:vAlign w:val="center"/>
            <w:hideMark/>
          </w:tcPr>
          <w:p w:rsidR="00891A96" w:rsidRPr="009907EE" w:rsidRDefault="00891A96" w:rsidP="00891A96">
            <w:pPr>
              <w:jc w:val="right"/>
              <w:rPr>
                <w:rFonts w:cs="Calibri"/>
                <w:b/>
                <w:bCs/>
                <w:color w:val="000000"/>
                <w:sz w:val="18"/>
                <w:szCs w:val="18"/>
                <w:lang w:eastAsia="en-GB"/>
              </w:rPr>
            </w:pPr>
            <w:r w:rsidRPr="009907EE">
              <w:rPr>
                <w:rFonts w:cs="Calibri"/>
                <w:b/>
                <w:bCs/>
                <w:color w:val="000000"/>
                <w:sz w:val="18"/>
                <w:szCs w:val="18"/>
                <w:lang w:eastAsia="en-GB"/>
              </w:rPr>
              <w:t>1,793.8</w:t>
            </w:r>
          </w:p>
        </w:tc>
        <w:tc>
          <w:tcPr>
            <w:tcW w:w="1000" w:type="dxa"/>
            <w:tcBorders>
              <w:top w:val="nil"/>
              <w:left w:val="nil"/>
              <w:bottom w:val="single" w:sz="8" w:space="0" w:color="auto"/>
              <w:right w:val="single" w:sz="8" w:space="0" w:color="auto"/>
            </w:tcBorders>
            <w:shd w:val="clear" w:color="auto" w:fill="auto"/>
            <w:noWrap/>
            <w:vAlign w:val="center"/>
            <w:hideMark/>
          </w:tcPr>
          <w:p w:rsidR="00891A96" w:rsidRPr="009907EE" w:rsidRDefault="00891A96" w:rsidP="00891A96">
            <w:pPr>
              <w:jc w:val="right"/>
              <w:rPr>
                <w:rFonts w:cs="Calibri"/>
                <w:b/>
                <w:bCs/>
                <w:color w:val="000000"/>
                <w:sz w:val="18"/>
                <w:szCs w:val="18"/>
                <w:lang w:eastAsia="en-GB"/>
              </w:rPr>
            </w:pPr>
            <w:r w:rsidRPr="009907EE">
              <w:rPr>
                <w:rFonts w:cs="Calibri"/>
                <w:b/>
                <w:bCs/>
                <w:color w:val="000000"/>
                <w:sz w:val="18"/>
                <w:szCs w:val="18"/>
                <w:lang w:eastAsia="en-GB"/>
              </w:rPr>
              <w:t>114.4</w:t>
            </w:r>
          </w:p>
        </w:tc>
      </w:tr>
    </w:tbl>
    <w:p w:rsidR="00891A96" w:rsidRDefault="00891A96" w:rsidP="00891A96"/>
    <w:p w:rsidR="00891A96" w:rsidRDefault="00891A96" w:rsidP="00891A96"/>
    <w:tbl>
      <w:tblPr>
        <w:tblW w:w="10729" w:type="dxa"/>
        <w:tblLook w:val="04A0" w:firstRow="1" w:lastRow="0" w:firstColumn="1" w:lastColumn="0" w:noHBand="0" w:noVBand="1"/>
      </w:tblPr>
      <w:tblGrid>
        <w:gridCol w:w="2825"/>
        <w:gridCol w:w="960"/>
        <w:gridCol w:w="9"/>
        <w:gridCol w:w="951"/>
        <w:gridCol w:w="9"/>
        <w:gridCol w:w="951"/>
        <w:gridCol w:w="9"/>
        <w:gridCol w:w="951"/>
        <w:gridCol w:w="9"/>
        <w:gridCol w:w="951"/>
        <w:gridCol w:w="9"/>
        <w:gridCol w:w="1166"/>
        <w:gridCol w:w="9"/>
        <w:gridCol w:w="951"/>
        <w:gridCol w:w="9"/>
        <w:gridCol w:w="951"/>
        <w:gridCol w:w="9"/>
      </w:tblGrid>
      <w:tr w:rsidR="00891A96" w:rsidRPr="009907EE" w:rsidTr="00891A96">
        <w:trPr>
          <w:gridAfter w:val="1"/>
          <w:wAfter w:w="9" w:type="dxa"/>
          <w:trHeight w:val="495"/>
        </w:trPr>
        <w:tc>
          <w:tcPr>
            <w:tcW w:w="282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91A96" w:rsidRPr="009907EE" w:rsidRDefault="00891A96" w:rsidP="00891A96">
            <w:pPr>
              <w:rPr>
                <w:rFonts w:cs="Calibri"/>
                <w:b/>
                <w:bCs/>
                <w:color w:val="000000"/>
                <w:sz w:val="18"/>
                <w:szCs w:val="18"/>
                <w:lang w:eastAsia="en-GB"/>
              </w:rPr>
            </w:pPr>
            <w:r w:rsidRPr="009907EE">
              <w:rPr>
                <w:rFonts w:cs="Calibri"/>
                <w:b/>
                <w:bCs/>
                <w:color w:val="000000"/>
                <w:sz w:val="18"/>
                <w:szCs w:val="18"/>
                <w:lang w:eastAsia="en-GB"/>
              </w:rPr>
              <w:lastRenderedPageBreak/>
              <w:t>Movements in 2018/19</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91A96" w:rsidRPr="009907EE" w:rsidRDefault="00891A96" w:rsidP="00891A96">
            <w:pPr>
              <w:jc w:val="center"/>
              <w:rPr>
                <w:rFonts w:cs="Calibri"/>
                <w:b/>
                <w:bCs/>
                <w:color w:val="000000"/>
                <w:sz w:val="18"/>
                <w:szCs w:val="18"/>
                <w:lang w:eastAsia="en-GB"/>
              </w:rPr>
            </w:pPr>
            <w:r w:rsidRPr="009907EE">
              <w:rPr>
                <w:rFonts w:cs="Calibri"/>
                <w:b/>
                <w:bCs/>
                <w:color w:val="000000"/>
                <w:sz w:val="18"/>
                <w:szCs w:val="18"/>
                <w:lang w:eastAsia="en-GB"/>
              </w:rPr>
              <w:t>Council Dwellings</w:t>
            </w:r>
          </w:p>
        </w:tc>
        <w:tc>
          <w:tcPr>
            <w:tcW w:w="960" w:type="dxa"/>
            <w:gridSpan w:val="2"/>
            <w:tcBorders>
              <w:top w:val="single" w:sz="8" w:space="0" w:color="auto"/>
              <w:left w:val="nil"/>
              <w:bottom w:val="single" w:sz="8" w:space="0" w:color="auto"/>
              <w:right w:val="single" w:sz="8" w:space="0" w:color="auto"/>
            </w:tcBorders>
            <w:shd w:val="clear" w:color="auto" w:fill="auto"/>
            <w:vAlign w:val="center"/>
            <w:hideMark/>
          </w:tcPr>
          <w:p w:rsidR="00891A96" w:rsidRPr="009907EE" w:rsidRDefault="00891A96" w:rsidP="00891A96">
            <w:pPr>
              <w:jc w:val="center"/>
              <w:rPr>
                <w:rFonts w:cs="Calibri"/>
                <w:b/>
                <w:bCs/>
                <w:color w:val="000000"/>
                <w:sz w:val="18"/>
                <w:szCs w:val="18"/>
                <w:lang w:eastAsia="en-GB"/>
              </w:rPr>
            </w:pPr>
            <w:r w:rsidRPr="009907EE">
              <w:rPr>
                <w:rFonts w:cs="Calibri"/>
                <w:b/>
                <w:bCs/>
                <w:color w:val="000000"/>
                <w:sz w:val="18"/>
                <w:szCs w:val="18"/>
                <w:lang w:eastAsia="en-GB"/>
              </w:rPr>
              <w:t>Land &amp; Buildings</w:t>
            </w:r>
          </w:p>
        </w:tc>
        <w:tc>
          <w:tcPr>
            <w:tcW w:w="960" w:type="dxa"/>
            <w:gridSpan w:val="2"/>
            <w:tcBorders>
              <w:top w:val="single" w:sz="8" w:space="0" w:color="auto"/>
              <w:left w:val="nil"/>
              <w:bottom w:val="single" w:sz="8" w:space="0" w:color="auto"/>
              <w:right w:val="single" w:sz="8" w:space="0" w:color="auto"/>
            </w:tcBorders>
            <w:shd w:val="clear" w:color="auto" w:fill="auto"/>
            <w:vAlign w:val="center"/>
            <w:hideMark/>
          </w:tcPr>
          <w:p w:rsidR="00891A96" w:rsidRPr="009907EE" w:rsidRDefault="00891A96" w:rsidP="00891A96">
            <w:pPr>
              <w:jc w:val="center"/>
              <w:rPr>
                <w:rFonts w:cs="Calibri"/>
                <w:b/>
                <w:bCs/>
                <w:color w:val="000000"/>
                <w:sz w:val="18"/>
                <w:szCs w:val="18"/>
                <w:lang w:eastAsia="en-GB"/>
              </w:rPr>
            </w:pPr>
            <w:r w:rsidRPr="009907EE">
              <w:rPr>
                <w:rFonts w:cs="Calibri"/>
                <w:b/>
                <w:bCs/>
                <w:color w:val="000000"/>
                <w:sz w:val="18"/>
                <w:szCs w:val="18"/>
                <w:lang w:eastAsia="en-GB"/>
              </w:rPr>
              <w:t>VPF&amp;E</w:t>
            </w:r>
          </w:p>
        </w:tc>
        <w:tc>
          <w:tcPr>
            <w:tcW w:w="960" w:type="dxa"/>
            <w:gridSpan w:val="2"/>
            <w:tcBorders>
              <w:top w:val="single" w:sz="8" w:space="0" w:color="auto"/>
              <w:left w:val="nil"/>
              <w:bottom w:val="single" w:sz="8" w:space="0" w:color="auto"/>
              <w:right w:val="single" w:sz="8" w:space="0" w:color="auto"/>
            </w:tcBorders>
            <w:shd w:val="clear" w:color="auto" w:fill="auto"/>
            <w:vAlign w:val="center"/>
            <w:hideMark/>
          </w:tcPr>
          <w:p w:rsidR="00891A96" w:rsidRPr="009907EE" w:rsidRDefault="00891A96" w:rsidP="00891A96">
            <w:pPr>
              <w:jc w:val="center"/>
              <w:rPr>
                <w:rFonts w:cs="Calibri"/>
                <w:b/>
                <w:bCs/>
                <w:color w:val="000000"/>
                <w:sz w:val="18"/>
                <w:szCs w:val="18"/>
                <w:lang w:eastAsia="en-GB"/>
              </w:rPr>
            </w:pPr>
            <w:r w:rsidRPr="009907EE">
              <w:rPr>
                <w:rFonts w:cs="Calibri"/>
                <w:b/>
                <w:bCs/>
                <w:color w:val="000000"/>
                <w:sz w:val="18"/>
                <w:szCs w:val="18"/>
                <w:lang w:eastAsia="en-GB"/>
              </w:rPr>
              <w:t>Infra-structure</w:t>
            </w:r>
          </w:p>
        </w:tc>
        <w:tc>
          <w:tcPr>
            <w:tcW w:w="960" w:type="dxa"/>
            <w:gridSpan w:val="2"/>
            <w:tcBorders>
              <w:top w:val="single" w:sz="8" w:space="0" w:color="auto"/>
              <w:left w:val="nil"/>
              <w:bottom w:val="single" w:sz="8" w:space="0" w:color="auto"/>
              <w:right w:val="single" w:sz="8" w:space="0" w:color="auto"/>
            </w:tcBorders>
            <w:shd w:val="clear" w:color="auto" w:fill="auto"/>
            <w:vAlign w:val="center"/>
            <w:hideMark/>
          </w:tcPr>
          <w:p w:rsidR="00891A96" w:rsidRPr="009907EE" w:rsidRDefault="00891A96" w:rsidP="00891A96">
            <w:pPr>
              <w:jc w:val="center"/>
              <w:rPr>
                <w:rFonts w:cs="Calibri"/>
                <w:b/>
                <w:bCs/>
                <w:color w:val="000000"/>
                <w:sz w:val="18"/>
                <w:szCs w:val="18"/>
                <w:lang w:eastAsia="en-GB"/>
              </w:rPr>
            </w:pPr>
            <w:r w:rsidRPr="009907EE">
              <w:rPr>
                <w:rFonts w:cs="Calibri"/>
                <w:b/>
                <w:bCs/>
                <w:color w:val="000000"/>
                <w:sz w:val="18"/>
                <w:szCs w:val="18"/>
                <w:lang w:eastAsia="en-GB"/>
              </w:rPr>
              <w:t>Surplus Assets</w:t>
            </w:r>
          </w:p>
        </w:tc>
        <w:tc>
          <w:tcPr>
            <w:tcW w:w="1175" w:type="dxa"/>
            <w:gridSpan w:val="2"/>
            <w:tcBorders>
              <w:top w:val="single" w:sz="8" w:space="0" w:color="auto"/>
              <w:left w:val="nil"/>
              <w:bottom w:val="single" w:sz="8" w:space="0" w:color="auto"/>
              <w:right w:val="single" w:sz="8" w:space="0" w:color="auto"/>
            </w:tcBorders>
            <w:shd w:val="clear" w:color="auto" w:fill="auto"/>
            <w:vAlign w:val="center"/>
            <w:hideMark/>
          </w:tcPr>
          <w:p w:rsidR="00891A96" w:rsidRPr="009907EE" w:rsidRDefault="00891A96" w:rsidP="00891A96">
            <w:pPr>
              <w:jc w:val="center"/>
              <w:rPr>
                <w:rFonts w:cs="Calibri"/>
                <w:b/>
                <w:bCs/>
                <w:color w:val="000000"/>
                <w:sz w:val="18"/>
                <w:szCs w:val="18"/>
                <w:lang w:eastAsia="en-GB"/>
              </w:rPr>
            </w:pPr>
            <w:r w:rsidRPr="009907EE">
              <w:rPr>
                <w:rFonts w:cs="Calibri"/>
                <w:b/>
                <w:bCs/>
                <w:color w:val="000000"/>
                <w:sz w:val="18"/>
                <w:szCs w:val="18"/>
                <w:lang w:eastAsia="en-GB"/>
              </w:rPr>
              <w:t>Asset under Construction</w:t>
            </w:r>
          </w:p>
        </w:tc>
        <w:tc>
          <w:tcPr>
            <w:tcW w:w="960" w:type="dxa"/>
            <w:gridSpan w:val="2"/>
            <w:tcBorders>
              <w:top w:val="single" w:sz="8" w:space="0" w:color="auto"/>
              <w:left w:val="nil"/>
              <w:bottom w:val="single" w:sz="8" w:space="0" w:color="auto"/>
              <w:right w:val="single" w:sz="8" w:space="0" w:color="auto"/>
            </w:tcBorders>
            <w:shd w:val="clear" w:color="auto" w:fill="auto"/>
            <w:noWrap/>
            <w:vAlign w:val="center"/>
            <w:hideMark/>
          </w:tcPr>
          <w:p w:rsidR="00891A96" w:rsidRPr="009907EE" w:rsidRDefault="00891A96" w:rsidP="00891A96">
            <w:pPr>
              <w:jc w:val="center"/>
              <w:rPr>
                <w:rFonts w:cs="Calibri"/>
                <w:b/>
                <w:bCs/>
                <w:color w:val="000000"/>
                <w:sz w:val="18"/>
                <w:szCs w:val="18"/>
                <w:lang w:eastAsia="en-GB"/>
              </w:rPr>
            </w:pPr>
            <w:r w:rsidRPr="009907EE">
              <w:rPr>
                <w:rFonts w:cs="Calibri"/>
                <w:b/>
                <w:bCs/>
                <w:color w:val="000000"/>
                <w:sz w:val="18"/>
                <w:szCs w:val="18"/>
                <w:lang w:eastAsia="en-GB"/>
              </w:rPr>
              <w:t>Total</w:t>
            </w:r>
          </w:p>
        </w:tc>
        <w:tc>
          <w:tcPr>
            <w:tcW w:w="960" w:type="dxa"/>
            <w:gridSpan w:val="2"/>
            <w:tcBorders>
              <w:top w:val="single" w:sz="8" w:space="0" w:color="auto"/>
              <w:left w:val="nil"/>
              <w:bottom w:val="single" w:sz="8" w:space="0" w:color="auto"/>
              <w:right w:val="single" w:sz="8" w:space="0" w:color="auto"/>
            </w:tcBorders>
            <w:shd w:val="clear" w:color="auto" w:fill="auto"/>
            <w:vAlign w:val="center"/>
            <w:hideMark/>
          </w:tcPr>
          <w:p w:rsidR="00891A96" w:rsidRPr="009907EE" w:rsidRDefault="00891A96" w:rsidP="00891A96">
            <w:pPr>
              <w:rPr>
                <w:rFonts w:cs="Calibri"/>
                <w:b/>
                <w:bCs/>
                <w:i/>
                <w:iCs/>
                <w:color w:val="000000"/>
                <w:sz w:val="18"/>
                <w:szCs w:val="18"/>
                <w:lang w:eastAsia="en-GB"/>
              </w:rPr>
            </w:pPr>
            <w:r w:rsidRPr="009907EE">
              <w:rPr>
                <w:rFonts w:cs="Calibri"/>
                <w:b/>
                <w:bCs/>
                <w:i/>
                <w:iCs/>
                <w:color w:val="000000"/>
                <w:sz w:val="18"/>
                <w:szCs w:val="18"/>
                <w:lang w:eastAsia="en-GB"/>
              </w:rPr>
              <w:t>*PFI Assets</w:t>
            </w:r>
          </w:p>
        </w:tc>
      </w:tr>
      <w:tr w:rsidR="00891A96" w:rsidRPr="009907EE" w:rsidTr="00891A96">
        <w:trPr>
          <w:gridAfter w:val="1"/>
          <w:wAfter w:w="9" w:type="dxa"/>
          <w:trHeight w:val="315"/>
        </w:trPr>
        <w:tc>
          <w:tcPr>
            <w:tcW w:w="2825" w:type="dxa"/>
            <w:tcBorders>
              <w:top w:val="nil"/>
              <w:left w:val="single" w:sz="8" w:space="0" w:color="auto"/>
              <w:bottom w:val="single" w:sz="8" w:space="0" w:color="auto"/>
              <w:right w:val="single" w:sz="8" w:space="0" w:color="auto"/>
            </w:tcBorders>
            <w:shd w:val="clear" w:color="auto" w:fill="auto"/>
            <w:vAlign w:val="center"/>
            <w:hideMark/>
          </w:tcPr>
          <w:p w:rsidR="00891A96" w:rsidRPr="009907EE" w:rsidRDefault="00891A96" w:rsidP="00891A96">
            <w:pPr>
              <w:rPr>
                <w:rFonts w:cs="Calibri"/>
                <w:color w:val="000000"/>
                <w:sz w:val="18"/>
                <w:szCs w:val="18"/>
                <w:lang w:eastAsia="en-GB"/>
              </w:rPr>
            </w:pPr>
            <w:r w:rsidRPr="009907EE">
              <w:rPr>
                <w:rFonts w:cs="Calibri"/>
                <w:color w:val="000000"/>
                <w:sz w:val="18"/>
                <w:szCs w:val="18"/>
                <w:lang w:eastAsia="en-GB"/>
              </w:rPr>
              <w:t> </w:t>
            </w:r>
          </w:p>
        </w:tc>
        <w:tc>
          <w:tcPr>
            <w:tcW w:w="960" w:type="dxa"/>
            <w:tcBorders>
              <w:top w:val="nil"/>
              <w:left w:val="nil"/>
              <w:bottom w:val="single" w:sz="8" w:space="0" w:color="auto"/>
              <w:right w:val="single" w:sz="8" w:space="0" w:color="auto"/>
            </w:tcBorders>
            <w:shd w:val="clear" w:color="auto" w:fill="auto"/>
            <w:noWrap/>
            <w:vAlign w:val="center"/>
            <w:hideMark/>
          </w:tcPr>
          <w:p w:rsidR="00891A96" w:rsidRPr="009907EE" w:rsidRDefault="00891A96" w:rsidP="00891A96">
            <w:pPr>
              <w:jc w:val="center"/>
              <w:rPr>
                <w:rFonts w:cs="Calibri"/>
                <w:b/>
                <w:bCs/>
                <w:color w:val="000000"/>
                <w:sz w:val="18"/>
                <w:szCs w:val="18"/>
                <w:lang w:eastAsia="en-GB"/>
              </w:rPr>
            </w:pPr>
            <w:r w:rsidRPr="009907EE">
              <w:rPr>
                <w:rFonts w:cs="Calibri"/>
                <w:b/>
                <w:bCs/>
                <w:color w:val="000000"/>
                <w:sz w:val="18"/>
                <w:szCs w:val="18"/>
                <w:lang w:eastAsia="en-GB"/>
              </w:rPr>
              <w:t>£m</w:t>
            </w:r>
          </w:p>
        </w:tc>
        <w:tc>
          <w:tcPr>
            <w:tcW w:w="960" w:type="dxa"/>
            <w:gridSpan w:val="2"/>
            <w:tcBorders>
              <w:top w:val="nil"/>
              <w:left w:val="nil"/>
              <w:bottom w:val="single" w:sz="8" w:space="0" w:color="auto"/>
              <w:right w:val="single" w:sz="8" w:space="0" w:color="auto"/>
            </w:tcBorders>
            <w:shd w:val="clear" w:color="auto" w:fill="auto"/>
            <w:noWrap/>
            <w:vAlign w:val="center"/>
            <w:hideMark/>
          </w:tcPr>
          <w:p w:rsidR="00891A96" w:rsidRPr="009907EE" w:rsidRDefault="00891A96" w:rsidP="00891A96">
            <w:pPr>
              <w:jc w:val="center"/>
              <w:rPr>
                <w:rFonts w:cs="Calibri"/>
                <w:b/>
                <w:bCs/>
                <w:color w:val="000000"/>
                <w:sz w:val="18"/>
                <w:szCs w:val="18"/>
                <w:lang w:eastAsia="en-GB"/>
              </w:rPr>
            </w:pPr>
            <w:r w:rsidRPr="009907EE">
              <w:rPr>
                <w:rFonts w:cs="Calibri"/>
                <w:b/>
                <w:bCs/>
                <w:color w:val="000000"/>
                <w:sz w:val="18"/>
                <w:szCs w:val="18"/>
                <w:lang w:eastAsia="en-GB"/>
              </w:rPr>
              <w:t>£m</w:t>
            </w:r>
          </w:p>
        </w:tc>
        <w:tc>
          <w:tcPr>
            <w:tcW w:w="960" w:type="dxa"/>
            <w:gridSpan w:val="2"/>
            <w:tcBorders>
              <w:top w:val="nil"/>
              <w:left w:val="nil"/>
              <w:bottom w:val="single" w:sz="8" w:space="0" w:color="auto"/>
              <w:right w:val="single" w:sz="8" w:space="0" w:color="auto"/>
            </w:tcBorders>
            <w:shd w:val="clear" w:color="auto" w:fill="auto"/>
            <w:noWrap/>
            <w:vAlign w:val="center"/>
            <w:hideMark/>
          </w:tcPr>
          <w:p w:rsidR="00891A96" w:rsidRPr="009907EE" w:rsidRDefault="00891A96" w:rsidP="00891A96">
            <w:pPr>
              <w:jc w:val="center"/>
              <w:rPr>
                <w:rFonts w:cs="Calibri"/>
                <w:b/>
                <w:bCs/>
                <w:color w:val="000000"/>
                <w:sz w:val="18"/>
                <w:szCs w:val="18"/>
                <w:lang w:eastAsia="en-GB"/>
              </w:rPr>
            </w:pPr>
            <w:r w:rsidRPr="009907EE">
              <w:rPr>
                <w:rFonts w:cs="Calibri"/>
                <w:b/>
                <w:bCs/>
                <w:color w:val="000000"/>
                <w:sz w:val="18"/>
                <w:szCs w:val="18"/>
                <w:lang w:eastAsia="en-GB"/>
              </w:rPr>
              <w:t>£m</w:t>
            </w:r>
          </w:p>
        </w:tc>
        <w:tc>
          <w:tcPr>
            <w:tcW w:w="960" w:type="dxa"/>
            <w:gridSpan w:val="2"/>
            <w:tcBorders>
              <w:top w:val="nil"/>
              <w:left w:val="nil"/>
              <w:bottom w:val="single" w:sz="8" w:space="0" w:color="auto"/>
              <w:right w:val="single" w:sz="8" w:space="0" w:color="auto"/>
            </w:tcBorders>
            <w:shd w:val="clear" w:color="auto" w:fill="auto"/>
            <w:noWrap/>
            <w:vAlign w:val="center"/>
            <w:hideMark/>
          </w:tcPr>
          <w:p w:rsidR="00891A96" w:rsidRPr="009907EE" w:rsidRDefault="00891A96" w:rsidP="00891A96">
            <w:pPr>
              <w:jc w:val="center"/>
              <w:rPr>
                <w:rFonts w:cs="Calibri"/>
                <w:b/>
                <w:bCs/>
                <w:color w:val="000000"/>
                <w:sz w:val="18"/>
                <w:szCs w:val="18"/>
                <w:lang w:eastAsia="en-GB"/>
              </w:rPr>
            </w:pPr>
            <w:r w:rsidRPr="009907EE">
              <w:rPr>
                <w:rFonts w:cs="Calibri"/>
                <w:b/>
                <w:bCs/>
                <w:color w:val="000000"/>
                <w:sz w:val="18"/>
                <w:szCs w:val="18"/>
                <w:lang w:eastAsia="en-GB"/>
              </w:rPr>
              <w:t>£m</w:t>
            </w:r>
          </w:p>
        </w:tc>
        <w:tc>
          <w:tcPr>
            <w:tcW w:w="960" w:type="dxa"/>
            <w:gridSpan w:val="2"/>
            <w:tcBorders>
              <w:top w:val="nil"/>
              <w:left w:val="nil"/>
              <w:bottom w:val="single" w:sz="8" w:space="0" w:color="auto"/>
              <w:right w:val="single" w:sz="8" w:space="0" w:color="auto"/>
            </w:tcBorders>
            <w:shd w:val="clear" w:color="auto" w:fill="auto"/>
            <w:noWrap/>
            <w:vAlign w:val="center"/>
            <w:hideMark/>
          </w:tcPr>
          <w:p w:rsidR="00891A96" w:rsidRPr="009907EE" w:rsidRDefault="00891A96" w:rsidP="00891A96">
            <w:pPr>
              <w:jc w:val="center"/>
              <w:rPr>
                <w:rFonts w:cs="Calibri"/>
                <w:b/>
                <w:bCs/>
                <w:color w:val="000000"/>
                <w:sz w:val="18"/>
                <w:szCs w:val="18"/>
                <w:lang w:eastAsia="en-GB"/>
              </w:rPr>
            </w:pPr>
            <w:r w:rsidRPr="009907EE">
              <w:rPr>
                <w:rFonts w:cs="Calibri"/>
                <w:b/>
                <w:bCs/>
                <w:color w:val="000000"/>
                <w:sz w:val="18"/>
                <w:szCs w:val="18"/>
                <w:lang w:eastAsia="en-GB"/>
              </w:rPr>
              <w:t>£m</w:t>
            </w:r>
          </w:p>
        </w:tc>
        <w:tc>
          <w:tcPr>
            <w:tcW w:w="1175" w:type="dxa"/>
            <w:gridSpan w:val="2"/>
            <w:tcBorders>
              <w:top w:val="nil"/>
              <w:left w:val="nil"/>
              <w:bottom w:val="single" w:sz="8" w:space="0" w:color="auto"/>
              <w:right w:val="single" w:sz="8" w:space="0" w:color="auto"/>
            </w:tcBorders>
            <w:shd w:val="clear" w:color="auto" w:fill="auto"/>
            <w:noWrap/>
            <w:vAlign w:val="center"/>
            <w:hideMark/>
          </w:tcPr>
          <w:p w:rsidR="00891A96" w:rsidRPr="009907EE" w:rsidRDefault="00891A96" w:rsidP="00891A96">
            <w:pPr>
              <w:jc w:val="center"/>
              <w:rPr>
                <w:rFonts w:cs="Calibri"/>
                <w:b/>
                <w:bCs/>
                <w:color w:val="000000"/>
                <w:sz w:val="18"/>
                <w:szCs w:val="18"/>
                <w:lang w:eastAsia="en-GB"/>
              </w:rPr>
            </w:pPr>
            <w:r w:rsidRPr="009907EE">
              <w:rPr>
                <w:rFonts w:cs="Calibri"/>
                <w:b/>
                <w:bCs/>
                <w:color w:val="000000"/>
                <w:sz w:val="18"/>
                <w:szCs w:val="18"/>
                <w:lang w:eastAsia="en-GB"/>
              </w:rPr>
              <w:t>£m</w:t>
            </w:r>
          </w:p>
        </w:tc>
        <w:tc>
          <w:tcPr>
            <w:tcW w:w="960" w:type="dxa"/>
            <w:gridSpan w:val="2"/>
            <w:tcBorders>
              <w:top w:val="nil"/>
              <w:left w:val="nil"/>
              <w:bottom w:val="single" w:sz="8" w:space="0" w:color="auto"/>
              <w:right w:val="single" w:sz="8" w:space="0" w:color="auto"/>
            </w:tcBorders>
            <w:shd w:val="clear" w:color="auto" w:fill="auto"/>
            <w:noWrap/>
            <w:vAlign w:val="center"/>
            <w:hideMark/>
          </w:tcPr>
          <w:p w:rsidR="00891A96" w:rsidRPr="009907EE" w:rsidRDefault="00891A96" w:rsidP="00891A96">
            <w:pPr>
              <w:jc w:val="center"/>
              <w:rPr>
                <w:rFonts w:cs="Calibri"/>
                <w:b/>
                <w:bCs/>
                <w:color w:val="000000"/>
                <w:sz w:val="18"/>
                <w:szCs w:val="18"/>
                <w:lang w:eastAsia="en-GB"/>
              </w:rPr>
            </w:pPr>
            <w:r w:rsidRPr="009907EE">
              <w:rPr>
                <w:rFonts w:cs="Calibri"/>
                <w:b/>
                <w:bCs/>
                <w:color w:val="000000"/>
                <w:sz w:val="18"/>
                <w:szCs w:val="18"/>
                <w:lang w:eastAsia="en-GB"/>
              </w:rPr>
              <w:t>£m</w:t>
            </w:r>
          </w:p>
        </w:tc>
        <w:tc>
          <w:tcPr>
            <w:tcW w:w="960" w:type="dxa"/>
            <w:gridSpan w:val="2"/>
            <w:tcBorders>
              <w:top w:val="nil"/>
              <w:left w:val="nil"/>
              <w:bottom w:val="single" w:sz="8" w:space="0" w:color="auto"/>
              <w:right w:val="single" w:sz="8" w:space="0" w:color="auto"/>
            </w:tcBorders>
            <w:shd w:val="clear" w:color="auto" w:fill="auto"/>
            <w:noWrap/>
            <w:vAlign w:val="center"/>
            <w:hideMark/>
          </w:tcPr>
          <w:p w:rsidR="00891A96" w:rsidRPr="009907EE" w:rsidRDefault="00891A96" w:rsidP="00891A96">
            <w:pPr>
              <w:jc w:val="center"/>
              <w:rPr>
                <w:rFonts w:cs="Calibri"/>
                <w:b/>
                <w:bCs/>
                <w:color w:val="000000"/>
                <w:sz w:val="18"/>
                <w:szCs w:val="18"/>
                <w:lang w:eastAsia="en-GB"/>
              </w:rPr>
            </w:pPr>
            <w:r w:rsidRPr="009907EE">
              <w:rPr>
                <w:rFonts w:cs="Calibri"/>
                <w:b/>
                <w:bCs/>
                <w:color w:val="000000"/>
                <w:sz w:val="18"/>
                <w:szCs w:val="18"/>
                <w:lang w:eastAsia="en-GB"/>
              </w:rPr>
              <w:t>£m</w:t>
            </w:r>
          </w:p>
        </w:tc>
      </w:tr>
      <w:tr w:rsidR="00891A96" w:rsidRPr="009907EE" w:rsidTr="00891A96">
        <w:trPr>
          <w:gridAfter w:val="1"/>
          <w:wAfter w:w="9" w:type="dxa"/>
          <w:trHeight w:val="315"/>
        </w:trPr>
        <w:tc>
          <w:tcPr>
            <w:tcW w:w="2825" w:type="dxa"/>
            <w:tcBorders>
              <w:top w:val="nil"/>
              <w:left w:val="nil"/>
              <w:bottom w:val="single" w:sz="8" w:space="0" w:color="auto"/>
              <w:right w:val="nil"/>
            </w:tcBorders>
            <w:shd w:val="clear" w:color="auto" w:fill="auto"/>
            <w:vAlign w:val="center"/>
            <w:hideMark/>
          </w:tcPr>
          <w:p w:rsidR="00891A96" w:rsidRPr="009907EE" w:rsidRDefault="00891A96" w:rsidP="00891A96">
            <w:pPr>
              <w:rPr>
                <w:rFonts w:cs="Calibri"/>
                <w:b/>
                <w:bCs/>
                <w:color w:val="000000"/>
                <w:sz w:val="18"/>
                <w:szCs w:val="18"/>
                <w:lang w:eastAsia="en-GB"/>
              </w:rPr>
            </w:pPr>
            <w:r w:rsidRPr="009907EE">
              <w:rPr>
                <w:rFonts w:cs="Calibri"/>
                <w:b/>
                <w:bCs/>
                <w:color w:val="000000"/>
                <w:sz w:val="18"/>
                <w:szCs w:val="18"/>
                <w:lang w:eastAsia="en-GB"/>
              </w:rPr>
              <w:t>Cost or Valuation</w:t>
            </w:r>
          </w:p>
        </w:tc>
        <w:tc>
          <w:tcPr>
            <w:tcW w:w="960" w:type="dxa"/>
            <w:tcBorders>
              <w:top w:val="nil"/>
              <w:left w:val="nil"/>
              <w:bottom w:val="single" w:sz="8" w:space="0" w:color="auto"/>
              <w:right w:val="nil"/>
            </w:tcBorders>
            <w:shd w:val="clear" w:color="auto" w:fill="auto"/>
            <w:noWrap/>
            <w:vAlign w:val="center"/>
            <w:hideMark/>
          </w:tcPr>
          <w:p w:rsidR="00891A96" w:rsidRPr="009907EE" w:rsidRDefault="00891A96" w:rsidP="00891A96">
            <w:pPr>
              <w:rPr>
                <w:rFonts w:cs="Calibri"/>
                <w:color w:val="000000"/>
                <w:sz w:val="18"/>
                <w:szCs w:val="18"/>
                <w:lang w:eastAsia="en-GB"/>
              </w:rPr>
            </w:pPr>
            <w:r w:rsidRPr="009907EE">
              <w:rPr>
                <w:rFonts w:cs="Calibri"/>
                <w:color w:val="000000"/>
                <w:sz w:val="18"/>
                <w:szCs w:val="18"/>
                <w:lang w:eastAsia="en-GB"/>
              </w:rPr>
              <w:t> </w:t>
            </w:r>
          </w:p>
        </w:tc>
        <w:tc>
          <w:tcPr>
            <w:tcW w:w="960" w:type="dxa"/>
            <w:gridSpan w:val="2"/>
            <w:tcBorders>
              <w:top w:val="nil"/>
              <w:left w:val="nil"/>
              <w:bottom w:val="single" w:sz="8" w:space="0" w:color="auto"/>
              <w:right w:val="nil"/>
            </w:tcBorders>
            <w:shd w:val="clear" w:color="auto" w:fill="auto"/>
            <w:noWrap/>
            <w:vAlign w:val="center"/>
            <w:hideMark/>
          </w:tcPr>
          <w:p w:rsidR="00891A96" w:rsidRPr="009907EE" w:rsidRDefault="00891A96" w:rsidP="00891A96">
            <w:pPr>
              <w:rPr>
                <w:rFonts w:cs="Calibri"/>
                <w:color w:val="000000"/>
                <w:sz w:val="18"/>
                <w:szCs w:val="18"/>
                <w:lang w:eastAsia="en-GB"/>
              </w:rPr>
            </w:pPr>
            <w:r w:rsidRPr="009907EE">
              <w:rPr>
                <w:rFonts w:cs="Calibri"/>
                <w:color w:val="000000"/>
                <w:sz w:val="18"/>
                <w:szCs w:val="18"/>
                <w:lang w:eastAsia="en-GB"/>
              </w:rPr>
              <w:t> </w:t>
            </w:r>
          </w:p>
        </w:tc>
        <w:tc>
          <w:tcPr>
            <w:tcW w:w="960" w:type="dxa"/>
            <w:gridSpan w:val="2"/>
            <w:tcBorders>
              <w:top w:val="nil"/>
              <w:left w:val="nil"/>
              <w:bottom w:val="single" w:sz="8" w:space="0" w:color="auto"/>
              <w:right w:val="nil"/>
            </w:tcBorders>
            <w:shd w:val="clear" w:color="auto" w:fill="auto"/>
            <w:noWrap/>
            <w:vAlign w:val="center"/>
            <w:hideMark/>
          </w:tcPr>
          <w:p w:rsidR="00891A96" w:rsidRPr="009907EE" w:rsidRDefault="00891A96" w:rsidP="00891A96">
            <w:pPr>
              <w:rPr>
                <w:rFonts w:cs="Calibri"/>
                <w:color w:val="000000"/>
                <w:sz w:val="18"/>
                <w:szCs w:val="18"/>
                <w:lang w:eastAsia="en-GB"/>
              </w:rPr>
            </w:pPr>
            <w:r w:rsidRPr="009907EE">
              <w:rPr>
                <w:rFonts w:cs="Calibri"/>
                <w:color w:val="000000"/>
                <w:sz w:val="18"/>
                <w:szCs w:val="18"/>
                <w:lang w:eastAsia="en-GB"/>
              </w:rPr>
              <w:t> </w:t>
            </w:r>
          </w:p>
        </w:tc>
        <w:tc>
          <w:tcPr>
            <w:tcW w:w="960" w:type="dxa"/>
            <w:gridSpan w:val="2"/>
            <w:tcBorders>
              <w:top w:val="nil"/>
              <w:left w:val="nil"/>
              <w:bottom w:val="single" w:sz="8" w:space="0" w:color="auto"/>
              <w:right w:val="nil"/>
            </w:tcBorders>
            <w:shd w:val="clear" w:color="auto" w:fill="auto"/>
            <w:noWrap/>
            <w:vAlign w:val="center"/>
            <w:hideMark/>
          </w:tcPr>
          <w:p w:rsidR="00891A96" w:rsidRPr="009907EE" w:rsidRDefault="00891A96" w:rsidP="00891A96">
            <w:pPr>
              <w:rPr>
                <w:rFonts w:cs="Calibri"/>
                <w:color w:val="000000"/>
                <w:sz w:val="18"/>
                <w:szCs w:val="18"/>
                <w:lang w:eastAsia="en-GB"/>
              </w:rPr>
            </w:pPr>
            <w:r w:rsidRPr="009907EE">
              <w:rPr>
                <w:rFonts w:cs="Calibri"/>
                <w:color w:val="000000"/>
                <w:sz w:val="18"/>
                <w:szCs w:val="18"/>
                <w:lang w:eastAsia="en-GB"/>
              </w:rPr>
              <w:t> </w:t>
            </w:r>
          </w:p>
        </w:tc>
        <w:tc>
          <w:tcPr>
            <w:tcW w:w="960" w:type="dxa"/>
            <w:gridSpan w:val="2"/>
            <w:tcBorders>
              <w:top w:val="nil"/>
              <w:left w:val="nil"/>
              <w:bottom w:val="single" w:sz="8" w:space="0" w:color="auto"/>
              <w:right w:val="nil"/>
            </w:tcBorders>
            <w:shd w:val="clear" w:color="auto" w:fill="auto"/>
            <w:noWrap/>
            <w:vAlign w:val="center"/>
            <w:hideMark/>
          </w:tcPr>
          <w:p w:rsidR="00891A96" w:rsidRPr="009907EE" w:rsidRDefault="00891A96" w:rsidP="00891A96">
            <w:pPr>
              <w:rPr>
                <w:rFonts w:cs="Calibri"/>
                <w:color w:val="000000"/>
                <w:sz w:val="18"/>
                <w:szCs w:val="18"/>
                <w:lang w:eastAsia="en-GB"/>
              </w:rPr>
            </w:pPr>
            <w:r w:rsidRPr="009907EE">
              <w:rPr>
                <w:rFonts w:cs="Calibri"/>
                <w:color w:val="000000"/>
                <w:sz w:val="18"/>
                <w:szCs w:val="18"/>
                <w:lang w:eastAsia="en-GB"/>
              </w:rPr>
              <w:t> </w:t>
            </w:r>
          </w:p>
        </w:tc>
        <w:tc>
          <w:tcPr>
            <w:tcW w:w="1175" w:type="dxa"/>
            <w:gridSpan w:val="2"/>
            <w:tcBorders>
              <w:top w:val="nil"/>
              <w:left w:val="nil"/>
              <w:bottom w:val="single" w:sz="8" w:space="0" w:color="auto"/>
              <w:right w:val="nil"/>
            </w:tcBorders>
            <w:shd w:val="clear" w:color="auto" w:fill="auto"/>
            <w:noWrap/>
            <w:vAlign w:val="center"/>
            <w:hideMark/>
          </w:tcPr>
          <w:p w:rsidR="00891A96" w:rsidRPr="009907EE" w:rsidRDefault="00891A96" w:rsidP="00891A96">
            <w:pPr>
              <w:rPr>
                <w:rFonts w:cs="Calibri"/>
                <w:color w:val="000000"/>
                <w:sz w:val="18"/>
                <w:szCs w:val="18"/>
                <w:lang w:eastAsia="en-GB"/>
              </w:rPr>
            </w:pPr>
            <w:r w:rsidRPr="009907EE">
              <w:rPr>
                <w:rFonts w:cs="Calibri"/>
                <w:color w:val="000000"/>
                <w:sz w:val="18"/>
                <w:szCs w:val="18"/>
                <w:lang w:eastAsia="en-GB"/>
              </w:rPr>
              <w:t> </w:t>
            </w:r>
          </w:p>
        </w:tc>
        <w:tc>
          <w:tcPr>
            <w:tcW w:w="960" w:type="dxa"/>
            <w:gridSpan w:val="2"/>
            <w:tcBorders>
              <w:top w:val="nil"/>
              <w:left w:val="nil"/>
              <w:bottom w:val="single" w:sz="8" w:space="0" w:color="auto"/>
              <w:right w:val="nil"/>
            </w:tcBorders>
            <w:shd w:val="clear" w:color="auto" w:fill="auto"/>
            <w:noWrap/>
            <w:vAlign w:val="center"/>
            <w:hideMark/>
          </w:tcPr>
          <w:p w:rsidR="00891A96" w:rsidRPr="009907EE" w:rsidRDefault="00891A96" w:rsidP="00891A96">
            <w:pPr>
              <w:rPr>
                <w:rFonts w:cs="Calibri"/>
                <w:color w:val="000000"/>
                <w:sz w:val="18"/>
                <w:szCs w:val="18"/>
                <w:lang w:eastAsia="en-GB"/>
              </w:rPr>
            </w:pPr>
            <w:r w:rsidRPr="009907EE">
              <w:rPr>
                <w:rFonts w:cs="Calibri"/>
                <w:color w:val="000000"/>
                <w:sz w:val="18"/>
                <w:szCs w:val="18"/>
                <w:lang w:eastAsia="en-GB"/>
              </w:rPr>
              <w:t> </w:t>
            </w:r>
          </w:p>
        </w:tc>
        <w:tc>
          <w:tcPr>
            <w:tcW w:w="960" w:type="dxa"/>
            <w:gridSpan w:val="2"/>
            <w:tcBorders>
              <w:top w:val="nil"/>
              <w:left w:val="nil"/>
              <w:bottom w:val="single" w:sz="8" w:space="0" w:color="auto"/>
              <w:right w:val="nil"/>
            </w:tcBorders>
            <w:shd w:val="clear" w:color="auto" w:fill="auto"/>
            <w:noWrap/>
            <w:vAlign w:val="center"/>
            <w:hideMark/>
          </w:tcPr>
          <w:p w:rsidR="00891A96" w:rsidRPr="009907EE" w:rsidRDefault="00891A96" w:rsidP="00891A96">
            <w:pPr>
              <w:rPr>
                <w:rFonts w:cs="Calibri"/>
                <w:color w:val="000000"/>
                <w:sz w:val="18"/>
                <w:szCs w:val="18"/>
                <w:lang w:eastAsia="en-GB"/>
              </w:rPr>
            </w:pPr>
            <w:r w:rsidRPr="009907EE">
              <w:rPr>
                <w:rFonts w:cs="Calibri"/>
                <w:color w:val="000000"/>
                <w:sz w:val="18"/>
                <w:szCs w:val="18"/>
                <w:lang w:eastAsia="en-GB"/>
              </w:rPr>
              <w:t> </w:t>
            </w:r>
          </w:p>
        </w:tc>
      </w:tr>
      <w:tr w:rsidR="00891A96" w:rsidRPr="009907EE" w:rsidTr="00891A96">
        <w:trPr>
          <w:gridAfter w:val="1"/>
          <w:wAfter w:w="9" w:type="dxa"/>
          <w:trHeight w:val="315"/>
        </w:trPr>
        <w:tc>
          <w:tcPr>
            <w:tcW w:w="2825" w:type="dxa"/>
            <w:tcBorders>
              <w:top w:val="nil"/>
              <w:left w:val="single" w:sz="8" w:space="0" w:color="auto"/>
              <w:bottom w:val="single" w:sz="8" w:space="0" w:color="auto"/>
              <w:right w:val="single" w:sz="8" w:space="0" w:color="auto"/>
            </w:tcBorders>
            <w:shd w:val="clear" w:color="auto" w:fill="auto"/>
            <w:vAlign w:val="center"/>
            <w:hideMark/>
          </w:tcPr>
          <w:p w:rsidR="00891A96" w:rsidRPr="009907EE" w:rsidRDefault="00891A96" w:rsidP="00891A96">
            <w:pPr>
              <w:rPr>
                <w:rFonts w:cs="Calibri"/>
                <w:b/>
                <w:bCs/>
                <w:color w:val="000000"/>
                <w:sz w:val="18"/>
                <w:szCs w:val="18"/>
                <w:lang w:eastAsia="en-GB"/>
              </w:rPr>
            </w:pPr>
            <w:r w:rsidRPr="009907EE">
              <w:rPr>
                <w:rFonts w:cs="Calibri"/>
                <w:b/>
                <w:bCs/>
                <w:color w:val="000000"/>
                <w:sz w:val="18"/>
                <w:szCs w:val="18"/>
                <w:lang w:eastAsia="en-GB"/>
              </w:rPr>
              <w:t>At 1 April 2018</w:t>
            </w:r>
          </w:p>
        </w:tc>
        <w:tc>
          <w:tcPr>
            <w:tcW w:w="960" w:type="dxa"/>
            <w:tcBorders>
              <w:top w:val="nil"/>
              <w:left w:val="nil"/>
              <w:bottom w:val="single" w:sz="8" w:space="0" w:color="auto"/>
              <w:right w:val="nil"/>
            </w:tcBorders>
            <w:shd w:val="clear" w:color="auto" w:fill="auto"/>
            <w:noWrap/>
            <w:vAlign w:val="center"/>
            <w:hideMark/>
          </w:tcPr>
          <w:p w:rsidR="00891A96" w:rsidRPr="009907EE" w:rsidRDefault="00891A96" w:rsidP="00891A96">
            <w:pPr>
              <w:jc w:val="right"/>
              <w:rPr>
                <w:rFonts w:cs="Calibri"/>
                <w:b/>
                <w:bCs/>
                <w:color w:val="000000"/>
                <w:sz w:val="18"/>
                <w:szCs w:val="18"/>
                <w:lang w:eastAsia="en-GB"/>
              </w:rPr>
            </w:pPr>
            <w:r w:rsidRPr="009907EE">
              <w:rPr>
                <w:rFonts w:cs="Calibri"/>
                <w:b/>
                <w:bCs/>
                <w:color w:val="000000"/>
                <w:sz w:val="18"/>
                <w:szCs w:val="18"/>
                <w:lang w:eastAsia="en-GB"/>
              </w:rPr>
              <w:t>664.3</w:t>
            </w:r>
          </w:p>
        </w:tc>
        <w:tc>
          <w:tcPr>
            <w:tcW w:w="960" w:type="dxa"/>
            <w:gridSpan w:val="2"/>
            <w:tcBorders>
              <w:top w:val="nil"/>
              <w:left w:val="single" w:sz="8" w:space="0" w:color="auto"/>
              <w:bottom w:val="single" w:sz="8" w:space="0" w:color="auto"/>
              <w:right w:val="single" w:sz="8" w:space="0" w:color="auto"/>
            </w:tcBorders>
            <w:shd w:val="clear" w:color="auto" w:fill="auto"/>
            <w:noWrap/>
            <w:vAlign w:val="center"/>
            <w:hideMark/>
          </w:tcPr>
          <w:p w:rsidR="00891A96" w:rsidRPr="009907EE" w:rsidRDefault="00891A96" w:rsidP="00891A96">
            <w:pPr>
              <w:jc w:val="right"/>
              <w:rPr>
                <w:rFonts w:cs="Calibri"/>
                <w:b/>
                <w:bCs/>
                <w:color w:val="000000"/>
                <w:sz w:val="18"/>
                <w:szCs w:val="18"/>
                <w:lang w:eastAsia="en-GB"/>
              </w:rPr>
            </w:pPr>
            <w:r w:rsidRPr="009907EE">
              <w:rPr>
                <w:rFonts w:cs="Calibri"/>
                <w:b/>
                <w:bCs/>
                <w:color w:val="000000"/>
                <w:sz w:val="18"/>
                <w:szCs w:val="18"/>
                <w:lang w:eastAsia="en-GB"/>
              </w:rPr>
              <w:t>818.0</w:t>
            </w:r>
          </w:p>
        </w:tc>
        <w:tc>
          <w:tcPr>
            <w:tcW w:w="960" w:type="dxa"/>
            <w:gridSpan w:val="2"/>
            <w:tcBorders>
              <w:top w:val="nil"/>
              <w:left w:val="nil"/>
              <w:bottom w:val="single" w:sz="8" w:space="0" w:color="auto"/>
              <w:right w:val="nil"/>
            </w:tcBorders>
            <w:shd w:val="clear" w:color="auto" w:fill="auto"/>
            <w:noWrap/>
            <w:vAlign w:val="center"/>
            <w:hideMark/>
          </w:tcPr>
          <w:p w:rsidR="00891A96" w:rsidRPr="009907EE" w:rsidRDefault="00891A96" w:rsidP="00891A96">
            <w:pPr>
              <w:jc w:val="right"/>
              <w:rPr>
                <w:rFonts w:cs="Calibri"/>
                <w:b/>
                <w:bCs/>
                <w:color w:val="000000"/>
                <w:sz w:val="18"/>
                <w:szCs w:val="18"/>
                <w:lang w:eastAsia="en-GB"/>
              </w:rPr>
            </w:pPr>
            <w:r w:rsidRPr="009907EE">
              <w:rPr>
                <w:rFonts w:cs="Calibri"/>
                <w:b/>
                <w:bCs/>
                <w:color w:val="000000"/>
                <w:sz w:val="18"/>
                <w:szCs w:val="18"/>
                <w:lang w:eastAsia="en-GB"/>
              </w:rPr>
              <w:t>41.8</w:t>
            </w:r>
          </w:p>
        </w:tc>
        <w:tc>
          <w:tcPr>
            <w:tcW w:w="960" w:type="dxa"/>
            <w:gridSpan w:val="2"/>
            <w:tcBorders>
              <w:top w:val="nil"/>
              <w:left w:val="single" w:sz="8" w:space="0" w:color="auto"/>
              <w:bottom w:val="single" w:sz="8" w:space="0" w:color="auto"/>
              <w:right w:val="nil"/>
            </w:tcBorders>
            <w:shd w:val="clear" w:color="auto" w:fill="auto"/>
            <w:noWrap/>
            <w:vAlign w:val="center"/>
            <w:hideMark/>
          </w:tcPr>
          <w:p w:rsidR="00891A96" w:rsidRPr="009907EE" w:rsidRDefault="00891A96" w:rsidP="00891A96">
            <w:pPr>
              <w:jc w:val="right"/>
              <w:rPr>
                <w:rFonts w:cs="Calibri"/>
                <w:b/>
                <w:bCs/>
                <w:color w:val="000000"/>
                <w:sz w:val="18"/>
                <w:szCs w:val="18"/>
                <w:lang w:eastAsia="en-GB"/>
              </w:rPr>
            </w:pPr>
            <w:r w:rsidRPr="009907EE">
              <w:rPr>
                <w:rFonts w:cs="Calibri"/>
                <w:b/>
                <w:bCs/>
                <w:color w:val="000000"/>
                <w:sz w:val="18"/>
                <w:szCs w:val="18"/>
                <w:lang w:eastAsia="en-GB"/>
              </w:rPr>
              <w:t>258.2</w:t>
            </w:r>
          </w:p>
        </w:tc>
        <w:tc>
          <w:tcPr>
            <w:tcW w:w="960" w:type="dxa"/>
            <w:gridSpan w:val="2"/>
            <w:tcBorders>
              <w:top w:val="nil"/>
              <w:left w:val="single" w:sz="8" w:space="0" w:color="auto"/>
              <w:bottom w:val="single" w:sz="8" w:space="0" w:color="auto"/>
              <w:right w:val="nil"/>
            </w:tcBorders>
            <w:shd w:val="clear" w:color="auto" w:fill="auto"/>
            <w:noWrap/>
            <w:vAlign w:val="center"/>
            <w:hideMark/>
          </w:tcPr>
          <w:p w:rsidR="00891A96" w:rsidRPr="009907EE" w:rsidRDefault="00891A96" w:rsidP="00891A96">
            <w:pPr>
              <w:jc w:val="right"/>
              <w:rPr>
                <w:rFonts w:cs="Calibri"/>
                <w:b/>
                <w:bCs/>
                <w:color w:val="000000"/>
                <w:sz w:val="18"/>
                <w:szCs w:val="18"/>
                <w:lang w:eastAsia="en-GB"/>
              </w:rPr>
            </w:pPr>
            <w:r w:rsidRPr="009907EE">
              <w:rPr>
                <w:rFonts w:cs="Calibri"/>
                <w:b/>
                <w:bCs/>
                <w:color w:val="000000"/>
                <w:sz w:val="18"/>
                <w:szCs w:val="18"/>
                <w:lang w:eastAsia="en-GB"/>
              </w:rPr>
              <w:t>3.9</w:t>
            </w:r>
          </w:p>
        </w:tc>
        <w:tc>
          <w:tcPr>
            <w:tcW w:w="1175" w:type="dxa"/>
            <w:gridSpan w:val="2"/>
            <w:tcBorders>
              <w:top w:val="nil"/>
              <w:left w:val="single" w:sz="8" w:space="0" w:color="auto"/>
              <w:bottom w:val="single" w:sz="8" w:space="0" w:color="auto"/>
              <w:right w:val="nil"/>
            </w:tcBorders>
            <w:shd w:val="clear" w:color="auto" w:fill="auto"/>
            <w:noWrap/>
            <w:vAlign w:val="center"/>
            <w:hideMark/>
          </w:tcPr>
          <w:p w:rsidR="00891A96" w:rsidRPr="009907EE" w:rsidRDefault="00891A96" w:rsidP="00891A96">
            <w:pPr>
              <w:jc w:val="right"/>
              <w:rPr>
                <w:rFonts w:cs="Calibri"/>
                <w:b/>
                <w:bCs/>
                <w:color w:val="000000"/>
                <w:sz w:val="18"/>
                <w:szCs w:val="18"/>
                <w:lang w:eastAsia="en-GB"/>
              </w:rPr>
            </w:pPr>
            <w:r w:rsidRPr="009907EE">
              <w:rPr>
                <w:rFonts w:cs="Calibri"/>
                <w:b/>
                <w:bCs/>
                <w:color w:val="000000"/>
                <w:sz w:val="18"/>
                <w:szCs w:val="18"/>
                <w:lang w:eastAsia="en-GB"/>
              </w:rPr>
              <w:t>63.7</w:t>
            </w:r>
          </w:p>
        </w:tc>
        <w:tc>
          <w:tcPr>
            <w:tcW w:w="960" w:type="dxa"/>
            <w:gridSpan w:val="2"/>
            <w:tcBorders>
              <w:top w:val="nil"/>
              <w:left w:val="single" w:sz="8" w:space="0" w:color="auto"/>
              <w:bottom w:val="single" w:sz="8" w:space="0" w:color="auto"/>
              <w:right w:val="single" w:sz="8" w:space="0" w:color="auto"/>
            </w:tcBorders>
            <w:shd w:val="clear" w:color="auto" w:fill="auto"/>
            <w:noWrap/>
            <w:vAlign w:val="center"/>
            <w:hideMark/>
          </w:tcPr>
          <w:p w:rsidR="00891A96" w:rsidRPr="009907EE" w:rsidRDefault="00891A96" w:rsidP="00891A96">
            <w:pPr>
              <w:jc w:val="right"/>
              <w:rPr>
                <w:rFonts w:cs="Calibri"/>
                <w:b/>
                <w:bCs/>
                <w:color w:val="000000"/>
                <w:sz w:val="18"/>
                <w:szCs w:val="18"/>
                <w:lang w:eastAsia="en-GB"/>
              </w:rPr>
            </w:pPr>
            <w:r w:rsidRPr="009907EE">
              <w:rPr>
                <w:rFonts w:cs="Calibri"/>
                <w:b/>
                <w:bCs/>
                <w:color w:val="000000"/>
                <w:sz w:val="18"/>
                <w:szCs w:val="18"/>
                <w:lang w:eastAsia="en-GB"/>
              </w:rPr>
              <w:t>1,849.9</w:t>
            </w:r>
          </w:p>
        </w:tc>
        <w:tc>
          <w:tcPr>
            <w:tcW w:w="960" w:type="dxa"/>
            <w:gridSpan w:val="2"/>
            <w:tcBorders>
              <w:top w:val="nil"/>
              <w:left w:val="nil"/>
              <w:bottom w:val="single" w:sz="8" w:space="0" w:color="auto"/>
              <w:right w:val="single" w:sz="8" w:space="0" w:color="auto"/>
            </w:tcBorders>
            <w:shd w:val="clear" w:color="auto" w:fill="auto"/>
            <w:noWrap/>
            <w:vAlign w:val="center"/>
            <w:hideMark/>
          </w:tcPr>
          <w:p w:rsidR="00891A96" w:rsidRPr="009907EE" w:rsidRDefault="00891A96" w:rsidP="00891A96">
            <w:pPr>
              <w:jc w:val="right"/>
              <w:rPr>
                <w:rFonts w:cs="Calibri"/>
                <w:b/>
                <w:bCs/>
                <w:color w:val="000000"/>
                <w:sz w:val="18"/>
                <w:szCs w:val="18"/>
                <w:lang w:eastAsia="en-GB"/>
              </w:rPr>
            </w:pPr>
            <w:r w:rsidRPr="009907EE">
              <w:rPr>
                <w:rFonts w:cs="Calibri"/>
                <w:b/>
                <w:bCs/>
                <w:color w:val="000000"/>
                <w:sz w:val="18"/>
                <w:szCs w:val="18"/>
                <w:lang w:eastAsia="en-GB"/>
              </w:rPr>
              <w:t>112.4</w:t>
            </w:r>
          </w:p>
        </w:tc>
      </w:tr>
      <w:tr w:rsidR="00891A96" w:rsidRPr="009907EE" w:rsidTr="00891A96">
        <w:trPr>
          <w:gridAfter w:val="1"/>
          <w:wAfter w:w="9" w:type="dxa"/>
          <w:trHeight w:val="315"/>
        </w:trPr>
        <w:tc>
          <w:tcPr>
            <w:tcW w:w="2825" w:type="dxa"/>
            <w:tcBorders>
              <w:top w:val="nil"/>
              <w:left w:val="single" w:sz="8" w:space="0" w:color="auto"/>
              <w:bottom w:val="single" w:sz="8" w:space="0" w:color="auto"/>
              <w:right w:val="single" w:sz="8" w:space="0" w:color="auto"/>
            </w:tcBorders>
            <w:shd w:val="clear" w:color="auto" w:fill="auto"/>
            <w:vAlign w:val="center"/>
            <w:hideMark/>
          </w:tcPr>
          <w:p w:rsidR="00891A96" w:rsidRPr="009907EE" w:rsidRDefault="00891A96" w:rsidP="00891A96">
            <w:pPr>
              <w:rPr>
                <w:rFonts w:cs="Calibri"/>
                <w:color w:val="000000"/>
                <w:sz w:val="18"/>
                <w:szCs w:val="18"/>
                <w:lang w:eastAsia="en-GB"/>
              </w:rPr>
            </w:pPr>
            <w:r w:rsidRPr="009907EE">
              <w:rPr>
                <w:rFonts w:cs="Calibri"/>
                <w:color w:val="000000"/>
                <w:sz w:val="18"/>
                <w:szCs w:val="18"/>
                <w:lang w:eastAsia="en-GB"/>
              </w:rPr>
              <w:t>Additions</w:t>
            </w:r>
          </w:p>
        </w:tc>
        <w:tc>
          <w:tcPr>
            <w:tcW w:w="960" w:type="dxa"/>
            <w:tcBorders>
              <w:top w:val="nil"/>
              <w:left w:val="nil"/>
              <w:bottom w:val="single" w:sz="8" w:space="0" w:color="auto"/>
              <w:right w:val="nil"/>
            </w:tcBorders>
            <w:shd w:val="clear" w:color="auto" w:fill="auto"/>
            <w:noWrap/>
            <w:vAlign w:val="center"/>
            <w:hideMark/>
          </w:tcPr>
          <w:p w:rsidR="00891A96" w:rsidRPr="009907EE" w:rsidRDefault="00891A96" w:rsidP="00891A96">
            <w:pPr>
              <w:jc w:val="right"/>
              <w:rPr>
                <w:rFonts w:cs="Calibri"/>
                <w:color w:val="000000"/>
                <w:sz w:val="18"/>
                <w:szCs w:val="18"/>
                <w:lang w:eastAsia="en-GB"/>
              </w:rPr>
            </w:pPr>
            <w:r w:rsidRPr="009907EE">
              <w:rPr>
                <w:rFonts w:cs="Calibri"/>
                <w:color w:val="000000"/>
                <w:sz w:val="18"/>
                <w:szCs w:val="18"/>
                <w:lang w:eastAsia="en-GB"/>
              </w:rPr>
              <w:t>26.2</w:t>
            </w:r>
          </w:p>
        </w:tc>
        <w:tc>
          <w:tcPr>
            <w:tcW w:w="960" w:type="dxa"/>
            <w:gridSpan w:val="2"/>
            <w:tcBorders>
              <w:top w:val="nil"/>
              <w:left w:val="single" w:sz="8" w:space="0" w:color="auto"/>
              <w:bottom w:val="single" w:sz="8" w:space="0" w:color="auto"/>
              <w:right w:val="single" w:sz="8" w:space="0" w:color="auto"/>
            </w:tcBorders>
            <w:shd w:val="clear" w:color="auto" w:fill="auto"/>
            <w:noWrap/>
            <w:vAlign w:val="center"/>
            <w:hideMark/>
          </w:tcPr>
          <w:p w:rsidR="00891A96" w:rsidRPr="009907EE" w:rsidRDefault="00891A96" w:rsidP="00891A96">
            <w:pPr>
              <w:jc w:val="right"/>
              <w:rPr>
                <w:rFonts w:cs="Calibri"/>
                <w:color w:val="000000"/>
                <w:sz w:val="18"/>
                <w:szCs w:val="18"/>
                <w:lang w:eastAsia="en-GB"/>
              </w:rPr>
            </w:pPr>
            <w:r w:rsidRPr="009907EE">
              <w:rPr>
                <w:rFonts w:cs="Calibri"/>
                <w:color w:val="000000"/>
                <w:sz w:val="18"/>
                <w:szCs w:val="18"/>
                <w:lang w:eastAsia="en-GB"/>
              </w:rPr>
              <w:t>55.8</w:t>
            </w:r>
          </w:p>
        </w:tc>
        <w:tc>
          <w:tcPr>
            <w:tcW w:w="960" w:type="dxa"/>
            <w:gridSpan w:val="2"/>
            <w:tcBorders>
              <w:top w:val="nil"/>
              <w:left w:val="nil"/>
              <w:bottom w:val="single" w:sz="8" w:space="0" w:color="auto"/>
              <w:right w:val="single" w:sz="8" w:space="0" w:color="auto"/>
            </w:tcBorders>
            <w:shd w:val="clear" w:color="auto" w:fill="auto"/>
            <w:noWrap/>
            <w:vAlign w:val="center"/>
            <w:hideMark/>
          </w:tcPr>
          <w:p w:rsidR="00891A96" w:rsidRPr="009907EE" w:rsidRDefault="00891A96" w:rsidP="00891A96">
            <w:pPr>
              <w:jc w:val="right"/>
              <w:rPr>
                <w:rFonts w:cs="Calibri"/>
                <w:color w:val="000000"/>
                <w:sz w:val="18"/>
                <w:szCs w:val="18"/>
                <w:lang w:eastAsia="en-GB"/>
              </w:rPr>
            </w:pPr>
            <w:r w:rsidRPr="009907EE">
              <w:rPr>
                <w:rFonts w:cs="Calibri"/>
                <w:color w:val="000000"/>
                <w:sz w:val="18"/>
                <w:szCs w:val="18"/>
                <w:lang w:eastAsia="en-GB"/>
              </w:rPr>
              <w:t>15.3</w:t>
            </w:r>
          </w:p>
        </w:tc>
        <w:tc>
          <w:tcPr>
            <w:tcW w:w="960" w:type="dxa"/>
            <w:gridSpan w:val="2"/>
            <w:tcBorders>
              <w:top w:val="nil"/>
              <w:left w:val="nil"/>
              <w:bottom w:val="single" w:sz="8" w:space="0" w:color="auto"/>
              <w:right w:val="single" w:sz="8" w:space="0" w:color="auto"/>
            </w:tcBorders>
            <w:shd w:val="clear" w:color="auto" w:fill="auto"/>
            <w:noWrap/>
            <w:vAlign w:val="center"/>
            <w:hideMark/>
          </w:tcPr>
          <w:p w:rsidR="00891A96" w:rsidRPr="009907EE" w:rsidRDefault="00891A96" w:rsidP="00891A96">
            <w:pPr>
              <w:jc w:val="right"/>
              <w:rPr>
                <w:rFonts w:cs="Calibri"/>
                <w:color w:val="000000"/>
                <w:sz w:val="18"/>
                <w:szCs w:val="18"/>
                <w:lang w:eastAsia="en-GB"/>
              </w:rPr>
            </w:pPr>
            <w:r w:rsidRPr="009907EE">
              <w:rPr>
                <w:rFonts w:cs="Calibri"/>
                <w:color w:val="000000"/>
                <w:sz w:val="18"/>
                <w:szCs w:val="18"/>
                <w:lang w:eastAsia="en-GB"/>
              </w:rPr>
              <w:t>15.2</w:t>
            </w:r>
          </w:p>
        </w:tc>
        <w:tc>
          <w:tcPr>
            <w:tcW w:w="960" w:type="dxa"/>
            <w:gridSpan w:val="2"/>
            <w:tcBorders>
              <w:top w:val="nil"/>
              <w:left w:val="nil"/>
              <w:bottom w:val="single" w:sz="8" w:space="0" w:color="auto"/>
              <w:right w:val="single" w:sz="8" w:space="0" w:color="auto"/>
            </w:tcBorders>
            <w:shd w:val="clear" w:color="auto" w:fill="auto"/>
            <w:noWrap/>
            <w:vAlign w:val="center"/>
            <w:hideMark/>
          </w:tcPr>
          <w:p w:rsidR="00891A96" w:rsidRPr="009907EE" w:rsidRDefault="00891A96" w:rsidP="00891A96">
            <w:pPr>
              <w:jc w:val="right"/>
              <w:rPr>
                <w:rFonts w:cs="Calibri"/>
                <w:color w:val="000000"/>
                <w:sz w:val="18"/>
                <w:szCs w:val="18"/>
                <w:lang w:eastAsia="en-GB"/>
              </w:rPr>
            </w:pPr>
            <w:r w:rsidRPr="009907EE">
              <w:rPr>
                <w:rFonts w:cs="Calibri"/>
                <w:color w:val="000000"/>
                <w:sz w:val="18"/>
                <w:szCs w:val="18"/>
                <w:lang w:eastAsia="en-GB"/>
              </w:rPr>
              <w:t>0.7</w:t>
            </w:r>
          </w:p>
        </w:tc>
        <w:tc>
          <w:tcPr>
            <w:tcW w:w="1175" w:type="dxa"/>
            <w:gridSpan w:val="2"/>
            <w:tcBorders>
              <w:top w:val="nil"/>
              <w:left w:val="nil"/>
              <w:bottom w:val="single" w:sz="8" w:space="0" w:color="auto"/>
              <w:right w:val="single" w:sz="8" w:space="0" w:color="auto"/>
            </w:tcBorders>
            <w:shd w:val="clear" w:color="auto" w:fill="auto"/>
            <w:noWrap/>
            <w:vAlign w:val="center"/>
            <w:hideMark/>
          </w:tcPr>
          <w:p w:rsidR="00891A96" w:rsidRPr="009907EE" w:rsidRDefault="00891A96" w:rsidP="00891A96">
            <w:pPr>
              <w:jc w:val="right"/>
              <w:rPr>
                <w:rFonts w:cs="Calibri"/>
                <w:color w:val="000000"/>
                <w:sz w:val="18"/>
                <w:szCs w:val="18"/>
                <w:lang w:eastAsia="en-GB"/>
              </w:rPr>
            </w:pPr>
            <w:r w:rsidRPr="009907EE">
              <w:rPr>
                <w:rFonts w:cs="Calibri"/>
                <w:color w:val="000000"/>
                <w:sz w:val="18"/>
                <w:szCs w:val="18"/>
                <w:lang w:eastAsia="en-GB"/>
              </w:rPr>
              <w:t>30.6</w:t>
            </w:r>
          </w:p>
        </w:tc>
        <w:tc>
          <w:tcPr>
            <w:tcW w:w="960" w:type="dxa"/>
            <w:gridSpan w:val="2"/>
            <w:tcBorders>
              <w:top w:val="nil"/>
              <w:left w:val="nil"/>
              <w:bottom w:val="single" w:sz="8" w:space="0" w:color="auto"/>
              <w:right w:val="single" w:sz="8" w:space="0" w:color="auto"/>
            </w:tcBorders>
            <w:shd w:val="clear" w:color="auto" w:fill="auto"/>
            <w:noWrap/>
            <w:vAlign w:val="center"/>
            <w:hideMark/>
          </w:tcPr>
          <w:p w:rsidR="00891A96" w:rsidRPr="009907EE" w:rsidRDefault="00891A96" w:rsidP="00891A96">
            <w:pPr>
              <w:jc w:val="right"/>
              <w:rPr>
                <w:rFonts w:cs="Calibri"/>
                <w:b/>
                <w:bCs/>
                <w:color w:val="000000"/>
                <w:sz w:val="18"/>
                <w:szCs w:val="18"/>
                <w:lang w:eastAsia="en-GB"/>
              </w:rPr>
            </w:pPr>
            <w:r w:rsidRPr="009907EE">
              <w:rPr>
                <w:rFonts w:cs="Calibri"/>
                <w:b/>
                <w:bCs/>
                <w:color w:val="000000"/>
                <w:sz w:val="18"/>
                <w:szCs w:val="18"/>
                <w:lang w:eastAsia="en-GB"/>
              </w:rPr>
              <w:t>143.8</w:t>
            </w:r>
          </w:p>
        </w:tc>
        <w:tc>
          <w:tcPr>
            <w:tcW w:w="960" w:type="dxa"/>
            <w:gridSpan w:val="2"/>
            <w:tcBorders>
              <w:top w:val="nil"/>
              <w:left w:val="nil"/>
              <w:bottom w:val="single" w:sz="8" w:space="0" w:color="auto"/>
              <w:right w:val="single" w:sz="8" w:space="0" w:color="auto"/>
            </w:tcBorders>
            <w:shd w:val="clear" w:color="auto" w:fill="auto"/>
            <w:noWrap/>
            <w:vAlign w:val="center"/>
            <w:hideMark/>
          </w:tcPr>
          <w:p w:rsidR="00891A96" w:rsidRPr="009907EE" w:rsidRDefault="00891A96" w:rsidP="00891A96">
            <w:pPr>
              <w:jc w:val="right"/>
              <w:rPr>
                <w:rFonts w:cs="Calibri"/>
                <w:color w:val="000000"/>
                <w:sz w:val="18"/>
                <w:szCs w:val="18"/>
                <w:lang w:eastAsia="en-GB"/>
              </w:rPr>
            </w:pPr>
            <w:r w:rsidRPr="009907EE">
              <w:rPr>
                <w:rFonts w:cs="Calibri"/>
                <w:color w:val="000000"/>
                <w:sz w:val="18"/>
                <w:szCs w:val="18"/>
                <w:lang w:eastAsia="en-GB"/>
              </w:rPr>
              <w:t>3.0</w:t>
            </w:r>
          </w:p>
        </w:tc>
      </w:tr>
      <w:tr w:rsidR="00891A96" w:rsidRPr="009907EE" w:rsidTr="00891A96">
        <w:trPr>
          <w:gridAfter w:val="1"/>
          <w:wAfter w:w="9" w:type="dxa"/>
          <w:trHeight w:val="315"/>
        </w:trPr>
        <w:tc>
          <w:tcPr>
            <w:tcW w:w="2825" w:type="dxa"/>
            <w:tcBorders>
              <w:top w:val="nil"/>
              <w:left w:val="single" w:sz="8" w:space="0" w:color="auto"/>
              <w:bottom w:val="single" w:sz="8" w:space="0" w:color="auto"/>
              <w:right w:val="single" w:sz="8" w:space="0" w:color="auto"/>
            </w:tcBorders>
            <w:shd w:val="clear" w:color="auto" w:fill="auto"/>
            <w:vAlign w:val="center"/>
            <w:hideMark/>
          </w:tcPr>
          <w:p w:rsidR="00891A96" w:rsidRPr="009907EE" w:rsidRDefault="00891A96" w:rsidP="00891A96">
            <w:pPr>
              <w:rPr>
                <w:rFonts w:cs="Calibri"/>
                <w:color w:val="000000"/>
                <w:sz w:val="18"/>
                <w:szCs w:val="18"/>
                <w:lang w:eastAsia="en-GB"/>
              </w:rPr>
            </w:pPr>
            <w:r w:rsidRPr="009907EE">
              <w:rPr>
                <w:rFonts w:cs="Calibri"/>
                <w:color w:val="000000"/>
                <w:sz w:val="18"/>
                <w:szCs w:val="18"/>
                <w:lang w:eastAsia="en-GB"/>
              </w:rPr>
              <w:t>Depreciation written out</w:t>
            </w:r>
          </w:p>
        </w:tc>
        <w:tc>
          <w:tcPr>
            <w:tcW w:w="960" w:type="dxa"/>
            <w:tcBorders>
              <w:top w:val="nil"/>
              <w:left w:val="nil"/>
              <w:bottom w:val="single" w:sz="8" w:space="0" w:color="auto"/>
              <w:right w:val="nil"/>
            </w:tcBorders>
            <w:shd w:val="clear" w:color="auto" w:fill="auto"/>
            <w:noWrap/>
            <w:vAlign w:val="center"/>
            <w:hideMark/>
          </w:tcPr>
          <w:p w:rsidR="00891A96" w:rsidRPr="009907EE" w:rsidRDefault="00891A96" w:rsidP="00891A96">
            <w:pPr>
              <w:jc w:val="right"/>
              <w:rPr>
                <w:rFonts w:cs="Calibri"/>
                <w:color w:val="000000"/>
                <w:sz w:val="18"/>
                <w:szCs w:val="18"/>
                <w:lang w:eastAsia="en-GB"/>
              </w:rPr>
            </w:pPr>
            <w:r w:rsidRPr="009907EE">
              <w:rPr>
                <w:rFonts w:cs="Calibri"/>
                <w:color w:val="000000"/>
                <w:sz w:val="18"/>
                <w:szCs w:val="18"/>
                <w:lang w:eastAsia="en-GB"/>
              </w:rPr>
              <w:t>(25.4)</w:t>
            </w:r>
          </w:p>
        </w:tc>
        <w:tc>
          <w:tcPr>
            <w:tcW w:w="960" w:type="dxa"/>
            <w:gridSpan w:val="2"/>
            <w:tcBorders>
              <w:top w:val="nil"/>
              <w:left w:val="single" w:sz="8" w:space="0" w:color="auto"/>
              <w:bottom w:val="single" w:sz="8" w:space="0" w:color="auto"/>
              <w:right w:val="single" w:sz="8" w:space="0" w:color="auto"/>
            </w:tcBorders>
            <w:shd w:val="clear" w:color="auto" w:fill="auto"/>
            <w:noWrap/>
            <w:vAlign w:val="center"/>
            <w:hideMark/>
          </w:tcPr>
          <w:p w:rsidR="00891A96" w:rsidRPr="009907EE" w:rsidRDefault="00891A96" w:rsidP="00891A96">
            <w:pPr>
              <w:jc w:val="right"/>
              <w:rPr>
                <w:rFonts w:cs="Calibri"/>
                <w:color w:val="000000"/>
                <w:sz w:val="18"/>
                <w:szCs w:val="18"/>
                <w:lang w:eastAsia="en-GB"/>
              </w:rPr>
            </w:pPr>
            <w:r w:rsidRPr="009907EE">
              <w:rPr>
                <w:rFonts w:cs="Calibri"/>
                <w:color w:val="000000"/>
                <w:sz w:val="18"/>
                <w:szCs w:val="18"/>
                <w:lang w:eastAsia="en-GB"/>
              </w:rPr>
              <w:t>(7.6)</w:t>
            </w:r>
          </w:p>
        </w:tc>
        <w:tc>
          <w:tcPr>
            <w:tcW w:w="960" w:type="dxa"/>
            <w:gridSpan w:val="2"/>
            <w:tcBorders>
              <w:top w:val="nil"/>
              <w:left w:val="nil"/>
              <w:bottom w:val="single" w:sz="8" w:space="0" w:color="auto"/>
              <w:right w:val="single" w:sz="8" w:space="0" w:color="auto"/>
            </w:tcBorders>
            <w:shd w:val="clear" w:color="auto" w:fill="auto"/>
            <w:noWrap/>
            <w:vAlign w:val="center"/>
            <w:hideMark/>
          </w:tcPr>
          <w:p w:rsidR="00891A96" w:rsidRPr="009907EE" w:rsidRDefault="00891A96" w:rsidP="00891A96">
            <w:pPr>
              <w:jc w:val="right"/>
              <w:rPr>
                <w:rFonts w:cs="Calibri"/>
                <w:color w:val="000000"/>
                <w:sz w:val="18"/>
                <w:szCs w:val="18"/>
                <w:lang w:eastAsia="en-GB"/>
              </w:rPr>
            </w:pPr>
            <w:r w:rsidRPr="009907EE">
              <w:rPr>
                <w:rFonts w:cs="Calibri"/>
                <w:color w:val="000000"/>
                <w:sz w:val="18"/>
                <w:szCs w:val="18"/>
                <w:lang w:eastAsia="en-GB"/>
              </w:rPr>
              <w:t>0.0</w:t>
            </w:r>
          </w:p>
        </w:tc>
        <w:tc>
          <w:tcPr>
            <w:tcW w:w="960" w:type="dxa"/>
            <w:gridSpan w:val="2"/>
            <w:tcBorders>
              <w:top w:val="nil"/>
              <w:left w:val="nil"/>
              <w:bottom w:val="single" w:sz="8" w:space="0" w:color="auto"/>
              <w:right w:val="single" w:sz="8" w:space="0" w:color="auto"/>
            </w:tcBorders>
            <w:shd w:val="clear" w:color="auto" w:fill="auto"/>
            <w:noWrap/>
            <w:vAlign w:val="center"/>
            <w:hideMark/>
          </w:tcPr>
          <w:p w:rsidR="00891A96" w:rsidRPr="009907EE" w:rsidRDefault="00891A96" w:rsidP="00891A96">
            <w:pPr>
              <w:jc w:val="right"/>
              <w:rPr>
                <w:rFonts w:cs="Calibri"/>
                <w:color w:val="000000"/>
                <w:sz w:val="18"/>
                <w:szCs w:val="18"/>
                <w:lang w:eastAsia="en-GB"/>
              </w:rPr>
            </w:pPr>
            <w:r w:rsidRPr="009907EE">
              <w:rPr>
                <w:rFonts w:cs="Calibri"/>
                <w:color w:val="000000"/>
                <w:sz w:val="18"/>
                <w:szCs w:val="18"/>
                <w:lang w:eastAsia="en-GB"/>
              </w:rPr>
              <w:t>0.0</w:t>
            </w:r>
          </w:p>
        </w:tc>
        <w:tc>
          <w:tcPr>
            <w:tcW w:w="960" w:type="dxa"/>
            <w:gridSpan w:val="2"/>
            <w:tcBorders>
              <w:top w:val="nil"/>
              <w:left w:val="nil"/>
              <w:bottom w:val="single" w:sz="8" w:space="0" w:color="auto"/>
              <w:right w:val="single" w:sz="8" w:space="0" w:color="auto"/>
            </w:tcBorders>
            <w:shd w:val="clear" w:color="auto" w:fill="auto"/>
            <w:noWrap/>
            <w:vAlign w:val="center"/>
            <w:hideMark/>
          </w:tcPr>
          <w:p w:rsidR="00891A96" w:rsidRPr="009907EE" w:rsidRDefault="00891A96" w:rsidP="00891A96">
            <w:pPr>
              <w:jc w:val="right"/>
              <w:rPr>
                <w:rFonts w:cs="Calibri"/>
                <w:color w:val="000000"/>
                <w:sz w:val="18"/>
                <w:szCs w:val="18"/>
                <w:lang w:eastAsia="en-GB"/>
              </w:rPr>
            </w:pPr>
            <w:r w:rsidRPr="009907EE">
              <w:rPr>
                <w:rFonts w:cs="Calibri"/>
                <w:color w:val="000000"/>
                <w:sz w:val="18"/>
                <w:szCs w:val="18"/>
                <w:lang w:eastAsia="en-GB"/>
              </w:rPr>
              <w:t>0.0</w:t>
            </w:r>
          </w:p>
        </w:tc>
        <w:tc>
          <w:tcPr>
            <w:tcW w:w="1175" w:type="dxa"/>
            <w:gridSpan w:val="2"/>
            <w:tcBorders>
              <w:top w:val="nil"/>
              <w:left w:val="nil"/>
              <w:bottom w:val="single" w:sz="8" w:space="0" w:color="auto"/>
              <w:right w:val="single" w:sz="8" w:space="0" w:color="auto"/>
            </w:tcBorders>
            <w:shd w:val="clear" w:color="auto" w:fill="auto"/>
            <w:noWrap/>
            <w:vAlign w:val="center"/>
            <w:hideMark/>
          </w:tcPr>
          <w:p w:rsidR="00891A96" w:rsidRPr="009907EE" w:rsidRDefault="00891A96" w:rsidP="00891A96">
            <w:pPr>
              <w:jc w:val="right"/>
              <w:rPr>
                <w:rFonts w:cs="Calibri"/>
                <w:color w:val="000000"/>
                <w:sz w:val="18"/>
                <w:szCs w:val="18"/>
                <w:lang w:eastAsia="en-GB"/>
              </w:rPr>
            </w:pPr>
            <w:r w:rsidRPr="009907EE">
              <w:rPr>
                <w:rFonts w:cs="Calibri"/>
                <w:color w:val="000000"/>
                <w:sz w:val="18"/>
                <w:szCs w:val="18"/>
                <w:lang w:eastAsia="en-GB"/>
              </w:rPr>
              <w:t>0.0</w:t>
            </w:r>
          </w:p>
        </w:tc>
        <w:tc>
          <w:tcPr>
            <w:tcW w:w="960" w:type="dxa"/>
            <w:gridSpan w:val="2"/>
            <w:tcBorders>
              <w:top w:val="nil"/>
              <w:left w:val="nil"/>
              <w:bottom w:val="single" w:sz="8" w:space="0" w:color="auto"/>
              <w:right w:val="single" w:sz="8" w:space="0" w:color="auto"/>
            </w:tcBorders>
            <w:shd w:val="clear" w:color="auto" w:fill="auto"/>
            <w:noWrap/>
            <w:vAlign w:val="center"/>
            <w:hideMark/>
          </w:tcPr>
          <w:p w:rsidR="00891A96" w:rsidRPr="009907EE" w:rsidRDefault="00891A96" w:rsidP="00891A96">
            <w:pPr>
              <w:jc w:val="right"/>
              <w:rPr>
                <w:rFonts w:cs="Calibri"/>
                <w:b/>
                <w:bCs/>
                <w:color w:val="000000"/>
                <w:sz w:val="18"/>
                <w:szCs w:val="18"/>
                <w:lang w:eastAsia="en-GB"/>
              </w:rPr>
            </w:pPr>
            <w:r w:rsidRPr="009907EE">
              <w:rPr>
                <w:rFonts w:cs="Calibri"/>
                <w:b/>
                <w:bCs/>
                <w:color w:val="000000"/>
                <w:sz w:val="18"/>
                <w:szCs w:val="18"/>
                <w:lang w:eastAsia="en-GB"/>
              </w:rPr>
              <w:t>(33.0)</w:t>
            </w:r>
          </w:p>
        </w:tc>
        <w:tc>
          <w:tcPr>
            <w:tcW w:w="960" w:type="dxa"/>
            <w:gridSpan w:val="2"/>
            <w:tcBorders>
              <w:top w:val="nil"/>
              <w:left w:val="nil"/>
              <w:bottom w:val="single" w:sz="8" w:space="0" w:color="auto"/>
              <w:right w:val="single" w:sz="8" w:space="0" w:color="auto"/>
            </w:tcBorders>
            <w:shd w:val="clear" w:color="auto" w:fill="auto"/>
            <w:noWrap/>
            <w:vAlign w:val="center"/>
            <w:hideMark/>
          </w:tcPr>
          <w:p w:rsidR="00891A96" w:rsidRPr="009907EE" w:rsidRDefault="00891A96" w:rsidP="00891A96">
            <w:pPr>
              <w:jc w:val="right"/>
              <w:rPr>
                <w:rFonts w:cs="Calibri"/>
                <w:color w:val="000000"/>
                <w:sz w:val="18"/>
                <w:szCs w:val="18"/>
                <w:lang w:eastAsia="en-GB"/>
              </w:rPr>
            </w:pPr>
            <w:r w:rsidRPr="009907EE">
              <w:rPr>
                <w:rFonts w:cs="Calibri"/>
                <w:color w:val="000000"/>
                <w:sz w:val="18"/>
                <w:szCs w:val="18"/>
                <w:lang w:eastAsia="en-GB"/>
              </w:rPr>
              <w:t>(0.3)</w:t>
            </w:r>
          </w:p>
        </w:tc>
      </w:tr>
      <w:tr w:rsidR="00891A96" w:rsidRPr="009907EE" w:rsidTr="00891A96">
        <w:trPr>
          <w:gridAfter w:val="1"/>
          <w:wAfter w:w="9" w:type="dxa"/>
          <w:trHeight w:val="735"/>
        </w:trPr>
        <w:tc>
          <w:tcPr>
            <w:tcW w:w="2825" w:type="dxa"/>
            <w:tcBorders>
              <w:top w:val="nil"/>
              <w:left w:val="single" w:sz="8" w:space="0" w:color="auto"/>
              <w:bottom w:val="single" w:sz="8" w:space="0" w:color="auto"/>
              <w:right w:val="single" w:sz="8" w:space="0" w:color="auto"/>
            </w:tcBorders>
            <w:shd w:val="clear" w:color="auto" w:fill="auto"/>
            <w:vAlign w:val="center"/>
            <w:hideMark/>
          </w:tcPr>
          <w:p w:rsidR="00891A96" w:rsidRPr="009907EE" w:rsidRDefault="00891A96" w:rsidP="00891A96">
            <w:pPr>
              <w:rPr>
                <w:rFonts w:cs="Calibri"/>
                <w:color w:val="000000"/>
                <w:sz w:val="18"/>
                <w:szCs w:val="18"/>
                <w:lang w:eastAsia="en-GB"/>
              </w:rPr>
            </w:pPr>
            <w:r w:rsidRPr="009907EE">
              <w:rPr>
                <w:rFonts w:cs="Calibri"/>
                <w:color w:val="000000"/>
                <w:sz w:val="18"/>
                <w:szCs w:val="18"/>
                <w:lang w:eastAsia="en-GB"/>
              </w:rPr>
              <w:t>Revaluation increases (decreases) in the Revaluation Reserve</w:t>
            </w:r>
          </w:p>
        </w:tc>
        <w:tc>
          <w:tcPr>
            <w:tcW w:w="960" w:type="dxa"/>
            <w:tcBorders>
              <w:top w:val="nil"/>
              <w:left w:val="nil"/>
              <w:bottom w:val="single" w:sz="8" w:space="0" w:color="auto"/>
              <w:right w:val="nil"/>
            </w:tcBorders>
            <w:shd w:val="clear" w:color="auto" w:fill="auto"/>
            <w:noWrap/>
            <w:vAlign w:val="center"/>
            <w:hideMark/>
          </w:tcPr>
          <w:p w:rsidR="00891A96" w:rsidRPr="009907EE" w:rsidRDefault="00891A96" w:rsidP="00891A96">
            <w:pPr>
              <w:jc w:val="right"/>
              <w:rPr>
                <w:rFonts w:cs="Calibri"/>
                <w:color w:val="000000"/>
                <w:sz w:val="18"/>
                <w:szCs w:val="18"/>
                <w:lang w:eastAsia="en-GB"/>
              </w:rPr>
            </w:pPr>
            <w:r w:rsidRPr="009907EE">
              <w:rPr>
                <w:rFonts w:cs="Calibri"/>
                <w:color w:val="000000"/>
                <w:sz w:val="18"/>
                <w:szCs w:val="18"/>
                <w:lang w:eastAsia="en-GB"/>
              </w:rPr>
              <w:t>5.9</w:t>
            </w:r>
          </w:p>
        </w:tc>
        <w:tc>
          <w:tcPr>
            <w:tcW w:w="960" w:type="dxa"/>
            <w:gridSpan w:val="2"/>
            <w:tcBorders>
              <w:top w:val="nil"/>
              <w:left w:val="single" w:sz="8" w:space="0" w:color="auto"/>
              <w:bottom w:val="single" w:sz="8" w:space="0" w:color="auto"/>
              <w:right w:val="single" w:sz="8" w:space="0" w:color="auto"/>
            </w:tcBorders>
            <w:shd w:val="clear" w:color="auto" w:fill="auto"/>
            <w:noWrap/>
            <w:vAlign w:val="center"/>
            <w:hideMark/>
          </w:tcPr>
          <w:p w:rsidR="00891A96" w:rsidRPr="009907EE" w:rsidRDefault="00891A96" w:rsidP="00891A96">
            <w:pPr>
              <w:jc w:val="right"/>
              <w:rPr>
                <w:rFonts w:cs="Calibri"/>
                <w:color w:val="000000"/>
                <w:sz w:val="18"/>
                <w:szCs w:val="18"/>
                <w:lang w:eastAsia="en-GB"/>
              </w:rPr>
            </w:pPr>
            <w:r w:rsidRPr="009907EE">
              <w:rPr>
                <w:rFonts w:cs="Calibri"/>
                <w:color w:val="000000"/>
                <w:sz w:val="18"/>
                <w:szCs w:val="18"/>
                <w:lang w:eastAsia="en-GB"/>
              </w:rPr>
              <w:t>93.1</w:t>
            </w:r>
          </w:p>
        </w:tc>
        <w:tc>
          <w:tcPr>
            <w:tcW w:w="960" w:type="dxa"/>
            <w:gridSpan w:val="2"/>
            <w:tcBorders>
              <w:top w:val="nil"/>
              <w:left w:val="nil"/>
              <w:bottom w:val="single" w:sz="8" w:space="0" w:color="auto"/>
              <w:right w:val="single" w:sz="8" w:space="0" w:color="auto"/>
            </w:tcBorders>
            <w:shd w:val="clear" w:color="auto" w:fill="auto"/>
            <w:noWrap/>
            <w:vAlign w:val="center"/>
            <w:hideMark/>
          </w:tcPr>
          <w:p w:rsidR="00891A96" w:rsidRPr="009907EE" w:rsidRDefault="00891A96" w:rsidP="00891A96">
            <w:pPr>
              <w:jc w:val="right"/>
              <w:rPr>
                <w:rFonts w:cs="Calibri"/>
                <w:color w:val="000000"/>
                <w:sz w:val="18"/>
                <w:szCs w:val="18"/>
                <w:lang w:eastAsia="en-GB"/>
              </w:rPr>
            </w:pPr>
            <w:r w:rsidRPr="009907EE">
              <w:rPr>
                <w:rFonts w:cs="Calibri"/>
                <w:color w:val="000000"/>
                <w:sz w:val="18"/>
                <w:szCs w:val="18"/>
                <w:lang w:eastAsia="en-GB"/>
              </w:rPr>
              <w:t>0.0</w:t>
            </w:r>
          </w:p>
        </w:tc>
        <w:tc>
          <w:tcPr>
            <w:tcW w:w="960" w:type="dxa"/>
            <w:gridSpan w:val="2"/>
            <w:tcBorders>
              <w:top w:val="nil"/>
              <w:left w:val="nil"/>
              <w:bottom w:val="single" w:sz="8" w:space="0" w:color="auto"/>
              <w:right w:val="single" w:sz="8" w:space="0" w:color="auto"/>
            </w:tcBorders>
            <w:shd w:val="clear" w:color="auto" w:fill="auto"/>
            <w:noWrap/>
            <w:vAlign w:val="center"/>
            <w:hideMark/>
          </w:tcPr>
          <w:p w:rsidR="00891A96" w:rsidRPr="009907EE" w:rsidRDefault="00891A96" w:rsidP="00891A96">
            <w:pPr>
              <w:jc w:val="right"/>
              <w:rPr>
                <w:rFonts w:cs="Calibri"/>
                <w:color w:val="000000"/>
                <w:sz w:val="18"/>
                <w:szCs w:val="18"/>
                <w:lang w:eastAsia="en-GB"/>
              </w:rPr>
            </w:pPr>
            <w:r w:rsidRPr="009907EE">
              <w:rPr>
                <w:rFonts w:cs="Calibri"/>
                <w:color w:val="000000"/>
                <w:sz w:val="18"/>
                <w:szCs w:val="18"/>
                <w:lang w:eastAsia="en-GB"/>
              </w:rPr>
              <w:t>0.0</w:t>
            </w:r>
          </w:p>
        </w:tc>
        <w:tc>
          <w:tcPr>
            <w:tcW w:w="960" w:type="dxa"/>
            <w:gridSpan w:val="2"/>
            <w:tcBorders>
              <w:top w:val="nil"/>
              <w:left w:val="nil"/>
              <w:bottom w:val="single" w:sz="8" w:space="0" w:color="auto"/>
              <w:right w:val="single" w:sz="8" w:space="0" w:color="auto"/>
            </w:tcBorders>
            <w:shd w:val="clear" w:color="auto" w:fill="auto"/>
            <w:noWrap/>
            <w:vAlign w:val="center"/>
            <w:hideMark/>
          </w:tcPr>
          <w:p w:rsidR="00891A96" w:rsidRPr="009907EE" w:rsidRDefault="00891A96" w:rsidP="00891A96">
            <w:pPr>
              <w:jc w:val="right"/>
              <w:rPr>
                <w:rFonts w:cs="Calibri"/>
                <w:color w:val="000000"/>
                <w:sz w:val="18"/>
                <w:szCs w:val="18"/>
                <w:lang w:eastAsia="en-GB"/>
              </w:rPr>
            </w:pPr>
            <w:r w:rsidRPr="009907EE">
              <w:rPr>
                <w:rFonts w:cs="Calibri"/>
                <w:color w:val="000000"/>
                <w:sz w:val="18"/>
                <w:szCs w:val="18"/>
                <w:lang w:eastAsia="en-GB"/>
              </w:rPr>
              <w:t>(0.1)</w:t>
            </w:r>
          </w:p>
        </w:tc>
        <w:tc>
          <w:tcPr>
            <w:tcW w:w="1175" w:type="dxa"/>
            <w:gridSpan w:val="2"/>
            <w:tcBorders>
              <w:top w:val="nil"/>
              <w:left w:val="nil"/>
              <w:bottom w:val="single" w:sz="8" w:space="0" w:color="auto"/>
              <w:right w:val="single" w:sz="8" w:space="0" w:color="auto"/>
            </w:tcBorders>
            <w:shd w:val="clear" w:color="auto" w:fill="auto"/>
            <w:noWrap/>
            <w:vAlign w:val="center"/>
            <w:hideMark/>
          </w:tcPr>
          <w:p w:rsidR="00891A96" w:rsidRPr="009907EE" w:rsidRDefault="00891A96" w:rsidP="00891A96">
            <w:pPr>
              <w:jc w:val="right"/>
              <w:rPr>
                <w:rFonts w:cs="Calibri"/>
                <w:color w:val="000000"/>
                <w:sz w:val="18"/>
                <w:szCs w:val="18"/>
                <w:lang w:eastAsia="en-GB"/>
              </w:rPr>
            </w:pPr>
            <w:r w:rsidRPr="009907EE">
              <w:rPr>
                <w:rFonts w:cs="Calibri"/>
                <w:color w:val="000000"/>
                <w:sz w:val="18"/>
                <w:szCs w:val="18"/>
                <w:lang w:eastAsia="en-GB"/>
              </w:rPr>
              <w:t>0.0</w:t>
            </w:r>
          </w:p>
        </w:tc>
        <w:tc>
          <w:tcPr>
            <w:tcW w:w="960" w:type="dxa"/>
            <w:gridSpan w:val="2"/>
            <w:tcBorders>
              <w:top w:val="nil"/>
              <w:left w:val="nil"/>
              <w:bottom w:val="single" w:sz="8" w:space="0" w:color="auto"/>
              <w:right w:val="single" w:sz="8" w:space="0" w:color="auto"/>
            </w:tcBorders>
            <w:shd w:val="clear" w:color="auto" w:fill="auto"/>
            <w:noWrap/>
            <w:vAlign w:val="center"/>
            <w:hideMark/>
          </w:tcPr>
          <w:p w:rsidR="00891A96" w:rsidRPr="009907EE" w:rsidRDefault="00891A96" w:rsidP="00891A96">
            <w:pPr>
              <w:jc w:val="right"/>
              <w:rPr>
                <w:rFonts w:cs="Calibri"/>
                <w:b/>
                <w:bCs/>
                <w:color w:val="000000"/>
                <w:sz w:val="18"/>
                <w:szCs w:val="18"/>
                <w:lang w:eastAsia="en-GB"/>
              </w:rPr>
            </w:pPr>
            <w:r w:rsidRPr="009907EE">
              <w:rPr>
                <w:rFonts w:cs="Calibri"/>
                <w:b/>
                <w:bCs/>
                <w:color w:val="000000"/>
                <w:sz w:val="18"/>
                <w:szCs w:val="18"/>
                <w:lang w:eastAsia="en-GB"/>
              </w:rPr>
              <w:t>98.9</w:t>
            </w:r>
          </w:p>
        </w:tc>
        <w:tc>
          <w:tcPr>
            <w:tcW w:w="960" w:type="dxa"/>
            <w:gridSpan w:val="2"/>
            <w:tcBorders>
              <w:top w:val="nil"/>
              <w:left w:val="nil"/>
              <w:bottom w:val="single" w:sz="8" w:space="0" w:color="auto"/>
              <w:right w:val="single" w:sz="8" w:space="0" w:color="auto"/>
            </w:tcBorders>
            <w:shd w:val="clear" w:color="auto" w:fill="auto"/>
            <w:noWrap/>
            <w:vAlign w:val="center"/>
            <w:hideMark/>
          </w:tcPr>
          <w:p w:rsidR="00891A96" w:rsidRPr="009907EE" w:rsidRDefault="00891A96" w:rsidP="00891A96">
            <w:pPr>
              <w:jc w:val="right"/>
              <w:rPr>
                <w:rFonts w:cs="Calibri"/>
                <w:color w:val="000000"/>
                <w:sz w:val="18"/>
                <w:szCs w:val="18"/>
                <w:lang w:eastAsia="en-GB"/>
              </w:rPr>
            </w:pPr>
            <w:r w:rsidRPr="009907EE">
              <w:rPr>
                <w:rFonts w:cs="Calibri"/>
                <w:color w:val="000000"/>
                <w:sz w:val="18"/>
                <w:szCs w:val="18"/>
                <w:lang w:eastAsia="en-GB"/>
              </w:rPr>
              <w:t>13.4</w:t>
            </w:r>
          </w:p>
        </w:tc>
      </w:tr>
      <w:tr w:rsidR="00891A96" w:rsidRPr="009907EE" w:rsidTr="00891A96">
        <w:trPr>
          <w:gridAfter w:val="1"/>
          <w:wAfter w:w="9" w:type="dxa"/>
          <w:trHeight w:val="451"/>
        </w:trPr>
        <w:tc>
          <w:tcPr>
            <w:tcW w:w="2825" w:type="dxa"/>
            <w:tcBorders>
              <w:top w:val="nil"/>
              <w:left w:val="single" w:sz="8" w:space="0" w:color="auto"/>
              <w:bottom w:val="single" w:sz="8" w:space="0" w:color="auto"/>
              <w:right w:val="single" w:sz="8" w:space="0" w:color="auto"/>
            </w:tcBorders>
            <w:shd w:val="clear" w:color="auto" w:fill="auto"/>
            <w:vAlign w:val="center"/>
            <w:hideMark/>
          </w:tcPr>
          <w:p w:rsidR="00891A96" w:rsidRPr="009907EE" w:rsidRDefault="00891A96" w:rsidP="00891A96">
            <w:pPr>
              <w:rPr>
                <w:rFonts w:cs="Calibri"/>
                <w:color w:val="000000"/>
                <w:sz w:val="18"/>
                <w:szCs w:val="18"/>
                <w:lang w:eastAsia="en-GB"/>
              </w:rPr>
            </w:pPr>
            <w:r w:rsidRPr="009907EE">
              <w:rPr>
                <w:rFonts w:cs="Calibri"/>
                <w:color w:val="000000"/>
                <w:sz w:val="18"/>
                <w:szCs w:val="18"/>
                <w:lang w:eastAsia="en-GB"/>
              </w:rPr>
              <w:t>Revaluation increases (decreases) in the Surplus / Deficit on the Provision of Services</w:t>
            </w:r>
          </w:p>
        </w:tc>
        <w:tc>
          <w:tcPr>
            <w:tcW w:w="960" w:type="dxa"/>
            <w:tcBorders>
              <w:top w:val="nil"/>
              <w:left w:val="nil"/>
              <w:bottom w:val="single" w:sz="8" w:space="0" w:color="auto"/>
              <w:right w:val="nil"/>
            </w:tcBorders>
            <w:shd w:val="clear" w:color="auto" w:fill="auto"/>
            <w:noWrap/>
            <w:vAlign w:val="center"/>
            <w:hideMark/>
          </w:tcPr>
          <w:p w:rsidR="00891A96" w:rsidRPr="009907EE" w:rsidRDefault="00891A96" w:rsidP="00891A96">
            <w:pPr>
              <w:jc w:val="right"/>
              <w:rPr>
                <w:rFonts w:cs="Calibri"/>
                <w:color w:val="000000"/>
                <w:sz w:val="18"/>
                <w:szCs w:val="18"/>
                <w:lang w:eastAsia="en-GB"/>
              </w:rPr>
            </w:pPr>
            <w:r w:rsidRPr="009907EE">
              <w:rPr>
                <w:rFonts w:cs="Calibri"/>
                <w:color w:val="000000"/>
                <w:sz w:val="18"/>
                <w:szCs w:val="18"/>
                <w:lang w:eastAsia="en-GB"/>
              </w:rPr>
              <w:t>(32.3)</w:t>
            </w:r>
          </w:p>
        </w:tc>
        <w:tc>
          <w:tcPr>
            <w:tcW w:w="960" w:type="dxa"/>
            <w:gridSpan w:val="2"/>
            <w:tcBorders>
              <w:top w:val="nil"/>
              <w:left w:val="single" w:sz="8" w:space="0" w:color="auto"/>
              <w:bottom w:val="single" w:sz="8" w:space="0" w:color="auto"/>
              <w:right w:val="single" w:sz="8" w:space="0" w:color="auto"/>
            </w:tcBorders>
            <w:shd w:val="clear" w:color="auto" w:fill="auto"/>
            <w:noWrap/>
            <w:vAlign w:val="center"/>
            <w:hideMark/>
          </w:tcPr>
          <w:p w:rsidR="00891A96" w:rsidRPr="009907EE" w:rsidRDefault="00891A96" w:rsidP="00891A96">
            <w:pPr>
              <w:jc w:val="right"/>
              <w:rPr>
                <w:rFonts w:cs="Calibri"/>
                <w:color w:val="000000"/>
                <w:sz w:val="18"/>
                <w:szCs w:val="18"/>
                <w:lang w:eastAsia="en-GB"/>
              </w:rPr>
            </w:pPr>
            <w:r w:rsidRPr="009907EE">
              <w:rPr>
                <w:rFonts w:cs="Calibri"/>
                <w:color w:val="000000"/>
                <w:sz w:val="18"/>
                <w:szCs w:val="18"/>
                <w:lang w:eastAsia="en-GB"/>
              </w:rPr>
              <w:t>(14.5)</w:t>
            </w:r>
          </w:p>
        </w:tc>
        <w:tc>
          <w:tcPr>
            <w:tcW w:w="960" w:type="dxa"/>
            <w:gridSpan w:val="2"/>
            <w:tcBorders>
              <w:top w:val="nil"/>
              <w:left w:val="nil"/>
              <w:bottom w:val="single" w:sz="8" w:space="0" w:color="auto"/>
              <w:right w:val="single" w:sz="8" w:space="0" w:color="auto"/>
            </w:tcBorders>
            <w:shd w:val="clear" w:color="auto" w:fill="auto"/>
            <w:noWrap/>
            <w:vAlign w:val="center"/>
            <w:hideMark/>
          </w:tcPr>
          <w:p w:rsidR="00891A96" w:rsidRPr="009907EE" w:rsidRDefault="00891A96" w:rsidP="00891A96">
            <w:pPr>
              <w:jc w:val="right"/>
              <w:rPr>
                <w:rFonts w:cs="Calibri"/>
                <w:color w:val="000000"/>
                <w:sz w:val="18"/>
                <w:szCs w:val="18"/>
                <w:lang w:eastAsia="en-GB"/>
              </w:rPr>
            </w:pPr>
            <w:r w:rsidRPr="009907EE">
              <w:rPr>
                <w:rFonts w:cs="Calibri"/>
                <w:color w:val="000000"/>
                <w:sz w:val="18"/>
                <w:szCs w:val="18"/>
                <w:lang w:eastAsia="en-GB"/>
              </w:rPr>
              <w:t>0.0</w:t>
            </w:r>
          </w:p>
        </w:tc>
        <w:tc>
          <w:tcPr>
            <w:tcW w:w="960" w:type="dxa"/>
            <w:gridSpan w:val="2"/>
            <w:tcBorders>
              <w:top w:val="nil"/>
              <w:left w:val="nil"/>
              <w:bottom w:val="single" w:sz="8" w:space="0" w:color="auto"/>
              <w:right w:val="single" w:sz="8" w:space="0" w:color="auto"/>
            </w:tcBorders>
            <w:shd w:val="clear" w:color="auto" w:fill="auto"/>
            <w:noWrap/>
            <w:vAlign w:val="center"/>
            <w:hideMark/>
          </w:tcPr>
          <w:p w:rsidR="00891A96" w:rsidRPr="009907EE" w:rsidRDefault="00891A96" w:rsidP="00891A96">
            <w:pPr>
              <w:jc w:val="right"/>
              <w:rPr>
                <w:rFonts w:cs="Calibri"/>
                <w:color w:val="000000"/>
                <w:sz w:val="18"/>
                <w:szCs w:val="18"/>
                <w:lang w:eastAsia="en-GB"/>
              </w:rPr>
            </w:pPr>
            <w:r w:rsidRPr="009907EE">
              <w:rPr>
                <w:rFonts w:cs="Calibri"/>
                <w:color w:val="000000"/>
                <w:sz w:val="18"/>
                <w:szCs w:val="18"/>
                <w:lang w:eastAsia="en-GB"/>
              </w:rPr>
              <w:t>0.0</w:t>
            </w:r>
          </w:p>
        </w:tc>
        <w:tc>
          <w:tcPr>
            <w:tcW w:w="960" w:type="dxa"/>
            <w:gridSpan w:val="2"/>
            <w:tcBorders>
              <w:top w:val="nil"/>
              <w:left w:val="nil"/>
              <w:bottom w:val="single" w:sz="8" w:space="0" w:color="auto"/>
              <w:right w:val="single" w:sz="8" w:space="0" w:color="auto"/>
            </w:tcBorders>
            <w:shd w:val="clear" w:color="auto" w:fill="auto"/>
            <w:noWrap/>
            <w:vAlign w:val="center"/>
            <w:hideMark/>
          </w:tcPr>
          <w:p w:rsidR="00891A96" w:rsidRPr="009907EE" w:rsidRDefault="00891A96" w:rsidP="00891A96">
            <w:pPr>
              <w:jc w:val="right"/>
              <w:rPr>
                <w:rFonts w:cs="Calibri"/>
                <w:color w:val="000000"/>
                <w:sz w:val="18"/>
                <w:szCs w:val="18"/>
                <w:lang w:eastAsia="en-GB"/>
              </w:rPr>
            </w:pPr>
            <w:r w:rsidRPr="009907EE">
              <w:rPr>
                <w:rFonts w:cs="Calibri"/>
                <w:color w:val="000000"/>
                <w:sz w:val="18"/>
                <w:szCs w:val="18"/>
                <w:lang w:eastAsia="en-GB"/>
              </w:rPr>
              <w:t>0.0</w:t>
            </w:r>
          </w:p>
        </w:tc>
        <w:tc>
          <w:tcPr>
            <w:tcW w:w="1175" w:type="dxa"/>
            <w:gridSpan w:val="2"/>
            <w:tcBorders>
              <w:top w:val="nil"/>
              <w:left w:val="nil"/>
              <w:bottom w:val="single" w:sz="8" w:space="0" w:color="auto"/>
              <w:right w:val="single" w:sz="8" w:space="0" w:color="auto"/>
            </w:tcBorders>
            <w:shd w:val="clear" w:color="auto" w:fill="auto"/>
            <w:noWrap/>
            <w:vAlign w:val="center"/>
            <w:hideMark/>
          </w:tcPr>
          <w:p w:rsidR="00891A96" w:rsidRPr="009907EE" w:rsidRDefault="00891A96" w:rsidP="00891A96">
            <w:pPr>
              <w:jc w:val="right"/>
              <w:rPr>
                <w:rFonts w:cs="Calibri"/>
                <w:color w:val="000000"/>
                <w:sz w:val="18"/>
                <w:szCs w:val="18"/>
                <w:lang w:eastAsia="en-GB"/>
              </w:rPr>
            </w:pPr>
            <w:r w:rsidRPr="009907EE">
              <w:rPr>
                <w:rFonts w:cs="Calibri"/>
                <w:color w:val="000000"/>
                <w:sz w:val="18"/>
                <w:szCs w:val="18"/>
                <w:lang w:eastAsia="en-GB"/>
              </w:rPr>
              <w:t>0.0</w:t>
            </w:r>
          </w:p>
        </w:tc>
        <w:tc>
          <w:tcPr>
            <w:tcW w:w="960" w:type="dxa"/>
            <w:gridSpan w:val="2"/>
            <w:tcBorders>
              <w:top w:val="nil"/>
              <w:left w:val="nil"/>
              <w:bottom w:val="single" w:sz="8" w:space="0" w:color="auto"/>
              <w:right w:val="single" w:sz="8" w:space="0" w:color="auto"/>
            </w:tcBorders>
            <w:shd w:val="clear" w:color="auto" w:fill="auto"/>
            <w:noWrap/>
            <w:vAlign w:val="center"/>
            <w:hideMark/>
          </w:tcPr>
          <w:p w:rsidR="00891A96" w:rsidRPr="009907EE" w:rsidRDefault="00891A96" w:rsidP="00891A96">
            <w:pPr>
              <w:jc w:val="right"/>
              <w:rPr>
                <w:rFonts w:cs="Calibri"/>
                <w:b/>
                <w:bCs/>
                <w:color w:val="000000"/>
                <w:sz w:val="18"/>
                <w:szCs w:val="18"/>
                <w:lang w:eastAsia="en-GB"/>
              </w:rPr>
            </w:pPr>
            <w:r w:rsidRPr="009907EE">
              <w:rPr>
                <w:rFonts w:cs="Calibri"/>
                <w:b/>
                <w:bCs/>
                <w:color w:val="000000"/>
                <w:sz w:val="18"/>
                <w:szCs w:val="18"/>
                <w:lang w:eastAsia="en-GB"/>
              </w:rPr>
              <w:t>(46.8)</w:t>
            </w:r>
          </w:p>
        </w:tc>
        <w:tc>
          <w:tcPr>
            <w:tcW w:w="960" w:type="dxa"/>
            <w:gridSpan w:val="2"/>
            <w:tcBorders>
              <w:top w:val="nil"/>
              <w:left w:val="nil"/>
              <w:bottom w:val="single" w:sz="8" w:space="0" w:color="auto"/>
              <w:right w:val="single" w:sz="8" w:space="0" w:color="auto"/>
            </w:tcBorders>
            <w:shd w:val="clear" w:color="auto" w:fill="auto"/>
            <w:noWrap/>
            <w:vAlign w:val="center"/>
            <w:hideMark/>
          </w:tcPr>
          <w:p w:rsidR="00891A96" w:rsidRPr="009907EE" w:rsidRDefault="00891A96" w:rsidP="00891A96">
            <w:pPr>
              <w:jc w:val="right"/>
              <w:rPr>
                <w:rFonts w:cs="Calibri"/>
                <w:color w:val="000000"/>
                <w:sz w:val="18"/>
                <w:szCs w:val="18"/>
                <w:lang w:eastAsia="en-GB"/>
              </w:rPr>
            </w:pPr>
            <w:r w:rsidRPr="009907EE">
              <w:rPr>
                <w:rFonts w:cs="Calibri"/>
                <w:color w:val="000000"/>
                <w:sz w:val="18"/>
                <w:szCs w:val="18"/>
                <w:lang w:eastAsia="en-GB"/>
              </w:rPr>
              <w:t>0.0</w:t>
            </w:r>
          </w:p>
        </w:tc>
      </w:tr>
      <w:tr w:rsidR="00891A96" w:rsidRPr="009907EE" w:rsidTr="00891A96">
        <w:trPr>
          <w:gridAfter w:val="1"/>
          <w:wAfter w:w="9" w:type="dxa"/>
          <w:trHeight w:val="495"/>
        </w:trPr>
        <w:tc>
          <w:tcPr>
            <w:tcW w:w="2825" w:type="dxa"/>
            <w:tcBorders>
              <w:top w:val="nil"/>
              <w:left w:val="single" w:sz="8" w:space="0" w:color="auto"/>
              <w:bottom w:val="single" w:sz="8" w:space="0" w:color="auto"/>
              <w:right w:val="single" w:sz="8" w:space="0" w:color="auto"/>
            </w:tcBorders>
            <w:shd w:val="clear" w:color="auto" w:fill="auto"/>
            <w:vAlign w:val="center"/>
            <w:hideMark/>
          </w:tcPr>
          <w:p w:rsidR="00891A96" w:rsidRPr="009907EE" w:rsidRDefault="00891A96" w:rsidP="00891A96">
            <w:pPr>
              <w:rPr>
                <w:rFonts w:cs="Calibri"/>
                <w:color w:val="000000"/>
                <w:sz w:val="18"/>
                <w:szCs w:val="18"/>
                <w:lang w:eastAsia="en-GB"/>
              </w:rPr>
            </w:pPr>
            <w:r w:rsidRPr="009907EE">
              <w:rPr>
                <w:rFonts w:cs="Calibri"/>
                <w:color w:val="000000"/>
                <w:sz w:val="18"/>
                <w:szCs w:val="18"/>
                <w:lang w:eastAsia="en-GB"/>
              </w:rPr>
              <w:t>Derecognition - Disposals</w:t>
            </w:r>
          </w:p>
        </w:tc>
        <w:tc>
          <w:tcPr>
            <w:tcW w:w="960" w:type="dxa"/>
            <w:tcBorders>
              <w:top w:val="nil"/>
              <w:left w:val="nil"/>
              <w:bottom w:val="single" w:sz="8" w:space="0" w:color="auto"/>
              <w:right w:val="nil"/>
            </w:tcBorders>
            <w:shd w:val="clear" w:color="auto" w:fill="auto"/>
            <w:noWrap/>
            <w:vAlign w:val="center"/>
            <w:hideMark/>
          </w:tcPr>
          <w:p w:rsidR="00891A96" w:rsidRPr="009907EE" w:rsidRDefault="00891A96" w:rsidP="00891A96">
            <w:pPr>
              <w:jc w:val="right"/>
              <w:rPr>
                <w:rFonts w:cs="Calibri"/>
                <w:color w:val="000000"/>
                <w:sz w:val="18"/>
                <w:szCs w:val="18"/>
                <w:lang w:eastAsia="en-GB"/>
              </w:rPr>
            </w:pPr>
            <w:r w:rsidRPr="009907EE">
              <w:rPr>
                <w:rFonts w:cs="Calibri"/>
                <w:color w:val="000000"/>
                <w:sz w:val="18"/>
                <w:szCs w:val="18"/>
                <w:lang w:eastAsia="en-GB"/>
              </w:rPr>
              <w:t>(1.5)</w:t>
            </w:r>
          </w:p>
        </w:tc>
        <w:tc>
          <w:tcPr>
            <w:tcW w:w="960" w:type="dxa"/>
            <w:gridSpan w:val="2"/>
            <w:tcBorders>
              <w:top w:val="nil"/>
              <w:left w:val="single" w:sz="8" w:space="0" w:color="auto"/>
              <w:bottom w:val="single" w:sz="8" w:space="0" w:color="auto"/>
              <w:right w:val="single" w:sz="8" w:space="0" w:color="auto"/>
            </w:tcBorders>
            <w:shd w:val="clear" w:color="auto" w:fill="auto"/>
            <w:noWrap/>
            <w:vAlign w:val="center"/>
            <w:hideMark/>
          </w:tcPr>
          <w:p w:rsidR="00891A96" w:rsidRPr="009907EE" w:rsidRDefault="00891A96" w:rsidP="00891A96">
            <w:pPr>
              <w:jc w:val="right"/>
              <w:rPr>
                <w:rFonts w:cs="Calibri"/>
                <w:color w:val="000000"/>
                <w:sz w:val="18"/>
                <w:szCs w:val="18"/>
                <w:lang w:eastAsia="en-GB"/>
              </w:rPr>
            </w:pPr>
            <w:r w:rsidRPr="009907EE">
              <w:rPr>
                <w:rFonts w:cs="Calibri"/>
                <w:color w:val="000000"/>
                <w:sz w:val="18"/>
                <w:szCs w:val="18"/>
                <w:lang w:eastAsia="en-GB"/>
              </w:rPr>
              <w:t>(61.7)</w:t>
            </w:r>
          </w:p>
        </w:tc>
        <w:tc>
          <w:tcPr>
            <w:tcW w:w="960" w:type="dxa"/>
            <w:gridSpan w:val="2"/>
            <w:tcBorders>
              <w:top w:val="nil"/>
              <w:left w:val="nil"/>
              <w:bottom w:val="single" w:sz="8" w:space="0" w:color="auto"/>
              <w:right w:val="single" w:sz="8" w:space="0" w:color="auto"/>
            </w:tcBorders>
            <w:shd w:val="clear" w:color="auto" w:fill="auto"/>
            <w:noWrap/>
            <w:vAlign w:val="center"/>
            <w:hideMark/>
          </w:tcPr>
          <w:p w:rsidR="00891A96" w:rsidRPr="009907EE" w:rsidRDefault="00891A96" w:rsidP="00891A96">
            <w:pPr>
              <w:jc w:val="right"/>
              <w:rPr>
                <w:rFonts w:cs="Calibri"/>
                <w:color w:val="000000"/>
                <w:sz w:val="18"/>
                <w:szCs w:val="18"/>
                <w:lang w:eastAsia="en-GB"/>
              </w:rPr>
            </w:pPr>
            <w:r w:rsidRPr="009907EE">
              <w:rPr>
                <w:rFonts w:cs="Calibri"/>
                <w:color w:val="000000"/>
                <w:sz w:val="18"/>
                <w:szCs w:val="18"/>
                <w:lang w:eastAsia="en-GB"/>
              </w:rPr>
              <w:t>(2.5)</w:t>
            </w:r>
          </w:p>
        </w:tc>
        <w:tc>
          <w:tcPr>
            <w:tcW w:w="960" w:type="dxa"/>
            <w:gridSpan w:val="2"/>
            <w:tcBorders>
              <w:top w:val="nil"/>
              <w:left w:val="nil"/>
              <w:bottom w:val="single" w:sz="8" w:space="0" w:color="auto"/>
              <w:right w:val="single" w:sz="8" w:space="0" w:color="auto"/>
            </w:tcBorders>
            <w:shd w:val="clear" w:color="auto" w:fill="auto"/>
            <w:noWrap/>
            <w:vAlign w:val="center"/>
            <w:hideMark/>
          </w:tcPr>
          <w:p w:rsidR="00891A96" w:rsidRPr="009907EE" w:rsidRDefault="00891A96" w:rsidP="00891A96">
            <w:pPr>
              <w:jc w:val="right"/>
              <w:rPr>
                <w:rFonts w:cs="Calibri"/>
                <w:color w:val="000000"/>
                <w:sz w:val="18"/>
                <w:szCs w:val="18"/>
                <w:lang w:eastAsia="en-GB"/>
              </w:rPr>
            </w:pPr>
            <w:r w:rsidRPr="009907EE">
              <w:rPr>
                <w:rFonts w:cs="Calibri"/>
                <w:color w:val="000000"/>
                <w:sz w:val="18"/>
                <w:szCs w:val="18"/>
                <w:lang w:eastAsia="en-GB"/>
              </w:rPr>
              <w:t>0.0</w:t>
            </w:r>
          </w:p>
        </w:tc>
        <w:tc>
          <w:tcPr>
            <w:tcW w:w="960" w:type="dxa"/>
            <w:gridSpan w:val="2"/>
            <w:tcBorders>
              <w:top w:val="nil"/>
              <w:left w:val="nil"/>
              <w:bottom w:val="single" w:sz="8" w:space="0" w:color="auto"/>
              <w:right w:val="single" w:sz="8" w:space="0" w:color="auto"/>
            </w:tcBorders>
            <w:shd w:val="clear" w:color="auto" w:fill="auto"/>
            <w:noWrap/>
            <w:vAlign w:val="center"/>
            <w:hideMark/>
          </w:tcPr>
          <w:p w:rsidR="00891A96" w:rsidRPr="009907EE" w:rsidRDefault="00891A96" w:rsidP="00891A96">
            <w:pPr>
              <w:jc w:val="right"/>
              <w:rPr>
                <w:rFonts w:cs="Calibri"/>
                <w:color w:val="000000"/>
                <w:sz w:val="18"/>
                <w:szCs w:val="18"/>
                <w:lang w:eastAsia="en-GB"/>
              </w:rPr>
            </w:pPr>
            <w:r w:rsidRPr="009907EE">
              <w:rPr>
                <w:rFonts w:cs="Calibri"/>
                <w:color w:val="000000"/>
                <w:sz w:val="18"/>
                <w:szCs w:val="18"/>
                <w:lang w:eastAsia="en-GB"/>
              </w:rPr>
              <w:t>0.0</w:t>
            </w:r>
          </w:p>
        </w:tc>
        <w:tc>
          <w:tcPr>
            <w:tcW w:w="1175" w:type="dxa"/>
            <w:gridSpan w:val="2"/>
            <w:tcBorders>
              <w:top w:val="nil"/>
              <w:left w:val="nil"/>
              <w:bottom w:val="single" w:sz="8" w:space="0" w:color="auto"/>
              <w:right w:val="single" w:sz="8" w:space="0" w:color="auto"/>
            </w:tcBorders>
            <w:shd w:val="clear" w:color="auto" w:fill="auto"/>
            <w:noWrap/>
            <w:vAlign w:val="center"/>
            <w:hideMark/>
          </w:tcPr>
          <w:p w:rsidR="00891A96" w:rsidRPr="009907EE" w:rsidRDefault="00891A96" w:rsidP="00891A96">
            <w:pPr>
              <w:jc w:val="right"/>
              <w:rPr>
                <w:rFonts w:cs="Calibri"/>
                <w:color w:val="000000"/>
                <w:sz w:val="18"/>
                <w:szCs w:val="18"/>
                <w:lang w:eastAsia="en-GB"/>
              </w:rPr>
            </w:pPr>
            <w:r w:rsidRPr="009907EE">
              <w:rPr>
                <w:rFonts w:cs="Calibri"/>
                <w:color w:val="000000"/>
                <w:sz w:val="18"/>
                <w:szCs w:val="18"/>
                <w:lang w:eastAsia="en-GB"/>
              </w:rPr>
              <w:t>(7.4)</w:t>
            </w:r>
          </w:p>
        </w:tc>
        <w:tc>
          <w:tcPr>
            <w:tcW w:w="960" w:type="dxa"/>
            <w:gridSpan w:val="2"/>
            <w:tcBorders>
              <w:top w:val="nil"/>
              <w:left w:val="nil"/>
              <w:bottom w:val="single" w:sz="8" w:space="0" w:color="auto"/>
              <w:right w:val="single" w:sz="8" w:space="0" w:color="auto"/>
            </w:tcBorders>
            <w:shd w:val="clear" w:color="auto" w:fill="auto"/>
            <w:noWrap/>
            <w:vAlign w:val="center"/>
            <w:hideMark/>
          </w:tcPr>
          <w:p w:rsidR="00891A96" w:rsidRPr="009907EE" w:rsidRDefault="00891A96" w:rsidP="00891A96">
            <w:pPr>
              <w:jc w:val="right"/>
              <w:rPr>
                <w:rFonts w:cs="Calibri"/>
                <w:b/>
                <w:bCs/>
                <w:color w:val="000000"/>
                <w:sz w:val="18"/>
                <w:szCs w:val="18"/>
                <w:lang w:eastAsia="en-GB"/>
              </w:rPr>
            </w:pPr>
            <w:r w:rsidRPr="009907EE">
              <w:rPr>
                <w:rFonts w:cs="Calibri"/>
                <w:b/>
                <w:bCs/>
                <w:color w:val="000000"/>
                <w:sz w:val="18"/>
                <w:szCs w:val="18"/>
                <w:lang w:eastAsia="en-GB"/>
              </w:rPr>
              <w:t>(73.1)</w:t>
            </w:r>
          </w:p>
        </w:tc>
        <w:tc>
          <w:tcPr>
            <w:tcW w:w="960" w:type="dxa"/>
            <w:gridSpan w:val="2"/>
            <w:tcBorders>
              <w:top w:val="nil"/>
              <w:left w:val="nil"/>
              <w:bottom w:val="single" w:sz="8" w:space="0" w:color="auto"/>
              <w:right w:val="single" w:sz="8" w:space="0" w:color="auto"/>
            </w:tcBorders>
            <w:shd w:val="clear" w:color="auto" w:fill="auto"/>
            <w:noWrap/>
            <w:vAlign w:val="center"/>
            <w:hideMark/>
          </w:tcPr>
          <w:p w:rsidR="00891A96" w:rsidRPr="009907EE" w:rsidRDefault="00891A96" w:rsidP="00891A96">
            <w:pPr>
              <w:jc w:val="right"/>
              <w:rPr>
                <w:rFonts w:cs="Calibri"/>
                <w:color w:val="000000"/>
                <w:sz w:val="18"/>
                <w:szCs w:val="18"/>
                <w:lang w:eastAsia="en-GB"/>
              </w:rPr>
            </w:pPr>
            <w:r w:rsidRPr="009907EE">
              <w:rPr>
                <w:rFonts w:cs="Calibri"/>
                <w:color w:val="000000"/>
                <w:sz w:val="18"/>
                <w:szCs w:val="18"/>
                <w:lang w:eastAsia="en-GB"/>
              </w:rPr>
              <w:t>0.0</w:t>
            </w:r>
          </w:p>
        </w:tc>
      </w:tr>
      <w:tr w:rsidR="00891A96" w:rsidRPr="009907EE" w:rsidTr="00891A96">
        <w:trPr>
          <w:gridAfter w:val="1"/>
          <w:wAfter w:w="9" w:type="dxa"/>
          <w:trHeight w:val="75"/>
        </w:trPr>
        <w:tc>
          <w:tcPr>
            <w:tcW w:w="2825" w:type="dxa"/>
            <w:tcBorders>
              <w:top w:val="nil"/>
              <w:left w:val="single" w:sz="8" w:space="0" w:color="auto"/>
              <w:bottom w:val="single" w:sz="8" w:space="0" w:color="auto"/>
              <w:right w:val="single" w:sz="8" w:space="0" w:color="auto"/>
            </w:tcBorders>
            <w:shd w:val="clear" w:color="auto" w:fill="auto"/>
            <w:vAlign w:val="center"/>
            <w:hideMark/>
          </w:tcPr>
          <w:p w:rsidR="00891A96" w:rsidRPr="009907EE" w:rsidRDefault="00891A96" w:rsidP="00891A96">
            <w:pPr>
              <w:rPr>
                <w:rFonts w:cs="Calibri"/>
                <w:color w:val="000000"/>
                <w:sz w:val="18"/>
                <w:szCs w:val="18"/>
                <w:lang w:eastAsia="en-GB"/>
              </w:rPr>
            </w:pPr>
            <w:r w:rsidRPr="009907EE">
              <w:rPr>
                <w:rFonts w:cs="Calibri"/>
                <w:color w:val="000000"/>
                <w:sz w:val="18"/>
                <w:szCs w:val="18"/>
                <w:lang w:eastAsia="en-GB"/>
              </w:rPr>
              <w:t>Reclassifications (to/from Assets Held for Sale)</w:t>
            </w:r>
          </w:p>
        </w:tc>
        <w:tc>
          <w:tcPr>
            <w:tcW w:w="960" w:type="dxa"/>
            <w:tcBorders>
              <w:top w:val="nil"/>
              <w:left w:val="nil"/>
              <w:bottom w:val="single" w:sz="8" w:space="0" w:color="auto"/>
              <w:right w:val="nil"/>
            </w:tcBorders>
            <w:shd w:val="clear" w:color="auto" w:fill="auto"/>
            <w:noWrap/>
            <w:vAlign w:val="center"/>
            <w:hideMark/>
          </w:tcPr>
          <w:p w:rsidR="00891A96" w:rsidRPr="009907EE" w:rsidRDefault="00891A96" w:rsidP="00891A96">
            <w:pPr>
              <w:jc w:val="right"/>
              <w:rPr>
                <w:rFonts w:cs="Calibri"/>
                <w:color w:val="000000"/>
                <w:sz w:val="18"/>
                <w:szCs w:val="18"/>
                <w:lang w:eastAsia="en-GB"/>
              </w:rPr>
            </w:pPr>
            <w:r w:rsidRPr="009907EE">
              <w:rPr>
                <w:rFonts w:cs="Calibri"/>
                <w:color w:val="000000"/>
                <w:sz w:val="18"/>
                <w:szCs w:val="18"/>
                <w:lang w:eastAsia="en-GB"/>
              </w:rPr>
              <w:t>0.0</w:t>
            </w:r>
          </w:p>
        </w:tc>
        <w:tc>
          <w:tcPr>
            <w:tcW w:w="960" w:type="dxa"/>
            <w:gridSpan w:val="2"/>
            <w:tcBorders>
              <w:top w:val="nil"/>
              <w:left w:val="single" w:sz="8" w:space="0" w:color="auto"/>
              <w:bottom w:val="single" w:sz="8" w:space="0" w:color="auto"/>
              <w:right w:val="single" w:sz="8" w:space="0" w:color="auto"/>
            </w:tcBorders>
            <w:shd w:val="clear" w:color="auto" w:fill="auto"/>
            <w:noWrap/>
            <w:vAlign w:val="center"/>
            <w:hideMark/>
          </w:tcPr>
          <w:p w:rsidR="00891A96" w:rsidRPr="009907EE" w:rsidRDefault="00891A96" w:rsidP="00891A96">
            <w:pPr>
              <w:jc w:val="right"/>
              <w:rPr>
                <w:rFonts w:cs="Calibri"/>
                <w:color w:val="000000"/>
                <w:sz w:val="18"/>
                <w:szCs w:val="18"/>
                <w:lang w:eastAsia="en-GB"/>
              </w:rPr>
            </w:pPr>
            <w:r w:rsidRPr="009907EE">
              <w:rPr>
                <w:rFonts w:cs="Calibri"/>
                <w:color w:val="000000"/>
                <w:sz w:val="18"/>
                <w:szCs w:val="18"/>
                <w:lang w:eastAsia="en-GB"/>
              </w:rPr>
              <w:t>0.0</w:t>
            </w:r>
          </w:p>
        </w:tc>
        <w:tc>
          <w:tcPr>
            <w:tcW w:w="960" w:type="dxa"/>
            <w:gridSpan w:val="2"/>
            <w:tcBorders>
              <w:top w:val="nil"/>
              <w:left w:val="nil"/>
              <w:bottom w:val="single" w:sz="8" w:space="0" w:color="auto"/>
              <w:right w:val="single" w:sz="8" w:space="0" w:color="auto"/>
            </w:tcBorders>
            <w:shd w:val="clear" w:color="auto" w:fill="auto"/>
            <w:noWrap/>
            <w:vAlign w:val="center"/>
            <w:hideMark/>
          </w:tcPr>
          <w:p w:rsidR="00891A96" w:rsidRPr="009907EE" w:rsidRDefault="00891A96" w:rsidP="00891A96">
            <w:pPr>
              <w:jc w:val="right"/>
              <w:rPr>
                <w:rFonts w:cs="Calibri"/>
                <w:color w:val="000000"/>
                <w:sz w:val="18"/>
                <w:szCs w:val="18"/>
                <w:lang w:eastAsia="en-GB"/>
              </w:rPr>
            </w:pPr>
            <w:r w:rsidRPr="009907EE">
              <w:rPr>
                <w:rFonts w:cs="Calibri"/>
                <w:color w:val="000000"/>
                <w:sz w:val="18"/>
                <w:szCs w:val="18"/>
                <w:lang w:eastAsia="en-GB"/>
              </w:rPr>
              <w:t>0.0</w:t>
            </w:r>
          </w:p>
        </w:tc>
        <w:tc>
          <w:tcPr>
            <w:tcW w:w="960" w:type="dxa"/>
            <w:gridSpan w:val="2"/>
            <w:tcBorders>
              <w:top w:val="nil"/>
              <w:left w:val="nil"/>
              <w:bottom w:val="single" w:sz="8" w:space="0" w:color="auto"/>
              <w:right w:val="single" w:sz="8" w:space="0" w:color="auto"/>
            </w:tcBorders>
            <w:shd w:val="clear" w:color="auto" w:fill="auto"/>
            <w:noWrap/>
            <w:vAlign w:val="center"/>
            <w:hideMark/>
          </w:tcPr>
          <w:p w:rsidR="00891A96" w:rsidRPr="009907EE" w:rsidRDefault="00891A96" w:rsidP="00891A96">
            <w:pPr>
              <w:jc w:val="right"/>
              <w:rPr>
                <w:rFonts w:cs="Calibri"/>
                <w:color w:val="000000"/>
                <w:sz w:val="18"/>
                <w:szCs w:val="18"/>
                <w:lang w:eastAsia="en-GB"/>
              </w:rPr>
            </w:pPr>
            <w:r w:rsidRPr="009907EE">
              <w:rPr>
                <w:rFonts w:cs="Calibri"/>
                <w:color w:val="000000"/>
                <w:sz w:val="18"/>
                <w:szCs w:val="18"/>
                <w:lang w:eastAsia="en-GB"/>
              </w:rPr>
              <w:t>0.0</w:t>
            </w:r>
          </w:p>
        </w:tc>
        <w:tc>
          <w:tcPr>
            <w:tcW w:w="960" w:type="dxa"/>
            <w:gridSpan w:val="2"/>
            <w:tcBorders>
              <w:top w:val="nil"/>
              <w:left w:val="nil"/>
              <w:bottom w:val="single" w:sz="8" w:space="0" w:color="auto"/>
              <w:right w:val="single" w:sz="8" w:space="0" w:color="auto"/>
            </w:tcBorders>
            <w:shd w:val="clear" w:color="auto" w:fill="auto"/>
            <w:noWrap/>
            <w:vAlign w:val="center"/>
            <w:hideMark/>
          </w:tcPr>
          <w:p w:rsidR="00891A96" w:rsidRPr="009907EE" w:rsidRDefault="00891A96" w:rsidP="00891A96">
            <w:pPr>
              <w:jc w:val="right"/>
              <w:rPr>
                <w:rFonts w:cs="Calibri"/>
                <w:color w:val="000000"/>
                <w:sz w:val="18"/>
                <w:szCs w:val="18"/>
                <w:lang w:eastAsia="en-GB"/>
              </w:rPr>
            </w:pPr>
            <w:r w:rsidRPr="009907EE">
              <w:rPr>
                <w:rFonts w:cs="Calibri"/>
                <w:color w:val="000000"/>
                <w:sz w:val="18"/>
                <w:szCs w:val="18"/>
                <w:lang w:eastAsia="en-GB"/>
              </w:rPr>
              <w:t>0.0</w:t>
            </w:r>
          </w:p>
        </w:tc>
        <w:tc>
          <w:tcPr>
            <w:tcW w:w="1175" w:type="dxa"/>
            <w:gridSpan w:val="2"/>
            <w:tcBorders>
              <w:top w:val="nil"/>
              <w:left w:val="nil"/>
              <w:bottom w:val="single" w:sz="8" w:space="0" w:color="auto"/>
              <w:right w:val="single" w:sz="8" w:space="0" w:color="auto"/>
            </w:tcBorders>
            <w:shd w:val="clear" w:color="auto" w:fill="auto"/>
            <w:noWrap/>
            <w:vAlign w:val="center"/>
            <w:hideMark/>
          </w:tcPr>
          <w:p w:rsidR="00891A96" w:rsidRPr="009907EE" w:rsidRDefault="00891A96" w:rsidP="00891A96">
            <w:pPr>
              <w:jc w:val="right"/>
              <w:rPr>
                <w:rFonts w:cs="Calibri"/>
                <w:color w:val="000000"/>
                <w:sz w:val="18"/>
                <w:szCs w:val="18"/>
                <w:lang w:eastAsia="en-GB"/>
              </w:rPr>
            </w:pPr>
            <w:r w:rsidRPr="009907EE">
              <w:rPr>
                <w:rFonts w:cs="Calibri"/>
                <w:color w:val="000000"/>
                <w:sz w:val="18"/>
                <w:szCs w:val="18"/>
                <w:lang w:eastAsia="en-GB"/>
              </w:rPr>
              <w:t>0.0</w:t>
            </w:r>
          </w:p>
        </w:tc>
        <w:tc>
          <w:tcPr>
            <w:tcW w:w="960" w:type="dxa"/>
            <w:gridSpan w:val="2"/>
            <w:tcBorders>
              <w:top w:val="nil"/>
              <w:left w:val="nil"/>
              <w:bottom w:val="single" w:sz="8" w:space="0" w:color="auto"/>
              <w:right w:val="single" w:sz="8" w:space="0" w:color="auto"/>
            </w:tcBorders>
            <w:shd w:val="clear" w:color="auto" w:fill="auto"/>
            <w:noWrap/>
            <w:vAlign w:val="center"/>
            <w:hideMark/>
          </w:tcPr>
          <w:p w:rsidR="00891A96" w:rsidRPr="009907EE" w:rsidRDefault="00891A96" w:rsidP="00891A96">
            <w:pPr>
              <w:jc w:val="right"/>
              <w:rPr>
                <w:rFonts w:cs="Calibri"/>
                <w:b/>
                <w:bCs/>
                <w:color w:val="000000"/>
                <w:sz w:val="18"/>
                <w:szCs w:val="18"/>
                <w:lang w:eastAsia="en-GB"/>
              </w:rPr>
            </w:pPr>
            <w:r w:rsidRPr="009907EE">
              <w:rPr>
                <w:rFonts w:cs="Calibri"/>
                <w:b/>
                <w:bCs/>
                <w:color w:val="000000"/>
                <w:sz w:val="18"/>
                <w:szCs w:val="18"/>
                <w:lang w:eastAsia="en-GB"/>
              </w:rPr>
              <w:t>0.0</w:t>
            </w:r>
          </w:p>
        </w:tc>
        <w:tc>
          <w:tcPr>
            <w:tcW w:w="960" w:type="dxa"/>
            <w:gridSpan w:val="2"/>
            <w:tcBorders>
              <w:top w:val="nil"/>
              <w:left w:val="nil"/>
              <w:bottom w:val="single" w:sz="8" w:space="0" w:color="auto"/>
              <w:right w:val="single" w:sz="8" w:space="0" w:color="auto"/>
            </w:tcBorders>
            <w:shd w:val="clear" w:color="auto" w:fill="auto"/>
            <w:noWrap/>
            <w:vAlign w:val="center"/>
            <w:hideMark/>
          </w:tcPr>
          <w:p w:rsidR="00891A96" w:rsidRPr="009907EE" w:rsidRDefault="00891A96" w:rsidP="00891A96">
            <w:pPr>
              <w:jc w:val="right"/>
              <w:rPr>
                <w:rFonts w:cs="Calibri"/>
                <w:color w:val="000000"/>
                <w:sz w:val="18"/>
                <w:szCs w:val="18"/>
                <w:lang w:eastAsia="en-GB"/>
              </w:rPr>
            </w:pPr>
            <w:r w:rsidRPr="009907EE">
              <w:rPr>
                <w:rFonts w:cs="Calibri"/>
                <w:color w:val="000000"/>
                <w:sz w:val="18"/>
                <w:szCs w:val="18"/>
                <w:lang w:eastAsia="en-GB"/>
              </w:rPr>
              <w:t>0.0</w:t>
            </w:r>
          </w:p>
        </w:tc>
      </w:tr>
      <w:tr w:rsidR="00891A96" w:rsidRPr="009907EE" w:rsidTr="00891A96">
        <w:trPr>
          <w:gridAfter w:val="1"/>
          <w:wAfter w:w="9" w:type="dxa"/>
          <w:trHeight w:val="495"/>
        </w:trPr>
        <w:tc>
          <w:tcPr>
            <w:tcW w:w="2825" w:type="dxa"/>
            <w:tcBorders>
              <w:top w:val="nil"/>
              <w:left w:val="single" w:sz="8" w:space="0" w:color="auto"/>
              <w:bottom w:val="single" w:sz="8" w:space="0" w:color="auto"/>
              <w:right w:val="single" w:sz="8" w:space="0" w:color="auto"/>
            </w:tcBorders>
            <w:shd w:val="clear" w:color="auto" w:fill="auto"/>
            <w:vAlign w:val="center"/>
            <w:hideMark/>
          </w:tcPr>
          <w:p w:rsidR="00891A96" w:rsidRPr="009907EE" w:rsidRDefault="00891A96" w:rsidP="00891A96">
            <w:pPr>
              <w:rPr>
                <w:rFonts w:cs="Calibri"/>
                <w:color w:val="000000"/>
                <w:sz w:val="18"/>
                <w:szCs w:val="18"/>
                <w:lang w:eastAsia="en-GB"/>
              </w:rPr>
            </w:pPr>
            <w:r w:rsidRPr="009907EE">
              <w:rPr>
                <w:rFonts w:cs="Calibri"/>
                <w:color w:val="000000"/>
                <w:sz w:val="18"/>
                <w:szCs w:val="18"/>
                <w:lang w:eastAsia="en-GB"/>
              </w:rPr>
              <w:t>Other movements in Cost or Valuations</w:t>
            </w:r>
          </w:p>
        </w:tc>
        <w:tc>
          <w:tcPr>
            <w:tcW w:w="960" w:type="dxa"/>
            <w:tcBorders>
              <w:top w:val="nil"/>
              <w:left w:val="nil"/>
              <w:bottom w:val="single" w:sz="8" w:space="0" w:color="auto"/>
              <w:right w:val="nil"/>
            </w:tcBorders>
            <w:shd w:val="clear" w:color="auto" w:fill="auto"/>
            <w:noWrap/>
            <w:vAlign w:val="center"/>
            <w:hideMark/>
          </w:tcPr>
          <w:p w:rsidR="00891A96" w:rsidRPr="009907EE" w:rsidRDefault="00891A96" w:rsidP="00891A96">
            <w:pPr>
              <w:jc w:val="right"/>
              <w:rPr>
                <w:rFonts w:cs="Calibri"/>
                <w:color w:val="000000"/>
                <w:sz w:val="18"/>
                <w:szCs w:val="18"/>
                <w:lang w:eastAsia="en-GB"/>
              </w:rPr>
            </w:pPr>
            <w:r w:rsidRPr="009907EE">
              <w:rPr>
                <w:rFonts w:cs="Calibri"/>
                <w:color w:val="000000"/>
                <w:sz w:val="18"/>
                <w:szCs w:val="18"/>
                <w:lang w:eastAsia="en-GB"/>
              </w:rPr>
              <w:t>(27.9)</w:t>
            </w:r>
          </w:p>
        </w:tc>
        <w:tc>
          <w:tcPr>
            <w:tcW w:w="960" w:type="dxa"/>
            <w:gridSpan w:val="2"/>
            <w:tcBorders>
              <w:top w:val="nil"/>
              <w:left w:val="single" w:sz="8" w:space="0" w:color="auto"/>
              <w:bottom w:val="single" w:sz="8" w:space="0" w:color="auto"/>
              <w:right w:val="single" w:sz="8" w:space="0" w:color="auto"/>
            </w:tcBorders>
            <w:shd w:val="clear" w:color="auto" w:fill="auto"/>
            <w:noWrap/>
            <w:vAlign w:val="center"/>
            <w:hideMark/>
          </w:tcPr>
          <w:p w:rsidR="00891A96" w:rsidRPr="009907EE" w:rsidRDefault="00891A96" w:rsidP="00891A96">
            <w:pPr>
              <w:jc w:val="right"/>
              <w:rPr>
                <w:rFonts w:cs="Calibri"/>
                <w:color w:val="000000"/>
                <w:sz w:val="18"/>
                <w:szCs w:val="18"/>
                <w:lang w:eastAsia="en-GB"/>
              </w:rPr>
            </w:pPr>
            <w:r w:rsidRPr="009907EE">
              <w:rPr>
                <w:rFonts w:cs="Calibri"/>
                <w:color w:val="000000"/>
                <w:sz w:val="18"/>
                <w:szCs w:val="18"/>
                <w:lang w:eastAsia="en-GB"/>
              </w:rPr>
              <w:t>67.0</w:t>
            </w:r>
          </w:p>
        </w:tc>
        <w:tc>
          <w:tcPr>
            <w:tcW w:w="960" w:type="dxa"/>
            <w:gridSpan w:val="2"/>
            <w:tcBorders>
              <w:top w:val="nil"/>
              <w:left w:val="nil"/>
              <w:bottom w:val="single" w:sz="8" w:space="0" w:color="auto"/>
              <w:right w:val="single" w:sz="8" w:space="0" w:color="auto"/>
            </w:tcBorders>
            <w:shd w:val="clear" w:color="auto" w:fill="auto"/>
            <w:noWrap/>
            <w:vAlign w:val="center"/>
            <w:hideMark/>
          </w:tcPr>
          <w:p w:rsidR="00891A96" w:rsidRPr="009907EE" w:rsidRDefault="00891A96" w:rsidP="00891A96">
            <w:pPr>
              <w:jc w:val="right"/>
              <w:rPr>
                <w:rFonts w:cs="Calibri"/>
                <w:color w:val="000000"/>
                <w:sz w:val="18"/>
                <w:szCs w:val="18"/>
                <w:lang w:eastAsia="en-GB"/>
              </w:rPr>
            </w:pPr>
            <w:r w:rsidRPr="009907EE">
              <w:rPr>
                <w:rFonts w:cs="Calibri"/>
                <w:color w:val="000000"/>
                <w:sz w:val="18"/>
                <w:szCs w:val="18"/>
                <w:lang w:eastAsia="en-GB"/>
              </w:rPr>
              <w:t>0.0</w:t>
            </w:r>
          </w:p>
        </w:tc>
        <w:tc>
          <w:tcPr>
            <w:tcW w:w="960" w:type="dxa"/>
            <w:gridSpan w:val="2"/>
            <w:tcBorders>
              <w:top w:val="nil"/>
              <w:left w:val="nil"/>
              <w:bottom w:val="single" w:sz="8" w:space="0" w:color="auto"/>
              <w:right w:val="single" w:sz="8" w:space="0" w:color="auto"/>
            </w:tcBorders>
            <w:shd w:val="clear" w:color="auto" w:fill="auto"/>
            <w:noWrap/>
            <w:vAlign w:val="center"/>
            <w:hideMark/>
          </w:tcPr>
          <w:p w:rsidR="00891A96" w:rsidRPr="009907EE" w:rsidRDefault="00891A96" w:rsidP="00891A96">
            <w:pPr>
              <w:jc w:val="right"/>
              <w:rPr>
                <w:rFonts w:cs="Calibri"/>
                <w:color w:val="000000"/>
                <w:sz w:val="18"/>
                <w:szCs w:val="18"/>
                <w:lang w:eastAsia="en-GB"/>
              </w:rPr>
            </w:pPr>
            <w:r w:rsidRPr="009907EE">
              <w:rPr>
                <w:rFonts w:cs="Calibri"/>
                <w:color w:val="000000"/>
                <w:sz w:val="18"/>
                <w:szCs w:val="18"/>
                <w:lang w:eastAsia="en-GB"/>
              </w:rPr>
              <w:t>0.0</w:t>
            </w:r>
          </w:p>
        </w:tc>
        <w:tc>
          <w:tcPr>
            <w:tcW w:w="960" w:type="dxa"/>
            <w:gridSpan w:val="2"/>
            <w:tcBorders>
              <w:top w:val="nil"/>
              <w:left w:val="nil"/>
              <w:bottom w:val="single" w:sz="8" w:space="0" w:color="auto"/>
              <w:right w:val="single" w:sz="8" w:space="0" w:color="auto"/>
            </w:tcBorders>
            <w:shd w:val="clear" w:color="auto" w:fill="auto"/>
            <w:noWrap/>
            <w:vAlign w:val="center"/>
            <w:hideMark/>
          </w:tcPr>
          <w:p w:rsidR="00891A96" w:rsidRPr="009907EE" w:rsidRDefault="00891A96" w:rsidP="00891A96">
            <w:pPr>
              <w:jc w:val="right"/>
              <w:rPr>
                <w:rFonts w:cs="Calibri"/>
                <w:color w:val="000000"/>
                <w:sz w:val="18"/>
                <w:szCs w:val="18"/>
                <w:lang w:eastAsia="en-GB"/>
              </w:rPr>
            </w:pPr>
            <w:r w:rsidRPr="009907EE">
              <w:rPr>
                <w:rFonts w:cs="Calibri"/>
                <w:color w:val="000000"/>
                <w:sz w:val="18"/>
                <w:szCs w:val="18"/>
                <w:lang w:eastAsia="en-GB"/>
              </w:rPr>
              <w:t>3.7</w:t>
            </w:r>
          </w:p>
        </w:tc>
        <w:tc>
          <w:tcPr>
            <w:tcW w:w="1175" w:type="dxa"/>
            <w:gridSpan w:val="2"/>
            <w:tcBorders>
              <w:top w:val="nil"/>
              <w:left w:val="nil"/>
              <w:bottom w:val="single" w:sz="8" w:space="0" w:color="auto"/>
              <w:right w:val="single" w:sz="8" w:space="0" w:color="auto"/>
            </w:tcBorders>
            <w:shd w:val="clear" w:color="auto" w:fill="auto"/>
            <w:noWrap/>
            <w:vAlign w:val="center"/>
            <w:hideMark/>
          </w:tcPr>
          <w:p w:rsidR="00891A96" w:rsidRPr="009907EE" w:rsidRDefault="00891A96" w:rsidP="00891A96">
            <w:pPr>
              <w:jc w:val="right"/>
              <w:rPr>
                <w:rFonts w:cs="Calibri"/>
                <w:color w:val="000000"/>
                <w:sz w:val="18"/>
                <w:szCs w:val="18"/>
                <w:lang w:eastAsia="en-GB"/>
              </w:rPr>
            </w:pPr>
            <w:r w:rsidRPr="009907EE">
              <w:rPr>
                <w:rFonts w:cs="Calibri"/>
                <w:color w:val="000000"/>
                <w:sz w:val="18"/>
                <w:szCs w:val="18"/>
                <w:lang w:eastAsia="en-GB"/>
              </w:rPr>
              <w:t>(42.8)</w:t>
            </w:r>
          </w:p>
        </w:tc>
        <w:tc>
          <w:tcPr>
            <w:tcW w:w="960" w:type="dxa"/>
            <w:gridSpan w:val="2"/>
            <w:tcBorders>
              <w:top w:val="nil"/>
              <w:left w:val="nil"/>
              <w:bottom w:val="single" w:sz="8" w:space="0" w:color="auto"/>
              <w:right w:val="single" w:sz="8" w:space="0" w:color="auto"/>
            </w:tcBorders>
            <w:shd w:val="clear" w:color="auto" w:fill="auto"/>
            <w:noWrap/>
            <w:vAlign w:val="center"/>
            <w:hideMark/>
          </w:tcPr>
          <w:p w:rsidR="00891A96" w:rsidRPr="009907EE" w:rsidRDefault="00891A96" w:rsidP="00891A96">
            <w:pPr>
              <w:jc w:val="right"/>
              <w:rPr>
                <w:rFonts w:cs="Calibri"/>
                <w:b/>
                <w:bCs/>
                <w:color w:val="000000"/>
                <w:sz w:val="18"/>
                <w:szCs w:val="18"/>
                <w:lang w:eastAsia="en-GB"/>
              </w:rPr>
            </w:pPr>
            <w:r w:rsidRPr="009907EE">
              <w:rPr>
                <w:rFonts w:cs="Calibri"/>
                <w:b/>
                <w:bCs/>
                <w:color w:val="000000"/>
                <w:sz w:val="18"/>
                <w:szCs w:val="18"/>
                <w:lang w:eastAsia="en-GB"/>
              </w:rPr>
              <w:t>0.0</w:t>
            </w:r>
          </w:p>
        </w:tc>
        <w:tc>
          <w:tcPr>
            <w:tcW w:w="960" w:type="dxa"/>
            <w:gridSpan w:val="2"/>
            <w:tcBorders>
              <w:top w:val="nil"/>
              <w:left w:val="nil"/>
              <w:bottom w:val="single" w:sz="8" w:space="0" w:color="auto"/>
              <w:right w:val="single" w:sz="8" w:space="0" w:color="auto"/>
            </w:tcBorders>
            <w:shd w:val="clear" w:color="auto" w:fill="auto"/>
            <w:noWrap/>
            <w:vAlign w:val="center"/>
            <w:hideMark/>
          </w:tcPr>
          <w:p w:rsidR="00891A96" w:rsidRPr="009907EE" w:rsidRDefault="00891A96" w:rsidP="00891A96">
            <w:pPr>
              <w:jc w:val="right"/>
              <w:rPr>
                <w:rFonts w:cs="Calibri"/>
                <w:color w:val="000000"/>
                <w:sz w:val="18"/>
                <w:szCs w:val="18"/>
                <w:lang w:eastAsia="en-GB"/>
              </w:rPr>
            </w:pPr>
            <w:r w:rsidRPr="009907EE">
              <w:rPr>
                <w:rFonts w:cs="Calibri"/>
                <w:color w:val="000000"/>
                <w:sz w:val="18"/>
                <w:szCs w:val="18"/>
                <w:lang w:eastAsia="en-GB"/>
              </w:rPr>
              <w:t>0.0</w:t>
            </w:r>
          </w:p>
        </w:tc>
      </w:tr>
      <w:tr w:rsidR="00891A96" w:rsidRPr="009907EE" w:rsidTr="00891A96">
        <w:trPr>
          <w:gridAfter w:val="1"/>
          <w:wAfter w:w="9" w:type="dxa"/>
          <w:trHeight w:val="315"/>
        </w:trPr>
        <w:tc>
          <w:tcPr>
            <w:tcW w:w="2825" w:type="dxa"/>
            <w:tcBorders>
              <w:top w:val="nil"/>
              <w:left w:val="single" w:sz="8" w:space="0" w:color="auto"/>
              <w:bottom w:val="single" w:sz="8" w:space="0" w:color="auto"/>
              <w:right w:val="single" w:sz="8" w:space="0" w:color="auto"/>
            </w:tcBorders>
            <w:shd w:val="clear" w:color="auto" w:fill="auto"/>
            <w:vAlign w:val="center"/>
            <w:hideMark/>
          </w:tcPr>
          <w:p w:rsidR="00891A96" w:rsidRPr="009907EE" w:rsidRDefault="00891A96" w:rsidP="00891A96">
            <w:pPr>
              <w:rPr>
                <w:rFonts w:cs="Calibri"/>
                <w:b/>
                <w:bCs/>
                <w:color w:val="000000"/>
                <w:sz w:val="18"/>
                <w:szCs w:val="18"/>
                <w:lang w:eastAsia="en-GB"/>
              </w:rPr>
            </w:pPr>
            <w:r w:rsidRPr="009907EE">
              <w:rPr>
                <w:rFonts w:cs="Calibri"/>
                <w:b/>
                <w:bCs/>
                <w:color w:val="000000"/>
                <w:sz w:val="18"/>
                <w:szCs w:val="18"/>
                <w:lang w:eastAsia="en-GB"/>
              </w:rPr>
              <w:t>At 31 March 2019</w:t>
            </w:r>
          </w:p>
        </w:tc>
        <w:tc>
          <w:tcPr>
            <w:tcW w:w="960" w:type="dxa"/>
            <w:tcBorders>
              <w:top w:val="nil"/>
              <w:left w:val="nil"/>
              <w:bottom w:val="single" w:sz="8" w:space="0" w:color="auto"/>
              <w:right w:val="nil"/>
            </w:tcBorders>
            <w:shd w:val="clear" w:color="auto" w:fill="auto"/>
            <w:noWrap/>
            <w:vAlign w:val="center"/>
            <w:hideMark/>
          </w:tcPr>
          <w:p w:rsidR="00891A96" w:rsidRPr="009907EE" w:rsidRDefault="00891A96" w:rsidP="00891A96">
            <w:pPr>
              <w:jc w:val="right"/>
              <w:rPr>
                <w:rFonts w:cs="Calibri"/>
                <w:b/>
                <w:bCs/>
                <w:color w:val="000000"/>
                <w:sz w:val="18"/>
                <w:szCs w:val="18"/>
                <w:lang w:eastAsia="en-GB"/>
              </w:rPr>
            </w:pPr>
            <w:r w:rsidRPr="009907EE">
              <w:rPr>
                <w:rFonts w:cs="Calibri"/>
                <w:b/>
                <w:bCs/>
                <w:color w:val="000000"/>
                <w:sz w:val="18"/>
                <w:szCs w:val="18"/>
                <w:lang w:eastAsia="en-GB"/>
              </w:rPr>
              <w:t>609.3</w:t>
            </w:r>
          </w:p>
        </w:tc>
        <w:tc>
          <w:tcPr>
            <w:tcW w:w="960" w:type="dxa"/>
            <w:gridSpan w:val="2"/>
            <w:tcBorders>
              <w:top w:val="nil"/>
              <w:left w:val="single" w:sz="8" w:space="0" w:color="auto"/>
              <w:bottom w:val="single" w:sz="8" w:space="0" w:color="auto"/>
              <w:right w:val="nil"/>
            </w:tcBorders>
            <w:shd w:val="clear" w:color="auto" w:fill="auto"/>
            <w:noWrap/>
            <w:vAlign w:val="center"/>
            <w:hideMark/>
          </w:tcPr>
          <w:p w:rsidR="00891A96" w:rsidRPr="009907EE" w:rsidRDefault="00891A96" w:rsidP="00891A96">
            <w:pPr>
              <w:jc w:val="right"/>
              <w:rPr>
                <w:rFonts w:cs="Calibri"/>
                <w:b/>
                <w:bCs/>
                <w:color w:val="000000"/>
                <w:sz w:val="18"/>
                <w:szCs w:val="18"/>
                <w:lang w:eastAsia="en-GB"/>
              </w:rPr>
            </w:pPr>
            <w:r w:rsidRPr="009907EE">
              <w:rPr>
                <w:rFonts w:cs="Calibri"/>
                <w:b/>
                <w:bCs/>
                <w:color w:val="000000"/>
                <w:sz w:val="18"/>
                <w:szCs w:val="18"/>
                <w:lang w:eastAsia="en-GB"/>
              </w:rPr>
              <w:t>950.1</w:t>
            </w:r>
          </w:p>
        </w:tc>
        <w:tc>
          <w:tcPr>
            <w:tcW w:w="960" w:type="dxa"/>
            <w:gridSpan w:val="2"/>
            <w:tcBorders>
              <w:top w:val="nil"/>
              <w:left w:val="single" w:sz="8" w:space="0" w:color="auto"/>
              <w:bottom w:val="single" w:sz="8" w:space="0" w:color="auto"/>
              <w:right w:val="nil"/>
            </w:tcBorders>
            <w:shd w:val="clear" w:color="auto" w:fill="auto"/>
            <w:noWrap/>
            <w:vAlign w:val="center"/>
            <w:hideMark/>
          </w:tcPr>
          <w:p w:rsidR="00891A96" w:rsidRPr="009907EE" w:rsidRDefault="00891A96" w:rsidP="00891A96">
            <w:pPr>
              <w:jc w:val="right"/>
              <w:rPr>
                <w:rFonts w:cs="Calibri"/>
                <w:b/>
                <w:bCs/>
                <w:color w:val="000000"/>
                <w:sz w:val="18"/>
                <w:szCs w:val="18"/>
                <w:lang w:eastAsia="en-GB"/>
              </w:rPr>
            </w:pPr>
            <w:r w:rsidRPr="009907EE">
              <w:rPr>
                <w:rFonts w:cs="Calibri"/>
                <w:b/>
                <w:bCs/>
                <w:color w:val="000000"/>
                <w:sz w:val="18"/>
                <w:szCs w:val="18"/>
                <w:lang w:eastAsia="en-GB"/>
              </w:rPr>
              <w:t>54.6</w:t>
            </w:r>
          </w:p>
        </w:tc>
        <w:tc>
          <w:tcPr>
            <w:tcW w:w="960" w:type="dxa"/>
            <w:gridSpan w:val="2"/>
            <w:tcBorders>
              <w:top w:val="nil"/>
              <w:left w:val="single" w:sz="8" w:space="0" w:color="auto"/>
              <w:bottom w:val="single" w:sz="8" w:space="0" w:color="auto"/>
              <w:right w:val="nil"/>
            </w:tcBorders>
            <w:shd w:val="clear" w:color="auto" w:fill="auto"/>
            <w:noWrap/>
            <w:vAlign w:val="center"/>
            <w:hideMark/>
          </w:tcPr>
          <w:p w:rsidR="00891A96" w:rsidRPr="009907EE" w:rsidRDefault="00891A96" w:rsidP="00891A96">
            <w:pPr>
              <w:jc w:val="right"/>
              <w:rPr>
                <w:rFonts w:cs="Calibri"/>
                <w:b/>
                <w:bCs/>
                <w:color w:val="000000"/>
                <w:sz w:val="18"/>
                <w:szCs w:val="18"/>
                <w:lang w:eastAsia="en-GB"/>
              </w:rPr>
            </w:pPr>
            <w:r w:rsidRPr="009907EE">
              <w:rPr>
                <w:rFonts w:cs="Calibri"/>
                <w:b/>
                <w:bCs/>
                <w:color w:val="000000"/>
                <w:sz w:val="18"/>
                <w:szCs w:val="18"/>
                <w:lang w:eastAsia="en-GB"/>
              </w:rPr>
              <w:t>273.4</w:t>
            </w:r>
          </w:p>
        </w:tc>
        <w:tc>
          <w:tcPr>
            <w:tcW w:w="960" w:type="dxa"/>
            <w:gridSpan w:val="2"/>
            <w:tcBorders>
              <w:top w:val="nil"/>
              <w:left w:val="single" w:sz="8" w:space="0" w:color="auto"/>
              <w:bottom w:val="single" w:sz="8" w:space="0" w:color="auto"/>
              <w:right w:val="nil"/>
            </w:tcBorders>
            <w:shd w:val="clear" w:color="auto" w:fill="auto"/>
            <w:noWrap/>
            <w:vAlign w:val="center"/>
            <w:hideMark/>
          </w:tcPr>
          <w:p w:rsidR="00891A96" w:rsidRPr="009907EE" w:rsidRDefault="00891A96" w:rsidP="00891A96">
            <w:pPr>
              <w:jc w:val="right"/>
              <w:rPr>
                <w:rFonts w:cs="Calibri"/>
                <w:b/>
                <w:bCs/>
                <w:color w:val="000000"/>
                <w:sz w:val="18"/>
                <w:szCs w:val="18"/>
                <w:lang w:eastAsia="en-GB"/>
              </w:rPr>
            </w:pPr>
            <w:r w:rsidRPr="009907EE">
              <w:rPr>
                <w:rFonts w:cs="Calibri"/>
                <w:b/>
                <w:bCs/>
                <w:color w:val="000000"/>
                <w:sz w:val="18"/>
                <w:szCs w:val="18"/>
                <w:lang w:eastAsia="en-GB"/>
              </w:rPr>
              <w:t>8.2</w:t>
            </w:r>
          </w:p>
        </w:tc>
        <w:tc>
          <w:tcPr>
            <w:tcW w:w="1175" w:type="dxa"/>
            <w:gridSpan w:val="2"/>
            <w:tcBorders>
              <w:top w:val="nil"/>
              <w:left w:val="single" w:sz="8" w:space="0" w:color="auto"/>
              <w:bottom w:val="single" w:sz="8" w:space="0" w:color="auto"/>
              <w:right w:val="nil"/>
            </w:tcBorders>
            <w:shd w:val="clear" w:color="auto" w:fill="auto"/>
            <w:noWrap/>
            <w:vAlign w:val="center"/>
            <w:hideMark/>
          </w:tcPr>
          <w:p w:rsidR="00891A96" w:rsidRPr="009907EE" w:rsidRDefault="00891A96" w:rsidP="00891A96">
            <w:pPr>
              <w:jc w:val="right"/>
              <w:rPr>
                <w:rFonts w:cs="Calibri"/>
                <w:b/>
                <w:bCs/>
                <w:color w:val="000000"/>
                <w:sz w:val="18"/>
                <w:szCs w:val="18"/>
                <w:lang w:eastAsia="en-GB"/>
              </w:rPr>
            </w:pPr>
            <w:r w:rsidRPr="009907EE">
              <w:rPr>
                <w:rFonts w:cs="Calibri"/>
                <w:b/>
                <w:bCs/>
                <w:color w:val="000000"/>
                <w:sz w:val="18"/>
                <w:szCs w:val="18"/>
                <w:lang w:eastAsia="en-GB"/>
              </w:rPr>
              <w:t>44.1</w:t>
            </w:r>
          </w:p>
        </w:tc>
        <w:tc>
          <w:tcPr>
            <w:tcW w:w="960" w:type="dxa"/>
            <w:gridSpan w:val="2"/>
            <w:tcBorders>
              <w:top w:val="nil"/>
              <w:left w:val="single" w:sz="8" w:space="0" w:color="auto"/>
              <w:bottom w:val="single" w:sz="8" w:space="0" w:color="auto"/>
              <w:right w:val="single" w:sz="8" w:space="0" w:color="auto"/>
            </w:tcBorders>
            <w:shd w:val="clear" w:color="auto" w:fill="auto"/>
            <w:noWrap/>
            <w:vAlign w:val="center"/>
            <w:hideMark/>
          </w:tcPr>
          <w:p w:rsidR="00891A96" w:rsidRPr="009907EE" w:rsidRDefault="00891A96" w:rsidP="00891A96">
            <w:pPr>
              <w:jc w:val="right"/>
              <w:rPr>
                <w:rFonts w:cs="Calibri"/>
                <w:b/>
                <w:bCs/>
                <w:color w:val="000000"/>
                <w:sz w:val="18"/>
                <w:szCs w:val="18"/>
                <w:lang w:eastAsia="en-GB"/>
              </w:rPr>
            </w:pPr>
            <w:r w:rsidRPr="009907EE">
              <w:rPr>
                <w:rFonts w:cs="Calibri"/>
                <w:b/>
                <w:bCs/>
                <w:color w:val="000000"/>
                <w:sz w:val="18"/>
                <w:szCs w:val="18"/>
                <w:lang w:eastAsia="en-GB"/>
              </w:rPr>
              <w:t>1,939.6</w:t>
            </w:r>
          </w:p>
        </w:tc>
        <w:tc>
          <w:tcPr>
            <w:tcW w:w="960" w:type="dxa"/>
            <w:gridSpan w:val="2"/>
            <w:tcBorders>
              <w:top w:val="nil"/>
              <w:left w:val="nil"/>
              <w:bottom w:val="single" w:sz="8" w:space="0" w:color="auto"/>
              <w:right w:val="single" w:sz="8" w:space="0" w:color="auto"/>
            </w:tcBorders>
            <w:shd w:val="clear" w:color="auto" w:fill="auto"/>
            <w:noWrap/>
            <w:vAlign w:val="center"/>
            <w:hideMark/>
          </w:tcPr>
          <w:p w:rsidR="00891A96" w:rsidRPr="009907EE" w:rsidRDefault="00891A96" w:rsidP="00891A96">
            <w:pPr>
              <w:jc w:val="right"/>
              <w:rPr>
                <w:rFonts w:cs="Calibri"/>
                <w:b/>
                <w:bCs/>
                <w:color w:val="000000"/>
                <w:sz w:val="18"/>
                <w:szCs w:val="18"/>
                <w:lang w:eastAsia="en-GB"/>
              </w:rPr>
            </w:pPr>
            <w:r w:rsidRPr="009907EE">
              <w:rPr>
                <w:rFonts w:cs="Calibri"/>
                <w:b/>
                <w:bCs/>
                <w:color w:val="000000"/>
                <w:sz w:val="18"/>
                <w:szCs w:val="18"/>
                <w:lang w:eastAsia="en-GB"/>
              </w:rPr>
              <w:t>128.5</w:t>
            </w:r>
          </w:p>
        </w:tc>
      </w:tr>
      <w:tr w:rsidR="00891A96" w:rsidRPr="009907EE" w:rsidTr="00891A96">
        <w:trPr>
          <w:trHeight w:val="330"/>
        </w:trPr>
        <w:tc>
          <w:tcPr>
            <w:tcW w:w="3794" w:type="dxa"/>
            <w:gridSpan w:val="3"/>
            <w:tcBorders>
              <w:top w:val="single" w:sz="8" w:space="0" w:color="auto"/>
              <w:left w:val="nil"/>
              <w:bottom w:val="single" w:sz="8" w:space="0" w:color="auto"/>
              <w:right w:val="nil"/>
            </w:tcBorders>
            <w:shd w:val="clear" w:color="auto" w:fill="auto"/>
            <w:noWrap/>
            <w:vAlign w:val="center"/>
            <w:hideMark/>
          </w:tcPr>
          <w:p w:rsidR="00891A96" w:rsidRPr="009907EE" w:rsidRDefault="00891A96" w:rsidP="00891A96">
            <w:pPr>
              <w:rPr>
                <w:rFonts w:cs="Calibri"/>
                <w:b/>
                <w:bCs/>
                <w:color w:val="000000"/>
                <w:sz w:val="18"/>
                <w:szCs w:val="18"/>
                <w:lang w:eastAsia="en-GB"/>
              </w:rPr>
            </w:pPr>
            <w:r w:rsidRPr="009907EE">
              <w:rPr>
                <w:rFonts w:cs="Calibri"/>
                <w:b/>
                <w:bCs/>
                <w:color w:val="000000"/>
                <w:sz w:val="18"/>
                <w:szCs w:val="18"/>
                <w:lang w:eastAsia="en-GB"/>
              </w:rPr>
              <w:t> </w:t>
            </w:r>
            <w:r w:rsidRPr="009907EE">
              <w:rPr>
                <w:rFonts w:cs="Calibri"/>
                <w:color w:val="000000"/>
                <w:lang w:eastAsia="en-GB"/>
              </w:rPr>
              <w:t xml:space="preserve"> </w:t>
            </w:r>
            <w:r w:rsidRPr="009907EE">
              <w:rPr>
                <w:rFonts w:cs="Calibri"/>
                <w:b/>
                <w:bCs/>
                <w:color w:val="000000"/>
                <w:sz w:val="18"/>
                <w:szCs w:val="18"/>
                <w:lang w:eastAsia="en-GB"/>
              </w:rPr>
              <w:t>Depreciation and Impairments</w:t>
            </w:r>
          </w:p>
        </w:tc>
        <w:tc>
          <w:tcPr>
            <w:tcW w:w="960" w:type="dxa"/>
            <w:gridSpan w:val="2"/>
            <w:tcBorders>
              <w:top w:val="nil"/>
              <w:left w:val="nil"/>
              <w:bottom w:val="single" w:sz="8" w:space="0" w:color="auto"/>
              <w:right w:val="nil"/>
            </w:tcBorders>
            <w:shd w:val="clear" w:color="auto" w:fill="auto"/>
            <w:noWrap/>
            <w:vAlign w:val="center"/>
            <w:hideMark/>
          </w:tcPr>
          <w:p w:rsidR="00891A96" w:rsidRPr="009907EE" w:rsidRDefault="00891A96" w:rsidP="00891A96">
            <w:pPr>
              <w:rPr>
                <w:rFonts w:cs="Calibri"/>
                <w:b/>
                <w:bCs/>
                <w:color w:val="000000"/>
                <w:sz w:val="18"/>
                <w:szCs w:val="18"/>
                <w:lang w:eastAsia="en-GB"/>
              </w:rPr>
            </w:pPr>
            <w:r w:rsidRPr="009907EE">
              <w:rPr>
                <w:rFonts w:cs="Calibri"/>
                <w:b/>
                <w:bCs/>
                <w:color w:val="000000"/>
                <w:sz w:val="18"/>
                <w:szCs w:val="18"/>
                <w:lang w:eastAsia="en-GB"/>
              </w:rPr>
              <w:t> </w:t>
            </w:r>
          </w:p>
        </w:tc>
        <w:tc>
          <w:tcPr>
            <w:tcW w:w="960" w:type="dxa"/>
            <w:gridSpan w:val="2"/>
            <w:tcBorders>
              <w:top w:val="nil"/>
              <w:left w:val="nil"/>
              <w:bottom w:val="single" w:sz="8" w:space="0" w:color="auto"/>
              <w:right w:val="nil"/>
            </w:tcBorders>
            <w:shd w:val="clear" w:color="auto" w:fill="auto"/>
            <w:noWrap/>
            <w:vAlign w:val="center"/>
            <w:hideMark/>
          </w:tcPr>
          <w:p w:rsidR="00891A96" w:rsidRPr="009907EE" w:rsidRDefault="00891A96" w:rsidP="00891A96">
            <w:pPr>
              <w:rPr>
                <w:rFonts w:cs="Calibri"/>
                <w:b/>
                <w:bCs/>
                <w:color w:val="000000"/>
                <w:sz w:val="18"/>
                <w:szCs w:val="18"/>
                <w:lang w:eastAsia="en-GB"/>
              </w:rPr>
            </w:pPr>
            <w:r w:rsidRPr="009907EE">
              <w:rPr>
                <w:rFonts w:cs="Calibri"/>
                <w:b/>
                <w:bCs/>
                <w:color w:val="000000"/>
                <w:sz w:val="18"/>
                <w:szCs w:val="18"/>
                <w:lang w:eastAsia="en-GB"/>
              </w:rPr>
              <w:t> </w:t>
            </w:r>
          </w:p>
        </w:tc>
        <w:tc>
          <w:tcPr>
            <w:tcW w:w="960" w:type="dxa"/>
            <w:gridSpan w:val="2"/>
            <w:tcBorders>
              <w:top w:val="nil"/>
              <w:left w:val="nil"/>
              <w:bottom w:val="single" w:sz="8" w:space="0" w:color="auto"/>
              <w:right w:val="nil"/>
            </w:tcBorders>
            <w:shd w:val="clear" w:color="auto" w:fill="auto"/>
            <w:noWrap/>
            <w:vAlign w:val="center"/>
            <w:hideMark/>
          </w:tcPr>
          <w:p w:rsidR="00891A96" w:rsidRPr="009907EE" w:rsidRDefault="00891A96" w:rsidP="00891A96">
            <w:pPr>
              <w:rPr>
                <w:rFonts w:cs="Calibri"/>
                <w:b/>
                <w:bCs/>
                <w:color w:val="000000"/>
                <w:sz w:val="18"/>
                <w:szCs w:val="18"/>
                <w:lang w:eastAsia="en-GB"/>
              </w:rPr>
            </w:pPr>
            <w:r w:rsidRPr="009907EE">
              <w:rPr>
                <w:rFonts w:cs="Calibri"/>
                <w:b/>
                <w:bCs/>
                <w:color w:val="000000"/>
                <w:sz w:val="18"/>
                <w:szCs w:val="18"/>
                <w:lang w:eastAsia="en-GB"/>
              </w:rPr>
              <w:t> </w:t>
            </w:r>
          </w:p>
        </w:tc>
        <w:tc>
          <w:tcPr>
            <w:tcW w:w="960" w:type="dxa"/>
            <w:gridSpan w:val="2"/>
            <w:tcBorders>
              <w:top w:val="nil"/>
              <w:left w:val="nil"/>
              <w:bottom w:val="single" w:sz="8" w:space="0" w:color="auto"/>
              <w:right w:val="nil"/>
            </w:tcBorders>
            <w:shd w:val="clear" w:color="auto" w:fill="auto"/>
            <w:noWrap/>
            <w:vAlign w:val="center"/>
            <w:hideMark/>
          </w:tcPr>
          <w:p w:rsidR="00891A96" w:rsidRPr="009907EE" w:rsidRDefault="00891A96" w:rsidP="00891A96">
            <w:pPr>
              <w:rPr>
                <w:rFonts w:cs="Calibri"/>
                <w:color w:val="000000"/>
                <w:sz w:val="18"/>
                <w:szCs w:val="18"/>
                <w:lang w:eastAsia="en-GB"/>
              </w:rPr>
            </w:pPr>
            <w:r w:rsidRPr="009907EE">
              <w:rPr>
                <w:rFonts w:cs="Calibri"/>
                <w:color w:val="000000"/>
                <w:sz w:val="18"/>
                <w:szCs w:val="18"/>
                <w:lang w:eastAsia="en-GB"/>
              </w:rPr>
              <w:t> </w:t>
            </w:r>
          </w:p>
        </w:tc>
        <w:tc>
          <w:tcPr>
            <w:tcW w:w="1175" w:type="dxa"/>
            <w:gridSpan w:val="2"/>
            <w:tcBorders>
              <w:top w:val="nil"/>
              <w:left w:val="nil"/>
              <w:bottom w:val="single" w:sz="8" w:space="0" w:color="auto"/>
              <w:right w:val="nil"/>
            </w:tcBorders>
            <w:shd w:val="clear" w:color="auto" w:fill="auto"/>
            <w:noWrap/>
            <w:vAlign w:val="center"/>
            <w:hideMark/>
          </w:tcPr>
          <w:p w:rsidR="00891A96" w:rsidRPr="009907EE" w:rsidRDefault="00891A96" w:rsidP="00891A96">
            <w:pPr>
              <w:rPr>
                <w:rFonts w:cs="Calibri"/>
                <w:color w:val="000000"/>
                <w:sz w:val="18"/>
                <w:szCs w:val="18"/>
                <w:lang w:eastAsia="en-GB"/>
              </w:rPr>
            </w:pPr>
            <w:r w:rsidRPr="009907EE">
              <w:rPr>
                <w:rFonts w:cs="Calibri"/>
                <w:color w:val="000000"/>
                <w:sz w:val="18"/>
                <w:szCs w:val="18"/>
                <w:lang w:eastAsia="en-GB"/>
              </w:rPr>
              <w:t> </w:t>
            </w:r>
          </w:p>
        </w:tc>
        <w:tc>
          <w:tcPr>
            <w:tcW w:w="960" w:type="dxa"/>
            <w:gridSpan w:val="2"/>
            <w:tcBorders>
              <w:top w:val="nil"/>
              <w:left w:val="nil"/>
              <w:bottom w:val="single" w:sz="8" w:space="0" w:color="auto"/>
              <w:right w:val="nil"/>
            </w:tcBorders>
            <w:shd w:val="clear" w:color="auto" w:fill="auto"/>
            <w:noWrap/>
            <w:vAlign w:val="center"/>
            <w:hideMark/>
          </w:tcPr>
          <w:p w:rsidR="00891A96" w:rsidRPr="009907EE" w:rsidRDefault="00891A96" w:rsidP="00891A96">
            <w:pPr>
              <w:rPr>
                <w:rFonts w:cs="Calibri"/>
                <w:color w:val="000000"/>
                <w:sz w:val="18"/>
                <w:szCs w:val="18"/>
                <w:lang w:eastAsia="en-GB"/>
              </w:rPr>
            </w:pPr>
            <w:r w:rsidRPr="009907EE">
              <w:rPr>
                <w:rFonts w:cs="Calibri"/>
                <w:color w:val="000000"/>
                <w:sz w:val="18"/>
                <w:szCs w:val="18"/>
                <w:lang w:eastAsia="en-GB"/>
              </w:rPr>
              <w:t> </w:t>
            </w:r>
          </w:p>
        </w:tc>
        <w:tc>
          <w:tcPr>
            <w:tcW w:w="960" w:type="dxa"/>
            <w:gridSpan w:val="2"/>
            <w:tcBorders>
              <w:top w:val="nil"/>
              <w:left w:val="nil"/>
              <w:bottom w:val="single" w:sz="8" w:space="0" w:color="auto"/>
              <w:right w:val="nil"/>
            </w:tcBorders>
            <w:shd w:val="clear" w:color="auto" w:fill="auto"/>
            <w:noWrap/>
            <w:vAlign w:val="center"/>
            <w:hideMark/>
          </w:tcPr>
          <w:p w:rsidR="00891A96" w:rsidRPr="009907EE" w:rsidRDefault="00891A96" w:rsidP="00891A96">
            <w:pPr>
              <w:rPr>
                <w:rFonts w:cs="Calibri"/>
                <w:color w:val="000000"/>
                <w:sz w:val="18"/>
                <w:szCs w:val="18"/>
                <w:lang w:eastAsia="en-GB"/>
              </w:rPr>
            </w:pPr>
            <w:r w:rsidRPr="009907EE">
              <w:rPr>
                <w:rFonts w:cs="Calibri"/>
                <w:color w:val="000000"/>
                <w:sz w:val="18"/>
                <w:szCs w:val="18"/>
                <w:lang w:eastAsia="en-GB"/>
              </w:rPr>
              <w:t> </w:t>
            </w:r>
          </w:p>
        </w:tc>
      </w:tr>
      <w:tr w:rsidR="00891A96" w:rsidRPr="009907EE" w:rsidTr="00891A96">
        <w:trPr>
          <w:gridAfter w:val="1"/>
          <w:wAfter w:w="9" w:type="dxa"/>
          <w:trHeight w:val="315"/>
        </w:trPr>
        <w:tc>
          <w:tcPr>
            <w:tcW w:w="2825" w:type="dxa"/>
            <w:tcBorders>
              <w:top w:val="nil"/>
              <w:left w:val="single" w:sz="8" w:space="0" w:color="auto"/>
              <w:bottom w:val="single" w:sz="8" w:space="0" w:color="auto"/>
              <w:right w:val="single" w:sz="8" w:space="0" w:color="auto"/>
            </w:tcBorders>
            <w:shd w:val="clear" w:color="auto" w:fill="auto"/>
            <w:vAlign w:val="center"/>
            <w:hideMark/>
          </w:tcPr>
          <w:p w:rsidR="00891A96" w:rsidRPr="009907EE" w:rsidRDefault="00891A96" w:rsidP="00891A96">
            <w:pPr>
              <w:rPr>
                <w:rFonts w:cs="Calibri"/>
                <w:b/>
                <w:bCs/>
                <w:color w:val="000000"/>
                <w:sz w:val="18"/>
                <w:szCs w:val="18"/>
                <w:lang w:eastAsia="en-GB"/>
              </w:rPr>
            </w:pPr>
            <w:r w:rsidRPr="009907EE">
              <w:rPr>
                <w:rFonts w:cs="Calibri"/>
                <w:b/>
                <w:bCs/>
                <w:color w:val="000000"/>
                <w:sz w:val="18"/>
                <w:szCs w:val="18"/>
                <w:lang w:eastAsia="en-GB"/>
              </w:rPr>
              <w:t>At 1 April 2018</w:t>
            </w:r>
          </w:p>
        </w:tc>
        <w:tc>
          <w:tcPr>
            <w:tcW w:w="960" w:type="dxa"/>
            <w:tcBorders>
              <w:top w:val="nil"/>
              <w:left w:val="nil"/>
              <w:bottom w:val="single" w:sz="8" w:space="0" w:color="auto"/>
              <w:right w:val="nil"/>
            </w:tcBorders>
            <w:shd w:val="clear" w:color="auto" w:fill="auto"/>
            <w:noWrap/>
            <w:vAlign w:val="center"/>
            <w:hideMark/>
          </w:tcPr>
          <w:p w:rsidR="00891A96" w:rsidRPr="009907EE" w:rsidRDefault="00891A96" w:rsidP="00891A96">
            <w:pPr>
              <w:jc w:val="right"/>
              <w:rPr>
                <w:rFonts w:cs="Calibri"/>
                <w:b/>
                <w:bCs/>
                <w:color w:val="000000"/>
                <w:sz w:val="18"/>
                <w:szCs w:val="18"/>
                <w:lang w:eastAsia="en-GB"/>
              </w:rPr>
            </w:pPr>
            <w:r w:rsidRPr="009907EE">
              <w:rPr>
                <w:rFonts w:cs="Calibri"/>
                <w:b/>
                <w:bCs/>
                <w:color w:val="000000"/>
                <w:sz w:val="18"/>
                <w:szCs w:val="18"/>
                <w:lang w:eastAsia="en-GB"/>
              </w:rPr>
              <w:t>(26.5)</w:t>
            </w:r>
          </w:p>
        </w:tc>
        <w:tc>
          <w:tcPr>
            <w:tcW w:w="960" w:type="dxa"/>
            <w:gridSpan w:val="2"/>
            <w:tcBorders>
              <w:top w:val="nil"/>
              <w:left w:val="single" w:sz="8" w:space="0" w:color="auto"/>
              <w:bottom w:val="single" w:sz="8" w:space="0" w:color="auto"/>
              <w:right w:val="single" w:sz="8" w:space="0" w:color="auto"/>
            </w:tcBorders>
            <w:shd w:val="clear" w:color="auto" w:fill="auto"/>
            <w:noWrap/>
            <w:vAlign w:val="center"/>
            <w:hideMark/>
          </w:tcPr>
          <w:p w:rsidR="00891A96" w:rsidRPr="009907EE" w:rsidRDefault="00891A96" w:rsidP="00891A96">
            <w:pPr>
              <w:jc w:val="right"/>
              <w:rPr>
                <w:rFonts w:cs="Calibri"/>
                <w:b/>
                <w:bCs/>
                <w:color w:val="000000"/>
                <w:sz w:val="18"/>
                <w:szCs w:val="18"/>
                <w:lang w:eastAsia="en-GB"/>
              </w:rPr>
            </w:pPr>
            <w:r w:rsidRPr="009907EE">
              <w:rPr>
                <w:rFonts w:cs="Calibri"/>
                <w:b/>
                <w:bCs/>
                <w:color w:val="000000"/>
                <w:sz w:val="18"/>
                <w:szCs w:val="18"/>
                <w:lang w:eastAsia="en-GB"/>
              </w:rPr>
              <w:t>(20.7)</w:t>
            </w:r>
          </w:p>
        </w:tc>
        <w:tc>
          <w:tcPr>
            <w:tcW w:w="960" w:type="dxa"/>
            <w:gridSpan w:val="2"/>
            <w:tcBorders>
              <w:top w:val="nil"/>
              <w:left w:val="nil"/>
              <w:bottom w:val="single" w:sz="8" w:space="0" w:color="auto"/>
              <w:right w:val="nil"/>
            </w:tcBorders>
            <w:shd w:val="clear" w:color="auto" w:fill="auto"/>
            <w:noWrap/>
            <w:vAlign w:val="center"/>
            <w:hideMark/>
          </w:tcPr>
          <w:p w:rsidR="00891A96" w:rsidRPr="009907EE" w:rsidRDefault="00891A96" w:rsidP="00891A96">
            <w:pPr>
              <w:jc w:val="right"/>
              <w:rPr>
                <w:rFonts w:cs="Calibri"/>
                <w:b/>
                <w:bCs/>
                <w:color w:val="000000"/>
                <w:sz w:val="18"/>
                <w:szCs w:val="18"/>
                <w:lang w:eastAsia="en-GB"/>
              </w:rPr>
            </w:pPr>
            <w:r w:rsidRPr="009907EE">
              <w:rPr>
                <w:rFonts w:cs="Calibri"/>
                <w:b/>
                <w:bCs/>
                <w:color w:val="000000"/>
                <w:sz w:val="18"/>
                <w:szCs w:val="18"/>
                <w:lang w:eastAsia="en-GB"/>
              </w:rPr>
              <w:t>(29.5)</w:t>
            </w:r>
          </w:p>
        </w:tc>
        <w:tc>
          <w:tcPr>
            <w:tcW w:w="960" w:type="dxa"/>
            <w:gridSpan w:val="2"/>
            <w:tcBorders>
              <w:top w:val="nil"/>
              <w:left w:val="single" w:sz="8" w:space="0" w:color="auto"/>
              <w:bottom w:val="single" w:sz="8" w:space="0" w:color="auto"/>
              <w:right w:val="nil"/>
            </w:tcBorders>
            <w:shd w:val="clear" w:color="auto" w:fill="auto"/>
            <w:noWrap/>
            <w:vAlign w:val="center"/>
            <w:hideMark/>
          </w:tcPr>
          <w:p w:rsidR="00891A96" w:rsidRPr="009907EE" w:rsidRDefault="00891A96" w:rsidP="00891A96">
            <w:pPr>
              <w:jc w:val="right"/>
              <w:rPr>
                <w:rFonts w:cs="Calibri"/>
                <w:b/>
                <w:bCs/>
                <w:color w:val="000000"/>
                <w:sz w:val="18"/>
                <w:szCs w:val="18"/>
                <w:lang w:eastAsia="en-GB"/>
              </w:rPr>
            </w:pPr>
            <w:r w:rsidRPr="009907EE">
              <w:rPr>
                <w:rFonts w:cs="Calibri"/>
                <w:b/>
                <w:bCs/>
                <w:color w:val="000000"/>
                <w:sz w:val="18"/>
                <w:szCs w:val="18"/>
                <w:lang w:eastAsia="en-GB"/>
              </w:rPr>
              <w:t>(71.1)</w:t>
            </w:r>
          </w:p>
        </w:tc>
        <w:tc>
          <w:tcPr>
            <w:tcW w:w="960" w:type="dxa"/>
            <w:gridSpan w:val="2"/>
            <w:tcBorders>
              <w:top w:val="nil"/>
              <w:left w:val="single" w:sz="8" w:space="0" w:color="auto"/>
              <w:bottom w:val="single" w:sz="8" w:space="0" w:color="auto"/>
              <w:right w:val="nil"/>
            </w:tcBorders>
            <w:shd w:val="clear" w:color="auto" w:fill="auto"/>
            <w:noWrap/>
            <w:vAlign w:val="center"/>
            <w:hideMark/>
          </w:tcPr>
          <w:p w:rsidR="00891A96" w:rsidRPr="009907EE" w:rsidRDefault="00891A96" w:rsidP="00891A96">
            <w:pPr>
              <w:jc w:val="right"/>
              <w:rPr>
                <w:rFonts w:cs="Calibri"/>
                <w:b/>
                <w:bCs/>
                <w:color w:val="000000"/>
                <w:sz w:val="18"/>
                <w:szCs w:val="18"/>
                <w:lang w:eastAsia="en-GB"/>
              </w:rPr>
            </w:pPr>
            <w:r w:rsidRPr="009907EE">
              <w:rPr>
                <w:rFonts w:cs="Calibri"/>
                <w:b/>
                <w:bCs/>
                <w:color w:val="000000"/>
                <w:sz w:val="18"/>
                <w:szCs w:val="18"/>
                <w:lang w:eastAsia="en-GB"/>
              </w:rPr>
              <w:t>0.0</w:t>
            </w:r>
          </w:p>
        </w:tc>
        <w:tc>
          <w:tcPr>
            <w:tcW w:w="1175" w:type="dxa"/>
            <w:gridSpan w:val="2"/>
            <w:tcBorders>
              <w:top w:val="nil"/>
              <w:left w:val="single" w:sz="8" w:space="0" w:color="auto"/>
              <w:bottom w:val="single" w:sz="8" w:space="0" w:color="auto"/>
              <w:right w:val="nil"/>
            </w:tcBorders>
            <w:shd w:val="clear" w:color="auto" w:fill="auto"/>
            <w:noWrap/>
            <w:vAlign w:val="center"/>
            <w:hideMark/>
          </w:tcPr>
          <w:p w:rsidR="00891A96" w:rsidRPr="009907EE" w:rsidRDefault="00891A96" w:rsidP="00891A96">
            <w:pPr>
              <w:jc w:val="right"/>
              <w:rPr>
                <w:rFonts w:cs="Calibri"/>
                <w:b/>
                <w:bCs/>
                <w:color w:val="000000"/>
                <w:sz w:val="18"/>
                <w:szCs w:val="18"/>
                <w:lang w:eastAsia="en-GB"/>
              </w:rPr>
            </w:pPr>
            <w:r w:rsidRPr="009907EE">
              <w:rPr>
                <w:rFonts w:cs="Calibri"/>
                <w:b/>
                <w:bCs/>
                <w:color w:val="000000"/>
                <w:sz w:val="18"/>
                <w:szCs w:val="18"/>
                <w:lang w:eastAsia="en-GB"/>
              </w:rPr>
              <w:t>0.0</w:t>
            </w:r>
          </w:p>
        </w:tc>
        <w:tc>
          <w:tcPr>
            <w:tcW w:w="960" w:type="dxa"/>
            <w:gridSpan w:val="2"/>
            <w:tcBorders>
              <w:top w:val="nil"/>
              <w:left w:val="single" w:sz="8" w:space="0" w:color="auto"/>
              <w:bottom w:val="single" w:sz="8" w:space="0" w:color="auto"/>
              <w:right w:val="single" w:sz="8" w:space="0" w:color="auto"/>
            </w:tcBorders>
            <w:shd w:val="clear" w:color="auto" w:fill="auto"/>
            <w:noWrap/>
            <w:vAlign w:val="center"/>
            <w:hideMark/>
          </w:tcPr>
          <w:p w:rsidR="00891A96" w:rsidRPr="009907EE" w:rsidRDefault="00891A96" w:rsidP="00891A96">
            <w:pPr>
              <w:jc w:val="right"/>
              <w:rPr>
                <w:rFonts w:cs="Calibri"/>
                <w:b/>
                <w:bCs/>
                <w:color w:val="000000"/>
                <w:sz w:val="18"/>
                <w:szCs w:val="18"/>
                <w:lang w:eastAsia="en-GB"/>
              </w:rPr>
            </w:pPr>
            <w:r w:rsidRPr="009907EE">
              <w:rPr>
                <w:rFonts w:cs="Calibri"/>
                <w:b/>
                <w:bCs/>
                <w:color w:val="000000"/>
                <w:sz w:val="18"/>
                <w:szCs w:val="18"/>
                <w:lang w:eastAsia="en-GB"/>
              </w:rPr>
              <w:t>(147.8)</w:t>
            </w:r>
          </w:p>
        </w:tc>
        <w:tc>
          <w:tcPr>
            <w:tcW w:w="960" w:type="dxa"/>
            <w:gridSpan w:val="2"/>
            <w:tcBorders>
              <w:top w:val="nil"/>
              <w:left w:val="nil"/>
              <w:bottom w:val="single" w:sz="8" w:space="0" w:color="auto"/>
              <w:right w:val="single" w:sz="8" w:space="0" w:color="auto"/>
            </w:tcBorders>
            <w:shd w:val="clear" w:color="auto" w:fill="auto"/>
            <w:noWrap/>
            <w:vAlign w:val="center"/>
            <w:hideMark/>
          </w:tcPr>
          <w:p w:rsidR="00891A96" w:rsidRPr="009907EE" w:rsidRDefault="00891A96" w:rsidP="00891A96">
            <w:pPr>
              <w:jc w:val="right"/>
              <w:rPr>
                <w:rFonts w:cs="Calibri"/>
                <w:b/>
                <w:bCs/>
                <w:color w:val="000000"/>
                <w:sz w:val="18"/>
                <w:szCs w:val="18"/>
                <w:lang w:eastAsia="en-GB"/>
              </w:rPr>
            </w:pPr>
            <w:r w:rsidRPr="009907EE">
              <w:rPr>
                <w:rFonts w:cs="Calibri"/>
                <w:b/>
                <w:bCs/>
                <w:color w:val="000000"/>
                <w:sz w:val="18"/>
                <w:szCs w:val="18"/>
                <w:lang w:eastAsia="en-GB"/>
              </w:rPr>
              <w:t>(11.9)</w:t>
            </w:r>
          </w:p>
        </w:tc>
      </w:tr>
      <w:tr w:rsidR="00891A96" w:rsidRPr="009907EE" w:rsidTr="00891A96">
        <w:trPr>
          <w:gridAfter w:val="1"/>
          <w:wAfter w:w="9" w:type="dxa"/>
          <w:trHeight w:val="315"/>
        </w:trPr>
        <w:tc>
          <w:tcPr>
            <w:tcW w:w="2825" w:type="dxa"/>
            <w:tcBorders>
              <w:top w:val="nil"/>
              <w:left w:val="single" w:sz="8" w:space="0" w:color="auto"/>
              <w:bottom w:val="single" w:sz="8" w:space="0" w:color="auto"/>
              <w:right w:val="single" w:sz="8" w:space="0" w:color="auto"/>
            </w:tcBorders>
            <w:shd w:val="clear" w:color="auto" w:fill="auto"/>
            <w:vAlign w:val="center"/>
            <w:hideMark/>
          </w:tcPr>
          <w:p w:rsidR="00891A96" w:rsidRPr="009907EE" w:rsidRDefault="00891A96" w:rsidP="00891A96">
            <w:pPr>
              <w:rPr>
                <w:rFonts w:cs="Calibri"/>
                <w:color w:val="000000"/>
                <w:sz w:val="18"/>
                <w:szCs w:val="18"/>
                <w:lang w:eastAsia="en-GB"/>
              </w:rPr>
            </w:pPr>
            <w:r w:rsidRPr="009907EE">
              <w:rPr>
                <w:rFonts w:cs="Calibri"/>
                <w:color w:val="000000"/>
                <w:sz w:val="18"/>
                <w:szCs w:val="18"/>
                <w:lang w:eastAsia="en-GB"/>
              </w:rPr>
              <w:t>Charge for 2018/19</w:t>
            </w:r>
          </w:p>
        </w:tc>
        <w:tc>
          <w:tcPr>
            <w:tcW w:w="960" w:type="dxa"/>
            <w:tcBorders>
              <w:top w:val="nil"/>
              <w:left w:val="nil"/>
              <w:bottom w:val="single" w:sz="8" w:space="0" w:color="auto"/>
              <w:right w:val="nil"/>
            </w:tcBorders>
            <w:shd w:val="clear" w:color="auto" w:fill="auto"/>
            <w:noWrap/>
            <w:vAlign w:val="center"/>
            <w:hideMark/>
          </w:tcPr>
          <w:p w:rsidR="00891A96" w:rsidRPr="009907EE" w:rsidRDefault="00891A96" w:rsidP="00891A96">
            <w:pPr>
              <w:jc w:val="right"/>
              <w:rPr>
                <w:rFonts w:cs="Calibri"/>
                <w:color w:val="000000"/>
                <w:sz w:val="18"/>
                <w:szCs w:val="18"/>
                <w:lang w:eastAsia="en-GB"/>
              </w:rPr>
            </w:pPr>
            <w:r w:rsidRPr="009907EE">
              <w:rPr>
                <w:rFonts w:cs="Calibri"/>
                <w:color w:val="000000"/>
                <w:sz w:val="18"/>
                <w:szCs w:val="18"/>
                <w:lang w:eastAsia="en-GB"/>
              </w:rPr>
              <w:t>(7.1)</w:t>
            </w:r>
          </w:p>
        </w:tc>
        <w:tc>
          <w:tcPr>
            <w:tcW w:w="960" w:type="dxa"/>
            <w:gridSpan w:val="2"/>
            <w:tcBorders>
              <w:top w:val="nil"/>
              <w:left w:val="single" w:sz="8" w:space="0" w:color="auto"/>
              <w:bottom w:val="single" w:sz="8" w:space="0" w:color="auto"/>
              <w:right w:val="nil"/>
            </w:tcBorders>
            <w:shd w:val="clear" w:color="auto" w:fill="auto"/>
            <w:noWrap/>
            <w:vAlign w:val="center"/>
            <w:hideMark/>
          </w:tcPr>
          <w:p w:rsidR="00891A96" w:rsidRPr="009907EE" w:rsidRDefault="00891A96" w:rsidP="00891A96">
            <w:pPr>
              <w:jc w:val="right"/>
              <w:rPr>
                <w:rFonts w:cs="Calibri"/>
                <w:color w:val="000000"/>
                <w:sz w:val="18"/>
                <w:szCs w:val="18"/>
                <w:lang w:eastAsia="en-GB"/>
              </w:rPr>
            </w:pPr>
            <w:r w:rsidRPr="009907EE">
              <w:rPr>
                <w:rFonts w:cs="Calibri"/>
                <w:color w:val="000000"/>
                <w:sz w:val="18"/>
                <w:szCs w:val="18"/>
                <w:lang w:eastAsia="en-GB"/>
              </w:rPr>
              <w:t>(14.7)</w:t>
            </w:r>
          </w:p>
        </w:tc>
        <w:tc>
          <w:tcPr>
            <w:tcW w:w="960" w:type="dxa"/>
            <w:gridSpan w:val="2"/>
            <w:tcBorders>
              <w:top w:val="nil"/>
              <w:left w:val="single" w:sz="8" w:space="0" w:color="auto"/>
              <w:bottom w:val="single" w:sz="8" w:space="0" w:color="auto"/>
              <w:right w:val="nil"/>
            </w:tcBorders>
            <w:shd w:val="clear" w:color="auto" w:fill="auto"/>
            <w:noWrap/>
            <w:vAlign w:val="center"/>
            <w:hideMark/>
          </w:tcPr>
          <w:p w:rsidR="00891A96" w:rsidRPr="009907EE" w:rsidRDefault="00891A96" w:rsidP="00891A96">
            <w:pPr>
              <w:jc w:val="right"/>
              <w:rPr>
                <w:rFonts w:cs="Calibri"/>
                <w:color w:val="000000"/>
                <w:sz w:val="18"/>
                <w:szCs w:val="18"/>
                <w:lang w:eastAsia="en-GB"/>
              </w:rPr>
            </w:pPr>
            <w:r w:rsidRPr="009907EE">
              <w:rPr>
                <w:rFonts w:cs="Calibri"/>
                <w:color w:val="000000"/>
                <w:sz w:val="18"/>
                <w:szCs w:val="18"/>
                <w:lang w:eastAsia="en-GB"/>
              </w:rPr>
              <w:t>(4.6)</w:t>
            </w:r>
          </w:p>
        </w:tc>
        <w:tc>
          <w:tcPr>
            <w:tcW w:w="960" w:type="dxa"/>
            <w:gridSpan w:val="2"/>
            <w:tcBorders>
              <w:top w:val="nil"/>
              <w:left w:val="single" w:sz="8" w:space="0" w:color="auto"/>
              <w:bottom w:val="single" w:sz="8" w:space="0" w:color="auto"/>
              <w:right w:val="nil"/>
            </w:tcBorders>
            <w:shd w:val="clear" w:color="auto" w:fill="auto"/>
            <w:noWrap/>
            <w:vAlign w:val="center"/>
            <w:hideMark/>
          </w:tcPr>
          <w:p w:rsidR="00891A96" w:rsidRPr="009907EE" w:rsidRDefault="00891A96" w:rsidP="00891A96">
            <w:pPr>
              <w:jc w:val="right"/>
              <w:rPr>
                <w:rFonts w:cs="Calibri"/>
                <w:color w:val="000000"/>
                <w:sz w:val="18"/>
                <w:szCs w:val="18"/>
                <w:lang w:eastAsia="en-GB"/>
              </w:rPr>
            </w:pPr>
            <w:r w:rsidRPr="009907EE">
              <w:rPr>
                <w:rFonts w:cs="Calibri"/>
                <w:color w:val="000000"/>
                <w:sz w:val="18"/>
                <w:szCs w:val="18"/>
                <w:lang w:eastAsia="en-GB"/>
              </w:rPr>
              <w:t>(6.8)</w:t>
            </w:r>
          </w:p>
        </w:tc>
        <w:tc>
          <w:tcPr>
            <w:tcW w:w="960" w:type="dxa"/>
            <w:gridSpan w:val="2"/>
            <w:tcBorders>
              <w:top w:val="nil"/>
              <w:left w:val="single" w:sz="8" w:space="0" w:color="auto"/>
              <w:bottom w:val="single" w:sz="8" w:space="0" w:color="auto"/>
              <w:right w:val="nil"/>
            </w:tcBorders>
            <w:shd w:val="clear" w:color="auto" w:fill="auto"/>
            <w:noWrap/>
            <w:vAlign w:val="center"/>
            <w:hideMark/>
          </w:tcPr>
          <w:p w:rsidR="00891A96" w:rsidRPr="009907EE" w:rsidRDefault="00891A96" w:rsidP="00891A96">
            <w:pPr>
              <w:jc w:val="right"/>
              <w:rPr>
                <w:rFonts w:cs="Calibri"/>
                <w:color w:val="000000"/>
                <w:sz w:val="18"/>
                <w:szCs w:val="18"/>
                <w:lang w:eastAsia="en-GB"/>
              </w:rPr>
            </w:pPr>
            <w:r w:rsidRPr="009907EE">
              <w:rPr>
                <w:rFonts w:cs="Calibri"/>
                <w:color w:val="000000"/>
                <w:sz w:val="18"/>
                <w:szCs w:val="18"/>
                <w:lang w:eastAsia="en-GB"/>
              </w:rPr>
              <w:t>0.0</w:t>
            </w:r>
          </w:p>
        </w:tc>
        <w:tc>
          <w:tcPr>
            <w:tcW w:w="1175" w:type="dxa"/>
            <w:gridSpan w:val="2"/>
            <w:tcBorders>
              <w:top w:val="nil"/>
              <w:left w:val="single" w:sz="8" w:space="0" w:color="auto"/>
              <w:bottom w:val="single" w:sz="8" w:space="0" w:color="auto"/>
              <w:right w:val="nil"/>
            </w:tcBorders>
            <w:shd w:val="clear" w:color="auto" w:fill="auto"/>
            <w:noWrap/>
            <w:vAlign w:val="center"/>
            <w:hideMark/>
          </w:tcPr>
          <w:p w:rsidR="00891A96" w:rsidRPr="009907EE" w:rsidRDefault="00891A96" w:rsidP="00891A96">
            <w:pPr>
              <w:jc w:val="right"/>
              <w:rPr>
                <w:rFonts w:cs="Calibri"/>
                <w:color w:val="000000"/>
                <w:sz w:val="18"/>
                <w:szCs w:val="18"/>
                <w:lang w:eastAsia="en-GB"/>
              </w:rPr>
            </w:pPr>
            <w:r w:rsidRPr="009907EE">
              <w:rPr>
                <w:rFonts w:cs="Calibri"/>
                <w:color w:val="000000"/>
                <w:sz w:val="18"/>
                <w:szCs w:val="18"/>
                <w:lang w:eastAsia="en-GB"/>
              </w:rPr>
              <w:t>0.0</w:t>
            </w:r>
          </w:p>
        </w:tc>
        <w:tc>
          <w:tcPr>
            <w:tcW w:w="960" w:type="dxa"/>
            <w:gridSpan w:val="2"/>
            <w:tcBorders>
              <w:top w:val="nil"/>
              <w:left w:val="single" w:sz="8" w:space="0" w:color="auto"/>
              <w:bottom w:val="single" w:sz="8" w:space="0" w:color="auto"/>
              <w:right w:val="single" w:sz="8" w:space="0" w:color="auto"/>
            </w:tcBorders>
            <w:shd w:val="clear" w:color="auto" w:fill="auto"/>
            <w:noWrap/>
            <w:vAlign w:val="center"/>
            <w:hideMark/>
          </w:tcPr>
          <w:p w:rsidR="00891A96" w:rsidRPr="009907EE" w:rsidRDefault="00891A96" w:rsidP="00891A96">
            <w:pPr>
              <w:jc w:val="right"/>
              <w:rPr>
                <w:rFonts w:cs="Calibri"/>
                <w:b/>
                <w:bCs/>
                <w:color w:val="000000"/>
                <w:sz w:val="18"/>
                <w:szCs w:val="18"/>
                <w:lang w:eastAsia="en-GB"/>
              </w:rPr>
            </w:pPr>
            <w:r w:rsidRPr="009907EE">
              <w:rPr>
                <w:rFonts w:cs="Calibri"/>
                <w:b/>
                <w:bCs/>
                <w:color w:val="000000"/>
                <w:sz w:val="18"/>
                <w:szCs w:val="18"/>
                <w:lang w:eastAsia="en-GB"/>
              </w:rPr>
              <w:t>(33.2)</w:t>
            </w:r>
          </w:p>
        </w:tc>
        <w:tc>
          <w:tcPr>
            <w:tcW w:w="960" w:type="dxa"/>
            <w:gridSpan w:val="2"/>
            <w:tcBorders>
              <w:top w:val="nil"/>
              <w:left w:val="nil"/>
              <w:bottom w:val="single" w:sz="8" w:space="0" w:color="auto"/>
              <w:right w:val="single" w:sz="8" w:space="0" w:color="auto"/>
            </w:tcBorders>
            <w:shd w:val="clear" w:color="auto" w:fill="auto"/>
            <w:noWrap/>
            <w:vAlign w:val="center"/>
            <w:hideMark/>
          </w:tcPr>
          <w:p w:rsidR="00891A96" w:rsidRPr="009907EE" w:rsidRDefault="00891A96" w:rsidP="00891A96">
            <w:pPr>
              <w:jc w:val="right"/>
              <w:rPr>
                <w:rFonts w:cs="Calibri"/>
                <w:color w:val="000000"/>
                <w:sz w:val="18"/>
                <w:szCs w:val="18"/>
                <w:lang w:eastAsia="en-GB"/>
              </w:rPr>
            </w:pPr>
            <w:r w:rsidRPr="009907EE">
              <w:rPr>
                <w:rFonts w:cs="Calibri"/>
                <w:color w:val="000000"/>
                <w:sz w:val="18"/>
                <w:szCs w:val="18"/>
                <w:lang w:eastAsia="en-GB"/>
              </w:rPr>
              <w:t>(2.5)</w:t>
            </w:r>
          </w:p>
        </w:tc>
      </w:tr>
      <w:tr w:rsidR="00891A96" w:rsidRPr="009907EE" w:rsidTr="00891A96">
        <w:trPr>
          <w:gridAfter w:val="1"/>
          <w:wAfter w:w="9" w:type="dxa"/>
          <w:trHeight w:val="315"/>
        </w:trPr>
        <w:tc>
          <w:tcPr>
            <w:tcW w:w="2825" w:type="dxa"/>
            <w:tcBorders>
              <w:top w:val="nil"/>
              <w:left w:val="single" w:sz="8" w:space="0" w:color="auto"/>
              <w:bottom w:val="single" w:sz="8" w:space="0" w:color="auto"/>
              <w:right w:val="single" w:sz="8" w:space="0" w:color="auto"/>
            </w:tcBorders>
            <w:shd w:val="clear" w:color="auto" w:fill="auto"/>
            <w:vAlign w:val="center"/>
            <w:hideMark/>
          </w:tcPr>
          <w:p w:rsidR="00891A96" w:rsidRPr="009907EE" w:rsidRDefault="00891A96" w:rsidP="00891A96">
            <w:pPr>
              <w:rPr>
                <w:rFonts w:cs="Calibri"/>
                <w:color w:val="000000"/>
                <w:sz w:val="18"/>
                <w:szCs w:val="18"/>
                <w:lang w:eastAsia="en-GB"/>
              </w:rPr>
            </w:pPr>
            <w:r w:rsidRPr="009907EE">
              <w:rPr>
                <w:rFonts w:cs="Calibri"/>
                <w:color w:val="000000"/>
                <w:sz w:val="18"/>
                <w:szCs w:val="18"/>
                <w:lang w:eastAsia="en-GB"/>
              </w:rPr>
              <w:t>Depreciation written out</w:t>
            </w:r>
          </w:p>
        </w:tc>
        <w:tc>
          <w:tcPr>
            <w:tcW w:w="960" w:type="dxa"/>
            <w:tcBorders>
              <w:top w:val="nil"/>
              <w:left w:val="nil"/>
              <w:bottom w:val="single" w:sz="8" w:space="0" w:color="auto"/>
              <w:right w:val="nil"/>
            </w:tcBorders>
            <w:shd w:val="clear" w:color="auto" w:fill="auto"/>
            <w:noWrap/>
            <w:vAlign w:val="center"/>
            <w:hideMark/>
          </w:tcPr>
          <w:p w:rsidR="00891A96" w:rsidRPr="009907EE" w:rsidRDefault="00891A96" w:rsidP="00891A96">
            <w:pPr>
              <w:jc w:val="right"/>
              <w:rPr>
                <w:rFonts w:cs="Calibri"/>
                <w:color w:val="000000"/>
                <w:sz w:val="18"/>
                <w:szCs w:val="18"/>
                <w:lang w:eastAsia="en-GB"/>
              </w:rPr>
            </w:pPr>
            <w:r w:rsidRPr="009907EE">
              <w:rPr>
                <w:rFonts w:cs="Calibri"/>
                <w:color w:val="000000"/>
                <w:sz w:val="18"/>
                <w:szCs w:val="18"/>
                <w:lang w:eastAsia="en-GB"/>
              </w:rPr>
              <w:t>25.4</w:t>
            </w:r>
          </w:p>
        </w:tc>
        <w:tc>
          <w:tcPr>
            <w:tcW w:w="960" w:type="dxa"/>
            <w:gridSpan w:val="2"/>
            <w:tcBorders>
              <w:top w:val="nil"/>
              <w:left w:val="single" w:sz="8" w:space="0" w:color="auto"/>
              <w:bottom w:val="single" w:sz="8" w:space="0" w:color="auto"/>
              <w:right w:val="nil"/>
            </w:tcBorders>
            <w:shd w:val="clear" w:color="auto" w:fill="auto"/>
            <w:noWrap/>
            <w:vAlign w:val="center"/>
            <w:hideMark/>
          </w:tcPr>
          <w:p w:rsidR="00891A96" w:rsidRPr="009907EE" w:rsidRDefault="00891A96" w:rsidP="00891A96">
            <w:pPr>
              <w:jc w:val="right"/>
              <w:rPr>
                <w:rFonts w:cs="Calibri"/>
                <w:color w:val="000000"/>
                <w:sz w:val="18"/>
                <w:szCs w:val="18"/>
                <w:lang w:eastAsia="en-GB"/>
              </w:rPr>
            </w:pPr>
            <w:r w:rsidRPr="009907EE">
              <w:rPr>
                <w:rFonts w:cs="Calibri"/>
                <w:color w:val="000000"/>
                <w:sz w:val="18"/>
                <w:szCs w:val="18"/>
                <w:lang w:eastAsia="en-GB"/>
              </w:rPr>
              <w:t>7.6</w:t>
            </w:r>
          </w:p>
        </w:tc>
        <w:tc>
          <w:tcPr>
            <w:tcW w:w="960" w:type="dxa"/>
            <w:gridSpan w:val="2"/>
            <w:tcBorders>
              <w:top w:val="nil"/>
              <w:left w:val="single" w:sz="8" w:space="0" w:color="auto"/>
              <w:bottom w:val="single" w:sz="8" w:space="0" w:color="auto"/>
              <w:right w:val="nil"/>
            </w:tcBorders>
            <w:shd w:val="clear" w:color="auto" w:fill="auto"/>
            <w:noWrap/>
            <w:vAlign w:val="center"/>
            <w:hideMark/>
          </w:tcPr>
          <w:p w:rsidR="00891A96" w:rsidRPr="009907EE" w:rsidRDefault="00891A96" w:rsidP="00891A96">
            <w:pPr>
              <w:jc w:val="right"/>
              <w:rPr>
                <w:rFonts w:cs="Calibri"/>
                <w:color w:val="000000"/>
                <w:sz w:val="18"/>
                <w:szCs w:val="18"/>
                <w:lang w:eastAsia="en-GB"/>
              </w:rPr>
            </w:pPr>
            <w:r w:rsidRPr="009907EE">
              <w:rPr>
                <w:rFonts w:cs="Calibri"/>
                <w:color w:val="000000"/>
                <w:sz w:val="18"/>
                <w:szCs w:val="18"/>
                <w:lang w:eastAsia="en-GB"/>
              </w:rPr>
              <w:t>0.0</w:t>
            </w:r>
          </w:p>
        </w:tc>
        <w:tc>
          <w:tcPr>
            <w:tcW w:w="960" w:type="dxa"/>
            <w:gridSpan w:val="2"/>
            <w:tcBorders>
              <w:top w:val="nil"/>
              <w:left w:val="single" w:sz="8" w:space="0" w:color="auto"/>
              <w:bottom w:val="single" w:sz="8" w:space="0" w:color="auto"/>
              <w:right w:val="nil"/>
            </w:tcBorders>
            <w:shd w:val="clear" w:color="auto" w:fill="auto"/>
            <w:noWrap/>
            <w:vAlign w:val="center"/>
            <w:hideMark/>
          </w:tcPr>
          <w:p w:rsidR="00891A96" w:rsidRPr="009907EE" w:rsidRDefault="00891A96" w:rsidP="00891A96">
            <w:pPr>
              <w:jc w:val="right"/>
              <w:rPr>
                <w:rFonts w:cs="Calibri"/>
                <w:color w:val="000000"/>
                <w:sz w:val="18"/>
                <w:szCs w:val="18"/>
                <w:lang w:eastAsia="en-GB"/>
              </w:rPr>
            </w:pPr>
            <w:r w:rsidRPr="009907EE">
              <w:rPr>
                <w:rFonts w:cs="Calibri"/>
                <w:color w:val="000000"/>
                <w:sz w:val="18"/>
                <w:szCs w:val="18"/>
                <w:lang w:eastAsia="en-GB"/>
              </w:rPr>
              <w:t>0.0</w:t>
            </w:r>
          </w:p>
        </w:tc>
        <w:tc>
          <w:tcPr>
            <w:tcW w:w="960" w:type="dxa"/>
            <w:gridSpan w:val="2"/>
            <w:tcBorders>
              <w:top w:val="nil"/>
              <w:left w:val="single" w:sz="8" w:space="0" w:color="auto"/>
              <w:bottom w:val="single" w:sz="8" w:space="0" w:color="auto"/>
              <w:right w:val="nil"/>
            </w:tcBorders>
            <w:shd w:val="clear" w:color="auto" w:fill="auto"/>
            <w:noWrap/>
            <w:vAlign w:val="center"/>
            <w:hideMark/>
          </w:tcPr>
          <w:p w:rsidR="00891A96" w:rsidRPr="009907EE" w:rsidRDefault="00891A96" w:rsidP="00891A96">
            <w:pPr>
              <w:jc w:val="right"/>
              <w:rPr>
                <w:rFonts w:cs="Calibri"/>
                <w:color w:val="000000"/>
                <w:sz w:val="18"/>
                <w:szCs w:val="18"/>
                <w:lang w:eastAsia="en-GB"/>
              </w:rPr>
            </w:pPr>
            <w:r w:rsidRPr="009907EE">
              <w:rPr>
                <w:rFonts w:cs="Calibri"/>
                <w:color w:val="000000"/>
                <w:sz w:val="18"/>
                <w:szCs w:val="18"/>
                <w:lang w:eastAsia="en-GB"/>
              </w:rPr>
              <w:t>0.0</w:t>
            </w:r>
          </w:p>
        </w:tc>
        <w:tc>
          <w:tcPr>
            <w:tcW w:w="1175" w:type="dxa"/>
            <w:gridSpan w:val="2"/>
            <w:tcBorders>
              <w:top w:val="nil"/>
              <w:left w:val="single" w:sz="8" w:space="0" w:color="auto"/>
              <w:bottom w:val="single" w:sz="8" w:space="0" w:color="auto"/>
              <w:right w:val="nil"/>
            </w:tcBorders>
            <w:shd w:val="clear" w:color="auto" w:fill="auto"/>
            <w:noWrap/>
            <w:vAlign w:val="center"/>
            <w:hideMark/>
          </w:tcPr>
          <w:p w:rsidR="00891A96" w:rsidRPr="009907EE" w:rsidRDefault="00891A96" w:rsidP="00891A96">
            <w:pPr>
              <w:jc w:val="right"/>
              <w:rPr>
                <w:rFonts w:cs="Calibri"/>
                <w:color w:val="000000"/>
                <w:sz w:val="18"/>
                <w:szCs w:val="18"/>
                <w:lang w:eastAsia="en-GB"/>
              </w:rPr>
            </w:pPr>
            <w:r w:rsidRPr="009907EE">
              <w:rPr>
                <w:rFonts w:cs="Calibri"/>
                <w:color w:val="000000"/>
                <w:sz w:val="18"/>
                <w:szCs w:val="18"/>
                <w:lang w:eastAsia="en-GB"/>
              </w:rPr>
              <w:t>0.0</w:t>
            </w:r>
          </w:p>
        </w:tc>
        <w:tc>
          <w:tcPr>
            <w:tcW w:w="960" w:type="dxa"/>
            <w:gridSpan w:val="2"/>
            <w:tcBorders>
              <w:top w:val="nil"/>
              <w:left w:val="single" w:sz="8" w:space="0" w:color="auto"/>
              <w:bottom w:val="single" w:sz="8" w:space="0" w:color="auto"/>
              <w:right w:val="single" w:sz="8" w:space="0" w:color="auto"/>
            </w:tcBorders>
            <w:shd w:val="clear" w:color="auto" w:fill="auto"/>
            <w:noWrap/>
            <w:vAlign w:val="center"/>
            <w:hideMark/>
          </w:tcPr>
          <w:p w:rsidR="00891A96" w:rsidRPr="009907EE" w:rsidRDefault="00891A96" w:rsidP="00891A96">
            <w:pPr>
              <w:jc w:val="right"/>
              <w:rPr>
                <w:rFonts w:cs="Calibri"/>
                <w:b/>
                <w:bCs/>
                <w:color w:val="000000"/>
                <w:sz w:val="18"/>
                <w:szCs w:val="18"/>
                <w:lang w:eastAsia="en-GB"/>
              </w:rPr>
            </w:pPr>
            <w:r w:rsidRPr="009907EE">
              <w:rPr>
                <w:rFonts w:cs="Calibri"/>
                <w:b/>
                <w:bCs/>
                <w:color w:val="000000"/>
                <w:sz w:val="18"/>
                <w:szCs w:val="18"/>
                <w:lang w:eastAsia="en-GB"/>
              </w:rPr>
              <w:t>33.0</w:t>
            </w:r>
          </w:p>
        </w:tc>
        <w:tc>
          <w:tcPr>
            <w:tcW w:w="960" w:type="dxa"/>
            <w:gridSpan w:val="2"/>
            <w:tcBorders>
              <w:top w:val="nil"/>
              <w:left w:val="nil"/>
              <w:bottom w:val="single" w:sz="8" w:space="0" w:color="auto"/>
              <w:right w:val="single" w:sz="8" w:space="0" w:color="auto"/>
            </w:tcBorders>
            <w:shd w:val="clear" w:color="auto" w:fill="auto"/>
            <w:noWrap/>
            <w:vAlign w:val="center"/>
            <w:hideMark/>
          </w:tcPr>
          <w:p w:rsidR="00891A96" w:rsidRPr="009907EE" w:rsidRDefault="00891A96" w:rsidP="00891A96">
            <w:pPr>
              <w:jc w:val="right"/>
              <w:rPr>
                <w:rFonts w:cs="Calibri"/>
                <w:color w:val="000000"/>
                <w:sz w:val="18"/>
                <w:szCs w:val="18"/>
                <w:lang w:eastAsia="en-GB"/>
              </w:rPr>
            </w:pPr>
            <w:r w:rsidRPr="009907EE">
              <w:rPr>
                <w:rFonts w:cs="Calibri"/>
                <w:color w:val="000000"/>
                <w:sz w:val="18"/>
                <w:szCs w:val="18"/>
                <w:lang w:eastAsia="en-GB"/>
              </w:rPr>
              <w:t>0.3</w:t>
            </w:r>
          </w:p>
        </w:tc>
      </w:tr>
      <w:tr w:rsidR="00891A96" w:rsidRPr="009907EE" w:rsidTr="00891A96">
        <w:trPr>
          <w:gridAfter w:val="1"/>
          <w:wAfter w:w="9" w:type="dxa"/>
          <w:trHeight w:val="179"/>
        </w:trPr>
        <w:tc>
          <w:tcPr>
            <w:tcW w:w="2825" w:type="dxa"/>
            <w:tcBorders>
              <w:top w:val="nil"/>
              <w:left w:val="single" w:sz="8" w:space="0" w:color="auto"/>
              <w:bottom w:val="single" w:sz="8" w:space="0" w:color="auto"/>
              <w:right w:val="single" w:sz="8" w:space="0" w:color="auto"/>
            </w:tcBorders>
            <w:shd w:val="clear" w:color="auto" w:fill="auto"/>
            <w:vAlign w:val="center"/>
            <w:hideMark/>
          </w:tcPr>
          <w:p w:rsidR="00891A96" w:rsidRPr="009907EE" w:rsidRDefault="00891A96" w:rsidP="00891A96">
            <w:pPr>
              <w:rPr>
                <w:rFonts w:cs="Calibri"/>
                <w:color w:val="000000"/>
                <w:sz w:val="18"/>
                <w:szCs w:val="18"/>
                <w:lang w:eastAsia="en-GB"/>
              </w:rPr>
            </w:pPr>
            <w:r w:rsidRPr="009907EE">
              <w:rPr>
                <w:rFonts w:cs="Calibri"/>
                <w:color w:val="000000"/>
                <w:sz w:val="18"/>
                <w:szCs w:val="18"/>
                <w:lang w:eastAsia="en-GB"/>
              </w:rPr>
              <w:t>Impairment losses (reversals) recognised in the Revaluation Reserve</w:t>
            </w:r>
          </w:p>
        </w:tc>
        <w:tc>
          <w:tcPr>
            <w:tcW w:w="960" w:type="dxa"/>
            <w:tcBorders>
              <w:top w:val="nil"/>
              <w:left w:val="nil"/>
              <w:bottom w:val="single" w:sz="8" w:space="0" w:color="auto"/>
              <w:right w:val="nil"/>
            </w:tcBorders>
            <w:shd w:val="clear" w:color="auto" w:fill="auto"/>
            <w:noWrap/>
            <w:vAlign w:val="center"/>
            <w:hideMark/>
          </w:tcPr>
          <w:p w:rsidR="00891A96" w:rsidRPr="009907EE" w:rsidRDefault="00891A96" w:rsidP="00891A96">
            <w:pPr>
              <w:jc w:val="right"/>
              <w:rPr>
                <w:rFonts w:cs="Calibri"/>
                <w:color w:val="000000"/>
                <w:sz w:val="18"/>
                <w:szCs w:val="18"/>
                <w:lang w:eastAsia="en-GB"/>
              </w:rPr>
            </w:pPr>
            <w:r w:rsidRPr="009907EE">
              <w:rPr>
                <w:rFonts w:cs="Calibri"/>
                <w:color w:val="000000"/>
                <w:sz w:val="18"/>
                <w:szCs w:val="18"/>
                <w:lang w:eastAsia="en-GB"/>
              </w:rPr>
              <w:t>0.0</w:t>
            </w:r>
          </w:p>
        </w:tc>
        <w:tc>
          <w:tcPr>
            <w:tcW w:w="960" w:type="dxa"/>
            <w:gridSpan w:val="2"/>
            <w:tcBorders>
              <w:top w:val="nil"/>
              <w:left w:val="single" w:sz="8" w:space="0" w:color="auto"/>
              <w:bottom w:val="single" w:sz="8" w:space="0" w:color="auto"/>
              <w:right w:val="nil"/>
            </w:tcBorders>
            <w:shd w:val="clear" w:color="auto" w:fill="auto"/>
            <w:noWrap/>
            <w:vAlign w:val="center"/>
            <w:hideMark/>
          </w:tcPr>
          <w:p w:rsidR="00891A96" w:rsidRPr="009907EE" w:rsidRDefault="00891A96" w:rsidP="00891A96">
            <w:pPr>
              <w:jc w:val="right"/>
              <w:rPr>
                <w:rFonts w:cs="Calibri"/>
                <w:color w:val="000000"/>
                <w:sz w:val="18"/>
                <w:szCs w:val="18"/>
                <w:lang w:eastAsia="en-GB"/>
              </w:rPr>
            </w:pPr>
            <w:r w:rsidRPr="009907EE">
              <w:rPr>
                <w:rFonts w:cs="Calibri"/>
                <w:color w:val="000000"/>
                <w:sz w:val="18"/>
                <w:szCs w:val="18"/>
                <w:lang w:eastAsia="en-GB"/>
              </w:rPr>
              <w:t>0.0</w:t>
            </w:r>
          </w:p>
        </w:tc>
        <w:tc>
          <w:tcPr>
            <w:tcW w:w="960" w:type="dxa"/>
            <w:gridSpan w:val="2"/>
            <w:tcBorders>
              <w:top w:val="nil"/>
              <w:left w:val="single" w:sz="8" w:space="0" w:color="auto"/>
              <w:bottom w:val="single" w:sz="8" w:space="0" w:color="auto"/>
              <w:right w:val="nil"/>
            </w:tcBorders>
            <w:shd w:val="clear" w:color="auto" w:fill="auto"/>
            <w:noWrap/>
            <w:vAlign w:val="center"/>
            <w:hideMark/>
          </w:tcPr>
          <w:p w:rsidR="00891A96" w:rsidRPr="009907EE" w:rsidRDefault="00891A96" w:rsidP="00891A96">
            <w:pPr>
              <w:jc w:val="right"/>
              <w:rPr>
                <w:rFonts w:cs="Calibri"/>
                <w:color w:val="000000"/>
                <w:sz w:val="18"/>
                <w:szCs w:val="18"/>
                <w:lang w:eastAsia="en-GB"/>
              </w:rPr>
            </w:pPr>
            <w:r w:rsidRPr="009907EE">
              <w:rPr>
                <w:rFonts w:cs="Calibri"/>
                <w:color w:val="000000"/>
                <w:sz w:val="18"/>
                <w:szCs w:val="18"/>
                <w:lang w:eastAsia="en-GB"/>
              </w:rPr>
              <w:t>0.0</w:t>
            </w:r>
          </w:p>
        </w:tc>
        <w:tc>
          <w:tcPr>
            <w:tcW w:w="960" w:type="dxa"/>
            <w:gridSpan w:val="2"/>
            <w:tcBorders>
              <w:top w:val="nil"/>
              <w:left w:val="single" w:sz="8" w:space="0" w:color="auto"/>
              <w:bottom w:val="single" w:sz="8" w:space="0" w:color="auto"/>
              <w:right w:val="nil"/>
            </w:tcBorders>
            <w:shd w:val="clear" w:color="auto" w:fill="auto"/>
            <w:noWrap/>
            <w:vAlign w:val="center"/>
            <w:hideMark/>
          </w:tcPr>
          <w:p w:rsidR="00891A96" w:rsidRPr="009907EE" w:rsidRDefault="00891A96" w:rsidP="00891A96">
            <w:pPr>
              <w:jc w:val="right"/>
              <w:rPr>
                <w:rFonts w:cs="Calibri"/>
                <w:color w:val="000000"/>
                <w:sz w:val="18"/>
                <w:szCs w:val="18"/>
                <w:lang w:eastAsia="en-GB"/>
              </w:rPr>
            </w:pPr>
            <w:r w:rsidRPr="009907EE">
              <w:rPr>
                <w:rFonts w:cs="Calibri"/>
                <w:color w:val="000000"/>
                <w:sz w:val="18"/>
                <w:szCs w:val="18"/>
                <w:lang w:eastAsia="en-GB"/>
              </w:rPr>
              <w:t>0.0</w:t>
            </w:r>
          </w:p>
        </w:tc>
        <w:tc>
          <w:tcPr>
            <w:tcW w:w="960" w:type="dxa"/>
            <w:gridSpan w:val="2"/>
            <w:tcBorders>
              <w:top w:val="nil"/>
              <w:left w:val="single" w:sz="8" w:space="0" w:color="auto"/>
              <w:bottom w:val="single" w:sz="8" w:space="0" w:color="auto"/>
              <w:right w:val="nil"/>
            </w:tcBorders>
            <w:shd w:val="clear" w:color="auto" w:fill="auto"/>
            <w:noWrap/>
            <w:vAlign w:val="center"/>
            <w:hideMark/>
          </w:tcPr>
          <w:p w:rsidR="00891A96" w:rsidRPr="009907EE" w:rsidRDefault="00891A96" w:rsidP="00891A96">
            <w:pPr>
              <w:jc w:val="right"/>
              <w:rPr>
                <w:rFonts w:cs="Calibri"/>
                <w:color w:val="000000"/>
                <w:sz w:val="18"/>
                <w:szCs w:val="18"/>
                <w:lang w:eastAsia="en-GB"/>
              </w:rPr>
            </w:pPr>
            <w:r w:rsidRPr="009907EE">
              <w:rPr>
                <w:rFonts w:cs="Calibri"/>
                <w:color w:val="000000"/>
                <w:sz w:val="18"/>
                <w:szCs w:val="18"/>
                <w:lang w:eastAsia="en-GB"/>
              </w:rPr>
              <w:t>0.0</w:t>
            </w:r>
          </w:p>
        </w:tc>
        <w:tc>
          <w:tcPr>
            <w:tcW w:w="1175" w:type="dxa"/>
            <w:gridSpan w:val="2"/>
            <w:tcBorders>
              <w:top w:val="nil"/>
              <w:left w:val="single" w:sz="8" w:space="0" w:color="auto"/>
              <w:bottom w:val="single" w:sz="8" w:space="0" w:color="auto"/>
              <w:right w:val="nil"/>
            </w:tcBorders>
            <w:shd w:val="clear" w:color="auto" w:fill="auto"/>
            <w:noWrap/>
            <w:vAlign w:val="center"/>
            <w:hideMark/>
          </w:tcPr>
          <w:p w:rsidR="00891A96" w:rsidRPr="009907EE" w:rsidRDefault="00891A96" w:rsidP="00891A96">
            <w:pPr>
              <w:jc w:val="right"/>
              <w:rPr>
                <w:rFonts w:cs="Calibri"/>
                <w:color w:val="000000"/>
                <w:sz w:val="18"/>
                <w:szCs w:val="18"/>
                <w:lang w:eastAsia="en-GB"/>
              </w:rPr>
            </w:pPr>
            <w:r w:rsidRPr="009907EE">
              <w:rPr>
                <w:rFonts w:cs="Calibri"/>
                <w:color w:val="000000"/>
                <w:sz w:val="18"/>
                <w:szCs w:val="18"/>
                <w:lang w:eastAsia="en-GB"/>
              </w:rPr>
              <w:t>0.0</w:t>
            </w:r>
          </w:p>
        </w:tc>
        <w:tc>
          <w:tcPr>
            <w:tcW w:w="960" w:type="dxa"/>
            <w:gridSpan w:val="2"/>
            <w:tcBorders>
              <w:top w:val="nil"/>
              <w:left w:val="single" w:sz="8" w:space="0" w:color="auto"/>
              <w:bottom w:val="single" w:sz="8" w:space="0" w:color="auto"/>
              <w:right w:val="single" w:sz="8" w:space="0" w:color="auto"/>
            </w:tcBorders>
            <w:shd w:val="clear" w:color="auto" w:fill="auto"/>
            <w:noWrap/>
            <w:vAlign w:val="center"/>
            <w:hideMark/>
          </w:tcPr>
          <w:p w:rsidR="00891A96" w:rsidRPr="009907EE" w:rsidRDefault="00891A96" w:rsidP="00891A96">
            <w:pPr>
              <w:jc w:val="right"/>
              <w:rPr>
                <w:rFonts w:cs="Calibri"/>
                <w:b/>
                <w:bCs/>
                <w:color w:val="000000"/>
                <w:sz w:val="18"/>
                <w:szCs w:val="18"/>
                <w:lang w:eastAsia="en-GB"/>
              </w:rPr>
            </w:pPr>
            <w:r w:rsidRPr="009907EE">
              <w:rPr>
                <w:rFonts w:cs="Calibri"/>
                <w:b/>
                <w:bCs/>
                <w:color w:val="000000"/>
                <w:sz w:val="18"/>
                <w:szCs w:val="18"/>
                <w:lang w:eastAsia="en-GB"/>
              </w:rPr>
              <w:t>0.0</w:t>
            </w:r>
          </w:p>
        </w:tc>
        <w:tc>
          <w:tcPr>
            <w:tcW w:w="960" w:type="dxa"/>
            <w:gridSpan w:val="2"/>
            <w:tcBorders>
              <w:top w:val="nil"/>
              <w:left w:val="nil"/>
              <w:bottom w:val="single" w:sz="8" w:space="0" w:color="auto"/>
              <w:right w:val="single" w:sz="8" w:space="0" w:color="auto"/>
            </w:tcBorders>
            <w:shd w:val="clear" w:color="auto" w:fill="auto"/>
            <w:noWrap/>
            <w:vAlign w:val="center"/>
            <w:hideMark/>
          </w:tcPr>
          <w:p w:rsidR="00891A96" w:rsidRPr="009907EE" w:rsidRDefault="00891A96" w:rsidP="00891A96">
            <w:pPr>
              <w:jc w:val="right"/>
              <w:rPr>
                <w:rFonts w:cs="Calibri"/>
                <w:color w:val="000000"/>
                <w:sz w:val="18"/>
                <w:szCs w:val="18"/>
                <w:lang w:eastAsia="en-GB"/>
              </w:rPr>
            </w:pPr>
            <w:r w:rsidRPr="009907EE">
              <w:rPr>
                <w:rFonts w:cs="Calibri"/>
                <w:color w:val="000000"/>
                <w:sz w:val="18"/>
                <w:szCs w:val="18"/>
                <w:lang w:eastAsia="en-GB"/>
              </w:rPr>
              <w:t>0.0</w:t>
            </w:r>
          </w:p>
        </w:tc>
      </w:tr>
      <w:tr w:rsidR="00891A96" w:rsidRPr="009907EE" w:rsidTr="00891A96">
        <w:trPr>
          <w:gridAfter w:val="1"/>
          <w:wAfter w:w="9" w:type="dxa"/>
          <w:trHeight w:val="574"/>
        </w:trPr>
        <w:tc>
          <w:tcPr>
            <w:tcW w:w="2825" w:type="dxa"/>
            <w:tcBorders>
              <w:top w:val="nil"/>
              <w:left w:val="single" w:sz="8" w:space="0" w:color="auto"/>
              <w:bottom w:val="single" w:sz="8" w:space="0" w:color="auto"/>
              <w:right w:val="single" w:sz="8" w:space="0" w:color="auto"/>
            </w:tcBorders>
            <w:shd w:val="clear" w:color="auto" w:fill="auto"/>
            <w:vAlign w:val="center"/>
            <w:hideMark/>
          </w:tcPr>
          <w:p w:rsidR="00891A96" w:rsidRPr="009907EE" w:rsidRDefault="00891A96" w:rsidP="00891A96">
            <w:pPr>
              <w:rPr>
                <w:rFonts w:cs="Calibri"/>
                <w:color w:val="000000"/>
                <w:sz w:val="18"/>
                <w:szCs w:val="18"/>
                <w:lang w:eastAsia="en-GB"/>
              </w:rPr>
            </w:pPr>
            <w:r w:rsidRPr="009907EE">
              <w:rPr>
                <w:rFonts w:cs="Calibri"/>
                <w:color w:val="000000"/>
                <w:sz w:val="18"/>
                <w:szCs w:val="18"/>
                <w:lang w:eastAsia="en-GB"/>
              </w:rPr>
              <w:t>Impairment Losses/(Reversals) recognised in the Surplus/Deficit on the Provision of Services</w:t>
            </w:r>
          </w:p>
        </w:tc>
        <w:tc>
          <w:tcPr>
            <w:tcW w:w="960" w:type="dxa"/>
            <w:tcBorders>
              <w:top w:val="nil"/>
              <w:left w:val="nil"/>
              <w:bottom w:val="single" w:sz="8" w:space="0" w:color="auto"/>
              <w:right w:val="nil"/>
            </w:tcBorders>
            <w:shd w:val="clear" w:color="auto" w:fill="auto"/>
            <w:noWrap/>
            <w:vAlign w:val="center"/>
            <w:hideMark/>
          </w:tcPr>
          <w:p w:rsidR="00891A96" w:rsidRPr="009907EE" w:rsidRDefault="00891A96" w:rsidP="00891A96">
            <w:pPr>
              <w:jc w:val="right"/>
              <w:rPr>
                <w:rFonts w:cs="Calibri"/>
                <w:color w:val="000000"/>
                <w:sz w:val="18"/>
                <w:szCs w:val="18"/>
                <w:lang w:eastAsia="en-GB"/>
              </w:rPr>
            </w:pPr>
            <w:r w:rsidRPr="009907EE">
              <w:rPr>
                <w:rFonts w:cs="Calibri"/>
                <w:color w:val="000000"/>
                <w:sz w:val="18"/>
                <w:szCs w:val="18"/>
                <w:lang w:eastAsia="en-GB"/>
              </w:rPr>
              <w:t>(0.1)</w:t>
            </w:r>
          </w:p>
        </w:tc>
        <w:tc>
          <w:tcPr>
            <w:tcW w:w="960" w:type="dxa"/>
            <w:gridSpan w:val="2"/>
            <w:tcBorders>
              <w:top w:val="nil"/>
              <w:left w:val="single" w:sz="8" w:space="0" w:color="auto"/>
              <w:bottom w:val="single" w:sz="8" w:space="0" w:color="auto"/>
              <w:right w:val="nil"/>
            </w:tcBorders>
            <w:shd w:val="clear" w:color="auto" w:fill="auto"/>
            <w:noWrap/>
            <w:vAlign w:val="center"/>
            <w:hideMark/>
          </w:tcPr>
          <w:p w:rsidR="00891A96" w:rsidRPr="009907EE" w:rsidRDefault="00891A96" w:rsidP="00891A96">
            <w:pPr>
              <w:jc w:val="right"/>
              <w:rPr>
                <w:rFonts w:cs="Calibri"/>
                <w:color w:val="000000"/>
                <w:sz w:val="18"/>
                <w:szCs w:val="18"/>
                <w:lang w:eastAsia="en-GB"/>
              </w:rPr>
            </w:pPr>
            <w:r w:rsidRPr="009907EE">
              <w:rPr>
                <w:rFonts w:cs="Calibri"/>
                <w:color w:val="000000"/>
                <w:sz w:val="18"/>
                <w:szCs w:val="18"/>
                <w:lang w:eastAsia="en-GB"/>
              </w:rPr>
              <w:t>0.0</w:t>
            </w:r>
          </w:p>
        </w:tc>
        <w:tc>
          <w:tcPr>
            <w:tcW w:w="960" w:type="dxa"/>
            <w:gridSpan w:val="2"/>
            <w:tcBorders>
              <w:top w:val="nil"/>
              <w:left w:val="single" w:sz="8" w:space="0" w:color="auto"/>
              <w:bottom w:val="single" w:sz="8" w:space="0" w:color="auto"/>
              <w:right w:val="nil"/>
            </w:tcBorders>
            <w:shd w:val="clear" w:color="auto" w:fill="auto"/>
            <w:noWrap/>
            <w:vAlign w:val="center"/>
            <w:hideMark/>
          </w:tcPr>
          <w:p w:rsidR="00891A96" w:rsidRPr="009907EE" w:rsidRDefault="00891A96" w:rsidP="00891A96">
            <w:pPr>
              <w:jc w:val="right"/>
              <w:rPr>
                <w:rFonts w:cs="Calibri"/>
                <w:color w:val="000000"/>
                <w:sz w:val="18"/>
                <w:szCs w:val="18"/>
                <w:lang w:eastAsia="en-GB"/>
              </w:rPr>
            </w:pPr>
            <w:r w:rsidRPr="009907EE">
              <w:rPr>
                <w:rFonts w:cs="Calibri"/>
                <w:color w:val="000000"/>
                <w:sz w:val="18"/>
                <w:szCs w:val="18"/>
                <w:lang w:eastAsia="en-GB"/>
              </w:rPr>
              <w:t>0.0</w:t>
            </w:r>
          </w:p>
        </w:tc>
        <w:tc>
          <w:tcPr>
            <w:tcW w:w="960" w:type="dxa"/>
            <w:gridSpan w:val="2"/>
            <w:tcBorders>
              <w:top w:val="nil"/>
              <w:left w:val="single" w:sz="8" w:space="0" w:color="auto"/>
              <w:bottom w:val="single" w:sz="8" w:space="0" w:color="auto"/>
              <w:right w:val="nil"/>
            </w:tcBorders>
            <w:shd w:val="clear" w:color="auto" w:fill="auto"/>
            <w:noWrap/>
            <w:vAlign w:val="center"/>
            <w:hideMark/>
          </w:tcPr>
          <w:p w:rsidR="00891A96" w:rsidRPr="009907EE" w:rsidRDefault="00891A96" w:rsidP="00891A96">
            <w:pPr>
              <w:jc w:val="right"/>
              <w:rPr>
                <w:rFonts w:cs="Calibri"/>
                <w:color w:val="000000"/>
                <w:sz w:val="18"/>
                <w:szCs w:val="18"/>
                <w:lang w:eastAsia="en-GB"/>
              </w:rPr>
            </w:pPr>
            <w:r w:rsidRPr="009907EE">
              <w:rPr>
                <w:rFonts w:cs="Calibri"/>
                <w:color w:val="000000"/>
                <w:sz w:val="18"/>
                <w:szCs w:val="18"/>
                <w:lang w:eastAsia="en-GB"/>
              </w:rPr>
              <w:t>0.0</w:t>
            </w:r>
          </w:p>
        </w:tc>
        <w:tc>
          <w:tcPr>
            <w:tcW w:w="960" w:type="dxa"/>
            <w:gridSpan w:val="2"/>
            <w:tcBorders>
              <w:top w:val="nil"/>
              <w:left w:val="single" w:sz="8" w:space="0" w:color="auto"/>
              <w:bottom w:val="single" w:sz="8" w:space="0" w:color="auto"/>
              <w:right w:val="nil"/>
            </w:tcBorders>
            <w:shd w:val="clear" w:color="auto" w:fill="auto"/>
            <w:noWrap/>
            <w:vAlign w:val="center"/>
            <w:hideMark/>
          </w:tcPr>
          <w:p w:rsidR="00891A96" w:rsidRPr="009907EE" w:rsidRDefault="00891A96" w:rsidP="00891A96">
            <w:pPr>
              <w:jc w:val="right"/>
              <w:rPr>
                <w:rFonts w:cs="Calibri"/>
                <w:color w:val="000000"/>
                <w:sz w:val="18"/>
                <w:szCs w:val="18"/>
                <w:lang w:eastAsia="en-GB"/>
              </w:rPr>
            </w:pPr>
            <w:r w:rsidRPr="009907EE">
              <w:rPr>
                <w:rFonts w:cs="Calibri"/>
                <w:color w:val="000000"/>
                <w:sz w:val="18"/>
                <w:szCs w:val="18"/>
                <w:lang w:eastAsia="en-GB"/>
              </w:rPr>
              <w:t>0.0</w:t>
            </w:r>
          </w:p>
        </w:tc>
        <w:tc>
          <w:tcPr>
            <w:tcW w:w="1175" w:type="dxa"/>
            <w:gridSpan w:val="2"/>
            <w:tcBorders>
              <w:top w:val="nil"/>
              <w:left w:val="single" w:sz="8" w:space="0" w:color="auto"/>
              <w:bottom w:val="single" w:sz="8" w:space="0" w:color="auto"/>
              <w:right w:val="nil"/>
            </w:tcBorders>
            <w:shd w:val="clear" w:color="auto" w:fill="auto"/>
            <w:noWrap/>
            <w:vAlign w:val="center"/>
            <w:hideMark/>
          </w:tcPr>
          <w:p w:rsidR="00891A96" w:rsidRPr="009907EE" w:rsidRDefault="00891A96" w:rsidP="00891A96">
            <w:pPr>
              <w:jc w:val="right"/>
              <w:rPr>
                <w:rFonts w:cs="Calibri"/>
                <w:color w:val="000000"/>
                <w:sz w:val="18"/>
                <w:szCs w:val="18"/>
                <w:lang w:eastAsia="en-GB"/>
              </w:rPr>
            </w:pPr>
            <w:r w:rsidRPr="009907EE">
              <w:rPr>
                <w:rFonts w:cs="Calibri"/>
                <w:color w:val="000000"/>
                <w:sz w:val="18"/>
                <w:szCs w:val="18"/>
                <w:lang w:eastAsia="en-GB"/>
              </w:rPr>
              <w:t>0.0</w:t>
            </w:r>
          </w:p>
        </w:tc>
        <w:tc>
          <w:tcPr>
            <w:tcW w:w="960" w:type="dxa"/>
            <w:gridSpan w:val="2"/>
            <w:tcBorders>
              <w:top w:val="nil"/>
              <w:left w:val="single" w:sz="8" w:space="0" w:color="auto"/>
              <w:bottom w:val="single" w:sz="8" w:space="0" w:color="auto"/>
              <w:right w:val="single" w:sz="8" w:space="0" w:color="auto"/>
            </w:tcBorders>
            <w:shd w:val="clear" w:color="auto" w:fill="auto"/>
            <w:noWrap/>
            <w:vAlign w:val="center"/>
            <w:hideMark/>
          </w:tcPr>
          <w:p w:rsidR="00891A96" w:rsidRPr="009907EE" w:rsidRDefault="00891A96" w:rsidP="00891A96">
            <w:pPr>
              <w:jc w:val="right"/>
              <w:rPr>
                <w:rFonts w:cs="Calibri"/>
                <w:b/>
                <w:bCs/>
                <w:color w:val="000000"/>
                <w:sz w:val="18"/>
                <w:szCs w:val="18"/>
                <w:lang w:eastAsia="en-GB"/>
              </w:rPr>
            </w:pPr>
            <w:r w:rsidRPr="009907EE">
              <w:rPr>
                <w:rFonts w:cs="Calibri"/>
                <w:b/>
                <w:bCs/>
                <w:color w:val="000000"/>
                <w:sz w:val="18"/>
                <w:szCs w:val="18"/>
                <w:lang w:eastAsia="en-GB"/>
              </w:rPr>
              <w:t>(0.1)</w:t>
            </w:r>
          </w:p>
        </w:tc>
        <w:tc>
          <w:tcPr>
            <w:tcW w:w="960" w:type="dxa"/>
            <w:gridSpan w:val="2"/>
            <w:tcBorders>
              <w:top w:val="nil"/>
              <w:left w:val="nil"/>
              <w:bottom w:val="single" w:sz="8" w:space="0" w:color="auto"/>
              <w:right w:val="single" w:sz="8" w:space="0" w:color="auto"/>
            </w:tcBorders>
            <w:shd w:val="clear" w:color="auto" w:fill="auto"/>
            <w:noWrap/>
            <w:vAlign w:val="center"/>
            <w:hideMark/>
          </w:tcPr>
          <w:p w:rsidR="00891A96" w:rsidRPr="009907EE" w:rsidRDefault="00891A96" w:rsidP="00891A96">
            <w:pPr>
              <w:jc w:val="right"/>
              <w:rPr>
                <w:rFonts w:cs="Calibri"/>
                <w:color w:val="000000"/>
                <w:sz w:val="18"/>
                <w:szCs w:val="18"/>
                <w:lang w:eastAsia="en-GB"/>
              </w:rPr>
            </w:pPr>
            <w:r w:rsidRPr="009907EE">
              <w:rPr>
                <w:rFonts w:cs="Calibri"/>
                <w:color w:val="000000"/>
                <w:sz w:val="18"/>
                <w:szCs w:val="18"/>
                <w:lang w:eastAsia="en-GB"/>
              </w:rPr>
              <w:t>0.0</w:t>
            </w:r>
          </w:p>
        </w:tc>
      </w:tr>
      <w:tr w:rsidR="00891A96" w:rsidRPr="009907EE" w:rsidTr="00891A96">
        <w:trPr>
          <w:gridAfter w:val="1"/>
          <w:wAfter w:w="9" w:type="dxa"/>
          <w:trHeight w:val="495"/>
        </w:trPr>
        <w:tc>
          <w:tcPr>
            <w:tcW w:w="2825" w:type="dxa"/>
            <w:tcBorders>
              <w:top w:val="nil"/>
              <w:left w:val="single" w:sz="8" w:space="0" w:color="auto"/>
              <w:bottom w:val="single" w:sz="8" w:space="0" w:color="auto"/>
              <w:right w:val="single" w:sz="8" w:space="0" w:color="auto"/>
            </w:tcBorders>
            <w:shd w:val="clear" w:color="auto" w:fill="auto"/>
            <w:vAlign w:val="center"/>
            <w:hideMark/>
          </w:tcPr>
          <w:p w:rsidR="00891A96" w:rsidRPr="009907EE" w:rsidRDefault="00891A96" w:rsidP="00891A96">
            <w:pPr>
              <w:rPr>
                <w:rFonts w:cs="Calibri"/>
                <w:color w:val="000000"/>
                <w:sz w:val="18"/>
                <w:szCs w:val="18"/>
                <w:lang w:eastAsia="en-GB"/>
              </w:rPr>
            </w:pPr>
            <w:r w:rsidRPr="009907EE">
              <w:rPr>
                <w:rFonts w:cs="Calibri"/>
                <w:color w:val="000000"/>
                <w:sz w:val="18"/>
                <w:szCs w:val="18"/>
                <w:lang w:eastAsia="en-GB"/>
              </w:rPr>
              <w:t>Derecognition - Disposals</w:t>
            </w:r>
          </w:p>
        </w:tc>
        <w:tc>
          <w:tcPr>
            <w:tcW w:w="960" w:type="dxa"/>
            <w:tcBorders>
              <w:top w:val="nil"/>
              <w:left w:val="nil"/>
              <w:bottom w:val="single" w:sz="8" w:space="0" w:color="auto"/>
              <w:right w:val="nil"/>
            </w:tcBorders>
            <w:shd w:val="clear" w:color="auto" w:fill="auto"/>
            <w:noWrap/>
            <w:vAlign w:val="center"/>
            <w:hideMark/>
          </w:tcPr>
          <w:p w:rsidR="00891A96" w:rsidRPr="009907EE" w:rsidRDefault="00891A96" w:rsidP="00891A96">
            <w:pPr>
              <w:jc w:val="right"/>
              <w:rPr>
                <w:rFonts w:cs="Calibri"/>
                <w:color w:val="000000"/>
                <w:sz w:val="18"/>
                <w:szCs w:val="18"/>
                <w:lang w:eastAsia="en-GB"/>
              </w:rPr>
            </w:pPr>
            <w:r w:rsidRPr="009907EE">
              <w:rPr>
                <w:rFonts w:cs="Calibri"/>
                <w:color w:val="000000"/>
                <w:sz w:val="18"/>
                <w:szCs w:val="18"/>
                <w:lang w:eastAsia="en-GB"/>
              </w:rPr>
              <w:t>0.1</w:t>
            </w:r>
          </w:p>
        </w:tc>
        <w:tc>
          <w:tcPr>
            <w:tcW w:w="960" w:type="dxa"/>
            <w:gridSpan w:val="2"/>
            <w:tcBorders>
              <w:top w:val="nil"/>
              <w:left w:val="single" w:sz="8" w:space="0" w:color="auto"/>
              <w:bottom w:val="single" w:sz="8" w:space="0" w:color="auto"/>
              <w:right w:val="nil"/>
            </w:tcBorders>
            <w:shd w:val="clear" w:color="auto" w:fill="auto"/>
            <w:noWrap/>
            <w:vAlign w:val="center"/>
            <w:hideMark/>
          </w:tcPr>
          <w:p w:rsidR="00891A96" w:rsidRPr="009907EE" w:rsidRDefault="00891A96" w:rsidP="00891A96">
            <w:pPr>
              <w:jc w:val="right"/>
              <w:rPr>
                <w:rFonts w:cs="Calibri"/>
                <w:color w:val="000000"/>
                <w:sz w:val="18"/>
                <w:szCs w:val="18"/>
                <w:lang w:eastAsia="en-GB"/>
              </w:rPr>
            </w:pPr>
            <w:r w:rsidRPr="009907EE">
              <w:rPr>
                <w:rFonts w:cs="Calibri"/>
                <w:color w:val="000000"/>
                <w:sz w:val="18"/>
                <w:szCs w:val="18"/>
                <w:lang w:eastAsia="en-GB"/>
              </w:rPr>
              <w:t>1.0</w:t>
            </w:r>
          </w:p>
        </w:tc>
        <w:tc>
          <w:tcPr>
            <w:tcW w:w="960" w:type="dxa"/>
            <w:gridSpan w:val="2"/>
            <w:tcBorders>
              <w:top w:val="nil"/>
              <w:left w:val="single" w:sz="8" w:space="0" w:color="auto"/>
              <w:bottom w:val="single" w:sz="8" w:space="0" w:color="auto"/>
              <w:right w:val="nil"/>
            </w:tcBorders>
            <w:shd w:val="clear" w:color="auto" w:fill="auto"/>
            <w:noWrap/>
            <w:vAlign w:val="center"/>
            <w:hideMark/>
          </w:tcPr>
          <w:p w:rsidR="00891A96" w:rsidRPr="009907EE" w:rsidRDefault="00891A96" w:rsidP="00891A96">
            <w:pPr>
              <w:jc w:val="right"/>
              <w:rPr>
                <w:rFonts w:cs="Calibri"/>
                <w:color w:val="000000"/>
                <w:sz w:val="18"/>
                <w:szCs w:val="18"/>
                <w:lang w:eastAsia="en-GB"/>
              </w:rPr>
            </w:pPr>
            <w:r w:rsidRPr="009907EE">
              <w:rPr>
                <w:rFonts w:cs="Calibri"/>
                <w:color w:val="000000"/>
                <w:sz w:val="18"/>
                <w:szCs w:val="18"/>
                <w:lang w:eastAsia="en-GB"/>
              </w:rPr>
              <w:t>1.1</w:t>
            </w:r>
          </w:p>
        </w:tc>
        <w:tc>
          <w:tcPr>
            <w:tcW w:w="960" w:type="dxa"/>
            <w:gridSpan w:val="2"/>
            <w:tcBorders>
              <w:top w:val="nil"/>
              <w:left w:val="single" w:sz="8" w:space="0" w:color="auto"/>
              <w:bottom w:val="single" w:sz="8" w:space="0" w:color="auto"/>
              <w:right w:val="nil"/>
            </w:tcBorders>
            <w:shd w:val="clear" w:color="auto" w:fill="auto"/>
            <w:noWrap/>
            <w:vAlign w:val="center"/>
            <w:hideMark/>
          </w:tcPr>
          <w:p w:rsidR="00891A96" w:rsidRPr="009907EE" w:rsidRDefault="00891A96" w:rsidP="00891A96">
            <w:pPr>
              <w:jc w:val="right"/>
              <w:rPr>
                <w:rFonts w:cs="Calibri"/>
                <w:color w:val="000000"/>
                <w:sz w:val="18"/>
                <w:szCs w:val="18"/>
                <w:lang w:eastAsia="en-GB"/>
              </w:rPr>
            </w:pPr>
            <w:r w:rsidRPr="009907EE">
              <w:rPr>
                <w:rFonts w:cs="Calibri"/>
                <w:color w:val="000000"/>
                <w:sz w:val="18"/>
                <w:szCs w:val="18"/>
                <w:lang w:eastAsia="en-GB"/>
              </w:rPr>
              <w:t>0.0</w:t>
            </w:r>
          </w:p>
        </w:tc>
        <w:tc>
          <w:tcPr>
            <w:tcW w:w="960" w:type="dxa"/>
            <w:gridSpan w:val="2"/>
            <w:tcBorders>
              <w:top w:val="nil"/>
              <w:left w:val="single" w:sz="8" w:space="0" w:color="auto"/>
              <w:bottom w:val="single" w:sz="8" w:space="0" w:color="auto"/>
              <w:right w:val="nil"/>
            </w:tcBorders>
            <w:shd w:val="clear" w:color="auto" w:fill="auto"/>
            <w:noWrap/>
            <w:vAlign w:val="center"/>
            <w:hideMark/>
          </w:tcPr>
          <w:p w:rsidR="00891A96" w:rsidRPr="009907EE" w:rsidRDefault="00891A96" w:rsidP="00891A96">
            <w:pPr>
              <w:jc w:val="right"/>
              <w:rPr>
                <w:rFonts w:cs="Calibri"/>
                <w:color w:val="000000"/>
                <w:sz w:val="18"/>
                <w:szCs w:val="18"/>
                <w:lang w:eastAsia="en-GB"/>
              </w:rPr>
            </w:pPr>
            <w:r w:rsidRPr="009907EE">
              <w:rPr>
                <w:rFonts w:cs="Calibri"/>
                <w:color w:val="000000"/>
                <w:sz w:val="18"/>
                <w:szCs w:val="18"/>
                <w:lang w:eastAsia="en-GB"/>
              </w:rPr>
              <w:t>0.0</w:t>
            </w:r>
          </w:p>
        </w:tc>
        <w:tc>
          <w:tcPr>
            <w:tcW w:w="1175" w:type="dxa"/>
            <w:gridSpan w:val="2"/>
            <w:tcBorders>
              <w:top w:val="nil"/>
              <w:left w:val="single" w:sz="8" w:space="0" w:color="auto"/>
              <w:bottom w:val="single" w:sz="8" w:space="0" w:color="auto"/>
              <w:right w:val="nil"/>
            </w:tcBorders>
            <w:shd w:val="clear" w:color="auto" w:fill="auto"/>
            <w:noWrap/>
            <w:vAlign w:val="center"/>
            <w:hideMark/>
          </w:tcPr>
          <w:p w:rsidR="00891A96" w:rsidRPr="009907EE" w:rsidRDefault="00891A96" w:rsidP="00891A96">
            <w:pPr>
              <w:jc w:val="right"/>
              <w:rPr>
                <w:rFonts w:cs="Calibri"/>
                <w:color w:val="000000"/>
                <w:sz w:val="18"/>
                <w:szCs w:val="18"/>
                <w:lang w:eastAsia="en-GB"/>
              </w:rPr>
            </w:pPr>
            <w:r w:rsidRPr="009907EE">
              <w:rPr>
                <w:rFonts w:cs="Calibri"/>
                <w:color w:val="000000"/>
                <w:sz w:val="18"/>
                <w:szCs w:val="18"/>
                <w:lang w:eastAsia="en-GB"/>
              </w:rPr>
              <w:t>0.0</w:t>
            </w:r>
          </w:p>
        </w:tc>
        <w:tc>
          <w:tcPr>
            <w:tcW w:w="960" w:type="dxa"/>
            <w:gridSpan w:val="2"/>
            <w:tcBorders>
              <w:top w:val="nil"/>
              <w:left w:val="single" w:sz="8" w:space="0" w:color="auto"/>
              <w:bottom w:val="single" w:sz="8" w:space="0" w:color="auto"/>
              <w:right w:val="single" w:sz="8" w:space="0" w:color="auto"/>
            </w:tcBorders>
            <w:shd w:val="clear" w:color="auto" w:fill="auto"/>
            <w:noWrap/>
            <w:vAlign w:val="center"/>
            <w:hideMark/>
          </w:tcPr>
          <w:p w:rsidR="00891A96" w:rsidRPr="009907EE" w:rsidRDefault="00891A96" w:rsidP="00891A96">
            <w:pPr>
              <w:jc w:val="right"/>
              <w:rPr>
                <w:rFonts w:cs="Calibri"/>
                <w:b/>
                <w:bCs/>
                <w:color w:val="000000"/>
                <w:sz w:val="18"/>
                <w:szCs w:val="18"/>
                <w:lang w:eastAsia="en-GB"/>
              </w:rPr>
            </w:pPr>
            <w:r w:rsidRPr="009907EE">
              <w:rPr>
                <w:rFonts w:cs="Calibri"/>
                <w:b/>
                <w:bCs/>
                <w:color w:val="000000"/>
                <w:sz w:val="18"/>
                <w:szCs w:val="18"/>
                <w:lang w:eastAsia="en-GB"/>
              </w:rPr>
              <w:t>2.2</w:t>
            </w:r>
          </w:p>
        </w:tc>
        <w:tc>
          <w:tcPr>
            <w:tcW w:w="960" w:type="dxa"/>
            <w:gridSpan w:val="2"/>
            <w:tcBorders>
              <w:top w:val="nil"/>
              <w:left w:val="nil"/>
              <w:bottom w:val="single" w:sz="8" w:space="0" w:color="auto"/>
              <w:right w:val="single" w:sz="8" w:space="0" w:color="auto"/>
            </w:tcBorders>
            <w:shd w:val="clear" w:color="auto" w:fill="auto"/>
            <w:noWrap/>
            <w:vAlign w:val="center"/>
            <w:hideMark/>
          </w:tcPr>
          <w:p w:rsidR="00891A96" w:rsidRPr="009907EE" w:rsidRDefault="00891A96" w:rsidP="00891A96">
            <w:pPr>
              <w:jc w:val="right"/>
              <w:rPr>
                <w:rFonts w:cs="Calibri"/>
                <w:color w:val="000000"/>
                <w:sz w:val="18"/>
                <w:szCs w:val="18"/>
                <w:lang w:eastAsia="en-GB"/>
              </w:rPr>
            </w:pPr>
            <w:r w:rsidRPr="009907EE">
              <w:rPr>
                <w:rFonts w:cs="Calibri"/>
                <w:color w:val="000000"/>
                <w:sz w:val="18"/>
                <w:szCs w:val="18"/>
                <w:lang w:eastAsia="en-GB"/>
              </w:rPr>
              <w:t>0.0</w:t>
            </w:r>
          </w:p>
        </w:tc>
      </w:tr>
      <w:tr w:rsidR="00891A96" w:rsidRPr="009907EE" w:rsidTr="00891A96">
        <w:trPr>
          <w:gridAfter w:val="1"/>
          <w:wAfter w:w="9" w:type="dxa"/>
          <w:trHeight w:val="735"/>
        </w:trPr>
        <w:tc>
          <w:tcPr>
            <w:tcW w:w="2825" w:type="dxa"/>
            <w:tcBorders>
              <w:top w:val="nil"/>
              <w:left w:val="single" w:sz="8" w:space="0" w:color="auto"/>
              <w:bottom w:val="single" w:sz="8" w:space="0" w:color="auto"/>
              <w:right w:val="single" w:sz="8" w:space="0" w:color="auto"/>
            </w:tcBorders>
            <w:shd w:val="clear" w:color="auto" w:fill="auto"/>
            <w:vAlign w:val="center"/>
            <w:hideMark/>
          </w:tcPr>
          <w:p w:rsidR="00891A96" w:rsidRPr="009907EE" w:rsidRDefault="00891A96" w:rsidP="00891A96">
            <w:pPr>
              <w:rPr>
                <w:rFonts w:cs="Calibri"/>
                <w:color w:val="000000"/>
                <w:sz w:val="18"/>
                <w:szCs w:val="18"/>
                <w:lang w:eastAsia="en-GB"/>
              </w:rPr>
            </w:pPr>
            <w:r w:rsidRPr="009907EE">
              <w:rPr>
                <w:rFonts w:cs="Calibri"/>
                <w:color w:val="000000"/>
                <w:sz w:val="18"/>
                <w:szCs w:val="18"/>
                <w:lang w:eastAsia="en-GB"/>
              </w:rPr>
              <w:t>Reclassifications (to/from Assets Held for Sale)</w:t>
            </w:r>
          </w:p>
        </w:tc>
        <w:tc>
          <w:tcPr>
            <w:tcW w:w="960" w:type="dxa"/>
            <w:tcBorders>
              <w:top w:val="nil"/>
              <w:left w:val="nil"/>
              <w:bottom w:val="single" w:sz="8" w:space="0" w:color="auto"/>
              <w:right w:val="nil"/>
            </w:tcBorders>
            <w:shd w:val="clear" w:color="auto" w:fill="auto"/>
            <w:noWrap/>
            <w:vAlign w:val="center"/>
            <w:hideMark/>
          </w:tcPr>
          <w:p w:rsidR="00891A96" w:rsidRPr="009907EE" w:rsidRDefault="00891A96" w:rsidP="00891A96">
            <w:pPr>
              <w:jc w:val="right"/>
              <w:rPr>
                <w:rFonts w:cs="Calibri"/>
                <w:color w:val="000000"/>
                <w:sz w:val="18"/>
                <w:szCs w:val="18"/>
                <w:lang w:eastAsia="en-GB"/>
              </w:rPr>
            </w:pPr>
            <w:r w:rsidRPr="009907EE">
              <w:rPr>
                <w:rFonts w:cs="Calibri"/>
                <w:color w:val="000000"/>
                <w:sz w:val="18"/>
                <w:szCs w:val="18"/>
                <w:lang w:eastAsia="en-GB"/>
              </w:rPr>
              <w:t>0.0</w:t>
            </w:r>
          </w:p>
        </w:tc>
        <w:tc>
          <w:tcPr>
            <w:tcW w:w="960" w:type="dxa"/>
            <w:gridSpan w:val="2"/>
            <w:tcBorders>
              <w:top w:val="nil"/>
              <w:left w:val="single" w:sz="8" w:space="0" w:color="auto"/>
              <w:bottom w:val="single" w:sz="8" w:space="0" w:color="auto"/>
              <w:right w:val="nil"/>
            </w:tcBorders>
            <w:shd w:val="clear" w:color="auto" w:fill="auto"/>
            <w:noWrap/>
            <w:vAlign w:val="center"/>
            <w:hideMark/>
          </w:tcPr>
          <w:p w:rsidR="00891A96" w:rsidRPr="009907EE" w:rsidRDefault="00891A96" w:rsidP="00891A96">
            <w:pPr>
              <w:jc w:val="right"/>
              <w:rPr>
                <w:rFonts w:cs="Calibri"/>
                <w:color w:val="000000"/>
                <w:sz w:val="18"/>
                <w:szCs w:val="18"/>
                <w:lang w:eastAsia="en-GB"/>
              </w:rPr>
            </w:pPr>
            <w:r w:rsidRPr="009907EE">
              <w:rPr>
                <w:rFonts w:cs="Calibri"/>
                <w:color w:val="000000"/>
                <w:sz w:val="18"/>
                <w:szCs w:val="18"/>
                <w:lang w:eastAsia="en-GB"/>
              </w:rPr>
              <w:t>0.0</w:t>
            </w:r>
          </w:p>
        </w:tc>
        <w:tc>
          <w:tcPr>
            <w:tcW w:w="960" w:type="dxa"/>
            <w:gridSpan w:val="2"/>
            <w:tcBorders>
              <w:top w:val="nil"/>
              <w:left w:val="single" w:sz="8" w:space="0" w:color="auto"/>
              <w:bottom w:val="single" w:sz="8" w:space="0" w:color="auto"/>
              <w:right w:val="nil"/>
            </w:tcBorders>
            <w:shd w:val="clear" w:color="auto" w:fill="auto"/>
            <w:noWrap/>
            <w:vAlign w:val="center"/>
            <w:hideMark/>
          </w:tcPr>
          <w:p w:rsidR="00891A96" w:rsidRPr="009907EE" w:rsidRDefault="00891A96" w:rsidP="00891A96">
            <w:pPr>
              <w:jc w:val="right"/>
              <w:rPr>
                <w:rFonts w:cs="Calibri"/>
                <w:color w:val="000000"/>
                <w:sz w:val="18"/>
                <w:szCs w:val="18"/>
                <w:lang w:eastAsia="en-GB"/>
              </w:rPr>
            </w:pPr>
            <w:r w:rsidRPr="009907EE">
              <w:rPr>
                <w:rFonts w:cs="Calibri"/>
                <w:color w:val="000000"/>
                <w:sz w:val="18"/>
                <w:szCs w:val="18"/>
                <w:lang w:eastAsia="en-GB"/>
              </w:rPr>
              <w:t>0.0</w:t>
            </w:r>
          </w:p>
        </w:tc>
        <w:tc>
          <w:tcPr>
            <w:tcW w:w="960" w:type="dxa"/>
            <w:gridSpan w:val="2"/>
            <w:tcBorders>
              <w:top w:val="nil"/>
              <w:left w:val="single" w:sz="8" w:space="0" w:color="auto"/>
              <w:bottom w:val="single" w:sz="8" w:space="0" w:color="auto"/>
              <w:right w:val="nil"/>
            </w:tcBorders>
            <w:shd w:val="clear" w:color="auto" w:fill="auto"/>
            <w:noWrap/>
            <w:vAlign w:val="center"/>
            <w:hideMark/>
          </w:tcPr>
          <w:p w:rsidR="00891A96" w:rsidRPr="009907EE" w:rsidRDefault="00891A96" w:rsidP="00891A96">
            <w:pPr>
              <w:jc w:val="right"/>
              <w:rPr>
                <w:rFonts w:cs="Calibri"/>
                <w:color w:val="000000"/>
                <w:sz w:val="18"/>
                <w:szCs w:val="18"/>
                <w:lang w:eastAsia="en-GB"/>
              </w:rPr>
            </w:pPr>
            <w:r w:rsidRPr="009907EE">
              <w:rPr>
                <w:rFonts w:cs="Calibri"/>
                <w:color w:val="000000"/>
                <w:sz w:val="18"/>
                <w:szCs w:val="18"/>
                <w:lang w:eastAsia="en-GB"/>
              </w:rPr>
              <w:t>0.0</w:t>
            </w:r>
          </w:p>
        </w:tc>
        <w:tc>
          <w:tcPr>
            <w:tcW w:w="960" w:type="dxa"/>
            <w:gridSpan w:val="2"/>
            <w:tcBorders>
              <w:top w:val="nil"/>
              <w:left w:val="single" w:sz="8" w:space="0" w:color="auto"/>
              <w:bottom w:val="single" w:sz="8" w:space="0" w:color="auto"/>
              <w:right w:val="nil"/>
            </w:tcBorders>
            <w:shd w:val="clear" w:color="auto" w:fill="auto"/>
            <w:noWrap/>
            <w:vAlign w:val="center"/>
            <w:hideMark/>
          </w:tcPr>
          <w:p w:rsidR="00891A96" w:rsidRPr="009907EE" w:rsidRDefault="00891A96" w:rsidP="00891A96">
            <w:pPr>
              <w:jc w:val="right"/>
              <w:rPr>
                <w:rFonts w:cs="Calibri"/>
                <w:color w:val="000000"/>
                <w:sz w:val="18"/>
                <w:szCs w:val="18"/>
                <w:lang w:eastAsia="en-GB"/>
              </w:rPr>
            </w:pPr>
            <w:r w:rsidRPr="009907EE">
              <w:rPr>
                <w:rFonts w:cs="Calibri"/>
                <w:color w:val="000000"/>
                <w:sz w:val="18"/>
                <w:szCs w:val="18"/>
                <w:lang w:eastAsia="en-GB"/>
              </w:rPr>
              <w:t>0.0</w:t>
            </w:r>
          </w:p>
        </w:tc>
        <w:tc>
          <w:tcPr>
            <w:tcW w:w="1175" w:type="dxa"/>
            <w:gridSpan w:val="2"/>
            <w:tcBorders>
              <w:top w:val="nil"/>
              <w:left w:val="single" w:sz="8" w:space="0" w:color="auto"/>
              <w:bottom w:val="single" w:sz="8" w:space="0" w:color="auto"/>
              <w:right w:val="nil"/>
            </w:tcBorders>
            <w:shd w:val="clear" w:color="auto" w:fill="auto"/>
            <w:noWrap/>
            <w:vAlign w:val="center"/>
            <w:hideMark/>
          </w:tcPr>
          <w:p w:rsidR="00891A96" w:rsidRPr="009907EE" w:rsidRDefault="00891A96" w:rsidP="00891A96">
            <w:pPr>
              <w:jc w:val="right"/>
              <w:rPr>
                <w:rFonts w:cs="Calibri"/>
                <w:color w:val="000000"/>
                <w:sz w:val="18"/>
                <w:szCs w:val="18"/>
                <w:lang w:eastAsia="en-GB"/>
              </w:rPr>
            </w:pPr>
            <w:r w:rsidRPr="009907EE">
              <w:rPr>
                <w:rFonts w:cs="Calibri"/>
                <w:color w:val="000000"/>
                <w:sz w:val="18"/>
                <w:szCs w:val="18"/>
                <w:lang w:eastAsia="en-GB"/>
              </w:rPr>
              <w:t>0.0</w:t>
            </w:r>
          </w:p>
        </w:tc>
        <w:tc>
          <w:tcPr>
            <w:tcW w:w="960" w:type="dxa"/>
            <w:gridSpan w:val="2"/>
            <w:tcBorders>
              <w:top w:val="nil"/>
              <w:left w:val="single" w:sz="8" w:space="0" w:color="auto"/>
              <w:bottom w:val="single" w:sz="8" w:space="0" w:color="auto"/>
              <w:right w:val="single" w:sz="8" w:space="0" w:color="auto"/>
            </w:tcBorders>
            <w:shd w:val="clear" w:color="auto" w:fill="auto"/>
            <w:noWrap/>
            <w:vAlign w:val="center"/>
            <w:hideMark/>
          </w:tcPr>
          <w:p w:rsidR="00891A96" w:rsidRPr="009907EE" w:rsidRDefault="00891A96" w:rsidP="00891A96">
            <w:pPr>
              <w:jc w:val="right"/>
              <w:rPr>
                <w:rFonts w:cs="Calibri"/>
                <w:b/>
                <w:bCs/>
                <w:color w:val="000000"/>
                <w:sz w:val="18"/>
                <w:szCs w:val="18"/>
                <w:lang w:eastAsia="en-GB"/>
              </w:rPr>
            </w:pPr>
            <w:r w:rsidRPr="009907EE">
              <w:rPr>
                <w:rFonts w:cs="Calibri"/>
                <w:b/>
                <w:bCs/>
                <w:color w:val="000000"/>
                <w:sz w:val="18"/>
                <w:szCs w:val="18"/>
                <w:lang w:eastAsia="en-GB"/>
              </w:rPr>
              <w:t>0.0</w:t>
            </w:r>
          </w:p>
        </w:tc>
        <w:tc>
          <w:tcPr>
            <w:tcW w:w="960" w:type="dxa"/>
            <w:gridSpan w:val="2"/>
            <w:tcBorders>
              <w:top w:val="nil"/>
              <w:left w:val="nil"/>
              <w:bottom w:val="single" w:sz="8" w:space="0" w:color="auto"/>
              <w:right w:val="single" w:sz="8" w:space="0" w:color="auto"/>
            </w:tcBorders>
            <w:shd w:val="clear" w:color="auto" w:fill="auto"/>
            <w:noWrap/>
            <w:vAlign w:val="center"/>
            <w:hideMark/>
          </w:tcPr>
          <w:p w:rsidR="00891A96" w:rsidRPr="009907EE" w:rsidRDefault="00891A96" w:rsidP="00891A96">
            <w:pPr>
              <w:jc w:val="right"/>
              <w:rPr>
                <w:rFonts w:cs="Calibri"/>
                <w:color w:val="000000"/>
                <w:sz w:val="18"/>
                <w:szCs w:val="18"/>
                <w:lang w:eastAsia="en-GB"/>
              </w:rPr>
            </w:pPr>
            <w:r w:rsidRPr="009907EE">
              <w:rPr>
                <w:rFonts w:cs="Calibri"/>
                <w:color w:val="000000"/>
                <w:sz w:val="18"/>
                <w:szCs w:val="18"/>
                <w:lang w:eastAsia="en-GB"/>
              </w:rPr>
              <w:t>0.0</w:t>
            </w:r>
          </w:p>
        </w:tc>
      </w:tr>
      <w:tr w:rsidR="00891A96" w:rsidRPr="009907EE" w:rsidTr="00891A96">
        <w:trPr>
          <w:gridAfter w:val="1"/>
          <w:wAfter w:w="9" w:type="dxa"/>
          <w:trHeight w:val="735"/>
        </w:trPr>
        <w:tc>
          <w:tcPr>
            <w:tcW w:w="2825" w:type="dxa"/>
            <w:tcBorders>
              <w:top w:val="nil"/>
              <w:left w:val="single" w:sz="8" w:space="0" w:color="auto"/>
              <w:bottom w:val="single" w:sz="8" w:space="0" w:color="auto"/>
              <w:right w:val="single" w:sz="8" w:space="0" w:color="auto"/>
            </w:tcBorders>
            <w:shd w:val="clear" w:color="auto" w:fill="auto"/>
            <w:vAlign w:val="center"/>
            <w:hideMark/>
          </w:tcPr>
          <w:p w:rsidR="00891A96" w:rsidRPr="009907EE" w:rsidRDefault="00891A96" w:rsidP="00891A96">
            <w:pPr>
              <w:rPr>
                <w:rFonts w:cs="Calibri"/>
                <w:color w:val="000000"/>
                <w:sz w:val="18"/>
                <w:szCs w:val="18"/>
                <w:lang w:eastAsia="en-GB"/>
              </w:rPr>
            </w:pPr>
            <w:r w:rsidRPr="009907EE">
              <w:rPr>
                <w:rFonts w:cs="Calibri"/>
                <w:color w:val="000000"/>
                <w:sz w:val="18"/>
                <w:szCs w:val="18"/>
                <w:lang w:eastAsia="en-GB"/>
              </w:rPr>
              <w:t>Other Movements in Depreciation &amp; Impairments</w:t>
            </w:r>
          </w:p>
        </w:tc>
        <w:tc>
          <w:tcPr>
            <w:tcW w:w="960" w:type="dxa"/>
            <w:tcBorders>
              <w:top w:val="nil"/>
              <w:left w:val="nil"/>
              <w:bottom w:val="single" w:sz="8" w:space="0" w:color="auto"/>
              <w:right w:val="nil"/>
            </w:tcBorders>
            <w:shd w:val="clear" w:color="auto" w:fill="auto"/>
            <w:noWrap/>
            <w:vAlign w:val="center"/>
            <w:hideMark/>
          </w:tcPr>
          <w:p w:rsidR="00891A96" w:rsidRPr="009907EE" w:rsidRDefault="00891A96" w:rsidP="00891A96">
            <w:pPr>
              <w:jc w:val="right"/>
              <w:rPr>
                <w:rFonts w:cs="Calibri"/>
                <w:color w:val="000000"/>
                <w:sz w:val="18"/>
                <w:szCs w:val="18"/>
                <w:lang w:eastAsia="en-GB"/>
              </w:rPr>
            </w:pPr>
            <w:r w:rsidRPr="009907EE">
              <w:rPr>
                <w:rFonts w:cs="Calibri"/>
                <w:color w:val="000000"/>
                <w:sz w:val="18"/>
                <w:szCs w:val="18"/>
                <w:lang w:eastAsia="en-GB"/>
              </w:rPr>
              <w:t>1.1</w:t>
            </w:r>
          </w:p>
        </w:tc>
        <w:tc>
          <w:tcPr>
            <w:tcW w:w="960" w:type="dxa"/>
            <w:gridSpan w:val="2"/>
            <w:tcBorders>
              <w:top w:val="nil"/>
              <w:left w:val="single" w:sz="8" w:space="0" w:color="auto"/>
              <w:bottom w:val="single" w:sz="8" w:space="0" w:color="auto"/>
              <w:right w:val="nil"/>
            </w:tcBorders>
            <w:shd w:val="clear" w:color="auto" w:fill="auto"/>
            <w:noWrap/>
            <w:vAlign w:val="center"/>
            <w:hideMark/>
          </w:tcPr>
          <w:p w:rsidR="00891A96" w:rsidRPr="009907EE" w:rsidRDefault="00891A96" w:rsidP="00891A96">
            <w:pPr>
              <w:jc w:val="right"/>
              <w:rPr>
                <w:rFonts w:cs="Calibri"/>
                <w:color w:val="000000"/>
                <w:sz w:val="18"/>
                <w:szCs w:val="18"/>
                <w:lang w:eastAsia="en-GB"/>
              </w:rPr>
            </w:pPr>
            <w:r w:rsidRPr="009907EE">
              <w:rPr>
                <w:rFonts w:cs="Calibri"/>
                <w:color w:val="000000"/>
                <w:sz w:val="18"/>
                <w:szCs w:val="18"/>
                <w:lang w:eastAsia="en-GB"/>
              </w:rPr>
              <w:t>(1.1)</w:t>
            </w:r>
          </w:p>
        </w:tc>
        <w:tc>
          <w:tcPr>
            <w:tcW w:w="960" w:type="dxa"/>
            <w:gridSpan w:val="2"/>
            <w:tcBorders>
              <w:top w:val="nil"/>
              <w:left w:val="single" w:sz="8" w:space="0" w:color="auto"/>
              <w:bottom w:val="single" w:sz="8" w:space="0" w:color="auto"/>
              <w:right w:val="nil"/>
            </w:tcBorders>
            <w:shd w:val="clear" w:color="auto" w:fill="auto"/>
            <w:noWrap/>
            <w:vAlign w:val="center"/>
            <w:hideMark/>
          </w:tcPr>
          <w:p w:rsidR="00891A96" w:rsidRPr="009907EE" w:rsidRDefault="00891A96" w:rsidP="00891A96">
            <w:pPr>
              <w:jc w:val="right"/>
              <w:rPr>
                <w:rFonts w:cs="Calibri"/>
                <w:color w:val="000000"/>
                <w:sz w:val="18"/>
                <w:szCs w:val="18"/>
                <w:lang w:eastAsia="en-GB"/>
              </w:rPr>
            </w:pPr>
            <w:r w:rsidRPr="009907EE">
              <w:rPr>
                <w:rFonts w:cs="Calibri"/>
                <w:color w:val="000000"/>
                <w:sz w:val="18"/>
                <w:szCs w:val="18"/>
                <w:lang w:eastAsia="en-GB"/>
              </w:rPr>
              <w:t>0.0</w:t>
            </w:r>
          </w:p>
        </w:tc>
        <w:tc>
          <w:tcPr>
            <w:tcW w:w="960" w:type="dxa"/>
            <w:gridSpan w:val="2"/>
            <w:tcBorders>
              <w:top w:val="nil"/>
              <w:left w:val="single" w:sz="8" w:space="0" w:color="auto"/>
              <w:bottom w:val="single" w:sz="8" w:space="0" w:color="auto"/>
              <w:right w:val="nil"/>
            </w:tcBorders>
            <w:shd w:val="clear" w:color="auto" w:fill="auto"/>
            <w:noWrap/>
            <w:vAlign w:val="center"/>
            <w:hideMark/>
          </w:tcPr>
          <w:p w:rsidR="00891A96" w:rsidRPr="009907EE" w:rsidRDefault="00891A96" w:rsidP="00891A96">
            <w:pPr>
              <w:jc w:val="right"/>
              <w:rPr>
                <w:rFonts w:cs="Calibri"/>
                <w:color w:val="000000"/>
                <w:sz w:val="18"/>
                <w:szCs w:val="18"/>
                <w:lang w:eastAsia="en-GB"/>
              </w:rPr>
            </w:pPr>
            <w:r w:rsidRPr="009907EE">
              <w:rPr>
                <w:rFonts w:cs="Calibri"/>
                <w:color w:val="000000"/>
                <w:sz w:val="18"/>
                <w:szCs w:val="18"/>
                <w:lang w:eastAsia="en-GB"/>
              </w:rPr>
              <w:t>0.0</w:t>
            </w:r>
          </w:p>
        </w:tc>
        <w:tc>
          <w:tcPr>
            <w:tcW w:w="960" w:type="dxa"/>
            <w:gridSpan w:val="2"/>
            <w:tcBorders>
              <w:top w:val="nil"/>
              <w:left w:val="single" w:sz="8" w:space="0" w:color="auto"/>
              <w:bottom w:val="single" w:sz="8" w:space="0" w:color="auto"/>
              <w:right w:val="nil"/>
            </w:tcBorders>
            <w:shd w:val="clear" w:color="auto" w:fill="auto"/>
            <w:noWrap/>
            <w:vAlign w:val="center"/>
            <w:hideMark/>
          </w:tcPr>
          <w:p w:rsidR="00891A96" w:rsidRPr="009907EE" w:rsidRDefault="00891A96" w:rsidP="00891A96">
            <w:pPr>
              <w:jc w:val="right"/>
              <w:rPr>
                <w:rFonts w:cs="Calibri"/>
                <w:color w:val="000000"/>
                <w:sz w:val="18"/>
                <w:szCs w:val="18"/>
                <w:lang w:eastAsia="en-GB"/>
              </w:rPr>
            </w:pPr>
            <w:r w:rsidRPr="009907EE">
              <w:rPr>
                <w:rFonts w:cs="Calibri"/>
                <w:color w:val="000000"/>
                <w:sz w:val="18"/>
                <w:szCs w:val="18"/>
                <w:lang w:eastAsia="en-GB"/>
              </w:rPr>
              <w:t>0.0</w:t>
            </w:r>
          </w:p>
        </w:tc>
        <w:tc>
          <w:tcPr>
            <w:tcW w:w="1175" w:type="dxa"/>
            <w:gridSpan w:val="2"/>
            <w:tcBorders>
              <w:top w:val="nil"/>
              <w:left w:val="single" w:sz="8" w:space="0" w:color="auto"/>
              <w:bottom w:val="single" w:sz="8" w:space="0" w:color="auto"/>
              <w:right w:val="nil"/>
            </w:tcBorders>
            <w:shd w:val="clear" w:color="auto" w:fill="auto"/>
            <w:noWrap/>
            <w:vAlign w:val="center"/>
            <w:hideMark/>
          </w:tcPr>
          <w:p w:rsidR="00891A96" w:rsidRPr="009907EE" w:rsidRDefault="00891A96" w:rsidP="00891A96">
            <w:pPr>
              <w:jc w:val="right"/>
              <w:rPr>
                <w:rFonts w:cs="Calibri"/>
                <w:color w:val="000000"/>
                <w:sz w:val="18"/>
                <w:szCs w:val="18"/>
                <w:lang w:eastAsia="en-GB"/>
              </w:rPr>
            </w:pPr>
            <w:r w:rsidRPr="009907EE">
              <w:rPr>
                <w:rFonts w:cs="Calibri"/>
                <w:color w:val="000000"/>
                <w:sz w:val="18"/>
                <w:szCs w:val="18"/>
                <w:lang w:eastAsia="en-GB"/>
              </w:rPr>
              <w:t>0.0</w:t>
            </w:r>
          </w:p>
        </w:tc>
        <w:tc>
          <w:tcPr>
            <w:tcW w:w="960" w:type="dxa"/>
            <w:gridSpan w:val="2"/>
            <w:tcBorders>
              <w:top w:val="nil"/>
              <w:left w:val="single" w:sz="8" w:space="0" w:color="auto"/>
              <w:bottom w:val="single" w:sz="8" w:space="0" w:color="auto"/>
              <w:right w:val="single" w:sz="8" w:space="0" w:color="auto"/>
            </w:tcBorders>
            <w:shd w:val="clear" w:color="auto" w:fill="auto"/>
            <w:noWrap/>
            <w:vAlign w:val="center"/>
            <w:hideMark/>
          </w:tcPr>
          <w:p w:rsidR="00891A96" w:rsidRPr="009907EE" w:rsidRDefault="00891A96" w:rsidP="00891A96">
            <w:pPr>
              <w:jc w:val="right"/>
              <w:rPr>
                <w:rFonts w:cs="Calibri"/>
                <w:b/>
                <w:bCs/>
                <w:color w:val="000000"/>
                <w:sz w:val="18"/>
                <w:szCs w:val="18"/>
                <w:lang w:eastAsia="en-GB"/>
              </w:rPr>
            </w:pPr>
            <w:r w:rsidRPr="009907EE">
              <w:rPr>
                <w:rFonts w:cs="Calibri"/>
                <w:b/>
                <w:bCs/>
                <w:color w:val="000000"/>
                <w:sz w:val="18"/>
                <w:szCs w:val="18"/>
                <w:lang w:eastAsia="en-GB"/>
              </w:rPr>
              <w:t>0.0</w:t>
            </w:r>
          </w:p>
        </w:tc>
        <w:tc>
          <w:tcPr>
            <w:tcW w:w="960" w:type="dxa"/>
            <w:gridSpan w:val="2"/>
            <w:tcBorders>
              <w:top w:val="nil"/>
              <w:left w:val="nil"/>
              <w:bottom w:val="single" w:sz="8" w:space="0" w:color="auto"/>
              <w:right w:val="single" w:sz="8" w:space="0" w:color="auto"/>
            </w:tcBorders>
            <w:shd w:val="clear" w:color="auto" w:fill="auto"/>
            <w:noWrap/>
            <w:vAlign w:val="center"/>
            <w:hideMark/>
          </w:tcPr>
          <w:p w:rsidR="00891A96" w:rsidRPr="009907EE" w:rsidRDefault="00891A96" w:rsidP="00891A96">
            <w:pPr>
              <w:jc w:val="right"/>
              <w:rPr>
                <w:rFonts w:cs="Calibri"/>
                <w:color w:val="000000"/>
                <w:sz w:val="18"/>
                <w:szCs w:val="18"/>
                <w:lang w:eastAsia="en-GB"/>
              </w:rPr>
            </w:pPr>
            <w:r w:rsidRPr="009907EE">
              <w:rPr>
                <w:rFonts w:cs="Calibri"/>
                <w:color w:val="000000"/>
                <w:sz w:val="18"/>
                <w:szCs w:val="18"/>
                <w:lang w:eastAsia="en-GB"/>
              </w:rPr>
              <w:t>0.0</w:t>
            </w:r>
          </w:p>
        </w:tc>
      </w:tr>
      <w:tr w:rsidR="00891A96" w:rsidRPr="009907EE" w:rsidTr="00891A96">
        <w:trPr>
          <w:gridAfter w:val="1"/>
          <w:wAfter w:w="9" w:type="dxa"/>
          <w:trHeight w:val="315"/>
        </w:trPr>
        <w:tc>
          <w:tcPr>
            <w:tcW w:w="2825" w:type="dxa"/>
            <w:tcBorders>
              <w:top w:val="nil"/>
              <w:left w:val="single" w:sz="8" w:space="0" w:color="auto"/>
              <w:bottom w:val="single" w:sz="8" w:space="0" w:color="auto"/>
              <w:right w:val="single" w:sz="8" w:space="0" w:color="auto"/>
            </w:tcBorders>
            <w:shd w:val="clear" w:color="auto" w:fill="auto"/>
            <w:vAlign w:val="center"/>
            <w:hideMark/>
          </w:tcPr>
          <w:p w:rsidR="00891A96" w:rsidRPr="009907EE" w:rsidRDefault="00891A96" w:rsidP="00891A96">
            <w:pPr>
              <w:rPr>
                <w:rFonts w:cs="Calibri"/>
                <w:b/>
                <w:bCs/>
                <w:color w:val="000000"/>
                <w:sz w:val="18"/>
                <w:szCs w:val="18"/>
                <w:lang w:eastAsia="en-GB"/>
              </w:rPr>
            </w:pPr>
            <w:r w:rsidRPr="009907EE">
              <w:rPr>
                <w:rFonts w:cs="Calibri"/>
                <w:b/>
                <w:bCs/>
                <w:color w:val="000000"/>
                <w:sz w:val="18"/>
                <w:szCs w:val="18"/>
                <w:lang w:eastAsia="en-GB"/>
              </w:rPr>
              <w:t>At 31 March 2019</w:t>
            </w:r>
          </w:p>
        </w:tc>
        <w:tc>
          <w:tcPr>
            <w:tcW w:w="960" w:type="dxa"/>
            <w:tcBorders>
              <w:top w:val="nil"/>
              <w:left w:val="nil"/>
              <w:bottom w:val="single" w:sz="8" w:space="0" w:color="auto"/>
              <w:right w:val="single" w:sz="8" w:space="0" w:color="auto"/>
            </w:tcBorders>
            <w:shd w:val="clear" w:color="auto" w:fill="auto"/>
            <w:noWrap/>
            <w:vAlign w:val="center"/>
            <w:hideMark/>
          </w:tcPr>
          <w:p w:rsidR="00891A96" w:rsidRPr="009907EE" w:rsidRDefault="00891A96" w:rsidP="00891A96">
            <w:pPr>
              <w:jc w:val="right"/>
              <w:rPr>
                <w:rFonts w:cs="Calibri"/>
                <w:b/>
                <w:bCs/>
                <w:color w:val="000000"/>
                <w:sz w:val="18"/>
                <w:szCs w:val="18"/>
                <w:lang w:eastAsia="en-GB"/>
              </w:rPr>
            </w:pPr>
            <w:r w:rsidRPr="009907EE">
              <w:rPr>
                <w:rFonts w:cs="Calibri"/>
                <w:b/>
                <w:bCs/>
                <w:color w:val="000000"/>
                <w:sz w:val="18"/>
                <w:szCs w:val="18"/>
                <w:lang w:eastAsia="en-GB"/>
              </w:rPr>
              <w:t>(7.1)</w:t>
            </w:r>
          </w:p>
        </w:tc>
        <w:tc>
          <w:tcPr>
            <w:tcW w:w="960" w:type="dxa"/>
            <w:gridSpan w:val="2"/>
            <w:tcBorders>
              <w:top w:val="nil"/>
              <w:left w:val="nil"/>
              <w:bottom w:val="single" w:sz="8" w:space="0" w:color="auto"/>
              <w:right w:val="single" w:sz="8" w:space="0" w:color="auto"/>
            </w:tcBorders>
            <w:shd w:val="clear" w:color="auto" w:fill="auto"/>
            <w:noWrap/>
            <w:vAlign w:val="center"/>
            <w:hideMark/>
          </w:tcPr>
          <w:p w:rsidR="00891A96" w:rsidRPr="009907EE" w:rsidRDefault="00891A96" w:rsidP="00891A96">
            <w:pPr>
              <w:jc w:val="right"/>
              <w:rPr>
                <w:rFonts w:cs="Calibri"/>
                <w:b/>
                <w:bCs/>
                <w:color w:val="000000"/>
                <w:sz w:val="18"/>
                <w:szCs w:val="18"/>
                <w:lang w:eastAsia="en-GB"/>
              </w:rPr>
            </w:pPr>
            <w:r w:rsidRPr="009907EE">
              <w:rPr>
                <w:rFonts w:cs="Calibri"/>
                <w:b/>
                <w:bCs/>
                <w:color w:val="000000"/>
                <w:sz w:val="18"/>
                <w:szCs w:val="18"/>
                <w:lang w:eastAsia="en-GB"/>
              </w:rPr>
              <w:t>(27.8)</w:t>
            </w:r>
          </w:p>
        </w:tc>
        <w:tc>
          <w:tcPr>
            <w:tcW w:w="960" w:type="dxa"/>
            <w:gridSpan w:val="2"/>
            <w:tcBorders>
              <w:top w:val="nil"/>
              <w:left w:val="nil"/>
              <w:bottom w:val="single" w:sz="8" w:space="0" w:color="auto"/>
              <w:right w:val="single" w:sz="8" w:space="0" w:color="auto"/>
            </w:tcBorders>
            <w:shd w:val="clear" w:color="auto" w:fill="auto"/>
            <w:noWrap/>
            <w:vAlign w:val="center"/>
            <w:hideMark/>
          </w:tcPr>
          <w:p w:rsidR="00891A96" w:rsidRPr="009907EE" w:rsidRDefault="00891A96" w:rsidP="00891A96">
            <w:pPr>
              <w:jc w:val="right"/>
              <w:rPr>
                <w:rFonts w:cs="Calibri"/>
                <w:b/>
                <w:bCs/>
                <w:color w:val="000000"/>
                <w:sz w:val="18"/>
                <w:szCs w:val="18"/>
                <w:lang w:eastAsia="en-GB"/>
              </w:rPr>
            </w:pPr>
            <w:r w:rsidRPr="009907EE">
              <w:rPr>
                <w:rFonts w:cs="Calibri"/>
                <w:b/>
                <w:bCs/>
                <w:color w:val="000000"/>
                <w:sz w:val="18"/>
                <w:szCs w:val="18"/>
                <w:lang w:eastAsia="en-GB"/>
              </w:rPr>
              <w:t>(33.0)</w:t>
            </w:r>
          </w:p>
        </w:tc>
        <w:tc>
          <w:tcPr>
            <w:tcW w:w="960" w:type="dxa"/>
            <w:gridSpan w:val="2"/>
            <w:tcBorders>
              <w:top w:val="nil"/>
              <w:left w:val="nil"/>
              <w:bottom w:val="single" w:sz="8" w:space="0" w:color="auto"/>
              <w:right w:val="single" w:sz="8" w:space="0" w:color="auto"/>
            </w:tcBorders>
            <w:shd w:val="clear" w:color="auto" w:fill="auto"/>
            <w:noWrap/>
            <w:vAlign w:val="center"/>
            <w:hideMark/>
          </w:tcPr>
          <w:p w:rsidR="00891A96" w:rsidRPr="009907EE" w:rsidRDefault="00891A96" w:rsidP="00891A96">
            <w:pPr>
              <w:jc w:val="right"/>
              <w:rPr>
                <w:rFonts w:cs="Calibri"/>
                <w:b/>
                <w:bCs/>
                <w:color w:val="000000"/>
                <w:sz w:val="18"/>
                <w:szCs w:val="18"/>
                <w:lang w:eastAsia="en-GB"/>
              </w:rPr>
            </w:pPr>
            <w:r w:rsidRPr="009907EE">
              <w:rPr>
                <w:rFonts w:cs="Calibri"/>
                <w:b/>
                <w:bCs/>
                <w:color w:val="000000"/>
                <w:sz w:val="18"/>
                <w:szCs w:val="18"/>
                <w:lang w:eastAsia="en-GB"/>
              </w:rPr>
              <w:t>(77.9)</w:t>
            </w:r>
          </w:p>
        </w:tc>
        <w:tc>
          <w:tcPr>
            <w:tcW w:w="960" w:type="dxa"/>
            <w:gridSpan w:val="2"/>
            <w:tcBorders>
              <w:top w:val="nil"/>
              <w:left w:val="nil"/>
              <w:bottom w:val="single" w:sz="8" w:space="0" w:color="auto"/>
              <w:right w:val="single" w:sz="8" w:space="0" w:color="auto"/>
            </w:tcBorders>
            <w:shd w:val="clear" w:color="auto" w:fill="auto"/>
            <w:noWrap/>
            <w:vAlign w:val="center"/>
            <w:hideMark/>
          </w:tcPr>
          <w:p w:rsidR="00891A96" w:rsidRPr="009907EE" w:rsidRDefault="00891A96" w:rsidP="00891A96">
            <w:pPr>
              <w:jc w:val="right"/>
              <w:rPr>
                <w:rFonts w:cs="Calibri"/>
                <w:b/>
                <w:bCs/>
                <w:color w:val="000000"/>
                <w:sz w:val="18"/>
                <w:szCs w:val="18"/>
                <w:lang w:eastAsia="en-GB"/>
              </w:rPr>
            </w:pPr>
            <w:r w:rsidRPr="009907EE">
              <w:rPr>
                <w:rFonts w:cs="Calibri"/>
                <w:b/>
                <w:bCs/>
                <w:color w:val="000000"/>
                <w:sz w:val="18"/>
                <w:szCs w:val="18"/>
                <w:lang w:eastAsia="en-GB"/>
              </w:rPr>
              <w:t>0.0</w:t>
            </w:r>
          </w:p>
        </w:tc>
        <w:tc>
          <w:tcPr>
            <w:tcW w:w="1175" w:type="dxa"/>
            <w:gridSpan w:val="2"/>
            <w:tcBorders>
              <w:top w:val="nil"/>
              <w:left w:val="nil"/>
              <w:bottom w:val="single" w:sz="8" w:space="0" w:color="auto"/>
              <w:right w:val="single" w:sz="8" w:space="0" w:color="auto"/>
            </w:tcBorders>
            <w:shd w:val="clear" w:color="auto" w:fill="auto"/>
            <w:noWrap/>
            <w:vAlign w:val="center"/>
            <w:hideMark/>
          </w:tcPr>
          <w:p w:rsidR="00891A96" w:rsidRPr="009907EE" w:rsidRDefault="00891A96" w:rsidP="00891A96">
            <w:pPr>
              <w:jc w:val="right"/>
              <w:rPr>
                <w:rFonts w:cs="Calibri"/>
                <w:b/>
                <w:bCs/>
                <w:color w:val="000000"/>
                <w:sz w:val="18"/>
                <w:szCs w:val="18"/>
                <w:lang w:eastAsia="en-GB"/>
              </w:rPr>
            </w:pPr>
            <w:r w:rsidRPr="009907EE">
              <w:rPr>
                <w:rFonts w:cs="Calibri"/>
                <w:b/>
                <w:bCs/>
                <w:color w:val="000000"/>
                <w:sz w:val="18"/>
                <w:szCs w:val="18"/>
                <w:lang w:eastAsia="en-GB"/>
              </w:rPr>
              <w:t>0.0</w:t>
            </w:r>
          </w:p>
        </w:tc>
        <w:tc>
          <w:tcPr>
            <w:tcW w:w="960" w:type="dxa"/>
            <w:gridSpan w:val="2"/>
            <w:tcBorders>
              <w:top w:val="nil"/>
              <w:left w:val="nil"/>
              <w:bottom w:val="single" w:sz="8" w:space="0" w:color="auto"/>
              <w:right w:val="single" w:sz="8" w:space="0" w:color="auto"/>
            </w:tcBorders>
            <w:shd w:val="clear" w:color="auto" w:fill="auto"/>
            <w:noWrap/>
            <w:vAlign w:val="center"/>
            <w:hideMark/>
          </w:tcPr>
          <w:p w:rsidR="00891A96" w:rsidRPr="009907EE" w:rsidRDefault="00891A96" w:rsidP="00891A96">
            <w:pPr>
              <w:jc w:val="right"/>
              <w:rPr>
                <w:rFonts w:cs="Calibri"/>
                <w:b/>
                <w:bCs/>
                <w:color w:val="000000"/>
                <w:sz w:val="18"/>
                <w:szCs w:val="18"/>
                <w:lang w:eastAsia="en-GB"/>
              </w:rPr>
            </w:pPr>
            <w:r w:rsidRPr="009907EE">
              <w:rPr>
                <w:rFonts w:cs="Calibri"/>
                <w:b/>
                <w:bCs/>
                <w:color w:val="000000"/>
                <w:sz w:val="18"/>
                <w:szCs w:val="18"/>
                <w:lang w:eastAsia="en-GB"/>
              </w:rPr>
              <w:t>(145.8)</w:t>
            </w:r>
          </w:p>
        </w:tc>
        <w:tc>
          <w:tcPr>
            <w:tcW w:w="960" w:type="dxa"/>
            <w:gridSpan w:val="2"/>
            <w:tcBorders>
              <w:top w:val="nil"/>
              <w:left w:val="nil"/>
              <w:bottom w:val="single" w:sz="8" w:space="0" w:color="auto"/>
              <w:right w:val="single" w:sz="8" w:space="0" w:color="auto"/>
            </w:tcBorders>
            <w:shd w:val="clear" w:color="auto" w:fill="auto"/>
            <w:noWrap/>
            <w:vAlign w:val="center"/>
            <w:hideMark/>
          </w:tcPr>
          <w:p w:rsidR="00891A96" w:rsidRPr="009907EE" w:rsidRDefault="00891A96" w:rsidP="00891A96">
            <w:pPr>
              <w:jc w:val="right"/>
              <w:rPr>
                <w:rFonts w:cs="Calibri"/>
                <w:b/>
                <w:bCs/>
                <w:color w:val="000000"/>
                <w:sz w:val="18"/>
                <w:szCs w:val="18"/>
                <w:lang w:eastAsia="en-GB"/>
              </w:rPr>
            </w:pPr>
            <w:r w:rsidRPr="009907EE">
              <w:rPr>
                <w:rFonts w:cs="Calibri"/>
                <w:b/>
                <w:bCs/>
                <w:color w:val="000000"/>
                <w:sz w:val="18"/>
                <w:szCs w:val="18"/>
                <w:lang w:eastAsia="en-GB"/>
              </w:rPr>
              <w:t>(14.1)</w:t>
            </w:r>
          </w:p>
        </w:tc>
      </w:tr>
      <w:tr w:rsidR="00891A96" w:rsidRPr="009907EE" w:rsidTr="00891A96">
        <w:trPr>
          <w:gridAfter w:val="1"/>
          <w:wAfter w:w="9" w:type="dxa"/>
          <w:trHeight w:val="495"/>
        </w:trPr>
        <w:tc>
          <w:tcPr>
            <w:tcW w:w="2825" w:type="dxa"/>
            <w:tcBorders>
              <w:top w:val="nil"/>
              <w:left w:val="nil"/>
              <w:bottom w:val="single" w:sz="8" w:space="0" w:color="auto"/>
              <w:right w:val="nil"/>
            </w:tcBorders>
            <w:shd w:val="clear" w:color="auto" w:fill="auto"/>
            <w:vAlign w:val="center"/>
            <w:hideMark/>
          </w:tcPr>
          <w:p w:rsidR="00891A96" w:rsidRPr="009907EE" w:rsidRDefault="00891A96" w:rsidP="00891A96">
            <w:pPr>
              <w:rPr>
                <w:rFonts w:cs="Calibri"/>
                <w:b/>
                <w:bCs/>
                <w:color w:val="000000"/>
                <w:sz w:val="18"/>
                <w:szCs w:val="18"/>
                <w:lang w:eastAsia="en-GB"/>
              </w:rPr>
            </w:pPr>
            <w:r w:rsidRPr="009907EE">
              <w:rPr>
                <w:rFonts w:cs="Calibri"/>
                <w:b/>
                <w:bCs/>
                <w:color w:val="000000"/>
                <w:sz w:val="18"/>
                <w:szCs w:val="18"/>
                <w:lang w:eastAsia="en-GB"/>
              </w:rPr>
              <w:t>Balance Sheet  Net Book Values (NBV)</w:t>
            </w:r>
          </w:p>
        </w:tc>
        <w:tc>
          <w:tcPr>
            <w:tcW w:w="960" w:type="dxa"/>
            <w:tcBorders>
              <w:top w:val="nil"/>
              <w:left w:val="nil"/>
              <w:bottom w:val="single" w:sz="8" w:space="0" w:color="auto"/>
              <w:right w:val="nil"/>
            </w:tcBorders>
            <w:shd w:val="clear" w:color="auto" w:fill="auto"/>
            <w:vAlign w:val="center"/>
            <w:hideMark/>
          </w:tcPr>
          <w:p w:rsidR="00891A96" w:rsidRPr="009907EE" w:rsidRDefault="00891A96" w:rsidP="00891A96">
            <w:pPr>
              <w:rPr>
                <w:rFonts w:cs="Calibri"/>
                <w:b/>
                <w:bCs/>
                <w:color w:val="000000"/>
                <w:sz w:val="18"/>
                <w:szCs w:val="18"/>
                <w:lang w:eastAsia="en-GB"/>
              </w:rPr>
            </w:pPr>
            <w:r w:rsidRPr="009907EE">
              <w:rPr>
                <w:rFonts w:cs="Calibri"/>
                <w:b/>
                <w:bCs/>
                <w:color w:val="000000"/>
                <w:sz w:val="18"/>
                <w:szCs w:val="18"/>
                <w:lang w:eastAsia="en-GB"/>
              </w:rPr>
              <w:t> </w:t>
            </w:r>
          </w:p>
        </w:tc>
        <w:tc>
          <w:tcPr>
            <w:tcW w:w="960" w:type="dxa"/>
            <w:gridSpan w:val="2"/>
            <w:tcBorders>
              <w:top w:val="nil"/>
              <w:left w:val="nil"/>
              <w:bottom w:val="single" w:sz="8" w:space="0" w:color="auto"/>
              <w:right w:val="nil"/>
            </w:tcBorders>
            <w:shd w:val="clear" w:color="auto" w:fill="auto"/>
            <w:vAlign w:val="center"/>
            <w:hideMark/>
          </w:tcPr>
          <w:p w:rsidR="00891A96" w:rsidRPr="009907EE" w:rsidRDefault="00891A96" w:rsidP="00891A96">
            <w:pPr>
              <w:rPr>
                <w:rFonts w:cs="Calibri"/>
                <w:b/>
                <w:bCs/>
                <w:color w:val="000000"/>
                <w:sz w:val="18"/>
                <w:szCs w:val="18"/>
                <w:lang w:eastAsia="en-GB"/>
              </w:rPr>
            </w:pPr>
            <w:r w:rsidRPr="009907EE">
              <w:rPr>
                <w:rFonts w:cs="Calibri"/>
                <w:b/>
                <w:bCs/>
                <w:color w:val="000000"/>
                <w:sz w:val="18"/>
                <w:szCs w:val="18"/>
                <w:lang w:eastAsia="en-GB"/>
              </w:rPr>
              <w:t> </w:t>
            </w:r>
          </w:p>
        </w:tc>
        <w:tc>
          <w:tcPr>
            <w:tcW w:w="960" w:type="dxa"/>
            <w:gridSpan w:val="2"/>
            <w:tcBorders>
              <w:top w:val="nil"/>
              <w:left w:val="nil"/>
              <w:bottom w:val="single" w:sz="8" w:space="0" w:color="auto"/>
              <w:right w:val="nil"/>
            </w:tcBorders>
            <w:shd w:val="clear" w:color="auto" w:fill="auto"/>
            <w:noWrap/>
            <w:vAlign w:val="center"/>
            <w:hideMark/>
          </w:tcPr>
          <w:p w:rsidR="00891A96" w:rsidRPr="009907EE" w:rsidRDefault="00891A96" w:rsidP="00891A96">
            <w:pPr>
              <w:rPr>
                <w:rFonts w:cs="Calibri"/>
                <w:b/>
                <w:bCs/>
                <w:color w:val="000000"/>
                <w:sz w:val="18"/>
                <w:szCs w:val="18"/>
                <w:lang w:eastAsia="en-GB"/>
              </w:rPr>
            </w:pPr>
            <w:r w:rsidRPr="009907EE">
              <w:rPr>
                <w:rFonts w:cs="Calibri"/>
                <w:b/>
                <w:bCs/>
                <w:color w:val="000000"/>
                <w:sz w:val="18"/>
                <w:szCs w:val="18"/>
                <w:lang w:eastAsia="en-GB"/>
              </w:rPr>
              <w:t> </w:t>
            </w:r>
          </w:p>
        </w:tc>
        <w:tc>
          <w:tcPr>
            <w:tcW w:w="960" w:type="dxa"/>
            <w:gridSpan w:val="2"/>
            <w:tcBorders>
              <w:top w:val="nil"/>
              <w:left w:val="nil"/>
              <w:bottom w:val="single" w:sz="8" w:space="0" w:color="auto"/>
              <w:right w:val="nil"/>
            </w:tcBorders>
            <w:shd w:val="clear" w:color="auto" w:fill="auto"/>
            <w:noWrap/>
            <w:vAlign w:val="center"/>
            <w:hideMark/>
          </w:tcPr>
          <w:p w:rsidR="00891A96" w:rsidRPr="009907EE" w:rsidRDefault="00891A96" w:rsidP="00891A96">
            <w:pPr>
              <w:rPr>
                <w:rFonts w:cs="Calibri"/>
                <w:b/>
                <w:bCs/>
                <w:color w:val="000000"/>
                <w:sz w:val="18"/>
                <w:szCs w:val="18"/>
                <w:lang w:eastAsia="en-GB"/>
              </w:rPr>
            </w:pPr>
            <w:r w:rsidRPr="009907EE">
              <w:rPr>
                <w:rFonts w:cs="Calibri"/>
                <w:b/>
                <w:bCs/>
                <w:color w:val="000000"/>
                <w:sz w:val="18"/>
                <w:szCs w:val="18"/>
                <w:lang w:eastAsia="en-GB"/>
              </w:rPr>
              <w:t> </w:t>
            </w:r>
          </w:p>
        </w:tc>
        <w:tc>
          <w:tcPr>
            <w:tcW w:w="960" w:type="dxa"/>
            <w:gridSpan w:val="2"/>
            <w:tcBorders>
              <w:top w:val="nil"/>
              <w:left w:val="nil"/>
              <w:bottom w:val="single" w:sz="8" w:space="0" w:color="auto"/>
              <w:right w:val="nil"/>
            </w:tcBorders>
            <w:shd w:val="clear" w:color="auto" w:fill="auto"/>
            <w:noWrap/>
            <w:vAlign w:val="center"/>
            <w:hideMark/>
          </w:tcPr>
          <w:p w:rsidR="00891A96" w:rsidRPr="009907EE" w:rsidRDefault="00891A96" w:rsidP="00891A96">
            <w:pPr>
              <w:rPr>
                <w:rFonts w:cs="Calibri"/>
                <w:b/>
                <w:bCs/>
                <w:color w:val="000000"/>
                <w:sz w:val="18"/>
                <w:szCs w:val="18"/>
                <w:lang w:eastAsia="en-GB"/>
              </w:rPr>
            </w:pPr>
            <w:r w:rsidRPr="009907EE">
              <w:rPr>
                <w:rFonts w:cs="Calibri"/>
                <w:b/>
                <w:bCs/>
                <w:color w:val="000000"/>
                <w:sz w:val="18"/>
                <w:szCs w:val="18"/>
                <w:lang w:eastAsia="en-GB"/>
              </w:rPr>
              <w:t> </w:t>
            </w:r>
          </w:p>
        </w:tc>
        <w:tc>
          <w:tcPr>
            <w:tcW w:w="1175" w:type="dxa"/>
            <w:gridSpan w:val="2"/>
            <w:tcBorders>
              <w:top w:val="nil"/>
              <w:left w:val="nil"/>
              <w:bottom w:val="single" w:sz="8" w:space="0" w:color="auto"/>
              <w:right w:val="nil"/>
            </w:tcBorders>
            <w:shd w:val="clear" w:color="auto" w:fill="auto"/>
            <w:noWrap/>
            <w:vAlign w:val="center"/>
            <w:hideMark/>
          </w:tcPr>
          <w:p w:rsidR="00891A96" w:rsidRPr="009907EE" w:rsidRDefault="00891A96" w:rsidP="00891A96">
            <w:pPr>
              <w:rPr>
                <w:rFonts w:cs="Calibri"/>
                <w:b/>
                <w:bCs/>
                <w:color w:val="000000"/>
                <w:sz w:val="18"/>
                <w:szCs w:val="18"/>
                <w:lang w:eastAsia="en-GB"/>
              </w:rPr>
            </w:pPr>
            <w:r w:rsidRPr="009907EE">
              <w:rPr>
                <w:rFonts w:cs="Calibri"/>
                <w:b/>
                <w:bCs/>
                <w:color w:val="000000"/>
                <w:sz w:val="18"/>
                <w:szCs w:val="18"/>
                <w:lang w:eastAsia="en-GB"/>
              </w:rPr>
              <w:t> </w:t>
            </w:r>
          </w:p>
        </w:tc>
        <w:tc>
          <w:tcPr>
            <w:tcW w:w="960" w:type="dxa"/>
            <w:gridSpan w:val="2"/>
            <w:tcBorders>
              <w:top w:val="nil"/>
              <w:left w:val="nil"/>
              <w:bottom w:val="single" w:sz="8" w:space="0" w:color="auto"/>
              <w:right w:val="nil"/>
            </w:tcBorders>
            <w:shd w:val="clear" w:color="auto" w:fill="auto"/>
            <w:noWrap/>
            <w:vAlign w:val="center"/>
            <w:hideMark/>
          </w:tcPr>
          <w:p w:rsidR="00891A96" w:rsidRPr="009907EE" w:rsidRDefault="00891A96" w:rsidP="00891A96">
            <w:pPr>
              <w:rPr>
                <w:rFonts w:cs="Calibri"/>
                <w:b/>
                <w:bCs/>
                <w:color w:val="000000"/>
                <w:sz w:val="18"/>
                <w:szCs w:val="18"/>
                <w:lang w:eastAsia="en-GB"/>
              </w:rPr>
            </w:pPr>
            <w:r w:rsidRPr="009907EE">
              <w:rPr>
                <w:rFonts w:cs="Calibri"/>
                <w:b/>
                <w:bCs/>
                <w:color w:val="000000"/>
                <w:sz w:val="18"/>
                <w:szCs w:val="18"/>
                <w:lang w:eastAsia="en-GB"/>
              </w:rPr>
              <w:t> </w:t>
            </w:r>
          </w:p>
        </w:tc>
        <w:tc>
          <w:tcPr>
            <w:tcW w:w="960" w:type="dxa"/>
            <w:gridSpan w:val="2"/>
            <w:tcBorders>
              <w:top w:val="nil"/>
              <w:left w:val="nil"/>
              <w:bottom w:val="single" w:sz="8" w:space="0" w:color="auto"/>
              <w:right w:val="nil"/>
            </w:tcBorders>
            <w:shd w:val="clear" w:color="auto" w:fill="auto"/>
            <w:noWrap/>
            <w:vAlign w:val="center"/>
            <w:hideMark/>
          </w:tcPr>
          <w:p w:rsidR="00891A96" w:rsidRPr="009907EE" w:rsidRDefault="00891A96" w:rsidP="00891A96">
            <w:pPr>
              <w:rPr>
                <w:rFonts w:cs="Calibri"/>
                <w:b/>
                <w:bCs/>
                <w:color w:val="000000"/>
                <w:sz w:val="18"/>
                <w:szCs w:val="18"/>
                <w:lang w:eastAsia="en-GB"/>
              </w:rPr>
            </w:pPr>
            <w:r w:rsidRPr="009907EE">
              <w:rPr>
                <w:rFonts w:cs="Calibri"/>
                <w:b/>
                <w:bCs/>
                <w:color w:val="000000"/>
                <w:sz w:val="18"/>
                <w:szCs w:val="18"/>
                <w:lang w:eastAsia="en-GB"/>
              </w:rPr>
              <w:t> </w:t>
            </w:r>
          </w:p>
        </w:tc>
      </w:tr>
      <w:tr w:rsidR="00891A96" w:rsidRPr="009907EE" w:rsidTr="00891A96">
        <w:trPr>
          <w:gridAfter w:val="1"/>
          <w:wAfter w:w="9" w:type="dxa"/>
          <w:trHeight w:val="495"/>
        </w:trPr>
        <w:tc>
          <w:tcPr>
            <w:tcW w:w="2825" w:type="dxa"/>
            <w:tcBorders>
              <w:top w:val="nil"/>
              <w:left w:val="single" w:sz="8" w:space="0" w:color="auto"/>
              <w:bottom w:val="single" w:sz="8" w:space="0" w:color="auto"/>
              <w:right w:val="single" w:sz="8" w:space="0" w:color="auto"/>
            </w:tcBorders>
            <w:shd w:val="clear" w:color="auto" w:fill="auto"/>
            <w:vAlign w:val="center"/>
            <w:hideMark/>
          </w:tcPr>
          <w:p w:rsidR="00891A96" w:rsidRPr="009907EE" w:rsidRDefault="00891A96" w:rsidP="00891A96">
            <w:pPr>
              <w:rPr>
                <w:rFonts w:cs="Calibri"/>
                <w:b/>
                <w:bCs/>
                <w:color w:val="000000"/>
                <w:sz w:val="18"/>
                <w:szCs w:val="18"/>
                <w:lang w:eastAsia="en-GB"/>
              </w:rPr>
            </w:pPr>
            <w:r w:rsidRPr="009907EE">
              <w:rPr>
                <w:rFonts w:cs="Calibri"/>
                <w:b/>
                <w:bCs/>
                <w:color w:val="000000"/>
                <w:sz w:val="18"/>
                <w:szCs w:val="18"/>
                <w:lang w:eastAsia="en-GB"/>
              </w:rPr>
              <w:t>Balance Sheet NBV at 31 March 2019</w:t>
            </w:r>
          </w:p>
        </w:tc>
        <w:tc>
          <w:tcPr>
            <w:tcW w:w="960" w:type="dxa"/>
            <w:tcBorders>
              <w:top w:val="nil"/>
              <w:left w:val="nil"/>
              <w:bottom w:val="single" w:sz="8" w:space="0" w:color="auto"/>
              <w:right w:val="single" w:sz="8" w:space="0" w:color="auto"/>
            </w:tcBorders>
            <w:shd w:val="clear" w:color="auto" w:fill="auto"/>
            <w:noWrap/>
            <w:vAlign w:val="center"/>
            <w:hideMark/>
          </w:tcPr>
          <w:p w:rsidR="00891A96" w:rsidRPr="009907EE" w:rsidRDefault="00891A96" w:rsidP="00891A96">
            <w:pPr>
              <w:jc w:val="right"/>
              <w:rPr>
                <w:rFonts w:cs="Calibri"/>
                <w:b/>
                <w:bCs/>
                <w:color w:val="000000"/>
                <w:sz w:val="18"/>
                <w:szCs w:val="18"/>
                <w:lang w:eastAsia="en-GB"/>
              </w:rPr>
            </w:pPr>
            <w:r w:rsidRPr="009907EE">
              <w:rPr>
                <w:rFonts w:cs="Calibri"/>
                <w:b/>
                <w:bCs/>
                <w:color w:val="000000"/>
                <w:sz w:val="18"/>
                <w:szCs w:val="18"/>
                <w:lang w:eastAsia="en-GB"/>
              </w:rPr>
              <w:t>602.2</w:t>
            </w:r>
          </w:p>
        </w:tc>
        <w:tc>
          <w:tcPr>
            <w:tcW w:w="960" w:type="dxa"/>
            <w:gridSpan w:val="2"/>
            <w:tcBorders>
              <w:top w:val="nil"/>
              <w:left w:val="nil"/>
              <w:bottom w:val="single" w:sz="8" w:space="0" w:color="auto"/>
              <w:right w:val="single" w:sz="8" w:space="0" w:color="auto"/>
            </w:tcBorders>
            <w:shd w:val="clear" w:color="auto" w:fill="auto"/>
            <w:noWrap/>
            <w:vAlign w:val="center"/>
            <w:hideMark/>
          </w:tcPr>
          <w:p w:rsidR="00891A96" w:rsidRPr="009907EE" w:rsidRDefault="00891A96" w:rsidP="00891A96">
            <w:pPr>
              <w:jc w:val="right"/>
              <w:rPr>
                <w:rFonts w:cs="Calibri"/>
                <w:b/>
                <w:bCs/>
                <w:color w:val="000000"/>
                <w:sz w:val="18"/>
                <w:szCs w:val="18"/>
                <w:lang w:eastAsia="en-GB"/>
              </w:rPr>
            </w:pPr>
            <w:r w:rsidRPr="009907EE">
              <w:rPr>
                <w:rFonts w:cs="Calibri"/>
                <w:b/>
                <w:bCs/>
                <w:color w:val="000000"/>
                <w:sz w:val="18"/>
                <w:szCs w:val="18"/>
                <w:lang w:eastAsia="en-GB"/>
              </w:rPr>
              <w:t>922.3</w:t>
            </w:r>
          </w:p>
        </w:tc>
        <w:tc>
          <w:tcPr>
            <w:tcW w:w="960" w:type="dxa"/>
            <w:gridSpan w:val="2"/>
            <w:tcBorders>
              <w:top w:val="nil"/>
              <w:left w:val="nil"/>
              <w:bottom w:val="single" w:sz="8" w:space="0" w:color="auto"/>
              <w:right w:val="single" w:sz="8" w:space="0" w:color="auto"/>
            </w:tcBorders>
            <w:shd w:val="clear" w:color="auto" w:fill="auto"/>
            <w:noWrap/>
            <w:vAlign w:val="center"/>
            <w:hideMark/>
          </w:tcPr>
          <w:p w:rsidR="00891A96" w:rsidRPr="009907EE" w:rsidRDefault="00891A96" w:rsidP="00891A96">
            <w:pPr>
              <w:jc w:val="right"/>
              <w:rPr>
                <w:rFonts w:cs="Calibri"/>
                <w:b/>
                <w:bCs/>
                <w:color w:val="000000"/>
                <w:sz w:val="18"/>
                <w:szCs w:val="18"/>
                <w:lang w:eastAsia="en-GB"/>
              </w:rPr>
            </w:pPr>
            <w:r w:rsidRPr="009907EE">
              <w:rPr>
                <w:rFonts w:cs="Calibri"/>
                <w:b/>
                <w:bCs/>
                <w:color w:val="000000"/>
                <w:sz w:val="18"/>
                <w:szCs w:val="18"/>
                <w:lang w:eastAsia="en-GB"/>
              </w:rPr>
              <w:t>21.6</w:t>
            </w:r>
          </w:p>
        </w:tc>
        <w:tc>
          <w:tcPr>
            <w:tcW w:w="960" w:type="dxa"/>
            <w:gridSpan w:val="2"/>
            <w:tcBorders>
              <w:top w:val="nil"/>
              <w:left w:val="nil"/>
              <w:bottom w:val="single" w:sz="8" w:space="0" w:color="auto"/>
              <w:right w:val="single" w:sz="8" w:space="0" w:color="auto"/>
            </w:tcBorders>
            <w:shd w:val="clear" w:color="auto" w:fill="auto"/>
            <w:noWrap/>
            <w:vAlign w:val="center"/>
            <w:hideMark/>
          </w:tcPr>
          <w:p w:rsidR="00891A96" w:rsidRPr="009907EE" w:rsidRDefault="00891A96" w:rsidP="00891A96">
            <w:pPr>
              <w:jc w:val="right"/>
              <w:rPr>
                <w:rFonts w:cs="Calibri"/>
                <w:b/>
                <w:bCs/>
                <w:color w:val="000000"/>
                <w:sz w:val="18"/>
                <w:szCs w:val="18"/>
                <w:lang w:eastAsia="en-GB"/>
              </w:rPr>
            </w:pPr>
            <w:r w:rsidRPr="009907EE">
              <w:rPr>
                <w:rFonts w:cs="Calibri"/>
                <w:b/>
                <w:bCs/>
                <w:color w:val="000000"/>
                <w:sz w:val="18"/>
                <w:szCs w:val="18"/>
                <w:lang w:eastAsia="en-GB"/>
              </w:rPr>
              <w:t>195.5</w:t>
            </w:r>
          </w:p>
        </w:tc>
        <w:tc>
          <w:tcPr>
            <w:tcW w:w="960" w:type="dxa"/>
            <w:gridSpan w:val="2"/>
            <w:tcBorders>
              <w:top w:val="nil"/>
              <w:left w:val="nil"/>
              <w:bottom w:val="single" w:sz="8" w:space="0" w:color="auto"/>
              <w:right w:val="single" w:sz="8" w:space="0" w:color="auto"/>
            </w:tcBorders>
            <w:shd w:val="clear" w:color="auto" w:fill="auto"/>
            <w:noWrap/>
            <w:vAlign w:val="center"/>
            <w:hideMark/>
          </w:tcPr>
          <w:p w:rsidR="00891A96" w:rsidRPr="009907EE" w:rsidRDefault="00891A96" w:rsidP="00891A96">
            <w:pPr>
              <w:jc w:val="right"/>
              <w:rPr>
                <w:rFonts w:cs="Calibri"/>
                <w:b/>
                <w:bCs/>
                <w:color w:val="000000"/>
                <w:sz w:val="18"/>
                <w:szCs w:val="18"/>
                <w:lang w:eastAsia="en-GB"/>
              </w:rPr>
            </w:pPr>
            <w:r w:rsidRPr="009907EE">
              <w:rPr>
                <w:rFonts w:cs="Calibri"/>
                <w:b/>
                <w:bCs/>
                <w:color w:val="000000"/>
                <w:sz w:val="18"/>
                <w:szCs w:val="18"/>
                <w:lang w:eastAsia="en-GB"/>
              </w:rPr>
              <w:t>8.2</w:t>
            </w:r>
          </w:p>
        </w:tc>
        <w:tc>
          <w:tcPr>
            <w:tcW w:w="1175" w:type="dxa"/>
            <w:gridSpan w:val="2"/>
            <w:tcBorders>
              <w:top w:val="nil"/>
              <w:left w:val="nil"/>
              <w:bottom w:val="single" w:sz="8" w:space="0" w:color="auto"/>
              <w:right w:val="single" w:sz="8" w:space="0" w:color="auto"/>
            </w:tcBorders>
            <w:shd w:val="clear" w:color="auto" w:fill="auto"/>
            <w:noWrap/>
            <w:vAlign w:val="center"/>
            <w:hideMark/>
          </w:tcPr>
          <w:p w:rsidR="00891A96" w:rsidRPr="009907EE" w:rsidRDefault="00891A96" w:rsidP="00891A96">
            <w:pPr>
              <w:jc w:val="right"/>
              <w:rPr>
                <w:rFonts w:cs="Calibri"/>
                <w:b/>
                <w:bCs/>
                <w:color w:val="000000"/>
                <w:sz w:val="18"/>
                <w:szCs w:val="18"/>
                <w:lang w:eastAsia="en-GB"/>
              </w:rPr>
            </w:pPr>
            <w:r w:rsidRPr="009907EE">
              <w:rPr>
                <w:rFonts w:cs="Calibri"/>
                <w:b/>
                <w:bCs/>
                <w:color w:val="000000"/>
                <w:sz w:val="18"/>
                <w:szCs w:val="18"/>
                <w:lang w:eastAsia="en-GB"/>
              </w:rPr>
              <w:t>44.1</w:t>
            </w:r>
          </w:p>
        </w:tc>
        <w:tc>
          <w:tcPr>
            <w:tcW w:w="960" w:type="dxa"/>
            <w:gridSpan w:val="2"/>
            <w:tcBorders>
              <w:top w:val="nil"/>
              <w:left w:val="nil"/>
              <w:bottom w:val="single" w:sz="8" w:space="0" w:color="auto"/>
              <w:right w:val="single" w:sz="8" w:space="0" w:color="auto"/>
            </w:tcBorders>
            <w:shd w:val="clear" w:color="auto" w:fill="auto"/>
            <w:noWrap/>
            <w:vAlign w:val="center"/>
            <w:hideMark/>
          </w:tcPr>
          <w:p w:rsidR="00891A96" w:rsidRPr="009907EE" w:rsidRDefault="00891A96" w:rsidP="00891A96">
            <w:pPr>
              <w:jc w:val="right"/>
              <w:rPr>
                <w:rFonts w:cs="Calibri"/>
                <w:b/>
                <w:bCs/>
                <w:color w:val="000000"/>
                <w:sz w:val="18"/>
                <w:szCs w:val="18"/>
                <w:lang w:eastAsia="en-GB"/>
              </w:rPr>
            </w:pPr>
            <w:r w:rsidRPr="009907EE">
              <w:rPr>
                <w:rFonts w:cs="Calibri"/>
                <w:b/>
                <w:bCs/>
                <w:color w:val="000000"/>
                <w:sz w:val="18"/>
                <w:szCs w:val="18"/>
                <w:lang w:eastAsia="en-GB"/>
              </w:rPr>
              <w:t>1,793.8</w:t>
            </w:r>
          </w:p>
        </w:tc>
        <w:tc>
          <w:tcPr>
            <w:tcW w:w="960" w:type="dxa"/>
            <w:gridSpan w:val="2"/>
            <w:tcBorders>
              <w:top w:val="nil"/>
              <w:left w:val="nil"/>
              <w:bottom w:val="single" w:sz="8" w:space="0" w:color="auto"/>
              <w:right w:val="single" w:sz="8" w:space="0" w:color="auto"/>
            </w:tcBorders>
            <w:shd w:val="clear" w:color="auto" w:fill="auto"/>
            <w:noWrap/>
            <w:vAlign w:val="center"/>
            <w:hideMark/>
          </w:tcPr>
          <w:p w:rsidR="00891A96" w:rsidRPr="009907EE" w:rsidRDefault="00891A96" w:rsidP="00891A96">
            <w:pPr>
              <w:jc w:val="right"/>
              <w:rPr>
                <w:rFonts w:cs="Calibri"/>
                <w:b/>
                <w:bCs/>
                <w:color w:val="000000"/>
                <w:sz w:val="18"/>
                <w:szCs w:val="18"/>
                <w:lang w:eastAsia="en-GB"/>
              </w:rPr>
            </w:pPr>
            <w:r w:rsidRPr="009907EE">
              <w:rPr>
                <w:rFonts w:cs="Calibri"/>
                <w:b/>
                <w:bCs/>
                <w:color w:val="000000"/>
                <w:sz w:val="18"/>
                <w:szCs w:val="18"/>
                <w:lang w:eastAsia="en-GB"/>
              </w:rPr>
              <w:t>114.4</w:t>
            </w:r>
          </w:p>
        </w:tc>
      </w:tr>
      <w:tr w:rsidR="00891A96" w:rsidRPr="009907EE" w:rsidTr="00891A96">
        <w:trPr>
          <w:gridAfter w:val="1"/>
          <w:wAfter w:w="9" w:type="dxa"/>
          <w:trHeight w:val="495"/>
        </w:trPr>
        <w:tc>
          <w:tcPr>
            <w:tcW w:w="2825" w:type="dxa"/>
            <w:tcBorders>
              <w:top w:val="nil"/>
              <w:left w:val="single" w:sz="8" w:space="0" w:color="auto"/>
              <w:bottom w:val="single" w:sz="8" w:space="0" w:color="auto"/>
              <w:right w:val="single" w:sz="8" w:space="0" w:color="auto"/>
            </w:tcBorders>
            <w:shd w:val="clear" w:color="auto" w:fill="auto"/>
            <w:vAlign w:val="center"/>
            <w:hideMark/>
          </w:tcPr>
          <w:p w:rsidR="00891A96" w:rsidRPr="009907EE" w:rsidRDefault="00891A96" w:rsidP="00891A96">
            <w:pPr>
              <w:rPr>
                <w:rFonts w:cs="Calibri"/>
                <w:b/>
                <w:bCs/>
                <w:color w:val="000000"/>
                <w:sz w:val="18"/>
                <w:szCs w:val="18"/>
                <w:lang w:eastAsia="en-GB"/>
              </w:rPr>
            </w:pPr>
            <w:r w:rsidRPr="009907EE">
              <w:rPr>
                <w:rFonts w:cs="Calibri"/>
                <w:b/>
                <w:bCs/>
                <w:color w:val="000000"/>
                <w:sz w:val="18"/>
                <w:szCs w:val="18"/>
                <w:lang w:eastAsia="en-GB"/>
              </w:rPr>
              <w:t>Balance Sheet NBV at 1 April 2018</w:t>
            </w:r>
          </w:p>
        </w:tc>
        <w:tc>
          <w:tcPr>
            <w:tcW w:w="960" w:type="dxa"/>
            <w:tcBorders>
              <w:top w:val="nil"/>
              <w:left w:val="nil"/>
              <w:bottom w:val="single" w:sz="8" w:space="0" w:color="auto"/>
              <w:right w:val="single" w:sz="8" w:space="0" w:color="auto"/>
            </w:tcBorders>
            <w:shd w:val="clear" w:color="auto" w:fill="auto"/>
            <w:noWrap/>
            <w:vAlign w:val="center"/>
            <w:hideMark/>
          </w:tcPr>
          <w:p w:rsidR="00891A96" w:rsidRPr="009907EE" w:rsidRDefault="00891A96" w:rsidP="00891A96">
            <w:pPr>
              <w:jc w:val="right"/>
              <w:rPr>
                <w:rFonts w:cs="Calibri"/>
                <w:b/>
                <w:bCs/>
                <w:color w:val="000000"/>
                <w:sz w:val="18"/>
                <w:szCs w:val="18"/>
                <w:lang w:eastAsia="en-GB"/>
              </w:rPr>
            </w:pPr>
            <w:r w:rsidRPr="009907EE">
              <w:rPr>
                <w:rFonts w:cs="Calibri"/>
                <w:b/>
                <w:bCs/>
                <w:color w:val="000000"/>
                <w:sz w:val="18"/>
                <w:szCs w:val="18"/>
                <w:lang w:eastAsia="en-GB"/>
              </w:rPr>
              <w:t>637.8</w:t>
            </w:r>
          </w:p>
        </w:tc>
        <w:tc>
          <w:tcPr>
            <w:tcW w:w="960" w:type="dxa"/>
            <w:gridSpan w:val="2"/>
            <w:tcBorders>
              <w:top w:val="nil"/>
              <w:left w:val="nil"/>
              <w:bottom w:val="single" w:sz="8" w:space="0" w:color="auto"/>
              <w:right w:val="single" w:sz="8" w:space="0" w:color="auto"/>
            </w:tcBorders>
            <w:shd w:val="clear" w:color="auto" w:fill="auto"/>
            <w:noWrap/>
            <w:vAlign w:val="center"/>
            <w:hideMark/>
          </w:tcPr>
          <w:p w:rsidR="00891A96" w:rsidRPr="009907EE" w:rsidRDefault="00891A96" w:rsidP="00891A96">
            <w:pPr>
              <w:jc w:val="right"/>
              <w:rPr>
                <w:rFonts w:cs="Calibri"/>
                <w:b/>
                <w:bCs/>
                <w:color w:val="000000"/>
                <w:sz w:val="18"/>
                <w:szCs w:val="18"/>
                <w:lang w:eastAsia="en-GB"/>
              </w:rPr>
            </w:pPr>
            <w:r w:rsidRPr="009907EE">
              <w:rPr>
                <w:rFonts w:cs="Calibri"/>
                <w:b/>
                <w:bCs/>
                <w:color w:val="000000"/>
                <w:sz w:val="18"/>
                <w:szCs w:val="18"/>
                <w:lang w:eastAsia="en-GB"/>
              </w:rPr>
              <w:t>797.4</w:t>
            </w:r>
          </w:p>
        </w:tc>
        <w:tc>
          <w:tcPr>
            <w:tcW w:w="960" w:type="dxa"/>
            <w:gridSpan w:val="2"/>
            <w:tcBorders>
              <w:top w:val="nil"/>
              <w:left w:val="nil"/>
              <w:bottom w:val="single" w:sz="8" w:space="0" w:color="auto"/>
              <w:right w:val="single" w:sz="8" w:space="0" w:color="auto"/>
            </w:tcBorders>
            <w:shd w:val="clear" w:color="auto" w:fill="auto"/>
            <w:noWrap/>
            <w:vAlign w:val="center"/>
            <w:hideMark/>
          </w:tcPr>
          <w:p w:rsidR="00891A96" w:rsidRPr="009907EE" w:rsidRDefault="00891A96" w:rsidP="00891A96">
            <w:pPr>
              <w:jc w:val="right"/>
              <w:rPr>
                <w:rFonts w:cs="Calibri"/>
                <w:b/>
                <w:bCs/>
                <w:color w:val="000000"/>
                <w:sz w:val="18"/>
                <w:szCs w:val="18"/>
                <w:lang w:eastAsia="en-GB"/>
              </w:rPr>
            </w:pPr>
            <w:r w:rsidRPr="009907EE">
              <w:rPr>
                <w:rFonts w:cs="Calibri"/>
                <w:b/>
                <w:bCs/>
                <w:color w:val="000000"/>
                <w:sz w:val="18"/>
                <w:szCs w:val="18"/>
                <w:lang w:eastAsia="en-GB"/>
              </w:rPr>
              <w:t>12.2</w:t>
            </w:r>
          </w:p>
        </w:tc>
        <w:tc>
          <w:tcPr>
            <w:tcW w:w="960" w:type="dxa"/>
            <w:gridSpan w:val="2"/>
            <w:tcBorders>
              <w:top w:val="nil"/>
              <w:left w:val="nil"/>
              <w:bottom w:val="single" w:sz="8" w:space="0" w:color="auto"/>
              <w:right w:val="single" w:sz="8" w:space="0" w:color="auto"/>
            </w:tcBorders>
            <w:shd w:val="clear" w:color="auto" w:fill="auto"/>
            <w:noWrap/>
            <w:vAlign w:val="center"/>
            <w:hideMark/>
          </w:tcPr>
          <w:p w:rsidR="00891A96" w:rsidRPr="009907EE" w:rsidRDefault="00891A96" w:rsidP="00891A96">
            <w:pPr>
              <w:jc w:val="right"/>
              <w:rPr>
                <w:rFonts w:cs="Calibri"/>
                <w:b/>
                <w:bCs/>
                <w:color w:val="000000"/>
                <w:sz w:val="18"/>
                <w:szCs w:val="18"/>
                <w:lang w:eastAsia="en-GB"/>
              </w:rPr>
            </w:pPr>
            <w:r w:rsidRPr="009907EE">
              <w:rPr>
                <w:rFonts w:cs="Calibri"/>
                <w:b/>
                <w:bCs/>
                <w:color w:val="000000"/>
                <w:sz w:val="18"/>
                <w:szCs w:val="18"/>
                <w:lang w:eastAsia="en-GB"/>
              </w:rPr>
              <w:t>187.1</w:t>
            </w:r>
          </w:p>
        </w:tc>
        <w:tc>
          <w:tcPr>
            <w:tcW w:w="960" w:type="dxa"/>
            <w:gridSpan w:val="2"/>
            <w:tcBorders>
              <w:top w:val="nil"/>
              <w:left w:val="nil"/>
              <w:bottom w:val="single" w:sz="8" w:space="0" w:color="auto"/>
              <w:right w:val="single" w:sz="8" w:space="0" w:color="auto"/>
            </w:tcBorders>
            <w:shd w:val="clear" w:color="auto" w:fill="auto"/>
            <w:noWrap/>
            <w:vAlign w:val="center"/>
            <w:hideMark/>
          </w:tcPr>
          <w:p w:rsidR="00891A96" w:rsidRPr="009907EE" w:rsidRDefault="00891A96" w:rsidP="00891A96">
            <w:pPr>
              <w:jc w:val="right"/>
              <w:rPr>
                <w:rFonts w:cs="Calibri"/>
                <w:b/>
                <w:bCs/>
                <w:color w:val="000000"/>
                <w:sz w:val="18"/>
                <w:szCs w:val="18"/>
                <w:lang w:eastAsia="en-GB"/>
              </w:rPr>
            </w:pPr>
            <w:r w:rsidRPr="009907EE">
              <w:rPr>
                <w:rFonts w:cs="Calibri"/>
                <w:b/>
                <w:bCs/>
                <w:color w:val="000000"/>
                <w:sz w:val="18"/>
                <w:szCs w:val="18"/>
                <w:lang w:eastAsia="en-GB"/>
              </w:rPr>
              <w:t>3.9</w:t>
            </w:r>
          </w:p>
        </w:tc>
        <w:tc>
          <w:tcPr>
            <w:tcW w:w="1175" w:type="dxa"/>
            <w:gridSpan w:val="2"/>
            <w:tcBorders>
              <w:top w:val="nil"/>
              <w:left w:val="nil"/>
              <w:bottom w:val="single" w:sz="8" w:space="0" w:color="auto"/>
              <w:right w:val="single" w:sz="8" w:space="0" w:color="auto"/>
            </w:tcBorders>
            <w:shd w:val="clear" w:color="auto" w:fill="auto"/>
            <w:noWrap/>
            <w:vAlign w:val="center"/>
            <w:hideMark/>
          </w:tcPr>
          <w:p w:rsidR="00891A96" w:rsidRPr="009907EE" w:rsidRDefault="00891A96" w:rsidP="00891A96">
            <w:pPr>
              <w:jc w:val="right"/>
              <w:rPr>
                <w:rFonts w:cs="Calibri"/>
                <w:b/>
                <w:bCs/>
                <w:color w:val="000000"/>
                <w:sz w:val="18"/>
                <w:szCs w:val="18"/>
                <w:lang w:eastAsia="en-GB"/>
              </w:rPr>
            </w:pPr>
            <w:r w:rsidRPr="009907EE">
              <w:rPr>
                <w:rFonts w:cs="Calibri"/>
                <w:b/>
                <w:bCs/>
                <w:color w:val="000000"/>
                <w:sz w:val="18"/>
                <w:szCs w:val="18"/>
                <w:lang w:eastAsia="en-GB"/>
              </w:rPr>
              <w:t>63.7</w:t>
            </w:r>
          </w:p>
        </w:tc>
        <w:tc>
          <w:tcPr>
            <w:tcW w:w="960" w:type="dxa"/>
            <w:gridSpan w:val="2"/>
            <w:tcBorders>
              <w:top w:val="nil"/>
              <w:left w:val="nil"/>
              <w:bottom w:val="single" w:sz="8" w:space="0" w:color="auto"/>
              <w:right w:val="single" w:sz="8" w:space="0" w:color="auto"/>
            </w:tcBorders>
            <w:shd w:val="clear" w:color="auto" w:fill="auto"/>
            <w:noWrap/>
            <w:vAlign w:val="center"/>
            <w:hideMark/>
          </w:tcPr>
          <w:p w:rsidR="00891A96" w:rsidRPr="009907EE" w:rsidRDefault="00891A96" w:rsidP="00891A96">
            <w:pPr>
              <w:jc w:val="right"/>
              <w:rPr>
                <w:rFonts w:cs="Calibri"/>
                <w:b/>
                <w:bCs/>
                <w:color w:val="000000"/>
                <w:sz w:val="18"/>
                <w:szCs w:val="18"/>
                <w:lang w:eastAsia="en-GB"/>
              </w:rPr>
            </w:pPr>
            <w:r w:rsidRPr="009907EE">
              <w:rPr>
                <w:rFonts w:cs="Calibri"/>
                <w:b/>
                <w:bCs/>
                <w:color w:val="000000"/>
                <w:sz w:val="18"/>
                <w:szCs w:val="18"/>
                <w:lang w:eastAsia="en-GB"/>
              </w:rPr>
              <w:t>1,702.1</w:t>
            </w:r>
          </w:p>
        </w:tc>
        <w:tc>
          <w:tcPr>
            <w:tcW w:w="960" w:type="dxa"/>
            <w:gridSpan w:val="2"/>
            <w:tcBorders>
              <w:top w:val="nil"/>
              <w:left w:val="nil"/>
              <w:bottom w:val="single" w:sz="8" w:space="0" w:color="auto"/>
              <w:right w:val="single" w:sz="8" w:space="0" w:color="auto"/>
            </w:tcBorders>
            <w:shd w:val="clear" w:color="auto" w:fill="auto"/>
            <w:noWrap/>
            <w:vAlign w:val="center"/>
            <w:hideMark/>
          </w:tcPr>
          <w:p w:rsidR="00891A96" w:rsidRPr="009907EE" w:rsidRDefault="00891A96" w:rsidP="00891A96">
            <w:pPr>
              <w:jc w:val="right"/>
              <w:rPr>
                <w:rFonts w:cs="Calibri"/>
                <w:b/>
                <w:bCs/>
                <w:color w:val="000000"/>
                <w:sz w:val="18"/>
                <w:szCs w:val="18"/>
                <w:lang w:eastAsia="en-GB"/>
              </w:rPr>
            </w:pPr>
            <w:r w:rsidRPr="009907EE">
              <w:rPr>
                <w:rFonts w:cs="Calibri"/>
                <w:b/>
                <w:bCs/>
                <w:color w:val="000000"/>
                <w:sz w:val="18"/>
                <w:szCs w:val="18"/>
                <w:lang w:eastAsia="en-GB"/>
              </w:rPr>
              <w:t>100.5</w:t>
            </w:r>
          </w:p>
        </w:tc>
      </w:tr>
    </w:tbl>
    <w:p w:rsidR="007B70DC" w:rsidRDefault="007B70DC" w:rsidP="00891A96">
      <w:pPr>
        <w:pStyle w:val="Heading4"/>
        <w:rPr>
          <w:rFonts w:ascii="Calibri" w:hAnsi="Calibri" w:cs="Calibri"/>
        </w:rPr>
        <w:sectPr w:rsidR="007B70DC" w:rsidSect="00891A96">
          <w:pgSz w:w="11906" w:h="16838"/>
          <w:pgMar w:top="284" w:right="1440" w:bottom="1440" w:left="709" w:header="708" w:footer="708" w:gutter="0"/>
          <w:cols w:space="708"/>
          <w:docGrid w:linePitch="360"/>
        </w:sectPr>
      </w:pPr>
    </w:p>
    <w:p w:rsidR="00891A96" w:rsidRDefault="00891A96" w:rsidP="00891A96">
      <w:pPr>
        <w:pStyle w:val="Heading4"/>
        <w:rPr>
          <w:rFonts w:ascii="Calibri" w:hAnsi="Calibri" w:cs="Calibri"/>
        </w:rPr>
      </w:pPr>
      <w:r>
        <w:rPr>
          <w:rFonts w:ascii="Calibri" w:hAnsi="Calibri" w:cs="Calibri"/>
        </w:rPr>
        <w:lastRenderedPageBreak/>
        <w:t xml:space="preserve">Group </w:t>
      </w:r>
      <w:r w:rsidRPr="00EB2995">
        <w:rPr>
          <w:rFonts w:ascii="Calibri" w:hAnsi="Calibri" w:cs="Calibri"/>
        </w:rPr>
        <w:t>Note</w:t>
      </w:r>
      <w:r>
        <w:rPr>
          <w:rFonts w:ascii="Calibri" w:hAnsi="Calibri" w:cs="Calibri"/>
        </w:rPr>
        <w:t xml:space="preserve"> 2- Investment Properties</w:t>
      </w:r>
    </w:p>
    <w:p w:rsidR="00891A96" w:rsidRDefault="00891A96" w:rsidP="00891A96"/>
    <w:tbl>
      <w:tblPr>
        <w:tblW w:w="6072" w:type="dxa"/>
        <w:tblLook w:val="04A0" w:firstRow="1" w:lastRow="0" w:firstColumn="1" w:lastColumn="0" w:noHBand="0" w:noVBand="1"/>
      </w:tblPr>
      <w:tblGrid>
        <w:gridCol w:w="4120"/>
        <w:gridCol w:w="980"/>
        <w:gridCol w:w="980"/>
      </w:tblGrid>
      <w:tr w:rsidR="00891A96" w:rsidRPr="007C459C" w:rsidTr="00891A96">
        <w:trPr>
          <w:trHeight w:val="300"/>
        </w:trPr>
        <w:tc>
          <w:tcPr>
            <w:tcW w:w="4120" w:type="dxa"/>
            <w:tcBorders>
              <w:top w:val="nil"/>
              <w:left w:val="nil"/>
              <w:bottom w:val="nil"/>
              <w:right w:val="nil"/>
            </w:tcBorders>
            <w:shd w:val="clear" w:color="auto" w:fill="auto"/>
            <w:noWrap/>
            <w:vAlign w:val="bottom"/>
            <w:hideMark/>
          </w:tcPr>
          <w:p w:rsidR="00891A96" w:rsidRPr="007C459C" w:rsidRDefault="00891A96" w:rsidP="00891A96">
            <w:pPr>
              <w:rPr>
                <w:rFonts w:ascii="Times New Roman" w:hAnsi="Times New Roman"/>
                <w:sz w:val="20"/>
                <w:szCs w:val="20"/>
                <w:lang w:eastAsia="en-GB"/>
              </w:rPr>
            </w:pPr>
          </w:p>
        </w:tc>
        <w:tc>
          <w:tcPr>
            <w:tcW w:w="976" w:type="dxa"/>
            <w:tcBorders>
              <w:top w:val="nil"/>
              <w:left w:val="nil"/>
              <w:bottom w:val="nil"/>
              <w:right w:val="nil"/>
            </w:tcBorders>
            <w:shd w:val="clear" w:color="auto" w:fill="auto"/>
            <w:noWrap/>
            <w:vAlign w:val="bottom"/>
            <w:hideMark/>
          </w:tcPr>
          <w:p w:rsidR="00891A96" w:rsidRPr="007C459C" w:rsidRDefault="00891A96" w:rsidP="00891A96">
            <w:pPr>
              <w:rPr>
                <w:rFonts w:cs="Calibri"/>
                <w:b/>
                <w:bCs/>
                <w:color w:val="000000"/>
                <w:lang w:eastAsia="en-GB"/>
              </w:rPr>
            </w:pPr>
            <w:r w:rsidRPr="007C459C">
              <w:rPr>
                <w:rFonts w:cs="Calibri"/>
                <w:b/>
                <w:bCs/>
                <w:color w:val="000000"/>
                <w:lang w:eastAsia="en-GB"/>
              </w:rPr>
              <w:t>2018/19</w:t>
            </w:r>
          </w:p>
        </w:tc>
        <w:tc>
          <w:tcPr>
            <w:tcW w:w="976" w:type="dxa"/>
            <w:tcBorders>
              <w:top w:val="nil"/>
              <w:left w:val="nil"/>
              <w:bottom w:val="nil"/>
              <w:right w:val="nil"/>
            </w:tcBorders>
            <w:shd w:val="clear" w:color="auto" w:fill="auto"/>
            <w:noWrap/>
            <w:vAlign w:val="bottom"/>
            <w:hideMark/>
          </w:tcPr>
          <w:p w:rsidR="00891A96" w:rsidRPr="007C459C" w:rsidRDefault="00891A96" w:rsidP="00891A96">
            <w:pPr>
              <w:rPr>
                <w:rFonts w:cs="Calibri"/>
                <w:b/>
                <w:bCs/>
                <w:color w:val="000000"/>
                <w:lang w:eastAsia="en-GB"/>
              </w:rPr>
            </w:pPr>
            <w:r w:rsidRPr="007C459C">
              <w:rPr>
                <w:rFonts w:cs="Calibri"/>
                <w:b/>
                <w:bCs/>
                <w:color w:val="000000"/>
                <w:lang w:eastAsia="en-GB"/>
              </w:rPr>
              <w:t>2019/20</w:t>
            </w:r>
          </w:p>
        </w:tc>
      </w:tr>
      <w:tr w:rsidR="00891A96" w:rsidRPr="007C459C" w:rsidTr="00891A96">
        <w:trPr>
          <w:trHeight w:val="300"/>
        </w:trPr>
        <w:tc>
          <w:tcPr>
            <w:tcW w:w="4120" w:type="dxa"/>
            <w:tcBorders>
              <w:top w:val="nil"/>
              <w:left w:val="nil"/>
              <w:bottom w:val="nil"/>
              <w:right w:val="nil"/>
            </w:tcBorders>
            <w:shd w:val="clear" w:color="auto" w:fill="auto"/>
            <w:noWrap/>
            <w:vAlign w:val="bottom"/>
            <w:hideMark/>
          </w:tcPr>
          <w:p w:rsidR="00891A96" w:rsidRPr="007C459C" w:rsidRDefault="00891A96" w:rsidP="00891A96">
            <w:pPr>
              <w:rPr>
                <w:rFonts w:cs="Calibri"/>
                <w:b/>
                <w:bCs/>
                <w:color w:val="000000"/>
                <w:lang w:eastAsia="en-GB"/>
              </w:rPr>
            </w:pPr>
          </w:p>
        </w:tc>
        <w:tc>
          <w:tcPr>
            <w:tcW w:w="976" w:type="dxa"/>
            <w:tcBorders>
              <w:top w:val="nil"/>
              <w:left w:val="nil"/>
              <w:bottom w:val="nil"/>
              <w:right w:val="nil"/>
            </w:tcBorders>
            <w:shd w:val="clear" w:color="auto" w:fill="auto"/>
            <w:noWrap/>
            <w:vAlign w:val="bottom"/>
            <w:hideMark/>
          </w:tcPr>
          <w:p w:rsidR="00891A96" w:rsidRPr="007C459C" w:rsidRDefault="00891A96" w:rsidP="00891A96">
            <w:pPr>
              <w:rPr>
                <w:rFonts w:cs="Calibri"/>
                <w:b/>
                <w:bCs/>
                <w:color w:val="000000"/>
                <w:lang w:eastAsia="en-GB"/>
              </w:rPr>
            </w:pPr>
            <w:r w:rsidRPr="007C459C">
              <w:rPr>
                <w:rFonts w:cs="Calibri"/>
                <w:b/>
                <w:bCs/>
                <w:color w:val="000000"/>
                <w:lang w:eastAsia="en-GB"/>
              </w:rPr>
              <w:t>£m</w:t>
            </w:r>
          </w:p>
        </w:tc>
        <w:tc>
          <w:tcPr>
            <w:tcW w:w="976" w:type="dxa"/>
            <w:tcBorders>
              <w:top w:val="nil"/>
              <w:left w:val="nil"/>
              <w:bottom w:val="nil"/>
              <w:right w:val="nil"/>
            </w:tcBorders>
            <w:shd w:val="clear" w:color="auto" w:fill="auto"/>
            <w:noWrap/>
            <w:vAlign w:val="bottom"/>
            <w:hideMark/>
          </w:tcPr>
          <w:p w:rsidR="00891A96" w:rsidRPr="007C459C" w:rsidRDefault="00891A96" w:rsidP="00891A96">
            <w:pPr>
              <w:rPr>
                <w:rFonts w:cs="Calibri"/>
                <w:b/>
                <w:bCs/>
                <w:color w:val="000000"/>
                <w:lang w:eastAsia="en-GB"/>
              </w:rPr>
            </w:pPr>
            <w:r w:rsidRPr="007C459C">
              <w:rPr>
                <w:rFonts w:cs="Calibri"/>
                <w:b/>
                <w:bCs/>
                <w:color w:val="000000"/>
                <w:lang w:eastAsia="en-GB"/>
              </w:rPr>
              <w:t>£m</w:t>
            </w:r>
          </w:p>
        </w:tc>
      </w:tr>
      <w:tr w:rsidR="00891A96" w:rsidRPr="007C459C" w:rsidTr="00891A96">
        <w:trPr>
          <w:trHeight w:val="300"/>
        </w:trPr>
        <w:tc>
          <w:tcPr>
            <w:tcW w:w="4120" w:type="dxa"/>
            <w:tcBorders>
              <w:top w:val="nil"/>
              <w:left w:val="nil"/>
              <w:bottom w:val="nil"/>
              <w:right w:val="nil"/>
            </w:tcBorders>
            <w:shd w:val="clear" w:color="auto" w:fill="auto"/>
            <w:vAlign w:val="bottom"/>
            <w:hideMark/>
          </w:tcPr>
          <w:p w:rsidR="00891A96" w:rsidRPr="007C459C" w:rsidRDefault="00891A96" w:rsidP="00891A96">
            <w:pPr>
              <w:rPr>
                <w:rFonts w:cs="Calibri"/>
                <w:b/>
                <w:bCs/>
                <w:color w:val="000000"/>
                <w:lang w:eastAsia="en-GB"/>
              </w:rPr>
            </w:pPr>
            <w:r w:rsidRPr="007C459C">
              <w:rPr>
                <w:rFonts w:cs="Calibri"/>
                <w:b/>
                <w:bCs/>
                <w:color w:val="000000"/>
                <w:lang w:eastAsia="en-GB"/>
              </w:rPr>
              <w:t>Cost or Valuation</w:t>
            </w:r>
          </w:p>
        </w:tc>
        <w:tc>
          <w:tcPr>
            <w:tcW w:w="976" w:type="dxa"/>
            <w:tcBorders>
              <w:top w:val="nil"/>
              <w:left w:val="nil"/>
              <w:bottom w:val="nil"/>
              <w:right w:val="nil"/>
            </w:tcBorders>
            <w:shd w:val="clear" w:color="auto" w:fill="auto"/>
            <w:noWrap/>
            <w:vAlign w:val="bottom"/>
            <w:hideMark/>
          </w:tcPr>
          <w:p w:rsidR="00891A96" w:rsidRPr="007C459C" w:rsidRDefault="00891A96" w:rsidP="00891A96">
            <w:pPr>
              <w:rPr>
                <w:rFonts w:cs="Calibri"/>
                <w:b/>
                <w:bCs/>
                <w:color w:val="000000"/>
                <w:lang w:eastAsia="en-GB"/>
              </w:rPr>
            </w:pPr>
          </w:p>
        </w:tc>
        <w:tc>
          <w:tcPr>
            <w:tcW w:w="976" w:type="dxa"/>
            <w:tcBorders>
              <w:top w:val="nil"/>
              <w:left w:val="nil"/>
              <w:bottom w:val="nil"/>
              <w:right w:val="nil"/>
            </w:tcBorders>
            <w:shd w:val="clear" w:color="auto" w:fill="auto"/>
            <w:noWrap/>
            <w:vAlign w:val="bottom"/>
            <w:hideMark/>
          </w:tcPr>
          <w:p w:rsidR="00891A96" w:rsidRPr="007C459C" w:rsidRDefault="00891A96" w:rsidP="00891A96">
            <w:pPr>
              <w:rPr>
                <w:rFonts w:ascii="Times New Roman" w:hAnsi="Times New Roman"/>
                <w:sz w:val="20"/>
                <w:szCs w:val="20"/>
                <w:lang w:eastAsia="en-GB"/>
              </w:rPr>
            </w:pPr>
          </w:p>
        </w:tc>
        <w:bookmarkStart w:id="34" w:name="_GoBack"/>
        <w:bookmarkEnd w:id="34"/>
      </w:tr>
      <w:tr w:rsidR="00891A96" w:rsidRPr="007C459C" w:rsidTr="00891A96">
        <w:trPr>
          <w:trHeight w:val="300"/>
        </w:trPr>
        <w:tc>
          <w:tcPr>
            <w:tcW w:w="4120" w:type="dxa"/>
            <w:tcBorders>
              <w:top w:val="nil"/>
              <w:left w:val="nil"/>
              <w:bottom w:val="nil"/>
              <w:right w:val="nil"/>
            </w:tcBorders>
            <w:shd w:val="clear" w:color="auto" w:fill="auto"/>
            <w:noWrap/>
            <w:vAlign w:val="bottom"/>
            <w:hideMark/>
          </w:tcPr>
          <w:p w:rsidR="00891A96" w:rsidRPr="007C459C" w:rsidRDefault="00891A96" w:rsidP="00891A96">
            <w:pPr>
              <w:rPr>
                <w:rFonts w:cs="Calibri"/>
                <w:b/>
                <w:bCs/>
                <w:color w:val="000000"/>
                <w:lang w:eastAsia="en-GB"/>
              </w:rPr>
            </w:pPr>
            <w:r w:rsidRPr="007C459C">
              <w:rPr>
                <w:rFonts w:cs="Calibri"/>
                <w:b/>
                <w:bCs/>
                <w:color w:val="000000"/>
                <w:lang w:eastAsia="en-GB"/>
              </w:rPr>
              <w:t>At 1 April</w:t>
            </w:r>
          </w:p>
        </w:tc>
        <w:tc>
          <w:tcPr>
            <w:tcW w:w="976" w:type="dxa"/>
            <w:tcBorders>
              <w:top w:val="nil"/>
              <w:left w:val="nil"/>
              <w:bottom w:val="nil"/>
              <w:right w:val="nil"/>
            </w:tcBorders>
            <w:shd w:val="clear" w:color="auto" w:fill="auto"/>
            <w:noWrap/>
            <w:vAlign w:val="bottom"/>
            <w:hideMark/>
          </w:tcPr>
          <w:p w:rsidR="00891A96" w:rsidRPr="007C459C" w:rsidRDefault="00891A96" w:rsidP="00891A96">
            <w:pPr>
              <w:jc w:val="right"/>
              <w:rPr>
                <w:rFonts w:cs="Calibri"/>
                <w:b/>
                <w:bCs/>
                <w:color w:val="000000"/>
                <w:lang w:eastAsia="en-GB"/>
              </w:rPr>
            </w:pPr>
            <w:r w:rsidRPr="007C459C">
              <w:rPr>
                <w:rFonts w:cs="Calibri"/>
                <w:b/>
                <w:bCs/>
                <w:color w:val="000000"/>
                <w:lang w:eastAsia="en-GB"/>
              </w:rPr>
              <w:t>11.4</w:t>
            </w:r>
          </w:p>
        </w:tc>
        <w:tc>
          <w:tcPr>
            <w:tcW w:w="976" w:type="dxa"/>
            <w:tcBorders>
              <w:top w:val="nil"/>
              <w:left w:val="nil"/>
              <w:bottom w:val="nil"/>
              <w:right w:val="nil"/>
            </w:tcBorders>
            <w:shd w:val="clear" w:color="auto" w:fill="auto"/>
            <w:noWrap/>
            <w:vAlign w:val="bottom"/>
            <w:hideMark/>
          </w:tcPr>
          <w:p w:rsidR="00891A96" w:rsidRPr="007C459C" w:rsidRDefault="00891A96" w:rsidP="00891A96">
            <w:pPr>
              <w:jc w:val="right"/>
              <w:rPr>
                <w:rFonts w:cs="Calibri"/>
                <w:b/>
                <w:bCs/>
                <w:color w:val="000000"/>
                <w:lang w:eastAsia="en-GB"/>
              </w:rPr>
            </w:pPr>
            <w:r w:rsidRPr="007C459C">
              <w:rPr>
                <w:rFonts w:cs="Calibri"/>
                <w:b/>
                <w:bCs/>
                <w:color w:val="000000"/>
                <w:lang w:eastAsia="en-GB"/>
              </w:rPr>
              <w:t>12.</w:t>
            </w:r>
            <w:r>
              <w:rPr>
                <w:rFonts w:cs="Calibri"/>
                <w:b/>
                <w:bCs/>
                <w:color w:val="000000"/>
                <w:lang w:eastAsia="en-GB"/>
              </w:rPr>
              <w:t>1</w:t>
            </w:r>
          </w:p>
        </w:tc>
      </w:tr>
      <w:tr w:rsidR="00891A96" w:rsidRPr="007C459C" w:rsidTr="00891A96">
        <w:trPr>
          <w:trHeight w:val="300"/>
        </w:trPr>
        <w:tc>
          <w:tcPr>
            <w:tcW w:w="4120" w:type="dxa"/>
            <w:tcBorders>
              <w:top w:val="nil"/>
              <w:left w:val="nil"/>
              <w:bottom w:val="nil"/>
              <w:right w:val="nil"/>
            </w:tcBorders>
            <w:shd w:val="clear" w:color="auto" w:fill="auto"/>
            <w:noWrap/>
            <w:vAlign w:val="bottom"/>
            <w:hideMark/>
          </w:tcPr>
          <w:p w:rsidR="00891A96" w:rsidRPr="007C459C" w:rsidRDefault="00891A96" w:rsidP="00891A96">
            <w:pPr>
              <w:rPr>
                <w:rFonts w:cs="Calibri"/>
                <w:color w:val="000000"/>
                <w:lang w:eastAsia="en-GB"/>
              </w:rPr>
            </w:pPr>
            <w:r w:rsidRPr="007C459C">
              <w:rPr>
                <w:rFonts w:cs="Calibri"/>
                <w:color w:val="000000"/>
                <w:lang w:eastAsia="en-GB"/>
              </w:rPr>
              <w:t>Additions</w:t>
            </w:r>
          </w:p>
        </w:tc>
        <w:tc>
          <w:tcPr>
            <w:tcW w:w="976" w:type="dxa"/>
            <w:tcBorders>
              <w:top w:val="nil"/>
              <w:left w:val="nil"/>
              <w:bottom w:val="nil"/>
              <w:right w:val="nil"/>
            </w:tcBorders>
            <w:shd w:val="clear" w:color="auto" w:fill="auto"/>
            <w:noWrap/>
            <w:vAlign w:val="bottom"/>
            <w:hideMark/>
          </w:tcPr>
          <w:p w:rsidR="00891A96" w:rsidRPr="007C459C" w:rsidRDefault="00891A96" w:rsidP="00891A96">
            <w:pPr>
              <w:jc w:val="right"/>
              <w:rPr>
                <w:rFonts w:cs="Calibri"/>
                <w:color w:val="000000"/>
                <w:lang w:eastAsia="en-GB"/>
              </w:rPr>
            </w:pPr>
            <w:r w:rsidRPr="007C459C">
              <w:rPr>
                <w:rFonts w:cs="Calibri"/>
                <w:color w:val="000000"/>
                <w:lang w:eastAsia="en-GB"/>
              </w:rPr>
              <w:t>0.0</w:t>
            </w:r>
          </w:p>
        </w:tc>
        <w:tc>
          <w:tcPr>
            <w:tcW w:w="976" w:type="dxa"/>
            <w:tcBorders>
              <w:top w:val="nil"/>
              <w:left w:val="nil"/>
              <w:bottom w:val="nil"/>
              <w:right w:val="nil"/>
            </w:tcBorders>
            <w:shd w:val="clear" w:color="auto" w:fill="auto"/>
            <w:noWrap/>
            <w:vAlign w:val="bottom"/>
            <w:hideMark/>
          </w:tcPr>
          <w:p w:rsidR="00891A96" w:rsidRPr="007C459C" w:rsidRDefault="00891A96" w:rsidP="00891A96">
            <w:pPr>
              <w:jc w:val="right"/>
              <w:rPr>
                <w:rFonts w:cs="Calibri"/>
                <w:color w:val="000000"/>
                <w:lang w:eastAsia="en-GB"/>
              </w:rPr>
            </w:pPr>
            <w:r w:rsidRPr="007C459C">
              <w:rPr>
                <w:rFonts w:cs="Calibri"/>
                <w:color w:val="000000"/>
                <w:lang w:eastAsia="en-GB"/>
              </w:rPr>
              <w:t>0.0</w:t>
            </w:r>
          </w:p>
        </w:tc>
      </w:tr>
      <w:tr w:rsidR="00891A96" w:rsidRPr="007C459C" w:rsidTr="00891A96">
        <w:trPr>
          <w:trHeight w:val="900"/>
        </w:trPr>
        <w:tc>
          <w:tcPr>
            <w:tcW w:w="4120" w:type="dxa"/>
            <w:tcBorders>
              <w:top w:val="nil"/>
              <w:left w:val="nil"/>
              <w:bottom w:val="nil"/>
              <w:right w:val="nil"/>
            </w:tcBorders>
            <w:shd w:val="clear" w:color="auto" w:fill="auto"/>
            <w:vAlign w:val="bottom"/>
            <w:hideMark/>
          </w:tcPr>
          <w:p w:rsidR="00891A96" w:rsidRPr="007C459C" w:rsidRDefault="00891A96" w:rsidP="00891A96">
            <w:pPr>
              <w:rPr>
                <w:rFonts w:cs="Calibri"/>
                <w:color w:val="000000"/>
                <w:lang w:eastAsia="en-GB"/>
              </w:rPr>
            </w:pPr>
            <w:r w:rsidRPr="007C459C">
              <w:rPr>
                <w:rFonts w:cs="Calibri"/>
                <w:color w:val="000000"/>
                <w:lang w:eastAsia="en-GB"/>
              </w:rPr>
              <w:t>Revaluation increases/(decreases) recognised in the Surplus/Deficit on the Provision of Services</w:t>
            </w:r>
          </w:p>
        </w:tc>
        <w:tc>
          <w:tcPr>
            <w:tcW w:w="976" w:type="dxa"/>
            <w:tcBorders>
              <w:top w:val="nil"/>
              <w:left w:val="nil"/>
              <w:bottom w:val="nil"/>
              <w:right w:val="nil"/>
            </w:tcBorders>
            <w:shd w:val="clear" w:color="auto" w:fill="auto"/>
            <w:noWrap/>
            <w:vAlign w:val="bottom"/>
            <w:hideMark/>
          </w:tcPr>
          <w:p w:rsidR="00891A96" w:rsidRPr="007C459C" w:rsidRDefault="00891A96" w:rsidP="00891A96">
            <w:pPr>
              <w:jc w:val="right"/>
              <w:rPr>
                <w:rFonts w:cs="Calibri"/>
                <w:color w:val="000000"/>
                <w:lang w:eastAsia="en-GB"/>
              </w:rPr>
            </w:pPr>
            <w:r>
              <w:rPr>
                <w:rFonts w:cs="Calibri"/>
                <w:color w:val="000000"/>
                <w:lang w:eastAsia="en-GB"/>
              </w:rPr>
              <w:t>0</w:t>
            </w:r>
            <w:r w:rsidRPr="007C459C">
              <w:rPr>
                <w:rFonts w:cs="Calibri"/>
                <w:color w:val="000000"/>
                <w:lang w:eastAsia="en-GB"/>
              </w:rPr>
              <w:t>.</w:t>
            </w:r>
            <w:r>
              <w:rPr>
                <w:rFonts w:cs="Calibri"/>
                <w:color w:val="000000"/>
                <w:lang w:eastAsia="en-GB"/>
              </w:rPr>
              <w:t>7</w:t>
            </w:r>
          </w:p>
        </w:tc>
        <w:tc>
          <w:tcPr>
            <w:tcW w:w="976" w:type="dxa"/>
            <w:tcBorders>
              <w:top w:val="nil"/>
              <w:left w:val="nil"/>
              <w:bottom w:val="nil"/>
              <w:right w:val="nil"/>
            </w:tcBorders>
            <w:shd w:val="clear" w:color="auto" w:fill="auto"/>
            <w:noWrap/>
            <w:vAlign w:val="bottom"/>
            <w:hideMark/>
          </w:tcPr>
          <w:p w:rsidR="00891A96" w:rsidRPr="007C459C" w:rsidRDefault="00891A96" w:rsidP="00891A96">
            <w:pPr>
              <w:jc w:val="right"/>
              <w:rPr>
                <w:rFonts w:cs="Calibri"/>
                <w:color w:val="000000"/>
                <w:lang w:eastAsia="en-GB"/>
              </w:rPr>
            </w:pPr>
            <w:r w:rsidRPr="007C459C">
              <w:rPr>
                <w:rFonts w:cs="Calibri"/>
                <w:color w:val="000000"/>
                <w:lang w:eastAsia="en-GB"/>
              </w:rPr>
              <w:t>0</w:t>
            </w:r>
            <w:r>
              <w:rPr>
                <w:rFonts w:cs="Calibri"/>
                <w:color w:val="000000"/>
                <w:lang w:eastAsia="en-GB"/>
              </w:rPr>
              <w:t>3</w:t>
            </w:r>
          </w:p>
        </w:tc>
      </w:tr>
      <w:tr w:rsidR="00891A96" w:rsidRPr="007C459C" w:rsidTr="00891A96">
        <w:trPr>
          <w:trHeight w:val="300"/>
        </w:trPr>
        <w:tc>
          <w:tcPr>
            <w:tcW w:w="4120" w:type="dxa"/>
            <w:tcBorders>
              <w:top w:val="nil"/>
              <w:left w:val="nil"/>
              <w:bottom w:val="nil"/>
              <w:right w:val="nil"/>
            </w:tcBorders>
            <w:shd w:val="clear" w:color="auto" w:fill="auto"/>
            <w:noWrap/>
            <w:vAlign w:val="bottom"/>
            <w:hideMark/>
          </w:tcPr>
          <w:p w:rsidR="00891A96" w:rsidRPr="007C459C" w:rsidRDefault="00891A96" w:rsidP="00891A96">
            <w:pPr>
              <w:rPr>
                <w:rFonts w:cs="Calibri"/>
                <w:b/>
                <w:bCs/>
                <w:color w:val="000000"/>
                <w:lang w:eastAsia="en-GB"/>
              </w:rPr>
            </w:pPr>
            <w:r w:rsidRPr="007C459C">
              <w:rPr>
                <w:rFonts w:cs="Calibri"/>
                <w:b/>
                <w:bCs/>
                <w:color w:val="000000"/>
                <w:lang w:eastAsia="en-GB"/>
              </w:rPr>
              <w:t>At 31 March</w:t>
            </w:r>
          </w:p>
        </w:tc>
        <w:tc>
          <w:tcPr>
            <w:tcW w:w="976" w:type="dxa"/>
            <w:tcBorders>
              <w:top w:val="single" w:sz="4" w:space="0" w:color="auto"/>
              <w:left w:val="nil"/>
              <w:bottom w:val="nil"/>
              <w:right w:val="nil"/>
            </w:tcBorders>
            <w:shd w:val="clear" w:color="auto" w:fill="auto"/>
            <w:noWrap/>
            <w:vAlign w:val="bottom"/>
            <w:hideMark/>
          </w:tcPr>
          <w:p w:rsidR="00891A96" w:rsidRPr="007C459C" w:rsidRDefault="00891A96" w:rsidP="00891A96">
            <w:pPr>
              <w:jc w:val="right"/>
              <w:rPr>
                <w:rFonts w:cs="Calibri"/>
                <w:b/>
                <w:bCs/>
                <w:color w:val="000000"/>
                <w:lang w:eastAsia="en-GB"/>
              </w:rPr>
            </w:pPr>
            <w:r w:rsidRPr="007C459C">
              <w:rPr>
                <w:rFonts w:cs="Calibri"/>
                <w:b/>
                <w:bCs/>
                <w:color w:val="000000"/>
                <w:lang w:eastAsia="en-GB"/>
              </w:rPr>
              <w:t>12.</w:t>
            </w:r>
            <w:r>
              <w:rPr>
                <w:rFonts w:cs="Calibri"/>
                <w:b/>
                <w:bCs/>
                <w:color w:val="000000"/>
                <w:lang w:eastAsia="en-GB"/>
              </w:rPr>
              <w:t>1</w:t>
            </w:r>
          </w:p>
        </w:tc>
        <w:tc>
          <w:tcPr>
            <w:tcW w:w="976" w:type="dxa"/>
            <w:tcBorders>
              <w:top w:val="single" w:sz="4" w:space="0" w:color="auto"/>
              <w:left w:val="nil"/>
              <w:bottom w:val="nil"/>
              <w:right w:val="nil"/>
            </w:tcBorders>
            <w:shd w:val="clear" w:color="auto" w:fill="auto"/>
            <w:noWrap/>
            <w:vAlign w:val="bottom"/>
            <w:hideMark/>
          </w:tcPr>
          <w:p w:rsidR="00891A96" w:rsidRPr="007C459C" w:rsidRDefault="00891A96" w:rsidP="00891A96">
            <w:pPr>
              <w:jc w:val="right"/>
              <w:rPr>
                <w:rFonts w:cs="Calibri"/>
                <w:b/>
                <w:bCs/>
                <w:color w:val="000000"/>
                <w:lang w:eastAsia="en-GB"/>
              </w:rPr>
            </w:pPr>
            <w:r w:rsidRPr="007C459C">
              <w:rPr>
                <w:rFonts w:cs="Calibri"/>
                <w:b/>
                <w:bCs/>
                <w:color w:val="000000"/>
                <w:lang w:eastAsia="en-GB"/>
              </w:rPr>
              <w:t>12.4</w:t>
            </w:r>
          </w:p>
        </w:tc>
      </w:tr>
    </w:tbl>
    <w:p w:rsidR="00891A96" w:rsidRDefault="00891A96" w:rsidP="00891A96"/>
    <w:p w:rsidR="00891A96" w:rsidRDefault="00891A96" w:rsidP="00891A96"/>
    <w:p w:rsidR="00891A96" w:rsidRDefault="00891A96" w:rsidP="00891A96">
      <w:pPr>
        <w:pStyle w:val="Heading4"/>
        <w:rPr>
          <w:rFonts w:ascii="Calibri" w:hAnsi="Calibri" w:cs="Calibri"/>
        </w:rPr>
      </w:pPr>
      <w:r>
        <w:rPr>
          <w:rFonts w:ascii="Calibri" w:hAnsi="Calibri" w:cs="Calibri"/>
        </w:rPr>
        <w:t xml:space="preserve">Group </w:t>
      </w:r>
      <w:r w:rsidRPr="00AC1255">
        <w:rPr>
          <w:rFonts w:ascii="Calibri" w:hAnsi="Calibri" w:cs="Calibri"/>
        </w:rPr>
        <w:t xml:space="preserve">Note 3 – Long Term Financial Assets </w:t>
      </w:r>
    </w:p>
    <w:p w:rsidR="00891A96" w:rsidRPr="00AC1255" w:rsidRDefault="00891A96" w:rsidP="00891A96"/>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Group Note 3- long term financial assets"/>
      </w:tblPr>
      <w:tblGrid>
        <w:gridCol w:w="3260"/>
        <w:gridCol w:w="1298"/>
        <w:gridCol w:w="1298"/>
      </w:tblGrid>
      <w:tr w:rsidR="00891A96" w:rsidRPr="00AC1255" w:rsidTr="007B70DC">
        <w:trPr>
          <w:trHeight w:val="20"/>
          <w:tblHeader/>
        </w:trPr>
        <w:tc>
          <w:tcPr>
            <w:tcW w:w="0" w:type="auto"/>
            <w:noWrap/>
            <w:hideMark/>
          </w:tcPr>
          <w:p w:rsidR="00891A96" w:rsidRPr="00AC1255" w:rsidRDefault="00891A96" w:rsidP="00891A96">
            <w:pPr>
              <w:rPr>
                <w:rFonts w:asciiTheme="minorHAnsi" w:hAnsiTheme="minorHAnsi" w:cstheme="minorHAnsi"/>
                <w:b/>
                <w:bCs/>
                <w:color w:val="000000"/>
                <w:lang w:eastAsia="en-GB"/>
              </w:rPr>
            </w:pPr>
            <w:r w:rsidRPr="00AC1255">
              <w:rPr>
                <w:rFonts w:asciiTheme="minorHAnsi" w:hAnsiTheme="minorHAnsi" w:cstheme="minorHAnsi"/>
                <w:b/>
                <w:bCs/>
                <w:color w:val="000000"/>
                <w:lang w:eastAsia="en-GB"/>
              </w:rPr>
              <w:t>Financial Assets</w:t>
            </w:r>
          </w:p>
        </w:tc>
        <w:tc>
          <w:tcPr>
            <w:tcW w:w="0" w:type="auto"/>
            <w:gridSpan w:val="2"/>
          </w:tcPr>
          <w:p w:rsidR="00891A96" w:rsidRPr="00AC1255" w:rsidRDefault="00891A96" w:rsidP="00891A96">
            <w:pPr>
              <w:jc w:val="center"/>
              <w:rPr>
                <w:rFonts w:asciiTheme="minorHAnsi" w:hAnsiTheme="minorHAnsi" w:cstheme="minorHAnsi"/>
                <w:b/>
                <w:bCs/>
                <w:color w:val="000000"/>
                <w:lang w:eastAsia="en-GB"/>
              </w:rPr>
            </w:pPr>
            <w:r w:rsidRPr="00AC1255">
              <w:rPr>
                <w:rFonts w:asciiTheme="minorHAnsi" w:hAnsiTheme="minorHAnsi" w:cstheme="minorHAnsi"/>
                <w:b/>
                <w:bCs/>
                <w:color w:val="000000"/>
                <w:lang w:eastAsia="en-GB"/>
              </w:rPr>
              <w:t>Long term</w:t>
            </w:r>
          </w:p>
        </w:tc>
      </w:tr>
      <w:tr w:rsidR="00891A96" w:rsidRPr="00AC1255" w:rsidTr="00891A96">
        <w:trPr>
          <w:trHeight w:val="20"/>
        </w:trPr>
        <w:tc>
          <w:tcPr>
            <w:tcW w:w="0" w:type="auto"/>
            <w:noWrap/>
            <w:hideMark/>
          </w:tcPr>
          <w:p w:rsidR="00891A96" w:rsidRPr="00AC1255" w:rsidRDefault="00891A96" w:rsidP="00891A96">
            <w:pPr>
              <w:rPr>
                <w:rFonts w:asciiTheme="minorHAnsi" w:hAnsiTheme="minorHAnsi" w:cstheme="minorHAnsi"/>
                <w:color w:val="000000"/>
                <w:lang w:eastAsia="en-GB"/>
              </w:rPr>
            </w:pPr>
            <w:r w:rsidRPr="00AC1255">
              <w:rPr>
                <w:rFonts w:asciiTheme="minorHAnsi" w:hAnsiTheme="minorHAnsi" w:cstheme="minorHAnsi"/>
                <w:color w:val="000000"/>
                <w:lang w:eastAsia="en-GB"/>
              </w:rPr>
              <w:t> </w:t>
            </w:r>
          </w:p>
        </w:tc>
        <w:tc>
          <w:tcPr>
            <w:tcW w:w="0" w:type="auto"/>
          </w:tcPr>
          <w:p w:rsidR="00891A96" w:rsidRPr="00AC1255" w:rsidRDefault="00891A96" w:rsidP="00891A96">
            <w:pPr>
              <w:jc w:val="center"/>
              <w:rPr>
                <w:rFonts w:asciiTheme="minorHAnsi" w:hAnsiTheme="minorHAnsi" w:cstheme="minorHAnsi"/>
                <w:b/>
                <w:color w:val="000000"/>
                <w:lang w:eastAsia="en-GB"/>
              </w:rPr>
            </w:pPr>
            <w:r w:rsidRPr="00AC1255">
              <w:rPr>
                <w:rFonts w:asciiTheme="minorHAnsi" w:hAnsiTheme="minorHAnsi" w:cstheme="minorHAnsi"/>
                <w:b/>
                <w:color w:val="000000"/>
                <w:lang w:eastAsia="en-GB"/>
              </w:rPr>
              <w:t>31/03/2019</w:t>
            </w:r>
          </w:p>
        </w:tc>
        <w:tc>
          <w:tcPr>
            <w:tcW w:w="0" w:type="auto"/>
            <w:noWrap/>
            <w:hideMark/>
          </w:tcPr>
          <w:p w:rsidR="00891A96" w:rsidRPr="00AC1255" w:rsidRDefault="00891A96" w:rsidP="00891A96">
            <w:pPr>
              <w:jc w:val="center"/>
              <w:rPr>
                <w:rFonts w:asciiTheme="minorHAnsi" w:hAnsiTheme="minorHAnsi" w:cstheme="minorHAnsi"/>
                <w:b/>
                <w:color w:val="000000"/>
                <w:lang w:eastAsia="en-GB"/>
              </w:rPr>
            </w:pPr>
            <w:r w:rsidRPr="00AC1255">
              <w:rPr>
                <w:rFonts w:asciiTheme="minorHAnsi" w:hAnsiTheme="minorHAnsi" w:cstheme="minorHAnsi"/>
                <w:b/>
                <w:color w:val="000000"/>
                <w:lang w:eastAsia="en-GB"/>
              </w:rPr>
              <w:t>31/03/2020</w:t>
            </w:r>
          </w:p>
        </w:tc>
      </w:tr>
      <w:tr w:rsidR="00891A96" w:rsidRPr="00AC1255" w:rsidTr="00891A96">
        <w:trPr>
          <w:trHeight w:val="20"/>
        </w:trPr>
        <w:tc>
          <w:tcPr>
            <w:tcW w:w="0" w:type="auto"/>
            <w:noWrap/>
            <w:hideMark/>
          </w:tcPr>
          <w:p w:rsidR="00891A96" w:rsidRPr="00AC1255" w:rsidRDefault="00891A96" w:rsidP="00891A96">
            <w:pPr>
              <w:rPr>
                <w:rFonts w:asciiTheme="minorHAnsi" w:hAnsiTheme="minorHAnsi" w:cstheme="minorHAnsi"/>
                <w:color w:val="000000"/>
                <w:lang w:eastAsia="en-GB"/>
              </w:rPr>
            </w:pPr>
            <w:r w:rsidRPr="00AC1255">
              <w:rPr>
                <w:rFonts w:asciiTheme="minorHAnsi" w:hAnsiTheme="minorHAnsi" w:cstheme="minorHAnsi"/>
                <w:color w:val="000000"/>
                <w:lang w:eastAsia="en-GB"/>
              </w:rPr>
              <w:t> </w:t>
            </w:r>
          </w:p>
        </w:tc>
        <w:tc>
          <w:tcPr>
            <w:tcW w:w="0" w:type="auto"/>
          </w:tcPr>
          <w:p w:rsidR="00891A96" w:rsidRPr="00AC1255" w:rsidRDefault="00891A96" w:rsidP="00891A96">
            <w:pPr>
              <w:jc w:val="center"/>
              <w:rPr>
                <w:rFonts w:asciiTheme="minorHAnsi" w:hAnsiTheme="minorHAnsi" w:cstheme="minorHAnsi"/>
                <w:b/>
                <w:color w:val="000000"/>
                <w:lang w:eastAsia="en-GB"/>
              </w:rPr>
            </w:pPr>
            <w:r w:rsidRPr="00AC1255">
              <w:rPr>
                <w:rFonts w:asciiTheme="minorHAnsi" w:hAnsiTheme="minorHAnsi" w:cstheme="minorHAnsi"/>
                <w:b/>
                <w:color w:val="000000"/>
                <w:lang w:eastAsia="en-GB"/>
              </w:rPr>
              <w:t>£m</w:t>
            </w:r>
          </w:p>
        </w:tc>
        <w:tc>
          <w:tcPr>
            <w:tcW w:w="0" w:type="auto"/>
            <w:noWrap/>
            <w:hideMark/>
          </w:tcPr>
          <w:p w:rsidR="00891A96" w:rsidRPr="00AC1255" w:rsidRDefault="00891A96" w:rsidP="00891A96">
            <w:pPr>
              <w:jc w:val="center"/>
              <w:rPr>
                <w:rFonts w:asciiTheme="minorHAnsi" w:hAnsiTheme="minorHAnsi" w:cstheme="minorHAnsi"/>
                <w:b/>
                <w:color w:val="000000"/>
                <w:lang w:eastAsia="en-GB"/>
              </w:rPr>
            </w:pPr>
            <w:r w:rsidRPr="00AC1255">
              <w:rPr>
                <w:rFonts w:asciiTheme="minorHAnsi" w:hAnsiTheme="minorHAnsi" w:cstheme="minorHAnsi"/>
                <w:b/>
                <w:color w:val="000000"/>
                <w:lang w:eastAsia="en-GB"/>
              </w:rPr>
              <w:t>£m</w:t>
            </w:r>
          </w:p>
        </w:tc>
      </w:tr>
      <w:tr w:rsidR="00891A96" w:rsidRPr="00AC1255" w:rsidTr="00891A96">
        <w:trPr>
          <w:trHeight w:val="20"/>
        </w:trPr>
        <w:tc>
          <w:tcPr>
            <w:tcW w:w="0" w:type="auto"/>
            <w:noWrap/>
            <w:hideMark/>
          </w:tcPr>
          <w:p w:rsidR="00891A96" w:rsidRPr="00AC1255" w:rsidRDefault="00891A96" w:rsidP="00891A96">
            <w:pPr>
              <w:rPr>
                <w:rFonts w:asciiTheme="minorHAnsi" w:hAnsiTheme="minorHAnsi" w:cstheme="minorHAnsi"/>
                <w:color w:val="000000"/>
                <w:lang w:eastAsia="en-GB"/>
              </w:rPr>
            </w:pPr>
            <w:r>
              <w:rPr>
                <w:rFonts w:asciiTheme="minorHAnsi" w:hAnsiTheme="minorHAnsi" w:cstheme="minorHAnsi"/>
                <w:color w:val="000000"/>
                <w:lang w:eastAsia="en-GB"/>
              </w:rPr>
              <w:t>Investments at</w:t>
            </w:r>
            <w:r w:rsidRPr="00AC1255">
              <w:rPr>
                <w:rFonts w:asciiTheme="minorHAnsi" w:hAnsiTheme="minorHAnsi" w:cstheme="minorHAnsi"/>
                <w:color w:val="000000"/>
                <w:lang w:eastAsia="en-GB"/>
              </w:rPr>
              <w:t xml:space="preserve"> amortised cost: </w:t>
            </w:r>
          </w:p>
        </w:tc>
        <w:tc>
          <w:tcPr>
            <w:tcW w:w="0" w:type="auto"/>
          </w:tcPr>
          <w:p w:rsidR="00891A96" w:rsidRPr="00AC1255" w:rsidRDefault="00891A96" w:rsidP="00891A96">
            <w:pPr>
              <w:rPr>
                <w:rFonts w:asciiTheme="minorHAnsi" w:hAnsiTheme="minorHAnsi" w:cstheme="minorHAnsi"/>
                <w:color w:val="000000"/>
                <w:lang w:eastAsia="en-GB"/>
              </w:rPr>
            </w:pPr>
            <w:r w:rsidRPr="00AC1255">
              <w:rPr>
                <w:rFonts w:asciiTheme="minorHAnsi" w:hAnsiTheme="minorHAnsi" w:cstheme="minorHAnsi"/>
                <w:color w:val="000000"/>
                <w:lang w:eastAsia="en-GB"/>
              </w:rPr>
              <w:t> </w:t>
            </w:r>
          </w:p>
        </w:tc>
        <w:tc>
          <w:tcPr>
            <w:tcW w:w="0" w:type="auto"/>
            <w:noWrap/>
            <w:hideMark/>
          </w:tcPr>
          <w:p w:rsidR="00891A96" w:rsidRPr="00AC1255" w:rsidRDefault="00891A96" w:rsidP="00891A96">
            <w:pPr>
              <w:rPr>
                <w:rFonts w:asciiTheme="minorHAnsi" w:hAnsiTheme="minorHAnsi" w:cstheme="minorHAnsi"/>
                <w:color w:val="000000"/>
                <w:lang w:eastAsia="en-GB"/>
              </w:rPr>
            </w:pPr>
            <w:r w:rsidRPr="00AC1255">
              <w:rPr>
                <w:rFonts w:asciiTheme="minorHAnsi" w:hAnsiTheme="minorHAnsi" w:cstheme="minorHAnsi"/>
                <w:color w:val="000000"/>
                <w:lang w:eastAsia="en-GB"/>
              </w:rPr>
              <w:t> </w:t>
            </w:r>
          </w:p>
        </w:tc>
      </w:tr>
      <w:tr w:rsidR="00891A96" w:rsidRPr="00AC1255" w:rsidTr="00891A96">
        <w:trPr>
          <w:trHeight w:val="20"/>
        </w:trPr>
        <w:tc>
          <w:tcPr>
            <w:tcW w:w="0" w:type="auto"/>
            <w:noWrap/>
            <w:hideMark/>
          </w:tcPr>
          <w:p w:rsidR="00891A96" w:rsidRPr="00AC1255" w:rsidRDefault="00891A96" w:rsidP="00891A96">
            <w:pPr>
              <w:rPr>
                <w:rFonts w:asciiTheme="minorHAnsi" w:hAnsiTheme="minorHAnsi" w:cstheme="minorHAnsi"/>
                <w:color w:val="000000"/>
                <w:lang w:eastAsia="en-GB"/>
              </w:rPr>
            </w:pPr>
            <w:r w:rsidRPr="00AC1255">
              <w:rPr>
                <w:rFonts w:asciiTheme="minorHAnsi" w:hAnsiTheme="minorHAnsi" w:cstheme="minorHAnsi"/>
                <w:color w:val="000000"/>
                <w:lang w:eastAsia="en-GB"/>
              </w:rPr>
              <w:t>- Investments in Subsidaries</w:t>
            </w:r>
          </w:p>
        </w:tc>
        <w:tc>
          <w:tcPr>
            <w:tcW w:w="0" w:type="auto"/>
          </w:tcPr>
          <w:p w:rsidR="00891A96" w:rsidRPr="00AC1255" w:rsidRDefault="00891A96" w:rsidP="00891A96">
            <w:pPr>
              <w:jc w:val="center"/>
              <w:rPr>
                <w:rFonts w:asciiTheme="minorHAnsi" w:hAnsiTheme="minorHAnsi" w:cstheme="minorHAnsi"/>
                <w:lang w:eastAsia="en-GB"/>
              </w:rPr>
            </w:pPr>
            <w:r w:rsidRPr="00AC1255">
              <w:rPr>
                <w:rFonts w:asciiTheme="minorHAnsi" w:hAnsiTheme="minorHAnsi" w:cstheme="minorHAnsi"/>
                <w:lang w:eastAsia="en-GB"/>
              </w:rPr>
              <w:t>-</w:t>
            </w:r>
          </w:p>
        </w:tc>
        <w:tc>
          <w:tcPr>
            <w:tcW w:w="0" w:type="auto"/>
            <w:noWrap/>
            <w:hideMark/>
          </w:tcPr>
          <w:p w:rsidR="00891A96" w:rsidRPr="00AC1255" w:rsidRDefault="00891A96" w:rsidP="00891A96">
            <w:pPr>
              <w:jc w:val="center"/>
              <w:rPr>
                <w:rFonts w:asciiTheme="minorHAnsi" w:hAnsiTheme="minorHAnsi" w:cstheme="minorHAnsi"/>
                <w:lang w:eastAsia="en-GB"/>
              </w:rPr>
            </w:pPr>
            <w:r w:rsidRPr="00AC1255">
              <w:rPr>
                <w:rFonts w:asciiTheme="minorHAnsi" w:hAnsiTheme="minorHAnsi" w:cstheme="minorHAnsi"/>
                <w:lang w:eastAsia="en-GB"/>
              </w:rPr>
              <w:t>0.0</w:t>
            </w:r>
          </w:p>
        </w:tc>
      </w:tr>
      <w:tr w:rsidR="00891A96" w:rsidRPr="00AC1255" w:rsidTr="00891A96">
        <w:trPr>
          <w:trHeight w:val="20"/>
        </w:trPr>
        <w:tc>
          <w:tcPr>
            <w:tcW w:w="0" w:type="auto"/>
            <w:noWrap/>
            <w:hideMark/>
          </w:tcPr>
          <w:p w:rsidR="00891A96" w:rsidRPr="00AC1255" w:rsidRDefault="00891A96" w:rsidP="00891A96">
            <w:pPr>
              <w:rPr>
                <w:rFonts w:asciiTheme="minorHAnsi" w:hAnsiTheme="minorHAnsi" w:cstheme="minorHAnsi"/>
                <w:color w:val="000000"/>
                <w:lang w:eastAsia="en-GB"/>
              </w:rPr>
            </w:pPr>
            <w:r w:rsidRPr="00AC1255">
              <w:rPr>
                <w:rFonts w:asciiTheme="minorHAnsi" w:hAnsiTheme="minorHAnsi" w:cstheme="minorHAnsi"/>
                <w:color w:val="000000"/>
                <w:lang w:eastAsia="en-GB"/>
              </w:rPr>
              <w:t xml:space="preserve">- Loans </w:t>
            </w:r>
          </w:p>
        </w:tc>
        <w:tc>
          <w:tcPr>
            <w:tcW w:w="0" w:type="auto"/>
          </w:tcPr>
          <w:p w:rsidR="00891A96" w:rsidRPr="00AC1255" w:rsidRDefault="00891A96" w:rsidP="00891A96">
            <w:pPr>
              <w:jc w:val="center"/>
              <w:rPr>
                <w:rFonts w:asciiTheme="minorHAnsi" w:hAnsiTheme="minorHAnsi" w:cstheme="minorHAnsi"/>
                <w:lang w:eastAsia="en-GB"/>
              </w:rPr>
            </w:pPr>
            <w:r w:rsidRPr="00AC1255">
              <w:rPr>
                <w:rFonts w:asciiTheme="minorHAnsi" w:hAnsiTheme="minorHAnsi" w:cstheme="minorHAnsi"/>
                <w:lang w:eastAsia="en-GB"/>
              </w:rPr>
              <w:t>-</w:t>
            </w:r>
          </w:p>
        </w:tc>
        <w:tc>
          <w:tcPr>
            <w:tcW w:w="0" w:type="auto"/>
            <w:noWrap/>
            <w:hideMark/>
          </w:tcPr>
          <w:p w:rsidR="00891A96" w:rsidRPr="00AC1255" w:rsidRDefault="00891A96" w:rsidP="00891A96">
            <w:pPr>
              <w:jc w:val="center"/>
              <w:rPr>
                <w:rFonts w:asciiTheme="minorHAnsi" w:hAnsiTheme="minorHAnsi" w:cstheme="minorHAnsi"/>
                <w:lang w:eastAsia="en-GB"/>
              </w:rPr>
            </w:pPr>
            <w:r w:rsidRPr="00AC1255">
              <w:rPr>
                <w:rFonts w:asciiTheme="minorHAnsi" w:hAnsiTheme="minorHAnsi" w:cstheme="minorHAnsi"/>
                <w:lang w:eastAsia="en-GB"/>
              </w:rPr>
              <w:t>-</w:t>
            </w:r>
          </w:p>
        </w:tc>
      </w:tr>
      <w:tr w:rsidR="00891A96" w:rsidRPr="00AC1255" w:rsidTr="00891A96">
        <w:trPr>
          <w:trHeight w:val="20"/>
        </w:trPr>
        <w:tc>
          <w:tcPr>
            <w:tcW w:w="0" w:type="auto"/>
            <w:noWrap/>
            <w:hideMark/>
          </w:tcPr>
          <w:p w:rsidR="00891A96" w:rsidRPr="00AC1255" w:rsidRDefault="00891A96" w:rsidP="00891A96">
            <w:pPr>
              <w:rPr>
                <w:rFonts w:asciiTheme="minorHAnsi" w:hAnsiTheme="minorHAnsi" w:cstheme="minorHAnsi"/>
                <w:color w:val="000000"/>
                <w:lang w:eastAsia="en-GB"/>
              </w:rPr>
            </w:pPr>
            <w:r w:rsidRPr="00AC1255">
              <w:rPr>
                <w:rFonts w:asciiTheme="minorHAnsi" w:hAnsiTheme="minorHAnsi" w:cstheme="minorHAnsi"/>
                <w:color w:val="000000"/>
                <w:lang w:eastAsia="en-GB"/>
              </w:rPr>
              <w:t>- Other Investments</w:t>
            </w:r>
          </w:p>
        </w:tc>
        <w:tc>
          <w:tcPr>
            <w:tcW w:w="0" w:type="auto"/>
          </w:tcPr>
          <w:p w:rsidR="00891A96" w:rsidRPr="00AC1255" w:rsidRDefault="00891A96" w:rsidP="00891A96">
            <w:pPr>
              <w:jc w:val="center"/>
              <w:rPr>
                <w:rFonts w:asciiTheme="minorHAnsi" w:hAnsiTheme="minorHAnsi" w:cstheme="minorHAnsi"/>
                <w:lang w:eastAsia="en-GB"/>
              </w:rPr>
            </w:pPr>
            <w:r w:rsidRPr="00AC1255">
              <w:rPr>
                <w:rFonts w:asciiTheme="minorHAnsi" w:hAnsiTheme="minorHAnsi" w:cstheme="minorHAnsi"/>
                <w:lang w:eastAsia="en-GB"/>
              </w:rPr>
              <w:t>-</w:t>
            </w:r>
          </w:p>
        </w:tc>
        <w:tc>
          <w:tcPr>
            <w:tcW w:w="0" w:type="auto"/>
            <w:noWrap/>
            <w:hideMark/>
          </w:tcPr>
          <w:p w:rsidR="00891A96" w:rsidRPr="00AC1255" w:rsidRDefault="00891A96" w:rsidP="00891A96">
            <w:pPr>
              <w:jc w:val="center"/>
              <w:rPr>
                <w:rFonts w:asciiTheme="minorHAnsi" w:hAnsiTheme="minorHAnsi" w:cstheme="minorHAnsi"/>
                <w:lang w:eastAsia="en-GB"/>
              </w:rPr>
            </w:pPr>
            <w:r w:rsidRPr="00AC1255">
              <w:rPr>
                <w:rFonts w:asciiTheme="minorHAnsi" w:hAnsiTheme="minorHAnsi" w:cstheme="minorHAnsi"/>
                <w:lang w:eastAsia="en-GB"/>
              </w:rPr>
              <w:t>0.3</w:t>
            </w:r>
          </w:p>
        </w:tc>
      </w:tr>
      <w:tr w:rsidR="00891A96" w:rsidRPr="00AC1255" w:rsidTr="00891A96">
        <w:trPr>
          <w:trHeight w:val="20"/>
        </w:trPr>
        <w:tc>
          <w:tcPr>
            <w:tcW w:w="0" w:type="auto"/>
            <w:noWrap/>
            <w:hideMark/>
          </w:tcPr>
          <w:p w:rsidR="00891A96" w:rsidRPr="00AC1255" w:rsidRDefault="00891A96" w:rsidP="00891A96">
            <w:pPr>
              <w:rPr>
                <w:rFonts w:asciiTheme="minorHAnsi" w:hAnsiTheme="minorHAnsi" w:cstheme="minorHAnsi"/>
                <w:color w:val="000000"/>
                <w:lang w:eastAsia="en-GB"/>
              </w:rPr>
            </w:pPr>
            <w:r w:rsidRPr="00AC1255">
              <w:rPr>
                <w:rFonts w:asciiTheme="minorHAnsi" w:hAnsiTheme="minorHAnsi" w:cstheme="minorHAnsi"/>
                <w:color w:val="000000"/>
                <w:lang w:eastAsia="en-GB"/>
              </w:rPr>
              <w:t>- Accrued Interest</w:t>
            </w:r>
          </w:p>
        </w:tc>
        <w:tc>
          <w:tcPr>
            <w:tcW w:w="0" w:type="auto"/>
            <w:tcBorders>
              <w:bottom w:val="single" w:sz="4" w:space="0" w:color="auto"/>
            </w:tcBorders>
          </w:tcPr>
          <w:p w:rsidR="00891A96" w:rsidRPr="00AC1255" w:rsidRDefault="00891A96" w:rsidP="00891A96">
            <w:pPr>
              <w:jc w:val="center"/>
              <w:rPr>
                <w:rFonts w:asciiTheme="minorHAnsi" w:hAnsiTheme="minorHAnsi" w:cstheme="minorHAnsi"/>
                <w:lang w:eastAsia="en-GB"/>
              </w:rPr>
            </w:pPr>
            <w:r w:rsidRPr="00AC1255">
              <w:rPr>
                <w:rFonts w:asciiTheme="minorHAnsi" w:hAnsiTheme="minorHAnsi" w:cstheme="minorHAnsi"/>
                <w:lang w:eastAsia="en-GB"/>
              </w:rPr>
              <w:t>-</w:t>
            </w:r>
          </w:p>
        </w:tc>
        <w:tc>
          <w:tcPr>
            <w:tcW w:w="0" w:type="auto"/>
            <w:tcBorders>
              <w:bottom w:val="single" w:sz="4" w:space="0" w:color="auto"/>
            </w:tcBorders>
            <w:noWrap/>
            <w:hideMark/>
          </w:tcPr>
          <w:p w:rsidR="00891A96" w:rsidRPr="00AC1255" w:rsidRDefault="00891A96" w:rsidP="00891A96">
            <w:pPr>
              <w:jc w:val="center"/>
              <w:rPr>
                <w:rFonts w:asciiTheme="minorHAnsi" w:hAnsiTheme="minorHAnsi" w:cstheme="minorHAnsi"/>
                <w:lang w:eastAsia="en-GB"/>
              </w:rPr>
            </w:pPr>
            <w:r w:rsidRPr="00AC1255">
              <w:rPr>
                <w:rFonts w:asciiTheme="minorHAnsi" w:hAnsiTheme="minorHAnsi" w:cstheme="minorHAnsi"/>
                <w:lang w:eastAsia="en-GB"/>
              </w:rPr>
              <w:t>-</w:t>
            </w:r>
          </w:p>
        </w:tc>
      </w:tr>
      <w:tr w:rsidR="00891A96" w:rsidRPr="00AC1255" w:rsidTr="00891A96">
        <w:trPr>
          <w:trHeight w:val="20"/>
        </w:trPr>
        <w:tc>
          <w:tcPr>
            <w:tcW w:w="0" w:type="auto"/>
            <w:noWrap/>
            <w:hideMark/>
          </w:tcPr>
          <w:p w:rsidR="00891A96" w:rsidRPr="00AC1255" w:rsidRDefault="00891A96" w:rsidP="00891A96">
            <w:pPr>
              <w:rPr>
                <w:rFonts w:asciiTheme="minorHAnsi" w:hAnsiTheme="minorHAnsi" w:cstheme="minorHAnsi"/>
                <w:b/>
                <w:bCs/>
                <w:color w:val="000000"/>
                <w:lang w:eastAsia="en-GB"/>
              </w:rPr>
            </w:pPr>
            <w:r w:rsidRPr="00AC1255">
              <w:rPr>
                <w:rFonts w:asciiTheme="minorHAnsi" w:hAnsiTheme="minorHAnsi" w:cstheme="minorHAnsi"/>
                <w:b/>
                <w:bCs/>
                <w:color w:val="000000"/>
                <w:lang w:eastAsia="en-GB"/>
              </w:rPr>
              <w:t>Total Investments*</w:t>
            </w:r>
          </w:p>
        </w:tc>
        <w:tc>
          <w:tcPr>
            <w:tcW w:w="0" w:type="auto"/>
            <w:tcBorders>
              <w:top w:val="single" w:sz="4" w:space="0" w:color="auto"/>
            </w:tcBorders>
          </w:tcPr>
          <w:p w:rsidR="00891A96" w:rsidRPr="00AC1255" w:rsidRDefault="00891A96" w:rsidP="00891A96">
            <w:pPr>
              <w:jc w:val="center"/>
              <w:rPr>
                <w:rFonts w:asciiTheme="minorHAnsi" w:hAnsiTheme="minorHAnsi" w:cstheme="minorHAnsi"/>
                <w:b/>
                <w:bCs/>
                <w:lang w:eastAsia="en-GB"/>
              </w:rPr>
            </w:pPr>
            <w:r w:rsidRPr="00AC1255">
              <w:rPr>
                <w:rFonts w:asciiTheme="minorHAnsi" w:hAnsiTheme="minorHAnsi" w:cstheme="minorHAnsi"/>
                <w:b/>
                <w:bCs/>
                <w:lang w:eastAsia="en-GB"/>
              </w:rPr>
              <w:t>-</w:t>
            </w:r>
          </w:p>
        </w:tc>
        <w:tc>
          <w:tcPr>
            <w:tcW w:w="0" w:type="auto"/>
            <w:tcBorders>
              <w:top w:val="single" w:sz="4" w:space="0" w:color="auto"/>
            </w:tcBorders>
            <w:noWrap/>
            <w:hideMark/>
          </w:tcPr>
          <w:p w:rsidR="00891A96" w:rsidRPr="00AC1255" w:rsidRDefault="00891A96" w:rsidP="00891A96">
            <w:pPr>
              <w:jc w:val="center"/>
              <w:rPr>
                <w:rFonts w:asciiTheme="minorHAnsi" w:hAnsiTheme="minorHAnsi" w:cstheme="minorHAnsi"/>
                <w:b/>
                <w:bCs/>
                <w:lang w:eastAsia="en-GB"/>
              </w:rPr>
            </w:pPr>
            <w:r w:rsidRPr="00AC1255">
              <w:rPr>
                <w:rFonts w:asciiTheme="minorHAnsi" w:hAnsiTheme="minorHAnsi" w:cstheme="minorHAnsi"/>
                <w:b/>
                <w:bCs/>
                <w:lang w:eastAsia="en-GB"/>
              </w:rPr>
              <w:t>0.3</w:t>
            </w:r>
          </w:p>
        </w:tc>
      </w:tr>
      <w:tr w:rsidR="00891A96" w:rsidRPr="00AC1255" w:rsidTr="00891A96">
        <w:trPr>
          <w:trHeight w:val="20"/>
        </w:trPr>
        <w:tc>
          <w:tcPr>
            <w:tcW w:w="0" w:type="auto"/>
            <w:noWrap/>
            <w:hideMark/>
          </w:tcPr>
          <w:p w:rsidR="00891A96" w:rsidRDefault="00891A96" w:rsidP="00891A96">
            <w:pPr>
              <w:rPr>
                <w:rFonts w:asciiTheme="minorHAnsi" w:hAnsiTheme="minorHAnsi" w:cstheme="minorHAnsi"/>
                <w:color w:val="000000"/>
                <w:lang w:eastAsia="en-GB"/>
              </w:rPr>
            </w:pPr>
          </w:p>
          <w:p w:rsidR="00891A96" w:rsidRPr="00AC1255" w:rsidRDefault="00891A96" w:rsidP="00891A96">
            <w:pPr>
              <w:rPr>
                <w:rFonts w:asciiTheme="minorHAnsi" w:hAnsiTheme="minorHAnsi" w:cstheme="minorHAnsi"/>
                <w:color w:val="000000"/>
                <w:lang w:eastAsia="en-GB"/>
              </w:rPr>
            </w:pPr>
            <w:r>
              <w:rPr>
                <w:rFonts w:asciiTheme="minorHAnsi" w:hAnsiTheme="minorHAnsi" w:cstheme="minorHAnsi"/>
                <w:color w:val="000000"/>
                <w:lang w:eastAsia="en-GB"/>
              </w:rPr>
              <w:t>Debtors a</w:t>
            </w:r>
            <w:r w:rsidRPr="00AC1255">
              <w:rPr>
                <w:rFonts w:asciiTheme="minorHAnsi" w:hAnsiTheme="minorHAnsi" w:cstheme="minorHAnsi"/>
                <w:color w:val="000000"/>
                <w:lang w:eastAsia="en-GB"/>
              </w:rPr>
              <w:t xml:space="preserve">t amortised cost: </w:t>
            </w:r>
          </w:p>
        </w:tc>
        <w:tc>
          <w:tcPr>
            <w:tcW w:w="0" w:type="auto"/>
          </w:tcPr>
          <w:p w:rsidR="00891A96" w:rsidRPr="00AC1255" w:rsidRDefault="00891A96" w:rsidP="00891A96">
            <w:pPr>
              <w:jc w:val="center"/>
              <w:rPr>
                <w:rFonts w:asciiTheme="minorHAnsi" w:hAnsiTheme="minorHAnsi" w:cstheme="minorHAnsi"/>
                <w:lang w:eastAsia="en-GB"/>
              </w:rPr>
            </w:pPr>
          </w:p>
        </w:tc>
        <w:tc>
          <w:tcPr>
            <w:tcW w:w="0" w:type="auto"/>
            <w:noWrap/>
            <w:hideMark/>
          </w:tcPr>
          <w:p w:rsidR="00891A96" w:rsidRPr="00AC1255" w:rsidRDefault="00891A96" w:rsidP="00891A96">
            <w:pPr>
              <w:jc w:val="center"/>
              <w:rPr>
                <w:rFonts w:asciiTheme="minorHAnsi" w:hAnsiTheme="minorHAnsi" w:cstheme="minorHAnsi"/>
                <w:lang w:eastAsia="en-GB"/>
              </w:rPr>
            </w:pPr>
          </w:p>
        </w:tc>
      </w:tr>
      <w:tr w:rsidR="00891A96" w:rsidRPr="00AC1255" w:rsidTr="00891A96">
        <w:trPr>
          <w:trHeight w:val="20"/>
        </w:trPr>
        <w:tc>
          <w:tcPr>
            <w:tcW w:w="0" w:type="auto"/>
            <w:noWrap/>
            <w:hideMark/>
          </w:tcPr>
          <w:p w:rsidR="00891A96" w:rsidRPr="00AC1255" w:rsidRDefault="00891A96" w:rsidP="00891A96">
            <w:pPr>
              <w:rPr>
                <w:rFonts w:asciiTheme="minorHAnsi" w:hAnsiTheme="minorHAnsi" w:cstheme="minorHAnsi"/>
                <w:color w:val="000000"/>
                <w:lang w:eastAsia="en-GB"/>
              </w:rPr>
            </w:pPr>
            <w:r w:rsidRPr="00AC1255">
              <w:rPr>
                <w:rFonts w:asciiTheme="minorHAnsi" w:hAnsiTheme="minorHAnsi" w:cstheme="minorHAnsi"/>
                <w:color w:val="000000"/>
                <w:lang w:eastAsia="en-GB"/>
              </w:rPr>
              <w:t>- Loans made for service purposes</w:t>
            </w:r>
          </w:p>
        </w:tc>
        <w:tc>
          <w:tcPr>
            <w:tcW w:w="0" w:type="auto"/>
          </w:tcPr>
          <w:p w:rsidR="00891A96" w:rsidRPr="00AC1255" w:rsidRDefault="00891A96" w:rsidP="00891A96">
            <w:pPr>
              <w:jc w:val="center"/>
              <w:rPr>
                <w:rFonts w:asciiTheme="minorHAnsi" w:hAnsiTheme="minorHAnsi" w:cstheme="minorHAnsi"/>
                <w:lang w:eastAsia="en-GB"/>
              </w:rPr>
            </w:pPr>
            <w:r w:rsidRPr="00AC1255">
              <w:rPr>
                <w:rFonts w:asciiTheme="minorHAnsi" w:hAnsiTheme="minorHAnsi" w:cstheme="minorHAnsi"/>
                <w:lang w:eastAsia="en-GB"/>
              </w:rPr>
              <w:t>17.7</w:t>
            </w:r>
          </w:p>
        </w:tc>
        <w:tc>
          <w:tcPr>
            <w:tcW w:w="0" w:type="auto"/>
            <w:noWrap/>
            <w:hideMark/>
          </w:tcPr>
          <w:p w:rsidR="00891A96" w:rsidRPr="00AC1255" w:rsidRDefault="00891A96" w:rsidP="00891A96">
            <w:pPr>
              <w:jc w:val="center"/>
              <w:rPr>
                <w:rFonts w:asciiTheme="minorHAnsi" w:hAnsiTheme="minorHAnsi" w:cstheme="minorHAnsi"/>
                <w:lang w:eastAsia="en-GB"/>
              </w:rPr>
            </w:pPr>
            <w:r w:rsidRPr="00AC1255">
              <w:rPr>
                <w:rFonts w:asciiTheme="minorHAnsi" w:hAnsiTheme="minorHAnsi" w:cstheme="minorHAnsi"/>
                <w:lang w:eastAsia="en-GB"/>
              </w:rPr>
              <w:t>16.9</w:t>
            </w:r>
          </w:p>
        </w:tc>
      </w:tr>
      <w:tr w:rsidR="00891A96" w:rsidRPr="00AC1255" w:rsidTr="00891A96">
        <w:trPr>
          <w:trHeight w:val="20"/>
        </w:trPr>
        <w:tc>
          <w:tcPr>
            <w:tcW w:w="0" w:type="auto"/>
            <w:noWrap/>
            <w:hideMark/>
          </w:tcPr>
          <w:p w:rsidR="00891A96" w:rsidRPr="00AC1255" w:rsidRDefault="00891A96" w:rsidP="00891A96">
            <w:pPr>
              <w:rPr>
                <w:rFonts w:asciiTheme="minorHAnsi" w:hAnsiTheme="minorHAnsi" w:cstheme="minorHAnsi"/>
                <w:color w:val="000000"/>
                <w:lang w:eastAsia="en-GB"/>
              </w:rPr>
            </w:pPr>
            <w:r w:rsidRPr="00AC1255">
              <w:rPr>
                <w:rFonts w:asciiTheme="minorHAnsi" w:hAnsiTheme="minorHAnsi" w:cstheme="minorHAnsi"/>
                <w:color w:val="000000"/>
                <w:lang w:eastAsia="en-GB"/>
              </w:rPr>
              <w:t>- Trade Receivables</w:t>
            </w:r>
          </w:p>
        </w:tc>
        <w:tc>
          <w:tcPr>
            <w:tcW w:w="0" w:type="auto"/>
          </w:tcPr>
          <w:p w:rsidR="00891A96" w:rsidRPr="00AC1255" w:rsidRDefault="00891A96" w:rsidP="00891A96">
            <w:pPr>
              <w:jc w:val="center"/>
              <w:rPr>
                <w:rFonts w:asciiTheme="minorHAnsi" w:hAnsiTheme="minorHAnsi" w:cstheme="minorHAnsi"/>
                <w:lang w:eastAsia="en-GB"/>
              </w:rPr>
            </w:pPr>
            <w:r w:rsidRPr="00AC1255">
              <w:rPr>
                <w:rFonts w:asciiTheme="minorHAnsi" w:hAnsiTheme="minorHAnsi" w:cstheme="minorHAnsi"/>
                <w:lang w:eastAsia="en-GB"/>
              </w:rPr>
              <w:t>-</w:t>
            </w:r>
          </w:p>
        </w:tc>
        <w:tc>
          <w:tcPr>
            <w:tcW w:w="0" w:type="auto"/>
            <w:noWrap/>
            <w:hideMark/>
          </w:tcPr>
          <w:p w:rsidR="00891A96" w:rsidRPr="00AC1255" w:rsidRDefault="00891A96" w:rsidP="00891A96">
            <w:pPr>
              <w:jc w:val="center"/>
              <w:rPr>
                <w:rFonts w:asciiTheme="minorHAnsi" w:hAnsiTheme="minorHAnsi" w:cstheme="minorHAnsi"/>
                <w:lang w:eastAsia="en-GB"/>
              </w:rPr>
            </w:pPr>
            <w:r w:rsidRPr="00AC1255">
              <w:rPr>
                <w:rFonts w:asciiTheme="minorHAnsi" w:hAnsiTheme="minorHAnsi" w:cstheme="minorHAnsi"/>
                <w:lang w:eastAsia="en-GB"/>
              </w:rPr>
              <w:t>-</w:t>
            </w:r>
          </w:p>
        </w:tc>
      </w:tr>
      <w:tr w:rsidR="00891A96" w:rsidRPr="00AC1255" w:rsidTr="00891A96">
        <w:trPr>
          <w:trHeight w:val="20"/>
        </w:trPr>
        <w:tc>
          <w:tcPr>
            <w:tcW w:w="0" w:type="auto"/>
            <w:noWrap/>
            <w:hideMark/>
          </w:tcPr>
          <w:p w:rsidR="00891A96" w:rsidRPr="00AC1255" w:rsidRDefault="00891A96" w:rsidP="00891A96">
            <w:pPr>
              <w:rPr>
                <w:rFonts w:asciiTheme="minorHAnsi" w:hAnsiTheme="minorHAnsi" w:cstheme="minorHAnsi"/>
                <w:color w:val="000000"/>
                <w:lang w:eastAsia="en-GB"/>
              </w:rPr>
            </w:pPr>
            <w:r w:rsidRPr="00AC1255">
              <w:rPr>
                <w:rFonts w:asciiTheme="minorHAnsi" w:hAnsiTheme="minorHAnsi" w:cstheme="minorHAnsi"/>
                <w:color w:val="000000"/>
                <w:lang w:eastAsia="en-GB"/>
              </w:rPr>
              <w:t>- Lease Receivables</w:t>
            </w:r>
          </w:p>
        </w:tc>
        <w:tc>
          <w:tcPr>
            <w:tcW w:w="0" w:type="auto"/>
          </w:tcPr>
          <w:p w:rsidR="00891A96" w:rsidRPr="00AC1255" w:rsidRDefault="00891A96" w:rsidP="00891A96">
            <w:pPr>
              <w:jc w:val="center"/>
              <w:rPr>
                <w:rFonts w:asciiTheme="minorHAnsi" w:hAnsiTheme="minorHAnsi" w:cstheme="minorHAnsi"/>
                <w:lang w:eastAsia="en-GB"/>
              </w:rPr>
            </w:pPr>
            <w:r w:rsidRPr="00AC1255">
              <w:rPr>
                <w:rFonts w:asciiTheme="minorHAnsi" w:hAnsiTheme="minorHAnsi" w:cstheme="minorHAnsi"/>
                <w:lang w:eastAsia="en-GB"/>
              </w:rPr>
              <w:t>3.2</w:t>
            </w:r>
          </w:p>
        </w:tc>
        <w:tc>
          <w:tcPr>
            <w:tcW w:w="0" w:type="auto"/>
            <w:noWrap/>
            <w:hideMark/>
          </w:tcPr>
          <w:p w:rsidR="00891A96" w:rsidRPr="00AC1255" w:rsidRDefault="00891A96" w:rsidP="00891A96">
            <w:pPr>
              <w:jc w:val="center"/>
              <w:rPr>
                <w:rFonts w:asciiTheme="minorHAnsi" w:hAnsiTheme="minorHAnsi" w:cstheme="minorHAnsi"/>
                <w:lang w:eastAsia="en-GB"/>
              </w:rPr>
            </w:pPr>
            <w:r w:rsidRPr="00AC1255">
              <w:rPr>
                <w:rFonts w:asciiTheme="minorHAnsi" w:hAnsiTheme="minorHAnsi" w:cstheme="minorHAnsi"/>
                <w:lang w:eastAsia="en-GB"/>
              </w:rPr>
              <w:t>3.2</w:t>
            </w:r>
          </w:p>
        </w:tc>
      </w:tr>
      <w:tr w:rsidR="00891A96" w:rsidRPr="00AC1255" w:rsidTr="00891A96">
        <w:trPr>
          <w:trHeight w:val="20"/>
        </w:trPr>
        <w:tc>
          <w:tcPr>
            <w:tcW w:w="0" w:type="auto"/>
            <w:noWrap/>
            <w:hideMark/>
          </w:tcPr>
          <w:p w:rsidR="00891A96" w:rsidRPr="00AC1255" w:rsidRDefault="00891A96" w:rsidP="00891A96">
            <w:pPr>
              <w:rPr>
                <w:rFonts w:asciiTheme="minorHAnsi" w:hAnsiTheme="minorHAnsi" w:cstheme="minorHAnsi"/>
                <w:color w:val="000000"/>
                <w:lang w:eastAsia="en-GB"/>
              </w:rPr>
            </w:pPr>
            <w:r w:rsidRPr="00AC1255">
              <w:rPr>
                <w:rFonts w:asciiTheme="minorHAnsi" w:hAnsiTheme="minorHAnsi" w:cstheme="minorHAnsi"/>
                <w:color w:val="000000"/>
                <w:lang w:eastAsia="en-GB"/>
              </w:rPr>
              <w:t>- PFI</w:t>
            </w:r>
          </w:p>
        </w:tc>
        <w:tc>
          <w:tcPr>
            <w:tcW w:w="0" w:type="auto"/>
          </w:tcPr>
          <w:p w:rsidR="00891A96" w:rsidRPr="00AC1255" w:rsidRDefault="00891A96" w:rsidP="00891A96">
            <w:pPr>
              <w:jc w:val="center"/>
              <w:rPr>
                <w:rFonts w:asciiTheme="minorHAnsi" w:hAnsiTheme="minorHAnsi" w:cstheme="minorHAnsi"/>
                <w:lang w:eastAsia="en-GB"/>
              </w:rPr>
            </w:pPr>
            <w:r w:rsidRPr="00AC1255">
              <w:rPr>
                <w:rFonts w:asciiTheme="minorHAnsi" w:hAnsiTheme="minorHAnsi" w:cstheme="minorHAnsi"/>
                <w:lang w:eastAsia="en-GB"/>
              </w:rPr>
              <w:t>0.9</w:t>
            </w:r>
          </w:p>
        </w:tc>
        <w:tc>
          <w:tcPr>
            <w:tcW w:w="0" w:type="auto"/>
            <w:noWrap/>
            <w:hideMark/>
          </w:tcPr>
          <w:p w:rsidR="00891A96" w:rsidRPr="00AC1255" w:rsidRDefault="00891A96" w:rsidP="00891A96">
            <w:pPr>
              <w:jc w:val="center"/>
              <w:rPr>
                <w:rFonts w:asciiTheme="minorHAnsi" w:hAnsiTheme="minorHAnsi" w:cstheme="minorHAnsi"/>
                <w:lang w:eastAsia="en-GB"/>
              </w:rPr>
            </w:pPr>
            <w:r w:rsidRPr="00AC1255">
              <w:rPr>
                <w:rFonts w:asciiTheme="minorHAnsi" w:hAnsiTheme="minorHAnsi" w:cstheme="minorHAnsi"/>
                <w:lang w:eastAsia="en-GB"/>
              </w:rPr>
              <w:t>0.9</w:t>
            </w:r>
          </w:p>
        </w:tc>
      </w:tr>
      <w:tr w:rsidR="00891A96" w:rsidRPr="00AC1255" w:rsidTr="00891A96">
        <w:trPr>
          <w:trHeight w:val="20"/>
        </w:trPr>
        <w:tc>
          <w:tcPr>
            <w:tcW w:w="0" w:type="auto"/>
            <w:noWrap/>
            <w:hideMark/>
          </w:tcPr>
          <w:p w:rsidR="00891A96" w:rsidRPr="00AC1255" w:rsidRDefault="00891A96" w:rsidP="00891A96">
            <w:pPr>
              <w:rPr>
                <w:rFonts w:asciiTheme="minorHAnsi" w:hAnsiTheme="minorHAnsi" w:cstheme="minorHAnsi"/>
                <w:color w:val="000000"/>
                <w:lang w:eastAsia="en-GB"/>
              </w:rPr>
            </w:pPr>
            <w:r w:rsidRPr="00AC1255">
              <w:rPr>
                <w:rFonts w:asciiTheme="minorHAnsi" w:hAnsiTheme="minorHAnsi" w:cstheme="minorHAnsi"/>
                <w:color w:val="000000"/>
                <w:lang w:eastAsia="en-GB"/>
              </w:rPr>
              <w:t>- Accrued Interest</w:t>
            </w:r>
          </w:p>
        </w:tc>
        <w:tc>
          <w:tcPr>
            <w:tcW w:w="0" w:type="auto"/>
            <w:tcBorders>
              <w:bottom w:val="single" w:sz="4" w:space="0" w:color="auto"/>
            </w:tcBorders>
          </w:tcPr>
          <w:p w:rsidR="00891A96" w:rsidRPr="00AC1255" w:rsidRDefault="00891A96" w:rsidP="00891A96">
            <w:pPr>
              <w:jc w:val="center"/>
              <w:rPr>
                <w:rFonts w:asciiTheme="minorHAnsi" w:hAnsiTheme="minorHAnsi" w:cstheme="minorHAnsi"/>
                <w:lang w:eastAsia="en-GB"/>
              </w:rPr>
            </w:pPr>
            <w:r w:rsidRPr="00AC1255">
              <w:rPr>
                <w:rFonts w:asciiTheme="minorHAnsi" w:hAnsiTheme="minorHAnsi" w:cstheme="minorHAnsi"/>
                <w:lang w:eastAsia="en-GB"/>
              </w:rPr>
              <w:t>-</w:t>
            </w:r>
          </w:p>
        </w:tc>
        <w:tc>
          <w:tcPr>
            <w:tcW w:w="0" w:type="auto"/>
            <w:tcBorders>
              <w:bottom w:val="single" w:sz="4" w:space="0" w:color="auto"/>
            </w:tcBorders>
            <w:noWrap/>
            <w:hideMark/>
          </w:tcPr>
          <w:p w:rsidR="00891A96" w:rsidRPr="00AC1255" w:rsidRDefault="00891A96" w:rsidP="00891A96">
            <w:pPr>
              <w:jc w:val="center"/>
              <w:rPr>
                <w:rFonts w:asciiTheme="minorHAnsi" w:hAnsiTheme="minorHAnsi" w:cstheme="minorHAnsi"/>
                <w:lang w:eastAsia="en-GB"/>
              </w:rPr>
            </w:pPr>
            <w:r w:rsidRPr="00AC1255">
              <w:rPr>
                <w:rFonts w:asciiTheme="minorHAnsi" w:hAnsiTheme="minorHAnsi" w:cstheme="minorHAnsi"/>
                <w:lang w:eastAsia="en-GB"/>
              </w:rPr>
              <w:t>-</w:t>
            </w:r>
          </w:p>
        </w:tc>
      </w:tr>
      <w:tr w:rsidR="00891A96" w:rsidRPr="00AC1255" w:rsidTr="00891A96">
        <w:trPr>
          <w:trHeight w:val="20"/>
        </w:trPr>
        <w:tc>
          <w:tcPr>
            <w:tcW w:w="0" w:type="auto"/>
            <w:noWrap/>
            <w:hideMark/>
          </w:tcPr>
          <w:p w:rsidR="00891A96" w:rsidRDefault="00891A96" w:rsidP="00891A96">
            <w:pPr>
              <w:rPr>
                <w:rFonts w:asciiTheme="minorHAnsi" w:hAnsiTheme="minorHAnsi" w:cstheme="minorHAnsi"/>
                <w:b/>
                <w:bCs/>
                <w:color w:val="000000"/>
                <w:lang w:eastAsia="en-GB"/>
              </w:rPr>
            </w:pPr>
            <w:r w:rsidRPr="00AC1255">
              <w:rPr>
                <w:rFonts w:asciiTheme="minorHAnsi" w:hAnsiTheme="minorHAnsi" w:cstheme="minorHAnsi"/>
                <w:b/>
                <w:bCs/>
                <w:color w:val="000000"/>
                <w:lang w:eastAsia="en-GB"/>
              </w:rPr>
              <w:t>Included in Debtors**</w:t>
            </w:r>
          </w:p>
          <w:p w:rsidR="00891A96" w:rsidRPr="00AC1255" w:rsidRDefault="00891A96" w:rsidP="00891A96">
            <w:pPr>
              <w:rPr>
                <w:rFonts w:asciiTheme="minorHAnsi" w:hAnsiTheme="minorHAnsi" w:cstheme="minorHAnsi"/>
                <w:b/>
                <w:bCs/>
                <w:color w:val="000000"/>
                <w:lang w:eastAsia="en-GB"/>
              </w:rPr>
            </w:pPr>
          </w:p>
        </w:tc>
        <w:tc>
          <w:tcPr>
            <w:tcW w:w="0" w:type="auto"/>
            <w:tcBorders>
              <w:top w:val="single" w:sz="4" w:space="0" w:color="auto"/>
              <w:bottom w:val="single" w:sz="4" w:space="0" w:color="auto"/>
            </w:tcBorders>
          </w:tcPr>
          <w:p w:rsidR="00891A96" w:rsidRPr="00AC1255" w:rsidRDefault="00891A96" w:rsidP="00891A96">
            <w:pPr>
              <w:jc w:val="center"/>
              <w:rPr>
                <w:rFonts w:asciiTheme="minorHAnsi" w:hAnsiTheme="minorHAnsi" w:cstheme="minorHAnsi"/>
                <w:b/>
                <w:bCs/>
                <w:lang w:eastAsia="en-GB"/>
              </w:rPr>
            </w:pPr>
            <w:r w:rsidRPr="00AC1255">
              <w:rPr>
                <w:rFonts w:asciiTheme="minorHAnsi" w:hAnsiTheme="minorHAnsi" w:cstheme="minorHAnsi"/>
                <w:b/>
                <w:bCs/>
                <w:lang w:eastAsia="en-GB"/>
              </w:rPr>
              <w:t>21.8</w:t>
            </w:r>
          </w:p>
        </w:tc>
        <w:tc>
          <w:tcPr>
            <w:tcW w:w="0" w:type="auto"/>
            <w:tcBorders>
              <w:top w:val="single" w:sz="4" w:space="0" w:color="auto"/>
              <w:bottom w:val="single" w:sz="4" w:space="0" w:color="auto"/>
            </w:tcBorders>
            <w:noWrap/>
            <w:hideMark/>
          </w:tcPr>
          <w:p w:rsidR="00891A96" w:rsidRPr="00AC1255" w:rsidRDefault="00891A96" w:rsidP="00891A96">
            <w:pPr>
              <w:jc w:val="center"/>
              <w:rPr>
                <w:rFonts w:asciiTheme="minorHAnsi" w:hAnsiTheme="minorHAnsi" w:cstheme="minorHAnsi"/>
                <w:b/>
                <w:bCs/>
                <w:lang w:eastAsia="en-GB"/>
              </w:rPr>
            </w:pPr>
            <w:r w:rsidRPr="00AC1255">
              <w:rPr>
                <w:rFonts w:asciiTheme="minorHAnsi" w:hAnsiTheme="minorHAnsi" w:cstheme="minorHAnsi"/>
                <w:b/>
                <w:bCs/>
                <w:lang w:eastAsia="en-GB"/>
              </w:rPr>
              <w:t>21.1</w:t>
            </w:r>
          </w:p>
        </w:tc>
      </w:tr>
      <w:tr w:rsidR="00891A96" w:rsidRPr="00AC1255" w:rsidTr="00891A96">
        <w:trPr>
          <w:trHeight w:val="20"/>
        </w:trPr>
        <w:tc>
          <w:tcPr>
            <w:tcW w:w="0" w:type="auto"/>
            <w:noWrap/>
            <w:hideMark/>
          </w:tcPr>
          <w:p w:rsidR="00891A96" w:rsidRPr="00AC1255" w:rsidRDefault="00891A96" w:rsidP="00891A96">
            <w:pPr>
              <w:rPr>
                <w:rFonts w:asciiTheme="minorHAnsi" w:hAnsiTheme="minorHAnsi" w:cstheme="minorHAnsi"/>
                <w:b/>
                <w:bCs/>
                <w:color w:val="000000"/>
                <w:lang w:eastAsia="en-GB"/>
              </w:rPr>
            </w:pPr>
            <w:r w:rsidRPr="00AC1255">
              <w:rPr>
                <w:rFonts w:asciiTheme="minorHAnsi" w:hAnsiTheme="minorHAnsi" w:cstheme="minorHAnsi"/>
                <w:b/>
                <w:bCs/>
                <w:color w:val="000000"/>
                <w:lang w:eastAsia="en-GB"/>
              </w:rPr>
              <w:t>Total Financial Assets</w:t>
            </w:r>
          </w:p>
        </w:tc>
        <w:tc>
          <w:tcPr>
            <w:tcW w:w="0" w:type="auto"/>
            <w:tcBorders>
              <w:top w:val="single" w:sz="4" w:space="0" w:color="auto"/>
            </w:tcBorders>
          </w:tcPr>
          <w:p w:rsidR="00891A96" w:rsidRPr="00AC1255" w:rsidRDefault="00891A96" w:rsidP="00891A96">
            <w:pPr>
              <w:jc w:val="center"/>
              <w:rPr>
                <w:rFonts w:asciiTheme="minorHAnsi" w:hAnsiTheme="minorHAnsi" w:cstheme="minorHAnsi"/>
                <w:b/>
                <w:bCs/>
                <w:lang w:eastAsia="en-GB"/>
              </w:rPr>
            </w:pPr>
            <w:r w:rsidRPr="00AC1255">
              <w:rPr>
                <w:rFonts w:asciiTheme="minorHAnsi" w:hAnsiTheme="minorHAnsi" w:cstheme="minorHAnsi"/>
                <w:b/>
                <w:bCs/>
                <w:lang w:eastAsia="en-GB"/>
              </w:rPr>
              <w:t>21.8</w:t>
            </w:r>
          </w:p>
        </w:tc>
        <w:tc>
          <w:tcPr>
            <w:tcW w:w="0" w:type="auto"/>
            <w:tcBorders>
              <w:top w:val="single" w:sz="4" w:space="0" w:color="auto"/>
            </w:tcBorders>
            <w:noWrap/>
            <w:hideMark/>
          </w:tcPr>
          <w:p w:rsidR="00891A96" w:rsidRPr="00AC1255" w:rsidRDefault="00891A96" w:rsidP="00891A96">
            <w:pPr>
              <w:jc w:val="center"/>
              <w:rPr>
                <w:rFonts w:asciiTheme="minorHAnsi" w:hAnsiTheme="minorHAnsi" w:cstheme="minorHAnsi"/>
                <w:b/>
                <w:bCs/>
                <w:lang w:eastAsia="en-GB"/>
              </w:rPr>
            </w:pPr>
            <w:r w:rsidRPr="00AC1255">
              <w:rPr>
                <w:rFonts w:asciiTheme="minorHAnsi" w:hAnsiTheme="minorHAnsi" w:cstheme="minorHAnsi"/>
                <w:b/>
                <w:bCs/>
                <w:lang w:eastAsia="en-GB"/>
              </w:rPr>
              <w:t>21.4</w:t>
            </w:r>
          </w:p>
        </w:tc>
      </w:tr>
    </w:tbl>
    <w:p w:rsidR="00891A96" w:rsidRDefault="00891A96" w:rsidP="00891A96"/>
    <w:p w:rsidR="00891A96" w:rsidRDefault="00891A96" w:rsidP="00891A96"/>
    <w:p w:rsidR="00891A96" w:rsidRDefault="00891A96" w:rsidP="00891A96"/>
    <w:p w:rsidR="00891A96" w:rsidRDefault="00891A96" w:rsidP="00891A96">
      <w:r>
        <w:rPr>
          <w:i/>
          <w:iCs/>
        </w:rPr>
        <w:br w:type="page"/>
      </w:r>
    </w:p>
    <w:tbl>
      <w:tblPr>
        <w:tblW w:w="9360" w:type="dxa"/>
        <w:tblLook w:val="04A0" w:firstRow="1" w:lastRow="0" w:firstColumn="1" w:lastColumn="0" w:noHBand="0" w:noVBand="1"/>
      </w:tblPr>
      <w:tblGrid>
        <w:gridCol w:w="1613"/>
        <w:gridCol w:w="6571"/>
        <w:gridCol w:w="1176"/>
      </w:tblGrid>
      <w:tr w:rsidR="00891A96" w:rsidRPr="00654175" w:rsidTr="00891A96">
        <w:trPr>
          <w:trHeight w:val="300"/>
        </w:trPr>
        <w:tc>
          <w:tcPr>
            <w:tcW w:w="8184" w:type="dxa"/>
            <w:gridSpan w:val="2"/>
            <w:tcBorders>
              <w:top w:val="nil"/>
              <w:left w:val="nil"/>
              <w:bottom w:val="nil"/>
              <w:right w:val="nil"/>
            </w:tcBorders>
            <w:shd w:val="clear" w:color="auto" w:fill="auto"/>
            <w:noWrap/>
            <w:vAlign w:val="bottom"/>
            <w:hideMark/>
          </w:tcPr>
          <w:p w:rsidR="00891A96" w:rsidRPr="00654175" w:rsidRDefault="00891A96" w:rsidP="00891A96">
            <w:pPr>
              <w:pStyle w:val="Heading4"/>
              <w:rPr>
                <w:rFonts w:cs="Calibri"/>
                <w:b/>
                <w:bCs/>
                <w:color w:val="000000"/>
                <w:lang w:eastAsia="en-GB"/>
              </w:rPr>
            </w:pPr>
            <w:r>
              <w:rPr>
                <w:rFonts w:ascii="Calibri" w:hAnsi="Calibri" w:cs="Calibri"/>
              </w:rPr>
              <w:lastRenderedPageBreak/>
              <w:t xml:space="preserve">Group </w:t>
            </w:r>
            <w:r w:rsidRPr="00654175">
              <w:rPr>
                <w:rFonts w:ascii="Calibri" w:hAnsi="Calibri" w:cs="Calibri"/>
              </w:rPr>
              <w:t xml:space="preserve">Note </w:t>
            </w:r>
            <w:r>
              <w:rPr>
                <w:rFonts w:ascii="Calibri" w:hAnsi="Calibri" w:cs="Calibri"/>
              </w:rPr>
              <w:t>4</w:t>
            </w:r>
            <w:r w:rsidRPr="00654175">
              <w:rPr>
                <w:rFonts w:ascii="Calibri" w:hAnsi="Calibri" w:cs="Calibri"/>
              </w:rPr>
              <w:t xml:space="preserve"> - Cash Flow Statement - investing Activities</w:t>
            </w:r>
          </w:p>
        </w:tc>
        <w:tc>
          <w:tcPr>
            <w:tcW w:w="1176" w:type="dxa"/>
            <w:tcBorders>
              <w:top w:val="nil"/>
              <w:left w:val="nil"/>
              <w:bottom w:val="nil"/>
              <w:right w:val="nil"/>
            </w:tcBorders>
            <w:shd w:val="clear" w:color="auto" w:fill="auto"/>
            <w:noWrap/>
            <w:vAlign w:val="bottom"/>
            <w:hideMark/>
          </w:tcPr>
          <w:p w:rsidR="00891A96" w:rsidRPr="00654175" w:rsidRDefault="00891A96" w:rsidP="00891A96">
            <w:pPr>
              <w:rPr>
                <w:rFonts w:cs="Calibri"/>
                <w:b/>
                <w:bCs/>
                <w:color w:val="000000"/>
                <w:lang w:eastAsia="en-GB"/>
              </w:rPr>
            </w:pPr>
          </w:p>
        </w:tc>
      </w:tr>
      <w:tr w:rsidR="00891A96" w:rsidRPr="00654175" w:rsidTr="00891A96">
        <w:trPr>
          <w:trHeight w:val="300"/>
        </w:trPr>
        <w:tc>
          <w:tcPr>
            <w:tcW w:w="9360" w:type="dxa"/>
            <w:gridSpan w:val="3"/>
            <w:tcBorders>
              <w:top w:val="nil"/>
              <w:left w:val="nil"/>
              <w:bottom w:val="nil"/>
              <w:right w:val="nil"/>
            </w:tcBorders>
            <w:shd w:val="clear" w:color="auto" w:fill="auto"/>
            <w:noWrap/>
            <w:vAlign w:val="bottom"/>
            <w:hideMark/>
          </w:tcPr>
          <w:p w:rsidR="00891A96" w:rsidRPr="00654175" w:rsidRDefault="00891A96" w:rsidP="00891A96">
            <w:pPr>
              <w:rPr>
                <w:rFonts w:cs="Calibri"/>
                <w:color w:val="000000"/>
                <w:lang w:eastAsia="en-GB"/>
              </w:rPr>
            </w:pPr>
            <w:r w:rsidRPr="00654175">
              <w:rPr>
                <w:rFonts w:cs="Calibri"/>
                <w:color w:val="000000"/>
                <w:lang w:eastAsia="en-GB"/>
              </w:rPr>
              <w:t>The surplus or deficit on the provision of services has been adjusted for the following non-cash movements</w:t>
            </w:r>
          </w:p>
        </w:tc>
      </w:tr>
      <w:tr w:rsidR="00891A96" w:rsidRPr="00654175" w:rsidTr="00891A96">
        <w:trPr>
          <w:trHeight w:val="300"/>
        </w:trPr>
        <w:tc>
          <w:tcPr>
            <w:tcW w:w="1613" w:type="dxa"/>
            <w:tcBorders>
              <w:top w:val="nil"/>
              <w:left w:val="nil"/>
              <w:bottom w:val="nil"/>
              <w:right w:val="nil"/>
            </w:tcBorders>
            <w:shd w:val="clear" w:color="auto" w:fill="auto"/>
            <w:noWrap/>
            <w:vAlign w:val="bottom"/>
            <w:hideMark/>
          </w:tcPr>
          <w:p w:rsidR="00891A96" w:rsidRPr="00654175" w:rsidRDefault="00891A96" w:rsidP="00891A96">
            <w:pPr>
              <w:jc w:val="center"/>
              <w:rPr>
                <w:rFonts w:cs="Calibri"/>
                <w:b/>
                <w:bCs/>
                <w:color w:val="000000"/>
                <w:lang w:eastAsia="en-GB"/>
              </w:rPr>
            </w:pPr>
            <w:r w:rsidRPr="00654175">
              <w:rPr>
                <w:rFonts w:cs="Calibri"/>
                <w:b/>
                <w:bCs/>
                <w:color w:val="000000"/>
                <w:lang w:eastAsia="en-GB"/>
              </w:rPr>
              <w:t>2018/19</w:t>
            </w:r>
          </w:p>
        </w:tc>
        <w:tc>
          <w:tcPr>
            <w:tcW w:w="6571" w:type="dxa"/>
            <w:tcBorders>
              <w:top w:val="nil"/>
              <w:left w:val="nil"/>
              <w:bottom w:val="nil"/>
              <w:right w:val="nil"/>
            </w:tcBorders>
            <w:shd w:val="clear" w:color="auto" w:fill="auto"/>
            <w:noWrap/>
            <w:vAlign w:val="bottom"/>
            <w:hideMark/>
          </w:tcPr>
          <w:p w:rsidR="00891A96" w:rsidRPr="00654175" w:rsidRDefault="00891A96" w:rsidP="00891A96">
            <w:pPr>
              <w:jc w:val="center"/>
              <w:rPr>
                <w:rFonts w:cs="Calibri"/>
                <w:b/>
                <w:bCs/>
                <w:color w:val="000000"/>
                <w:lang w:eastAsia="en-GB"/>
              </w:rPr>
            </w:pPr>
          </w:p>
        </w:tc>
        <w:tc>
          <w:tcPr>
            <w:tcW w:w="1176" w:type="dxa"/>
            <w:tcBorders>
              <w:top w:val="nil"/>
              <w:left w:val="nil"/>
              <w:bottom w:val="nil"/>
              <w:right w:val="nil"/>
            </w:tcBorders>
            <w:shd w:val="clear" w:color="auto" w:fill="auto"/>
            <w:noWrap/>
            <w:vAlign w:val="bottom"/>
            <w:hideMark/>
          </w:tcPr>
          <w:p w:rsidR="00891A96" w:rsidRPr="00654175" w:rsidRDefault="00891A96" w:rsidP="00891A96">
            <w:pPr>
              <w:jc w:val="center"/>
              <w:rPr>
                <w:rFonts w:cs="Calibri"/>
                <w:b/>
                <w:bCs/>
                <w:color w:val="000000"/>
                <w:lang w:eastAsia="en-GB"/>
              </w:rPr>
            </w:pPr>
            <w:r w:rsidRPr="00654175">
              <w:rPr>
                <w:rFonts w:cs="Calibri"/>
                <w:b/>
                <w:bCs/>
                <w:color w:val="000000"/>
                <w:lang w:eastAsia="en-GB"/>
              </w:rPr>
              <w:t>2019/20</w:t>
            </w:r>
          </w:p>
        </w:tc>
      </w:tr>
      <w:tr w:rsidR="00891A96" w:rsidRPr="00654175" w:rsidTr="00891A96">
        <w:trPr>
          <w:trHeight w:val="300"/>
        </w:trPr>
        <w:tc>
          <w:tcPr>
            <w:tcW w:w="1613" w:type="dxa"/>
            <w:tcBorders>
              <w:top w:val="nil"/>
              <w:left w:val="nil"/>
              <w:bottom w:val="nil"/>
              <w:right w:val="nil"/>
            </w:tcBorders>
            <w:shd w:val="clear" w:color="auto" w:fill="auto"/>
            <w:noWrap/>
            <w:vAlign w:val="bottom"/>
            <w:hideMark/>
          </w:tcPr>
          <w:p w:rsidR="00891A96" w:rsidRPr="00654175" w:rsidRDefault="00891A96" w:rsidP="00891A96">
            <w:pPr>
              <w:jc w:val="center"/>
              <w:rPr>
                <w:rFonts w:cs="Calibri"/>
                <w:b/>
                <w:bCs/>
                <w:color w:val="000000"/>
                <w:lang w:eastAsia="en-GB"/>
              </w:rPr>
            </w:pPr>
            <w:r w:rsidRPr="00654175">
              <w:rPr>
                <w:rFonts w:cs="Calibri"/>
                <w:b/>
                <w:bCs/>
                <w:color w:val="000000"/>
                <w:lang w:eastAsia="en-GB"/>
              </w:rPr>
              <w:t>£m</w:t>
            </w:r>
          </w:p>
        </w:tc>
        <w:tc>
          <w:tcPr>
            <w:tcW w:w="6571" w:type="dxa"/>
            <w:tcBorders>
              <w:top w:val="nil"/>
              <w:left w:val="nil"/>
              <w:bottom w:val="nil"/>
              <w:right w:val="nil"/>
            </w:tcBorders>
            <w:shd w:val="clear" w:color="auto" w:fill="auto"/>
            <w:noWrap/>
            <w:vAlign w:val="bottom"/>
            <w:hideMark/>
          </w:tcPr>
          <w:p w:rsidR="00891A96" w:rsidRPr="00654175" w:rsidRDefault="00891A96" w:rsidP="00891A96">
            <w:pPr>
              <w:jc w:val="center"/>
              <w:rPr>
                <w:rFonts w:cs="Calibri"/>
                <w:b/>
                <w:bCs/>
                <w:color w:val="000000"/>
                <w:lang w:eastAsia="en-GB"/>
              </w:rPr>
            </w:pPr>
          </w:p>
        </w:tc>
        <w:tc>
          <w:tcPr>
            <w:tcW w:w="1176" w:type="dxa"/>
            <w:tcBorders>
              <w:top w:val="nil"/>
              <w:left w:val="nil"/>
              <w:bottom w:val="nil"/>
              <w:right w:val="nil"/>
            </w:tcBorders>
            <w:shd w:val="clear" w:color="auto" w:fill="auto"/>
            <w:noWrap/>
            <w:vAlign w:val="bottom"/>
            <w:hideMark/>
          </w:tcPr>
          <w:p w:rsidR="00891A96" w:rsidRPr="00654175" w:rsidRDefault="00891A96" w:rsidP="00891A96">
            <w:pPr>
              <w:jc w:val="center"/>
              <w:rPr>
                <w:rFonts w:cs="Calibri"/>
                <w:b/>
                <w:bCs/>
                <w:color w:val="000000"/>
                <w:lang w:eastAsia="en-GB"/>
              </w:rPr>
            </w:pPr>
            <w:r w:rsidRPr="00654175">
              <w:rPr>
                <w:rFonts w:cs="Calibri"/>
                <w:b/>
                <w:bCs/>
                <w:color w:val="000000"/>
                <w:lang w:eastAsia="en-GB"/>
              </w:rPr>
              <w:t>£m</w:t>
            </w:r>
          </w:p>
        </w:tc>
      </w:tr>
      <w:tr w:rsidR="00891A96" w:rsidRPr="00654175" w:rsidTr="00891A96">
        <w:trPr>
          <w:trHeight w:val="600"/>
        </w:trPr>
        <w:tc>
          <w:tcPr>
            <w:tcW w:w="1613" w:type="dxa"/>
            <w:tcBorders>
              <w:top w:val="single" w:sz="4" w:space="0" w:color="auto"/>
              <w:left w:val="single" w:sz="4" w:space="0" w:color="auto"/>
              <w:bottom w:val="nil"/>
              <w:right w:val="single" w:sz="4" w:space="0" w:color="auto"/>
            </w:tcBorders>
            <w:shd w:val="clear" w:color="auto" w:fill="auto"/>
            <w:noWrap/>
            <w:vAlign w:val="bottom"/>
            <w:hideMark/>
          </w:tcPr>
          <w:p w:rsidR="00891A96" w:rsidRPr="00654175" w:rsidRDefault="00891A96" w:rsidP="00891A96">
            <w:pPr>
              <w:jc w:val="right"/>
              <w:rPr>
                <w:rFonts w:cs="Calibri"/>
                <w:color w:val="000000"/>
                <w:lang w:eastAsia="en-GB"/>
              </w:rPr>
            </w:pPr>
            <w:r w:rsidRPr="00654175">
              <w:rPr>
                <w:rFonts w:cs="Calibri"/>
                <w:color w:val="000000"/>
                <w:lang w:eastAsia="en-GB"/>
              </w:rPr>
              <w:t>(100.9)</w:t>
            </w:r>
          </w:p>
        </w:tc>
        <w:tc>
          <w:tcPr>
            <w:tcW w:w="6571" w:type="dxa"/>
            <w:tcBorders>
              <w:top w:val="nil"/>
              <w:left w:val="nil"/>
              <w:bottom w:val="nil"/>
              <w:right w:val="nil"/>
            </w:tcBorders>
            <w:shd w:val="clear" w:color="auto" w:fill="auto"/>
            <w:vAlign w:val="bottom"/>
            <w:hideMark/>
          </w:tcPr>
          <w:p w:rsidR="00891A96" w:rsidRPr="00654175" w:rsidRDefault="00891A96" w:rsidP="00891A96">
            <w:pPr>
              <w:rPr>
                <w:rFonts w:cs="Calibri"/>
                <w:color w:val="000000"/>
                <w:lang w:eastAsia="en-GB"/>
              </w:rPr>
            </w:pPr>
            <w:r w:rsidRPr="00654175">
              <w:rPr>
                <w:rFonts w:cs="Calibri"/>
                <w:color w:val="000000"/>
                <w:lang w:eastAsia="en-GB"/>
              </w:rPr>
              <w:t>Purchase of property, plant and equipment, investment property and intangible assets</w:t>
            </w:r>
          </w:p>
        </w:tc>
        <w:tc>
          <w:tcPr>
            <w:tcW w:w="1176" w:type="dxa"/>
            <w:tcBorders>
              <w:top w:val="single" w:sz="4" w:space="0" w:color="auto"/>
              <w:left w:val="single" w:sz="4" w:space="0" w:color="auto"/>
              <w:bottom w:val="nil"/>
              <w:right w:val="single" w:sz="4" w:space="0" w:color="auto"/>
            </w:tcBorders>
            <w:shd w:val="clear" w:color="auto" w:fill="auto"/>
            <w:noWrap/>
            <w:vAlign w:val="bottom"/>
            <w:hideMark/>
          </w:tcPr>
          <w:p w:rsidR="00891A96" w:rsidRPr="00654175" w:rsidRDefault="00891A96" w:rsidP="00891A96">
            <w:pPr>
              <w:jc w:val="right"/>
              <w:rPr>
                <w:rFonts w:cs="Calibri"/>
                <w:color w:val="000000"/>
                <w:lang w:eastAsia="en-GB"/>
              </w:rPr>
            </w:pPr>
            <w:r w:rsidRPr="00654175">
              <w:rPr>
                <w:rFonts w:cs="Calibri"/>
                <w:color w:val="000000"/>
                <w:lang w:eastAsia="en-GB"/>
              </w:rPr>
              <w:t>(109.8)</w:t>
            </w:r>
          </w:p>
        </w:tc>
      </w:tr>
      <w:tr w:rsidR="00891A96" w:rsidRPr="00654175" w:rsidTr="00891A96">
        <w:trPr>
          <w:trHeight w:val="300"/>
        </w:trPr>
        <w:tc>
          <w:tcPr>
            <w:tcW w:w="1613" w:type="dxa"/>
            <w:tcBorders>
              <w:top w:val="nil"/>
              <w:left w:val="single" w:sz="4" w:space="0" w:color="auto"/>
              <w:bottom w:val="nil"/>
              <w:right w:val="single" w:sz="4" w:space="0" w:color="auto"/>
            </w:tcBorders>
            <w:shd w:val="clear" w:color="auto" w:fill="auto"/>
            <w:noWrap/>
            <w:vAlign w:val="bottom"/>
            <w:hideMark/>
          </w:tcPr>
          <w:p w:rsidR="00891A96" w:rsidRPr="00654175" w:rsidRDefault="00891A96" w:rsidP="00891A96">
            <w:pPr>
              <w:jc w:val="right"/>
              <w:rPr>
                <w:rFonts w:cs="Calibri"/>
                <w:color w:val="000000"/>
                <w:lang w:eastAsia="en-GB"/>
              </w:rPr>
            </w:pPr>
            <w:r w:rsidRPr="00654175">
              <w:rPr>
                <w:rFonts w:cs="Calibri"/>
                <w:color w:val="000000"/>
                <w:lang w:eastAsia="en-GB"/>
              </w:rPr>
              <w:t>0.0</w:t>
            </w:r>
          </w:p>
        </w:tc>
        <w:tc>
          <w:tcPr>
            <w:tcW w:w="6571" w:type="dxa"/>
            <w:tcBorders>
              <w:top w:val="nil"/>
              <w:left w:val="nil"/>
              <w:bottom w:val="nil"/>
              <w:right w:val="nil"/>
            </w:tcBorders>
            <w:shd w:val="clear" w:color="auto" w:fill="auto"/>
            <w:vAlign w:val="bottom"/>
            <w:hideMark/>
          </w:tcPr>
          <w:p w:rsidR="00891A96" w:rsidRPr="00654175" w:rsidRDefault="00891A96" w:rsidP="00891A96">
            <w:pPr>
              <w:rPr>
                <w:rFonts w:cs="Calibri"/>
                <w:color w:val="000000"/>
                <w:lang w:eastAsia="en-GB"/>
              </w:rPr>
            </w:pPr>
            <w:r w:rsidRPr="00654175">
              <w:rPr>
                <w:rFonts w:cs="Calibri"/>
                <w:color w:val="000000"/>
                <w:lang w:eastAsia="en-GB"/>
              </w:rPr>
              <w:t>Purchase of short-term and long-term investments</w:t>
            </w:r>
          </w:p>
        </w:tc>
        <w:tc>
          <w:tcPr>
            <w:tcW w:w="1176" w:type="dxa"/>
            <w:tcBorders>
              <w:top w:val="nil"/>
              <w:left w:val="single" w:sz="4" w:space="0" w:color="auto"/>
              <w:bottom w:val="nil"/>
              <w:right w:val="single" w:sz="4" w:space="0" w:color="auto"/>
            </w:tcBorders>
            <w:shd w:val="clear" w:color="auto" w:fill="auto"/>
            <w:noWrap/>
            <w:vAlign w:val="bottom"/>
            <w:hideMark/>
          </w:tcPr>
          <w:p w:rsidR="00891A96" w:rsidRPr="00654175" w:rsidRDefault="00891A96" w:rsidP="00891A96">
            <w:pPr>
              <w:jc w:val="right"/>
              <w:rPr>
                <w:rFonts w:cs="Calibri"/>
                <w:color w:val="000000"/>
                <w:lang w:eastAsia="en-GB"/>
              </w:rPr>
            </w:pPr>
            <w:r w:rsidRPr="00654175">
              <w:rPr>
                <w:rFonts w:cs="Calibri"/>
                <w:color w:val="000000"/>
                <w:lang w:eastAsia="en-GB"/>
              </w:rPr>
              <w:t>(40.1)</w:t>
            </w:r>
          </w:p>
        </w:tc>
      </w:tr>
      <w:tr w:rsidR="00891A96" w:rsidRPr="00654175" w:rsidTr="00891A96">
        <w:trPr>
          <w:trHeight w:val="300"/>
        </w:trPr>
        <w:tc>
          <w:tcPr>
            <w:tcW w:w="1613" w:type="dxa"/>
            <w:tcBorders>
              <w:top w:val="nil"/>
              <w:left w:val="single" w:sz="4" w:space="0" w:color="auto"/>
              <w:bottom w:val="nil"/>
              <w:right w:val="single" w:sz="4" w:space="0" w:color="auto"/>
            </w:tcBorders>
            <w:shd w:val="clear" w:color="auto" w:fill="auto"/>
            <w:noWrap/>
            <w:vAlign w:val="bottom"/>
            <w:hideMark/>
          </w:tcPr>
          <w:p w:rsidR="00891A96" w:rsidRPr="00654175" w:rsidRDefault="00891A96" w:rsidP="00891A96">
            <w:pPr>
              <w:jc w:val="right"/>
              <w:rPr>
                <w:rFonts w:cs="Calibri"/>
                <w:color w:val="000000"/>
                <w:lang w:eastAsia="en-GB"/>
              </w:rPr>
            </w:pPr>
            <w:r w:rsidRPr="00654175">
              <w:rPr>
                <w:rFonts w:cs="Calibri"/>
                <w:color w:val="000000"/>
                <w:lang w:eastAsia="en-GB"/>
              </w:rPr>
              <w:t>(32.7)</w:t>
            </w:r>
          </w:p>
        </w:tc>
        <w:tc>
          <w:tcPr>
            <w:tcW w:w="6571" w:type="dxa"/>
            <w:tcBorders>
              <w:top w:val="nil"/>
              <w:left w:val="nil"/>
              <w:bottom w:val="nil"/>
              <w:right w:val="nil"/>
            </w:tcBorders>
            <w:shd w:val="clear" w:color="auto" w:fill="auto"/>
            <w:vAlign w:val="bottom"/>
            <w:hideMark/>
          </w:tcPr>
          <w:p w:rsidR="00891A96" w:rsidRPr="00654175" w:rsidRDefault="00891A96" w:rsidP="00891A96">
            <w:pPr>
              <w:rPr>
                <w:rFonts w:cs="Calibri"/>
                <w:color w:val="000000"/>
                <w:lang w:eastAsia="en-GB"/>
              </w:rPr>
            </w:pPr>
            <w:r w:rsidRPr="00654175">
              <w:rPr>
                <w:rFonts w:cs="Calibri"/>
                <w:color w:val="000000"/>
                <w:lang w:eastAsia="en-GB"/>
              </w:rPr>
              <w:t>Other payments for investing activities</w:t>
            </w:r>
          </w:p>
        </w:tc>
        <w:tc>
          <w:tcPr>
            <w:tcW w:w="1176" w:type="dxa"/>
            <w:tcBorders>
              <w:top w:val="nil"/>
              <w:left w:val="single" w:sz="4" w:space="0" w:color="auto"/>
              <w:bottom w:val="nil"/>
              <w:right w:val="single" w:sz="4" w:space="0" w:color="auto"/>
            </w:tcBorders>
            <w:shd w:val="clear" w:color="auto" w:fill="auto"/>
            <w:noWrap/>
            <w:vAlign w:val="bottom"/>
            <w:hideMark/>
          </w:tcPr>
          <w:p w:rsidR="00891A96" w:rsidRPr="00654175" w:rsidRDefault="00891A96" w:rsidP="00891A96">
            <w:pPr>
              <w:jc w:val="right"/>
              <w:rPr>
                <w:rFonts w:cs="Calibri"/>
                <w:color w:val="000000"/>
                <w:lang w:eastAsia="en-GB"/>
              </w:rPr>
            </w:pPr>
            <w:r w:rsidRPr="00654175">
              <w:rPr>
                <w:rFonts w:cs="Calibri"/>
                <w:color w:val="000000"/>
                <w:lang w:eastAsia="en-GB"/>
              </w:rPr>
              <w:t>0.0</w:t>
            </w:r>
          </w:p>
        </w:tc>
      </w:tr>
      <w:tr w:rsidR="00891A96" w:rsidRPr="00654175" w:rsidTr="00891A96">
        <w:trPr>
          <w:trHeight w:val="900"/>
        </w:trPr>
        <w:tc>
          <w:tcPr>
            <w:tcW w:w="1613" w:type="dxa"/>
            <w:tcBorders>
              <w:top w:val="nil"/>
              <w:left w:val="single" w:sz="4" w:space="0" w:color="auto"/>
              <w:bottom w:val="nil"/>
              <w:right w:val="single" w:sz="4" w:space="0" w:color="auto"/>
            </w:tcBorders>
            <w:shd w:val="clear" w:color="auto" w:fill="auto"/>
            <w:noWrap/>
            <w:vAlign w:val="bottom"/>
            <w:hideMark/>
          </w:tcPr>
          <w:p w:rsidR="00891A96" w:rsidRPr="00654175" w:rsidRDefault="00891A96" w:rsidP="00891A96">
            <w:pPr>
              <w:jc w:val="right"/>
              <w:rPr>
                <w:rFonts w:cs="Calibri"/>
                <w:color w:val="000000"/>
                <w:lang w:eastAsia="en-GB"/>
              </w:rPr>
            </w:pPr>
            <w:r w:rsidRPr="00654175">
              <w:rPr>
                <w:rFonts w:cs="Calibri"/>
                <w:color w:val="000000"/>
                <w:lang w:eastAsia="en-GB"/>
              </w:rPr>
              <w:t>12.0</w:t>
            </w:r>
          </w:p>
        </w:tc>
        <w:tc>
          <w:tcPr>
            <w:tcW w:w="6571" w:type="dxa"/>
            <w:tcBorders>
              <w:top w:val="nil"/>
              <w:left w:val="nil"/>
              <w:bottom w:val="nil"/>
              <w:right w:val="nil"/>
            </w:tcBorders>
            <w:shd w:val="clear" w:color="auto" w:fill="auto"/>
            <w:vAlign w:val="bottom"/>
            <w:hideMark/>
          </w:tcPr>
          <w:p w:rsidR="00891A96" w:rsidRPr="00654175" w:rsidRDefault="00891A96" w:rsidP="00891A96">
            <w:pPr>
              <w:rPr>
                <w:rFonts w:cs="Calibri"/>
                <w:color w:val="000000"/>
                <w:lang w:eastAsia="en-GB"/>
              </w:rPr>
            </w:pPr>
            <w:r w:rsidRPr="00654175">
              <w:rPr>
                <w:rFonts w:cs="Calibri"/>
                <w:color w:val="000000"/>
                <w:lang w:eastAsia="en-GB"/>
              </w:rPr>
              <w:t>Proceeds from the sale of property, plant and equipment, investment property and intangible assets</w:t>
            </w:r>
          </w:p>
        </w:tc>
        <w:tc>
          <w:tcPr>
            <w:tcW w:w="1176" w:type="dxa"/>
            <w:tcBorders>
              <w:top w:val="nil"/>
              <w:left w:val="single" w:sz="4" w:space="0" w:color="auto"/>
              <w:bottom w:val="nil"/>
              <w:right w:val="single" w:sz="4" w:space="0" w:color="auto"/>
            </w:tcBorders>
            <w:shd w:val="clear" w:color="auto" w:fill="auto"/>
            <w:noWrap/>
            <w:vAlign w:val="bottom"/>
            <w:hideMark/>
          </w:tcPr>
          <w:p w:rsidR="00891A96" w:rsidRPr="00654175" w:rsidRDefault="00891A96" w:rsidP="00891A96">
            <w:pPr>
              <w:jc w:val="right"/>
              <w:rPr>
                <w:rFonts w:cs="Calibri"/>
                <w:color w:val="000000"/>
                <w:lang w:eastAsia="en-GB"/>
              </w:rPr>
            </w:pPr>
            <w:r w:rsidRPr="00654175">
              <w:rPr>
                <w:rFonts w:cs="Calibri"/>
                <w:color w:val="000000"/>
                <w:lang w:eastAsia="en-GB"/>
              </w:rPr>
              <w:t>6.0</w:t>
            </w:r>
          </w:p>
        </w:tc>
      </w:tr>
      <w:tr w:rsidR="00891A96" w:rsidRPr="00654175" w:rsidTr="00891A96">
        <w:trPr>
          <w:trHeight w:val="300"/>
        </w:trPr>
        <w:tc>
          <w:tcPr>
            <w:tcW w:w="1613" w:type="dxa"/>
            <w:tcBorders>
              <w:top w:val="nil"/>
              <w:left w:val="single" w:sz="4" w:space="0" w:color="auto"/>
              <w:bottom w:val="nil"/>
              <w:right w:val="single" w:sz="4" w:space="0" w:color="auto"/>
            </w:tcBorders>
            <w:shd w:val="clear" w:color="auto" w:fill="auto"/>
            <w:noWrap/>
            <w:vAlign w:val="bottom"/>
            <w:hideMark/>
          </w:tcPr>
          <w:p w:rsidR="00891A96" w:rsidRPr="00654175" w:rsidRDefault="00891A96" w:rsidP="00891A96">
            <w:pPr>
              <w:jc w:val="right"/>
              <w:rPr>
                <w:rFonts w:cs="Calibri"/>
                <w:color w:val="000000"/>
                <w:lang w:eastAsia="en-GB"/>
              </w:rPr>
            </w:pPr>
            <w:r w:rsidRPr="00654175">
              <w:rPr>
                <w:rFonts w:cs="Calibri"/>
                <w:color w:val="000000"/>
                <w:lang w:eastAsia="en-GB"/>
              </w:rPr>
              <w:t>0.0</w:t>
            </w:r>
          </w:p>
        </w:tc>
        <w:tc>
          <w:tcPr>
            <w:tcW w:w="6571" w:type="dxa"/>
            <w:tcBorders>
              <w:top w:val="nil"/>
              <w:left w:val="nil"/>
              <w:bottom w:val="nil"/>
              <w:right w:val="nil"/>
            </w:tcBorders>
            <w:shd w:val="clear" w:color="auto" w:fill="auto"/>
            <w:vAlign w:val="bottom"/>
            <w:hideMark/>
          </w:tcPr>
          <w:p w:rsidR="00891A96" w:rsidRPr="00654175" w:rsidRDefault="00891A96" w:rsidP="00891A96">
            <w:pPr>
              <w:rPr>
                <w:rFonts w:cs="Calibri"/>
                <w:color w:val="000000"/>
                <w:lang w:eastAsia="en-GB"/>
              </w:rPr>
            </w:pPr>
            <w:r w:rsidRPr="00654175">
              <w:rPr>
                <w:rFonts w:cs="Calibri"/>
                <w:color w:val="000000"/>
                <w:lang w:eastAsia="en-GB"/>
              </w:rPr>
              <w:t>Proceeds of sale of short and long term investments</w:t>
            </w:r>
          </w:p>
        </w:tc>
        <w:tc>
          <w:tcPr>
            <w:tcW w:w="1176" w:type="dxa"/>
            <w:tcBorders>
              <w:top w:val="nil"/>
              <w:left w:val="single" w:sz="4" w:space="0" w:color="auto"/>
              <w:bottom w:val="nil"/>
              <w:right w:val="single" w:sz="4" w:space="0" w:color="auto"/>
            </w:tcBorders>
            <w:shd w:val="clear" w:color="auto" w:fill="auto"/>
            <w:noWrap/>
            <w:vAlign w:val="bottom"/>
            <w:hideMark/>
          </w:tcPr>
          <w:p w:rsidR="00891A96" w:rsidRPr="00654175" w:rsidRDefault="00891A96" w:rsidP="00891A96">
            <w:pPr>
              <w:jc w:val="right"/>
              <w:rPr>
                <w:rFonts w:cs="Calibri"/>
                <w:color w:val="000000"/>
                <w:lang w:eastAsia="en-GB"/>
              </w:rPr>
            </w:pPr>
            <w:r w:rsidRPr="00654175">
              <w:rPr>
                <w:rFonts w:cs="Calibri"/>
                <w:color w:val="000000"/>
                <w:lang w:eastAsia="en-GB"/>
              </w:rPr>
              <w:t>61.0</w:t>
            </w:r>
          </w:p>
        </w:tc>
      </w:tr>
      <w:tr w:rsidR="00891A96" w:rsidRPr="00654175" w:rsidTr="00891A96">
        <w:trPr>
          <w:trHeight w:val="300"/>
        </w:trPr>
        <w:tc>
          <w:tcPr>
            <w:tcW w:w="1613" w:type="dxa"/>
            <w:tcBorders>
              <w:top w:val="nil"/>
              <w:left w:val="single" w:sz="4" w:space="0" w:color="auto"/>
              <w:bottom w:val="nil"/>
              <w:right w:val="single" w:sz="4" w:space="0" w:color="auto"/>
            </w:tcBorders>
            <w:shd w:val="clear" w:color="auto" w:fill="auto"/>
            <w:noWrap/>
            <w:vAlign w:val="bottom"/>
            <w:hideMark/>
          </w:tcPr>
          <w:p w:rsidR="00891A96" w:rsidRPr="00654175" w:rsidRDefault="00891A96" w:rsidP="00891A96">
            <w:pPr>
              <w:jc w:val="right"/>
              <w:rPr>
                <w:rFonts w:cs="Calibri"/>
                <w:color w:val="000000"/>
                <w:lang w:eastAsia="en-GB"/>
              </w:rPr>
            </w:pPr>
            <w:r w:rsidRPr="00654175">
              <w:rPr>
                <w:rFonts w:cs="Calibri"/>
                <w:color w:val="000000"/>
                <w:lang w:eastAsia="en-GB"/>
              </w:rPr>
              <w:t>25.0</w:t>
            </w:r>
          </w:p>
        </w:tc>
        <w:tc>
          <w:tcPr>
            <w:tcW w:w="6571" w:type="dxa"/>
            <w:tcBorders>
              <w:top w:val="nil"/>
              <w:left w:val="nil"/>
              <w:bottom w:val="nil"/>
              <w:right w:val="nil"/>
            </w:tcBorders>
            <w:shd w:val="clear" w:color="auto" w:fill="auto"/>
            <w:vAlign w:val="bottom"/>
            <w:hideMark/>
          </w:tcPr>
          <w:p w:rsidR="00891A96" w:rsidRPr="00654175" w:rsidRDefault="00891A96" w:rsidP="00891A96">
            <w:pPr>
              <w:rPr>
                <w:rFonts w:cs="Calibri"/>
                <w:color w:val="000000"/>
                <w:lang w:eastAsia="en-GB"/>
              </w:rPr>
            </w:pPr>
            <w:r w:rsidRPr="00654175">
              <w:rPr>
                <w:rFonts w:cs="Calibri"/>
                <w:color w:val="000000"/>
                <w:lang w:eastAsia="en-GB"/>
              </w:rPr>
              <w:t>Other receipts from investing activities</w:t>
            </w:r>
          </w:p>
        </w:tc>
        <w:tc>
          <w:tcPr>
            <w:tcW w:w="1176" w:type="dxa"/>
            <w:tcBorders>
              <w:top w:val="nil"/>
              <w:left w:val="single" w:sz="4" w:space="0" w:color="auto"/>
              <w:bottom w:val="nil"/>
              <w:right w:val="single" w:sz="4" w:space="0" w:color="auto"/>
            </w:tcBorders>
            <w:shd w:val="clear" w:color="auto" w:fill="auto"/>
            <w:noWrap/>
            <w:vAlign w:val="bottom"/>
            <w:hideMark/>
          </w:tcPr>
          <w:p w:rsidR="00891A96" w:rsidRPr="00654175" w:rsidRDefault="00891A96" w:rsidP="00891A96">
            <w:pPr>
              <w:jc w:val="right"/>
              <w:rPr>
                <w:rFonts w:cs="Calibri"/>
                <w:color w:val="000000"/>
                <w:lang w:eastAsia="en-GB"/>
              </w:rPr>
            </w:pPr>
            <w:r w:rsidRPr="00654175">
              <w:rPr>
                <w:rFonts w:cs="Calibri"/>
                <w:color w:val="000000"/>
                <w:lang w:eastAsia="en-GB"/>
              </w:rPr>
              <w:t>72.0</w:t>
            </w:r>
          </w:p>
        </w:tc>
      </w:tr>
      <w:tr w:rsidR="00891A96" w:rsidRPr="00654175" w:rsidTr="00891A96">
        <w:trPr>
          <w:trHeight w:val="300"/>
        </w:trPr>
        <w:tc>
          <w:tcPr>
            <w:tcW w:w="16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1A96" w:rsidRPr="00654175" w:rsidRDefault="00891A96" w:rsidP="00891A96">
            <w:pPr>
              <w:jc w:val="right"/>
              <w:rPr>
                <w:rFonts w:cs="Calibri"/>
                <w:b/>
                <w:bCs/>
                <w:color w:val="000000"/>
                <w:lang w:eastAsia="en-GB"/>
              </w:rPr>
            </w:pPr>
            <w:r w:rsidRPr="00654175">
              <w:rPr>
                <w:rFonts w:cs="Calibri"/>
                <w:b/>
                <w:bCs/>
                <w:color w:val="000000"/>
                <w:lang w:eastAsia="en-GB"/>
              </w:rPr>
              <w:t>(96.6)</w:t>
            </w:r>
          </w:p>
        </w:tc>
        <w:tc>
          <w:tcPr>
            <w:tcW w:w="6571" w:type="dxa"/>
            <w:tcBorders>
              <w:top w:val="nil"/>
              <w:left w:val="nil"/>
              <w:bottom w:val="nil"/>
              <w:right w:val="nil"/>
            </w:tcBorders>
            <w:shd w:val="clear" w:color="auto" w:fill="auto"/>
            <w:noWrap/>
            <w:vAlign w:val="bottom"/>
            <w:hideMark/>
          </w:tcPr>
          <w:p w:rsidR="00891A96" w:rsidRPr="00654175" w:rsidRDefault="00891A96" w:rsidP="00891A96">
            <w:pPr>
              <w:jc w:val="right"/>
              <w:rPr>
                <w:rFonts w:cs="Calibri"/>
                <w:b/>
                <w:bCs/>
                <w:color w:val="000000"/>
                <w:lang w:eastAsia="en-GB"/>
              </w:rPr>
            </w:pP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1A96" w:rsidRPr="00654175" w:rsidRDefault="00891A96" w:rsidP="00891A96">
            <w:pPr>
              <w:jc w:val="right"/>
              <w:rPr>
                <w:rFonts w:cs="Calibri"/>
                <w:b/>
                <w:bCs/>
                <w:color w:val="000000"/>
                <w:lang w:eastAsia="en-GB"/>
              </w:rPr>
            </w:pPr>
            <w:r w:rsidRPr="00654175">
              <w:rPr>
                <w:rFonts w:cs="Calibri"/>
                <w:b/>
                <w:bCs/>
                <w:color w:val="000000"/>
                <w:lang w:eastAsia="en-GB"/>
              </w:rPr>
              <w:t>(10.9)</w:t>
            </w:r>
          </w:p>
        </w:tc>
      </w:tr>
    </w:tbl>
    <w:p w:rsidR="00891A96" w:rsidRPr="007C459C" w:rsidRDefault="00891A96" w:rsidP="00891A96"/>
    <w:p w:rsidR="00891A96" w:rsidRDefault="00891A96" w:rsidP="00891A96">
      <w:pPr>
        <w:rPr>
          <w:rFonts w:cs="Calibri"/>
        </w:rPr>
      </w:pPr>
    </w:p>
    <w:tbl>
      <w:tblPr>
        <w:tblW w:w="9360" w:type="dxa"/>
        <w:tblLook w:val="04A0" w:firstRow="1" w:lastRow="0" w:firstColumn="1" w:lastColumn="0" w:noHBand="0" w:noVBand="1"/>
      </w:tblPr>
      <w:tblGrid>
        <w:gridCol w:w="1476"/>
        <w:gridCol w:w="6708"/>
        <w:gridCol w:w="1176"/>
      </w:tblGrid>
      <w:tr w:rsidR="00891A96" w:rsidRPr="00654175" w:rsidTr="00891A96">
        <w:trPr>
          <w:trHeight w:val="300"/>
        </w:trPr>
        <w:tc>
          <w:tcPr>
            <w:tcW w:w="8184" w:type="dxa"/>
            <w:gridSpan w:val="2"/>
            <w:tcBorders>
              <w:top w:val="nil"/>
              <w:left w:val="nil"/>
              <w:bottom w:val="nil"/>
              <w:right w:val="nil"/>
            </w:tcBorders>
            <w:shd w:val="clear" w:color="auto" w:fill="auto"/>
            <w:noWrap/>
            <w:vAlign w:val="bottom"/>
            <w:hideMark/>
          </w:tcPr>
          <w:p w:rsidR="00891A96" w:rsidRPr="00654175" w:rsidRDefault="00891A96" w:rsidP="00891A96">
            <w:pPr>
              <w:rPr>
                <w:rFonts w:cs="Calibri"/>
                <w:b/>
                <w:bCs/>
                <w:color w:val="000000"/>
                <w:lang w:eastAsia="en-GB"/>
              </w:rPr>
            </w:pPr>
            <w:r w:rsidRPr="00654175">
              <w:rPr>
                <w:rFonts w:cs="Calibri"/>
                <w:i/>
                <w:iCs/>
                <w:color w:val="0B5294"/>
              </w:rPr>
              <w:t xml:space="preserve">Group Note </w:t>
            </w:r>
            <w:r>
              <w:rPr>
                <w:rFonts w:cs="Calibri"/>
                <w:i/>
                <w:iCs/>
                <w:color w:val="0B5294"/>
              </w:rPr>
              <w:t>5</w:t>
            </w:r>
            <w:r w:rsidRPr="00654175">
              <w:rPr>
                <w:rFonts w:cs="Calibri"/>
                <w:i/>
                <w:iCs/>
                <w:color w:val="0B5294"/>
              </w:rPr>
              <w:t xml:space="preserve"> - Cash Flow Statement - financing Activities</w:t>
            </w:r>
          </w:p>
        </w:tc>
        <w:tc>
          <w:tcPr>
            <w:tcW w:w="1176" w:type="dxa"/>
            <w:tcBorders>
              <w:top w:val="nil"/>
              <w:left w:val="nil"/>
              <w:bottom w:val="nil"/>
              <w:right w:val="nil"/>
            </w:tcBorders>
            <w:shd w:val="clear" w:color="auto" w:fill="auto"/>
            <w:noWrap/>
            <w:vAlign w:val="bottom"/>
            <w:hideMark/>
          </w:tcPr>
          <w:p w:rsidR="00891A96" w:rsidRPr="00654175" w:rsidRDefault="00891A96" w:rsidP="00891A96">
            <w:pPr>
              <w:rPr>
                <w:rFonts w:cs="Calibri"/>
                <w:b/>
                <w:bCs/>
                <w:color w:val="000000"/>
                <w:lang w:eastAsia="en-GB"/>
              </w:rPr>
            </w:pPr>
          </w:p>
        </w:tc>
      </w:tr>
      <w:tr w:rsidR="00891A96" w:rsidRPr="00654175" w:rsidTr="00891A96">
        <w:trPr>
          <w:trHeight w:val="300"/>
        </w:trPr>
        <w:tc>
          <w:tcPr>
            <w:tcW w:w="9360" w:type="dxa"/>
            <w:gridSpan w:val="3"/>
            <w:tcBorders>
              <w:top w:val="nil"/>
              <w:left w:val="nil"/>
              <w:bottom w:val="nil"/>
              <w:right w:val="nil"/>
            </w:tcBorders>
            <w:shd w:val="clear" w:color="auto" w:fill="auto"/>
            <w:noWrap/>
            <w:vAlign w:val="bottom"/>
            <w:hideMark/>
          </w:tcPr>
          <w:p w:rsidR="00891A96" w:rsidRPr="00654175" w:rsidRDefault="00891A96" w:rsidP="00891A96">
            <w:pPr>
              <w:rPr>
                <w:rFonts w:cs="Calibri"/>
                <w:color w:val="000000"/>
                <w:lang w:eastAsia="en-GB"/>
              </w:rPr>
            </w:pPr>
            <w:r w:rsidRPr="00654175">
              <w:rPr>
                <w:rFonts w:cs="Calibri"/>
                <w:color w:val="000000"/>
                <w:lang w:eastAsia="en-GB"/>
              </w:rPr>
              <w:t>The surplus or deficit on the provision of services has been adjusted for the following non-cash movements</w:t>
            </w:r>
          </w:p>
        </w:tc>
      </w:tr>
      <w:tr w:rsidR="00891A96" w:rsidRPr="00654175" w:rsidTr="00891A96">
        <w:trPr>
          <w:trHeight w:val="300"/>
        </w:trPr>
        <w:tc>
          <w:tcPr>
            <w:tcW w:w="1476" w:type="dxa"/>
            <w:tcBorders>
              <w:top w:val="nil"/>
              <w:left w:val="nil"/>
              <w:bottom w:val="nil"/>
              <w:right w:val="nil"/>
            </w:tcBorders>
            <w:shd w:val="clear" w:color="auto" w:fill="auto"/>
            <w:noWrap/>
            <w:vAlign w:val="bottom"/>
            <w:hideMark/>
          </w:tcPr>
          <w:p w:rsidR="00891A96" w:rsidRPr="00654175" w:rsidRDefault="00891A96" w:rsidP="00891A96">
            <w:pPr>
              <w:jc w:val="center"/>
              <w:rPr>
                <w:rFonts w:cs="Calibri"/>
                <w:b/>
                <w:bCs/>
                <w:color w:val="000000"/>
                <w:lang w:eastAsia="en-GB"/>
              </w:rPr>
            </w:pPr>
            <w:r w:rsidRPr="00654175">
              <w:rPr>
                <w:rFonts w:cs="Calibri"/>
                <w:b/>
                <w:bCs/>
                <w:color w:val="000000"/>
                <w:lang w:eastAsia="en-GB"/>
              </w:rPr>
              <w:t>2018/19</w:t>
            </w:r>
          </w:p>
        </w:tc>
        <w:tc>
          <w:tcPr>
            <w:tcW w:w="6708" w:type="dxa"/>
            <w:tcBorders>
              <w:top w:val="nil"/>
              <w:left w:val="nil"/>
              <w:bottom w:val="nil"/>
              <w:right w:val="nil"/>
            </w:tcBorders>
            <w:shd w:val="clear" w:color="auto" w:fill="auto"/>
            <w:noWrap/>
            <w:vAlign w:val="bottom"/>
            <w:hideMark/>
          </w:tcPr>
          <w:p w:rsidR="00891A96" w:rsidRPr="00654175" w:rsidRDefault="00891A96" w:rsidP="00891A96">
            <w:pPr>
              <w:jc w:val="center"/>
              <w:rPr>
                <w:rFonts w:cs="Calibri"/>
                <w:b/>
                <w:bCs/>
                <w:color w:val="000000"/>
                <w:lang w:eastAsia="en-GB"/>
              </w:rPr>
            </w:pPr>
          </w:p>
        </w:tc>
        <w:tc>
          <w:tcPr>
            <w:tcW w:w="1176" w:type="dxa"/>
            <w:tcBorders>
              <w:top w:val="nil"/>
              <w:left w:val="nil"/>
              <w:bottom w:val="nil"/>
              <w:right w:val="nil"/>
            </w:tcBorders>
            <w:shd w:val="clear" w:color="auto" w:fill="auto"/>
            <w:noWrap/>
            <w:vAlign w:val="bottom"/>
            <w:hideMark/>
          </w:tcPr>
          <w:p w:rsidR="00891A96" w:rsidRPr="00654175" w:rsidRDefault="00891A96" w:rsidP="00891A96">
            <w:pPr>
              <w:jc w:val="center"/>
              <w:rPr>
                <w:rFonts w:cs="Calibri"/>
                <w:b/>
                <w:bCs/>
                <w:color w:val="000000"/>
                <w:lang w:eastAsia="en-GB"/>
              </w:rPr>
            </w:pPr>
            <w:r w:rsidRPr="00654175">
              <w:rPr>
                <w:rFonts w:cs="Calibri"/>
                <w:b/>
                <w:bCs/>
                <w:color w:val="000000"/>
                <w:lang w:eastAsia="en-GB"/>
              </w:rPr>
              <w:t>2019/20</w:t>
            </w:r>
          </w:p>
        </w:tc>
      </w:tr>
      <w:tr w:rsidR="00891A96" w:rsidRPr="00654175" w:rsidTr="00891A96">
        <w:trPr>
          <w:trHeight w:val="300"/>
        </w:trPr>
        <w:tc>
          <w:tcPr>
            <w:tcW w:w="1476" w:type="dxa"/>
            <w:tcBorders>
              <w:top w:val="nil"/>
              <w:left w:val="nil"/>
              <w:bottom w:val="nil"/>
              <w:right w:val="nil"/>
            </w:tcBorders>
            <w:shd w:val="clear" w:color="auto" w:fill="auto"/>
            <w:noWrap/>
            <w:vAlign w:val="bottom"/>
            <w:hideMark/>
          </w:tcPr>
          <w:p w:rsidR="00891A96" w:rsidRPr="00654175" w:rsidRDefault="00891A96" w:rsidP="00891A96">
            <w:pPr>
              <w:jc w:val="center"/>
              <w:rPr>
                <w:rFonts w:cs="Calibri"/>
                <w:b/>
                <w:bCs/>
                <w:color w:val="000000"/>
                <w:lang w:eastAsia="en-GB"/>
              </w:rPr>
            </w:pPr>
            <w:r w:rsidRPr="00654175">
              <w:rPr>
                <w:rFonts w:cs="Calibri"/>
                <w:b/>
                <w:bCs/>
                <w:color w:val="000000"/>
                <w:lang w:eastAsia="en-GB"/>
              </w:rPr>
              <w:t>£m</w:t>
            </w:r>
          </w:p>
        </w:tc>
        <w:tc>
          <w:tcPr>
            <w:tcW w:w="6708" w:type="dxa"/>
            <w:tcBorders>
              <w:top w:val="nil"/>
              <w:left w:val="nil"/>
              <w:bottom w:val="nil"/>
              <w:right w:val="nil"/>
            </w:tcBorders>
            <w:shd w:val="clear" w:color="auto" w:fill="auto"/>
            <w:noWrap/>
            <w:vAlign w:val="bottom"/>
            <w:hideMark/>
          </w:tcPr>
          <w:p w:rsidR="00891A96" w:rsidRPr="00654175" w:rsidRDefault="00891A96" w:rsidP="00891A96">
            <w:pPr>
              <w:jc w:val="center"/>
              <w:rPr>
                <w:rFonts w:cs="Calibri"/>
                <w:b/>
                <w:bCs/>
                <w:color w:val="000000"/>
                <w:lang w:eastAsia="en-GB"/>
              </w:rPr>
            </w:pPr>
          </w:p>
        </w:tc>
        <w:tc>
          <w:tcPr>
            <w:tcW w:w="1176" w:type="dxa"/>
            <w:tcBorders>
              <w:top w:val="nil"/>
              <w:left w:val="nil"/>
              <w:bottom w:val="nil"/>
              <w:right w:val="nil"/>
            </w:tcBorders>
            <w:shd w:val="clear" w:color="auto" w:fill="auto"/>
            <w:noWrap/>
            <w:vAlign w:val="bottom"/>
            <w:hideMark/>
          </w:tcPr>
          <w:p w:rsidR="00891A96" w:rsidRPr="00654175" w:rsidRDefault="00891A96" w:rsidP="00891A96">
            <w:pPr>
              <w:jc w:val="center"/>
              <w:rPr>
                <w:rFonts w:cs="Calibri"/>
                <w:b/>
                <w:bCs/>
                <w:color w:val="000000"/>
                <w:lang w:eastAsia="en-GB"/>
              </w:rPr>
            </w:pPr>
            <w:r w:rsidRPr="00654175">
              <w:rPr>
                <w:rFonts w:cs="Calibri"/>
                <w:b/>
                <w:bCs/>
                <w:color w:val="000000"/>
                <w:lang w:eastAsia="en-GB"/>
              </w:rPr>
              <w:t>£m</w:t>
            </w:r>
          </w:p>
        </w:tc>
      </w:tr>
      <w:tr w:rsidR="00891A96" w:rsidRPr="00654175" w:rsidTr="00891A96">
        <w:trPr>
          <w:trHeight w:val="300"/>
        </w:trPr>
        <w:tc>
          <w:tcPr>
            <w:tcW w:w="1476" w:type="dxa"/>
            <w:tcBorders>
              <w:top w:val="single" w:sz="4" w:space="0" w:color="auto"/>
              <w:left w:val="single" w:sz="4" w:space="0" w:color="auto"/>
              <w:bottom w:val="nil"/>
              <w:right w:val="single" w:sz="4" w:space="0" w:color="auto"/>
            </w:tcBorders>
            <w:shd w:val="clear" w:color="auto" w:fill="auto"/>
            <w:noWrap/>
            <w:vAlign w:val="bottom"/>
            <w:hideMark/>
          </w:tcPr>
          <w:p w:rsidR="00891A96" w:rsidRPr="00654175" w:rsidRDefault="00891A96" w:rsidP="00891A96">
            <w:pPr>
              <w:jc w:val="right"/>
              <w:rPr>
                <w:rFonts w:cs="Calibri"/>
                <w:color w:val="000000"/>
                <w:lang w:eastAsia="en-GB"/>
              </w:rPr>
            </w:pPr>
            <w:r w:rsidRPr="00654175">
              <w:rPr>
                <w:rFonts w:cs="Calibri"/>
                <w:color w:val="000000"/>
                <w:lang w:eastAsia="en-GB"/>
              </w:rPr>
              <w:t>(0.0)</w:t>
            </w:r>
          </w:p>
        </w:tc>
        <w:tc>
          <w:tcPr>
            <w:tcW w:w="6708" w:type="dxa"/>
            <w:tcBorders>
              <w:top w:val="nil"/>
              <w:left w:val="nil"/>
              <w:bottom w:val="nil"/>
              <w:right w:val="nil"/>
            </w:tcBorders>
            <w:shd w:val="clear" w:color="auto" w:fill="auto"/>
            <w:vAlign w:val="bottom"/>
            <w:hideMark/>
          </w:tcPr>
          <w:p w:rsidR="00891A96" w:rsidRPr="00654175" w:rsidRDefault="00891A96" w:rsidP="00891A96">
            <w:pPr>
              <w:rPr>
                <w:rFonts w:cs="Calibri"/>
                <w:color w:val="000000"/>
                <w:lang w:eastAsia="en-GB"/>
              </w:rPr>
            </w:pPr>
            <w:r w:rsidRPr="00654175">
              <w:rPr>
                <w:rFonts w:cs="Calibri"/>
                <w:color w:val="000000"/>
                <w:lang w:eastAsia="en-GB"/>
              </w:rPr>
              <w:t>Cash receipts of short and long term borrowing</w:t>
            </w:r>
          </w:p>
        </w:tc>
        <w:tc>
          <w:tcPr>
            <w:tcW w:w="1176" w:type="dxa"/>
            <w:tcBorders>
              <w:top w:val="single" w:sz="4" w:space="0" w:color="auto"/>
              <w:left w:val="single" w:sz="4" w:space="0" w:color="auto"/>
              <w:bottom w:val="nil"/>
              <w:right w:val="single" w:sz="4" w:space="0" w:color="auto"/>
            </w:tcBorders>
            <w:shd w:val="clear" w:color="auto" w:fill="auto"/>
            <w:noWrap/>
            <w:vAlign w:val="bottom"/>
            <w:hideMark/>
          </w:tcPr>
          <w:p w:rsidR="00891A96" w:rsidRPr="00654175" w:rsidRDefault="00891A96" w:rsidP="00891A96">
            <w:pPr>
              <w:jc w:val="right"/>
              <w:rPr>
                <w:rFonts w:cs="Calibri"/>
                <w:color w:val="000000"/>
                <w:lang w:eastAsia="en-GB"/>
              </w:rPr>
            </w:pPr>
            <w:r w:rsidRPr="00654175">
              <w:rPr>
                <w:rFonts w:cs="Calibri"/>
                <w:color w:val="000000"/>
                <w:lang w:eastAsia="en-GB"/>
              </w:rPr>
              <w:t>155.</w:t>
            </w:r>
            <w:r>
              <w:rPr>
                <w:rFonts w:cs="Calibri"/>
                <w:color w:val="000000"/>
                <w:lang w:eastAsia="en-GB"/>
              </w:rPr>
              <w:t>0</w:t>
            </w:r>
          </w:p>
        </w:tc>
      </w:tr>
      <w:tr w:rsidR="00891A96" w:rsidRPr="00654175" w:rsidTr="00891A96">
        <w:trPr>
          <w:trHeight w:val="600"/>
        </w:trPr>
        <w:tc>
          <w:tcPr>
            <w:tcW w:w="1476" w:type="dxa"/>
            <w:tcBorders>
              <w:top w:val="nil"/>
              <w:left w:val="single" w:sz="4" w:space="0" w:color="auto"/>
              <w:bottom w:val="nil"/>
              <w:right w:val="single" w:sz="4" w:space="0" w:color="auto"/>
            </w:tcBorders>
            <w:shd w:val="clear" w:color="auto" w:fill="auto"/>
            <w:noWrap/>
            <w:vAlign w:val="bottom"/>
            <w:hideMark/>
          </w:tcPr>
          <w:p w:rsidR="00891A96" w:rsidRPr="00654175" w:rsidRDefault="00891A96" w:rsidP="00891A96">
            <w:pPr>
              <w:jc w:val="right"/>
              <w:rPr>
                <w:rFonts w:cs="Calibri"/>
                <w:color w:val="000000"/>
                <w:lang w:eastAsia="en-GB"/>
              </w:rPr>
            </w:pPr>
            <w:r w:rsidRPr="00654175">
              <w:rPr>
                <w:rFonts w:cs="Calibri"/>
                <w:color w:val="000000"/>
                <w:lang w:eastAsia="en-GB"/>
              </w:rPr>
              <w:t>(4.2)</w:t>
            </w:r>
          </w:p>
        </w:tc>
        <w:tc>
          <w:tcPr>
            <w:tcW w:w="6708" w:type="dxa"/>
            <w:tcBorders>
              <w:top w:val="nil"/>
              <w:left w:val="nil"/>
              <w:bottom w:val="nil"/>
              <w:right w:val="nil"/>
            </w:tcBorders>
            <w:shd w:val="clear" w:color="auto" w:fill="auto"/>
            <w:vAlign w:val="bottom"/>
            <w:hideMark/>
          </w:tcPr>
          <w:p w:rsidR="00891A96" w:rsidRPr="00654175" w:rsidRDefault="00891A96" w:rsidP="00891A96">
            <w:pPr>
              <w:rPr>
                <w:rFonts w:cs="Calibri"/>
                <w:color w:val="000000"/>
                <w:lang w:eastAsia="en-GB"/>
              </w:rPr>
            </w:pPr>
            <w:r w:rsidRPr="00654175">
              <w:rPr>
                <w:rFonts w:cs="Calibri"/>
                <w:color w:val="000000"/>
                <w:lang w:eastAsia="en-GB"/>
              </w:rPr>
              <w:t>Cash inflow/(outflow) relating to Private Finance Initiative schemes</w:t>
            </w:r>
          </w:p>
        </w:tc>
        <w:tc>
          <w:tcPr>
            <w:tcW w:w="1176" w:type="dxa"/>
            <w:tcBorders>
              <w:top w:val="nil"/>
              <w:left w:val="single" w:sz="4" w:space="0" w:color="auto"/>
              <w:bottom w:val="nil"/>
              <w:right w:val="single" w:sz="4" w:space="0" w:color="auto"/>
            </w:tcBorders>
            <w:shd w:val="clear" w:color="auto" w:fill="auto"/>
            <w:noWrap/>
            <w:vAlign w:val="bottom"/>
            <w:hideMark/>
          </w:tcPr>
          <w:p w:rsidR="00891A96" w:rsidRPr="00654175" w:rsidRDefault="00891A96" w:rsidP="00891A96">
            <w:pPr>
              <w:jc w:val="right"/>
              <w:rPr>
                <w:rFonts w:cs="Calibri"/>
                <w:color w:val="000000"/>
                <w:lang w:eastAsia="en-GB"/>
              </w:rPr>
            </w:pPr>
            <w:r w:rsidRPr="00654175">
              <w:rPr>
                <w:rFonts w:cs="Calibri"/>
                <w:color w:val="000000"/>
                <w:lang w:eastAsia="en-GB"/>
              </w:rPr>
              <w:t>(2.9)</w:t>
            </w:r>
          </w:p>
        </w:tc>
      </w:tr>
      <w:tr w:rsidR="00891A96" w:rsidRPr="00654175" w:rsidTr="00891A96">
        <w:trPr>
          <w:trHeight w:val="300"/>
        </w:trPr>
        <w:tc>
          <w:tcPr>
            <w:tcW w:w="1476" w:type="dxa"/>
            <w:tcBorders>
              <w:top w:val="nil"/>
              <w:left w:val="single" w:sz="4" w:space="0" w:color="auto"/>
              <w:bottom w:val="nil"/>
              <w:right w:val="single" w:sz="4" w:space="0" w:color="auto"/>
            </w:tcBorders>
            <w:shd w:val="clear" w:color="auto" w:fill="auto"/>
            <w:noWrap/>
            <w:vAlign w:val="bottom"/>
            <w:hideMark/>
          </w:tcPr>
          <w:p w:rsidR="00891A96" w:rsidRPr="00654175" w:rsidRDefault="00891A96" w:rsidP="00891A96">
            <w:pPr>
              <w:jc w:val="right"/>
              <w:rPr>
                <w:rFonts w:cs="Calibri"/>
                <w:color w:val="000000"/>
                <w:lang w:eastAsia="en-GB"/>
              </w:rPr>
            </w:pPr>
            <w:r w:rsidRPr="00654175">
              <w:rPr>
                <w:rFonts w:cs="Calibri"/>
                <w:color w:val="000000"/>
                <w:lang w:eastAsia="en-GB"/>
              </w:rPr>
              <w:t>(36.3)</w:t>
            </w:r>
          </w:p>
        </w:tc>
        <w:tc>
          <w:tcPr>
            <w:tcW w:w="6708" w:type="dxa"/>
            <w:tcBorders>
              <w:top w:val="nil"/>
              <w:left w:val="nil"/>
              <w:bottom w:val="nil"/>
              <w:right w:val="nil"/>
            </w:tcBorders>
            <w:shd w:val="clear" w:color="auto" w:fill="auto"/>
            <w:vAlign w:val="bottom"/>
            <w:hideMark/>
          </w:tcPr>
          <w:p w:rsidR="00891A96" w:rsidRPr="00654175" w:rsidRDefault="00891A96" w:rsidP="00891A96">
            <w:pPr>
              <w:rPr>
                <w:rFonts w:cs="Calibri"/>
                <w:color w:val="000000"/>
                <w:lang w:eastAsia="en-GB"/>
              </w:rPr>
            </w:pPr>
            <w:r w:rsidRPr="00654175">
              <w:rPr>
                <w:rFonts w:cs="Calibri"/>
                <w:color w:val="000000"/>
                <w:lang w:eastAsia="en-GB"/>
              </w:rPr>
              <w:t>Repayments of short and long term borrowing</w:t>
            </w:r>
          </w:p>
        </w:tc>
        <w:tc>
          <w:tcPr>
            <w:tcW w:w="1176" w:type="dxa"/>
            <w:tcBorders>
              <w:top w:val="nil"/>
              <w:left w:val="single" w:sz="4" w:space="0" w:color="auto"/>
              <w:bottom w:val="nil"/>
              <w:right w:val="single" w:sz="4" w:space="0" w:color="auto"/>
            </w:tcBorders>
            <w:shd w:val="clear" w:color="auto" w:fill="auto"/>
            <w:noWrap/>
            <w:vAlign w:val="bottom"/>
            <w:hideMark/>
          </w:tcPr>
          <w:p w:rsidR="00891A96" w:rsidRPr="00654175" w:rsidRDefault="00891A96" w:rsidP="00891A96">
            <w:pPr>
              <w:jc w:val="right"/>
              <w:rPr>
                <w:rFonts w:cs="Calibri"/>
                <w:color w:val="000000"/>
                <w:lang w:eastAsia="en-GB"/>
              </w:rPr>
            </w:pPr>
            <w:r w:rsidRPr="00654175">
              <w:rPr>
                <w:rFonts w:cs="Calibri"/>
                <w:color w:val="000000"/>
                <w:lang w:eastAsia="en-GB"/>
              </w:rPr>
              <w:t>(15.3)</w:t>
            </w:r>
          </w:p>
        </w:tc>
      </w:tr>
      <w:tr w:rsidR="00891A96" w:rsidRPr="00654175" w:rsidTr="00891A96">
        <w:trPr>
          <w:trHeight w:val="300"/>
        </w:trPr>
        <w:tc>
          <w:tcPr>
            <w:tcW w:w="1476" w:type="dxa"/>
            <w:tcBorders>
              <w:top w:val="nil"/>
              <w:left w:val="single" w:sz="4" w:space="0" w:color="auto"/>
              <w:bottom w:val="nil"/>
              <w:right w:val="single" w:sz="4" w:space="0" w:color="auto"/>
            </w:tcBorders>
            <w:shd w:val="clear" w:color="auto" w:fill="auto"/>
            <w:noWrap/>
            <w:vAlign w:val="bottom"/>
            <w:hideMark/>
          </w:tcPr>
          <w:p w:rsidR="00891A96" w:rsidRPr="00654175" w:rsidRDefault="00891A96" w:rsidP="00891A96">
            <w:pPr>
              <w:jc w:val="right"/>
              <w:rPr>
                <w:rFonts w:cs="Calibri"/>
                <w:color w:val="000000"/>
                <w:lang w:eastAsia="en-GB"/>
              </w:rPr>
            </w:pPr>
            <w:r w:rsidRPr="00654175">
              <w:rPr>
                <w:rFonts w:cs="Calibri"/>
                <w:color w:val="000000"/>
                <w:lang w:eastAsia="en-GB"/>
              </w:rPr>
              <w:t>4.0</w:t>
            </w:r>
          </w:p>
        </w:tc>
        <w:tc>
          <w:tcPr>
            <w:tcW w:w="6708" w:type="dxa"/>
            <w:tcBorders>
              <w:top w:val="nil"/>
              <w:left w:val="nil"/>
              <w:bottom w:val="nil"/>
              <w:right w:val="nil"/>
            </w:tcBorders>
            <w:shd w:val="clear" w:color="auto" w:fill="auto"/>
            <w:vAlign w:val="bottom"/>
            <w:hideMark/>
          </w:tcPr>
          <w:p w:rsidR="00891A96" w:rsidRPr="00654175" w:rsidRDefault="00891A96" w:rsidP="00891A96">
            <w:pPr>
              <w:rPr>
                <w:rFonts w:cs="Calibri"/>
                <w:color w:val="000000"/>
                <w:lang w:eastAsia="en-GB"/>
              </w:rPr>
            </w:pPr>
            <w:r w:rsidRPr="00654175">
              <w:rPr>
                <w:rFonts w:cs="Calibri"/>
                <w:color w:val="000000"/>
                <w:lang w:eastAsia="en-GB"/>
              </w:rPr>
              <w:t>Other payments for financing activities</w:t>
            </w:r>
          </w:p>
        </w:tc>
        <w:tc>
          <w:tcPr>
            <w:tcW w:w="1176" w:type="dxa"/>
            <w:tcBorders>
              <w:top w:val="nil"/>
              <w:left w:val="single" w:sz="4" w:space="0" w:color="auto"/>
              <w:bottom w:val="nil"/>
              <w:right w:val="single" w:sz="4" w:space="0" w:color="auto"/>
            </w:tcBorders>
            <w:shd w:val="clear" w:color="auto" w:fill="auto"/>
            <w:noWrap/>
            <w:vAlign w:val="bottom"/>
            <w:hideMark/>
          </w:tcPr>
          <w:p w:rsidR="00891A96" w:rsidRPr="00654175" w:rsidRDefault="00891A96" w:rsidP="00891A96">
            <w:pPr>
              <w:jc w:val="right"/>
              <w:rPr>
                <w:rFonts w:cs="Calibri"/>
                <w:color w:val="000000"/>
                <w:lang w:eastAsia="en-GB"/>
              </w:rPr>
            </w:pPr>
            <w:r w:rsidRPr="00654175">
              <w:rPr>
                <w:rFonts w:cs="Calibri"/>
                <w:color w:val="000000"/>
                <w:lang w:eastAsia="en-GB"/>
              </w:rPr>
              <w:t>0.0</w:t>
            </w:r>
          </w:p>
        </w:tc>
      </w:tr>
      <w:tr w:rsidR="00891A96" w:rsidRPr="00654175" w:rsidTr="00891A96">
        <w:trPr>
          <w:trHeight w:val="300"/>
        </w:trPr>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1A96" w:rsidRPr="00654175" w:rsidRDefault="00891A96" w:rsidP="00891A96">
            <w:pPr>
              <w:jc w:val="right"/>
              <w:rPr>
                <w:rFonts w:cs="Calibri"/>
                <w:b/>
                <w:bCs/>
                <w:color w:val="000000"/>
                <w:lang w:eastAsia="en-GB"/>
              </w:rPr>
            </w:pPr>
            <w:r w:rsidRPr="00654175">
              <w:rPr>
                <w:rFonts w:cs="Calibri"/>
                <w:b/>
                <w:bCs/>
                <w:color w:val="000000"/>
                <w:lang w:eastAsia="en-GB"/>
              </w:rPr>
              <w:t>(36.5)</w:t>
            </w:r>
          </w:p>
        </w:tc>
        <w:tc>
          <w:tcPr>
            <w:tcW w:w="6708" w:type="dxa"/>
            <w:tcBorders>
              <w:top w:val="nil"/>
              <w:left w:val="nil"/>
              <w:bottom w:val="nil"/>
              <w:right w:val="nil"/>
            </w:tcBorders>
            <w:shd w:val="clear" w:color="auto" w:fill="auto"/>
            <w:noWrap/>
            <w:vAlign w:val="bottom"/>
            <w:hideMark/>
          </w:tcPr>
          <w:p w:rsidR="00891A96" w:rsidRPr="00654175" w:rsidRDefault="00891A96" w:rsidP="00891A96">
            <w:pPr>
              <w:jc w:val="right"/>
              <w:rPr>
                <w:rFonts w:cs="Calibri"/>
                <w:b/>
                <w:bCs/>
                <w:color w:val="000000"/>
                <w:lang w:eastAsia="en-GB"/>
              </w:rPr>
            </w:pP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1A96" w:rsidRPr="00654175" w:rsidRDefault="00891A96" w:rsidP="00891A96">
            <w:pPr>
              <w:jc w:val="right"/>
              <w:rPr>
                <w:rFonts w:cs="Calibri"/>
                <w:b/>
                <w:bCs/>
                <w:color w:val="000000"/>
                <w:lang w:eastAsia="en-GB"/>
              </w:rPr>
            </w:pPr>
            <w:r w:rsidRPr="00654175">
              <w:rPr>
                <w:rFonts w:cs="Calibri"/>
                <w:b/>
                <w:bCs/>
                <w:color w:val="000000"/>
                <w:lang w:eastAsia="en-GB"/>
              </w:rPr>
              <w:t>136.</w:t>
            </w:r>
            <w:r>
              <w:rPr>
                <w:rFonts w:cs="Calibri"/>
                <w:b/>
                <w:bCs/>
                <w:color w:val="000000"/>
                <w:lang w:eastAsia="en-GB"/>
              </w:rPr>
              <w:t>8</w:t>
            </w:r>
          </w:p>
        </w:tc>
      </w:tr>
      <w:tr w:rsidR="00891A96" w:rsidRPr="00654175" w:rsidTr="00891A96">
        <w:trPr>
          <w:trHeight w:val="300"/>
        </w:trPr>
        <w:tc>
          <w:tcPr>
            <w:tcW w:w="1476" w:type="dxa"/>
            <w:tcBorders>
              <w:top w:val="nil"/>
              <w:left w:val="nil"/>
              <w:bottom w:val="nil"/>
              <w:right w:val="nil"/>
            </w:tcBorders>
            <w:shd w:val="clear" w:color="auto" w:fill="auto"/>
            <w:noWrap/>
            <w:vAlign w:val="bottom"/>
            <w:hideMark/>
          </w:tcPr>
          <w:p w:rsidR="00891A96" w:rsidRPr="00654175" w:rsidRDefault="00891A96" w:rsidP="00891A96">
            <w:pPr>
              <w:jc w:val="right"/>
              <w:rPr>
                <w:rFonts w:cs="Calibri"/>
                <w:b/>
                <w:bCs/>
                <w:color w:val="000000"/>
                <w:lang w:eastAsia="en-GB"/>
              </w:rPr>
            </w:pPr>
          </w:p>
        </w:tc>
        <w:tc>
          <w:tcPr>
            <w:tcW w:w="6708" w:type="dxa"/>
            <w:tcBorders>
              <w:top w:val="nil"/>
              <w:left w:val="nil"/>
              <w:bottom w:val="nil"/>
              <w:right w:val="nil"/>
            </w:tcBorders>
            <w:shd w:val="clear" w:color="auto" w:fill="auto"/>
            <w:noWrap/>
            <w:vAlign w:val="bottom"/>
            <w:hideMark/>
          </w:tcPr>
          <w:p w:rsidR="00891A96" w:rsidRPr="00654175" w:rsidRDefault="00891A96" w:rsidP="00891A96">
            <w:pPr>
              <w:rPr>
                <w:rFonts w:ascii="Times New Roman" w:hAnsi="Times New Roman"/>
                <w:sz w:val="20"/>
                <w:szCs w:val="20"/>
                <w:lang w:eastAsia="en-GB"/>
              </w:rPr>
            </w:pPr>
          </w:p>
        </w:tc>
        <w:tc>
          <w:tcPr>
            <w:tcW w:w="1176" w:type="dxa"/>
            <w:tcBorders>
              <w:top w:val="nil"/>
              <w:left w:val="nil"/>
              <w:bottom w:val="nil"/>
              <w:right w:val="nil"/>
            </w:tcBorders>
            <w:shd w:val="clear" w:color="auto" w:fill="auto"/>
            <w:noWrap/>
            <w:vAlign w:val="bottom"/>
            <w:hideMark/>
          </w:tcPr>
          <w:p w:rsidR="00891A96" w:rsidRPr="00654175" w:rsidRDefault="00891A96" w:rsidP="00891A96">
            <w:pPr>
              <w:rPr>
                <w:rFonts w:ascii="Times New Roman" w:hAnsi="Times New Roman"/>
                <w:sz w:val="20"/>
                <w:szCs w:val="20"/>
                <w:lang w:eastAsia="en-GB"/>
              </w:rPr>
            </w:pPr>
          </w:p>
        </w:tc>
      </w:tr>
      <w:tr w:rsidR="00891A96" w:rsidRPr="00654175" w:rsidTr="00891A96">
        <w:trPr>
          <w:trHeight w:val="300"/>
        </w:trPr>
        <w:tc>
          <w:tcPr>
            <w:tcW w:w="1476" w:type="dxa"/>
            <w:tcBorders>
              <w:top w:val="nil"/>
              <w:left w:val="nil"/>
              <w:bottom w:val="nil"/>
              <w:right w:val="nil"/>
            </w:tcBorders>
            <w:shd w:val="clear" w:color="auto" w:fill="auto"/>
            <w:noWrap/>
            <w:vAlign w:val="bottom"/>
            <w:hideMark/>
          </w:tcPr>
          <w:p w:rsidR="00891A96" w:rsidRPr="00654175" w:rsidRDefault="00891A96" w:rsidP="00891A96">
            <w:pPr>
              <w:jc w:val="center"/>
              <w:rPr>
                <w:rFonts w:cs="Calibri"/>
                <w:b/>
                <w:bCs/>
                <w:color w:val="000000"/>
                <w:lang w:eastAsia="en-GB"/>
              </w:rPr>
            </w:pPr>
            <w:r w:rsidRPr="00654175">
              <w:rPr>
                <w:rFonts w:cs="Calibri"/>
                <w:b/>
                <w:bCs/>
                <w:color w:val="000000"/>
                <w:lang w:eastAsia="en-GB"/>
              </w:rPr>
              <w:t>2018/19</w:t>
            </w:r>
          </w:p>
        </w:tc>
        <w:tc>
          <w:tcPr>
            <w:tcW w:w="6708" w:type="dxa"/>
            <w:tcBorders>
              <w:top w:val="nil"/>
              <w:left w:val="nil"/>
              <w:bottom w:val="nil"/>
              <w:right w:val="nil"/>
            </w:tcBorders>
            <w:shd w:val="clear" w:color="auto" w:fill="auto"/>
            <w:noWrap/>
            <w:vAlign w:val="bottom"/>
            <w:hideMark/>
          </w:tcPr>
          <w:p w:rsidR="00891A96" w:rsidRPr="00654175" w:rsidRDefault="00891A96" w:rsidP="00891A96">
            <w:pPr>
              <w:jc w:val="center"/>
              <w:rPr>
                <w:rFonts w:cs="Calibri"/>
                <w:b/>
                <w:bCs/>
                <w:color w:val="000000"/>
                <w:lang w:eastAsia="en-GB"/>
              </w:rPr>
            </w:pPr>
          </w:p>
        </w:tc>
        <w:tc>
          <w:tcPr>
            <w:tcW w:w="1176" w:type="dxa"/>
            <w:tcBorders>
              <w:top w:val="nil"/>
              <w:left w:val="nil"/>
              <w:bottom w:val="nil"/>
              <w:right w:val="nil"/>
            </w:tcBorders>
            <w:shd w:val="clear" w:color="auto" w:fill="auto"/>
            <w:noWrap/>
            <w:vAlign w:val="bottom"/>
            <w:hideMark/>
          </w:tcPr>
          <w:p w:rsidR="00891A96" w:rsidRPr="00654175" w:rsidRDefault="00891A96" w:rsidP="00891A96">
            <w:pPr>
              <w:jc w:val="center"/>
              <w:rPr>
                <w:rFonts w:cs="Calibri"/>
                <w:b/>
                <w:bCs/>
                <w:color w:val="000000"/>
                <w:lang w:eastAsia="en-GB"/>
              </w:rPr>
            </w:pPr>
            <w:r w:rsidRPr="00654175">
              <w:rPr>
                <w:rFonts w:cs="Calibri"/>
                <w:b/>
                <w:bCs/>
                <w:color w:val="000000"/>
                <w:lang w:eastAsia="en-GB"/>
              </w:rPr>
              <w:t>2019/20</w:t>
            </w:r>
          </w:p>
        </w:tc>
      </w:tr>
      <w:tr w:rsidR="00891A96" w:rsidRPr="00654175" w:rsidTr="00891A96">
        <w:trPr>
          <w:trHeight w:val="300"/>
        </w:trPr>
        <w:tc>
          <w:tcPr>
            <w:tcW w:w="1476" w:type="dxa"/>
            <w:tcBorders>
              <w:top w:val="nil"/>
              <w:left w:val="nil"/>
              <w:bottom w:val="nil"/>
              <w:right w:val="nil"/>
            </w:tcBorders>
            <w:shd w:val="clear" w:color="auto" w:fill="auto"/>
            <w:noWrap/>
            <w:vAlign w:val="bottom"/>
            <w:hideMark/>
          </w:tcPr>
          <w:p w:rsidR="00891A96" w:rsidRPr="00654175" w:rsidRDefault="00891A96" w:rsidP="00891A96">
            <w:pPr>
              <w:jc w:val="center"/>
              <w:rPr>
                <w:rFonts w:cs="Calibri"/>
                <w:b/>
                <w:bCs/>
                <w:color w:val="000000"/>
                <w:lang w:eastAsia="en-GB"/>
              </w:rPr>
            </w:pPr>
            <w:r w:rsidRPr="00654175">
              <w:rPr>
                <w:rFonts w:cs="Calibri"/>
                <w:b/>
                <w:bCs/>
                <w:color w:val="000000"/>
                <w:lang w:eastAsia="en-GB"/>
              </w:rPr>
              <w:t>£m</w:t>
            </w:r>
          </w:p>
        </w:tc>
        <w:tc>
          <w:tcPr>
            <w:tcW w:w="6708" w:type="dxa"/>
            <w:tcBorders>
              <w:top w:val="nil"/>
              <w:left w:val="nil"/>
              <w:bottom w:val="nil"/>
              <w:right w:val="nil"/>
            </w:tcBorders>
            <w:shd w:val="clear" w:color="auto" w:fill="auto"/>
            <w:noWrap/>
            <w:vAlign w:val="bottom"/>
            <w:hideMark/>
          </w:tcPr>
          <w:p w:rsidR="00891A96" w:rsidRPr="00654175" w:rsidRDefault="00891A96" w:rsidP="00891A96">
            <w:pPr>
              <w:jc w:val="center"/>
              <w:rPr>
                <w:rFonts w:cs="Calibri"/>
                <w:b/>
                <w:bCs/>
                <w:color w:val="000000"/>
                <w:lang w:eastAsia="en-GB"/>
              </w:rPr>
            </w:pPr>
          </w:p>
        </w:tc>
        <w:tc>
          <w:tcPr>
            <w:tcW w:w="1176" w:type="dxa"/>
            <w:tcBorders>
              <w:top w:val="nil"/>
              <w:left w:val="nil"/>
              <w:bottom w:val="nil"/>
              <w:right w:val="nil"/>
            </w:tcBorders>
            <w:shd w:val="clear" w:color="auto" w:fill="auto"/>
            <w:noWrap/>
            <w:vAlign w:val="bottom"/>
            <w:hideMark/>
          </w:tcPr>
          <w:p w:rsidR="00891A96" w:rsidRPr="00654175" w:rsidRDefault="00891A96" w:rsidP="00891A96">
            <w:pPr>
              <w:jc w:val="center"/>
              <w:rPr>
                <w:rFonts w:cs="Calibri"/>
                <w:b/>
                <w:bCs/>
                <w:color w:val="000000"/>
                <w:lang w:eastAsia="en-GB"/>
              </w:rPr>
            </w:pPr>
            <w:r w:rsidRPr="00654175">
              <w:rPr>
                <w:rFonts w:cs="Calibri"/>
                <w:b/>
                <w:bCs/>
                <w:color w:val="000000"/>
                <w:lang w:eastAsia="en-GB"/>
              </w:rPr>
              <w:t>£m</w:t>
            </w:r>
          </w:p>
        </w:tc>
      </w:tr>
      <w:tr w:rsidR="00891A96" w:rsidRPr="00654175" w:rsidTr="00891A96">
        <w:trPr>
          <w:trHeight w:val="600"/>
        </w:trPr>
        <w:tc>
          <w:tcPr>
            <w:tcW w:w="1476" w:type="dxa"/>
            <w:tcBorders>
              <w:top w:val="single" w:sz="4" w:space="0" w:color="auto"/>
              <w:left w:val="single" w:sz="4" w:space="0" w:color="auto"/>
              <w:bottom w:val="nil"/>
              <w:right w:val="single" w:sz="4" w:space="0" w:color="auto"/>
            </w:tcBorders>
            <w:shd w:val="clear" w:color="auto" w:fill="auto"/>
            <w:noWrap/>
            <w:vAlign w:val="bottom"/>
            <w:hideMark/>
          </w:tcPr>
          <w:p w:rsidR="00891A96" w:rsidRPr="00654175" w:rsidRDefault="00891A96" w:rsidP="00891A96">
            <w:pPr>
              <w:jc w:val="right"/>
              <w:rPr>
                <w:rFonts w:cs="Calibri"/>
                <w:b/>
                <w:bCs/>
                <w:color w:val="000000"/>
                <w:lang w:eastAsia="en-GB"/>
              </w:rPr>
            </w:pPr>
            <w:r w:rsidRPr="00654175">
              <w:rPr>
                <w:rFonts w:cs="Calibri"/>
                <w:b/>
                <w:bCs/>
                <w:color w:val="000000"/>
                <w:lang w:eastAsia="en-GB"/>
              </w:rPr>
              <w:t>5.3</w:t>
            </w:r>
          </w:p>
        </w:tc>
        <w:tc>
          <w:tcPr>
            <w:tcW w:w="6708" w:type="dxa"/>
            <w:tcBorders>
              <w:top w:val="nil"/>
              <w:left w:val="nil"/>
              <w:bottom w:val="nil"/>
              <w:right w:val="nil"/>
            </w:tcBorders>
            <w:shd w:val="clear" w:color="auto" w:fill="auto"/>
            <w:vAlign w:val="bottom"/>
            <w:hideMark/>
          </w:tcPr>
          <w:p w:rsidR="00891A96" w:rsidRPr="00654175" w:rsidRDefault="00891A96" w:rsidP="00891A96">
            <w:pPr>
              <w:rPr>
                <w:rFonts w:cs="Calibri"/>
                <w:b/>
                <w:bCs/>
                <w:color w:val="000000"/>
                <w:lang w:eastAsia="en-GB"/>
              </w:rPr>
            </w:pPr>
            <w:r w:rsidRPr="00654175">
              <w:rPr>
                <w:rFonts w:cs="Calibri"/>
                <w:b/>
                <w:bCs/>
                <w:color w:val="000000"/>
                <w:lang w:eastAsia="en-GB"/>
              </w:rPr>
              <w:t>Net increase/(decrease) in cash and cash equivalents</w:t>
            </w:r>
          </w:p>
        </w:tc>
        <w:tc>
          <w:tcPr>
            <w:tcW w:w="1176" w:type="dxa"/>
            <w:tcBorders>
              <w:top w:val="single" w:sz="4" w:space="0" w:color="auto"/>
              <w:left w:val="single" w:sz="4" w:space="0" w:color="auto"/>
              <w:bottom w:val="nil"/>
              <w:right w:val="single" w:sz="4" w:space="0" w:color="auto"/>
            </w:tcBorders>
            <w:shd w:val="clear" w:color="auto" w:fill="auto"/>
            <w:noWrap/>
            <w:vAlign w:val="bottom"/>
            <w:hideMark/>
          </w:tcPr>
          <w:p w:rsidR="00891A96" w:rsidRPr="00654175" w:rsidRDefault="00891A96" w:rsidP="00891A96">
            <w:pPr>
              <w:jc w:val="right"/>
              <w:rPr>
                <w:rFonts w:cs="Calibri"/>
                <w:color w:val="000000"/>
                <w:lang w:eastAsia="en-GB"/>
              </w:rPr>
            </w:pPr>
            <w:r w:rsidRPr="00654175">
              <w:rPr>
                <w:rFonts w:cs="Calibri"/>
                <w:color w:val="000000"/>
                <w:lang w:eastAsia="en-GB"/>
              </w:rPr>
              <w:t>82.3</w:t>
            </w:r>
          </w:p>
        </w:tc>
      </w:tr>
      <w:tr w:rsidR="00891A96" w:rsidRPr="00654175" w:rsidTr="00891A96">
        <w:trPr>
          <w:trHeight w:val="600"/>
        </w:trPr>
        <w:tc>
          <w:tcPr>
            <w:tcW w:w="1476" w:type="dxa"/>
            <w:tcBorders>
              <w:top w:val="nil"/>
              <w:left w:val="single" w:sz="4" w:space="0" w:color="auto"/>
              <w:bottom w:val="nil"/>
              <w:right w:val="single" w:sz="4" w:space="0" w:color="auto"/>
            </w:tcBorders>
            <w:shd w:val="clear" w:color="auto" w:fill="auto"/>
            <w:noWrap/>
            <w:vAlign w:val="bottom"/>
            <w:hideMark/>
          </w:tcPr>
          <w:p w:rsidR="00891A96" w:rsidRPr="00654175" w:rsidRDefault="00891A96" w:rsidP="00891A96">
            <w:pPr>
              <w:jc w:val="right"/>
              <w:rPr>
                <w:rFonts w:cs="Calibri"/>
                <w:color w:val="000000"/>
                <w:lang w:eastAsia="en-GB"/>
              </w:rPr>
            </w:pPr>
            <w:r w:rsidRPr="00654175">
              <w:rPr>
                <w:rFonts w:cs="Calibri"/>
                <w:color w:val="000000"/>
                <w:lang w:eastAsia="en-GB"/>
              </w:rPr>
              <w:t>50.2</w:t>
            </w:r>
          </w:p>
        </w:tc>
        <w:tc>
          <w:tcPr>
            <w:tcW w:w="6708" w:type="dxa"/>
            <w:tcBorders>
              <w:top w:val="nil"/>
              <w:left w:val="nil"/>
              <w:bottom w:val="nil"/>
              <w:right w:val="nil"/>
            </w:tcBorders>
            <w:shd w:val="clear" w:color="auto" w:fill="auto"/>
            <w:vAlign w:val="bottom"/>
            <w:hideMark/>
          </w:tcPr>
          <w:p w:rsidR="00891A96" w:rsidRPr="00654175" w:rsidRDefault="00891A96" w:rsidP="00891A96">
            <w:pPr>
              <w:rPr>
                <w:rFonts w:cs="Calibri"/>
                <w:color w:val="000000"/>
                <w:lang w:eastAsia="en-GB"/>
              </w:rPr>
            </w:pPr>
            <w:r w:rsidRPr="00654175">
              <w:rPr>
                <w:rFonts w:cs="Calibri"/>
                <w:color w:val="000000"/>
                <w:lang w:eastAsia="en-GB"/>
              </w:rPr>
              <w:t>Cash and cash equivalents at the beginning of the reporting period</w:t>
            </w:r>
          </w:p>
        </w:tc>
        <w:tc>
          <w:tcPr>
            <w:tcW w:w="1176" w:type="dxa"/>
            <w:tcBorders>
              <w:top w:val="nil"/>
              <w:left w:val="single" w:sz="4" w:space="0" w:color="auto"/>
              <w:bottom w:val="nil"/>
              <w:right w:val="single" w:sz="4" w:space="0" w:color="auto"/>
            </w:tcBorders>
            <w:shd w:val="clear" w:color="auto" w:fill="auto"/>
            <w:noWrap/>
            <w:vAlign w:val="bottom"/>
            <w:hideMark/>
          </w:tcPr>
          <w:p w:rsidR="00891A96" w:rsidRPr="00654175" w:rsidRDefault="00891A96" w:rsidP="00891A96">
            <w:pPr>
              <w:jc w:val="right"/>
              <w:rPr>
                <w:rFonts w:cs="Calibri"/>
                <w:color w:val="000000"/>
                <w:lang w:eastAsia="en-GB"/>
              </w:rPr>
            </w:pPr>
            <w:r w:rsidRPr="00654175">
              <w:rPr>
                <w:rFonts w:cs="Calibri"/>
                <w:color w:val="000000"/>
                <w:lang w:eastAsia="en-GB"/>
              </w:rPr>
              <w:t>55.6</w:t>
            </w:r>
          </w:p>
        </w:tc>
      </w:tr>
      <w:tr w:rsidR="00891A96" w:rsidRPr="00654175" w:rsidTr="00891A96">
        <w:trPr>
          <w:trHeight w:val="600"/>
        </w:trPr>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1A96" w:rsidRPr="00654175" w:rsidRDefault="00891A96" w:rsidP="00891A96">
            <w:pPr>
              <w:jc w:val="right"/>
              <w:rPr>
                <w:rFonts w:cs="Calibri"/>
                <w:b/>
                <w:bCs/>
                <w:color w:val="000000"/>
                <w:lang w:eastAsia="en-GB"/>
              </w:rPr>
            </w:pPr>
            <w:r w:rsidRPr="00654175">
              <w:rPr>
                <w:rFonts w:cs="Calibri"/>
                <w:b/>
                <w:bCs/>
                <w:color w:val="000000"/>
                <w:lang w:eastAsia="en-GB"/>
              </w:rPr>
              <w:t>55.5</w:t>
            </w:r>
          </w:p>
        </w:tc>
        <w:tc>
          <w:tcPr>
            <w:tcW w:w="6708" w:type="dxa"/>
            <w:tcBorders>
              <w:top w:val="nil"/>
              <w:left w:val="nil"/>
              <w:bottom w:val="nil"/>
              <w:right w:val="nil"/>
            </w:tcBorders>
            <w:shd w:val="clear" w:color="auto" w:fill="auto"/>
            <w:vAlign w:val="bottom"/>
            <w:hideMark/>
          </w:tcPr>
          <w:p w:rsidR="00891A96" w:rsidRPr="00654175" w:rsidRDefault="00891A96" w:rsidP="00891A96">
            <w:pPr>
              <w:rPr>
                <w:rFonts w:cs="Calibri"/>
                <w:b/>
                <w:bCs/>
                <w:color w:val="000000"/>
                <w:lang w:eastAsia="en-GB"/>
              </w:rPr>
            </w:pPr>
            <w:r w:rsidRPr="00654175">
              <w:rPr>
                <w:rFonts w:cs="Calibri"/>
                <w:b/>
                <w:bCs/>
                <w:color w:val="000000"/>
                <w:lang w:eastAsia="en-GB"/>
              </w:rPr>
              <w:t>Cash and cash equivalents at the end of the reporting period</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1A96" w:rsidRPr="00654175" w:rsidRDefault="00891A96" w:rsidP="00891A96">
            <w:pPr>
              <w:jc w:val="right"/>
              <w:rPr>
                <w:rFonts w:cs="Calibri"/>
                <w:b/>
                <w:bCs/>
                <w:color w:val="000000"/>
                <w:lang w:eastAsia="en-GB"/>
              </w:rPr>
            </w:pPr>
            <w:r w:rsidRPr="00654175">
              <w:rPr>
                <w:rFonts w:cs="Calibri"/>
                <w:b/>
                <w:bCs/>
                <w:color w:val="000000"/>
                <w:lang w:eastAsia="en-GB"/>
              </w:rPr>
              <w:t>137.9</w:t>
            </w:r>
          </w:p>
        </w:tc>
      </w:tr>
    </w:tbl>
    <w:p w:rsidR="00891A96" w:rsidRDefault="00891A96" w:rsidP="00891A96">
      <w:pPr>
        <w:rPr>
          <w:rFonts w:cs="Calibri"/>
        </w:rPr>
      </w:pPr>
    </w:p>
    <w:p w:rsidR="00891A96" w:rsidRPr="00FE02E6" w:rsidRDefault="00891A96" w:rsidP="00891A96">
      <w:pPr>
        <w:rPr>
          <w:rFonts w:cs="Calibri"/>
          <w:i/>
          <w:iCs/>
          <w:color w:val="0B5294"/>
        </w:rPr>
      </w:pPr>
      <w:r w:rsidRPr="00FE02E6">
        <w:rPr>
          <w:rFonts w:cs="Calibri"/>
          <w:i/>
          <w:iCs/>
          <w:color w:val="0B5294"/>
        </w:rPr>
        <w:t>Group Note 6- External audit cost</w:t>
      </w:r>
    </w:p>
    <w:p w:rsidR="00891A96" w:rsidRDefault="00891A96" w:rsidP="00891A96">
      <w:pPr>
        <w:rPr>
          <w:rFonts w:cs="Calibri"/>
        </w:rPr>
      </w:pPr>
    </w:p>
    <w:p w:rsidR="00891A96" w:rsidRPr="00EB2995" w:rsidRDefault="00891A96" w:rsidP="00891A96">
      <w:pPr>
        <w:rPr>
          <w:rFonts w:cs="Calibri"/>
        </w:rPr>
      </w:pPr>
      <w:r>
        <w:rPr>
          <w:rFonts w:cs="Calibri"/>
        </w:rPr>
        <w:t>The Group</w:t>
      </w:r>
      <w:r w:rsidRPr="00EB2995">
        <w:rPr>
          <w:rFonts w:cs="Calibri"/>
        </w:rPr>
        <w:t>’s external auditor for 2018/19 and 2019/20 is Grant Thornton.</w:t>
      </w:r>
    </w:p>
    <w:p w:rsidR="00891A96" w:rsidRDefault="00891A96" w:rsidP="00891A96">
      <w:pPr>
        <w:rPr>
          <w:rFonts w:cs="Calibri"/>
        </w:rPr>
      </w:pPr>
    </w:p>
    <w:tbl>
      <w:tblPr>
        <w:tblW w:w="9639" w:type="dxa"/>
        <w:tblLook w:val="00A0" w:firstRow="1" w:lastRow="0" w:firstColumn="1" w:lastColumn="0" w:noHBand="0" w:noVBand="0"/>
      </w:tblPr>
      <w:tblGrid>
        <w:gridCol w:w="1559"/>
        <w:gridCol w:w="6663"/>
        <w:gridCol w:w="1417"/>
      </w:tblGrid>
      <w:tr w:rsidR="00891A96" w:rsidRPr="00EB2995" w:rsidTr="00891A96">
        <w:trPr>
          <w:trHeight w:val="300"/>
        </w:trPr>
        <w:tc>
          <w:tcPr>
            <w:tcW w:w="1559" w:type="dxa"/>
            <w:tcBorders>
              <w:top w:val="nil"/>
              <w:left w:val="nil"/>
              <w:bottom w:val="nil"/>
              <w:right w:val="nil"/>
            </w:tcBorders>
            <w:vAlign w:val="bottom"/>
          </w:tcPr>
          <w:p w:rsidR="00891A96" w:rsidRPr="00EB2995" w:rsidRDefault="00891A96" w:rsidP="00891A96">
            <w:pPr>
              <w:jc w:val="right"/>
              <w:rPr>
                <w:rFonts w:cs="Calibri"/>
                <w:b/>
                <w:bCs/>
              </w:rPr>
            </w:pPr>
            <w:r w:rsidRPr="00EB2995">
              <w:rPr>
                <w:rFonts w:cs="Calibri"/>
                <w:b/>
                <w:bCs/>
              </w:rPr>
              <w:t>2018/19</w:t>
            </w:r>
          </w:p>
        </w:tc>
        <w:tc>
          <w:tcPr>
            <w:tcW w:w="6663" w:type="dxa"/>
            <w:tcBorders>
              <w:top w:val="nil"/>
              <w:left w:val="nil"/>
              <w:bottom w:val="nil"/>
            </w:tcBorders>
            <w:vAlign w:val="bottom"/>
          </w:tcPr>
          <w:p w:rsidR="00891A96" w:rsidRPr="00EB2995" w:rsidRDefault="00891A96" w:rsidP="00891A96">
            <w:pPr>
              <w:jc w:val="center"/>
              <w:rPr>
                <w:rFonts w:cs="Calibri"/>
                <w:b/>
                <w:bCs/>
              </w:rPr>
            </w:pPr>
          </w:p>
        </w:tc>
        <w:tc>
          <w:tcPr>
            <w:tcW w:w="1417" w:type="dxa"/>
            <w:tcBorders>
              <w:bottom w:val="nil"/>
            </w:tcBorders>
            <w:vAlign w:val="bottom"/>
          </w:tcPr>
          <w:p w:rsidR="00891A96" w:rsidRPr="00EB2995" w:rsidRDefault="00891A96" w:rsidP="00891A96">
            <w:pPr>
              <w:jc w:val="right"/>
              <w:rPr>
                <w:rFonts w:cs="Calibri"/>
                <w:b/>
                <w:bCs/>
              </w:rPr>
            </w:pPr>
            <w:r w:rsidRPr="00EB2995">
              <w:rPr>
                <w:rFonts w:cs="Calibri"/>
                <w:b/>
                <w:bCs/>
              </w:rPr>
              <w:t>2019/20</w:t>
            </w:r>
          </w:p>
        </w:tc>
      </w:tr>
      <w:tr w:rsidR="00891A96" w:rsidRPr="00EB2995" w:rsidTr="00891A96">
        <w:trPr>
          <w:trHeight w:val="300"/>
        </w:trPr>
        <w:tc>
          <w:tcPr>
            <w:tcW w:w="1559" w:type="dxa"/>
            <w:tcBorders>
              <w:top w:val="nil"/>
              <w:left w:val="nil"/>
              <w:bottom w:val="single" w:sz="4" w:space="0" w:color="auto"/>
              <w:right w:val="nil"/>
            </w:tcBorders>
            <w:vAlign w:val="bottom"/>
          </w:tcPr>
          <w:p w:rsidR="00891A96" w:rsidRPr="00EB2995" w:rsidRDefault="00891A96" w:rsidP="00891A96">
            <w:pPr>
              <w:jc w:val="right"/>
              <w:rPr>
                <w:rFonts w:cs="Calibri"/>
                <w:b/>
                <w:bCs/>
              </w:rPr>
            </w:pPr>
            <w:r w:rsidRPr="00EB2995">
              <w:rPr>
                <w:rFonts w:cs="Calibri"/>
                <w:b/>
                <w:bCs/>
              </w:rPr>
              <w:t>£’000</w:t>
            </w:r>
          </w:p>
        </w:tc>
        <w:tc>
          <w:tcPr>
            <w:tcW w:w="6663" w:type="dxa"/>
            <w:tcBorders>
              <w:top w:val="nil"/>
              <w:left w:val="nil"/>
              <w:bottom w:val="nil"/>
            </w:tcBorders>
            <w:vAlign w:val="bottom"/>
          </w:tcPr>
          <w:p w:rsidR="00891A96" w:rsidRPr="00EB2995" w:rsidRDefault="00891A96" w:rsidP="00891A96">
            <w:pPr>
              <w:jc w:val="center"/>
              <w:rPr>
                <w:rFonts w:cs="Calibri"/>
                <w:b/>
                <w:bCs/>
              </w:rPr>
            </w:pPr>
          </w:p>
        </w:tc>
        <w:tc>
          <w:tcPr>
            <w:tcW w:w="1417" w:type="dxa"/>
            <w:tcBorders>
              <w:top w:val="nil"/>
              <w:bottom w:val="single" w:sz="4" w:space="0" w:color="auto"/>
            </w:tcBorders>
            <w:noWrap/>
            <w:vAlign w:val="bottom"/>
          </w:tcPr>
          <w:p w:rsidR="00891A96" w:rsidRPr="00EB2995" w:rsidRDefault="00891A96" w:rsidP="00891A96">
            <w:pPr>
              <w:jc w:val="right"/>
              <w:rPr>
                <w:rFonts w:cs="Calibri"/>
                <w:b/>
                <w:bCs/>
              </w:rPr>
            </w:pPr>
            <w:r w:rsidRPr="00EB2995">
              <w:rPr>
                <w:rFonts w:cs="Calibri"/>
                <w:b/>
                <w:bCs/>
              </w:rPr>
              <w:t>£’000</w:t>
            </w:r>
          </w:p>
        </w:tc>
      </w:tr>
      <w:tr w:rsidR="00891A96" w:rsidRPr="00EB2995" w:rsidTr="00891A96">
        <w:trPr>
          <w:trHeight w:val="300"/>
        </w:trPr>
        <w:tc>
          <w:tcPr>
            <w:tcW w:w="1559" w:type="dxa"/>
            <w:tcBorders>
              <w:top w:val="single" w:sz="4" w:space="0" w:color="auto"/>
              <w:left w:val="single" w:sz="4" w:space="0" w:color="auto"/>
              <w:right w:val="single" w:sz="4" w:space="0" w:color="auto"/>
            </w:tcBorders>
            <w:vAlign w:val="bottom"/>
          </w:tcPr>
          <w:p w:rsidR="00891A96" w:rsidRPr="00EB2995" w:rsidRDefault="00891A96" w:rsidP="00891A96">
            <w:pPr>
              <w:jc w:val="right"/>
              <w:rPr>
                <w:rFonts w:cs="Calibri"/>
              </w:rPr>
            </w:pPr>
            <w:r>
              <w:rPr>
                <w:rFonts w:cs="Calibri"/>
              </w:rPr>
              <w:t>230</w:t>
            </w:r>
            <w:r w:rsidRPr="00EB2995">
              <w:rPr>
                <w:rFonts w:cs="Calibri"/>
              </w:rPr>
              <w:t>.0</w:t>
            </w:r>
          </w:p>
        </w:tc>
        <w:tc>
          <w:tcPr>
            <w:tcW w:w="6663" w:type="dxa"/>
            <w:tcBorders>
              <w:top w:val="nil"/>
              <w:left w:val="single" w:sz="4" w:space="0" w:color="auto"/>
              <w:bottom w:val="nil"/>
              <w:right w:val="single" w:sz="4" w:space="0" w:color="auto"/>
            </w:tcBorders>
            <w:vAlign w:val="bottom"/>
          </w:tcPr>
          <w:p w:rsidR="00891A96" w:rsidRPr="00EB2995" w:rsidRDefault="00891A96" w:rsidP="007B70DC">
            <w:pPr>
              <w:rPr>
                <w:rFonts w:cs="Calibri"/>
              </w:rPr>
            </w:pPr>
            <w:r w:rsidRPr="00EB2995">
              <w:rPr>
                <w:rFonts w:cs="Calibri"/>
                <w:color w:val="000000"/>
              </w:rPr>
              <w:t>External audit services for in-year</w:t>
            </w:r>
          </w:p>
        </w:tc>
        <w:tc>
          <w:tcPr>
            <w:tcW w:w="1417" w:type="dxa"/>
            <w:tcBorders>
              <w:top w:val="single" w:sz="4" w:space="0" w:color="auto"/>
              <w:left w:val="single" w:sz="4" w:space="0" w:color="auto"/>
              <w:right w:val="single" w:sz="4" w:space="0" w:color="auto"/>
            </w:tcBorders>
            <w:noWrap/>
            <w:vAlign w:val="bottom"/>
          </w:tcPr>
          <w:p w:rsidR="00891A96" w:rsidRPr="00EB2995" w:rsidRDefault="00891A96" w:rsidP="00891A96">
            <w:pPr>
              <w:jc w:val="right"/>
              <w:rPr>
                <w:rFonts w:cs="Calibri"/>
              </w:rPr>
            </w:pPr>
            <w:r>
              <w:rPr>
                <w:rFonts w:cs="Calibri"/>
              </w:rPr>
              <w:t>241</w:t>
            </w:r>
            <w:r w:rsidRPr="00EB2995">
              <w:rPr>
                <w:rFonts w:cs="Calibri"/>
              </w:rPr>
              <w:t>.0</w:t>
            </w:r>
          </w:p>
        </w:tc>
      </w:tr>
      <w:tr w:rsidR="00891A96" w:rsidRPr="00EB2995" w:rsidTr="00891A96">
        <w:trPr>
          <w:trHeight w:val="300"/>
        </w:trPr>
        <w:tc>
          <w:tcPr>
            <w:tcW w:w="1559" w:type="dxa"/>
            <w:tcBorders>
              <w:top w:val="nil"/>
              <w:left w:val="single" w:sz="4" w:space="0" w:color="auto"/>
              <w:right w:val="single" w:sz="4" w:space="0" w:color="auto"/>
            </w:tcBorders>
            <w:vAlign w:val="bottom"/>
          </w:tcPr>
          <w:p w:rsidR="00891A96" w:rsidRPr="00EB2995" w:rsidRDefault="00891A96" w:rsidP="00891A96">
            <w:pPr>
              <w:jc w:val="right"/>
              <w:rPr>
                <w:rFonts w:cs="Calibri"/>
              </w:rPr>
            </w:pPr>
            <w:r w:rsidRPr="00EB2995">
              <w:rPr>
                <w:rFonts w:cs="Calibri"/>
              </w:rPr>
              <w:t>20.0</w:t>
            </w:r>
          </w:p>
        </w:tc>
        <w:tc>
          <w:tcPr>
            <w:tcW w:w="6663" w:type="dxa"/>
            <w:tcBorders>
              <w:top w:val="nil"/>
              <w:left w:val="single" w:sz="4" w:space="0" w:color="auto"/>
              <w:bottom w:val="nil"/>
              <w:right w:val="single" w:sz="4" w:space="0" w:color="auto"/>
            </w:tcBorders>
            <w:vAlign w:val="bottom"/>
          </w:tcPr>
          <w:p w:rsidR="00891A96" w:rsidRPr="00EB2995" w:rsidRDefault="00891A96" w:rsidP="00891A96">
            <w:pPr>
              <w:rPr>
                <w:rFonts w:cs="Calibri"/>
              </w:rPr>
            </w:pPr>
            <w:r>
              <w:rPr>
                <w:rFonts w:cs="Calibri"/>
                <w:color w:val="000000"/>
              </w:rPr>
              <w:t>Fees for other services provided by external auditor for year (grants)</w:t>
            </w:r>
          </w:p>
        </w:tc>
        <w:tc>
          <w:tcPr>
            <w:tcW w:w="1417" w:type="dxa"/>
            <w:tcBorders>
              <w:top w:val="nil"/>
              <w:left w:val="single" w:sz="4" w:space="0" w:color="auto"/>
              <w:right w:val="single" w:sz="4" w:space="0" w:color="auto"/>
            </w:tcBorders>
            <w:noWrap/>
            <w:vAlign w:val="bottom"/>
          </w:tcPr>
          <w:p w:rsidR="00891A96" w:rsidRPr="00EB2995" w:rsidRDefault="00891A96" w:rsidP="00891A96">
            <w:pPr>
              <w:ind w:left="457"/>
              <w:jc w:val="right"/>
              <w:rPr>
                <w:rFonts w:cs="Calibri"/>
              </w:rPr>
            </w:pPr>
            <w:r w:rsidRPr="00EB2995">
              <w:rPr>
                <w:rFonts w:cs="Calibri"/>
              </w:rPr>
              <w:t>34.0</w:t>
            </w:r>
          </w:p>
        </w:tc>
      </w:tr>
      <w:tr w:rsidR="00891A96" w:rsidRPr="00EB2995" w:rsidTr="00891A96">
        <w:trPr>
          <w:trHeight w:val="300"/>
        </w:trPr>
        <w:tc>
          <w:tcPr>
            <w:tcW w:w="1559" w:type="dxa"/>
            <w:tcBorders>
              <w:top w:val="single" w:sz="4" w:space="0" w:color="auto"/>
              <w:left w:val="single" w:sz="4" w:space="0" w:color="auto"/>
              <w:bottom w:val="single" w:sz="4" w:space="0" w:color="auto"/>
              <w:right w:val="single" w:sz="4" w:space="0" w:color="auto"/>
            </w:tcBorders>
            <w:vAlign w:val="bottom"/>
          </w:tcPr>
          <w:p w:rsidR="00891A96" w:rsidRPr="00EB2995" w:rsidRDefault="00891A96" w:rsidP="00891A96">
            <w:pPr>
              <w:jc w:val="right"/>
              <w:rPr>
                <w:rFonts w:cs="Calibri"/>
                <w:b/>
                <w:bCs/>
                <w:color w:val="000000"/>
              </w:rPr>
            </w:pPr>
            <w:r>
              <w:rPr>
                <w:rFonts w:cs="Calibri"/>
                <w:b/>
                <w:bCs/>
                <w:color w:val="000000"/>
              </w:rPr>
              <w:t>250</w:t>
            </w:r>
            <w:r w:rsidRPr="00EB2995">
              <w:rPr>
                <w:rFonts w:cs="Calibri"/>
                <w:b/>
                <w:bCs/>
                <w:color w:val="000000"/>
              </w:rPr>
              <w:t>.0</w:t>
            </w:r>
          </w:p>
        </w:tc>
        <w:tc>
          <w:tcPr>
            <w:tcW w:w="6663" w:type="dxa"/>
            <w:tcBorders>
              <w:top w:val="nil"/>
              <w:left w:val="single" w:sz="4" w:space="0" w:color="auto"/>
              <w:bottom w:val="nil"/>
              <w:right w:val="single" w:sz="4" w:space="0" w:color="auto"/>
            </w:tcBorders>
            <w:vAlign w:val="bottom"/>
          </w:tcPr>
          <w:p w:rsidR="00891A96" w:rsidRPr="00EB2995" w:rsidRDefault="00891A96" w:rsidP="00891A96">
            <w:pPr>
              <w:rPr>
                <w:rFonts w:cs="Calibri"/>
                <w:b/>
                <w:bCs/>
              </w:rPr>
            </w:pPr>
            <w:r w:rsidRPr="00EB2995">
              <w:rPr>
                <w:rFonts w:cs="Calibri"/>
                <w:b/>
                <w:bCs/>
              </w:rPr>
              <w:t>Total</w:t>
            </w:r>
          </w:p>
        </w:tc>
        <w:tc>
          <w:tcPr>
            <w:tcW w:w="1417" w:type="dxa"/>
            <w:tcBorders>
              <w:top w:val="single" w:sz="4" w:space="0" w:color="auto"/>
              <w:left w:val="single" w:sz="4" w:space="0" w:color="auto"/>
              <w:bottom w:val="single" w:sz="4" w:space="0" w:color="auto"/>
              <w:right w:val="single" w:sz="4" w:space="0" w:color="auto"/>
            </w:tcBorders>
            <w:noWrap/>
            <w:vAlign w:val="bottom"/>
          </w:tcPr>
          <w:p w:rsidR="00891A96" w:rsidRPr="00EB2995" w:rsidRDefault="00891A96" w:rsidP="00891A96">
            <w:pPr>
              <w:jc w:val="right"/>
              <w:rPr>
                <w:rFonts w:cs="Calibri"/>
                <w:b/>
                <w:bCs/>
                <w:color w:val="000000"/>
              </w:rPr>
            </w:pPr>
            <w:r>
              <w:rPr>
                <w:rFonts w:cs="Calibri"/>
                <w:b/>
                <w:bCs/>
                <w:color w:val="000000"/>
              </w:rPr>
              <w:t>275</w:t>
            </w:r>
            <w:r w:rsidRPr="00EB2995">
              <w:rPr>
                <w:rFonts w:cs="Calibri"/>
                <w:b/>
                <w:bCs/>
                <w:color w:val="000000"/>
              </w:rPr>
              <w:t>.0</w:t>
            </w:r>
          </w:p>
        </w:tc>
      </w:tr>
    </w:tbl>
    <w:p w:rsidR="00891A96" w:rsidRDefault="00891A96" w:rsidP="00891A96">
      <w:pPr>
        <w:rPr>
          <w:rFonts w:cs="Calibri"/>
        </w:rPr>
      </w:pPr>
    </w:p>
    <w:p w:rsidR="00891A96" w:rsidRDefault="00891A96">
      <w:pPr>
        <w:rPr>
          <w:rFonts w:cs="Calibri"/>
        </w:rPr>
      </w:pPr>
      <w:r>
        <w:rPr>
          <w:rFonts w:cs="Calibri"/>
        </w:rPr>
        <w:br w:type="page"/>
      </w:r>
    </w:p>
    <w:p w:rsidR="00891A96" w:rsidRDefault="00891A96" w:rsidP="00891A96">
      <w:pPr>
        <w:rPr>
          <w:rFonts w:cs="Calibri"/>
        </w:rPr>
      </w:pPr>
    </w:p>
    <w:p w:rsidR="00891A96" w:rsidRPr="008C1B39" w:rsidRDefault="00891A96" w:rsidP="00891A96">
      <w:pPr>
        <w:rPr>
          <w:rFonts w:cs="Calibri"/>
        </w:rPr>
      </w:pPr>
      <w:r w:rsidRPr="008C1B39">
        <w:rPr>
          <w:rFonts w:cs="Calibri"/>
        </w:rPr>
        <w:t>This shows the main differences between items in Brent's single entity accounts and the group accounts. Where there are intra-group entries these are adjusted in calculating the overall group position.</w:t>
      </w:r>
    </w:p>
    <w:p w:rsidR="00891A96" w:rsidRPr="00EB2995" w:rsidRDefault="00891A96" w:rsidP="00891A96">
      <w:pPr>
        <w:ind w:right="1465"/>
        <w:jc w:val="both"/>
        <w:rPr>
          <w:rFonts w:cs="Calibri"/>
        </w:rPr>
      </w:pPr>
    </w:p>
    <w:tbl>
      <w:tblPr>
        <w:tblW w:w="10369" w:type="dxa"/>
        <w:tblInd w:w="-426" w:type="dxa"/>
        <w:tblLook w:val="04A0" w:firstRow="1" w:lastRow="0" w:firstColumn="1" w:lastColumn="0" w:noHBand="0" w:noVBand="1"/>
      </w:tblPr>
      <w:tblGrid>
        <w:gridCol w:w="3687"/>
        <w:gridCol w:w="992"/>
        <w:gridCol w:w="1021"/>
        <w:gridCol w:w="980"/>
        <w:gridCol w:w="692"/>
        <w:gridCol w:w="980"/>
        <w:gridCol w:w="1193"/>
        <w:gridCol w:w="824"/>
      </w:tblGrid>
      <w:tr w:rsidR="00891A96" w:rsidRPr="00EB2995" w:rsidTr="00891A96">
        <w:trPr>
          <w:trHeight w:val="510"/>
        </w:trPr>
        <w:tc>
          <w:tcPr>
            <w:tcW w:w="3687" w:type="dxa"/>
            <w:tcBorders>
              <w:top w:val="nil"/>
              <w:left w:val="nil"/>
              <w:bottom w:val="nil"/>
              <w:right w:val="nil"/>
            </w:tcBorders>
            <w:shd w:val="clear" w:color="auto" w:fill="auto"/>
            <w:noWrap/>
            <w:vAlign w:val="center"/>
            <w:hideMark/>
          </w:tcPr>
          <w:p w:rsidR="00891A96" w:rsidRPr="00EB2995" w:rsidRDefault="00891A96" w:rsidP="00891A96">
            <w:pPr>
              <w:rPr>
                <w:rFonts w:cs="Calibri"/>
                <w:b/>
                <w:bCs/>
                <w:color w:val="000000"/>
                <w:sz w:val="20"/>
                <w:szCs w:val="20"/>
                <w:u w:val="single"/>
                <w:lang w:eastAsia="en-GB"/>
              </w:rPr>
            </w:pPr>
            <w:r w:rsidRPr="00EB2995">
              <w:rPr>
                <w:rFonts w:cs="Calibri"/>
                <w:b/>
                <w:bCs/>
                <w:color w:val="000000"/>
                <w:sz w:val="20"/>
                <w:szCs w:val="20"/>
                <w:u w:val="single"/>
                <w:lang w:eastAsia="en-GB"/>
              </w:rPr>
              <w:t>2019/20</w:t>
            </w:r>
          </w:p>
        </w:tc>
        <w:tc>
          <w:tcPr>
            <w:tcW w:w="992" w:type="dxa"/>
            <w:tcBorders>
              <w:top w:val="nil"/>
              <w:left w:val="nil"/>
              <w:bottom w:val="nil"/>
              <w:right w:val="nil"/>
            </w:tcBorders>
            <w:shd w:val="clear" w:color="auto" w:fill="auto"/>
            <w:vAlign w:val="center"/>
            <w:hideMark/>
          </w:tcPr>
          <w:p w:rsidR="00891A96" w:rsidRPr="00EB2995" w:rsidRDefault="00891A96" w:rsidP="00891A96">
            <w:pPr>
              <w:jc w:val="center"/>
              <w:rPr>
                <w:rFonts w:cs="Calibri"/>
                <w:b/>
                <w:bCs/>
                <w:color w:val="000000"/>
                <w:sz w:val="20"/>
                <w:szCs w:val="20"/>
                <w:lang w:eastAsia="en-GB"/>
              </w:rPr>
            </w:pPr>
            <w:r w:rsidRPr="00EB2995">
              <w:rPr>
                <w:rFonts w:cs="Calibri"/>
                <w:b/>
                <w:bCs/>
                <w:color w:val="000000"/>
                <w:sz w:val="20"/>
                <w:szCs w:val="20"/>
                <w:lang w:eastAsia="en-GB"/>
              </w:rPr>
              <w:t>Brent</w:t>
            </w:r>
          </w:p>
        </w:tc>
        <w:tc>
          <w:tcPr>
            <w:tcW w:w="1021" w:type="dxa"/>
            <w:tcBorders>
              <w:top w:val="nil"/>
              <w:left w:val="nil"/>
              <w:bottom w:val="nil"/>
              <w:right w:val="nil"/>
            </w:tcBorders>
            <w:shd w:val="clear" w:color="auto" w:fill="auto"/>
            <w:noWrap/>
            <w:vAlign w:val="center"/>
            <w:hideMark/>
          </w:tcPr>
          <w:p w:rsidR="00891A96" w:rsidRPr="00EB2995" w:rsidRDefault="00891A96" w:rsidP="00891A96">
            <w:pPr>
              <w:jc w:val="center"/>
              <w:rPr>
                <w:rFonts w:cs="Calibri"/>
                <w:b/>
                <w:bCs/>
                <w:color w:val="000000"/>
                <w:sz w:val="20"/>
                <w:szCs w:val="20"/>
                <w:lang w:eastAsia="en-GB"/>
              </w:rPr>
            </w:pPr>
            <w:r>
              <w:rPr>
                <w:rFonts w:cs="Calibri"/>
                <w:b/>
                <w:bCs/>
                <w:color w:val="000000"/>
                <w:sz w:val="20"/>
                <w:szCs w:val="20"/>
                <w:lang w:eastAsia="en-GB"/>
              </w:rPr>
              <w:t>First W</w:t>
            </w:r>
            <w:r w:rsidRPr="00EB2995">
              <w:rPr>
                <w:rFonts w:cs="Calibri"/>
                <w:b/>
                <w:bCs/>
                <w:color w:val="000000"/>
                <w:sz w:val="20"/>
                <w:szCs w:val="20"/>
                <w:lang w:eastAsia="en-GB"/>
              </w:rPr>
              <w:t>ave</w:t>
            </w:r>
          </w:p>
        </w:tc>
        <w:tc>
          <w:tcPr>
            <w:tcW w:w="980" w:type="dxa"/>
            <w:tcBorders>
              <w:top w:val="nil"/>
              <w:left w:val="nil"/>
              <w:bottom w:val="nil"/>
              <w:right w:val="nil"/>
            </w:tcBorders>
            <w:shd w:val="clear" w:color="auto" w:fill="auto"/>
            <w:noWrap/>
            <w:vAlign w:val="center"/>
            <w:hideMark/>
          </w:tcPr>
          <w:p w:rsidR="00891A96" w:rsidRPr="00EB2995" w:rsidRDefault="00891A96" w:rsidP="00891A96">
            <w:pPr>
              <w:jc w:val="center"/>
              <w:rPr>
                <w:rFonts w:cs="Calibri"/>
                <w:b/>
                <w:bCs/>
                <w:color w:val="000000"/>
                <w:sz w:val="20"/>
                <w:szCs w:val="20"/>
                <w:lang w:eastAsia="en-GB"/>
              </w:rPr>
            </w:pPr>
            <w:r w:rsidRPr="00EB2995">
              <w:rPr>
                <w:rFonts w:cs="Calibri"/>
                <w:b/>
                <w:bCs/>
                <w:color w:val="000000"/>
                <w:sz w:val="20"/>
                <w:szCs w:val="20"/>
                <w:lang w:eastAsia="en-GB"/>
              </w:rPr>
              <w:t>Barham Park</w:t>
            </w:r>
          </w:p>
        </w:tc>
        <w:tc>
          <w:tcPr>
            <w:tcW w:w="692" w:type="dxa"/>
            <w:tcBorders>
              <w:top w:val="nil"/>
              <w:left w:val="nil"/>
              <w:bottom w:val="nil"/>
              <w:right w:val="nil"/>
            </w:tcBorders>
            <w:shd w:val="clear" w:color="auto" w:fill="auto"/>
            <w:vAlign w:val="center"/>
            <w:hideMark/>
          </w:tcPr>
          <w:p w:rsidR="00891A96" w:rsidRPr="00EB2995" w:rsidRDefault="00891A96" w:rsidP="00891A96">
            <w:pPr>
              <w:jc w:val="center"/>
              <w:rPr>
                <w:rFonts w:cs="Calibri"/>
                <w:b/>
                <w:bCs/>
                <w:color w:val="000000"/>
                <w:sz w:val="20"/>
                <w:szCs w:val="20"/>
                <w:lang w:eastAsia="en-GB"/>
              </w:rPr>
            </w:pPr>
            <w:r w:rsidRPr="00EB2995">
              <w:rPr>
                <w:rFonts w:cs="Calibri"/>
                <w:b/>
                <w:bCs/>
                <w:color w:val="000000"/>
                <w:sz w:val="20"/>
                <w:szCs w:val="20"/>
                <w:lang w:eastAsia="en-GB"/>
              </w:rPr>
              <w:t>I4B</w:t>
            </w:r>
          </w:p>
        </w:tc>
        <w:tc>
          <w:tcPr>
            <w:tcW w:w="980" w:type="dxa"/>
            <w:tcBorders>
              <w:top w:val="nil"/>
              <w:left w:val="nil"/>
              <w:bottom w:val="nil"/>
              <w:right w:val="nil"/>
            </w:tcBorders>
            <w:shd w:val="clear" w:color="auto" w:fill="auto"/>
            <w:noWrap/>
            <w:vAlign w:val="center"/>
            <w:hideMark/>
          </w:tcPr>
          <w:p w:rsidR="00891A96" w:rsidRPr="00EB2995" w:rsidRDefault="00891A96" w:rsidP="00891A96">
            <w:pPr>
              <w:jc w:val="center"/>
              <w:rPr>
                <w:rFonts w:cs="Calibri"/>
                <w:b/>
                <w:bCs/>
                <w:color w:val="000000"/>
                <w:sz w:val="20"/>
                <w:szCs w:val="20"/>
                <w:lang w:eastAsia="en-GB"/>
              </w:rPr>
            </w:pPr>
            <w:r w:rsidRPr="00EB2995">
              <w:rPr>
                <w:rFonts w:cs="Calibri"/>
                <w:b/>
                <w:bCs/>
                <w:color w:val="000000"/>
                <w:sz w:val="20"/>
                <w:szCs w:val="20"/>
                <w:lang w:eastAsia="en-GB"/>
              </w:rPr>
              <w:t>LGA</w:t>
            </w:r>
          </w:p>
        </w:tc>
        <w:tc>
          <w:tcPr>
            <w:tcW w:w="1193" w:type="dxa"/>
            <w:tcBorders>
              <w:top w:val="nil"/>
              <w:left w:val="nil"/>
              <w:bottom w:val="nil"/>
              <w:right w:val="nil"/>
            </w:tcBorders>
            <w:shd w:val="clear" w:color="auto" w:fill="auto"/>
            <w:vAlign w:val="center"/>
            <w:hideMark/>
          </w:tcPr>
          <w:p w:rsidR="00891A96" w:rsidRPr="00EB2995" w:rsidRDefault="00891A96" w:rsidP="00891A96">
            <w:pPr>
              <w:jc w:val="center"/>
              <w:rPr>
                <w:rFonts w:cs="Calibri"/>
                <w:b/>
                <w:bCs/>
                <w:color w:val="000000"/>
                <w:sz w:val="20"/>
                <w:szCs w:val="20"/>
                <w:lang w:eastAsia="en-GB"/>
              </w:rPr>
            </w:pPr>
            <w:r w:rsidRPr="00EB2995">
              <w:rPr>
                <w:rFonts w:cs="Calibri"/>
                <w:b/>
                <w:bCs/>
                <w:color w:val="000000"/>
                <w:sz w:val="20"/>
                <w:szCs w:val="20"/>
                <w:lang w:eastAsia="en-GB"/>
              </w:rPr>
              <w:t>Adjustment</w:t>
            </w:r>
          </w:p>
        </w:tc>
        <w:tc>
          <w:tcPr>
            <w:tcW w:w="824" w:type="dxa"/>
            <w:tcBorders>
              <w:top w:val="nil"/>
              <w:left w:val="nil"/>
              <w:bottom w:val="nil"/>
              <w:right w:val="nil"/>
            </w:tcBorders>
            <w:shd w:val="clear" w:color="auto" w:fill="auto"/>
            <w:vAlign w:val="center"/>
            <w:hideMark/>
          </w:tcPr>
          <w:p w:rsidR="00891A96" w:rsidRPr="00EB2995" w:rsidRDefault="00891A96" w:rsidP="00891A96">
            <w:pPr>
              <w:jc w:val="center"/>
              <w:rPr>
                <w:rFonts w:cs="Calibri"/>
                <w:b/>
                <w:bCs/>
                <w:color w:val="000000"/>
                <w:sz w:val="20"/>
                <w:szCs w:val="20"/>
                <w:lang w:eastAsia="en-GB"/>
              </w:rPr>
            </w:pPr>
            <w:r w:rsidRPr="00EB2995">
              <w:rPr>
                <w:rFonts w:cs="Calibri"/>
                <w:b/>
                <w:bCs/>
                <w:color w:val="000000"/>
                <w:sz w:val="20"/>
                <w:szCs w:val="20"/>
                <w:lang w:eastAsia="en-GB"/>
              </w:rPr>
              <w:t>Group</w:t>
            </w:r>
          </w:p>
        </w:tc>
      </w:tr>
      <w:tr w:rsidR="00891A96" w:rsidRPr="00EB2995" w:rsidTr="00891A96">
        <w:trPr>
          <w:trHeight w:val="315"/>
        </w:trPr>
        <w:tc>
          <w:tcPr>
            <w:tcW w:w="3687" w:type="dxa"/>
            <w:tcBorders>
              <w:top w:val="nil"/>
              <w:left w:val="nil"/>
              <w:bottom w:val="single" w:sz="8" w:space="0" w:color="auto"/>
              <w:right w:val="nil"/>
            </w:tcBorders>
            <w:shd w:val="clear" w:color="auto" w:fill="auto"/>
            <w:noWrap/>
            <w:hideMark/>
          </w:tcPr>
          <w:p w:rsidR="00891A96" w:rsidRPr="00EB2995" w:rsidRDefault="00891A96" w:rsidP="00891A96">
            <w:pPr>
              <w:rPr>
                <w:rFonts w:cs="Calibri"/>
                <w:color w:val="000000"/>
                <w:lang w:eastAsia="en-GB"/>
              </w:rPr>
            </w:pPr>
            <w:r w:rsidRPr="00EB2995">
              <w:rPr>
                <w:rFonts w:cs="Calibri"/>
                <w:color w:val="000000"/>
                <w:lang w:eastAsia="en-GB"/>
              </w:rPr>
              <w:t> </w:t>
            </w:r>
          </w:p>
        </w:tc>
        <w:tc>
          <w:tcPr>
            <w:tcW w:w="992" w:type="dxa"/>
            <w:tcBorders>
              <w:top w:val="nil"/>
              <w:left w:val="nil"/>
              <w:bottom w:val="single" w:sz="8" w:space="0" w:color="auto"/>
              <w:right w:val="nil"/>
            </w:tcBorders>
            <w:shd w:val="clear" w:color="auto" w:fill="auto"/>
            <w:noWrap/>
            <w:vAlign w:val="center"/>
            <w:hideMark/>
          </w:tcPr>
          <w:p w:rsidR="00891A96" w:rsidRPr="00EB2995" w:rsidRDefault="00891A96" w:rsidP="00891A96">
            <w:pPr>
              <w:jc w:val="center"/>
              <w:rPr>
                <w:rFonts w:cs="Calibri"/>
                <w:b/>
                <w:bCs/>
                <w:color w:val="000000"/>
                <w:sz w:val="20"/>
                <w:szCs w:val="20"/>
                <w:lang w:eastAsia="en-GB"/>
              </w:rPr>
            </w:pPr>
            <w:r w:rsidRPr="00EB2995">
              <w:rPr>
                <w:rFonts w:cs="Calibri"/>
                <w:b/>
                <w:bCs/>
                <w:color w:val="000000"/>
                <w:sz w:val="20"/>
                <w:szCs w:val="20"/>
                <w:lang w:eastAsia="en-GB"/>
              </w:rPr>
              <w:t>£m</w:t>
            </w:r>
          </w:p>
        </w:tc>
        <w:tc>
          <w:tcPr>
            <w:tcW w:w="1021" w:type="dxa"/>
            <w:tcBorders>
              <w:top w:val="nil"/>
              <w:left w:val="nil"/>
              <w:bottom w:val="single" w:sz="8" w:space="0" w:color="auto"/>
              <w:right w:val="nil"/>
            </w:tcBorders>
            <w:shd w:val="clear" w:color="auto" w:fill="auto"/>
            <w:noWrap/>
            <w:vAlign w:val="center"/>
            <w:hideMark/>
          </w:tcPr>
          <w:p w:rsidR="00891A96" w:rsidRPr="00EB2995" w:rsidRDefault="00891A96" w:rsidP="00891A96">
            <w:pPr>
              <w:jc w:val="center"/>
              <w:rPr>
                <w:rFonts w:cs="Calibri"/>
                <w:b/>
                <w:bCs/>
                <w:color w:val="000000"/>
                <w:sz w:val="20"/>
                <w:szCs w:val="20"/>
                <w:lang w:eastAsia="en-GB"/>
              </w:rPr>
            </w:pPr>
            <w:r w:rsidRPr="00EB2995">
              <w:rPr>
                <w:rFonts w:cs="Calibri"/>
                <w:b/>
                <w:bCs/>
                <w:color w:val="000000"/>
                <w:sz w:val="20"/>
                <w:szCs w:val="20"/>
                <w:lang w:eastAsia="en-GB"/>
              </w:rPr>
              <w:t>£m</w:t>
            </w:r>
          </w:p>
        </w:tc>
        <w:tc>
          <w:tcPr>
            <w:tcW w:w="980" w:type="dxa"/>
            <w:tcBorders>
              <w:top w:val="nil"/>
              <w:left w:val="nil"/>
              <w:bottom w:val="single" w:sz="8" w:space="0" w:color="auto"/>
              <w:right w:val="nil"/>
            </w:tcBorders>
            <w:shd w:val="clear" w:color="auto" w:fill="auto"/>
            <w:noWrap/>
            <w:vAlign w:val="center"/>
            <w:hideMark/>
          </w:tcPr>
          <w:p w:rsidR="00891A96" w:rsidRPr="00EB2995" w:rsidRDefault="00891A96" w:rsidP="00891A96">
            <w:pPr>
              <w:jc w:val="center"/>
              <w:rPr>
                <w:rFonts w:cs="Calibri"/>
                <w:b/>
                <w:bCs/>
                <w:color w:val="000000"/>
                <w:sz w:val="20"/>
                <w:szCs w:val="20"/>
                <w:lang w:eastAsia="en-GB"/>
              </w:rPr>
            </w:pPr>
            <w:r w:rsidRPr="00EB2995">
              <w:rPr>
                <w:rFonts w:cs="Calibri"/>
                <w:b/>
                <w:bCs/>
                <w:color w:val="000000"/>
                <w:sz w:val="20"/>
                <w:szCs w:val="20"/>
                <w:lang w:eastAsia="en-GB"/>
              </w:rPr>
              <w:t>£m</w:t>
            </w:r>
          </w:p>
        </w:tc>
        <w:tc>
          <w:tcPr>
            <w:tcW w:w="692" w:type="dxa"/>
            <w:tcBorders>
              <w:top w:val="nil"/>
              <w:left w:val="nil"/>
              <w:bottom w:val="single" w:sz="8" w:space="0" w:color="auto"/>
              <w:right w:val="nil"/>
            </w:tcBorders>
            <w:shd w:val="clear" w:color="auto" w:fill="auto"/>
            <w:vAlign w:val="center"/>
            <w:hideMark/>
          </w:tcPr>
          <w:p w:rsidR="00891A96" w:rsidRPr="00EB2995" w:rsidRDefault="00891A96" w:rsidP="00891A96">
            <w:pPr>
              <w:jc w:val="center"/>
              <w:rPr>
                <w:rFonts w:cs="Calibri"/>
                <w:b/>
                <w:bCs/>
                <w:color w:val="000000"/>
                <w:sz w:val="20"/>
                <w:szCs w:val="20"/>
                <w:lang w:eastAsia="en-GB"/>
              </w:rPr>
            </w:pPr>
            <w:r w:rsidRPr="00EB2995">
              <w:rPr>
                <w:rFonts w:cs="Calibri"/>
                <w:b/>
                <w:bCs/>
                <w:color w:val="000000"/>
                <w:sz w:val="20"/>
                <w:szCs w:val="20"/>
                <w:lang w:eastAsia="en-GB"/>
              </w:rPr>
              <w:t>£m</w:t>
            </w:r>
          </w:p>
        </w:tc>
        <w:tc>
          <w:tcPr>
            <w:tcW w:w="980" w:type="dxa"/>
            <w:tcBorders>
              <w:top w:val="nil"/>
              <w:left w:val="nil"/>
              <w:bottom w:val="single" w:sz="8" w:space="0" w:color="auto"/>
              <w:right w:val="nil"/>
            </w:tcBorders>
            <w:shd w:val="clear" w:color="auto" w:fill="auto"/>
            <w:noWrap/>
            <w:vAlign w:val="center"/>
            <w:hideMark/>
          </w:tcPr>
          <w:p w:rsidR="00891A96" w:rsidRPr="00EB2995" w:rsidRDefault="00891A96" w:rsidP="00891A96">
            <w:pPr>
              <w:jc w:val="center"/>
              <w:rPr>
                <w:rFonts w:cs="Calibri"/>
                <w:b/>
                <w:bCs/>
                <w:color w:val="000000"/>
                <w:sz w:val="20"/>
                <w:szCs w:val="20"/>
                <w:lang w:eastAsia="en-GB"/>
              </w:rPr>
            </w:pPr>
            <w:r w:rsidRPr="00EB2995">
              <w:rPr>
                <w:rFonts w:cs="Calibri"/>
                <w:b/>
                <w:bCs/>
                <w:color w:val="000000"/>
                <w:sz w:val="20"/>
                <w:szCs w:val="20"/>
                <w:lang w:eastAsia="en-GB"/>
              </w:rPr>
              <w:t>£m</w:t>
            </w:r>
          </w:p>
        </w:tc>
        <w:tc>
          <w:tcPr>
            <w:tcW w:w="1193" w:type="dxa"/>
            <w:tcBorders>
              <w:top w:val="nil"/>
              <w:left w:val="nil"/>
              <w:bottom w:val="single" w:sz="8" w:space="0" w:color="auto"/>
              <w:right w:val="nil"/>
            </w:tcBorders>
            <w:shd w:val="clear" w:color="auto" w:fill="auto"/>
            <w:vAlign w:val="center"/>
            <w:hideMark/>
          </w:tcPr>
          <w:p w:rsidR="00891A96" w:rsidRPr="00EB2995" w:rsidRDefault="00891A96" w:rsidP="00891A96">
            <w:pPr>
              <w:jc w:val="center"/>
              <w:rPr>
                <w:rFonts w:cs="Calibri"/>
                <w:b/>
                <w:bCs/>
                <w:color w:val="000000"/>
                <w:sz w:val="20"/>
                <w:szCs w:val="20"/>
                <w:lang w:eastAsia="en-GB"/>
              </w:rPr>
            </w:pPr>
            <w:r w:rsidRPr="00EB2995">
              <w:rPr>
                <w:rFonts w:cs="Calibri"/>
                <w:b/>
                <w:bCs/>
                <w:color w:val="000000"/>
                <w:sz w:val="20"/>
                <w:szCs w:val="20"/>
                <w:lang w:eastAsia="en-GB"/>
              </w:rPr>
              <w:t>£m</w:t>
            </w:r>
          </w:p>
        </w:tc>
        <w:tc>
          <w:tcPr>
            <w:tcW w:w="824" w:type="dxa"/>
            <w:tcBorders>
              <w:top w:val="nil"/>
              <w:left w:val="nil"/>
              <w:bottom w:val="single" w:sz="8" w:space="0" w:color="auto"/>
              <w:right w:val="nil"/>
            </w:tcBorders>
            <w:shd w:val="clear" w:color="auto" w:fill="auto"/>
            <w:vAlign w:val="center"/>
            <w:hideMark/>
          </w:tcPr>
          <w:p w:rsidR="00891A96" w:rsidRPr="00EB2995" w:rsidRDefault="00891A96" w:rsidP="00891A96">
            <w:pPr>
              <w:jc w:val="center"/>
              <w:rPr>
                <w:rFonts w:cs="Calibri"/>
                <w:b/>
                <w:bCs/>
                <w:color w:val="000000"/>
                <w:sz w:val="20"/>
                <w:szCs w:val="20"/>
                <w:lang w:eastAsia="en-GB"/>
              </w:rPr>
            </w:pPr>
            <w:r w:rsidRPr="00EB2995">
              <w:rPr>
                <w:rFonts w:cs="Calibri"/>
                <w:b/>
                <w:bCs/>
                <w:color w:val="000000"/>
                <w:sz w:val="20"/>
                <w:szCs w:val="20"/>
                <w:lang w:eastAsia="en-GB"/>
              </w:rPr>
              <w:t>£m</w:t>
            </w:r>
          </w:p>
        </w:tc>
      </w:tr>
      <w:tr w:rsidR="00891A96" w:rsidRPr="00EB2995" w:rsidTr="00891A96">
        <w:trPr>
          <w:trHeight w:val="315"/>
        </w:trPr>
        <w:tc>
          <w:tcPr>
            <w:tcW w:w="3687" w:type="dxa"/>
            <w:tcBorders>
              <w:top w:val="nil"/>
              <w:left w:val="single" w:sz="8" w:space="0" w:color="auto"/>
              <w:bottom w:val="single" w:sz="8" w:space="0" w:color="auto"/>
              <w:right w:val="single" w:sz="8" w:space="0" w:color="auto"/>
            </w:tcBorders>
            <w:shd w:val="clear" w:color="auto" w:fill="auto"/>
            <w:noWrap/>
            <w:vAlign w:val="center"/>
            <w:hideMark/>
          </w:tcPr>
          <w:p w:rsidR="00891A96" w:rsidRPr="00EB2995" w:rsidRDefault="00891A96" w:rsidP="00891A96">
            <w:pPr>
              <w:rPr>
                <w:rFonts w:cs="Calibri"/>
                <w:color w:val="000000"/>
                <w:sz w:val="20"/>
                <w:szCs w:val="20"/>
                <w:lang w:eastAsia="en-GB"/>
              </w:rPr>
            </w:pPr>
            <w:r w:rsidRPr="00EB2995">
              <w:rPr>
                <w:rFonts w:cs="Calibri"/>
                <w:color w:val="000000"/>
                <w:sz w:val="20"/>
                <w:szCs w:val="20"/>
                <w:lang w:eastAsia="en-GB"/>
              </w:rPr>
              <w:t>Property, Plant &amp; Equipment</w:t>
            </w:r>
          </w:p>
        </w:tc>
        <w:tc>
          <w:tcPr>
            <w:tcW w:w="992" w:type="dxa"/>
            <w:tcBorders>
              <w:top w:val="nil"/>
              <w:left w:val="nil"/>
              <w:bottom w:val="single" w:sz="8" w:space="0" w:color="auto"/>
              <w:right w:val="single" w:sz="8" w:space="0" w:color="auto"/>
            </w:tcBorders>
            <w:shd w:val="clear" w:color="auto" w:fill="auto"/>
            <w:noWrap/>
            <w:vAlign w:val="center"/>
            <w:hideMark/>
          </w:tcPr>
          <w:p w:rsidR="00891A96" w:rsidRPr="00EB2995" w:rsidRDefault="00891A96" w:rsidP="00891A96">
            <w:pPr>
              <w:jc w:val="center"/>
              <w:rPr>
                <w:rFonts w:cs="Calibri"/>
                <w:color w:val="000000"/>
                <w:sz w:val="20"/>
                <w:szCs w:val="20"/>
                <w:lang w:eastAsia="en-GB"/>
              </w:rPr>
            </w:pPr>
            <w:r>
              <w:rPr>
                <w:rFonts w:cs="Calibri"/>
                <w:color w:val="000000"/>
                <w:sz w:val="20"/>
                <w:szCs w:val="20"/>
              </w:rPr>
              <w:t>1,963.8</w:t>
            </w:r>
          </w:p>
        </w:tc>
        <w:tc>
          <w:tcPr>
            <w:tcW w:w="1021" w:type="dxa"/>
            <w:tcBorders>
              <w:top w:val="nil"/>
              <w:left w:val="nil"/>
              <w:bottom w:val="single" w:sz="8" w:space="0" w:color="auto"/>
              <w:right w:val="single" w:sz="8" w:space="0" w:color="auto"/>
            </w:tcBorders>
            <w:shd w:val="clear" w:color="auto" w:fill="auto"/>
            <w:noWrap/>
            <w:vAlign w:val="center"/>
            <w:hideMark/>
          </w:tcPr>
          <w:p w:rsidR="00891A96" w:rsidRPr="00EB2995" w:rsidRDefault="00891A96" w:rsidP="00891A96">
            <w:pPr>
              <w:jc w:val="center"/>
              <w:rPr>
                <w:rFonts w:cs="Calibri"/>
                <w:color w:val="000000"/>
                <w:sz w:val="20"/>
                <w:szCs w:val="20"/>
                <w:lang w:eastAsia="en-GB"/>
              </w:rPr>
            </w:pPr>
            <w:r>
              <w:rPr>
                <w:rFonts w:cs="Calibri"/>
                <w:color w:val="000000"/>
                <w:sz w:val="20"/>
                <w:szCs w:val="20"/>
              </w:rPr>
              <w:t>49.8</w:t>
            </w:r>
          </w:p>
        </w:tc>
        <w:tc>
          <w:tcPr>
            <w:tcW w:w="980" w:type="dxa"/>
            <w:tcBorders>
              <w:top w:val="nil"/>
              <w:left w:val="nil"/>
              <w:bottom w:val="single" w:sz="8" w:space="0" w:color="auto"/>
              <w:right w:val="single" w:sz="8" w:space="0" w:color="auto"/>
            </w:tcBorders>
            <w:shd w:val="clear" w:color="auto" w:fill="auto"/>
            <w:noWrap/>
            <w:vAlign w:val="center"/>
            <w:hideMark/>
          </w:tcPr>
          <w:p w:rsidR="00891A96" w:rsidRPr="00EB2995" w:rsidRDefault="00891A96" w:rsidP="00891A96">
            <w:pPr>
              <w:jc w:val="center"/>
              <w:rPr>
                <w:rFonts w:cs="Calibri"/>
                <w:color w:val="000000"/>
                <w:sz w:val="20"/>
                <w:szCs w:val="20"/>
                <w:lang w:eastAsia="en-GB"/>
              </w:rPr>
            </w:pPr>
            <w:r>
              <w:rPr>
                <w:rFonts w:cs="Calibri"/>
                <w:color w:val="000000"/>
                <w:sz w:val="20"/>
                <w:szCs w:val="20"/>
              </w:rPr>
              <w:t>0.9</w:t>
            </w:r>
          </w:p>
        </w:tc>
        <w:tc>
          <w:tcPr>
            <w:tcW w:w="692" w:type="dxa"/>
            <w:tcBorders>
              <w:top w:val="nil"/>
              <w:left w:val="nil"/>
              <w:bottom w:val="single" w:sz="8" w:space="0" w:color="auto"/>
              <w:right w:val="single" w:sz="8" w:space="0" w:color="auto"/>
            </w:tcBorders>
            <w:shd w:val="clear" w:color="auto" w:fill="auto"/>
            <w:vAlign w:val="center"/>
            <w:hideMark/>
          </w:tcPr>
          <w:p w:rsidR="00891A96" w:rsidRPr="00EB2995" w:rsidRDefault="00891A96" w:rsidP="00891A96">
            <w:pPr>
              <w:jc w:val="center"/>
              <w:rPr>
                <w:rFonts w:cs="Calibri"/>
                <w:color w:val="000000"/>
                <w:sz w:val="20"/>
                <w:szCs w:val="20"/>
                <w:lang w:eastAsia="en-GB"/>
              </w:rPr>
            </w:pPr>
            <w:r>
              <w:rPr>
                <w:rFonts w:cs="Calibri"/>
                <w:color w:val="000000"/>
                <w:sz w:val="20"/>
                <w:szCs w:val="20"/>
              </w:rPr>
              <w:t>0.0</w:t>
            </w:r>
          </w:p>
        </w:tc>
        <w:tc>
          <w:tcPr>
            <w:tcW w:w="980" w:type="dxa"/>
            <w:tcBorders>
              <w:top w:val="nil"/>
              <w:left w:val="nil"/>
              <w:bottom w:val="single" w:sz="8" w:space="0" w:color="auto"/>
              <w:right w:val="single" w:sz="8" w:space="0" w:color="auto"/>
            </w:tcBorders>
            <w:shd w:val="clear" w:color="auto" w:fill="auto"/>
            <w:noWrap/>
            <w:vAlign w:val="center"/>
            <w:hideMark/>
          </w:tcPr>
          <w:p w:rsidR="00891A96" w:rsidRPr="00EB2995" w:rsidRDefault="00891A96" w:rsidP="00891A96">
            <w:pPr>
              <w:jc w:val="center"/>
              <w:rPr>
                <w:rFonts w:cs="Calibri"/>
                <w:color w:val="000000"/>
                <w:sz w:val="20"/>
                <w:szCs w:val="20"/>
                <w:lang w:eastAsia="en-GB"/>
              </w:rPr>
            </w:pPr>
            <w:r>
              <w:rPr>
                <w:rFonts w:cs="Calibri"/>
                <w:color w:val="000000"/>
                <w:sz w:val="20"/>
                <w:szCs w:val="20"/>
              </w:rPr>
              <w:t>0.0</w:t>
            </w:r>
          </w:p>
        </w:tc>
        <w:tc>
          <w:tcPr>
            <w:tcW w:w="1193" w:type="dxa"/>
            <w:tcBorders>
              <w:top w:val="nil"/>
              <w:left w:val="nil"/>
              <w:bottom w:val="single" w:sz="8" w:space="0" w:color="auto"/>
              <w:right w:val="single" w:sz="8" w:space="0" w:color="auto"/>
            </w:tcBorders>
            <w:shd w:val="clear" w:color="auto" w:fill="auto"/>
            <w:vAlign w:val="center"/>
            <w:hideMark/>
          </w:tcPr>
          <w:p w:rsidR="00891A96" w:rsidRPr="00EB2995" w:rsidRDefault="00891A96" w:rsidP="00891A96">
            <w:pPr>
              <w:jc w:val="center"/>
              <w:rPr>
                <w:rFonts w:cs="Calibri"/>
                <w:color w:val="000000"/>
                <w:sz w:val="20"/>
                <w:szCs w:val="20"/>
                <w:lang w:eastAsia="en-GB"/>
              </w:rPr>
            </w:pPr>
            <w:r>
              <w:rPr>
                <w:rFonts w:cs="Calibri"/>
                <w:color w:val="000000"/>
                <w:sz w:val="20"/>
                <w:szCs w:val="20"/>
              </w:rPr>
              <w:t>130.3</w:t>
            </w:r>
          </w:p>
        </w:tc>
        <w:tc>
          <w:tcPr>
            <w:tcW w:w="824" w:type="dxa"/>
            <w:tcBorders>
              <w:top w:val="nil"/>
              <w:left w:val="nil"/>
              <w:bottom w:val="single" w:sz="8" w:space="0" w:color="auto"/>
              <w:right w:val="single" w:sz="8" w:space="0" w:color="auto"/>
            </w:tcBorders>
            <w:shd w:val="clear" w:color="auto" w:fill="auto"/>
            <w:vAlign w:val="center"/>
            <w:hideMark/>
          </w:tcPr>
          <w:p w:rsidR="00891A96" w:rsidRPr="00EB2995" w:rsidRDefault="00891A96" w:rsidP="00891A96">
            <w:pPr>
              <w:jc w:val="center"/>
              <w:rPr>
                <w:rFonts w:cs="Calibri"/>
                <w:color w:val="000000"/>
                <w:sz w:val="20"/>
                <w:szCs w:val="20"/>
                <w:lang w:eastAsia="en-GB"/>
              </w:rPr>
            </w:pPr>
            <w:r>
              <w:rPr>
                <w:rFonts w:cs="Calibri"/>
                <w:color w:val="000000"/>
                <w:sz w:val="20"/>
                <w:szCs w:val="20"/>
              </w:rPr>
              <w:t>2,144.8</w:t>
            </w:r>
          </w:p>
        </w:tc>
      </w:tr>
      <w:tr w:rsidR="00891A96" w:rsidRPr="00EB2995" w:rsidTr="00891A96">
        <w:trPr>
          <w:trHeight w:val="315"/>
        </w:trPr>
        <w:tc>
          <w:tcPr>
            <w:tcW w:w="3687" w:type="dxa"/>
            <w:tcBorders>
              <w:top w:val="nil"/>
              <w:left w:val="single" w:sz="8" w:space="0" w:color="auto"/>
              <w:bottom w:val="single" w:sz="8" w:space="0" w:color="auto"/>
              <w:right w:val="single" w:sz="8" w:space="0" w:color="auto"/>
            </w:tcBorders>
            <w:shd w:val="clear" w:color="auto" w:fill="auto"/>
            <w:noWrap/>
            <w:vAlign w:val="center"/>
            <w:hideMark/>
          </w:tcPr>
          <w:p w:rsidR="00891A96" w:rsidRPr="00EB2995" w:rsidRDefault="00891A96" w:rsidP="00891A96">
            <w:pPr>
              <w:rPr>
                <w:rFonts w:cs="Calibri"/>
                <w:color w:val="000000"/>
                <w:sz w:val="20"/>
                <w:szCs w:val="20"/>
                <w:lang w:eastAsia="en-GB"/>
              </w:rPr>
            </w:pPr>
            <w:r w:rsidRPr="00EB2995">
              <w:rPr>
                <w:rFonts w:cs="Calibri"/>
                <w:color w:val="000000"/>
                <w:sz w:val="20"/>
                <w:szCs w:val="20"/>
                <w:lang w:eastAsia="en-GB"/>
              </w:rPr>
              <w:t>Investment Property</w:t>
            </w:r>
          </w:p>
        </w:tc>
        <w:tc>
          <w:tcPr>
            <w:tcW w:w="992" w:type="dxa"/>
            <w:tcBorders>
              <w:top w:val="nil"/>
              <w:left w:val="nil"/>
              <w:bottom w:val="single" w:sz="8" w:space="0" w:color="auto"/>
              <w:right w:val="single" w:sz="8" w:space="0" w:color="auto"/>
            </w:tcBorders>
            <w:shd w:val="clear" w:color="auto" w:fill="auto"/>
            <w:noWrap/>
            <w:vAlign w:val="center"/>
            <w:hideMark/>
          </w:tcPr>
          <w:p w:rsidR="00891A96" w:rsidRPr="00EB2995" w:rsidRDefault="00891A96" w:rsidP="00891A96">
            <w:pPr>
              <w:jc w:val="center"/>
              <w:rPr>
                <w:rFonts w:cs="Calibri"/>
                <w:color w:val="000000"/>
                <w:sz w:val="20"/>
                <w:szCs w:val="20"/>
                <w:lang w:eastAsia="en-GB"/>
              </w:rPr>
            </w:pPr>
            <w:r>
              <w:rPr>
                <w:rFonts w:cs="Calibri"/>
                <w:color w:val="000000"/>
                <w:sz w:val="20"/>
                <w:szCs w:val="20"/>
              </w:rPr>
              <w:t>0.0</w:t>
            </w:r>
          </w:p>
        </w:tc>
        <w:tc>
          <w:tcPr>
            <w:tcW w:w="1021" w:type="dxa"/>
            <w:tcBorders>
              <w:top w:val="nil"/>
              <w:left w:val="nil"/>
              <w:bottom w:val="single" w:sz="8" w:space="0" w:color="auto"/>
              <w:right w:val="single" w:sz="8" w:space="0" w:color="auto"/>
            </w:tcBorders>
            <w:shd w:val="clear" w:color="auto" w:fill="auto"/>
            <w:noWrap/>
            <w:vAlign w:val="center"/>
            <w:hideMark/>
          </w:tcPr>
          <w:p w:rsidR="00891A96" w:rsidRPr="00EB2995" w:rsidRDefault="00891A96" w:rsidP="00891A96">
            <w:pPr>
              <w:jc w:val="center"/>
              <w:rPr>
                <w:rFonts w:cs="Calibri"/>
                <w:color w:val="000000"/>
                <w:sz w:val="20"/>
                <w:szCs w:val="20"/>
                <w:lang w:eastAsia="en-GB"/>
              </w:rPr>
            </w:pPr>
            <w:r>
              <w:rPr>
                <w:rFonts w:cs="Calibri"/>
                <w:color w:val="000000"/>
                <w:sz w:val="20"/>
                <w:szCs w:val="20"/>
              </w:rPr>
              <w:t>12.4</w:t>
            </w:r>
          </w:p>
        </w:tc>
        <w:tc>
          <w:tcPr>
            <w:tcW w:w="980" w:type="dxa"/>
            <w:tcBorders>
              <w:top w:val="nil"/>
              <w:left w:val="nil"/>
              <w:bottom w:val="single" w:sz="8" w:space="0" w:color="auto"/>
              <w:right w:val="single" w:sz="8" w:space="0" w:color="auto"/>
            </w:tcBorders>
            <w:shd w:val="clear" w:color="auto" w:fill="auto"/>
            <w:noWrap/>
            <w:vAlign w:val="center"/>
            <w:hideMark/>
          </w:tcPr>
          <w:p w:rsidR="00891A96" w:rsidRPr="00EB2995" w:rsidRDefault="00891A96" w:rsidP="00891A96">
            <w:pPr>
              <w:jc w:val="center"/>
              <w:rPr>
                <w:rFonts w:cs="Calibri"/>
                <w:color w:val="000000"/>
                <w:sz w:val="20"/>
                <w:szCs w:val="20"/>
                <w:lang w:eastAsia="en-GB"/>
              </w:rPr>
            </w:pPr>
            <w:r>
              <w:rPr>
                <w:rFonts w:cs="Calibri"/>
                <w:color w:val="000000"/>
                <w:sz w:val="20"/>
                <w:szCs w:val="20"/>
              </w:rPr>
              <w:t>0.0</w:t>
            </w:r>
          </w:p>
        </w:tc>
        <w:tc>
          <w:tcPr>
            <w:tcW w:w="692" w:type="dxa"/>
            <w:tcBorders>
              <w:top w:val="nil"/>
              <w:left w:val="nil"/>
              <w:bottom w:val="single" w:sz="8" w:space="0" w:color="auto"/>
              <w:right w:val="single" w:sz="8" w:space="0" w:color="auto"/>
            </w:tcBorders>
            <w:shd w:val="clear" w:color="auto" w:fill="auto"/>
            <w:vAlign w:val="center"/>
            <w:hideMark/>
          </w:tcPr>
          <w:p w:rsidR="00891A96" w:rsidRPr="00EB2995" w:rsidRDefault="00891A96" w:rsidP="00891A96">
            <w:pPr>
              <w:jc w:val="center"/>
              <w:rPr>
                <w:rFonts w:cs="Calibri"/>
                <w:color w:val="000000"/>
                <w:sz w:val="20"/>
                <w:szCs w:val="20"/>
                <w:lang w:eastAsia="en-GB"/>
              </w:rPr>
            </w:pPr>
            <w:r>
              <w:rPr>
                <w:rFonts w:cs="Calibri"/>
                <w:color w:val="000000"/>
                <w:sz w:val="20"/>
                <w:szCs w:val="20"/>
              </w:rPr>
              <w:t>135.8</w:t>
            </w:r>
          </w:p>
        </w:tc>
        <w:tc>
          <w:tcPr>
            <w:tcW w:w="980" w:type="dxa"/>
            <w:tcBorders>
              <w:top w:val="nil"/>
              <w:left w:val="nil"/>
              <w:bottom w:val="single" w:sz="8" w:space="0" w:color="auto"/>
              <w:right w:val="single" w:sz="8" w:space="0" w:color="auto"/>
            </w:tcBorders>
            <w:shd w:val="clear" w:color="auto" w:fill="auto"/>
            <w:noWrap/>
            <w:vAlign w:val="center"/>
            <w:hideMark/>
          </w:tcPr>
          <w:p w:rsidR="00891A96" w:rsidRPr="00EB2995" w:rsidRDefault="00891A96" w:rsidP="00891A96">
            <w:pPr>
              <w:jc w:val="center"/>
              <w:rPr>
                <w:rFonts w:cs="Calibri"/>
                <w:color w:val="000000"/>
                <w:sz w:val="20"/>
                <w:szCs w:val="20"/>
                <w:lang w:eastAsia="en-GB"/>
              </w:rPr>
            </w:pPr>
            <w:r>
              <w:rPr>
                <w:rFonts w:cs="Calibri"/>
                <w:color w:val="000000"/>
                <w:sz w:val="20"/>
                <w:szCs w:val="20"/>
              </w:rPr>
              <w:t>0.0</w:t>
            </w:r>
          </w:p>
        </w:tc>
        <w:tc>
          <w:tcPr>
            <w:tcW w:w="1193" w:type="dxa"/>
            <w:tcBorders>
              <w:top w:val="nil"/>
              <w:left w:val="nil"/>
              <w:bottom w:val="single" w:sz="8" w:space="0" w:color="auto"/>
              <w:right w:val="single" w:sz="8" w:space="0" w:color="auto"/>
            </w:tcBorders>
            <w:shd w:val="clear" w:color="auto" w:fill="auto"/>
            <w:vAlign w:val="center"/>
            <w:hideMark/>
          </w:tcPr>
          <w:p w:rsidR="00891A96" w:rsidRPr="00EB2995" w:rsidRDefault="00891A96" w:rsidP="00891A96">
            <w:pPr>
              <w:jc w:val="center"/>
              <w:rPr>
                <w:rFonts w:cs="Calibri"/>
                <w:color w:val="000000"/>
                <w:sz w:val="20"/>
                <w:szCs w:val="20"/>
                <w:lang w:eastAsia="en-GB"/>
              </w:rPr>
            </w:pPr>
            <w:r>
              <w:rPr>
                <w:rFonts w:cs="Calibri"/>
                <w:color w:val="000000"/>
                <w:sz w:val="20"/>
                <w:szCs w:val="20"/>
              </w:rPr>
              <w:t>(135.8)</w:t>
            </w:r>
          </w:p>
        </w:tc>
        <w:tc>
          <w:tcPr>
            <w:tcW w:w="824" w:type="dxa"/>
            <w:tcBorders>
              <w:top w:val="nil"/>
              <w:left w:val="nil"/>
              <w:bottom w:val="single" w:sz="8" w:space="0" w:color="auto"/>
              <w:right w:val="single" w:sz="8" w:space="0" w:color="auto"/>
            </w:tcBorders>
            <w:shd w:val="clear" w:color="auto" w:fill="auto"/>
            <w:vAlign w:val="center"/>
            <w:hideMark/>
          </w:tcPr>
          <w:p w:rsidR="00891A96" w:rsidRPr="00EB2995" w:rsidRDefault="00891A96" w:rsidP="00891A96">
            <w:pPr>
              <w:jc w:val="center"/>
              <w:rPr>
                <w:rFonts w:cs="Calibri"/>
                <w:color w:val="000000"/>
                <w:sz w:val="20"/>
                <w:szCs w:val="20"/>
                <w:lang w:eastAsia="en-GB"/>
              </w:rPr>
            </w:pPr>
            <w:r>
              <w:rPr>
                <w:rFonts w:cs="Calibri"/>
                <w:color w:val="000000"/>
                <w:sz w:val="20"/>
                <w:szCs w:val="20"/>
              </w:rPr>
              <w:t>12.4</w:t>
            </w:r>
          </w:p>
        </w:tc>
      </w:tr>
      <w:tr w:rsidR="00891A96" w:rsidRPr="00EB2995" w:rsidTr="00891A96">
        <w:trPr>
          <w:trHeight w:val="315"/>
        </w:trPr>
        <w:tc>
          <w:tcPr>
            <w:tcW w:w="3687" w:type="dxa"/>
            <w:tcBorders>
              <w:top w:val="nil"/>
              <w:left w:val="single" w:sz="8" w:space="0" w:color="auto"/>
              <w:bottom w:val="single" w:sz="8" w:space="0" w:color="auto"/>
              <w:right w:val="single" w:sz="8" w:space="0" w:color="auto"/>
            </w:tcBorders>
            <w:shd w:val="clear" w:color="auto" w:fill="auto"/>
            <w:noWrap/>
            <w:vAlign w:val="center"/>
            <w:hideMark/>
          </w:tcPr>
          <w:p w:rsidR="00891A96" w:rsidRPr="00EB2995" w:rsidRDefault="00891A96" w:rsidP="00891A96">
            <w:pPr>
              <w:rPr>
                <w:rFonts w:cs="Calibri"/>
                <w:color w:val="000000"/>
                <w:sz w:val="20"/>
                <w:szCs w:val="20"/>
                <w:lang w:eastAsia="en-GB"/>
              </w:rPr>
            </w:pPr>
            <w:r w:rsidRPr="00EB2995">
              <w:rPr>
                <w:rFonts w:cs="Calibri"/>
                <w:color w:val="000000"/>
                <w:sz w:val="20"/>
                <w:szCs w:val="20"/>
                <w:lang w:eastAsia="en-GB"/>
              </w:rPr>
              <w:t>Long Term Investments</w:t>
            </w:r>
          </w:p>
        </w:tc>
        <w:tc>
          <w:tcPr>
            <w:tcW w:w="992" w:type="dxa"/>
            <w:tcBorders>
              <w:top w:val="nil"/>
              <w:left w:val="nil"/>
              <w:bottom w:val="single" w:sz="8" w:space="0" w:color="auto"/>
              <w:right w:val="single" w:sz="8" w:space="0" w:color="auto"/>
            </w:tcBorders>
            <w:shd w:val="clear" w:color="auto" w:fill="auto"/>
            <w:noWrap/>
            <w:vAlign w:val="center"/>
            <w:hideMark/>
          </w:tcPr>
          <w:p w:rsidR="00891A96" w:rsidRPr="00EB2995" w:rsidRDefault="00891A96" w:rsidP="00891A96">
            <w:pPr>
              <w:jc w:val="center"/>
              <w:rPr>
                <w:rFonts w:cs="Calibri"/>
                <w:color w:val="000000"/>
                <w:sz w:val="20"/>
                <w:szCs w:val="20"/>
                <w:lang w:eastAsia="en-GB"/>
              </w:rPr>
            </w:pPr>
            <w:r>
              <w:rPr>
                <w:rFonts w:cs="Calibri"/>
                <w:color w:val="000000"/>
                <w:sz w:val="20"/>
                <w:szCs w:val="20"/>
              </w:rPr>
              <w:t>62.4</w:t>
            </w:r>
          </w:p>
        </w:tc>
        <w:tc>
          <w:tcPr>
            <w:tcW w:w="1021" w:type="dxa"/>
            <w:tcBorders>
              <w:top w:val="nil"/>
              <w:left w:val="nil"/>
              <w:bottom w:val="single" w:sz="8" w:space="0" w:color="auto"/>
              <w:right w:val="single" w:sz="8" w:space="0" w:color="auto"/>
            </w:tcBorders>
            <w:shd w:val="clear" w:color="auto" w:fill="auto"/>
            <w:noWrap/>
            <w:vAlign w:val="center"/>
            <w:hideMark/>
          </w:tcPr>
          <w:p w:rsidR="00891A96" w:rsidRPr="00EB2995" w:rsidRDefault="00891A96" w:rsidP="00891A96">
            <w:pPr>
              <w:jc w:val="center"/>
              <w:rPr>
                <w:rFonts w:cs="Calibri"/>
                <w:color w:val="000000"/>
                <w:sz w:val="20"/>
                <w:szCs w:val="20"/>
                <w:lang w:eastAsia="en-GB"/>
              </w:rPr>
            </w:pPr>
            <w:r>
              <w:rPr>
                <w:rFonts w:cs="Calibri"/>
                <w:color w:val="000000"/>
                <w:sz w:val="20"/>
                <w:szCs w:val="20"/>
              </w:rPr>
              <w:t>0.0</w:t>
            </w:r>
          </w:p>
        </w:tc>
        <w:tc>
          <w:tcPr>
            <w:tcW w:w="980" w:type="dxa"/>
            <w:tcBorders>
              <w:top w:val="nil"/>
              <w:left w:val="nil"/>
              <w:bottom w:val="single" w:sz="8" w:space="0" w:color="auto"/>
              <w:right w:val="single" w:sz="8" w:space="0" w:color="auto"/>
            </w:tcBorders>
            <w:shd w:val="clear" w:color="auto" w:fill="auto"/>
            <w:noWrap/>
            <w:vAlign w:val="center"/>
            <w:hideMark/>
          </w:tcPr>
          <w:p w:rsidR="00891A96" w:rsidRPr="00EB2995" w:rsidRDefault="00891A96" w:rsidP="00891A96">
            <w:pPr>
              <w:jc w:val="center"/>
              <w:rPr>
                <w:rFonts w:cs="Calibri"/>
                <w:color w:val="000000"/>
                <w:sz w:val="20"/>
                <w:szCs w:val="20"/>
                <w:lang w:eastAsia="en-GB"/>
              </w:rPr>
            </w:pPr>
            <w:r>
              <w:rPr>
                <w:rFonts w:cs="Calibri"/>
                <w:color w:val="000000"/>
                <w:sz w:val="20"/>
                <w:szCs w:val="20"/>
              </w:rPr>
              <w:t>0.0</w:t>
            </w:r>
          </w:p>
        </w:tc>
        <w:tc>
          <w:tcPr>
            <w:tcW w:w="692" w:type="dxa"/>
            <w:tcBorders>
              <w:top w:val="nil"/>
              <w:left w:val="nil"/>
              <w:bottom w:val="single" w:sz="8" w:space="0" w:color="auto"/>
              <w:right w:val="single" w:sz="8" w:space="0" w:color="auto"/>
            </w:tcBorders>
            <w:shd w:val="clear" w:color="auto" w:fill="auto"/>
            <w:vAlign w:val="center"/>
            <w:hideMark/>
          </w:tcPr>
          <w:p w:rsidR="00891A96" w:rsidRPr="00EB2995" w:rsidRDefault="00891A96" w:rsidP="00891A96">
            <w:pPr>
              <w:jc w:val="center"/>
              <w:rPr>
                <w:rFonts w:cs="Calibri"/>
                <w:color w:val="000000"/>
                <w:sz w:val="20"/>
                <w:szCs w:val="20"/>
                <w:lang w:eastAsia="en-GB"/>
              </w:rPr>
            </w:pPr>
            <w:r>
              <w:rPr>
                <w:rFonts w:cs="Calibri"/>
                <w:color w:val="000000"/>
                <w:sz w:val="20"/>
                <w:szCs w:val="20"/>
              </w:rPr>
              <w:t>0.0</w:t>
            </w:r>
          </w:p>
        </w:tc>
        <w:tc>
          <w:tcPr>
            <w:tcW w:w="980" w:type="dxa"/>
            <w:tcBorders>
              <w:top w:val="nil"/>
              <w:left w:val="nil"/>
              <w:bottom w:val="single" w:sz="8" w:space="0" w:color="auto"/>
              <w:right w:val="single" w:sz="8" w:space="0" w:color="auto"/>
            </w:tcBorders>
            <w:shd w:val="clear" w:color="auto" w:fill="auto"/>
            <w:noWrap/>
            <w:vAlign w:val="center"/>
            <w:hideMark/>
          </w:tcPr>
          <w:p w:rsidR="00891A96" w:rsidRPr="00EB2995" w:rsidRDefault="00891A96" w:rsidP="00891A96">
            <w:pPr>
              <w:jc w:val="center"/>
              <w:rPr>
                <w:rFonts w:cs="Calibri"/>
                <w:color w:val="000000"/>
                <w:sz w:val="20"/>
                <w:szCs w:val="20"/>
                <w:lang w:eastAsia="en-GB"/>
              </w:rPr>
            </w:pPr>
            <w:r>
              <w:rPr>
                <w:rFonts w:cs="Calibri"/>
                <w:color w:val="000000"/>
                <w:sz w:val="20"/>
                <w:szCs w:val="20"/>
              </w:rPr>
              <w:t>0.0</w:t>
            </w:r>
          </w:p>
        </w:tc>
        <w:tc>
          <w:tcPr>
            <w:tcW w:w="1193" w:type="dxa"/>
            <w:tcBorders>
              <w:top w:val="nil"/>
              <w:left w:val="nil"/>
              <w:bottom w:val="single" w:sz="8" w:space="0" w:color="auto"/>
              <w:right w:val="single" w:sz="8" w:space="0" w:color="auto"/>
            </w:tcBorders>
            <w:shd w:val="clear" w:color="auto" w:fill="auto"/>
            <w:vAlign w:val="center"/>
            <w:hideMark/>
          </w:tcPr>
          <w:p w:rsidR="00891A96" w:rsidRPr="00EB2995" w:rsidRDefault="00891A96" w:rsidP="00891A96">
            <w:pPr>
              <w:jc w:val="center"/>
              <w:rPr>
                <w:rFonts w:cs="Calibri"/>
                <w:color w:val="000000"/>
                <w:sz w:val="20"/>
                <w:szCs w:val="20"/>
                <w:lang w:eastAsia="en-GB"/>
              </w:rPr>
            </w:pPr>
            <w:r>
              <w:rPr>
                <w:rFonts w:cs="Calibri"/>
                <w:color w:val="000000"/>
                <w:sz w:val="20"/>
                <w:szCs w:val="20"/>
              </w:rPr>
              <w:t>(62.1)</w:t>
            </w:r>
          </w:p>
        </w:tc>
        <w:tc>
          <w:tcPr>
            <w:tcW w:w="824" w:type="dxa"/>
            <w:tcBorders>
              <w:top w:val="nil"/>
              <w:left w:val="nil"/>
              <w:bottom w:val="single" w:sz="8" w:space="0" w:color="auto"/>
              <w:right w:val="single" w:sz="8" w:space="0" w:color="auto"/>
            </w:tcBorders>
            <w:shd w:val="clear" w:color="auto" w:fill="auto"/>
            <w:vAlign w:val="center"/>
            <w:hideMark/>
          </w:tcPr>
          <w:p w:rsidR="00891A96" w:rsidRPr="00EB2995" w:rsidRDefault="00891A96" w:rsidP="00891A96">
            <w:pPr>
              <w:jc w:val="center"/>
              <w:rPr>
                <w:rFonts w:cs="Calibri"/>
                <w:color w:val="000000"/>
                <w:sz w:val="20"/>
                <w:szCs w:val="20"/>
                <w:lang w:eastAsia="en-GB"/>
              </w:rPr>
            </w:pPr>
            <w:r>
              <w:rPr>
                <w:rFonts w:cs="Calibri"/>
                <w:color w:val="000000"/>
                <w:sz w:val="20"/>
                <w:szCs w:val="20"/>
              </w:rPr>
              <w:t>0.3</w:t>
            </w:r>
          </w:p>
        </w:tc>
      </w:tr>
      <w:tr w:rsidR="00891A96" w:rsidRPr="00EB2995" w:rsidTr="00891A96">
        <w:trPr>
          <w:trHeight w:val="315"/>
        </w:trPr>
        <w:tc>
          <w:tcPr>
            <w:tcW w:w="3687" w:type="dxa"/>
            <w:tcBorders>
              <w:top w:val="nil"/>
              <w:left w:val="single" w:sz="8" w:space="0" w:color="auto"/>
              <w:bottom w:val="single" w:sz="8" w:space="0" w:color="auto"/>
              <w:right w:val="single" w:sz="8" w:space="0" w:color="auto"/>
            </w:tcBorders>
            <w:shd w:val="clear" w:color="auto" w:fill="auto"/>
            <w:noWrap/>
            <w:vAlign w:val="center"/>
            <w:hideMark/>
          </w:tcPr>
          <w:p w:rsidR="00891A96" w:rsidRPr="00EB2995" w:rsidRDefault="00891A96" w:rsidP="00891A96">
            <w:pPr>
              <w:rPr>
                <w:rFonts w:cs="Calibri"/>
                <w:color w:val="000000"/>
                <w:sz w:val="20"/>
                <w:szCs w:val="20"/>
                <w:lang w:eastAsia="en-GB"/>
              </w:rPr>
            </w:pPr>
            <w:r w:rsidRPr="00EB2995">
              <w:rPr>
                <w:rFonts w:cs="Calibri"/>
                <w:color w:val="000000"/>
                <w:sz w:val="20"/>
                <w:szCs w:val="20"/>
                <w:lang w:eastAsia="en-GB"/>
              </w:rPr>
              <w:t>Long Term Debtors</w:t>
            </w:r>
          </w:p>
        </w:tc>
        <w:tc>
          <w:tcPr>
            <w:tcW w:w="992" w:type="dxa"/>
            <w:tcBorders>
              <w:top w:val="nil"/>
              <w:left w:val="nil"/>
              <w:bottom w:val="single" w:sz="8" w:space="0" w:color="auto"/>
              <w:right w:val="single" w:sz="8" w:space="0" w:color="auto"/>
            </w:tcBorders>
            <w:shd w:val="clear" w:color="auto" w:fill="auto"/>
            <w:noWrap/>
            <w:vAlign w:val="center"/>
            <w:hideMark/>
          </w:tcPr>
          <w:p w:rsidR="00891A96" w:rsidRPr="00EB2995" w:rsidRDefault="00891A96" w:rsidP="00891A96">
            <w:pPr>
              <w:jc w:val="center"/>
              <w:rPr>
                <w:rFonts w:cs="Calibri"/>
                <w:color w:val="000000"/>
                <w:sz w:val="20"/>
                <w:szCs w:val="20"/>
                <w:lang w:eastAsia="en-GB"/>
              </w:rPr>
            </w:pPr>
            <w:r>
              <w:rPr>
                <w:rFonts w:cs="Calibri"/>
                <w:color w:val="000000"/>
                <w:sz w:val="20"/>
                <w:szCs w:val="20"/>
              </w:rPr>
              <w:t>132.3</w:t>
            </w:r>
          </w:p>
        </w:tc>
        <w:tc>
          <w:tcPr>
            <w:tcW w:w="1021" w:type="dxa"/>
            <w:tcBorders>
              <w:top w:val="nil"/>
              <w:left w:val="nil"/>
              <w:bottom w:val="single" w:sz="8" w:space="0" w:color="auto"/>
              <w:right w:val="single" w:sz="8" w:space="0" w:color="auto"/>
            </w:tcBorders>
            <w:shd w:val="clear" w:color="auto" w:fill="auto"/>
            <w:noWrap/>
            <w:vAlign w:val="center"/>
            <w:hideMark/>
          </w:tcPr>
          <w:p w:rsidR="00891A96" w:rsidRPr="00EB2995" w:rsidRDefault="00891A96" w:rsidP="00891A96">
            <w:pPr>
              <w:jc w:val="center"/>
              <w:rPr>
                <w:rFonts w:cs="Calibri"/>
                <w:color w:val="000000"/>
                <w:sz w:val="20"/>
                <w:szCs w:val="20"/>
                <w:lang w:eastAsia="en-GB"/>
              </w:rPr>
            </w:pPr>
            <w:r>
              <w:rPr>
                <w:rFonts w:cs="Calibri"/>
                <w:color w:val="000000"/>
                <w:sz w:val="20"/>
                <w:szCs w:val="20"/>
              </w:rPr>
              <w:t>0.0</w:t>
            </w:r>
          </w:p>
        </w:tc>
        <w:tc>
          <w:tcPr>
            <w:tcW w:w="980" w:type="dxa"/>
            <w:tcBorders>
              <w:top w:val="nil"/>
              <w:left w:val="nil"/>
              <w:bottom w:val="single" w:sz="8" w:space="0" w:color="auto"/>
              <w:right w:val="single" w:sz="8" w:space="0" w:color="auto"/>
            </w:tcBorders>
            <w:shd w:val="clear" w:color="auto" w:fill="auto"/>
            <w:noWrap/>
            <w:vAlign w:val="center"/>
            <w:hideMark/>
          </w:tcPr>
          <w:p w:rsidR="00891A96" w:rsidRPr="00EB2995" w:rsidRDefault="00891A96" w:rsidP="00891A96">
            <w:pPr>
              <w:jc w:val="center"/>
              <w:rPr>
                <w:rFonts w:cs="Calibri"/>
                <w:color w:val="000000"/>
                <w:sz w:val="20"/>
                <w:szCs w:val="20"/>
                <w:lang w:eastAsia="en-GB"/>
              </w:rPr>
            </w:pPr>
            <w:r>
              <w:rPr>
                <w:rFonts w:cs="Calibri"/>
                <w:color w:val="000000"/>
                <w:sz w:val="20"/>
                <w:szCs w:val="20"/>
              </w:rPr>
              <w:t>0.0</w:t>
            </w:r>
          </w:p>
        </w:tc>
        <w:tc>
          <w:tcPr>
            <w:tcW w:w="692" w:type="dxa"/>
            <w:tcBorders>
              <w:top w:val="nil"/>
              <w:left w:val="nil"/>
              <w:bottom w:val="single" w:sz="8" w:space="0" w:color="auto"/>
              <w:right w:val="single" w:sz="8" w:space="0" w:color="auto"/>
            </w:tcBorders>
            <w:shd w:val="clear" w:color="auto" w:fill="auto"/>
            <w:vAlign w:val="center"/>
            <w:hideMark/>
          </w:tcPr>
          <w:p w:rsidR="00891A96" w:rsidRPr="00EB2995" w:rsidRDefault="00891A96" w:rsidP="00891A96">
            <w:pPr>
              <w:jc w:val="center"/>
              <w:rPr>
                <w:rFonts w:cs="Calibri"/>
                <w:color w:val="000000"/>
                <w:sz w:val="20"/>
                <w:szCs w:val="20"/>
                <w:lang w:eastAsia="en-GB"/>
              </w:rPr>
            </w:pPr>
            <w:r>
              <w:rPr>
                <w:rFonts w:cs="Calibri"/>
                <w:color w:val="000000"/>
                <w:sz w:val="20"/>
                <w:szCs w:val="20"/>
              </w:rPr>
              <w:t>0.0</w:t>
            </w:r>
          </w:p>
        </w:tc>
        <w:tc>
          <w:tcPr>
            <w:tcW w:w="980" w:type="dxa"/>
            <w:tcBorders>
              <w:top w:val="nil"/>
              <w:left w:val="nil"/>
              <w:bottom w:val="single" w:sz="8" w:space="0" w:color="auto"/>
              <w:right w:val="single" w:sz="8" w:space="0" w:color="auto"/>
            </w:tcBorders>
            <w:shd w:val="clear" w:color="auto" w:fill="auto"/>
            <w:noWrap/>
            <w:vAlign w:val="center"/>
            <w:hideMark/>
          </w:tcPr>
          <w:p w:rsidR="00891A96" w:rsidRPr="00EB2995" w:rsidRDefault="00891A96" w:rsidP="00891A96">
            <w:pPr>
              <w:jc w:val="center"/>
              <w:rPr>
                <w:rFonts w:cs="Calibri"/>
                <w:color w:val="000000"/>
                <w:sz w:val="20"/>
                <w:szCs w:val="20"/>
                <w:lang w:eastAsia="en-GB"/>
              </w:rPr>
            </w:pPr>
            <w:r>
              <w:rPr>
                <w:rFonts w:cs="Calibri"/>
                <w:color w:val="000000"/>
                <w:sz w:val="20"/>
                <w:szCs w:val="20"/>
              </w:rPr>
              <w:t>0.0</w:t>
            </w:r>
          </w:p>
        </w:tc>
        <w:tc>
          <w:tcPr>
            <w:tcW w:w="1193" w:type="dxa"/>
            <w:tcBorders>
              <w:top w:val="nil"/>
              <w:left w:val="nil"/>
              <w:bottom w:val="single" w:sz="8" w:space="0" w:color="auto"/>
              <w:right w:val="single" w:sz="8" w:space="0" w:color="auto"/>
            </w:tcBorders>
            <w:shd w:val="clear" w:color="auto" w:fill="auto"/>
            <w:vAlign w:val="center"/>
            <w:hideMark/>
          </w:tcPr>
          <w:p w:rsidR="00891A96" w:rsidRPr="00EB2995" w:rsidRDefault="00891A96" w:rsidP="00891A96">
            <w:pPr>
              <w:jc w:val="center"/>
              <w:rPr>
                <w:rFonts w:cs="Calibri"/>
                <w:color w:val="000000"/>
                <w:sz w:val="20"/>
                <w:szCs w:val="20"/>
                <w:lang w:eastAsia="en-GB"/>
              </w:rPr>
            </w:pPr>
            <w:r>
              <w:rPr>
                <w:rFonts w:cs="Calibri"/>
                <w:color w:val="000000"/>
                <w:sz w:val="20"/>
                <w:szCs w:val="20"/>
              </w:rPr>
              <w:t>(111.2)</w:t>
            </w:r>
          </w:p>
        </w:tc>
        <w:tc>
          <w:tcPr>
            <w:tcW w:w="824" w:type="dxa"/>
            <w:tcBorders>
              <w:top w:val="nil"/>
              <w:left w:val="nil"/>
              <w:bottom w:val="single" w:sz="8" w:space="0" w:color="auto"/>
              <w:right w:val="single" w:sz="8" w:space="0" w:color="auto"/>
            </w:tcBorders>
            <w:shd w:val="clear" w:color="auto" w:fill="auto"/>
            <w:vAlign w:val="center"/>
            <w:hideMark/>
          </w:tcPr>
          <w:p w:rsidR="00891A96" w:rsidRPr="00EB2995" w:rsidRDefault="00891A96" w:rsidP="00891A96">
            <w:pPr>
              <w:jc w:val="center"/>
              <w:rPr>
                <w:rFonts w:cs="Calibri"/>
                <w:color w:val="000000"/>
                <w:sz w:val="20"/>
                <w:szCs w:val="20"/>
                <w:lang w:eastAsia="en-GB"/>
              </w:rPr>
            </w:pPr>
            <w:r>
              <w:rPr>
                <w:rFonts w:cs="Calibri"/>
                <w:color w:val="000000"/>
                <w:sz w:val="20"/>
                <w:szCs w:val="20"/>
              </w:rPr>
              <w:t>21.1</w:t>
            </w:r>
          </w:p>
        </w:tc>
      </w:tr>
      <w:tr w:rsidR="00891A96" w:rsidRPr="00EB2995" w:rsidTr="00891A96">
        <w:trPr>
          <w:trHeight w:val="315"/>
        </w:trPr>
        <w:tc>
          <w:tcPr>
            <w:tcW w:w="3687" w:type="dxa"/>
            <w:tcBorders>
              <w:top w:val="nil"/>
              <w:left w:val="single" w:sz="8" w:space="0" w:color="auto"/>
              <w:bottom w:val="single" w:sz="8" w:space="0" w:color="auto"/>
              <w:right w:val="single" w:sz="8" w:space="0" w:color="auto"/>
            </w:tcBorders>
            <w:shd w:val="clear" w:color="auto" w:fill="auto"/>
            <w:noWrap/>
            <w:vAlign w:val="center"/>
            <w:hideMark/>
          </w:tcPr>
          <w:p w:rsidR="00891A96" w:rsidRPr="00EB2995" w:rsidRDefault="00891A96" w:rsidP="00891A96">
            <w:pPr>
              <w:rPr>
                <w:rFonts w:cs="Calibri"/>
                <w:color w:val="000000"/>
                <w:sz w:val="20"/>
                <w:szCs w:val="20"/>
                <w:lang w:eastAsia="en-GB"/>
              </w:rPr>
            </w:pPr>
            <w:r w:rsidRPr="00EB2995">
              <w:rPr>
                <w:rFonts w:cs="Calibri"/>
                <w:color w:val="000000"/>
                <w:sz w:val="20"/>
                <w:szCs w:val="20"/>
                <w:lang w:eastAsia="en-GB"/>
              </w:rPr>
              <w:t>Short Term Debtors</w:t>
            </w:r>
          </w:p>
        </w:tc>
        <w:tc>
          <w:tcPr>
            <w:tcW w:w="992" w:type="dxa"/>
            <w:tcBorders>
              <w:top w:val="nil"/>
              <w:left w:val="nil"/>
              <w:bottom w:val="single" w:sz="8" w:space="0" w:color="auto"/>
              <w:right w:val="single" w:sz="8" w:space="0" w:color="auto"/>
            </w:tcBorders>
            <w:shd w:val="clear" w:color="auto" w:fill="auto"/>
            <w:noWrap/>
            <w:vAlign w:val="center"/>
            <w:hideMark/>
          </w:tcPr>
          <w:p w:rsidR="00891A96" w:rsidRPr="00EB2995" w:rsidRDefault="00891A96" w:rsidP="00891A96">
            <w:pPr>
              <w:jc w:val="center"/>
              <w:rPr>
                <w:rFonts w:cs="Calibri"/>
                <w:color w:val="000000"/>
                <w:sz w:val="20"/>
                <w:szCs w:val="20"/>
                <w:lang w:eastAsia="en-GB"/>
              </w:rPr>
            </w:pPr>
            <w:r>
              <w:rPr>
                <w:rFonts w:cs="Calibri"/>
                <w:color w:val="000000"/>
                <w:sz w:val="20"/>
                <w:szCs w:val="20"/>
              </w:rPr>
              <w:t>156.8</w:t>
            </w:r>
          </w:p>
        </w:tc>
        <w:tc>
          <w:tcPr>
            <w:tcW w:w="1021" w:type="dxa"/>
            <w:tcBorders>
              <w:top w:val="nil"/>
              <w:left w:val="nil"/>
              <w:bottom w:val="single" w:sz="8" w:space="0" w:color="auto"/>
              <w:right w:val="single" w:sz="8" w:space="0" w:color="auto"/>
            </w:tcBorders>
            <w:shd w:val="clear" w:color="auto" w:fill="auto"/>
            <w:noWrap/>
            <w:vAlign w:val="center"/>
            <w:hideMark/>
          </w:tcPr>
          <w:p w:rsidR="00891A96" w:rsidRPr="00EB2995" w:rsidRDefault="00891A96" w:rsidP="00891A96">
            <w:pPr>
              <w:jc w:val="center"/>
              <w:rPr>
                <w:rFonts w:cs="Calibri"/>
                <w:color w:val="000000"/>
                <w:sz w:val="20"/>
                <w:szCs w:val="20"/>
                <w:lang w:eastAsia="en-GB"/>
              </w:rPr>
            </w:pPr>
            <w:r>
              <w:rPr>
                <w:rFonts w:cs="Calibri"/>
                <w:color w:val="000000"/>
                <w:sz w:val="20"/>
                <w:szCs w:val="20"/>
              </w:rPr>
              <w:t>1.8</w:t>
            </w:r>
          </w:p>
        </w:tc>
        <w:tc>
          <w:tcPr>
            <w:tcW w:w="980" w:type="dxa"/>
            <w:tcBorders>
              <w:top w:val="nil"/>
              <w:left w:val="nil"/>
              <w:bottom w:val="single" w:sz="8" w:space="0" w:color="auto"/>
              <w:right w:val="single" w:sz="8" w:space="0" w:color="auto"/>
            </w:tcBorders>
            <w:shd w:val="clear" w:color="auto" w:fill="auto"/>
            <w:noWrap/>
            <w:vAlign w:val="center"/>
            <w:hideMark/>
          </w:tcPr>
          <w:p w:rsidR="00891A96" w:rsidRPr="00EB2995" w:rsidRDefault="00891A96" w:rsidP="00891A96">
            <w:pPr>
              <w:jc w:val="center"/>
              <w:rPr>
                <w:rFonts w:cs="Calibri"/>
                <w:color w:val="000000"/>
                <w:sz w:val="20"/>
                <w:szCs w:val="20"/>
                <w:lang w:eastAsia="en-GB"/>
              </w:rPr>
            </w:pPr>
            <w:r>
              <w:rPr>
                <w:rFonts w:cs="Calibri"/>
                <w:color w:val="000000"/>
                <w:sz w:val="20"/>
                <w:szCs w:val="20"/>
              </w:rPr>
              <w:t>0.5</w:t>
            </w:r>
          </w:p>
        </w:tc>
        <w:tc>
          <w:tcPr>
            <w:tcW w:w="692" w:type="dxa"/>
            <w:tcBorders>
              <w:top w:val="nil"/>
              <w:left w:val="nil"/>
              <w:bottom w:val="single" w:sz="8" w:space="0" w:color="auto"/>
              <w:right w:val="single" w:sz="8" w:space="0" w:color="auto"/>
            </w:tcBorders>
            <w:shd w:val="clear" w:color="auto" w:fill="auto"/>
            <w:vAlign w:val="center"/>
            <w:hideMark/>
          </w:tcPr>
          <w:p w:rsidR="00891A96" w:rsidRPr="00EB2995" w:rsidRDefault="00891A96" w:rsidP="00891A96">
            <w:pPr>
              <w:jc w:val="center"/>
              <w:rPr>
                <w:rFonts w:cs="Calibri"/>
                <w:color w:val="000000"/>
                <w:sz w:val="20"/>
                <w:szCs w:val="20"/>
                <w:lang w:eastAsia="en-GB"/>
              </w:rPr>
            </w:pPr>
            <w:r>
              <w:rPr>
                <w:rFonts w:cs="Calibri"/>
                <w:color w:val="000000"/>
                <w:sz w:val="20"/>
                <w:szCs w:val="20"/>
              </w:rPr>
              <w:t>0.9</w:t>
            </w:r>
          </w:p>
        </w:tc>
        <w:tc>
          <w:tcPr>
            <w:tcW w:w="980" w:type="dxa"/>
            <w:tcBorders>
              <w:top w:val="nil"/>
              <w:left w:val="nil"/>
              <w:bottom w:val="single" w:sz="8" w:space="0" w:color="auto"/>
              <w:right w:val="single" w:sz="8" w:space="0" w:color="auto"/>
            </w:tcBorders>
            <w:shd w:val="clear" w:color="auto" w:fill="auto"/>
            <w:noWrap/>
            <w:vAlign w:val="center"/>
            <w:hideMark/>
          </w:tcPr>
          <w:p w:rsidR="00891A96" w:rsidRPr="00EB2995" w:rsidRDefault="00891A96" w:rsidP="00891A96">
            <w:pPr>
              <w:jc w:val="center"/>
              <w:rPr>
                <w:rFonts w:cs="Calibri"/>
                <w:color w:val="000000"/>
                <w:sz w:val="20"/>
                <w:szCs w:val="20"/>
                <w:lang w:eastAsia="en-GB"/>
              </w:rPr>
            </w:pPr>
            <w:r>
              <w:rPr>
                <w:rFonts w:cs="Calibri"/>
                <w:color w:val="000000"/>
                <w:sz w:val="20"/>
                <w:szCs w:val="20"/>
              </w:rPr>
              <w:t>0.2</w:t>
            </w:r>
          </w:p>
        </w:tc>
        <w:tc>
          <w:tcPr>
            <w:tcW w:w="1193" w:type="dxa"/>
            <w:tcBorders>
              <w:top w:val="nil"/>
              <w:left w:val="nil"/>
              <w:bottom w:val="single" w:sz="8" w:space="0" w:color="auto"/>
              <w:right w:val="single" w:sz="8" w:space="0" w:color="auto"/>
            </w:tcBorders>
            <w:shd w:val="clear" w:color="auto" w:fill="auto"/>
            <w:vAlign w:val="center"/>
            <w:hideMark/>
          </w:tcPr>
          <w:p w:rsidR="00891A96" w:rsidRPr="00EB2995" w:rsidRDefault="00891A96" w:rsidP="00891A96">
            <w:pPr>
              <w:jc w:val="center"/>
              <w:rPr>
                <w:rFonts w:cs="Calibri"/>
                <w:color w:val="000000"/>
                <w:sz w:val="20"/>
                <w:szCs w:val="20"/>
                <w:lang w:eastAsia="en-GB"/>
              </w:rPr>
            </w:pPr>
            <w:r>
              <w:rPr>
                <w:rFonts w:cs="Calibri"/>
                <w:color w:val="000000"/>
                <w:sz w:val="20"/>
                <w:szCs w:val="20"/>
              </w:rPr>
              <w:t>(1.3)</w:t>
            </w:r>
          </w:p>
        </w:tc>
        <w:tc>
          <w:tcPr>
            <w:tcW w:w="824" w:type="dxa"/>
            <w:tcBorders>
              <w:top w:val="nil"/>
              <w:left w:val="nil"/>
              <w:bottom w:val="single" w:sz="8" w:space="0" w:color="auto"/>
              <w:right w:val="single" w:sz="8" w:space="0" w:color="auto"/>
            </w:tcBorders>
            <w:shd w:val="clear" w:color="auto" w:fill="auto"/>
            <w:vAlign w:val="center"/>
            <w:hideMark/>
          </w:tcPr>
          <w:p w:rsidR="00891A96" w:rsidRPr="00EB2995" w:rsidRDefault="00891A96" w:rsidP="00891A96">
            <w:pPr>
              <w:jc w:val="center"/>
              <w:rPr>
                <w:rFonts w:cs="Calibri"/>
                <w:color w:val="000000"/>
                <w:sz w:val="20"/>
                <w:szCs w:val="20"/>
                <w:lang w:eastAsia="en-GB"/>
              </w:rPr>
            </w:pPr>
            <w:r>
              <w:rPr>
                <w:rFonts w:cs="Calibri"/>
                <w:color w:val="000000"/>
                <w:sz w:val="20"/>
                <w:szCs w:val="20"/>
              </w:rPr>
              <w:t>158.8</w:t>
            </w:r>
          </w:p>
        </w:tc>
      </w:tr>
      <w:tr w:rsidR="00891A96" w:rsidRPr="00EB2995" w:rsidTr="00891A96">
        <w:trPr>
          <w:trHeight w:val="315"/>
        </w:trPr>
        <w:tc>
          <w:tcPr>
            <w:tcW w:w="3687" w:type="dxa"/>
            <w:tcBorders>
              <w:top w:val="nil"/>
              <w:left w:val="single" w:sz="8" w:space="0" w:color="auto"/>
              <w:bottom w:val="single" w:sz="8" w:space="0" w:color="auto"/>
              <w:right w:val="single" w:sz="8" w:space="0" w:color="auto"/>
            </w:tcBorders>
            <w:shd w:val="clear" w:color="auto" w:fill="auto"/>
            <w:noWrap/>
            <w:vAlign w:val="center"/>
            <w:hideMark/>
          </w:tcPr>
          <w:p w:rsidR="00891A96" w:rsidRPr="00EB2995" w:rsidRDefault="00891A96" w:rsidP="00891A96">
            <w:pPr>
              <w:rPr>
                <w:rFonts w:cs="Calibri"/>
                <w:color w:val="000000"/>
                <w:sz w:val="20"/>
                <w:szCs w:val="20"/>
                <w:lang w:eastAsia="en-GB"/>
              </w:rPr>
            </w:pPr>
            <w:r w:rsidRPr="00EB2995">
              <w:rPr>
                <w:rFonts w:cs="Calibri"/>
                <w:color w:val="000000"/>
                <w:sz w:val="20"/>
                <w:szCs w:val="20"/>
                <w:lang w:eastAsia="en-GB"/>
              </w:rPr>
              <w:t>Cash and Cash Equivalents</w:t>
            </w:r>
          </w:p>
        </w:tc>
        <w:tc>
          <w:tcPr>
            <w:tcW w:w="992" w:type="dxa"/>
            <w:tcBorders>
              <w:top w:val="nil"/>
              <w:left w:val="nil"/>
              <w:bottom w:val="single" w:sz="8" w:space="0" w:color="auto"/>
              <w:right w:val="single" w:sz="8" w:space="0" w:color="auto"/>
            </w:tcBorders>
            <w:shd w:val="clear" w:color="auto" w:fill="auto"/>
            <w:noWrap/>
            <w:vAlign w:val="center"/>
            <w:hideMark/>
          </w:tcPr>
          <w:p w:rsidR="00891A96" w:rsidRPr="00EB2995" w:rsidRDefault="00891A96" w:rsidP="00891A96">
            <w:pPr>
              <w:jc w:val="center"/>
              <w:rPr>
                <w:rFonts w:cs="Calibri"/>
                <w:color w:val="000000"/>
                <w:sz w:val="20"/>
                <w:szCs w:val="20"/>
                <w:lang w:eastAsia="en-GB"/>
              </w:rPr>
            </w:pPr>
            <w:r>
              <w:rPr>
                <w:rFonts w:cs="Calibri"/>
                <w:color w:val="000000"/>
                <w:sz w:val="20"/>
                <w:szCs w:val="20"/>
              </w:rPr>
              <w:t>135.2</w:t>
            </w:r>
          </w:p>
        </w:tc>
        <w:tc>
          <w:tcPr>
            <w:tcW w:w="1021" w:type="dxa"/>
            <w:tcBorders>
              <w:top w:val="nil"/>
              <w:left w:val="nil"/>
              <w:bottom w:val="single" w:sz="8" w:space="0" w:color="auto"/>
              <w:right w:val="single" w:sz="8" w:space="0" w:color="auto"/>
            </w:tcBorders>
            <w:shd w:val="clear" w:color="auto" w:fill="auto"/>
            <w:noWrap/>
            <w:vAlign w:val="center"/>
            <w:hideMark/>
          </w:tcPr>
          <w:p w:rsidR="00891A96" w:rsidRPr="00EB2995" w:rsidRDefault="00891A96" w:rsidP="00891A96">
            <w:pPr>
              <w:jc w:val="center"/>
              <w:rPr>
                <w:rFonts w:cs="Calibri"/>
                <w:color w:val="000000"/>
                <w:sz w:val="20"/>
                <w:szCs w:val="20"/>
                <w:lang w:eastAsia="en-GB"/>
              </w:rPr>
            </w:pPr>
            <w:r>
              <w:rPr>
                <w:rFonts w:cs="Calibri"/>
                <w:color w:val="000000"/>
                <w:sz w:val="20"/>
                <w:szCs w:val="20"/>
              </w:rPr>
              <w:t>1.1</w:t>
            </w:r>
          </w:p>
        </w:tc>
        <w:tc>
          <w:tcPr>
            <w:tcW w:w="980" w:type="dxa"/>
            <w:tcBorders>
              <w:top w:val="nil"/>
              <w:left w:val="nil"/>
              <w:bottom w:val="single" w:sz="8" w:space="0" w:color="auto"/>
              <w:right w:val="single" w:sz="8" w:space="0" w:color="auto"/>
            </w:tcBorders>
            <w:shd w:val="clear" w:color="auto" w:fill="auto"/>
            <w:noWrap/>
            <w:vAlign w:val="center"/>
            <w:hideMark/>
          </w:tcPr>
          <w:p w:rsidR="00891A96" w:rsidRPr="00EB2995" w:rsidRDefault="00891A96" w:rsidP="00891A96">
            <w:pPr>
              <w:jc w:val="center"/>
              <w:rPr>
                <w:rFonts w:cs="Calibri"/>
                <w:color w:val="000000"/>
                <w:sz w:val="20"/>
                <w:szCs w:val="20"/>
                <w:lang w:eastAsia="en-GB"/>
              </w:rPr>
            </w:pPr>
            <w:r>
              <w:rPr>
                <w:rFonts w:cs="Calibri"/>
                <w:color w:val="000000"/>
                <w:sz w:val="20"/>
                <w:szCs w:val="20"/>
              </w:rPr>
              <w:t>0.0</w:t>
            </w:r>
          </w:p>
        </w:tc>
        <w:tc>
          <w:tcPr>
            <w:tcW w:w="692" w:type="dxa"/>
            <w:tcBorders>
              <w:top w:val="nil"/>
              <w:left w:val="nil"/>
              <w:bottom w:val="single" w:sz="8" w:space="0" w:color="auto"/>
              <w:right w:val="single" w:sz="8" w:space="0" w:color="auto"/>
            </w:tcBorders>
            <w:shd w:val="clear" w:color="auto" w:fill="auto"/>
            <w:vAlign w:val="center"/>
            <w:hideMark/>
          </w:tcPr>
          <w:p w:rsidR="00891A96" w:rsidRPr="00EB2995" w:rsidRDefault="00891A96" w:rsidP="00891A96">
            <w:pPr>
              <w:jc w:val="center"/>
              <w:rPr>
                <w:rFonts w:cs="Calibri"/>
                <w:color w:val="000000"/>
                <w:sz w:val="20"/>
                <w:szCs w:val="20"/>
                <w:lang w:eastAsia="en-GB"/>
              </w:rPr>
            </w:pPr>
            <w:r>
              <w:rPr>
                <w:rFonts w:cs="Calibri"/>
                <w:color w:val="000000"/>
                <w:sz w:val="20"/>
                <w:szCs w:val="20"/>
              </w:rPr>
              <w:t>1.6</w:t>
            </w:r>
          </w:p>
        </w:tc>
        <w:tc>
          <w:tcPr>
            <w:tcW w:w="980" w:type="dxa"/>
            <w:tcBorders>
              <w:top w:val="nil"/>
              <w:left w:val="nil"/>
              <w:bottom w:val="single" w:sz="8" w:space="0" w:color="auto"/>
              <w:right w:val="single" w:sz="8" w:space="0" w:color="auto"/>
            </w:tcBorders>
            <w:shd w:val="clear" w:color="auto" w:fill="auto"/>
            <w:noWrap/>
            <w:vAlign w:val="center"/>
            <w:hideMark/>
          </w:tcPr>
          <w:p w:rsidR="00891A96" w:rsidRPr="00EB2995" w:rsidRDefault="00891A96" w:rsidP="00891A96">
            <w:pPr>
              <w:jc w:val="center"/>
              <w:rPr>
                <w:rFonts w:cs="Calibri"/>
                <w:color w:val="000000"/>
                <w:sz w:val="20"/>
                <w:szCs w:val="20"/>
                <w:lang w:eastAsia="en-GB"/>
              </w:rPr>
            </w:pPr>
            <w:r>
              <w:rPr>
                <w:rFonts w:cs="Calibri"/>
                <w:color w:val="000000"/>
                <w:sz w:val="20"/>
                <w:szCs w:val="20"/>
              </w:rPr>
              <w:t>0.8</w:t>
            </w:r>
          </w:p>
        </w:tc>
        <w:tc>
          <w:tcPr>
            <w:tcW w:w="1193" w:type="dxa"/>
            <w:tcBorders>
              <w:top w:val="nil"/>
              <w:left w:val="nil"/>
              <w:bottom w:val="single" w:sz="8" w:space="0" w:color="auto"/>
              <w:right w:val="single" w:sz="8" w:space="0" w:color="auto"/>
            </w:tcBorders>
            <w:shd w:val="clear" w:color="auto" w:fill="auto"/>
            <w:vAlign w:val="center"/>
            <w:hideMark/>
          </w:tcPr>
          <w:p w:rsidR="00891A96" w:rsidRPr="00EB2995" w:rsidRDefault="00891A96" w:rsidP="00891A96">
            <w:pPr>
              <w:jc w:val="center"/>
              <w:rPr>
                <w:rFonts w:cs="Calibri"/>
                <w:color w:val="000000"/>
                <w:sz w:val="20"/>
                <w:szCs w:val="20"/>
                <w:lang w:eastAsia="en-GB"/>
              </w:rPr>
            </w:pPr>
            <w:r>
              <w:rPr>
                <w:rFonts w:cs="Calibri"/>
                <w:color w:val="000000"/>
                <w:sz w:val="20"/>
                <w:szCs w:val="20"/>
              </w:rPr>
              <w:t>(0.8)</w:t>
            </w:r>
          </w:p>
        </w:tc>
        <w:tc>
          <w:tcPr>
            <w:tcW w:w="824" w:type="dxa"/>
            <w:tcBorders>
              <w:top w:val="nil"/>
              <w:left w:val="nil"/>
              <w:bottom w:val="single" w:sz="8" w:space="0" w:color="auto"/>
              <w:right w:val="single" w:sz="8" w:space="0" w:color="auto"/>
            </w:tcBorders>
            <w:shd w:val="clear" w:color="auto" w:fill="auto"/>
            <w:vAlign w:val="center"/>
            <w:hideMark/>
          </w:tcPr>
          <w:p w:rsidR="00891A96" w:rsidRPr="00EB2995" w:rsidRDefault="00891A96" w:rsidP="00891A96">
            <w:pPr>
              <w:jc w:val="center"/>
              <w:rPr>
                <w:rFonts w:cs="Calibri"/>
                <w:color w:val="000000"/>
                <w:sz w:val="20"/>
                <w:szCs w:val="20"/>
                <w:lang w:eastAsia="en-GB"/>
              </w:rPr>
            </w:pPr>
            <w:r>
              <w:rPr>
                <w:rFonts w:cs="Calibri"/>
                <w:color w:val="000000"/>
                <w:sz w:val="20"/>
                <w:szCs w:val="20"/>
              </w:rPr>
              <w:t>137.9</w:t>
            </w:r>
          </w:p>
        </w:tc>
      </w:tr>
      <w:tr w:rsidR="00891A96" w:rsidRPr="00EB2995" w:rsidTr="00891A96">
        <w:trPr>
          <w:trHeight w:val="315"/>
        </w:trPr>
        <w:tc>
          <w:tcPr>
            <w:tcW w:w="3687" w:type="dxa"/>
            <w:tcBorders>
              <w:top w:val="nil"/>
              <w:left w:val="single" w:sz="8" w:space="0" w:color="auto"/>
              <w:bottom w:val="single" w:sz="8" w:space="0" w:color="auto"/>
              <w:right w:val="single" w:sz="8" w:space="0" w:color="auto"/>
            </w:tcBorders>
            <w:shd w:val="clear" w:color="auto" w:fill="auto"/>
            <w:noWrap/>
            <w:vAlign w:val="center"/>
            <w:hideMark/>
          </w:tcPr>
          <w:p w:rsidR="00891A96" w:rsidRPr="00EB2995" w:rsidRDefault="00891A96" w:rsidP="00891A96">
            <w:pPr>
              <w:rPr>
                <w:rFonts w:cs="Calibri"/>
                <w:color w:val="000000"/>
                <w:sz w:val="20"/>
                <w:szCs w:val="20"/>
                <w:lang w:eastAsia="en-GB"/>
              </w:rPr>
            </w:pPr>
            <w:r w:rsidRPr="00EB2995">
              <w:rPr>
                <w:rFonts w:cs="Calibri"/>
                <w:color w:val="000000"/>
                <w:sz w:val="20"/>
                <w:szCs w:val="20"/>
                <w:lang w:eastAsia="en-GB"/>
              </w:rPr>
              <w:t>Short Term Creditors</w:t>
            </w:r>
          </w:p>
        </w:tc>
        <w:tc>
          <w:tcPr>
            <w:tcW w:w="992" w:type="dxa"/>
            <w:tcBorders>
              <w:top w:val="nil"/>
              <w:left w:val="nil"/>
              <w:bottom w:val="single" w:sz="8" w:space="0" w:color="auto"/>
              <w:right w:val="single" w:sz="8" w:space="0" w:color="auto"/>
            </w:tcBorders>
            <w:shd w:val="clear" w:color="auto" w:fill="auto"/>
            <w:noWrap/>
            <w:vAlign w:val="center"/>
            <w:hideMark/>
          </w:tcPr>
          <w:p w:rsidR="00891A96" w:rsidRPr="00EB2995" w:rsidRDefault="00891A96" w:rsidP="00891A96">
            <w:pPr>
              <w:jc w:val="center"/>
              <w:rPr>
                <w:rFonts w:cs="Calibri"/>
                <w:color w:val="000000"/>
                <w:sz w:val="20"/>
                <w:szCs w:val="20"/>
                <w:lang w:eastAsia="en-GB"/>
              </w:rPr>
            </w:pPr>
            <w:r>
              <w:rPr>
                <w:rFonts w:cs="Calibri"/>
                <w:color w:val="000000"/>
                <w:sz w:val="20"/>
                <w:szCs w:val="20"/>
              </w:rPr>
              <w:t>(125.0)</w:t>
            </w:r>
          </w:p>
        </w:tc>
        <w:tc>
          <w:tcPr>
            <w:tcW w:w="1021" w:type="dxa"/>
            <w:tcBorders>
              <w:top w:val="nil"/>
              <w:left w:val="nil"/>
              <w:bottom w:val="single" w:sz="8" w:space="0" w:color="auto"/>
              <w:right w:val="single" w:sz="8" w:space="0" w:color="auto"/>
            </w:tcBorders>
            <w:shd w:val="clear" w:color="auto" w:fill="auto"/>
            <w:noWrap/>
            <w:vAlign w:val="center"/>
            <w:hideMark/>
          </w:tcPr>
          <w:p w:rsidR="00891A96" w:rsidRPr="00EB2995" w:rsidRDefault="00891A96" w:rsidP="00891A96">
            <w:pPr>
              <w:jc w:val="center"/>
              <w:rPr>
                <w:rFonts w:cs="Calibri"/>
                <w:color w:val="000000"/>
                <w:sz w:val="20"/>
                <w:szCs w:val="20"/>
                <w:lang w:eastAsia="en-GB"/>
              </w:rPr>
            </w:pPr>
            <w:r>
              <w:rPr>
                <w:rFonts w:cs="Calibri"/>
                <w:color w:val="000000"/>
                <w:sz w:val="20"/>
                <w:szCs w:val="20"/>
              </w:rPr>
              <w:t>(1.5)</w:t>
            </w:r>
          </w:p>
        </w:tc>
        <w:tc>
          <w:tcPr>
            <w:tcW w:w="980" w:type="dxa"/>
            <w:tcBorders>
              <w:top w:val="nil"/>
              <w:left w:val="nil"/>
              <w:bottom w:val="single" w:sz="8" w:space="0" w:color="auto"/>
              <w:right w:val="single" w:sz="8" w:space="0" w:color="auto"/>
            </w:tcBorders>
            <w:shd w:val="clear" w:color="auto" w:fill="auto"/>
            <w:noWrap/>
            <w:vAlign w:val="center"/>
            <w:hideMark/>
          </w:tcPr>
          <w:p w:rsidR="00891A96" w:rsidRPr="00EB2995" w:rsidRDefault="00891A96" w:rsidP="00891A96">
            <w:pPr>
              <w:jc w:val="center"/>
              <w:rPr>
                <w:rFonts w:cs="Calibri"/>
                <w:color w:val="000000"/>
                <w:sz w:val="20"/>
                <w:szCs w:val="20"/>
                <w:lang w:eastAsia="en-GB"/>
              </w:rPr>
            </w:pPr>
            <w:r>
              <w:rPr>
                <w:rFonts w:cs="Calibri"/>
                <w:color w:val="000000"/>
                <w:sz w:val="20"/>
                <w:szCs w:val="20"/>
              </w:rPr>
              <w:t>0.0</w:t>
            </w:r>
          </w:p>
        </w:tc>
        <w:tc>
          <w:tcPr>
            <w:tcW w:w="692" w:type="dxa"/>
            <w:tcBorders>
              <w:top w:val="nil"/>
              <w:left w:val="nil"/>
              <w:bottom w:val="single" w:sz="8" w:space="0" w:color="auto"/>
              <w:right w:val="single" w:sz="8" w:space="0" w:color="auto"/>
            </w:tcBorders>
            <w:shd w:val="clear" w:color="auto" w:fill="auto"/>
            <w:vAlign w:val="center"/>
            <w:hideMark/>
          </w:tcPr>
          <w:p w:rsidR="00891A96" w:rsidRPr="00EB2995" w:rsidRDefault="00891A96" w:rsidP="00891A96">
            <w:pPr>
              <w:jc w:val="center"/>
              <w:rPr>
                <w:rFonts w:cs="Calibri"/>
                <w:color w:val="000000"/>
                <w:sz w:val="20"/>
                <w:szCs w:val="20"/>
                <w:lang w:eastAsia="en-GB"/>
              </w:rPr>
            </w:pPr>
            <w:r>
              <w:rPr>
                <w:rFonts w:cs="Calibri"/>
                <w:color w:val="000000"/>
                <w:sz w:val="20"/>
                <w:szCs w:val="20"/>
              </w:rPr>
              <w:t>(3.0)</w:t>
            </w:r>
          </w:p>
        </w:tc>
        <w:tc>
          <w:tcPr>
            <w:tcW w:w="980" w:type="dxa"/>
            <w:tcBorders>
              <w:top w:val="nil"/>
              <w:left w:val="nil"/>
              <w:bottom w:val="single" w:sz="8" w:space="0" w:color="auto"/>
              <w:right w:val="single" w:sz="8" w:space="0" w:color="auto"/>
            </w:tcBorders>
            <w:shd w:val="clear" w:color="auto" w:fill="auto"/>
            <w:noWrap/>
            <w:vAlign w:val="center"/>
            <w:hideMark/>
          </w:tcPr>
          <w:p w:rsidR="00891A96" w:rsidRPr="00EB2995" w:rsidRDefault="00891A96" w:rsidP="00891A96">
            <w:pPr>
              <w:jc w:val="center"/>
              <w:rPr>
                <w:rFonts w:cs="Calibri"/>
                <w:color w:val="000000"/>
                <w:sz w:val="20"/>
                <w:szCs w:val="20"/>
                <w:lang w:eastAsia="en-GB"/>
              </w:rPr>
            </w:pPr>
            <w:r>
              <w:rPr>
                <w:rFonts w:cs="Calibri"/>
                <w:color w:val="000000"/>
                <w:sz w:val="20"/>
                <w:szCs w:val="20"/>
              </w:rPr>
              <w:t>(1.0)</w:t>
            </w:r>
          </w:p>
        </w:tc>
        <w:tc>
          <w:tcPr>
            <w:tcW w:w="1193" w:type="dxa"/>
            <w:tcBorders>
              <w:top w:val="nil"/>
              <w:left w:val="nil"/>
              <w:bottom w:val="single" w:sz="8" w:space="0" w:color="auto"/>
              <w:right w:val="single" w:sz="8" w:space="0" w:color="auto"/>
            </w:tcBorders>
            <w:shd w:val="clear" w:color="auto" w:fill="auto"/>
            <w:vAlign w:val="center"/>
            <w:hideMark/>
          </w:tcPr>
          <w:p w:rsidR="00891A96" w:rsidRPr="00EB2995" w:rsidRDefault="00891A96" w:rsidP="00891A96">
            <w:pPr>
              <w:jc w:val="center"/>
              <w:rPr>
                <w:rFonts w:cs="Calibri"/>
                <w:color w:val="000000"/>
                <w:sz w:val="20"/>
                <w:szCs w:val="20"/>
                <w:lang w:eastAsia="en-GB"/>
              </w:rPr>
            </w:pPr>
            <w:r>
              <w:rPr>
                <w:rFonts w:cs="Calibri"/>
                <w:color w:val="000000"/>
                <w:sz w:val="20"/>
                <w:szCs w:val="20"/>
              </w:rPr>
              <w:t>1.6</w:t>
            </w:r>
          </w:p>
        </w:tc>
        <w:tc>
          <w:tcPr>
            <w:tcW w:w="824" w:type="dxa"/>
            <w:tcBorders>
              <w:top w:val="nil"/>
              <w:left w:val="nil"/>
              <w:bottom w:val="single" w:sz="8" w:space="0" w:color="auto"/>
              <w:right w:val="single" w:sz="8" w:space="0" w:color="auto"/>
            </w:tcBorders>
            <w:shd w:val="clear" w:color="auto" w:fill="auto"/>
            <w:vAlign w:val="center"/>
            <w:hideMark/>
          </w:tcPr>
          <w:p w:rsidR="00891A96" w:rsidRPr="00EB2995" w:rsidRDefault="00891A96" w:rsidP="00891A96">
            <w:pPr>
              <w:jc w:val="center"/>
              <w:rPr>
                <w:rFonts w:cs="Calibri"/>
                <w:color w:val="000000"/>
                <w:sz w:val="20"/>
                <w:szCs w:val="20"/>
                <w:lang w:eastAsia="en-GB"/>
              </w:rPr>
            </w:pPr>
            <w:r>
              <w:rPr>
                <w:rFonts w:cs="Calibri"/>
                <w:color w:val="000000"/>
                <w:sz w:val="20"/>
                <w:szCs w:val="20"/>
              </w:rPr>
              <w:t>(128.9)</w:t>
            </w:r>
          </w:p>
        </w:tc>
      </w:tr>
      <w:tr w:rsidR="00891A96" w:rsidRPr="00EB2995" w:rsidTr="00891A96">
        <w:trPr>
          <w:trHeight w:val="315"/>
        </w:trPr>
        <w:tc>
          <w:tcPr>
            <w:tcW w:w="3687" w:type="dxa"/>
            <w:tcBorders>
              <w:top w:val="nil"/>
              <w:left w:val="single" w:sz="8" w:space="0" w:color="auto"/>
              <w:bottom w:val="single" w:sz="8" w:space="0" w:color="auto"/>
              <w:right w:val="single" w:sz="8" w:space="0" w:color="auto"/>
            </w:tcBorders>
            <w:shd w:val="clear" w:color="auto" w:fill="auto"/>
            <w:noWrap/>
            <w:vAlign w:val="center"/>
            <w:hideMark/>
          </w:tcPr>
          <w:p w:rsidR="00891A96" w:rsidRPr="00EB2995" w:rsidRDefault="00891A96" w:rsidP="00891A96">
            <w:pPr>
              <w:rPr>
                <w:rFonts w:cs="Calibri"/>
                <w:color w:val="000000"/>
                <w:sz w:val="20"/>
                <w:szCs w:val="20"/>
                <w:lang w:eastAsia="en-GB"/>
              </w:rPr>
            </w:pPr>
            <w:r w:rsidRPr="00EB2995">
              <w:rPr>
                <w:rFonts w:cs="Calibri"/>
                <w:color w:val="000000"/>
                <w:sz w:val="20"/>
                <w:szCs w:val="20"/>
                <w:lang w:eastAsia="en-GB"/>
              </w:rPr>
              <w:t>Long Term Creditors</w:t>
            </w:r>
          </w:p>
        </w:tc>
        <w:tc>
          <w:tcPr>
            <w:tcW w:w="992" w:type="dxa"/>
            <w:tcBorders>
              <w:top w:val="nil"/>
              <w:left w:val="nil"/>
              <w:bottom w:val="single" w:sz="8" w:space="0" w:color="auto"/>
              <w:right w:val="single" w:sz="8" w:space="0" w:color="auto"/>
            </w:tcBorders>
            <w:shd w:val="clear" w:color="auto" w:fill="auto"/>
            <w:noWrap/>
            <w:vAlign w:val="center"/>
            <w:hideMark/>
          </w:tcPr>
          <w:p w:rsidR="00891A96" w:rsidRPr="00EB2995" w:rsidRDefault="00891A96" w:rsidP="00891A96">
            <w:pPr>
              <w:jc w:val="center"/>
              <w:rPr>
                <w:rFonts w:cs="Calibri"/>
                <w:color w:val="000000"/>
                <w:sz w:val="20"/>
                <w:szCs w:val="20"/>
                <w:lang w:eastAsia="en-GB"/>
              </w:rPr>
            </w:pPr>
            <w:r>
              <w:rPr>
                <w:rFonts w:cs="Calibri"/>
                <w:color w:val="000000"/>
                <w:sz w:val="20"/>
                <w:szCs w:val="20"/>
              </w:rPr>
              <w:t>(30.0)</w:t>
            </w:r>
          </w:p>
        </w:tc>
        <w:tc>
          <w:tcPr>
            <w:tcW w:w="1021" w:type="dxa"/>
            <w:tcBorders>
              <w:top w:val="nil"/>
              <w:left w:val="nil"/>
              <w:bottom w:val="single" w:sz="8" w:space="0" w:color="auto"/>
              <w:right w:val="single" w:sz="8" w:space="0" w:color="auto"/>
            </w:tcBorders>
            <w:shd w:val="clear" w:color="auto" w:fill="auto"/>
            <w:noWrap/>
            <w:vAlign w:val="center"/>
            <w:hideMark/>
          </w:tcPr>
          <w:p w:rsidR="00891A96" w:rsidRPr="00EB2995" w:rsidRDefault="00891A96" w:rsidP="00891A96">
            <w:pPr>
              <w:jc w:val="center"/>
              <w:rPr>
                <w:rFonts w:cs="Calibri"/>
                <w:color w:val="000000"/>
                <w:sz w:val="20"/>
                <w:szCs w:val="20"/>
                <w:lang w:eastAsia="en-GB"/>
              </w:rPr>
            </w:pPr>
            <w:r>
              <w:rPr>
                <w:rFonts w:cs="Calibri"/>
                <w:color w:val="000000"/>
                <w:sz w:val="20"/>
                <w:szCs w:val="20"/>
              </w:rPr>
              <w:t>0.0</w:t>
            </w:r>
          </w:p>
        </w:tc>
        <w:tc>
          <w:tcPr>
            <w:tcW w:w="980" w:type="dxa"/>
            <w:tcBorders>
              <w:top w:val="nil"/>
              <w:left w:val="nil"/>
              <w:bottom w:val="single" w:sz="8" w:space="0" w:color="auto"/>
              <w:right w:val="single" w:sz="8" w:space="0" w:color="auto"/>
            </w:tcBorders>
            <w:shd w:val="clear" w:color="auto" w:fill="auto"/>
            <w:noWrap/>
            <w:vAlign w:val="center"/>
            <w:hideMark/>
          </w:tcPr>
          <w:p w:rsidR="00891A96" w:rsidRPr="00EB2995" w:rsidRDefault="00891A96" w:rsidP="00891A96">
            <w:pPr>
              <w:jc w:val="center"/>
              <w:rPr>
                <w:rFonts w:cs="Calibri"/>
                <w:color w:val="000000"/>
                <w:sz w:val="20"/>
                <w:szCs w:val="20"/>
                <w:lang w:eastAsia="en-GB"/>
              </w:rPr>
            </w:pPr>
            <w:r>
              <w:rPr>
                <w:rFonts w:cs="Calibri"/>
                <w:color w:val="000000"/>
                <w:sz w:val="20"/>
                <w:szCs w:val="20"/>
              </w:rPr>
              <w:t>0.0</w:t>
            </w:r>
          </w:p>
        </w:tc>
        <w:tc>
          <w:tcPr>
            <w:tcW w:w="692" w:type="dxa"/>
            <w:tcBorders>
              <w:top w:val="nil"/>
              <w:left w:val="nil"/>
              <w:bottom w:val="single" w:sz="8" w:space="0" w:color="auto"/>
              <w:right w:val="single" w:sz="8" w:space="0" w:color="auto"/>
            </w:tcBorders>
            <w:shd w:val="clear" w:color="auto" w:fill="auto"/>
            <w:vAlign w:val="center"/>
            <w:hideMark/>
          </w:tcPr>
          <w:p w:rsidR="00891A96" w:rsidRPr="00EB2995" w:rsidRDefault="00891A96" w:rsidP="00891A96">
            <w:pPr>
              <w:jc w:val="center"/>
              <w:rPr>
                <w:rFonts w:cs="Calibri"/>
                <w:color w:val="000000"/>
                <w:sz w:val="20"/>
                <w:szCs w:val="20"/>
                <w:lang w:eastAsia="en-GB"/>
              </w:rPr>
            </w:pPr>
            <w:r>
              <w:rPr>
                <w:rFonts w:cs="Calibri"/>
                <w:color w:val="000000"/>
                <w:sz w:val="20"/>
                <w:szCs w:val="20"/>
              </w:rPr>
              <w:t>0.0</w:t>
            </w:r>
          </w:p>
        </w:tc>
        <w:tc>
          <w:tcPr>
            <w:tcW w:w="980" w:type="dxa"/>
            <w:tcBorders>
              <w:top w:val="nil"/>
              <w:left w:val="nil"/>
              <w:bottom w:val="single" w:sz="8" w:space="0" w:color="auto"/>
              <w:right w:val="single" w:sz="8" w:space="0" w:color="auto"/>
            </w:tcBorders>
            <w:shd w:val="clear" w:color="auto" w:fill="auto"/>
            <w:noWrap/>
            <w:vAlign w:val="center"/>
            <w:hideMark/>
          </w:tcPr>
          <w:p w:rsidR="00891A96" w:rsidRPr="00EB2995" w:rsidRDefault="00891A96" w:rsidP="00891A96">
            <w:pPr>
              <w:jc w:val="center"/>
              <w:rPr>
                <w:rFonts w:cs="Calibri"/>
                <w:color w:val="000000"/>
                <w:sz w:val="20"/>
                <w:szCs w:val="20"/>
                <w:lang w:eastAsia="en-GB"/>
              </w:rPr>
            </w:pPr>
            <w:r>
              <w:rPr>
                <w:rFonts w:cs="Calibri"/>
                <w:color w:val="000000"/>
                <w:sz w:val="20"/>
                <w:szCs w:val="20"/>
              </w:rPr>
              <w:t>0.0</w:t>
            </w:r>
          </w:p>
        </w:tc>
        <w:tc>
          <w:tcPr>
            <w:tcW w:w="1193" w:type="dxa"/>
            <w:tcBorders>
              <w:top w:val="nil"/>
              <w:left w:val="nil"/>
              <w:bottom w:val="single" w:sz="8" w:space="0" w:color="auto"/>
              <w:right w:val="single" w:sz="8" w:space="0" w:color="auto"/>
            </w:tcBorders>
            <w:shd w:val="clear" w:color="auto" w:fill="auto"/>
            <w:vAlign w:val="center"/>
            <w:hideMark/>
          </w:tcPr>
          <w:p w:rsidR="00891A96" w:rsidRPr="00EB2995" w:rsidRDefault="00891A96" w:rsidP="00891A96">
            <w:pPr>
              <w:jc w:val="center"/>
              <w:rPr>
                <w:rFonts w:cs="Calibri"/>
                <w:color w:val="000000"/>
                <w:sz w:val="20"/>
                <w:szCs w:val="20"/>
                <w:lang w:eastAsia="en-GB"/>
              </w:rPr>
            </w:pPr>
            <w:r>
              <w:rPr>
                <w:rFonts w:cs="Calibri"/>
                <w:color w:val="000000"/>
                <w:sz w:val="20"/>
                <w:szCs w:val="20"/>
              </w:rPr>
              <w:t>0.5</w:t>
            </w:r>
          </w:p>
        </w:tc>
        <w:tc>
          <w:tcPr>
            <w:tcW w:w="824" w:type="dxa"/>
            <w:tcBorders>
              <w:top w:val="nil"/>
              <w:left w:val="nil"/>
              <w:bottom w:val="single" w:sz="8" w:space="0" w:color="auto"/>
              <w:right w:val="single" w:sz="8" w:space="0" w:color="auto"/>
            </w:tcBorders>
            <w:shd w:val="clear" w:color="auto" w:fill="auto"/>
            <w:vAlign w:val="center"/>
            <w:hideMark/>
          </w:tcPr>
          <w:p w:rsidR="00891A96" w:rsidRPr="00EB2995" w:rsidRDefault="00891A96" w:rsidP="00891A96">
            <w:pPr>
              <w:jc w:val="center"/>
              <w:rPr>
                <w:rFonts w:cs="Calibri"/>
                <w:color w:val="000000"/>
                <w:sz w:val="20"/>
                <w:szCs w:val="20"/>
                <w:lang w:eastAsia="en-GB"/>
              </w:rPr>
            </w:pPr>
            <w:r>
              <w:rPr>
                <w:rFonts w:cs="Calibri"/>
                <w:color w:val="000000"/>
                <w:sz w:val="20"/>
                <w:szCs w:val="20"/>
              </w:rPr>
              <w:t>(29.5)</w:t>
            </w:r>
          </w:p>
        </w:tc>
      </w:tr>
      <w:tr w:rsidR="00891A96" w:rsidRPr="00EB2995" w:rsidTr="00891A96">
        <w:trPr>
          <w:trHeight w:val="315"/>
        </w:trPr>
        <w:tc>
          <w:tcPr>
            <w:tcW w:w="3687" w:type="dxa"/>
            <w:tcBorders>
              <w:top w:val="nil"/>
              <w:left w:val="single" w:sz="8" w:space="0" w:color="auto"/>
              <w:bottom w:val="single" w:sz="8" w:space="0" w:color="auto"/>
              <w:right w:val="single" w:sz="8" w:space="0" w:color="auto"/>
            </w:tcBorders>
            <w:shd w:val="clear" w:color="auto" w:fill="auto"/>
            <w:noWrap/>
            <w:vAlign w:val="center"/>
            <w:hideMark/>
          </w:tcPr>
          <w:p w:rsidR="00891A96" w:rsidRPr="00EB2995" w:rsidRDefault="00891A96" w:rsidP="00891A96">
            <w:pPr>
              <w:rPr>
                <w:rFonts w:cs="Calibri"/>
                <w:color w:val="000000"/>
                <w:sz w:val="20"/>
                <w:szCs w:val="20"/>
                <w:lang w:eastAsia="en-GB"/>
              </w:rPr>
            </w:pPr>
            <w:r w:rsidRPr="00EB2995">
              <w:rPr>
                <w:rFonts w:cs="Calibri"/>
                <w:color w:val="000000"/>
                <w:sz w:val="20"/>
                <w:szCs w:val="20"/>
                <w:lang w:eastAsia="en-GB"/>
              </w:rPr>
              <w:t>Long Term Borrowing</w:t>
            </w:r>
          </w:p>
        </w:tc>
        <w:tc>
          <w:tcPr>
            <w:tcW w:w="992" w:type="dxa"/>
            <w:tcBorders>
              <w:top w:val="nil"/>
              <w:left w:val="nil"/>
              <w:bottom w:val="single" w:sz="8" w:space="0" w:color="auto"/>
              <w:right w:val="single" w:sz="8" w:space="0" w:color="auto"/>
            </w:tcBorders>
            <w:shd w:val="clear" w:color="auto" w:fill="auto"/>
            <w:noWrap/>
            <w:vAlign w:val="center"/>
            <w:hideMark/>
          </w:tcPr>
          <w:p w:rsidR="00891A96" w:rsidRPr="00EB2995" w:rsidRDefault="00891A96" w:rsidP="00891A96">
            <w:pPr>
              <w:jc w:val="center"/>
              <w:rPr>
                <w:rFonts w:cs="Calibri"/>
                <w:color w:val="000000"/>
                <w:sz w:val="20"/>
                <w:szCs w:val="20"/>
                <w:lang w:eastAsia="en-GB"/>
              </w:rPr>
            </w:pPr>
            <w:r>
              <w:rPr>
                <w:rFonts w:cs="Calibri"/>
                <w:color w:val="000000"/>
                <w:sz w:val="20"/>
                <w:szCs w:val="20"/>
              </w:rPr>
              <w:t>(462.1)</w:t>
            </w:r>
          </w:p>
        </w:tc>
        <w:tc>
          <w:tcPr>
            <w:tcW w:w="1021" w:type="dxa"/>
            <w:tcBorders>
              <w:top w:val="nil"/>
              <w:left w:val="nil"/>
              <w:bottom w:val="single" w:sz="8" w:space="0" w:color="auto"/>
              <w:right w:val="single" w:sz="8" w:space="0" w:color="auto"/>
            </w:tcBorders>
            <w:shd w:val="clear" w:color="auto" w:fill="auto"/>
            <w:noWrap/>
            <w:vAlign w:val="center"/>
            <w:hideMark/>
          </w:tcPr>
          <w:p w:rsidR="00891A96" w:rsidRPr="00EB2995" w:rsidRDefault="00891A96" w:rsidP="00891A96">
            <w:pPr>
              <w:jc w:val="center"/>
              <w:rPr>
                <w:rFonts w:cs="Calibri"/>
                <w:color w:val="000000"/>
                <w:sz w:val="20"/>
                <w:szCs w:val="20"/>
                <w:lang w:eastAsia="en-GB"/>
              </w:rPr>
            </w:pPr>
            <w:r>
              <w:rPr>
                <w:rFonts w:cs="Calibri"/>
                <w:color w:val="000000"/>
                <w:sz w:val="20"/>
                <w:szCs w:val="20"/>
              </w:rPr>
              <w:t>(36.0)</w:t>
            </w:r>
          </w:p>
        </w:tc>
        <w:tc>
          <w:tcPr>
            <w:tcW w:w="980" w:type="dxa"/>
            <w:tcBorders>
              <w:top w:val="nil"/>
              <w:left w:val="nil"/>
              <w:bottom w:val="single" w:sz="8" w:space="0" w:color="auto"/>
              <w:right w:val="single" w:sz="8" w:space="0" w:color="auto"/>
            </w:tcBorders>
            <w:shd w:val="clear" w:color="auto" w:fill="auto"/>
            <w:noWrap/>
            <w:vAlign w:val="center"/>
            <w:hideMark/>
          </w:tcPr>
          <w:p w:rsidR="00891A96" w:rsidRPr="00EB2995" w:rsidRDefault="00891A96" w:rsidP="00891A96">
            <w:pPr>
              <w:jc w:val="center"/>
              <w:rPr>
                <w:rFonts w:cs="Calibri"/>
                <w:color w:val="000000"/>
                <w:sz w:val="20"/>
                <w:szCs w:val="20"/>
                <w:lang w:eastAsia="en-GB"/>
              </w:rPr>
            </w:pPr>
            <w:r>
              <w:rPr>
                <w:rFonts w:cs="Calibri"/>
                <w:color w:val="000000"/>
                <w:sz w:val="20"/>
                <w:szCs w:val="20"/>
              </w:rPr>
              <w:t>0.0</w:t>
            </w:r>
          </w:p>
        </w:tc>
        <w:tc>
          <w:tcPr>
            <w:tcW w:w="692" w:type="dxa"/>
            <w:tcBorders>
              <w:top w:val="nil"/>
              <w:left w:val="nil"/>
              <w:bottom w:val="single" w:sz="8" w:space="0" w:color="auto"/>
              <w:right w:val="single" w:sz="8" w:space="0" w:color="auto"/>
            </w:tcBorders>
            <w:shd w:val="clear" w:color="auto" w:fill="auto"/>
            <w:vAlign w:val="center"/>
            <w:hideMark/>
          </w:tcPr>
          <w:p w:rsidR="00891A96" w:rsidRPr="00EB2995" w:rsidRDefault="00891A96" w:rsidP="00891A96">
            <w:pPr>
              <w:jc w:val="center"/>
              <w:rPr>
                <w:rFonts w:cs="Calibri"/>
                <w:color w:val="000000"/>
                <w:sz w:val="20"/>
                <w:szCs w:val="20"/>
                <w:lang w:eastAsia="en-GB"/>
              </w:rPr>
            </w:pPr>
            <w:r>
              <w:rPr>
                <w:rFonts w:cs="Calibri"/>
                <w:color w:val="000000"/>
                <w:sz w:val="20"/>
                <w:szCs w:val="20"/>
              </w:rPr>
              <w:t>(75.2)</w:t>
            </w:r>
          </w:p>
        </w:tc>
        <w:tc>
          <w:tcPr>
            <w:tcW w:w="980" w:type="dxa"/>
            <w:tcBorders>
              <w:top w:val="nil"/>
              <w:left w:val="nil"/>
              <w:bottom w:val="single" w:sz="8" w:space="0" w:color="auto"/>
              <w:right w:val="single" w:sz="8" w:space="0" w:color="auto"/>
            </w:tcBorders>
            <w:shd w:val="clear" w:color="auto" w:fill="auto"/>
            <w:noWrap/>
            <w:vAlign w:val="center"/>
            <w:hideMark/>
          </w:tcPr>
          <w:p w:rsidR="00891A96" w:rsidRPr="00EB2995" w:rsidRDefault="00891A96" w:rsidP="00891A96">
            <w:pPr>
              <w:jc w:val="center"/>
              <w:rPr>
                <w:rFonts w:cs="Calibri"/>
                <w:color w:val="000000"/>
                <w:sz w:val="20"/>
                <w:szCs w:val="20"/>
                <w:lang w:eastAsia="en-GB"/>
              </w:rPr>
            </w:pPr>
            <w:r>
              <w:rPr>
                <w:rFonts w:cs="Calibri"/>
                <w:color w:val="000000"/>
                <w:sz w:val="20"/>
                <w:szCs w:val="20"/>
              </w:rPr>
              <w:t>0.0</w:t>
            </w:r>
          </w:p>
        </w:tc>
        <w:tc>
          <w:tcPr>
            <w:tcW w:w="1193" w:type="dxa"/>
            <w:tcBorders>
              <w:top w:val="nil"/>
              <w:left w:val="nil"/>
              <w:bottom w:val="single" w:sz="8" w:space="0" w:color="auto"/>
              <w:right w:val="single" w:sz="8" w:space="0" w:color="auto"/>
            </w:tcBorders>
            <w:shd w:val="clear" w:color="auto" w:fill="auto"/>
            <w:vAlign w:val="center"/>
            <w:hideMark/>
          </w:tcPr>
          <w:p w:rsidR="00891A96" w:rsidRPr="00EB2995" w:rsidRDefault="00891A96" w:rsidP="00891A96">
            <w:pPr>
              <w:jc w:val="center"/>
              <w:rPr>
                <w:rFonts w:cs="Calibri"/>
                <w:color w:val="000000"/>
                <w:sz w:val="20"/>
                <w:szCs w:val="20"/>
                <w:lang w:eastAsia="en-GB"/>
              </w:rPr>
            </w:pPr>
            <w:r>
              <w:rPr>
                <w:rFonts w:cs="Calibri"/>
                <w:color w:val="000000"/>
                <w:sz w:val="20"/>
                <w:szCs w:val="20"/>
              </w:rPr>
              <w:t>111.2</w:t>
            </w:r>
          </w:p>
        </w:tc>
        <w:tc>
          <w:tcPr>
            <w:tcW w:w="824" w:type="dxa"/>
            <w:tcBorders>
              <w:top w:val="nil"/>
              <w:left w:val="nil"/>
              <w:bottom w:val="single" w:sz="8" w:space="0" w:color="auto"/>
              <w:right w:val="single" w:sz="8" w:space="0" w:color="auto"/>
            </w:tcBorders>
            <w:shd w:val="clear" w:color="auto" w:fill="auto"/>
            <w:vAlign w:val="center"/>
            <w:hideMark/>
          </w:tcPr>
          <w:p w:rsidR="00891A96" w:rsidRPr="00EB2995" w:rsidRDefault="00891A96" w:rsidP="00891A96">
            <w:pPr>
              <w:jc w:val="center"/>
              <w:rPr>
                <w:rFonts w:cs="Calibri"/>
                <w:color w:val="000000"/>
                <w:sz w:val="20"/>
                <w:szCs w:val="20"/>
                <w:lang w:eastAsia="en-GB"/>
              </w:rPr>
            </w:pPr>
            <w:r>
              <w:rPr>
                <w:rFonts w:cs="Calibri"/>
                <w:color w:val="000000"/>
                <w:sz w:val="20"/>
                <w:szCs w:val="20"/>
              </w:rPr>
              <w:t>(462.1)</w:t>
            </w:r>
          </w:p>
        </w:tc>
      </w:tr>
      <w:tr w:rsidR="00891A96" w:rsidRPr="00EB2995" w:rsidTr="00891A96">
        <w:trPr>
          <w:trHeight w:val="315"/>
        </w:trPr>
        <w:tc>
          <w:tcPr>
            <w:tcW w:w="3687" w:type="dxa"/>
            <w:tcBorders>
              <w:top w:val="nil"/>
              <w:left w:val="single" w:sz="8" w:space="0" w:color="auto"/>
              <w:bottom w:val="single" w:sz="8" w:space="0" w:color="auto"/>
              <w:right w:val="single" w:sz="8" w:space="0" w:color="auto"/>
            </w:tcBorders>
            <w:shd w:val="clear" w:color="auto" w:fill="auto"/>
            <w:noWrap/>
            <w:vAlign w:val="center"/>
            <w:hideMark/>
          </w:tcPr>
          <w:p w:rsidR="00891A96" w:rsidRPr="00EB2995" w:rsidRDefault="00891A96" w:rsidP="00891A96">
            <w:pPr>
              <w:rPr>
                <w:rFonts w:cs="Calibri"/>
                <w:color w:val="000000"/>
                <w:sz w:val="20"/>
                <w:szCs w:val="20"/>
                <w:lang w:eastAsia="en-GB"/>
              </w:rPr>
            </w:pPr>
            <w:r w:rsidRPr="00EB2995">
              <w:rPr>
                <w:rFonts w:cs="Calibri"/>
                <w:color w:val="000000"/>
                <w:sz w:val="20"/>
                <w:szCs w:val="20"/>
                <w:lang w:eastAsia="en-GB"/>
              </w:rPr>
              <w:t>Other Long Term Liabilities</w:t>
            </w:r>
          </w:p>
        </w:tc>
        <w:tc>
          <w:tcPr>
            <w:tcW w:w="992" w:type="dxa"/>
            <w:tcBorders>
              <w:top w:val="nil"/>
              <w:left w:val="nil"/>
              <w:bottom w:val="single" w:sz="8" w:space="0" w:color="auto"/>
              <w:right w:val="single" w:sz="8" w:space="0" w:color="auto"/>
            </w:tcBorders>
            <w:shd w:val="clear" w:color="auto" w:fill="auto"/>
            <w:noWrap/>
            <w:vAlign w:val="center"/>
            <w:hideMark/>
          </w:tcPr>
          <w:p w:rsidR="00891A96" w:rsidRPr="00EB2995" w:rsidRDefault="00891A96" w:rsidP="00891A96">
            <w:pPr>
              <w:jc w:val="center"/>
              <w:rPr>
                <w:rFonts w:cs="Calibri"/>
                <w:color w:val="000000"/>
                <w:sz w:val="20"/>
                <w:szCs w:val="20"/>
                <w:lang w:eastAsia="en-GB"/>
              </w:rPr>
            </w:pPr>
            <w:r>
              <w:rPr>
                <w:rFonts w:cs="Calibri"/>
                <w:color w:val="000000"/>
                <w:sz w:val="20"/>
                <w:szCs w:val="20"/>
              </w:rPr>
              <w:t>(674.3)</w:t>
            </w:r>
          </w:p>
        </w:tc>
        <w:tc>
          <w:tcPr>
            <w:tcW w:w="1021" w:type="dxa"/>
            <w:tcBorders>
              <w:top w:val="nil"/>
              <w:left w:val="nil"/>
              <w:bottom w:val="single" w:sz="8" w:space="0" w:color="auto"/>
              <w:right w:val="single" w:sz="8" w:space="0" w:color="auto"/>
            </w:tcBorders>
            <w:shd w:val="clear" w:color="auto" w:fill="auto"/>
            <w:noWrap/>
            <w:vAlign w:val="center"/>
            <w:hideMark/>
          </w:tcPr>
          <w:p w:rsidR="00891A96" w:rsidRPr="00EB2995" w:rsidRDefault="00891A96" w:rsidP="00891A96">
            <w:pPr>
              <w:jc w:val="center"/>
              <w:rPr>
                <w:rFonts w:cs="Calibri"/>
                <w:color w:val="000000"/>
                <w:sz w:val="20"/>
                <w:szCs w:val="20"/>
                <w:lang w:eastAsia="en-GB"/>
              </w:rPr>
            </w:pPr>
            <w:r>
              <w:rPr>
                <w:rFonts w:cs="Calibri"/>
                <w:color w:val="000000"/>
                <w:sz w:val="20"/>
                <w:szCs w:val="20"/>
              </w:rPr>
              <w:t>(0.9)</w:t>
            </w:r>
          </w:p>
        </w:tc>
        <w:tc>
          <w:tcPr>
            <w:tcW w:w="980" w:type="dxa"/>
            <w:tcBorders>
              <w:top w:val="nil"/>
              <w:left w:val="nil"/>
              <w:bottom w:val="single" w:sz="8" w:space="0" w:color="auto"/>
              <w:right w:val="single" w:sz="8" w:space="0" w:color="auto"/>
            </w:tcBorders>
            <w:shd w:val="clear" w:color="auto" w:fill="auto"/>
            <w:noWrap/>
            <w:vAlign w:val="center"/>
            <w:hideMark/>
          </w:tcPr>
          <w:p w:rsidR="00891A96" w:rsidRPr="00EB2995" w:rsidRDefault="00891A96" w:rsidP="00891A96">
            <w:pPr>
              <w:jc w:val="center"/>
              <w:rPr>
                <w:rFonts w:cs="Calibri"/>
                <w:color w:val="000000"/>
                <w:sz w:val="20"/>
                <w:szCs w:val="20"/>
                <w:lang w:eastAsia="en-GB"/>
              </w:rPr>
            </w:pPr>
            <w:r>
              <w:rPr>
                <w:rFonts w:cs="Calibri"/>
                <w:color w:val="000000"/>
                <w:sz w:val="20"/>
                <w:szCs w:val="20"/>
              </w:rPr>
              <w:t>0.0</w:t>
            </w:r>
          </w:p>
        </w:tc>
        <w:tc>
          <w:tcPr>
            <w:tcW w:w="692" w:type="dxa"/>
            <w:tcBorders>
              <w:top w:val="nil"/>
              <w:left w:val="nil"/>
              <w:bottom w:val="single" w:sz="8" w:space="0" w:color="auto"/>
              <w:right w:val="single" w:sz="8" w:space="0" w:color="auto"/>
            </w:tcBorders>
            <w:shd w:val="clear" w:color="auto" w:fill="auto"/>
            <w:vAlign w:val="center"/>
            <w:hideMark/>
          </w:tcPr>
          <w:p w:rsidR="00891A96" w:rsidRPr="00EB2995" w:rsidRDefault="00891A96" w:rsidP="00891A96">
            <w:pPr>
              <w:jc w:val="center"/>
              <w:rPr>
                <w:rFonts w:cs="Calibri"/>
                <w:color w:val="000000"/>
                <w:sz w:val="20"/>
                <w:szCs w:val="20"/>
                <w:lang w:eastAsia="en-GB"/>
              </w:rPr>
            </w:pPr>
            <w:r>
              <w:rPr>
                <w:rFonts w:cs="Calibri"/>
                <w:color w:val="000000"/>
                <w:sz w:val="20"/>
                <w:szCs w:val="20"/>
              </w:rPr>
              <w:t>0.0</w:t>
            </w:r>
          </w:p>
        </w:tc>
        <w:tc>
          <w:tcPr>
            <w:tcW w:w="980" w:type="dxa"/>
            <w:tcBorders>
              <w:top w:val="nil"/>
              <w:left w:val="nil"/>
              <w:bottom w:val="single" w:sz="8" w:space="0" w:color="auto"/>
              <w:right w:val="single" w:sz="8" w:space="0" w:color="auto"/>
            </w:tcBorders>
            <w:shd w:val="clear" w:color="auto" w:fill="auto"/>
            <w:noWrap/>
            <w:vAlign w:val="center"/>
            <w:hideMark/>
          </w:tcPr>
          <w:p w:rsidR="00891A96" w:rsidRPr="00EB2995" w:rsidRDefault="00891A96" w:rsidP="00891A96">
            <w:pPr>
              <w:jc w:val="center"/>
              <w:rPr>
                <w:rFonts w:cs="Calibri"/>
                <w:color w:val="000000"/>
                <w:sz w:val="20"/>
                <w:szCs w:val="20"/>
                <w:lang w:eastAsia="en-GB"/>
              </w:rPr>
            </w:pPr>
            <w:r>
              <w:rPr>
                <w:rFonts w:cs="Calibri"/>
                <w:color w:val="000000"/>
                <w:sz w:val="20"/>
                <w:szCs w:val="20"/>
              </w:rPr>
              <w:t>0.0</w:t>
            </w:r>
          </w:p>
        </w:tc>
        <w:tc>
          <w:tcPr>
            <w:tcW w:w="1193" w:type="dxa"/>
            <w:tcBorders>
              <w:top w:val="nil"/>
              <w:left w:val="nil"/>
              <w:bottom w:val="single" w:sz="8" w:space="0" w:color="auto"/>
              <w:right w:val="single" w:sz="8" w:space="0" w:color="auto"/>
            </w:tcBorders>
            <w:shd w:val="clear" w:color="auto" w:fill="auto"/>
            <w:vAlign w:val="center"/>
            <w:hideMark/>
          </w:tcPr>
          <w:p w:rsidR="00891A96" w:rsidRPr="00EB2995" w:rsidRDefault="00891A96" w:rsidP="00891A96">
            <w:pPr>
              <w:jc w:val="center"/>
              <w:rPr>
                <w:rFonts w:cs="Calibri"/>
                <w:color w:val="000000"/>
                <w:sz w:val="20"/>
                <w:szCs w:val="20"/>
                <w:lang w:eastAsia="en-GB"/>
              </w:rPr>
            </w:pPr>
            <w:r>
              <w:rPr>
                <w:rFonts w:cs="Calibri"/>
                <w:color w:val="000000"/>
                <w:sz w:val="20"/>
                <w:szCs w:val="20"/>
              </w:rPr>
              <w:t>0.0</w:t>
            </w:r>
          </w:p>
        </w:tc>
        <w:tc>
          <w:tcPr>
            <w:tcW w:w="824" w:type="dxa"/>
            <w:tcBorders>
              <w:top w:val="nil"/>
              <w:left w:val="nil"/>
              <w:bottom w:val="single" w:sz="8" w:space="0" w:color="auto"/>
              <w:right w:val="single" w:sz="8" w:space="0" w:color="auto"/>
            </w:tcBorders>
            <w:shd w:val="clear" w:color="auto" w:fill="auto"/>
            <w:vAlign w:val="center"/>
            <w:hideMark/>
          </w:tcPr>
          <w:p w:rsidR="00891A96" w:rsidRPr="00EB2995" w:rsidRDefault="00891A96" w:rsidP="00891A96">
            <w:pPr>
              <w:jc w:val="center"/>
              <w:rPr>
                <w:rFonts w:cs="Calibri"/>
                <w:color w:val="000000"/>
                <w:sz w:val="20"/>
                <w:szCs w:val="20"/>
                <w:lang w:eastAsia="en-GB"/>
              </w:rPr>
            </w:pPr>
            <w:r>
              <w:rPr>
                <w:rFonts w:cs="Calibri"/>
                <w:color w:val="000000"/>
                <w:sz w:val="20"/>
                <w:szCs w:val="20"/>
              </w:rPr>
              <w:t>(675.2)</w:t>
            </w:r>
          </w:p>
        </w:tc>
      </w:tr>
      <w:tr w:rsidR="00891A96" w:rsidRPr="00EB2995" w:rsidTr="00891A96">
        <w:trPr>
          <w:trHeight w:val="315"/>
        </w:trPr>
        <w:tc>
          <w:tcPr>
            <w:tcW w:w="3687" w:type="dxa"/>
            <w:tcBorders>
              <w:top w:val="nil"/>
              <w:left w:val="single" w:sz="8" w:space="0" w:color="auto"/>
              <w:bottom w:val="single" w:sz="8" w:space="0" w:color="auto"/>
              <w:right w:val="single" w:sz="8" w:space="0" w:color="auto"/>
            </w:tcBorders>
            <w:shd w:val="clear" w:color="auto" w:fill="auto"/>
            <w:noWrap/>
            <w:vAlign w:val="center"/>
            <w:hideMark/>
          </w:tcPr>
          <w:p w:rsidR="00891A96" w:rsidRPr="00EB2995" w:rsidRDefault="00891A96" w:rsidP="00891A96">
            <w:pPr>
              <w:rPr>
                <w:rFonts w:cs="Calibri"/>
                <w:color w:val="000000"/>
                <w:sz w:val="20"/>
                <w:szCs w:val="20"/>
                <w:lang w:eastAsia="en-GB"/>
              </w:rPr>
            </w:pPr>
            <w:r w:rsidRPr="00EB2995">
              <w:rPr>
                <w:rFonts w:cs="Calibri"/>
                <w:color w:val="000000"/>
                <w:sz w:val="20"/>
                <w:szCs w:val="20"/>
                <w:lang w:eastAsia="en-GB"/>
              </w:rPr>
              <w:t>Usable Reserves</w:t>
            </w:r>
          </w:p>
        </w:tc>
        <w:tc>
          <w:tcPr>
            <w:tcW w:w="992" w:type="dxa"/>
            <w:tcBorders>
              <w:top w:val="nil"/>
              <w:left w:val="nil"/>
              <w:bottom w:val="single" w:sz="8" w:space="0" w:color="auto"/>
              <w:right w:val="single" w:sz="8" w:space="0" w:color="auto"/>
            </w:tcBorders>
            <w:shd w:val="clear" w:color="auto" w:fill="auto"/>
            <w:noWrap/>
            <w:vAlign w:val="center"/>
            <w:hideMark/>
          </w:tcPr>
          <w:p w:rsidR="00891A96" w:rsidRPr="00EB2995" w:rsidRDefault="00891A96" w:rsidP="00891A96">
            <w:pPr>
              <w:jc w:val="center"/>
              <w:rPr>
                <w:rFonts w:cs="Calibri"/>
                <w:color w:val="000000"/>
                <w:sz w:val="20"/>
                <w:szCs w:val="20"/>
                <w:lang w:eastAsia="en-GB"/>
              </w:rPr>
            </w:pPr>
            <w:r>
              <w:rPr>
                <w:rFonts w:cs="Calibri"/>
                <w:color w:val="000000"/>
                <w:sz w:val="20"/>
                <w:szCs w:val="20"/>
              </w:rPr>
              <w:t>(396.8)</w:t>
            </w:r>
          </w:p>
        </w:tc>
        <w:tc>
          <w:tcPr>
            <w:tcW w:w="1021" w:type="dxa"/>
            <w:tcBorders>
              <w:top w:val="nil"/>
              <w:left w:val="nil"/>
              <w:bottom w:val="single" w:sz="8" w:space="0" w:color="auto"/>
              <w:right w:val="single" w:sz="8" w:space="0" w:color="auto"/>
            </w:tcBorders>
            <w:shd w:val="clear" w:color="auto" w:fill="auto"/>
            <w:noWrap/>
            <w:vAlign w:val="center"/>
            <w:hideMark/>
          </w:tcPr>
          <w:p w:rsidR="00891A96" w:rsidRPr="00EB2995" w:rsidRDefault="00891A96" w:rsidP="00891A96">
            <w:pPr>
              <w:jc w:val="center"/>
              <w:rPr>
                <w:rFonts w:cs="Calibri"/>
                <w:color w:val="000000"/>
                <w:sz w:val="20"/>
                <w:szCs w:val="20"/>
                <w:lang w:eastAsia="en-GB"/>
              </w:rPr>
            </w:pPr>
            <w:r>
              <w:rPr>
                <w:rFonts w:cs="Calibri"/>
                <w:color w:val="000000"/>
                <w:sz w:val="20"/>
                <w:szCs w:val="20"/>
              </w:rPr>
              <w:t>(11.2)</w:t>
            </w:r>
          </w:p>
        </w:tc>
        <w:tc>
          <w:tcPr>
            <w:tcW w:w="980" w:type="dxa"/>
            <w:tcBorders>
              <w:top w:val="nil"/>
              <w:left w:val="nil"/>
              <w:bottom w:val="single" w:sz="8" w:space="0" w:color="auto"/>
              <w:right w:val="single" w:sz="8" w:space="0" w:color="auto"/>
            </w:tcBorders>
            <w:shd w:val="clear" w:color="auto" w:fill="auto"/>
            <w:noWrap/>
            <w:vAlign w:val="center"/>
            <w:hideMark/>
          </w:tcPr>
          <w:p w:rsidR="00891A96" w:rsidRPr="00EB2995" w:rsidRDefault="00891A96" w:rsidP="00891A96">
            <w:pPr>
              <w:jc w:val="center"/>
              <w:rPr>
                <w:rFonts w:cs="Calibri"/>
                <w:color w:val="000000"/>
                <w:sz w:val="20"/>
                <w:szCs w:val="20"/>
                <w:lang w:eastAsia="en-GB"/>
              </w:rPr>
            </w:pPr>
            <w:r>
              <w:rPr>
                <w:rFonts w:cs="Calibri"/>
                <w:color w:val="000000"/>
                <w:sz w:val="20"/>
                <w:szCs w:val="20"/>
              </w:rPr>
              <w:t>(0.5)</w:t>
            </w:r>
          </w:p>
        </w:tc>
        <w:tc>
          <w:tcPr>
            <w:tcW w:w="692" w:type="dxa"/>
            <w:tcBorders>
              <w:top w:val="nil"/>
              <w:left w:val="nil"/>
              <w:bottom w:val="single" w:sz="8" w:space="0" w:color="auto"/>
              <w:right w:val="single" w:sz="8" w:space="0" w:color="auto"/>
            </w:tcBorders>
            <w:shd w:val="clear" w:color="auto" w:fill="auto"/>
            <w:vAlign w:val="center"/>
            <w:hideMark/>
          </w:tcPr>
          <w:p w:rsidR="00891A96" w:rsidRPr="00EB2995" w:rsidRDefault="00891A96" w:rsidP="00891A96">
            <w:pPr>
              <w:jc w:val="center"/>
              <w:rPr>
                <w:rFonts w:cs="Calibri"/>
                <w:color w:val="000000"/>
                <w:sz w:val="20"/>
                <w:szCs w:val="20"/>
                <w:lang w:eastAsia="en-GB"/>
              </w:rPr>
            </w:pPr>
            <w:r>
              <w:rPr>
                <w:rFonts w:cs="Calibri"/>
                <w:color w:val="000000"/>
                <w:sz w:val="20"/>
                <w:szCs w:val="20"/>
              </w:rPr>
              <w:t>2.0</w:t>
            </w:r>
          </w:p>
        </w:tc>
        <w:tc>
          <w:tcPr>
            <w:tcW w:w="980" w:type="dxa"/>
            <w:tcBorders>
              <w:top w:val="nil"/>
              <w:left w:val="nil"/>
              <w:bottom w:val="single" w:sz="8" w:space="0" w:color="auto"/>
              <w:right w:val="single" w:sz="8" w:space="0" w:color="auto"/>
            </w:tcBorders>
            <w:shd w:val="clear" w:color="auto" w:fill="auto"/>
            <w:noWrap/>
            <w:vAlign w:val="center"/>
            <w:hideMark/>
          </w:tcPr>
          <w:p w:rsidR="00891A96" w:rsidRPr="00EB2995" w:rsidRDefault="00891A96" w:rsidP="00891A96">
            <w:pPr>
              <w:jc w:val="center"/>
              <w:rPr>
                <w:rFonts w:cs="Calibri"/>
                <w:color w:val="000000"/>
                <w:sz w:val="20"/>
                <w:szCs w:val="20"/>
                <w:lang w:eastAsia="en-GB"/>
              </w:rPr>
            </w:pPr>
            <w:r>
              <w:rPr>
                <w:rFonts w:cs="Calibri"/>
                <w:color w:val="000000"/>
                <w:sz w:val="20"/>
                <w:szCs w:val="20"/>
              </w:rPr>
              <w:t>0.0</w:t>
            </w:r>
          </w:p>
        </w:tc>
        <w:tc>
          <w:tcPr>
            <w:tcW w:w="1193" w:type="dxa"/>
            <w:tcBorders>
              <w:top w:val="nil"/>
              <w:left w:val="nil"/>
              <w:bottom w:val="single" w:sz="8" w:space="0" w:color="auto"/>
              <w:right w:val="single" w:sz="8" w:space="0" w:color="auto"/>
            </w:tcBorders>
            <w:shd w:val="clear" w:color="auto" w:fill="auto"/>
            <w:vAlign w:val="center"/>
            <w:hideMark/>
          </w:tcPr>
          <w:p w:rsidR="00891A96" w:rsidRPr="00EB2995" w:rsidRDefault="00891A96" w:rsidP="00891A96">
            <w:pPr>
              <w:jc w:val="center"/>
              <w:rPr>
                <w:rFonts w:cs="Calibri"/>
                <w:color w:val="000000"/>
                <w:sz w:val="20"/>
                <w:szCs w:val="20"/>
                <w:lang w:eastAsia="en-GB"/>
              </w:rPr>
            </w:pPr>
            <w:r>
              <w:rPr>
                <w:rFonts w:cs="Calibri"/>
                <w:color w:val="000000"/>
                <w:sz w:val="20"/>
                <w:szCs w:val="20"/>
              </w:rPr>
              <w:t>5.5</w:t>
            </w:r>
          </w:p>
        </w:tc>
        <w:tc>
          <w:tcPr>
            <w:tcW w:w="824" w:type="dxa"/>
            <w:tcBorders>
              <w:top w:val="nil"/>
              <w:left w:val="nil"/>
              <w:bottom w:val="single" w:sz="8" w:space="0" w:color="auto"/>
              <w:right w:val="single" w:sz="8" w:space="0" w:color="auto"/>
            </w:tcBorders>
            <w:shd w:val="clear" w:color="auto" w:fill="auto"/>
            <w:vAlign w:val="center"/>
            <w:hideMark/>
          </w:tcPr>
          <w:p w:rsidR="00891A96" w:rsidRPr="00EB2995" w:rsidRDefault="00891A96" w:rsidP="00891A96">
            <w:pPr>
              <w:jc w:val="center"/>
              <w:rPr>
                <w:rFonts w:cs="Calibri"/>
                <w:color w:val="000000"/>
                <w:sz w:val="20"/>
                <w:szCs w:val="20"/>
                <w:lang w:eastAsia="en-GB"/>
              </w:rPr>
            </w:pPr>
            <w:r>
              <w:rPr>
                <w:rFonts w:cs="Calibri"/>
                <w:color w:val="000000"/>
                <w:sz w:val="20"/>
                <w:szCs w:val="20"/>
              </w:rPr>
              <w:t>(401.0)</w:t>
            </w:r>
          </w:p>
        </w:tc>
      </w:tr>
      <w:tr w:rsidR="00891A96" w:rsidRPr="00EB2995" w:rsidTr="00891A96">
        <w:trPr>
          <w:trHeight w:val="315"/>
        </w:trPr>
        <w:tc>
          <w:tcPr>
            <w:tcW w:w="3687" w:type="dxa"/>
            <w:tcBorders>
              <w:top w:val="nil"/>
              <w:left w:val="single" w:sz="8" w:space="0" w:color="auto"/>
              <w:bottom w:val="single" w:sz="8" w:space="0" w:color="auto"/>
              <w:right w:val="single" w:sz="8" w:space="0" w:color="auto"/>
            </w:tcBorders>
            <w:shd w:val="clear" w:color="auto" w:fill="auto"/>
            <w:noWrap/>
            <w:vAlign w:val="center"/>
            <w:hideMark/>
          </w:tcPr>
          <w:p w:rsidR="00891A96" w:rsidRPr="00EB2995" w:rsidRDefault="00891A96" w:rsidP="00891A96">
            <w:pPr>
              <w:rPr>
                <w:rFonts w:cs="Calibri"/>
                <w:color w:val="000000"/>
                <w:sz w:val="20"/>
                <w:szCs w:val="20"/>
                <w:lang w:eastAsia="en-GB"/>
              </w:rPr>
            </w:pPr>
            <w:r w:rsidRPr="00EB2995">
              <w:rPr>
                <w:rFonts w:cs="Calibri"/>
                <w:color w:val="000000"/>
                <w:sz w:val="20"/>
                <w:szCs w:val="20"/>
                <w:lang w:eastAsia="en-GB"/>
              </w:rPr>
              <w:t>Unusable Reserves</w:t>
            </w:r>
          </w:p>
        </w:tc>
        <w:tc>
          <w:tcPr>
            <w:tcW w:w="992" w:type="dxa"/>
            <w:tcBorders>
              <w:top w:val="nil"/>
              <w:left w:val="nil"/>
              <w:bottom w:val="single" w:sz="8" w:space="0" w:color="auto"/>
              <w:right w:val="single" w:sz="8" w:space="0" w:color="auto"/>
            </w:tcBorders>
            <w:shd w:val="clear" w:color="auto" w:fill="auto"/>
            <w:noWrap/>
            <w:vAlign w:val="center"/>
            <w:hideMark/>
          </w:tcPr>
          <w:p w:rsidR="00891A96" w:rsidRPr="00EB2995" w:rsidRDefault="00891A96" w:rsidP="00891A96">
            <w:pPr>
              <w:jc w:val="center"/>
              <w:rPr>
                <w:rFonts w:cs="Calibri"/>
                <w:color w:val="000000"/>
                <w:sz w:val="20"/>
                <w:szCs w:val="20"/>
                <w:lang w:eastAsia="en-GB"/>
              </w:rPr>
            </w:pPr>
            <w:r>
              <w:rPr>
                <w:rFonts w:cs="Calibri"/>
                <w:color w:val="000000"/>
                <w:sz w:val="20"/>
                <w:szCs w:val="20"/>
              </w:rPr>
              <w:t>(603.3)</w:t>
            </w:r>
          </w:p>
        </w:tc>
        <w:tc>
          <w:tcPr>
            <w:tcW w:w="1021" w:type="dxa"/>
            <w:tcBorders>
              <w:top w:val="nil"/>
              <w:left w:val="nil"/>
              <w:bottom w:val="single" w:sz="8" w:space="0" w:color="auto"/>
              <w:right w:val="single" w:sz="8" w:space="0" w:color="auto"/>
            </w:tcBorders>
            <w:shd w:val="clear" w:color="auto" w:fill="auto"/>
            <w:noWrap/>
            <w:vAlign w:val="center"/>
            <w:hideMark/>
          </w:tcPr>
          <w:p w:rsidR="00891A96" w:rsidRPr="00EB2995" w:rsidRDefault="00891A96" w:rsidP="00891A96">
            <w:pPr>
              <w:jc w:val="center"/>
              <w:rPr>
                <w:rFonts w:cs="Calibri"/>
                <w:color w:val="000000"/>
                <w:sz w:val="20"/>
                <w:szCs w:val="20"/>
                <w:lang w:eastAsia="en-GB"/>
              </w:rPr>
            </w:pPr>
            <w:r>
              <w:rPr>
                <w:rFonts w:cs="Calibri"/>
                <w:color w:val="000000"/>
                <w:sz w:val="20"/>
                <w:szCs w:val="20"/>
              </w:rPr>
              <w:t>(15.5)</w:t>
            </w:r>
          </w:p>
        </w:tc>
        <w:tc>
          <w:tcPr>
            <w:tcW w:w="980" w:type="dxa"/>
            <w:tcBorders>
              <w:top w:val="nil"/>
              <w:left w:val="nil"/>
              <w:bottom w:val="single" w:sz="8" w:space="0" w:color="auto"/>
              <w:right w:val="single" w:sz="8" w:space="0" w:color="auto"/>
            </w:tcBorders>
            <w:shd w:val="clear" w:color="auto" w:fill="auto"/>
            <w:noWrap/>
            <w:vAlign w:val="center"/>
            <w:hideMark/>
          </w:tcPr>
          <w:p w:rsidR="00891A96" w:rsidRPr="00EB2995" w:rsidRDefault="00891A96" w:rsidP="00891A96">
            <w:pPr>
              <w:jc w:val="center"/>
              <w:rPr>
                <w:rFonts w:cs="Calibri"/>
                <w:color w:val="000000"/>
                <w:sz w:val="20"/>
                <w:szCs w:val="20"/>
                <w:lang w:eastAsia="en-GB"/>
              </w:rPr>
            </w:pPr>
            <w:r>
              <w:rPr>
                <w:rFonts w:cs="Calibri"/>
                <w:color w:val="000000"/>
                <w:sz w:val="20"/>
                <w:szCs w:val="20"/>
              </w:rPr>
              <w:t>(0.9)</w:t>
            </w:r>
          </w:p>
        </w:tc>
        <w:tc>
          <w:tcPr>
            <w:tcW w:w="692" w:type="dxa"/>
            <w:tcBorders>
              <w:top w:val="nil"/>
              <w:left w:val="nil"/>
              <w:bottom w:val="single" w:sz="8" w:space="0" w:color="auto"/>
              <w:right w:val="single" w:sz="8" w:space="0" w:color="auto"/>
            </w:tcBorders>
            <w:shd w:val="clear" w:color="auto" w:fill="auto"/>
            <w:vAlign w:val="center"/>
            <w:hideMark/>
          </w:tcPr>
          <w:p w:rsidR="00891A96" w:rsidRPr="00EB2995" w:rsidRDefault="00891A96" w:rsidP="00891A96">
            <w:pPr>
              <w:jc w:val="center"/>
              <w:rPr>
                <w:rFonts w:cs="Calibri"/>
                <w:color w:val="000000"/>
                <w:sz w:val="20"/>
                <w:szCs w:val="20"/>
                <w:lang w:eastAsia="en-GB"/>
              </w:rPr>
            </w:pPr>
            <w:r>
              <w:rPr>
                <w:rFonts w:cs="Calibri"/>
                <w:color w:val="000000"/>
                <w:sz w:val="20"/>
                <w:szCs w:val="20"/>
              </w:rPr>
              <w:t>(62.1)</w:t>
            </w:r>
          </w:p>
        </w:tc>
        <w:tc>
          <w:tcPr>
            <w:tcW w:w="980" w:type="dxa"/>
            <w:tcBorders>
              <w:top w:val="nil"/>
              <w:left w:val="nil"/>
              <w:bottom w:val="single" w:sz="8" w:space="0" w:color="auto"/>
              <w:right w:val="single" w:sz="8" w:space="0" w:color="auto"/>
            </w:tcBorders>
            <w:shd w:val="clear" w:color="auto" w:fill="auto"/>
            <w:noWrap/>
            <w:vAlign w:val="center"/>
            <w:hideMark/>
          </w:tcPr>
          <w:p w:rsidR="00891A96" w:rsidRPr="00EB2995" w:rsidRDefault="00891A96" w:rsidP="00891A96">
            <w:pPr>
              <w:jc w:val="center"/>
              <w:rPr>
                <w:rFonts w:cs="Calibri"/>
                <w:color w:val="000000"/>
                <w:sz w:val="20"/>
                <w:szCs w:val="20"/>
                <w:lang w:eastAsia="en-GB"/>
              </w:rPr>
            </w:pPr>
            <w:r>
              <w:rPr>
                <w:rFonts w:cs="Calibri"/>
                <w:color w:val="000000"/>
                <w:sz w:val="20"/>
                <w:szCs w:val="20"/>
              </w:rPr>
              <w:t>0.0</w:t>
            </w:r>
          </w:p>
        </w:tc>
        <w:tc>
          <w:tcPr>
            <w:tcW w:w="1193" w:type="dxa"/>
            <w:tcBorders>
              <w:top w:val="nil"/>
              <w:left w:val="nil"/>
              <w:bottom w:val="single" w:sz="8" w:space="0" w:color="auto"/>
              <w:right w:val="single" w:sz="8" w:space="0" w:color="auto"/>
            </w:tcBorders>
            <w:shd w:val="clear" w:color="auto" w:fill="auto"/>
            <w:vAlign w:val="center"/>
            <w:hideMark/>
          </w:tcPr>
          <w:p w:rsidR="00891A96" w:rsidRPr="00EB2995" w:rsidRDefault="00891A96" w:rsidP="00891A96">
            <w:pPr>
              <w:jc w:val="center"/>
              <w:rPr>
                <w:rFonts w:cs="Calibri"/>
                <w:color w:val="000000"/>
                <w:sz w:val="20"/>
                <w:szCs w:val="20"/>
                <w:lang w:eastAsia="en-GB"/>
              </w:rPr>
            </w:pPr>
            <w:r>
              <w:rPr>
                <w:rFonts w:cs="Calibri"/>
                <w:color w:val="000000"/>
                <w:sz w:val="20"/>
                <w:szCs w:val="20"/>
              </w:rPr>
              <w:t>62.1</w:t>
            </w:r>
          </w:p>
        </w:tc>
        <w:tc>
          <w:tcPr>
            <w:tcW w:w="824" w:type="dxa"/>
            <w:tcBorders>
              <w:top w:val="nil"/>
              <w:left w:val="nil"/>
              <w:bottom w:val="single" w:sz="8" w:space="0" w:color="auto"/>
              <w:right w:val="single" w:sz="8" w:space="0" w:color="auto"/>
            </w:tcBorders>
            <w:shd w:val="clear" w:color="auto" w:fill="auto"/>
            <w:vAlign w:val="center"/>
            <w:hideMark/>
          </w:tcPr>
          <w:p w:rsidR="00891A96" w:rsidRPr="00EB2995" w:rsidRDefault="00891A96" w:rsidP="00891A96">
            <w:pPr>
              <w:jc w:val="center"/>
              <w:rPr>
                <w:rFonts w:cs="Calibri"/>
                <w:color w:val="000000"/>
                <w:sz w:val="20"/>
                <w:szCs w:val="20"/>
                <w:lang w:eastAsia="en-GB"/>
              </w:rPr>
            </w:pPr>
            <w:r>
              <w:rPr>
                <w:rFonts w:cs="Calibri"/>
                <w:color w:val="000000"/>
                <w:sz w:val="20"/>
                <w:szCs w:val="20"/>
              </w:rPr>
              <w:t>(619.7)</w:t>
            </w:r>
          </w:p>
        </w:tc>
      </w:tr>
      <w:tr w:rsidR="00891A96" w:rsidRPr="00EB2995" w:rsidTr="00891A96">
        <w:trPr>
          <w:trHeight w:val="315"/>
        </w:trPr>
        <w:tc>
          <w:tcPr>
            <w:tcW w:w="3687" w:type="dxa"/>
            <w:tcBorders>
              <w:top w:val="nil"/>
              <w:left w:val="single" w:sz="8" w:space="0" w:color="auto"/>
              <w:bottom w:val="single" w:sz="8" w:space="0" w:color="auto"/>
              <w:right w:val="single" w:sz="8" w:space="0" w:color="auto"/>
            </w:tcBorders>
            <w:shd w:val="clear" w:color="auto" w:fill="auto"/>
            <w:noWrap/>
            <w:vAlign w:val="center"/>
            <w:hideMark/>
          </w:tcPr>
          <w:p w:rsidR="00891A96" w:rsidRPr="00EB2995" w:rsidRDefault="00891A96" w:rsidP="00891A96">
            <w:pPr>
              <w:rPr>
                <w:rFonts w:cs="Calibri"/>
                <w:color w:val="000000"/>
                <w:sz w:val="20"/>
                <w:szCs w:val="20"/>
                <w:lang w:eastAsia="en-GB"/>
              </w:rPr>
            </w:pPr>
            <w:r w:rsidRPr="00EB2995">
              <w:rPr>
                <w:rFonts w:cs="Calibri"/>
                <w:color w:val="000000"/>
                <w:sz w:val="20"/>
                <w:szCs w:val="20"/>
                <w:lang w:eastAsia="en-GB"/>
              </w:rPr>
              <w:t>Community Wellbeing (GF)</w:t>
            </w:r>
          </w:p>
        </w:tc>
        <w:tc>
          <w:tcPr>
            <w:tcW w:w="992" w:type="dxa"/>
            <w:tcBorders>
              <w:top w:val="nil"/>
              <w:left w:val="nil"/>
              <w:bottom w:val="single" w:sz="8" w:space="0" w:color="auto"/>
              <w:right w:val="single" w:sz="8" w:space="0" w:color="auto"/>
            </w:tcBorders>
            <w:shd w:val="clear" w:color="auto" w:fill="auto"/>
            <w:noWrap/>
            <w:vAlign w:val="center"/>
            <w:hideMark/>
          </w:tcPr>
          <w:p w:rsidR="00891A96" w:rsidRPr="00EB2995" w:rsidRDefault="00891A96" w:rsidP="00891A96">
            <w:pPr>
              <w:jc w:val="center"/>
              <w:rPr>
                <w:rFonts w:cs="Calibri"/>
                <w:color w:val="000000"/>
                <w:sz w:val="20"/>
                <w:szCs w:val="20"/>
                <w:lang w:eastAsia="en-GB"/>
              </w:rPr>
            </w:pPr>
            <w:r>
              <w:rPr>
                <w:rFonts w:cs="Calibri"/>
                <w:color w:val="000000"/>
                <w:sz w:val="20"/>
                <w:szCs w:val="20"/>
              </w:rPr>
              <w:t>152.6</w:t>
            </w:r>
          </w:p>
        </w:tc>
        <w:tc>
          <w:tcPr>
            <w:tcW w:w="1021" w:type="dxa"/>
            <w:tcBorders>
              <w:top w:val="nil"/>
              <w:left w:val="nil"/>
              <w:bottom w:val="single" w:sz="8" w:space="0" w:color="auto"/>
              <w:right w:val="single" w:sz="8" w:space="0" w:color="auto"/>
            </w:tcBorders>
            <w:shd w:val="clear" w:color="auto" w:fill="auto"/>
            <w:noWrap/>
            <w:vAlign w:val="center"/>
            <w:hideMark/>
          </w:tcPr>
          <w:p w:rsidR="00891A96" w:rsidRPr="00EB2995" w:rsidRDefault="00891A96" w:rsidP="00891A96">
            <w:pPr>
              <w:jc w:val="center"/>
              <w:rPr>
                <w:rFonts w:cs="Calibri"/>
                <w:color w:val="000000"/>
                <w:sz w:val="20"/>
                <w:szCs w:val="20"/>
                <w:lang w:eastAsia="en-GB"/>
              </w:rPr>
            </w:pPr>
            <w:r>
              <w:rPr>
                <w:rFonts w:cs="Calibri"/>
                <w:color w:val="000000"/>
                <w:sz w:val="20"/>
                <w:szCs w:val="20"/>
              </w:rPr>
              <w:t>(1.8)</w:t>
            </w:r>
          </w:p>
        </w:tc>
        <w:tc>
          <w:tcPr>
            <w:tcW w:w="980" w:type="dxa"/>
            <w:tcBorders>
              <w:top w:val="nil"/>
              <w:left w:val="nil"/>
              <w:bottom w:val="single" w:sz="8" w:space="0" w:color="auto"/>
              <w:right w:val="single" w:sz="8" w:space="0" w:color="auto"/>
            </w:tcBorders>
            <w:shd w:val="clear" w:color="auto" w:fill="auto"/>
            <w:noWrap/>
            <w:vAlign w:val="center"/>
            <w:hideMark/>
          </w:tcPr>
          <w:p w:rsidR="00891A96" w:rsidRPr="00EB2995" w:rsidRDefault="00891A96" w:rsidP="00891A96">
            <w:pPr>
              <w:jc w:val="center"/>
              <w:rPr>
                <w:rFonts w:cs="Calibri"/>
                <w:color w:val="000000"/>
                <w:sz w:val="20"/>
                <w:szCs w:val="20"/>
                <w:lang w:eastAsia="en-GB"/>
              </w:rPr>
            </w:pPr>
            <w:r>
              <w:rPr>
                <w:rFonts w:cs="Calibri"/>
                <w:color w:val="000000"/>
                <w:sz w:val="20"/>
                <w:szCs w:val="20"/>
              </w:rPr>
              <w:t>(0.0)</w:t>
            </w:r>
          </w:p>
        </w:tc>
        <w:tc>
          <w:tcPr>
            <w:tcW w:w="692" w:type="dxa"/>
            <w:tcBorders>
              <w:top w:val="nil"/>
              <w:left w:val="nil"/>
              <w:bottom w:val="single" w:sz="8" w:space="0" w:color="auto"/>
              <w:right w:val="single" w:sz="8" w:space="0" w:color="auto"/>
            </w:tcBorders>
            <w:shd w:val="clear" w:color="auto" w:fill="auto"/>
            <w:vAlign w:val="center"/>
            <w:hideMark/>
          </w:tcPr>
          <w:p w:rsidR="00891A96" w:rsidRPr="00EB2995" w:rsidRDefault="00891A96" w:rsidP="00891A96">
            <w:pPr>
              <w:jc w:val="center"/>
              <w:rPr>
                <w:rFonts w:cs="Calibri"/>
                <w:color w:val="000000"/>
                <w:sz w:val="20"/>
                <w:szCs w:val="20"/>
                <w:lang w:eastAsia="en-GB"/>
              </w:rPr>
            </w:pPr>
            <w:r>
              <w:rPr>
                <w:rFonts w:cs="Calibri"/>
                <w:color w:val="000000"/>
                <w:sz w:val="20"/>
                <w:szCs w:val="20"/>
              </w:rPr>
              <w:t>0.0</w:t>
            </w:r>
          </w:p>
        </w:tc>
        <w:tc>
          <w:tcPr>
            <w:tcW w:w="980" w:type="dxa"/>
            <w:tcBorders>
              <w:top w:val="nil"/>
              <w:left w:val="nil"/>
              <w:bottom w:val="single" w:sz="8" w:space="0" w:color="auto"/>
              <w:right w:val="single" w:sz="8" w:space="0" w:color="auto"/>
            </w:tcBorders>
            <w:shd w:val="clear" w:color="auto" w:fill="auto"/>
            <w:vAlign w:val="center"/>
            <w:hideMark/>
          </w:tcPr>
          <w:p w:rsidR="00891A96" w:rsidRPr="00EB2995" w:rsidRDefault="00891A96" w:rsidP="00891A96">
            <w:pPr>
              <w:jc w:val="center"/>
              <w:rPr>
                <w:rFonts w:cs="Calibri"/>
                <w:color w:val="000000"/>
                <w:sz w:val="20"/>
                <w:szCs w:val="20"/>
                <w:lang w:eastAsia="en-GB"/>
              </w:rPr>
            </w:pPr>
            <w:r>
              <w:rPr>
                <w:rFonts w:cs="Calibri"/>
                <w:color w:val="000000"/>
                <w:sz w:val="20"/>
                <w:szCs w:val="20"/>
              </w:rPr>
              <w:t>0.0</w:t>
            </w:r>
          </w:p>
        </w:tc>
        <w:tc>
          <w:tcPr>
            <w:tcW w:w="1193" w:type="dxa"/>
            <w:tcBorders>
              <w:top w:val="nil"/>
              <w:left w:val="nil"/>
              <w:bottom w:val="single" w:sz="8" w:space="0" w:color="auto"/>
              <w:right w:val="single" w:sz="8" w:space="0" w:color="auto"/>
            </w:tcBorders>
            <w:shd w:val="clear" w:color="auto" w:fill="auto"/>
            <w:noWrap/>
            <w:vAlign w:val="center"/>
            <w:hideMark/>
          </w:tcPr>
          <w:p w:rsidR="00891A96" w:rsidRPr="00EB2995" w:rsidRDefault="00891A96" w:rsidP="00891A96">
            <w:pPr>
              <w:jc w:val="center"/>
              <w:rPr>
                <w:rFonts w:cs="Calibri"/>
                <w:color w:val="000000"/>
                <w:sz w:val="20"/>
                <w:szCs w:val="20"/>
                <w:lang w:eastAsia="en-GB"/>
              </w:rPr>
            </w:pPr>
            <w:r>
              <w:rPr>
                <w:rFonts w:cs="Calibri"/>
                <w:color w:val="000000"/>
                <w:sz w:val="20"/>
                <w:szCs w:val="20"/>
              </w:rPr>
              <w:t>0.0</w:t>
            </w:r>
          </w:p>
        </w:tc>
        <w:tc>
          <w:tcPr>
            <w:tcW w:w="824" w:type="dxa"/>
            <w:tcBorders>
              <w:top w:val="nil"/>
              <w:left w:val="nil"/>
              <w:bottom w:val="single" w:sz="8" w:space="0" w:color="auto"/>
              <w:right w:val="single" w:sz="8" w:space="0" w:color="auto"/>
            </w:tcBorders>
            <w:shd w:val="clear" w:color="auto" w:fill="auto"/>
            <w:vAlign w:val="center"/>
            <w:hideMark/>
          </w:tcPr>
          <w:p w:rsidR="00891A96" w:rsidRPr="00EB2995" w:rsidRDefault="00891A96" w:rsidP="00891A96">
            <w:pPr>
              <w:jc w:val="center"/>
              <w:rPr>
                <w:rFonts w:cs="Calibri"/>
                <w:color w:val="000000"/>
                <w:sz w:val="20"/>
                <w:szCs w:val="20"/>
                <w:lang w:eastAsia="en-GB"/>
              </w:rPr>
            </w:pPr>
            <w:r>
              <w:rPr>
                <w:rFonts w:cs="Calibri"/>
                <w:color w:val="000000"/>
                <w:sz w:val="20"/>
                <w:szCs w:val="20"/>
              </w:rPr>
              <w:t>150.8</w:t>
            </w:r>
          </w:p>
        </w:tc>
      </w:tr>
      <w:tr w:rsidR="00891A96" w:rsidRPr="00EB2995" w:rsidTr="00891A96">
        <w:trPr>
          <w:trHeight w:val="315"/>
        </w:trPr>
        <w:tc>
          <w:tcPr>
            <w:tcW w:w="3687" w:type="dxa"/>
            <w:tcBorders>
              <w:top w:val="nil"/>
              <w:left w:val="single" w:sz="8" w:space="0" w:color="auto"/>
              <w:bottom w:val="single" w:sz="8" w:space="0" w:color="auto"/>
              <w:right w:val="single" w:sz="8" w:space="0" w:color="auto"/>
            </w:tcBorders>
            <w:shd w:val="clear" w:color="auto" w:fill="auto"/>
            <w:noWrap/>
            <w:vAlign w:val="center"/>
            <w:hideMark/>
          </w:tcPr>
          <w:p w:rsidR="00891A96" w:rsidRPr="00EB2995" w:rsidRDefault="00891A96" w:rsidP="00891A96">
            <w:pPr>
              <w:rPr>
                <w:rFonts w:cs="Calibri"/>
                <w:color w:val="000000"/>
                <w:sz w:val="20"/>
                <w:szCs w:val="20"/>
                <w:lang w:eastAsia="en-GB"/>
              </w:rPr>
            </w:pPr>
            <w:r w:rsidRPr="00EB2995">
              <w:rPr>
                <w:rFonts w:cs="Calibri"/>
                <w:color w:val="000000"/>
                <w:sz w:val="20"/>
                <w:szCs w:val="20"/>
                <w:lang w:eastAsia="en-GB"/>
              </w:rPr>
              <w:t>Community Wellbeing (HRA)</w:t>
            </w:r>
          </w:p>
        </w:tc>
        <w:tc>
          <w:tcPr>
            <w:tcW w:w="992" w:type="dxa"/>
            <w:tcBorders>
              <w:top w:val="nil"/>
              <w:left w:val="nil"/>
              <w:bottom w:val="single" w:sz="8" w:space="0" w:color="auto"/>
              <w:right w:val="single" w:sz="8" w:space="0" w:color="auto"/>
            </w:tcBorders>
            <w:shd w:val="clear" w:color="auto" w:fill="auto"/>
            <w:noWrap/>
            <w:vAlign w:val="center"/>
            <w:hideMark/>
          </w:tcPr>
          <w:p w:rsidR="00891A96" w:rsidRPr="00EB2995" w:rsidRDefault="00891A96" w:rsidP="00891A96">
            <w:pPr>
              <w:jc w:val="center"/>
              <w:rPr>
                <w:rFonts w:cs="Calibri"/>
                <w:color w:val="000000"/>
                <w:sz w:val="20"/>
                <w:szCs w:val="20"/>
                <w:lang w:eastAsia="en-GB"/>
              </w:rPr>
            </w:pPr>
            <w:r>
              <w:rPr>
                <w:rFonts w:cs="Calibri"/>
                <w:color w:val="000000"/>
                <w:sz w:val="20"/>
                <w:szCs w:val="20"/>
              </w:rPr>
              <w:t>3.4</w:t>
            </w:r>
          </w:p>
        </w:tc>
        <w:tc>
          <w:tcPr>
            <w:tcW w:w="1021" w:type="dxa"/>
            <w:tcBorders>
              <w:top w:val="nil"/>
              <w:left w:val="nil"/>
              <w:bottom w:val="single" w:sz="8" w:space="0" w:color="auto"/>
              <w:right w:val="single" w:sz="8" w:space="0" w:color="auto"/>
            </w:tcBorders>
            <w:shd w:val="clear" w:color="auto" w:fill="auto"/>
            <w:noWrap/>
            <w:vAlign w:val="center"/>
            <w:hideMark/>
          </w:tcPr>
          <w:p w:rsidR="00891A96" w:rsidRPr="00EB2995" w:rsidRDefault="00891A96" w:rsidP="00891A96">
            <w:pPr>
              <w:jc w:val="center"/>
              <w:rPr>
                <w:rFonts w:cs="Calibri"/>
                <w:color w:val="000000"/>
                <w:sz w:val="20"/>
                <w:szCs w:val="20"/>
                <w:lang w:eastAsia="en-GB"/>
              </w:rPr>
            </w:pPr>
            <w:r>
              <w:rPr>
                <w:rFonts w:cs="Calibri"/>
                <w:color w:val="000000"/>
                <w:sz w:val="20"/>
                <w:szCs w:val="20"/>
              </w:rPr>
              <w:t>0.0</w:t>
            </w:r>
          </w:p>
        </w:tc>
        <w:tc>
          <w:tcPr>
            <w:tcW w:w="980" w:type="dxa"/>
            <w:tcBorders>
              <w:top w:val="nil"/>
              <w:left w:val="nil"/>
              <w:bottom w:val="single" w:sz="8" w:space="0" w:color="auto"/>
              <w:right w:val="single" w:sz="8" w:space="0" w:color="auto"/>
            </w:tcBorders>
            <w:shd w:val="clear" w:color="auto" w:fill="auto"/>
            <w:noWrap/>
            <w:vAlign w:val="center"/>
            <w:hideMark/>
          </w:tcPr>
          <w:p w:rsidR="00891A96" w:rsidRPr="00EB2995" w:rsidRDefault="00891A96" w:rsidP="00891A96">
            <w:pPr>
              <w:jc w:val="center"/>
              <w:rPr>
                <w:rFonts w:cs="Calibri"/>
                <w:color w:val="000000"/>
                <w:sz w:val="20"/>
                <w:szCs w:val="20"/>
                <w:lang w:eastAsia="en-GB"/>
              </w:rPr>
            </w:pPr>
            <w:r>
              <w:rPr>
                <w:rFonts w:cs="Calibri"/>
                <w:color w:val="000000"/>
                <w:sz w:val="20"/>
                <w:szCs w:val="20"/>
              </w:rPr>
              <w:t>0.0</w:t>
            </w:r>
          </w:p>
        </w:tc>
        <w:tc>
          <w:tcPr>
            <w:tcW w:w="692" w:type="dxa"/>
            <w:tcBorders>
              <w:top w:val="nil"/>
              <w:left w:val="nil"/>
              <w:bottom w:val="single" w:sz="8" w:space="0" w:color="auto"/>
              <w:right w:val="single" w:sz="8" w:space="0" w:color="auto"/>
            </w:tcBorders>
            <w:shd w:val="clear" w:color="auto" w:fill="auto"/>
            <w:vAlign w:val="center"/>
            <w:hideMark/>
          </w:tcPr>
          <w:p w:rsidR="00891A96" w:rsidRPr="00EB2995" w:rsidRDefault="00891A96" w:rsidP="00891A96">
            <w:pPr>
              <w:jc w:val="center"/>
              <w:rPr>
                <w:rFonts w:cs="Calibri"/>
                <w:color w:val="000000"/>
                <w:sz w:val="20"/>
                <w:szCs w:val="20"/>
                <w:lang w:eastAsia="en-GB"/>
              </w:rPr>
            </w:pPr>
            <w:r>
              <w:rPr>
                <w:rFonts w:cs="Calibri"/>
                <w:color w:val="000000"/>
                <w:sz w:val="20"/>
                <w:szCs w:val="20"/>
              </w:rPr>
              <w:t>(2.8)</w:t>
            </w:r>
          </w:p>
        </w:tc>
        <w:tc>
          <w:tcPr>
            <w:tcW w:w="980" w:type="dxa"/>
            <w:tcBorders>
              <w:top w:val="nil"/>
              <w:left w:val="nil"/>
              <w:bottom w:val="single" w:sz="8" w:space="0" w:color="auto"/>
              <w:right w:val="single" w:sz="8" w:space="0" w:color="auto"/>
            </w:tcBorders>
            <w:shd w:val="clear" w:color="auto" w:fill="auto"/>
            <w:vAlign w:val="center"/>
            <w:hideMark/>
          </w:tcPr>
          <w:p w:rsidR="00891A96" w:rsidRPr="00EB2995" w:rsidRDefault="00891A96" w:rsidP="00891A96">
            <w:pPr>
              <w:jc w:val="center"/>
              <w:rPr>
                <w:rFonts w:cs="Calibri"/>
                <w:color w:val="000000"/>
                <w:sz w:val="20"/>
                <w:szCs w:val="20"/>
                <w:lang w:eastAsia="en-GB"/>
              </w:rPr>
            </w:pPr>
            <w:r>
              <w:rPr>
                <w:rFonts w:cs="Calibri"/>
                <w:color w:val="000000"/>
                <w:sz w:val="20"/>
                <w:szCs w:val="20"/>
              </w:rPr>
              <w:t>0.0</w:t>
            </w:r>
          </w:p>
        </w:tc>
        <w:tc>
          <w:tcPr>
            <w:tcW w:w="1193" w:type="dxa"/>
            <w:tcBorders>
              <w:top w:val="nil"/>
              <w:left w:val="nil"/>
              <w:bottom w:val="single" w:sz="8" w:space="0" w:color="auto"/>
              <w:right w:val="single" w:sz="8" w:space="0" w:color="auto"/>
            </w:tcBorders>
            <w:shd w:val="clear" w:color="auto" w:fill="auto"/>
            <w:noWrap/>
            <w:vAlign w:val="center"/>
            <w:hideMark/>
          </w:tcPr>
          <w:p w:rsidR="00891A96" w:rsidRPr="00EB2995" w:rsidRDefault="00891A96" w:rsidP="00891A96">
            <w:pPr>
              <w:jc w:val="center"/>
              <w:rPr>
                <w:rFonts w:cs="Calibri"/>
                <w:color w:val="000000"/>
                <w:sz w:val="20"/>
                <w:szCs w:val="20"/>
                <w:lang w:eastAsia="en-GB"/>
              </w:rPr>
            </w:pPr>
            <w:r>
              <w:rPr>
                <w:rFonts w:cs="Calibri"/>
                <w:color w:val="000000"/>
                <w:sz w:val="20"/>
                <w:szCs w:val="20"/>
              </w:rPr>
              <w:t>2.2</w:t>
            </w:r>
          </w:p>
        </w:tc>
        <w:tc>
          <w:tcPr>
            <w:tcW w:w="824" w:type="dxa"/>
            <w:tcBorders>
              <w:top w:val="nil"/>
              <w:left w:val="nil"/>
              <w:bottom w:val="single" w:sz="8" w:space="0" w:color="auto"/>
              <w:right w:val="single" w:sz="8" w:space="0" w:color="auto"/>
            </w:tcBorders>
            <w:shd w:val="clear" w:color="auto" w:fill="auto"/>
            <w:vAlign w:val="center"/>
            <w:hideMark/>
          </w:tcPr>
          <w:p w:rsidR="00891A96" w:rsidRPr="00EB2995" w:rsidRDefault="00891A96" w:rsidP="00891A96">
            <w:pPr>
              <w:jc w:val="center"/>
              <w:rPr>
                <w:rFonts w:cs="Calibri"/>
                <w:color w:val="000000"/>
                <w:sz w:val="20"/>
                <w:szCs w:val="20"/>
                <w:lang w:eastAsia="en-GB"/>
              </w:rPr>
            </w:pPr>
            <w:r>
              <w:rPr>
                <w:rFonts w:cs="Calibri"/>
                <w:color w:val="000000"/>
                <w:sz w:val="20"/>
                <w:szCs w:val="20"/>
              </w:rPr>
              <w:t>2.8</w:t>
            </w:r>
          </w:p>
        </w:tc>
      </w:tr>
      <w:tr w:rsidR="00891A96" w:rsidRPr="00EB2995" w:rsidTr="00891A96">
        <w:trPr>
          <w:trHeight w:val="315"/>
        </w:trPr>
        <w:tc>
          <w:tcPr>
            <w:tcW w:w="3687" w:type="dxa"/>
            <w:tcBorders>
              <w:top w:val="nil"/>
              <w:left w:val="single" w:sz="8" w:space="0" w:color="auto"/>
              <w:bottom w:val="single" w:sz="8" w:space="0" w:color="auto"/>
              <w:right w:val="single" w:sz="8" w:space="0" w:color="auto"/>
            </w:tcBorders>
            <w:shd w:val="clear" w:color="auto" w:fill="auto"/>
            <w:noWrap/>
            <w:vAlign w:val="center"/>
            <w:hideMark/>
          </w:tcPr>
          <w:p w:rsidR="00891A96" w:rsidRPr="00EB2995" w:rsidRDefault="00891A96" w:rsidP="00891A96">
            <w:pPr>
              <w:rPr>
                <w:rFonts w:cs="Calibri"/>
                <w:color w:val="000000"/>
                <w:sz w:val="20"/>
                <w:szCs w:val="20"/>
                <w:lang w:eastAsia="en-GB"/>
              </w:rPr>
            </w:pPr>
            <w:r w:rsidRPr="00EB2995">
              <w:rPr>
                <w:rFonts w:cs="Calibri"/>
                <w:color w:val="000000"/>
                <w:sz w:val="20"/>
                <w:szCs w:val="20"/>
                <w:lang w:eastAsia="en-GB"/>
              </w:rPr>
              <w:t xml:space="preserve">Financing and investment income &amp; expenditure </w:t>
            </w:r>
          </w:p>
        </w:tc>
        <w:tc>
          <w:tcPr>
            <w:tcW w:w="992" w:type="dxa"/>
            <w:tcBorders>
              <w:top w:val="nil"/>
              <w:left w:val="nil"/>
              <w:bottom w:val="single" w:sz="8" w:space="0" w:color="auto"/>
              <w:right w:val="single" w:sz="8" w:space="0" w:color="auto"/>
            </w:tcBorders>
            <w:shd w:val="clear" w:color="auto" w:fill="auto"/>
            <w:noWrap/>
            <w:vAlign w:val="center"/>
            <w:hideMark/>
          </w:tcPr>
          <w:p w:rsidR="00891A96" w:rsidRPr="00EB2995" w:rsidRDefault="00891A96" w:rsidP="00891A96">
            <w:pPr>
              <w:jc w:val="center"/>
              <w:rPr>
                <w:rFonts w:cs="Calibri"/>
                <w:color w:val="000000"/>
                <w:sz w:val="20"/>
                <w:szCs w:val="20"/>
                <w:lang w:eastAsia="en-GB"/>
              </w:rPr>
            </w:pPr>
            <w:r>
              <w:rPr>
                <w:rFonts w:cs="Calibri"/>
                <w:color w:val="000000"/>
                <w:sz w:val="20"/>
                <w:szCs w:val="20"/>
              </w:rPr>
              <w:t>38.1</w:t>
            </w:r>
          </w:p>
        </w:tc>
        <w:tc>
          <w:tcPr>
            <w:tcW w:w="1021" w:type="dxa"/>
            <w:tcBorders>
              <w:top w:val="nil"/>
              <w:left w:val="nil"/>
              <w:bottom w:val="single" w:sz="8" w:space="0" w:color="auto"/>
              <w:right w:val="single" w:sz="8" w:space="0" w:color="auto"/>
            </w:tcBorders>
            <w:shd w:val="clear" w:color="auto" w:fill="auto"/>
            <w:noWrap/>
            <w:vAlign w:val="center"/>
            <w:hideMark/>
          </w:tcPr>
          <w:p w:rsidR="00891A96" w:rsidRPr="00EB2995" w:rsidRDefault="00891A96" w:rsidP="00891A96">
            <w:pPr>
              <w:jc w:val="center"/>
              <w:rPr>
                <w:rFonts w:cs="Calibri"/>
                <w:color w:val="000000"/>
                <w:sz w:val="20"/>
                <w:szCs w:val="20"/>
                <w:lang w:eastAsia="en-GB"/>
              </w:rPr>
            </w:pPr>
            <w:r>
              <w:rPr>
                <w:rFonts w:cs="Calibri"/>
                <w:color w:val="000000"/>
                <w:sz w:val="20"/>
                <w:szCs w:val="20"/>
              </w:rPr>
              <w:t>2.0</w:t>
            </w:r>
          </w:p>
        </w:tc>
        <w:tc>
          <w:tcPr>
            <w:tcW w:w="980" w:type="dxa"/>
            <w:tcBorders>
              <w:top w:val="nil"/>
              <w:left w:val="nil"/>
              <w:bottom w:val="single" w:sz="8" w:space="0" w:color="auto"/>
              <w:right w:val="single" w:sz="8" w:space="0" w:color="auto"/>
            </w:tcBorders>
            <w:shd w:val="clear" w:color="auto" w:fill="auto"/>
            <w:noWrap/>
            <w:vAlign w:val="center"/>
            <w:hideMark/>
          </w:tcPr>
          <w:p w:rsidR="00891A96" w:rsidRPr="00EB2995" w:rsidRDefault="00891A96" w:rsidP="00891A96">
            <w:pPr>
              <w:jc w:val="center"/>
              <w:rPr>
                <w:rFonts w:cs="Calibri"/>
                <w:color w:val="000000"/>
                <w:sz w:val="20"/>
                <w:szCs w:val="20"/>
                <w:lang w:eastAsia="en-GB"/>
              </w:rPr>
            </w:pPr>
            <w:r>
              <w:rPr>
                <w:rFonts w:cs="Calibri"/>
                <w:color w:val="000000"/>
                <w:sz w:val="20"/>
                <w:szCs w:val="20"/>
              </w:rPr>
              <w:t>0.0</w:t>
            </w:r>
          </w:p>
        </w:tc>
        <w:tc>
          <w:tcPr>
            <w:tcW w:w="692" w:type="dxa"/>
            <w:tcBorders>
              <w:top w:val="nil"/>
              <w:left w:val="nil"/>
              <w:bottom w:val="single" w:sz="8" w:space="0" w:color="auto"/>
              <w:right w:val="single" w:sz="8" w:space="0" w:color="auto"/>
            </w:tcBorders>
            <w:shd w:val="clear" w:color="auto" w:fill="auto"/>
            <w:noWrap/>
            <w:vAlign w:val="center"/>
            <w:hideMark/>
          </w:tcPr>
          <w:p w:rsidR="00891A96" w:rsidRPr="00EB2995" w:rsidRDefault="00891A96" w:rsidP="00891A96">
            <w:pPr>
              <w:jc w:val="center"/>
              <w:rPr>
                <w:rFonts w:cs="Calibri"/>
                <w:color w:val="000000"/>
                <w:sz w:val="20"/>
                <w:szCs w:val="20"/>
                <w:lang w:eastAsia="en-GB"/>
              </w:rPr>
            </w:pPr>
            <w:r>
              <w:rPr>
                <w:rFonts w:cs="Calibri"/>
                <w:color w:val="000000"/>
                <w:sz w:val="20"/>
                <w:szCs w:val="20"/>
              </w:rPr>
              <w:t>3.1</w:t>
            </w:r>
          </w:p>
        </w:tc>
        <w:tc>
          <w:tcPr>
            <w:tcW w:w="980" w:type="dxa"/>
            <w:tcBorders>
              <w:top w:val="nil"/>
              <w:left w:val="nil"/>
              <w:bottom w:val="single" w:sz="8" w:space="0" w:color="auto"/>
              <w:right w:val="single" w:sz="8" w:space="0" w:color="auto"/>
            </w:tcBorders>
            <w:shd w:val="clear" w:color="auto" w:fill="auto"/>
            <w:noWrap/>
            <w:vAlign w:val="center"/>
            <w:hideMark/>
          </w:tcPr>
          <w:p w:rsidR="00891A96" w:rsidRPr="00EB2995" w:rsidRDefault="00891A96" w:rsidP="00891A96">
            <w:pPr>
              <w:jc w:val="center"/>
              <w:rPr>
                <w:rFonts w:cs="Calibri"/>
                <w:color w:val="000000"/>
                <w:sz w:val="20"/>
                <w:szCs w:val="20"/>
                <w:lang w:eastAsia="en-GB"/>
              </w:rPr>
            </w:pPr>
            <w:r>
              <w:rPr>
                <w:rFonts w:cs="Calibri"/>
                <w:color w:val="000000"/>
                <w:sz w:val="20"/>
                <w:szCs w:val="20"/>
              </w:rPr>
              <w:t>0.0</w:t>
            </w:r>
          </w:p>
        </w:tc>
        <w:tc>
          <w:tcPr>
            <w:tcW w:w="1193" w:type="dxa"/>
            <w:tcBorders>
              <w:top w:val="nil"/>
              <w:left w:val="nil"/>
              <w:bottom w:val="single" w:sz="8" w:space="0" w:color="auto"/>
              <w:right w:val="single" w:sz="8" w:space="0" w:color="auto"/>
            </w:tcBorders>
            <w:shd w:val="clear" w:color="auto" w:fill="auto"/>
            <w:noWrap/>
            <w:vAlign w:val="center"/>
            <w:hideMark/>
          </w:tcPr>
          <w:p w:rsidR="00891A96" w:rsidRPr="00EB2995" w:rsidRDefault="00891A96" w:rsidP="00891A96">
            <w:pPr>
              <w:jc w:val="center"/>
              <w:rPr>
                <w:rFonts w:cs="Calibri"/>
                <w:color w:val="000000"/>
                <w:sz w:val="20"/>
                <w:szCs w:val="20"/>
                <w:lang w:eastAsia="en-GB"/>
              </w:rPr>
            </w:pPr>
            <w:r>
              <w:rPr>
                <w:rFonts w:cs="Calibri"/>
                <w:color w:val="000000"/>
                <w:sz w:val="20"/>
                <w:szCs w:val="20"/>
              </w:rPr>
              <w:t>0.0</w:t>
            </w:r>
          </w:p>
        </w:tc>
        <w:tc>
          <w:tcPr>
            <w:tcW w:w="824" w:type="dxa"/>
            <w:tcBorders>
              <w:top w:val="nil"/>
              <w:left w:val="nil"/>
              <w:bottom w:val="single" w:sz="8" w:space="0" w:color="auto"/>
              <w:right w:val="single" w:sz="8" w:space="0" w:color="auto"/>
            </w:tcBorders>
            <w:shd w:val="clear" w:color="auto" w:fill="auto"/>
            <w:vAlign w:val="center"/>
            <w:hideMark/>
          </w:tcPr>
          <w:p w:rsidR="00891A96" w:rsidRPr="00EB2995" w:rsidRDefault="00891A96" w:rsidP="00891A96">
            <w:pPr>
              <w:jc w:val="center"/>
              <w:rPr>
                <w:rFonts w:cs="Calibri"/>
                <w:color w:val="000000"/>
                <w:sz w:val="20"/>
                <w:szCs w:val="20"/>
                <w:lang w:eastAsia="en-GB"/>
              </w:rPr>
            </w:pPr>
            <w:r>
              <w:rPr>
                <w:rFonts w:cs="Calibri"/>
                <w:color w:val="000000"/>
                <w:sz w:val="20"/>
                <w:szCs w:val="20"/>
              </w:rPr>
              <w:t>43.3</w:t>
            </w:r>
          </w:p>
        </w:tc>
      </w:tr>
      <w:tr w:rsidR="00891A96" w:rsidRPr="00EB2995" w:rsidTr="00891A96">
        <w:trPr>
          <w:trHeight w:val="315"/>
        </w:trPr>
        <w:tc>
          <w:tcPr>
            <w:tcW w:w="3687" w:type="dxa"/>
            <w:tcBorders>
              <w:top w:val="nil"/>
              <w:left w:val="single" w:sz="8" w:space="0" w:color="auto"/>
              <w:bottom w:val="single" w:sz="8" w:space="0" w:color="auto"/>
              <w:right w:val="single" w:sz="8" w:space="0" w:color="auto"/>
            </w:tcBorders>
            <w:shd w:val="clear" w:color="auto" w:fill="auto"/>
            <w:noWrap/>
            <w:vAlign w:val="center"/>
            <w:hideMark/>
          </w:tcPr>
          <w:p w:rsidR="00891A96" w:rsidRPr="00EB2995" w:rsidRDefault="00891A96" w:rsidP="00891A96">
            <w:pPr>
              <w:rPr>
                <w:rFonts w:cs="Calibri"/>
                <w:color w:val="000000"/>
                <w:sz w:val="20"/>
                <w:szCs w:val="20"/>
                <w:lang w:eastAsia="en-GB"/>
              </w:rPr>
            </w:pPr>
            <w:r w:rsidRPr="00EB2995">
              <w:rPr>
                <w:rFonts w:cs="Calibri"/>
                <w:color w:val="000000"/>
                <w:sz w:val="20"/>
                <w:szCs w:val="20"/>
                <w:lang w:eastAsia="en-GB"/>
              </w:rPr>
              <w:t xml:space="preserve">Taxation and non-specific grant income </w:t>
            </w:r>
          </w:p>
        </w:tc>
        <w:tc>
          <w:tcPr>
            <w:tcW w:w="992" w:type="dxa"/>
            <w:tcBorders>
              <w:top w:val="nil"/>
              <w:left w:val="nil"/>
              <w:bottom w:val="single" w:sz="8" w:space="0" w:color="auto"/>
              <w:right w:val="single" w:sz="8" w:space="0" w:color="auto"/>
            </w:tcBorders>
            <w:shd w:val="clear" w:color="auto" w:fill="auto"/>
            <w:noWrap/>
            <w:vAlign w:val="center"/>
            <w:hideMark/>
          </w:tcPr>
          <w:p w:rsidR="00891A96" w:rsidRPr="00EB2995" w:rsidRDefault="00891A96" w:rsidP="00891A96">
            <w:pPr>
              <w:jc w:val="center"/>
              <w:rPr>
                <w:rFonts w:cs="Calibri"/>
                <w:color w:val="000000"/>
                <w:sz w:val="20"/>
                <w:szCs w:val="20"/>
                <w:lang w:eastAsia="en-GB"/>
              </w:rPr>
            </w:pPr>
            <w:r>
              <w:rPr>
                <w:rFonts w:cs="Calibri"/>
                <w:color w:val="000000"/>
                <w:sz w:val="20"/>
                <w:szCs w:val="20"/>
              </w:rPr>
              <w:t>(329.5)</w:t>
            </w:r>
          </w:p>
        </w:tc>
        <w:tc>
          <w:tcPr>
            <w:tcW w:w="1021" w:type="dxa"/>
            <w:tcBorders>
              <w:top w:val="nil"/>
              <w:left w:val="nil"/>
              <w:bottom w:val="single" w:sz="8" w:space="0" w:color="auto"/>
              <w:right w:val="single" w:sz="8" w:space="0" w:color="auto"/>
            </w:tcBorders>
            <w:shd w:val="clear" w:color="auto" w:fill="auto"/>
            <w:noWrap/>
            <w:vAlign w:val="center"/>
            <w:hideMark/>
          </w:tcPr>
          <w:p w:rsidR="00891A96" w:rsidRPr="00EB2995" w:rsidRDefault="00891A96" w:rsidP="00891A96">
            <w:pPr>
              <w:jc w:val="center"/>
              <w:rPr>
                <w:rFonts w:cs="Calibri"/>
                <w:color w:val="000000"/>
                <w:sz w:val="20"/>
                <w:szCs w:val="20"/>
                <w:lang w:eastAsia="en-GB"/>
              </w:rPr>
            </w:pPr>
            <w:r>
              <w:rPr>
                <w:rFonts w:cs="Calibri"/>
                <w:color w:val="000000"/>
                <w:sz w:val="20"/>
                <w:szCs w:val="20"/>
              </w:rPr>
              <w:t>0.1</w:t>
            </w:r>
          </w:p>
        </w:tc>
        <w:tc>
          <w:tcPr>
            <w:tcW w:w="980" w:type="dxa"/>
            <w:tcBorders>
              <w:top w:val="nil"/>
              <w:left w:val="nil"/>
              <w:bottom w:val="single" w:sz="8" w:space="0" w:color="auto"/>
              <w:right w:val="single" w:sz="8" w:space="0" w:color="auto"/>
            </w:tcBorders>
            <w:shd w:val="clear" w:color="auto" w:fill="auto"/>
            <w:noWrap/>
            <w:vAlign w:val="center"/>
            <w:hideMark/>
          </w:tcPr>
          <w:p w:rsidR="00891A96" w:rsidRPr="00EB2995" w:rsidRDefault="00891A96" w:rsidP="00891A96">
            <w:pPr>
              <w:jc w:val="center"/>
              <w:rPr>
                <w:rFonts w:cs="Calibri"/>
                <w:color w:val="000000"/>
                <w:sz w:val="20"/>
                <w:szCs w:val="20"/>
                <w:lang w:eastAsia="en-GB"/>
              </w:rPr>
            </w:pPr>
            <w:r>
              <w:rPr>
                <w:rFonts w:cs="Calibri"/>
                <w:color w:val="000000"/>
                <w:sz w:val="20"/>
                <w:szCs w:val="20"/>
              </w:rPr>
              <w:t>0.0</w:t>
            </w:r>
          </w:p>
        </w:tc>
        <w:tc>
          <w:tcPr>
            <w:tcW w:w="692" w:type="dxa"/>
            <w:tcBorders>
              <w:top w:val="nil"/>
              <w:left w:val="nil"/>
              <w:bottom w:val="single" w:sz="8" w:space="0" w:color="auto"/>
              <w:right w:val="single" w:sz="8" w:space="0" w:color="auto"/>
            </w:tcBorders>
            <w:shd w:val="clear" w:color="auto" w:fill="auto"/>
            <w:noWrap/>
            <w:vAlign w:val="center"/>
            <w:hideMark/>
          </w:tcPr>
          <w:p w:rsidR="00891A96" w:rsidRPr="00EB2995" w:rsidRDefault="00891A96" w:rsidP="00891A96">
            <w:pPr>
              <w:jc w:val="center"/>
              <w:rPr>
                <w:rFonts w:cs="Calibri"/>
                <w:color w:val="000000"/>
                <w:sz w:val="20"/>
                <w:szCs w:val="20"/>
                <w:lang w:eastAsia="en-GB"/>
              </w:rPr>
            </w:pPr>
            <w:r>
              <w:rPr>
                <w:rFonts w:cs="Calibri"/>
                <w:color w:val="000000"/>
                <w:sz w:val="20"/>
                <w:szCs w:val="20"/>
              </w:rPr>
              <w:t>0.0</w:t>
            </w:r>
          </w:p>
        </w:tc>
        <w:tc>
          <w:tcPr>
            <w:tcW w:w="980" w:type="dxa"/>
            <w:tcBorders>
              <w:top w:val="nil"/>
              <w:left w:val="nil"/>
              <w:bottom w:val="single" w:sz="8" w:space="0" w:color="auto"/>
              <w:right w:val="single" w:sz="8" w:space="0" w:color="auto"/>
            </w:tcBorders>
            <w:shd w:val="clear" w:color="auto" w:fill="auto"/>
            <w:noWrap/>
            <w:vAlign w:val="center"/>
            <w:hideMark/>
          </w:tcPr>
          <w:p w:rsidR="00891A96" w:rsidRPr="00EB2995" w:rsidRDefault="00891A96" w:rsidP="00891A96">
            <w:pPr>
              <w:jc w:val="center"/>
              <w:rPr>
                <w:rFonts w:cs="Calibri"/>
                <w:color w:val="000000"/>
                <w:sz w:val="20"/>
                <w:szCs w:val="20"/>
                <w:lang w:eastAsia="en-GB"/>
              </w:rPr>
            </w:pPr>
            <w:r>
              <w:rPr>
                <w:rFonts w:cs="Calibri"/>
                <w:color w:val="000000"/>
                <w:sz w:val="20"/>
                <w:szCs w:val="20"/>
              </w:rPr>
              <w:t>0.0</w:t>
            </w:r>
          </w:p>
        </w:tc>
        <w:tc>
          <w:tcPr>
            <w:tcW w:w="1193" w:type="dxa"/>
            <w:tcBorders>
              <w:top w:val="nil"/>
              <w:left w:val="nil"/>
              <w:bottom w:val="single" w:sz="8" w:space="0" w:color="auto"/>
              <w:right w:val="single" w:sz="8" w:space="0" w:color="auto"/>
            </w:tcBorders>
            <w:shd w:val="clear" w:color="auto" w:fill="auto"/>
            <w:noWrap/>
            <w:vAlign w:val="center"/>
            <w:hideMark/>
          </w:tcPr>
          <w:p w:rsidR="00891A96" w:rsidRPr="00EB2995" w:rsidRDefault="00891A96" w:rsidP="00891A96">
            <w:pPr>
              <w:jc w:val="center"/>
              <w:rPr>
                <w:rFonts w:cs="Calibri"/>
                <w:color w:val="000000"/>
                <w:sz w:val="20"/>
                <w:szCs w:val="20"/>
                <w:lang w:eastAsia="en-GB"/>
              </w:rPr>
            </w:pPr>
            <w:r>
              <w:rPr>
                <w:rFonts w:cs="Calibri"/>
                <w:color w:val="000000"/>
                <w:sz w:val="20"/>
                <w:szCs w:val="20"/>
              </w:rPr>
              <w:t>0.0</w:t>
            </w:r>
          </w:p>
        </w:tc>
        <w:tc>
          <w:tcPr>
            <w:tcW w:w="824" w:type="dxa"/>
            <w:tcBorders>
              <w:top w:val="nil"/>
              <w:left w:val="nil"/>
              <w:bottom w:val="single" w:sz="8" w:space="0" w:color="auto"/>
              <w:right w:val="single" w:sz="8" w:space="0" w:color="auto"/>
            </w:tcBorders>
            <w:shd w:val="clear" w:color="auto" w:fill="auto"/>
            <w:vAlign w:val="center"/>
            <w:hideMark/>
          </w:tcPr>
          <w:p w:rsidR="00891A96" w:rsidRPr="00EB2995" w:rsidRDefault="00891A96" w:rsidP="00891A96">
            <w:pPr>
              <w:jc w:val="center"/>
              <w:rPr>
                <w:rFonts w:cs="Calibri"/>
                <w:color w:val="000000"/>
                <w:sz w:val="20"/>
                <w:szCs w:val="20"/>
                <w:lang w:eastAsia="en-GB"/>
              </w:rPr>
            </w:pPr>
            <w:r>
              <w:rPr>
                <w:rFonts w:cs="Calibri"/>
                <w:color w:val="000000"/>
                <w:sz w:val="20"/>
                <w:szCs w:val="20"/>
              </w:rPr>
              <w:t>(329.4)</w:t>
            </w:r>
          </w:p>
        </w:tc>
      </w:tr>
      <w:tr w:rsidR="00891A96" w:rsidRPr="00EB2995" w:rsidTr="00891A96">
        <w:trPr>
          <w:trHeight w:val="315"/>
        </w:trPr>
        <w:tc>
          <w:tcPr>
            <w:tcW w:w="3687" w:type="dxa"/>
            <w:tcBorders>
              <w:top w:val="nil"/>
              <w:left w:val="single" w:sz="8" w:space="0" w:color="auto"/>
              <w:bottom w:val="single" w:sz="8" w:space="0" w:color="auto"/>
              <w:right w:val="single" w:sz="8" w:space="0" w:color="auto"/>
            </w:tcBorders>
            <w:shd w:val="clear" w:color="auto" w:fill="auto"/>
            <w:noWrap/>
            <w:vAlign w:val="center"/>
            <w:hideMark/>
          </w:tcPr>
          <w:p w:rsidR="00891A96" w:rsidRPr="00EB2995" w:rsidRDefault="00891A96" w:rsidP="00891A96">
            <w:pPr>
              <w:rPr>
                <w:rFonts w:cs="Calibri"/>
                <w:color w:val="000000"/>
                <w:sz w:val="20"/>
                <w:szCs w:val="20"/>
                <w:lang w:eastAsia="en-GB"/>
              </w:rPr>
            </w:pPr>
            <w:r w:rsidRPr="00EB2995">
              <w:rPr>
                <w:rFonts w:cs="Calibri"/>
                <w:color w:val="000000"/>
                <w:sz w:val="20"/>
                <w:szCs w:val="20"/>
                <w:lang w:eastAsia="en-GB"/>
              </w:rPr>
              <w:t>(Surplus) or deficit on revaluation of Property, Plant and Equipment assets</w:t>
            </w:r>
          </w:p>
        </w:tc>
        <w:tc>
          <w:tcPr>
            <w:tcW w:w="992" w:type="dxa"/>
            <w:tcBorders>
              <w:top w:val="nil"/>
              <w:left w:val="nil"/>
              <w:bottom w:val="single" w:sz="8" w:space="0" w:color="auto"/>
              <w:right w:val="single" w:sz="8" w:space="0" w:color="auto"/>
            </w:tcBorders>
            <w:shd w:val="clear" w:color="auto" w:fill="auto"/>
            <w:noWrap/>
            <w:vAlign w:val="center"/>
            <w:hideMark/>
          </w:tcPr>
          <w:p w:rsidR="00891A96" w:rsidRPr="00EB2995" w:rsidRDefault="00891A96" w:rsidP="00891A96">
            <w:pPr>
              <w:jc w:val="center"/>
              <w:rPr>
                <w:rFonts w:cs="Calibri"/>
                <w:color w:val="000000"/>
                <w:sz w:val="20"/>
                <w:szCs w:val="20"/>
                <w:lang w:eastAsia="en-GB"/>
              </w:rPr>
            </w:pPr>
            <w:r>
              <w:rPr>
                <w:rFonts w:cs="Calibri"/>
                <w:color w:val="000000"/>
                <w:sz w:val="20"/>
                <w:szCs w:val="20"/>
              </w:rPr>
              <w:t>(208.5)</w:t>
            </w:r>
          </w:p>
        </w:tc>
        <w:tc>
          <w:tcPr>
            <w:tcW w:w="1021" w:type="dxa"/>
            <w:tcBorders>
              <w:top w:val="nil"/>
              <w:left w:val="nil"/>
              <w:bottom w:val="single" w:sz="8" w:space="0" w:color="auto"/>
              <w:right w:val="single" w:sz="8" w:space="0" w:color="auto"/>
            </w:tcBorders>
            <w:shd w:val="clear" w:color="auto" w:fill="auto"/>
            <w:noWrap/>
            <w:vAlign w:val="center"/>
            <w:hideMark/>
          </w:tcPr>
          <w:p w:rsidR="00891A96" w:rsidRPr="00EB2995" w:rsidRDefault="00891A96" w:rsidP="00891A96">
            <w:pPr>
              <w:jc w:val="center"/>
              <w:rPr>
                <w:rFonts w:cs="Calibri"/>
                <w:color w:val="000000"/>
                <w:sz w:val="20"/>
                <w:szCs w:val="20"/>
                <w:lang w:eastAsia="en-GB"/>
              </w:rPr>
            </w:pPr>
            <w:r>
              <w:rPr>
                <w:rFonts w:cs="Calibri"/>
                <w:color w:val="000000"/>
                <w:sz w:val="20"/>
                <w:szCs w:val="20"/>
              </w:rPr>
              <w:t>(1.6)</w:t>
            </w:r>
          </w:p>
        </w:tc>
        <w:tc>
          <w:tcPr>
            <w:tcW w:w="980" w:type="dxa"/>
            <w:tcBorders>
              <w:top w:val="nil"/>
              <w:left w:val="nil"/>
              <w:bottom w:val="single" w:sz="8" w:space="0" w:color="auto"/>
              <w:right w:val="single" w:sz="8" w:space="0" w:color="auto"/>
            </w:tcBorders>
            <w:shd w:val="clear" w:color="auto" w:fill="auto"/>
            <w:noWrap/>
            <w:vAlign w:val="center"/>
            <w:hideMark/>
          </w:tcPr>
          <w:p w:rsidR="00891A96" w:rsidRPr="00EB2995" w:rsidRDefault="00891A96" w:rsidP="00891A96">
            <w:pPr>
              <w:jc w:val="center"/>
              <w:rPr>
                <w:rFonts w:cs="Calibri"/>
                <w:color w:val="000000"/>
                <w:sz w:val="20"/>
                <w:szCs w:val="20"/>
                <w:lang w:eastAsia="en-GB"/>
              </w:rPr>
            </w:pPr>
            <w:r>
              <w:rPr>
                <w:rFonts w:cs="Calibri"/>
                <w:color w:val="000000"/>
                <w:sz w:val="20"/>
                <w:szCs w:val="20"/>
              </w:rPr>
              <w:t>0.0</w:t>
            </w:r>
          </w:p>
        </w:tc>
        <w:tc>
          <w:tcPr>
            <w:tcW w:w="692" w:type="dxa"/>
            <w:tcBorders>
              <w:top w:val="nil"/>
              <w:left w:val="nil"/>
              <w:bottom w:val="single" w:sz="8" w:space="0" w:color="auto"/>
              <w:right w:val="single" w:sz="8" w:space="0" w:color="auto"/>
            </w:tcBorders>
            <w:shd w:val="clear" w:color="auto" w:fill="auto"/>
            <w:noWrap/>
            <w:vAlign w:val="center"/>
            <w:hideMark/>
          </w:tcPr>
          <w:p w:rsidR="00891A96" w:rsidRPr="00EB2995" w:rsidRDefault="00891A96" w:rsidP="00891A96">
            <w:pPr>
              <w:jc w:val="center"/>
              <w:rPr>
                <w:rFonts w:cs="Calibri"/>
                <w:color w:val="000000"/>
                <w:sz w:val="20"/>
                <w:szCs w:val="20"/>
                <w:lang w:eastAsia="en-GB"/>
              </w:rPr>
            </w:pPr>
            <w:r>
              <w:rPr>
                <w:rFonts w:cs="Calibri"/>
                <w:color w:val="000000"/>
                <w:sz w:val="20"/>
                <w:szCs w:val="20"/>
              </w:rPr>
              <w:t>0.0</w:t>
            </w:r>
          </w:p>
        </w:tc>
        <w:tc>
          <w:tcPr>
            <w:tcW w:w="980" w:type="dxa"/>
            <w:tcBorders>
              <w:top w:val="nil"/>
              <w:left w:val="nil"/>
              <w:bottom w:val="single" w:sz="8" w:space="0" w:color="auto"/>
              <w:right w:val="single" w:sz="8" w:space="0" w:color="auto"/>
            </w:tcBorders>
            <w:shd w:val="clear" w:color="auto" w:fill="auto"/>
            <w:noWrap/>
            <w:vAlign w:val="center"/>
            <w:hideMark/>
          </w:tcPr>
          <w:p w:rsidR="00891A96" w:rsidRPr="00EB2995" w:rsidRDefault="00891A96" w:rsidP="00891A96">
            <w:pPr>
              <w:jc w:val="center"/>
              <w:rPr>
                <w:rFonts w:cs="Calibri"/>
                <w:color w:val="000000"/>
                <w:sz w:val="20"/>
                <w:szCs w:val="20"/>
                <w:lang w:eastAsia="en-GB"/>
              </w:rPr>
            </w:pPr>
            <w:r>
              <w:rPr>
                <w:rFonts w:cs="Calibri"/>
                <w:color w:val="000000"/>
                <w:sz w:val="20"/>
                <w:szCs w:val="20"/>
              </w:rPr>
              <w:t>0.0</w:t>
            </w:r>
          </w:p>
        </w:tc>
        <w:tc>
          <w:tcPr>
            <w:tcW w:w="1193" w:type="dxa"/>
            <w:tcBorders>
              <w:top w:val="nil"/>
              <w:left w:val="nil"/>
              <w:bottom w:val="single" w:sz="8" w:space="0" w:color="auto"/>
              <w:right w:val="single" w:sz="8" w:space="0" w:color="auto"/>
            </w:tcBorders>
            <w:shd w:val="clear" w:color="auto" w:fill="auto"/>
            <w:noWrap/>
            <w:vAlign w:val="center"/>
            <w:hideMark/>
          </w:tcPr>
          <w:p w:rsidR="00891A96" w:rsidRPr="00EB2995" w:rsidRDefault="00891A96" w:rsidP="00891A96">
            <w:pPr>
              <w:jc w:val="center"/>
              <w:rPr>
                <w:rFonts w:cs="Calibri"/>
                <w:color w:val="000000"/>
                <w:sz w:val="20"/>
                <w:szCs w:val="20"/>
                <w:lang w:eastAsia="en-GB"/>
              </w:rPr>
            </w:pPr>
            <w:r>
              <w:rPr>
                <w:rFonts w:cs="Calibri"/>
                <w:color w:val="000000"/>
                <w:sz w:val="20"/>
                <w:szCs w:val="20"/>
              </w:rPr>
              <w:t>0.0</w:t>
            </w:r>
          </w:p>
        </w:tc>
        <w:tc>
          <w:tcPr>
            <w:tcW w:w="824" w:type="dxa"/>
            <w:tcBorders>
              <w:top w:val="nil"/>
              <w:left w:val="nil"/>
              <w:bottom w:val="single" w:sz="8" w:space="0" w:color="auto"/>
              <w:right w:val="single" w:sz="8" w:space="0" w:color="auto"/>
            </w:tcBorders>
            <w:shd w:val="clear" w:color="auto" w:fill="auto"/>
            <w:vAlign w:val="center"/>
            <w:hideMark/>
          </w:tcPr>
          <w:p w:rsidR="00891A96" w:rsidRPr="00EB2995" w:rsidRDefault="00891A96" w:rsidP="00891A96">
            <w:pPr>
              <w:jc w:val="center"/>
              <w:rPr>
                <w:rFonts w:cs="Calibri"/>
                <w:color w:val="000000"/>
                <w:sz w:val="20"/>
                <w:szCs w:val="20"/>
                <w:lang w:eastAsia="en-GB"/>
              </w:rPr>
            </w:pPr>
            <w:r>
              <w:rPr>
                <w:rFonts w:cs="Calibri"/>
                <w:color w:val="000000"/>
                <w:sz w:val="20"/>
                <w:szCs w:val="20"/>
              </w:rPr>
              <w:t>(210.1)</w:t>
            </w:r>
          </w:p>
        </w:tc>
      </w:tr>
      <w:tr w:rsidR="00891A96" w:rsidRPr="00EB2995" w:rsidTr="00891A96">
        <w:trPr>
          <w:trHeight w:val="315"/>
        </w:trPr>
        <w:tc>
          <w:tcPr>
            <w:tcW w:w="3687" w:type="dxa"/>
            <w:tcBorders>
              <w:top w:val="nil"/>
              <w:left w:val="single" w:sz="8" w:space="0" w:color="auto"/>
              <w:bottom w:val="single" w:sz="8" w:space="0" w:color="auto"/>
              <w:right w:val="single" w:sz="8" w:space="0" w:color="auto"/>
            </w:tcBorders>
            <w:shd w:val="clear" w:color="auto" w:fill="auto"/>
            <w:noWrap/>
            <w:vAlign w:val="center"/>
            <w:hideMark/>
          </w:tcPr>
          <w:p w:rsidR="00891A96" w:rsidRPr="00EB2995" w:rsidRDefault="00891A96" w:rsidP="00891A96">
            <w:pPr>
              <w:rPr>
                <w:rFonts w:cs="Calibri"/>
                <w:color w:val="000000"/>
                <w:sz w:val="20"/>
                <w:szCs w:val="20"/>
                <w:lang w:eastAsia="en-GB"/>
              </w:rPr>
            </w:pPr>
            <w:r w:rsidRPr="00EB2995">
              <w:rPr>
                <w:rFonts w:cs="Calibri"/>
                <w:color w:val="000000"/>
                <w:sz w:val="20"/>
                <w:szCs w:val="20"/>
                <w:lang w:eastAsia="en-GB"/>
              </w:rPr>
              <w:t>Net surplus or (deficit) on the provision of services</w:t>
            </w:r>
          </w:p>
        </w:tc>
        <w:tc>
          <w:tcPr>
            <w:tcW w:w="992" w:type="dxa"/>
            <w:tcBorders>
              <w:top w:val="nil"/>
              <w:left w:val="nil"/>
              <w:bottom w:val="single" w:sz="8" w:space="0" w:color="auto"/>
              <w:right w:val="single" w:sz="8" w:space="0" w:color="auto"/>
            </w:tcBorders>
            <w:shd w:val="clear" w:color="auto" w:fill="auto"/>
            <w:noWrap/>
            <w:vAlign w:val="center"/>
            <w:hideMark/>
          </w:tcPr>
          <w:p w:rsidR="00891A96" w:rsidRPr="00EB2995" w:rsidRDefault="00891A96" w:rsidP="00891A96">
            <w:pPr>
              <w:jc w:val="center"/>
              <w:rPr>
                <w:rFonts w:cs="Calibri"/>
                <w:color w:val="000000"/>
                <w:sz w:val="20"/>
                <w:szCs w:val="20"/>
                <w:lang w:eastAsia="en-GB"/>
              </w:rPr>
            </w:pPr>
            <w:r>
              <w:rPr>
                <w:rFonts w:cs="Calibri"/>
                <w:color w:val="000000"/>
                <w:sz w:val="20"/>
                <w:szCs w:val="20"/>
              </w:rPr>
              <w:t>9.7</w:t>
            </w:r>
          </w:p>
        </w:tc>
        <w:tc>
          <w:tcPr>
            <w:tcW w:w="1021" w:type="dxa"/>
            <w:tcBorders>
              <w:top w:val="nil"/>
              <w:left w:val="nil"/>
              <w:bottom w:val="single" w:sz="8" w:space="0" w:color="auto"/>
              <w:right w:val="single" w:sz="8" w:space="0" w:color="auto"/>
            </w:tcBorders>
            <w:shd w:val="clear" w:color="auto" w:fill="auto"/>
            <w:noWrap/>
            <w:vAlign w:val="center"/>
            <w:hideMark/>
          </w:tcPr>
          <w:p w:rsidR="00891A96" w:rsidRPr="00EB2995" w:rsidRDefault="00891A96" w:rsidP="00891A96">
            <w:pPr>
              <w:jc w:val="center"/>
              <w:rPr>
                <w:rFonts w:cs="Calibri"/>
                <w:color w:val="000000"/>
                <w:sz w:val="20"/>
                <w:szCs w:val="20"/>
                <w:lang w:eastAsia="en-GB"/>
              </w:rPr>
            </w:pPr>
            <w:r>
              <w:rPr>
                <w:rFonts w:cs="Calibri"/>
                <w:color w:val="000000"/>
                <w:sz w:val="20"/>
                <w:szCs w:val="20"/>
              </w:rPr>
              <w:t>(0.3)</w:t>
            </w:r>
          </w:p>
        </w:tc>
        <w:tc>
          <w:tcPr>
            <w:tcW w:w="980" w:type="dxa"/>
            <w:tcBorders>
              <w:top w:val="nil"/>
              <w:left w:val="nil"/>
              <w:bottom w:val="single" w:sz="8" w:space="0" w:color="auto"/>
              <w:right w:val="single" w:sz="8" w:space="0" w:color="auto"/>
            </w:tcBorders>
            <w:shd w:val="clear" w:color="auto" w:fill="auto"/>
            <w:noWrap/>
            <w:vAlign w:val="center"/>
            <w:hideMark/>
          </w:tcPr>
          <w:p w:rsidR="00891A96" w:rsidRPr="00EB2995" w:rsidRDefault="00891A96" w:rsidP="00891A96">
            <w:pPr>
              <w:jc w:val="center"/>
              <w:rPr>
                <w:rFonts w:cs="Calibri"/>
                <w:color w:val="000000"/>
                <w:sz w:val="20"/>
                <w:szCs w:val="20"/>
                <w:lang w:eastAsia="en-GB"/>
              </w:rPr>
            </w:pPr>
            <w:r>
              <w:rPr>
                <w:rFonts w:cs="Calibri"/>
                <w:color w:val="000000"/>
                <w:sz w:val="20"/>
                <w:szCs w:val="20"/>
              </w:rPr>
              <w:t>(0.0)</w:t>
            </w:r>
          </w:p>
        </w:tc>
        <w:tc>
          <w:tcPr>
            <w:tcW w:w="692" w:type="dxa"/>
            <w:tcBorders>
              <w:top w:val="nil"/>
              <w:left w:val="nil"/>
              <w:bottom w:val="single" w:sz="8" w:space="0" w:color="auto"/>
              <w:right w:val="single" w:sz="8" w:space="0" w:color="auto"/>
            </w:tcBorders>
            <w:shd w:val="clear" w:color="auto" w:fill="auto"/>
            <w:noWrap/>
            <w:vAlign w:val="center"/>
            <w:hideMark/>
          </w:tcPr>
          <w:p w:rsidR="00891A96" w:rsidRPr="00EB2995" w:rsidRDefault="00891A96" w:rsidP="00891A96">
            <w:pPr>
              <w:jc w:val="center"/>
              <w:rPr>
                <w:rFonts w:cs="Calibri"/>
                <w:color w:val="000000"/>
                <w:sz w:val="20"/>
                <w:szCs w:val="20"/>
                <w:lang w:eastAsia="en-GB"/>
              </w:rPr>
            </w:pPr>
            <w:r>
              <w:rPr>
                <w:rFonts w:cs="Calibri"/>
                <w:color w:val="000000"/>
                <w:sz w:val="20"/>
                <w:szCs w:val="20"/>
              </w:rPr>
              <w:t>(0.4)</w:t>
            </w:r>
          </w:p>
        </w:tc>
        <w:tc>
          <w:tcPr>
            <w:tcW w:w="980" w:type="dxa"/>
            <w:tcBorders>
              <w:top w:val="nil"/>
              <w:left w:val="nil"/>
              <w:bottom w:val="single" w:sz="8" w:space="0" w:color="auto"/>
              <w:right w:val="single" w:sz="8" w:space="0" w:color="auto"/>
            </w:tcBorders>
            <w:shd w:val="clear" w:color="auto" w:fill="auto"/>
            <w:noWrap/>
            <w:vAlign w:val="center"/>
            <w:hideMark/>
          </w:tcPr>
          <w:p w:rsidR="00891A96" w:rsidRPr="00EB2995" w:rsidRDefault="00891A96" w:rsidP="00891A96">
            <w:pPr>
              <w:jc w:val="center"/>
              <w:rPr>
                <w:rFonts w:cs="Calibri"/>
                <w:color w:val="000000"/>
                <w:sz w:val="20"/>
                <w:szCs w:val="20"/>
                <w:lang w:eastAsia="en-GB"/>
              </w:rPr>
            </w:pPr>
            <w:r>
              <w:rPr>
                <w:rFonts w:cs="Calibri"/>
                <w:color w:val="000000"/>
                <w:sz w:val="20"/>
                <w:szCs w:val="20"/>
              </w:rPr>
              <w:t>0.0</w:t>
            </w:r>
          </w:p>
        </w:tc>
        <w:tc>
          <w:tcPr>
            <w:tcW w:w="1193" w:type="dxa"/>
            <w:tcBorders>
              <w:top w:val="nil"/>
              <w:left w:val="nil"/>
              <w:bottom w:val="single" w:sz="8" w:space="0" w:color="auto"/>
              <w:right w:val="single" w:sz="8" w:space="0" w:color="auto"/>
            </w:tcBorders>
            <w:shd w:val="clear" w:color="auto" w:fill="auto"/>
            <w:noWrap/>
            <w:vAlign w:val="center"/>
            <w:hideMark/>
          </w:tcPr>
          <w:p w:rsidR="00891A96" w:rsidRPr="00EB2995" w:rsidRDefault="00891A96" w:rsidP="00891A96">
            <w:pPr>
              <w:jc w:val="center"/>
              <w:rPr>
                <w:rFonts w:cs="Calibri"/>
                <w:color w:val="000000"/>
                <w:sz w:val="20"/>
                <w:szCs w:val="20"/>
                <w:lang w:eastAsia="en-GB"/>
              </w:rPr>
            </w:pPr>
            <w:r>
              <w:rPr>
                <w:rFonts w:cs="Calibri"/>
                <w:color w:val="000000"/>
                <w:sz w:val="20"/>
                <w:szCs w:val="20"/>
              </w:rPr>
              <w:t>(2.2)</w:t>
            </w:r>
          </w:p>
        </w:tc>
        <w:tc>
          <w:tcPr>
            <w:tcW w:w="824" w:type="dxa"/>
            <w:tcBorders>
              <w:top w:val="nil"/>
              <w:left w:val="nil"/>
              <w:bottom w:val="single" w:sz="8" w:space="0" w:color="auto"/>
              <w:right w:val="single" w:sz="8" w:space="0" w:color="auto"/>
            </w:tcBorders>
            <w:shd w:val="clear" w:color="auto" w:fill="auto"/>
            <w:vAlign w:val="center"/>
            <w:hideMark/>
          </w:tcPr>
          <w:p w:rsidR="00891A96" w:rsidRPr="00EB2995" w:rsidRDefault="00891A96" w:rsidP="00891A96">
            <w:pPr>
              <w:jc w:val="center"/>
              <w:rPr>
                <w:rFonts w:cs="Calibri"/>
                <w:color w:val="000000"/>
                <w:sz w:val="20"/>
                <w:szCs w:val="20"/>
                <w:lang w:eastAsia="en-GB"/>
              </w:rPr>
            </w:pPr>
            <w:r>
              <w:rPr>
                <w:rFonts w:cs="Calibri"/>
                <w:color w:val="000000"/>
                <w:sz w:val="20"/>
                <w:szCs w:val="20"/>
              </w:rPr>
              <w:t>6.9</w:t>
            </w:r>
          </w:p>
        </w:tc>
      </w:tr>
      <w:tr w:rsidR="00891A96" w:rsidRPr="00EB2995" w:rsidTr="00891A96">
        <w:trPr>
          <w:trHeight w:val="315"/>
        </w:trPr>
        <w:tc>
          <w:tcPr>
            <w:tcW w:w="3687" w:type="dxa"/>
            <w:tcBorders>
              <w:top w:val="nil"/>
              <w:left w:val="single" w:sz="8" w:space="0" w:color="auto"/>
              <w:bottom w:val="single" w:sz="8" w:space="0" w:color="auto"/>
              <w:right w:val="single" w:sz="8" w:space="0" w:color="auto"/>
            </w:tcBorders>
            <w:shd w:val="clear" w:color="auto" w:fill="auto"/>
            <w:noWrap/>
            <w:vAlign w:val="center"/>
            <w:hideMark/>
          </w:tcPr>
          <w:p w:rsidR="00891A96" w:rsidRPr="00EB2995" w:rsidRDefault="00891A96" w:rsidP="00891A96">
            <w:pPr>
              <w:rPr>
                <w:rFonts w:cs="Calibri"/>
                <w:color w:val="000000"/>
                <w:sz w:val="20"/>
                <w:szCs w:val="20"/>
                <w:lang w:eastAsia="en-GB"/>
              </w:rPr>
            </w:pPr>
            <w:r w:rsidRPr="00EB2995">
              <w:rPr>
                <w:rFonts w:cs="Calibri"/>
                <w:color w:val="000000"/>
                <w:sz w:val="20"/>
                <w:szCs w:val="20"/>
                <w:lang w:eastAsia="en-GB"/>
              </w:rPr>
              <w:t>Adjustments for non-cash movements</w:t>
            </w:r>
          </w:p>
        </w:tc>
        <w:tc>
          <w:tcPr>
            <w:tcW w:w="992" w:type="dxa"/>
            <w:tcBorders>
              <w:top w:val="nil"/>
              <w:left w:val="nil"/>
              <w:bottom w:val="single" w:sz="8" w:space="0" w:color="auto"/>
              <w:right w:val="single" w:sz="8" w:space="0" w:color="auto"/>
            </w:tcBorders>
            <w:shd w:val="clear" w:color="auto" w:fill="auto"/>
            <w:noWrap/>
            <w:vAlign w:val="center"/>
            <w:hideMark/>
          </w:tcPr>
          <w:p w:rsidR="00891A96" w:rsidRPr="00EB2995" w:rsidRDefault="00891A96" w:rsidP="00891A96">
            <w:pPr>
              <w:jc w:val="center"/>
              <w:rPr>
                <w:rFonts w:cs="Calibri"/>
                <w:color w:val="000000"/>
                <w:sz w:val="20"/>
                <w:szCs w:val="20"/>
                <w:lang w:eastAsia="en-GB"/>
              </w:rPr>
            </w:pPr>
            <w:r>
              <w:rPr>
                <w:rFonts w:cs="Calibri"/>
                <w:color w:val="000000"/>
                <w:sz w:val="20"/>
                <w:szCs w:val="20"/>
              </w:rPr>
              <w:t>22.4</w:t>
            </w:r>
          </w:p>
        </w:tc>
        <w:tc>
          <w:tcPr>
            <w:tcW w:w="1021" w:type="dxa"/>
            <w:tcBorders>
              <w:top w:val="nil"/>
              <w:left w:val="nil"/>
              <w:bottom w:val="single" w:sz="8" w:space="0" w:color="auto"/>
              <w:right w:val="single" w:sz="8" w:space="0" w:color="auto"/>
            </w:tcBorders>
            <w:shd w:val="clear" w:color="auto" w:fill="auto"/>
            <w:noWrap/>
            <w:vAlign w:val="center"/>
            <w:hideMark/>
          </w:tcPr>
          <w:p w:rsidR="00891A96" w:rsidRPr="00EB2995" w:rsidRDefault="00891A96" w:rsidP="00891A96">
            <w:pPr>
              <w:jc w:val="center"/>
              <w:rPr>
                <w:rFonts w:cs="Calibri"/>
                <w:color w:val="000000"/>
                <w:sz w:val="20"/>
                <w:szCs w:val="20"/>
                <w:lang w:eastAsia="en-GB"/>
              </w:rPr>
            </w:pPr>
            <w:r>
              <w:rPr>
                <w:rFonts w:cs="Calibri"/>
                <w:color w:val="000000"/>
                <w:sz w:val="20"/>
                <w:szCs w:val="20"/>
              </w:rPr>
              <w:t>2.2</w:t>
            </w:r>
          </w:p>
        </w:tc>
        <w:tc>
          <w:tcPr>
            <w:tcW w:w="980" w:type="dxa"/>
            <w:tcBorders>
              <w:top w:val="nil"/>
              <w:left w:val="nil"/>
              <w:bottom w:val="single" w:sz="8" w:space="0" w:color="auto"/>
              <w:right w:val="single" w:sz="8" w:space="0" w:color="auto"/>
            </w:tcBorders>
            <w:shd w:val="clear" w:color="auto" w:fill="auto"/>
            <w:noWrap/>
            <w:vAlign w:val="center"/>
            <w:hideMark/>
          </w:tcPr>
          <w:p w:rsidR="00891A96" w:rsidRPr="00EB2995" w:rsidRDefault="00891A96" w:rsidP="00891A96">
            <w:pPr>
              <w:jc w:val="center"/>
              <w:rPr>
                <w:rFonts w:cs="Calibri"/>
                <w:color w:val="000000"/>
                <w:sz w:val="20"/>
                <w:szCs w:val="20"/>
                <w:lang w:eastAsia="en-GB"/>
              </w:rPr>
            </w:pPr>
            <w:r>
              <w:rPr>
                <w:rFonts w:cs="Calibri"/>
                <w:color w:val="000000"/>
                <w:sz w:val="20"/>
                <w:szCs w:val="20"/>
              </w:rPr>
              <w:t>0.0</w:t>
            </w:r>
          </w:p>
        </w:tc>
        <w:tc>
          <w:tcPr>
            <w:tcW w:w="692" w:type="dxa"/>
            <w:tcBorders>
              <w:top w:val="nil"/>
              <w:left w:val="nil"/>
              <w:bottom w:val="single" w:sz="8" w:space="0" w:color="auto"/>
              <w:right w:val="single" w:sz="8" w:space="0" w:color="auto"/>
            </w:tcBorders>
            <w:shd w:val="clear" w:color="auto" w:fill="auto"/>
            <w:vAlign w:val="center"/>
            <w:hideMark/>
          </w:tcPr>
          <w:p w:rsidR="00891A96" w:rsidRPr="00EB2995" w:rsidRDefault="00891A96" w:rsidP="00891A96">
            <w:pPr>
              <w:jc w:val="center"/>
              <w:rPr>
                <w:rFonts w:cs="Calibri"/>
                <w:color w:val="000000"/>
                <w:sz w:val="20"/>
                <w:szCs w:val="20"/>
                <w:lang w:eastAsia="en-GB"/>
              </w:rPr>
            </w:pPr>
            <w:r>
              <w:rPr>
                <w:rFonts w:cs="Calibri"/>
                <w:color w:val="000000"/>
                <w:sz w:val="20"/>
                <w:szCs w:val="20"/>
              </w:rPr>
              <w:t>(0.4)</w:t>
            </w:r>
          </w:p>
        </w:tc>
        <w:tc>
          <w:tcPr>
            <w:tcW w:w="980" w:type="dxa"/>
            <w:tcBorders>
              <w:top w:val="nil"/>
              <w:left w:val="nil"/>
              <w:bottom w:val="single" w:sz="8" w:space="0" w:color="auto"/>
              <w:right w:val="single" w:sz="8" w:space="0" w:color="auto"/>
            </w:tcBorders>
            <w:shd w:val="clear" w:color="auto" w:fill="auto"/>
            <w:vAlign w:val="center"/>
            <w:hideMark/>
          </w:tcPr>
          <w:p w:rsidR="00891A96" w:rsidRPr="00EB2995" w:rsidRDefault="00891A96" w:rsidP="00891A96">
            <w:pPr>
              <w:jc w:val="center"/>
              <w:rPr>
                <w:rFonts w:cs="Calibri"/>
                <w:color w:val="000000"/>
                <w:sz w:val="20"/>
                <w:szCs w:val="20"/>
                <w:lang w:eastAsia="en-GB"/>
              </w:rPr>
            </w:pPr>
            <w:r>
              <w:rPr>
                <w:rFonts w:cs="Calibri"/>
                <w:color w:val="000000"/>
                <w:sz w:val="20"/>
                <w:szCs w:val="20"/>
              </w:rPr>
              <w:t>0.0</w:t>
            </w:r>
          </w:p>
        </w:tc>
        <w:tc>
          <w:tcPr>
            <w:tcW w:w="1193" w:type="dxa"/>
            <w:tcBorders>
              <w:top w:val="nil"/>
              <w:left w:val="nil"/>
              <w:bottom w:val="single" w:sz="8" w:space="0" w:color="auto"/>
              <w:right w:val="single" w:sz="8" w:space="0" w:color="auto"/>
            </w:tcBorders>
            <w:shd w:val="clear" w:color="auto" w:fill="auto"/>
            <w:noWrap/>
            <w:vAlign w:val="center"/>
            <w:hideMark/>
          </w:tcPr>
          <w:p w:rsidR="00891A96" w:rsidRPr="00EB2995" w:rsidRDefault="00891A96" w:rsidP="00891A96">
            <w:pPr>
              <w:jc w:val="center"/>
              <w:rPr>
                <w:rFonts w:cs="Calibri"/>
                <w:color w:val="000000"/>
                <w:sz w:val="20"/>
                <w:szCs w:val="20"/>
                <w:lang w:eastAsia="en-GB"/>
              </w:rPr>
            </w:pPr>
            <w:r>
              <w:rPr>
                <w:rFonts w:cs="Calibri"/>
                <w:color w:val="000000"/>
                <w:sz w:val="20"/>
                <w:szCs w:val="20"/>
              </w:rPr>
              <w:t>2.2</w:t>
            </w:r>
          </w:p>
        </w:tc>
        <w:tc>
          <w:tcPr>
            <w:tcW w:w="824" w:type="dxa"/>
            <w:tcBorders>
              <w:top w:val="nil"/>
              <w:left w:val="nil"/>
              <w:bottom w:val="single" w:sz="8" w:space="0" w:color="auto"/>
              <w:right w:val="single" w:sz="8" w:space="0" w:color="auto"/>
            </w:tcBorders>
            <w:shd w:val="clear" w:color="auto" w:fill="auto"/>
            <w:vAlign w:val="center"/>
            <w:hideMark/>
          </w:tcPr>
          <w:p w:rsidR="00891A96" w:rsidRPr="00EB2995" w:rsidRDefault="00891A96" w:rsidP="00891A96">
            <w:pPr>
              <w:jc w:val="center"/>
              <w:rPr>
                <w:rFonts w:cs="Calibri"/>
                <w:color w:val="000000"/>
                <w:sz w:val="20"/>
                <w:szCs w:val="20"/>
                <w:lang w:eastAsia="en-GB"/>
              </w:rPr>
            </w:pPr>
            <w:r>
              <w:rPr>
                <w:rFonts w:cs="Calibri"/>
                <w:color w:val="000000"/>
                <w:sz w:val="20"/>
                <w:szCs w:val="20"/>
              </w:rPr>
              <w:t>26.4</w:t>
            </w:r>
          </w:p>
        </w:tc>
      </w:tr>
      <w:tr w:rsidR="00891A96" w:rsidRPr="00EB2995" w:rsidTr="00891A96">
        <w:trPr>
          <w:trHeight w:val="315"/>
        </w:trPr>
        <w:tc>
          <w:tcPr>
            <w:tcW w:w="3687" w:type="dxa"/>
            <w:tcBorders>
              <w:top w:val="nil"/>
              <w:left w:val="single" w:sz="8" w:space="0" w:color="auto"/>
              <w:bottom w:val="single" w:sz="8" w:space="0" w:color="auto"/>
              <w:right w:val="single" w:sz="8" w:space="0" w:color="auto"/>
            </w:tcBorders>
            <w:shd w:val="clear" w:color="auto" w:fill="auto"/>
            <w:noWrap/>
            <w:vAlign w:val="center"/>
            <w:hideMark/>
          </w:tcPr>
          <w:p w:rsidR="00891A96" w:rsidRPr="00EB2995" w:rsidRDefault="00891A96" w:rsidP="00891A96">
            <w:pPr>
              <w:rPr>
                <w:rFonts w:cs="Calibri"/>
                <w:color w:val="000000"/>
                <w:sz w:val="20"/>
                <w:szCs w:val="20"/>
                <w:lang w:eastAsia="en-GB"/>
              </w:rPr>
            </w:pPr>
            <w:r w:rsidRPr="00EB2995">
              <w:rPr>
                <w:rFonts w:cs="Calibri"/>
                <w:color w:val="000000"/>
                <w:sz w:val="20"/>
                <w:szCs w:val="20"/>
                <w:lang w:eastAsia="en-GB"/>
              </w:rPr>
              <w:t>Adjustments for investing and financing activities</w:t>
            </w:r>
          </w:p>
        </w:tc>
        <w:tc>
          <w:tcPr>
            <w:tcW w:w="992" w:type="dxa"/>
            <w:tcBorders>
              <w:top w:val="nil"/>
              <w:left w:val="nil"/>
              <w:bottom w:val="single" w:sz="8" w:space="0" w:color="auto"/>
              <w:right w:val="single" w:sz="8" w:space="0" w:color="auto"/>
            </w:tcBorders>
            <w:shd w:val="clear" w:color="auto" w:fill="auto"/>
            <w:noWrap/>
            <w:vAlign w:val="center"/>
            <w:hideMark/>
          </w:tcPr>
          <w:p w:rsidR="00891A96" w:rsidRPr="00EB2995" w:rsidRDefault="00891A96" w:rsidP="00891A96">
            <w:pPr>
              <w:jc w:val="center"/>
              <w:rPr>
                <w:rFonts w:cs="Calibri"/>
                <w:color w:val="000000"/>
                <w:sz w:val="20"/>
                <w:szCs w:val="20"/>
                <w:lang w:eastAsia="en-GB"/>
              </w:rPr>
            </w:pPr>
            <w:r>
              <w:rPr>
                <w:rFonts w:cs="Calibri"/>
                <w:color w:val="000000"/>
                <w:sz w:val="20"/>
                <w:szCs w:val="20"/>
              </w:rPr>
              <w:t>(78.0)</w:t>
            </w:r>
          </w:p>
        </w:tc>
        <w:tc>
          <w:tcPr>
            <w:tcW w:w="1021" w:type="dxa"/>
            <w:tcBorders>
              <w:top w:val="nil"/>
              <w:left w:val="nil"/>
              <w:bottom w:val="single" w:sz="8" w:space="0" w:color="auto"/>
              <w:right w:val="single" w:sz="8" w:space="0" w:color="auto"/>
            </w:tcBorders>
            <w:shd w:val="clear" w:color="auto" w:fill="auto"/>
            <w:noWrap/>
            <w:vAlign w:val="center"/>
            <w:hideMark/>
          </w:tcPr>
          <w:p w:rsidR="00891A96" w:rsidRPr="00EB2995" w:rsidRDefault="00891A96" w:rsidP="00891A96">
            <w:pPr>
              <w:jc w:val="center"/>
              <w:rPr>
                <w:rFonts w:cs="Calibri"/>
                <w:color w:val="000000"/>
                <w:sz w:val="20"/>
                <w:szCs w:val="20"/>
                <w:lang w:eastAsia="en-GB"/>
              </w:rPr>
            </w:pPr>
            <w:r>
              <w:rPr>
                <w:rFonts w:cs="Calibri"/>
                <w:color w:val="000000"/>
                <w:sz w:val="20"/>
                <w:szCs w:val="20"/>
              </w:rPr>
              <w:t>(2.1)</w:t>
            </w:r>
          </w:p>
        </w:tc>
        <w:tc>
          <w:tcPr>
            <w:tcW w:w="980" w:type="dxa"/>
            <w:tcBorders>
              <w:top w:val="nil"/>
              <w:left w:val="nil"/>
              <w:bottom w:val="single" w:sz="8" w:space="0" w:color="auto"/>
              <w:right w:val="single" w:sz="8" w:space="0" w:color="auto"/>
            </w:tcBorders>
            <w:shd w:val="clear" w:color="auto" w:fill="auto"/>
            <w:noWrap/>
            <w:vAlign w:val="center"/>
            <w:hideMark/>
          </w:tcPr>
          <w:p w:rsidR="00891A96" w:rsidRPr="00EB2995" w:rsidRDefault="00891A96" w:rsidP="00891A96">
            <w:pPr>
              <w:jc w:val="center"/>
              <w:rPr>
                <w:rFonts w:cs="Calibri"/>
                <w:color w:val="000000"/>
                <w:sz w:val="20"/>
                <w:szCs w:val="20"/>
                <w:lang w:eastAsia="en-GB"/>
              </w:rPr>
            </w:pPr>
            <w:r>
              <w:rPr>
                <w:rFonts w:cs="Calibri"/>
                <w:color w:val="000000"/>
                <w:sz w:val="20"/>
                <w:szCs w:val="20"/>
              </w:rPr>
              <w:t>0.0</w:t>
            </w:r>
          </w:p>
        </w:tc>
        <w:tc>
          <w:tcPr>
            <w:tcW w:w="692" w:type="dxa"/>
            <w:tcBorders>
              <w:top w:val="nil"/>
              <w:left w:val="nil"/>
              <w:bottom w:val="single" w:sz="8" w:space="0" w:color="auto"/>
              <w:right w:val="single" w:sz="8" w:space="0" w:color="auto"/>
            </w:tcBorders>
            <w:shd w:val="clear" w:color="auto" w:fill="auto"/>
            <w:vAlign w:val="center"/>
            <w:hideMark/>
          </w:tcPr>
          <w:p w:rsidR="00891A96" w:rsidRPr="00EB2995" w:rsidRDefault="00891A96" w:rsidP="00891A96">
            <w:pPr>
              <w:jc w:val="center"/>
              <w:rPr>
                <w:rFonts w:cs="Calibri"/>
                <w:color w:val="000000"/>
                <w:sz w:val="20"/>
                <w:szCs w:val="20"/>
                <w:lang w:eastAsia="en-GB"/>
              </w:rPr>
            </w:pPr>
            <w:r>
              <w:rPr>
                <w:rFonts w:cs="Calibri"/>
                <w:color w:val="000000"/>
                <w:sz w:val="20"/>
                <w:szCs w:val="20"/>
              </w:rPr>
              <w:t>3.1</w:t>
            </w:r>
          </w:p>
        </w:tc>
        <w:tc>
          <w:tcPr>
            <w:tcW w:w="980" w:type="dxa"/>
            <w:tcBorders>
              <w:top w:val="nil"/>
              <w:left w:val="nil"/>
              <w:bottom w:val="single" w:sz="8" w:space="0" w:color="auto"/>
              <w:right w:val="single" w:sz="8" w:space="0" w:color="auto"/>
            </w:tcBorders>
            <w:shd w:val="clear" w:color="auto" w:fill="auto"/>
            <w:vAlign w:val="center"/>
            <w:hideMark/>
          </w:tcPr>
          <w:p w:rsidR="00891A96" w:rsidRPr="00EB2995" w:rsidRDefault="00891A96" w:rsidP="00891A96">
            <w:pPr>
              <w:jc w:val="center"/>
              <w:rPr>
                <w:rFonts w:cs="Calibri"/>
                <w:color w:val="000000"/>
                <w:sz w:val="20"/>
                <w:szCs w:val="20"/>
                <w:lang w:eastAsia="en-GB"/>
              </w:rPr>
            </w:pPr>
            <w:r>
              <w:rPr>
                <w:rFonts w:cs="Calibri"/>
                <w:color w:val="000000"/>
                <w:sz w:val="20"/>
                <w:szCs w:val="20"/>
              </w:rPr>
              <w:t>0.0</w:t>
            </w:r>
          </w:p>
        </w:tc>
        <w:tc>
          <w:tcPr>
            <w:tcW w:w="1193" w:type="dxa"/>
            <w:tcBorders>
              <w:top w:val="nil"/>
              <w:left w:val="nil"/>
              <w:bottom w:val="single" w:sz="8" w:space="0" w:color="auto"/>
              <w:right w:val="single" w:sz="8" w:space="0" w:color="auto"/>
            </w:tcBorders>
            <w:shd w:val="clear" w:color="auto" w:fill="auto"/>
            <w:noWrap/>
            <w:vAlign w:val="center"/>
            <w:hideMark/>
          </w:tcPr>
          <w:p w:rsidR="00891A96" w:rsidRPr="00EB2995" w:rsidRDefault="00891A96" w:rsidP="00891A96">
            <w:pPr>
              <w:jc w:val="center"/>
              <w:rPr>
                <w:rFonts w:cs="Calibri"/>
                <w:color w:val="000000"/>
                <w:sz w:val="20"/>
                <w:szCs w:val="20"/>
                <w:lang w:eastAsia="en-GB"/>
              </w:rPr>
            </w:pPr>
            <w:r>
              <w:rPr>
                <w:rFonts w:cs="Calibri"/>
                <w:color w:val="000000"/>
                <w:sz w:val="20"/>
                <w:szCs w:val="20"/>
              </w:rPr>
              <w:t>0.0</w:t>
            </w:r>
          </w:p>
        </w:tc>
        <w:tc>
          <w:tcPr>
            <w:tcW w:w="824" w:type="dxa"/>
            <w:tcBorders>
              <w:top w:val="nil"/>
              <w:left w:val="nil"/>
              <w:bottom w:val="single" w:sz="8" w:space="0" w:color="auto"/>
              <w:right w:val="single" w:sz="8" w:space="0" w:color="auto"/>
            </w:tcBorders>
            <w:shd w:val="clear" w:color="auto" w:fill="auto"/>
            <w:vAlign w:val="center"/>
            <w:hideMark/>
          </w:tcPr>
          <w:p w:rsidR="00891A96" w:rsidRPr="00EB2995" w:rsidRDefault="00891A96" w:rsidP="00891A96">
            <w:pPr>
              <w:jc w:val="center"/>
              <w:rPr>
                <w:rFonts w:cs="Calibri"/>
                <w:color w:val="000000"/>
                <w:sz w:val="20"/>
                <w:szCs w:val="20"/>
                <w:lang w:eastAsia="en-GB"/>
              </w:rPr>
            </w:pPr>
            <w:r>
              <w:rPr>
                <w:rFonts w:cs="Calibri"/>
                <w:color w:val="000000"/>
                <w:sz w:val="20"/>
                <w:szCs w:val="20"/>
              </w:rPr>
              <w:t>(77.0)</w:t>
            </w:r>
          </w:p>
        </w:tc>
      </w:tr>
      <w:tr w:rsidR="00891A96" w:rsidRPr="00EB2995" w:rsidTr="00891A96">
        <w:trPr>
          <w:trHeight w:val="315"/>
        </w:trPr>
        <w:tc>
          <w:tcPr>
            <w:tcW w:w="3687" w:type="dxa"/>
            <w:tcBorders>
              <w:top w:val="nil"/>
              <w:left w:val="single" w:sz="8" w:space="0" w:color="auto"/>
              <w:bottom w:val="single" w:sz="8" w:space="0" w:color="auto"/>
              <w:right w:val="single" w:sz="8" w:space="0" w:color="auto"/>
            </w:tcBorders>
            <w:shd w:val="clear" w:color="auto" w:fill="auto"/>
            <w:noWrap/>
            <w:vAlign w:val="center"/>
            <w:hideMark/>
          </w:tcPr>
          <w:p w:rsidR="00891A96" w:rsidRPr="00EB2995" w:rsidRDefault="00891A96" w:rsidP="00891A96">
            <w:pPr>
              <w:rPr>
                <w:rFonts w:cs="Calibri"/>
                <w:color w:val="000000"/>
                <w:sz w:val="20"/>
                <w:szCs w:val="20"/>
                <w:lang w:eastAsia="en-GB"/>
              </w:rPr>
            </w:pPr>
            <w:r w:rsidRPr="00EB2995">
              <w:rPr>
                <w:rFonts w:cs="Calibri"/>
                <w:color w:val="000000"/>
                <w:sz w:val="20"/>
                <w:szCs w:val="20"/>
                <w:lang w:eastAsia="en-GB"/>
              </w:rPr>
              <w:t>Net cash inflows/(outflow) from Investing activities</w:t>
            </w:r>
          </w:p>
        </w:tc>
        <w:tc>
          <w:tcPr>
            <w:tcW w:w="992" w:type="dxa"/>
            <w:tcBorders>
              <w:top w:val="nil"/>
              <w:left w:val="nil"/>
              <w:bottom w:val="single" w:sz="8" w:space="0" w:color="auto"/>
              <w:right w:val="single" w:sz="8" w:space="0" w:color="auto"/>
            </w:tcBorders>
            <w:shd w:val="clear" w:color="auto" w:fill="auto"/>
            <w:noWrap/>
            <w:vAlign w:val="center"/>
            <w:hideMark/>
          </w:tcPr>
          <w:p w:rsidR="00891A96" w:rsidRPr="00EB2995" w:rsidRDefault="00891A96" w:rsidP="00891A96">
            <w:pPr>
              <w:jc w:val="center"/>
              <w:rPr>
                <w:rFonts w:cs="Calibri"/>
                <w:color w:val="000000"/>
                <w:sz w:val="20"/>
                <w:szCs w:val="20"/>
                <w:lang w:eastAsia="en-GB"/>
              </w:rPr>
            </w:pPr>
            <w:r>
              <w:rPr>
                <w:rFonts w:cs="Calibri"/>
                <w:color w:val="000000"/>
                <w:sz w:val="20"/>
                <w:szCs w:val="20"/>
              </w:rPr>
              <w:t>(67.8)</w:t>
            </w:r>
          </w:p>
        </w:tc>
        <w:tc>
          <w:tcPr>
            <w:tcW w:w="1021" w:type="dxa"/>
            <w:tcBorders>
              <w:top w:val="nil"/>
              <w:left w:val="nil"/>
              <w:bottom w:val="single" w:sz="8" w:space="0" w:color="auto"/>
              <w:right w:val="single" w:sz="8" w:space="0" w:color="auto"/>
            </w:tcBorders>
            <w:shd w:val="clear" w:color="auto" w:fill="auto"/>
            <w:noWrap/>
            <w:vAlign w:val="center"/>
            <w:hideMark/>
          </w:tcPr>
          <w:p w:rsidR="00891A96" w:rsidRPr="00EB2995" w:rsidRDefault="00891A96" w:rsidP="00891A96">
            <w:pPr>
              <w:jc w:val="center"/>
              <w:rPr>
                <w:rFonts w:cs="Calibri"/>
                <w:color w:val="000000"/>
                <w:sz w:val="20"/>
                <w:szCs w:val="20"/>
                <w:lang w:eastAsia="en-GB"/>
              </w:rPr>
            </w:pPr>
            <w:r>
              <w:rPr>
                <w:rFonts w:cs="Calibri"/>
                <w:color w:val="000000"/>
                <w:sz w:val="20"/>
                <w:szCs w:val="20"/>
              </w:rPr>
              <w:t>(0.1)</w:t>
            </w:r>
          </w:p>
        </w:tc>
        <w:tc>
          <w:tcPr>
            <w:tcW w:w="980" w:type="dxa"/>
            <w:tcBorders>
              <w:top w:val="nil"/>
              <w:left w:val="nil"/>
              <w:bottom w:val="single" w:sz="8" w:space="0" w:color="auto"/>
              <w:right w:val="single" w:sz="8" w:space="0" w:color="auto"/>
            </w:tcBorders>
            <w:shd w:val="clear" w:color="auto" w:fill="auto"/>
            <w:noWrap/>
            <w:vAlign w:val="center"/>
            <w:hideMark/>
          </w:tcPr>
          <w:p w:rsidR="00891A96" w:rsidRPr="00EB2995" w:rsidRDefault="00891A96" w:rsidP="00891A96">
            <w:pPr>
              <w:jc w:val="center"/>
              <w:rPr>
                <w:rFonts w:cs="Calibri"/>
                <w:color w:val="000000"/>
                <w:sz w:val="20"/>
                <w:szCs w:val="20"/>
                <w:lang w:eastAsia="en-GB"/>
              </w:rPr>
            </w:pPr>
            <w:r>
              <w:rPr>
                <w:rFonts w:cs="Calibri"/>
                <w:color w:val="000000"/>
                <w:sz w:val="20"/>
                <w:szCs w:val="20"/>
              </w:rPr>
              <w:t>0.0</w:t>
            </w:r>
          </w:p>
        </w:tc>
        <w:tc>
          <w:tcPr>
            <w:tcW w:w="692" w:type="dxa"/>
            <w:tcBorders>
              <w:top w:val="nil"/>
              <w:left w:val="nil"/>
              <w:bottom w:val="single" w:sz="8" w:space="0" w:color="auto"/>
              <w:right w:val="single" w:sz="8" w:space="0" w:color="auto"/>
            </w:tcBorders>
            <w:shd w:val="clear" w:color="auto" w:fill="auto"/>
            <w:vAlign w:val="center"/>
            <w:hideMark/>
          </w:tcPr>
          <w:p w:rsidR="00891A96" w:rsidRPr="00EB2995" w:rsidRDefault="00891A96" w:rsidP="00891A96">
            <w:pPr>
              <w:jc w:val="center"/>
              <w:rPr>
                <w:rFonts w:cs="Calibri"/>
                <w:color w:val="000000"/>
                <w:sz w:val="20"/>
                <w:szCs w:val="20"/>
                <w:lang w:eastAsia="en-GB"/>
              </w:rPr>
            </w:pPr>
            <w:r>
              <w:rPr>
                <w:rFonts w:cs="Calibri"/>
                <w:color w:val="000000"/>
                <w:sz w:val="20"/>
                <w:szCs w:val="20"/>
              </w:rPr>
              <w:t>(57.9)</w:t>
            </w:r>
          </w:p>
        </w:tc>
        <w:tc>
          <w:tcPr>
            <w:tcW w:w="980" w:type="dxa"/>
            <w:tcBorders>
              <w:top w:val="nil"/>
              <w:left w:val="nil"/>
              <w:bottom w:val="single" w:sz="8" w:space="0" w:color="auto"/>
              <w:right w:val="single" w:sz="8" w:space="0" w:color="auto"/>
            </w:tcBorders>
            <w:shd w:val="clear" w:color="auto" w:fill="auto"/>
            <w:vAlign w:val="center"/>
            <w:hideMark/>
          </w:tcPr>
          <w:p w:rsidR="00891A96" w:rsidRPr="00EB2995" w:rsidRDefault="00891A96" w:rsidP="00891A96">
            <w:pPr>
              <w:jc w:val="center"/>
              <w:rPr>
                <w:rFonts w:cs="Calibri"/>
                <w:color w:val="000000"/>
                <w:sz w:val="20"/>
                <w:szCs w:val="20"/>
                <w:lang w:eastAsia="en-GB"/>
              </w:rPr>
            </w:pPr>
            <w:r>
              <w:rPr>
                <w:rFonts w:cs="Calibri"/>
                <w:color w:val="000000"/>
                <w:sz w:val="20"/>
                <w:szCs w:val="20"/>
              </w:rPr>
              <w:t>0.0</w:t>
            </w:r>
          </w:p>
        </w:tc>
        <w:tc>
          <w:tcPr>
            <w:tcW w:w="1193" w:type="dxa"/>
            <w:tcBorders>
              <w:top w:val="nil"/>
              <w:left w:val="nil"/>
              <w:bottom w:val="single" w:sz="8" w:space="0" w:color="auto"/>
              <w:right w:val="single" w:sz="8" w:space="0" w:color="auto"/>
            </w:tcBorders>
            <w:shd w:val="clear" w:color="auto" w:fill="auto"/>
            <w:noWrap/>
            <w:vAlign w:val="center"/>
            <w:hideMark/>
          </w:tcPr>
          <w:p w:rsidR="00891A96" w:rsidRPr="00EB2995" w:rsidRDefault="00891A96" w:rsidP="00891A96">
            <w:pPr>
              <w:jc w:val="center"/>
              <w:rPr>
                <w:rFonts w:cs="Calibri"/>
                <w:color w:val="000000"/>
                <w:sz w:val="20"/>
                <w:szCs w:val="20"/>
                <w:lang w:eastAsia="en-GB"/>
              </w:rPr>
            </w:pPr>
            <w:r>
              <w:rPr>
                <w:rFonts w:cs="Calibri"/>
                <w:color w:val="000000"/>
                <w:sz w:val="20"/>
                <w:szCs w:val="20"/>
              </w:rPr>
              <w:t>114.9</w:t>
            </w:r>
          </w:p>
        </w:tc>
        <w:tc>
          <w:tcPr>
            <w:tcW w:w="824" w:type="dxa"/>
            <w:tcBorders>
              <w:top w:val="nil"/>
              <w:left w:val="nil"/>
              <w:bottom w:val="single" w:sz="8" w:space="0" w:color="auto"/>
              <w:right w:val="single" w:sz="8" w:space="0" w:color="auto"/>
            </w:tcBorders>
            <w:shd w:val="clear" w:color="auto" w:fill="auto"/>
            <w:vAlign w:val="center"/>
            <w:hideMark/>
          </w:tcPr>
          <w:p w:rsidR="00891A96" w:rsidRPr="00EB2995" w:rsidRDefault="00891A96" w:rsidP="00891A96">
            <w:pPr>
              <w:jc w:val="center"/>
              <w:rPr>
                <w:rFonts w:cs="Calibri"/>
                <w:color w:val="000000"/>
                <w:sz w:val="20"/>
                <w:szCs w:val="20"/>
                <w:lang w:eastAsia="en-GB"/>
              </w:rPr>
            </w:pPr>
            <w:r>
              <w:rPr>
                <w:rFonts w:cs="Calibri"/>
                <w:color w:val="000000"/>
                <w:sz w:val="20"/>
                <w:szCs w:val="20"/>
              </w:rPr>
              <w:t>(10.9)</w:t>
            </w:r>
          </w:p>
        </w:tc>
      </w:tr>
      <w:tr w:rsidR="00891A96" w:rsidRPr="00EB2995" w:rsidTr="00891A96">
        <w:trPr>
          <w:trHeight w:val="315"/>
        </w:trPr>
        <w:tc>
          <w:tcPr>
            <w:tcW w:w="3687" w:type="dxa"/>
            <w:tcBorders>
              <w:top w:val="nil"/>
              <w:left w:val="single" w:sz="8" w:space="0" w:color="auto"/>
              <w:bottom w:val="single" w:sz="8" w:space="0" w:color="auto"/>
              <w:right w:val="single" w:sz="8" w:space="0" w:color="auto"/>
            </w:tcBorders>
            <w:shd w:val="clear" w:color="auto" w:fill="auto"/>
            <w:noWrap/>
            <w:vAlign w:val="center"/>
            <w:hideMark/>
          </w:tcPr>
          <w:p w:rsidR="00891A96" w:rsidRPr="00EB2995" w:rsidRDefault="00891A96" w:rsidP="00891A96">
            <w:pPr>
              <w:rPr>
                <w:rFonts w:cs="Calibri"/>
                <w:color w:val="000000"/>
                <w:sz w:val="20"/>
                <w:szCs w:val="20"/>
                <w:lang w:eastAsia="en-GB"/>
              </w:rPr>
            </w:pPr>
            <w:r w:rsidRPr="00EB2995">
              <w:rPr>
                <w:rFonts w:cs="Calibri"/>
                <w:color w:val="000000"/>
                <w:sz w:val="20"/>
                <w:szCs w:val="20"/>
                <w:lang w:eastAsia="en-GB"/>
              </w:rPr>
              <w:t>Net cash inflows/(outflow) from Financing activities</w:t>
            </w:r>
          </w:p>
        </w:tc>
        <w:tc>
          <w:tcPr>
            <w:tcW w:w="992" w:type="dxa"/>
            <w:tcBorders>
              <w:top w:val="nil"/>
              <w:left w:val="nil"/>
              <w:bottom w:val="single" w:sz="8" w:space="0" w:color="auto"/>
              <w:right w:val="single" w:sz="8" w:space="0" w:color="auto"/>
            </w:tcBorders>
            <w:shd w:val="clear" w:color="auto" w:fill="auto"/>
            <w:noWrap/>
            <w:vAlign w:val="center"/>
            <w:hideMark/>
          </w:tcPr>
          <w:p w:rsidR="00891A96" w:rsidRPr="00EB2995" w:rsidRDefault="00891A96" w:rsidP="00891A96">
            <w:pPr>
              <w:jc w:val="center"/>
              <w:rPr>
                <w:rFonts w:cs="Calibri"/>
                <w:color w:val="000000"/>
                <w:sz w:val="20"/>
                <w:szCs w:val="20"/>
                <w:lang w:eastAsia="en-GB"/>
              </w:rPr>
            </w:pPr>
            <w:r>
              <w:rPr>
                <w:rFonts w:cs="Calibri"/>
                <w:color w:val="000000"/>
                <w:sz w:val="20"/>
                <w:szCs w:val="20"/>
              </w:rPr>
              <w:t>195.6</w:t>
            </w:r>
          </w:p>
        </w:tc>
        <w:tc>
          <w:tcPr>
            <w:tcW w:w="1021" w:type="dxa"/>
            <w:tcBorders>
              <w:top w:val="nil"/>
              <w:left w:val="nil"/>
              <w:bottom w:val="single" w:sz="8" w:space="0" w:color="auto"/>
              <w:right w:val="single" w:sz="8" w:space="0" w:color="auto"/>
            </w:tcBorders>
            <w:shd w:val="clear" w:color="auto" w:fill="auto"/>
            <w:noWrap/>
            <w:vAlign w:val="center"/>
            <w:hideMark/>
          </w:tcPr>
          <w:p w:rsidR="00891A96" w:rsidRPr="00EB2995" w:rsidRDefault="00891A96" w:rsidP="00891A96">
            <w:pPr>
              <w:jc w:val="center"/>
              <w:rPr>
                <w:rFonts w:cs="Calibri"/>
                <w:color w:val="000000"/>
                <w:sz w:val="20"/>
                <w:szCs w:val="20"/>
                <w:lang w:eastAsia="en-GB"/>
              </w:rPr>
            </w:pPr>
            <w:r>
              <w:rPr>
                <w:rFonts w:cs="Calibri"/>
                <w:color w:val="000000"/>
                <w:sz w:val="20"/>
                <w:szCs w:val="20"/>
              </w:rPr>
              <w:t>(0.9)</w:t>
            </w:r>
          </w:p>
        </w:tc>
        <w:tc>
          <w:tcPr>
            <w:tcW w:w="980" w:type="dxa"/>
            <w:tcBorders>
              <w:top w:val="nil"/>
              <w:left w:val="nil"/>
              <w:bottom w:val="single" w:sz="8" w:space="0" w:color="auto"/>
              <w:right w:val="single" w:sz="8" w:space="0" w:color="auto"/>
            </w:tcBorders>
            <w:shd w:val="clear" w:color="auto" w:fill="auto"/>
            <w:noWrap/>
            <w:vAlign w:val="center"/>
            <w:hideMark/>
          </w:tcPr>
          <w:p w:rsidR="00891A96" w:rsidRPr="00EB2995" w:rsidRDefault="00891A96" w:rsidP="00891A96">
            <w:pPr>
              <w:jc w:val="center"/>
              <w:rPr>
                <w:rFonts w:cs="Calibri"/>
                <w:color w:val="000000"/>
                <w:sz w:val="20"/>
                <w:szCs w:val="20"/>
                <w:lang w:eastAsia="en-GB"/>
              </w:rPr>
            </w:pPr>
            <w:r>
              <w:rPr>
                <w:rFonts w:cs="Calibri"/>
                <w:color w:val="000000"/>
                <w:sz w:val="20"/>
                <w:szCs w:val="20"/>
              </w:rPr>
              <w:t>0.0</w:t>
            </w:r>
          </w:p>
        </w:tc>
        <w:tc>
          <w:tcPr>
            <w:tcW w:w="692" w:type="dxa"/>
            <w:tcBorders>
              <w:top w:val="nil"/>
              <w:left w:val="nil"/>
              <w:bottom w:val="single" w:sz="8" w:space="0" w:color="auto"/>
              <w:right w:val="single" w:sz="8" w:space="0" w:color="auto"/>
            </w:tcBorders>
            <w:shd w:val="clear" w:color="auto" w:fill="auto"/>
            <w:vAlign w:val="center"/>
            <w:hideMark/>
          </w:tcPr>
          <w:p w:rsidR="00891A96" w:rsidRPr="00EB2995" w:rsidRDefault="00891A96" w:rsidP="00891A96">
            <w:pPr>
              <w:jc w:val="center"/>
              <w:rPr>
                <w:rFonts w:cs="Calibri"/>
                <w:color w:val="000000"/>
                <w:sz w:val="20"/>
                <w:szCs w:val="20"/>
                <w:lang w:eastAsia="en-GB"/>
              </w:rPr>
            </w:pPr>
            <w:r>
              <w:rPr>
                <w:rFonts w:cs="Calibri"/>
                <w:color w:val="000000"/>
                <w:sz w:val="20"/>
                <w:szCs w:val="20"/>
              </w:rPr>
              <w:t>57.0</w:t>
            </w:r>
          </w:p>
        </w:tc>
        <w:tc>
          <w:tcPr>
            <w:tcW w:w="980" w:type="dxa"/>
            <w:tcBorders>
              <w:top w:val="nil"/>
              <w:left w:val="nil"/>
              <w:bottom w:val="single" w:sz="8" w:space="0" w:color="auto"/>
              <w:right w:val="single" w:sz="8" w:space="0" w:color="auto"/>
            </w:tcBorders>
            <w:shd w:val="clear" w:color="auto" w:fill="auto"/>
            <w:vAlign w:val="center"/>
            <w:hideMark/>
          </w:tcPr>
          <w:p w:rsidR="00891A96" w:rsidRPr="00EB2995" w:rsidRDefault="00891A96" w:rsidP="00891A96">
            <w:pPr>
              <w:jc w:val="center"/>
              <w:rPr>
                <w:rFonts w:cs="Calibri"/>
                <w:color w:val="000000"/>
                <w:sz w:val="20"/>
                <w:szCs w:val="20"/>
                <w:lang w:eastAsia="en-GB"/>
              </w:rPr>
            </w:pPr>
            <w:r>
              <w:rPr>
                <w:rFonts w:cs="Calibri"/>
                <w:color w:val="000000"/>
                <w:sz w:val="20"/>
                <w:szCs w:val="20"/>
              </w:rPr>
              <w:t>0.0</w:t>
            </w:r>
          </w:p>
        </w:tc>
        <w:tc>
          <w:tcPr>
            <w:tcW w:w="1193" w:type="dxa"/>
            <w:tcBorders>
              <w:top w:val="nil"/>
              <w:left w:val="nil"/>
              <w:bottom w:val="single" w:sz="8" w:space="0" w:color="auto"/>
              <w:right w:val="single" w:sz="8" w:space="0" w:color="auto"/>
            </w:tcBorders>
            <w:shd w:val="clear" w:color="auto" w:fill="auto"/>
            <w:noWrap/>
            <w:vAlign w:val="center"/>
            <w:hideMark/>
          </w:tcPr>
          <w:p w:rsidR="00891A96" w:rsidRPr="00EB2995" w:rsidRDefault="00891A96" w:rsidP="00891A96">
            <w:pPr>
              <w:jc w:val="center"/>
              <w:rPr>
                <w:rFonts w:cs="Calibri"/>
                <w:color w:val="000000"/>
                <w:sz w:val="20"/>
                <w:szCs w:val="20"/>
                <w:lang w:eastAsia="en-GB"/>
              </w:rPr>
            </w:pPr>
            <w:r>
              <w:rPr>
                <w:rFonts w:cs="Calibri"/>
                <w:color w:val="000000"/>
                <w:sz w:val="20"/>
                <w:szCs w:val="20"/>
              </w:rPr>
              <w:t>(114.9)</w:t>
            </w:r>
          </w:p>
        </w:tc>
        <w:tc>
          <w:tcPr>
            <w:tcW w:w="824" w:type="dxa"/>
            <w:tcBorders>
              <w:top w:val="nil"/>
              <w:left w:val="nil"/>
              <w:bottom w:val="single" w:sz="8" w:space="0" w:color="auto"/>
              <w:right w:val="single" w:sz="8" w:space="0" w:color="auto"/>
            </w:tcBorders>
            <w:shd w:val="clear" w:color="auto" w:fill="auto"/>
            <w:vAlign w:val="center"/>
            <w:hideMark/>
          </w:tcPr>
          <w:p w:rsidR="00891A96" w:rsidRPr="00EB2995" w:rsidRDefault="00891A96" w:rsidP="00891A96">
            <w:pPr>
              <w:jc w:val="center"/>
              <w:rPr>
                <w:rFonts w:cs="Calibri"/>
                <w:color w:val="000000"/>
                <w:sz w:val="20"/>
                <w:szCs w:val="20"/>
                <w:lang w:eastAsia="en-GB"/>
              </w:rPr>
            </w:pPr>
            <w:r>
              <w:rPr>
                <w:rFonts w:cs="Calibri"/>
                <w:color w:val="000000"/>
                <w:sz w:val="20"/>
                <w:szCs w:val="20"/>
              </w:rPr>
              <w:t>136.8</w:t>
            </w:r>
          </w:p>
        </w:tc>
      </w:tr>
    </w:tbl>
    <w:p w:rsidR="00891A96" w:rsidRPr="00EB2995" w:rsidRDefault="00891A96" w:rsidP="00891A96">
      <w:pPr>
        <w:ind w:right="1465"/>
        <w:jc w:val="both"/>
        <w:rPr>
          <w:rFonts w:cs="Calibri"/>
        </w:rPr>
      </w:pPr>
    </w:p>
    <w:p w:rsidR="00891A96" w:rsidRPr="00EB2995" w:rsidRDefault="00891A96" w:rsidP="00891A96">
      <w:pPr>
        <w:rPr>
          <w:rFonts w:cs="Calibri"/>
          <w:b/>
        </w:rPr>
      </w:pPr>
      <w:r w:rsidRPr="00EB2995">
        <w:rPr>
          <w:rFonts w:cs="Calibri"/>
          <w:b/>
        </w:rPr>
        <w:t>2019/20 main adjustments</w:t>
      </w:r>
    </w:p>
    <w:p w:rsidR="00891A96" w:rsidRPr="00EB2995" w:rsidRDefault="00891A96" w:rsidP="00891A96">
      <w:pPr>
        <w:rPr>
          <w:rFonts w:cs="Calibri"/>
        </w:rPr>
      </w:pPr>
    </w:p>
    <w:p w:rsidR="00891A96" w:rsidRPr="00EB2995" w:rsidRDefault="00891A96" w:rsidP="00891A96">
      <w:pPr>
        <w:rPr>
          <w:rFonts w:cs="Calibri"/>
        </w:rPr>
      </w:pPr>
      <w:r w:rsidRPr="00EB2995">
        <w:rPr>
          <w:rFonts w:cs="Calibri"/>
        </w:rPr>
        <w:t>I4B records its properties as investment properties under its accounting policies to comply with UK GAAP, whereas in the group accounts these have to be recorded as Property, Plant and Equipment to comply with the CIPFA Code. This explains the (£135.8m) and £130.3m adjustments to Investment Property and Property, Plant and Equipment respectively. The small difference of £5.5m between these two values relates to the difference in current value between these two different treatments (Property, Plant and Equipment is depreciated, and Investment Properties are not), the net effect of this is a £4.1m reduction in reserves.</w:t>
      </w:r>
    </w:p>
    <w:p w:rsidR="00891A96" w:rsidRPr="00EB2995" w:rsidRDefault="00891A96" w:rsidP="00891A96">
      <w:pPr>
        <w:rPr>
          <w:rFonts w:cs="Calibri"/>
          <w:highlight w:val="yellow"/>
        </w:rPr>
      </w:pPr>
    </w:p>
    <w:p w:rsidR="00891A96" w:rsidRPr="00EB2995" w:rsidRDefault="00891A96" w:rsidP="00891A96">
      <w:pPr>
        <w:rPr>
          <w:rFonts w:cs="Calibri"/>
        </w:rPr>
      </w:pPr>
      <w:r w:rsidRPr="00EB2995">
        <w:rPr>
          <w:rFonts w:cs="Calibri"/>
        </w:rPr>
        <w:t xml:space="preserve">Loans made by the council to I4B and First wave have been removed from the group accounts, to remove transactions within the group. This has the effect of reducing </w:t>
      </w:r>
      <w:r>
        <w:rPr>
          <w:rFonts w:cs="Calibri"/>
        </w:rPr>
        <w:t>long-</w:t>
      </w:r>
      <w:r w:rsidRPr="00EB2995">
        <w:rPr>
          <w:rFonts w:cs="Calibri"/>
        </w:rPr>
        <w:t>term borrowing and long</w:t>
      </w:r>
      <w:r>
        <w:rPr>
          <w:rFonts w:cs="Calibri"/>
        </w:rPr>
        <w:t>-</w:t>
      </w:r>
      <w:r w:rsidRPr="00EB2995">
        <w:rPr>
          <w:rFonts w:cs="Calibri"/>
        </w:rPr>
        <w:t>term debtors by £75m for I4B. And reducing lo</w:t>
      </w:r>
      <w:r>
        <w:rPr>
          <w:rFonts w:cs="Calibri"/>
        </w:rPr>
        <w:t>ng-</w:t>
      </w:r>
      <w:r w:rsidRPr="00EB2995">
        <w:rPr>
          <w:rFonts w:cs="Calibri"/>
        </w:rPr>
        <w:t>term borrowing and long</w:t>
      </w:r>
      <w:r>
        <w:rPr>
          <w:rFonts w:cs="Calibri"/>
        </w:rPr>
        <w:t>-</w:t>
      </w:r>
      <w:r w:rsidRPr="00EB2995">
        <w:rPr>
          <w:rFonts w:cs="Calibri"/>
        </w:rPr>
        <w:t>term debtor by £36m for I4B. As the loan from the coun</w:t>
      </w:r>
      <w:r>
        <w:rPr>
          <w:rFonts w:cs="Calibri"/>
        </w:rPr>
        <w:t>cil to I4B is a soft loan, long-</w:t>
      </w:r>
      <w:r w:rsidRPr="00EB2995">
        <w:rPr>
          <w:rFonts w:cs="Calibri"/>
        </w:rPr>
        <w:t>term investments and unusable reserve are both reduced by £62m to reflect the intra-group transactions for the soft loan.</w:t>
      </w:r>
    </w:p>
    <w:p w:rsidR="00891A96" w:rsidRPr="00EB2995" w:rsidRDefault="00891A96" w:rsidP="00891A96">
      <w:pPr>
        <w:ind w:right="1465"/>
        <w:jc w:val="both"/>
        <w:rPr>
          <w:rFonts w:cs="Calibri"/>
        </w:rPr>
      </w:pPr>
    </w:p>
    <w:tbl>
      <w:tblPr>
        <w:tblStyle w:val="TableGrid2"/>
        <w:tblW w:w="5289" w:type="pct"/>
        <w:tblLayout w:type="fixed"/>
        <w:tblLook w:val="04A0" w:firstRow="1" w:lastRow="0" w:firstColumn="1" w:lastColumn="0" w:noHBand="0" w:noVBand="1"/>
        <w:tblCaption w:val="2018/19 main adjustment table"/>
      </w:tblPr>
      <w:tblGrid>
        <w:gridCol w:w="3186"/>
        <w:gridCol w:w="1400"/>
        <w:gridCol w:w="1067"/>
        <w:gridCol w:w="797"/>
        <w:gridCol w:w="1034"/>
        <w:gridCol w:w="597"/>
        <w:gridCol w:w="1245"/>
        <w:gridCol w:w="995"/>
      </w:tblGrid>
      <w:tr w:rsidR="00891A96" w:rsidRPr="00EB2995" w:rsidTr="007B70DC">
        <w:trPr>
          <w:trHeight w:val="600"/>
          <w:tblHeader/>
        </w:trPr>
        <w:tc>
          <w:tcPr>
            <w:tcW w:w="1542" w:type="pct"/>
            <w:tcBorders>
              <w:top w:val="nil"/>
              <w:left w:val="nil"/>
              <w:bottom w:val="nil"/>
              <w:right w:val="nil"/>
            </w:tcBorders>
            <w:noWrap/>
            <w:hideMark/>
          </w:tcPr>
          <w:p w:rsidR="00891A96" w:rsidRPr="00EB2995" w:rsidRDefault="00891A96" w:rsidP="00891A96">
            <w:pPr>
              <w:rPr>
                <w:rFonts w:cs="Calibri"/>
                <w:sz w:val="20"/>
                <w:szCs w:val="20"/>
                <w:lang w:eastAsia="en-GB"/>
              </w:rPr>
            </w:pPr>
            <w:r w:rsidRPr="00EB2995">
              <w:rPr>
                <w:rFonts w:cs="Calibri"/>
                <w:b/>
                <w:bCs/>
                <w:color w:val="000000"/>
                <w:sz w:val="20"/>
                <w:u w:val="single"/>
              </w:rPr>
              <w:t>2018/19</w:t>
            </w:r>
          </w:p>
        </w:tc>
        <w:tc>
          <w:tcPr>
            <w:tcW w:w="678" w:type="pct"/>
            <w:tcBorders>
              <w:top w:val="nil"/>
              <w:left w:val="nil"/>
              <w:bottom w:val="nil"/>
              <w:right w:val="nil"/>
            </w:tcBorders>
            <w:vAlign w:val="center"/>
            <w:hideMark/>
          </w:tcPr>
          <w:p w:rsidR="00891A96" w:rsidRPr="00EB2995" w:rsidRDefault="00891A96" w:rsidP="00891A96">
            <w:pPr>
              <w:jc w:val="center"/>
              <w:rPr>
                <w:rFonts w:cs="Calibri"/>
                <w:b/>
                <w:bCs/>
                <w:color w:val="000000"/>
                <w:sz w:val="20"/>
                <w:lang w:eastAsia="en-GB"/>
              </w:rPr>
            </w:pPr>
            <w:r w:rsidRPr="00EB2995">
              <w:rPr>
                <w:rFonts w:cs="Calibri"/>
                <w:b/>
                <w:bCs/>
                <w:color w:val="000000"/>
                <w:sz w:val="20"/>
                <w:lang w:eastAsia="en-GB"/>
              </w:rPr>
              <w:t>Brent</w:t>
            </w:r>
          </w:p>
        </w:tc>
        <w:tc>
          <w:tcPr>
            <w:tcW w:w="517" w:type="pct"/>
            <w:tcBorders>
              <w:top w:val="nil"/>
              <w:left w:val="nil"/>
              <w:bottom w:val="nil"/>
              <w:right w:val="nil"/>
            </w:tcBorders>
            <w:noWrap/>
            <w:vAlign w:val="center"/>
            <w:hideMark/>
          </w:tcPr>
          <w:p w:rsidR="00891A96" w:rsidRPr="00EB2995" w:rsidRDefault="00891A96" w:rsidP="00891A96">
            <w:pPr>
              <w:jc w:val="center"/>
              <w:rPr>
                <w:rFonts w:cs="Calibri"/>
                <w:b/>
                <w:color w:val="000000"/>
                <w:sz w:val="20"/>
                <w:lang w:eastAsia="en-GB"/>
              </w:rPr>
            </w:pPr>
            <w:r>
              <w:rPr>
                <w:rFonts w:cs="Calibri"/>
                <w:b/>
                <w:bCs/>
                <w:color w:val="000000"/>
                <w:sz w:val="20"/>
                <w:lang w:eastAsia="en-GB"/>
              </w:rPr>
              <w:t>First W</w:t>
            </w:r>
            <w:r w:rsidRPr="00EB2995">
              <w:rPr>
                <w:rFonts w:cs="Calibri"/>
                <w:b/>
                <w:bCs/>
                <w:color w:val="000000"/>
                <w:sz w:val="20"/>
                <w:lang w:eastAsia="en-GB"/>
              </w:rPr>
              <w:t>ave</w:t>
            </w:r>
          </w:p>
        </w:tc>
        <w:tc>
          <w:tcPr>
            <w:tcW w:w="386" w:type="pct"/>
            <w:tcBorders>
              <w:top w:val="nil"/>
              <w:left w:val="nil"/>
              <w:bottom w:val="nil"/>
              <w:right w:val="nil"/>
            </w:tcBorders>
            <w:shd w:val="clear" w:color="auto" w:fill="auto"/>
            <w:noWrap/>
            <w:vAlign w:val="center"/>
            <w:hideMark/>
          </w:tcPr>
          <w:p w:rsidR="00891A96" w:rsidRPr="00EB2995" w:rsidRDefault="00891A96" w:rsidP="00891A96">
            <w:pPr>
              <w:jc w:val="center"/>
              <w:rPr>
                <w:rFonts w:cs="Calibri"/>
                <w:b/>
                <w:color w:val="000000"/>
                <w:sz w:val="20"/>
                <w:lang w:eastAsia="en-GB"/>
              </w:rPr>
            </w:pPr>
            <w:r w:rsidRPr="00EB2995">
              <w:rPr>
                <w:rFonts w:cs="Calibri"/>
                <w:b/>
                <w:color w:val="000000"/>
                <w:sz w:val="20"/>
                <w:lang w:eastAsia="en-GB"/>
              </w:rPr>
              <w:t>Barham Park</w:t>
            </w:r>
          </w:p>
        </w:tc>
        <w:tc>
          <w:tcPr>
            <w:tcW w:w="501" w:type="pct"/>
            <w:tcBorders>
              <w:top w:val="nil"/>
              <w:left w:val="nil"/>
              <w:bottom w:val="nil"/>
              <w:right w:val="nil"/>
            </w:tcBorders>
            <w:vAlign w:val="center"/>
          </w:tcPr>
          <w:p w:rsidR="00891A96" w:rsidRPr="00EB2995" w:rsidRDefault="00891A96" w:rsidP="00891A96">
            <w:pPr>
              <w:jc w:val="center"/>
              <w:rPr>
                <w:rFonts w:cs="Calibri"/>
                <w:b/>
                <w:color w:val="000000"/>
                <w:sz w:val="20"/>
                <w:lang w:eastAsia="en-GB"/>
              </w:rPr>
            </w:pPr>
            <w:r w:rsidRPr="00EB2995">
              <w:rPr>
                <w:rFonts w:cs="Calibri"/>
                <w:b/>
                <w:color w:val="000000"/>
                <w:sz w:val="20"/>
                <w:lang w:eastAsia="en-GB"/>
              </w:rPr>
              <w:t>I4B</w:t>
            </w:r>
          </w:p>
        </w:tc>
        <w:tc>
          <w:tcPr>
            <w:tcW w:w="289" w:type="pct"/>
            <w:tcBorders>
              <w:top w:val="nil"/>
              <w:left w:val="nil"/>
              <w:bottom w:val="nil"/>
              <w:right w:val="nil"/>
            </w:tcBorders>
            <w:noWrap/>
            <w:vAlign w:val="center"/>
            <w:hideMark/>
          </w:tcPr>
          <w:p w:rsidR="00891A96" w:rsidRPr="00EB2995" w:rsidRDefault="00891A96" w:rsidP="00891A96">
            <w:pPr>
              <w:jc w:val="center"/>
              <w:rPr>
                <w:rFonts w:cs="Calibri"/>
                <w:b/>
                <w:color w:val="000000"/>
                <w:sz w:val="20"/>
                <w:lang w:eastAsia="en-GB"/>
              </w:rPr>
            </w:pPr>
            <w:r w:rsidRPr="00EB2995">
              <w:rPr>
                <w:rFonts w:cs="Calibri"/>
                <w:b/>
                <w:color w:val="000000"/>
                <w:sz w:val="20"/>
                <w:lang w:eastAsia="en-GB"/>
              </w:rPr>
              <w:t>LGA</w:t>
            </w:r>
          </w:p>
        </w:tc>
        <w:tc>
          <w:tcPr>
            <w:tcW w:w="603" w:type="pct"/>
            <w:tcBorders>
              <w:top w:val="nil"/>
              <w:left w:val="nil"/>
              <w:bottom w:val="nil"/>
              <w:right w:val="nil"/>
            </w:tcBorders>
            <w:vAlign w:val="center"/>
          </w:tcPr>
          <w:p w:rsidR="00891A96" w:rsidRPr="00EB2995" w:rsidRDefault="00891A96" w:rsidP="00891A96">
            <w:pPr>
              <w:jc w:val="center"/>
              <w:rPr>
                <w:rFonts w:cs="Calibri"/>
                <w:b/>
                <w:sz w:val="20"/>
                <w:szCs w:val="20"/>
                <w:lang w:eastAsia="en-GB"/>
              </w:rPr>
            </w:pPr>
            <w:r w:rsidRPr="00EB2995">
              <w:rPr>
                <w:rFonts w:cs="Calibri"/>
                <w:b/>
                <w:color w:val="000000"/>
                <w:sz w:val="20"/>
              </w:rPr>
              <w:t>Adjustment</w:t>
            </w:r>
          </w:p>
        </w:tc>
        <w:tc>
          <w:tcPr>
            <w:tcW w:w="482" w:type="pct"/>
            <w:tcBorders>
              <w:top w:val="nil"/>
              <w:left w:val="nil"/>
              <w:bottom w:val="nil"/>
              <w:right w:val="nil"/>
            </w:tcBorders>
            <w:vAlign w:val="center"/>
          </w:tcPr>
          <w:p w:rsidR="00891A96" w:rsidRPr="00EB2995" w:rsidRDefault="00891A96" w:rsidP="00891A96">
            <w:pPr>
              <w:jc w:val="center"/>
              <w:rPr>
                <w:rFonts w:cs="Calibri"/>
                <w:b/>
                <w:bCs/>
                <w:color w:val="000000"/>
                <w:sz w:val="20"/>
              </w:rPr>
            </w:pPr>
            <w:r w:rsidRPr="00EB2995">
              <w:rPr>
                <w:rFonts w:cs="Calibri"/>
                <w:b/>
                <w:bCs/>
                <w:color w:val="000000"/>
                <w:sz w:val="20"/>
              </w:rPr>
              <w:t>Group</w:t>
            </w:r>
          </w:p>
        </w:tc>
      </w:tr>
      <w:tr w:rsidR="00891A96" w:rsidRPr="00EB2995" w:rsidTr="00891A96">
        <w:trPr>
          <w:trHeight w:val="315"/>
        </w:trPr>
        <w:tc>
          <w:tcPr>
            <w:tcW w:w="1542" w:type="pct"/>
            <w:tcBorders>
              <w:top w:val="nil"/>
              <w:left w:val="nil"/>
              <w:bottom w:val="single" w:sz="4" w:space="0" w:color="auto"/>
              <w:right w:val="nil"/>
            </w:tcBorders>
            <w:noWrap/>
            <w:hideMark/>
          </w:tcPr>
          <w:p w:rsidR="00891A96" w:rsidRPr="00EB2995" w:rsidRDefault="00891A96" w:rsidP="00891A96">
            <w:pPr>
              <w:rPr>
                <w:rFonts w:cs="Calibri"/>
                <w:color w:val="000000"/>
                <w:sz w:val="20"/>
                <w:lang w:eastAsia="en-GB"/>
              </w:rPr>
            </w:pPr>
          </w:p>
        </w:tc>
        <w:tc>
          <w:tcPr>
            <w:tcW w:w="678" w:type="pct"/>
            <w:tcBorders>
              <w:top w:val="nil"/>
              <w:left w:val="nil"/>
              <w:bottom w:val="single" w:sz="4" w:space="0" w:color="auto"/>
              <w:right w:val="nil"/>
            </w:tcBorders>
            <w:noWrap/>
            <w:vAlign w:val="center"/>
            <w:hideMark/>
          </w:tcPr>
          <w:p w:rsidR="00891A96" w:rsidRPr="00EB2995" w:rsidRDefault="00891A96" w:rsidP="00891A96">
            <w:pPr>
              <w:jc w:val="center"/>
              <w:rPr>
                <w:rFonts w:cs="Calibri"/>
                <w:b/>
                <w:bCs/>
                <w:color w:val="000000"/>
                <w:sz w:val="20"/>
                <w:lang w:eastAsia="en-GB"/>
              </w:rPr>
            </w:pPr>
            <w:r w:rsidRPr="00EB2995">
              <w:rPr>
                <w:rFonts w:cs="Calibri"/>
                <w:b/>
                <w:bCs/>
                <w:color w:val="000000"/>
                <w:sz w:val="20"/>
                <w:lang w:eastAsia="en-GB"/>
              </w:rPr>
              <w:t>£m</w:t>
            </w:r>
          </w:p>
        </w:tc>
        <w:tc>
          <w:tcPr>
            <w:tcW w:w="517" w:type="pct"/>
            <w:tcBorders>
              <w:top w:val="nil"/>
              <w:left w:val="nil"/>
              <w:bottom w:val="single" w:sz="4" w:space="0" w:color="auto"/>
              <w:right w:val="nil"/>
            </w:tcBorders>
            <w:noWrap/>
            <w:vAlign w:val="center"/>
            <w:hideMark/>
          </w:tcPr>
          <w:p w:rsidR="00891A96" w:rsidRPr="00EB2995" w:rsidRDefault="00891A96" w:rsidP="00891A96">
            <w:pPr>
              <w:jc w:val="center"/>
              <w:rPr>
                <w:rFonts w:cs="Calibri"/>
                <w:color w:val="000000"/>
                <w:sz w:val="20"/>
                <w:lang w:eastAsia="en-GB"/>
              </w:rPr>
            </w:pPr>
            <w:r w:rsidRPr="00EB2995">
              <w:rPr>
                <w:rFonts w:cs="Calibri"/>
                <w:b/>
                <w:bCs/>
                <w:color w:val="000000"/>
                <w:sz w:val="20"/>
                <w:lang w:eastAsia="en-GB"/>
              </w:rPr>
              <w:t>£m</w:t>
            </w:r>
          </w:p>
        </w:tc>
        <w:tc>
          <w:tcPr>
            <w:tcW w:w="386" w:type="pct"/>
            <w:tcBorders>
              <w:top w:val="nil"/>
              <w:left w:val="nil"/>
              <w:bottom w:val="single" w:sz="4" w:space="0" w:color="auto"/>
              <w:right w:val="nil"/>
            </w:tcBorders>
            <w:noWrap/>
            <w:vAlign w:val="center"/>
            <w:hideMark/>
          </w:tcPr>
          <w:p w:rsidR="00891A96" w:rsidRPr="00EB2995" w:rsidRDefault="00891A96" w:rsidP="00891A96">
            <w:pPr>
              <w:jc w:val="center"/>
              <w:rPr>
                <w:rFonts w:cs="Calibri"/>
                <w:color w:val="000000"/>
                <w:sz w:val="20"/>
                <w:lang w:eastAsia="en-GB"/>
              </w:rPr>
            </w:pPr>
            <w:r w:rsidRPr="00EB2995">
              <w:rPr>
                <w:rFonts w:cs="Calibri"/>
                <w:b/>
                <w:bCs/>
                <w:color w:val="000000"/>
                <w:sz w:val="20"/>
                <w:lang w:eastAsia="en-GB"/>
              </w:rPr>
              <w:t>£m</w:t>
            </w:r>
          </w:p>
        </w:tc>
        <w:tc>
          <w:tcPr>
            <w:tcW w:w="501" w:type="pct"/>
            <w:tcBorders>
              <w:top w:val="nil"/>
              <w:left w:val="nil"/>
              <w:bottom w:val="single" w:sz="4" w:space="0" w:color="auto"/>
              <w:right w:val="nil"/>
            </w:tcBorders>
            <w:vAlign w:val="center"/>
          </w:tcPr>
          <w:p w:rsidR="00891A96" w:rsidRPr="00EB2995" w:rsidRDefault="00891A96" w:rsidP="00891A96">
            <w:pPr>
              <w:jc w:val="center"/>
              <w:rPr>
                <w:rFonts w:cs="Calibri"/>
                <w:color w:val="000000"/>
                <w:sz w:val="20"/>
                <w:lang w:eastAsia="en-GB"/>
              </w:rPr>
            </w:pPr>
            <w:r w:rsidRPr="00EB2995">
              <w:rPr>
                <w:rFonts w:cs="Calibri"/>
                <w:b/>
                <w:bCs/>
                <w:color w:val="000000"/>
                <w:sz w:val="20"/>
                <w:lang w:eastAsia="en-GB"/>
              </w:rPr>
              <w:t>£m</w:t>
            </w:r>
          </w:p>
        </w:tc>
        <w:tc>
          <w:tcPr>
            <w:tcW w:w="289" w:type="pct"/>
            <w:tcBorders>
              <w:top w:val="nil"/>
              <w:left w:val="nil"/>
              <w:bottom w:val="single" w:sz="4" w:space="0" w:color="auto"/>
              <w:right w:val="nil"/>
            </w:tcBorders>
            <w:noWrap/>
            <w:vAlign w:val="center"/>
            <w:hideMark/>
          </w:tcPr>
          <w:p w:rsidR="00891A96" w:rsidRPr="00EB2995" w:rsidRDefault="00891A96" w:rsidP="00891A96">
            <w:pPr>
              <w:jc w:val="center"/>
              <w:rPr>
                <w:rFonts w:cs="Calibri"/>
                <w:color w:val="000000"/>
                <w:sz w:val="20"/>
                <w:lang w:eastAsia="en-GB"/>
              </w:rPr>
            </w:pPr>
            <w:r w:rsidRPr="00EB2995">
              <w:rPr>
                <w:rFonts w:cs="Calibri"/>
                <w:b/>
                <w:bCs/>
                <w:color w:val="000000"/>
                <w:sz w:val="20"/>
                <w:lang w:eastAsia="en-GB"/>
              </w:rPr>
              <w:t>£m</w:t>
            </w:r>
          </w:p>
        </w:tc>
        <w:tc>
          <w:tcPr>
            <w:tcW w:w="603" w:type="pct"/>
            <w:tcBorders>
              <w:top w:val="nil"/>
              <w:left w:val="nil"/>
              <w:bottom w:val="single" w:sz="4" w:space="0" w:color="auto"/>
              <w:right w:val="nil"/>
            </w:tcBorders>
            <w:vAlign w:val="center"/>
          </w:tcPr>
          <w:p w:rsidR="00891A96" w:rsidRPr="00EB2995" w:rsidRDefault="00891A96" w:rsidP="00891A96">
            <w:pPr>
              <w:jc w:val="center"/>
              <w:rPr>
                <w:rFonts w:cs="Calibri"/>
                <w:sz w:val="20"/>
                <w:szCs w:val="20"/>
                <w:lang w:eastAsia="en-GB"/>
              </w:rPr>
            </w:pPr>
            <w:r w:rsidRPr="00EB2995">
              <w:rPr>
                <w:rFonts w:cs="Calibri"/>
                <w:b/>
                <w:bCs/>
                <w:color w:val="000000"/>
                <w:sz w:val="20"/>
                <w:lang w:eastAsia="en-GB"/>
              </w:rPr>
              <w:t>£m</w:t>
            </w:r>
          </w:p>
        </w:tc>
        <w:tc>
          <w:tcPr>
            <w:tcW w:w="482" w:type="pct"/>
            <w:tcBorders>
              <w:top w:val="nil"/>
              <w:left w:val="nil"/>
              <w:bottom w:val="single" w:sz="4" w:space="0" w:color="auto"/>
              <w:right w:val="nil"/>
            </w:tcBorders>
            <w:vAlign w:val="center"/>
          </w:tcPr>
          <w:p w:rsidR="00891A96" w:rsidRPr="00EB2995" w:rsidRDefault="00891A96" w:rsidP="00891A96">
            <w:pPr>
              <w:jc w:val="center"/>
              <w:rPr>
                <w:rFonts w:cs="Calibri"/>
                <w:color w:val="000000"/>
                <w:sz w:val="20"/>
              </w:rPr>
            </w:pPr>
            <w:r w:rsidRPr="00EB2995">
              <w:rPr>
                <w:rFonts w:cs="Calibri"/>
                <w:b/>
                <w:bCs/>
                <w:color w:val="000000"/>
                <w:sz w:val="20"/>
              </w:rPr>
              <w:t>£m</w:t>
            </w:r>
          </w:p>
        </w:tc>
      </w:tr>
      <w:tr w:rsidR="00891A96" w:rsidRPr="00EB2995" w:rsidTr="00891A96">
        <w:trPr>
          <w:trHeight w:val="300"/>
        </w:trPr>
        <w:tc>
          <w:tcPr>
            <w:tcW w:w="1542" w:type="pct"/>
            <w:tcBorders>
              <w:top w:val="single" w:sz="4" w:space="0" w:color="auto"/>
            </w:tcBorders>
            <w:noWrap/>
            <w:vAlign w:val="center"/>
            <w:hideMark/>
          </w:tcPr>
          <w:p w:rsidR="00891A96" w:rsidRPr="00EB2995" w:rsidRDefault="00891A96" w:rsidP="00891A96">
            <w:pPr>
              <w:rPr>
                <w:rFonts w:cs="Calibri"/>
                <w:color w:val="000000"/>
                <w:sz w:val="20"/>
                <w:lang w:eastAsia="en-GB"/>
              </w:rPr>
            </w:pPr>
            <w:r w:rsidRPr="00EB2995">
              <w:rPr>
                <w:rFonts w:cs="Calibri"/>
                <w:color w:val="000000"/>
                <w:sz w:val="20"/>
                <w:lang w:eastAsia="en-GB"/>
              </w:rPr>
              <w:t>Property, Plant &amp; Equipment</w:t>
            </w:r>
          </w:p>
        </w:tc>
        <w:tc>
          <w:tcPr>
            <w:tcW w:w="678" w:type="pct"/>
            <w:tcBorders>
              <w:top w:val="single" w:sz="4" w:space="0" w:color="auto"/>
            </w:tcBorders>
            <w:noWrap/>
            <w:vAlign w:val="center"/>
            <w:hideMark/>
          </w:tcPr>
          <w:p w:rsidR="00891A96" w:rsidRPr="00EB2995" w:rsidRDefault="00891A96" w:rsidP="00891A96">
            <w:pPr>
              <w:jc w:val="center"/>
              <w:rPr>
                <w:rFonts w:cs="Calibri"/>
                <w:color w:val="000000"/>
                <w:sz w:val="20"/>
                <w:lang w:eastAsia="en-GB"/>
              </w:rPr>
            </w:pPr>
            <w:r w:rsidRPr="00EB2995">
              <w:rPr>
                <w:rFonts w:cs="Calibri"/>
                <w:color w:val="000000"/>
                <w:sz w:val="20"/>
                <w:lang w:eastAsia="en-GB"/>
              </w:rPr>
              <w:t>1,670.1</w:t>
            </w:r>
          </w:p>
        </w:tc>
        <w:tc>
          <w:tcPr>
            <w:tcW w:w="517" w:type="pct"/>
            <w:tcBorders>
              <w:top w:val="single" w:sz="4" w:space="0" w:color="auto"/>
            </w:tcBorders>
            <w:noWrap/>
            <w:vAlign w:val="center"/>
            <w:hideMark/>
          </w:tcPr>
          <w:p w:rsidR="00891A96" w:rsidRPr="00EB2995" w:rsidRDefault="00891A96" w:rsidP="00891A96">
            <w:pPr>
              <w:jc w:val="center"/>
              <w:rPr>
                <w:rFonts w:cs="Calibri"/>
                <w:color w:val="000000"/>
                <w:sz w:val="20"/>
                <w:lang w:eastAsia="en-GB"/>
              </w:rPr>
            </w:pPr>
            <w:r w:rsidRPr="00EB2995">
              <w:rPr>
                <w:rFonts w:cs="Calibri"/>
                <w:color w:val="000000"/>
                <w:sz w:val="20"/>
                <w:lang w:eastAsia="en-GB"/>
              </w:rPr>
              <w:t>49.1</w:t>
            </w:r>
          </w:p>
        </w:tc>
        <w:tc>
          <w:tcPr>
            <w:tcW w:w="386" w:type="pct"/>
            <w:tcBorders>
              <w:top w:val="single" w:sz="4" w:space="0" w:color="auto"/>
            </w:tcBorders>
            <w:noWrap/>
            <w:vAlign w:val="center"/>
            <w:hideMark/>
          </w:tcPr>
          <w:p w:rsidR="00891A96" w:rsidRPr="00EB2995" w:rsidRDefault="00891A96" w:rsidP="00891A96">
            <w:pPr>
              <w:jc w:val="center"/>
              <w:rPr>
                <w:rFonts w:cs="Calibri"/>
                <w:color w:val="000000"/>
                <w:sz w:val="20"/>
                <w:lang w:eastAsia="en-GB"/>
              </w:rPr>
            </w:pPr>
            <w:r w:rsidRPr="00EB2995">
              <w:rPr>
                <w:rFonts w:cs="Calibri"/>
                <w:color w:val="000000"/>
                <w:sz w:val="20"/>
                <w:lang w:eastAsia="en-GB"/>
              </w:rPr>
              <w:t>0.9</w:t>
            </w:r>
          </w:p>
        </w:tc>
        <w:tc>
          <w:tcPr>
            <w:tcW w:w="501" w:type="pct"/>
            <w:tcBorders>
              <w:top w:val="single" w:sz="4" w:space="0" w:color="auto"/>
            </w:tcBorders>
            <w:vAlign w:val="center"/>
          </w:tcPr>
          <w:p w:rsidR="00891A96" w:rsidRPr="00EB2995" w:rsidRDefault="00891A96" w:rsidP="00891A96">
            <w:pPr>
              <w:jc w:val="center"/>
              <w:rPr>
                <w:rFonts w:cs="Calibri"/>
                <w:color w:val="000000"/>
                <w:sz w:val="20"/>
                <w:lang w:eastAsia="en-GB"/>
              </w:rPr>
            </w:pPr>
            <w:r w:rsidRPr="00EB2995">
              <w:rPr>
                <w:rFonts w:cs="Calibri"/>
                <w:color w:val="000000"/>
                <w:sz w:val="20"/>
                <w:lang w:eastAsia="en-GB"/>
              </w:rPr>
              <w:t>0.0</w:t>
            </w:r>
          </w:p>
        </w:tc>
        <w:tc>
          <w:tcPr>
            <w:tcW w:w="289" w:type="pct"/>
            <w:tcBorders>
              <w:top w:val="single" w:sz="4" w:space="0" w:color="auto"/>
            </w:tcBorders>
            <w:noWrap/>
            <w:vAlign w:val="center"/>
            <w:hideMark/>
          </w:tcPr>
          <w:p w:rsidR="00891A96" w:rsidRPr="00EB2995" w:rsidRDefault="00891A96" w:rsidP="00891A96">
            <w:pPr>
              <w:jc w:val="center"/>
              <w:rPr>
                <w:rFonts w:cs="Calibri"/>
                <w:color w:val="000000"/>
                <w:sz w:val="20"/>
                <w:lang w:eastAsia="en-GB"/>
              </w:rPr>
            </w:pPr>
            <w:r w:rsidRPr="00EB2995">
              <w:rPr>
                <w:rFonts w:cs="Calibri"/>
                <w:color w:val="000000"/>
                <w:sz w:val="20"/>
                <w:lang w:eastAsia="en-GB"/>
              </w:rPr>
              <w:t>0.0</w:t>
            </w:r>
          </w:p>
        </w:tc>
        <w:tc>
          <w:tcPr>
            <w:tcW w:w="603" w:type="pct"/>
            <w:tcBorders>
              <w:top w:val="single" w:sz="4" w:space="0" w:color="auto"/>
            </w:tcBorders>
            <w:vAlign w:val="center"/>
          </w:tcPr>
          <w:p w:rsidR="00891A96" w:rsidRPr="00EB2995" w:rsidRDefault="00891A96" w:rsidP="00891A96">
            <w:pPr>
              <w:jc w:val="center"/>
              <w:rPr>
                <w:rFonts w:cs="Calibri"/>
                <w:sz w:val="20"/>
                <w:szCs w:val="20"/>
                <w:lang w:eastAsia="en-GB"/>
              </w:rPr>
            </w:pPr>
            <w:r w:rsidRPr="00EB2995">
              <w:rPr>
                <w:rFonts w:cs="Calibri"/>
                <w:color w:val="000000"/>
                <w:sz w:val="20"/>
              </w:rPr>
              <w:t>74.0</w:t>
            </w:r>
          </w:p>
        </w:tc>
        <w:tc>
          <w:tcPr>
            <w:tcW w:w="482" w:type="pct"/>
            <w:tcBorders>
              <w:top w:val="single" w:sz="4" w:space="0" w:color="auto"/>
            </w:tcBorders>
            <w:vAlign w:val="center"/>
          </w:tcPr>
          <w:p w:rsidR="00891A96" w:rsidRPr="00EB2995" w:rsidRDefault="00891A96" w:rsidP="00891A96">
            <w:pPr>
              <w:jc w:val="center"/>
              <w:rPr>
                <w:rFonts w:cs="Calibri"/>
                <w:color w:val="000000"/>
                <w:sz w:val="20"/>
              </w:rPr>
            </w:pPr>
            <w:r w:rsidRPr="00EB2995">
              <w:rPr>
                <w:rFonts w:cs="Calibri"/>
                <w:color w:val="000000"/>
                <w:sz w:val="20"/>
              </w:rPr>
              <w:t>1,794.2</w:t>
            </w:r>
          </w:p>
        </w:tc>
      </w:tr>
      <w:tr w:rsidR="00891A96" w:rsidRPr="00EB2995" w:rsidTr="00891A96">
        <w:trPr>
          <w:trHeight w:val="300"/>
        </w:trPr>
        <w:tc>
          <w:tcPr>
            <w:tcW w:w="1542" w:type="pct"/>
            <w:noWrap/>
            <w:vAlign w:val="center"/>
            <w:hideMark/>
          </w:tcPr>
          <w:p w:rsidR="00891A96" w:rsidRPr="00EB2995" w:rsidRDefault="00891A96" w:rsidP="00891A96">
            <w:pPr>
              <w:rPr>
                <w:rFonts w:cs="Calibri"/>
                <w:color w:val="000000"/>
                <w:sz w:val="20"/>
                <w:lang w:eastAsia="en-GB"/>
              </w:rPr>
            </w:pPr>
            <w:r w:rsidRPr="00EB2995">
              <w:rPr>
                <w:rFonts w:cs="Calibri"/>
                <w:color w:val="000000"/>
                <w:sz w:val="20"/>
                <w:lang w:eastAsia="en-GB"/>
              </w:rPr>
              <w:t>Investment Property</w:t>
            </w:r>
          </w:p>
        </w:tc>
        <w:tc>
          <w:tcPr>
            <w:tcW w:w="678" w:type="pct"/>
            <w:noWrap/>
            <w:vAlign w:val="center"/>
            <w:hideMark/>
          </w:tcPr>
          <w:p w:rsidR="00891A96" w:rsidRPr="00EB2995" w:rsidRDefault="00891A96" w:rsidP="00891A96">
            <w:pPr>
              <w:jc w:val="center"/>
              <w:rPr>
                <w:rFonts w:cs="Calibri"/>
                <w:color w:val="000000"/>
                <w:sz w:val="20"/>
                <w:lang w:eastAsia="en-GB"/>
              </w:rPr>
            </w:pPr>
            <w:r w:rsidRPr="00EB2995">
              <w:rPr>
                <w:rFonts w:cs="Calibri"/>
                <w:color w:val="000000"/>
                <w:sz w:val="20"/>
                <w:lang w:eastAsia="en-GB"/>
              </w:rPr>
              <w:t>0.0</w:t>
            </w:r>
          </w:p>
        </w:tc>
        <w:tc>
          <w:tcPr>
            <w:tcW w:w="517" w:type="pct"/>
            <w:noWrap/>
            <w:vAlign w:val="center"/>
            <w:hideMark/>
          </w:tcPr>
          <w:p w:rsidR="00891A96" w:rsidRPr="00EB2995" w:rsidRDefault="00891A96" w:rsidP="00891A96">
            <w:pPr>
              <w:jc w:val="center"/>
              <w:rPr>
                <w:rFonts w:cs="Calibri"/>
                <w:color w:val="000000"/>
                <w:sz w:val="20"/>
                <w:lang w:eastAsia="en-GB"/>
              </w:rPr>
            </w:pPr>
            <w:r w:rsidRPr="00EB2995">
              <w:rPr>
                <w:rFonts w:cs="Calibri"/>
                <w:color w:val="000000"/>
                <w:sz w:val="20"/>
                <w:lang w:eastAsia="en-GB"/>
              </w:rPr>
              <w:t>12.1</w:t>
            </w:r>
          </w:p>
        </w:tc>
        <w:tc>
          <w:tcPr>
            <w:tcW w:w="386" w:type="pct"/>
            <w:noWrap/>
            <w:vAlign w:val="center"/>
            <w:hideMark/>
          </w:tcPr>
          <w:p w:rsidR="00891A96" w:rsidRPr="00EB2995" w:rsidRDefault="00891A96" w:rsidP="00891A96">
            <w:pPr>
              <w:jc w:val="center"/>
              <w:rPr>
                <w:rFonts w:cs="Calibri"/>
                <w:color w:val="000000"/>
                <w:sz w:val="20"/>
                <w:lang w:eastAsia="en-GB"/>
              </w:rPr>
            </w:pPr>
            <w:r w:rsidRPr="00EB2995">
              <w:rPr>
                <w:rFonts w:cs="Calibri"/>
                <w:color w:val="000000"/>
                <w:sz w:val="20"/>
                <w:lang w:eastAsia="en-GB"/>
              </w:rPr>
              <w:t>0.0</w:t>
            </w:r>
          </w:p>
        </w:tc>
        <w:tc>
          <w:tcPr>
            <w:tcW w:w="501" w:type="pct"/>
            <w:vAlign w:val="center"/>
          </w:tcPr>
          <w:p w:rsidR="00891A96" w:rsidRPr="00EB2995" w:rsidRDefault="00891A96" w:rsidP="00891A96">
            <w:pPr>
              <w:jc w:val="center"/>
              <w:rPr>
                <w:rFonts w:cs="Calibri"/>
                <w:color w:val="000000"/>
                <w:sz w:val="20"/>
                <w:lang w:eastAsia="en-GB"/>
              </w:rPr>
            </w:pPr>
            <w:r w:rsidRPr="00EB2995">
              <w:rPr>
                <w:rFonts w:cs="Calibri"/>
                <w:color w:val="000000"/>
                <w:sz w:val="20"/>
                <w:lang w:eastAsia="en-GB"/>
              </w:rPr>
              <w:t>77.3</w:t>
            </w:r>
          </w:p>
        </w:tc>
        <w:tc>
          <w:tcPr>
            <w:tcW w:w="289" w:type="pct"/>
            <w:noWrap/>
            <w:vAlign w:val="center"/>
            <w:hideMark/>
          </w:tcPr>
          <w:p w:rsidR="00891A96" w:rsidRPr="00EB2995" w:rsidRDefault="00891A96" w:rsidP="00891A96">
            <w:pPr>
              <w:jc w:val="center"/>
              <w:rPr>
                <w:rFonts w:cs="Calibri"/>
                <w:color w:val="000000"/>
                <w:sz w:val="20"/>
                <w:lang w:eastAsia="en-GB"/>
              </w:rPr>
            </w:pPr>
            <w:r w:rsidRPr="00EB2995">
              <w:rPr>
                <w:rFonts w:cs="Calibri"/>
                <w:color w:val="000000"/>
                <w:sz w:val="20"/>
                <w:lang w:eastAsia="en-GB"/>
              </w:rPr>
              <w:t>0.0</w:t>
            </w:r>
          </w:p>
        </w:tc>
        <w:tc>
          <w:tcPr>
            <w:tcW w:w="603" w:type="pct"/>
            <w:vAlign w:val="center"/>
          </w:tcPr>
          <w:p w:rsidR="00891A96" w:rsidRPr="00EB2995" w:rsidRDefault="00891A96" w:rsidP="00891A96">
            <w:pPr>
              <w:jc w:val="center"/>
              <w:rPr>
                <w:rFonts w:cs="Calibri"/>
                <w:sz w:val="20"/>
                <w:szCs w:val="20"/>
                <w:lang w:eastAsia="en-GB"/>
              </w:rPr>
            </w:pPr>
            <w:r w:rsidRPr="00EB2995">
              <w:rPr>
                <w:rFonts w:cs="Calibri"/>
                <w:color w:val="000000"/>
                <w:sz w:val="20"/>
              </w:rPr>
              <w:t>(77.3)</w:t>
            </w:r>
          </w:p>
        </w:tc>
        <w:tc>
          <w:tcPr>
            <w:tcW w:w="482" w:type="pct"/>
            <w:vAlign w:val="center"/>
          </w:tcPr>
          <w:p w:rsidR="00891A96" w:rsidRPr="00EB2995" w:rsidRDefault="00891A96" w:rsidP="00891A96">
            <w:pPr>
              <w:jc w:val="center"/>
              <w:rPr>
                <w:rFonts w:cs="Calibri"/>
                <w:color w:val="000000"/>
                <w:sz w:val="20"/>
              </w:rPr>
            </w:pPr>
            <w:r w:rsidRPr="00EB2995">
              <w:rPr>
                <w:rFonts w:cs="Calibri"/>
                <w:color w:val="000000"/>
                <w:sz w:val="20"/>
              </w:rPr>
              <w:t>12.1</w:t>
            </w:r>
          </w:p>
        </w:tc>
      </w:tr>
      <w:tr w:rsidR="00891A96" w:rsidRPr="00EB2995" w:rsidTr="00891A96">
        <w:trPr>
          <w:trHeight w:val="300"/>
        </w:trPr>
        <w:tc>
          <w:tcPr>
            <w:tcW w:w="1542" w:type="pct"/>
            <w:noWrap/>
            <w:vAlign w:val="center"/>
            <w:hideMark/>
          </w:tcPr>
          <w:p w:rsidR="00891A96" w:rsidRPr="00EB2995" w:rsidRDefault="00891A96" w:rsidP="00891A96">
            <w:pPr>
              <w:rPr>
                <w:rFonts w:cs="Calibri"/>
                <w:color w:val="000000"/>
                <w:sz w:val="20"/>
                <w:lang w:eastAsia="en-GB"/>
              </w:rPr>
            </w:pPr>
            <w:r w:rsidRPr="00EB2995">
              <w:rPr>
                <w:rFonts w:cs="Calibri"/>
                <w:color w:val="000000"/>
                <w:sz w:val="20"/>
                <w:lang w:eastAsia="en-GB"/>
              </w:rPr>
              <w:t>Long Term Investments</w:t>
            </w:r>
          </w:p>
        </w:tc>
        <w:tc>
          <w:tcPr>
            <w:tcW w:w="678" w:type="pct"/>
            <w:noWrap/>
            <w:vAlign w:val="center"/>
            <w:hideMark/>
          </w:tcPr>
          <w:p w:rsidR="00891A96" w:rsidRPr="00EB2995" w:rsidRDefault="00891A96" w:rsidP="00891A96">
            <w:pPr>
              <w:jc w:val="center"/>
              <w:rPr>
                <w:rFonts w:cs="Calibri"/>
                <w:color w:val="000000"/>
                <w:sz w:val="20"/>
                <w:lang w:eastAsia="en-GB"/>
              </w:rPr>
            </w:pPr>
            <w:r w:rsidRPr="00EB2995">
              <w:rPr>
                <w:rFonts w:cs="Calibri"/>
                <w:color w:val="000000"/>
                <w:sz w:val="20"/>
                <w:lang w:eastAsia="en-GB"/>
              </w:rPr>
              <w:t>23.4</w:t>
            </w:r>
          </w:p>
        </w:tc>
        <w:tc>
          <w:tcPr>
            <w:tcW w:w="517" w:type="pct"/>
            <w:noWrap/>
            <w:vAlign w:val="center"/>
            <w:hideMark/>
          </w:tcPr>
          <w:p w:rsidR="00891A96" w:rsidRPr="00EB2995" w:rsidRDefault="00891A96" w:rsidP="00891A96">
            <w:pPr>
              <w:jc w:val="center"/>
              <w:rPr>
                <w:rFonts w:cs="Calibri"/>
                <w:color w:val="000000"/>
                <w:sz w:val="20"/>
                <w:lang w:eastAsia="en-GB"/>
              </w:rPr>
            </w:pPr>
            <w:r w:rsidRPr="00EB2995">
              <w:rPr>
                <w:rFonts w:cs="Calibri"/>
                <w:color w:val="000000"/>
                <w:sz w:val="20"/>
                <w:lang w:eastAsia="en-GB"/>
              </w:rPr>
              <w:t>0.0</w:t>
            </w:r>
          </w:p>
        </w:tc>
        <w:tc>
          <w:tcPr>
            <w:tcW w:w="386" w:type="pct"/>
            <w:noWrap/>
            <w:vAlign w:val="center"/>
            <w:hideMark/>
          </w:tcPr>
          <w:p w:rsidR="00891A96" w:rsidRPr="00EB2995" w:rsidRDefault="00891A96" w:rsidP="00891A96">
            <w:pPr>
              <w:jc w:val="center"/>
              <w:rPr>
                <w:rFonts w:cs="Calibri"/>
                <w:color w:val="000000"/>
                <w:sz w:val="20"/>
                <w:lang w:eastAsia="en-GB"/>
              </w:rPr>
            </w:pPr>
            <w:r w:rsidRPr="00EB2995">
              <w:rPr>
                <w:rFonts w:cs="Calibri"/>
                <w:color w:val="000000"/>
                <w:sz w:val="20"/>
                <w:lang w:eastAsia="en-GB"/>
              </w:rPr>
              <w:t>0.0</w:t>
            </w:r>
          </w:p>
        </w:tc>
        <w:tc>
          <w:tcPr>
            <w:tcW w:w="501" w:type="pct"/>
            <w:vAlign w:val="center"/>
          </w:tcPr>
          <w:p w:rsidR="00891A96" w:rsidRPr="00EB2995" w:rsidRDefault="00891A96" w:rsidP="00891A96">
            <w:pPr>
              <w:jc w:val="center"/>
              <w:rPr>
                <w:rFonts w:cs="Calibri"/>
                <w:color w:val="000000"/>
                <w:sz w:val="20"/>
                <w:lang w:eastAsia="en-GB"/>
              </w:rPr>
            </w:pPr>
            <w:r w:rsidRPr="00EB2995">
              <w:rPr>
                <w:rFonts w:cs="Calibri"/>
                <w:color w:val="000000"/>
                <w:sz w:val="20"/>
                <w:lang w:eastAsia="en-GB"/>
              </w:rPr>
              <w:t>0.0</w:t>
            </w:r>
          </w:p>
        </w:tc>
        <w:tc>
          <w:tcPr>
            <w:tcW w:w="289" w:type="pct"/>
            <w:noWrap/>
            <w:vAlign w:val="center"/>
            <w:hideMark/>
          </w:tcPr>
          <w:p w:rsidR="00891A96" w:rsidRPr="00EB2995" w:rsidRDefault="00891A96" w:rsidP="00891A96">
            <w:pPr>
              <w:jc w:val="center"/>
              <w:rPr>
                <w:rFonts w:cs="Calibri"/>
                <w:color w:val="000000"/>
                <w:sz w:val="20"/>
                <w:lang w:eastAsia="en-GB"/>
              </w:rPr>
            </w:pPr>
            <w:r w:rsidRPr="00EB2995">
              <w:rPr>
                <w:rFonts w:cs="Calibri"/>
                <w:color w:val="000000"/>
                <w:sz w:val="20"/>
                <w:lang w:eastAsia="en-GB"/>
              </w:rPr>
              <w:t>0.0</w:t>
            </w:r>
          </w:p>
        </w:tc>
        <w:tc>
          <w:tcPr>
            <w:tcW w:w="603" w:type="pct"/>
            <w:vAlign w:val="center"/>
          </w:tcPr>
          <w:p w:rsidR="00891A96" w:rsidRPr="00EB2995" w:rsidRDefault="00891A96" w:rsidP="00891A96">
            <w:pPr>
              <w:jc w:val="center"/>
              <w:rPr>
                <w:rFonts w:cs="Calibri"/>
                <w:sz w:val="20"/>
                <w:szCs w:val="20"/>
                <w:lang w:eastAsia="en-GB"/>
              </w:rPr>
            </w:pPr>
            <w:r w:rsidRPr="00EB2995">
              <w:rPr>
                <w:rFonts w:cs="Calibri"/>
                <w:sz w:val="20"/>
                <w:szCs w:val="20"/>
                <w:lang w:eastAsia="en-GB"/>
              </w:rPr>
              <w:t>(23.4)</w:t>
            </w:r>
          </w:p>
        </w:tc>
        <w:tc>
          <w:tcPr>
            <w:tcW w:w="482" w:type="pct"/>
            <w:vAlign w:val="center"/>
          </w:tcPr>
          <w:p w:rsidR="00891A96" w:rsidRPr="00EB2995" w:rsidRDefault="00891A96" w:rsidP="00891A96">
            <w:pPr>
              <w:jc w:val="center"/>
              <w:rPr>
                <w:rFonts w:cs="Calibri"/>
                <w:color w:val="000000"/>
                <w:sz w:val="20"/>
              </w:rPr>
            </w:pPr>
            <w:r w:rsidRPr="00EB2995">
              <w:rPr>
                <w:rFonts w:cs="Calibri"/>
                <w:color w:val="000000"/>
                <w:sz w:val="20"/>
              </w:rPr>
              <w:t>0.0</w:t>
            </w:r>
          </w:p>
        </w:tc>
      </w:tr>
      <w:tr w:rsidR="00891A96" w:rsidRPr="00EB2995" w:rsidTr="00891A96">
        <w:trPr>
          <w:trHeight w:val="315"/>
        </w:trPr>
        <w:tc>
          <w:tcPr>
            <w:tcW w:w="1542" w:type="pct"/>
            <w:noWrap/>
            <w:vAlign w:val="center"/>
            <w:hideMark/>
          </w:tcPr>
          <w:p w:rsidR="00891A96" w:rsidRPr="00EB2995" w:rsidRDefault="00891A96" w:rsidP="00891A96">
            <w:pPr>
              <w:rPr>
                <w:rFonts w:cs="Calibri"/>
                <w:color w:val="000000"/>
                <w:sz w:val="20"/>
                <w:lang w:eastAsia="en-GB"/>
              </w:rPr>
            </w:pPr>
            <w:r w:rsidRPr="00EB2995">
              <w:rPr>
                <w:rFonts w:cs="Calibri"/>
                <w:color w:val="000000"/>
                <w:sz w:val="20"/>
                <w:lang w:eastAsia="en-GB"/>
              </w:rPr>
              <w:t>Long Term Debtors</w:t>
            </w:r>
          </w:p>
        </w:tc>
        <w:tc>
          <w:tcPr>
            <w:tcW w:w="678" w:type="pct"/>
            <w:noWrap/>
            <w:vAlign w:val="center"/>
            <w:hideMark/>
          </w:tcPr>
          <w:p w:rsidR="00891A96" w:rsidRPr="00EB2995" w:rsidRDefault="00891A96" w:rsidP="00891A96">
            <w:pPr>
              <w:jc w:val="center"/>
              <w:rPr>
                <w:rFonts w:cs="Calibri"/>
                <w:color w:val="000000"/>
                <w:sz w:val="20"/>
                <w:lang w:eastAsia="en-GB"/>
              </w:rPr>
            </w:pPr>
            <w:r w:rsidRPr="00EB2995">
              <w:rPr>
                <w:rFonts w:cs="Calibri"/>
                <w:color w:val="000000"/>
                <w:sz w:val="20"/>
                <w:lang w:eastAsia="en-GB"/>
              </w:rPr>
              <w:t>115.6</w:t>
            </w:r>
          </w:p>
        </w:tc>
        <w:tc>
          <w:tcPr>
            <w:tcW w:w="517" w:type="pct"/>
            <w:noWrap/>
            <w:vAlign w:val="center"/>
            <w:hideMark/>
          </w:tcPr>
          <w:p w:rsidR="00891A96" w:rsidRPr="00EB2995" w:rsidRDefault="00891A96" w:rsidP="00891A96">
            <w:pPr>
              <w:jc w:val="center"/>
              <w:rPr>
                <w:rFonts w:cs="Calibri"/>
                <w:color w:val="000000"/>
                <w:sz w:val="20"/>
                <w:lang w:eastAsia="en-GB"/>
              </w:rPr>
            </w:pPr>
            <w:r w:rsidRPr="00EB2995">
              <w:rPr>
                <w:rFonts w:cs="Calibri"/>
                <w:color w:val="000000"/>
                <w:sz w:val="20"/>
                <w:lang w:eastAsia="en-GB"/>
              </w:rPr>
              <w:t>0.0</w:t>
            </w:r>
          </w:p>
        </w:tc>
        <w:tc>
          <w:tcPr>
            <w:tcW w:w="386" w:type="pct"/>
            <w:noWrap/>
            <w:vAlign w:val="center"/>
            <w:hideMark/>
          </w:tcPr>
          <w:p w:rsidR="00891A96" w:rsidRPr="00EB2995" w:rsidRDefault="00891A96" w:rsidP="00891A96">
            <w:pPr>
              <w:jc w:val="center"/>
              <w:rPr>
                <w:rFonts w:cs="Calibri"/>
                <w:color w:val="000000"/>
                <w:sz w:val="20"/>
                <w:lang w:eastAsia="en-GB"/>
              </w:rPr>
            </w:pPr>
            <w:r w:rsidRPr="00EB2995">
              <w:rPr>
                <w:rFonts w:cs="Calibri"/>
                <w:color w:val="000000"/>
                <w:sz w:val="20"/>
                <w:lang w:eastAsia="en-GB"/>
              </w:rPr>
              <w:t>0.0</w:t>
            </w:r>
          </w:p>
        </w:tc>
        <w:tc>
          <w:tcPr>
            <w:tcW w:w="501" w:type="pct"/>
            <w:vAlign w:val="center"/>
          </w:tcPr>
          <w:p w:rsidR="00891A96" w:rsidRPr="00EB2995" w:rsidRDefault="00891A96" w:rsidP="00891A96">
            <w:pPr>
              <w:jc w:val="center"/>
              <w:rPr>
                <w:rFonts w:cs="Calibri"/>
                <w:color w:val="000000"/>
                <w:sz w:val="20"/>
                <w:lang w:eastAsia="en-GB"/>
              </w:rPr>
            </w:pPr>
            <w:r w:rsidRPr="00EB2995">
              <w:rPr>
                <w:rFonts w:cs="Calibri"/>
                <w:color w:val="000000"/>
                <w:sz w:val="20"/>
                <w:lang w:eastAsia="en-GB"/>
              </w:rPr>
              <w:t>0.0</w:t>
            </w:r>
          </w:p>
        </w:tc>
        <w:tc>
          <w:tcPr>
            <w:tcW w:w="289" w:type="pct"/>
            <w:noWrap/>
            <w:vAlign w:val="center"/>
            <w:hideMark/>
          </w:tcPr>
          <w:p w:rsidR="00891A96" w:rsidRPr="00EB2995" w:rsidRDefault="00891A96" w:rsidP="00891A96">
            <w:pPr>
              <w:jc w:val="center"/>
              <w:rPr>
                <w:rFonts w:cs="Calibri"/>
                <w:color w:val="000000"/>
                <w:sz w:val="20"/>
                <w:lang w:eastAsia="en-GB"/>
              </w:rPr>
            </w:pPr>
            <w:r w:rsidRPr="00EB2995">
              <w:rPr>
                <w:rFonts w:cs="Calibri"/>
                <w:color w:val="000000"/>
                <w:sz w:val="20"/>
                <w:lang w:eastAsia="en-GB"/>
              </w:rPr>
              <w:t>0.0</w:t>
            </w:r>
          </w:p>
        </w:tc>
        <w:tc>
          <w:tcPr>
            <w:tcW w:w="603" w:type="pct"/>
            <w:vAlign w:val="center"/>
          </w:tcPr>
          <w:p w:rsidR="00891A96" w:rsidRPr="00EB2995" w:rsidRDefault="00891A96" w:rsidP="00891A96">
            <w:pPr>
              <w:jc w:val="center"/>
              <w:rPr>
                <w:rFonts w:cs="Calibri"/>
                <w:sz w:val="20"/>
                <w:szCs w:val="20"/>
                <w:lang w:eastAsia="en-GB"/>
              </w:rPr>
            </w:pPr>
            <w:r w:rsidRPr="00EB2995">
              <w:rPr>
                <w:rFonts w:cs="Calibri"/>
                <w:color w:val="000000"/>
                <w:sz w:val="20"/>
              </w:rPr>
              <w:t>(93.8)</w:t>
            </w:r>
          </w:p>
        </w:tc>
        <w:tc>
          <w:tcPr>
            <w:tcW w:w="482" w:type="pct"/>
            <w:vAlign w:val="center"/>
          </w:tcPr>
          <w:p w:rsidR="00891A96" w:rsidRPr="00EB2995" w:rsidRDefault="00891A96" w:rsidP="00891A96">
            <w:pPr>
              <w:jc w:val="center"/>
              <w:rPr>
                <w:rFonts w:cs="Calibri"/>
                <w:color w:val="000000"/>
                <w:sz w:val="20"/>
              </w:rPr>
            </w:pPr>
            <w:r w:rsidRPr="00EB2995">
              <w:rPr>
                <w:rFonts w:cs="Calibri"/>
                <w:color w:val="000000"/>
                <w:sz w:val="20"/>
              </w:rPr>
              <w:t>21.8</w:t>
            </w:r>
          </w:p>
        </w:tc>
      </w:tr>
      <w:tr w:rsidR="00891A96" w:rsidRPr="00EB2995" w:rsidTr="00891A96">
        <w:trPr>
          <w:trHeight w:val="300"/>
        </w:trPr>
        <w:tc>
          <w:tcPr>
            <w:tcW w:w="1542" w:type="pct"/>
            <w:noWrap/>
            <w:vAlign w:val="center"/>
            <w:hideMark/>
          </w:tcPr>
          <w:p w:rsidR="00891A96" w:rsidRPr="00EB2995" w:rsidRDefault="00891A96" w:rsidP="00891A96">
            <w:pPr>
              <w:rPr>
                <w:rFonts w:cs="Calibri"/>
                <w:color w:val="000000"/>
                <w:sz w:val="20"/>
                <w:lang w:eastAsia="en-GB"/>
              </w:rPr>
            </w:pPr>
            <w:r w:rsidRPr="00EB2995">
              <w:rPr>
                <w:rFonts w:cs="Calibri"/>
                <w:color w:val="000000"/>
                <w:sz w:val="20"/>
                <w:lang w:eastAsia="en-GB"/>
              </w:rPr>
              <w:t>Short Term Debtors</w:t>
            </w:r>
          </w:p>
        </w:tc>
        <w:tc>
          <w:tcPr>
            <w:tcW w:w="678" w:type="pct"/>
            <w:noWrap/>
            <w:vAlign w:val="center"/>
            <w:hideMark/>
          </w:tcPr>
          <w:p w:rsidR="00891A96" w:rsidRPr="00EB2995" w:rsidRDefault="00891A96" w:rsidP="00891A96">
            <w:pPr>
              <w:jc w:val="center"/>
              <w:rPr>
                <w:rFonts w:cs="Calibri"/>
                <w:color w:val="000000"/>
                <w:sz w:val="20"/>
                <w:lang w:eastAsia="en-GB"/>
              </w:rPr>
            </w:pPr>
            <w:r w:rsidRPr="00EB2995">
              <w:rPr>
                <w:rFonts w:cs="Calibri"/>
                <w:color w:val="000000"/>
                <w:sz w:val="20"/>
                <w:lang w:eastAsia="en-GB"/>
              </w:rPr>
              <w:t>107.3</w:t>
            </w:r>
          </w:p>
        </w:tc>
        <w:tc>
          <w:tcPr>
            <w:tcW w:w="517" w:type="pct"/>
            <w:noWrap/>
            <w:vAlign w:val="center"/>
            <w:hideMark/>
          </w:tcPr>
          <w:p w:rsidR="00891A96" w:rsidRPr="00EB2995" w:rsidRDefault="00891A96" w:rsidP="00891A96">
            <w:pPr>
              <w:jc w:val="center"/>
              <w:rPr>
                <w:rFonts w:cs="Calibri"/>
                <w:color w:val="000000"/>
                <w:sz w:val="20"/>
                <w:lang w:eastAsia="en-GB"/>
              </w:rPr>
            </w:pPr>
            <w:r w:rsidRPr="00EB2995">
              <w:rPr>
                <w:rFonts w:cs="Calibri"/>
                <w:color w:val="000000"/>
                <w:sz w:val="20"/>
                <w:lang w:eastAsia="en-GB"/>
              </w:rPr>
              <w:t>2.4</w:t>
            </w:r>
          </w:p>
        </w:tc>
        <w:tc>
          <w:tcPr>
            <w:tcW w:w="386" w:type="pct"/>
            <w:noWrap/>
            <w:vAlign w:val="center"/>
            <w:hideMark/>
          </w:tcPr>
          <w:p w:rsidR="00891A96" w:rsidRPr="00EB2995" w:rsidRDefault="00891A96" w:rsidP="00891A96">
            <w:pPr>
              <w:jc w:val="center"/>
              <w:rPr>
                <w:rFonts w:cs="Calibri"/>
                <w:color w:val="000000"/>
                <w:sz w:val="20"/>
                <w:lang w:eastAsia="en-GB"/>
              </w:rPr>
            </w:pPr>
            <w:r w:rsidRPr="00EB2995">
              <w:rPr>
                <w:rFonts w:cs="Calibri"/>
                <w:color w:val="000000"/>
                <w:sz w:val="20"/>
                <w:lang w:eastAsia="en-GB"/>
              </w:rPr>
              <w:t>0.5</w:t>
            </w:r>
          </w:p>
        </w:tc>
        <w:tc>
          <w:tcPr>
            <w:tcW w:w="501" w:type="pct"/>
            <w:vAlign w:val="center"/>
          </w:tcPr>
          <w:p w:rsidR="00891A96" w:rsidRPr="00EB2995" w:rsidRDefault="00891A96" w:rsidP="00891A96">
            <w:pPr>
              <w:jc w:val="center"/>
              <w:rPr>
                <w:rFonts w:cs="Calibri"/>
                <w:color w:val="000000"/>
                <w:sz w:val="20"/>
                <w:lang w:eastAsia="en-GB"/>
              </w:rPr>
            </w:pPr>
            <w:r w:rsidRPr="00EB2995">
              <w:rPr>
                <w:rFonts w:cs="Calibri"/>
                <w:color w:val="000000"/>
                <w:sz w:val="20"/>
                <w:lang w:eastAsia="en-GB"/>
              </w:rPr>
              <w:t>1.3</w:t>
            </w:r>
          </w:p>
        </w:tc>
        <w:tc>
          <w:tcPr>
            <w:tcW w:w="289" w:type="pct"/>
            <w:noWrap/>
            <w:vAlign w:val="center"/>
            <w:hideMark/>
          </w:tcPr>
          <w:p w:rsidR="00891A96" w:rsidRPr="00EB2995" w:rsidRDefault="00891A96" w:rsidP="00891A96">
            <w:pPr>
              <w:jc w:val="center"/>
              <w:rPr>
                <w:rFonts w:cs="Calibri"/>
                <w:color w:val="000000"/>
                <w:sz w:val="20"/>
                <w:lang w:eastAsia="en-GB"/>
              </w:rPr>
            </w:pPr>
            <w:r w:rsidRPr="00EB2995">
              <w:rPr>
                <w:rFonts w:cs="Calibri"/>
                <w:color w:val="000000"/>
                <w:sz w:val="20"/>
                <w:lang w:eastAsia="en-GB"/>
              </w:rPr>
              <w:t>0.3</w:t>
            </w:r>
          </w:p>
        </w:tc>
        <w:tc>
          <w:tcPr>
            <w:tcW w:w="603" w:type="pct"/>
            <w:vAlign w:val="center"/>
          </w:tcPr>
          <w:p w:rsidR="00891A96" w:rsidRPr="00EB2995" w:rsidRDefault="00891A96" w:rsidP="00891A96">
            <w:pPr>
              <w:jc w:val="center"/>
              <w:rPr>
                <w:rFonts w:cs="Calibri"/>
                <w:sz w:val="20"/>
                <w:szCs w:val="20"/>
                <w:lang w:eastAsia="en-GB"/>
              </w:rPr>
            </w:pPr>
            <w:r w:rsidRPr="00EB2995">
              <w:rPr>
                <w:rFonts w:cs="Calibri"/>
                <w:color w:val="000000"/>
                <w:sz w:val="20"/>
              </w:rPr>
              <w:t>(5.4)</w:t>
            </w:r>
          </w:p>
        </w:tc>
        <w:tc>
          <w:tcPr>
            <w:tcW w:w="482" w:type="pct"/>
            <w:vAlign w:val="center"/>
          </w:tcPr>
          <w:p w:rsidR="00891A96" w:rsidRPr="00EB2995" w:rsidRDefault="00891A96" w:rsidP="00891A96">
            <w:pPr>
              <w:jc w:val="center"/>
              <w:rPr>
                <w:rFonts w:cs="Calibri"/>
                <w:color w:val="000000"/>
                <w:sz w:val="20"/>
              </w:rPr>
            </w:pPr>
            <w:r w:rsidRPr="00EB2995">
              <w:rPr>
                <w:rFonts w:cs="Calibri"/>
                <w:color w:val="000000"/>
                <w:sz w:val="20"/>
              </w:rPr>
              <w:t>106.3</w:t>
            </w:r>
          </w:p>
        </w:tc>
      </w:tr>
      <w:tr w:rsidR="00891A96" w:rsidRPr="00EB2995" w:rsidTr="00891A96">
        <w:trPr>
          <w:trHeight w:val="315"/>
        </w:trPr>
        <w:tc>
          <w:tcPr>
            <w:tcW w:w="1542" w:type="pct"/>
            <w:noWrap/>
            <w:vAlign w:val="center"/>
            <w:hideMark/>
          </w:tcPr>
          <w:p w:rsidR="00891A96" w:rsidRPr="00EB2995" w:rsidRDefault="00891A96" w:rsidP="00891A96">
            <w:pPr>
              <w:rPr>
                <w:rFonts w:cs="Calibri"/>
                <w:color w:val="000000"/>
                <w:sz w:val="20"/>
                <w:lang w:eastAsia="en-GB"/>
              </w:rPr>
            </w:pPr>
            <w:r w:rsidRPr="00EB2995">
              <w:rPr>
                <w:rFonts w:cs="Calibri"/>
                <w:color w:val="000000"/>
                <w:sz w:val="20"/>
                <w:lang w:eastAsia="en-GB"/>
              </w:rPr>
              <w:t>Cash and Cash Equivalents</w:t>
            </w:r>
          </w:p>
        </w:tc>
        <w:tc>
          <w:tcPr>
            <w:tcW w:w="678" w:type="pct"/>
            <w:noWrap/>
            <w:vAlign w:val="center"/>
            <w:hideMark/>
          </w:tcPr>
          <w:p w:rsidR="00891A96" w:rsidRPr="00EB2995" w:rsidRDefault="00891A96" w:rsidP="00891A96">
            <w:pPr>
              <w:jc w:val="center"/>
              <w:rPr>
                <w:rFonts w:cs="Calibri"/>
                <w:color w:val="000000"/>
                <w:sz w:val="20"/>
                <w:lang w:eastAsia="en-GB"/>
              </w:rPr>
            </w:pPr>
            <w:r w:rsidRPr="00EB2995">
              <w:rPr>
                <w:rFonts w:cs="Calibri"/>
                <w:color w:val="000000"/>
                <w:sz w:val="20"/>
                <w:lang w:eastAsia="en-GB"/>
              </w:rPr>
              <w:t>53.3</w:t>
            </w:r>
          </w:p>
        </w:tc>
        <w:tc>
          <w:tcPr>
            <w:tcW w:w="517" w:type="pct"/>
            <w:noWrap/>
            <w:vAlign w:val="center"/>
            <w:hideMark/>
          </w:tcPr>
          <w:p w:rsidR="00891A96" w:rsidRPr="00EB2995" w:rsidRDefault="00891A96" w:rsidP="00891A96">
            <w:pPr>
              <w:jc w:val="center"/>
              <w:rPr>
                <w:rFonts w:cs="Calibri"/>
                <w:color w:val="000000"/>
                <w:sz w:val="20"/>
                <w:lang w:eastAsia="en-GB"/>
              </w:rPr>
            </w:pPr>
            <w:r w:rsidRPr="00EB2995">
              <w:rPr>
                <w:rFonts w:cs="Calibri"/>
                <w:color w:val="000000"/>
                <w:sz w:val="20"/>
                <w:lang w:eastAsia="en-GB"/>
              </w:rPr>
              <w:t>2.2</w:t>
            </w:r>
          </w:p>
        </w:tc>
        <w:tc>
          <w:tcPr>
            <w:tcW w:w="386" w:type="pct"/>
            <w:noWrap/>
            <w:vAlign w:val="center"/>
            <w:hideMark/>
          </w:tcPr>
          <w:p w:rsidR="00891A96" w:rsidRPr="00EB2995" w:rsidRDefault="00891A96" w:rsidP="00891A96">
            <w:pPr>
              <w:jc w:val="center"/>
              <w:rPr>
                <w:rFonts w:cs="Calibri"/>
                <w:color w:val="000000"/>
                <w:sz w:val="20"/>
                <w:lang w:eastAsia="en-GB"/>
              </w:rPr>
            </w:pPr>
            <w:r w:rsidRPr="00EB2995">
              <w:rPr>
                <w:rFonts w:cs="Calibri"/>
                <w:color w:val="000000"/>
                <w:sz w:val="20"/>
                <w:lang w:eastAsia="en-GB"/>
              </w:rPr>
              <w:t>0.0</w:t>
            </w:r>
          </w:p>
        </w:tc>
        <w:tc>
          <w:tcPr>
            <w:tcW w:w="501" w:type="pct"/>
            <w:vAlign w:val="center"/>
          </w:tcPr>
          <w:p w:rsidR="00891A96" w:rsidRPr="00EB2995" w:rsidRDefault="00891A96" w:rsidP="00891A96">
            <w:pPr>
              <w:jc w:val="center"/>
              <w:rPr>
                <w:rFonts w:cs="Calibri"/>
                <w:color w:val="000000"/>
                <w:sz w:val="20"/>
                <w:lang w:eastAsia="en-GB"/>
              </w:rPr>
            </w:pPr>
            <w:r w:rsidRPr="00EB2995">
              <w:rPr>
                <w:rFonts w:cs="Calibri"/>
                <w:color w:val="000000"/>
                <w:sz w:val="20"/>
                <w:lang w:eastAsia="en-GB"/>
              </w:rPr>
              <w:t>0.1</w:t>
            </w:r>
          </w:p>
        </w:tc>
        <w:tc>
          <w:tcPr>
            <w:tcW w:w="289" w:type="pct"/>
            <w:noWrap/>
            <w:vAlign w:val="center"/>
            <w:hideMark/>
          </w:tcPr>
          <w:p w:rsidR="00891A96" w:rsidRPr="00EB2995" w:rsidRDefault="00891A96" w:rsidP="00891A96">
            <w:pPr>
              <w:jc w:val="center"/>
              <w:rPr>
                <w:rFonts w:cs="Calibri"/>
                <w:color w:val="000000"/>
                <w:sz w:val="20"/>
                <w:lang w:eastAsia="en-GB"/>
              </w:rPr>
            </w:pPr>
            <w:r w:rsidRPr="00EB2995">
              <w:rPr>
                <w:rFonts w:cs="Calibri"/>
                <w:color w:val="000000"/>
                <w:sz w:val="20"/>
                <w:lang w:eastAsia="en-GB"/>
              </w:rPr>
              <w:t>0.1</w:t>
            </w:r>
          </w:p>
        </w:tc>
        <w:tc>
          <w:tcPr>
            <w:tcW w:w="603" w:type="pct"/>
            <w:vAlign w:val="center"/>
          </w:tcPr>
          <w:p w:rsidR="00891A96" w:rsidRPr="00EB2995" w:rsidRDefault="00891A96" w:rsidP="00891A96">
            <w:pPr>
              <w:jc w:val="center"/>
              <w:rPr>
                <w:rFonts w:cs="Calibri"/>
                <w:sz w:val="20"/>
                <w:szCs w:val="20"/>
                <w:lang w:eastAsia="en-GB"/>
              </w:rPr>
            </w:pPr>
            <w:r w:rsidRPr="00EB2995">
              <w:rPr>
                <w:rFonts w:cs="Calibri"/>
                <w:color w:val="000000"/>
                <w:sz w:val="20"/>
              </w:rPr>
              <w:t>(0.1)</w:t>
            </w:r>
          </w:p>
        </w:tc>
        <w:tc>
          <w:tcPr>
            <w:tcW w:w="482" w:type="pct"/>
            <w:vAlign w:val="center"/>
          </w:tcPr>
          <w:p w:rsidR="00891A96" w:rsidRPr="00EB2995" w:rsidRDefault="00891A96" w:rsidP="00891A96">
            <w:pPr>
              <w:jc w:val="center"/>
              <w:rPr>
                <w:rFonts w:cs="Calibri"/>
                <w:color w:val="000000"/>
                <w:sz w:val="20"/>
              </w:rPr>
            </w:pPr>
            <w:r w:rsidRPr="00EB2995">
              <w:rPr>
                <w:rFonts w:cs="Calibri"/>
                <w:color w:val="000000"/>
                <w:sz w:val="20"/>
              </w:rPr>
              <w:t>55.5</w:t>
            </w:r>
          </w:p>
        </w:tc>
      </w:tr>
      <w:tr w:rsidR="00891A96" w:rsidRPr="00EB2995" w:rsidTr="00891A96">
        <w:trPr>
          <w:trHeight w:val="315"/>
        </w:trPr>
        <w:tc>
          <w:tcPr>
            <w:tcW w:w="1542" w:type="pct"/>
            <w:noWrap/>
            <w:vAlign w:val="center"/>
            <w:hideMark/>
          </w:tcPr>
          <w:p w:rsidR="00891A96" w:rsidRPr="00EB2995" w:rsidRDefault="00891A96" w:rsidP="00891A96">
            <w:pPr>
              <w:rPr>
                <w:rFonts w:cs="Calibri"/>
                <w:color w:val="000000"/>
                <w:sz w:val="20"/>
                <w:lang w:eastAsia="en-GB"/>
              </w:rPr>
            </w:pPr>
            <w:r w:rsidRPr="00EB2995">
              <w:rPr>
                <w:rFonts w:cs="Calibri"/>
                <w:color w:val="000000"/>
                <w:sz w:val="20"/>
                <w:lang w:eastAsia="en-GB"/>
              </w:rPr>
              <w:t>Short Term Creditors</w:t>
            </w:r>
          </w:p>
        </w:tc>
        <w:tc>
          <w:tcPr>
            <w:tcW w:w="678" w:type="pct"/>
            <w:noWrap/>
            <w:vAlign w:val="center"/>
            <w:hideMark/>
          </w:tcPr>
          <w:p w:rsidR="00891A96" w:rsidRPr="00EB2995" w:rsidRDefault="00891A96" w:rsidP="00891A96">
            <w:pPr>
              <w:jc w:val="center"/>
              <w:rPr>
                <w:rFonts w:cs="Calibri"/>
                <w:color w:val="000000"/>
                <w:sz w:val="20"/>
                <w:lang w:eastAsia="en-GB"/>
              </w:rPr>
            </w:pPr>
            <w:r w:rsidRPr="00EB2995">
              <w:rPr>
                <w:rFonts w:cs="Calibri"/>
                <w:color w:val="000000"/>
                <w:sz w:val="20"/>
                <w:lang w:eastAsia="en-GB"/>
              </w:rPr>
              <w:t>(146.4)</w:t>
            </w:r>
          </w:p>
        </w:tc>
        <w:tc>
          <w:tcPr>
            <w:tcW w:w="517" w:type="pct"/>
            <w:noWrap/>
            <w:vAlign w:val="center"/>
            <w:hideMark/>
          </w:tcPr>
          <w:p w:rsidR="00891A96" w:rsidRPr="00EB2995" w:rsidRDefault="00891A96" w:rsidP="00891A96">
            <w:pPr>
              <w:jc w:val="center"/>
              <w:rPr>
                <w:rFonts w:cs="Calibri"/>
                <w:color w:val="000000"/>
                <w:sz w:val="20"/>
                <w:lang w:eastAsia="en-GB"/>
              </w:rPr>
            </w:pPr>
            <w:r w:rsidRPr="00EB2995">
              <w:rPr>
                <w:rFonts w:cs="Calibri"/>
                <w:color w:val="000000"/>
                <w:sz w:val="20"/>
                <w:lang w:eastAsia="en-GB"/>
              </w:rPr>
              <w:t>(2.6)</w:t>
            </w:r>
          </w:p>
        </w:tc>
        <w:tc>
          <w:tcPr>
            <w:tcW w:w="386" w:type="pct"/>
            <w:noWrap/>
            <w:vAlign w:val="center"/>
            <w:hideMark/>
          </w:tcPr>
          <w:p w:rsidR="00891A96" w:rsidRPr="00EB2995" w:rsidRDefault="00891A96" w:rsidP="00891A96">
            <w:pPr>
              <w:jc w:val="center"/>
              <w:rPr>
                <w:rFonts w:cs="Calibri"/>
                <w:color w:val="000000"/>
                <w:sz w:val="20"/>
                <w:lang w:eastAsia="en-GB"/>
              </w:rPr>
            </w:pPr>
            <w:r w:rsidRPr="00EB2995">
              <w:rPr>
                <w:rFonts w:cs="Calibri"/>
                <w:color w:val="000000"/>
                <w:sz w:val="20"/>
                <w:lang w:eastAsia="en-GB"/>
              </w:rPr>
              <w:t>0.0</w:t>
            </w:r>
          </w:p>
        </w:tc>
        <w:tc>
          <w:tcPr>
            <w:tcW w:w="501" w:type="pct"/>
            <w:vAlign w:val="center"/>
          </w:tcPr>
          <w:p w:rsidR="00891A96" w:rsidRPr="00EB2995" w:rsidRDefault="00891A96" w:rsidP="00891A96">
            <w:pPr>
              <w:jc w:val="center"/>
              <w:rPr>
                <w:rFonts w:cs="Calibri"/>
                <w:color w:val="000000"/>
                <w:sz w:val="20"/>
                <w:lang w:eastAsia="en-GB"/>
              </w:rPr>
            </w:pPr>
            <w:r w:rsidRPr="00EB2995">
              <w:rPr>
                <w:rFonts w:cs="Calibri"/>
                <w:color w:val="000000"/>
                <w:sz w:val="20"/>
                <w:lang w:eastAsia="en-GB"/>
              </w:rPr>
              <w:t>(0.9)</w:t>
            </w:r>
          </w:p>
        </w:tc>
        <w:tc>
          <w:tcPr>
            <w:tcW w:w="289" w:type="pct"/>
            <w:noWrap/>
            <w:vAlign w:val="center"/>
            <w:hideMark/>
          </w:tcPr>
          <w:p w:rsidR="00891A96" w:rsidRPr="00EB2995" w:rsidRDefault="00891A96" w:rsidP="00891A96">
            <w:pPr>
              <w:jc w:val="center"/>
              <w:rPr>
                <w:rFonts w:cs="Calibri"/>
                <w:color w:val="000000"/>
                <w:sz w:val="20"/>
                <w:lang w:eastAsia="en-GB"/>
              </w:rPr>
            </w:pPr>
            <w:r w:rsidRPr="00EB2995">
              <w:rPr>
                <w:rFonts w:cs="Calibri"/>
                <w:color w:val="000000"/>
                <w:sz w:val="20"/>
                <w:lang w:eastAsia="en-GB"/>
              </w:rPr>
              <w:t>0.3</w:t>
            </w:r>
          </w:p>
        </w:tc>
        <w:tc>
          <w:tcPr>
            <w:tcW w:w="603" w:type="pct"/>
            <w:vAlign w:val="center"/>
          </w:tcPr>
          <w:p w:rsidR="00891A96" w:rsidRPr="00EB2995" w:rsidRDefault="00891A96" w:rsidP="00891A96">
            <w:pPr>
              <w:jc w:val="center"/>
              <w:rPr>
                <w:rFonts w:cs="Calibri"/>
                <w:sz w:val="20"/>
                <w:szCs w:val="20"/>
                <w:lang w:eastAsia="en-GB"/>
              </w:rPr>
            </w:pPr>
            <w:r w:rsidRPr="00EB2995">
              <w:rPr>
                <w:rFonts w:cs="Calibri"/>
                <w:color w:val="000000"/>
                <w:sz w:val="20"/>
              </w:rPr>
              <w:t>4.3</w:t>
            </w:r>
          </w:p>
        </w:tc>
        <w:tc>
          <w:tcPr>
            <w:tcW w:w="482" w:type="pct"/>
            <w:vAlign w:val="center"/>
          </w:tcPr>
          <w:p w:rsidR="00891A96" w:rsidRPr="00EB2995" w:rsidRDefault="00891A96" w:rsidP="00891A96">
            <w:pPr>
              <w:jc w:val="center"/>
              <w:rPr>
                <w:rFonts w:cs="Calibri"/>
                <w:color w:val="000000"/>
                <w:sz w:val="20"/>
              </w:rPr>
            </w:pPr>
            <w:r w:rsidRPr="00EB2995">
              <w:rPr>
                <w:rFonts w:cs="Calibri"/>
                <w:color w:val="000000"/>
                <w:sz w:val="20"/>
              </w:rPr>
              <w:t>(142.8)</w:t>
            </w:r>
          </w:p>
        </w:tc>
      </w:tr>
      <w:tr w:rsidR="00891A96" w:rsidRPr="00EB2995" w:rsidTr="00891A96">
        <w:trPr>
          <w:trHeight w:val="300"/>
        </w:trPr>
        <w:tc>
          <w:tcPr>
            <w:tcW w:w="1542" w:type="pct"/>
            <w:noWrap/>
            <w:vAlign w:val="center"/>
            <w:hideMark/>
          </w:tcPr>
          <w:p w:rsidR="00891A96" w:rsidRPr="00EB2995" w:rsidRDefault="00891A96" w:rsidP="00891A96">
            <w:pPr>
              <w:rPr>
                <w:rFonts w:cs="Calibri"/>
                <w:color w:val="000000"/>
                <w:sz w:val="20"/>
                <w:lang w:eastAsia="en-GB"/>
              </w:rPr>
            </w:pPr>
            <w:r w:rsidRPr="00EB2995">
              <w:rPr>
                <w:rFonts w:cs="Calibri"/>
                <w:color w:val="000000"/>
                <w:sz w:val="20"/>
                <w:lang w:eastAsia="en-GB"/>
              </w:rPr>
              <w:t>Long Term Creditors</w:t>
            </w:r>
          </w:p>
        </w:tc>
        <w:tc>
          <w:tcPr>
            <w:tcW w:w="678" w:type="pct"/>
            <w:noWrap/>
            <w:vAlign w:val="center"/>
            <w:hideMark/>
          </w:tcPr>
          <w:p w:rsidR="00891A96" w:rsidRPr="00EB2995" w:rsidRDefault="00891A96" w:rsidP="00891A96">
            <w:pPr>
              <w:jc w:val="center"/>
              <w:rPr>
                <w:rFonts w:cs="Calibri"/>
                <w:color w:val="000000"/>
                <w:sz w:val="20"/>
                <w:lang w:eastAsia="en-GB"/>
              </w:rPr>
            </w:pPr>
            <w:r w:rsidRPr="00EB2995">
              <w:rPr>
                <w:rFonts w:cs="Calibri"/>
                <w:color w:val="000000"/>
                <w:sz w:val="20"/>
                <w:lang w:eastAsia="en-GB"/>
              </w:rPr>
              <w:t>(33.2)</w:t>
            </w:r>
          </w:p>
        </w:tc>
        <w:tc>
          <w:tcPr>
            <w:tcW w:w="517" w:type="pct"/>
            <w:noWrap/>
            <w:vAlign w:val="center"/>
            <w:hideMark/>
          </w:tcPr>
          <w:p w:rsidR="00891A96" w:rsidRPr="00EB2995" w:rsidRDefault="00891A96" w:rsidP="00891A96">
            <w:pPr>
              <w:jc w:val="center"/>
              <w:rPr>
                <w:rFonts w:cs="Calibri"/>
                <w:color w:val="000000"/>
                <w:sz w:val="20"/>
                <w:lang w:eastAsia="en-GB"/>
              </w:rPr>
            </w:pPr>
            <w:r w:rsidRPr="00EB2995">
              <w:rPr>
                <w:rFonts w:cs="Calibri"/>
                <w:color w:val="000000"/>
                <w:sz w:val="20"/>
                <w:lang w:eastAsia="en-GB"/>
              </w:rPr>
              <w:t>0.0</w:t>
            </w:r>
          </w:p>
        </w:tc>
        <w:tc>
          <w:tcPr>
            <w:tcW w:w="386" w:type="pct"/>
            <w:noWrap/>
            <w:vAlign w:val="center"/>
            <w:hideMark/>
          </w:tcPr>
          <w:p w:rsidR="00891A96" w:rsidRPr="00EB2995" w:rsidRDefault="00891A96" w:rsidP="00891A96">
            <w:pPr>
              <w:jc w:val="center"/>
              <w:rPr>
                <w:rFonts w:cs="Calibri"/>
                <w:color w:val="000000"/>
                <w:sz w:val="20"/>
                <w:lang w:eastAsia="en-GB"/>
              </w:rPr>
            </w:pPr>
            <w:r w:rsidRPr="00EB2995">
              <w:rPr>
                <w:rFonts w:cs="Calibri"/>
                <w:color w:val="000000"/>
                <w:sz w:val="20"/>
                <w:lang w:eastAsia="en-GB"/>
              </w:rPr>
              <w:t>0.0</w:t>
            </w:r>
          </w:p>
        </w:tc>
        <w:tc>
          <w:tcPr>
            <w:tcW w:w="501" w:type="pct"/>
            <w:vAlign w:val="center"/>
          </w:tcPr>
          <w:p w:rsidR="00891A96" w:rsidRPr="00EB2995" w:rsidRDefault="00891A96" w:rsidP="00891A96">
            <w:pPr>
              <w:jc w:val="center"/>
              <w:rPr>
                <w:rFonts w:cs="Calibri"/>
                <w:color w:val="000000"/>
                <w:sz w:val="20"/>
                <w:lang w:eastAsia="en-GB"/>
              </w:rPr>
            </w:pPr>
            <w:r w:rsidRPr="00EB2995">
              <w:rPr>
                <w:rFonts w:cs="Calibri"/>
                <w:color w:val="000000"/>
                <w:sz w:val="20"/>
                <w:lang w:eastAsia="en-GB"/>
              </w:rPr>
              <w:t>0.0</w:t>
            </w:r>
          </w:p>
        </w:tc>
        <w:tc>
          <w:tcPr>
            <w:tcW w:w="289" w:type="pct"/>
            <w:noWrap/>
            <w:vAlign w:val="center"/>
            <w:hideMark/>
          </w:tcPr>
          <w:p w:rsidR="00891A96" w:rsidRPr="00EB2995" w:rsidRDefault="00891A96" w:rsidP="00891A96">
            <w:pPr>
              <w:jc w:val="center"/>
              <w:rPr>
                <w:rFonts w:cs="Calibri"/>
                <w:color w:val="000000"/>
                <w:sz w:val="20"/>
                <w:lang w:eastAsia="en-GB"/>
              </w:rPr>
            </w:pPr>
            <w:r w:rsidRPr="00EB2995">
              <w:rPr>
                <w:rFonts w:cs="Calibri"/>
                <w:color w:val="000000"/>
                <w:sz w:val="20"/>
                <w:lang w:eastAsia="en-GB"/>
              </w:rPr>
              <w:t>0.0</w:t>
            </w:r>
          </w:p>
        </w:tc>
        <w:tc>
          <w:tcPr>
            <w:tcW w:w="603" w:type="pct"/>
            <w:vAlign w:val="center"/>
          </w:tcPr>
          <w:p w:rsidR="00891A96" w:rsidRPr="00EB2995" w:rsidRDefault="00891A96" w:rsidP="00891A96">
            <w:pPr>
              <w:jc w:val="center"/>
              <w:rPr>
                <w:rFonts w:cs="Calibri"/>
                <w:sz w:val="20"/>
                <w:szCs w:val="20"/>
                <w:lang w:eastAsia="en-GB"/>
              </w:rPr>
            </w:pPr>
            <w:r w:rsidRPr="00EB2995">
              <w:rPr>
                <w:rFonts w:cs="Calibri"/>
                <w:color w:val="000000"/>
                <w:sz w:val="20"/>
              </w:rPr>
              <w:t>0.5</w:t>
            </w:r>
          </w:p>
        </w:tc>
        <w:tc>
          <w:tcPr>
            <w:tcW w:w="482" w:type="pct"/>
            <w:vAlign w:val="center"/>
          </w:tcPr>
          <w:p w:rsidR="00891A96" w:rsidRPr="00EB2995" w:rsidRDefault="00891A96" w:rsidP="00891A96">
            <w:pPr>
              <w:jc w:val="center"/>
              <w:rPr>
                <w:rFonts w:cs="Calibri"/>
                <w:color w:val="000000"/>
                <w:sz w:val="20"/>
              </w:rPr>
            </w:pPr>
            <w:r w:rsidRPr="00EB2995">
              <w:rPr>
                <w:rFonts w:cs="Calibri"/>
                <w:color w:val="000000"/>
                <w:sz w:val="20"/>
              </w:rPr>
              <w:t>(32.7)</w:t>
            </w:r>
          </w:p>
        </w:tc>
      </w:tr>
      <w:tr w:rsidR="00891A96" w:rsidRPr="00EB2995" w:rsidTr="00891A96">
        <w:trPr>
          <w:trHeight w:val="300"/>
        </w:trPr>
        <w:tc>
          <w:tcPr>
            <w:tcW w:w="1542" w:type="pct"/>
            <w:noWrap/>
            <w:vAlign w:val="center"/>
            <w:hideMark/>
          </w:tcPr>
          <w:p w:rsidR="00891A96" w:rsidRPr="00EB2995" w:rsidRDefault="00891A96" w:rsidP="00891A96">
            <w:pPr>
              <w:rPr>
                <w:rFonts w:cs="Calibri"/>
                <w:color w:val="000000"/>
                <w:sz w:val="20"/>
                <w:lang w:eastAsia="en-GB"/>
              </w:rPr>
            </w:pPr>
            <w:r w:rsidRPr="00EB2995">
              <w:rPr>
                <w:rFonts w:cs="Calibri"/>
                <w:color w:val="000000"/>
                <w:sz w:val="20"/>
                <w:lang w:eastAsia="en-GB"/>
              </w:rPr>
              <w:t>Long Term Borrowing</w:t>
            </w:r>
          </w:p>
        </w:tc>
        <w:tc>
          <w:tcPr>
            <w:tcW w:w="678" w:type="pct"/>
            <w:noWrap/>
            <w:vAlign w:val="center"/>
            <w:hideMark/>
          </w:tcPr>
          <w:p w:rsidR="00891A96" w:rsidRPr="00EB2995" w:rsidRDefault="00891A96" w:rsidP="00891A96">
            <w:pPr>
              <w:jc w:val="center"/>
              <w:rPr>
                <w:rFonts w:cs="Calibri"/>
                <w:color w:val="000000"/>
                <w:sz w:val="20"/>
                <w:lang w:eastAsia="en-GB"/>
              </w:rPr>
            </w:pPr>
            <w:r w:rsidRPr="00EB2995">
              <w:rPr>
                <w:rFonts w:cs="Calibri"/>
                <w:color w:val="000000"/>
                <w:sz w:val="20"/>
                <w:lang w:eastAsia="en-GB"/>
              </w:rPr>
              <w:t>(385.8)</w:t>
            </w:r>
          </w:p>
        </w:tc>
        <w:tc>
          <w:tcPr>
            <w:tcW w:w="517" w:type="pct"/>
            <w:noWrap/>
            <w:vAlign w:val="center"/>
            <w:hideMark/>
          </w:tcPr>
          <w:p w:rsidR="00891A96" w:rsidRPr="00EB2995" w:rsidRDefault="00891A96" w:rsidP="00891A96">
            <w:pPr>
              <w:jc w:val="center"/>
              <w:rPr>
                <w:rFonts w:cs="Calibri"/>
                <w:color w:val="000000"/>
                <w:sz w:val="20"/>
                <w:lang w:eastAsia="en-GB"/>
              </w:rPr>
            </w:pPr>
            <w:r w:rsidRPr="00EB2995">
              <w:rPr>
                <w:rFonts w:cs="Calibri"/>
                <w:color w:val="000000"/>
                <w:sz w:val="20"/>
                <w:lang w:eastAsia="en-GB"/>
              </w:rPr>
              <w:t>(36.8)</w:t>
            </w:r>
          </w:p>
        </w:tc>
        <w:tc>
          <w:tcPr>
            <w:tcW w:w="386" w:type="pct"/>
            <w:noWrap/>
            <w:vAlign w:val="center"/>
            <w:hideMark/>
          </w:tcPr>
          <w:p w:rsidR="00891A96" w:rsidRPr="00EB2995" w:rsidRDefault="00891A96" w:rsidP="00891A96">
            <w:pPr>
              <w:jc w:val="center"/>
              <w:rPr>
                <w:rFonts w:cs="Calibri"/>
                <w:color w:val="000000"/>
                <w:sz w:val="20"/>
                <w:lang w:eastAsia="en-GB"/>
              </w:rPr>
            </w:pPr>
            <w:r w:rsidRPr="00EB2995">
              <w:rPr>
                <w:rFonts w:cs="Calibri"/>
                <w:color w:val="000000"/>
                <w:sz w:val="20"/>
                <w:lang w:eastAsia="en-GB"/>
              </w:rPr>
              <w:t>0.0</w:t>
            </w:r>
          </w:p>
        </w:tc>
        <w:tc>
          <w:tcPr>
            <w:tcW w:w="501" w:type="pct"/>
            <w:vAlign w:val="center"/>
          </w:tcPr>
          <w:p w:rsidR="00891A96" w:rsidRPr="00EB2995" w:rsidRDefault="00891A96" w:rsidP="00891A96">
            <w:pPr>
              <w:jc w:val="center"/>
              <w:rPr>
                <w:rFonts w:cs="Calibri"/>
                <w:color w:val="000000"/>
                <w:sz w:val="20"/>
                <w:lang w:eastAsia="en-GB"/>
              </w:rPr>
            </w:pPr>
            <w:r w:rsidRPr="00EB2995">
              <w:rPr>
                <w:rFonts w:cs="Calibri"/>
                <w:color w:val="000000"/>
                <w:sz w:val="20"/>
                <w:lang w:eastAsia="en-GB"/>
              </w:rPr>
              <w:t>(56.3)</w:t>
            </w:r>
          </w:p>
        </w:tc>
        <w:tc>
          <w:tcPr>
            <w:tcW w:w="289" w:type="pct"/>
            <w:noWrap/>
            <w:vAlign w:val="center"/>
            <w:hideMark/>
          </w:tcPr>
          <w:p w:rsidR="00891A96" w:rsidRPr="00EB2995" w:rsidRDefault="00891A96" w:rsidP="00891A96">
            <w:pPr>
              <w:jc w:val="center"/>
              <w:rPr>
                <w:rFonts w:cs="Calibri"/>
                <w:color w:val="000000"/>
                <w:sz w:val="20"/>
                <w:lang w:eastAsia="en-GB"/>
              </w:rPr>
            </w:pPr>
            <w:r w:rsidRPr="00EB2995">
              <w:rPr>
                <w:rFonts w:cs="Calibri"/>
                <w:color w:val="000000"/>
                <w:sz w:val="20"/>
                <w:lang w:eastAsia="en-GB"/>
              </w:rPr>
              <w:t>0.0</w:t>
            </w:r>
          </w:p>
        </w:tc>
        <w:tc>
          <w:tcPr>
            <w:tcW w:w="603" w:type="pct"/>
            <w:vAlign w:val="center"/>
          </w:tcPr>
          <w:p w:rsidR="00891A96" w:rsidRPr="00EB2995" w:rsidRDefault="00891A96" w:rsidP="00891A96">
            <w:pPr>
              <w:jc w:val="center"/>
              <w:rPr>
                <w:rFonts w:cs="Calibri"/>
                <w:sz w:val="20"/>
                <w:szCs w:val="20"/>
                <w:lang w:eastAsia="en-GB"/>
              </w:rPr>
            </w:pPr>
            <w:r w:rsidRPr="00EB2995">
              <w:rPr>
                <w:rFonts w:cs="Calibri"/>
                <w:color w:val="000000"/>
                <w:sz w:val="20"/>
              </w:rPr>
              <w:t>93.1</w:t>
            </w:r>
          </w:p>
        </w:tc>
        <w:tc>
          <w:tcPr>
            <w:tcW w:w="482" w:type="pct"/>
            <w:vAlign w:val="center"/>
          </w:tcPr>
          <w:p w:rsidR="00891A96" w:rsidRPr="00EB2995" w:rsidRDefault="00891A96" w:rsidP="00891A96">
            <w:pPr>
              <w:jc w:val="center"/>
              <w:rPr>
                <w:rFonts w:cs="Calibri"/>
                <w:color w:val="000000"/>
                <w:sz w:val="20"/>
              </w:rPr>
            </w:pPr>
            <w:r w:rsidRPr="00EB2995">
              <w:rPr>
                <w:rFonts w:cs="Calibri"/>
                <w:color w:val="000000"/>
                <w:sz w:val="20"/>
              </w:rPr>
              <w:t>(385.8)</w:t>
            </w:r>
          </w:p>
        </w:tc>
      </w:tr>
      <w:tr w:rsidR="00891A96" w:rsidRPr="00EB2995" w:rsidTr="00891A96">
        <w:trPr>
          <w:trHeight w:val="315"/>
        </w:trPr>
        <w:tc>
          <w:tcPr>
            <w:tcW w:w="1542" w:type="pct"/>
            <w:noWrap/>
            <w:vAlign w:val="center"/>
            <w:hideMark/>
          </w:tcPr>
          <w:p w:rsidR="00891A96" w:rsidRPr="00EB2995" w:rsidRDefault="00891A96" w:rsidP="00891A96">
            <w:pPr>
              <w:rPr>
                <w:rFonts w:cs="Calibri"/>
                <w:color w:val="000000"/>
                <w:sz w:val="20"/>
                <w:lang w:eastAsia="en-GB"/>
              </w:rPr>
            </w:pPr>
            <w:r w:rsidRPr="00EB2995">
              <w:rPr>
                <w:rFonts w:cs="Calibri"/>
                <w:color w:val="000000"/>
                <w:sz w:val="20"/>
                <w:lang w:eastAsia="en-GB"/>
              </w:rPr>
              <w:t>Other Long Term Liabilities</w:t>
            </w:r>
          </w:p>
        </w:tc>
        <w:tc>
          <w:tcPr>
            <w:tcW w:w="678" w:type="pct"/>
            <w:noWrap/>
            <w:vAlign w:val="center"/>
            <w:hideMark/>
          </w:tcPr>
          <w:p w:rsidR="00891A96" w:rsidRPr="00EB2995" w:rsidRDefault="00891A96" w:rsidP="00891A96">
            <w:pPr>
              <w:jc w:val="center"/>
              <w:rPr>
                <w:rFonts w:cs="Calibri"/>
                <w:color w:val="000000"/>
                <w:sz w:val="20"/>
                <w:lang w:eastAsia="en-GB"/>
              </w:rPr>
            </w:pPr>
            <w:r w:rsidRPr="00EB2995">
              <w:rPr>
                <w:rFonts w:cs="Calibri"/>
                <w:color w:val="000000"/>
                <w:sz w:val="20"/>
                <w:lang w:eastAsia="en-GB"/>
              </w:rPr>
              <w:t>(941.8)</w:t>
            </w:r>
          </w:p>
        </w:tc>
        <w:tc>
          <w:tcPr>
            <w:tcW w:w="517" w:type="pct"/>
            <w:noWrap/>
            <w:vAlign w:val="center"/>
            <w:hideMark/>
          </w:tcPr>
          <w:p w:rsidR="00891A96" w:rsidRPr="00EB2995" w:rsidRDefault="00891A96" w:rsidP="00891A96">
            <w:pPr>
              <w:jc w:val="center"/>
              <w:rPr>
                <w:rFonts w:cs="Calibri"/>
                <w:color w:val="000000"/>
                <w:sz w:val="20"/>
                <w:lang w:eastAsia="en-GB"/>
              </w:rPr>
            </w:pPr>
            <w:r w:rsidRPr="00EB2995">
              <w:rPr>
                <w:rFonts w:cs="Calibri"/>
                <w:color w:val="000000"/>
                <w:sz w:val="20"/>
                <w:lang w:eastAsia="en-GB"/>
              </w:rPr>
              <w:t>(0.9)</w:t>
            </w:r>
          </w:p>
        </w:tc>
        <w:tc>
          <w:tcPr>
            <w:tcW w:w="386" w:type="pct"/>
            <w:noWrap/>
            <w:vAlign w:val="center"/>
            <w:hideMark/>
          </w:tcPr>
          <w:p w:rsidR="00891A96" w:rsidRPr="00EB2995" w:rsidRDefault="00891A96" w:rsidP="00891A96">
            <w:pPr>
              <w:jc w:val="center"/>
              <w:rPr>
                <w:rFonts w:cs="Calibri"/>
                <w:color w:val="000000"/>
                <w:sz w:val="20"/>
                <w:lang w:eastAsia="en-GB"/>
              </w:rPr>
            </w:pPr>
            <w:r w:rsidRPr="00EB2995">
              <w:rPr>
                <w:rFonts w:cs="Calibri"/>
                <w:color w:val="000000"/>
                <w:sz w:val="20"/>
                <w:lang w:eastAsia="en-GB"/>
              </w:rPr>
              <w:t>0.0</w:t>
            </w:r>
          </w:p>
        </w:tc>
        <w:tc>
          <w:tcPr>
            <w:tcW w:w="501" w:type="pct"/>
            <w:vAlign w:val="center"/>
          </w:tcPr>
          <w:p w:rsidR="00891A96" w:rsidRPr="00EB2995" w:rsidRDefault="00891A96" w:rsidP="00891A96">
            <w:pPr>
              <w:jc w:val="center"/>
              <w:rPr>
                <w:rFonts w:cs="Calibri"/>
                <w:color w:val="000000"/>
                <w:sz w:val="20"/>
                <w:lang w:eastAsia="en-GB"/>
              </w:rPr>
            </w:pPr>
            <w:r w:rsidRPr="00EB2995">
              <w:rPr>
                <w:rFonts w:cs="Calibri"/>
                <w:color w:val="000000"/>
                <w:sz w:val="20"/>
                <w:lang w:eastAsia="en-GB"/>
              </w:rPr>
              <w:t>0.0</w:t>
            </w:r>
          </w:p>
        </w:tc>
        <w:tc>
          <w:tcPr>
            <w:tcW w:w="289" w:type="pct"/>
            <w:noWrap/>
            <w:vAlign w:val="center"/>
            <w:hideMark/>
          </w:tcPr>
          <w:p w:rsidR="00891A96" w:rsidRPr="00EB2995" w:rsidRDefault="00891A96" w:rsidP="00891A96">
            <w:pPr>
              <w:jc w:val="center"/>
              <w:rPr>
                <w:rFonts w:cs="Calibri"/>
                <w:color w:val="000000"/>
                <w:sz w:val="20"/>
                <w:lang w:eastAsia="en-GB"/>
              </w:rPr>
            </w:pPr>
            <w:r w:rsidRPr="00EB2995">
              <w:rPr>
                <w:rFonts w:cs="Calibri"/>
                <w:color w:val="000000"/>
                <w:sz w:val="20"/>
                <w:lang w:eastAsia="en-GB"/>
              </w:rPr>
              <w:t>0.0</w:t>
            </w:r>
          </w:p>
        </w:tc>
        <w:tc>
          <w:tcPr>
            <w:tcW w:w="603" w:type="pct"/>
            <w:vAlign w:val="center"/>
          </w:tcPr>
          <w:p w:rsidR="00891A96" w:rsidRPr="00EB2995" w:rsidRDefault="00891A96" w:rsidP="00891A96">
            <w:pPr>
              <w:jc w:val="center"/>
              <w:rPr>
                <w:rFonts w:cs="Calibri"/>
                <w:sz w:val="20"/>
                <w:szCs w:val="20"/>
                <w:lang w:eastAsia="en-GB"/>
              </w:rPr>
            </w:pPr>
            <w:r w:rsidRPr="00EB2995">
              <w:rPr>
                <w:rFonts w:cs="Calibri"/>
                <w:color w:val="000000"/>
                <w:sz w:val="20"/>
              </w:rPr>
              <w:t>0.9</w:t>
            </w:r>
          </w:p>
        </w:tc>
        <w:tc>
          <w:tcPr>
            <w:tcW w:w="482" w:type="pct"/>
            <w:vAlign w:val="center"/>
          </w:tcPr>
          <w:p w:rsidR="00891A96" w:rsidRPr="00EB2995" w:rsidRDefault="00891A96" w:rsidP="00891A96">
            <w:pPr>
              <w:jc w:val="center"/>
              <w:rPr>
                <w:rFonts w:cs="Calibri"/>
                <w:color w:val="000000"/>
                <w:sz w:val="20"/>
              </w:rPr>
            </w:pPr>
            <w:r w:rsidRPr="00EB2995">
              <w:rPr>
                <w:rFonts w:cs="Calibri"/>
                <w:color w:val="000000"/>
                <w:sz w:val="20"/>
              </w:rPr>
              <w:t>(941.8)</w:t>
            </w:r>
          </w:p>
        </w:tc>
      </w:tr>
      <w:tr w:rsidR="00891A96" w:rsidRPr="00EB2995" w:rsidTr="00891A96">
        <w:trPr>
          <w:trHeight w:val="300"/>
        </w:trPr>
        <w:tc>
          <w:tcPr>
            <w:tcW w:w="1542" w:type="pct"/>
            <w:shd w:val="clear" w:color="auto" w:fill="auto"/>
            <w:noWrap/>
            <w:vAlign w:val="center"/>
            <w:hideMark/>
          </w:tcPr>
          <w:p w:rsidR="00891A96" w:rsidRPr="00EB2995" w:rsidRDefault="00891A96" w:rsidP="00891A96">
            <w:pPr>
              <w:rPr>
                <w:rFonts w:cs="Calibri"/>
                <w:color w:val="000000"/>
                <w:sz w:val="20"/>
                <w:lang w:eastAsia="en-GB"/>
              </w:rPr>
            </w:pPr>
            <w:r w:rsidRPr="00EB2995">
              <w:rPr>
                <w:rFonts w:cs="Calibri"/>
                <w:color w:val="000000"/>
                <w:sz w:val="20"/>
                <w:lang w:eastAsia="en-GB"/>
              </w:rPr>
              <w:t>Usable Reserves</w:t>
            </w:r>
          </w:p>
        </w:tc>
        <w:tc>
          <w:tcPr>
            <w:tcW w:w="678" w:type="pct"/>
            <w:shd w:val="clear" w:color="auto" w:fill="auto"/>
            <w:noWrap/>
            <w:vAlign w:val="center"/>
            <w:hideMark/>
          </w:tcPr>
          <w:p w:rsidR="00891A96" w:rsidRPr="00EB2995" w:rsidRDefault="00891A96" w:rsidP="00891A96">
            <w:pPr>
              <w:jc w:val="center"/>
              <w:rPr>
                <w:rFonts w:cs="Calibri"/>
                <w:color w:val="000000"/>
                <w:sz w:val="20"/>
                <w:lang w:eastAsia="en-GB"/>
              </w:rPr>
            </w:pPr>
            <w:r w:rsidRPr="00EB2995">
              <w:rPr>
                <w:rFonts w:cs="Calibri"/>
                <w:color w:val="000000"/>
                <w:sz w:val="20"/>
                <w:lang w:eastAsia="en-GB"/>
              </w:rPr>
              <w:t>368.3</w:t>
            </w:r>
          </w:p>
        </w:tc>
        <w:tc>
          <w:tcPr>
            <w:tcW w:w="517" w:type="pct"/>
            <w:shd w:val="clear" w:color="auto" w:fill="auto"/>
            <w:noWrap/>
            <w:vAlign w:val="center"/>
            <w:hideMark/>
          </w:tcPr>
          <w:p w:rsidR="00891A96" w:rsidRPr="00EB2995" w:rsidRDefault="00891A96" w:rsidP="00891A96">
            <w:pPr>
              <w:jc w:val="center"/>
              <w:rPr>
                <w:rFonts w:cs="Calibri"/>
                <w:color w:val="000000"/>
                <w:sz w:val="20"/>
                <w:lang w:eastAsia="en-GB"/>
              </w:rPr>
            </w:pPr>
            <w:r w:rsidRPr="00EB2995">
              <w:rPr>
                <w:rFonts w:cs="Calibri"/>
                <w:color w:val="000000"/>
                <w:sz w:val="20"/>
                <w:lang w:eastAsia="en-GB"/>
              </w:rPr>
              <w:t>13.4</w:t>
            </w:r>
          </w:p>
        </w:tc>
        <w:tc>
          <w:tcPr>
            <w:tcW w:w="386" w:type="pct"/>
            <w:shd w:val="clear" w:color="auto" w:fill="auto"/>
            <w:noWrap/>
            <w:vAlign w:val="center"/>
            <w:hideMark/>
          </w:tcPr>
          <w:p w:rsidR="00891A96" w:rsidRPr="00EB2995" w:rsidRDefault="00891A96" w:rsidP="00891A96">
            <w:pPr>
              <w:jc w:val="center"/>
              <w:rPr>
                <w:rFonts w:cs="Calibri"/>
                <w:color w:val="000000"/>
                <w:sz w:val="20"/>
                <w:lang w:eastAsia="en-GB"/>
              </w:rPr>
            </w:pPr>
            <w:r w:rsidRPr="00EB2995">
              <w:rPr>
                <w:rFonts w:cs="Calibri"/>
                <w:color w:val="000000"/>
                <w:sz w:val="20"/>
                <w:lang w:eastAsia="en-GB"/>
              </w:rPr>
              <w:t>0.5</w:t>
            </w:r>
          </w:p>
        </w:tc>
        <w:tc>
          <w:tcPr>
            <w:tcW w:w="501" w:type="pct"/>
            <w:shd w:val="clear" w:color="auto" w:fill="auto"/>
            <w:vAlign w:val="center"/>
          </w:tcPr>
          <w:p w:rsidR="00891A96" w:rsidRPr="00EB2995" w:rsidRDefault="00891A96" w:rsidP="00891A96">
            <w:pPr>
              <w:jc w:val="center"/>
              <w:rPr>
                <w:rFonts w:cs="Calibri"/>
                <w:color w:val="000000"/>
                <w:sz w:val="20"/>
                <w:lang w:eastAsia="en-GB"/>
              </w:rPr>
            </w:pPr>
            <w:r w:rsidRPr="00EB2995">
              <w:rPr>
                <w:rFonts w:cs="Calibri"/>
                <w:color w:val="000000"/>
                <w:sz w:val="20"/>
                <w:lang w:eastAsia="en-GB"/>
              </w:rPr>
              <w:t>(1.7)</w:t>
            </w:r>
          </w:p>
        </w:tc>
        <w:tc>
          <w:tcPr>
            <w:tcW w:w="289" w:type="pct"/>
            <w:shd w:val="clear" w:color="auto" w:fill="auto"/>
            <w:noWrap/>
            <w:vAlign w:val="center"/>
            <w:hideMark/>
          </w:tcPr>
          <w:p w:rsidR="00891A96" w:rsidRPr="00EB2995" w:rsidRDefault="00891A96" w:rsidP="00891A96">
            <w:pPr>
              <w:jc w:val="center"/>
              <w:rPr>
                <w:rFonts w:cs="Calibri"/>
                <w:color w:val="000000"/>
                <w:sz w:val="20"/>
                <w:lang w:eastAsia="en-GB"/>
              </w:rPr>
            </w:pPr>
            <w:r w:rsidRPr="00EB2995">
              <w:rPr>
                <w:rFonts w:cs="Calibri"/>
                <w:color w:val="000000"/>
                <w:sz w:val="20"/>
                <w:lang w:eastAsia="en-GB"/>
              </w:rPr>
              <w:t>0.0</w:t>
            </w:r>
          </w:p>
        </w:tc>
        <w:tc>
          <w:tcPr>
            <w:tcW w:w="603" w:type="pct"/>
            <w:shd w:val="clear" w:color="auto" w:fill="auto"/>
            <w:vAlign w:val="center"/>
          </w:tcPr>
          <w:p w:rsidR="00891A96" w:rsidRPr="00EB2995" w:rsidRDefault="00891A96" w:rsidP="00891A96">
            <w:pPr>
              <w:jc w:val="center"/>
              <w:rPr>
                <w:rFonts w:cs="Calibri"/>
                <w:sz w:val="20"/>
                <w:szCs w:val="20"/>
                <w:lang w:eastAsia="en-GB"/>
              </w:rPr>
            </w:pPr>
            <w:r w:rsidRPr="00EB2995">
              <w:rPr>
                <w:rFonts w:cs="Calibri"/>
                <w:color w:val="000000"/>
                <w:sz w:val="20"/>
              </w:rPr>
              <w:t>(3.3)</w:t>
            </w:r>
          </w:p>
        </w:tc>
        <w:tc>
          <w:tcPr>
            <w:tcW w:w="482" w:type="pct"/>
            <w:shd w:val="clear" w:color="auto" w:fill="auto"/>
            <w:vAlign w:val="center"/>
          </w:tcPr>
          <w:p w:rsidR="00891A96" w:rsidRPr="00EB2995" w:rsidRDefault="00891A96" w:rsidP="00891A96">
            <w:pPr>
              <w:jc w:val="center"/>
              <w:rPr>
                <w:rFonts w:cs="Calibri"/>
                <w:color w:val="FF0000"/>
                <w:sz w:val="20"/>
              </w:rPr>
            </w:pPr>
            <w:r w:rsidRPr="00EB2995">
              <w:rPr>
                <w:rFonts w:cs="Calibri"/>
                <w:color w:val="000000"/>
                <w:sz w:val="20"/>
              </w:rPr>
              <w:t>377.3</w:t>
            </w:r>
          </w:p>
        </w:tc>
      </w:tr>
      <w:tr w:rsidR="00891A96" w:rsidRPr="00EB2995" w:rsidTr="00891A96">
        <w:trPr>
          <w:trHeight w:val="315"/>
        </w:trPr>
        <w:tc>
          <w:tcPr>
            <w:tcW w:w="1542" w:type="pct"/>
            <w:noWrap/>
            <w:vAlign w:val="center"/>
            <w:hideMark/>
          </w:tcPr>
          <w:p w:rsidR="00891A96" w:rsidRPr="00EB2995" w:rsidRDefault="00891A96" w:rsidP="00891A96">
            <w:pPr>
              <w:rPr>
                <w:rFonts w:cs="Calibri"/>
                <w:color w:val="000000"/>
                <w:sz w:val="20"/>
                <w:lang w:eastAsia="en-GB"/>
              </w:rPr>
            </w:pPr>
            <w:r w:rsidRPr="00EB2995">
              <w:rPr>
                <w:rFonts w:cs="Calibri"/>
                <w:color w:val="000000"/>
                <w:sz w:val="20"/>
                <w:lang w:eastAsia="en-GB"/>
              </w:rPr>
              <w:t>Unusable Reserves</w:t>
            </w:r>
          </w:p>
        </w:tc>
        <w:tc>
          <w:tcPr>
            <w:tcW w:w="678" w:type="pct"/>
            <w:noWrap/>
            <w:vAlign w:val="center"/>
            <w:hideMark/>
          </w:tcPr>
          <w:p w:rsidR="00891A96" w:rsidRPr="00EB2995" w:rsidRDefault="00891A96" w:rsidP="00891A96">
            <w:pPr>
              <w:jc w:val="center"/>
              <w:rPr>
                <w:rFonts w:cs="Calibri"/>
                <w:color w:val="000000"/>
                <w:sz w:val="20"/>
                <w:lang w:eastAsia="en-GB"/>
              </w:rPr>
            </w:pPr>
            <w:r w:rsidRPr="00EB2995">
              <w:rPr>
                <w:rFonts w:cs="Calibri"/>
                <w:color w:val="000000"/>
                <w:sz w:val="20"/>
                <w:lang w:eastAsia="en-GB"/>
              </w:rPr>
              <w:t>124.9</w:t>
            </w:r>
          </w:p>
        </w:tc>
        <w:tc>
          <w:tcPr>
            <w:tcW w:w="517" w:type="pct"/>
            <w:noWrap/>
            <w:vAlign w:val="center"/>
            <w:hideMark/>
          </w:tcPr>
          <w:p w:rsidR="00891A96" w:rsidRPr="00EB2995" w:rsidRDefault="00891A96" w:rsidP="00891A96">
            <w:pPr>
              <w:jc w:val="center"/>
              <w:rPr>
                <w:rFonts w:cs="Calibri"/>
                <w:color w:val="000000"/>
                <w:sz w:val="20"/>
                <w:lang w:eastAsia="en-GB"/>
              </w:rPr>
            </w:pPr>
            <w:r w:rsidRPr="00EB2995">
              <w:rPr>
                <w:rFonts w:cs="Calibri"/>
                <w:color w:val="000000"/>
                <w:sz w:val="20"/>
                <w:lang w:eastAsia="en-GB"/>
              </w:rPr>
              <w:t>12.1</w:t>
            </w:r>
          </w:p>
        </w:tc>
        <w:tc>
          <w:tcPr>
            <w:tcW w:w="386" w:type="pct"/>
            <w:noWrap/>
            <w:vAlign w:val="center"/>
            <w:hideMark/>
          </w:tcPr>
          <w:p w:rsidR="00891A96" w:rsidRPr="00EB2995" w:rsidRDefault="00891A96" w:rsidP="00891A96">
            <w:pPr>
              <w:jc w:val="center"/>
              <w:rPr>
                <w:rFonts w:cs="Calibri"/>
                <w:color w:val="000000"/>
                <w:sz w:val="20"/>
                <w:lang w:eastAsia="en-GB"/>
              </w:rPr>
            </w:pPr>
            <w:r w:rsidRPr="00EB2995">
              <w:rPr>
                <w:rFonts w:cs="Calibri"/>
                <w:color w:val="000000"/>
                <w:sz w:val="20"/>
                <w:lang w:eastAsia="en-GB"/>
              </w:rPr>
              <w:t>0.9</w:t>
            </w:r>
          </w:p>
        </w:tc>
        <w:tc>
          <w:tcPr>
            <w:tcW w:w="501" w:type="pct"/>
            <w:vAlign w:val="center"/>
          </w:tcPr>
          <w:p w:rsidR="00891A96" w:rsidRPr="00EB2995" w:rsidRDefault="00891A96" w:rsidP="00891A96">
            <w:pPr>
              <w:jc w:val="center"/>
              <w:rPr>
                <w:rFonts w:cs="Calibri"/>
                <w:color w:val="000000"/>
                <w:sz w:val="20"/>
                <w:lang w:eastAsia="en-GB"/>
              </w:rPr>
            </w:pPr>
            <w:r w:rsidRPr="00EB2995">
              <w:rPr>
                <w:rFonts w:cs="Calibri"/>
                <w:color w:val="000000"/>
                <w:sz w:val="20"/>
                <w:lang w:eastAsia="en-GB"/>
              </w:rPr>
              <w:t>23.1</w:t>
            </w:r>
          </w:p>
        </w:tc>
        <w:tc>
          <w:tcPr>
            <w:tcW w:w="289" w:type="pct"/>
            <w:noWrap/>
            <w:vAlign w:val="center"/>
            <w:hideMark/>
          </w:tcPr>
          <w:p w:rsidR="00891A96" w:rsidRPr="00EB2995" w:rsidRDefault="00891A96" w:rsidP="00891A96">
            <w:pPr>
              <w:jc w:val="center"/>
              <w:rPr>
                <w:rFonts w:cs="Calibri"/>
                <w:color w:val="000000"/>
                <w:sz w:val="20"/>
                <w:lang w:eastAsia="en-GB"/>
              </w:rPr>
            </w:pPr>
            <w:r w:rsidRPr="00EB2995">
              <w:rPr>
                <w:rFonts w:cs="Calibri"/>
                <w:color w:val="000000"/>
                <w:sz w:val="20"/>
                <w:lang w:eastAsia="en-GB"/>
              </w:rPr>
              <w:t>0.0</w:t>
            </w:r>
          </w:p>
        </w:tc>
        <w:tc>
          <w:tcPr>
            <w:tcW w:w="603" w:type="pct"/>
            <w:vAlign w:val="center"/>
          </w:tcPr>
          <w:p w:rsidR="00891A96" w:rsidRPr="00EB2995" w:rsidRDefault="00891A96" w:rsidP="00891A96">
            <w:pPr>
              <w:jc w:val="center"/>
              <w:rPr>
                <w:rFonts w:cs="Calibri"/>
                <w:sz w:val="20"/>
                <w:szCs w:val="20"/>
                <w:lang w:eastAsia="en-GB"/>
              </w:rPr>
            </w:pPr>
            <w:r w:rsidRPr="00EB2995">
              <w:rPr>
                <w:rFonts w:cs="Calibri"/>
                <w:color w:val="000000"/>
                <w:sz w:val="20"/>
              </w:rPr>
              <w:t>(23.1)</w:t>
            </w:r>
          </w:p>
        </w:tc>
        <w:tc>
          <w:tcPr>
            <w:tcW w:w="482" w:type="pct"/>
            <w:vAlign w:val="center"/>
          </w:tcPr>
          <w:p w:rsidR="00891A96" w:rsidRPr="00EB2995" w:rsidRDefault="00891A96" w:rsidP="00891A96">
            <w:pPr>
              <w:jc w:val="center"/>
              <w:rPr>
                <w:rFonts w:cs="Calibri"/>
                <w:color w:val="000000"/>
                <w:sz w:val="20"/>
              </w:rPr>
            </w:pPr>
            <w:r w:rsidRPr="00EB2995">
              <w:rPr>
                <w:rFonts w:cs="Calibri"/>
                <w:color w:val="000000"/>
                <w:sz w:val="20"/>
              </w:rPr>
              <w:t>137.9</w:t>
            </w:r>
          </w:p>
        </w:tc>
      </w:tr>
      <w:tr w:rsidR="00891A96" w:rsidRPr="00EB2995" w:rsidTr="00891A96">
        <w:trPr>
          <w:trHeight w:val="315"/>
        </w:trPr>
        <w:tc>
          <w:tcPr>
            <w:tcW w:w="1542" w:type="pct"/>
            <w:noWrap/>
            <w:vAlign w:val="center"/>
          </w:tcPr>
          <w:p w:rsidR="00891A96" w:rsidRPr="00EB2995" w:rsidRDefault="00891A96" w:rsidP="00891A96">
            <w:pPr>
              <w:rPr>
                <w:rFonts w:cs="Calibri"/>
                <w:color w:val="000000"/>
                <w:sz w:val="20"/>
                <w:lang w:eastAsia="en-GB"/>
              </w:rPr>
            </w:pPr>
            <w:r w:rsidRPr="00EB2995">
              <w:rPr>
                <w:rFonts w:cs="Calibri"/>
                <w:color w:val="000000"/>
                <w:sz w:val="20"/>
              </w:rPr>
              <w:t>Community Wellbeing (GF)</w:t>
            </w:r>
          </w:p>
        </w:tc>
        <w:tc>
          <w:tcPr>
            <w:tcW w:w="678" w:type="pct"/>
            <w:noWrap/>
            <w:vAlign w:val="center"/>
          </w:tcPr>
          <w:p w:rsidR="00891A96" w:rsidRPr="00EB2995" w:rsidRDefault="00891A96" w:rsidP="00891A96">
            <w:pPr>
              <w:jc w:val="center"/>
              <w:rPr>
                <w:rFonts w:cs="Calibri"/>
                <w:color w:val="000000"/>
                <w:sz w:val="20"/>
                <w:lang w:eastAsia="en-GB"/>
              </w:rPr>
            </w:pPr>
            <w:r w:rsidRPr="00EB2995">
              <w:rPr>
                <w:rFonts w:cs="Calibri"/>
                <w:bCs/>
                <w:color w:val="000000"/>
                <w:sz w:val="20"/>
              </w:rPr>
              <w:t>131.7</w:t>
            </w:r>
          </w:p>
        </w:tc>
        <w:tc>
          <w:tcPr>
            <w:tcW w:w="517" w:type="pct"/>
            <w:noWrap/>
            <w:vAlign w:val="center"/>
          </w:tcPr>
          <w:p w:rsidR="00891A96" w:rsidRPr="00EB2995" w:rsidRDefault="00891A96" w:rsidP="00891A96">
            <w:pPr>
              <w:jc w:val="center"/>
              <w:rPr>
                <w:rFonts w:cs="Calibri"/>
                <w:color w:val="000000"/>
                <w:sz w:val="20"/>
                <w:lang w:eastAsia="en-GB"/>
              </w:rPr>
            </w:pPr>
            <w:r w:rsidRPr="00EB2995">
              <w:rPr>
                <w:rFonts w:cs="Calibri"/>
                <w:color w:val="000000"/>
                <w:sz w:val="20"/>
              </w:rPr>
              <w:t>(2.5)</w:t>
            </w:r>
          </w:p>
        </w:tc>
        <w:tc>
          <w:tcPr>
            <w:tcW w:w="386" w:type="pct"/>
            <w:noWrap/>
            <w:vAlign w:val="center"/>
          </w:tcPr>
          <w:p w:rsidR="00891A96" w:rsidRPr="00EB2995" w:rsidRDefault="00891A96" w:rsidP="00891A96">
            <w:pPr>
              <w:jc w:val="center"/>
              <w:rPr>
                <w:rFonts w:cs="Calibri"/>
                <w:color w:val="000000"/>
                <w:sz w:val="20"/>
                <w:lang w:eastAsia="en-GB"/>
              </w:rPr>
            </w:pPr>
            <w:r w:rsidRPr="00EB2995">
              <w:rPr>
                <w:rFonts w:cs="Calibri"/>
                <w:bCs/>
                <w:color w:val="000000"/>
                <w:sz w:val="20"/>
              </w:rPr>
              <w:t>(0.0)</w:t>
            </w:r>
          </w:p>
        </w:tc>
        <w:tc>
          <w:tcPr>
            <w:tcW w:w="501" w:type="pct"/>
            <w:vAlign w:val="center"/>
          </w:tcPr>
          <w:p w:rsidR="00891A96" w:rsidRPr="00EB2995" w:rsidRDefault="00891A96" w:rsidP="00891A96">
            <w:pPr>
              <w:jc w:val="center"/>
              <w:rPr>
                <w:rFonts w:cs="Calibri"/>
                <w:color w:val="000000"/>
                <w:sz w:val="20"/>
                <w:lang w:eastAsia="en-GB"/>
              </w:rPr>
            </w:pPr>
            <w:r w:rsidRPr="00EB2995">
              <w:rPr>
                <w:rFonts w:cs="Calibri"/>
                <w:bCs/>
                <w:color w:val="000000"/>
                <w:sz w:val="20"/>
              </w:rPr>
              <w:t>0.0</w:t>
            </w:r>
          </w:p>
        </w:tc>
        <w:tc>
          <w:tcPr>
            <w:tcW w:w="289" w:type="pct"/>
            <w:vAlign w:val="center"/>
          </w:tcPr>
          <w:p w:rsidR="00891A96" w:rsidRPr="00EB2995" w:rsidRDefault="00891A96" w:rsidP="00891A96">
            <w:pPr>
              <w:jc w:val="center"/>
              <w:rPr>
                <w:rFonts w:cs="Calibri"/>
                <w:color w:val="000000"/>
                <w:sz w:val="20"/>
                <w:lang w:eastAsia="en-GB"/>
              </w:rPr>
            </w:pPr>
            <w:r w:rsidRPr="00EB2995">
              <w:rPr>
                <w:rFonts w:cs="Calibri"/>
                <w:bCs/>
                <w:color w:val="000000"/>
                <w:sz w:val="20"/>
              </w:rPr>
              <w:t>0.0</w:t>
            </w:r>
          </w:p>
        </w:tc>
        <w:tc>
          <w:tcPr>
            <w:tcW w:w="603" w:type="pct"/>
            <w:noWrap/>
            <w:vAlign w:val="center"/>
          </w:tcPr>
          <w:p w:rsidR="00891A96" w:rsidRPr="00EB2995" w:rsidRDefault="00891A96" w:rsidP="00891A96">
            <w:pPr>
              <w:jc w:val="center"/>
              <w:rPr>
                <w:rFonts w:cs="Calibri"/>
                <w:color w:val="000000"/>
                <w:sz w:val="20"/>
                <w:lang w:eastAsia="en-GB"/>
              </w:rPr>
            </w:pPr>
            <w:r w:rsidRPr="00EB2995">
              <w:rPr>
                <w:rFonts w:cs="Calibri"/>
                <w:bCs/>
                <w:color w:val="000000"/>
                <w:sz w:val="20"/>
              </w:rPr>
              <w:t>0.0</w:t>
            </w:r>
          </w:p>
        </w:tc>
        <w:tc>
          <w:tcPr>
            <w:tcW w:w="482" w:type="pct"/>
            <w:vAlign w:val="center"/>
          </w:tcPr>
          <w:p w:rsidR="00891A96" w:rsidRPr="00EB2995" w:rsidRDefault="00891A96" w:rsidP="00891A96">
            <w:pPr>
              <w:jc w:val="center"/>
              <w:rPr>
                <w:rFonts w:cs="Calibri"/>
                <w:color w:val="000000"/>
                <w:sz w:val="20"/>
              </w:rPr>
            </w:pPr>
            <w:r w:rsidRPr="00EB2995">
              <w:rPr>
                <w:rFonts w:cs="Calibri"/>
                <w:bCs/>
                <w:color w:val="000000"/>
                <w:sz w:val="20"/>
              </w:rPr>
              <w:t>129.2</w:t>
            </w:r>
          </w:p>
        </w:tc>
      </w:tr>
      <w:tr w:rsidR="00891A96" w:rsidRPr="00EB2995" w:rsidTr="00891A96">
        <w:trPr>
          <w:trHeight w:val="315"/>
        </w:trPr>
        <w:tc>
          <w:tcPr>
            <w:tcW w:w="1542" w:type="pct"/>
            <w:noWrap/>
            <w:vAlign w:val="center"/>
          </w:tcPr>
          <w:p w:rsidR="00891A96" w:rsidRPr="00EB2995" w:rsidRDefault="00891A96" w:rsidP="00891A96">
            <w:pPr>
              <w:rPr>
                <w:rFonts w:cs="Calibri"/>
                <w:color w:val="000000"/>
                <w:sz w:val="20"/>
                <w:lang w:eastAsia="en-GB"/>
              </w:rPr>
            </w:pPr>
            <w:r w:rsidRPr="00EB2995">
              <w:rPr>
                <w:rFonts w:cs="Calibri"/>
                <w:color w:val="000000"/>
                <w:sz w:val="20"/>
              </w:rPr>
              <w:t>Community Wellbeing (HRA)</w:t>
            </w:r>
          </w:p>
        </w:tc>
        <w:tc>
          <w:tcPr>
            <w:tcW w:w="678" w:type="pct"/>
            <w:noWrap/>
            <w:vAlign w:val="center"/>
          </w:tcPr>
          <w:p w:rsidR="00891A96" w:rsidRPr="00EB2995" w:rsidRDefault="00891A96" w:rsidP="00891A96">
            <w:pPr>
              <w:jc w:val="center"/>
              <w:rPr>
                <w:rFonts w:cs="Calibri"/>
                <w:color w:val="000000"/>
                <w:sz w:val="20"/>
                <w:lang w:eastAsia="en-GB"/>
              </w:rPr>
            </w:pPr>
            <w:r w:rsidRPr="00EB2995">
              <w:rPr>
                <w:rFonts w:cs="Calibri"/>
                <w:bCs/>
                <w:color w:val="000000"/>
                <w:sz w:val="20"/>
              </w:rPr>
              <w:t>17.1</w:t>
            </w:r>
          </w:p>
        </w:tc>
        <w:tc>
          <w:tcPr>
            <w:tcW w:w="517" w:type="pct"/>
            <w:noWrap/>
            <w:vAlign w:val="center"/>
          </w:tcPr>
          <w:p w:rsidR="00891A96" w:rsidRPr="00EB2995" w:rsidRDefault="00891A96" w:rsidP="00891A96">
            <w:pPr>
              <w:jc w:val="center"/>
              <w:rPr>
                <w:rFonts w:cs="Calibri"/>
                <w:color w:val="000000"/>
                <w:sz w:val="20"/>
                <w:lang w:eastAsia="en-GB"/>
              </w:rPr>
            </w:pPr>
            <w:r w:rsidRPr="00EB2995">
              <w:rPr>
                <w:rFonts w:cs="Calibri"/>
                <w:bCs/>
                <w:color w:val="000000"/>
                <w:sz w:val="20"/>
              </w:rPr>
              <w:t>0.0</w:t>
            </w:r>
          </w:p>
        </w:tc>
        <w:tc>
          <w:tcPr>
            <w:tcW w:w="386" w:type="pct"/>
            <w:noWrap/>
            <w:vAlign w:val="center"/>
          </w:tcPr>
          <w:p w:rsidR="00891A96" w:rsidRPr="00EB2995" w:rsidRDefault="00891A96" w:rsidP="00891A96">
            <w:pPr>
              <w:jc w:val="center"/>
              <w:rPr>
                <w:rFonts w:cs="Calibri"/>
                <w:color w:val="000000"/>
                <w:sz w:val="20"/>
                <w:lang w:eastAsia="en-GB"/>
              </w:rPr>
            </w:pPr>
            <w:r w:rsidRPr="00EB2995">
              <w:rPr>
                <w:rFonts w:cs="Calibri"/>
                <w:bCs/>
                <w:color w:val="000000"/>
                <w:sz w:val="20"/>
              </w:rPr>
              <w:t>0.0</w:t>
            </w:r>
          </w:p>
        </w:tc>
        <w:tc>
          <w:tcPr>
            <w:tcW w:w="501" w:type="pct"/>
            <w:vAlign w:val="center"/>
          </w:tcPr>
          <w:p w:rsidR="00891A96" w:rsidRPr="00EB2995" w:rsidRDefault="00891A96" w:rsidP="00891A96">
            <w:pPr>
              <w:jc w:val="center"/>
              <w:rPr>
                <w:rFonts w:cs="Calibri"/>
                <w:color w:val="000000"/>
                <w:sz w:val="20"/>
                <w:lang w:eastAsia="en-GB"/>
              </w:rPr>
            </w:pPr>
            <w:r w:rsidRPr="00EB2995">
              <w:rPr>
                <w:rFonts w:cs="Calibri"/>
                <w:bCs/>
                <w:color w:val="000000"/>
                <w:sz w:val="20"/>
              </w:rPr>
              <w:t>(2.2)</w:t>
            </w:r>
          </w:p>
        </w:tc>
        <w:tc>
          <w:tcPr>
            <w:tcW w:w="289" w:type="pct"/>
            <w:vAlign w:val="center"/>
          </w:tcPr>
          <w:p w:rsidR="00891A96" w:rsidRPr="00EB2995" w:rsidRDefault="00891A96" w:rsidP="00891A96">
            <w:pPr>
              <w:jc w:val="center"/>
              <w:rPr>
                <w:rFonts w:cs="Calibri"/>
                <w:color w:val="000000"/>
                <w:sz w:val="20"/>
                <w:lang w:eastAsia="en-GB"/>
              </w:rPr>
            </w:pPr>
            <w:r w:rsidRPr="00EB2995">
              <w:rPr>
                <w:rFonts w:cs="Calibri"/>
                <w:bCs/>
                <w:color w:val="000000"/>
                <w:sz w:val="20"/>
              </w:rPr>
              <w:t>0.0</w:t>
            </w:r>
          </w:p>
        </w:tc>
        <w:tc>
          <w:tcPr>
            <w:tcW w:w="603" w:type="pct"/>
            <w:noWrap/>
            <w:vAlign w:val="center"/>
          </w:tcPr>
          <w:p w:rsidR="00891A96" w:rsidRPr="00EB2995" w:rsidRDefault="00891A96" w:rsidP="00891A96">
            <w:pPr>
              <w:jc w:val="center"/>
              <w:rPr>
                <w:rFonts w:cs="Calibri"/>
                <w:color w:val="000000"/>
                <w:sz w:val="20"/>
                <w:lang w:eastAsia="en-GB"/>
              </w:rPr>
            </w:pPr>
            <w:r w:rsidRPr="00EB2995">
              <w:rPr>
                <w:rFonts w:cs="Calibri"/>
                <w:bCs/>
                <w:color w:val="000000"/>
                <w:sz w:val="20"/>
              </w:rPr>
              <w:t>3.3</w:t>
            </w:r>
          </w:p>
        </w:tc>
        <w:tc>
          <w:tcPr>
            <w:tcW w:w="482" w:type="pct"/>
            <w:vAlign w:val="center"/>
          </w:tcPr>
          <w:p w:rsidR="00891A96" w:rsidRPr="00EB2995" w:rsidRDefault="00891A96" w:rsidP="00891A96">
            <w:pPr>
              <w:jc w:val="center"/>
              <w:rPr>
                <w:rFonts w:cs="Calibri"/>
                <w:color w:val="000000"/>
                <w:sz w:val="20"/>
              </w:rPr>
            </w:pPr>
            <w:r w:rsidRPr="00EB2995">
              <w:rPr>
                <w:rFonts w:cs="Calibri"/>
                <w:bCs/>
                <w:color w:val="000000"/>
                <w:sz w:val="20"/>
              </w:rPr>
              <w:t>18.2</w:t>
            </w:r>
          </w:p>
        </w:tc>
      </w:tr>
      <w:tr w:rsidR="00891A96" w:rsidRPr="00EB2995" w:rsidTr="00891A96">
        <w:trPr>
          <w:trHeight w:val="315"/>
        </w:trPr>
        <w:tc>
          <w:tcPr>
            <w:tcW w:w="1542" w:type="pct"/>
            <w:noWrap/>
            <w:vAlign w:val="center"/>
          </w:tcPr>
          <w:p w:rsidR="00891A96" w:rsidRPr="00EB2995" w:rsidRDefault="00891A96" w:rsidP="00891A96">
            <w:pPr>
              <w:rPr>
                <w:rFonts w:cs="Calibri"/>
                <w:color w:val="000000"/>
                <w:sz w:val="20"/>
                <w:lang w:eastAsia="en-GB"/>
              </w:rPr>
            </w:pPr>
            <w:r w:rsidRPr="00EB2995">
              <w:rPr>
                <w:rFonts w:cs="Calibri"/>
                <w:color w:val="000000"/>
                <w:sz w:val="20"/>
              </w:rPr>
              <w:t xml:space="preserve">Financing and investment income &amp; expenditure </w:t>
            </w:r>
          </w:p>
        </w:tc>
        <w:tc>
          <w:tcPr>
            <w:tcW w:w="678" w:type="pct"/>
            <w:noWrap/>
            <w:vAlign w:val="center"/>
          </w:tcPr>
          <w:p w:rsidR="00891A96" w:rsidRPr="00EB2995" w:rsidRDefault="00891A96" w:rsidP="00891A96">
            <w:pPr>
              <w:jc w:val="center"/>
              <w:rPr>
                <w:rFonts w:cs="Calibri"/>
                <w:color w:val="000000"/>
                <w:sz w:val="20"/>
                <w:lang w:eastAsia="en-GB"/>
              </w:rPr>
            </w:pPr>
            <w:r w:rsidRPr="00EB2995">
              <w:rPr>
                <w:rFonts w:cs="Calibri"/>
                <w:color w:val="000000"/>
                <w:sz w:val="20"/>
              </w:rPr>
              <w:t>36.0</w:t>
            </w:r>
          </w:p>
        </w:tc>
        <w:tc>
          <w:tcPr>
            <w:tcW w:w="517" w:type="pct"/>
            <w:noWrap/>
            <w:vAlign w:val="center"/>
          </w:tcPr>
          <w:p w:rsidR="00891A96" w:rsidRPr="00EB2995" w:rsidRDefault="00891A96" w:rsidP="00891A96">
            <w:pPr>
              <w:jc w:val="center"/>
              <w:rPr>
                <w:rFonts w:cs="Calibri"/>
                <w:color w:val="000000"/>
                <w:sz w:val="20"/>
                <w:lang w:eastAsia="en-GB"/>
              </w:rPr>
            </w:pPr>
            <w:r w:rsidRPr="00EB2995">
              <w:rPr>
                <w:rFonts w:cs="Calibri"/>
                <w:color w:val="000000"/>
                <w:sz w:val="20"/>
              </w:rPr>
              <w:t>1.1</w:t>
            </w:r>
          </w:p>
        </w:tc>
        <w:tc>
          <w:tcPr>
            <w:tcW w:w="386" w:type="pct"/>
            <w:noWrap/>
            <w:vAlign w:val="center"/>
          </w:tcPr>
          <w:p w:rsidR="00891A96" w:rsidRPr="00EB2995" w:rsidRDefault="00891A96" w:rsidP="00891A96">
            <w:pPr>
              <w:jc w:val="center"/>
              <w:rPr>
                <w:rFonts w:cs="Calibri"/>
                <w:color w:val="000000"/>
                <w:sz w:val="20"/>
                <w:lang w:eastAsia="en-GB"/>
              </w:rPr>
            </w:pPr>
            <w:r w:rsidRPr="00EB2995">
              <w:rPr>
                <w:rFonts w:cs="Calibri"/>
                <w:color w:val="000000"/>
                <w:sz w:val="20"/>
              </w:rPr>
              <w:t>0.0</w:t>
            </w:r>
          </w:p>
        </w:tc>
        <w:tc>
          <w:tcPr>
            <w:tcW w:w="501" w:type="pct"/>
            <w:vAlign w:val="center"/>
          </w:tcPr>
          <w:p w:rsidR="00891A96" w:rsidRPr="00EB2995" w:rsidRDefault="00891A96" w:rsidP="00891A96">
            <w:pPr>
              <w:jc w:val="center"/>
              <w:rPr>
                <w:rFonts w:cs="Calibri"/>
                <w:color w:val="000000"/>
                <w:sz w:val="20"/>
                <w:lang w:eastAsia="en-GB"/>
              </w:rPr>
            </w:pPr>
            <w:r w:rsidRPr="00EB2995">
              <w:rPr>
                <w:rFonts w:cs="Calibri"/>
                <w:color w:val="000000"/>
                <w:sz w:val="20"/>
              </w:rPr>
              <w:t>2.3</w:t>
            </w:r>
          </w:p>
        </w:tc>
        <w:tc>
          <w:tcPr>
            <w:tcW w:w="289" w:type="pct"/>
            <w:vAlign w:val="center"/>
          </w:tcPr>
          <w:p w:rsidR="00891A96" w:rsidRPr="00EB2995" w:rsidRDefault="00891A96" w:rsidP="00891A96">
            <w:pPr>
              <w:jc w:val="center"/>
              <w:rPr>
                <w:rFonts w:cs="Calibri"/>
                <w:color w:val="000000"/>
                <w:sz w:val="20"/>
                <w:lang w:eastAsia="en-GB"/>
              </w:rPr>
            </w:pPr>
            <w:r w:rsidRPr="00EB2995">
              <w:rPr>
                <w:rFonts w:cs="Calibri"/>
                <w:color w:val="000000"/>
                <w:sz w:val="20"/>
              </w:rPr>
              <w:t>0.0</w:t>
            </w:r>
          </w:p>
        </w:tc>
        <w:tc>
          <w:tcPr>
            <w:tcW w:w="603" w:type="pct"/>
            <w:noWrap/>
            <w:vAlign w:val="center"/>
          </w:tcPr>
          <w:p w:rsidR="00891A96" w:rsidRPr="00EB2995" w:rsidRDefault="00891A96" w:rsidP="00891A96">
            <w:pPr>
              <w:jc w:val="center"/>
              <w:rPr>
                <w:rFonts w:cs="Calibri"/>
                <w:color w:val="000000"/>
                <w:sz w:val="20"/>
                <w:lang w:eastAsia="en-GB"/>
              </w:rPr>
            </w:pPr>
            <w:r w:rsidRPr="00EB2995">
              <w:rPr>
                <w:rFonts w:cs="Calibri"/>
                <w:color w:val="000000"/>
                <w:sz w:val="20"/>
              </w:rPr>
              <w:t>0.0</w:t>
            </w:r>
          </w:p>
        </w:tc>
        <w:tc>
          <w:tcPr>
            <w:tcW w:w="482" w:type="pct"/>
            <w:vAlign w:val="center"/>
          </w:tcPr>
          <w:p w:rsidR="00891A96" w:rsidRPr="00EB2995" w:rsidRDefault="00891A96" w:rsidP="00891A96">
            <w:pPr>
              <w:jc w:val="center"/>
              <w:rPr>
                <w:rFonts w:cs="Calibri"/>
                <w:color w:val="000000"/>
                <w:sz w:val="20"/>
              </w:rPr>
            </w:pPr>
            <w:r w:rsidRPr="00EB2995">
              <w:rPr>
                <w:rFonts w:cs="Calibri"/>
                <w:color w:val="000000"/>
                <w:sz w:val="20"/>
              </w:rPr>
              <w:t>39.4</w:t>
            </w:r>
          </w:p>
        </w:tc>
      </w:tr>
      <w:tr w:rsidR="00891A96" w:rsidRPr="00EB2995" w:rsidTr="00891A96">
        <w:trPr>
          <w:trHeight w:val="315"/>
        </w:trPr>
        <w:tc>
          <w:tcPr>
            <w:tcW w:w="1542" w:type="pct"/>
            <w:noWrap/>
            <w:vAlign w:val="center"/>
          </w:tcPr>
          <w:p w:rsidR="00891A96" w:rsidRPr="00EB2995" w:rsidRDefault="00891A96" w:rsidP="00891A96">
            <w:pPr>
              <w:rPr>
                <w:rFonts w:cs="Calibri"/>
                <w:color w:val="000000"/>
                <w:sz w:val="20"/>
                <w:lang w:eastAsia="en-GB"/>
              </w:rPr>
            </w:pPr>
            <w:r w:rsidRPr="00EB2995">
              <w:rPr>
                <w:rFonts w:cs="Calibri"/>
                <w:color w:val="000000"/>
                <w:sz w:val="20"/>
              </w:rPr>
              <w:t xml:space="preserve">Taxation and non-specific grant income </w:t>
            </w:r>
          </w:p>
        </w:tc>
        <w:tc>
          <w:tcPr>
            <w:tcW w:w="678" w:type="pct"/>
            <w:noWrap/>
            <w:vAlign w:val="center"/>
          </w:tcPr>
          <w:p w:rsidR="00891A96" w:rsidRPr="00EB2995" w:rsidRDefault="00891A96" w:rsidP="00891A96">
            <w:pPr>
              <w:jc w:val="center"/>
              <w:rPr>
                <w:rFonts w:cs="Calibri"/>
                <w:color w:val="000000"/>
                <w:sz w:val="20"/>
                <w:lang w:eastAsia="en-GB"/>
              </w:rPr>
            </w:pPr>
            <w:r w:rsidRPr="00EB2995">
              <w:rPr>
                <w:rFonts w:cs="Calibri"/>
                <w:color w:val="000000"/>
                <w:sz w:val="20"/>
              </w:rPr>
              <w:t>(328.6)</w:t>
            </w:r>
          </w:p>
        </w:tc>
        <w:tc>
          <w:tcPr>
            <w:tcW w:w="517" w:type="pct"/>
            <w:noWrap/>
            <w:vAlign w:val="center"/>
          </w:tcPr>
          <w:p w:rsidR="00891A96" w:rsidRPr="00EB2995" w:rsidRDefault="00891A96" w:rsidP="00891A96">
            <w:pPr>
              <w:jc w:val="center"/>
              <w:rPr>
                <w:rFonts w:cs="Calibri"/>
                <w:color w:val="000000"/>
                <w:sz w:val="20"/>
                <w:lang w:eastAsia="en-GB"/>
              </w:rPr>
            </w:pPr>
            <w:r w:rsidRPr="00EB2995">
              <w:rPr>
                <w:rFonts w:cs="Calibri"/>
                <w:color w:val="000000"/>
                <w:sz w:val="20"/>
              </w:rPr>
              <w:t>0.1</w:t>
            </w:r>
          </w:p>
        </w:tc>
        <w:tc>
          <w:tcPr>
            <w:tcW w:w="386" w:type="pct"/>
            <w:noWrap/>
            <w:vAlign w:val="center"/>
          </w:tcPr>
          <w:p w:rsidR="00891A96" w:rsidRPr="00EB2995" w:rsidRDefault="00891A96" w:rsidP="00891A96">
            <w:pPr>
              <w:jc w:val="center"/>
              <w:rPr>
                <w:rFonts w:cs="Calibri"/>
                <w:color w:val="000000"/>
                <w:sz w:val="20"/>
                <w:lang w:eastAsia="en-GB"/>
              </w:rPr>
            </w:pPr>
            <w:r w:rsidRPr="00EB2995">
              <w:rPr>
                <w:rFonts w:cs="Calibri"/>
                <w:color w:val="000000"/>
                <w:sz w:val="20"/>
              </w:rPr>
              <w:t>0.0</w:t>
            </w:r>
          </w:p>
        </w:tc>
        <w:tc>
          <w:tcPr>
            <w:tcW w:w="501" w:type="pct"/>
            <w:vAlign w:val="center"/>
          </w:tcPr>
          <w:p w:rsidR="00891A96" w:rsidRPr="00EB2995" w:rsidRDefault="00891A96" w:rsidP="00891A96">
            <w:pPr>
              <w:jc w:val="center"/>
              <w:rPr>
                <w:rFonts w:cs="Calibri"/>
                <w:color w:val="000000"/>
                <w:sz w:val="20"/>
                <w:lang w:eastAsia="en-GB"/>
              </w:rPr>
            </w:pPr>
            <w:r w:rsidRPr="00EB2995">
              <w:rPr>
                <w:rFonts w:cs="Calibri"/>
                <w:color w:val="000000"/>
                <w:sz w:val="20"/>
              </w:rPr>
              <w:t>0.0</w:t>
            </w:r>
          </w:p>
        </w:tc>
        <w:tc>
          <w:tcPr>
            <w:tcW w:w="289" w:type="pct"/>
            <w:vAlign w:val="center"/>
          </w:tcPr>
          <w:p w:rsidR="00891A96" w:rsidRPr="00EB2995" w:rsidRDefault="00891A96" w:rsidP="00891A96">
            <w:pPr>
              <w:jc w:val="center"/>
              <w:rPr>
                <w:rFonts w:cs="Calibri"/>
                <w:color w:val="000000"/>
                <w:sz w:val="20"/>
                <w:lang w:eastAsia="en-GB"/>
              </w:rPr>
            </w:pPr>
            <w:r w:rsidRPr="00EB2995">
              <w:rPr>
                <w:rFonts w:cs="Calibri"/>
                <w:color w:val="000000"/>
                <w:sz w:val="20"/>
              </w:rPr>
              <w:t>0.0</w:t>
            </w:r>
          </w:p>
        </w:tc>
        <w:tc>
          <w:tcPr>
            <w:tcW w:w="603" w:type="pct"/>
            <w:noWrap/>
            <w:vAlign w:val="center"/>
          </w:tcPr>
          <w:p w:rsidR="00891A96" w:rsidRPr="00EB2995" w:rsidRDefault="00891A96" w:rsidP="00891A96">
            <w:pPr>
              <w:jc w:val="center"/>
              <w:rPr>
                <w:rFonts w:cs="Calibri"/>
                <w:color w:val="000000"/>
                <w:sz w:val="20"/>
                <w:lang w:eastAsia="en-GB"/>
              </w:rPr>
            </w:pPr>
            <w:r w:rsidRPr="00EB2995">
              <w:rPr>
                <w:rFonts w:cs="Calibri"/>
                <w:color w:val="000000"/>
                <w:sz w:val="20"/>
              </w:rPr>
              <w:t>0.0</w:t>
            </w:r>
          </w:p>
        </w:tc>
        <w:tc>
          <w:tcPr>
            <w:tcW w:w="482" w:type="pct"/>
            <w:vAlign w:val="center"/>
          </w:tcPr>
          <w:p w:rsidR="00891A96" w:rsidRPr="00EB2995" w:rsidRDefault="00891A96" w:rsidP="00891A96">
            <w:pPr>
              <w:jc w:val="center"/>
              <w:rPr>
                <w:rFonts w:cs="Calibri"/>
                <w:color w:val="000000"/>
                <w:sz w:val="20"/>
              </w:rPr>
            </w:pPr>
            <w:r w:rsidRPr="00EB2995">
              <w:rPr>
                <w:rFonts w:cs="Calibri"/>
                <w:color w:val="000000"/>
                <w:sz w:val="20"/>
              </w:rPr>
              <w:t>(328.5)</w:t>
            </w:r>
          </w:p>
        </w:tc>
      </w:tr>
      <w:tr w:rsidR="00891A96" w:rsidRPr="00EB2995" w:rsidTr="00891A96">
        <w:trPr>
          <w:trHeight w:val="315"/>
        </w:trPr>
        <w:tc>
          <w:tcPr>
            <w:tcW w:w="1542" w:type="pct"/>
            <w:noWrap/>
            <w:vAlign w:val="center"/>
          </w:tcPr>
          <w:p w:rsidR="00891A96" w:rsidRPr="00EB2995" w:rsidRDefault="00891A96" w:rsidP="00891A96">
            <w:pPr>
              <w:rPr>
                <w:rFonts w:cs="Calibri"/>
                <w:color w:val="000000"/>
                <w:sz w:val="20"/>
                <w:lang w:eastAsia="en-GB"/>
              </w:rPr>
            </w:pPr>
            <w:r w:rsidRPr="00EB2995">
              <w:rPr>
                <w:rFonts w:cs="Calibri"/>
                <w:color w:val="000000"/>
                <w:sz w:val="20"/>
              </w:rPr>
              <w:t>(Surplus) or deficit on revaluation of Property, Plant and Equipment assets</w:t>
            </w:r>
          </w:p>
        </w:tc>
        <w:tc>
          <w:tcPr>
            <w:tcW w:w="678" w:type="pct"/>
            <w:noWrap/>
            <w:vAlign w:val="center"/>
          </w:tcPr>
          <w:p w:rsidR="00891A96" w:rsidRPr="00EB2995" w:rsidRDefault="00891A96" w:rsidP="00891A96">
            <w:pPr>
              <w:jc w:val="center"/>
              <w:rPr>
                <w:rFonts w:cs="Calibri"/>
                <w:color w:val="000000"/>
                <w:sz w:val="20"/>
                <w:lang w:eastAsia="en-GB"/>
              </w:rPr>
            </w:pPr>
            <w:r w:rsidRPr="00EB2995">
              <w:rPr>
                <w:rFonts w:cs="Calibri"/>
                <w:color w:val="000000"/>
                <w:sz w:val="20"/>
              </w:rPr>
              <w:t>(98.9)</w:t>
            </w:r>
          </w:p>
        </w:tc>
        <w:tc>
          <w:tcPr>
            <w:tcW w:w="517" w:type="pct"/>
            <w:noWrap/>
            <w:vAlign w:val="center"/>
          </w:tcPr>
          <w:p w:rsidR="00891A96" w:rsidRPr="00EB2995" w:rsidRDefault="00891A96" w:rsidP="00891A96">
            <w:pPr>
              <w:jc w:val="center"/>
              <w:rPr>
                <w:rFonts w:cs="Calibri"/>
                <w:color w:val="000000"/>
                <w:sz w:val="20"/>
                <w:lang w:eastAsia="en-GB"/>
              </w:rPr>
            </w:pPr>
            <w:r w:rsidRPr="00EB2995">
              <w:rPr>
                <w:rFonts w:cs="Calibri"/>
                <w:color w:val="000000"/>
                <w:sz w:val="20"/>
              </w:rPr>
              <w:t>0.6</w:t>
            </w:r>
          </w:p>
        </w:tc>
        <w:tc>
          <w:tcPr>
            <w:tcW w:w="386" w:type="pct"/>
            <w:noWrap/>
            <w:vAlign w:val="center"/>
          </w:tcPr>
          <w:p w:rsidR="00891A96" w:rsidRPr="00EB2995" w:rsidRDefault="00891A96" w:rsidP="00891A96">
            <w:pPr>
              <w:jc w:val="center"/>
              <w:rPr>
                <w:rFonts w:cs="Calibri"/>
                <w:color w:val="000000"/>
                <w:sz w:val="20"/>
                <w:lang w:eastAsia="en-GB"/>
              </w:rPr>
            </w:pPr>
            <w:r w:rsidRPr="00EB2995">
              <w:rPr>
                <w:rFonts w:cs="Calibri"/>
                <w:color w:val="000000"/>
                <w:sz w:val="20"/>
              </w:rPr>
              <w:t>0.0</w:t>
            </w:r>
          </w:p>
        </w:tc>
        <w:tc>
          <w:tcPr>
            <w:tcW w:w="501" w:type="pct"/>
            <w:vAlign w:val="center"/>
          </w:tcPr>
          <w:p w:rsidR="00891A96" w:rsidRPr="00EB2995" w:rsidRDefault="00891A96" w:rsidP="00891A96">
            <w:pPr>
              <w:jc w:val="center"/>
              <w:rPr>
                <w:rFonts w:cs="Calibri"/>
                <w:color w:val="000000"/>
                <w:sz w:val="20"/>
                <w:lang w:eastAsia="en-GB"/>
              </w:rPr>
            </w:pPr>
            <w:r w:rsidRPr="00EB2995">
              <w:rPr>
                <w:rFonts w:cs="Calibri"/>
                <w:color w:val="000000"/>
                <w:sz w:val="20"/>
              </w:rPr>
              <w:t>0.0</w:t>
            </w:r>
          </w:p>
        </w:tc>
        <w:tc>
          <w:tcPr>
            <w:tcW w:w="289" w:type="pct"/>
            <w:vAlign w:val="center"/>
          </w:tcPr>
          <w:p w:rsidR="00891A96" w:rsidRPr="00EB2995" w:rsidRDefault="00891A96" w:rsidP="00891A96">
            <w:pPr>
              <w:jc w:val="center"/>
              <w:rPr>
                <w:rFonts w:cs="Calibri"/>
                <w:color w:val="000000"/>
                <w:sz w:val="20"/>
                <w:lang w:eastAsia="en-GB"/>
              </w:rPr>
            </w:pPr>
            <w:r w:rsidRPr="00EB2995">
              <w:rPr>
                <w:rFonts w:cs="Calibri"/>
                <w:color w:val="000000"/>
                <w:sz w:val="20"/>
              </w:rPr>
              <w:t>0.0</w:t>
            </w:r>
          </w:p>
        </w:tc>
        <w:tc>
          <w:tcPr>
            <w:tcW w:w="603" w:type="pct"/>
            <w:noWrap/>
            <w:vAlign w:val="center"/>
          </w:tcPr>
          <w:p w:rsidR="00891A96" w:rsidRPr="00EB2995" w:rsidRDefault="00891A96" w:rsidP="00891A96">
            <w:pPr>
              <w:jc w:val="center"/>
              <w:rPr>
                <w:rFonts w:cs="Calibri"/>
                <w:color w:val="000000"/>
                <w:sz w:val="20"/>
                <w:lang w:eastAsia="en-GB"/>
              </w:rPr>
            </w:pPr>
            <w:r w:rsidRPr="00EB2995">
              <w:rPr>
                <w:rFonts w:cs="Calibri"/>
                <w:color w:val="000000"/>
                <w:sz w:val="20"/>
              </w:rPr>
              <w:t>0.0</w:t>
            </w:r>
          </w:p>
        </w:tc>
        <w:tc>
          <w:tcPr>
            <w:tcW w:w="482" w:type="pct"/>
            <w:vAlign w:val="center"/>
          </w:tcPr>
          <w:p w:rsidR="00891A96" w:rsidRPr="00EB2995" w:rsidRDefault="00891A96" w:rsidP="00891A96">
            <w:pPr>
              <w:jc w:val="center"/>
              <w:rPr>
                <w:rFonts w:cs="Calibri"/>
                <w:color w:val="000000"/>
                <w:sz w:val="20"/>
              </w:rPr>
            </w:pPr>
            <w:r w:rsidRPr="00EB2995">
              <w:rPr>
                <w:rFonts w:cs="Calibri"/>
                <w:color w:val="000000"/>
                <w:sz w:val="20"/>
              </w:rPr>
              <w:t>(98.3)</w:t>
            </w:r>
          </w:p>
        </w:tc>
      </w:tr>
      <w:tr w:rsidR="00891A96" w:rsidRPr="00EB2995" w:rsidTr="00891A96">
        <w:trPr>
          <w:trHeight w:val="315"/>
        </w:trPr>
        <w:tc>
          <w:tcPr>
            <w:tcW w:w="1542" w:type="pct"/>
            <w:noWrap/>
            <w:vAlign w:val="center"/>
          </w:tcPr>
          <w:p w:rsidR="00891A96" w:rsidRPr="00EB2995" w:rsidRDefault="00891A96" w:rsidP="00891A96">
            <w:pPr>
              <w:rPr>
                <w:rFonts w:cs="Calibri"/>
                <w:color w:val="000000"/>
                <w:sz w:val="20"/>
              </w:rPr>
            </w:pPr>
            <w:r w:rsidRPr="00EB2995">
              <w:rPr>
                <w:rFonts w:cs="Calibri"/>
                <w:color w:val="000000"/>
                <w:sz w:val="20"/>
              </w:rPr>
              <w:t>Net surplus or (deficit) on the provision of services</w:t>
            </w:r>
          </w:p>
        </w:tc>
        <w:tc>
          <w:tcPr>
            <w:tcW w:w="678" w:type="pct"/>
            <w:noWrap/>
            <w:vAlign w:val="center"/>
          </w:tcPr>
          <w:p w:rsidR="00891A96" w:rsidRPr="00EB2995" w:rsidRDefault="00891A96" w:rsidP="00891A96">
            <w:pPr>
              <w:jc w:val="center"/>
              <w:rPr>
                <w:rFonts w:cs="Calibri"/>
                <w:color w:val="000000"/>
                <w:sz w:val="20"/>
              </w:rPr>
            </w:pPr>
            <w:r w:rsidRPr="00EB2995">
              <w:rPr>
                <w:rFonts w:cs="Calibri"/>
                <w:color w:val="000000"/>
                <w:sz w:val="20"/>
              </w:rPr>
              <w:t>(54.7)</w:t>
            </w:r>
          </w:p>
        </w:tc>
        <w:tc>
          <w:tcPr>
            <w:tcW w:w="517" w:type="pct"/>
            <w:noWrap/>
            <w:vAlign w:val="center"/>
          </w:tcPr>
          <w:p w:rsidR="00891A96" w:rsidRPr="00EB2995" w:rsidRDefault="00891A96" w:rsidP="00891A96">
            <w:pPr>
              <w:jc w:val="center"/>
              <w:rPr>
                <w:rFonts w:cs="Calibri"/>
                <w:color w:val="000000"/>
                <w:sz w:val="20"/>
              </w:rPr>
            </w:pPr>
            <w:r w:rsidRPr="00EB2995">
              <w:rPr>
                <w:rFonts w:cs="Calibri"/>
                <w:color w:val="000000"/>
                <w:sz w:val="20"/>
              </w:rPr>
              <w:t>1.3</w:t>
            </w:r>
          </w:p>
        </w:tc>
        <w:tc>
          <w:tcPr>
            <w:tcW w:w="386" w:type="pct"/>
            <w:noWrap/>
            <w:vAlign w:val="center"/>
          </w:tcPr>
          <w:p w:rsidR="00891A96" w:rsidRPr="00EB2995" w:rsidRDefault="00891A96" w:rsidP="00891A96">
            <w:pPr>
              <w:jc w:val="center"/>
              <w:rPr>
                <w:rFonts w:cs="Calibri"/>
                <w:color w:val="000000"/>
                <w:sz w:val="20"/>
              </w:rPr>
            </w:pPr>
            <w:r w:rsidRPr="00EB2995">
              <w:rPr>
                <w:rFonts w:cs="Calibri"/>
                <w:color w:val="000000"/>
                <w:sz w:val="20"/>
              </w:rPr>
              <w:t>0.0</w:t>
            </w:r>
          </w:p>
        </w:tc>
        <w:tc>
          <w:tcPr>
            <w:tcW w:w="501" w:type="pct"/>
            <w:vAlign w:val="center"/>
          </w:tcPr>
          <w:p w:rsidR="00891A96" w:rsidRPr="00EB2995" w:rsidRDefault="00891A96" w:rsidP="00891A96">
            <w:pPr>
              <w:jc w:val="center"/>
              <w:rPr>
                <w:rFonts w:cs="Calibri"/>
                <w:color w:val="000000"/>
                <w:sz w:val="20"/>
              </w:rPr>
            </w:pPr>
            <w:r w:rsidRPr="00EB2995">
              <w:rPr>
                <w:rFonts w:cs="Calibri"/>
                <w:color w:val="000000"/>
                <w:sz w:val="20"/>
              </w:rPr>
              <w:t>(0.1)</w:t>
            </w:r>
          </w:p>
        </w:tc>
        <w:tc>
          <w:tcPr>
            <w:tcW w:w="289" w:type="pct"/>
            <w:vAlign w:val="center"/>
          </w:tcPr>
          <w:p w:rsidR="00891A96" w:rsidRPr="00EB2995" w:rsidRDefault="00891A96" w:rsidP="00891A96">
            <w:pPr>
              <w:jc w:val="center"/>
              <w:rPr>
                <w:rFonts w:cs="Calibri"/>
                <w:color w:val="000000"/>
                <w:sz w:val="20"/>
              </w:rPr>
            </w:pPr>
            <w:r w:rsidRPr="00EB2995">
              <w:rPr>
                <w:rFonts w:cs="Calibri"/>
                <w:color w:val="000000"/>
                <w:sz w:val="20"/>
              </w:rPr>
              <w:t>0.0</w:t>
            </w:r>
          </w:p>
        </w:tc>
        <w:tc>
          <w:tcPr>
            <w:tcW w:w="603" w:type="pct"/>
            <w:noWrap/>
            <w:vAlign w:val="center"/>
          </w:tcPr>
          <w:p w:rsidR="00891A96" w:rsidRPr="00EB2995" w:rsidRDefault="00891A96" w:rsidP="00891A96">
            <w:pPr>
              <w:jc w:val="center"/>
              <w:rPr>
                <w:rFonts w:cs="Calibri"/>
                <w:color w:val="000000"/>
                <w:sz w:val="20"/>
              </w:rPr>
            </w:pPr>
            <w:r w:rsidRPr="00EB2995">
              <w:rPr>
                <w:rFonts w:cs="Calibri"/>
                <w:color w:val="000000"/>
                <w:sz w:val="20"/>
              </w:rPr>
              <w:t>(3.3)</w:t>
            </w:r>
          </w:p>
        </w:tc>
        <w:tc>
          <w:tcPr>
            <w:tcW w:w="482" w:type="pct"/>
            <w:vAlign w:val="center"/>
          </w:tcPr>
          <w:p w:rsidR="00891A96" w:rsidRPr="00EB2995" w:rsidRDefault="00891A96" w:rsidP="00891A96">
            <w:pPr>
              <w:jc w:val="center"/>
              <w:rPr>
                <w:rFonts w:cs="Calibri"/>
                <w:color w:val="000000"/>
                <w:sz w:val="20"/>
              </w:rPr>
            </w:pPr>
            <w:r w:rsidRPr="00EB2995">
              <w:rPr>
                <w:rFonts w:cs="Calibri"/>
                <w:color w:val="000000"/>
                <w:sz w:val="20"/>
              </w:rPr>
              <w:t>(56.8)</w:t>
            </w:r>
          </w:p>
        </w:tc>
      </w:tr>
      <w:tr w:rsidR="00891A96" w:rsidRPr="00EB2995" w:rsidTr="00891A96">
        <w:trPr>
          <w:trHeight w:val="315"/>
        </w:trPr>
        <w:tc>
          <w:tcPr>
            <w:tcW w:w="1542" w:type="pct"/>
            <w:noWrap/>
            <w:vAlign w:val="center"/>
          </w:tcPr>
          <w:p w:rsidR="00891A96" w:rsidRPr="00EB2995" w:rsidRDefault="00891A96" w:rsidP="00891A96">
            <w:pPr>
              <w:rPr>
                <w:rFonts w:cs="Calibri"/>
                <w:color w:val="000000"/>
                <w:sz w:val="20"/>
              </w:rPr>
            </w:pPr>
            <w:r w:rsidRPr="00EB2995">
              <w:rPr>
                <w:rFonts w:cs="Calibri"/>
                <w:color w:val="000000"/>
                <w:sz w:val="20"/>
              </w:rPr>
              <w:t>Adjustments for non-cash movements</w:t>
            </w:r>
          </w:p>
        </w:tc>
        <w:tc>
          <w:tcPr>
            <w:tcW w:w="678" w:type="pct"/>
            <w:noWrap/>
            <w:vAlign w:val="center"/>
          </w:tcPr>
          <w:p w:rsidR="00891A96" w:rsidRPr="00EB2995" w:rsidRDefault="00891A96" w:rsidP="00891A96">
            <w:pPr>
              <w:jc w:val="center"/>
              <w:rPr>
                <w:rFonts w:cs="Calibri"/>
                <w:color w:val="000000"/>
                <w:sz w:val="20"/>
              </w:rPr>
            </w:pPr>
            <w:r w:rsidRPr="00EB2995">
              <w:rPr>
                <w:rFonts w:cs="Calibri"/>
                <w:color w:val="000000"/>
                <w:sz w:val="20"/>
              </w:rPr>
              <w:t>122.1</w:t>
            </w:r>
          </w:p>
        </w:tc>
        <w:tc>
          <w:tcPr>
            <w:tcW w:w="517" w:type="pct"/>
            <w:noWrap/>
            <w:vAlign w:val="center"/>
          </w:tcPr>
          <w:p w:rsidR="00891A96" w:rsidRPr="00EB2995" w:rsidRDefault="00891A96" w:rsidP="00891A96">
            <w:pPr>
              <w:jc w:val="center"/>
              <w:rPr>
                <w:rFonts w:cs="Calibri"/>
                <w:color w:val="000000"/>
                <w:sz w:val="20"/>
              </w:rPr>
            </w:pPr>
            <w:r w:rsidRPr="00EB2995">
              <w:rPr>
                <w:rFonts w:cs="Calibri"/>
                <w:color w:val="000000"/>
                <w:sz w:val="20"/>
              </w:rPr>
              <w:t>1.1</w:t>
            </w:r>
          </w:p>
        </w:tc>
        <w:tc>
          <w:tcPr>
            <w:tcW w:w="386" w:type="pct"/>
            <w:noWrap/>
            <w:vAlign w:val="center"/>
          </w:tcPr>
          <w:p w:rsidR="00891A96" w:rsidRPr="00EB2995" w:rsidRDefault="00891A96" w:rsidP="00891A96">
            <w:pPr>
              <w:jc w:val="center"/>
              <w:rPr>
                <w:rFonts w:cs="Calibri"/>
                <w:color w:val="000000"/>
                <w:sz w:val="20"/>
              </w:rPr>
            </w:pPr>
            <w:r w:rsidRPr="00EB2995">
              <w:rPr>
                <w:rFonts w:cs="Calibri"/>
                <w:color w:val="000000"/>
                <w:sz w:val="20"/>
              </w:rPr>
              <w:t>0.0</w:t>
            </w:r>
          </w:p>
        </w:tc>
        <w:tc>
          <w:tcPr>
            <w:tcW w:w="501" w:type="pct"/>
            <w:vAlign w:val="center"/>
          </w:tcPr>
          <w:p w:rsidR="00891A96" w:rsidRPr="00EB2995" w:rsidRDefault="00891A96" w:rsidP="00891A96">
            <w:pPr>
              <w:jc w:val="center"/>
              <w:rPr>
                <w:rFonts w:cs="Calibri"/>
                <w:color w:val="000000"/>
                <w:sz w:val="20"/>
              </w:rPr>
            </w:pPr>
            <w:r w:rsidRPr="00EB2995">
              <w:rPr>
                <w:rFonts w:cs="Calibri"/>
                <w:color w:val="000000"/>
                <w:sz w:val="20"/>
              </w:rPr>
              <w:t>(3.1)</w:t>
            </w:r>
          </w:p>
        </w:tc>
        <w:tc>
          <w:tcPr>
            <w:tcW w:w="289" w:type="pct"/>
            <w:vAlign w:val="center"/>
          </w:tcPr>
          <w:p w:rsidR="00891A96" w:rsidRPr="00EB2995" w:rsidRDefault="00891A96" w:rsidP="00891A96">
            <w:pPr>
              <w:jc w:val="center"/>
              <w:rPr>
                <w:rFonts w:cs="Calibri"/>
                <w:color w:val="000000"/>
                <w:sz w:val="20"/>
              </w:rPr>
            </w:pPr>
            <w:r w:rsidRPr="00EB2995">
              <w:rPr>
                <w:rFonts w:cs="Calibri"/>
                <w:color w:val="000000"/>
                <w:sz w:val="20"/>
              </w:rPr>
              <w:t>0.0</w:t>
            </w:r>
          </w:p>
        </w:tc>
        <w:tc>
          <w:tcPr>
            <w:tcW w:w="603" w:type="pct"/>
            <w:noWrap/>
            <w:vAlign w:val="center"/>
          </w:tcPr>
          <w:p w:rsidR="00891A96" w:rsidRPr="00EB2995" w:rsidRDefault="00891A96" w:rsidP="00891A96">
            <w:pPr>
              <w:jc w:val="center"/>
              <w:rPr>
                <w:rFonts w:cs="Calibri"/>
                <w:color w:val="000000"/>
                <w:sz w:val="20"/>
              </w:rPr>
            </w:pPr>
            <w:r w:rsidRPr="00EB2995">
              <w:rPr>
                <w:rFonts w:cs="Calibri"/>
                <w:color w:val="000000"/>
                <w:sz w:val="20"/>
              </w:rPr>
              <w:t>3.3</w:t>
            </w:r>
          </w:p>
        </w:tc>
        <w:tc>
          <w:tcPr>
            <w:tcW w:w="482" w:type="pct"/>
            <w:vAlign w:val="center"/>
          </w:tcPr>
          <w:p w:rsidR="00891A96" w:rsidRPr="00EB2995" w:rsidRDefault="00891A96" w:rsidP="00891A96">
            <w:pPr>
              <w:jc w:val="center"/>
              <w:rPr>
                <w:rFonts w:cs="Calibri"/>
                <w:color w:val="000000"/>
                <w:sz w:val="20"/>
              </w:rPr>
            </w:pPr>
            <w:r w:rsidRPr="00EB2995">
              <w:rPr>
                <w:rFonts w:cs="Calibri"/>
                <w:color w:val="000000"/>
                <w:sz w:val="20"/>
              </w:rPr>
              <w:t>123.4</w:t>
            </w:r>
          </w:p>
        </w:tc>
      </w:tr>
      <w:tr w:rsidR="00891A96" w:rsidRPr="00EB2995" w:rsidTr="00891A96">
        <w:trPr>
          <w:trHeight w:val="315"/>
        </w:trPr>
        <w:tc>
          <w:tcPr>
            <w:tcW w:w="1542" w:type="pct"/>
            <w:noWrap/>
            <w:vAlign w:val="center"/>
          </w:tcPr>
          <w:p w:rsidR="00891A96" w:rsidRPr="00EB2995" w:rsidRDefault="00891A96" w:rsidP="00891A96">
            <w:pPr>
              <w:rPr>
                <w:rFonts w:cs="Calibri"/>
                <w:color w:val="000000"/>
                <w:sz w:val="20"/>
              </w:rPr>
            </w:pPr>
            <w:r w:rsidRPr="00EB2995">
              <w:rPr>
                <w:rFonts w:cs="Calibri"/>
                <w:color w:val="000000"/>
                <w:sz w:val="20"/>
              </w:rPr>
              <w:t>Adjustments for investing and financing activities</w:t>
            </w:r>
          </w:p>
        </w:tc>
        <w:tc>
          <w:tcPr>
            <w:tcW w:w="678" w:type="pct"/>
            <w:noWrap/>
            <w:vAlign w:val="center"/>
          </w:tcPr>
          <w:p w:rsidR="00891A96" w:rsidRPr="00EB2995" w:rsidRDefault="00891A96" w:rsidP="00891A96">
            <w:pPr>
              <w:jc w:val="center"/>
              <w:rPr>
                <w:rFonts w:cs="Calibri"/>
                <w:color w:val="000000"/>
                <w:sz w:val="20"/>
              </w:rPr>
            </w:pPr>
            <w:r w:rsidRPr="00EB2995">
              <w:rPr>
                <w:rFonts w:cs="Calibri"/>
                <w:color w:val="000000"/>
                <w:sz w:val="20"/>
              </w:rPr>
              <w:t>71.9</w:t>
            </w:r>
          </w:p>
        </w:tc>
        <w:tc>
          <w:tcPr>
            <w:tcW w:w="517" w:type="pct"/>
            <w:noWrap/>
            <w:vAlign w:val="center"/>
          </w:tcPr>
          <w:p w:rsidR="00891A96" w:rsidRPr="00EB2995" w:rsidRDefault="00891A96" w:rsidP="00891A96">
            <w:pPr>
              <w:jc w:val="center"/>
              <w:rPr>
                <w:rFonts w:cs="Calibri"/>
                <w:color w:val="000000"/>
                <w:sz w:val="20"/>
              </w:rPr>
            </w:pPr>
            <w:r w:rsidRPr="00EB2995">
              <w:rPr>
                <w:rFonts w:cs="Calibri"/>
                <w:color w:val="000000"/>
                <w:sz w:val="20"/>
              </w:rPr>
              <w:t>(2.3)</w:t>
            </w:r>
          </w:p>
        </w:tc>
        <w:tc>
          <w:tcPr>
            <w:tcW w:w="386" w:type="pct"/>
            <w:noWrap/>
            <w:vAlign w:val="center"/>
          </w:tcPr>
          <w:p w:rsidR="00891A96" w:rsidRPr="00EB2995" w:rsidRDefault="00891A96" w:rsidP="00891A96">
            <w:pPr>
              <w:jc w:val="center"/>
              <w:rPr>
                <w:rFonts w:cs="Calibri"/>
                <w:color w:val="000000"/>
                <w:sz w:val="20"/>
              </w:rPr>
            </w:pPr>
            <w:r w:rsidRPr="00EB2995">
              <w:rPr>
                <w:rFonts w:cs="Calibri"/>
                <w:color w:val="000000"/>
                <w:sz w:val="20"/>
              </w:rPr>
              <w:t>0.0</w:t>
            </w:r>
          </w:p>
        </w:tc>
        <w:tc>
          <w:tcPr>
            <w:tcW w:w="501" w:type="pct"/>
            <w:vAlign w:val="center"/>
          </w:tcPr>
          <w:p w:rsidR="00891A96" w:rsidRPr="00EB2995" w:rsidRDefault="00891A96" w:rsidP="00891A96">
            <w:pPr>
              <w:jc w:val="center"/>
              <w:rPr>
                <w:rFonts w:cs="Calibri"/>
                <w:color w:val="000000"/>
                <w:sz w:val="20"/>
              </w:rPr>
            </w:pPr>
            <w:r w:rsidRPr="00EB2995">
              <w:rPr>
                <w:rFonts w:cs="Calibri"/>
                <w:color w:val="000000"/>
                <w:sz w:val="20"/>
              </w:rPr>
              <w:t>2.3</w:t>
            </w:r>
          </w:p>
        </w:tc>
        <w:tc>
          <w:tcPr>
            <w:tcW w:w="289" w:type="pct"/>
            <w:vAlign w:val="center"/>
          </w:tcPr>
          <w:p w:rsidR="00891A96" w:rsidRPr="00EB2995" w:rsidRDefault="00891A96" w:rsidP="00891A96">
            <w:pPr>
              <w:jc w:val="center"/>
              <w:rPr>
                <w:rFonts w:cs="Calibri"/>
                <w:color w:val="000000"/>
                <w:sz w:val="20"/>
              </w:rPr>
            </w:pPr>
            <w:r w:rsidRPr="00EB2995">
              <w:rPr>
                <w:rFonts w:cs="Calibri"/>
                <w:color w:val="000000"/>
                <w:sz w:val="20"/>
              </w:rPr>
              <w:t>0.0</w:t>
            </w:r>
          </w:p>
        </w:tc>
        <w:tc>
          <w:tcPr>
            <w:tcW w:w="603" w:type="pct"/>
            <w:noWrap/>
            <w:vAlign w:val="center"/>
          </w:tcPr>
          <w:p w:rsidR="00891A96" w:rsidRPr="00EB2995" w:rsidRDefault="00891A96" w:rsidP="00891A96">
            <w:pPr>
              <w:jc w:val="center"/>
              <w:rPr>
                <w:rFonts w:cs="Calibri"/>
                <w:color w:val="000000"/>
                <w:sz w:val="20"/>
              </w:rPr>
            </w:pPr>
            <w:r w:rsidRPr="00EB2995">
              <w:rPr>
                <w:rFonts w:cs="Calibri"/>
                <w:color w:val="000000"/>
                <w:sz w:val="20"/>
              </w:rPr>
              <w:t>0.0</w:t>
            </w:r>
          </w:p>
        </w:tc>
        <w:tc>
          <w:tcPr>
            <w:tcW w:w="482" w:type="pct"/>
            <w:vAlign w:val="center"/>
          </w:tcPr>
          <w:p w:rsidR="00891A96" w:rsidRPr="00EB2995" w:rsidRDefault="00891A96" w:rsidP="00891A96">
            <w:pPr>
              <w:jc w:val="center"/>
              <w:rPr>
                <w:rFonts w:cs="Calibri"/>
                <w:color w:val="000000"/>
                <w:sz w:val="20"/>
              </w:rPr>
            </w:pPr>
            <w:r w:rsidRPr="00EB2995">
              <w:rPr>
                <w:rFonts w:cs="Calibri"/>
                <w:color w:val="000000"/>
                <w:sz w:val="20"/>
              </w:rPr>
              <w:t>71.9</w:t>
            </w:r>
          </w:p>
        </w:tc>
      </w:tr>
      <w:tr w:rsidR="00891A96" w:rsidRPr="00EB2995" w:rsidTr="00891A96">
        <w:trPr>
          <w:trHeight w:val="315"/>
        </w:trPr>
        <w:tc>
          <w:tcPr>
            <w:tcW w:w="1542" w:type="pct"/>
            <w:noWrap/>
            <w:vAlign w:val="center"/>
          </w:tcPr>
          <w:p w:rsidR="00891A96" w:rsidRPr="00EB2995" w:rsidRDefault="00891A96" w:rsidP="00891A96">
            <w:pPr>
              <w:rPr>
                <w:rFonts w:cs="Calibri"/>
                <w:color w:val="000000"/>
                <w:sz w:val="20"/>
              </w:rPr>
            </w:pPr>
            <w:r w:rsidRPr="00EB2995">
              <w:rPr>
                <w:rFonts w:cs="Calibri"/>
                <w:color w:val="000000"/>
                <w:sz w:val="20"/>
              </w:rPr>
              <w:t>Net cash inflows/(outflow) from Investing activities</w:t>
            </w:r>
          </w:p>
        </w:tc>
        <w:tc>
          <w:tcPr>
            <w:tcW w:w="678" w:type="pct"/>
            <w:noWrap/>
            <w:vAlign w:val="center"/>
          </w:tcPr>
          <w:p w:rsidR="00891A96" w:rsidRPr="00EB2995" w:rsidRDefault="00891A96" w:rsidP="00891A96">
            <w:pPr>
              <w:jc w:val="center"/>
              <w:rPr>
                <w:rFonts w:cs="Calibri"/>
                <w:color w:val="000000"/>
                <w:sz w:val="20"/>
              </w:rPr>
            </w:pPr>
            <w:r w:rsidRPr="00EB2995">
              <w:rPr>
                <w:rFonts w:cs="Calibri"/>
                <w:color w:val="000000"/>
                <w:sz w:val="20"/>
              </w:rPr>
              <w:t>(97.3)</w:t>
            </w:r>
          </w:p>
        </w:tc>
        <w:tc>
          <w:tcPr>
            <w:tcW w:w="517" w:type="pct"/>
            <w:noWrap/>
            <w:vAlign w:val="center"/>
          </w:tcPr>
          <w:p w:rsidR="00891A96" w:rsidRPr="00EB2995" w:rsidRDefault="00891A96" w:rsidP="00891A96">
            <w:pPr>
              <w:jc w:val="center"/>
              <w:rPr>
                <w:rFonts w:cs="Calibri"/>
                <w:color w:val="000000"/>
                <w:sz w:val="20"/>
              </w:rPr>
            </w:pPr>
            <w:r w:rsidRPr="00EB2995">
              <w:rPr>
                <w:rFonts w:cs="Calibri"/>
                <w:color w:val="000000"/>
                <w:sz w:val="20"/>
              </w:rPr>
              <w:t>(0.2)</w:t>
            </w:r>
          </w:p>
        </w:tc>
        <w:tc>
          <w:tcPr>
            <w:tcW w:w="386" w:type="pct"/>
            <w:noWrap/>
            <w:vAlign w:val="center"/>
          </w:tcPr>
          <w:p w:rsidR="00891A96" w:rsidRPr="00EB2995" w:rsidRDefault="00891A96" w:rsidP="00891A96">
            <w:pPr>
              <w:jc w:val="center"/>
              <w:rPr>
                <w:rFonts w:cs="Calibri"/>
                <w:color w:val="000000"/>
                <w:sz w:val="20"/>
              </w:rPr>
            </w:pPr>
            <w:r w:rsidRPr="00EB2995">
              <w:rPr>
                <w:rFonts w:cs="Calibri"/>
                <w:color w:val="000000"/>
                <w:sz w:val="20"/>
              </w:rPr>
              <w:t>0.0</w:t>
            </w:r>
          </w:p>
        </w:tc>
        <w:tc>
          <w:tcPr>
            <w:tcW w:w="501" w:type="pct"/>
            <w:vAlign w:val="center"/>
          </w:tcPr>
          <w:p w:rsidR="00891A96" w:rsidRPr="00EB2995" w:rsidRDefault="00891A96" w:rsidP="00891A96">
            <w:pPr>
              <w:jc w:val="center"/>
              <w:rPr>
                <w:rFonts w:cs="Calibri"/>
                <w:color w:val="000000"/>
                <w:sz w:val="20"/>
              </w:rPr>
            </w:pPr>
            <w:r w:rsidRPr="00EB2995">
              <w:rPr>
                <w:rFonts w:cs="Calibri"/>
                <w:color w:val="000000"/>
                <w:sz w:val="20"/>
              </w:rPr>
              <w:t>0.0</w:t>
            </w:r>
          </w:p>
        </w:tc>
        <w:tc>
          <w:tcPr>
            <w:tcW w:w="289" w:type="pct"/>
            <w:vAlign w:val="center"/>
          </w:tcPr>
          <w:p w:rsidR="00891A96" w:rsidRPr="00EB2995" w:rsidRDefault="00891A96" w:rsidP="00891A96">
            <w:pPr>
              <w:jc w:val="center"/>
              <w:rPr>
                <w:rFonts w:cs="Calibri"/>
                <w:color w:val="000000"/>
                <w:sz w:val="20"/>
              </w:rPr>
            </w:pPr>
            <w:r w:rsidRPr="00EB2995">
              <w:rPr>
                <w:rFonts w:cs="Calibri"/>
                <w:color w:val="000000"/>
                <w:sz w:val="20"/>
              </w:rPr>
              <w:t>0.0</w:t>
            </w:r>
          </w:p>
        </w:tc>
        <w:tc>
          <w:tcPr>
            <w:tcW w:w="603" w:type="pct"/>
            <w:noWrap/>
            <w:vAlign w:val="center"/>
          </w:tcPr>
          <w:p w:rsidR="00891A96" w:rsidRPr="00EB2995" w:rsidRDefault="00891A96" w:rsidP="00891A96">
            <w:pPr>
              <w:jc w:val="center"/>
              <w:rPr>
                <w:rFonts w:cs="Calibri"/>
                <w:color w:val="000000"/>
                <w:sz w:val="20"/>
              </w:rPr>
            </w:pPr>
            <w:r w:rsidRPr="00EB2995">
              <w:rPr>
                <w:rFonts w:cs="Calibri"/>
                <w:color w:val="000000"/>
                <w:sz w:val="20"/>
              </w:rPr>
              <w:t>0.9</w:t>
            </w:r>
          </w:p>
        </w:tc>
        <w:tc>
          <w:tcPr>
            <w:tcW w:w="482" w:type="pct"/>
            <w:vAlign w:val="center"/>
          </w:tcPr>
          <w:p w:rsidR="00891A96" w:rsidRPr="00EB2995" w:rsidRDefault="00891A96" w:rsidP="00891A96">
            <w:pPr>
              <w:jc w:val="center"/>
              <w:rPr>
                <w:rFonts w:cs="Calibri"/>
                <w:color w:val="000000"/>
                <w:sz w:val="20"/>
              </w:rPr>
            </w:pPr>
            <w:r w:rsidRPr="00EB2995">
              <w:rPr>
                <w:rFonts w:cs="Calibri"/>
                <w:color w:val="000000"/>
                <w:sz w:val="20"/>
              </w:rPr>
              <w:t>(96.6)</w:t>
            </w:r>
          </w:p>
        </w:tc>
      </w:tr>
      <w:tr w:rsidR="00891A96" w:rsidRPr="00EB2995" w:rsidTr="00891A96">
        <w:trPr>
          <w:trHeight w:val="315"/>
        </w:trPr>
        <w:tc>
          <w:tcPr>
            <w:tcW w:w="1542" w:type="pct"/>
            <w:noWrap/>
            <w:vAlign w:val="center"/>
          </w:tcPr>
          <w:p w:rsidR="00891A96" w:rsidRPr="00EB2995" w:rsidRDefault="00891A96" w:rsidP="00891A96">
            <w:pPr>
              <w:rPr>
                <w:rFonts w:cs="Calibri"/>
                <w:color w:val="000000"/>
                <w:sz w:val="20"/>
              </w:rPr>
            </w:pPr>
            <w:r w:rsidRPr="00EB2995">
              <w:rPr>
                <w:rFonts w:cs="Calibri"/>
                <w:color w:val="000000"/>
                <w:sz w:val="20"/>
              </w:rPr>
              <w:t>Net cash inflows/(outflow) from Financing activities</w:t>
            </w:r>
          </w:p>
        </w:tc>
        <w:tc>
          <w:tcPr>
            <w:tcW w:w="678" w:type="pct"/>
            <w:noWrap/>
            <w:vAlign w:val="center"/>
          </w:tcPr>
          <w:p w:rsidR="00891A96" w:rsidRPr="00EB2995" w:rsidRDefault="00891A96" w:rsidP="00891A96">
            <w:pPr>
              <w:jc w:val="center"/>
              <w:rPr>
                <w:rFonts w:cs="Calibri"/>
                <w:color w:val="000000"/>
                <w:sz w:val="20"/>
              </w:rPr>
            </w:pPr>
            <w:r w:rsidRPr="00EB2995">
              <w:rPr>
                <w:rFonts w:cs="Calibri"/>
                <w:color w:val="000000"/>
                <w:sz w:val="20"/>
              </w:rPr>
              <w:t>(35.8)</w:t>
            </w:r>
          </w:p>
        </w:tc>
        <w:tc>
          <w:tcPr>
            <w:tcW w:w="517" w:type="pct"/>
            <w:noWrap/>
            <w:vAlign w:val="center"/>
          </w:tcPr>
          <w:p w:rsidR="00891A96" w:rsidRPr="00EB2995" w:rsidRDefault="00891A96" w:rsidP="00891A96">
            <w:pPr>
              <w:jc w:val="center"/>
              <w:rPr>
                <w:rFonts w:cs="Calibri"/>
                <w:color w:val="000000"/>
                <w:sz w:val="20"/>
              </w:rPr>
            </w:pPr>
            <w:r w:rsidRPr="00EB2995">
              <w:rPr>
                <w:rFonts w:cs="Calibri"/>
                <w:color w:val="000000"/>
                <w:sz w:val="20"/>
              </w:rPr>
              <w:t>(0.7)</w:t>
            </w:r>
          </w:p>
        </w:tc>
        <w:tc>
          <w:tcPr>
            <w:tcW w:w="386" w:type="pct"/>
            <w:noWrap/>
            <w:vAlign w:val="center"/>
          </w:tcPr>
          <w:p w:rsidR="00891A96" w:rsidRPr="00EB2995" w:rsidRDefault="00891A96" w:rsidP="00891A96">
            <w:pPr>
              <w:jc w:val="center"/>
              <w:rPr>
                <w:rFonts w:cs="Calibri"/>
                <w:color w:val="000000"/>
                <w:sz w:val="20"/>
              </w:rPr>
            </w:pPr>
            <w:r w:rsidRPr="00EB2995">
              <w:rPr>
                <w:rFonts w:cs="Calibri"/>
                <w:color w:val="000000"/>
                <w:sz w:val="20"/>
              </w:rPr>
              <w:t>0.0</w:t>
            </w:r>
          </w:p>
        </w:tc>
        <w:tc>
          <w:tcPr>
            <w:tcW w:w="501" w:type="pct"/>
            <w:vAlign w:val="center"/>
          </w:tcPr>
          <w:p w:rsidR="00891A96" w:rsidRPr="00EB2995" w:rsidRDefault="00891A96" w:rsidP="00891A96">
            <w:pPr>
              <w:jc w:val="center"/>
              <w:rPr>
                <w:rFonts w:cs="Calibri"/>
                <w:color w:val="000000"/>
                <w:sz w:val="20"/>
              </w:rPr>
            </w:pPr>
            <w:r w:rsidRPr="00EB2995">
              <w:rPr>
                <w:rFonts w:cs="Calibri"/>
                <w:color w:val="000000"/>
                <w:sz w:val="20"/>
              </w:rPr>
              <w:t>0.9</w:t>
            </w:r>
          </w:p>
        </w:tc>
        <w:tc>
          <w:tcPr>
            <w:tcW w:w="289" w:type="pct"/>
            <w:vAlign w:val="center"/>
          </w:tcPr>
          <w:p w:rsidR="00891A96" w:rsidRPr="00EB2995" w:rsidRDefault="00891A96" w:rsidP="00891A96">
            <w:pPr>
              <w:jc w:val="center"/>
              <w:rPr>
                <w:rFonts w:cs="Calibri"/>
                <w:color w:val="000000"/>
                <w:sz w:val="20"/>
              </w:rPr>
            </w:pPr>
            <w:r w:rsidRPr="00EB2995">
              <w:rPr>
                <w:rFonts w:cs="Calibri"/>
                <w:color w:val="000000"/>
                <w:sz w:val="20"/>
              </w:rPr>
              <w:t>0.0</w:t>
            </w:r>
          </w:p>
        </w:tc>
        <w:tc>
          <w:tcPr>
            <w:tcW w:w="603" w:type="pct"/>
            <w:noWrap/>
            <w:vAlign w:val="center"/>
          </w:tcPr>
          <w:p w:rsidR="00891A96" w:rsidRPr="00EB2995" w:rsidRDefault="00891A96" w:rsidP="00891A96">
            <w:pPr>
              <w:jc w:val="center"/>
              <w:rPr>
                <w:rFonts w:cs="Calibri"/>
                <w:color w:val="000000"/>
                <w:sz w:val="20"/>
              </w:rPr>
            </w:pPr>
            <w:r w:rsidRPr="00EB2995">
              <w:rPr>
                <w:rFonts w:cs="Calibri"/>
                <w:color w:val="000000"/>
                <w:sz w:val="20"/>
              </w:rPr>
              <w:t>(0.9)</w:t>
            </w:r>
          </w:p>
        </w:tc>
        <w:tc>
          <w:tcPr>
            <w:tcW w:w="482" w:type="pct"/>
            <w:vAlign w:val="center"/>
          </w:tcPr>
          <w:p w:rsidR="00891A96" w:rsidRPr="00EB2995" w:rsidRDefault="00891A96" w:rsidP="00891A96">
            <w:pPr>
              <w:jc w:val="center"/>
              <w:rPr>
                <w:rFonts w:cs="Calibri"/>
                <w:color w:val="000000"/>
                <w:sz w:val="20"/>
              </w:rPr>
            </w:pPr>
            <w:r w:rsidRPr="00EB2995">
              <w:rPr>
                <w:rFonts w:cs="Calibri"/>
                <w:color w:val="000000"/>
                <w:sz w:val="20"/>
              </w:rPr>
              <w:t>(36.5)</w:t>
            </w:r>
          </w:p>
        </w:tc>
      </w:tr>
    </w:tbl>
    <w:p w:rsidR="00891A96" w:rsidRPr="00EB2995" w:rsidRDefault="00891A96" w:rsidP="00891A96">
      <w:pPr>
        <w:rPr>
          <w:rFonts w:cs="Calibri"/>
          <w:b/>
        </w:rPr>
      </w:pPr>
    </w:p>
    <w:p w:rsidR="00891A96" w:rsidRPr="00EB2995" w:rsidRDefault="00891A96" w:rsidP="00891A96">
      <w:pPr>
        <w:rPr>
          <w:rFonts w:cs="Calibri"/>
          <w:b/>
        </w:rPr>
      </w:pPr>
    </w:p>
    <w:p w:rsidR="00891A96" w:rsidRPr="00EB2995" w:rsidRDefault="00891A96" w:rsidP="00891A96">
      <w:pPr>
        <w:rPr>
          <w:rFonts w:cs="Calibri"/>
          <w:b/>
        </w:rPr>
      </w:pPr>
      <w:r w:rsidRPr="00EB2995">
        <w:rPr>
          <w:rFonts w:cs="Calibri"/>
          <w:b/>
        </w:rPr>
        <w:t>2018/19 main adjustments</w:t>
      </w:r>
    </w:p>
    <w:p w:rsidR="00891A96" w:rsidRPr="00EB2995" w:rsidRDefault="00891A96" w:rsidP="00891A96">
      <w:pPr>
        <w:rPr>
          <w:rFonts w:cs="Calibri"/>
        </w:rPr>
      </w:pPr>
    </w:p>
    <w:p w:rsidR="00891A96" w:rsidRPr="00EB2995" w:rsidRDefault="00891A96" w:rsidP="00891A96">
      <w:pPr>
        <w:rPr>
          <w:rFonts w:cs="Calibri"/>
        </w:rPr>
      </w:pPr>
      <w:r w:rsidRPr="00EB2995">
        <w:rPr>
          <w:rFonts w:cs="Calibri"/>
        </w:rPr>
        <w:t>I4B records its properties as investment properties under its accounting policies to comply with UK GAAP, whereas in the group accounts these have to be recorded as Property, Plant and Equipment to comply with the CIPFA Code. This explains the (£77m) and £74m adjustments to Investment Property and Property, Plant and Equipment respectively. The small difference £3m between these two values relates to the difference in current value between these two different treatments (Property, Plant and Equipment is depreciated, and Investment Properties are not), the net effect of this is a £3m reduction in reserves.</w:t>
      </w:r>
    </w:p>
    <w:p w:rsidR="00891A96" w:rsidRPr="00EB2995" w:rsidRDefault="00891A96" w:rsidP="00891A96">
      <w:pPr>
        <w:rPr>
          <w:rFonts w:cs="Calibri"/>
        </w:rPr>
      </w:pPr>
    </w:p>
    <w:p w:rsidR="00891A96" w:rsidRPr="00EB2995" w:rsidRDefault="00891A96" w:rsidP="00891A96">
      <w:pPr>
        <w:rPr>
          <w:rFonts w:cs="Calibri"/>
        </w:rPr>
      </w:pPr>
      <w:r w:rsidRPr="00EB2995">
        <w:rPr>
          <w:rFonts w:cs="Calibri"/>
        </w:rPr>
        <w:t>Loans made by the council to I4B and First wave have been removed from the group accounts, to remove transactions within the group, the values of these are £56m for I4B, and £37m for Firstwave. This has t</w:t>
      </w:r>
      <w:r>
        <w:rPr>
          <w:rFonts w:cs="Calibri"/>
        </w:rPr>
        <w:t>he effect of reducing both long-term borrowing and long-</w:t>
      </w:r>
      <w:r w:rsidRPr="00EB2995">
        <w:rPr>
          <w:rFonts w:cs="Calibri"/>
        </w:rPr>
        <w:t>term debtors by £93m. As the loan from the council to I4B is a soft loan, lo</w:t>
      </w:r>
      <w:r>
        <w:rPr>
          <w:rFonts w:cs="Calibri"/>
        </w:rPr>
        <w:t>ng-</w:t>
      </w:r>
      <w:r w:rsidRPr="00EB2995">
        <w:rPr>
          <w:rFonts w:cs="Calibri"/>
        </w:rPr>
        <w:t>term investments and unusable reserve are both reduced by £23m to reflect the intra-group transactions for the soft loan.</w:t>
      </w:r>
    </w:p>
    <w:p w:rsidR="00891A96" w:rsidRPr="00EB2995" w:rsidRDefault="00891A96" w:rsidP="00891A96">
      <w:pPr>
        <w:rPr>
          <w:rFonts w:cs="Calibri"/>
          <w:b/>
        </w:rPr>
      </w:pPr>
    </w:p>
    <w:p w:rsidR="00891A96" w:rsidRPr="00EB2995" w:rsidRDefault="00891A96" w:rsidP="00891A96">
      <w:pPr>
        <w:rPr>
          <w:rFonts w:cs="Calibri"/>
          <w:b/>
        </w:rPr>
      </w:pPr>
      <w:r w:rsidRPr="00EB2995">
        <w:rPr>
          <w:rFonts w:cs="Calibri"/>
          <w:b/>
        </w:rPr>
        <w:t>Schools</w:t>
      </w:r>
    </w:p>
    <w:p w:rsidR="00891A96" w:rsidRPr="00EB2995" w:rsidRDefault="00891A96" w:rsidP="00891A96">
      <w:pPr>
        <w:rPr>
          <w:rFonts w:cs="Calibri"/>
        </w:rPr>
      </w:pPr>
      <w:r w:rsidRPr="00EB2995">
        <w:rPr>
          <w:rFonts w:cs="Calibri"/>
        </w:rPr>
        <w:t>The council includes local authority schools under its control in both its accounts, and the group accounts as per the CIPFA code.</w:t>
      </w:r>
    </w:p>
    <w:p w:rsidR="00891A96" w:rsidRPr="00EB2995" w:rsidRDefault="00891A96" w:rsidP="00891A96">
      <w:pPr>
        <w:rPr>
          <w:rFonts w:cs="Calibri"/>
        </w:rPr>
      </w:pPr>
    </w:p>
    <w:p w:rsidR="00891A96" w:rsidRPr="00EB2995" w:rsidRDefault="00891A96" w:rsidP="00891A96">
      <w:pPr>
        <w:rPr>
          <w:rFonts w:cs="Calibri"/>
          <w:color w:val="000000"/>
        </w:rPr>
      </w:pPr>
      <w:r w:rsidRPr="00EB2995">
        <w:rPr>
          <w:rFonts w:cs="Calibri"/>
          <w:color w:val="000000"/>
        </w:rPr>
        <w:t>Breakdown of number of Local Authority schools in each category of maintained school:</w:t>
      </w:r>
    </w:p>
    <w:p w:rsidR="00891A96" w:rsidRPr="00EB2995" w:rsidRDefault="00891A96" w:rsidP="00891A96">
      <w:pPr>
        <w:rPr>
          <w:rFonts w:cs="Calibri"/>
          <w:color w:val="000000"/>
          <w:sz w:val="20"/>
          <w:szCs w:val="20"/>
        </w:rPr>
      </w:pPr>
    </w:p>
    <w:tbl>
      <w:tblPr>
        <w:tblW w:w="5128" w:type="dxa"/>
        <w:tblInd w:w="411" w:type="dxa"/>
        <w:tblLayout w:type="fixed"/>
        <w:tblLook w:val="04A0" w:firstRow="1" w:lastRow="0" w:firstColumn="1" w:lastColumn="0" w:noHBand="0" w:noVBand="1"/>
      </w:tblPr>
      <w:tblGrid>
        <w:gridCol w:w="3727"/>
        <w:gridCol w:w="965"/>
        <w:gridCol w:w="436"/>
      </w:tblGrid>
      <w:tr w:rsidR="00891A96" w:rsidRPr="00EB2995" w:rsidTr="00891A96">
        <w:trPr>
          <w:trHeight w:val="300"/>
        </w:trPr>
        <w:tc>
          <w:tcPr>
            <w:tcW w:w="3727" w:type="dxa"/>
            <w:tcBorders>
              <w:top w:val="nil"/>
              <w:left w:val="nil"/>
              <w:bottom w:val="nil"/>
              <w:right w:val="nil"/>
            </w:tcBorders>
            <w:shd w:val="clear" w:color="auto" w:fill="auto"/>
            <w:noWrap/>
            <w:vAlign w:val="center"/>
          </w:tcPr>
          <w:p w:rsidR="00891A96" w:rsidRPr="00EB2995" w:rsidRDefault="00891A96" w:rsidP="00891A96">
            <w:pPr>
              <w:rPr>
                <w:rFonts w:cs="Calibri"/>
                <w:color w:val="000000"/>
              </w:rPr>
            </w:pPr>
            <w:r w:rsidRPr="00EB2995">
              <w:rPr>
                <w:rFonts w:cs="Calibri"/>
                <w:color w:val="000000"/>
              </w:rPr>
              <w:t>Primary phase schools</w:t>
            </w:r>
          </w:p>
        </w:tc>
        <w:tc>
          <w:tcPr>
            <w:tcW w:w="965" w:type="dxa"/>
            <w:tcBorders>
              <w:top w:val="nil"/>
              <w:left w:val="nil"/>
              <w:bottom w:val="nil"/>
              <w:right w:val="nil"/>
            </w:tcBorders>
            <w:vAlign w:val="center"/>
          </w:tcPr>
          <w:p w:rsidR="00891A96" w:rsidRPr="00EB2995" w:rsidRDefault="00891A96" w:rsidP="00891A96">
            <w:pPr>
              <w:jc w:val="right"/>
              <w:rPr>
                <w:rFonts w:cs="Calibri"/>
                <w:color w:val="000000"/>
              </w:rPr>
            </w:pPr>
            <w:r w:rsidRPr="00EB2995">
              <w:rPr>
                <w:rFonts w:cs="Calibri"/>
                <w:color w:val="000000"/>
              </w:rPr>
              <w:t>47</w:t>
            </w:r>
          </w:p>
        </w:tc>
        <w:tc>
          <w:tcPr>
            <w:tcW w:w="436" w:type="dxa"/>
            <w:tcBorders>
              <w:top w:val="nil"/>
              <w:left w:val="nil"/>
              <w:bottom w:val="nil"/>
              <w:right w:val="nil"/>
            </w:tcBorders>
            <w:vAlign w:val="center"/>
          </w:tcPr>
          <w:p w:rsidR="00891A96" w:rsidRPr="00EB2995" w:rsidRDefault="00891A96" w:rsidP="00891A96">
            <w:pPr>
              <w:jc w:val="right"/>
              <w:rPr>
                <w:rFonts w:cs="Calibri"/>
                <w:color w:val="000000"/>
              </w:rPr>
            </w:pPr>
          </w:p>
        </w:tc>
      </w:tr>
      <w:tr w:rsidR="00891A96" w:rsidRPr="00EB2995" w:rsidTr="00891A96">
        <w:trPr>
          <w:trHeight w:val="300"/>
        </w:trPr>
        <w:tc>
          <w:tcPr>
            <w:tcW w:w="3727" w:type="dxa"/>
            <w:tcBorders>
              <w:top w:val="nil"/>
              <w:left w:val="nil"/>
              <w:bottom w:val="nil"/>
              <w:right w:val="nil"/>
            </w:tcBorders>
            <w:shd w:val="clear" w:color="auto" w:fill="auto"/>
            <w:noWrap/>
            <w:vAlign w:val="center"/>
          </w:tcPr>
          <w:p w:rsidR="00891A96" w:rsidRPr="00EB2995" w:rsidRDefault="00891A96" w:rsidP="00891A96">
            <w:pPr>
              <w:rPr>
                <w:rFonts w:cs="Calibri"/>
                <w:color w:val="000000"/>
              </w:rPr>
            </w:pPr>
            <w:r w:rsidRPr="00EB2995">
              <w:rPr>
                <w:rFonts w:cs="Calibri"/>
                <w:color w:val="000000"/>
              </w:rPr>
              <w:t>Secondary phase schools</w:t>
            </w:r>
          </w:p>
        </w:tc>
        <w:tc>
          <w:tcPr>
            <w:tcW w:w="965" w:type="dxa"/>
            <w:tcBorders>
              <w:top w:val="nil"/>
              <w:left w:val="nil"/>
              <w:bottom w:val="nil"/>
              <w:right w:val="nil"/>
            </w:tcBorders>
            <w:vAlign w:val="center"/>
          </w:tcPr>
          <w:p w:rsidR="00891A96" w:rsidRPr="00EB2995" w:rsidRDefault="00891A96" w:rsidP="00891A96">
            <w:pPr>
              <w:jc w:val="right"/>
              <w:rPr>
                <w:rFonts w:cs="Calibri"/>
                <w:color w:val="000000"/>
              </w:rPr>
            </w:pPr>
            <w:r w:rsidRPr="00EB2995">
              <w:rPr>
                <w:rFonts w:cs="Calibri"/>
                <w:color w:val="000000"/>
              </w:rPr>
              <w:t>2</w:t>
            </w:r>
          </w:p>
        </w:tc>
        <w:tc>
          <w:tcPr>
            <w:tcW w:w="436" w:type="dxa"/>
            <w:tcBorders>
              <w:top w:val="nil"/>
              <w:left w:val="nil"/>
              <w:bottom w:val="nil"/>
              <w:right w:val="nil"/>
            </w:tcBorders>
            <w:vAlign w:val="center"/>
          </w:tcPr>
          <w:p w:rsidR="00891A96" w:rsidRPr="00EB2995" w:rsidRDefault="00891A96" w:rsidP="00891A96">
            <w:pPr>
              <w:jc w:val="right"/>
              <w:rPr>
                <w:rFonts w:cs="Calibri"/>
                <w:color w:val="000000"/>
              </w:rPr>
            </w:pPr>
          </w:p>
        </w:tc>
      </w:tr>
      <w:tr w:rsidR="00891A96" w:rsidRPr="00EB2995" w:rsidTr="00891A96">
        <w:trPr>
          <w:trHeight w:val="300"/>
        </w:trPr>
        <w:tc>
          <w:tcPr>
            <w:tcW w:w="3727" w:type="dxa"/>
            <w:tcBorders>
              <w:top w:val="nil"/>
              <w:left w:val="nil"/>
              <w:bottom w:val="nil"/>
              <w:right w:val="nil"/>
            </w:tcBorders>
            <w:shd w:val="clear" w:color="auto" w:fill="auto"/>
            <w:noWrap/>
            <w:vAlign w:val="center"/>
          </w:tcPr>
          <w:p w:rsidR="00891A96" w:rsidRPr="00EB2995" w:rsidRDefault="00891A96" w:rsidP="00891A96">
            <w:pPr>
              <w:rPr>
                <w:rFonts w:cs="Calibri"/>
                <w:color w:val="000000"/>
              </w:rPr>
            </w:pPr>
            <w:r w:rsidRPr="00EB2995">
              <w:rPr>
                <w:rFonts w:cs="Calibri"/>
                <w:color w:val="000000"/>
              </w:rPr>
              <w:t>Maintained Nursery Schools</w:t>
            </w:r>
          </w:p>
        </w:tc>
        <w:tc>
          <w:tcPr>
            <w:tcW w:w="965" w:type="dxa"/>
            <w:tcBorders>
              <w:top w:val="nil"/>
              <w:left w:val="nil"/>
              <w:bottom w:val="nil"/>
              <w:right w:val="nil"/>
            </w:tcBorders>
            <w:vAlign w:val="center"/>
          </w:tcPr>
          <w:p w:rsidR="00891A96" w:rsidRPr="00EB2995" w:rsidRDefault="00891A96" w:rsidP="00891A96">
            <w:pPr>
              <w:jc w:val="right"/>
              <w:rPr>
                <w:rFonts w:cs="Calibri"/>
                <w:color w:val="000000"/>
              </w:rPr>
            </w:pPr>
            <w:r w:rsidRPr="00EB2995">
              <w:rPr>
                <w:rFonts w:cs="Calibri"/>
                <w:color w:val="000000"/>
              </w:rPr>
              <w:t>4</w:t>
            </w:r>
          </w:p>
        </w:tc>
        <w:tc>
          <w:tcPr>
            <w:tcW w:w="436" w:type="dxa"/>
            <w:tcBorders>
              <w:top w:val="nil"/>
              <w:left w:val="nil"/>
              <w:bottom w:val="nil"/>
              <w:right w:val="nil"/>
            </w:tcBorders>
            <w:vAlign w:val="center"/>
          </w:tcPr>
          <w:p w:rsidR="00891A96" w:rsidRPr="00EB2995" w:rsidRDefault="00891A96" w:rsidP="00891A96">
            <w:pPr>
              <w:rPr>
                <w:rFonts w:cs="Calibri"/>
                <w:color w:val="000000"/>
              </w:rPr>
            </w:pPr>
          </w:p>
        </w:tc>
      </w:tr>
      <w:tr w:rsidR="00891A96" w:rsidRPr="00EB2995" w:rsidTr="00891A96">
        <w:trPr>
          <w:trHeight w:val="300"/>
        </w:trPr>
        <w:tc>
          <w:tcPr>
            <w:tcW w:w="3727" w:type="dxa"/>
            <w:tcBorders>
              <w:top w:val="nil"/>
              <w:left w:val="nil"/>
              <w:bottom w:val="nil"/>
              <w:right w:val="nil"/>
            </w:tcBorders>
            <w:shd w:val="clear" w:color="auto" w:fill="auto"/>
            <w:noWrap/>
            <w:vAlign w:val="center"/>
          </w:tcPr>
          <w:p w:rsidR="00891A96" w:rsidRPr="00EB2995" w:rsidRDefault="00891A96" w:rsidP="00891A96">
            <w:pPr>
              <w:rPr>
                <w:rFonts w:cs="Calibri"/>
                <w:color w:val="000000"/>
              </w:rPr>
            </w:pPr>
            <w:r w:rsidRPr="00EB2995">
              <w:rPr>
                <w:rFonts w:cs="Calibri"/>
                <w:color w:val="000000"/>
              </w:rPr>
              <w:t>Pupil Referral Units</w:t>
            </w:r>
          </w:p>
        </w:tc>
        <w:tc>
          <w:tcPr>
            <w:tcW w:w="965" w:type="dxa"/>
            <w:tcBorders>
              <w:top w:val="nil"/>
              <w:left w:val="nil"/>
              <w:right w:val="nil"/>
            </w:tcBorders>
            <w:vAlign w:val="center"/>
          </w:tcPr>
          <w:p w:rsidR="00891A96" w:rsidRPr="00EB2995" w:rsidRDefault="00891A96" w:rsidP="00891A96">
            <w:pPr>
              <w:jc w:val="right"/>
              <w:rPr>
                <w:rFonts w:cs="Calibri"/>
                <w:color w:val="000000"/>
              </w:rPr>
            </w:pPr>
            <w:r w:rsidRPr="00EB2995">
              <w:rPr>
                <w:rFonts w:cs="Calibri"/>
                <w:color w:val="000000"/>
              </w:rPr>
              <w:t>2</w:t>
            </w:r>
          </w:p>
        </w:tc>
        <w:tc>
          <w:tcPr>
            <w:tcW w:w="436" w:type="dxa"/>
            <w:tcBorders>
              <w:top w:val="nil"/>
              <w:left w:val="nil"/>
              <w:bottom w:val="nil"/>
              <w:right w:val="nil"/>
            </w:tcBorders>
            <w:vAlign w:val="center"/>
          </w:tcPr>
          <w:p w:rsidR="00891A96" w:rsidRPr="00EB2995" w:rsidRDefault="00891A96" w:rsidP="00891A96">
            <w:pPr>
              <w:jc w:val="right"/>
              <w:rPr>
                <w:rFonts w:cs="Calibri"/>
                <w:color w:val="000000"/>
              </w:rPr>
            </w:pPr>
          </w:p>
        </w:tc>
      </w:tr>
      <w:tr w:rsidR="00891A96" w:rsidRPr="00EB2995" w:rsidTr="00891A96">
        <w:trPr>
          <w:trHeight w:val="300"/>
        </w:trPr>
        <w:tc>
          <w:tcPr>
            <w:tcW w:w="3727" w:type="dxa"/>
            <w:tcBorders>
              <w:top w:val="nil"/>
              <w:left w:val="nil"/>
              <w:bottom w:val="nil"/>
              <w:right w:val="nil"/>
            </w:tcBorders>
            <w:shd w:val="clear" w:color="auto" w:fill="auto"/>
            <w:noWrap/>
            <w:vAlign w:val="center"/>
          </w:tcPr>
          <w:p w:rsidR="00891A96" w:rsidRPr="00EB2995" w:rsidRDefault="00891A96" w:rsidP="00891A96">
            <w:pPr>
              <w:rPr>
                <w:rFonts w:cs="Calibri"/>
                <w:color w:val="000000"/>
              </w:rPr>
            </w:pPr>
            <w:r w:rsidRPr="00EB2995">
              <w:rPr>
                <w:rFonts w:cs="Calibri"/>
                <w:color w:val="000000"/>
              </w:rPr>
              <w:t>Special Schools</w:t>
            </w:r>
          </w:p>
        </w:tc>
        <w:tc>
          <w:tcPr>
            <w:tcW w:w="965" w:type="dxa"/>
            <w:tcBorders>
              <w:top w:val="nil"/>
              <w:left w:val="nil"/>
              <w:bottom w:val="single" w:sz="4" w:space="0" w:color="auto"/>
              <w:right w:val="nil"/>
            </w:tcBorders>
            <w:vAlign w:val="center"/>
          </w:tcPr>
          <w:p w:rsidR="00891A96" w:rsidRPr="00EB2995" w:rsidRDefault="00891A96" w:rsidP="00891A96">
            <w:pPr>
              <w:jc w:val="right"/>
              <w:rPr>
                <w:rFonts w:cs="Calibri"/>
                <w:color w:val="000000"/>
              </w:rPr>
            </w:pPr>
            <w:r w:rsidRPr="00EB2995">
              <w:rPr>
                <w:rFonts w:cs="Calibri"/>
                <w:color w:val="000000"/>
              </w:rPr>
              <w:t>1</w:t>
            </w:r>
          </w:p>
        </w:tc>
        <w:tc>
          <w:tcPr>
            <w:tcW w:w="436" w:type="dxa"/>
            <w:tcBorders>
              <w:top w:val="nil"/>
              <w:left w:val="nil"/>
              <w:bottom w:val="nil"/>
              <w:right w:val="nil"/>
            </w:tcBorders>
            <w:vAlign w:val="center"/>
          </w:tcPr>
          <w:p w:rsidR="00891A96" w:rsidRPr="00EB2995" w:rsidRDefault="00891A96" w:rsidP="00891A96">
            <w:pPr>
              <w:jc w:val="right"/>
              <w:rPr>
                <w:rFonts w:cs="Calibri"/>
                <w:color w:val="000000"/>
              </w:rPr>
            </w:pPr>
          </w:p>
        </w:tc>
      </w:tr>
      <w:tr w:rsidR="00891A96" w:rsidRPr="00EB2995" w:rsidTr="00891A96">
        <w:trPr>
          <w:trHeight w:val="300"/>
        </w:trPr>
        <w:tc>
          <w:tcPr>
            <w:tcW w:w="3727" w:type="dxa"/>
            <w:tcBorders>
              <w:top w:val="nil"/>
              <w:left w:val="nil"/>
              <w:bottom w:val="nil"/>
              <w:right w:val="nil"/>
            </w:tcBorders>
            <w:shd w:val="clear" w:color="auto" w:fill="auto"/>
            <w:noWrap/>
            <w:vAlign w:val="center"/>
          </w:tcPr>
          <w:p w:rsidR="00891A96" w:rsidRPr="00EB2995" w:rsidRDefault="00891A96" w:rsidP="00891A96">
            <w:pPr>
              <w:rPr>
                <w:rFonts w:cs="Calibri"/>
                <w:color w:val="000000"/>
              </w:rPr>
            </w:pPr>
          </w:p>
        </w:tc>
        <w:tc>
          <w:tcPr>
            <w:tcW w:w="965" w:type="dxa"/>
            <w:tcBorders>
              <w:top w:val="single" w:sz="4" w:space="0" w:color="auto"/>
              <w:left w:val="nil"/>
              <w:bottom w:val="nil"/>
              <w:right w:val="nil"/>
            </w:tcBorders>
            <w:vAlign w:val="center"/>
          </w:tcPr>
          <w:p w:rsidR="00891A96" w:rsidRPr="00EB2995" w:rsidRDefault="00891A96" w:rsidP="00891A96">
            <w:pPr>
              <w:jc w:val="right"/>
              <w:rPr>
                <w:rFonts w:cs="Calibri"/>
                <w:color w:val="000000"/>
              </w:rPr>
            </w:pPr>
            <w:r w:rsidRPr="00EB2995">
              <w:rPr>
                <w:rFonts w:cs="Calibri"/>
                <w:color w:val="000000"/>
              </w:rPr>
              <w:t>56</w:t>
            </w:r>
          </w:p>
        </w:tc>
        <w:tc>
          <w:tcPr>
            <w:tcW w:w="436" w:type="dxa"/>
            <w:tcBorders>
              <w:top w:val="nil"/>
              <w:left w:val="nil"/>
              <w:bottom w:val="nil"/>
              <w:right w:val="nil"/>
            </w:tcBorders>
            <w:vAlign w:val="center"/>
          </w:tcPr>
          <w:p w:rsidR="00891A96" w:rsidRPr="00EB2995" w:rsidRDefault="00891A96" w:rsidP="00891A96">
            <w:pPr>
              <w:jc w:val="right"/>
              <w:rPr>
                <w:rFonts w:cs="Calibri"/>
                <w:color w:val="000000"/>
              </w:rPr>
            </w:pPr>
          </w:p>
        </w:tc>
      </w:tr>
    </w:tbl>
    <w:p w:rsidR="00891A96" w:rsidRDefault="00891A96" w:rsidP="00891A96">
      <w:pPr>
        <w:tabs>
          <w:tab w:val="left" w:pos="1836"/>
        </w:tabs>
      </w:pPr>
    </w:p>
    <w:p w:rsidR="00003661" w:rsidRPr="00891A96" w:rsidRDefault="00891A96" w:rsidP="00891A96">
      <w:pPr>
        <w:tabs>
          <w:tab w:val="left" w:pos="1836"/>
        </w:tabs>
        <w:sectPr w:rsidR="00003661" w:rsidRPr="00891A96" w:rsidSect="00891A96">
          <w:pgSz w:w="11906" w:h="16838"/>
          <w:pgMar w:top="284" w:right="1440" w:bottom="1440" w:left="709" w:header="708" w:footer="708" w:gutter="0"/>
          <w:cols w:space="708"/>
          <w:docGrid w:linePitch="360"/>
        </w:sectPr>
      </w:pPr>
      <w:r>
        <w:tab/>
      </w:r>
    </w:p>
    <w:p w:rsidR="00F72906" w:rsidRDefault="00F72906" w:rsidP="00003661">
      <w:pPr>
        <w:pStyle w:val="Heading1"/>
      </w:pPr>
      <w:bookmarkStart w:id="35" w:name="_Toc61870301"/>
      <w:r>
        <w:lastRenderedPageBreak/>
        <w:t>Chair of the Audit Committee</w:t>
      </w:r>
      <w:bookmarkEnd w:id="35"/>
    </w:p>
    <w:p w:rsidR="00F72906" w:rsidRDefault="00F72906" w:rsidP="00F72906"/>
    <w:p w:rsidR="00F72906" w:rsidRDefault="00F72906" w:rsidP="00F72906">
      <w:r>
        <w:t xml:space="preserve">The Chair of the Audit and Standards Committee is required to approve the publication of these accounts. </w:t>
      </w:r>
    </w:p>
    <w:p w:rsidR="00F72906" w:rsidRDefault="00F72906" w:rsidP="00F72906"/>
    <w:p w:rsidR="009C7D60" w:rsidRDefault="00F72906" w:rsidP="00F72906">
      <w:r>
        <w:t>This is approved by:</w:t>
      </w:r>
    </w:p>
    <w:p w:rsidR="009C7D60" w:rsidRDefault="009C7D60" w:rsidP="00F72906"/>
    <w:p w:rsidR="00F72906" w:rsidRDefault="009C7D60" w:rsidP="00F72906">
      <w:r>
        <w:t xml:space="preserve"> </w:t>
      </w:r>
      <w:r w:rsidR="00F72906">
        <w:t>Councillor Janice Long</w:t>
      </w:r>
    </w:p>
    <w:p w:rsidR="00F72906" w:rsidRDefault="00F72906" w:rsidP="00F72906">
      <w:r>
        <w:t> </w:t>
      </w:r>
    </w:p>
    <w:p w:rsidR="00003661" w:rsidRDefault="00003661" w:rsidP="00F72906">
      <w:pPr>
        <w:sectPr w:rsidR="00003661" w:rsidSect="00D53A04">
          <w:pgSz w:w="11906" w:h="16838"/>
          <w:pgMar w:top="1440" w:right="1440" w:bottom="1440" w:left="709" w:header="708" w:footer="708" w:gutter="0"/>
          <w:cols w:space="708"/>
          <w:docGrid w:linePitch="360"/>
        </w:sectPr>
      </w:pPr>
    </w:p>
    <w:p w:rsidR="00F72906" w:rsidRDefault="00F72906" w:rsidP="00003661">
      <w:pPr>
        <w:pStyle w:val="Heading1"/>
      </w:pPr>
      <w:bookmarkStart w:id="36" w:name="_Toc61870302"/>
      <w:r>
        <w:lastRenderedPageBreak/>
        <w:t>INDEPENDENT AUDITOR’S REPORT TO THE MEMBERS OF LONDON BOROUGH OF BRENT</w:t>
      </w:r>
      <w:bookmarkEnd w:id="36"/>
    </w:p>
    <w:p w:rsidR="00F72906" w:rsidRDefault="00F72906" w:rsidP="00F72906"/>
    <w:p w:rsidR="00F72906" w:rsidRDefault="00F72906" w:rsidP="00F72906">
      <w:r>
        <w:t> </w:t>
      </w:r>
    </w:p>
    <w:p w:rsidR="0023590A" w:rsidRDefault="0023590A" w:rsidP="00F72906">
      <w:pPr>
        <w:sectPr w:rsidR="0023590A" w:rsidSect="00D53A04">
          <w:pgSz w:w="11906" w:h="16838"/>
          <w:pgMar w:top="1440" w:right="1440" w:bottom="1440" w:left="709" w:header="708" w:footer="708" w:gutter="0"/>
          <w:cols w:space="708"/>
          <w:docGrid w:linePitch="360"/>
        </w:sectPr>
      </w:pPr>
    </w:p>
    <w:p w:rsidR="00F72906" w:rsidRDefault="00F72906" w:rsidP="0023590A">
      <w:pPr>
        <w:pStyle w:val="Heading1"/>
      </w:pPr>
      <w:bookmarkStart w:id="37" w:name="_Toc61870303"/>
      <w:r>
        <w:lastRenderedPageBreak/>
        <w:t>Statement of Responsibilities for the Statement of Accounts</w:t>
      </w:r>
      <w:bookmarkEnd w:id="37"/>
    </w:p>
    <w:p w:rsidR="00F72906" w:rsidRPr="0023590A" w:rsidRDefault="0023590A" w:rsidP="00F72906">
      <w:pPr>
        <w:rPr>
          <w:b/>
        </w:rPr>
      </w:pPr>
      <w:r>
        <w:rPr>
          <w:b/>
        </w:rPr>
        <w:t>The Council’s Responsibilities</w:t>
      </w:r>
    </w:p>
    <w:p w:rsidR="00F72906" w:rsidRDefault="00F72906" w:rsidP="00F72906">
      <w:r>
        <w:t>The Council is required t</w:t>
      </w:r>
      <w:r w:rsidR="0023590A">
        <w:t>o:</w:t>
      </w:r>
    </w:p>
    <w:p w:rsidR="00F72906" w:rsidRDefault="00F72906" w:rsidP="00F72906">
      <w:r>
        <w:t>•</w:t>
      </w:r>
      <w:r>
        <w:tab/>
        <w:t>make arrangements for the proper administration of its financial affairs and to ensure that one of its officers has the responsibility for the administration of those affairs.  In this Council, that officer is the Director of Finance;</w:t>
      </w:r>
    </w:p>
    <w:p w:rsidR="00F72906" w:rsidRDefault="00F72906" w:rsidP="00F72906">
      <w:r>
        <w:t>•</w:t>
      </w:r>
      <w:r>
        <w:tab/>
        <w:t>manage its affairs to secure economic, efficient and effective use of resources and safeguard its assets; and</w:t>
      </w:r>
    </w:p>
    <w:p w:rsidR="00F72906" w:rsidRDefault="00F72906" w:rsidP="00F72906">
      <w:r>
        <w:t>•</w:t>
      </w:r>
      <w:r>
        <w:tab/>
        <w:t>app</w:t>
      </w:r>
      <w:r w:rsidR="0023590A">
        <w:t>rove the Statement of Accounts.</w:t>
      </w:r>
    </w:p>
    <w:p w:rsidR="00F72906" w:rsidRDefault="00F72906" w:rsidP="00F72906">
      <w:r w:rsidRPr="0023590A">
        <w:rPr>
          <w:b/>
        </w:rPr>
        <w:t>The Responsibilities of the</w:t>
      </w:r>
      <w:r w:rsidR="0023590A">
        <w:t xml:space="preserve"> Director of Finance</w:t>
      </w:r>
    </w:p>
    <w:p w:rsidR="00F72906" w:rsidRDefault="00F72906" w:rsidP="00F72906">
      <w:r>
        <w:t>The Director of Finance is responsible for the preparation of the Council’s statement of accounts which, in terms of the CIPFA/LASAAC Code of Practice on Local Council Accounting in Great Britain (‘the Code of Practice’), is required to present fairly the financial position of the Council at the Accounting date and its income and expenditure for the year ended 31 March 2020.</w:t>
      </w:r>
    </w:p>
    <w:p w:rsidR="00F72906" w:rsidRDefault="00F72906" w:rsidP="00F72906">
      <w:r>
        <w:t>In preparing this statement of account</w:t>
      </w:r>
      <w:r w:rsidR="0023590A">
        <w:t>s, the Director of Finance has:</w:t>
      </w:r>
    </w:p>
    <w:p w:rsidR="00F72906" w:rsidRDefault="00F72906" w:rsidP="00F72906">
      <w:r>
        <w:t>•</w:t>
      </w:r>
      <w:r>
        <w:tab/>
        <w:t>selected suitable accounting policies and then applied them consistently;</w:t>
      </w:r>
    </w:p>
    <w:p w:rsidR="00F72906" w:rsidRDefault="00F72906" w:rsidP="00F72906">
      <w:r>
        <w:t>•</w:t>
      </w:r>
      <w:r>
        <w:tab/>
        <w:t>made judgements and estimates that were reasonable and prudent;</w:t>
      </w:r>
    </w:p>
    <w:p w:rsidR="00F72906" w:rsidRDefault="00F72906" w:rsidP="00F72906">
      <w:r>
        <w:t>•</w:t>
      </w:r>
      <w:r>
        <w:tab/>
        <w:t>complied with the Code of Practice;</w:t>
      </w:r>
    </w:p>
    <w:p w:rsidR="00F72906" w:rsidRDefault="00F72906" w:rsidP="00F72906">
      <w:r>
        <w:t>•</w:t>
      </w:r>
      <w:r>
        <w:tab/>
        <w:t>kept proper accounting records which were up to date;</w:t>
      </w:r>
    </w:p>
    <w:p w:rsidR="00F72906" w:rsidRDefault="00F72906" w:rsidP="00F72906">
      <w:r>
        <w:t>•</w:t>
      </w:r>
      <w:r>
        <w:tab/>
        <w:t>taken reasonable steps for the prevention and detection of fraud and other irregularities;</w:t>
      </w:r>
    </w:p>
    <w:p w:rsidR="00F72906" w:rsidRDefault="00F72906" w:rsidP="00F72906">
      <w:r>
        <w:t>•</w:t>
      </w:r>
      <w:r>
        <w:tab/>
        <w:t>assessed  the Authority’s [and the Group’s] ability to continue as a going concern, disclosing, as applicable, matters related to going concern;</w:t>
      </w:r>
    </w:p>
    <w:p w:rsidR="00F72906" w:rsidRDefault="00F72906" w:rsidP="00F72906">
      <w:r>
        <w:t>•</w:t>
      </w:r>
      <w:r>
        <w:tab/>
        <w:t>used the going concern basis of accounting on the assumption that the functions of the Authority [and the Group] will continue in operational existence for the foreseeable future; and</w:t>
      </w:r>
    </w:p>
    <w:p w:rsidR="00F72906" w:rsidRDefault="00F72906" w:rsidP="00F72906">
      <w:r>
        <w:t>•</w:t>
      </w:r>
      <w:r>
        <w:tab/>
        <w:t>maintained such internal control as they determine is necessary to enable the preparation of financial statements that are free from material misstatement,</w:t>
      </w:r>
      <w:r w:rsidR="0023590A">
        <w:t xml:space="preserve"> whether due to fraud or error.</w:t>
      </w:r>
    </w:p>
    <w:p w:rsidR="009C7D60" w:rsidRDefault="00F72906" w:rsidP="00F72906">
      <w:r>
        <w:t>I certify that the Statement of Accounts gives a true and fair view of the financial position of the Authority at 31 March 2020 and of its income and expenditure for the year then ended.</w:t>
      </w:r>
    </w:p>
    <w:p w:rsidR="009C7D60" w:rsidRDefault="009C7D60" w:rsidP="00F72906"/>
    <w:p w:rsidR="009C7D60" w:rsidRDefault="0023590A" w:rsidP="00F72906">
      <w:r>
        <w:t>Mi</w:t>
      </w:r>
      <w:r w:rsidR="00F72906">
        <w:t>nesh Patel</w:t>
      </w:r>
    </w:p>
    <w:p w:rsidR="00F72906" w:rsidRDefault="00F72906" w:rsidP="00F72906">
      <w:r>
        <w:t>Director of Finance</w:t>
      </w:r>
    </w:p>
    <w:p w:rsidR="009C7D60" w:rsidRDefault="00F72906" w:rsidP="0023590A">
      <w:pPr>
        <w:pStyle w:val="Heading1"/>
        <w:sectPr w:rsidR="009C7D60" w:rsidSect="00D53A04">
          <w:pgSz w:w="11906" w:h="16838"/>
          <w:pgMar w:top="1440" w:right="1440" w:bottom="1440" w:left="709" w:header="708" w:footer="708" w:gutter="0"/>
          <w:cols w:space="708"/>
          <w:docGrid w:linePitch="360"/>
        </w:sectPr>
      </w:pPr>
      <w:bookmarkStart w:id="38" w:name="_Toc61870304"/>
      <w:r>
        <w:t> </w:t>
      </w:r>
      <w:bookmarkEnd w:id="38"/>
    </w:p>
    <w:p w:rsidR="00F72906" w:rsidRDefault="00F72906" w:rsidP="0023590A">
      <w:pPr>
        <w:pStyle w:val="Heading1"/>
      </w:pPr>
      <w:bookmarkStart w:id="39" w:name="_Toc61870305"/>
      <w:r>
        <w:lastRenderedPageBreak/>
        <w:t>Statement of Accounting Policies</w:t>
      </w:r>
      <w:bookmarkEnd w:id="39"/>
    </w:p>
    <w:p w:rsidR="00F72906" w:rsidRDefault="00F72906" w:rsidP="00F72906"/>
    <w:p w:rsidR="00F72906" w:rsidRDefault="00F72906" w:rsidP="00F72906">
      <w:r>
        <w:t>1.</w:t>
      </w:r>
      <w:r>
        <w:tab/>
        <w:t>Code of Practice</w:t>
      </w:r>
    </w:p>
    <w:p w:rsidR="00F72906" w:rsidRDefault="00F72906" w:rsidP="00F72906">
      <w:r>
        <w:t>The general policies adopted in preparing these accounts are in accordance with the current Code of Practice on Local Authority Accounting in the United Kingdom issued by the Chartered Institute of Public Finance Accountants (CIPFA)), henceforth referred to as the “Code of Practice”. This Code of Practice is based upon International Financial Reporting Standards (IFRS), with some adoptions from International Public Sector Accounting Standards (IPSAS)</w:t>
      </w:r>
      <w:r w:rsidR="0023590A">
        <w:t>.</w:t>
      </w:r>
    </w:p>
    <w:p w:rsidR="00F72906" w:rsidRDefault="00F72906" w:rsidP="00F72906">
      <w:r>
        <w:t>Accounts drawn up under the Code assume that a local authority’s services will continue to operate for the foreseeable future. This assumption is made because local authorities carry out functions essential to the local community and are themselves revenue-raising bodies (with limits on their revenue-raising powers arising only at the discretion of central government).</w:t>
      </w:r>
    </w:p>
    <w:p w:rsidR="00F72906" w:rsidRDefault="00F72906" w:rsidP="00F72906"/>
    <w:p w:rsidR="00F72906" w:rsidRDefault="00F72906" w:rsidP="00F72906">
      <w:r>
        <w:t>1.1 Materiality</w:t>
      </w:r>
    </w:p>
    <w:p w:rsidR="00F72906" w:rsidRDefault="00F72906" w:rsidP="00F72906">
      <w:r>
        <w:t>The Council has presented information in the accounts to provide a full picture of its performance and financial health, any of which, if omitted, might influence decisions made on the basis of these accounts. Information about transactions and balances of low financial value and which are non-influential for decision-makers (immaterial) have been omitted where possible to improve the readability of the statements.</w:t>
      </w:r>
    </w:p>
    <w:p w:rsidR="00F72906" w:rsidRDefault="00F72906" w:rsidP="00F72906"/>
    <w:p w:rsidR="00F72906" w:rsidRDefault="00F72906" w:rsidP="00F72906">
      <w:r>
        <w:t>1.2 Rounding</w:t>
      </w:r>
    </w:p>
    <w:p w:rsidR="00F72906" w:rsidRDefault="00F72906" w:rsidP="00F72906">
      <w:r>
        <w:t>It is not the Council’s policy to adjust for immaterial cross-casting differences between the main statements and disclosure notes.</w:t>
      </w:r>
    </w:p>
    <w:p w:rsidR="00F72906" w:rsidRDefault="00F72906" w:rsidP="00F72906"/>
    <w:p w:rsidR="00F72906" w:rsidRDefault="00F72906" w:rsidP="00F72906">
      <w:r>
        <w:t>2.  Comprehensive Income and Expenditure Statement</w:t>
      </w:r>
    </w:p>
    <w:p w:rsidR="00F72906" w:rsidRDefault="00F72906" w:rsidP="00F72906"/>
    <w:p w:rsidR="00F72906" w:rsidRDefault="00F72906" w:rsidP="00F72906">
      <w:r>
        <w:t>2.1 Accruals of Expenditure and Income</w:t>
      </w:r>
    </w:p>
    <w:p w:rsidR="00F72906" w:rsidRDefault="00F72906" w:rsidP="00F72906">
      <w:r>
        <w:t>The Statement of Accounts is prepared on an accruals basis with the effects of transactions and other events being recognised when they occur, and recorded in the accounting records and reported in the financial statements of the periods to which they relate. This means that:</w:t>
      </w:r>
    </w:p>
    <w:p w:rsidR="00F72906" w:rsidRDefault="00F72906" w:rsidP="00F72906"/>
    <w:p w:rsidR="00F72906" w:rsidRDefault="00F72906" w:rsidP="00F72906">
      <w:r>
        <w:t>•</w:t>
      </w:r>
      <w:r>
        <w:tab/>
        <w:t>Revenue from contracts with service recipients, whether for services or the provision of goods, is recognised when (or as) the goods or services are transferred to the service recipient in accordance with the performance obligations in the contract.</w:t>
      </w:r>
    </w:p>
    <w:p w:rsidR="00F72906" w:rsidRDefault="00F72906" w:rsidP="00F72906">
      <w:r>
        <w:t>•</w:t>
      </w:r>
      <w:r>
        <w:tab/>
        <w:t>Supplies are recorded as expenditure when they are consumed – where there is a gap between the date supplies are received and their consumption, they are carried as inventories on the Balance Sheet.</w:t>
      </w:r>
    </w:p>
    <w:p w:rsidR="00F72906" w:rsidRDefault="00F72906" w:rsidP="00F72906">
      <w:r>
        <w:lastRenderedPageBreak/>
        <w:t>•</w:t>
      </w:r>
      <w:r>
        <w:tab/>
        <w:t>Expenses in relation to services received (including services provided by employees) are recorded as expenditure when the services are received rather than when payments are made.</w:t>
      </w:r>
    </w:p>
    <w:p w:rsidR="00F72906" w:rsidRDefault="00F72906" w:rsidP="00F72906">
      <w:r>
        <w:t>•</w:t>
      </w:r>
      <w:r>
        <w:tab/>
        <w:t>Where revenue and expenditure have been recognised but cash has not been received or paid, a debtor or creditor for the relevant amount is recorded in the Balance Sheet. Where debts may not be settled, the balance of debtors is written down and a charge made to revenue for the income that might not be collected.</w:t>
      </w:r>
    </w:p>
    <w:p w:rsidR="00F72906" w:rsidRDefault="00F72906" w:rsidP="00F72906"/>
    <w:p w:rsidR="00F72906" w:rsidRDefault="00F72906" w:rsidP="00F72906">
      <w:r>
        <w:t>The exception to this is the Cash Flow Statement which is prepared in accordance with International Accounting Standard (IAS) 7.</w:t>
      </w:r>
    </w:p>
    <w:p w:rsidR="00F72906" w:rsidRDefault="00F72906" w:rsidP="00F72906"/>
    <w:p w:rsidR="00F72906" w:rsidRDefault="00F72906" w:rsidP="00F72906">
      <w:r>
        <w:t xml:space="preserve">2.3 VAT </w:t>
      </w:r>
    </w:p>
    <w:p w:rsidR="00F72906" w:rsidRDefault="00F72906" w:rsidP="00F72906">
      <w:r>
        <w:t>Income and expenditure accounts are VAT exclusive, unless VAT is irrecoverable, in which case it is included.</w:t>
      </w:r>
    </w:p>
    <w:p w:rsidR="00F72906" w:rsidRDefault="00F72906" w:rsidP="00F72906"/>
    <w:p w:rsidR="00F72906" w:rsidRDefault="00F72906" w:rsidP="00F72906">
      <w:r>
        <w:t xml:space="preserve">2.4 Revenue Grants </w:t>
      </w:r>
    </w:p>
    <w:p w:rsidR="00F72906" w:rsidRDefault="00F72906" w:rsidP="00F72906">
      <w:r>
        <w:t>Grants are immediately recognised where the Council has reasonable assurance it will comply with the conditions attached to the grant, and the grants or contributions will be received.</w:t>
      </w:r>
    </w:p>
    <w:p w:rsidR="00F72906" w:rsidRDefault="00F72906" w:rsidP="00F72906"/>
    <w:p w:rsidR="00F72906" w:rsidRDefault="00F72906" w:rsidP="00F72906">
      <w:r>
        <w:t>2.5 Charges to Revenue</w:t>
      </w:r>
    </w:p>
    <w:p w:rsidR="00F72906" w:rsidRDefault="00F72906" w:rsidP="00F72906">
      <w:r>
        <w:t>Annual charges to the Financing and Investment Income and Expenditure line in the Comprehensive Income and Expenditure Statement (CIES) for interest payable are based on the carrying amount of the liability, multiplied by the effective rate of interest for the instrument. The effective interest rate is the rate that exactly discounts estimated future cash payments over the life of the instrument to the amount at which it was originally recognised.</w:t>
      </w:r>
    </w:p>
    <w:p w:rsidR="00F72906" w:rsidRDefault="00F72906" w:rsidP="00F72906"/>
    <w:p w:rsidR="00F72906" w:rsidRDefault="00F72906" w:rsidP="00F72906">
      <w:r>
        <w:t xml:space="preserve">The provision for depreciation are charged to the surplus or deficit on provision of services section of the Comprehensive Income and Expenditure Statement to the relevant service. </w:t>
      </w:r>
    </w:p>
    <w:p w:rsidR="00F72906" w:rsidRDefault="00F72906" w:rsidP="00F72906"/>
    <w:p w:rsidR="00F72906" w:rsidRDefault="00F72906" w:rsidP="00F72906">
      <w:r>
        <w:t>This results in a charge to the General Fund for depreciation for all General Fund fixed assets used in the provision of services. The charge is allocated to each individual service on the basis of the capital employed in its provision. Depreciation charges are reversed out of the General Fund in the Movement in Reserves Statement.</w:t>
      </w:r>
    </w:p>
    <w:p w:rsidR="00F72906" w:rsidRDefault="00F72906" w:rsidP="00F72906"/>
    <w:p w:rsidR="00F72906" w:rsidRDefault="00F72906" w:rsidP="00F72906">
      <w:r>
        <w:t>Depreciation is a bottom line charge to the HRA. An amount equal to depreciation is credited to the Major Repairs Reserve via the Movement on the HRA statement, and the impact of this is offset by crediting the Movement on the HRA statement with the same amount from the Capital Adjustment Account.</w:t>
      </w:r>
    </w:p>
    <w:p w:rsidR="00F72906" w:rsidRDefault="00F72906" w:rsidP="00F72906"/>
    <w:p w:rsidR="00F72906" w:rsidRDefault="00F72906" w:rsidP="00F72906">
      <w:r>
        <w:lastRenderedPageBreak/>
        <w:t>Amounts set aside from revenue for the repayment of external loans, to finance capital expenditure or as transfers to earmarked reserves are disclosed in the Movement in Reserves Statement and the notes to this statement.</w:t>
      </w:r>
    </w:p>
    <w:p w:rsidR="00F72906" w:rsidRDefault="00F72906" w:rsidP="00F72906"/>
    <w:p w:rsidR="00F72906" w:rsidRDefault="00F72906" w:rsidP="00F72906">
      <w:r>
        <w:t>2.6 Council Tax and Non Domestic Rates (NDR)</w:t>
      </w:r>
    </w:p>
    <w:p w:rsidR="00F72906" w:rsidRDefault="00F72906" w:rsidP="00F72906">
      <w:r>
        <w:t xml:space="preserve">Council Tax included in the Comprehensive Income and Expenditure Statement (CIES) account is Brent’s accrued income for the year including its share of the surplus or deficit arising. The collection of Council Tax on behalf of the Greater London Authority (GLA) is in substance an agency arrangement so these amounts are not shown in the surplus or deficit on provision of services section of the Comprehensive Income and Expenditure Statement. There will be a debtor / creditor position between Brent and the GLA to be recognised in Brent’s balance sheet if the net cash paid to the GLA is not exactly its share of cash collected from Council Taxpayers. In this case, Brent’s accrued income will be shown in the taxation and non-specific grant section of the Comprehensive Income and Expenditure Statement. The ‘Operating Activities’ section of the cash flow statement only includes Brent’s share of Council Tax cash collected during the year. </w:t>
      </w:r>
    </w:p>
    <w:p w:rsidR="00F72906" w:rsidRDefault="00F72906" w:rsidP="00F72906"/>
    <w:p w:rsidR="00F72906" w:rsidRDefault="00F72906" w:rsidP="00F72906">
      <w:r>
        <w:t>The income collected from NDR is shared between the Council, Central Government and the Greater London Authority (GLA) rather than being paid over to government and redistributed (so is now acting as principal and agent.) Apart from its own share of NDR transactions, Brent accounts only for the effects of timing differences between the collection of NDR attributable to major precepting authorities and central government and paying it across.</w:t>
      </w:r>
    </w:p>
    <w:p w:rsidR="00F72906" w:rsidRDefault="00F72906" w:rsidP="00F72906"/>
    <w:p w:rsidR="00F72906" w:rsidRDefault="00F72906" w:rsidP="00F72906">
      <w:r>
        <w:t xml:space="preserve">2.7 Foreign Currency Transactions </w:t>
      </w:r>
    </w:p>
    <w:p w:rsidR="00F72906" w:rsidRDefault="00F72906" w:rsidP="00F72906">
      <w:r>
        <w:t>Transactions in foreign currencies are accounted for in Sterling at the rate ruling on the date of the transactions. The Pension Fund accounting policies deal with the only foreign currency de-nominated assets disclosed on the balance sheet.</w:t>
      </w:r>
    </w:p>
    <w:p w:rsidR="00F72906" w:rsidRDefault="00F72906" w:rsidP="00F72906"/>
    <w:p w:rsidR="00F72906" w:rsidRDefault="00F72906" w:rsidP="00F72906">
      <w:r>
        <w:t>2.8 Jointly Controlled Operations</w:t>
      </w:r>
    </w:p>
    <w:p w:rsidR="00F72906" w:rsidRDefault="00F72906" w:rsidP="00F72906">
      <w:r>
        <w:t>The council has jointly controlled operations in the form of pooled budgets in conjunction with Brent CCG and Central and North West London NHS Foundation Trust. The Council’s joint operations with Brent CCG relate to the Better Care Fund and the Brent Integrated Community Equipment Service. The Council’s joint operation with the Central North West London Mental Health Trust relate to the management of the joint Mental Health Service in Brent. The authority recognises the income that it gains and expenditure that it incurs on the Comprehensive Income and Expenditure Statement. The Balance sheet recognises any assets and liabilities resulting to the council from the pooled budget.</w:t>
      </w:r>
    </w:p>
    <w:p w:rsidR="00F72906" w:rsidRDefault="00F72906" w:rsidP="00F72906"/>
    <w:p w:rsidR="00F72906" w:rsidRDefault="00F72906" w:rsidP="00F72906">
      <w:r>
        <w:t>3. Balance sheet – Non Current Assets</w:t>
      </w:r>
    </w:p>
    <w:p w:rsidR="00F72906" w:rsidRDefault="00F72906" w:rsidP="00F72906"/>
    <w:p w:rsidR="00F72906" w:rsidRDefault="00F72906" w:rsidP="00F72906">
      <w:r>
        <w:t xml:space="preserve">3.1 Plant, Property and Equipment </w:t>
      </w:r>
    </w:p>
    <w:p w:rsidR="00F72906" w:rsidRDefault="00F72906" w:rsidP="00F72906">
      <w:r>
        <w:lastRenderedPageBreak/>
        <w:t xml:space="preserve">Assets that have physical substance and are held for use in the production or supply of goods or services, for rental to others, or for administrative purposes and that are expected to be used during more than one financial year are classified as property, plant and equipment (PPE). </w:t>
      </w:r>
    </w:p>
    <w:p w:rsidR="00F72906" w:rsidRDefault="00F72906" w:rsidP="00F72906"/>
    <w:p w:rsidR="00F72906" w:rsidRDefault="00F72906" w:rsidP="00F72906">
      <w:r>
        <w:t>All expenditure on the acquisition, creation or enhancement of PPE above the Council’s de minimis of £5,000 is capitalised on an accruals basis in the accounts.  Expenditure that maintains but does not add to an asset’s potential to deliver future economic benefits or service potential (ie most repairs and maintenance) is charged as an expense when it is incurred.</w:t>
      </w:r>
    </w:p>
    <w:p w:rsidR="00F72906" w:rsidRDefault="00F72906" w:rsidP="00F72906"/>
    <w:p w:rsidR="00F72906" w:rsidRDefault="00F72906" w:rsidP="00F72906">
      <w:r>
        <w:t>Property, Plant and Equipment are initially measured and subsequently valued on the basis required by CIPFA and in accordance with the Statements of Asset Valuation Principles and Guidance Notes issued by the Royal Institute of Chartered Surveyors (RICS). This is performedby the Council’s In-house Valuer and its appointed valuers Wilkes, Head and Eve LLP.  Property, Plant and Equipment are classified into the groupings required by the Code of Practice.</w:t>
      </w:r>
    </w:p>
    <w:p w:rsidR="00F72906" w:rsidRDefault="00F72906" w:rsidP="00F72906"/>
    <w:p w:rsidR="00F72906" w:rsidRDefault="00F72906" w:rsidP="00F72906">
      <w:r>
        <w:t>Individual categories of assets are valued on the following basis:</w:t>
      </w:r>
    </w:p>
    <w:p w:rsidR="00F72906" w:rsidRDefault="00F72906" w:rsidP="00F72906"/>
    <w:p w:rsidR="00F72906" w:rsidRDefault="00F72906" w:rsidP="00F72906">
      <w:r>
        <w:t>•</w:t>
      </w:r>
      <w:r>
        <w:tab/>
        <w:t>Council dwellings are valued using a beacon principle (i.e. using sample dwellings) based on their Open Market Value (OMV) but adjusted to reflect their value as social housing.</w:t>
      </w:r>
    </w:p>
    <w:p w:rsidR="00F72906" w:rsidRDefault="00F72906" w:rsidP="00F72906">
      <w:r>
        <w:t>•</w:t>
      </w:r>
      <w:r>
        <w:tab/>
        <w:t>Other Land and Buildings are included in the balance sheet at their OMV.  The exceptions to this are school buildings and Social Services establishments that are included at their Depreciated Replacement Cost (DRC).</w:t>
      </w:r>
    </w:p>
    <w:p w:rsidR="00F72906" w:rsidRDefault="00F72906" w:rsidP="00F72906">
      <w:r>
        <w:t>•</w:t>
      </w:r>
      <w:r>
        <w:tab/>
        <w:t>Surplus assets are included in the balance sheet at their OMV.</w:t>
      </w:r>
    </w:p>
    <w:p w:rsidR="00F72906" w:rsidRDefault="00F72906" w:rsidP="00F72906">
      <w:r>
        <w:t>•</w:t>
      </w:r>
      <w:r>
        <w:tab/>
        <w:t>Community assets are included in the balance sheet at depreciated historic cost where appropriate otherwise they are included at a nominal value.</w:t>
      </w:r>
    </w:p>
    <w:p w:rsidR="00F72906" w:rsidRDefault="00F72906" w:rsidP="00F72906">
      <w:r>
        <w:t>•</w:t>
      </w:r>
      <w:r>
        <w:tab/>
        <w:t xml:space="preserve">Infrastructure assets, vehicles, plant, furniture and equipment have been valued at depreciated historic cost. </w:t>
      </w:r>
    </w:p>
    <w:p w:rsidR="00F72906" w:rsidRDefault="00F72906" w:rsidP="00F72906">
      <w:r>
        <w:t>•</w:t>
      </w:r>
      <w:r>
        <w:tab/>
        <w:t>Assets under construction are held at their invoiced construction cost at year end.</w:t>
      </w:r>
    </w:p>
    <w:p w:rsidR="00F72906" w:rsidRDefault="00F72906" w:rsidP="00F72906"/>
    <w:p w:rsidR="00F72906" w:rsidRDefault="00F72906" w:rsidP="00F72906">
      <w:r>
        <w:t xml:space="preserve">Revaluations of Property, Plant and Equipment are planned on a five year cycle with a proportion of the asset base being revalued each year. Material changes to asset valuations resulting from works or similar investment outside of the agreed revaluation of assets cycle will be adjusted in the period as they occur. </w:t>
      </w:r>
    </w:p>
    <w:p w:rsidR="00F72906" w:rsidRDefault="00F72906" w:rsidP="00F72906"/>
    <w:p w:rsidR="00F72906" w:rsidRDefault="00F72906" w:rsidP="00F72906">
      <w:r>
        <w:t xml:space="preserve">3.1.1 Depreciation and Amortisation </w:t>
      </w:r>
    </w:p>
    <w:p w:rsidR="00F72906" w:rsidRDefault="00F72906" w:rsidP="00F72906">
      <w:r>
        <w:t>Depreciation is the measurement of the cost or revalued amount of the economic benefits of the tangible non-current assets that have been consumed during the financial year.</w:t>
      </w:r>
    </w:p>
    <w:p w:rsidR="00F72906" w:rsidRDefault="00F72906" w:rsidP="00F72906"/>
    <w:p w:rsidR="00F72906" w:rsidRDefault="00F72906" w:rsidP="00F72906">
      <w:r>
        <w:lastRenderedPageBreak/>
        <w:t>Amoritisation is the measurement of the cost or revalued amount of the economic benefits of the intangible non-current assets that have been consumed during the financial year.</w:t>
      </w:r>
    </w:p>
    <w:p w:rsidR="00F72906" w:rsidRDefault="00F72906" w:rsidP="00F72906"/>
    <w:p w:rsidR="00F72906" w:rsidRDefault="00F72906" w:rsidP="00F72906">
      <w:r>
        <w:t xml:space="preserve">Consumption includes the wearing out, using up or other reduction in the useful economic life of a non-current asset whether arising from use, passing of time or obsolescence through either changes in technology or demand for the goods and services produced by the asset. </w:t>
      </w:r>
    </w:p>
    <w:p w:rsidR="00F72906" w:rsidRDefault="00F72906" w:rsidP="00F72906"/>
    <w:p w:rsidR="00F72906" w:rsidRDefault="00F72906" w:rsidP="00F72906">
      <w:r>
        <w:t>Depreciation is calculated on all building assets using the straight line method as set out below.  Land Assets are not depreciated.</w:t>
      </w:r>
    </w:p>
    <w:tbl>
      <w:tblPr>
        <w:tblStyle w:val="TableGrid"/>
        <w:tblW w:w="9747" w:type="dxa"/>
        <w:tblLook w:val="04A0" w:firstRow="1" w:lastRow="0" w:firstColumn="1" w:lastColumn="0" w:noHBand="0" w:noVBand="1"/>
        <w:tblCaption w:val="Table to show depreciation policy"/>
        <w:tblDescription w:val="Shows the straight line method depreciation policy."/>
      </w:tblPr>
      <w:tblGrid>
        <w:gridCol w:w="4873"/>
        <w:gridCol w:w="4874"/>
      </w:tblGrid>
      <w:tr w:rsidR="002525F7" w:rsidTr="002525F7">
        <w:trPr>
          <w:tblHeader/>
        </w:trPr>
        <w:tc>
          <w:tcPr>
            <w:tcW w:w="4873" w:type="dxa"/>
          </w:tcPr>
          <w:p w:rsidR="002525F7" w:rsidRPr="008C1B39" w:rsidRDefault="002525F7" w:rsidP="002525F7">
            <w:pPr>
              <w:ind w:right="-142"/>
              <w:rPr>
                <w:rFonts w:cs="Calibri"/>
              </w:rPr>
            </w:pPr>
            <w:r w:rsidRPr="008C1B39">
              <w:rPr>
                <w:rFonts w:cs="Calibri"/>
              </w:rPr>
              <w:t>Buildings (including HRA)</w:t>
            </w:r>
          </w:p>
        </w:tc>
        <w:tc>
          <w:tcPr>
            <w:tcW w:w="4874" w:type="dxa"/>
          </w:tcPr>
          <w:p w:rsidR="002525F7" w:rsidRPr="008C1B39" w:rsidRDefault="002525F7" w:rsidP="002525F7">
            <w:pPr>
              <w:ind w:right="-142"/>
              <w:rPr>
                <w:rFonts w:cs="Calibri"/>
              </w:rPr>
            </w:pPr>
            <w:r w:rsidRPr="008C1B39">
              <w:rPr>
                <w:rFonts w:cs="Calibri"/>
              </w:rPr>
              <w:t>5 – 60 years as determined by the valuer</w:t>
            </w:r>
          </w:p>
        </w:tc>
      </w:tr>
      <w:tr w:rsidR="002525F7" w:rsidTr="002525F7">
        <w:tc>
          <w:tcPr>
            <w:tcW w:w="4873" w:type="dxa"/>
          </w:tcPr>
          <w:p w:rsidR="002525F7" w:rsidRPr="008C1B39" w:rsidRDefault="002525F7" w:rsidP="002525F7">
            <w:pPr>
              <w:ind w:right="-142"/>
              <w:rPr>
                <w:rFonts w:cs="Calibri"/>
              </w:rPr>
            </w:pPr>
            <w:r w:rsidRPr="008C1B39">
              <w:rPr>
                <w:rFonts w:cs="Calibri"/>
              </w:rPr>
              <w:t>Infrastructure</w:t>
            </w:r>
          </w:p>
        </w:tc>
        <w:tc>
          <w:tcPr>
            <w:tcW w:w="4874" w:type="dxa"/>
          </w:tcPr>
          <w:p w:rsidR="002525F7" w:rsidRPr="008C1B39" w:rsidRDefault="002525F7" w:rsidP="002525F7">
            <w:pPr>
              <w:ind w:right="-142"/>
              <w:rPr>
                <w:rFonts w:cs="Calibri"/>
              </w:rPr>
            </w:pPr>
            <w:r w:rsidRPr="008C1B39">
              <w:rPr>
                <w:rFonts w:cs="Calibri"/>
              </w:rPr>
              <w:t>10 – 40 years</w:t>
            </w:r>
          </w:p>
        </w:tc>
      </w:tr>
      <w:tr w:rsidR="002525F7" w:rsidTr="002525F7">
        <w:tc>
          <w:tcPr>
            <w:tcW w:w="4873" w:type="dxa"/>
          </w:tcPr>
          <w:p w:rsidR="002525F7" w:rsidRPr="008C1B39" w:rsidRDefault="002525F7" w:rsidP="002525F7">
            <w:pPr>
              <w:ind w:right="-142"/>
              <w:rPr>
                <w:rFonts w:cs="Calibri"/>
              </w:rPr>
            </w:pPr>
            <w:r w:rsidRPr="008C1B39">
              <w:rPr>
                <w:rFonts w:cs="Calibri"/>
              </w:rPr>
              <w:t>Plant, Vehicles, Equipment &amp; Machinery</w:t>
            </w:r>
          </w:p>
          <w:p w:rsidR="002525F7" w:rsidRPr="008C1B39" w:rsidRDefault="002525F7" w:rsidP="002525F7">
            <w:pPr>
              <w:ind w:right="-142"/>
              <w:rPr>
                <w:rFonts w:cs="Calibri"/>
              </w:rPr>
            </w:pPr>
          </w:p>
        </w:tc>
        <w:tc>
          <w:tcPr>
            <w:tcW w:w="4874" w:type="dxa"/>
          </w:tcPr>
          <w:p w:rsidR="002525F7" w:rsidRPr="008C1B39" w:rsidRDefault="002525F7" w:rsidP="002525F7">
            <w:pPr>
              <w:ind w:right="-142"/>
              <w:rPr>
                <w:rFonts w:cs="Calibri"/>
              </w:rPr>
            </w:pPr>
            <w:r w:rsidRPr="008C1B39">
              <w:rPr>
                <w:rFonts w:cs="Calibri"/>
              </w:rPr>
              <w:t>Up to 10 years</w:t>
            </w:r>
          </w:p>
          <w:p w:rsidR="002525F7" w:rsidRPr="008C1B39" w:rsidRDefault="002525F7" w:rsidP="002525F7">
            <w:pPr>
              <w:ind w:right="-142"/>
              <w:rPr>
                <w:rFonts w:cs="Calibri"/>
              </w:rPr>
            </w:pPr>
          </w:p>
        </w:tc>
      </w:tr>
      <w:tr w:rsidR="002525F7" w:rsidTr="002525F7">
        <w:tc>
          <w:tcPr>
            <w:tcW w:w="4873" w:type="dxa"/>
          </w:tcPr>
          <w:p w:rsidR="002525F7" w:rsidRPr="008C1B39" w:rsidRDefault="002525F7" w:rsidP="002525F7">
            <w:pPr>
              <w:ind w:right="-142"/>
              <w:rPr>
                <w:rFonts w:cs="Calibri"/>
              </w:rPr>
            </w:pPr>
            <w:r w:rsidRPr="008C1B39">
              <w:rPr>
                <w:rFonts w:cs="Calibri"/>
              </w:rPr>
              <w:t>Community Assets</w:t>
            </w:r>
          </w:p>
        </w:tc>
        <w:tc>
          <w:tcPr>
            <w:tcW w:w="4874" w:type="dxa"/>
          </w:tcPr>
          <w:p w:rsidR="002525F7" w:rsidRPr="008C1B39" w:rsidRDefault="002525F7" w:rsidP="002525F7">
            <w:pPr>
              <w:ind w:right="-142"/>
              <w:rPr>
                <w:rFonts w:cs="Calibri"/>
              </w:rPr>
            </w:pPr>
            <w:r w:rsidRPr="008C1B39">
              <w:rPr>
                <w:rFonts w:cs="Calibri"/>
              </w:rPr>
              <w:t>Not depreciated where held at nominal value</w:t>
            </w:r>
          </w:p>
        </w:tc>
      </w:tr>
    </w:tbl>
    <w:p w:rsidR="00F72906" w:rsidRDefault="00F72906" w:rsidP="00F72906"/>
    <w:p w:rsidR="00F72906" w:rsidRDefault="00F72906" w:rsidP="00F72906">
      <w:r>
        <w:t xml:space="preserve">Housing Revenue Account dwellings are depreciated by an estimate of the consumption of economic benefits. </w:t>
      </w:r>
    </w:p>
    <w:p w:rsidR="00F72906" w:rsidRDefault="00F72906" w:rsidP="00F72906"/>
    <w:p w:rsidR="00F72906" w:rsidRDefault="00F72906" w:rsidP="00F72906">
      <w:r>
        <w:t>Where buildings assets are revalued, the accumulated depreciation at the beginning of the year is written down to the revaluation reserve.</w:t>
      </w:r>
    </w:p>
    <w:p w:rsidR="00F72906" w:rsidRDefault="00F72906" w:rsidP="00F72906"/>
    <w:p w:rsidR="00F72906" w:rsidRDefault="00F72906" w:rsidP="00F72906">
      <w:r>
        <w:t xml:space="preserve">3.1.2 Component Accounting </w:t>
      </w:r>
    </w:p>
    <w:p w:rsidR="00F72906" w:rsidRDefault="00F72906" w:rsidP="00F72906">
      <w:r>
        <w:t xml:space="preserve">Local authorities are required to value the components of major assets, where the components are of material value and have a significantly different economic life to the asset itself. </w:t>
      </w:r>
    </w:p>
    <w:p w:rsidR="00F72906" w:rsidRDefault="00F72906" w:rsidP="00F72906"/>
    <w:p w:rsidR="00F72906" w:rsidRDefault="00F72906" w:rsidP="00F72906">
      <w:r>
        <w:t>Componentisation will be undertaken where the value of the individual component is over £2m and the value of that component is in excess of 20% of the total gross carrying value of the building and will be undertaken when buildings are valued or re-valued, or enhancement expenditure of £0.25m is incurred.</w:t>
      </w:r>
    </w:p>
    <w:p w:rsidR="00F72906" w:rsidRDefault="00F72906" w:rsidP="00F72906"/>
    <w:p w:rsidR="00F72906" w:rsidRDefault="00F72906" w:rsidP="00F72906">
      <w:r>
        <w:t>Where componentisation applies, the assets will be broken down into the following broad categories;</w:t>
      </w:r>
    </w:p>
    <w:p w:rsidR="00F72906" w:rsidRDefault="00F72906" w:rsidP="00F72906"/>
    <w:p w:rsidR="00F72906" w:rsidRDefault="00F72906" w:rsidP="00F72906">
      <w:r>
        <w:t>•</w:t>
      </w:r>
      <w:r>
        <w:tab/>
        <w:t>Building main structure - including foundations, structure, doors, windows and internal finishes - Design life 60 years.</w:t>
      </w:r>
    </w:p>
    <w:p w:rsidR="00F72906" w:rsidRDefault="00F72906" w:rsidP="00F72906">
      <w:r>
        <w:t>•</w:t>
      </w:r>
      <w:r>
        <w:tab/>
        <w:t>Heating systems - boilers, hot water systems, piping, air ventilation, pumps - Design life 25 years.</w:t>
      </w:r>
    </w:p>
    <w:p w:rsidR="00F72906" w:rsidRDefault="00F72906" w:rsidP="00F72906">
      <w:r>
        <w:t>•</w:t>
      </w:r>
      <w:r>
        <w:tab/>
        <w:t>Electricals - fixed wiring, lighting - Design life 30 years.</w:t>
      </w:r>
    </w:p>
    <w:p w:rsidR="00F72906" w:rsidRDefault="00F72906" w:rsidP="00F72906">
      <w:r>
        <w:t>•</w:t>
      </w:r>
      <w:r>
        <w:tab/>
        <w:t>Mechanical plant - lifts - Design life 30 years.</w:t>
      </w:r>
    </w:p>
    <w:p w:rsidR="00F72906" w:rsidRDefault="00F72906" w:rsidP="00F72906">
      <w:r>
        <w:t>•</w:t>
      </w:r>
      <w:r>
        <w:tab/>
        <w:t>Roof structure - Design life 50 years.</w:t>
      </w:r>
    </w:p>
    <w:p w:rsidR="00F72906" w:rsidRDefault="00F72906" w:rsidP="00F72906">
      <w:r>
        <w:lastRenderedPageBreak/>
        <w:t>•</w:t>
      </w:r>
      <w:r>
        <w:tab/>
        <w:t>Externals - drains, service mains, car parks, play areas, landscaping - Design life 60 years.</w:t>
      </w:r>
    </w:p>
    <w:p w:rsidR="00F72906" w:rsidRDefault="00F72906" w:rsidP="00F72906"/>
    <w:p w:rsidR="00F72906" w:rsidRDefault="00F72906" w:rsidP="00F72906">
      <w:r>
        <w:t>The estimated life of the individual categories may vary and the above is intended as a guide. In some circumstances further break down to additional components maybe justified for unusual or specialist building elements.</w:t>
      </w:r>
    </w:p>
    <w:p w:rsidR="00F72906" w:rsidRDefault="00F72906" w:rsidP="00F72906"/>
    <w:p w:rsidR="00F72906" w:rsidRDefault="00F72906" w:rsidP="00F72906">
      <w:r>
        <w:t>The remaining life of each of the elements is given, then the blended remaining useful life is calculated and applied to the overall asset.</w:t>
      </w:r>
    </w:p>
    <w:p w:rsidR="00F72906" w:rsidRDefault="00F72906" w:rsidP="00F72906"/>
    <w:p w:rsidR="00F72906" w:rsidRDefault="00F72906" w:rsidP="00F72906">
      <w:r>
        <w:t xml:space="preserve">3.2 Investment Properties </w:t>
      </w:r>
    </w:p>
    <w:p w:rsidR="00F72906" w:rsidRDefault="00F72906" w:rsidP="00F72906">
      <w:r>
        <w:t xml:space="preserve">Investment properties are properties held solely for capital appreciation or rental income. The Code of Practice requires that investment properties are not depreciated, but instead held at fair value, in this case OMV, and their book value is adjusted annually where there has been a material change in value. </w:t>
      </w:r>
    </w:p>
    <w:p w:rsidR="00F72906" w:rsidRDefault="00F72906" w:rsidP="00F72906"/>
    <w:p w:rsidR="00F72906" w:rsidRDefault="00F72906" w:rsidP="00F72906">
      <w:r>
        <w:t xml:space="preserve">3.3 Heritage Assets </w:t>
      </w:r>
    </w:p>
    <w:p w:rsidR="00F72906" w:rsidRDefault="00F72906" w:rsidP="00F72906">
      <w:r>
        <w:t>Heritage Assets are defined as:</w:t>
      </w:r>
    </w:p>
    <w:p w:rsidR="00F72906" w:rsidRDefault="00F72906" w:rsidP="00F72906"/>
    <w:p w:rsidR="00F72906" w:rsidRDefault="00F72906" w:rsidP="00F72906">
      <w:r>
        <w:t xml:space="preserve">A tangible asset with historical, artistic, scientific, technological, geophysical or environmental qualities that is held and maintained principally for its contribution to knowledge and culture, or an intangible asset with cultural, environmental or historical significance. </w:t>
      </w:r>
    </w:p>
    <w:p w:rsidR="00F72906" w:rsidRDefault="00F72906" w:rsidP="00F72906"/>
    <w:p w:rsidR="00F72906" w:rsidRDefault="00F72906" w:rsidP="00F72906">
      <w:r>
        <w:t>Heritage assets are carried at valuation rather than fair value, reflecting the fact that exchanges of heritage assets are uncommon. The Council’s valuation is as per an insurance valuation. Revaluations will be carried out as and when the insurance valuation is updated.</w:t>
      </w:r>
    </w:p>
    <w:p w:rsidR="00F72906" w:rsidRDefault="00F72906" w:rsidP="00F72906"/>
    <w:p w:rsidR="00F72906" w:rsidRDefault="00F72906" w:rsidP="00F72906">
      <w:r>
        <w:t xml:space="preserve">3.4 Intangible Assets </w:t>
      </w:r>
    </w:p>
    <w:p w:rsidR="00F72906" w:rsidRDefault="00F72906" w:rsidP="00F72906">
      <w:r>
        <w:t>Intangible assets are identifiable non-monetary assets without physical substance. Expenditure on purchasing intangible fixed assets such as computer software has been capitalised at cost when it is probable that future economic benefit or service potential will flow to the authority.</w:t>
      </w:r>
    </w:p>
    <w:p w:rsidR="00F72906" w:rsidRDefault="00F72906" w:rsidP="00F72906"/>
    <w:p w:rsidR="00F72906" w:rsidRDefault="00F72906" w:rsidP="00F72906">
      <w:r>
        <w:t>Amortisation is the equivalent of depreciation for intangible assets and is calculated using the straight line method based on estimated economic life of between 5 to 7 years.</w:t>
      </w:r>
    </w:p>
    <w:p w:rsidR="00F72906" w:rsidRDefault="00F72906" w:rsidP="00F72906"/>
    <w:p w:rsidR="00F72906" w:rsidRDefault="00F72906" w:rsidP="00F72906">
      <w:r>
        <w:t xml:space="preserve">3.5 Impairment </w:t>
      </w:r>
    </w:p>
    <w:p w:rsidR="00F72906" w:rsidRDefault="00F72906" w:rsidP="00F72906">
      <w:r>
        <w:t xml:space="preserve">Impairment reviews on groups of assets are undertaken on an annual basis by the valuer. Impairment is recognised where the asset’s carrying value is greater than its net recoverable value in use or through sale, </w:t>
      </w:r>
      <w:r>
        <w:lastRenderedPageBreak/>
        <w:t>and the loss is specific to the asset, or a small group of assets. Losses not specific to the asset or a small group of assets, such as a general fall in market prices will be treated as revaluation losses.</w:t>
      </w:r>
    </w:p>
    <w:p w:rsidR="00F72906" w:rsidRDefault="00F72906" w:rsidP="00F72906"/>
    <w:p w:rsidR="00F72906" w:rsidRDefault="00F72906" w:rsidP="00F72906">
      <w:r>
        <w:t>Impairment losses are recognised against historic cost, and revalued net book value (for revalued assets). Losses for revalued assets will be recognised against the revaluation reserve to the limit of the credit balance for that asset in the revaluation reserve, and thereafter in surplus or deficit on provision of services in the Comprehensive Income and Expenditure Statement. Losses for non-revalued assets will be recognised in surplus or deficit on provision of services in the Comprehensive Income and Expenditure Statement.</w:t>
      </w:r>
    </w:p>
    <w:p w:rsidR="00F72906" w:rsidRDefault="00F72906" w:rsidP="00F72906"/>
    <w:p w:rsidR="00F72906" w:rsidRDefault="00F72906" w:rsidP="00F72906">
      <w:r>
        <w:t xml:space="preserve">The impairment review includes an annual assessment of whether there is indication that the recoverable value of any impaired assets has increased, reversing part or all of the impairment. </w:t>
      </w:r>
    </w:p>
    <w:p w:rsidR="00F72906" w:rsidRDefault="00F72906" w:rsidP="00F72906"/>
    <w:p w:rsidR="00F72906" w:rsidRDefault="00F72906" w:rsidP="00F72906">
      <w:r>
        <w:t xml:space="preserve">For Plant, Property and Equipment, and Intangible Assets, if there is indication that the recoverable value has increased, the valuer will reassess the economic life of the asset for the purposes of determining depreciation. The impairment will be reversed to the extent that up to the carrying value of the asset had there been no impairment. This reversal will in the first instance be used to reverse any charge made to the surplus or deficit on provision of services in the Comprehensive Income and Expenditure Statement, and then to the revaluation reserve. </w:t>
      </w:r>
    </w:p>
    <w:p w:rsidR="00F72906" w:rsidRDefault="00F72906" w:rsidP="00F72906"/>
    <w:p w:rsidR="00F72906" w:rsidRDefault="00F72906" w:rsidP="00F72906">
      <w:r>
        <w:t>4. Balance sheet – Current Assets</w:t>
      </w:r>
    </w:p>
    <w:p w:rsidR="00F72906" w:rsidRDefault="00F72906" w:rsidP="00F72906"/>
    <w:p w:rsidR="00F72906" w:rsidRDefault="00F72906" w:rsidP="00F72906">
      <w:r>
        <w:t xml:space="preserve">4.1 Inventories and Long Term Contracts </w:t>
      </w:r>
    </w:p>
    <w:p w:rsidR="00F72906" w:rsidRDefault="00F72906" w:rsidP="00F72906">
      <w:r>
        <w:t>Inventories are valued at the lower of cost and net realisable value. The Council   only obtains inventories through exchange transactions.</w:t>
      </w:r>
    </w:p>
    <w:p w:rsidR="00F72906" w:rsidRDefault="00F72906" w:rsidP="00F72906"/>
    <w:p w:rsidR="00F72906" w:rsidRDefault="00F72906" w:rsidP="00F72906">
      <w:r>
        <w:t xml:space="preserve">4.2 Cash and Cash Equivalents </w:t>
      </w:r>
    </w:p>
    <w:p w:rsidR="00F72906" w:rsidRDefault="00F72906" w:rsidP="00F72906">
      <w:r>
        <w:t>IAS 7 defines cash and cash equivalents as cash, bank balances, and very short-term investments used for cash management purposes. The Council uses bank overdrafts as part of its cash management strategy, therefore these are disclosed as part of cash and cash equivalents in line with IAS 7. Short-term investments invested for three months or less with a known maturity value and date are included in cash and cash equivalents; the Council uses money market funds as an integral part of its cash management, so these investments are also disclosed as part of cash and cash equivalents.</w:t>
      </w:r>
    </w:p>
    <w:p w:rsidR="00F72906" w:rsidRDefault="00F72906" w:rsidP="00F72906"/>
    <w:p w:rsidR="00F72906" w:rsidRDefault="00F72906" w:rsidP="00F72906">
      <w:r>
        <w:t>4.3 Work in Progress (Construction contracts)</w:t>
      </w:r>
    </w:p>
    <w:p w:rsidR="00F72906" w:rsidRDefault="00F72906" w:rsidP="00F72906">
      <w:r>
        <w:t xml:space="preserve">Under the Code of Practice, construction contracts undertaken by the Council for the Council’s customers are accounted for as set out in the code This is separate from Assets under Construction where the Council is constructing assets for its own use. The Code of Practice requires use of the percentage completion method for calculating accounting entries for such contracts. Under the percentage of completion method, contract </w:t>
      </w:r>
      <w:r>
        <w:lastRenderedPageBreak/>
        <w:t>revenue is matched with the contract costs incurred in reaching the stage of completion, resulting in the reporting of revenue, expenses and surplus/deficit which can be attributed to the proportion of work completed. The percentage of completion is assessed based on costs incurred for work performed to date.</w:t>
      </w:r>
    </w:p>
    <w:p w:rsidR="00F72906" w:rsidRDefault="00F72906" w:rsidP="00F72906"/>
    <w:p w:rsidR="00F72906" w:rsidRDefault="00F72906" w:rsidP="00F72906">
      <w:r>
        <w:t xml:space="preserve">Until the point where outcome of the construction contract can be reliably estimated, revenue will only be recognised in line with construction costs to date. Once construction costs can be reliably measured, revenue will be recognised using the percentage completion method described above. Any expected losses will be immediately recognised as an expense. </w:t>
      </w:r>
    </w:p>
    <w:p w:rsidR="00F72906" w:rsidRDefault="00F72906" w:rsidP="00F72906"/>
    <w:p w:rsidR="00F72906" w:rsidRDefault="00F72906" w:rsidP="00F72906">
      <w:r>
        <w:t xml:space="preserve">5.  Balance sheet - Liabilities </w:t>
      </w:r>
    </w:p>
    <w:p w:rsidR="00F72906" w:rsidRDefault="00F72906" w:rsidP="00F72906"/>
    <w:p w:rsidR="00F72906" w:rsidRDefault="00F72906" w:rsidP="00F72906">
      <w:r>
        <w:t xml:space="preserve">5.1 Provisions, Contingent Liabilities, and Contingent Assets </w:t>
      </w:r>
    </w:p>
    <w:p w:rsidR="00F72906" w:rsidRDefault="00F72906" w:rsidP="00F72906">
      <w:r>
        <w:t xml:space="preserve">The Council makes a provision in compliance with IAS 37 where there is a present obligation as a result of a past event where it is probable that the Council will incur expenditure to settle the obligation and where a reasonable estimate can be made of the amount involved. </w:t>
      </w:r>
    </w:p>
    <w:p w:rsidR="00F72906" w:rsidRDefault="00F72906" w:rsidP="00F72906"/>
    <w:p w:rsidR="00F72906" w:rsidRDefault="00F72906" w:rsidP="00F72906">
      <w:r>
        <w:t>In addition to the provisions listed in note 9 to the Core Financial Statements, there is a provision for unrecovered debts, this has been netted off against the debtors figure on the balance sheet (see note 2 to the Core Financial Statements).</w:t>
      </w:r>
    </w:p>
    <w:p w:rsidR="00F72906" w:rsidRDefault="00F72906" w:rsidP="00F72906"/>
    <w:p w:rsidR="00F72906" w:rsidRDefault="00F72906" w:rsidP="00F72906">
      <w:r>
        <w:t>The Code of Practice requires provisions to be split into current provisions (within a year) and long term provisions. The current provision for insurance is estimated by on the basis of professional advice provided on the insurance fund.</w:t>
      </w:r>
    </w:p>
    <w:p w:rsidR="00F72906" w:rsidRDefault="00F72906" w:rsidP="00F72906"/>
    <w:p w:rsidR="00F72906" w:rsidRDefault="00F72906" w:rsidP="00F72906">
      <w:r>
        <w:t xml:space="preserve">The Council makes provision for the outcome of Non-domestic ratepayers appeals cases, the outcome of which is decided by the Valuation Office Agency. Appeals can be backdated by five years and so a calculation is done to estimate potential losses in each year taking in to account the relevant multiplier in that particular year and the success rate of previous appeals. </w:t>
      </w:r>
    </w:p>
    <w:p w:rsidR="00F72906" w:rsidRDefault="00F72906" w:rsidP="00F72906"/>
    <w:p w:rsidR="00F72906" w:rsidRDefault="00F72906" w:rsidP="00F72906">
      <w:r>
        <w:t>A contingent liability is disclosed in the notes to the accounts where there is either a possible obligation as a result of a past event where it is possible that the Council will incur expenditure to settle the obligation; or a present obligation as a result of a past event where it is either not probable that the Council will incur expenditure to settle the obligation, or where a reasonable estimate of the future obligation cannot be made.</w:t>
      </w:r>
    </w:p>
    <w:p w:rsidR="00F72906" w:rsidRDefault="00F72906" w:rsidP="00F72906"/>
    <w:p w:rsidR="00F72906" w:rsidRDefault="00F72906" w:rsidP="00F72906">
      <w:r>
        <w:t>A contingent asset is disclosed in the notes to the accounts where a possible asset arises from past events, and whose existence will be confirmed only by the occurrence or non-occurrence of one or more uncertain future events not wholly within the control of the Council.</w:t>
      </w:r>
    </w:p>
    <w:p w:rsidR="00F72906" w:rsidRDefault="00F72906" w:rsidP="00F72906"/>
    <w:p w:rsidR="00F72906" w:rsidRDefault="00F72906" w:rsidP="00F72906">
      <w:r>
        <w:t xml:space="preserve">5.2 Employee benefits </w:t>
      </w:r>
    </w:p>
    <w:p w:rsidR="00F72906" w:rsidRDefault="00F72906" w:rsidP="00F72906">
      <w:r>
        <w:t>The Council recognises a provision for the entitlement of its employees to benefits within the reported financial year. This provision is estimated based on the entitlement of the Council’s employees to leave as at the 1 April for the previous financial year.</w:t>
      </w:r>
    </w:p>
    <w:p w:rsidR="00F72906" w:rsidRDefault="00F72906" w:rsidP="00F72906"/>
    <w:p w:rsidR="00F72906" w:rsidRDefault="00F72906" w:rsidP="00F72906">
      <w:r>
        <w:t>Regulations prohibit Council tax payers from being charged for this provision, so any movement in this provision is transferred to the Accumulated Absences Account.</w:t>
      </w:r>
    </w:p>
    <w:p w:rsidR="00F72906" w:rsidRDefault="00F72906" w:rsidP="00F72906"/>
    <w:p w:rsidR="00F72906" w:rsidRDefault="00F72906" w:rsidP="00F72906">
      <w:r>
        <w:t>The Council accounts for employee benefits in accordance with the Code which is based on IAS 19. The underlying principle of IAS 19 is that an organisation should account for employment and post-employment benefits when employees earn them and the authority is committed to providing them, even if the actual provision might be many years into the future.</w:t>
      </w:r>
    </w:p>
    <w:p w:rsidR="00F72906" w:rsidRDefault="00F72906" w:rsidP="00F72906"/>
    <w:p w:rsidR="00F72906" w:rsidRDefault="00F72906" w:rsidP="00F72906">
      <w:r>
        <w:t>5.3 Reserves</w:t>
      </w:r>
    </w:p>
    <w:p w:rsidR="00F72906" w:rsidRDefault="00F72906" w:rsidP="00F72906">
      <w:r>
        <w:t xml:space="preserve">Reserves are divided into usable and unusable reserves. Within the usable reserves there are amounts set aside for earmarked purposes out of the balances on the Council’s funds. </w:t>
      </w:r>
    </w:p>
    <w:p w:rsidR="00F72906" w:rsidRDefault="00F72906" w:rsidP="00F72906"/>
    <w:p w:rsidR="00F72906" w:rsidRDefault="00F72906" w:rsidP="00F72906">
      <w:r>
        <w:t>6 Balance Sheet - Financial Instruments</w:t>
      </w:r>
    </w:p>
    <w:p w:rsidR="00F72906" w:rsidRDefault="00F72906" w:rsidP="00F72906"/>
    <w:p w:rsidR="00F72906" w:rsidRDefault="00F72906" w:rsidP="00F72906">
      <w:r>
        <w:t xml:space="preserve">6.1 Financial Assets </w:t>
      </w:r>
    </w:p>
    <w:p w:rsidR="00F72906" w:rsidRDefault="00F72906" w:rsidP="00F72906"/>
    <w:p w:rsidR="00F72906" w:rsidRDefault="00F72906" w:rsidP="00F72906">
      <w:r>
        <w:t>IFRS 9 requires three different models to be applied to the classification and measurement of financial assets, based on the business model used:</w:t>
      </w:r>
    </w:p>
    <w:tbl>
      <w:tblPr>
        <w:tblStyle w:val="TableGridLight"/>
        <w:tblW w:w="0" w:type="auto"/>
        <w:tblInd w:w="0" w:type="dxa"/>
        <w:tblLook w:val="04A0" w:firstRow="1" w:lastRow="0" w:firstColumn="1" w:lastColumn="0" w:noHBand="0" w:noVBand="1"/>
        <w:tblCaption w:val="Financial assets model"/>
        <w:tblDescription w:val="Shows the three different models to be applied on classification and measurement of financial assets."/>
      </w:tblPr>
      <w:tblGrid>
        <w:gridCol w:w="384"/>
        <w:gridCol w:w="4514"/>
        <w:gridCol w:w="4849"/>
      </w:tblGrid>
      <w:tr w:rsidR="002525F7" w:rsidRPr="008C1B39" w:rsidTr="002525F7">
        <w:trPr>
          <w:tblHeader/>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2525F7" w:rsidRPr="008C1B39" w:rsidRDefault="002525F7" w:rsidP="00AE1C26">
            <w:pPr>
              <w:ind w:right="-142"/>
              <w:rPr>
                <w:rFonts w:ascii="Calibri" w:hAnsi="Calibri" w:cs="Calibri"/>
              </w:rPr>
            </w:pPr>
            <w:r w:rsidRPr="008C1B39">
              <w:rPr>
                <w:rFonts w:ascii="Calibri" w:hAnsi="Calibri" w:cs="Calibri"/>
              </w:rPr>
              <w:t>1.</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2525F7" w:rsidRPr="008C1B39" w:rsidRDefault="002525F7" w:rsidP="00AE1C26">
            <w:pPr>
              <w:ind w:right="-142"/>
              <w:rPr>
                <w:rFonts w:ascii="Calibri" w:hAnsi="Calibri" w:cs="Calibri"/>
              </w:rPr>
            </w:pPr>
            <w:r w:rsidRPr="008C1B39">
              <w:rPr>
                <w:rFonts w:ascii="Calibri" w:hAnsi="Calibri" w:cs="Calibri"/>
              </w:rPr>
              <w:t>Assets held to collect contractual cash flows</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2525F7" w:rsidRPr="008C1B39" w:rsidRDefault="002525F7" w:rsidP="00AE1C26">
            <w:pPr>
              <w:ind w:right="-142"/>
              <w:rPr>
                <w:rFonts w:ascii="Calibri" w:hAnsi="Calibri" w:cs="Calibri"/>
              </w:rPr>
            </w:pPr>
            <w:r w:rsidRPr="008C1B39">
              <w:rPr>
                <w:rFonts w:ascii="Calibri" w:hAnsi="Calibri" w:cs="Calibri"/>
              </w:rPr>
              <w:t>Held at amortised cost</w:t>
            </w:r>
          </w:p>
        </w:tc>
      </w:tr>
      <w:tr w:rsidR="002525F7" w:rsidRPr="008C1B39" w:rsidTr="00AE1C26">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2525F7" w:rsidRPr="008C1B39" w:rsidRDefault="002525F7" w:rsidP="00AE1C26">
            <w:pPr>
              <w:ind w:right="-142"/>
              <w:rPr>
                <w:rFonts w:ascii="Calibri" w:hAnsi="Calibri" w:cs="Calibri"/>
              </w:rPr>
            </w:pPr>
            <w:r w:rsidRPr="008C1B39">
              <w:rPr>
                <w:rFonts w:ascii="Calibri" w:hAnsi="Calibri" w:cs="Calibri"/>
              </w:rPr>
              <w:t>2.</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2525F7" w:rsidRPr="008C1B39" w:rsidRDefault="002525F7" w:rsidP="00AE1C26">
            <w:pPr>
              <w:ind w:right="-142"/>
              <w:rPr>
                <w:rFonts w:ascii="Calibri" w:hAnsi="Calibri" w:cs="Calibri"/>
              </w:rPr>
            </w:pPr>
            <w:r w:rsidRPr="008C1B39">
              <w:rPr>
                <w:rFonts w:ascii="Calibri" w:hAnsi="Calibri" w:cs="Calibri"/>
              </w:rPr>
              <w:t>Assets held to collect contractual cash flows and sell</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2525F7" w:rsidRPr="008C1B39" w:rsidRDefault="002525F7" w:rsidP="00AE1C26">
            <w:pPr>
              <w:ind w:right="-142"/>
              <w:rPr>
                <w:rFonts w:ascii="Calibri" w:hAnsi="Calibri" w:cs="Calibri"/>
              </w:rPr>
            </w:pPr>
            <w:r w:rsidRPr="008C1B39">
              <w:rPr>
                <w:rFonts w:ascii="Calibri" w:hAnsi="Calibri" w:cs="Calibri"/>
              </w:rPr>
              <w:t>Held at Fair value through other comprehensive income</w:t>
            </w:r>
          </w:p>
        </w:tc>
      </w:tr>
      <w:tr w:rsidR="002525F7" w:rsidRPr="008C1B39" w:rsidTr="00AE1C26">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2525F7" w:rsidRPr="008C1B39" w:rsidRDefault="002525F7" w:rsidP="00AE1C26">
            <w:pPr>
              <w:ind w:right="-142"/>
              <w:rPr>
                <w:rFonts w:ascii="Calibri" w:hAnsi="Calibri" w:cs="Calibri"/>
              </w:rPr>
            </w:pPr>
            <w:r w:rsidRPr="008C1B39">
              <w:rPr>
                <w:rFonts w:ascii="Calibri" w:hAnsi="Calibri" w:cs="Calibri"/>
              </w:rPr>
              <w:t>3.</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2525F7" w:rsidRPr="008C1B39" w:rsidRDefault="002525F7" w:rsidP="00AE1C26">
            <w:pPr>
              <w:ind w:right="-142"/>
              <w:rPr>
                <w:rFonts w:ascii="Calibri" w:hAnsi="Calibri" w:cs="Calibri"/>
              </w:rPr>
            </w:pPr>
            <w:r w:rsidRPr="008C1B39">
              <w:rPr>
                <w:rFonts w:ascii="Calibri" w:hAnsi="Calibri" w:cs="Calibri"/>
              </w:rPr>
              <w:t>Other, not 1 or 2</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2525F7" w:rsidRPr="008C1B39" w:rsidRDefault="002525F7" w:rsidP="00AE1C26">
            <w:pPr>
              <w:ind w:right="-142"/>
              <w:rPr>
                <w:rFonts w:ascii="Calibri" w:hAnsi="Calibri" w:cs="Calibri"/>
              </w:rPr>
            </w:pPr>
            <w:r w:rsidRPr="008C1B39">
              <w:rPr>
                <w:rFonts w:ascii="Calibri" w:hAnsi="Calibri" w:cs="Calibri"/>
              </w:rPr>
              <w:t>Held at Fair value through profit and loss</w:t>
            </w:r>
          </w:p>
        </w:tc>
      </w:tr>
    </w:tbl>
    <w:p w:rsidR="00F72906" w:rsidRDefault="00F72906" w:rsidP="00F72906"/>
    <w:p w:rsidR="00F72906" w:rsidRDefault="00F72906" w:rsidP="00F72906">
      <w:r>
        <w:t>The council currently only has significant financial assets that meet criteria 1, so these are held at amortised cost. This means that interest receivable is recorded through profit and loss using the effective interest rate, and any impairment is also recorded through profit and loss.</w:t>
      </w:r>
    </w:p>
    <w:p w:rsidR="00F72906" w:rsidRDefault="00F72906" w:rsidP="00F72906">
      <w:r>
        <w:t>Impairment of financial assets is applied based on a three stage model:</w:t>
      </w:r>
    </w:p>
    <w:p w:rsidR="00F72906" w:rsidRDefault="00F72906" w:rsidP="00F72906">
      <w:r>
        <w:t>1.</w:t>
      </w:r>
      <w:r>
        <w:tab/>
        <w:t>Performing</w:t>
      </w:r>
    </w:p>
    <w:p w:rsidR="00F72906" w:rsidRDefault="00F72906" w:rsidP="00F72906">
      <w:r>
        <w:t>2.</w:t>
      </w:r>
      <w:r>
        <w:tab/>
        <w:t xml:space="preserve">Under-performing </w:t>
      </w:r>
    </w:p>
    <w:p w:rsidR="00F72906" w:rsidRDefault="00F72906" w:rsidP="00F72906">
      <w:r>
        <w:t>3.</w:t>
      </w:r>
      <w:r>
        <w:tab/>
        <w:t>Non-performing</w:t>
      </w:r>
    </w:p>
    <w:p w:rsidR="00F72906" w:rsidRDefault="00F72906" w:rsidP="00F72906">
      <w:r>
        <w:lastRenderedPageBreak/>
        <w:t>The stage used for financial assets depends upon the credit of quality of the assets, which is assessed each year. For this Statement of Accounts, all financial assets have been assessed as performing. Performing financial assets are impaired on the basis of 12 month expected losses and gross interest is applied. For trade receivables with no significant financing component, the council uses the simplified model permitted by IFRS, which is to impair on the basis of lifetime expected losses.</w:t>
      </w:r>
    </w:p>
    <w:p w:rsidR="00F72906" w:rsidRDefault="00F72906" w:rsidP="00F72906"/>
    <w:p w:rsidR="00F72906" w:rsidRDefault="00F72906" w:rsidP="00F72906">
      <w:r>
        <w:t>For the Council’s soft loans, the interest rate at which the fair value of the soft loan has been arrived at with reference to the methodology laid out in the EU document -Communication from the Commission on the revision of the method for setting the reference and discount rates (2008/C14/02).</w:t>
      </w:r>
    </w:p>
    <w:p w:rsidR="00F72906" w:rsidRDefault="00F72906" w:rsidP="00F72906"/>
    <w:p w:rsidR="00F72906" w:rsidRDefault="00F72906" w:rsidP="00F72906">
      <w:r>
        <w:t xml:space="preserve">6.2 Premature Redemption of Debt </w:t>
      </w:r>
    </w:p>
    <w:p w:rsidR="00F72906" w:rsidRDefault="00F72906" w:rsidP="00F72906">
      <w:r>
        <w:t>The practice for the Comprehensive Income and Expenditure Statement is to amortise premia and discounts over a period which reflects the life of the loans with which they are refinanced determined as described below.  This will not be followed in the following situations:</w:t>
      </w:r>
    </w:p>
    <w:p w:rsidR="00F72906" w:rsidRDefault="00F72906" w:rsidP="00F72906"/>
    <w:p w:rsidR="00F72906" w:rsidRDefault="00F72906" w:rsidP="00F72906">
      <w:r>
        <w:t>•</w:t>
      </w:r>
      <w:r>
        <w:tab/>
        <w:t>Where it is permissible and advantageous to capitalise premia (in which case the question of amortisation will not arise)</w:t>
      </w:r>
    </w:p>
    <w:p w:rsidR="00F72906" w:rsidRDefault="00F72906" w:rsidP="00F72906">
      <w:r>
        <w:t>•</w:t>
      </w:r>
      <w:r>
        <w:tab/>
        <w:t>Where the loans redeemed are not refinanced (when premia and discounts will be taken directly to the Revenue Account)</w:t>
      </w:r>
    </w:p>
    <w:p w:rsidR="00F72906" w:rsidRDefault="00F72906" w:rsidP="00F72906">
      <w:r>
        <w:t>•</w:t>
      </w:r>
      <w:r>
        <w:tab/>
        <w:t>Where discounts and premia are amortised over a broadly similar period, for convenience they will be shown as a net figure.</w:t>
      </w:r>
    </w:p>
    <w:p w:rsidR="00F72906" w:rsidRDefault="00F72906" w:rsidP="00F72906"/>
    <w:p w:rsidR="00F72906" w:rsidRDefault="00F72906" w:rsidP="00F72906">
      <w:r>
        <w:t>The practice for the HRA is different. In this case, discounts and premia are amortised, individually, over the remaining life of the loan repaid or ten years, whichever is the shorter.</w:t>
      </w:r>
    </w:p>
    <w:p w:rsidR="00F72906" w:rsidRDefault="00F72906" w:rsidP="00F72906"/>
    <w:p w:rsidR="00F72906" w:rsidRDefault="00F72906" w:rsidP="00F72906">
      <w:r>
        <w:t xml:space="preserve">6.3 Financial Liabilities </w:t>
      </w:r>
    </w:p>
    <w:p w:rsidR="00F72906" w:rsidRDefault="00F72906" w:rsidP="00F72906">
      <w:r>
        <w:t>Financial liabilities are initially measured at fair value and carried at their amortised cost. Annual charges to the Comprehensive Income and Expenditure Statement for interest payable are based on the carrying amount of the liability, multiplied by the effective rate of interest for the instrument. For most of the borrowings that the Council has, this means that the amount presented in the Balance Sheet is the outstanding principal repayable and interest charged to the Comprehensive Income and Expenditure Statement is the amount payable for the year in the loan agreement.</w:t>
      </w:r>
    </w:p>
    <w:p w:rsidR="00F72906" w:rsidRDefault="00F72906" w:rsidP="00F72906"/>
    <w:p w:rsidR="00F72906" w:rsidRDefault="00F72906" w:rsidP="00F72906">
      <w:r>
        <w:t xml:space="preserve">Gains and losses on the repurchase or early settlement of borrowing are credited and debited to the surplus or deficit on the provision of services section in the Comprehensive Income and Expenditure Statement in the year of repurchase / settlement. However, where repurchase has taken place as part of a restructuring of the loan portfolio that involves the modification or exchange of existing instruments, the premium or discount respectively would be deducted from or added to the amortised cost of the new or modified loan and the write down to the surplus or deficit on the provision of services section in the Comprehensive </w:t>
      </w:r>
      <w:r>
        <w:lastRenderedPageBreak/>
        <w:t>Income and Expenditure Statement spread over the life of the loan by an adjustment to the effective interest rate.</w:t>
      </w:r>
    </w:p>
    <w:p w:rsidR="00F72906" w:rsidRDefault="00F72906" w:rsidP="00F72906"/>
    <w:p w:rsidR="00F72906" w:rsidRDefault="00F72906" w:rsidP="00F72906">
      <w:r>
        <w:t>Where premia and discounts have been charged to the surplus or deficit on the provision of services section in the Comprehensive Income and Expenditure Statement, regulations allow the impact on the General Fund balance to be spread over future years. The Council has a policy of spreading the gain / loss over the term of the replacement loan, at present up to a maximum of thirty years. The reconciliation of amounts charged to the surplus or deficit on the provision of services section in the Comprehensive Income and Expenditure Statement to the net charge required against the General Fund balance is managed by a transfer to or from the Financial Instruments Adjustment Account in the Movement in Reserves Statement.</w:t>
      </w:r>
    </w:p>
    <w:p w:rsidR="00F72906" w:rsidRDefault="00F72906" w:rsidP="00F72906"/>
    <w:p w:rsidR="00F72906" w:rsidRDefault="00F72906" w:rsidP="00F72906">
      <w:r>
        <w:t>7 Capital Financing</w:t>
      </w:r>
    </w:p>
    <w:p w:rsidR="00F72906" w:rsidRDefault="00F72906" w:rsidP="00F72906"/>
    <w:p w:rsidR="00F72906" w:rsidRDefault="00F72906" w:rsidP="00F72906">
      <w:r>
        <w:t xml:space="preserve">7.1 Capital Expenditure </w:t>
      </w:r>
    </w:p>
    <w:p w:rsidR="009C7D60" w:rsidRDefault="00F72906" w:rsidP="00F72906">
      <w:r>
        <w:t>Capital expenditure on building assets is added to the value of the asset and depreciated over the remaining useful life.</w:t>
      </w:r>
    </w:p>
    <w:p w:rsidR="00F72906" w:rsidRDefault="009C7D60" w:rsidP="00F72906">
      <w:r>
        <w:t xml:space="preserve"> </w:t>
      </w:r>
      <w:r w:rsidR="00F72906">
        <w:t>Capital expenditure on HRA dwellings is added to the value of fixed assets.</w:t>
      </w:r>
    </w:p>
    <w:p w:rsidR="00F72906" w:rsidRDefault="00F72906" w:rsidP="00F72906"/>
    <w:p w:rsidR="00F72906" w:rsidRDefault="00F72906" w:rsidP="00F72906">
      <w:r>
        <w:t>Revenue expenditure funded from capital under statute (REFCUS) represents expenditure that may be capitalised under statutory provisions but does not result in the creation of tangible assets owned by the Council. Such revenue expenditure incurred during the year has been written off as expenditure to the relevant service revenue account in the year.</w:t>
      </w:r>
    </w:p>
    <w:p w:rsidR="00F72906" w:rsidRDefault="00F72906" w:rsidP="00F72906"/>
    <w:p w:rsidR="00F72906" w:rsidRDefault="00F72906" w:rsidP="00F72906">
      <w:r>
        <w:t>7.2 Capital Government Grants and Contributions</w:t>
      </w:r>
    </w:p>
    <w:p w:rsidR="00F72906" w:rsidRDefault="00F72906" w:rsidP="00F72906">
      <w:r>
        <w:t xml:space="preserve">Where the acquisition of a fixed asset is financed either wholly or in part by a government grant or other contribution, the amount of the grant or contribution is recognised as income as soon as the Council has reasonable assurance it will comply with the conditions attached to the grant, and the grants or contributions will be received. </w:t>
      </w:r>
    </w:p>
    <w:p w:rsidR="00F72906" w:rsidRDefault="00F72906" w:rsidP="00F72906"/>
    <w:p w:rsidR="00F72906" w:rsidRDefault="00F72906" w:rsidP="00F72906">
      <w:r>
        <w:t>7.3 Leasing</w:t>
      </w:r>
    </w:p>
    <w:p w:rsidR="00F72906" w:rsidRDefault="00F72906" w:rsidP="00F72906">
      <w:r>
        <w:t>The Council has acquired a number of assets, mainly vehicles, plant and computer equipment, by means of leases. The Council assesses whether or not leases have to be disclosed on balance sheet in line with IAS 17, using guidance from the Royal Institute of Chartered Surveyors as directed by the CIPFA. Where the terms of the lease transfer substantially all the risks and rewards incidental to ownership leases are recorded on balance sheet as finance leases, other leases not reported on the balance sheet are known as operating leases.</w:t>
      </w:r>
    </w:p>
    <w:p w:rsidR="00F72906" w:rsidRDefault="00F72906" w:rsidP="00F72906"/>
    <w:p w:rsidR="00F72906" w:rsidRDefault="00F72906" w:rsidP="00F72906">
      <w:r>
        <w:lastRenderedPageBreak/>
        <w:t>Finance leases are initially recognised on the balance sheet with assets and liabilities equal to the net present value of the minimum lease payments. Where a contract does not detail an interest rate for a specific asset, or provide sufficient information for its calculation, the interest rate implicit in the lease will in the first instance be estimated based on interest rates for other assets within the lease. If there is no interest rate detailed in the lease then a suitable interest rate is applied.</w:t>
      </w:r>
    </w:p>
    <w:p w:rsidR="00F72906" w:rsidRDefault="00F72906" w:rsidP="00F72906"/>
    <w:p w:rsidR="00F72906" w:rsidRDefault="00F72906" w:rsidP="00F72906">
      <w:r>
        <w:t xml:space="preserve">Assets financed by finance leases are treated as having an economic life equal to the minimum length of the contract and are depreciated over this period. </w:t>
      </w:r>
    </w:p>
    <w:p w:rsidR="00F72906" w:rsidRDefault="00F72906" w:rsidP="00F72906"/>
    <w:p w:rsidR="00F72906" w:rsidRDefault="00F72906" w:rsidP="00F72906">
      <w:r>
        <w:t>Finance lease repayments and interest payments are calculated using the actuarial method (allocating interest to the period it relates to) and assumes that a single payment is made at the end of the contract year. Where a contract starts part way through a single financial year payments will be apportioned to that financial year based on the number of days of the contract year within the reported financial year.</w:t>
      </w:r>
    </w:p>
    <w:p w:rsidR="00F72906" w:rsidRDefault="00F72906" w:rsidP="00F72906"/>
    <w:p w:rsidR="00F72906" w:rsidRDefault="00F72906" w:rsidP="00F72906">
      <w:r>
        <w:t>Rentals payable under operating leases are charged to revenue in the year in which they are paid and no provision is made for outstanding lease commitments.</w:t>
      </w:r>
    </w:p>
    <w:p w:rsidR="00F72906" w:rsidRDefault="00F72906" w:rsidP="00F72906"/>
    <w:p w:rsidR="00F72906" w:rsidRDefault="00F72906" w:rsidP="00F72906">
      <w:r>
        <w:t xml:space="preserve">Two interpretations of the International Financial Reporting Standards apply to contracts and series of transactions where the substance of the contract or transactions may be a lease under International Financial Reporting Standards. The Council first assesses whether or not contracts contain a service concession under IFRS Interpretations Committee (IFRIC) 12, and then whether or not there is an embedded lease under IFRIC 4. The disclosure of service concessions is complex and dealt with in further detail below. Embedded leases are disclosed as set out in IFRIC 4, accounting policies for major embedded finance leases are set out below. </w:t>
      </w:r>
    </w:p>
    <w:p w:rsidR="00F72906" w:rsidRDefault="00F72906" w:rsidP="00F72906"/>
    <w:p w:rsidR="00F72906" w:rsidRDefault="00F72906" w:rsidP="00F72906">
      <w:r>
        <w:t xml:space="preserve">Implementation of IFRS 16 Leases for Local Government has been delayed until 2021/22, as such there are no changes to current year’s accounting policy. </w:t>
      </w:r>
    </w:p>
    <w:p w:rsidR="00F72906" w:rsidRDefault="00F72906" w:rsidP="00F72906"/>
    <w:p w:rsidR="00F72906" w:rsidRDefault="00F72906" w:rsidP="00F72906">
      <w:r>
        <w:t>From 2021/22 under IFRS 16 lessees are required to remove the lease classifications of operating and finance leases, instead it requires that a right-of-use asset be recognized for all leases (with the exemptions for short-term and low value leases) with a corresponding lease liability representing the lessee’s obligation to make leases payments for the asset.</w:t>
      </w:r>
    </w:p>
    <w:p w:rsidR="00F72906" w:rsidRDefault="00F72906" w:rsidP="00F72906"/>
    <w:p w:rsidR="00F72906" w:rsidRDefault="00F72906" w:rsidP="00F72906">
      <w:r>
        <w:t>For lessors, the finance and operating lease classifications have been retained and the provision for lessors are substantially unchanged, although there are some changes in relation to sale and lease back transactions and the accounting for the structure of sub-leases.</w:t>
      </w:r>
    </w:p>
    <w:p w:rsidR="00F72906" w:rsidRDefault="00F72906" w:rsidP="00F72906"/>
    <w:p w:rsidR="00F72906" w:rsidRDefault="00F72906" w:rsidP="00F72906">
      <w:r>
        <w:t>The Council has reviewed the impact of this change and have concluded that it is likely to be immaterial.</w:t>
      </w:r>
    </w:p>
    <w:p w:rsidR="00F72906" w:rsidRDefault="00F72906" w:rsidP="00F72906"/>
    <w:p w:rsidR="00F72906" w:rsidRDefault="00F72906" w:rsidP="00F72906">
      <w:r>
        <w:t>7.3.1 Service Concessions and the Private Finance Initiative (PFI)</w:t>
      </w:r>
    </w:p>
    <w:p w:rsidR="00F72906" w:rsidRDefault="00F72906" w:rsidP="00F72906">
      <w:r>
        <w:t xml:space="preserve">Contracts and other arrangements that have been determined as “service concessions” are accounted for under IFRIC 12, the Code of Practice and the additional provisions of IPSAS 32 Service Concession Arrangements: Grantor. </w:t>
      </w:r>
    </w:p>
    <w:p w:rsidR="00F72906" w:rsidRDefault="00F72906" w:rsidP="00F72906"/>
    <w:p w:rsidR="00F72906" w:rsidRDefault="00F72906" w:rsidP="00F72906">
      <w:r>
        <w:t xml:space="preserve">Where new assets are identified these assets are recognised at fair value being the relevant elements of the capital cost in the PFI operators’ financial model. </w:t>
      </w:r>
    </w:p>
    <w:p w:rsidR="00F72906" w:rsidRDefault="00F72906" w:rsidP="00F72906"/>
    <w:p w:rsidR="00F72906" w:rsidRDefault="00F72906" w:rsidP="00F72906">
      <w:r>
        <w:t>Where the PFI operator’s right to third party income is recognised in reductions to the unitary payment, a proportion of the finance lease creditor is re-allocated to a deferred income balance based on the proportion of fixed payments (if any) from the Council and expected third party payments.  The deferred income balance is amortised to the Comprehensive Income and Expenditure Statement on a straight line basis over the life of the PFI scheme.</w:t>
      </w:r>
    </w:p>
    <w:p w:rsidR="00F72906" w:rsidRDefault="00F72906" w:rsidP="00F72906"/>
    <w:p w:rsidR="00F72906" w:rsidRDefault="00F72906" w:rsidP="00F72906">
      <w:r>
        <w:t>The Council’s ongoing liabilities for these service concessions are recognised on the balance sheet. This has been done by recognising a finance lease creditor and written down accordingly.</w:t>
      </w:r>
    </w:p>
    <w:p w:rsidR="00F72906" w:rsidRDefault="00F72906" w:rsidP="00F72906"/>
    <w:p w:rsidR="00F72906" w:rsidRDefault="00F72906" w:rsidP="00F72906">
      <w:r>
        <w:t>The assets acquired with these service concessions will be depreciated over the useful estimated economic life of the assets; with the exception of the assets generated by a Social Housing PFI. Legal title to the majority of assets from the Social Housing PFI will remain with the PFI operator, so these assets will be depreciated over the life of the contract, not their useful economic life.</w:t>
      </w:r>
    </w:p>
    <w:p w:rsidR="00F72906" w:rsidRDefault="00F72906" w:rsidP="00F72906"/>
    <w:p w:rsidR="00F72906" w:rsidRDefault="00F72906" w:rsidP="00F72906">
      <w:r>
        <w:t>Lifecycle costs will be capitalised in line with the directions of the Code of Practice on capitalising expenditure for these service concessions. All lifecycle costs for the Street lighting PFI are treated as revenue maintenance expenditure due to the nature of maintaining street lighting.</w:t>
      </w:r>
    </w:p>
    <w:p w:rsidR="00F72906" w:rsidRDefault="00F72906" w:rsidP="00F72906"/>
    <w:p w:rsidR="00F72906" w:rsidRDefault="00F72906" w:rsidP="00F72906">
      <w:r>
        <w:t>7.4 Minimum Revenue Provision</w:t>
      </w:r>
    </w:p>
    <w:p w:rsidR="00F72906" w:rsidRDefault="00F72906" w:rsidP="00F72906">
      <w:r>
        <w:t>The Minimum Revenue Provision (MRP) included within this year’s Statement of Accounts has been calculated on the basis of the previous year’s outturn position, amended for the inclusion of PFI projects as per the requirements of the International Financial Reporting Standards. In accordance with the current regulations for the calculation of MRP the following policy for non-HRA assets has been applied:</w:t>
      </w:r>
    </w:p>
    <w:p w:rsidR="00F72906" w:rsidRDefault="00F72906" w:rsidP="00F72906"/>
    <w:p w:rsidR="009C7D60" w:rsidRDefault="00F72906" w:rsidP="00F72906">
      <w:r>
        <w:t>For supported borrowing, the Council will use the asset life method (Option 3) and an ‘annuity’ approach for calculating repayments. Based on the useful economic lives of the council’s assets a single annuity has been calculated, which results in the outstanding principal being repaid over the course of one hundred years.</w:t>
      </w:r>
    </w:p>
    <w:p w:rsidR="00F72906" w:rsidRDefault="009C7D60" w:rsidP="00F72906">
      <w:r>
        <w:t xml:space="preserve"> </w:t>
      </w:r>
      <w:r w:rsidR="00F72906">
        <w:t xml:space="preserve">For prudential borrowing, the Council will adopt Option 3, ‘the asset life method’, and an ‘annuity’ approach for calculating repayments. This option allows provision for repayment of principal to be made over the </w:t>
      </w:r>
      <w:r w:rsidR="00F72906">
        <w:lastRenderedPageBreak/>
        <w:t>estimated life of the asset. The use of the ‘annuity’ method is akin to a mortgage where the combined sum of principal and interest are equalised over the life of the asset.</w:t>
      </w:r>
    </w:p>
    <w:p w:rsidR="00F72906" w:rsidRDefault="00F72906" w:rsidP="00F72906"/>
    <w:p w:rsidR="00F72906" w:rsidRDefault="00F72906" w:rsidP="00F72906">
      <w:r>
        <w:t>The proposed asset lives which will be applied to different classes of assets are as follows:</w:t>
      </w:r>
    </w:p>
    <w:p w:rsidR="00F72906" w:rsidRDefault="00F72906" w:rsidP="00F72906"/>
    <w:p w:rsidR="00F72906" w:rsidRDefault="00F72906" w:rsidP="00F72906">
      <w:r>
        <w:t>•</w:t>
      </w:r>
      <w:r>
        <w:tab/>
        <w:t>Vehicles and equipment – 5 to 15 years;</w:t>
      </w:r>
    </w:p>
    <w:p w:rsidR="00F72906" w:rsidRDefault="00F72906" w:rsidP="00F72906">
      <w:r>
        <w:t>•</w:t>
      </w:r>
      <w:r>
        <w:tab/>
        <w:t>Capital repairs to roads and buildings – 15 to 25 years;</w:t>
      </w:r>
    </w:p>
    <w:p w:rsidR="00F72906" w:rsidRDefault="00F72906" w:rsidP="00F72906">
      <w:r>
        <w:t>•</w:t>
      </w:r>
      <w:r>
        <w:tab/>
        <w:t>Purchase of buildings – 30 to 40 years;</w:t>
      </w:r>
    </w:p>
    <w:p w:rsidR="00F72906" w:rsidRDefault="00F72906" w:rsidP="00F72906">
      <w:r>
        <w:t>•</w:t>
      </w:r>
      <w:r>
        <w:tab/>
        <w:t>New construction – 40 to 60 years;</w:t>
      </w:r>
    </w:p>
    <w:p w:rsidR="00F72906" w:rsidRDefault="00F72906" w:rsidP="00F72906">
      <w:r>
        <w:t>•</w:t>
      </w:r>
      <w:r>
        <w:tab/>
        <w:t>Purchase of land – 50 to100 years (unless there is a structure on the land with an asset life of more than 100 years, in which case the land would have the same asset life as the structure).</w:t>
      </w:r>
    </w:p>
    <w:p w:rsidR="00F72906" w:rsidRDefault="00F72906" w:rsidP="00F72906"/>
    <w:p w:rsidR="00F72906" w:rsidRDefault="00F72906" w:rsidP="00F72906">
      <w:r>
        <w:t>The Council reserves the right to charge a nil MRP where it chooses to offset a previous year’s overpayment.</w:t>
      </w:r>
    </w:p>
    <w:p w:rsidR="00F72906" w:rsidRDefault="00F72906" w:rsidP="00F72906"/>
    <w:p w:rsidR="00F72906" w:rsidRDefault="00F72906" w:rsidP="00F72906">
      <w:r>
        <w:t>These policies do not apply to HRA assets.</w:t>
      </w:r>
    </w:p>
    <w:p w:rsidR="00F72906" w:rsidRDefault="00F72906" w:rsidP="00F72906"/>
    <w:p w:rsidR="00F72906" w:rsidRDefault="00F72906" w:rsidP="00F72906">
      <w:r>
        <w:t>The statutory guidance in the Guidance on Minimum Revenue Provision (second edition) from the Department of Communities and Local Government directs local authorities to make an MRP charge equal to the writing down of the finance lease liability upon transition to IFRS, and a charge equal to the writing down of the finance lease liability in subsequent years for operating leases reclassified as finance leases. It states that this is equivalent to one of the other options provided by the guidance for MRP in other circumstances. In order to ensure consistent treatment of all finance leases, an MRP charge equal to the writing down of the finance lease liability will be made for all finance leases.</w:t>
      </w:r>
    </w:p>
    <w:p w:rsidR="00F72906" w:rsidRDefault="00F72906" w:rsidP="00F72906"/>
    <w:p w:rsidR="00F72906" w:rsidRDefault="00F72906" w:rsidP="00F72906">
      <w:r>
        <w:t>In line with the statutory guidance on Minimum Revenue Provision (MRP), MRP has been charged for PFIs at a rate equal to the writing down of the finance lease liability. In addition, to ensure that all capital costs are captured by MRP, MRP includes a charge equal to any capital lifecycle additions within the scheme, and a charge equal to the release of any deferred income. Where finance lease liabilities increase in year, this is recognised by a credit to MRP equal to the increase in liability. The net effect of this policy is to maintain revenue balances at the same level under IFRS as under UK GAAP which is considered the prudent course of action within Guidance on Minimum Revenue Provision.</w:t>
      </w:r>
    </w:p>
    <w:p w:rsidR="00F72906" w:rsidRDefault="00F72906" w:rsidP="00F72906"/>
    <w:p w:rsidR="00F72906" w:rsidRDefault="00F72906" w:rsidP="00F72906">
      <w:r>
        <w:t xml:space="preserve">Minimum Revenue Provision is charged against the General Fund in the Movement in Reserves statement. </w:t>
      </w:r>
    </w:p>
    <w:p w:rsidR="00F72906" w:rsidRDefault="00F72906" w:rsidP="00F72906"/>
    <w:p w:rsidR="00F72906" w:rsidRDefault="00F72906" w:rsidP="00F72906">
      <w:r>
        <w:t>7.5 Income from the Sale of Plant property and equipment</w:t>
      </w:r>
    </w:p>
    <w:p w:rsidR="00F72906" w:rsidRDefault="00F72906" w:rsidP="00F72906">
      <w:r>
        <w:lastRenderedPageBreak/>
        <w:t>Income from the disposal of Property, Plant and Equipment is known as capital receipts.  Such income that is not reserved and has not been used to finance capital expenditure in the period is included in the balance sheet as capital receipts unapplied.</w:t>
      </w:r>
    </w:p>
    <w:p w:rsidR="00F72906" w:rsidRDefault="00F72906" w:rsidP="00F72906"/>
    <w:p w:rsidR="00F72906" w:rsidRDefault="00F72906" w:rsidP="00F72906">
      <w:r>
        <w:t>The treatment of HRA capital receipts is determined by the Local Government Act 2003 as amended from 1 April 2012 in order to make new provision for the pooling of housing receipts by:</w:t>
      </w:r>
    </w:p>
    <w:p w:rsidR="00F72906" w:rsidRDefault="00F72906" w:rsidP="00F72906"/>
    <w:p w:rsidR="00F72906" w:rsidRDefault="00F72906" w:rsidP="00F72906">
      <w:r>
        <w:t>•</w:t>
      </w:r>
      <w:r>
        <w:tab/>
        <w:t>The Local Authorities (Capital Finance and Accounting) (England) (Amendment) (No. 2) Regulations 2012 (SI 2012/711); and</w:t>
      </w:r>
    </w:p>
    <w:p w:rsidR="00F72906" w:rsidRDefault="00F72906" w:rsidP="00F72906">
      <w:r>
        <w:t>•</w:t>
      </w:r>
      <w:r>
        <w:tab/>
        <w:t>The Local Authorities (Capital Finance and Accounting) (England) (Amendment) (No.3) Regulations 2012 (SI 2013/1424).</w:t>
      </w:r>
    </w:p>
    <w:p w:rsidR="00F72906" w:rsidRDefault="00F72906" w:rsidP="00F72906"/>
    <w:p w:rsidR="00F72906" w:rsidRDefault="00F72906" w:rsidP="00F72906">
      <w:r>
        <w:t>As a result of these amendments, local authorities are able to retain the receipts generated by Right to Buy sales for replacement housing provided they can sign up to an agreement with Government that they will limit the use of the net Right to Buy receipts to 30% of the cost of the replacement homes within a 3 year period from the point of receipt. The London Borough of Brent has elected to enter into agreement with the Government to retain the net receipts from Right-to-Buy sales.</w:t>
      </w:r>
    </w:p>
    <w:p w:rsidR="00F72906" w:rsidRDefault="00F72906" w:rsidP="00F72906"/>
    <w:p w:rsidR="00F72906" w:rsidRDefault="00F72906" w:rsidP="00F72906">
      <w:r>
        <w:t>The regulations provide that receipts from Right-to-Buy sales will in future be applied as follows:</w:t>
      </w:r>
    </w:p>
    <w:p w:rsidR="00F72906" w:rsidRDefault="00F72906" w:rsidP="00F72906"/>
    <w:p w:rsidR="00F72906" w:rsidRDefault="00F72906" w:rsidP="00F72906">
      <w:r>
        <w:t>•</w:t>
      </w:r>
      <w:r>
        <w:tab/>
        <w:t>the council may deduct certain costs, namely: an amount to cover the housing debt supportable from the income on the additional Right to Buy sales; transaction and administration costs; and an amount which reflects the income the council might reasonably have expected from Right to Buy sales prior to the new scheme;</w:t>
      </w:r>
    </w:p>
    <w:p w:rsidR="00F72906" w:rsidRDefault="00F72906" w:rsidP="00F72906"/>
    <w:p w:rsidR="00F72906" w:rsidRDefault="00F72906" w:rsidP="00F72906">
      <w:r>
        <w:t>•</w:t>
      </w:r>
      <w:r>
        <w:tab/>
        <w:t>The council must also pay the Government an amount which reflects the income which the Treasury expected from Right to Buy sales prior to the new scheme; and</w:t>
      </w:r>
    </w:p>
    <w:p w:rsidR="00F72906" w:rsidRDefault="00F72906" w:rsidP="00F72906"/>
    <w:p w:rsidR="00F72906" w:rsidRDefault="00F72906" w:rsidP="00F72906">
      <w:r>
        <w:t>•</w:t>
      </w:r>
      <w:r>
        <w:tab/>
        <w:t>Once these costs are deducted, the remaining net receipts are available to fund (and must be applied to) replacement affordable rented homes.</w:t>
      </w:r>
    </w:p>
    <w:p w:rsidR="00F72906" w:rsidRDefault="00F72906" w:rsidP="00F72906"/>
    <w:p w:rsidR="00F72906" w:rsidRDefault="00F72906" w:rsidP="00F72906">
      <w:r>
        <w:t>7.6 Borrowing Costs</w:t>
      </w:r>
    </w:p>
    <w:p w:rsidR="00F72906" w:rsidRDefault="00F72906" w:rsidP="00F72906">
      <w:r>
        <w:t xml:space="preserve">The Council may borrow to meet capital costs that are attributable to the acquisition, construction or production of a qualifying asset that has a life of more than one year. It is the Council’s policy to capitalise borrowing costs that are directly attributable to the acquisition, construction or production of a qualifying asset. Borrowing costs will be deemed as interest and other costs that the Council incurs in connection with the borrowing of funds, and a qualifying asset will be that which takes in excess of three years to get ready for intended use and has forecast expenditure in excess of £100m. Cessation of capitalisation will occur </w:t>
      </w:r>
      <w:r>
        <w:lastRenderedPageBreak/>
        <w:t>when substantially all the activities necessary to prepare the qualifying asset for its intended use are complete.</w:t>
      </w:r>
    </w:p>
    <w:p w:rsidR="00F72906" w:rsidRDefault="00F72906" w:rsidP="00F72906"/>
    <w:p w:rsidR="00F72906" w:rsidRDefault="00F72906" w:rsidP="00F72906">
      <w:r>
        <w:t xml:space="preserve">8 Group Accounts </w:t>
      </w:r>
    </w:p>
    <w:p w:rsidR="00F72906" w:rsidRDefault="00F72906" w:rsidP="00F72906"/>
    <w:p w:rsidR="00F72906" w:rsidRDefault="00F72906" w:rsidP="00F72906">
      <w:r>
        <w:t>The Group Accounts have been prepared on the basis of a full consolidation of the financial transactions of the Council, its subsidiaries I4B Holdings Limited (I4B), First Wave Housing Limited (FWH) (formerly Brent Housing Partnership [BHP]), the Barham Park Trust and LGA Digital Services Limited.  FWH was an Arm’s Length Management Organisation (ALMO), but in 2017/18 the Council took back the management of its housing stock. FWH remains as a company which owns some housing independently of the Council. The Council remains the holder of the sole share in FWH. Barham Park Trust is a charity that is controlled by the council as a result of the council appointing all the trustees.  LGA Digital Service Limited is 50% owned by the council and 50% owned by the Local Government Association (LGA), but is controlled by the Council, which provides the company with 100% of the services it sells. The financial statements in the Group Accounts are prepared in accordance with the policies set out above.</w:t>
      </w:r>
    </w:p>
    <w:p w:rsidR="00F72906" w:rsidRDefault="00F72906" w:rsidP="00F72906"/>
    <w:p w:rsidR="00F72906" w:rsidRDefault="00F72906" w:rsidP="00F72906">
      <w:r>
        <w:t>I4B Holdings Limited records the properties it purchases as investment properties in its Statement of Accounts that are reported under FRS 102 as I4B holds these properties principally to generate a commercial return. When these properties are consolidated into the council’s accounts, they are consolidated as Plant, Property and Equipment as this reflects the fact that the Group Accounts are under IFRS, which has a slightly different definition of Investment Properties, and these properties are used to provide services on behalf of the group.</w:t>
      </w:r>
    </w:p>
    <w:p w:rsidR="00F72906" w:rsidRDefault="00F72906" w:rsidP="00F72906"/>
    <w:p w:rsidR="00F72906" w:rsidRDefault="00F72906" w:rsidP="00F72906">
      <w:r>
        <w:t> </w:t>
      </w:r>
    </w:p>
    <w:p w:rsidR="00F72906" w:rsidRDefault="00F72906" w:rsidP="00F72906"/>
    <w:p w:rsidR="00F72906" w:rsidRDefault="00F72906" w:rsidP="00F72906">
      <w:r>
        <w:t>Additional Supporting Information and reconciliation disclosures</w:t>
      </w:r>
    </w:p>
    <w:p w:rsidR="00F72906" w:rsidRDefault="00F72906" w:rsidP="00F72906"/>
    <w:p w:rsidR="00F72906" w:rsidRDefault="00F72906" w:rsidP="00F72906">
      <w:r>
        <w:t>1. Key Judgements and Material Estimates.</w:t>
      </w:r>
    </w:p>
    <w:p w:rsidR="00F72906" w:rsidRDefault="00F72906" w:rsidP="00F72906">
      <w:r>
        <w:t>In preparing the Statement of Accounts, the authority has had to make judgements, estimates and assumptions that affect the application of its policies and reported levels of assets, liabilities, income and expenses. The estimates and associated assumptions have been based on historical experience, including the recovery of amounts due to the council, current trends and other relevant factors that are considered to be reasonable. These estimates and assumptions have been used to inform the basis for judgements about the carrying values of assets and liabilities, where these are not readily available from other sources. Future events may result in these estimates and assumptions being revised and could significantly change carrying balances in subsequent years financial statements.</w:t>
      </w:r>
    </w:p>
    <w:p w:rsidR="00F72906" w:rsidRDefault="00F72906" w:rsidP="00F72906"/>
    <w:p w:rsidR="00F72906" w:rsidRDefault="00F72906" w:rsidP="00F72906">
      <w:r>
        <w:t xml:space="preserve">Estimates and underlying assumptions are regularly reviewed. Changes in accounting estimates are adjustments of the carrying amount of an asset or a liability, or the amount of the periodic consumption of </w:t>
      </w:r>
      <w:r>
        <w:lastRenderedPageBreak/>
        <w:t>an asset, that results from the assessment of the present status of, and expected future benefits and obligations associated with assets and liabilities. Changes in accounting estimates result from new information or new developments, and accordingly are not correction of errors. Changes to accounting estimates are recognised in the period in which the estimate is revised if the revision affects only that period or in the period of the revision and future periods if the revision affects both current and future periods.</w:t>
      </w:r>
    </w:p>
    <w:p w:rsidR="00F72906" w:rsidRDefault="00F72906" w:rsidP="00F72906"/>
    <w:p w:rsidR="00F72906" w:rsidRDefault="00F72906" w:rsidP="00F72906">
      <w:r>
        <w:t>Critical accounting judgements made in the accounts:</w:t>
      </w:r>
    </w:p>
    <w:p w:rsidR="00F72906" w:rsidRDefault="00F72906" w:rsidP="00F72906"/>
    <w:p w:rsidR="009C7D60" w:rsidRDefault="00F72906" w:rsidP="00F72906">
      <w:r>
        <w:t>•</w:t>
      </w:r>
      <w:r>
        <w:tab/>
        <w:t>Retirement Benefit Obligations – The authority recognises and discloses its retirement benefit obligation in accordance with the measurement and presentational requirements of IAS 19 “Employee Benefits”. The estimation of the net pension liability depends on a number of complex judgements and estimates relating to the discount rate used, the rate at which salaries are projected to increase, changes in retirement ages, mortality rates and expected returns on pension fund assets. A firm of actuaries is engaged to provide the authority with expert advice about the assumptions to be applied. Changes in these assumptions can have a significant effect on the value of the authority’s retirement benefit obligation. The key assumptions made are set out in Note 32 - Defined Benefit Pension Schemes.</w:t>
      </w:r>
    </w:p>
    <w:p w:rsidR="00F72906" w:rsidRDefault="009C7D60" w:rsidP="00F72906">
      <w:r>
        <w:t xml:space="preserve"> </w:t>
      </w:r>
      <w:r w:rsidR="00F72906">
        <w:t>•</w:t>
      </w:r>
      <w:r w:rsidR="00F72906">
        <w:tab/>
        <w:t>Property, Plant and Equipment – Assets are depreciated over useful lives that are dependent on assumptions such as the level of repairs and maintenance that will be incurred in relation to individual type of asset, the expected length of service potential of the asset and the likelihood of the authority’s usage of the asset. The authority carries out an annual impairment review of its asset base which takes in to account such factors as the current economic climate.</w:t>
      </w:r>
    </w:p>
    <w:p w:rsidR="00F72906" w:rsidRDefault="00F72906" w:rsidP="00F72906"/>
    <w:p w:rsidR="00F72906" w:rsidRDefault="00F72906" w:rsidP="00F72906">
      <w:r>
        <w:t>•</w:t>
      </w:r>
      <w:r>
        <w:tab/>
        <w:t>Classification of Leases – The authority has entered into a number of lease arrangements in respect of property and other assets. The authority has exercised judgement in the classification of leases (i.e. operating or finance lease) using such factors as the length of the lease and rent levels and in reviewing contractual arrangements having the substance of a lease (e.g. contract values and length of contract). Details of the authority’s leases and lease type arrangements are set out in the notes.</w:t>
      </w:r>
    </w:p>
    <w:p w:rsidR="00F72906" w:rsidRDefault="00F72906" w:rsidP="00F72906"/>
    <w:p w:rsidR="00F72906" w:rsidRDefault="00F72906" w:rsidP="00F72906">
      <w:r>
        <w:t>•</w:t>
      </w:r>
      <w:r>
        <w:tab/>
        <w:t>Treatment of PFI arrangements – The authority has entered into a number of PFI arrangements in respect of infrastructure. The authority has exercised judgement in the identification of service concessions and embedded leases within PFIs using such as arrangements that allow the council to control residual value of PFI assets without legal title. Initial assets and liabilities for the PFIs are calculated using financial model based upon the contractual terms and conditions and the operator’s financial model; subsequent changes in the authority’s PFI liabilities are estimated using the same model. Subsequent changes in the authority’s PFI funded assets are measured in the same way as other non-current assets. Details of the PFI and service concession type arrangements are set out in note 24.</w:t>
      </w:r>
    </w:p>
    <w:p w:rsidR="00F72906" w:rsidRDefault="00F72906" w:rsidP="00F72906"/>
    <w:p w:rsidR="00F72906" w:rsidRDefault="00F72906" w:rsidP="00F72906">
      <w:r>
        <w:t>•</w:t>
      </w:r>
      <w:r>
        <w:tab/>
        <w:t>The estimate of depreciation chargeable on dwellings within the Housing Revenue Account is based on the Government's Major Repairs Allowance. An external review of this has been undertaken to ensure this does not lead to a material misstatement in the accounts.</w:t>
      </w:r>
    </w:p>
    <w:p w:rsidR="00F72906" w:rsidRDefault="00F72906" w:rsidP="00F72906"/>
    <w:p w:rsidR="00F72906" w:rsidRDefault="00F72906" w:rsidP="00F72906">
      <w:r>
        <w:lastRenderedPageBreak/>
        <w:t>•</w:t>
      </w:r>
      <w:r>
        <w:tab/>
        <w:t>Impairment for doubtful debt – The anticipated recovery of outstanding amounts due to the authority is calculated based on the experience of recovery of debt over the previous twelve months, categorised according to the age profile of that debt.</w:t>
      </w:r>
    </w:p>
    <w:p w:rsidR="00F72906" w:rsidRDefault="00F72906" w:rsidP="00F72906"/>
    <w:p w:rsidR="00F72906" w:rsidRDefault="00F72906" w:rsidP="00F72906">
      <w:r>
        <w:t>Key sources of estimation uncertainty which have a significant effect on the financial statements:</w:t>
      </w:r>
    </w:p>
    <w:p w:rsidR="00F72906" w:rsidRDefault="00F72906" w:rsidP="00F72906"/>
    <w:p w:rsidR="00F72906" w:rsidRDefault="00F72906" w:rsidP="00F72906">
      <w:r>
        <w:t>•</w:t>
      </w:r>
      <w:r>
        <w:tab/>
        <w:t>Provisions – The authority is required to exercise judgement in assessing whether a potential liability should be accounted for as a provision or contingent liability in accordance with accounting policies. In calculating the level of provisions the authority also exercises some judgement; they are measured at the authority’s best estimate of the costs required to settle the obligation at the Balance Sheet date. The level of the authority’s provisions and details of its contingent liabilities are set out in Liabilities note 7 and Note 19 – Contingent Liabilities respectively.</w:t>
      </w:r>
    </w:p>
    <w:p w:rsidR="00F72906" w:rsidRDefault="00F72906" w:rsidP="00F72906"/>
    <w:p w:rsidR="00F72906" w:rsidRDefault="00F72906" w:rsidP="00F72906">
      <w:r>
        <w:t>The authority has allocated an additional 10% (£4.2m) impairment for doubtful debt due to the impact of Covid-19.  This follows the Bank of England’s expectation for consumer credit to be impaired by approximately 8% as a result of Covid-19, and similar to the increased provision for bad debt made by the council under UK GAAP accounting rules following the last financial crash.  The expectation is that payment performance for debts outstanding as at 31st March 2020 will be significantly worse than compared to 2019/20 by a variety of debtors such as commercial tenants and those due to repay housing benefit overpayments remain unable to clear their debts due to loss of jobs and business closures.  In addition to this, the council has taken the decision to temporarily stop enforcement actions for the collection of debts; and for some classifications of debt, such as commercial rents, payment holidays have been given. This is expected to impact future collection and has also informed the additional impairment of doubtful debt.</w:t>
      </w:r>
    </w:p>
    <w:p w:rsidR="00F72906" w:rsidRDefault="00F72906" w:rsidP="00F72906"/>
    <w:p w:rsidR="00F72906" w:rsidRDefault="00F72906" w:rsidP="00F72906">
      <w:r>
        <w:t>•</w:t>
      </w:r>
      <w:r>
        <w:tab/>
        <w:t xml:space="preserve">Future Levels of Government Funding and Levels of Reserves – the future levels of funding for local authorities has a high degree of uncertainty. The authority has set aside amounts in provisions, working balances and reserves which it believes are appropriate based on local circumstances including the overall budget size, risks, robustness of budgets, major initiatives being undertaken, budget assumptions, other earmarked reserves and provisions and the authority’s track record in financial management. </w:t>
      </w:r>
    </w:p>
    <w:p w:rsidR="00F72906" w:rsidRDefault="00F72906" w:rsidP="00F72906"/>
    <w:p w:rsidR="00F72906" w:rsidRDefault="00F72906" w:rsidP="00F72906">
      <w:r>
        <w:t>•</w:t>
      </w:r>
      <w:r>
        <w:tab/>
        <w:t>Schools’ outturn- Due to Covid-19, 23 out of 56 schools were unable to submit their year end outturn for the schools accounts consolidation. An estimation was therefore used for these schools. The estimation uses the schools’ estimated outturn as at month 11 and adjusted for past trends between estimated reserves balance and actual reserve balances.</w:t>
      </w:r>
    </w:p>
    <w:p w:rsidR="00F72906" w:rsidRDefault="00F72906" w:rsidP="00F72906"/>
    <w:p w:rsidR="00F72906" w:rsidRDefault="00F72906" w:rsidP="00F72906">
      <w:r>
        <w:t>•</w:t>
      </w:r>
      <w:r>
        <w:tab/>
        <w:t xml:space="preserve">Valuations – the lockdown instituted by central government largely froze both residential and commercial property markets. The lack of an active market as at 31st March 2020 makes it practically impossible to determine the values with the same accuracy as last year. Further, institutions such as the Bank of England are warning that there is likely to be a significant fall in property prices as a result of Covid-19. The council’s valuers have stated that there is material uncertainty about the movement of property prices and valuations as a result of Covid-19. The council has decided to use the valuer’s estimates of </w:t>
      </w:r>
      <w:r>
        <w:lastRenderedPageBreak/>
        <w:t xml:space="preserve">property valuations and movements as the best available estimates of the values of the council’s assets as at 31st March 2020, but these estimates are subject to greater uncertainty than in previous years. </w:t>
      </w:r>
    </w:p>
    <w:p w:rsidR="00F72906" w:rsidRDefault="00F72906" w:rsidP="00F72906"/>
    <w:p w:rsidR="00F72906" w:rsidRDefault="00F72906" w:rsidP="00F72906">
      <w:r>
        <w:t>2. Assumption made about the future and other major sources of estimation uncertainty</w:t>
      </w:r>
    </w:p>
    <w:p w:rsidR="00F72906" w:rsidRDefault="00F72906" w:rsidP="00F72906">
      <w:r>
        <w:t>The Council includes accounting estimates within the accounts; the significant accounting estimates relate to non-current assets, impairment of financial assets. The Council’s accounting policies include details on the calculation of these accounting estimates.</w:t>
      </w:r>
    </w:p>
    <w:p w:rsidR="00F72906" w:rsidRDefault="00F72906" w:rsidP="00F72906"/>
    <w:p w:rsidR="00F72906" w:rsidRDefault="00F72906" w:rsidP="00F72906">
      <w:r>
        <w:t xml:space="preserve">The Council also carries out a review of all debtor balances, and uses past experience of debt collection rates across all categories to establish allowances for non-collection. </w:t>
      </w:r>
    </w:p>
    <w:p w:rsidR="00F72906" w:rsidRDefault="00F72906" w:rsidP="00F72906"/>
    <w:p w:rsidR="00F72906" w:rsidRDefault="00F72906" w:rsidP="00F72906">
      <w:r>
        <w:t>The appropriate level of non-earmarked reserves to be held by the Council is based on an assessment of financial risks facing the Council. These risks include future funding levels, delivery of planned savings and future demands on services.</w:t>
      </w:r>
    </w:p>
    <w:p w:rsidR="00F72906" w:rsidRDefault="00F72906" w:rsidP="00F72906"/>
    <w:p w:rsidR="00F72906" w:rsidRDefault="00F72906" w:rsidP="00F72906">
      <w:r>
        <w:t>3. Accounting Standards that have been issued but have not yet been adopted</w:t>
      </w:r>
    </w:p>
    <w:p w:rsidR="00F72906" w:rsidRDefault="00F72906" w:rsidP="00F72906">
      <w:r>
        <w:t xml:space="preserve">Under the Code of Practice on Local Authority Accounting in the United Kingdom (the Code), the Council is required to disclose information setting out the impact of an accounting change required by a new accounting standard that has been issued but not yet adopted by the code. </w:t>
      </w:r>
    </w:p>
    <w:p w:rsidR="00F72906" w:rsidRDefault="00F72906" w:rsidP="00F72906"/>
    <w:p w:rsidR="00F72906" w:rsidRDefault="00F72906" w:rsidP="00F72906">
      <w:r>
        <w:t xml:space="preserve">This includes the amendment to IAS 19 Employee Benefits: Plan Amendment, Curtailment or Settlement. This requires that when a plan amendment, curtailment or settlement occurs during a reporting period that the Council use updated actuarial assumptions to determine current service cost and net interest for the remaining annual reporting period. In 2019/20 there were no material plan amendment, curtailment or settlement therefore this new change in accounting standard is not expected to have a material effect. </w:t>
      </w:r>
    </w:p>
    <w:p w:rsidR="00F72906" w:rsidRDefault="00F72906" w:rsidP="00F72906"/>
    <w:p w:rsidR="00F72906" w:rsidRDefault="00F72906" w:rsidP="00F72906">
      <w:r>
        <w:t>4. Significant changes in accounting policy introduced in 2019/20</w:t>
      </w:r>
    </w:p>
    <w:p w:rsidR="00F72906" w:rsidRDefault="00F72906" w:rsidP="00F72906">
      <w:r>
        <w:t>There have been no significant changes to the code introduced in 2019/20</w:t>
      </w:r>
    </w:p>
    <w:p w:rsidR="00F72906" w:rsidRDefault="00F72906" w:rsidP="00F72906"/>
    <w:p w:rsidR="00F72906" w:rsidRDefault="00F72906" w:rsidP="00F72906">
      <w:r>
        <w:t>5. Events after the reporting period</w:t>
      </w:r>
    </w:p>
    <w:p w:rsidR="00F72906" w:rsidRDefault="00F72906" w:rsidP="00F72906">
      <w:r>
        <w:t>The financial statements and notes have not been adjusted for the following events occurring as a result of the Covid-19 pandemic, which took place after 31 March 2020, as they provide information that is relevant to an understanding of the authority’s financial position but do not relate to conditions at that date:</w:t>
      </w:r>
    </w:p>
    <w:p w:rsidR="00F72906" w:rsidRDefault="00F72906" w:rsidP="00F72906"/>
    <w:p w:rsidR="00F72906" w:rsidRDefault="00F72906" w:rsidP="00F72906">
      <w:r>
        <w:t>•</w:t>
      </w:r>
      <w:r>
        <w:tab/>
        <w:t>Large changes in asset values after the year end</w:t>
      </w:r>
    </w:p>
    <w:p w:rsidR="00F72906" w:rsidRDefault="00F72906" w:rsidP="00F72906">
      <w:r>
        <w:lastRenderedPageBreak/>
        <w:t>The nationwide lockdown was implemented on 23rd March 2020 and as at 31st March 2020 the impact of this has not yet been felt in the property market. The council’s property, plant and equipment has been valued at £1,968.2m as at 31st March 2020, following this date the property market has been significantly affected and market prices has declined significantly. Given the uncertainties in market valuations there is, at present, no estimation of the impact of this.</w:t>
      </w:r>
    </w:p>
    <w:p w:rsidR="00F72906" w:rsidRDefault="00F72906" w:rsidP="00F72906"/>
    <w:p w:rsidR="00F72906" w:rsidRDefault="00F72906" w:rsidP="00F72906">
      <w:r>
        <w:t>•</w:t>
      </w:r>
      <w:r>
        <w:tab/>
        <w:t>New sources of financial support from government</w:t>
      </w:r>
    </w:p>
    <w:p w:rsidR="00F72906" w:rsidRDefault="00F72906" w:rsidP="00F72906">
      <w:r>
        <w:t>The Council has received the following grants relating to Covid-19 in 2020/21:</w:t>
      </w:r>
    </w:p>
    <w:tbl>
      <w:tblPr>
        <w:tblStyle w:val="TableGrid"/>
        <w:tblW w:w="0" w:type="auto"/>
        <w:tblLook w:val="04A0" w:firstRow="1" w:lastRow="0" w:firstColumn="1" w:lastColumn="0" w:noHBand="0" w:noVBand="1"/>
        <w:tblCaption w:val="Covid-29 grants in 2020/21"/>
        <w:tblDescription w:val="Table to show the grants received byt he council for Covid-19 in 2020/21"/>
      </w:tblPr>
      <w:tblGrid>
        <w:gridCol w:w="7650"/>
        <w:gridCol w:w="1696"/>
      </w:tblGrid>
      <w:tr w:rsidR="002525F7" w:rsidTr="002525F7">
        <w:trPr>
          <w:tblHeader/>
        </w:trPr>
        <w:tc>
          <w:tcPr>
            <w:tcW w:w="7650" w:type="dxa"/>
          </w:tcPr>
          <w:p w:rsidR="002525F7" w:rsidRDefault="002525F7" w:rsidP="00AE1C26">
            <w:pPr>
              <w:ind w:right="-142"/>
              <w:rPr>
                <w:rFonts w:cs="Calibri"/>
              </w:rPr>
            </w:pPr>
          </w:p>
        </w:tc>
        <w:tc>
          <w:tcPr>
            <w:tcW w:w="1696" w:type="dxa"/>
          </w:tcPr>
          <w:p w:rsidR="002525F7" w:rsidRDefault="002525F7" w:rsidP="00AE1C26">
            <w:pPr>
              <w:ind w:right="-142"/>
              <w:jc w:val="center"/>
              <w:rPr>
                <w:rFonts w:cs="Calibri"/>
              </w:rPr>
            </w:pPr>
            <w:r>
              <w:rPr>
                <w:rFonts w:cs="Calibri"/>
              </w:rPr>
              <w:t>£m</w:t>
            </w:r>
          </w:p>
        </w:tc>
      </w:tr>
      <w:tr w:rsidR="002525F7" w:rsidTr="00AE1C26">
        <w:tc>
          <w:tcPr>
            <w:tcW w:w="7650" w:type="dxa"/>
          </w:tcPr>
          <w:p w:rsidR="002525F7" w:rsidRDefault="002525F7" w:rsidP="00AE1C26">
            <w:pPr>
              <w:ind w:right="-142"/>
              <w:rPr>
                <w:rFonts w:cs="Calibri"/>
              </w:rPr>
            </w:pPr>
            <w:r>
              <w:rPr>
                <w:rFonts w:cs="Calibri"/>
              </w:rPr>
              <w:t>Local government funding for Covid-19 budget pressures</w:t>
            </w:r>
          </w:p>
        </w:tc>
        <w:tc>
          <w:tcPr>
            <w:tcW w:w="1696" w:type="dxa"/>
          </w:tcPr>
          <w:p w:rsidR="002525F7" w:rsidRDefault="002525F7" w:rsidP="00AE1C26">
            <w:pPr>
              <w:ind w:right="-142"/>
              <w:jc w:val="center"/>
              <w:rPr>
                <w:rFonts w:cs="Calibri"/>
              </w:rPr>
            </w:pPr>
            <w:r>
              <w:rPr>
                <w:rFonts w:cs="Calibri"/>
              </w:rPr>
              <w:t>9.1</w:t>
            </w:r>
          </w:p>
        </w:tc>
      </w:tr>
      <w:tr w:rsidR="002525F7" w:rsidTr="00AE1C26">
        <w:tc>
          <w:tcPr>
            <w:tcW w:w="7650" w:type="dxa"/>
          </w:tcPr>
          <w:p w:rsidR="002525F7" w:rsidRDefault="002525F7" w:rsidP="00AE1C26">
            <w:pPr>
              <w:ind w:right="-142"/>
              <w:rPr>
                <w:rFonts w:cs="Calibri"/>
              </w:rPr>
            </w:pPr>
            <w:r>
              <w:rPr>
                <w:rFonts w:cs="Calibri"/>
              </w:rPr>
              <w:t>Proportion of £500m hardship fund for local council tax support</w:t>
            </w:r>
          </w:p>
        </w:tc>
        <w:tc>
          <w:tcPr>
            <w:tcW w:w="1696" w:type="dxa"/>
          </w:tcPr>
          <w:p w:rsidR="002525F7" w:rsidRDefault="002525F7" w:rsidP="00AE1C26">
            <w:pPr>
              <w:ind w:right="-142"/>
              <w:jc w:val="center"/>
              <w:rPr>
                <w:rFonts w:cs="Calibri"/>
              </w:rPr>
            </w:pPr>
            <w:r>
              <w:rPr>
                <w:rFonts w:cs="Calibri"/>
              </w:rPr>
              <w:t>3.9</w:t>
            </w:r>
          </w:p>
        </w:tc>
      </w:tr>
      <w:tr w:rsidR="002525F7" w:rsidTr="00AE1C26">
        <w:tc>
          <w:tcPr>
            <w:tcW w:w="7650" w:type="dxa"/>
          </w:tcPr>
          <w:p w:rsidR="002525F7" w:rsidRDefault="002525F7" w:rsidP="00AE1C26">
            <w:pPr>
              <w:ind w:right="-142"/>
              <w:rPr>
                <w:rFonts w:cs="Calibri"/>
              </w:rPr>
            </w:pPr>
            <w:r>
              <w:rPr>
                <w:rFonts w:cs="Calibri"/>
              </w:rPr>
              <w:t>Small business rates relief (£10k grants) &amp; expanded retail reliefs (£25k grants)</w:t>
            </w:r>
          </w:p>
        </w:tc>
        <w:tc>
          <w:tcPr>
            <w:tcW w:w="1696" w:type="dxa"/>
          </w:tcPr>
          <w:p w:rsidR="002525F7" w:rsidRDefault="002525F7" w:rsidP="00AE1C26">
            <w:pPr>
              <w:ind w:right="-142"/>
              <w:jc w:val="center"/>
              <w:rPr>
                <w:rFonts w:cs="Calibri"/>
              </w:rPr>
            </w:pPr>
            <w:r>
              <w:rPr>
                <w:rFonts w:cs="Calibri"/>
              </w:rPr>
              <w:t>65.9</w:t>
            </w:r>
          </w:p>
        </w:tc>
      </w:tr>
      <w:tr w:rsidR="002525F7" w:rsidTr="00AE1C26">
        <w:tc>
          <w:tcPr>
            <w:tcW w:w="7650" w:type="dxa"/>
          </w:tcPr>
          <w:p w:rsidR="002525F7" w:rsidRDefault="002525F7" w:rsidP="00AE1C26">
            <w:pPr>
              <w:ind w:right="174"/>
              <w:jc w:val="right"/>
              <w:rPr>
                <w:rFonts w:cs="Calibri"/>
              </w:rPr>
            </w:pPr>
            <w:r>
              <w:rPr>
                <w:rFonts w:cs="Calibri"/>
              </w:rPr>
              <w:t xml:space="preserve">Total </w:t>
            </w:r>
          </w:p>
        </w:tc>
        <w:tc>
          <w:tcPr>
            <w:tcW w:w="1696" w:type="dxa"/>
          </w:tcPr>
          <w:p w:rsidR="002525F7" w:rsidRDefault="002525F7" w:rsidP="00AE1C26">
            <w:pPr>
              <w:ind w:right="-142"/>
              <w:jc w:val="center"/>
              <w:rPr>
                <w:rFonts w:cs="Calibri"/>
              </w:rPr>
            </w:pPr>
            <w:r>
              <w:rPr>
                <w:rFonts w:cs="Calibri"/>
              </w:rPr>
              <w:t>78.9</w:t>
            </w:r>
          </w:p>
        </w:tc>
      </w:tr>
    </w:tbl>
    <w:p w:rsidR="00F72906" w:rsidRDefault="00F72906" w:rsidP="00F72906"/>
    <w:p w:rsidR="00F72906" w:rsidRDefault="00F72906" w:rsidP="00F72906">
      <w:r>
        <w:t>•</w:t>
      </w:r>
      <w:r>
        <w:tab/>
        <w:t>Major changes to the operation of the Council’s services</w:t>
      </w:r>
    </w:p>
    <w:p w:rsidR="00F72906" w:rsidRDefault="00F72906" w:rsidP="00F72906">
      <w:r>
        <w:t>Since the lockdown the Council has been able to continue delivering the majority of our services, however some Council’s services has been temporarily closed down, such as libraries, leisure centres, recycling centres and Brent hubs</w:t>
      </w:r>
    </w:p>
    <w:p w:rsidR="00F72906" w:rsidRDefault="00F72906" w:rsidP="00F72906">
      <w:r>
        <w:t>There has also been changes in operations such as a temporary mortuary, increased use of telephone and internet for support and requests, a support operation for residents who are shielded and the Council is now responsible for issuing various business support grants on behalf of Central Government.</w:t>
      </w:r>
    </w:p>
    <w:p w:rsidR="00F72906" w:rsidRDefault="00F72906" w:rsidP="00F72906"/>
    <w:p w:rsidR="00F72906" w:rsidRDefault="00F72906" w:rsidP="00F72906">
      <w:r>
        <w:t xml:space="preserve">Many of the council’s income generating services have seen a significant impact from Covid-19, such as parking and planning, and the councils is seeing some evidence of increased arrears for outstanding debts such as rent and business rates. </w:t>
      </w:r>
    </w:p>
    <w:p w:rsidR="00F72906" w:rsidRDefault="00F72906" w:rsidP="00F72906"/>
    <w:p w:rsidR="00F72906" w:rsidRDefault="00F72906" w:rsidP="00F72906">
      <w:r>
        <w:t>•</w:t>
      </w:r>
      <w:r>
        <w:tab/>
        <w:t>Supply chain disruptions</w:t>
      </w:r>
    </w:p>
    <w:p w:rsidR="00F72906" w:rsidRDefault="00F72906" w:rsidP="00F72906">
      <w:r>
        <w:t>The lockdown has resulted in disruptions to some of the Council’s supply chains, such as contractors for Housing not being able to work, shortages in the supply of care home staff resulting it the sourcing of staffs from other sectors and sourcing additional supply of accommodation for homeless individuals to enable social distancing.</w:t>
      </w:r>
    </w:p>
    <w:p w:rsidR="00F72906" w:rsidRDefault="00F72906" w:rsidP="00F72906"/>
    <w:p w:rsidR="00F72906" w:rsidRDefault="00F72906" w:rsidP="009C7D60">
      <w:r>
        <w:t>In some cases, such as securing PPE to protect its staff, and residents &amp; workers at care homes, the council has used urgent procurement methods to secure supplies where there are shortages.</w:t>
      </w:r>
      <w:r w:rsidR="009C7D60">
        <w:t xml:space="preserve"> </w:t>
      </w:r>
    </w:p>
    <w:p w:rsidR="00F72906" w:rsidRDefault="00F72906" w:rsidP="00F72906">
      <w:r>
        <w:t>•</w:t>
      </w:r>
      <w:r>
        <w:tab/>
        <w:t xml:space="preserve">Changes to the law that will affect the Council’s operations. </w:t>
      </w:r>
    </w:p>
    <w:p w:rsidR="00F72906" w:rsidRDefault="00F72906" w:rsidP="00F72906">
      <w:r>
        <w:t>The new Coronavirus 2020 Act has affected the Council’s operations, this includes a number of the Council’s duties under the Care Act 2014 being relaxed and replaced by powers for the Council to act within its discretion. And regulations relating to health protection and businesses where the Council has the power to issue prohibition notices to close businesses, issue fixed penalty notices and issue prosecution proceedings.</w:t>
      </w:r>
    </w:p>
    <w:p w:rsidR="00F72906" w:rsidRDefault="00F72906" w:rsidP="00F72906"/>
    <w:p w:rsidR="00F72906" w:rsidRDefault="00F72906" w:rsidP="009C7D60">
      <w:r>
        <w:t>The overall impact of Covid-19 to the operations of the Council has been estimated at £35.1m as at 1st May 2020.</w:t>
      </w:r>
      <w:r w:rsidR="009C7D60">
        <w:t xml:space="preserve"> </w:t>
      </w:r>
    </w:p>
    <w:p w:rsidR="002525F7" w:rsidRDefault="002525F7" w:rsidP="00F72906">
      <w:pPr>
        <w:sectPr w:rsidR="002525F7" w:rsidSect="00D53A04">
          <w:pgSz w:w="11906" w:h="16838"/>
          <w:pgMar w:top="1440" w:right="1440" w:bottom="1440" w:left="709" w:header="708" w:footer="708" w:gutter="0"/>
          <w:cols w:space="708"/>
          <w:docGrid w:linePitch="360"/>
        </w:sectPr>
      </w:pPr>
    </w:p>
    <w:p w:rsidR="00F72906" w:rsidRDefault="00F72906" w:rsidP="002525F7">
      <w:pPr>
        <w:pStyle w:val="Heading1"/>
      </w:pPr>
      <w:bookmarkStart w:id="40" w:name="_Toc61870306"/>
      <w:r>
        <w:lastRenderedPageBreak/>
        <w:t>Additional Reconciliations</w:t>
      </w:r>
      <w:bookmarkEnd w:id="40"/>
    </w:p>
    <w:p w:rsidR="00F72906" w:rsidRDefault="00F72906" w:rsidP="002525F7">
      <w:pPr>
        <w:pStyle w:val="Heading2"/>
      </w:pPr>
      <w:bookmarkStart w:id="41" w:name="_Toc61870307"/>
      <w:r>
        <w:t>Nature of Income and Expenditure</w:t>
      </w:r>
      <w:bookmarkEnd w:id="41"/>
      <w:r>
        <w:t xml:space="preserve"> </w:t>
      </w:r>
    </w:p>
    <w:tbl>
      <w:tblPr>
        <w:tblStyle w:val="TableGrid31"/>
        <w:tblW w:w="8122" w:type="dxa"/>
        <w:tblInd w:w="142" w:type="dxa"/>
        <w:tblLayout w:type="fixed"/>
        <w:tblLook w:val="04A0" w:firstRow="1" w:lastRow="0" w:firstColumn="1" w:lastColumn="0" w:noHBand="0" w:noVBand="1"/>
        <w:tblCaption w:val="Nature of income and expenditure table"/>
        <w:tblDescription w:val="Shows income and expenditure for 2018/19 and 2019/20"/>
      </w:tblPr>
      <w:tblGrid>
        <w:gridCol w:w="1276"/>
        <w:gridCol w:w="5365"/>
        <w:gridCol w:w="1481"/>
      </w:tblGrid>
      <w:tr w:rsidR="002525F7" w:rsidRPr="00EB2995" w:rsidTr="008E5FFD">
        <w:trPr>
          <w:trHeight w:val="300"/>
          <w:tblHeader/>
        </w:trPr>
        <w:tc>
          <w:tcPr>
            <w:tcW w:w="1276" w:type="dxa"/>
            <w:tcBorders>
              <w:top w:val="nil"/>
              <w:left w:val="nil"/>
              <w:bottom w:val="nil"/>
              <w:right w:val="nil"/>
            </w:tcBorders>
            <w:noWrap/>
          </w:tcPr>
          <w:p w:rsidR="002525F7" w:rsidRPr="00EB2995" w:rsidRDefault="002525F7" w:rsidP="00AE1C26">
            <w:pPr>
              <w:jc w:val="right"/>
              <w:rPr>
                <w:rFonts w:cs="Calibri"/>
                <w:b/>
                <w:bCs/>
                <w:color w:val="000000"/>
                <w:lang w:eastAsia="en-GB"/>
              </w:rPr>
            </w:pPr>
            <w:r w:rsidRPr="00EB2995">
              <w:rPr>
                <w:rFonts w:cs="Calibri"/>
                <w:b/>
                <w:bCs/>
                <w:color w:val="000000"/>
                <w:lang w:eastAsia="en-GB"/>
              </w:rPr>
              <w:t>2018/19</w:t>
            </w:r>
          </w:p>
        </w:tc>
        <w:tc>
          <w:tcPr>
            <w:tcW w:w="5365" w:type="dxa"/>
            <w:tcBorders>
              <w:top w:val="nil"/>
              <w:left w:val="nil"/>
              <w:bottom w:val="nil"/>
              <w:right w:val="nil"/>
            </w:tcBorders>
            <w:noWrap/>
          </w:tcPr>
          <w:p w:rsidR="002525F7" w:rsidRPr="00EB2995" w:rsidRDefault="002525F7" w:rsidP="00AE1C26">
            <w:pPr>
              <w:jc w:val="right"/>
              <w:rPr>
                <w:rFonts w:cs="Calibri"/>
                <w:b/>
                <w:bCs/>
                <w:color w:val="000000"/>
                <w:lang w:eastAsia="en-GB"/>
              </w:rPr>
            </w:pPr>
          </w:p>
        </w:tc>
        <w:tc>
          <w:tcPr>
            <w:tcW w:w="1481" w:type="dxa"/>
            <w:tcBorders>
              <w:top w:val="nil"/>
              <w:left w:val="nil"/>
              <w:bottom w:val="nil"/>
              <w:right w:val="nil"/>
            </w:tcBorders>
            <w:noWrap/>
          </w:tcPr>
          <w:p w:rsidR="002525F7" w:rsidRPr="00EB2995" w:rsidRDefault="002525F7" w:rsidP="00AE1C26">
            <w:pPr>
              <w:jc w:val="right"/>
              <w:rPr>
                <w:rFonts w:cs="Calibri"/>
                <w:b/>
                <w:bCs/>
                <w:color w:val="000000"/>
                <w:lang w:eastAsia="en-GB"/>
              </w:rPr>
            </w:pPr>
            <w:r w:rsidRPr="00EB2995">
              <w:rPr>
                <w:rFonts w:cs="Calibri"/>
                <w:b/>
                <w:bCs/>
                <w:color w:val="000000"/>
                <w:lang w:eastAsia="en-GB"/>
              </w:rPr>
              <w:t>2019/20</w:t>
            </w:r>
          </w:p>
        </w:tc>
      </w:tr>
      <w:tr w:rsidR="002525F7" w:rsidRPr="00EB2995" w:rsidTr="008E5FFD">
        <w:trPr>
          <w:trHeight w:val="300"/>
          <w:tblHeader/>
        </w:trPr>
        <w:tc>
          <w:tcPr>
            <w:tcW w:w="1276" w:type="dxa"/>
            <w:tcBorders>
              <w:top w:val="nil"/>
              <w:left w:val="nil"/>
              <w:bottom w:val="nil"/>
              <w:right w:val="nil"/>
            </w:tcBorders>
            <w:noWrap/>
          </w:tcPr>
          <w:p w:rsidR="002525F7" w:rsidRPr="00EB2995" w:rsidRDefault="002525F7" w:rsidP="00AE1C26">
            <w:pPr>
              <w:jc w:val="right"/>
              <w:rPr>
                <w:rFonts w:cs="Calibri"/>
                <w:b/>
                <w:bCs/>
                <w:color w:val="000000"/>
                <w:lang w:eastAsia="en-GB"/>
              </w:rPr>
            </w:pPr>
            <w:r w:rsidRPr="00EB2995">
              <w:rPr>
                <w:rFonts w:cs="Calibri"/>
                <w:b/>
                <w:bCs/>
                <w:color w:val="000000"/>
                <w:lang w:eastAsia="en-GB"/>
              </w:rPr>
              <w:t>£m</w:t>
            </w:r>
          </w:p>
        </w:tc>
        <w:tc>
          <w:tcPr>
            <w:tcW w:w="5365" w:type="dxa"/>
            <w:tcBorders>
              <w:top w:val="nil"/>
              <w:left w:val="nil"/>
              <w:bottom w:val="nil"/>
              <w:right w:val="nil"/>
            </w:tcBorders>
            <w:noWrap/>
          </w:tcPr>
          <w:p w:rsidR="002525F7" w:rsidRPr="00EB2995" w:rsidRDefault="002525F7" w:rsidP="00AE1C26">
            <w:pPr>
              <w:jc w:val="right"/>
              <w:rPr>
                <w:rFonts w:cs="Calibri"/>
                <w:b/>
                <w:bCs/>
                <w:color w:val="000000"/>
                <w:lang w:eastAsia="en-GB"/>
              </w:rPr>
            </w:pPr>
          </w:p>
        </w:tc>
        <w:tc>
          <w:tcPr>
            <w:tcW w:w="1481" w:type="dxa"/>
            <w:tcBorders>
              <w:top w:val="nil"/>
              <w:left w:val="nil"/>
              <w:bottom w:val="nil"/>
              <w:right w:val="nil"/>
            </w:tcBorders>
            <w:noWrap/>
          </w:tcPr>
          <w:p w:rsidR="002525F7" w:rsidRPr="00EB2995" w:rsidRDefault="002525F7" w:rsidP="00AE1C26">
            <w:pPr>
              <w:jc w:val="right"/>
              <w:rPr>
                <w:rFonts w:cs="Calibri"/>
                <w:b/>
                <w:bCs/>
                <w:color w:val="000000"/>
                <w:lang w:eastAsia="en-GB"/>
              </w:rPr>
            </w:pPr>
            <w:r w:rsidRPr="00EB2995">
              <w:rPr>
                <w:rFonts w:cs="Calibri"/>
                <w:b/>
                <w:bCs/>
                <w:color w:val="000000"/>
                <w:lang w:eastAsia="en-GB"/>
              </w:rPr>
              <w:t>£m</w:t>
            </w:r>
          </w:p>
        </w:tc>
      </w:tr>
      <w:tr w:rsidR="002525F7" w:rsidRPr="00EB2995" w:rsidTr="00AE1C26">
        <w:trPr>
          <w:trHeight w:val="315"/>
        </w:trPr>
        <w:tc>
          <w:tcPr>
            <w:tcW w:w="1276" w:type="dxa"/>
            <w:tcBorders>
              <w:top w:val="nil"/>
              <w:left w:val="nil"/>
              <w:bottom w:val="single" w:sz="4" w:space="0" w:color="auto"/>
              <w:right w:val="nil"/>
            </w:tcBorders>
            <w:noWrap/>
          </w:tcPr>
          <w:p w:rsidR="002525F7" w:rsidRPr="00EB2995" w:rsidRDefault="002525F7" w:rsidP="00AE1C26">
            <w:pPr>
              <w:jc w:val="right"/>
              <w:rPr>
                <w:rFonts w:cs="Calibri"/>
                <w:b/>
                <w:bCs/>
                <w:color w:val="000000"/>
                <w:lang w:eastAsia="en-GB"/>
              </w:rPr>
            </w:pPr>
          </w:p>
        </w:tc>
        <w:tc>
          <w:tcPr>
            <w:tcW w:w="5365" w:type="dxa"/>
            <w:tcBorders>
              <w:top w:val="nil"/>
              <w:left w:val="nil"/>
              <w:bottom w:val="nil"/>
              <w:right w:val="nil"/>
            </w:tcBorders>
            <w:noWrap/>
          </w:tcPr>
          <w:p w:rsidR="002525F7" w:rsidRPr="00EB2995" w:rsidRDefault="002525F7" w:rsidP="00AE1C26">
            <w:pPr>
              <w:rPr>
                <w:rFonts w:cs="Calibri"/>
                <w:b/>
                <w:bCs/>
                <w:color w:val="000000"/>
                <w:lang w:eastAsia="en-GB"/>
              </w:rPr>
            </w:pPr>
            <w:r w:rsidRPr="00EB2995">
              <w:rPr>
                <w:rFonts w:cs="Calibri"/>
                <w:b/>
                <w:bCs/>
                <w:color w:val="000000"/>
                <w:lang w:eastAsia="en-GB"/>
              </w:rPr>
              <w:t>Gross Expenditure</w:t>
            </w:r>
          </w:p>
        </w:tc>
        <w:tc>
          <w:tcPr>
            <w:tcW w:w="1481" w:type="dxa"/>
            <w:tcBorders>
              <w:top w:val="nil"/>
              <w:left w:val="nil"/>
              <w:bottom w:val="single" w:sz="4" w:space="0" w:color="auto"/>
              <w:right w:val="nil"/>
            </w:tcBorders>
            <w:noWrap/>
          </w:tcPr>
          <w:p w:rsidR="002525F7" w:rsidRPr="00EB2995" w:rsidRDefault="002525F7" w:rsidP="00AE1C26">
            <w:pPr>
              <w:rPr>
                <w:rFonts w:cs="Calibri"/>
                <w:b/>
                <w:bCs/>
                <w:color w:val="000000"/>
                <w:lang w:eastAsia="en-GB"/>
              </w:rPr>
            </w:pPr>
          </w:p>
        </w:tc>
      </w:tr>
      <w:tr w:rsidR="00891A96" w:rsidRPr="00EB2995" w:rsidTr="00AE1C26">
        <w:trPr>
          <w:trHeight w:val="310"/>
        </w:trPr>
        <w:tc>
          <w:tcPr>
            <w:tcW w:w="1276" w:type="dxa"/>
            <w:tcBorders>
              <w:top w:val="single" w:sz="4" w:space="0" w:color="auto"/>
              <w:left w:val="single" w:sz="4" w:space="0" w:color="auto"/>
              <w:bottom w:val="nil"/>
              <w:right w:val="single" w:sz="4" w:space="0" w:color="auto"/>
            </w:tcBorders>
            <w:noWrap/>
            <w:vAlign w:val="bottom"/>
          </w:tcPr>
          <w:p w:rsidR="00891A96" w:rsidRPr="00EB2995" w:rsidRDefault="00891A96" w:rsidP="00891A96">
            <w:pPr>
              <w:jc w:val="right"/>
              <w:rPr>
                <w:rFonts w:cs="Calibri"/>
                <w:color w:val="000000"/>
              </w:rPr>
            </w:pPr>
            <w:r w:rsidRPr="00EB2995">
              <w:rPr>
                <w:rFonts w:cs="Calibri"/>
                <w:color w:val="000000"/>
              </w:rPr>
              <w:t>78.7</w:t>
            </w:r>
          </w:p>
        </w:tc>
        <w:tc>
          <w:tcPr>
            <w:tcW w:w="5365" w:type="dxa"/>
            <w:tcBorders>
              <w:top w:val="nil"/>
              <w:left w:val="single" w:sz="4" w:space="0" w:color="auto"/>
              <w:bottom w:val="nil"/>
              <w:right w:val="single" w:sz="4" w:space="0" w:color="auto"/>
            </w:tcBorders>
            <w:noWrap/>
            <w:vAlign w:val="center"/>
          </w:tcPr>
          <w:p w:rsidR="00891A96" w:rsidRPr="00EB2995" w:rsidRDefault="00891A96" w:rsidP="00891A96">
            <w:pPr>
              <w:rPr>
                <w:rFonts w:cs="Calibri"/>
                <w:color w:val="000000"/>
                <w:lang w:eastAsia="en-GB"/>
              </w:rPr>
            </w:pPr>
            <w:r w:rsidRPr="00EB2995">
              <w:rPr>
                <w:rFonts w:cs="Calibri"/>
                <w:color w:val="000000"/>
              </w:rPr>
              <w:t>Depreciation &amp; Impairment Losses</w:t>
            </w:r>
          </w:p>
        </w:tc>
        <w:tc>
          <w:tcPr>
            <w:tcW w:w="1481" w:type="dxa"/>
            <w:tcBorders>
              <w:top w:val="single" w:sz="4" w:space="0" w:color="auto"/>
              <w:left w:val="single" w:sz="4" w:space="0" w:color="auto"/>
              <w:bottom w:val="nil"/>
              <w:right w:val="single" w:sz="4" w:space="0" w:color="auto"/>
            </w:tcBorders>
            <w:noWrap/>
            <w:vAlign w:val="center"/>
          </w:tcPr>
          <w:p w:rsidR="00891A96" w:rsidRPr="00EB2995" w:rsidRDefault="00891A96" w:rsidP="00891A96">
            <w:pPr>
              <w:jc w:val="right"/>
              <w:rPr>
                <w:rFonts w:cs="Calibri"/>
                <w:color w:val="000000"/>
                <w:lang w:eastAsia="en-GB"/>
              </w:rPr>
            </w:pPr>
            <w:r>
              <w:rPr>
                <w:rFonts w:cs="Calibri"/>
                <w:color w:val="000000"/>
              </w:rPr>
              <w:t>76.5</w:t>
            </w:r>
          </w:p>
        </w:tc>
      </w:tr>
      <w:tr w:rsidR="00891A96" w:rsidRPr="00EB2995" w:rsidTr="00AE1C26">
        <w:trPr>
          <w:trHeight w:val="315"/>
        </w:trPr>
        <w:tc>
          <w:tcPr>
            <w:tcW w:w="1276" w:type="dxa"/>
            <w:tcBorders>
              <w:top w:val="nil"/>
              <w:bottom w:val="nil"/>
            </w:tcBorders>
            <w:noWrap/>
            <w:vAlign w:val="bottom"/>
          </w:tcPr>
          <w:p w:rsidR="00891A96" w:rsidRPr="00EB2995" w:rsidRDefault="00891A96" w:rsidP="00891A96">
            <w:pPr>
              <w:jc w:val="right"/>
              <w:rPr>
                <w:rFonts w:cs="Calibri"/>
                <w:color w:val="000000"/>
                <w:lang w:eastAsia="en-GB"/>
              </w:rPr>
            </w:pPr>
            <w:r w:rsidRPr="00EB2995">
              <w:rPr>
                <w:rFonts w:cs="Calibri"/>
                <w:color w:val="000000"/>
              </w:rPr>
              <w:t>294.6</w:t>
            </w:r>
          </w:p>
        </w:tc>
        <w:tc>
          <w:tcPr>
            <w:tcW w:w="5365" w:type="dxa"/>
            <w:tcBorders>
              <w:top w:val="nil"/>
              <w:bottom w:val="nil"/>
            </w:tcBorders>
            <w:noWrap/>
            <w:vAlign w:val="center"/>
          </w:tcPr>
          <w:p w:rsidR="00891A96" w:rsidRPr="00EB2995" w:rsidRDefault="00891A96" w:rsidP="00891A96">
            <w:pPr>
              <w:rPr>
                <w:rFonts w:cs="Calibri"/>
                <w:color w:val="000000"/>
                <w:lang w:eastAsia="en-GB"/>
              </w:rPr>
            </w:pPr>
            <w:r w:rsidRPr="00EB2995">
              <w:rPr>
                <w:rFonts w:cs="Calibri"/>
                <w:color w:val="000000"/>
              </w:rPr>
              <w:t>Employee Expenses</w:t>
            </w:r>
          </w:p>
        </w:tc>
        <w:tc>
          <w:tcPr>
            <w:tcW w:w="1481" w:type="dxa"/>
            <w:tcBorders>
              <w:top w:val="nil"/>
              <w:bottom w:val="nil"/>
            </w:tcBorders>
            <w:noWrap/>
            <w:vAlign w:val="center"/>
          </w:tcPr>
          <w:p w:rsidR="00891A96" w:rsidRPr="00EB2995" w:rsidRDefault="00891A96" w:rsidP="00891A96">
            <w:pPr>
              <w:jc w:val="right"/>
              <w:rPr>
                <w:rFonts w:cs="Calibri"/>
                <w:color w:val="000000"/>
                <w:lang w:eastAsia="en-GB"/>
              </w:rPr>
            </w:pPr>
            <w:r>
              <w:rPr>
                <w:rFonts w:cs="Calibri"/>
                <w:color w:val="000000"/>
              </w:rPr>
              <w:t>284.7</w:t>
            </w:r>
          </w:p>
        </w:tc>
      </w:tr>
      <w:tr w:rsidR="00891A96" w:rsidRPr="00EB2995" w:rsidTr="00AE1C26">
        <w:trPr>
          <w:trHeight w:val="315"/>
        </w:trPr>
        <w:tc>
          <w:tcPr>
            <w:tcW w:w="1276" w:type="dxa"/>
            <w:tcBorders>
              <w:top w:val="nil"/>
              <w:bottom w:val="nil"/>
            </w:tcBorders>
            <w:noWrap/>
            <w:vAlign w:val="bottom"/>
          </w:tcPr>
          <w:p w:rsidR="00891A96" w:rsidRPr="00EB2995" w:rsidRDefault="00891A96" w:rsidP="00891A96">
            <w:pPr>
              <w:jc w:val="right"/>
              <w:rPr>
                <w:rFonts w:cs="Calibri"/>
                <w:color w:val="000000"/>
                <w:lang w:eastAsia="en-GB"/>
              </w:rPr>
            </w:pPr>
            <w:r w:rsidRPr="00EB2995">
              <w:rPr>
                <w:rFonts w:cs="Calibri"/>
                <w:color w:val="000000"/>
              </w:rPr>
              <w:t>60.2</w:t>
            </w:r>
          </w:p>
        </w:tc>
        <w:tc>
          <w:tcPr>
            <w:tcW w:w="5365" w:type="dxa"/>
            <w:tcBorders>
              <w:top w:val="nil"/>
              <w:bottom w:val="nil"/>
            </w:tcBorders>
            <w:noWrap/>
            <w:vAlign w:val="center"/>
          </w:tcPr>
          <w:p w:rsidR="00891A96" w:rsidRPr="00EB2995" w:rsidRDefault="00891A96" w:rsidP="00891A96">
            <w:pPr>
              <w:rPr>
                <w:rFonts w:cs="Calibri"/>
                <w:color w:val="000000"/>
                <w:lang w:eastAsia="en-GB"/>
              </w:rPr>
            </w:pPr>
            <w:r w:rsidRPr="00EB2995">
              <w:rPr>
                <w:rFonts w:cs="Calibri"/>
                <w:color w:val="000000"/>
              </w:rPr>
              <w:t>Premises Related Expenditure</w:t>
            </w:r>
          </w:p>
        </w:tc>
        <w:tc>
          <w:tcPr>
            <w:tcW w:w="1481" w:type="dxa"/>
            <w:tcBorders>
              <w:top w:val="nil"/>
              <w:bottom w:val="nil"/>
            </w:tcBorders>
            <w:noWrap/>
            <w:vAlign w:val="center"/>
          </w:tcPr>
          <w:p w:rsidR="00891A96" w:rsidRPr="00EB2995" w:rsidRDefault="00891A96" w:rsidP="00891A96">
            <w:pPr>
              <w:jc w:val="right"/>
              <w:rPr>
                <w:rFonts w:cs="Calibri"/>
                <w:color w:val="000000"/>
                <w:lang w:eastAsia="en-GB"/>
              </w:rPr>
            </w:pPr>
            <w:r>
              <w:rPr>
                <w:rFonts w:cs="Calibri"/>
                <w:color w:val="000000"/>
              </w:rPr>
              <w:t>73.5</w:t>
            </w:r>
          </w:p>
        </w:tc>
      </w:tr>
      <w:tr w:rsidR="00891A96" w:rsidRPr="00EB2995" w:rsidTr="00AE1C26">
        <w:trPr>
          <w:trHeight w:val="315"/>
        </w:trPr>
        <w:tc>
          <w:tcPr>
            <w:tcW w:w="1276" w:type="dxa"/>
            <w:tcBorders>
              <w:top w:val="nil"/>
              <w:bottom w:val="nil"/>
            </w:tcBorders>
            <w:noWrap/>
            <w:vAlign w:val="bottom"/>
          </w:tcPr>
          <w:p w:rsidR="00891A96" w:rsidRPr="00EB2995" w:rsidRDefault="00891A96" w:rsidP="00891A96">
            <w:pPr>
              <w:jc w:val="right"/>
              <w:rPr>
                <w:rFonts w:cs="Calibri"/>
                <w:color w:val="000000"/>
                <w:lang w:eastAsia="en-GB"/>
              </w:rPr>
            </w:pPr>
            <w:r w:rsidRPr="00EB2995">
              <w:rPr>
                <w:rFonts w:cs="Calibri"/>
                <w:color w:val="000000"/>
              </w:rPr>
              <w:t>119.5</w:t>
            </w:r>
          </w:p>
        </w:tc>
        <w:tc>
          <w:tcPr>
            <w:tcW w:w="5365" w:type="dxa"/>
            <w:tcBorders>
              <w:top w:val="nil"/>
              <w:bottom w:val="nil"/>
            </w:tcBorders>
            <w:noWrap/>
            <w:vAlign w:val="center"/>
          </w:tcPr>
          <w:p w:rsidR="00891A96" w:rsidRPr="00EB2995" w:rsidRDefault="00891A96" w:rsidP="00891A96">
            <w:pPr>
              <w:rPr>
                <w:rFonts w:cs="Calibri"/>
                <w:color w:val="000000"/>
                <w:lang w:eastAsia="en-GB"/>
              </w:rPr>
            </w:pPr>
            <w:r w:rsidRPr="00EB2995">
              <w:rPr>
                <w:rFonts w:cs="Calibri"/>
                <w:color w:val="000000"/>
              </w:rPr>
              <w:t>Supplies and Services</w:t>
            </w:r>
          </w:p>
        </w:tc>
        <w:tc>
          <w:tcPr>
            <w:tcW w:w="1481" w:type="dxa"/>
            <w:tcBorders>
              <w:top w:val="nil"/>
              <w:bottom w:val="nil"/>
            </w:tcBorders>
            <w:noWrap/>
            <w:vAlign w:val="center"/>
          </w:tcPr>
          <w:p w:rsidR="00891A96" w:rsidRPr="00EB2995" w:rsidRDefault="00891A96" w:rsidP="00891A96">
            <w:pPr>
              <w:jc w:val="right"/>
              <w:rPr>
                <w:rFonts w:cs="Calibri"/>
                <w:color w:val="000000"/>
                <w:lang w:eastAsia="en-GB"/>
              </w:rPr>
            </w:pPr>
            <w:r>
              <w:rPr>
                <w:rFonts w:cs="Calibri"/>
                <w:color w:val="000000"/>
              </w:rPr>
              <w:t>138.2</w:t>
            </w:r>
          </w:p>
        </w:tc>
      </w:tr>
      <w:tr w:rsidR="00891A96" w:rsidRPr="00EB2995" w:rsidTr="00AE1C26">
        <w:trPr>
          <w:trHeight w:val="315"/>
        </w:trPr>
        <w:tc>
          <w:tcPr>
            <w:tcW w:w="1276" w:type="dxa"/>
            <w:tcBorders>
              <w:top w:val="nil"/>
              <w:bottom w:val="nil"/>
            </w:tcBorders>
            <w:noWrap/>
            <w:vAlign w:val="bottom"/>
          </w:tcPr>
          <w:p w:rsidR="00891A96" w:rsidRPr="00EB2995" w:rsidRDefault="00891A96" w:rsidP="00891A96">
            <w:pPr>
              <w:jc w:val="right"/>
              <w:rPr>
                <w:rFonts w:cs="Calibri"/>
                <w:color w:val="000000"/>
                <w:lang w:eastAsia="en-GB"/>
              </w:rPr>
            </w:pPr>
            <w:r w:rsidRPr="00EB2995">
              <w:rPr>
                <w:rFonts w:cs="Calibri"/>
                <w:color w:val="000000"/>
              </w:rPr>
              <w:t>22.8</w:t>
            </w:r>
          </w:p>
        </w:tc>
        <w:tc>
          <w:tcPr>
            <w:tcW w:w="5365" w:type="dxa"/>
            <w:tcBorders>
              <w:top w:val="nil"/>
              <w:bottom w:val="nil"/>
            </w:tcBorders>
            <w:noWrap/>
            <w:vAlign w:val="center"/>
          </w:tcPr>
          <w:p w:rsidR="00891A96" w:rsidRPr="00EB2995" w:rsidRDefault="00891A96" w:rsidP="00891A96">
            <w:pPr>
              <w:rPr>
                <w:rFonts w:cs="Calibri"/>
                <w:color w:val="000000"/>
                <w:lang w:eastAsia="en-GB"/>
              </w:rPr>
            </w:pPr>
            <w:r w:rsidRPr="00EB2995">
              <w:rPr>
                <w:rFonts w:cs="Calibri"/>
                <w:color w:val="000000"/>
              </w:rPr>
              <w:t>Support Services</w:t>
            </w:r>
          </w:p>
        </w:tc>
        <w:tc>
          <w:tcPr>
            <w:tcW w:w="1481" w:type="dxa"/>
            <w:tcBorders>
              <w:top w:val="nil"/>
              <w:bottom w:val="nil"/>
            </w:tcBorders>
            <w:noWrap/>
            <w:vAlign w:val="center"/>
          </w:tcPr>
          <w:p w:rsidR="00891A96" w:rsidRPr="00EB2995" w:rsidRDefault="00891A96" w:rsidP="00891A96">
            <w:pPr>
              <w:jc w:val="right"/>
              <w:rPr>
                <w:rFonts w:cs="Calibri"/>
                <w:color w:val="000000"/>
                <w:lang w:eastAsia="en-GB"/>
              </w:rPr>
            </w:pPr>
            <w:r>
              <w:rPr>
                <w:rFonts w:cs="Calibri"/>
                <w:color w:val="000000"/>
              </w:rPr>
              <w:t>-0.7</w:t>
            </w:r>
          </w:p>
        </w:tc>
      </w:tr>
      <w:tr w:rsidR="00891A96" w:rsidRPr="00EB2995" w:rsidTr="00AE1C26">
        <w:trPr>
          <w:trHeight w:val="315"/>
        </w:trPr>
        <w:tc>
          <w:tcPr>
            <w:tcW w:w="1276" w:type="dxa"/>
            <w:tcBorders>
              <w:top w:val="nil"/>
              <w:bottom w:val="nil"/>
            </w:tcBorders>
            <w:noWrap/>
            <w:vAlign w:val="bottom"/>
          </w:tcPr>
          <w:p w:rsidR="00891A96" w:rsidRPr="00EB2995" w:rsidRDefault="00891A96" w:rsidP="00891A96">
            <w:pPr>
              <w:jc w:val="right"/>
              <w:rPr>
                <w:rFonts w:cs="Calibri"/>
                <w:color w:val="000000"/>
                <w:lang w:eastAsia="en-GB"/>
              </w:rPr>
            </w:pPr>
            <w:r w:rsidRPr="00EB2995">
              <w:rPr>
                <w:rFonts w:cs="Calibri"/>
                <w:color w:val="000000"/>
              </w:rPr>
              <w:t>154.6</w:t>
            </w:r>
          </w:p>
        </w:tc>
        <w:tc>
          <w:tcPr>
            <w:tcW w:w="5365" w:type="dxa"/>
            <w:tcBorders>
              <w:top w:val="nil"/>
              <w:bottom w:val="nil"/>
            </w:tcBorders>
            <w:noWrap/>
            <w:vAlign w:val="center"/>
          </w:tcPr>
          <w:p w:rsidR="00891A96" w:rsidRPr="00EB2995" w:rsidRDefault="00891A96" w:rsidP="00891A96">
            <w:pPr>
              <w:rPr>
                <w:rFonts w:cs="Calibri"/>
                <w:color w:val="000000"/>
                <w:lang w:eastAsia="en-GB"/>
              </w:rPr>
            </w:pPr>
            <w:r w:rsidRPr="00EB2995">
              <w:rPr>
                <w:rFonts w:cs="Calibri"/>
                <w:color w:val="000000"/>
              </w:rPr>
              <w:t>Third Party Payments</w:t>
            </w:r>
          </w:p>
        </w:tc>
        <w:tc>
          <w:tcPr>
            <w:tcW w:w="1481" w:type="dxa"/>
            <w:tcBorders>
              <w:top w:val="nil"/>
              <w:bottom w:val="nil"/>
            </w:tcBorders>
            <w:noWrap/>
            <w:vAlign w:val="center"/>
          </w:tcPr>
          <w:p w:rsidR="00891A96" w:rsidRPr="00EB2995" w:rsidRDefault="00891A96" w:rsidP="00891A96">
            <w:pPr>
              <w:jc w:val="right"/>
              <w:rPr>
                <w:rFonts w:cs="Calibri"/>
                <w:color w:val="000000"/>
                <w:lang w:eastAsia="en-GB"/>
              </w:rPr>
            </w:pPr>
            <w:r>
              <w:rPr>
                <w:rFonts w:cs="Calibri"/>
                <w:color w:val="000000"/>
              </w:rPr>
              <w:t>159.6</w:t>
            </w:r>
          </w:p>
        </w:tc>
      </w:tr>
      <w:tr w:rsidR="00891A96" w:rsidRPr="00EB2995" w:rsidTr="00AE1C26">
        <w:trPr>
          <w:trHeight w:val="315"/>
        </w:trPr>
        <w:tc>
          <w:tcPr>
            <w:tcW w:w="1276" w:type="dxa"/>
            <w:tcBorders>
              <w:top w:val="nil"/>
              <w:bottom w:val="nil"/>
            </w:tcBorders>
            <w:noWrap/>
            <w:vAlign w:val="bottom"/>
          </w:tcPr>
          <w:p w:rsidR="00891A96" w:rsidRPr="00EB2995" w:rsidRDefault="00891A96" w:rsidP="00891A96">
            <w:pPr>
              <w:jc w:val="right"/>
              <w:rPr>
                <w:rFonts w:cs="Calibri"/>
                <w:color w:val="000000"/>
                <w:lang w:eastAsia="en-GB"/>
              </w:rPr>
            </w:pPr>
            <w:r w:rsidRPr="00EB2995">
              <w:rPr>
                <w:rFonts w:cs="Calibri"/>
                <w:color w:val="000000"/>
              </w:rPr>
              <w:t>351.5</w:t>
            </w:r>
          </w:p>
        </w:tc>
        <w:tc>
          <w:tcPr>
            <w:tcW w:w="5365" w:type="dxa"/>
            <w:tcBorders>
              <w:top w:val="nil"/>
              <w:bottom w:val="nil"/>
            </w:tcBorders>
            <w:noWrap/>
            <w:vAlign w:val="center"/>
          </w:tcPr>
          <w:p w:rsidR="00891A96" w:rsidRPr="00EB2995" w:rsidRDefault="00891A96" w:rsidP="00891A96">
            <w:pPr>
              <w:rPr>
                <w:rFonts w:cs="Calibri"/>
                <w:color w:val="000000"/>
                <w:lang w:eastAsia="en-GB"/>
              </w:rPr>
            </w:pPr>
            <w:r w:rsidRPr="00EB2995">
              <w:rPr>
                <w:rFonts w:cs="Calibri"/>
                <w:color w:val="000000"/>
              </w:rPr>
              <w:t>Transfer Payments</w:t>
            </w:r>
          </w:p>
        </w:tc>
        <w:tc>
          <w:tcPr>
            <w:tcW w:w="1481" w:type="dxa"/>
            <w:tcBorders>
              <w:top w:val="nil"/>
              <w:bottom w:val="nil"/>
            </w:tcBorders>
            <w:noWrap/>
            <w:vAlign w:val="center"/>
          </w:tcPr>
          <w:p w:rsidR="00891A96" w:rsidRPr="00EB2995" w:rsidRDefault="00891A96" w:rsidP="00891A96">
            <w:pPr>
              <w:jc w:val="right"/>
              <w:rPr>
                <w:rFonts w:cs="Calibri"/>
                <w:color w:val="000000"/>
                <w:lang w:eastAsia="en-GB"/>
              </w:rPr>
            </w:pPr>
            <w:r>
              <w:rPr>
                <w:rFonts w:cs="Calibri"/>
                <w:color w:val="000000"/>
              </w:rPr>
              <w:t>314.7</w:t>
            </w:r>
          </w:p>
        </w:tc>
      </w:tr>
      <w:tr w:rsidR="00891A96" w:rsidRPr="00EB2995" w:rsidTr="00AE1C26">
        <w:trPr>
          <w:trHeight w:val="315"/>
        </w:trPr>
        <w:tc>
          <w:tcPr>
            <w:tcW w:w="1276" w:type="dxa"/>
            <w:tcBorders>
              <w:top w:val="nil"/>
            </w:tcBorders>
            <w:noWrap/>
            <w:vAlign w:val="bottom"/>
          </w:tcPr>
          <w:p w:rsidR="00891A96" w:rsidRPr="00EB2995" w:rsidRDefault="00891A96" w:rsidP="00891A96">
            <w:pPr>
              <w:jc w:val="right"/>
              <w:rPr>
                <w:rFonts w:cs="Calibri"/>
                <w:color w:val="000000"/>
                <w:lang w:eastAsia="en-GB"/>
              </w:rPr>
            </w:pPr>
            <w:r w:rsidRPr="00EB2995">
              <w:rPr>
                <w:rFonts w:cs="Calibri"/>
                <w:color w:val="000000"/>
              </w:rPr>
              <w:t>26.1</w:t>
            </w:r>
          </w:p>
        </w:tc>
        <w:tc>
          <w:tcPr>
            <w:tcW w:w="5365" w:type="dxa"/>
            <w:tcBorders>
              <w:top w:val="nil"/>
              <w:bottom w:val="nil"/>
            </w:tcBorders>
            <w:noWrap/>
            <w:vAlign w:val="center"/>
          </w:tcPr>
          <w:p w:rsidR="00891A96" w:rsidRPr="00EB2995" w:rsidRDefault="00891A96" w:rsidP="00891A96">
            <w:pPr>
              <w:rPr>
                <w:rFonts w:cs="Calibri"/>
                <w:color w:val="000000"/>
                <w:lang w:eastAsia="en-GB"/>
              </w:rPr>
            </w:pPr>
            <w:r w:rsidRPr="00EB2995">
              <w:rPr>
                <w:rFonts w:cs="Calibri"/>
                <w:color w:val="000000"/>
              </w:rPr>
              <w:t>Transport Related Expenditure</w:t>
            </w:r>
          </w:p>
        </w:tc>
        <w:tc>
          <w:tcPr>
            <w:tcW w:w="1481" w:type="dxa"/>
            <w:tcBorders>
              <w:top w:val="nil"/>
            </w:tcBorders>
            <w:noWrap/>
            <w:vAlign w:val="center"/>
          </w:tcPr>
          <w:p w:rsidR="00891A96" w:rsidRPr="00EB2995" w:rsidRDefault="00891A96" w:rsidP="00891A96">
            <w:pPr>
              <w:jc w:val="right"/>
              <w:rPr>
                <w:rFonts w:cs="Calibri"/>
                <w:color w:val="000000"/>
              </w:rPr>
            </w:pPr>
            <w:r>
              <w:rPr>
                <w:rFonts w:cs="Calibri"/>
                <w:color w:val="000000"/>
              </w:rPr>
              <w:t>27.4</w:t>
            </w:r>
          </w:p>
        </w:tc>
      </w:tr>
      <w:tr w:rsidR="00891A96" w:rsidRPr="00EB2995" w:rsidTr="00AE1C26">
        <w:trPr>
          <w:trHeight w:val="315"/>
        </w:trPr>
        <w:tc>
          <w:tcPr>
            <w:tcW w:w="1276" w:type="dxa"/>
            <w:noWrap/>
            <w:vAlign w:val="bottom"/>
          </w:tcPr>
          <w:p w:rsidR="00891A96" w:rsidRPr="00EB2995" w:rsidRDefault="00891A96" w:rsidP="00891A96">
            <w:pPr>
              <w:jc w:val="right"/>
              <w:rPr>
                <w:rFonts w:cs="Calibri"/>
                <w:b/>
                <w:bCs/>
                <w:color w:val="000000"/>
                <w:lang w:eastAsia="en-GB"/>
              </w:rPr>
            </w:pPr>
            <w:r w:rsidRPr="00EB2995">
              <w:rPr>
                <w:rFonts w:cs="Calibri"/>
                <w:b/>
                <w:bCs/>
                <w:color w:val="000000"/>
              </w:rPr>
              <w:t>1,108.0</w:t>
            </w:r>
          </w:p>
        </w:tc>
        <w:tc>
          <w:tcPr>
            <w:tcW w:w="5365" w:type="dxa"/>
            <w:tcBorders>
              <w:top w:val="nil"/>
              <w:bottom w:val="nil"/>
            </w:tcBorders>
            <w:noWrap/>
          </w:tcPr>
          <w:p w:rsidR="00891A96" w:rsidRPr="00EB2995" w:rsidRDefault="00891A96" w:rsidP="00891A96">
            <w:pPr>
              <w:rPr>
                <w:rFonts w:cs="Calibri"/>
                <w:b/>
                <w:bCs/>
                <w:color w:val="000000"/>
                <w:lang w:eastAsia="en-GB"/>
              </w:rPr>
            </w:pPr>
            <w:r w:rsidRPr="00EB2995">
              <w:rPr>
                <w:rFonts w:cs="Calibri"/>
                <w:b/>
                <w:bCs/>
                <w:color w:val="000000"/>
                <w:lang w:eastAsia="en-GB"/>
              </w:rPr>
              <w:t>Total Gross Expenditure</w:t>
            </w:r>
          </w:p>
        </w:tc>
        <w:tc>
          <w:tcPr>
            <w:tcW w:w="1481" w:type="dxa"/>
            <w:noWrap/>
            <w:vAlign w:val="center"/>
          </w:tcPr>
          <w:p w:rsidR="00891A96" w:rsidRPr="00EB2995" w:rsidRDefault="00891A96" w:rsidP="00891A96">
            <w:pPr>
              <w:jc w:val="right"/>
              <w:rPr>
                <w:rFonts w:cs="Calibri"/>
                <w:b/>
                <w:bCs/>
                <w:color w:val="000000"/>
                <w:lang w:eastAsia="en-GB"/>
              </w:rPr>
            </w:pPr>
            <w:r>
              <w:rPr>
                <w:rFonts w:cs="Calibri"/>
                <w:b/>
                <w:bCs/>
                <w:color w:val="000000"/>
              </w:rPr>
              <w:t>1,073.9</w:t>
            </w:r>
          </w:p>
        </w:tc>
      </w:tr>
      <w:tr w:rsidR="002525F7" w:rsidRPr="00EB2995" w:rsidTr="00AE1C26">
        <w:trPr>
          <w:trHeight w:val="315"/>
        </w:trPr>
        <w:tc>
          <w:tcPr>
            <w:tcW w:w="1276" w:type="dxa"/>
            <w:tcBorders>
              <w:left w:val="nil"/>
              <w:right w:val="nil"/>
            </w:tcBorders>
            <w:noWrap/>
          </w:tcPr>
          <w:p w:rsidR="002525F7" w:rsidRPr="00EB2995" w:rsidRDefault="002525F7" w:rsidP="00AE1C26">
            <w:pPr>
              <w:jc w:val="right"/>
              <w:rPr>
                <w:rFonts w:cs="Calibri"/>
                <w:b/>
                <w:bCs/>
                <w:color w:val="000000"/>
                <w:lang w:eastAsia="en-GB"/>
              </w:rPr>
            </w:pPr>
          </w:p>
        </w:tc>
        <w:tc>
          <w:tcPr>
            <w:tcW w:w="5365" w:type="dxa"/>
            <w:tcBorders>
              <w:top w:val="nil"/>
              <w:left w:val="nil"/>
              <w:bottom w:val="nil"/>
              <w:right w:val="nil"/>
            </w:tcBorders>
            <w:noWrap/>
          </w:tcPr>
          <w:p w:rsidR="002525F7" w:rsidRPr="00EB2995" w:rsidRDefault="002525F7" w:rsidP="00AE1C26">
            <w:pPr>
              <w:rPr>
                <w:rFonts w:cs="Calibri"/>
                <w:sz w:val="20"/>
                <w:szCs w:val="20"/>
                <w:lang w:eastAsia="en-GB"/>
              </w:rPr>
            </w:pPr>
          </w:p>
        </w:tc>
        <w:tc>
          <w:tcPr>
            <w:tcW w:w="1481" w:type="dxa"/>
            <w:tcBorders>
              <w:left w:val="nil"/>
              <w:right w:val="nil"/>
            </w:tcBorders>
            <w:noWrap/>
            <w:vAlign w:val="center"/>
          </w:tcPr>
          <w:p w:rsidR="002525F7" w:rsidRPr="00EB2995" w:rsidRDefault="002525F7" w:rsidP="00AE1C26">
            <w:pPr>
              <w:rPr>
                <w:rFonts w:cs="Calibri"/>
                <w:sz w:val="20"/>
                <w:szCs w:val="20"/>
                <w:lang w:eastAsia="en-GB"/>
              </w:rPr>
            </w:pPr>
            <w:r w:rsidRPr="00EB2995">
              <w:rPr>
                <w:rFonts w:cs="Calibri"/>
                <w:color w:val="000000"/>
                <w:sz w:val="20"/>
                <w:szCs w:val="20"/>
              </w:rPr>
              <w:t> </w:t>
            </w:r>
          </w:p>
        </w:tc>
      </w:tr>
      <w:tr w:rsidR="002525F7" w:rsidRPr="00EB2995" w:rsidTr="00AE1C26">
        <w:trPr>
          <w:trHeight w:val="315"/>
        </w:trPr>
        <w:tc>
          <w:tcPr>
            <w:tcW w:w="1276" w:type="dxa"/>
            <w:tcBorders>
              <w:bottom w:val="nil"/>
            </w:tcBorders>
            <w:noWrap/>
            <w:vAlign w:val="bottom"/>
          </w:tcPr>
          <w:p w:rsidR="002525F7" w:rsidRPr="00EB2995" w:rsidRDefault="002525F7" w:rsidP="00AE1C26">
            <w:pPr>
              <w:jc w:val="right"/>
              <w:rPr>
                <w:rFonts w:cs="Calibri"/>
                <w:color w:val="000000"/>
                <w:lang w:eastAsia="en-GB"/>
              </w:rPr>
            </w:pPr>
            <w:r w:rsidRPr="00EB2995">
              <w:rPr>
                <w:rFonts w:cs="Calibri"/>
                <w:color w:val="000000"/>
              </w:rPr>
              <w:t>(192.8)</w:t>
            </w:r>
          </w:p>
        </w:tc>
        <w:tc>
          <w:tcPr>
            <w:tcW w:w="5365" w:type="dxa"/>
            <w:tcBorders>
              <w:top w:val="nil"/>
              <w:bottom w:val="nil"/>
            </w:tcBorders>
            <w:noWrap/>
          </w:tcPr>
          <w:p w:rsidR="002525F7" w:rsidRPr="00EB2995" w:rsidRDefault="002525F7" w:rsidP="00AE1C26">
            <w:pPr>
              <w:rPr>
                <w:rFonts w:cs="Calibri"/>
                <w:b/>
                <w:color w:val="000000"/>
                <w:lang w:eastAsia="en-GB"/>
              </w:rPr>
            </w:pPr>
            <w:r w:rsidRPr="00EB2995">
              <w:rPr>
                <w:rFonts w:cs="Calibri"/>
                <w:b/>
                <w:color w:val="000000"/>
                <w:lang w:eastAsia="en-GB"/>
              </w:rPr>
              <w:t>Gross Income</w:t>
            </w:r>
          </w:p>
          <w:p w:rsidR="002525F7" w:rsidRPr="00EB2995" w:rsidRDefault="002525F7" w:rsidP="00AE1C26">
            <w:pPr>
              <w:rPr>
                <w:rFonts w:cs="Calibri"/>
                <w:color w:val="000000"/>
                <w:lang w:eastAsia="en-GB"/>
              </w:rPr>
            </w:pPr>
            <w:r w:rsidRPr="00EB2995">
              <w:rPr>
                <w:rFonts w:cs="Calibri"/>
                <w:color w:val="000000"/>
                <w:lang w:eastAsia="en-GB"/>
              </w:rPr>
              <w:t>Customer and Client Receipts</w:t>
            </w:r>
          </w:p>
        </w:tc>
        <w:tc>
          <w:tcPr>
            <w:tcW w:w="1481" w:type="dxa"/>
            <w:tcBorders>
              <w:bottom w:val="nil"/>
            </w:tcBorders>
            <w:noWrap/>
            <w:vAlign w:val="center"/>
          </w:tcPr>
          <w:p w:rsidR="002525F7" w:rsidRPr="00EB2995" w:rsidRDefault="002525F7" w:rsidP="00AE1C26">
            <w:pPr>
              <w:jc w:val="right"/>
              <w:rPr>
                <w:rFonts w:cs="Calibri"/>
                <w:color w:val="000000"/>
              </w:rPr>
            </w:pPr>
            <w:r>
              <w:rPr>
                <w:rFonts w:cs="Calibri"/>
                <w:color w:val="000000"/>
              </w:rPr>
              <w:t>(186.0)</w:t>
            </w:r>
          </w:p>
        </w:tc>
      </w:tr>
      <w:tr w:rsidR="002525F7" w:rsidRPr="00EB2995" w:rsidTr="00AE1C26">
        <w:trPr>
          <w:trHeight w:val="315"/>
        </w:trPr>
        <w:tc>
          <w:tcPr>
            <w:tcW w:w="1276" w:type="dxa"/>
            <w:tcBorders>
              <w:top w:val="nil"/>
              <w:bottom w:val="nil"/>
            </w:tcBorders>
            <w:noWrap/>
            <w:vAlign w:val="bottom"/>
          </w:tcPr>
          <w:p w:rsidR="002525F7" w:rsidRPr="00EB2995" w:rsidRDefault="002525F7" w:rsidP="00AE1C26">
            <w:pPr>
              <w:jc w:val="right"/>
              <w:rPr>
                <w:rFonts w:cs="Calibri"/>
                <w:color w:val="000000"/>
                <w:lang w:eastAsia="en-GB"/>
              </w:rPr>
            </w:pPr>
            <w:r w:rsidRPr="00EB2995">
              <w:rPr>
                <w:rFonts w:cs="Calibri"/>
                <w:color w:val="000000"/>
              </w:rPr>
              <w:t>(606.5)</w:t>
            </w:r>
          </w:p>
        </w:tc>
        <w:tc>
          <w:tcPr>
            <w:tcW w:w="5365" w:type="dxa"/>
            <w:tcBorders>
              <w:top w:val="nil"/>
              <w:bottom w:val="nil"/>
            </w:tcBorders>
            <w:noWrap/>
          </w:tcPr>
          <w:p w:rsidR="002525F7" w:rsidRPr="00EB2995" w:rsidRDefault="002525F7" w:rsidP="00AE1C26">
            <w:pPr>
              <w:rPr>
                <w:rFonts w:cs="Calibri"/>
                <w:color w:val="000000"/>
                <w:lang w:eastAsia="en-GB"/>
              </w:rPr>
            </w:pPr>
            <w:r w:rsidRPr="00EB2995">
              <w:rPr>
                <w:rFonts w:cs="Calibri"/>
                <w:color w:val="000000"/>
                <w:lang w:eastAsia="en-GB"/>
              </w:rPr>
              <w:t>Government Grants</w:t>
            </w:r>
          </w:p>
        </w:tc>
        <w:tc>
          <w:tcPr>
            <w:tcW w:w="1481" w:type="dxa"/>
            <w:tcBorders>
              <w:top w:val="nil"/>
              <w:bottom w:val="nil"/>
            </w:tcBorders>
            <w:noWrap/>
            <w:vAlign w:val="center"/>
          </w:tcPr>
          <w:p w:rsidR="002525F7" w:rsidRPr="00EB2995" w:rsidRDefault="002525F7" w:rsidP="00AE1C26">
            <w:pPr>
              <w:jc w:val="right"/>
              <w:rPr>
                <w:rFonts w:cs="Calibri"/>
                <w:color w:val="000000"/>
                <w:lang w:eastAsia="en-GB"/>
              </w:rPr>
            </w:pPr>
            <w:r>
              <w:rPr>
                <w:rFonts w:cs="Calibri"/>
                <w:color w:val="000000"/>
              </w:rPr>
              <w:t>(571.3)</w:t>
            </w:r>
          </w:p>
        </w:tc>
      </w:tr>
      <w:tr w:rsidR="002525F7" w:rsidRPr="00EB2995" w:rsidTr="00AE1C26">
        <w:trPr>
          <w:trHeight w:val="315"/>
        </w:trPr>
        <w:tc>
          <w:tcPr>
            <w:tcW w:w="1276" w:type="dxa"/>
            <w:tcBorders>
              <w:top w:val="nil"/>
            </w:tcBorders>
            <w:noWrap/>
            <w:vAlign w:val="bottom"/>
          </w:tcPr>
          <w:p w:rsidR="002525F7" w:rsidRPr="00EB2995" w:rsidRDefault="002525F7" w:rsidP="00AE1C26">
            <w:pPr>
              <w:jc w:val="right"/>
              <w:rPr>
                <w:rFonts w:cs="Calibri"/>
                <w:color w:val="000000"/>
                <w:lang w:eastAsia="en-GB"/>
              </w:rPr>
            </w:pPr>
            <w:r w:rsidRPr="00EB2995">
              <w:rPr>
                <w:rFonts w:cs="Calibri"/>
                <w:color w:val="000000"/>
              </w:rPr>
              <w:t>(24.5)</w:t>
            </w:r>
          </w:p>
        </w:tc>
        <w:tc>
          <w:tcPr>
            <w:tcW w:w="5365" w:type="dxa"/>
            <w:tcBorders>
              <w:top w:val="nil"/>
              <w:bottom w:val="nil"/>
            </w:tcBorders>
            <w:noWrap/>
          </w:tcPr>
          <w:p w:rsidR="002525F7" w:rsidRPr="00EB2995" w:rsidRDefault="002525F7" w:rsidP="00AE1C26">
            <w:pPr>
              <w:rPr>
                <w:rFonts w:cs="Calibri"/>
                <w:color w:val="000000"/>
                <w:lang w:eastAsia="en-GB"/>
              </w:rPr>
            </w:pPr>
            <w:r w:rsidRPr="00EB2995">
              <w:rPr>
                <w:rFonts w:cs="Calibri"/>
                <w:color w:val="000000"/>
                <w:lang w:eastAsia="en-GB"/>
              </w:rPr>
              <w:t>Other Grants, Reimbursements &amp; Contributions</w:t>
            </w:r>
          </w:p>
        </w:tc>
        <w:tc>
          <w:tcPr>
            <w:tcW w:w="1481" w:type="dxa"/>
            <w:tcBorders>
              <w:top w:val="nil"/>
            </w:tcBorders>
            <w:noWrap/>
            <w:vAlign w:val="center"/>
          </w:tcPr>
          <w:p w:rsidR="002525F7" w:rsidRPr="00EB2995" w:rsidRDefault="002525F7" w:rsidP="00AE1C26">
            <w:pPr>
              <w:jc w:val="right"/>
              <w:rPr>
                <w:rFonts w:cs="Calibri"/>
                <w:color w:val="000000"/>
                <w:lang w:eastAsia="en-GB"/>
              </w:rPr>
            </w:pPr>
            <w:r>
              <w:rPr>
                <w:rFonts w:cs="Calibri"/>
                <w:color w:val="000000"/>
              </w:rPr>
              <w:t>(38.2)</w:t>
            </w:r>
          </w:p>
        </w:tc>
      </w:tr>
      <w:tr w:rsidR="002525F7" w:rsidRPr="00EB2995" w:rsidTr="00AE1C26">
        <w:trPr>
          <w:trHeight w:val="315"/>
        </w:trPr>
        <w:tc>
          <w:tcPr>
            <w:tcW w:w="1276" w:type="dxa"/>
            <w:noWrap/>
          </w:tcPr>
          <w:p w:rsidR="002525F7" w:rsidRPr="00EB2995" w:rsidRDefault="002525F7" w:rsidP="00AE1C26">
            <w:pPr>
              <w:jc w:val="right"/>
              <w:rPr>
                <w:rFonts w:cs="Calibri"/>
                <w:b/>
                <w:bCs/>
                <w:color w:val="000000"/>
                <w:lang w:eastAsia="en-GB"/>
              </w:rPr>
            </w:pPr>
            <w:r w:rsidRPr="00EB2995">
              <w:rPr>
                <w:rFonts w:cs="Calibri"/>
                <w:b/>
                <w:bCs/>
                <w:color w:val="000000"/>
              </w:rPr>
              <w:t>(823.8)</w:t>
            </w:r>
          </w:p>
        </w:tc>
        <w:tc>
          <w:tcPr>
            <w:tcW w:w="5365" w:type="dxa"/>
            <w:tcBorders>
              <w:top w:val="nil"/>
              <w:bottom w:val="nil"/>
            </w:tcBorders>
            <w:noWrap/>
          </w:tcPr>
          <w:p w:rsidR="002525F7" w:rsidRPr="00EB2995" w:rsidRDefault="002525F7" w:rsidP="00AE1C26">
            <w:pPr>
              <w:rPr>
                <w:rFonts w:cs="Calibri"/>
                <w:b/>
                <w:bCs/>
                <w:color w:val="000000"/>
                <w:lang w:eastAsia="en-GB"/>
              </w:rPr>
            </w:pPr>
            <w:r w:rsidRPr="00EB2995">
              <w:rPr>
                <w:rFonts w:cs="Calibri"/>
                <w:b/>
                <w:bCs/>
                <w:color w:val="000000"/>
                <w:lang w:eastAsia="en-GB"/>
              </w:rPr>
              <w:t>Total Gross Income</w:t>
            </w:r>
          </w:p>
        </w:tc>
        <w:tc>
          <w:tcPr>
            <w:tcW w:w="1481" w:type="dxa"/>
            <w:noWrap/>
            <w:vAlign w:val="center"/>
          </w:tcPr>
          <w:p w:rsidR="002525F7" w:rsidRPr="00EB2995" w:rsidRDefault="002525F7" w:rsidP="00AE1C26">
            <w:pPr>
              <w:jc w:val="right"/>
              <w:rPr>
                <w:rFonts w:cs="Calibri"/>
                <w:b/>
                <w:bCs/>
                <w:color w:val="000000"/>
                <w:lang w:eastAsia="en-GB"/>
              </w:rPr>
            </w:pPr>
            <w:r>
              <w:rPr>
                <w:rFonts w:cs="Calibri"/>
                <w:b/>
                <w:bCs/>
                <w:color w:val="000000"/>
              </w:rPr>
              <w:t>(795.5)</w:t>
            </w:r>
          </w:p>
        </w:tc>
      </w:tr>
      <w:tr w:rsidR="002525F7" w:rsidRPr="00EB2995" w:rsidTr="00AE1C26">
        <w:trPr>
          <w:trHeight w:val="315"/>
        </w:trPr>
        <w:tc>
          <w:tcPr>
            <w:tcW w:w="1276" w:type="dxa"/>
            <w:tcBorders>
              <w:left w:val="nil"/>
              <w:right w:val="nil"/>
            </w:tcBorders>
            <w:noWrap/>
          </w:tcPr>
          <w:p w:rsidR="002525F7" w:rsidRPr="00EB2995" w:rsidRDefault="002525F7" w:rsidP="00AE1C26">
            <w:pPr>
              <w:jc w:val="right"/>
              <w:rPr>
                <w:rFonts w:cs="Calibri"/>
                <w:b/>
                <w:bCs/>
                <w:color w:val="000000"/>
                <w:lang w:eastAsia="en-GB"/>
              </w:rPr>
            </w:pPr>
          </w:p>
        </w:tc>
        <w:tc>
          <w:tcPr>
            <w:tcW w:w="5365" w:type="dxa"/>
            <w:tcBorders>
              <w:top w:val="nil"/>
              <w:left w:val="nil"/>
              <w:bottom w:val="nil"/>
              <w:right w:val="nil"/>
            </w:tcBorders>
            <w:noWrap/>
          </w:tcPr>
          <w:p w:rsidR="002525F7" w:rsidRPr="00EB2995" w:rsidRDefault="002525F7" w:rsidP="00AE1C26">
            <w:pPr>
              <w:rPr>
                <w:rFonts w:cs="Calibri"/>
                <w:sz w:val="20"/>
                <w:szCs w:val="20"/>
                <w:lang w:eastAsia="en-GB"/>
              </w:rPr>
            </w:pPr>
          </w:p>
        </w:tc>
        <w:tc>
          <w:tcPr>
            <w:tcW w:w="1481" w:type="dxa"/>
            <w:tcBorders>
              <w:left w:val="nil"/>
              <w:right w:val="nil"/>
            </w:tcBorders>
            <w:noWrap/>
            <w:vAlign w:val="center"/>
          </w:tcPr>
          <w:p w:rsidR="002525F7" w:rsidRPr="00EB2995" w:rsidRDefault="002525F7" w:rsidP="00AE1C26">
            <w:pPr>
              <w:rPr>
                <w:rFonts w:cs="Calibri"/>
                <w:sz w:val="20"/>
                <w:szCs w:val="20"/>
                <w:lang w:eastAsia="en-GB"/>
              </w:rPr>
            </w:pPr>
          </w:p>
        </w:tc>
      </w:tr>
      <w:tr w:rsidR="002525F7" w:rsidRPr="00EB2995" w:rsidTr="00AE1C26">
        <w:trPr>
          <w:trHeight w:val="315"/>
        </w:trPr>
        <w:tc>
          <w:tcPr>
            <w:tcW w:w="1276" w:type="dxa"/>
            <w:noWrap/>
          </w:tcPr>
          <w:p w:rsidR="002525F7" w:rsidRPr="00EB2995" w:rsidRDefault="002525F7" w:rsidP="00AE1C26">
            <w:pPr>
              <w:jc w:val="right"/>
              <w:rPr>
                <w:rFonts w:cs="Calibri"/>
                <w:b/>
                <w:bCs/>
                <w:color w:val="000000"/>
                <w:lang w:eastAsia="en-GB"/>
              </w:rPr>
            </w:pPr>
            <w:r w:rsidRPr="00EB2995">
              <w:rPr>
                <w:rFonts w:cs="Calibri"/>
                <w:b/>
                <w:bCs/>
                <w:color w:val="000000"/>
              </w:rPr>
              <w:t>284.2</w:t>
            </w:r>
          </w:p>
        </w:tc>
        <w:tc>
          <w:tcPr>
            <w:tcW w:w="5365" w:type="dxa"/>
            <w:tcBorders>
              <w:top w:val="nil"/>
              <w:bottom w:val="nil"/>
            </w:tcBorders>
            <w:noWrap/>
          </w:tcPr>
          <w:p w:rsidR="002525F7" w:rsidRPr="00EB2995" w:rsidRDefault="002525F7" w:rsidP="00AE1C26">
            <w:pPr>
              <w:rPr>
                <w:rFonts w:cs="Calibri"/>
                <w:sz w:val="20"/>
                <w:szCs w:val="20"/>
                <w:lang w:eastAsia="en-GB"/>
              </w:rPr>
            </w:pPr>
            <w:r w:rsidRPr="00EB2995">
              <w:rPr>
                <w:rFonts w:cs="Calibri"/>
                <w:b/>
                <w:bCs/>
                <w:color w:val="000000"/>
                <w:lang w:eastAsia="en-GB"/>
              </w:rPr>
              <w:t>Net Cost of Services</w:t>
            </w:r>
          </w:p>
        </w:tc>
        <w:tc>
          <w:tcPr>
            <w:tcW w:w="1481" w:type="dxa"/>
            <w:noWrap/>
            <w:vAlign w:val="center"/>
          </w:tcPr>
          <w:p w:rsidR="002525F7" w:rsidRPr="00EB2995" w:rsidRDefault="00891A96" w:rsidP="00AE1C26">
            <w:pPr>
              <w:jc w:val="right"/>
              <w:rPr>
                <w:rFonts w:cs="Calibri"/>
                <w:b/>
                <w:bCs/>
                <w:color w:val="000000"/>
                <w:lang w:eastAsia="en-GB"/>
              </w:rPr>
            </w:pPr>
            <w:r>
              <w:rPr>
                <w:rFonts w:cs="Calibri"/>
                <w:b/>
                <w:bCs/>
                <w:color w:val="000000"/>
              </w:rPr>
              <w:t>278.4</w:t>
            </w:r>
          </w:p>
        </w:tc>
      </w:tr>
      <w:tr w:rsidR="002525F7" w:rsidRPr="00EB2995" w:rsidTr="00AE1C26">
        <w:trPr>
          <w:trHeight w:val="315"/>
        </w:trPr>
        <w:tc>
          <w:tcPr>
            <w:tcW w:w="1276" w:type="dxa"/>
            <w:tcBorders>
              <w:left w:val="nil"/>
              <w:bottom w:val="nil"/>
              <w:right w:val="nil"/>
            </w:tcBorders>
            <w:noWrap/>
          </w:tcPr>
          <w:p w:rsidR="002525F7" w:rsidRPr="00EB2995" w:rsidRDefault="002525F7" w:rsidP="00AE1C26">
            <w:pPr>
              <w:jc w:val="right"/>
              <w:rPr>
                <w:rFonts w:cs="Calibri"/>
                <w:b/>
                <w:bCs/>
                <w:color w:val="000000"/>
                <w:lang w:eastAsia="en-GB"/>
              </w:rPr>
            </w:pPr>
          </w:p>
        </w:tc>
        <w:tc>
          <w:tcPr>
            <w:tcW w:w="5365" w:type="dxa"/>
            <w:tcBorders>
              <w:top w:val="nil"/>
              <w:left w:val="nil"/>
              <w:bottom w:val="nil"/>
              <w:right w:val="nil"/>
            </w:tcBorders>
            <w:noWrap/>
          </w:tcPr>
          <w:p w:rsidR="002525F7" w:rsidRPr="00EB2995" w:rsidRDefault="002525F7" w:rsidP="00AE1C26">
            <w:pPr>
              <w:rPr>
                <w:rFonts w:cs="Calibri"/>
                <w:sz w:val="20"/>
                <w:szCs w:val="20"/>
                <w:lang w:eastAsia="en-GB"/>
              </w:rPr>
            </w:pPr>
          </w:p>
        </w:tc>
        <w:tc>
          <w:tcPr>
            <w:tcW w:w="1481" w:type="dxa"/>
            <w:tcBorders>
              <w:left w:val="nil"/>
              <w:bottom w:val="nil"/>
              <w:right w:val="nil"/>
            </w:tcBorders>
            <w:noWrap/>
            <w:vAlign w:val="center"/>
          </w:tcPr>
          <w:p w:rsidR="002525F7" w:rsidRPr="00EB2995" w:rsidRDefault="002525F7" w:rsidP="00AE1C26">
            <w:pPr>
              <w:rPr>
                <w:rFonts w:cs="Calibri"/>
                <w:sz w:val="20"/>
                <w:szCs w:val="20"/>
                <w:lang w:eastAsia="en-GB"/>
              </w:rPr>
            </w:pPr>
          </w:p>
        </w:tc>
      </w:tr>
      <w:tr w:rsidR="002525F7" w:rsidRPr="00EB2995" w:rsidTr="00AE1C26">
        <w:trPr>
          <w:trHeight w:val="315"/>
        </w:trPr>
        <w:tc>
          <w:tcPr>
            <w:tcW w:w="1276" w:type="dxa"/>
            <w:tcBorders>
              <w:top w:val="nil"/>
              <w:left w:val="nil"/>
              <w:right w:val="nil"/>
            </w:tcBorders>
            <w:noWrap/>
          </w:tcPr>
          <w:p w:rsidR="002525F7" w:rsidRPr="00EB2995" w:rsidRDefault="002525F7" w:rsidP="00AE1C26">
            <w:pPr>
              <w:rPr>
                <w:rFonts w:cs="Calibri"/>
                <w:sz w:val="20"/>
                <w:szCs w:val="20"/>
                <w:lang w:eastAsia="en-GB"/>
              </w:rPr>
            </w:pPr>
          </w:p>
        </w:tc>
        <w:tc>
          <w:tcPr>
            <w:tcW w:w="5365" w:type="dxa"/>
            <w:tcBorders>
              <w:top w:val="nil"/>
              <w:left w:val="nil"/>
              <w:bottom w:val="nil"/>
              <w:right w:val="nil"/>
            </w:tcBorders>
            <w:noWrap/>
          </w:tcPr>
          <w:p w:rsidR="002525F7" w:rsidRPr="00EB2995" w:rsidRDefault="002525F7" w:rsidP="00AE1C26">
            <w:pPr>
              <w:rPr>
                <w:rFonts w:cs="Calibri"/>
                <w:sz w:val="20"/>
                <w:szCs w:val="20"/>
                <w:lang w:eastAsia="en-GB"/>
              </w:rPr>
            </w:pPr>
            <w:r w:rsidRPr="00EB2995">
              <w:rPr>
                <w:rFonts w:cs="Calibri"/>
                <w:b/>
                <w:color w:val="000000"/>
                <w:lang w:eastAsia="en-GB"/>
              </w:rPr>
              <w:t>Other Income &amp; Expenditure</w:t>
            </w:r>
          </w:p>
        </w:tc>
        <w:tc>
          <w:tcPr>
            <w:tcW w:w="1481" w:type="dxa"/>
            <w:tcBorders>
              <w:top w:val="nil"/>
              <w:left w:val="nil"/>
              <w:right w:val="nil"/>
            </w:tcBorders>
            <w:noWrap/>
            <w:vAlign w:val="center"/>
          </w:tcPr>
          <w:p w:rsidR="002525F7" w:rsidRPr="00EB2995" w:rsidRDefault="002525F7" w:rsidP="00AE1C26">
            <w:pPr>
              <w:rPr>
                <w:rFonts w:cs="Calibri"/>
                <w:sz w:val="20"/>
                <w:szCs w:val="20"/>
                <w:lang w:eastAsia="en-GB"/>
              </w:rPr>
            </w:pPr>
          </w:p>
        </w:tc>
      </w:tr>
      <w:tr w:rsidR="002525F7" w:rsidRPr="00EB2995" w:rsidTr="00AE1C26">
        <w:trPr>
          <w:trHeight w:val="315"/>
        </w:trPr>
        <w:tc>
          <w:tcPr>
            <w:tcW w:w="1276" w:type="dxa"/>
            <w:tcBorders>
              <w:bottom w:val="nil"/>
            </w:tcBorders>
            <w:noWrap/>
            <w:vAlign w:val="bottom"/>
          </w:tcPr>
          <w:p w:rsidR="002525F7" w:rsidRPr="00EB2995" w:rsidRDefault="002525F7" w:rsidP="00AE1C26">
            <w:pPr>
              <w:jc w:val="right"/>
              <w:rPr>
                <w:rFonts w:cs="Calibri"/>
                <w:color w:val="000000"/>
                <w:lang w:eastAsia="en-GB"/>
              </w:rPr>
            </w:pPr>
            <w:r w:rsidRPr="00EB2995">
              <w:rPr>
                <w:rFonts w:cs="Calibri"/>
                <w:color w:val="000000"/>
              </w:rPr>
              <w:t>36.0</w:t>
            </w:r>
          </w:p>
        </w:tc>
        <w:tc>
          <w:tcPr>
            <w:tcW w:w="5365" w:type="dxa"/>
            <w:tcBorders>
              <w:top w:val="nil"/>
              <w:bottom w:val="nil"/>
            </w:tcBorders>
            <w:noWrap/>
          </w:tcPr>
          <w:p w:rsidR="002525F7" w:rsidRPr="00EB2995" w:rsidRDefault="002525F7" w:rsidP="00AE1C26">
            <w:pPr>
              <w:rPr>
                <w:rFonts w:cs="Calibri"/>
                <w:color w:val="000000"/>
                <w:lang w:eastAsia="en-GB"/>
              </w:rPr>
            </w:pPr>
            <w:r w:rsidRPr="00EB2995">
              <w:rPr>
                <w:rFonts w:cs="Calibri"/>
                <w:color w:val="000000"/>
                <w:lang w:eastAsia="en-GB"/>
              </w:rPr>
              <w:t>Financing and Investment Income &amp; Expenditure</w:t>
            </w:r>
          </w:p>
        </w:tc>
        <w:tc>
          <w:tcPr>
            <w:tcW w:w="1481" w:type="dxa"/>
            <w:tcBorders>
              <w:bottom w:val="nil"/>
            </w:tcBorders>
            <w:noWrap/>
            <w:vAlign w:val="center"/>
          </w:tcPr>
          <w:p w:rsidR="002525F7" w:rsidRPr="00EB2995" w:rsidRDefault="002525F7" w:rsidP="00AE1C26">
            <w:pPr>
              <w:jc w:val="right"/>
              <w:rPr>
                <w:rFonts w:cs="Calibri"/>
                <w:color w:val="000000"/>
                <w:lang w:eastAsia="en-GB"/>
              </w:rPr>
            </w:pPr>
            <w:r w:rsidRPr="00EB2995">
              <w:rPr>
                <w:rFonts w:cs="Calibri"/>
                <w:color w:val="000000"/>
              </w:rPr>
              <w:t>38.2</w:t>
            </w:r>
          </w:p>
        </w:tc>
      </w:tr>
      <w:tr w:rsidR="002525F7" w:rsidRPr="00EB2995" w:rsidTr="00AE1C26">
        <w:trPr>
          <w:trHeight w:val="315"/>
        </w:trPr>
        <w:tc>
          <w:tcPr>
            <w:tcW w:w="1276" w:type="dxa"/>
            <w:tcBorders>
              <w:top w:val="nil"/>
              <w:bottom w:val="nil"/>
            </w:tcBorders>
            <w:noWrap/>
            <w:vAlign w:val="bottom"/>
          </w:tcPr>
          <w:p w:rsidR="002525F7" w:rsidRPr="00EB2995" w:rsidRDefault="002525F7" w:rsidP="00AE1C26">
            <w:pPr>
              <w:jc w:val="right"/>
              <w:rPr>
                <w:rFonts w:cs="Calibri"/>
                <w:color w:val="000000"/>
                <w:lang w:eastAsia="en-GB"/>
              </w:rPr>
            </w:pPr>
            <w:r w:rsidRPr="00EB2995">
              <w:rPr>
                <w:rFonts w:cs="Calibri"/>
                <w:color w:val="000000"/>
              </w:rPr>
              <w:t>63.2</w:t>
            </w:r>
          </w:p>
        </w:tc>
        <w:tc>
          <w:tcPr>
            <w:tcW w:w="5365" w:type="dxa"/>
            <w:tcBorders>
              <w:top w:val="nil"/>
              <w:bottom w:val="nil"/>
            </w:tcBorders>
            <w:noWrap/>
          </w:tcPr>
          <w:p w:rsidR="002525F7" w:rsidRPr="00EB2995" w:rsidRDefault="002525F7" w:rsidP="00AE1C26">
            <w:pPr>
              <w:rPr>
                <w:rFonts w:cs="Calibri"/>
                <w:color w:val="000000"/>
                <w:lang w:eastAsia="en-GB"/>
              </w:rPr>
            </w:pPr>
            <w:r w:rsidRPr="00EB2995">
              <w:rPr>
                <w:rFonts w:cs="Calibri"/>
                <w:color w:val="000000"/>
                <w:lang w:eastAsia="en-GB"/>
              </w:rPr>
              <w:t>Other Operating Expenditure</w:t>
            </w:r>
          </w:p>
        </w:tc>
        <w:tc>
          <w:tcPr>
            <w:tcW w:w="1481" w:type="dxa"/>
            <w:tcBorders>
              <w:top w:val="nil"/>
              <w:bottom w:val="nil"/>
            </w:tcBorders>
            <w:noWrap/>
            <w:vAlign w:val="center"/>
          </w:tcPr>
          <w:p w:rsidR="002525F7" w:rsidRPr="00EB2995" w:rsidRDefault="002525F7" w:rsidP="00AE1C26">
            <w:pPr>
              <w:jc w:val="right"/>
              <w:rPr>
                <w:rFonts w:cs="Calibri"/>
                <w:color w:val="000000"/>
                <w:lang w:eastAsia="en-GB"/>
              </w:rPr>
            </w:pPr>
            <w:r w:rsidRPr="00EB2995">
              <w:rPr>
                <w:rFonts w:cs="Calibri"/>
                <w:color w:val="000000"/>
              </w:rPr>
              <w:t>3.2</w:t>
            </w:r>
          </w:p>
        </w:tc>
      </w:tr>
      <w:tr w:rsidR="002525F7" w:rsidRPr="00EB2995" w:rsidTr="00AE1C26">
        <w:trPr>
          <w:trHeight w:val="315"/>
        </w:trPr>
        <w:tc>
          <w:tcPr>
            <w:tcW w:w="1276" w:type="dxa"/>
            <w:tcBorders>
              <w:top w:val="nil"/>
            </w:tcBorders>
            <w:noWrap/>
            <w:vAlign w:val="bottom"/>
          </w:tcPr>
          <w:p w:rsidR="002525F7" w:rsidRPr="00EB2995" w:rsidRDefault="002525F7" w:rsidP="00AE1C26">
            <w:pPr>
              <w:jc w:val="right"/>
              <w:rPr>
                <w:rFonts w:cs="Calibri"/>
                <w:color w:val="000000"/>
                <w:lang w:eastAsia="en-GB"/>
              </w:rPr>
            </w:pPr>
            <w:r w:rsidRPr="00EB2995">
              <w:rPr>
                <w:rFonts w:cs="Calibri"/>
                <w:color w:val="000000"/>
              </w:rPr>
              <w:t>(328.7)</w:t>
            </w:r>
          </w:p>
        </w:tc>
        <w:tc>
          <w:tcPr>
            <w:tcW w:w="5365" w:type="dxa"/>
            <w:tcBorders>
              <w:top w:val="nil"/>
              <w:bottom w:val="nil"/>
            </w:tcBorders>
            <w:noWrap/>
          </w:tcPr>
          <w:p w:rsidR="002525F7" w:rsidRPr="00EB2995" w:rsidRDefault="002525F7" w:rsidP="00AE1C26">
            <w:pPr>
              <w:rPr>
                <w:rFonts w:cs="Calibri"/>
                <w:color w:val="000000"/>
                <w:lang w:eastAsia="en-GB"/>
              </w:rPr>
            </w:pPr>
            <w:r w:rsidRPr="00EB2995">
              <w:rPr>
                <w:rFonts w:cs="Calibri"/>
                <w:color w:val="000000"/>
                <w:lang w:eastAsia="en-GB"/>
              </w:rPr>
              <w:t>Taxation &amp; non-specific grant income</w:t>
            </w:r>
          </w:p>
        </w:tc>
        <w:tc>
          <w:tcPr>
            <w:tcW w:w="1481" w:type="dxa"/>
            <w:tcBorders>
              <w:top w:val="nil"/>
            </w:tcBorders>
            <w:noWrap/>
            <w:vAlign w:val="center"/>
          </w:tcPr>
          <w:p w:rsidR="002525F7" w:rsidRPr="00EB2995" w:rsidRDefault="002525F7" w:rsidP="00AE1C26">
            <w:pPr>
              <w:jc w:val="right"/>
              <w:rPr>
                <w:rFonts w:cs="Calibri"/>
                <w:color w:val="000000"/>
                <w:lang w:eastAsia="en-GB"/>
              </w:rPr>
            </w:pPr>
            <w:r w:rsidRPr="00EB2995">
              <w:rPr>
                <w:rFonts w:cs="Calibri"/>
                <w:color w:val="000000"/>
              </w:rPr>
              <w:t>(329.5)</w:t>
            </w:r>
          </w:p>
        </w:tc>
      </w:tr>
      <w:tr w:rsidR="002525F7" w:rsidRPr="00EB2995" w:rsidTr="00AE1C26">
        <w:trPr>
          <w:trHeight w:val="315"/>
        </w:trPr>
        <w:tc>
          <w:tcPr>
            <w:tcW w:w="1276" w:type="dxa"/>
            <w:noWrap/>
            <w:vAlign w:val="bottom"/>
          </w:tcPr>
          <w:p w:rsidR="002525F7" w:rsidRPr="00EB2995" w:rsidRDefault="002525F7" w:rsidP="00AE1C26">
            <w:pPr>
              <w:jc w:val="right"/>
              <w:rPr>
                <w:rFonts w:cs="Calibri"/>
                <w:b/>
                <w:bCs/>
                <w:color w:val="000000"/>
                <w:lang w:eastAsia="en-GB"/>
              </w:rPr>
            </w:pPr>
            <w:r w:rsidRPr="00EB2995">
              <w:rPr>
                <w:rFonts w:cs="Calibri"/>
                <w:b/>
                <w:bCs/>
                <w:color w:val="000000"/>
              </w:rPr>
              <w:t>(229.5)</w:t>
            </w:r>
          </w:p>
        </w:tc>
        <w:tc>
          <w:tcPr>
            <w:tcW w:w="5365" w:type="dxa"/>
            <w:tcBorders>
              <w:top w:val="nil"/>
              <w:bottom w:val="nil"/>
            </w:tcBorders>
            <w:noWrap/>
          </w:tcPr>
          <w:p w:rsidR="002525F7" w:rsidRPr="00EB2995" w:rsidRDefault="002525F7" w:rsidP="00AE1C26">
            <w:pPr>
              <w:rPr>
                <w:rFonts w:cs="Calibri"/>
                <w:b/>
                <w:bCs/>
                <w:color w:val="000000"/>
                <w:lang w:eastAsia="en-GB"/>
              </w:rPr>
            </w:pPr>
            <w:r w:rsidRPr="00EB2995">
              <w:rPr>
                <w:rFonts w:cs="Calibri"/>
                <w:b/>
                <w:bCs/>
                <w:color w:val="000000"/>
                <w:lang w:eastAsia="en-GB"/>
              </w:rPr>
              <w:t>Total Other Income &amp; Expenditure</w:t>
            </w:r>
          </w:p>
        </w:tc>
        <w:tc>
          <w:tcPr>
            <w:tcW w:w="1481" w:type="dxa"/>
            <w:noWrap/>
            <w:vAlign w:val="center"/>
          </w:tcPr>
          <w:p w:rsidR="002525F7" w:rsidRPr="00EB2995" w:rsidRDefault="002525F7" w:rsidP="00AE1C26">
            <w:pPr>
              <w:jc w:val="right"/>
              <w:rPr>
                <w:rFonts w:cs="Calibri"/>
                <w:b/>
                <w:bCs/>
                <w:color w:val="000000"/>
                <w:lang w:eastAsia="en-GB"/>
              </w:rPr>
            </w:pPr>
            <w:r w:rsidRPr="00EB2995">
              <w:rPr>
                <w:rFonts w:cs="Calibri"/>
                <w:b/>
                <w:bCs/>
                <w:color w:val="000000"/>
              </w:rPr>
              <w:t>(288.1)</w:t>
            </w:r>
          </w:p>
        </w:tc>
      </w:tr>
      <w:tr w:rsidR="002525F7" w:rsidRPr="00EB2995" w:rsidTr="00AE1C26">
        <w:trPr>
          <w:trHeight w:val="315"/>
        </w:trPr>
        <w:tc>
          <w:tcPr>
            <w:tcW w:w="1276" w:type="dxa"/>
            <w:tcBorders>
              <w:left w:val="nil"/>
              <w:right w:val="nil"/>
            </w:tcBorders>
            <w:noWrap/>
          </w:tcPr>
          <w:p w:rsidR="002525F7" w:rsidRPr="00EB2995" w:rsidRDefault="002525F7" w:rsidP="00AE1C26">
            <w:pPr>
              <w:jc w:val="right"/>
              <w:rPr>
                <w:rFonts w:cs="Calibri"/>
                <w:b/>
                <w:bCs/>
                <w:color w:val="000000"/>
                <w:lang w:eastAsia="en-GB"/>
              </w:rPr>
            </w:pPr>
          </w:p>
        </w:tc>
        <w:tc>
          <w:tcPr>
            <w:tcW w:w="5365" w:type="dxa"/>
            <w:tcBorders>
              <w:top w:val="nil"/>
              <w:left w:val="nil"/>
              <w:bottom w:val="nil"/>
              <w:right w:val="nil"/>
            </w:tcBorders>
            <w:noWrap/>
          </w:tcPr>
          <w:p w:rsidR="002525F7" w:rsidRPr="00EB2995" w:rsidRDefault="002525F7" w:rsidP="00AE1C26">
            <w:pPr>
              <w:rPr>
                <w:rFonts w:cs="Calibri"/>
                <w:sz w:val="20"/>
                <w:szCs w:val="20"/>
                <w:lang w:eastAsia="en-GB"/>
              </w:rPr>
            </w:pPr>
          </w:p>
        </w:tc>
        <w:tc>
          <w:tcPr>
            <w:tcW w:w="1481" w:type="dxa"/>
            <w:tcBorders>
              <w:left w:val="nil"/>
              <w:right w:val="nil"/>
            </w:tcBorders>
            <w:noWrap/>
            <w:vAlign w:val="center"/>
          </w:tcPr>
          <w:p w:rsidR="002525F7" w:rsidRPr="00EB2995" w:rsidRDefault="002525F7" w:rsidP="00AE1C26">
            <w:pPr>
              <w:rPr>
                <w:rFonts w:cs="Calibri"/>
                <w:sz w:val="20"/>
                <w:szCs w:val="20"/>
                <w:lang w:eastAsia="en-GB"/>
              </w:rPr>
            </w:pPr>
          </w:p>
        </w:tc>
      </w:tr>
      <w:tr w:rsidR="002525F7" w:rsidRPr="00EB2995" w:rsidTr="00AE1C26">
        <w:trPr>
          <w:trHeight w:val="315"/>
        </w:trPr>
        <w:tc>
          <w:tcPr>
            <w:tcW w:w="1276" w:type="dxa"/>
            <w:noWrap/>
          </w:tcPr>
          <w:p w:rsidR="002525F7" w:rsidRPr="00EB2995" w:rsidRDefault="002525F7" w:rsidP="00AE1C26">
            <w:pPr>
              <w:jc w:val="right"/>
              <w:rPr>
                <w:rFonts w:cs="Calibri"/>
                <w:b/>
                <w:bCs/>
                <w:color w:val="000000"/>
                <w:lang w:eastAsia="en-GB"/>
              </w:rPr>
            </w:pPr>
            <w:r w:rsidRPr="00EB2995">
              <w:rPr>
                <w:rFonts w:cs="Calibri"/>
                <w:b/>
                <w:bCs/>
                <w:color w:val="000000"/>
              </w:rPr>
              <w:t>54.7</w:t>
            </w:r>
          </w:p>
        </w:tc>
        <w:tc>
          <w:tcPr>
            <w:tcW w:w="5365" w:type="dxa"/>
            <w:tcBorders>
              <w:top w:val="nil"/>
              <w:bottom w:val="nil"/>
            </w:tcBorders>
            <w:noWrap/>
          </w:tcPr>
          <w:p w:rsidR="002525F7" w:rsidRPr="00EB2995" w:rsidRDefault="002525F7" w:rsidP="00AE1C26">
            <w:pPr>
              <w:rPr>
                <w:rFonts w:cs="Calibri"/>
                <w:b/>
                <w:color w:val="000000"/>
                <w:lang w:eastAsia="en-GB"/>
              </w:rPr>
            </w:pPr>
            <w:r w:rsidRPr="00EB2995">
              <w:rPr>
                <w:rFonts w:cs="Calibri"/>
                <w:b/>
                <w:color w:val="000000"/>
                <w:lang w:eastAsia="en-GB"/>
              </w:rPr>
              <w:t>(Surplus) / Deficit on Provision of Services</w:t>
            </w:r>
          </w:p>
        </w:tc>
        <w:tc>
          <w:tcPr>
            <w:tcW w:w="1481" w:type="dxa"/>
            <w:noWrap/>
            <w:vAlign w:val="center"/>
          </w:tcPr>
          <w:p w:rsidR="002525F7" w:rsidRDefault="00891A96" w:rsidP="00AE1C26">
            <w:pPr>
              <w:jc w:val="right"/>
              <w:rPr>
                <w:rFonts w:cs="Calibri"/>
                <w:b/>
                <w:bCs/>
                <w:color w:val="000000"/>
                <w:lang w:eastAsia="en-GB"/>
              </w:rPr>
            </w:pPr>
            <w:r>
              <w:rPr>
                <w:rFonts w:cs="Calibri"/>
                <w:b/>
                <w:bCs/>
                <w:color w:val="000000"/>
              </w:rPr>
              <w:t>(9.7</w:t>
            </w:r>
            <w:r w:rsidR="002525F7">
              <w:rPr>
                <w:rFonts w:cs="Calibri"/>
                <w:b/>
                <w:bCs/>
                <w:color w:val="000000"/>
              </w:rPr>
              <w:t>)</w:t>
            </w:r>
          </w:p>
          <w:p w:rsidR="002525F7" w:rsidRPr="00EB2995" w:rsidRDefault="002525F7" w:rsidP="00AE1C26">
            <w:pPr>
              <w:jc w:val="right"/>
              <w:rPr>
                <w:rFonts w:cs="Calibri"/>
                <w:b/>
                <w:bCs/>
                <w:color w:val="000000"/>
                <w:lang w:eastAsia="en-GB"/>
              </w:rPr>
            </w:pPr>
          </w:p>
        </w:tc>
      </w:tr>
    </w:tbl>
    <w:p w:rsidR="002525F7" w:rsidRPr="00891A96" w:rsidRDefault="002525F7" w:rsidP="00891A96">
      <w:pPr>
        <w:tabs>
          <w:tab w:val="left" w:pos="1338"/>
        </w:tabs>
        <w:sectPr w:rsidR="002525F7" w:rsidRPr="00891A96" w:rsidSect="00D53A04">
          <w:pgSz w:w="11906" w:h="16838"/>
          <w:pgMar w:top="1440" w:right="1440" w:bottom="1440" w:left="709" w:header="708" w:footer="708" w:gutter="0"/>
          <w:cols w:space="708"/>
          <w:docGrid w:linePitch="360"/>
        </w:sectPr>
      </w:pPr>
    </w:p>
    <w:p w:rsidR="00F72906" w:rsidRDefault="00F72906" w:rsidP="002525F7">
      <w:pPr>
        <w:pStyle w:val="Heading2"/>
      </w:pPr>
      <w:bookmarkStart w:id="42" w:name="_Toc61870308"/>
      <w:r>
        <w:lastRenderedPageBreak/>
        <w:t>Movements in Reserves Detail</w:t>
      </w:r>
      <w:bookmarkEnd w:id="42"/>
    </w:p>
    <w:p w:rsidR="00F72906" w:rsidRDefault="00F72906" w:rsidP="00F72906"/>
    <w:p w:rsidR="00F72906" w:rsidRDefault="00F72906" w:rsidP="00F72906">
      <w:r>
        <w:t>This table shows the detailed movements across the Councils total equity fund during the year split between Usable and Unusable Reserves, as summarised in the Movement in Reserves Statement on page 11.</w:t>
      </w:r>
    </w:p>
    <w:tbl>
      <w:tblPr>
        <w:tblW w:w="15045" w:type="dxa"/>
        <w:tblInd w:w="-431" w:type="dxa"/>
        <w:tblLayout w:type="fixed"/>
        <w:tblLook w:val="04A0" w:firstRow="1" w:lastRow="0" w:firstColumn="1" w:lastColumn="0" w:noHBand="0" w:noVBand="1"/>
      </w:tblPr>
      <w:tblGrid>
        <w:gridCol w:w="2214"/>
        <w:gridCol w:w="902"/>
        <w:gridCol w:w="991"/>
        <w:gridCol w:w="969"/>
        <w:gridCol w:w="833"/>
        <w:gridCol w:w="868"/>
        <w:gridCol w:w="851"/>
        <w:gridCol w:w="992"/>
        <w:gridCol w:w="992"/>
        <w:gridCol w:w="709"/>
        <w:gridCol w:w="709"/>
        <w:gridCol w:w="855"/>
        <w:gridCol w:w="1152"/>
        <w:gridCol w:w="856"/>
        <w:gridCol w:w="1135"/>
        <w:gridCol w:w="17"/>
      </w:tblGrid>
      <w:tr w:rsidR="00891A96" w:rsidRPr="00EB2995" w:rsidTr="00891A96">
        <w:trPr>
          <w:gridAfter w:val="1"/>
          <w:wAfter w:w="17" w:type="dxa"/>
          <w:trHeight w:val="300"/>
          <w:tblHeader/>
        </w:trPr>
        <w:tc>
          <w:tcPr>
            <w:tcW w:w="2214" w:type="dxa"/>
            <w:vMerge w:val="restart"/>
            <w:tcBorders>
              <w:top w:val="single" w:sz="4" w:space="0" w:color="auto"/>
              <w:left w:val="single" w:sz="4" w:space="0" w:color="auto"/>
              <w:right w:val="single" w:sz="4" w:space="0" w:color="auto"/>
            </w:tcBorders>
            <w:shd w:val="clear" w:color="auto" w:fill="auto"/>
            <w:vAlign w:val="bottom"/>
            <w:hideMark/>
          </w:tcPr>
          <w:p w:rsidR="00891A96" w:rsidRPr="00EB2995" w:rsidRDefault="00891A96" w:rsidP="00891A96">
            <w:pPr>
              <w:rPr>
                <w:rFonts w:cs="Calibri"/>
                <w:color w:val="000000"/>
                <w:sz w:val="16"/>
                <w:lang w:eastAsia="en-GB"/>
              </w:rPr>
            </w:pPr>
            <w:bookmarkStart w:id="43" w:name="_Toc54862324"/>
            <w:r w:rsidRPr="00EB2995">
              <w:rPr>
                <w:rFonts w:cs="Calibri"/>
                <w:color w:val="000000"/>
                <w:sz w:val="16"/>
                <w:lang w:eastAsia="en-GB"/>
              </w:rPr>
              <w:t> </w:t>
            </w:r>
          </w:p>
          <w:p w:rsidR="00891A96" w:rsidRPr="00EB2995" w:rsidRDefault="00891A96" w:rsidP="00891A96">
            <w:pPr>
              <w:rPr>
                <w:rFonts w:cs="Calibri"/>
                <w:color w:val="000000"/>
                <w:sz w:val="16"/>
                <w:lang w:eastAsia="en-GB"/>
              </w:rPr>
            </w:pPr>
            <w:r w:rsidRPr="00EB2995">
              <w:rPr>
                <w:rFonts w:cs="Calibri"/>
                <w:color w:val="000000"/>
                <w:sz w:val="16"/>
                <w:lang w:eastAsia="en-GB"/>
              </w:rPr>
              <w:t> </w:t>
            </w:r>
          </w:p>
        </w:tc>
        <w:tc>
          <w:tcPr>
            <w:tcW w:w="5414" w:type="dxa"/>
            <w:gridSpan w:val="6"/>
            <w:tcBorders>
              <w:top w:val="single" w:sz="4" w:space="0" w:color="auto"/>
              <w:left w:val="nil"/>
              <w:bottom w:val="single" w:sz="4" w:space="0" w:color="auto"/>
              <w:right w:val="single" w:sz="4" w:space="0" w:color="000000"/>
            </w:tcBorders>
            <w:shd w:val="clear" w:color="auto" w:fill="auto"/>
            <w:vAlign w:val="bottom"/>
            <w:hideMark/>
          </w:tcPr>
          <w:p w:rsidR="00891A96" w:rsidRPr="00EB2995" w:rsidRDefault="00891A96" w:rsidP="00891A96">
            <w:pPr>
              <w:jc w:val="center"/>
              <w:rPr>
                <w:rFonts w:cs="Calibri"/>
                <w:color w:val="000000"/>
                <w:sz w:val="16"/>
                <w:lang w:eastAsia="en-GB"/>
              </w:rPr>
            </w:pPr>
            <w:r w:rsidRPr="00EB2995">
              <w:rPr>
                <w:rFonts w:cs="Calibri"/>
                <w:color w:val="000000"/>
                <w:sz w:val="16"/>
                <w:lang w:eastAsia="en-GB"/>
              </w:rPr>
              <w:t>Usuable reserves</w:t>
            </w:r>
          </w:p>
        </w:tc>
        <w:tc>
          <w:tcPr>
            <w:tcW w:w="6265" w:type="dxa"/>
            <w:gridSpan w:val="7"/>
            <w:tcBorders>
              <w:top w:val="single" w:sz="4" w:space="0" w:color="auto"/>
              <w:left w:val="nil"/>
              <w:bottom w:val="single" w:sz="4" w:space="0" w:color="auto"/>
              <w:right w:val="single" w:sz="4" w:space="0" w:color="auto"/>
            </w:tcBorders>
            <w:shd w:val="clear" w:color="auto" w:fill="auto"/>
            <w:vAlign w:val="bottom"/>
            <w:hideMark/>
          </w:tcPr>
          <w:p w:rsidR="00891A96" w:rsidRPr="00EB2995" w:rsidRDefault="00891A96" w:rsidP="00891A96">
            <w:pPr>
              <w:jc w:val="center"/>
              <w:rPr>
                <w:rFonts w:cs="Calibri"/>
                <w:color w:val="000000"/>
                <w:sz w:val="16"/>
                <w:lang w:eastAsia="en-GB"/>
              </w:rPr>
            </w:pPr>
            <w:r w:rsidRPr="00EB2995">
              <w:rPr>
                <w:rFonts w:cs="Calibri"/>
                <w:color w:val="000000"/>
                <w:sz w:val="16"/>
                <w:lang w:eastAsia="en-GB"/>
              </w:rPr>
              <w:t>Unusable reserves</w:t>
            </w:r>
          </w:p>
        </w:tc>
        <w:tc>
          <w:tcPr>
            <w:tcW w:w="1135" w:type="dxa"/>
            <w:tcBorders>
              <w:top w:val="single" w:sz="4" w:space="0" w:color="auto"/>
              <w:left w:val="single" w:sz="4" w:space="0" w:color="auto"/>
              <w:right w:val="single" w:sz="4" w:space="0" w:color="auto"/>
            </w:tcBorders>
            <w:shd w:val="clear" w:color="auto" w:fill="auto"/>
            <w:vAlign w:val="bottom"/>
            <w:hideMark/>
          </w:tcPr>
          <w:p w:rsidR="00891A96" w:rsidRPr="00EB2995" w:rsidRDefault="00891A96" w:rsidP="00891A96">
            <w:pPr>
              <w:jc w:val="center"/>
              <w:rPr>
                <w:rFonts w:cs="Calibri"/>
                <w:color w:val="000000"/>
                <w:sz w:val="16"/>
                <w:lang w:eastAsia="en-GB"/>
              </w:rPr>
            </w:pPr>
          </w:p>
        </w:tc>
      </w:tr>
      <w:tr w:rsidR="00891A96" w:rsidRPr="00EB2995" w:rsidTr="00891A96">
        <w:trPr>
          <w:gridAfter w:val="1"/>
          <w:wAfter w:w="17" w:type="dxa"/>
          <w:cantSplit/>
          <w:trHeight w:val="1585"/>
          <w:tblHeader/>
        </w:trPr>
        <w:tc>
          <w:tcPr>
            <w:tcW w:w="2214" w:type="dxa"/>
            <w:vMerge/>
            <w:tcBorders>
              <w:left w:val="single" w:sz="4" w:space="0" w:color="auto"/>
              <w:bottom w:val="single" w:sz="4" w:space="0" w:color="auto"/>
              <w:right w:val="single" w:sz="4" w:space="0" w:color="auto"/>
            </w:tcBorders>
            <w:shd w:val="clear" w:color="auto" w:fill="auto"/>
            <w:vAlign w:val="bottom"/>
            <w:hideMark/>
          </w:tcPr>
          <w:p w:rsidR="00891A96" w:rsidRPr="00EB2995" w:rsidRDefault="00891A96" w:rsidP="00891A96">
            <w:pPr>
              <w:rPr>
                <w:rFonts w:cs="Calibri"/>
                <w:color w:val="000000"/>
                <w:sz w:val="16"/>
                <w:lang w:eastAsia="en-GB"/>
              </w:rPr>
            </w:pPr>
          </w:p>
        </w:tc>
        <w:tc>
          <w:tcPr>
            <w:tcW w:w="902" w:type="dxa"/>
            <w:tcBorders>
              <w:top w:val="single" w:sz="4" w:space="0" w:color="auto"/>
              <w:left w:val="nil"/>
              <w:bottom w:val="single" w:sz="4" w:space="0" w:color="auto"/>
              <w:right w:val="single" w:sz="4" w:space="0" w:color="auto"/>
            </w:tcBorders>
            <w:shd w:val="clear" w:color="auto" w:fill="auto"/>
            <w:textDirection w:val="btLr"/>
            <w:vAlign w:val="bottom"/>
            <w:hideMark/>
          </w:tcPr>
          <w:p w:rsidR="00891A96" w:rsidRPr="00EB2995" w:rsidRDefault="00891A96" w:rsidP="00891A96">
            <w:pPr>
              <w:ind w:left="113" w:right="113"/>
              <w:rPr>
                <w:rFonts w:cs="Calibri"/>
                <w:color w:val="000000"/>
                <w:sz w:val="16"/>
                <w:lang w:eastAsia="en-GB"/>
              </w:rPr>
            </w:pPr>
            <w:r w:rsidRPr="00EB2995">
              <w:rPr>
                <w:rFonts w:cs="Calibri"/>
                <w:color w:val="000000"/>
                <w:sz w:val="16"/>
                <w:lang w:eastAsia="en-GB"/>
              </w:rPr>
              <w:t xml:space="preserve">General Fund </w:t>
            </w:r>
          </w:p>
        </w:tc>
        <w:tc>
          <w:tcPr>
            <w:tcW w:w="991" w:type="dxa"/>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891A96" w:rsidRPr="00EB2995" w:rsidRDefault="00891A96" w:rsidP="00891A96">
            <w:pPr>
              <w:ind w:left="113" w:right="113"/>
              <w:rPr>
                <w:rFonts w:cs="Calibri"/>
                <w:color w:val="000000"/>
                <w:sz w:val="16"/>
                <w:lang w:eastAsia="en-GB"/>
              </w:rPr>
            </w:pPr>
            <w:r w:rsidRPr="00EB2995">
              <w:rPr>
                <w:rFonts w:cs="Calibri"/>
                <w:color w:val="000000"/>
                <w:sz w:val="16"/>
                <w:lang w:eastAsia="en-GB"/>
              </w:rPr>
              <w:t>HRA</w:t>
            </w:r>
          </w:p>
        </w:tc>
        <w:tc>
          <w:tcPr>
            <w:tcW w:w="969" w:type="dxa"/>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891A96" w:rsidRPr="00EB2995" w:rsidRDefault="00891A96" w:rsidP="00891A96">
            <w:pPr>
              <w:ind w:left="113" w:right="113"/>
              <w:rPr>
                <w:rFonts w:cs="Calibri"/>
                <w:color w:val="000000"/>
                <w:sz w:val="16"/>
                <w:lang w:eastAsia="en-GB"/>
              </w:rPr>
            </w:pPr>
            <w:r w:rsidRPr="00EB2995">
              <w:rPr>
                <w:rFonts w:cs="Calibri"/>
                <w:color w:val="000000"/>
                <w:sz w:val="16"/>
                <w:lang w:eastAsia="en-GB"/>
              </w:rPr>
              <w:t>EARMARKED RESERVES BALANCE</w:t>
            </w:r>
          </w:p>
        </w:tc>
        <w:tc>
          <w:tcPr>
            <w:tcW w:w="833" w:type="dxa"/>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891A96" w:rsidRPr="00EB2995" w:rsidRDefault="00891A96" w:rsidP="00891A96">
            <w:pPr>
              <w:ind w:left="113" w:right="113"/>
              <w:rPr>
                <w:rFonts w:cs="Calibri"/>
                <w:color w:val="000000"/>
                <w:sz w:val="16"/>
                <w:lang w:eastAsia="en-GB"/>
              </w:rPr>
            </w:pPr>
            <w:r w:rsidRPr="00EB2995">
              <w:rPr>
                <w:rFonts w:cs="Calibri"/>
                <w:color w:val="000000"/>
                <w:sz w:val="16"/>
                <w:lang w:eastAsia="en-GB"/>
              </w:rPr>
              <w:t>CAPITAL RECEIPTS RESERVE</w:t>
            </w:r>
          </w:p>
        </w:tc>
        <w:tc>
          <w:tcPr>
            <w:tcW w:w="868" w:type="dxa"/>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891A96" w:rsidRPr="00EB2995" w:rsidRDefault="00891A96" w:rsidP="00891A96">
            <w:pPr>
              <w:ind w:left="113" w:right="113"/>
              <w:rPr>
                <w:rFonts w:cs="Calibri"/>
                <w:color w:val="000000"/>
                <w:sz w:val="16"/>
                <w:lang w:eastAsia="en-GB"/>
              </w:rPr>
            </w:pPr>
            <w:r w:rsidRPr="00EB2995">
              <w:rPr>
                <w:rFonts w:cs="Calibri"/>
                <w:color w:val="000000"/>
                <w:sz w:val="16"/>
                <w:lang w:eastAsia="en-GB"/>
              </w:rPr>
              <w:t>CAPITAL GRANTS UNAPPLIED</w:t>
            </w:r>
          </w:p>
        </w:tc>
        <w:tc>
          <w:tcPr>
            <w:tcW w:w="851" w:type="dxa"/>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891A96" w:rsidRPr="00EB2995" w:rsidRDefault="00891A96" w:rsidP="00891A96">
            <w:pPr>
              <w:ind w:left="113" w:right="113"/>
              <w:rPr>
                <w:rFonts w:cs="Calibri"/>
                <w:color w:val="000000"/>
                <w:sz w:val="16"/>
                <w:lang w:eastAsia="en-GB"/>
              </w:rPr>
            </w:pPr>
            <w:r w:rsidRPr="00EB2995">
              <w:rPr>
                <w:rFonts w:cs="Calibri"/>
                <w:color w:val="000000"/>
                <w:sz w:val="16"/>
                <w:lang w:eastAsia="en-GB"/>
              </w:rPr>
              <w:t>MAJOR REPAIRS RESERVE</w:t>
            </w:r>
          </w:p>
        </w:tc>
        <w:tc>
          <w:tcPr>
            <w:tcW w:w="992" w:type="dxa"/>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891A96" w:rsidRPr="00EB2995" w:rsidRDefault="00891A96" w:rsidP="00891A96">
            <w:pPr>
              <w:ind w:left="113" w:right="113"/>
              <w:rPr>
                <w:rFonts w:cs="Calibri"/>
                <w:color w:val="000000"/>
                <w:sz w:val="16"/>
                <w:lang w:eastAsia="en-GB"/>
              </w:rPr>
            </w:pPr>
            <w:r w:rsidRPr="00EB2995">
              <w:rPr>
                <w:rFonts w:cs="Calibri"/>
                <w:color w:val="000000"/>
                <w:sz w:val="16"/>
                <w:lang w:eastAsia="en-GB"/>
              </w:rPr>
              <w:t>REVALUATION RESERVE</w:t>
            </w:r>
          </w:p>
        </w:tc>
        <w:tc>
          <w:tcPr>
            <w:tcW w:w="992" w:type="dxa"/>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891A96" w:rsidRPr="00EB2995" w:rsidRDefault="00891A96" w:rsidP="00891A96">
            <w:pPr>
              <w:ind w:left="113" w:right="113"/>
              <w:rPr>
                <w:rFonts w:cs="Calibri"/>
                <w:color w:val="000000"/>
                <w:sz w:val="16"/>
                <w:lang w:eastAsia="en-GB"/>
              </w:rPr>
            </w:pPr>
            <w:r w:rsidRPr="00EB2995">
              <w:rPr>
                <w:rFonts w:cs="Calibri"/>
                <w:color w:val="000000"/>
                <w:sz w:val="16"/>
                <w:lang w:eastAsia="en-GB"/>
              </w:rPr>
              <w:t>CAPITAL ADJUSTMENT ACCOUNT</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891A96" w:rsidRPr="00EB2995" w:rsidRDefault="00891A96" w:rsidP="00891A96">
            <w:pPr>
              <w:ind w:left="113" w:right="113"/>
              <w:rPr>
                <w:rFonts w:cs="Calibri"/>
                <w:color w:val="000000"/>
                <w:sz w:val="16"/>
                <w:lang w:eastAsia="en-GB"/>
              </w:rPr>
            </w:pPr>
            <w:r w:rsidRPr="00EB2995">
              <w:rPr>
                <w:rFonts w:cs="Calibri"/>
                <w:color w:val="000000"/>
                <w:sz w:val="16"/>
                <w:lang w:eastAsia="en-GB"/>
              </w:rPr>
              <w:t>DEFERRED CAPITAL RECEIPTS</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891A96" w:rsidRPr="00EB2995" w:rsidRDefault="00891A96" w:rsidP="00891A96">
            <w:pPr>
              <w:ind w:left="113" w:right="113"/>
              <w:rPr>
                <w:rFonts w:cs="Calibri"/>
                <w:color w:val="000000"/>
                <w:sz w:val="16"/>
                <w:lang w:eastAsia="en-GB"/>
              </w:rPr>
            </w:pPr>
            <w:r w:rsidRPr="00EB2995">
              <w:rPr>
                <w:rFonts w:cs="Calibri"/>
                <w:color w:val="000000"/>
                <w:sz w:val="16"/>
                <w:lang w:eastAsia="en-GB"/>
              </w:rPr>
              <w:t>FINANCIAL INSTRUMENTS ADJ A/C</w:t>
            </w:r>
          </w:p>
        </w:tc>
        <w:tc>
          <w:tcPr>
            <w:tcW w:w="855" w:type="dxa"/>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891A96" w:rsidRPr="00EB2995" w:rsidRDefault="00891A96" w:rsidP="00891A96">
            <w:pPr>
              <w:ind w:left="113" w:right="113"/>
              <w:rPr>
                <w:rFonts w:cs="Calibri"/>
                <w:color w:val="000000"/>
                <w:sz w:val="16"/>
                <w:lang w:eastAsia="en-GB"/>
              </w:rPr>
            </w:pPr>
            <w:r w:rsidRPr="00EB2995">
              <w:rPr>
                <w:rFonts w:cs="Calibri"/>
                <w:color w:val="000000"/>
                <w:sz w:val="16"/>
                <w:lang w:eastAsia="en-GB"/>
              </w:rPr>
              <w:t>PENSIONS RESERVE</w:t>
            </w:r>
          </w:p>
        </w:tc>
        <w:tc>
          <w:tcPr>
            <w:tcW w:w="1152" w:type="dxa"/>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891A96" w:rsidRPr="00EB2995" w:rsidRDefault="00891A96" w:rsidP="00891A96">
            <w:pPr>
              <w:ind w:left="113" w:right="113"/>
              <w:rPr>
                <w:rFonts w:cs="Calibri"/>
                <w:color w:val="000000"/>
                <w:sz w:val="16"/>
                <w:lang w:eastAsia="en-GB"/>
              </w:rPr>
            </w:pPr>
            <w:r w:rsidRPr="00EB2995">
              <w:rPr>
                <w:rFonts w:cs="Calibri"/>
                <w:color w:val="000000"/>
                <w:sz w:val="16"/>
                <w:lang w:eastAsia="en-GB"/>
              </w:rPr>
              <w:t>SHORT TERM ACCUMULATING COMPENSATED ABSENCES RESERVE</w:t>
            </w:r>
          </w:p>
        </w:tc>
        <w:tc>
          <w:tcPr>
            <w:tcW w:w="856" w:type="dxa"/>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891A96" w:rsidRPr="00EB2995" w:rsidRDefault="00891A96" w:rsidP="00891A96">
            <w:pPr>
              <w:ind w:left="113" w:right="113"/>
              <w:rPr>
                <w:rFonts w:cs="Calibri"/>
                <w:color w:val="000000"/>
                <w:sz w:val="16"/>
                <w:lang w:eastAsia="en-GB"/>
              </w:rPr>
            </w:pPr>
            <w:r w:rsidRPr="00EB2995">
              <w:rPr>
                <w:rFonts w:cs="Calibri"/>
                <w:color w:val="000000"/>
                <w:sz w:val="16"/>
                <w:lang w:eastAsia="en-GB"/>
              </w:rPr>
              <w:t>COLLECTION FUND ADJUSTMENT ACCOUNT</w:t>
            </w:r>
          </w:p>
        </w:tc>
        <w:tc>
          <w:tcPr>
            <w:tcW w:w="1135" w:type="dxa"/>
            <w:tcBorders>
              <w:left w:val="nil"/>
              <w:bottom w:val="single" w:sz="4" w:space="0" w:color="auto"/>
              <w:right w:val="single" w:sz="4" w:space="0" w:color="auto"/>
            </w:tcBorders>
            <w:shd w:val="clear" w:color="auto" w:fill="auto"/>
            <w:textDirection w:val="btLr"/>
            <w:vAlign w:val="bottom"/>
            <w:hideMark/>
          </w:tcPr>
          <w:p w:rsidR="00891A96" w:rsidRPr="00EB2995" w:rsidRDefault="00891A96" w:rsidP="00891A96">
            <w:pPr>
              <w:ind w:left="113" w:right="113"/>
              <w:rPr>
                <w:rFonts w:cs="Calibri"/>
                <w:color w:val="000000"/>
                <w:sz w:val="16"/>
                <w:lang w:eastAsia="en-GB"/>
              </w:rPr>
            </w:pPr>
            <w:r w:rsidRPr="00EB2995">
              <w:rPr>
                <w:rFonts w:cs="Calibri"/>
                <w:color w:val="000000"/>
                <w:sz w:val="16"/>
                <w:lang w:eastAsia="en-GB"/>
              </w:rPr>
              <w:t>Total</w:t>
            </w:r>
          </w:p>
        </w:tc>
      </w:tr>
      <w:tr w:rsidR="00891A96" w:rsidRPr="00EB2995" w:rsidTr="00891A96">
        <w:trPr>
          <w:trHeight w:val="600"/>
        </w:trPr>
        <w:tc>
          <w:tcPr>
            <w:tcW w:w="22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91A96" w:rsidRPr="00EB2995" w:rsidRDefault="00891A96" w:rsidP="00891A96">
            <w:pPr>
              <w:rPr>
                <w:rFonts w:cs="Calibri"/>
                <w:color w:val="000000"/>
                <w:sz w:val="16"/>
                <w:lang w:eastAsia="en-GB"/>
              </w:rPr>
            </w:pPr>
            <w:r w:rsidRPr="00EB2995">
              <w:rPr>
                <w:rFonts w:cs="Calibri"/>
                <w:color w:val="000000"/>
                <w:sz w:val="16"/>
                <w:lang w:eastAsia="en-GB"/>
              </w:rPr>
              <w:t>Charges for depreciation and impairment of non-current assets</w:t>
            </w:r>
          </w:p>
        </w:tc>
        <w:tc>
          <w:tcPr>
            <w:tcW w:w="9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(27.1)</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(7.9)</w:t>
            </w:r>
          </w:p>
        </w:tc>
        <w:tc>
          <w:tcPr>
            <w:tcW w:w="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0.0</w:t>
            </w:r>
          </w:p>
        </w:tc>
        <w:tc>
          <w:tcPr>
            <w:tcW w:w="8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0.0</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7.6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27.4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0.0</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0.0</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0.0</w:t>
            </w: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0.0</w:t>
            </w:r>
          </w:p>
        </w:tc>
        <w:tc>
          <w:tcPr>
            <w:tcW w:w="11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(0.0)</w:t>
            </w:r>
          </w:p>
        </w:tc>
      </w:tr>
      <w:tr w:rsidR="00891A96" w:rsidRPr="00EB2995" w:rsidTr="00891A96">
        <w:trPr>
          <w:trHeight w:val="600"/>
        </w:trPr>
        <w:tc>
          <w:tcPr>
            <w:tcW w:w="22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91A96" w:rsidRPr="00EB2995" w:rsidRDefault="00891A96" w:rsidP="00891A96">
            <w:pPr>
              <w:rPr>
                <w:rFonts w:cs="Calibri"/>
                <w:color w:val="000000"/>
                <w:sz w:val="16"/>
                <w:lang w:eastAsia="en-GB"/>
              </w:rPr>
            </w:pPr>
            <w:r w:rsidRPr="00EB2995">
              <w:rPr>
                <w:rFonts w:cs="Calibri"/>
                <w:color w:val="000000"/>
                <w:sz w:val="16"/>
                <w:lang w:eastAsia="en-GB"/>
              </w:rPr>
              <w:t>Revaluation losses on Property Plant and Equipment</w:t>
            </w:r>
          </w:p>
        </w:tc>
        <w:tc>
          <w:tcPr>
            <w:tcW w:w="9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(20.8)</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(20.7)</w:t>
            </w:r>
          </w:p>
        </w:tc>
        <w:tc>
          <w:tcPr>
            <w:tcW w:w="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0.0</w:t>
            </w:r>
          </w:p>
        </w:tc>
        <w:tc>
          <w:tcPr>
            <w:tcW w:w="8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0.0</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41.5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0.0</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0.0</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0.0</w:t>
            </w: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0.0</w:t>
            </w:r>
          </w:p>
        </w:tc>
        <w:tc>
          <w:tcPr>
            <w:tcW w:w="11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(0.0)</w:t>
            </w:r>
          </w:p>
        </w:tc>
      </w:tr>
      <w:tr w:rsidR="00891A96" w:rsidRPr="00EB2995" w:rsidTr="00891A96">
        <w:trPr>
          <w:trHeight w:val="600"/>
        </w:trPr>
        <w:tc>
          <w:tcPr>
            <w:tcW w:w="22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91A96" w:rsidRPr="00EB2995" w:rsidRDefault="00891A96" w:rsidP="00891A96">
            <w:pPr>
              <w:rPr>
                <w:rFonts w:cs="Calibri"/>
                <w:color w:val="000000"/>
                <w:sz w:val="16"/>
                <w:lang w:eastAsia="en-GB"/>
              </w:rPr>
            </w:pPr>
            <w:r w:rsidRPr="00EB2995">
              <w:rPr>
                <w:rFonts w:cs="Calibri"/>
                <w:color w:val="000000"/>
                <w:sz w:val="16"/>
                <w:lang w:eastAsia="en-GB"/>
              </w:rPr>
              <w:t>Movements in the market value of Investment Properties</w:t>
            </w:r>
          </w:p>
        </w:tc>
        <w:tc>
          <w:tcPr>
            <w:tcW w:w="9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0.0</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0.0</w:t>
            </w:r>
          </w:p>
        </w:tc>
        <w:tc>
          <w:tcPr>
            <w:tcW w:w="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0.0</w:t>
            </w:r>
          </w:p>
        </w:tc>
        <w:tc>
          <w:tcPr>
            <w:tcW w:w="8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0.0</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0.0</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0.0</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0.0</w:t>
            </w: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0.0</w:t>
            </w:r>
          </w:p>
        </w:tc>
        <w:tc>
          <w:tcPr>
            <w:tcW w:w="11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0.0</w:t>
            </w:r>
          </w:p>
        </w:tc>
      </w:tr>
      <w:tr w:rsidR="00891A96" w:rsidRPr="00EB2995" w:rsidTr="00891A96">
        <w:trPr>
          <w:trHeight w:val="300"/>
        </w:trPr>
        <w:tc>
          <w:tcPr>
            <w:tcW w:w="22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91A96" w:rsidRPr="00EB2995" w:rsidRDefault="00891A96" w:rsidP="00891A96">
            <w:pPr>
              <w:rPr>
                <w:rFonts w:cs="Calibri"/>
                <w:color w:val="000000"/>
                <w:sz w:val="16"/>
                <w:lang w:eastAsia="en-GB"/>
              </w:rPr>
            </w:pPr>
            <w:r w:rsidRPr="00EB2995">
              <w:rPr>
                <w:rFonts w:cs="Calibri"/>
                <w:color w:val="000000"/>
                <w:sz w:val="16"/>
                <w:lang w:eastAsia="en-GB"/>
              </w:rPr>
              <w:t>Amortisation of intangible assets</w:t>
            </w:r>
          </w:p>
        </w:tc>
        <w:tc>
          <w:tcPr>
            <w:tcW w:w="9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0.0</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0.0</w:t>
            </w:r>
          </w:p>
        </w:tc>
        <w:tc>
          <w:tcPr>
            <w:tcW w:w="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0.0</w:t>
            </w:r>
          </w:p>
        </w:tc>
        <w:tc>
          <w:tcPr>
            <w:tcW w:w="8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0.0</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0.0</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0.0</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0.0</w:t>
            </w: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0.0</w:t>
            </w:r>
          </w:p>
        </w:tc>
        <w:tc>
          <w:tcPr>
            <w:tcW w:w="11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0.0</w:t>
            </w:r>
          </w:p>
        </w:tc>
      </w:tr>
      <w:tr w:rsidR="00891A96" w:rsidRPr="00EB2995" w:rsidTr="00891A96">
        <w:trPr>
          <w:trHeight w:val="600"/>
        </w:trPr>
        <w:tc>
          <w:tcPr>
            <w:tcW w:w="22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91A96" w:rsidRPr="00EB2995" w:rsidRDefault="00891A96" w:rsidP="00891A96">
            <w:pPr>
              <w:rPr>
                <w:rFonts w:cs="Calibri"/>
                <w:color w:val="000000"/>
                <w:sz w:val="16"/>
                <w:lang w:eastAsia="en-GB"/>
              </w:rPr>
            </w:pPr>
            <w:r w:rsidRPr="00EB2995">
              <w:rPr>
                <w:rFonts w:cs="Calibri"/>
                <w:color w:val="000000"/>
                <w:sz w:val="16"/>
                <w:lang w:eastAsia="en-GB"/>
              </w:rPr>
              <w:t>Revenue expenditure funded from capital under statute</w:t>
            </w:r>
          </w:p>
        </w:tc>
        <w:tc>
          <w:tcPr>
            <w:tcW w:w="9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(7.6)</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0.0</w:t>
            </w:r>
          </w:p>
        </w:tc>
        <w:tc>
          <w:tcPr>
            <w:tcW w:w="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0.0</w:t>
            </w:r>
          </w:p>
        </w:tc>
        <w:tc>
          <w:tcPr>
            <w:tcW w:w="8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0.0</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7.6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0.0</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0.0</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0.0</w:t>
            </w: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0.0</w:t>
            </w:r>
          </w:p>
        </w:tc>
        <w:tc>
          <w:tcPr>
            <w:tcW w:w="11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0.0</w:t>
            </w:r>
          </w:p>
        </w:tc>
      </w:tr>
      <w:tr w:rsidR="00891A96" w:rsidRPr="00EB2995" w:rsidTr="00891A96">
        <w:trPr>
          <w:trHeight w:val="1200"/>
        </w:trPr>
        <w:tc>
          <w:tcPr>
            <w:tcW w:w="22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91A96" w:rsidRPr="00EB2995" w:rsidRDefault="00891A96" w:rsidP="00891A96">
            <w:pPr>
              <w:rPr>
                <w:rFonts w:cs="Calibri"/>
                <w:color w:val="000000"/>
                <w:sz w:val="16"/>
                <w:lang w:eastAsia="en-GB"/>
              </w:rPr>
            </w:pPr>
            <w:r w:rsidRPr="00EB2995">
              <w:rPr>
                <w:rFonts w:cs="Calibri"/>
                <w:color w:val="000000"/>
                <w:sz w:val="16"/>
                <w:lang w:eastAsia="en-GB"/>
              </w:rPr>
              <w:t>Amounts of non-current assets written off on disposal or sale as part of the gain/loss on disposal to the Comprehensive Income and Expenditure Statement</w:t>
            </w:r>
          </w:p>
        </w:tc>
        <w:tc>
          <w:tcPr>
            <w:tcW w:w="9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(0.4)</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(1.7)</w:t>
            </w:r>
          </w:p>
        </w:tc>
        <w:tc>
          <w:tcPr>
            <w:tcW w:w="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0.0</w:t>
            </w:r>
          </w:p>
        </w:tc>
        <w:tc>
          <w:tcPr>
            <w:tcW w:w="8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0.0</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0.3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1.8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0.0</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0.0</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0.0</w:t>
            </w: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0.0</w:t>
            </w:r>
          </w:p>
        </w:tc>
        <w:tc>
          <w:tcPr>
            <w:tcW w:w="11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0.0</w:t>
            </w:r>
          </w:p>
        </w:tc>
      </w:tr>
      <w:tr w:rsidR="00891A96" w:rsidRPr="00EB2995" w:rsidTr="00891A96">
        <w:trPr>
          <w:trHeight w:val="600"/>
        </w:trPr>
        <w:tc>
          <w:tcPr>
            <w:tcW w:w="22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91A96" w:rsidRPr="00EB2995" w:rsidRDefault="00891A96" w:rsidP="00891A96">
            <w:pPr>
              <w:rPr>
                <w:rFonts w:cs="Calibri"/>
                <w:color w:val="000000"/>
                <w:sz w:val="16"/>
                <w:lang w:eastAsia="en-GB"/>
              </w:rPr>
            </w:pPr>
            <w:r w:rsidRPr="00EB2995">
              <w:rPr>
                <w:rFonts w:cs="Calibri"/>
                <w:color w:val="000000"/>
                <w:sz w:val="16"/>
                <w:lang w:eastAsia="en-GB"/>
              </w:rPr>
              <w:t>Statutory provision for the financing of capital investment</w:t>
            </w:r>
          </w:p>
        </w:tc>
        <w:tc>
          <w:tcPr>
            <w:tcW w:w="9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10.6</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0.0</w:t>
            </w:r>
          </w:p>
        </w:tc>
        <w:tc>
          <w:tcPr>
            <w:tcW w:w="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0.0</w:t>
            </w:r>
          </w:p>
        </w:tc>
        <w:tc>
          <w:tcPr>
            <w:tcW w:w="8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0.0</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(10.6)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0.0</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0.0</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0.0</w:t>
            </w: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0.0</w:t>
            </w:r>
          </w:p>
        </w:tc>
        <w:tc>
          <w:tcPr>
            <w:tcW w:w="11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0.0</w:t>
            </w:r>
          </w:p>
        </w:tc>
      </w:tr>
      <w:tr w:rsidR="00891A96" w:rsidRPr="00EB2995" w:rsidTr="00891A96">
        <w:trPr>
          <w:trHeight w:val="600"/>
        </w:trPr>
        <w:tc>
          <w:tcPr>
            <w:tcW w:w="22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91A96" w:rsidRPr="00EB2995" w:rsidRDefault="00891A96" w:rsidP="00891A96">
            <w:pPr>
              <w:rPr>
                <w:rFonts w:cs="Calibri"/>
                <w:color w:val="000000"/>
                <w:sz w:val="16"/>
                <w:lang w:eastAsia="en-GB"/>
              </w:rPr>
            </w:pPr>
            <w:r w:rsidRPr="00EB2995">
              <w:rPr>
                <w:rFonts w:cs="Calibri"/>
                <w:color w:val="000000"/>
                <w:sz w:val="16"/>
                <w:lang w:eastAsia="en-GB"/>
              </w:rPr>
              <w:lastRenderedPageBreak/>
              <w:t>Capital expenditure charged against the General Fund and HRA balances</w:t>
            </w:r>
          </w:p>
        </w:tc>
        <w:tc>
          <w:tcPr>
            <w:tcW w:w="9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17.6</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0.0</w:t>
            </w:r>
          </w:p>
        </w:tc>
        <w:tc>
          <w:tcPr>
            <w:tcW w:w="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0.0</w:t>
            </w:r>
          </w:p>
        </w:tc>
        <w:tc>
          <w:tcPr>
            <w:tcW w:w="8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0.0</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(17.6)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0.0</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0.0</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0.0</w:t>
            </w: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0.0</w:t>
            </w:r>
          </w:p>
        </w:tc>
        <w:tc>
          <w:tcPr>
            <w:tcW w:w="11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0.0</w:t>
            </w:r>
          </w:p>
        </w:tc>
      </w:tr>
      <w:tr w:rsidR="00891A96" w:rsidRPr="00EB2995" w:rsidTr="00891A96">
        <w:trPr>
          <w:trHeight w:val="900"/>
        </w:trPr>
        <w:tc>
          <w:tcPr>
            <w:tcW w:w="22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91A96" w:rsidRPr="00EB2995" w:rsidRDefault="00891A96" w:rsidP="00891A96">
            <w:pPr>
              <w:rPr>
                <w:rFonts w:cs="Calibri"/>
                <w:color w:val="000000"/>
                <w:sz w:val="16"/>
                <w:lang w:eastAsia="en-GB"/>
              </w:rPr>
            </w:pPr>
            <w:r w:rsidRPr="00EB2995">
              <w:rPr>
                <w:rFonts w:cs="Calibri"/>
                <w:color w:val="000000"/>
                <w:sz w:val="16"/>
                <w:lang w:eastAsia="en-GB"/>
              </w:rPr>
              <w:t>Capital grants and contributions unapplied credited to the Comprehensive Income and Expenditure Statement</w:t>
            </w:r>
          </w:p>
        </w:tc>
        <w:tc>
          <w:tcPr>
            <w:tcW w:w="9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42.4</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0.0</w:t>
            </w:r>
          </w:p>
        </w:tc>
        <w:tc>
          <w:tcPr>
            <w:tcW w:w="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0.0</w:t>
            </w:r>
          </w:p>
        </w:tc>
        <w:tc>
          <w:tcPr>
            <w:tcW w:w="8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0.0</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(42.4)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0.0</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0.0</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0.0</w:t>
            </w: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0.0</w:t>
            </w:r>
          </w:p>
        </w:tc>
        <w:tc>
          <w:tcPr>
            <w:tcW w:w="11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0.0</w:t>
            </w:r>
          </w:p>
        </w:tc>
      </w:tr>
      <w:tr w:rsidR="00891A96" w:rsidRPr="00EB2995" w:rsidTr="00891A96">
        <w:trPr>
          <w:trHeight w:val="600"/>
        </w:trPr>
        <w:tc>
          <w:tcPr>
            <w:tcW w:w="22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91A96" w:rsidRPr="00EB2995" w:rsidRDefault="00891A96" w:rsidP="00891A96">
            <w:pPr>
              <w:rPr>
                <w:rFonts w:cs="Calibri"/>
                <w:color w:val="000000"/>
                <w:sz w:val="16"/>
                <w:lang w:eastAsia="en-GB"/>
              </w:rPr>
            </w:pPr>
            <w:r w:rsidRPr="00EB2995">
              <w:rPr>
                <w:rFonts w:cs="Calibri"/>
                <w:color w:val="000000"/>
                <w:sz w:val="16"/>
                <w:lang w:eastAsia="en-GB"/>
              </w:rPr>
              <w:t>Application of grants to capital financing transferred to the Capital Adjustment Account</w:t>
            </w:r>
          </w:p>
        </w:tc>
        <w:tc>
          <w:tcPr>
            <w:tcW w:w="9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0.0</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0.0</w:t>
            </w:r>
          </w:p>
        </w:tc>
        <w:tc>
          <w:tcPr>
            <w:tcW w:w="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0.0</w:t>
            </w:r>
          </w:p>
        </w:tc>
        <w:tc>
          <w:tcPr>
            <w:tcW w:w="8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0.0</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39.4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(39.4)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0.0</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0.0</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0.0</w:t>
            </w: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0.0</w:t>
            </w:r>
          </w:p>
        </w:tc>
        <w:tc>
          <w:tcPr>
            <w:tcW w:w="11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0.0</w:t>
            </w:r>
          </w:p>
        </w:tc>
      </w:tr>
      <w:tr w:rsidR="00891A96" w:rsidRPr="00EB2995" w:rsidTr="00891A96">
        <w:trPr>
          <w:trHeight w:val="900"/>
        </w:trPr>
        <w:tc>
          <w:tcPr>
            <w:tcW w:w="22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91A96" w:rsidRPr="00EB2995" w:rsidRDefault="00891A96" w:rsidP="00891A96">
            <w:pPr>
              <w:rPr>
                <w:rFonts w:cs="Calibri"/>
                <w:color w:val="000000"/>
                <w:sz w:val="16"/>
                <w:lang w:eastAsia="en-GB"/>
              </w:rPr>
            </w:pPr>
            <w:r w:rsidRPr="00EB2995">
              <w:rPr>
                <w:rFonts w:cs="Calibri"/>
                <w:color w:val="000000"/>
                <w:sz w:val="16"/>
                <w:lang w:eastAsia="en-GB"/>
              </w:rPr>
              <w:t>Transfer of cash sale proceeds credited as part of the gain/loss on disposal to the Comprehensive Income and Expenditure Statement</w:t>
            </w:r>
          </w:p>
        </w:tc>
        <w:tc>
          <w:tcPr>
            <w:tcW w:w="9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0.5</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5.5</w:t>
            </w:r>
          </w:p>
        </w:tc>
        <w:tc>
          <w:tcPr>
            <w:tcW w:w="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0.0</w:t>
            </w:r>
          </w:p>
        </w:tc>
        <w:tc>
          <w:tcPr>
            <w:tcW w:w="8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(6.0)</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0.0</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0.0</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0.0</w:t>
            </w: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0.0</w:t>
            </w:r>
          </w:p>
        </w:tc>
        <w:tc>
          <w:tcPr>
            <w:tcW w:w="11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0.0</w:t>
            </w:r>
          </w:p>
        </w:tc>
      </w:tr>
      <w:tr w:rsidR="00891A96" w:rsidRPr="00EB2995" w:rsidTr="00891A96">
        <w:trPr>
          <w:trHeight w:val="600"/>
        </w:trPr>
        <w:tc>
          <w:tcPr>
            <w:tcW w:w="22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91A96" w:rsidRPr="00EB2995" w:rsidRDefault="00891A96" w:rsidP="00891A96">
            <w:pPr>
              <w:rPr>
                <w:rFonts w:cs="Calibri"/>
                <w:color w:val="000000"/>
                <w:sz w:val="16"/>
                <w:lang w:eastAsia="en-GB"/>
              </w:rPr>
            </w:pPr>
            <w:r w:rsidRPr="00EB2995">
              <w:rPr>
                <w:rFonts w:cs="Calibri"/>
                <w:color w:val="000000"/>
                <w:sz w:val="16"/>
                <w:lang w:eastAsia="en-GB"/>
              </w:rPr>
              <w:t>Use of the Capital Receipts Reserve to finance new capital expenditure</w:t>
            </w:r>
          </w:p>
        </w:tc>
        <w:tc>
          <w:tcPr>
            <w:tcW w:w="9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0.0</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0.0</w:t>
            </w:r>
          </w:p>
        </w:tc>
        <w:tc>
          <w:tcPr>
            <w:tcW w:w="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0.0</w:t>
            </w:r>
          </w:p>
        </w:tc>
        <w:tc>
          <w:tcPr>
            <w:tcW w:w="8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15.6</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(15.6)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0.0</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0.0</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0.0</w:t>
            </w: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0.0</w:t>
            </w:r>
          </w:p>
        </w:tc>
        <w:tc>
          <w:tcPr>
            <w:tcW w:w="11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0.0</w:t>
            </w:r>
          </w:p>
        </w:tc>
      </w:tr>
      <w:tr w:rsidR="00891A96" w:rsidRPr="00EB2995" w:rsidTr="00891A96">
        <w:trPr>
          <w:trHeight w:val="900"/>
        </w:trPr>
        <w:tc>
          <w:tcPr>
            <w:tcW w:w="22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91A96" w:rsidRPr="00EB2995" w:rsidRDefault="00891A96" w:rsidP="00891A96">
            <w:pPr>
              <w:rPr>
                <w:rFonts w:cs="Calibri"/>
                <w:color w:val="000000"/>
                <w:sz w:val="16"/>
                <w:lang w:eastAsia="en-GB"/>
              </w:rPr>
            </w:pPr>
            <w:r w:rsidRPr="00EB2995">
              <w:rPr>
                <w:rFonts w:cs="Calibri"/>
                <w:color w:val="000000"/>
                <w:sz w:val="16"/>
                <w:lang w:eastAsia="en-GB"/>
              </w:rPr>
              <w:t>Contribution from the Capital Receipts Reserve towards administrative costs of non-current asset disposals</w:t>
            </w:r>
          </w:p>
        </w:tc>
        <w:tc>
          <w:tcPr>
            <w:tcW w:w="9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0.0</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(0.1)</w:t>
            </w:r>
          </w:p>
        </w:tc>
        <w:tc>
          <w:tcPr>
            <w:tcW w:w="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0.0</w:t>
            </w:r>
          </w:p>
        </w:tc>
        <w:tc>
          <w:tcPr>
            <w:tcW w:w="8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0.1</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0.0</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0.0</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0.0</w:t>
            </w: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0.0</w:t>
            </w:r>
          </w:p>
        </w:tc>
        <w:tc>
          <w:tcPr>
            <w:tcW w:w="11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0.0</w:t>
            </w:r>
          </w:p>
        </w:tc>
      </w:tr>
      <w:tr w:rsidR="00891A96" w:rsidRPr="00EB2995" w:rsidTr="00891A96">
        <w:trPr>
          <w:trHeight w:val="900"/>
        </w:trPr>
        <w:tc>
          <w:tcPr>
            <w:tcW w:w="22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91A96" w:rsidRPr="00EB2995" w:rsidRDefault="00891A96" w:rsidP="00891A96">
            <w:pPr>
              <w:rPr>
                <w:rFonts w:cs="Calibri"/>
                <w:color w:val="000000"/>
                <w:sz w:val="16"/>
                <w:lang w:eastAsia="en-GB"/>
              </w:rPr>
            </w:pPr>
            <w:r w:rsidRPr="00EB2995">
              <w:rPr>
                <w:rFonts w:cs="Calibri"/>
                <w:color w:val="000000"/>
                <w:sz w:val="16"/>
                <w:lang w:eastAsia="en-GB"/>
              </w:rPr>
              <w:t xml:space="preserve">Contribution from the Capital Receipts Reserve to finance the </w:t>
            </w:r>
            <w:r>
              <w:rPr>
                <w:rFonts w:cs="Calibri"/>
                <w:color w:val="000000"/>
                <w:sz w:val="16"/>
                <w:lang w:eastAsia="en-GB"/>
              </w:rPr>
              <w:t>pa</w:t>
            </w:r>
            <w:r w:rsidRPr="00EB2995">
              <w:rPr>
                <w:rFonts w:cs="Calibri"/>
                <w:color w:val="000000"/>
                <w:sz w:val="16"/>
                <w:lang w:eastAsia="en-GB"/>
              </w:rPr>
              <w:t>yments to the Government capital receipts pool</w:t>
            </w:r>
          </w:p>
        </w:tc>
        <w:tc>
          <w:tcPr>
            <w:tcW w:w="9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0.0</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(4.1)</w:t>
            </w:r>
          </w:p>
        </w:tc>
        <w:tc>
          <w:tcPr>
            <w:tcW w:w="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0.0</w:t>
            </w:r>
          </w:p>
        </w:tc>
        <w:tc>
          <w:tcPr>
            <w:tcW w:w="8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4.1</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0.0</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0.0</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0.0</w:t>
            </w: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0.0</w:t>
            </w:r>
          </w:p>
        </w:tc>
        <w:tc>
          <w:tcPr>
            <w:tcW w:w="11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0.0</w:t>
            </w:r>
          </w:p>
        </w:tc>
      </w:tr>
      <w:tr w:rsidR="00891A96" w:rsidRPr="00EB2995" w:rsidTr="00891A96">
        <w:trPr>
          <w:trHeight w:val="600"/>
        </w:trPr>
        <w:tc>
          <w:tcPr>
            <w:tcW w:w="22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91A96" w:rsidRPr="00EB2995" w:rsidRDefault="00891A96" w:rsidP="00891A96">
            <w:pPr>
              <w:rPr>
                <w:rFonts w:cs="Calibri"/>
                <w:color w:val="000000"/>
                <w:sz w:val="16"/>
                <w:lang w:eastAsia="en-GB"/>
              </w:rPr>
            </w:pPr>
            <w:r w:rsidRPr="00EB2995">
              <w:rPr>
                <w:rFonts w:cs="Calibri"/>
                <w:color w:val="000000"/>
                <w:sz w:val="16"/>
                <w:lang w:eastAsia="en-GB"/>
              </w:rPr>
              <w:lastRenderedPageBreak/>
              <w:t>Transfer from Deferred Capital Receipts Reserve upon receipt of cash</w:t>
            </w:r>
          </w:p>
        </w:tc>
        <w:tc>
          <w:tcPr>
            <w:tcW w:w="9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0.0</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0.0</w:t>
            </w:r>
          </w:p>
        </w:tc>
        <w:tc>
          <w:tcPr>
            <w:tcW w:w="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0.0</w:t>
            </w:r>
          </w:p>
        </w:tc>
        <w:tc>
          <w:tcPr>
            <w:tcW w:w="8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0.0</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0.0</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0.0</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0.0</w:t>
            </w: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0.0</w:t>
            </w:r>
          </w:p>
        </w:tc>
        <w:tc>
          <w:tcPr>
            <w:tcW w:w="11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0.0</w:t>
            </w:r>
          </w:p>
        </w:tc>
      </w:tr>
      <w:tr w:rsidR="00891A96" w:rsidRPr="00EB2995" w:rsidTr="00891A96">
        <w:trPr>
          <w:trHeight w:val="600"/>
        </w:trPr>
        <w:tc>
          <w:tcPr>
            <w:tcW w:w="22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91A96" w:rsidRPr="00EB2995" w:rsidRDefault="00891A96" w:rsidP="00891A96">
            <w:pPr>
              <w:rPr>
                <w:rFonts w:cs="Calibri"/>
                <w:color w:val="000000"/>
                <w:sz w:val="16"/>
                <w:lang w:eastAsia="en-GB"/>
              </w:rPr>
            </w:pPr>
            <w:r w:rsidRPr="00EB2995">
              <w:rPr>
                <w:rFonts w:cs="Calibri"/>
                <w:color w:val="000000"/>
                <w:sz w:val="16"/>
                <w:lang w:eastAsia="en-GB"/>
              </w:rPr>
              <w:t>Reversal of Major Repairs Allowance credited to the HRA</w:t>
            </w:r>
          </w:p>
        </w:tc>
        <w:tc>
          <w:tcPr>
            <w:tcW w:w="9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0.0</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15.7</w:t>
            </w:r>
          </w:p>
        </w:tc>
        <w:tc>
          <w:tcPr>
            <w:tcW w:w="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0.0</w:t>
            </w:r>
          </w:p>
        </w:tc>
        <w:tc>
          <w:tcPr>
            <w:tcW w:w="8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0.0</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(15.7)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0.0</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0.0</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0.0</w:t>
            </w: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0.0</w:t>
            </w:r>
          </w:p>
        </w:tc>
        <w:tc>
          <w:tcPr>
            <w:tcW w:w="11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0.0</w:t>
            </w:r>
          </w:p>
        </w:tc>
      </w:tr>
      <w:tr w:rsidR="00891A96" w:rsidRPr="00EB2995" w:rsidTr="00891A96">
        <w:trPr>
          <w:trHeight w:val="600"/>
        </w:trPr>
        <w:tc>
          <w:tcPr>
            <w:tcW w:w="22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91A96" w:rsidRPr="00EB2995" w:rsidRDefault="00891A96" w:rsidP="00891A96">
            <w:pPr>
              <w:rPr>
                <w:rFonts w:cs="Calibri"/>
                <w:color w:val="000000"/>
                <w:sz w:val="16"/>
                <w:lang w:eastAsia="en-GB"/>
              </w:rPr>
            </w:pPr>
            <w:r w:rsidRPr="00EB2995">
              <w:rPr>
                <w:rFonts w:cs="Calibri"/>
                <w:color w:val="000000"/>
                <w:sz w:val="16"/>
                <w:lang w:eastAsia="en-GB"/>
              </w:rPr>
              <w:t>Use of the Major Repairs Reserve to finance new capital expenditure</w:t>
            </w:r>
          </w:p>
        </w:tc>
        <w:tc>
          <w:tcPr>
            <w:tcW w:w="9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0.0</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0.0</w:t>
            </w:r>
          </w:p>
        </w:tc>
        <w:tc>
          <w:tcPr>
            <w:tcW w:w="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0.0</w:t>
            </w:r>
          </w:p>
        </w:tc>
        <w:tc>
          <w:tcPr>
            <w:tcW w:w="8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0.0</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15.7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(15.7)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0.0</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0.0</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0.0</w:t>
            </w: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0.0</w:t>
            </w:r>
          </w:p>
        </w:tc>
        <w:tc>
          <w:tcPr>
            <w:tcW w:w="11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0.0</w:t>
            </w:r>
          </w:p>
        </w:tc>
      </w:tr>
      <w:tr w:rsidR="00891A96" w:rsidRPr="00EB2995" w:rsidTr="00891A96">
        <w:trPr>
          <w:trHeight w:val="1500"/>
        </w:trPr>
        <w:tc>
          <w:tcPr>
            <w:tcW w:w="22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91A96" w:rsidRPr="00EB2995" w:rsidRDefault="00891A96" w:rsidP="00891A96">
            <w:pPr>
              <w:rPr>
                <w:rFonts w:cs="Calibri"/>
                <w:color w:val="000000"/>
                <w:sz w:val="16"/>
                <w:lang w:eastAsia="en-GB"/>
              </w:rPr>
            </w:pPr>
            <w:r w:rsidRPr="00EB2995">
              <w:rPr>
                <w:rFonts w:cs="Calibri"/>
                <w:color w:val="000000"/>
                <w:sz w:val="16"/>
                <w:lang w:eastAsia="en-GB"/>
              </w:rPr>
              <w:t>Amount by which finance costs charged to the Comprehensive Income and Expenditure Statement are different from finance costs chargeable in the year in accordance with statutory requirements</w:t>
            </w:r>
          </w:p>
        </w:tc>
        <w:tc>
          <w:tcPr>
            <w:tcW w:w="9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0.7</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0.3</w:t>
            </w:r>
          </w:p>
        </w:tc>
        <w:tc>
          <w:tcPr>
            <w:tcW w:w="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0.0</w:t>
            </w:r>
          </w:p>
        </w:tc>
        <w:tc>
          <w:tcPr>
            <w:tcW w:w="8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0.0</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(1.0)</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0.0</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0.0</w:t>
            </w: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0.0</w:t>
            </w:r>
          </w:p>
        </w:tc>
        <w:tc>
          <w:tcPr>
            <w:tcW w:w="11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0.0</w:t>
            </w:r>
          </w:p>
        </w:tc>
      </w:tr>
      <w:tr w:rsidR="00891A96" w:rsidRPr="00EB2995" w:rsidTr="00891A96">
        <w:trPr>
          <w:trHeight w:val="900"/>
        </w:trPr>
        <w:tc>
          <w:tcPr>
            <w:tcW w:w="22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91A96" w:rsidRPr="00EB2995" w:rsidRDefault="00891A96" w:rsidP="00891A96">
            <w:pPr>
              <w:rPr>
                <w:rFonts w:cs="Calibri"/>
                <w:color w:val="000000"/>
                <w:sz w:val="16"/>
                <w:lang w:eastAsia="en-GB"/>
              </w:rPr>
            </w:pPr>
            <w:r w:rsidRPr="00EB2995">
              <w:rPr>
                <w:rFonts w:cs="Calibri"/>
                <w:color w:val="000000"/>
                <w:sz w:val="16"/>
                <w:lang w:eastAsia="en-GB"/>
              </w:rPr>
              <w:t>Reversal of items relating to retirement benefits debited or credited to the Comprehensive Income and Expenditure Statement</w:t>
            </w:r>
          </w:p>
        </w:tc>
        <w:tc>
          <w:tcPr>
            <w:tcW w:w="9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(61.8)</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(1.6)</w:t>
            </w:r>
          </w:p>
        </w:tc>
        <w:tc>
          <w:tcPr>
            <w:tcW w:w="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0.0</w:t>
            </w:r>
          </w:p>
        </w:tc>
        <w:tc>
          <w:tcPr>
            <w:tcW w:w="8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0.0</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0.0</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63.4</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0.0</w:t>
            </w: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0.0</w:t>
            </w:r>
          </w:p>
        </w:tc>
        <w:tc>
          <w:tcPr>
            <w:tcW w:w="11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0.0</w:t>
            </w:r>
          </w:p>
        </w:tc>
      </w:tr>
      <w:tr w:rsidR="00891A96" w:rsidRPr="00EB2995" w:rsidTr="00891A96">
        <w:trPr>
          <w:trHeight w:val="600"/>
        </w:trPr>
        <w:tc>
          <w:tcPr>
            <w:tcW w:w="22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91A96" w:rsidRPr="00EB2995" w:rsidRDefault="00891A96" w:rsidP="00891A96">
            <w:pPr>
              <w:rPr>
                <w:rFonts w:cs="Calibri"/>
                <w:color w:val="000000"/>
                <w:sz w:val="16"/>
                <w:lang w:eastAsia="en-GB"/>
              </w:rPr>
            </w:pPr>
            <w:r w:rsidRPr="00EB2995">
              <w:rPr>
                <w:rFonts w:cs="Calibri"/>
                <w:color w:val="000000"/>
                <w:sz w:val="16"/>
                <w:lang w:eastAsia="en-GB"/>
              </w:rPr>
              <w:t>Employer’s pensions contributions and direct payments to pensioners payable in the year</w:t>
            </w:r>
          </w:p>
        </w:tc>
        <w:tc>
          <w:tcPr>
            <w:tcW w:w="9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38.7</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1.5</w:t>
            </w:r>
          </w:p>
        </w:tc>
        <w:tc>
          <w:tcPr>
            <w:tcW w:w="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0.0</w:t>
            </w:r>
          </w:p>
        </w:tc>
        <w:tc>
          <w:tcPr>
            <w:tcW w:w="8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0.0</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0.0</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(40.2)</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0.0</w:t>
            </w: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0.0</w:t>
            </w:r>
          </w:p>
        </w:tc>
        <w:tc>
          <w:tcPr>
            <w:tcW w:w="11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0.0</w:t>
            </w:r>
          </w:p>
        </w:tc>
      </w:tr>
      <w:tr w:rsidR="00891A96" w:rsidRPr="00EB2995" w:rsidTr="00891A96">
        <w:trPr>
          <w:trHeight w:val="1500"/>
        </w:trPr>
        <w:tc>
          <w:tcPr>
            <w:tcW w:w="22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91A96" w:rsidRPr="00EB2995" w:rsidRDefault="00891A96" w:rsidP="00891A96">
            <w:pPr>
              <w:rPr>
                <w:rFonts w:cs="Calibri"/>
                <w:color w:val="000000"/>
                <w:sz w:val="16"/>
                <w:lang w:eastAsia="en-GB"/>
              </w:rPr>
            </w:pPr>
            <w:r w:rsidRPr="00EB2995">
              <w:rPr>
                <w:rFonts w:cs="Calibri"/>
                <w:color w:val="000000"/>
                <w:sz w:val="16"/>
                <w:lang w:eastAsia="en-GB"/>
              </w:rPr>
              <w:lastRenderedPageBreak/>
              <w:t>Amount by which officer remuneration charges to the Comprehensive Income and Expenditure Statement on an accruals basis is different from remuneration chargeable in the year in accordance with statutory requirements</w:t>
            </w:r>
          </w:p>
        </w:tc>
        <w:tc>
          <w:tcPr>
            <w:tcW w:w="9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(2.8)</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0.0</w:t>
            </w:r>
          </w:p>
        </w:tc>
        <w:tc>
          <w:tcPr>
            <w:tcW w:w="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0.0</w:t>
            </w:r>
          </w:p>
        </w:tc>
        <w:tc>
          <w:tcPr>
            <w:tcW w:w="8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0.0</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0.0</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0.0</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2.8</w:t>
            </w: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0.0</w:t>
            </w:r>
          </w:p>
        </w:tc>
        <w:tc>
          <w:tcPr>
            <w:tcW w:w="11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0.0</w:t>
            </w:r>
          </w:p>
        </w:tc>
      </w:tr>
      <w:tr w:rsidR="00891A96" w:rsidRPr="00EB2995" w:rsidTr="00891A96">
        <w:trPr>
          <w:trHeight w:val="1200"/>
        </w:trPr>
        <w:tc>
          <w:tcPr>
            <w:tcW w:w="22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91A96" w:rsidRPr="00EB2995" w:rsidRDefault="00891A96" w:rsidP="00891A96">
            <w:pPr>
              <w:rPr>
                <w:rFonts w:cs="Calibri"/>
                <w:color w:val="000000"/>
                <w:sz w:val="16"/>
                <w:lang w:eastAsia="en-GB"/>
              </w:rPr>
            </w:pPr>
            <w:r w:rsidRPr="00EB2995">
              <w:rPr>
                <w:rFonts w:cs="Calibri"/>
                <w:color w:val="000000"/>
                <w:sz w:val="16"/>
                <w:lang w:eastAsia="en-GB"/>
              </w:rPr>
              <w:t>Amount by which coun</w:t>
            </w:r>
            <w:r>
              <w:rPr>
                <w:rFonts w:cs="Calibri"/>
                <w:color w:val="000000"/>
                <w:sz w:val="16"/>
                <w:lang w:eastAsia="en-GB"/>
              </w:rPr>
              <w:t xml:space="preserve">cil tax and </w:t>
            </w:r>
            <w:r w:rsidRPr="00EB2995">
              <w:rPr>
                <w:rFonts w:cs="Calibri"/>
                <w:color w:val="000000"/>
                <w:sz w:val="16"/>
                <w:lang w:eastAsia="en-GB"/>
              </w:rPr>
              <w:t>NDR income credited to the CIES is d</w:t>
            </w:r>
            <w:r>
              <w:rPr>
                <w:rFonts w:cs="Calibri"/>
                <w:color w:val="000000"/>
                <w:sz w:val="16"/>
                <w:lang w:eastAsia="en-GB"/>
              </w:rPr>
              <w:t>ifferent from council tax and N</w:t>
            </w:r>
            <w:r w:rsidRPr="00EB2995">
              <w:rPr>
                <w:rFonts w:cs="Calibri"/>
                <w:color w:val="000000"/>
                <w:sz w:val="16"/>
                <w:lang w:eastAsia="en-GB"/>
              </w:rPr>
              <w:t>DR income calculated in accordance with statutory requirements</w:t>
            </w:r>
          </w:p>
        </w:tc>
        <w:tc>
          <w:tcPr>
            <w:tcW w:w="9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(6.4)</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0.0</w:t>
            </w:r>
          </w:p>
        </w:tc>
        <w:tc>
          <w:tcPr>
            <w:tcW w:w="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0.0</w:t>
            </w:r>
          </w:p>
        </w:tc>
        <w:tc>
          <w:tcPr>
            <w:tcW w:w="8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0.0</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0.0</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0.0</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0.0</w:t>
            </w: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6.4</w:t>
            </w:r>
          </w:p>
        </w:tc>
        <w:tc>
          <w:tcPr>
            <w:tcW w:w="11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0.0</w:t>
            </w:r>
          </w:p>
        </w:tc>
      </w:tr>
      <w:tr w:rsidR="00891A96" w:rsidRPr="00EB2995" w:rsidTr="00891A96">
        <w:trPr>
          <w:trHeight w:val="600"/>
        </w:trPr>
        <w:tc>
          <w:tcPr>
            <w:tcW w:w="22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91A96" w:rsidRPr="00EB2995" w:rsidRDefault="00891A96" w:rsidP="00891A96">
            <w:pPr>
              <w:rPr>
                <w:rFonts w:cs="Calibri"/>
                <w:color w:val="000000"/>
                <w:sz w:val="16"/>
                <w:lang w:eastAsia="en-GB"/>
              </w:rPr>
            </w:pPr>
            <w:r w:rsidRPr="00EB2995">
              <w:rPr>
                <w:rFonts w:cs="Calibri"/>
                <w:color w:val="000000"/>
                <w:sz w:val="16"/>
                <w:lang w:eastAsia="en-GB"/>
              </w:rPr>
              <w:t>Surplus or deficit on revaluation of Property, Plant and Equipment assets</w:t>
            </w:r>
          </w:p>
        </w:tc>
        <w:tc>
          <w:tcPr>
            <w:tcW w:w="9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0.0</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0.0</w:t>
            </w:r>
          </w:p>
        </w:tc>
        <w:tc>
          <w:tcPr>
            <w:tcW w:w="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0.0</w:t>
            </w:r>
          </w:p>
        </w:tc>
        <w:tc>
          <w:tcPr>
            <w:tcW w:w="8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0.0</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(208.5)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0.0</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0.0</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0.0</w:t>
            </w: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0.0</w:t>
            </w:r>
          </w:p>
        </w:tc>
        <w:tc>
          <w:tcPr>
            <w:tcW w:w="11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(208.5)</w:t>
            </w:r>
          </w:p>
        </w:tc>
      </w:tr>
      <w:tr w:rsidR="00891A96" w:rsidRPr="00EB2995" w:rsidTr="00891A96">
        <w:trPr>
          <w:trHeight w:val="600"/>
        </w:trPr>
        <w:tc>
          <w:tcPr>
            <w:tcW w:w="22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91A96" w:rsidRPr="00EB2995" w:rsidRDefault="00891A96" w:rsidP="00891A96">
            <w:pPr>
              <w:rPr>
                <w:rFonts w:cs="Calibri"/>
                <w:color w:val="000000"/>
                <w:sz w:val="16"/>
                <w:lang w:eastAsia="en-GB"/>
              </w:rPr>
            </w:pPr>
            <w:r w:rsidRPr="00EB2995">
              <w:rPr>
                <w:rFonts w:cs="Calibri"/>
                <w:color w:val="000000"/>
                <w:sz w:val="16"/>
                <w:lang w:eastAsia="en-GB"/>
              </w:rPr>
              <w:t>Actuarial gains/losses on pension assets and liabilities</w:t>
            </w:r>
          </w:p>
        </w:tc>
        <w:tc>
          <w:tcPr>
            <w:tcW w:w="9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0.0</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0.0</w:t>
            </w:r>
          </w:p>
        </w:tc>
        <w:tc>
          <w:tcPr>
            <w:tcW w:w="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0.0</w:t>
            </w:r>
          </w:p>
        </w:tc>
        <w:tc>
          <w:tcPr>
            <w:tcW w:w="8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0.0</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0.0</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(288.6)</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0.0</w:t>
            </w: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0.0</w:t>
            </w:r>
          </w:p>
        </w:tc>
        <w:tc>
          <w:tcPr>
            <w:tcW w:w="11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(288.6)</w:t>
            </w:r>
          </w:p>
        </w:tc>
      </w:tr>
      <w:tr w:rsidR="00891A96" w:rsidRPr="00EB2995" w:rsidTr="00891A96">
        <w:trPr>
          <w:trHeight w:val="300"/>
        </w:trPr>
        <w:tc>
          <w:tcPr>
            <w:tcW w:w="22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91A96" w:rsidRPr="00EB2995" w:rsidRDefault="00891A96" w:rsidP="00891A96">
            <w:pPr>
              <w:rPr>
                <w:rFonts w:cs="Calibri"/>
                <w:color w:val="000000"/>
                <w:sz w:val="16"/>
                <w:lang w:eastAsia="en-GB"/>
              </w:rPr>
            </w:pPr>
            <w:r w:rsidRPr="00EB2995">
              <w:rPr>
                <w:rFonts w:cs="Calibri"/>
                <w:color w:val="000000"/>
                <w:sz w:val="16"/>
                <w:lang w:eastAsia="en-GB"/>
              </w:rPr>
              <w:t>Earmarked reserve transfers</w:t>
            </w:r>
          </w:p>
        </w:tc>
        <w:tc>
          <w:tcPr>
            <w:tcW w:w="9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36.5</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2.7</w:t>
            </w:r>
          </w:p>
        </w:tc>
        <w:tc>
          <w:tcPr>
            <w:tcW w:w="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(39.2)</w:t>
            </w:r>
          </w:p>
        </w:tc>
        <w:tc>
          <w:tcPr>
            <w:tcW w:w="8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0.0</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0.0</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0.0</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0.0</w:t>
            </w: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0.0</w:t>
            </w:r>
          </w:p>
        </w:tc>
        <w:tc>
          <w:tcPr>
            <w:tcW w:w="11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0.0</w:t>
            </w:r>
          </w:p>
        </w:tc>
      </w:tr>
      <w:tr w:rsidR="00891A96" w:rsidRPr="00EB2995" w:rsidTr="00891A96">
        <w:trPr>
          <w:trHeight w:val="300"/>
        </w:trPr>
        <w:tc>
          <w:tcPr>
            <w:tcW w:w="2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1A96" w:rsidRPr="00EB2995" w:rsidRDefault="00891A96" w:rsidP="00891A96">
            <w:pPr>
              <w:rPr>
                <w:rFonts w:cs="Calibri"/>
                <w:color w:val="000000"/>
                <w:sz w:val="16"/>
                <w:szCs w:val="20"/>
                <w:lang w:eastAsia="en-GB"/>
              </w:rPr>
            </w:pPr>
            <w:r w:rsidRPr="00EB2995">
              <w:rPr>
                <w:rFonts w:cs="Calibri"/>
                <w:color w:val="000000"/>
                <w:sz w:val="16"/>
                <w:szCs w:val="20"/>
                <w:lang w:eastAsia="en-GB"/>
              </w:rPr>
              <w:t>(Surplus) or deficit on the provision of services</w:t>
            </w:r>
          </w:p>
        </w:tc>
        <w:tc>
          <w:tcPr>
            <w:tcW w:w="9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(20.1)</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10.4</w:t>
            </w:r>
          </w:p>
        </w:tc>
        <w:tc>
          <w:tcPr>
            <w:tcW w:w="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0.0</w:t>
            </w:r>
          </w:p>
        </w:tc>
        <w:tc>
          <w:tcPr>
            <w:tcW w:w="8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rPr>
            </w:pPr>
            <w:r>
              <w:rPr>
                <w:rFonts w:cs="Calibri"/>
                <w:color w:val="000000"/>
              </w:rPr>
              <w:t>0.0</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rPr>
            </w:pPr>
            <w:r>
              <w:rPr>
                <w:rFonts w:cs="Calibri"/>
                <w:color w:val="000000"/>
              </w:rPr>
              <w:t>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rPr>
            </w:pPr>
            <w:r>
              <w:rPr>
                <w:rFonts w:cs="Calibri"/>
                <w:color w:val="000000"/>
              </w:rPr>
              <w:t>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rPr>
            </w:pPr>
            <w:r>
              <w:rPr>
                <w:rFonts w:cs="Calibri"/>
                <w:color w:val="000000"/>
              </w:rPr>
              <w:t>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rPr>
            </w:pPr>
            <w:r>
              <w:rPr>
                <w:rFonts w:cs="Calibri"/>
                <w:color w:val="000000"/>
              </w:rPr>
              <w:t>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rPr>
            </w:pPr>
            <w:r>
              <w:rPr>
                <w:rFonts w:cs="Calibri"/>
                <w:color w:val="000000"/>
              </w:rPr>
              <w:t>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rPr>
            </w:pPr>
            <w:r>
              <w:rPr>
                <w:rFonts w:cs="Calibri"/>
                <w:color w:val="000000"/>
              </w:rPr>
              <w:t>0.0</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rPr>
            </w:pPr>
            <w:r>
              <w:rPr>
                <w:rFonts w:cs="Calibri"/>
                <w:color w:val="000000"/>
              </w:rPr>
              <w:t>0.0</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rPr>
            </w:pPr>
            <w:r>
              <w:rPr>
                <w:rFonts w:cs="Calibri"/>
                <w:color w:val="000000"/>
              </w:rPr>
              <w:t>0.0</w:t>
            </w: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rPr>
            </w:pPr>
            <w:r>
              <w:rPr>
                <w:rFonts w:cs="Calibri"/>
                <w:color w:val="000000"/>
              </w:rPr>
              <w:t>0.0</w:t>
            </w:r>
          </w:p>
        </w:tc>
        <w:tc>
          <w:tcPr>
            <w:tcW w:w="11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(9.7)</w:t>
            </w:r>
          </w:p>
        </w:tc>
      </w:tr>
      <w:tr w:rsidR="00891A96" w:rsidRPr="00EB2995" w:rsidTr="00891A96">
        <w:trPr>
          <w:trHeight w:val="300"/>
        </w:trPr>
        <w:tc>
          <w:tcPr>
            <w:tcW w:w="22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91A96" w:rsidRPr="00EB2995" w:rsidRDefault="00891A96" w:rsidP="00891A96">
            <w:pPr>
              <w:rPr>
                <w:rFonts w:cs="Calibri"/>
                <w:color w:val="000000"/>
                <w:sz w:val="16"/>
                <w:lang w:eastAsia="en-GB"/>
              </w:rPr>
            </w:pPr>
            <w:r>
              <w:rPr>
                <w:rFonts w:cs="Calibri"/>
                <w:color w:val="000000"/>
                <w:sz w:val="16"/>
                <w:lang w:eastAsia="en-GB"/>
              </w:rPr>
              <w:t>Opening balance 19/20</w:t>
            </w:r>
          </w:p>
        </w:tc>
        <w:tc>
          <w:tcPr>
            <w:tcW w:w="9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(15.1)</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(1.4)</w:t>
            </w:r>
          </w:p>
        </w:tc>
        <w:tc>
          <w:tcPr>
            <w:tcW w:w="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(254.1)</w:t>
            </w:r>
          </w:p>
        </w:tc>
        <w:tc>
          <w:tcPr>
            <w:tcW w:w="8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(25.4)</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(72.4)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(390.6)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(674.3)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(3.2)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17.2</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925.7</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3.5</w:t>
            </w: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(3.2)</w:t>
            </w:r>
          </w:p>
        </w:tc>
        <w:tc>
          <w:tcPr>
            <w:tcW w:w="11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(493.3)</w:t>
            </w:r>
          </w:p>
        </w:tc>
      </w:tr>
      <w:tr w:rsidR="00891A96" w:rsidRPr="00EB2995" w:rsidTr="00891A96">
        <w:trPr>
          <w:trHeight w:val="300"/>
        </w:trPr>
        <w:tc>
          <w:tcPr>
            <w:tcW w:w="22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91A96" w:rsidRPr="00EB2995" w:rsidRDefault="00891A96" w:rsidP="00891A96">
            <w:pPr>
              <w:rPr>
                <w:rFonts w:cs="Calibri"/>
                <w:color w:val="000000"/>
                <w:sz w:val="16"/>
                <w:lang w:eastAsia="en-GB"/>
              </w:rPr>
            </w:pPr>
            <w:r>
              <w:rPr>
                <w:rFonts w:cs="Calibri"/>
                <w:color w:val="000000"/>
                <w:sz w:val="16"/>
                <w:lang w:eastAsia="en-GB"/>
              </w:rPr>
              <w:t>Closing balance 19/20</w:t>
            </w:r>
          </w:p>
        </w:tc>
        <w:tc>
          <w:tcPr>
            <w:tcW w:w="9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(15.1)</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(1.4)</w:t>
            </w:r>
          </w:p>
        </w:tc>
        <w:tc>
          <w:tcPr>
            <w:tcW w:w="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(293.3)</w:t>
            </w:r>
          </w:p>
        </w:tc>
        <w:tc>
          <w:tcPr>
            <w:tcW w:w="8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(11.6)</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(75.4)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(591.2)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(694.9)</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(3.2)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16.2</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660.3</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6.3</w:t>
            </w: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3.2</w:t>
            </w:r>
          </w:p>
        </w:tc>
        <w:tc>
          <w:tcPr>
            <w:tcW w:w="11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96" w:rsidRPr="00EB2995" w:rsidRDefault="00891A96" w:rsidP="00891A96">
            <w:pPr>
              <w:jc w:val="right"/>
              <w:rPr>
                <w:rFonts w:cs="Calibri"/>
                <w:color w:val="000000"/>
                <w:sz w:val="16"/>
                <w:lang w:eastAsia="en-GB"/>
              </w:rPr>
            </w:pPr>
            <w:r>
              <w:rPr>
                <w:rFonts w:cs="Calibri"/>
                <w:color w:val="000000"/>
              </w:rPr>
              <w:t>(1,000.1)</w:t>
            </w:r>
          </w:p>
        </w:tc>
      </w:tr>
    </w:tbl>
    <w:p w:rsidR="00891A96" w:rsidRDefault="00891A96" w:rsidP="00CA7656">
      <w:pPr>
        <w:pStyle w:val="Heading2"/>
      </w:pPr>
    </w:p>
    <w:p w:rsidR="00891A96" w:rsidRDefault="00891A96">
      <w:pPr>
        <w:sectPr w:rsidR="00891A96" w:rsidSect="00891A96">
          <w:pgSz w:w="16838" w:h="11906" w:orient="landscape"/>
          <w:pgMar w:top="709" w:right="1440" w:bottom="1440" w:left="1440" w:header="708" w:footer="708" w:gutter="0"/>
          <w:cols w:space="708"/>
          <w:docGrid w:linePitch="360"/>
        </w:sectPr>
      </w:pPr>
      <w:r>
        <w:br w:type="page"/>
      </w:r>
    </w:p>
    <w:p w:rsidR="00891A96" w:rsidRPr="00891A96" w:rsidRDefault="00891A96" w:rsidP="00891A96">
      <w:pPr>
        <w:ind w:right="-1519"/>
        <w:outlineLvl w:val="0"/>
        <w:rPr>
          <w:rFonts w:cs="Calibri"/>
          <w:color w:val="4389D7"/>
          <w:sz w:val="72"/>
          <w:szCs w:val="72"/>
        </w:rPr>
      </w:pPr>
      <w:bookmarkStart w:id="44" w:name="_Toc50632645"/>
      <w:bookmarkStart w:id="45" w:name="_Toc61870309"/>
      <w:r w:rsidRPr="00EB2995">
        <w:rPr>
          <w:rFonts w:cs="Calibri"/>
          <w:color w:val="4389D7"/>
          <w:sz w:val="72"/>
          <w:szCs w:val="72"/>
        </w:rPr>
        <w:lastRenderedPageBreak/>
        <w:t>Brent Pension Fund Accounts</w:t>
      </w:r>
      <w:bookmarkEnd w:id="44"/>
      <w:bookmarkEnd w:id="45"/>
    </w:p>
    <w:p w:rsidR="00CA7656" w:rsidRDefault="00CA7656" w:rsidP="00891A96">
      <w:pPr>
        <w:pStyle w:val="Heading2"/>
      </w:pPr>
      <w:bookmarkStart w:id="46" w:name="_Toc61870310"/>
      <w:r>
        <w:t>Pension Fund Accounts as at 31 March 2020</w:t>
      </w:r>
      <w:bookmarkEnd w:id="46"/>
    </w:p>
    <w:tbl>
      <w:tblPr>
        <w:tblW w:w="8900" w:type="dxa"/>
        <w:tblLook w:val="04A0" w:firstRow="1" w:lastRow="0" w:firstColumn="1" w:lastColumn="0" w:noHBand="0" w:noVBand="1"/>
      </w:tblPr>
      <w:tblGrid>
        <w:gridCol w:w="980"/>
        <w:gridCol w:w="6020"/>
        <w:gridCol w:w="960"/>
        <w:gridCol w:w="980"/>
      </w:tblGrid>
      <w:tr w:rsidR="00CA7656" w:rsidRPr="00CA7656" w:rsidTr="00CA7656">
        <w:trPr>
          <w:trHeight w:hRule="exact" w:val="300"/>
        </w:trPr>
        <w:tc>
          <w:tcPr>
            <w:tcW w:w="960" w:type="dxa"/>
            <w:tcBorders>
              <w:top w:val="nil"/>
              <w:left w:val="nil"/>
              <w:bottom w:val="nil"/>
              <w:right w:val="nil"/>
            </w:tcBorders>
            <w:shd w:val="clear" w:color="auto" w:fill="auto"/>
            <w:noWrap/>
            <w:vAlign w:val="center"/>
            <w:hideMark/>
          </w:tcPr>
          <w:p w:rsidR="00CA7656" w:rsidRPr="00CA7656" w:rsidRDefault="00CA7656" w:rsidP="00CA7656">
            <w:pPr>
              <w:spacing w:after="0" w:line="240" w:lineRule="auto"/>
              <w:jc w:val="right"/>
              <w:rPr>
                <w:rFonts w:ascii="Calibri" w:eastAsia="Times New Roman" w:hAnsi="Calibri" w:cs="Calibri"/>
                <w:b/>
                <w:bCs/>
                <w:color w:val="000000"/>
                <w:lang w:eastAsia="en-GB"/>
              </w:rPr>
            </w:pPr>
            <w:r w:rsidRPr="00CA7656">
              <w:rPr>
                <w:rFonts w:ascii="Calibri" w:eastAsia="Times New Roman" w:hAnsi="Calibri" w:cs="Arial"/>
                <w:b/>
                <w:bCs/>
                <w:color w:val="000000"/>
                <w:lang w:eastAsia="en-GB"/>
              </w:rPr>
              <w:t>2018/19</w:t>
            </w:r>
          </w:p>
        </w:tc>
        <w:tc>
          <w:tcPr>
            <w:tcW w:w="6020" w:type="dxa"/>
            <w:tcBorders>
              <w:top w:val="nil"/>
              <w:left w:val="nil"/>
              <w:bottom w:val="nil"/>
              <w:right w:val="nil"/>
            </w:tcBorders>
            <w:shd w:val="clear" w:color="auto" w:fill="auto"/>
            <w:noWrap/>
            <w:vAlign w:val="center"/>
            <w:hideMark/>
          </w:tcPr>
          <w:p w:rsidR="00CA7656" w:rsidRPr="00CA7656" w:rsidRDefault="00CA7656" w:rsidP="00CA7656">
            <w:pPr>
              <w:spacing w:after="0" w:line="240" w:lineRule="auto"/>
              <w:rPr>
                <w:rFonts w:ascii="Calibri" w:eastAsia="Times New Roman" w:hAnsi="Calibri" w:cs="Calibri"/>
                <w:color w:val="FF6600"/>
                <w:lang w:eastAsia="en-GB"/>
              </w:rPr>
            </w:pPr>
            <w:r w:rsidRPr="00CA7656">
              <w:rPr>
                <w:rFonts w:ascii="Calibri" w:eastAsia="Times New Roman" w:hAnsi="Calibri" w:cs="Arial"/>
                <w:color w:val="FF6600"/>
                <w:lang w:eastAsia="en-GB"/>
              </w:rPr>
              <w:t xml:space="preserve"> </w:t>
            </w:r>
          </w:p>
        </w:tc>
        <w:tc>
          <w:tcPr>
            <w:tcW w:w="960" w:type="dxa"/>
            <w:tcBorders>
              <w:top w:val="nil"/>
              <w:left w:val="nil"/>
              <w:bottom w:val="nil"/>
              <w:right w:val="nil"/>
            </w:tcBorders>
            <w:shd w:val="clear" w:color="auto" w:fill="auto"/>
            <w:noWrap/>
            <w:vAlign w:val="center"/>
            <w:hideMark/>
          </w:tcPr>
          <w:p w:rsidR="00CA7656" w:rsidRPr="00CA7656" w:rsidRDefault="00CA7656" w:rsidP="00CA7656">
            <w:pPr>
              <w:spacing w:after="0" w:line="240" w:lineRule="auto"/>
              <w:rPr>
                <w:rFonts w:ascii="Calibri" w:eastAsia="Times New Roman" w:hAnsi="Calibri" w:cs="Calibri"/>
                <w:b/>
                <w:bCs/>
                <w:color w:val="000000"/>
                <w:lang w:eastAsia="en-GB"/>
              </w:rPr>
            </w:pPr>
            <w:r w:rsidRPr="00CA7656">
              <w:rPr>
                <w:rFonts w:ascii="Calibri" w:eastAsia="Times New Roman" w:hAnsi="Calibri" w:cs="Arial"/>
                <w:b/>
                <w:bCs/>
                <w:color w:val="000000"/>
                <w:lang w:eastAsia="en-GB"/>
              </w:rPr>
              <w:t>Notes</w:t>
            </w:r>
          </w:p>
        </w:tc>
        <w:tc>
          <w:tcPr>
            <w:tcW w:w="960" w:type="dxa"/>
            <w:tcBorders>
              <w:top w:val="nil"/>
              <w:left w:val="nil"/>
              <w:bottom w:val="nil"/>
              <w:right w:val="nil"/>
            </w:tcBorders>
            <w:shd w:val="clear" w:color="auto" w:fill="auto"/>
            <w:noWrap/>
            <w:vAlign w:val="center"/>
            <w:hideMark/>
          </w:tcPr>
          <w:p w:rsidR="00CA7656" w:rsidRPr="00CA7656" w:rsidRDefault="00CA7656" w:rsidP="00CA7656">
            <w:pPr>
              <w:spacing w:after="0" w:line="240" w:lineRule="auto"/>
              <w:jc w:val="right"/>
              <w:rPr>
                <w:rFonts w:ascii="Calibri" w:eastAsia="Times New Roman" w:hAnsi="Calibri" w:cs="Calibri"/>
                <w:b/>
                <w:bCs/>
                <w:color w:val="000000"/>
                <w:lang w:eastAsia="en-GB"/>
              </w:rPr>
            </w:pPr>
            <w:r w:rsidRPr="00CA7656">
              <w:rPr>
                <w:rFonts w:ascii="Calibri" w:eastAsia="Times New Roman" w:hAnsi="Calibri" w:cs="Arial"/>
                <w:b/>
                <w:bCs/>
                <w:color w:val="000000"/>
                <w:lang w:eastAsia="en-GB"/>
              </w:rPr>
              <w:t>2019/20</w:t>
            </w:r>
          </w:p>
        </w:tc>
      </w:tr>
      <w:tr w:rsidR="00CA7656" w:rsidRPr="00CA7656" w:rsidTr="00CA7656">
        <w:trPr>
          <w:trHeight w:val="315"/>
        </w:trPr>
        <w:tc>
          <w:tcPr>
            <w:tcW w:w="960" w:type="dxa"/>
            <w:tcBorders>
              <w:top w:val="nil"/>
              <w:left w:val="nil"/>
              <w:bottom w:val="nil"/>
              <w:right w:val="nil"/>
            </w:tcBorders>
            <w:shd w:val="clear" w:color="auto" w:fill="auto"/>
            <w:noWrap/>
            <w:vAlign w:val="center"/>
            <w:hideMark/>
          </w:tcPr>
          <w:p w:rsidR="00CA7656" w:rsidRPr="00CA7656" w:rsidRDefault="00CA7656" w:rsidP="00CA7656">
            <w:pPr>
              <w:spacing w:after="0" w:line="240" w:lineRule="auto"/>
              <w:jc w:val="right"/>
              <w:rPr>
                <w:rFonts w:ascii="Calibri" w:eastAsia="Times New Roman" w:hAnsi="Calibri" w:cs="Calibri"/>
                <w:b/>
                <w:bCs/>
                <w:color w:val="000000"/>
                <w:lang w:eastAsia="en-GB"/>
              </w:rPr>
            </w:pPr>
            <w:r w:rsidRPr="00CA7656">
              <w:rPr>
                <w:rFonts w:ascii="Calibri" w:eastAsia="Times New Roman" w:hAnsi="Calibri" w:cs="Arial"/>
                <w:b/>
                <w:bCs/>
                <w:color w:val="000000"/>
                <w:lang w:eastAsia="en-GB"/>
              </w:rPr>
              <w:t>£m</w:t>
            </w:r>
          </w:p>
        </w:tc>
        <w:tc>
          <w:tcPr>
            <w:tcW w:w="6020" w:type="dxa"/>
            <w:tcBorders>
              <w:top w:val="nil"/>
              <w:left w:val="nil"/>
              <w:bottom w:val="nil"/>
              <w:right w:val="nil"/>
            </w:tcBorders>
            <w:shd w:val="clear" w:color="auto" w:fill="auto"/>
            <w:noWrap/>
            <w:vAlign w:val="center"/>
            <w:hideMark/>
          </w:tcPr>
          <w:p w:rsidR="00CA7656" w:rsidRPr="00CA7656" w:rsidRDefault="00CA7656" w:rsidP="00CA7656">
            <w:pPr>
              <w:spacing w:after="0" w:line="240" w:lineRule="auto"/>
              <w:jc w:val="right"/>
              <w:rPr>
                <w:rFonts w:ascii="Calibri" w:eastAsia="Times New Roman" w:hAnsi="Calibri" w:cs="Calibri"/>
                <w:b/>
                <w:bCs/>
                <w:color w:val="000000"/>
                <w:lang w:eastAsia="en-GB"/>
              </w:rPr>
            </w:pPr>
          </w:p>
        </w:tc>
        <w:tc>
          <w:tcPr>
            <w:tcW w:w="960" w:type="dxa"/>
            <w:tcBorders>
              <w:top w:val="nil"/>
              <w:left w:val="nil"/>
              <w:bottom w:val="nil"/>
              <w:right w:val="nil"/>
            </w:tcBorders>
            <w:shd w:val="clear" w:color="auto" w:fill="auto"/>
            <w:noWrap/>
            <w:vAlign w:val="center"/>
            <w:hideMark/>
          </w:tcPr>
          <w:p w:rsidR="00CA7656" w:rsidRPr="00CA7656" w:rsidRDefault="00CA7656" w:rsidP="00CA7656">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center"/>
            <w:hideMark/>
          </w:tcPr>
          <w:p w:rsidR="00CA7656" w:rsidRPr="00CA7656" w:rsidRDefault="00CA7656" w:rsidP="00CA7656">
            <w:pPr>
              <w:spacing w:after="0" w:line="240" w:lineRule="auto"/>
              <w:jc w:val="right"/>
              <w:rPr>
                <w:rFonts w:ascii="Calibri" w:eastAsia="Times New Roman" w:hAnsi="Calibri" w:cs="Calibri"/>
                <w:b/>
                <w:bCs/>
                <w:color w:val="000000"/>
                <w:lang w:eastAsia="en-GB"/>
              </w:rPr>
            </w:pPr>
            <w:r w:rsidRPr="00CA7656">
              <w:rPr>
                <w:rFonts w:ascii="Calibri" w:eastAsia="Times New Roman" w:hAnsi="Calibri" w:cs="Calibri"/>
                <w:b/>
                <w:bCs/>
                <w:color w:val="000000"/>
                <w:lang w:eastAsia="en-GB"/>
              </w:rPr>
              <w:t>£m</w:t>
            </w:r>
          </w:p>
        </w:tc>
      </w:tr>
      <w:tr w:rsidR="00CA7656" w:rsidRPr="00CA7656" w:rsidTr="00CA7656">
        <w:trPr>
          <w:trHeight w:hRule="exact" w:val="300"/>
        </w:trPr>
        <w:tc>
          <w:tcPr>
            <w:tcW w:w="960" w:type="dxa"/>
            <w:tcBorders>
              <w:top w:val="single" w:sz="8" w:space="0" w:color="auto"/>
              <w:left w:val="single" w:sz="8" w:space="0" w:color="auto"/>
              <w:bottom w:val="nil"/>
              <w:right w:val="single" w:sz="8" w:space="0" w:color="auto"/>
            </w:tcBorders>
            <w:shd w:val="clear" w:color="auto" w:fill="auto"/>
            <w:noWrap/>
            <w:vAlign w:val="center"/>
            <w:hideMark/>
          </w:tcPr>
          <w:p w:rsidR="00CA7656" w:rsidRPr="00CA7656" w:rsidRDefault="00CA7656" w:rsidP="00CA7656">
            <w:pPr>
              <w:spacing w:after="0" w:line="240" w:lineRule="auto"/>
              <w:rPr>
                <w:rFonts w:ascii="Calibri" w:eastAsia="Times New Roman" w:hAnsi="Calibri" w:cs="Calibri"/>
                <w:b/>
                <w:bCs/>
                <w:color w:val="000000"/>
                <w:lang w:eastAsia="en-GB"/>
              </w:rPr>
            </w:pPr>
            <w:r w:rsidRPr="00CA7656">
              <w:rPr>
                <w:rFonts w:ascii="Calibri" w:eastAsia="Times New Roman" w:hAnsi="Calibri" w:cs="Arial"/>
                <w:b/>
                <w:bCs/>
                <w:color w:val="000000"/>
                <w:lang w:eastAsia="en-GB"/>
              </w:rPr>
              <w:t> </w:t>
            </w:r>
          </w:p>
        </w:tc>
        <w:tc>
          <w:tcPr>
            <w:tcW w:w="6980" w:type="dxa"/>
            <w:gridSpan w:val="2"/>
            <w:tcBorders>
              <w:top w:val="nil"/>
              <w:left w:val="nil"/>
              <w:bottom w:val="nil"/>
              <w:right w:val="single" w:sz="8" w:space="0" w:color="000000"/>
            </w:tcBorders>
            <w:shd w:val="clear" w:color="auto" w:fill="auto"/>
            <w:noWrap/>
            <w:vAlign w:val="center"/>
            <w:hideMark/>
          </w:tcPr>
          <w:p w:rsidR="00CA7656" w:rsidRPr="00CA7656" w:rsidRDefault="00CA7656" w:rsidP="00CA7656">
            <w:pPr>
              <w:spacing w:after="0" w:line="240" w:lineRule="auto"/>
              <w:rPr>
                <w:rFonts w:ascii="Calibri" w:eastAsia="Times New Roman" w:hAnsi="Calibri" w:cs="Calibri"/>
                <w:b/>
                <w:bCs/>
                <w:color w:val="000000"/>
                <w:lang w:eastAsia="en-GB"/>
              </w:rPr>
            </w:pPr>
            <w:r w:rsidRPr="00CA7656">
              <w:rPr>
                <w:rFonts w:ascii="Calibri" w:eastAsia="Times New Roman" w:hAnsi="Calibri" w:cs="Arial"/>
                <w:b/>
                <w:bCs/>
                <w:color w:val="000000"/>
                <w:lang w:eastAsia="en-GB"/>
              </w:rPr>
              <w:t>Dealings with members, employers and others directly involved in the fund</w:t>
            </w:r>
          </w:p>
        </w:tc>
        <w:tc>
          <w:tcPr>
            <w:tcW w:w="960" w:type="dxa"/>
            <w:tcBorders>
              <w:top w:val="single" w:sz="8" w:space="0" w:color="auto"/>
              <w:left w:val="nil"/>
              <w:bottom w:val="nil"/>
              <w:right w:val="single" w:sz="8" w:space="0" w:color="auto"/>
            </w:tcBorders>
            <w:shd w:val="clear" w:color="auto" w:fill="auto"/>
            <w:noWrap/>
            <w:vAlign w:val="center"/>
            <w:hideMark/>
          </w:tcPr>
          <w:p w:rsidR="00CA7656" w:rsidRPr="00CA7656" w:rsidRDefault="00CA7656" w:rsidP="00CA7656">
            <w:pPr>
              <w:spacing w:after="0" w:line="240" w:lineRule="auto"/>
              <w:rPr>
                <w:rFonts w:ascii="Calibri" w:eastAsia="Times New Roman" w:hAnsi="Calibri" w:cs="Calibri"/>
                <w:color w:val="000000"/>
                <w:lang w:eastAsia="en-GB"/>
              </w:rPr>
            </w:pPr>
            <w:r w:rsidRPr="00CA7656">
              <w:rPr>
                <w:rFonts w:ascii="Calibri" w:eastAsia="Times New Roman" w:hAnsi="Calibri" w:cs="Arial"/>
                <w:color w:val="000000"/>
                <w:lang w:eastAsia="en-GB"/>
              </w:rPr>
              <w:t> </w:t>
            </w:r>
          </w:p>
        </w:tc>
      </w:tr>
      <w:tr w:rsidR="00CA7656" w:rsidRPr="00CA7656" w:rsidTr="00CA7656">
        <w:trPr>
          <w:trHeight w:hRule="exact" w:val="300"/>
        </w:trPr>
        <w:tc>
          <w:tcPr>
            <w:tcW w:w="960" w:type="dxa"/>
            <w:tcBorders>
              <w:top w:val="nil"/>
              <w:left w:val="single" w:sz="8" w:space="0" w:color="auto"/>
              <w:bottom w:val="nil"/>
              <w:right w:val="single" w:sz="8" w:space="0" w:color="auto"/>
            </w:tcBorders>
            <w:shd w:val="clear" w:color="auto" w:fill="auto"/>
            <w:noWrap/>
            <w:vAlign w:val="center"/>
            <w:hideMark/>
          </w:tcPr>
          <w:p w:rsidR="00CA7656" w:rsidRPr="00CA7656" w:rsidRDefault="00CA7656" w:rsidP="00CA7656">
            <w:pPr>
              <w:spacing w:after="0" w:line="240" w:lineRule="auto"/>
              <w:jc w:val="right"/>
              <w:rPr>
                <w:rFonts w:ascii="Calibri" w:eastAsia="Times New Roman" w:hAnsi="Calibri" w:cs="Calibri"/>
                <w:color w:val="000000"/>
                <w:lang w:eastAsia="en-GB"/>
              </w:rPr>
            </w:pPr>
            <w:r w:rsidRPr="00CA7656">
              <w:rPr>
                <w:rFonts w:ascii="Calibri" w:eastAsia="Times New Roman" w:hAnsi="Calibri" w:cs="Arial"/>
                <w:color w:val="000000"/>
                <w:lang w:eastAsia="en-GB"/>
              </w:rPr>
              <w:t> </w:t>
            </w:r>
          </w:p>
        </w:tc>
        <w:tc>
          <w:tcPr>
            <w:tcW w:w="6020" w:type="dxa"/>
            <w:tcBorders>
              <w:top w:val="nil"/>
              <w:left w:val="nil"/>
              <w:bottom w:val="nil"/>
              <w:right w:val="nil"/>
            </w:tcBorders>
            <w:shd w:val="clear" w:color="auto" w:fill="auto"/>
            <w:noWrap/>
            <w:vAlign w:val="center"/>
            <w:hideMark/>
          </w:tcPr>
          <w:p w:rsidR="00CA7656" w:rsidRPr="00CA7656" w:rsidRDefault="00CA7656" w:rsidP="00CA7656">
            <w:pPr>
              <w:spacing w:after="0" w:line="240" w:lineRule="auto"/>
              <w:jc w:val="right"/>
              <w:rPr>
                <w:rFonts w:ascii="Calibri" w:eastAsia="Times New Roman" w:hAnsi="Calibri" w:cs="Calibri"/>
                <w:color w:val="000000"/>
                <w:lang w:eastAsia="en-GB"/>
              </w:rPr>
            </w:pPr>
          </w:p>
        </w:tc>
        <w:tc>
          <w:tcPr>
            <w:tcW w:w="960" w:type="dxa"/>
            <w:tcBorders>
              <w:top w:val="nil"/>
              <w:left w:val="nil"/>
              <w:bottom w:val="nil"/>
              <w:right w:val="single" w:sz="8" w:space="0" w:color="auto"/>
            </w:tcBorders>
            <w:shd w:val="clear" w:color="auto" w:fill="auto"/>
            <w:noWrap/>
            <w:vAlign w:val="center"/>
            <w:hideMark/>
          </w:tcPr>
          <w:p w:rsidR="00CA7656" w:rsidRPr="00CA7656" w:rsidRDefault="00CA7656" w:rsidP="00CA7656">
            <w:pPr>
              <w:spacing w:after="0" w:line="240" w:lineRule="auto"/>
              <w:jc w:val="center"/>
              <w:rPr>
                <w:rFonts w:ascii="Calibri" w:eastAsia="Times New Roman" w:hAnsi="Calibri" w:cs="Calibri"/>
                <w:color w:val="000000"/>
                <w:lang w:eastAsia="en-GB"/>
              </w:rPr>
            </w:pPr>
            <w:r w:rsidRPr="00CA7656">
              <w:rPr>
                <w:rFonts w:ascii="Calibri" w:eastAsia="Times New Roman" w:hAnsi="Calibri" w:cs="Arial"/>
                <w:color w:val="000000"/>
                <w:lang w:eastAsia="en-GB"/>
              </w:rPr>
              <w:t> </w:t>
            </w:r>
          </w:p>
        </w:tc>
        <w:tc>
          <w:tcPr>
            <w:tcW w:w="960" w:type="dxa"/>
            <w:tcBorders>
              <w:top w:val="nil"/>
              <w:left w:val="nil"/>
              <w:bottom w:val="nil"/>
              <w:right w:val="single" w:sz="8" w:space="0" w:color="auto"/>
            </w:tcBorders>
            <w:shd w:val="clear" w:color="auto" w:fill="auto"/>
            <w:noWrap/>
            <w:vAlign w:val="center"/>
            <w:hideMark/>
          </w:tcPr>
          <w:p w:rsidR="00CA7656" w:rsidRPr="00CA7656" w:rsidRDefault="00CA7656" w:rsidP="00CA7656">
            <w:pPr>
              <w:spacing w:after="0" w:line="240" w:lineRule="auto"/>
              <w:jc w:val="right"/>
              <w:rPr>
                <w:rFonts w:ascii="Calibri" w:eastAsia="Times New Roman" w:hAnsi="Calibri" w:cs="Calibri"/>
                <w:color w:val="000000"/>
                <w:lang w:eastAsia="en-GB"/>
              </w:rPr>
            </w:pPr>
            <w:r w:rsidRPr="00CA7656">
              <w:rPr>
                <w:rFonts w:ascii="Calibri" w:eastAsia="Times New Roman" w:hAnsi="Calibri" w:cs="Arial"/>
                <w:color w:val="000000"/>
                <w:lang w:eastAsia="en-GB"/>
              </w:rPr>
              <w:t> </w:t>
            </w:r>
          </w:p>
        </w:tc>
      </w:tr>
      <w:tr w:rsidR="00CA7656" w:rsidRPr="00CA7656" w:rsidTr="00CA7656">
        <w:trPr>
          <w:trHeight w:hRule="exact" w:val="300"/>
        </w:trPr>
        <w:tc>
          <w:tcPr>
            <w:tcW w:w="960" w:type="dxa"/>
            <w:tcBorders>
              <w:top w:val="nil"/>
              <w:left w:val="single" w:sz="8" w:space="0" w:color="auto"/>
              <w:bottom w:val="nil"/>
              <w:right w:val="single" w:sz="8" w:space="0" w:color="auto"/>
            </w:tcBorders>
            <w:shd w:val="clear" w:color="auto" w:fill="auto"/>
            <w:noWrap/>
            <w:vAlign w:val="center"/>
            <w:hideMark/>
          </w:tcPr>
          <w:p w:rsidR="00CA7656" w:rsidRPr="00CA7656" w:rsidRDefault="00CA7656" w:rsidP="00CA7656">
            <w:pPr>
              <w:spacing w:after="0" w:line="240" w:lineRule="auto"/>
              <w:jc w:val="right"/>
              <w:rPr>
                <w:rFonts w:ascii="Calibri" w:eastAsia="Times New Roman" w:hAnsi="Calibri" w:cs="Calibri"/>
                <w:color w:val="000000"/>
                <w:lang w:eastAsia="en-GB"/>
              </w:rPr>
            </w:pPr>
            <w:r w:rsidRPr="00CA7656">
              <w:rPr>
                <w:rFonts w:ascii="Calibri" w:eastAsia="Times New Roman" w:hAnsi="Calibri" w:cs="Arial"/>
                <w:color w:val="000000"/>
                <w:lang w:eastAsia="en-GB"/>
              </w:rPr>
              <w:t>-52.1</w:t>
            </w:r>
          </w:p>
        </w:tc>
        <w:tc>
          <w:tcPr>
            <w:tcW w:w="6020" w:type="dxa"/>
            <w:tcBorders>
              <w:top w:val="nil"/>
              <w:left w:val="nil"/>
              <w:bottom w:val="nil"/>
              <w:right w:val="nil"/>
            </w:tcBorders>
            <w:shd w:val="clear" w:color="auto" w:fill="auto"/>
            <w:noWrap/>
            <w:vAlign w:val="center"/>
            <w:hideMark/>
          </w:tcPr>
          <w:p w:rsidR="00CA7656" w:rsidRPr="00CA7656" w:rsidRDefault="00CA7656" w:rsidP="00CA7656">
            <w:pPr>
              <w:spacing w:after="0" w:line="240" w:lineRule="auto"/>
              <w:rPr>
                <w:rFonts w:ascii="Calibri" w:eastAsia="Times New Roman" w:hAnsi="Calibri" w:cs="Calibri"/>
                <w:color w:val="000000"/>
                <w:lang w:eastAsia="en-GB"/>
              </w:rPr>
            </w:pPr>
            <w:r w:rsidRPr="00CA7656">
              <w:rPr>
                <w:rFonts w:ascii="Calibri" w:eastAsia="Times New Roman" w:hAnsi="Calibri" w:cs="Arial"/>
                <w:color w:val="000000"/>
                <w:lang w:eastAsia="en-GB"/>
              </w:rPr>
              <w:t xml:space="preserve">   Contributions</w:t>
            </w:r>
          </w:p>
        </w:tc>
        <w:tc>
          <w:tcPr>
            <w:tcW w:w="960" w:type="dxa"/>
            <w:tcBorders>
              <w:top w:val="nil"/>
              <w:left w:val="nil"/>
              <w:bottom w:val="nil"/>
              <w:right w:val="single" w:sz="8" w:space="0" w:color="auto"/>
            </w:tcBorders>
            <w:shd w:val="clear" w:color="auto" w:fill="auto"/>
            <w:noWrap/>
            <w:vAlign w:val="center"/>
            <w:hideMark/>
          </w:tcPr>
          <w:p w:rsidR="00CA7656" w:rsidRPr="00CA7656" w:rsidRDefault="00CA7656" w:rsidP="00CA7656">
            <w:pPr>
              <w:spacing w:after="0" w:line="240" w:lineRule="auto"/>
              <w:jc w:val="right"/>
              <w:rPr>
                <w:rFonts w:ascii="Calibri" w:eastAsia="Times New Roman" w:hAnsi="Calibri" w:cs="Calibri"/>
                <w:color w:val="000000"/>
                <w:lang w:eastAsia="en-GB"/>
              </w:rPr>
            </w:pPr>
            <w:r w:rsidRPr="00CA7656">
              <w:rPr>
                <w:rFonts w:ascii="Calibri" w:eastAsia="Times New Roman" w:hAnsi="Calibri" w:cs="Arial"/>
                <w:color w:val="000000"/>
                <w:lang w:eastAsia="en-GB"/>
              </w:rPr>
              <w:t>7</w:t>
            </w:r>
          </w:p>
        </w:tc>
        <w:tc>
          <w:tcPr>
            <w:tcW w:w="960" w:type="dxa"/>
            <w:tcBorders>
              <w:top w:val="nil"/>
              <w:left w:val="nil"/>
              <w:bottom w:val="nil"/>
              <w:right w:val="single" w:sz="8" w:space="0" w:color="auto"/>
            </w:tcBorders>
            <w:shd w:val="clear" w:color="auto" w:fill="auto"/>
            <w:noWrap/>
            <w:vAlign w:val="center"/>
            <w:hideMark/>
          </w:tcPr>
          <w:p w:rsidR="00CA7656" w:rsidRPr="00CA7656" w:rsidRDefault="00CA7656" w:rsidP="00CA7656">
            <w:pPr>
              <w:spacing w:after="0" w:line="240" w:lineRule="auto"/>
              <w:jc w:val="right"/>
              <w:rPr>
                <w:rFonts w:ascii="Calibri" w:eastAsia="Times New Roman" w:hAnsi="Calibri" w:cs="Calibri"/>
                <w:color w:val="000000"/>
                <w:lang w:eastAsia="en-GB"/>
              </w:rPr>
            </w:pPr>
            <w:r w:rsidRPr="00CA7656">
              <w:rPr>
                <w:rFonts w:ascii="Calibri" w:eastAsia="Times New Roman" w:hAnsi="Calibri" w:cs="Arial"/>
                <w:color w:val="000000"/>
                <w:lang w:eastAsia="en-GB"/>
              </w:rPr>
              <w:t>-60</w:t>
            </w:r>
          </w:p>
        </w:tc>
      </w:tr>
      <w:tr w:rsidR="00CA7656" w:rsidRPr="00CA7656" w:rsidTr="00CA7656">
        <w:trPr>
          <w:trHeight w:hRule="exact" w:val="300"/>
        </w:trPr>
        <w:tc>
          <w:tcPr>
            <w:tcW w:w="960" w:type="dxa"/>
            <w:tcBorders>
              <w:top w:val="nil"/>
              <w:left w:val="single" w:sz="8" w:space="0" w:color="auto"/>
              <w:bottom w:val="nil"/>
              <w:right w:val="single" w:sz="8" w:space="0" w:color="auto"/>
            </w:tcBorders>
            <w:shd w:val="clear" w:color="auto" w:fill="auto"/>
            <w:noWrap/>
            <w:vAlign w:val="center"/>
            <w:hideMark/>
          </w:tcPr>
          <w:p w:rsidR="00CA7656" w:rsidRPr="00CA7656" w:rsidRDefault="00CA7656" w:rsidP="00CA7656">
            <w:pPr>
              <w:spacing w:after="0" w:line="240" w:lineRule="auto"/>
              <w:jc w:val="right"/>
              <w:rPr>
                <w:rFonts w:ascii="Calibri" w:eastAsia="Times New Roman" w:hAnsi="Calibri" w:cs="Calibri"/>
                <w:color w:val="000000"/>
                <w:lang w:eastAsia="en-GB"/>
              </w:rPr>
            </w:pPr>
            <w:r w:rsidRPr="00CA7656">
              <w:rPr>
                <w:rFonts w:ascii="Calibri" w:eastAsia="Times New Roman" w:hAnsi="Calibri" w:cs="Arial"/>
                <w:color w:val="000000"/>
                <w:lang w:eastAsia="en-GB"/>
              </w:rPr>
              <w:t>-2.8</w:t>
            </w:r>
          </w:p>
        </w:tc>
        <w:tc>
          <w:tcPr>
            <w:tcW w:w="6020" w:type="dxa"/>
            <w:tcBorders>
              <w:top w:val="nil"/>
              <w:left w:val="nil"/>
              <w:bottom w:val="nil"/>
              <w:right w:val="nil"/>
            </w:tcBorders>
            <w:shd w:val="clear" w:color="auto" w:fill="auto"/>
            <w:noWrap/>
            <w:vAlign w:val="center"/>
            <w:hideMark/>
          </w:tcPr>
          <w:p w:rsidR="00CA7656" w:rsidRPr="00CA7656" w:rsidRDefault="00CA7656" w:rsidP="00CA7656">
            <w:pPr>
              <w:spacing w:after="0" w:line="240" w:lineRule="auto"/>
              <w:rPr>
                <w:rFonts w:ascii="Calibri" w:eastAsia="Times New Roman" w:hAnsi="Calibri" w:cs="Calibri"/>
                <w:color w:val="000000"/>
                <w:lang w:eastAsia="en-GB"/>
              </w:rPr>
            </w:pPr>
            <w:r w:rsidRPr="00CA7656">
              <w:rPr>
                <w:rFonts w:ascii="Calibri" w:eastAsia="Times New Roman" w:hAnsi="Calibri" w:cs="Arial"/>
                <w:color w:val="000000"/>
                <w:lang w:eastAsia="en-GB"/>
              </w:rPr>
              <w:t xml:space="preserve">   Transfers in from other pension funds</w:t>
            </w:r>
          </w:p>
        </w:tc>
        <w:tc>
          <w:tcPr>
            <w:tcW w:w="960" w:type="dxa"/>
            <w:tcBorders>
              <w:top w:val="nil"/>
              <w:left w:val="nil"/>
              <w:bottom w:val="nil"/>
              <w:right w:val="single" w:sz="8" w:space="0" w:color="auto"/>
            </w:tcBorders>
            <w:shd w:val="clear" w:color="auto" w:fill="auto"/>
            <w:noWrap/>
            <w:vAlign w:val="center"/>
            <w:hideMark/>
          </w:tcPr>
          <w:p w:rsidR="00CA7656" w:rsidRPr="00CA7656" w:rsidRDefault="00CA7656" w:rsidP="00CA7656">
            <w:pPr>
              <w:spacing w:after="0" w:line="240" w:lineRule="auto"/>
              <w:jc w:val="right"/>
              <w:rPr>
                <w:rFonts w:ascii="Calibri" w:eastAsia="Times New Roman" w:hAnsi="Calibri" w:cs="Calibri"/>
                <w:color w:val="000000"/>
                <w:lang w:eastAsia="en-GB"/>
              </w:rPr>
            </w:pPr>
            <w:r w:rsidRPr="00CA7656">
              <w:rPr>
                <w:rFonts w:ascii="Calibri" w:eastAsia="Times New Roman" w:hAnsi="Calibri" w:cs="Arial"/>
                <w:color w:val="000000"/>
                <w:lang w:eastAsia="en-GB"/>
              </w:rPr>
              <w:t>8</w:t>
            </w:r>
          </w:p>
        </w:tc>
        <w:tc>
          <w:tcPr>
            <w:tcW w:w="960" w:type="dxa"/>
            <w:tcBorders>
              <w:top w:val="nil"/>
              <w:left w:val="nil"/>
              <w:bottom w:val="nil"/>
              <w:right w:val="single" w:sz="8" w:space="0" w:color="auto"/>
            </w:tcBorders>
            <w:shd w:val="clear" w:color="auto" w:fill="auto"/>
            <w:noWrap/>
            <w:vAlign w:val="center"/>
            <w:hideMark/>
          </w:tcPr>
          <w:p w:rsidR="00CA7656" w:rsidRPr="00CA7656" w:rsidRDefault="00CA7656" w:rsidP="00CA7656">
            <w:pPr>
              <w:spacing w:after="0" w:line="240" w:lineRule="auto"/>
              <w:jc w:val="right"/>
              <w:rPr>
                <w:rFonts w:ascii="Calibri" w:eastAsia="Times New Roman" w:hAnsi="Calibri" w:cs="Calibri"/>
                <w:color w:val="000000"/>
                <w:lang w:eastAsia="en-GB"/>
              </w:rPr>
            </w:pPr>
            <w:r w:rsidRPr="00CA7656">
              <w:rPr>
                <w:rFonts w:ascii="Calibri" w:eastAsia="Times New Roman" w:hAnsi="Calibri" w:cs="Arial"/>
                <w:color w:val="000000"/>
                <w:lang w:eastAsia="en-GB"/>
              </w:rPr>
              <w:t>-5.2</w:t>
            </w:r>
          </w:p>
        </w:tc>
      </w:tr>
      <w:tr w:rsidR="00CA7656" w:rsidRPr="00CA7656" w:rsidTr="00CA7656">
        <w:trPr>
          <w:trHeight w:hRule="exact" w:val="300"/>
        </w:trPr>
        <w:tc>
          <w:tcPr>
            <w:tcW w:w="960" w:type="dxa"/>
            <w:tcBorders>
              <w:top w:val="nil"/>
              <w:left w:val="single" w:sz="8" w:space="0" w:color="auto"/>
              <w:bottom w:val="nil"/>
              <w:right w:val="single" w:sz="8" w:space="0" w:color="auto"/>
            </w:tcBorders>
            <w:shd w:val="clear" w:color="auto" w:fill="auto"/>
            <w:noWrap/>
            <w:vAlign w:val="center"/>
            <w:hideMark/>
          </w:tcPr>
          <w:p w:rsidR="00CA7656" w:rsidRPr="00CA7656" w:rsidRDefault="00CA7656" w:rsidP="00CA7656">
            <w:pPr>
              <w:spacing w:after="0" w:line="240" w:lineRule="auto"/>
              <w:jc w:val="right"/>
              <w:rPr>
                <w:rFonts w:ascii="Calibri" w:eastAsia="Times New Roman" w:hAnsi="Calibri" w:cs="Calibri"/>
                <w:b/>
                <w:bCs/>
                <w:color w:val="000000"/>
                <w:lang w:eastAsia="en-GB"/>
              </w:rPr>
            </w:pPr>
            <w:r w:rsidRPr="00CA7656">
              <w:rPr>
                <w:rFonts w:ascii="Calibri" w:eastAsia="Times New Roman" w:hAnsi="Calibri" w:cs="Arial"/>
                <w:b/>
                <w:bCs/>
                <w:color w:val="000000"/>
                <w:lang w:eastAsia="en-GB"/>
              </w:rPr>
              <w:t>-54.9</w:t>
            </w:r>
          </w:p>
        </w:tc>
        <w:tc>
          <w:tcPr>
            <w:tcW w:w="6020" w:type="dxa"/>
            <w:tcBorders>
              <w:top w:val="nil"/>
              <w:left w:val="nil"/>
              <w:bottom w:val="nil"/>
              <w:right w:val="nil"/>
            </w:tcBorders>
            <w:shd w:val="clear" w:color="auto" w:fill="auto"/>
            <w:noWrap/>
            <w:vAlign w:val="center"/>
            <w:hideMark/>
          </w:tcPr>
          <w:p w:rsidR="00CA7656" w:rsidRPr="00CA7656" w:rsidRDefault="00CA7656" w:rsidP="00CA7656">
            <w:pPr>
              <w:spacing w:after="0" w:line="240" w:lineRule="auto"/>
              <w:jc w:val="right"/>
              <w:rPr>
                <w:rFonts w:ascii="Calibri" w:eastAsia="Times New Roman" w:hAnsi="Calibri" w:cs="Calibri"/>
                <w:b/>
                <w:bCs/>
                <w:color w:val="000000"/>
                <w:lang w:eastAsia="en-GB"/>
              </w:rPr>
            </w:pPr>
          </w:p>
        </w:tc>
        <w:tc>
          <w:tcPr>
            <w:tcW w:w="960" w:type="dxa"/>
            <w:tcBorders>
              <w:top w:val="nil"/>
              <w:left w:val="nil"/>
              <w:bottom w:val="nil"/>
              <w:right w:val="single" w:sz="8" w:space="0" w:color="auto"/>
            </w:tcBorders>
            <w:shd w:val="clear" w:color="auto" w:fill="auto"/>
            <w:noWrap/>
            <w:vAlign w:val="center"/>
            <w:hideMark/>
          </w:tcPr>
          <w:p w:rsidR="00CA7656" w:rsidRPr="00CA7656" w:rsidRDefault="00CA7656" w:rsidP="00CA7656">
            <w:pPr>
              <w:spacing w:after="0" w:line="240" w:lineRule="auto"/>
              <w:rPr>
                <w:rFonts w:ascii="Calibri" w:eastAsia="Times New Roman" w:hAnsi="Calibri" w:cs="Calibri"/>
                <w:color w:val="000000"/>
                <w:lang w:eastAsia="en-GB"/>
              </w:rPr>
            </w:pPr>
            <w:r w:rsidRPr="00CA7656">
              <w:rPr>
                <w:rFonts w:ascii="Calibri" w:eastAsia="Times New Roman" w:hAnsi="Calibri" w:cs="Arial"/>
                <w:color w:val="000000"/>
                <w:lang w:eastAsia="en-GB"/>
              </w:rPr>
              <w:t xml:space="preserve">  </w:t>
            </w:r>
          </w:p>
        </w:tc>
        <w:tc>
          <w:tcPr>
            <w:tcW w:w="960" w:type="dxa"/>
            <w:tcBorders>
              <w:top w:val="nil"/>
              <w:left w:val="nil"/>
              <w:bottom w:val="nil"/>
              <w:right w:val="single" w:sz="8" w:space="0" w:color="auto"/>
            </w:tcBorders>
            <w:shd w:val="clear" w:color="auto" w:fill="auto"/>
            <w:noWrap/>
            <w:vAlign w:val="center"/>
            <w:hideMark/>
          </w:tcPr>
          <w:p w:rsidR="00CA7656" w:rsidRPr="00CA7656" w:rsidRDefault="00CA7656" w:rsidP="00CA7656">
            <w:pPr>
              <w:spacing w:after="0" w:line="240" w:lineRule="auto"/>
              <w:jc w:val="right"/>
              <w:rPr>
                <w:rFonts w:ascii="Calibri" w:eastAsia="Times New Roman" w:hAnsi="Calibri" w:cs="Calibri"/>
                <w:b/>
                <w:bCs/>
                <w:color w:val="000000"/>
                <w:lang w:eastAsia="en-GB"/>
              </w:rPr>
            </w:pPr>
            <w:r w:rsidRPr="00CA7656">
              <w:rPr>
                <w:rFonts w:ascii="Calibri" w:eastAsia="Times New Roman" w:hAnsi="Calibri" w:cs="Arial"/>
                <w:b/>
                <w:bCs/>
                <w:color w:val="000000"/>
                <w:lang w:eastAsia="en-GB"/>
              </w:rPr>
              <w:t>-65.2</w:t>
            </w:r>
          </w:p>
        </w:tc>
      </w:tr>
      <w:tr w:rsidR="00CA7656" w:rsidRPr="00CA7656" w:rsidTr="00CA7656">
        <w:trPr>
          <w:trHeight w:hRule="exact" w:val="300"/>
        </w:trPr>
        <w:tc>
          <w:tcPr>
            <w:tcW w:w="960" w:type="dxa"/>
            <w:tcBorders>
              <w:top w:val="nil"/>
              <w:left w:val="single" w:sz="8" w:space="0" w:color="auto"/>
              <w:bottom w:val="nil"/>
              <w:right w:val="single" w:sz="8" w:space="0" w:color="auto"/>
            </w:tcBorders>
            <w:shd w:val="clear" w:color="auto" w:fill="auto"/>
            <w:noWrap/>
            <w:vAlign w:val="center"/>
            <w:hideMark/>
          </w:tcPr>
          <w:p w:rsidR="00CA7656" w:rsidRPr="00CA7656" w:rsidRDefault="00CA7656" w:rsidP="00CA7656">
            <w:pPr>
              <w:spacing w:after="0" w:line="240" w:lineRule="auto"/>
              <w:rPr>
                <w:rFonts w:ascii="Calibri" w:eastAsia="Times New Roman" w:hAnsi="Calibri" w:cs="Calibri"/>
                <w:color w:val="000000"/>
                <w:lang w:eastAsia="en-GB"/>
              </w:rPr>
            </w:pPr>
            <w:r w:rsidRPr="00CA7656">
              <w:rPr>
                <w:rFonts w:ascii="Calibri" w:eastAsia="Times New Roman" w:hAnsi="Calibri" w:cs="Arial"/>
                <w:color w:val="000000"/>
                <w:lang w:eastAsia="en-GB"/>
              </w:rPr>
              <w:t> </w:t>
            </w:r>
          </w:p>
        </w:tc>
        <w:tc>
          <w:tcPr>
            <w:tcW w:w="6020" w:type="dxa"/>
            <w:tcBorders>
              <w:top w:val="nil"/>
              <w:left w:val="nil"/>
              <w:bottom w:val="nil"/>
              <w:right w:val="nil"/>
            </w:tcBorders>
            <w:shd w:val="clear" w:color="auto" w:fill="auto"/>
            <w:noWrap/>
            <w:vAlign w:val="center"/>
            <w:hideMark/>
          </w:tcPr>
          <w:p w:rsidR="00CA7656" w:rsidRPr="00CA7656" w:rsidRDefault="00CA7656" w:rsidP="00CA7656">
            <w:pPr>
              <w:spacing w:after="0" w:line="240" w:lineRule="auto"/>
              <w:rPr>
                <w:rFonts w:ascii="Calibri" w:eastAsia="Times New Roman" w:hAnsi="Calibri" w:cs="Calibri"/>
                <w:color w:val="000000"/>
                <w:lang w:eastAsia="en-GB"/>
              </w:rPr>
            </w:pPr>
          </w:p>
        </w:tc>
        <w:tc>
          <w:tcPr>
            <w:tcW w:w="960" w:type="dxa"/>
            <w:tcBorders>
              <w:top w:val="nil"/>
              <w:left w:val="nil"/>
              <w:bottom w:val="nil"/>
              <w:right w:val="single" w:sz="8" w:space="0" w:color="auto"/>
            </w:tcBorders>
            <w:shd w:val="clear" w:color="auto" w:fill="auto"/>
            <w:noWrap/>
            <w:vAlign w:val="center"/>
            <w:hideMark/>
          </w:tcPr>
          <w:p w:rsidR="00CA7656" w:rsidRPr="00CA7656" w:rsidRDefault="00CA7656" w:rsidP="00CA7656">
            <w:pPr>
              <w:spacing w:after="0" w:line="240" w:lineRule="auto"/>
              <w:rPr>
                <w:rFonts w:ascii="Calibri" w:eastAsia="Times New Roman" w:hAnsi="Calibri" w:cs="Calibri"/>
                <w:color w:val="000000"/>
                <w:lang w:eastAsia="en-GB"/>
              </w:rPr>
            </w:pPr>
            <w:r w:rsidRPr="00CA7656">
              <w:rPr>
                <w:rFonts w:ascii="Calibri" w:eastAsia="Times New Roman" w:hAnsi="Calibri" w:cs="Arial"/>
                <w:color w:val="000000"/>
                <w:lang w:eastAsia="en-GB"/>
              </w:rPr>
              <w:t> </w:t>
            </w:r>
          </w:p>
        </w:tc>
        <w:tc>
          <w:tcPr>
            <w:tcW w:w="960" w:type="dxa"/>
            <w:tcBorders>
              <w:top w:val="nil"/>
              <w:left w:val="nil"/>
              <w:bottom w:val="nil"/>
              <w:right w:val="single" w:sz="8" w:space="0" w:color="auto"/>
            </w:tcBorders>
            <w:shd w:val="clear" w:color="auto" w:fill="auto"/>
            <w:noWrap/>
            <w:vAlign w:val="center"/>
            <w:hideMark/>
          </w:tcPr>
          <w:p w:rsidR="00CA7656" w:rsidRPr="00CA7656" w:rsidRDefault="00CA7656" w:rsidP="00CA7656">
            <w:pPr>
              <w:spacing w:after="0" w:line="240" w:lineRule="auto"/>
              <w:rPr>
                <w:rFonts w:ascii="Calibri" w:eastAsia="Times New Roman" w:hAnsi="Calibri" w:cs="Calibri"/>
                <w:color w:val="000000"/>
                <w:lang w:eastAsia="en-GB"/>
              </w:rPr>
            </w:pPr>
            <w:r w:rsidRPr="00CA7656">
              <w:rPr>
                <w:rFonts w:ascii="Calibri" w:eastAsia="Times New Roman" w:hAnsi="Calibri" w:cs="Arial"/>
                <w:color w:val="000000"/>
                <w:lang w:eastAsia="en-GB"/>
              </w:rPr>
              <w:t> </w:t>
            </w:r>
          </w:p>
        </w:tc>
      </w:tr>
      <w:tr w:rsidR="00CA7656" w:rsidRPr="00CA7656" w:rsidTr="00CA7656">
        <w:trPr>
          <w:trHeight w:hRule="exact" w:val="300"/>
        </w:trPr>
        <w:tc>
          <w:tcPr>
            <w:tcW w:w="960" w:type="dxa"/>
            <w:tcBorders>
              <w:top w:val="nil"/>
              <w:left w:val="single" w:sz="8" w:space="0" w:color="auto"/>
              <w:bottom w:val="nil"/>
              <w:right w:val="single" w:sz="8" w:space="0" w:color="auto"/>
            </w:tcBorders>
            <w:shd w:val="clear" w:color="auto" w:fill="auto"/>
            <w:noWrap/>
            <w:vAlign w:val="center"/>
            <w:hideMark/>
          </w:tcPr>
          <w:p w:rsidR="00CA7656" w:rsidRPr="00CA7656" w:rsidRDefault="00CA7656" w:rsidP="00CA7656">
            <w:pPr>
              <w:spacing w:after="0" w:line="240" w:lineRule="auto"/>
              <w:jc w:val="right"/>
              <w:rPr>
                <w:rFonts w:ascii="Calibri" w:eastAsia="Times New Roman" w:hAnsi="Calibri" w:cs="Calibri"/>
                <w:color w:val="000000"/>
                <w:lang w:eastAsia="en-GB"/>
              </w:rPr>
            </w:pPr>
            <w:r w:rsidRPr="00CA7656">
              <w:rPr>
                <w:rFonts w:ascii="Calibri" w:eastAsia="Times New Roman" w:hAnsi="Calibri" w:cs="Arial"/>
                <w:color w:val="000000"/>
                <w:lang w:eastAsia="en-GB"/>
              </w:rPr>
              <w:t>45.9</w:t>
            </w:r>
          </w:p>
        </w:tc>
        <w:tc>
          <w:tcPr>
            <w:tcW w:w="6020" w:type="dxa"/>
            <w:tcBorders>
              <w:top w:val="nil"/>
              <w:left w:val="nil"/>
              <w:bottom w:val="nil"/>
              <w:right w:val="nil"/>
            </w:tcBorders>
            <w:shd w:val="clear" w:color="auto" w:fill="auto"/>
            <w:noWrap/>
            <w:vAlign w:val="center"/>
            <w:hideMark/>
          </w:tcPr>
          <w:p w:rsidR="00CA7656" w:rsidRPr="00CA7656" w:rsidRDefault="00CA7656" w:rsidP="00CA7656">
            <w:pPr>
              <w:spacing w:after="0" w:line="240" w:lineRule="auto"/>
              <w:rPr>
                <w:rFonts w:ascii="Calibri" w:eastAsia="Times New Roman" w:hAnsi="Calibri" w:cs="Calibri"/>
                <w:color w:val="000000"/>
                <w:lang w:eastAsia="en-GB"/>
              </w:rPr>
            </w:pPr>
            <w:r w:rsidRPr="00CA7656">
              <w:rPr>
                <w:rFonts w:ascii="Calibri" w:eastAsia="Times New Roman" w:hAnsi="Calibri" w:cs="Arial"/>
                <w:color w:val="000000"/>
                <w:lang w:eastAsia="en-GB"/>
              </w:rPr>
              <w:t xml:space="preserve">   Benefits</w:t>
            </w:r>
          </w:p>
        </w:tc>
        <w:tc>
          <w:tcPr>
            <w:tcW w:w="960" w:type="dxa"/>
            <w:tcBorders>
              <w:top w:val="nil"/>
              <w:left w:val="nil"/>
              <w:bottom w:val="nil"/>
              <w:right w:val="single" w:sz="8" w:space="0" w:color="auto"/>
            </w:tcBorders>
            <w:shd w:val="clear" w:color="auto" w:fill="auto"/>
            <w:noWrap/>
            <w:vAlign w:val="center"/>
            <w:hideMark/>
          </w:tcPr>
          <w:p w:rsidR="00CA7656" w:rsidRPr="00CA7656" w:rsidRDefault="00CA7656" w:rsidP="00CA7656">
            <w:pPr>
              <w:spacing w:after="0" w:line="240" w:lineRule="auto"/>
              <w:jc w:val="right"/>
              <w:rPr>
                <w:rFonts w:ascii="Calibri" w:eastAsia="Times New Roman" w:hAnsi="Calibri" w:cs="Calibri"/>
                <w:color w:val="000000"/>
                <w:lang w:eastAsia="en-GB"/>
              </w:rPr>
            </w:pPr>
            <w:r w:rsidRPr="00CA7656">
              <w:rPr>
                <w:rFonts w:ascii="Calibri" w:eastAsia="Times New Roman" w:hAnsi="Calibri" w:cs="Arial"/>
                <w:color w:val="000000"/>
                <w:lang w:eastAsia="en-GB"/>
              </w:rPr>
              <w:t>9</w:t>
            </w:r>
          </w:p>
        </w:tc>
        <w:tc>
          <w:tcPr>
            <w:tcW w:w="960" w:type="dxa"/>
            <w:tcBorders>
              <w:top w:val="nil"/>
              <w:left w:val="nil"/>
              <w:bottom w:val="nil"/>
              <w:right w:val="single" w:sz="8" w:space="0" w:color="auto"/>
            </w:tcBorders>
            <w:shd w:val="clear" w:color="auto" w:fill="auto"/>
            <w:noWrap/>
            <w:vAlign w:val="center"/>
            <w:hideMark/>
          </w:tcPr>
          <w:p w:rsidR="00CA7656" w:rsidRPr="00CA7656" w:rsidRDefault="00CA7656" w:rsidP="00CA7656">
            <w:pPr>
              <w:spacing w:after="0" w:line="240" w:lineRule="auto"/>
              <w:jc w:val="right"/>
              <w:rPr>
                <w:rFonts w:ascii="Calibri" w:eastAsia="Times New Roman" w:hAnsi="Calibri" w:cs="Calibri"/>
                <w:color w:val="000000"/>
                <w:lang w:eastAsia="en-GB"/>
              </w:rPr>
            </w:pPr>
            <w:r w:rsidRPr="00CA7656">
              <w:rPr>
                <w:rFonts w:ascii="Calibri" w:eastAsia="Times New Roman" w:hAnsi="Calibri" w:cs="Arial"/>
                <w:color w:val="000000"/>
                <w:lang w:eastAsia="en-GB"/>
              </w:rPr>
              <w:t>47.9</w:t>
            </w:r>
          </w:p>
        </w:tc>
      </w:tr>
      <w:tr w:rsidR="00CA7656" w:rsidRPr="00CA7656" w:rsidTr="00CA7656">
        <w:trPr>
          <w:trHeight w:hRule="exact" w:val="300"/>
        </w:trPr>
        <w:tc>
          <w:tcPr>
            <w:tcW w:w="960" w:type="dxa"/>
            <w:tcBorders>
              <w:top w:val="nil"/>
              <w:left w:val="single" w:sz="8" w:space="0" w:color="auto"/>
              <w:bottom w:val="nil"/>
              <w:right w:val="single" w:sz="8" w:space="0" w:color="auto"/>
            </w:tcBorders>
            <w:shd w:val="clear" w:color="auto" w:fill="auto"/>
            <w:noWrap/>
            <w:vAlign w:val="center"/>
            <w:hideMark/>
          </w:tcPr>
          <w:p w:rsidR="00CA7656" w:rsidRPr="00CA7656" w:rsidRDefault="00CA7656" w:rsidP="00CA7656">
            <w:pPr>
              <w:spacing w:after="0" w:line="240" w:lineRule="auto"/>
              <w:jc w:val="right"/>
              <w:rPr>
                <w:rFonts w:ascii="Calibri" w:eastAsia="Times New Roman" w:hAnsi="Calibri" w:cs="Calibri"/>
                <w:color w:val="000000"/>
                <w:lang w:eastAsia="en-GB"/>
              </w:rPr>
            </w:pPr>
            <w:r w:rsidRPr="00CA7656">
              <w:rPr>
                <w:rFonts w:ascii="Calibri" w:eastAsia="Times New Roman" w:hAnsi="Calibri" w:cs="Arial"/>
                <w:color w:val="000000"/>
                <w:lang w:eastAsia="en-GB"/>
              </w:rPr>
              <w:t>1.8</w:t>
            </w:r>
          </w:p>
        </w:tc>
        <w:tc>
          <w:tcPr>
            <w:tcW w:w="6020" w:type="dxa"/>
            <w:tcBorders>
              <w:top w:val="nil"/>
              <w:left w:val="nil"/>
              <w:bottom w:val="nil"/>
              <w:right w:val="nil"/>
            </w:tcBorders>
            <w:shd w:val="clear" w:color="auto" w:fill="auto"/>
            <w:noWrap/>
            <w:vAlign w:val="center"/>
            <w:hideMark/>
          </w:tcPr>
          <w:p w:rsidR="00CA7656" w:rsidRPr="00CA7656" w:rsidRDefault="00CA7656" w:rsidP="00CA7656">
            <w:pPr>
              <w:spacing w:after="0" w:line="240" w:lineRule="auto"/>
              <w:rPr>
                <w:rFonts w:ascii="Calibri" w:eastAsia="Times New Roman" w:hAnsi="Calibri" w:cs="Calibri"/>
                <w:color w:val="000000"/>
                <w:lang w:eastAsia="en-GB"/>
              </w:rPr>
            </w:pPr>
            <w:r w:rsidRPr="00CA7656">
              <w:rPr>
                <w:rFonts w:ascii="Calibri" w:eastAsia="Times New Roman" w:hAnsi="Calibri" w:cs="Arial"/>
                <w:color w:val="000000"/>
                <w:lang w:eastAsia="en-GB"/>
              </w:rPr>
              <w:t xml:space="preserve">   Payments to and on account of leavers</w:t>
            </w:r>
          </w:p>
        </w:tc>
        <w:tc>
          <w:tcPr>
            <w:tcW w:w="960" w:type="dxa"/>
            <w:tcBorders>
              <w:top w:val="nil"/>
              <w:left w:val="nil"/>
              <w:bottom w:val="nil"/>
              <w:right w:val="single" w:sz="8" w:space="0" w:color="auto"/>
            </w:tcBorders>
            <w:shd w:val="clear" w:color="auto" w:fill="auto"/>
            <w:noWrap/>
            <w:vAlign w:val="center"/>
            <w:hideMark/>
          </w:tcPr>
          <w:p w:rsidR="00CA7656" w:rsidRPr="00CA7656" w:rsidRDefault="00CA7656" w:rsidP="00CA7656">
            <w:pPr>
              <w:spacing w:after="0" w:line="240" w:lineRule="auto"/>
              <w:jc w:val="right"/>
              <w:rPr>
                <w:rFonts w:ascii="Calibri" w:eastAsia="Times New Roman" w:hAnsi="Calibri" w:cs="Calibri"/>
                <w:color w:val="000000"/>
                <w:lang w:eastAsia="en-GB"/>
              </w:rPr>
            </w:pPr>
            <w:r w:rsidRPr="00CA7656">
              <w:rPr>
                <w:rFonts w:ascii="Calibri" w:eastAsia="Times New Roman" w:hAnsi="Calibri" w:cs="Arial"/>
                <w:color w:val="000000"/>
                <w:lang w:eastAsia="en-GB"/>
              </w:rPr>
              <w:t>10</w:t>
            </w:r>
          </w:p>
        </w:tc>
        <w:tc>
          <w:tcPr>
            <w:tcW w:w="960" w:type="dxa"/>
            <w:tcBorders>
              <w:top w:val="nil"/>
              <w:left w:val="nil"/>
              <w:bottom w:val="nil"/>
              <w:right w:val="single" w:sz="8" w:space="0" w:color="auto"/>
            </w:tcBorders>
            <w:shd w:val="clear" w:color="auto" w:fill="auto"/>
            <w:noWrap/>
            <w:vAlign w:val="center"/>
            <w:hideMark/>
          </w:tcPr>
          <w:p w:rsidR="00CA7656" w:rsidRPr="00CA7656" w:rsidRDefault="00CA7656" w:rsidP="00CA7656">
            <w:pPr>
              <w:spacing w:after="0" w:line="240" w:lineRule="auto"/>
              <w:jc w:val="right"/>
              <w:rPr>
                <w:rFonts w:ascii="Calibri" w:eastAsia="Times New Roman" w:hAnsi="Calibri" w:cs="Calibri"/>
                <w:color w:val="000000"/>
                <w:lang w:eastAsia="en-GB"/>
              </w:rPr>
            </w:pPr>
            <w:r w:rsidRPr="00CA7656">
              <w:rPr>
                <w:rFonts w:ascii="Calibri" w:eastAsia="Times New Roman" w:hAnsi="Calibri" w:cs="Arial"/>
                <w:color w:val="000000"/>
                <w:lang w:eastAsia="en-GB"/>
              </w:rPr>
              <w:t>6.2</w:t>
            </w:r>
          </w:p>
        </w:tc>
      </w:tr>
      <w:tr w:rsidR="00CA7656" w:rsidRPr="00CA7656" w:rsidTr="00CA7656">
        <w:trPr>
          <w:trHeight w:hRule="exact" w:val="315"/>
        </w:trPr>
        <w:tc>
          <w:tcPr>
            <w:tcW w:w="960" w:type="dxa"/>
            <w:tcBorders>
              <w:top w:val="nil"/>
              <w:left w:val="single" w:sz="8" w:space="0" w:color="auto"/>
              <w:bottom w:val="nil"/>
              <w:right w:val="single" w:sz="8" w:space="0" w:color="auto"/>
            </w:tcBorders>
            <w:shd w:val="clear" w:color="auto" w:fill="auto"/>
            <w:noWrap/>
            <w:vAlign w:val="center"/>
            <w:hideMark/>
          </w:tcPr>
          <w:p w:rsidR="00CA7656" w:rsidRPr="00CA7656" w:rsidRDefault="00CA7656" w:rsidP="00CA7656">
            <w:pPr>
              <w:spacing w:after="0" w:line="240" w:lineRule="auto"/>
              <w:jc w:val="right"/>
              <w:rPr>
                <w:rFonts w:ascii="Calibri" w:eastAsia="Times New Roman" w:hAnsi="Calibri" w:cs="Calibri"/>
                <w:b/>
                <w:bCs/>
                <w:color w:val="000000"/>
                <w:lang w:eastAsia="en-GB"/>
              </w:rPr>
            </w:pPr>
            <w:r w:rsidRPr="00CA7656">
              <w:rPr>
                <w:rFonts w:ascii="Calibri" w:eastAsia="Times New Roman" w:hAnsi="Calibri" w:cs="Arial"/>
                <w:b/>
                <w:bCs/>
                <w:color w:val="000000"/>
                <w:lang w:eastAsia="en-GB"/>
              </w:rPr>
              <w:t>47.7</w:t>
            </w:r>
          </w:p>
        </w:tc>
        <w:tc>
          <w:tcPr>
            <w:tcW w:w="6020" w:type="dxa"/>
            <w:tcBorders>
              <w:top w:val="nil"/>
              <w:left w:val="nil"/>
              <w:bottom w:val="nil"/>
              <w:right w:val="nil"/>
            </w:tcBorders>
            <w:shd w:val="clear" w:color="auto" w:fill="auto"/>
            <w:noWrap/>
            <w:vAlign w:val="center"/>
            <w:hideMark/>
          </w:tcPr>
          <w:p w:rsidR="00CA7656" w:rsidRPr="00CA7656" w:rsidRDefault="00CA7656" w:rsidP="00CA7656">
            <w:pPr>
              <w:spacing w:after="0" w:line="240" w:lineRule="auto"/>
              <w:jc w:val="right"/>
              <w:rPr>
                <w:rFonts w:ascii="Calibri" w:eastAsia="Times New Roman" w:hAnsi="Calibri" w:cs="Calibri"/>
                <w:b/>
                <w:bCs/>
                <w:color w:val="000000"/>
                <w:lang w:eastAsia="en-GB"/>
              </w:rPr>
            </w:pPr>
          </w:p>
        </w:tc>
        <w:tc>
          <w:tcPr>
            <w:tcW w:w="960" w:type="dxa"/>
            <w:tcBorders>
              <w:top w:val="nil"/>
              <w:left w:val="nil"/>
              <w:bottom w:val="nil"/>
              <w:right w:val="single" w:sz="8" w:space="0" w:color="auto"/>
            </w:tcBorders>
            <w:shd w:val="clear" w:color="auto" w:fill="auto"/>
            <w:noWrap/>
            <w:vAlign w:val="center"/>
            <w:hideMark/>
          </w:tcPr>
          <w:p w:rsidR="00CA7656" w:rsidRPr="00CA7656" w:rsidRDefault="00CA7656" w:rsidP="00CA7656">
            <w:pPr>
              <w:spacing w:after="0" w:line="240" w:lineRule="auto"/>
              <w:rPr>
                <w:rFonts w:ascii="Calibri" w:eastAsia="Times New Roman" w:hAnsi="Calibri" w:cs="Calibri"/>
                <w:color w:val="000000"/>
                <w:lang w:eastAsia="en-GB"/>
              </w:rPr>
            </w:pPr>
            <w:r w:rsidRPr="00CA7656">
              <w:rPr>
                <w:rFonts w:ascii="Calibri" w:eastAsia="Times New Roman" w:hAnsi="Calibri" w:cs="Arial"/>
                <w:color w:val="000000"/>
                <w:lang w:eastAsia="en-GB"/>
              </w:rPr>
              <w:t> </w:t>
            </w:r>
          </w:p>
        </w:tc>
        <w:tc>
          <w:tcPr>
            <w:tcW w:w="960" w:type="dxa"/>
            <w:tcBorders>
              <w:top w:val="nil"/>
              <w:left w:val="nil"/>
              <w:bottom w:val="nil"/>
              <w:right w:val="single" w:sz="8" w:space="0" w:color="auto"/>
            </w:tcBorders>
            <w:shd w:val="clear" w:color="auto" w:fill="auto"/>
            <w:noWrap/>
            <w:vAlign w:val="center"/>
            <w:hideMark/>
          </w:tcPr>
          <w:p w:rsidR="00CA7656" w:rsidRPr="00CA7656" w:rsidRDefault="00CA7656" w:rsidP="00CA7656">
            <w:pPr>
              <w:spacing w:after="0" w:line="240" w:lineRule="auto"/>
              <w:jc w:val="right"/>
              <w:rPr>
                <w:rFonts w:ascii="Calibri" w:eastAsia="Times New Roman" w:hAnsi="Calibri" w:cs="Calibri"/>
                <w:b/>
                <w:bCs/>
                <w:color w:val="000000"/>
                <w:lang w:eastAsia="en-GB"/>
              </w:rPr>
            </w:pPr>
            <w:r w:rsidRPr="00CA7656">
              <w:rPr>
                <w:rFonts w:ascii="Calibri" w:eastAsia="Times New Roman" w:hAnsi="Calibri" w:cs="Arial"/>
                <w:b/>
                <w:bCs/>
                <w:color w:val="000000"/>
                <w:lang w:eastAsia="en-GB"/>
              </w:rPr>
              <w:t>54.2</w:t>
            </w:r>
          </w:p>
        </w:tc>
      </w:tr>
      <w:tr w:rsidR="00CA7656" w:rsidRPr="00CA7656" w:rsidTr="00CA7656">
        <w:trPr>
          <w:trHeight w:hRule="exact" w:val="300"/>
        </w:trPr>
        <w:tc>
          <w:tcPr>
            <w:tcW w:w="960" w:type="dxa"/>
            <w:tcBorders>
              <w:top w:val="single" w:sz="8" w:space="0" w:color="auto"/>
              <w:left w:val="single" w:sz="8" w:space="0" w:color="auto"/>
              <w:bottom w:val="nil"/>
              <w:right w:val="single" w:sz="8" w:space="0" w:color="auto"/>
            </w:tcBorders>
            <w:shd w:val="clear" w:color="auto" w:fill="auto"/>
            <w:noWrap/>
            <w:vAlign w:val="center"/>
            <w:hideMark/>
          </w:tcPr>
          <w:p w:rsidR="00CA7656" w:rsidRPr="00CA7656" w:rsidRDefault="00CA7656" w:rsidP="00CA7656">
            <w:pPr>
              <w:spacing w:after="0" w:line="240" w:lineRule="auto"/>
              <w:jc w:val="right"/>
              <w:rPr>
                <w:rFonts w:ascii="Calibri" w:eastAsia="Times New Roman" w:hAnsi="Calibri" w:cs="Calibri"/>
                <w:b/>
                <w:bCs/>
                <w:color w:val="000000"/>
                <w:lang w:eastAsia="en-GB"/>
              </w:rPr>
            </w:pPr>
            <w:r w:rsidRPr="00CA7656">
              <w:rPr>
                <w:rFonts w:ascii="Calibri" w:eastAsia="Times New Roman" w:hAnsi="Calibri" w:cs="Arial"/>
                <w:b/>
                <w:bCs/>
                <w:color w:val="000000"/>
                <w:lang w:eastAsia="en-GB"/>
              </w:rPr>
              <w:t>-7.2</w:t>
            </w:r>
          </w:p>
        </w:tc>
        <w:tc>
          <w:tcPr>
            <w:tcW w:w="6020" w:type="dxa"/>
            <w:tcBorders>
              <w:top w:val="nil"/>
              <w:left w:val="nil"/>
              <w:bottom w:val="nil"/>
              <w:right w:val="nil"/>
            </w:tcBorders>
            <w:shd w:val="clear" w:color="auto" w:fill="auto"/>
            <w:noWrap/>
            <w:vAlign w:val="center"/>
            <w:hideMark/>
          </w:tcPr>
          <w:p w:rsidR="00CA7656" w:rsidRPr="00CA7656" w:rsidRDefault="00CA7656" w:rsidP="00CA7656">
            <w:pPr>
              <w:spacing w:after="0" w:line="240" w:lineRule="auto"/>
              <w:rPr>
                <w:rFonts w:ascii="Calibri" w:eastAsia="Times New Roman" w:hAnsi="Calibri" w:cs="Calibri"/>
                <w:b/>
                <w:bCs/>
                <w:color w:val="000000"/>
                <w:lang w:eastAsia="en-GB"/>
              </w:rPr>
            </w:pPr>
            <w:r w:rsidRPr="00CA7656">
              <w:rPr>
                <w:rFonts w:ascii="Calibri" w:eastAsia="Times New Roman" w:hAnsi="Calibri" w:cs="Arial"/>
                <w:b/>
                <w:bCs/>
                <w:color w:val="000000"/>
                <w:lang w:eastAsia="en-GB"/>
              </w:rPr>
              <w:t>Net (additions)/withdrawals from dealings with members</w:t>
            </w:r>
          </w:p>
        </w:tc>
        <w:tc>
          <w:tcPr>
            <w:tcW w:w="960" w:type="dxa"/>
            <w:tcBorders>
              <w:top w:val="nil"/>
              <w:left w:val="nil"/>
              <w:bottom w:val="nil"/>
              <w:right w:val="single" w:sz="8" w:space="0" w:color="auto"/>
            </w:tcBorders>
            <w:shd w:val="clear" w:color="auto" w:fill="auto"/>
            <w:noWrap/>
            <w:vAlign w:val="center"/>
            <w:hideMark/>
          </w:tcPr>
          <w:p w:rsidR="00CA7656" w:rsidRPr="00CA7656" w:rsidRDefault="00CA7656" w:rsidP="00CA7656">
            <w:pPr>
              <w:spacing w:after="0" w:line="240" w:lineRule="auto"/>
              <w:rPr>
                <w:rFonts w:ascii="Calibri" w:eastAsia="Times New Roman" w:hAnsi="Calibri" w:cs="Calibri"/>
                <w:color w:val="000000"/>
                <w:lang w:eastAsia="en-GB"/>
              </w:rPr>
            </w:pPr>
            <w:r w:rsidRPr="00CA7656">
              <w:rPr>
                <w:rFonts w:ascii="Calibri" w:eastAsia="Times New Roman" w:hAnsi="Calibri" w:cs="Arial"/>
                <w:color w:val="000000"/>
                <w:lang w:eastAsia="en-GB"/>
              </w:rPr>
              <w:t> </w:t>
            </w:r>
          </w:p>
        </w:tc>
        <w:tc>
          <w:tcPr>
            <w:tcW w:w="960" w:type="dxa"/>
            <w:tcBorders>
              <w:top w:val="single" w:sz="8" w:space="0" w:color="auto"/>
              <w:left w:val="nil"/>
              <w:bottom w:val="nil"/>
              <w:right w:val="single" w:sz="8" w:space="0" w:color="auto"/>
            </w:tcBorders>
            <w:shd w:val="clear" w:color="auto" w:fill="auto"/>
            <w:noWrap/>
            <w:vAlign w:val="center"/>
            <w:hideMark/>
          </w:tcPr>
          <w:p w:rsidR="00CA7656" w:rsidRPr="00CA7656" w:rsidRDefault="00CA7656" w:rsidP="00CA7656">
            <w:pPr>
              <w:spacing w:after="0" w:line="240" w:lineRule="auto"/>
              <w:jc w:val="right"/>
              <w:rPr>
                <w:rFonts w:ascii="Calibri" w:eastAsia="Times New Roman" w:hAnsi="Calibri" w:cs="Calibri"/>
                <w:b/>
                <w:bCs/>
                <w:color w:val="000000"/>
                <w:lang w:eastAsia="en-GB"/>
              </w:rPr>
            </w:pPr>
            <w:r w:rsidRPr="00CA7656">
              <w:rPr>
                <w:rFonts w:ascii="Calibri" w:eastAsia="Times New Roman" w:hAnsi="Calibri" w:cs="Arial"/>
                <w:b/>
                <w:bCs/>
                <w:color w:val="000000"/>
                <w:lang w:eastAsia="en-GB"/>
              </w:rPr>
              <w:t>-11.1</w:t>
            </w:r>
          </w:p>
        </w:tc>
      </w:tr>
      <w:tr w:rsidR="00CA7656" w:rsidRPr="00CA7656" w:rsidTr="00CA7656">
        <w:trPr>
          <w:trHeight w:hRule="exact" w:val="300"/>
        </w:trPr>
        <w:tc>
          <w:tcPr>
            <w:tcW w:w="960" w:type="dxa"/>
            <w:tcBorders>
              <w:top w:val="nil"/>
              <w:left w:val="single" w:sz="8" w:space="0" w:color="auto"/>
              <w:bottom w:val="nil"/>
              <w:right w:val="single" w:sz="8" w:space="0" w:color="auto"/>
            </w:tcBorders>
            <w:shd w:val="clear" w:color="auto" w:fill="auto"/>
            <w:noWrap/>
            <w:vAlign w:val="center"/>
            <w:hideMark/>
          </w:tcPr>
          <w:p w:rsidR="00CA7656" w:rsidRPr="00CA7656" w:rsidRDefault="00CA7656" w:rsidP="00CA7656">
            <w:pPr>
              <w:spacing w:after="0" w:line="240" w:lineRule="auto"/>
              <w:rPr>
                <w:rFonts w:ascii="Calibri" w:eastAsia="Times New Roman" w:hAnsi="Calibri" w:cs="Calibri"/>
                <w:color w:val="000000"/>
                <w:lang w:eastAsia="en-GB"/>
              </w:rPr>
            </w:pPr>
            <w:r w:rsidRPr="00CA7656">
              <w:rPr>
                <w:rFonts w:ascii="Calibri" w:eastAsia="Times New Roman" w:hAnsi="Calibri" w:cs="Arial"/>
                <w:color w:val="000000"/>
                <w:lang w:eastAsia="en-GB"/>
              </w:rPr>
              <w:t> </w:t>
            </w:r>
          </w:p>
        </w:tc>
        <w:tc>
          <w:tcPr>
            <w:tcW w:w="6020" w:type="dxa"/>
            <w:tcBorders>
              <w:top w:val="nil"/>
              <w:left w:val="nil"/>
              <w:bottom w:val="nil"/>
              <w:right w:val="nil"/>
            </w:tcBorders>
            <w:shd w:val="clear" w:color="auto" w:fill="auto"/>
            <w:noWrap/>
            <w:vAlign w:val="center"/>
            <w:hideMark/>
          </w:tcPr>
          <w:p w:rsidR="00CA7656" w:rsidRPr="00CA7656" w:rsidRDefault="00CA7656" w:rsidP="00CA7656">
            <w:pPr>
              <w:spacing w:after="0" w:line="240" w:lineRule="auto"/>
              <w:rPr>
                <w:rFonts w:ascii="Calibri" w:eastAsia="Times New Roman" w:hAnsi="Calibri" w:cs="Calibri"/>
                <w:color w:val="000000"/>
                <w:lang w:eastAsia="en-GB"/>
              </w:rPr>
            </w:pPr>
          </w:p>
        </w:tc>
        <w:tc>
          <w:tcPr>
            <w:tcW w:w="960" w:type="dxa"/>
            <w:tcBorders>
              <w:top w:val="nil"/>
              <w:left w:val="nil"/>
              <w:bottom w:val="nil"/>
              <w:right w:val="single" w:sz="8" w:space="0" w:color="auto"/>
            </w:tcBorders>
            <w:shd w:val="clear" w:color="auto" w:fill="auto"/>
            <w:noWrap/>
            <w:vAlign w:val="center"/>
            <w:hideMark/>
          </w:tcPr>
          <w:p w:rsidR="00CA7656" w:rsidRPr="00CA7656" w:rsidRDefault="00CA7656" w:rsidP="00CA7656">
            <w:pPr>
              <w:spacing w:after="0" w:line="240" w:lineRule="auto"/>
              <w:rPr>
                <w:rFonts w:ascii="Calibri" w:eastAsia="Times New Roman" w:hAnsi="Calibri" w:cs="Calibri"/>
                <w:color w:val="000000"/>
                <w:lang w:eastAsia="en-GB"/>
              </w:rPr>
            </w:pPr>
            <w:r w:rsidRPr="00CA7656">
              <w:rPr>
                <w:rFonts w:ascii="Calibri" w:eastAsia="Times New Roman" w:hAnsi="Calibri" w:cs="Arial"/>
                <w:color w:val="000000"/>
                <w:lang w:eastAsia="en-GB"/>
              </w:rPr>
              <w:t> </w:t>
            </w:r>
          </w:p>
        </w:tc>
        <w:tc>
          <w:tcPr>
            <w:tcW w:w="960" w:type="dxa"/>
            <w:tcBorders>
              <w:top w:val="nil"/>
              <w:left w:val="nil"/>
              <w:bottom w:val="nil"/>
              <w:right w:val="single" w:sz="8" w:space="0" w:color="auto"/>
            </w:tcBorders>
            <w:shd w:val="clear" w:color="auto" w:fill="auto"/>
            <w:noWrap/>
            <w:vAlign w:val="center"/>
            <w:hideMark/>
          </w:tcPr>
          <w:p w:rsidR="00CA7656" w:rsidRPr="00CA7656" w:rsidRDefault="00CA7656" w:rsidP="00CA7656">
            <w:pPr>
              <w:spacing w:after="0" w:line="240" w:lineRule="auto"/>
              <w:rPr>
                <w:rFonts w:ascii="Calibri" w:eastAsia="Times New Roman" w:hAnsi="Calibri" w:cs="Calibri"/>
                <w:color w:val="000000"/>
                <w:lang w:eastAsia="en-GB"/>
              </w:rPr>
            </w:pPr>
            <w:r w:rsidRPr="00CA7656">
              <w:rPr>
                <w:rFonts w:ascii="Calibri" w:eastAsia="Times New Roman" w:hAnsi="Calibri" w:cs="Arial"/>
                <w:color w:val="000000"/>
                <w:lang w:eastAsia="en-GB"/>
              </w:rPr>
              <w:t> </w:t>
            </w:r>
          </w:p>
        </w:tc>
      </w:tr>
      <w:tr w:rsidR="00CA7656" w:rsidRPr="00CA7656" w:rsidTr="00CA7656">
        <w:trPr>
          <w:trHeight w:hRule="exact" w:val="315"/>
        </w:trPr>
        <w:tc>
          <w:tcPr>
            <w:tcW w:w="960" w:type="dxa"/>
            <w:tcBorders>
              <w:top w:val="nil"/>
              <w:left w:val="single" w:sz="8" w:space="0" w:color="auto"/>
              <w:bottom w:val="nil"/>
              <w:right w:val="single" w:sz="8" w:space="0" w:color="auto"/>
            </w:tcBorders>
            <w:shd w:val="clear" w:color="auto" w:fill="auto"/>
            <w:noWrap/>
            <w:vAlign w:val="center"/>
            <w:hideMark/>
          </w:tcPr>
          <w:p w:rsidR="00CA7656" w:rsidRPr="00CA7656" w:rsidRDefault="00CA7656" w:rsidP="00CA7656">
            <w:pPr>
              <w:spacing w:after="0" w:line="240" w:lineRule="auto"/>
              <w:jc w:val="right"/>
              <w:rPr>
                <w:rFonts w:ascii="Calibri" w:eastAsia="Times New Roman" w:hAnsi="Calibri" w:cs="Calibri"/>
                <w:color w:val="000000"/>
                <w:lang w:eastAsia="en-GB"/>
              </w:rPr>
            </w:pPr>
            <w:r w:rsidRPr="00CA7656">
              <w:rPr>
                <w:rFonts w:ascii="Calibri" w:eastAsia="Times New Roman" w:hAnsi="Calibri" w:cs="Arial"/>
                <w:color w:val="000000"/>
                <w:lang w:eastAsia="en-GB"/>
              </w:rPr>
              <w:t>6.8</w:t>
            </w:r>
          </w:p>
        </w:tc>
        <w:tc>
          <w:tcPr>
            <w:tcW w:w="6020" w:type="dxa"/>
            <w:tcBorders>
              <w:top w:val="nil"/>
              <w:left w:val="nil"/>
              <w:bottom w:val="nil"/>
              <w:right w:val="nil"/>
            </w:tcBorders>
            <w:shd w:val="clear" w:color="auto" w:fill="auto"/>
            <w:noWrap/>
            <w:vAlign w:val="center"/>
            <w:hideMark/>
          </w:tcPr>
          <w:p w:rsidR="00CA7656" w:rsidRPr="00CA7656" w:rsidRDefault="00CA7656" w:rsidP="00CA7656">
            <w:pPr>
              <w:spacing w:after="0" w:line="240" w:lineRule="auto"/>
              <w:rPr>
                <w:rFonts w:ascii="Calibri" w:eastAsia="Times New Roman" w:hAnsi="Calibri" w:cs="Calibri"/>
                <w:color w:val="000000"/>
                <w:lang w:eastAsia="en-GB"/>
              </w:rPr>
            </w:pPr>
            <w:r w:rsidRPr="00CA7656">
              <w:rPr>
                <w:rFonts w:ascii="Calibri" w:eastAsia="Times New Roman" w:hAnsi="Calibri" w:cs="Arial"/>
                <w:color w:val="000000"/>
                <w:lang w:eastAsia="en-GB"/>
              </w:rPr>
              <w:t xml:space="preserve">   Management expenses</w:t>
            </w:r>
          </w:p>
        </w:tc>
        <w:tc>
          <w:tcPr>
            <w:tcW w:w="960" w:type="dxa"/>
            <w:tcBorders>
              <w:top w:val="nil"/>
              <w:left w:val="nil"/>
              <w:bottom w:val="nil"/>
              <w:right w:val="single" w:sz="8" w:space="0" w:color="auto"/>
            </w:tcBorders>
            <w:shd w:val="clear" w:color="auto" w:fill="auto"/>
            <w:noWrap/>
            <w:vAlign w:val="center"/>
            <w:hideMark/>
          </w:tcPr>
          <w:p w:rsidR="00CA7656" w:rsidRPr="00CA7656" w:rsidRDefault="00CA7656" w:rsidP="00CA7656">
            <w:pPr>
              <w:spacing w:after="0" w:line="240" w:lineRule="auto"/>
              <w:jc w:val="right"/>
              <w:rPr>
                <w:rFonts w:ascii="Calibri" w:eastAsia="Times New Roman" w:hAnsi="Calibri" w:cs="Calibri"/>
                <w:color w:val="000000"/>
                <w:lang w:eastAsia="en-GB"/>
              </w:rPr>
            </w:pPr>
            <w:r w:rsidRPr="00CA7656">
              <w:rPr>
                <w:rFonts w:ascii="Calibri" w:eastAsia="Times New Roman" w:hAnsi="Calibri" w:cs="Arial"/>
                <w:color w:val="000000"/>
                <w:lang w:eastAsia="en-GB"/>
              </w:rPr>
              <w:t>11</w:t>
            </w:r>
          </w:p>
        </w:tc>
        <w:tc>
          <w:tcPr>
            <w:tcW w:w="960" w:type="dxa"/>
            <w:tcBorders>
              <w:top w:val="nil"/>
              <w:left w:val="nil"/>
              <w:bottom w:val="nil"/>
              <w:right w:val="single" w:sz="8" w:space="0" w:color="auto"/>
            </w:tcBorders>
            <w:shd w:val="clear" w:color="auto" w:fill="auto"/>
            <w:noWrap/>
            <w:vAlign w:val="center"/>
            <w:hideMark/>
          </w:tcPr>
          <w:p w:rsidR="00CA7656" w:rsidRPr="00CA7656" w:rsidRDefault="00CA7656" w:rsidP="00CA7656">
            <w:pPr>
              <w:spacing w:after="0" w:line="240" w:lineRule="auto"/>
              <w:jc w:val="right"/>
              <w:rPr>
                <w:rFonts w:ascii="Calibri" w:eastAsia="Times New Roman" w:hAnsi="Calibri" w:cs="Calibri"/>
                <w:color w:val="000000"/>
                <w:lang w:eastAsia="en-GB"/>
              </w:rPr>
            </w:pPr>
            <w:r w:rsidRPr="00CA7656">
              <w:rPr>
                <w:rFonts w:ascii="Calibri" w:eastAsia="Times New Roman" w:hAnsi="Calibri" w:cs="Arial"/>
                <w:color w:val="000000"/>
                <w:lang w:eastAsia="en-GB"/>
              </w:rPr>
              <w:t>3.8</w:t>
            </w:r>
          </w:p>
        </w:tc>
      </w:tr>
      <w:tr w:rsidR="00CA7656" w:rsidRPr="00CA7656" w:rsidTr="00CA7656">
        <w:trPr>
          <w:trHeight w:hRule="exact" w:val="300"/>
        </w:trPr>
        <w:tc>
          <w:tcPr>
            <w:tcW w:w="960" w:type="dxa"/>
            <w:tcBorders>
              <w:top w:val="single" w:sz="8" w:space="0" w:color="auto"/>
              <w:left w:val="single" w:sz="8" w:space="0" w:color="auto"/>
              <w:bottom w:val="nil"/>
              <w:right w:val="single" w:sz="8" w:space="0" w:color="auto"/>
            </w:tcBorders>
            <w:shd w:val="clear" w:color="auto" w:fill="auto"/>
            <w:noWrap/>
            <w:vAlign w:val="center"/>
            <w:hideMark/>
          </w:tcPr>
          <w:p w:rsidR="00CA7656" w:rsidRPr="00CA7656" w:rsidRDefault="00CA7656" w:rsidP="00CA7656">
            <w:pPr>
              <w:spacing w:after="0" w:line="240" w:lineRule="auto"/>
              <w:jc w:val="right"/>
              <w:rPr>
                <w:rFonts w:ascii="Calibri" w:eastAsia="Times New Roman" w:hAnsi="Calibri" w:cs="Calibri"/>
                <w:b/>
                <w:bCs/>
                <w:color w:val="000000"/>
                <w:lang w:eastAsia="en-GB"/>
              </w:rPr>
            </w:pPr>
            <w:r w:rsidRPr="00CA7656">
              <w:rPr>
                <w:rFonts w:ascii="Calibri" w:eastAsia="Times New Roman" w:hAnsi="Calibri" w:cs="Arial"/>
                <w:b/>
                <w:bCs/>
                <w:color w:val="000000"/>
                <w:lang w:eastAsia="en-GB"/>
              </w:rPr>
              <w:t>-0.4</w:t>
            </w:r>
          </w:p>
        </w:tc>
        <w:tc>
          <w:tcPr>
            <w:tcW w:w="6020" w:type="dxa"/>
            <w:tcBorders>
              <w:top w:val="nil"/>
              <w:left w:val="nil"/>
              <w:bottom w:val="nil"/>
              <w:right w:val="nil"/>
            </w:tcBorders>
            <w:shd w:val="clear" w:color="auto" w:fill="auto"/>
            <w:noWrap/>
            <w:vAlign w:val="center"/>
            <w:hideMark/>
          </w:tcPr>
          <w:p w:rsidR="00CA7656" w:rsidRPr="00CA7656" w:rsidRDefault="00CA7656" w:rsidP="00CA7656">
            <w:pPr>
              <w:spacing w:after="0" w:line="240" w:lineRule="auto"/>
              <w:rPr>
                <w:rFonts w:ascii="Calibri" w:eastAsia="Times New Roman" w:hAnsi="Calibri" w:cs="Calibri"/>
                <w:b/>
                <w:bCs/>
                <w:color w:val="000000"/>
                <w:lang w:eastAsia="en-GB"/>
              </w:rPr>
            </w:pPr>
            <w:r w:rsidRPr="00CA7656">
              <w:rPr>
                <w:rFonts w:ascii="Calibri" w:eastAsia="Times New Roman" w:hAnsi="Calibri" w:cs="Arial"/>
                <w:b/>
                <w:bCs/>
                <w:color w:val="000000"/>
                <w:lang w:eastAsia="en-GB"/>
              </w:rPr>
              <w:t>Net (additions)/withdrawals including management expenses</w:t>
            </w:r>
          </w:p>
        </w:tc>
        <w:tc>
          <w:tcPr>
            <w:tcW w:w="960" w:type="dxa"/>
            <w:tcBorders>
              <w:top w:val="nil"/>
              <w:left w:val="nil"/>
              <w:bottom w:val="nil"/>
              <w:right w:val="single" w:sz="8" w:space="0" w:color="auto"/>
            </w:tcBorders>
            <w:shd w:val="clear" w:color="auto" w:fill="auto"/>
            <w:noWrap/>
            <w:vAlign w:val="center"/>
            <w:hideMark/>
          </w:tcPr>
          <w:p w:rsidR="00CA7656" w:rsidRPr="00CA7656" w:rsidRDefault="00CA7656" w:rsidP="00CA7656">
            <w:pPr>
              <w:spacing w:after="0" w:line="240" w:lineRule="auto"/>
              <w:rPr>
                <w:rFonts w:ascii="Calibri" w:eastAsia="Times New Roman" w:hAnsi="Calibri" w:cs="Calibri"/>
                <w:color w:val="000000"/>
                <w:lang w:eastAsia="en-GB"/>
              </w:rPr>
            </w:pPr>
            <w:r w:rsidRPr="00CA7656">
              <w:rPr>
                <w:rFonts w:ascii="Calibri" w:eastAsia="Times New Roman" w:hAnsi="Calibri" w:cs="Arial"/>
                <w:color w:val="000000"/>
                <w:lang w:eastAsia="en-GB"/>
              </w:rPr>
              <w:t> </w:t>
            </w:r>
          </w:p>
        </w:tc>
        <w:tc>
          <w:tcPr>
            <w:tcW w:w="960" w:type="dxa"/>
            <w:tcBorders>
              <w:top w:val="single" w:sz="8" w:space="0" w:color="auto"/>
              <w:left w:val="nil"/>
              <w:bottom w:val="nil"/>
              <w:right w:val="single" w:sz="8" w:space="0" w:color="auto"/>
            </w:tcBorders>
            <w:shd w:val="clear" w:color="auto" w:fill="auto"/>
            <w:noWrap/>
            <w:vAlign w:val="center"/>
            <w:hideMark/>
          </w:tcPr>
          <w:p w:rsidR="00CA7656" w:rsidRPr="00CA7656" w:rsidRDefault="00CA7656" w:rsidP="00CA7656">
            <w:pPr>
              <w:spacing w:after="0" w:line="240" w:lineRule="auto"/>
              <w:jc w:val="right"/>
              <w:rPr>
                <w:rFonts w:ascii="Calibri" w:eastAsia="Times New Roman" w:hAnsi="Calibri" w:cs="Calibri"/>
                <w:b/>
                <w:bCs/>
                <w:color w:val="000000"/>
                <w:lang w:eastAsia="en-GB"/>
              </w:rPr>
            </w:pPr>
            <w:r w:rsidRPr="00CA7656">
              <w:rPr>
                <w:rFonts w:ascii="Calibri" w:eastAsia="Times New Roman" w:hAnsi="Calibri" w:cs="Arial"/>
                <w:b/>
                <w:bCs/>
                <w:color w:val="000000"/>
                <w:lang w:eastAsia="en-GB"/>
              </w:rPr>
              <w:t>-7.3</w:t>
            </w:r>
          </w:p>
        </w:tc>
      </w:tr>
      <w:tr w:rsidR="00CA7656" w:rsidRPr="00CA7656" w:rsidTr="00CA7656">
        <w:trPr>
          <w:trHeight w:hRule="exact" w:val="300"/>
        </w:trPr>
        <w:tc>
          <w:tcPr>
            <w:tcW w:w="960" w:type="dxa"/>
            <w:tcBorders>
              <w:top w:val="nil"/>
              <w:left w:val="single" w:sz="8" w:space="0" w:color="auto"/>
              <w:bottom w:val="nil"/>
              <w:right w:val="single" w:sz="8" w:space="0" w:color="auto"/>
            </w:tcBorders>
            <w:shd w:val="clear" w:color="auto" w:fill="auto"/>
            <w:noWrap/>
            <w:vAlign w:val="center"/>
            <w:hideMark/>
          </w:tcPr>
          <w:p w:rsidR="00CA7656" w:rsidRPr="00CA7656" w:rsidRDefault="00CA7656" w:rsidP="00CA7656">
            <w:pPr>
              <w:spacing w:after="0" w:line="240" w:lineRule="auto"/>
              <w:rPr>
                <w:rFonts w:ascii="Calibri" w:eastAsia="Times New Roman" w:hAnsi="Calibri" w:cs="Calibri"/>
                <w:color w:val="000000"/>
                <w:lang w:eastAsia="en-GB"/>
              </w:rPr>
            </w:pPr>
            <w:r w:rsidRPr="00CA7656">
              <w:rPr>
                <w:rFonts w:ascii="Calibri" w:eastAsia="Times New Roman" w:hAnsi="Calibri" w:cs="Arial"/>
                <w:color w:val="000000"/>
                <w:lang w:eastAsia="en-GB"/>
              </w:rPr>
              <w:t> </w:t>
            </w:r>
          </w:p>
        </w:tc>
        <w:tc>
          <w:tcPr>
            <w:tcW w:w="6020" w:type="dxa"/>
            <w:tcBorders>
              <w:top w:val="nil"/>
              <w:left w:val="nil"/>
              <w:bottom w:val="nil"/>
              <w:right w:val="nil"/>
            </w:tcBorders>
            <w:shd w:val="clear" w:color="auto" w:fill="auto"/>
            <w:noWrap/>
            <w:vAlign w:val="center"/>
            <w:hideMark/>
          </w:tcPr>
          <w:p w:rsidR="00CA7656" w:rsidRPr="00CA7656" w:rsidRDefault="00CA7656" w:rsidP="00CA7656">
            <w:pPr>
              <w:spacing w:after="0" w:line="240" w:lineRule="auto"/>
              <w:rPr>
                <w:rFonts w:ascii="Calibri" w:eastAsia="Times New Roman" w:hAnsi="Calibri" w:cs="Calibri"/>
                <w:color w:val="000000"/>
                <w:lang w:eastAsia="en-GB"/>
              </w:rPr>
            </w:pPr>
          </w:p>
        </w:tc>
        <w:tc>
          <w:tcPr>
            <w:tcW w:w="960" w:type="dxa"/>
            <w:tcBorders>
              <w:top w:val="nil"/>
              <w:left w:val="nil"/>
              <w:bottom w:val="nil"/>
              <w:right w:val="single" w:sz="8" w:space="0" w:color="auto"/>
            </w:tcBorders>
            <w:shd w:val="clear" w:color="auto" w:fill="auto"/>
            <w:noWrap/>
            <w:vAlign w:val="center"/>
            <w:hideMark/>
          </w:tcPr>
          <w:p w:rsidR="00CA7656" w:rsidRPr="00CA7656" w:rsidRDefault="00CA7656" w:rsidP="00CA7656">
            <w:pPr>
              <w:spacing w:after="0" w:line="240" w:lineRule="auto"/>
              <w:rPr>
                <w:rFonts w:ascii="Calibri" w:eastAsia="Times New Roman" w:hAnsi="Calibri" w:cs="Calibri"/>
                <w:color w:val="000000"/>
                <w:lang w:eastAsia="en-GB"/>
              </w:rPr>
            </w:pPr>
            <w:r w:rsidRPr="00CA7656">
              <w:rPr>
                <w:rFonts w:ascii="Calibri" w:eastAsia="Times New Roman" w:hAnsi="Calibri" w:cs="Arial"/>
                <w:color w:val="000000"/>
                <w:lang w:eastAsia="en-GB"/>
              </w:rPr>
              <w:t> </w:t>
            </w:r>
          </w:p>
        </w:tc>
        <w:tc>
          <w:tcPr>
            <w:tcW w:w="960" w:type="dxa"/>
            <w:tcBorders>
              <w:top w:val="nil"/>
              <w:left w:val="nil"/>
              <w:bottom w:val="nil"/>
              <w:right w:val="single" w:sz="8" w:space="0" w:color="auto"/>
            </w:tcBorders>
            <w:shd w:val="clear" w:color="auto" w:fill="auto"/>
            <w:noWrap/>
            <w:vAlign w:val="center"/>
            <w:hideMark/>
          </w:tcPr>
          <w:p w:rsidR="00CA7656" w:rsidRPr="00CA7656" w:rsidRDefault="00CA7656" w:rsidP="00CA7656">
            <w:pPr>
              <w:spacing w:after="0" w:line="240" w:lineRule="auto"/>
              <w:rPr>
                <w:rFonts w:ascii="Calibri" w:eastAsia="Times New Roman" w:hAnsi="Calibri" w:cs="Calibri"/>
                <w:color w:val="000000"/>
                <w:lang w:eastAsia="en-GB"/>
              </w:rPr>
            </w:pPr>
            <w:r w:rsidRPr="00CA7656">
              <w:rPr>
                <w:rFonts w:ascii="Calibri" w:eastAsia="Times New Roman" w:hAnsi="Calibri" w:cs="Arial"/>
                <w:color w:val="000000"/>
                <w:lang w:eastAsia="en-GB"/>
              </w:rPr>
              <w:t> </w:t>
            </w:r>
          </w:p>
        </w:tc>
      </w:tr>
      <w:tr w:rsidR="00CA7656" w:rsidRPr="00CA7656" w:rsidTr="00CA7656">
        <w:trPr>
          <w:trHeight w:hRule="exact" w:val="300"/>
        </w:trPr>
        <w:tc>
          <w:tcPr>
            <w:tcW w:w="960" w:type="dxa"/>
            <w:tcBorders>
              <w:top w:val="nil"/>
              <w:left w:val="single" w:sz="8" w:space="0" w:color="auto"/>
              <w:bottom w:val="nil"/>
              <w:right w:val="single" w:sz="8" w:space="0" w:color="auto"/>
            </w:tcBorders>
            <w:shd w:val="clear" w:color="auto" w:fill="auto"/>
            <w:noWrap/>
            <w:vAlign w:val="center"/>
            <w:hideMark/>
          </w:tcPr>
          <w:p w:rsidR="00CA7656" w:rsidRPr="00CA7656" w:rsidRDefault="00CA7656" w:rsidP="00CA7656">
            <w:pPr>
              <w:spacing w:after="0" w:line="240" w:lineRule="auto"/>
              <w:rPr>
                <w:rFonts w:ascii="Calibri" w:eastAsia="Times New Roman" w:hAnsi="Calibri" w:cs="Calibri"/>
                <w:color w:val="000000"/>
                <w:lang w:eastAsia="en-GB"/>
              </w:rPr>
            </w:pPr>
            <w:r w:rsidRPr="00CA7656">
              <w:rPr>
                <w:rFonts w:ascii="Calibri" w:eastAsia="Times New Roman" w:hAnsi="Calibri" w:cs="Arial"/>
                <w:color w:val="000000"/>
                <w:lang w:eastAsia="en-GB"/>
              </w:rPr>
              <w:t> </w:t>
            </w:r>
          </w:p>
        </w:tc>
        <w:tc>
          <w:tcPr>
            <w:tcW w:w="6020" w:type="dxa"/>
            <w:tcBorders>
              <w:top w:val="nil"/>
              <w:left w:val="nil"/>
              <w:bottom w:val="nil"/>
              <w:right w:val="nil"/>
            </w:tcBorders>
            <w:shd w:val="clear" w:color="auto" w:fill="auto"/>
            <w:noWrap/>
            <w:vAlign w:val="center"/>
            <w:hideMark/>
          </w:tcPr>
          <w:p w:rsidR="00CA7656" w:rsidRPr="00CA7656" w:rsidRDefault="00CA7656" w:rsidP="00CA7656">
            <w:pPr>
              <w:spacing w:after="0" w:line="240" w:lineRule="auto"/>
              <w:rPr>
                <w:rFonts w:ascii="Calibri" w:eastAsia="Times New Roman" w:hAnsi="Calibri" w:cs="Calibri"/>
                <w:b/>
                <w:bCs/>
                <w:color w:val="000000"/>
                <w:lang w:eastAsia="en-GB"/>
              </w:rPr>
            </w:pPr>
            <w:r w:rsidRPr="00CA7656">
              <w:rPr>
                <w:rFonts w:ascii="Calibri" w:eastAsia="Times New Roman" w:hAnsi="Calibri" w:cs="Arial"/>
                <w:b/>
                <w:bCs/>
                <w:color w:val="000000"/>
                <w:lang w:eastAsia="en-GB"/>
              </w:rPr>
              <w:t>Returns on investments</w:t>
            </w:r>
          </w:p>
        </w:tc>
        <w:tc>
          <w:tcPr>
            <w:tcW w:w="960" w:type="dxa"/>
            <w:tcBorders>
              <w:top w:val="nil"/>
              <w:left w:val="nil"/>
              <w:bottom w:val="nil"/>
              <w:right w:val="single" w:sz="8" w:space="0" w:color="auto"/>
            </w:tcBorders>
            <w:shd w:val="clear" w:color="auto" w:fill="auto"/>
            <w:noWrap/>
            <w:vAlign w:val="center"/>
            <w:hideMark/>
          </w:tcPr>
          <w:p w:rsidR="00CA7656" w:rsidRPr="00CA7656" w:rsidRDefault="00CA7656" w:rsidP="00CA7656">
            <w:pPr>
              <w:spacing w:after="0" w:line="240" w:lineRule="auto"/>
              <w:rPr>
                <w:rFonts w:ascii="Calibri" w:eastAsia="Times New Roman" w:hAnsi="Calibri" w:cs="Calibri"/>
                <w:color w:val="000000"/>
                <w:lang w:eastAsia="en-GB"/>
              </w:rPr>
            </w:pPr>
            <w:r w:rsidRPr="00CA7656">
              <w:rPr>
                <w:rFonts w:ascii="Calibri" w:eastAsia="Times New Roman" w:hAnsi="Calibri" w:cs="Arial"/>
                <w:color w:val="000000"/>
                <w:lang w:eastAsia="en-GB"/>
              </w:rPr>
              <w:t> </w:t>
            </w:r>
          </w:p>
        </w:tc>
        <w:tc>
          <w:tcPr>
            <w:tcW w:w="960" w:type="dxa"/>
            <w:tcBorders>
              <w:top w:val="nil"/>
              <w:left w:val="nil"/>
              <w:bottom w:val="nil"/>
              <w:right w:val="single" w:sz="8" w:space="0" w:color="auto"/>
            </w:tcBorders>
            <w:shd w:val="clear" w:color="auto" w:fill="auto"/>
            <w:noWrap/>
            <w:vAlign w:val="center"/>
            <w:hideMark/>
          </w:tcPr>
          <w:p w:rsidR="00CA7656" w:rsidRPr="00CA7656" w:rsidRDefault="00CA7656" w:rsidP="00CA7656">
            <w:pPr>
              <w:spacing w:after="0" w:line="240" w:lineRule="auto"/>
              <w:rPr>
                <w:rFonts w:ascii="Calibri" w:eastAsia="Times New Roman" w:hAnsi="Calibri" w:cs="Calibri"/>
                <w:color w:val="000000"/>
                <w:lang w:eastAsia="en-GB"/>
              </w:rPr>
            </w:pPr>
            <w:r w:rsidRPr="00CA7656">
              <w:rPr>
                <w:rFonts w:ascii="Calibri" w:eastAsia="Times New Roman" w:hAnsi="Calibri" w:cs="Arial"/>
                <w:color w:val="000000"/>
                <w:lang w:eastAsia="en-GB"/>
              </w:rPr>
              <w:t> </w:t>
            </w:r>
          </w:p>
        </w:tc>
      </w:tr>
      <w:tr w:rsidR="00CA7656" w:rsidRPr="00CA7656" w:rsidTr="00CA7656">
        <w:trPr>
          <w:trHeight w:hRule="exact" w:val="300"/>
        </w:trPr>
        <w:tc>
          <w:tcPr>
            <w:tcW w:w="960" w:type="dxa"/>
            <w:tcBorders>
              <w:top w:val="nil"/>
              <w:left w:val="single" w:sz="8" w:space="0" w:color="auto"/>
              <w:bottom w:val="nil"/>
              <w:right w:val="single" w:sz="8" w:space="0" w:color="auto"/>
            </w:tcBorders>
            <w:shd w:val="clear" w:color="auto" w:fill="auto"/>
            <w:noWrap/>
            <w:vAlign w:val="center"/>
            <w:hideMark/>
          </w:tcPr>
          <w:p w:rsidR="00CA7656" w:rsidRPr="00CA7656" w:rsidRDefault="00CA7656" w:rsidP="00CA7656">
            <w:pPr>
              <w:spacing w:after="0" w:line="240" w:lineRule="auto"/>
              <w:jc w:val="right"/>
              <w:rPr>
                <w:rFonts w:ascii="Calibri" w:eastAsia="Times New Roman" w:hAnsi="Calibri" w:cs="Calibri"/>
                <w:color w:val="000000"/>
                <w:lang w:eastAsia="en-GB"/>
              </w:rPr>
            </w:pPr>
            <w:r w:rsidRPr="00CA7656">
              <w:rPr>
                <w:rFonts w:ascii="Calibri" w:eastAsia="Times New Roman" w:hAnsi="Calibri" w:cs="Arial"/>
                <w:color w:val="000000"/>
                <w:lang w:eastAsia="en-GB"/>
              </w:rPr>
              <w:t>-1.4</w:t>
            </w:r>
          </w:p>
        </w:tc>
        <w:tc>
          <w:tcPr>
            <w:tcW w:w="6020" w:type="dxa"/>
            <w:tcBorders>
              <w:top w:val="nil"/>
              <w:left w:val="nil"/>
              <w:bottom w:val="nil"/>
              <w:right w:val="nil"/>
            </w:tcBorders>
            <w:shd w:val="clear" w:color="auto" w:fill="auto"/>
            <w:noWrap/>
            <w:vAlign w:val="center"/>
            <w:hideMark/>
          </w:tcPr>
          <w:p w:rsidR="00CA7656" w:rsidRPr="00CA7656" w:rsidRDefault="00CA7656" w:rsidP="00CA7656">
            <w:pPr>
              <w:spacing w:after="0" w:line="240" w:lineRule="auto"/>
              <w:rPr>
                <w:rFonts w:ascii="Calibri" w:eastAsia="Times New Roman" w:hAnsi="Calibri" w:cs="Calibri"/>
                <w:color w:val="000000"/>
                <w:lang w:eastAsia="en-GB"/>
              </w:rPr>
            </w:pPr>
            <w:r w:rsidRPr="00CA7656">
              <w:rPr>
                <w:rFonts w:ascii="Calibri" w:eastAsia="Times New Roman" w:hAnsi="Calibri" w:cs="Arial"/>
                <w:color w:val="000000"/>
                <w:lang w:eastAsia="en-GB"/>
              </w:rPr>
              <w:t xml:space="preserve">   Investment income</w:t>
            </w:r>
          </w:p>
        </w:tc>
        <w:tc>
          <w:tcPr>
            <w:tcW w:w="960" w:type="dxa"/>
            <w:tcBorders>
              <w:top w:val="nil"/>
              <w:left w:val="nil"/>
              <w:bottom w:val="nil"/>
              <w:right w:val="single" w:sz="8" w:space="0" w:color="auto"/>
            </w:tcBorders>
            <w:shd w:val="clear" w:color="auto" w:fill="auto"/>
            <w:noWrap/>
            <w:vAlign w:val="center"/>
            <w:hideMark/>
          </w:tcPr>
          <w:p w:rsidR="00CA7656" w:rsidRPr="00CA7656" w:rsidRDefault="00CA7656" w:rsidP="00CA7656">
            <w:pPr>
              <w:spacing w:after="0" w:line="240" w:lineRule="auto"/>
              <w:jc w:val="right"/>
              <w:rPr>
                <w:rFonts w:ascii="Calibri" w:eastAsia="Times New Roman" w:hAnsi="Calibri" w:cs="Calibri"/>
                <w:color w:val="000000"/>
                <w:lang w:eastAsia="en-GB"/>
              </w:rPr>
            </w:pPr>
            <w:r w:rsidRPr="00CA7656">
              <w:rPr>
                <w:rFonts w:ascii="Calibri" w:eastAsia="Times New Roman" w:hAnsi="Calibri" w:cs="Arial"/>
                <w:color w:val="000000"/>
                <w:lang w:eastAsia="en-GB"/>
              </w:rPr>
              <w:t>12</w:t>
            </w:r>
          </w:p>
        </w:tc>
        <w:tc>
          <w:tcPr>
            <w:tcW w:w="960" w:type="dxa"/>
            <w:tcBorders>
              <w:top w:val="nil"/>
              <w:left w:val="nil"/>
              <w:bottom w:val="nil"/>
              <w:right w:val="single" w:sz="8" w:space="0" w:color="auto"/>
            </w:tcBorders>
            <w:shd w:val="clear" w:color="auto" w:fill="auto"/>
            <w:noWrap/>
            <w:vAlign w:val="center"/>
            <w:hideMark/>
          </w:tcPr>
          <w:p w:rsidR="00CA7656" w:rsidRPr="00CA7656" w:rsidRDefault="00CA7656" w:rsidP="00CA7656">
            <w:pPr>
              <w:spacing w:after="0" w:line="240" w:lineRule="auto"/>
              <w:jc w:val="right"/>
              <w:rPr>
                <w:rFonts w:ascii="Calibri" w:eastAsia="Times New Roman" w:hAnsi="Calibri" w:cs="Calibri"/>
                <w:color w:val="000000"/>
                <w:lang w:eastAsia="en-GB"/>
              </w:rPr>
            </w:pPr>
            <w:r w:rsidRPr="00CA7656">
              <w:rPr>
                <w:rFonts w:ascii="Calibri" w:eastAsia="Times New Roman" w:hAnsi="Calibri" w:cs="Arial"/>
                <w:color w:val="000000"/>
                <w:lang w:eastAsia="en-GB"/>
              </w:rPr>
              <w:t>-1.2</w:t>
            </w:r>
          </w:p>
        </w:tc>
      </w:tr>
      <w:tr w:rsidR="00CA7656" w:rsidRPr="00CA7656" w:rsidTr="00CA7656">
        <w:trPr>
          <w:trHeight w:hRule="exact" w:val="300"/>
        </w:trPr>
        <w:tc>
          <w:tcPr>
            <w:tcW w:w="960" w:type="dxa"/>
            <w:tcBorders>
              <w:top w:val="nil"/>
              <w:left w:val="single" w:sz="8" w:space="0" w:color="auto"/>
              <w:bottom w:val="nil"/>
              <w:right w:val="single" w:sz="8" w:space="0" w:color="auto"/>
            </w:tcBorders>
            <w:shd w:val="clear" w:color="auto" w:fill="auto"/>
            <w:noWrap/>
            <w:vAlign w:val="center"/>
            <w:hideMark/>
          </w:tcPr>
          <w:p w:rsidR="00CA7656" w:rsidRPr="00CA7656" w:rsidRDefault="00CA7656" w:rsidP="00CA7656">
            <w:pPr>
              <w:spacing w:after="0" w:line="240" w:lineRule="auto"/>
              <w:jc w:val="right"/>
              <w:rPr>
                <w:rFonts w:ascii="Calibri" w:eastAsia="Times New Roman" w:hAnsi="Calibri" w:cs="Calibri"/>
                <w:color w:val="000000"/>
                <w:lang w:eastAsia="en-GB"/>
              </w:rPr>
            </w:pPr>
            <w:r w:rsidRPr="00CA7656">
              <w:rPr>
                <w:rFonts w:ascii="Calibri" w:eastAsia="Times New Roman" w:hAnsi="Calibri" w:cs="Arial"/>
                <w:color w:val="000000"/>
                <w:lang w:eastAsia="en-GB"/>
              </w:rPr>
              <w:t>0</w:t>
            </w:r>
          </w:p>
        </w:tc>
        <w:tc>
          <w:tcPr>
            <w:tcW w:w="6020" w:type="dxa"/>
            <w:tcBorders>
              <w:top w:val="nil"/>
              <w:left w:val="nil"/>
              <w:bottom w:val="nil"/>
              <w:right w:val="nil"/>
            </w:tcBorders>
            <w:shd w:val="clear" w:color="auto" w:fill="auto"/>
            <w:noWrap/>
            <w:vAlign w:val="center"/>
            <w:hideMark/>
          </w:tcPr>
          <w:p w:rsidR="00CA7656" w:rsidRPr="00CA7656" w:rsidRDefault="00CA7656" w:rsidP="00CA7656">
            <w:pPr>
              <w:spacing w:after="0" w:line="240" w:lineRule="auto"/>
              <w:rPr>
                <w:rFonts w:ascii="Calibri" w:eastAsia="Times New Roman" w:hAnsi="Calibri" w:cs="Calibri"/>
                <w:color w:val="000000"/>
                <w:lang w:eastAsia="en-GB"/>
              </w:rPr>
            </w:pPr>
            <w:r w:rsidRPr="00CA7656">
              <w:rPr>
                <w:rFonts w:ascii="Calibri" w:eastAsia="Times New Roman" w:hAnsi="Calibri" w:cs="Arial"/>
                <w:color w:val="000000"/>
                <w:lang w:eastAsia="en-GB"/>
              </w:rPr>
              <w:t xml:space="preserve">   Taxes on income</w:t>
            </w:r>
          </w:p>
        </w:tc>
        <w:tc>
          <w:tcPr>
            <w:tcW w:w="960" w:type="dxa"/>
            <w:tcBorders>
              <w:top w:val="nil"/>
              <w:left w:val="nil"/>
              <w:bottom w:val="nil"/>
              <w:right w:val="single" w:sz="8" w:space="0" w:color="auto"/>
            </w:tcBorders>
            <w:shd w:val="clear" w:color="auto" w:fill="auto"/>
            <w:noWrap/>
            <w:vAlign w:val="center"/>
            <w:hideMark/>
          </w:tcPr>
          <w:p w:rsidR="00CA7656" w:rsidRPr="00CA7656" w:rsidRDefault="00CA7656" w:rsidP="00CA7656">
            <w:pPr>
              <w:spacing w:after="0" w:line="240" w:lineRule="auto"/>
              <w:jc w:val="right"/>
              <w:rPr>
                <w:rFonts w:ascii="Calibri" w:eastAsia="Times New Roman" w:hAnsi="Calibri" w:cs="Calibri"/>
                <w:color w:val="000000"/>
                <w:lang w:eastAsia="en-GB"/>
              </w:rPr>
            </w:pPr>
            <w:r w:rsidRPr="00CA7656">
              <w:rPr>
                <w:rFonts w:ascii="Calibri" w:eastAsia="Times New Roman" w:hAnsi="Calibri" w:cs="Arial"/>
                <w:color w:val="000000"/>
                <w:lang w:eastAsia="en-GB"/>
              </w:rPr>
              <w:t>13</w:t>
            </w:r>
          </w:p>
        </w:tc>
        <w:tc>
          <w:tcPr>
            <w:tcW w:w="960" w:type="dxa"/>
            <w:tcBorders>
              <w:top w:val="nil"/>
              <w:left w:val="nil"/>
              <w:bottom w:val="nil"/>
              <w:right w:val="single" w:sz="8" w:space="0" w:color="auto"/>
            </w:tcBorders>
            <w:shd w:val="clear" w:color="auto" w:fill="auto"/>
            <w:noWrap/>
            <w:vAlign w:val="center"/>
            <w:hideMark/>
          </w:tcPr>
          <w:p w:rsidR="00CA7656" w:rsidRPr="00CA7656" w:rsidRDefault="00CA7656" w:rsidP="00CA7656">
            <w:pPr>
              <w:spacing w:after="0" w:line="240" w:lineRule="auto"/>
              <w:jc w:val="right"/>
              <w:rPr>
                <w:rFonts w:ascii="Calibri" w:eastAsia="Times New Roman" w:hAnsi="Calibri" w:cs="Calibri"/>
                <w:color w:val="000000"/>
                <w:lang w:eastAsia="en-GB"/>
              </w:rPr>
            </w:pPr>
            <w:r w:rsidRPr="00CA7656">
              <w:rPr>
                <w:rFonts w:ascii="Calibri" w:eastAsia="Times New Roman" w:hAnsi="Calibri" w:cs="Arial"/>
                <w:color w:val="000000"/>
                <w:lang w:eastAsia="en-GB"/>
              </w:rPr>
              <w:t>0</w:t>
            </w:r>
          </w:p>
        </w:tc>
      </w:tr>
      <w:tr w:rsidR="00CA7656" w:rsidRPr="00CA7656" w:rsidTr="00CA7656">
        <w:trPr>
          <w:trHeight w:hRule="exact" w:val="300"/>
        </w:trPr>
        <w:tc>
          <w:tcPr>
            <w:tcW w:w="960" w:type="dxa"/>
            <w:tcBorders>
              <w:top w:val="nil"/>
              <w:left w:val="single" w:sz="8" w:space="0" w:color="auto"/>
              <w:bottom w:val="nil"/>
              <w:right w:val="single" w:sz="8" w:space="0" w:color="auto"/>
            </w:tcBorders>
            <w:shd w:val="clear" w:color="auto" w:fill="auto"/>
            <w:noWrap/>
            <w:vAlign w:val="center"/>
            <w:hideMark/>
          </w:tcPr>
          <w:p w:rsidR="00CA7656" w:rsidRPr="00CA7656" w:rsidRDefault="00CA7656" w:rsidP="00CA7656">
            <w:pPr>
              <w:spacing w:after="0" w:line="240" w:lineRule="auto"/>
              <w:jc w:val="right"/>
              <w:rPr>
                <w:rFonts w:ascii="Calibri" w:eastAsia="Times New Roman" w:hAnsi="Calibri" w:cs="Calibri"/>
                <w:color w:val="000000"/>
                <w:lang w:eastAsia="en-GB"/>
              </w:rPr>
            </w:pPr>
            <w:r w:rsidRPr="00CA7656">
              <w:rPr>
                <w:rFonts w:ascii="Calibri" w:eastAsia="Times New Roman" w:hAnsi="Calibri" w:cs="Arial"/>
                <w:color w:val="000000"/>
                <w:lang w:eastAsia="en-GB"/>
              </w:rPr>
              <w:t>-61.7</w:t>
            </w:r>
          </w:p>
        </w:tc>
        <w:tc>
          <w:tcPr>
            <w:tcW w:w="6020" w:type="dxa"/>
            <w:tcBorders>
              <w:top w:val="nil"/>
              <w:left w:val="nil"/>
              <w:bottom w:val="nil"/>
              <w:right w:val="nil"/>
            </w:tcBorders>
            <w:shd w:val="clear" w:color="auto" w:fill="auto"/>
            <w:noWrap/>
            <w:vAlign w:val="center"/>
            <w:hideMark/>
          </w:tcPr>
          <w:p w:rsidR="00CA7656" w:rsidRPr="00CA7656" w:rsidRDefault="00CA7656" w:rsidP="00CA7656">
            <w:pPr>
              <w:spacing w:after="0" w:line="240" w:lineRule="auto"/>
              <w:rPr>
                <w:rFonts w:ascii="Calibri" w:eastAsia="Times New Roman" w:hAnsi="Calibri" w:cs="Calibri"/>
                <w:color w:val="000000"/>
                <w:lang w:eastAsia="en-GB"/>
              </w:rPr>
            </w:pPr>
            <w:r w:rsidRPr="00CA7656">
              <w:rPr>
                <w:rFonts w:ascii="Calibri" w:eastAsia="Times New Roman" w:hAnsi="Calibri" w:cs="Arial"/>
                <w:color w:val="000000"/>
                <w:lang w:eastAsia="en-GB"/>
              </w:rPr>
              <w:t xml:space="preserve">   (Profits) and losses on disposal of investments and</w:t>
            </w:r>
          </w:p>
        </w:tc>
        <w:tc>
          <w:tcPr>
            <w:tcW w:w="960" w:type="dxa"/>
            <w:tcBorders>
              <w:top w:val="nil"/>
              <w:left w:val="nil"/>
              <w:bottom w:val="nil"/>
              <w:right w:val="single" w:sz="8" w:space="0" w:color="auto"/>
            </w:tcBorders>
            <w:shd w:val="clear" w:color="auto" w:fill="auto"/>
            <w:noWrap/>
            <w:vAlign w:val="center"/>
            <w:hideMark/>
          </w:tcPr>
          <w:p w:rsidR="00CA7656" w:rsidRPr="00CA7656" w:rsidRDefault="00CA7656" w:rsidP="00CA7656">
            <w:pPr>
              <w:spacing w:after="0" w:line="240" w:lineRule="auto"/>
              <w:jc w:val="right"/>
              <w:rPr>
                <w:rFonts w:ascii="Calibri" w:eastAsia="Times New Roman" w:hAnsi="Calibri" w:cs="Calibri"/>
                <w:color w:val="000000"/>
                <w:lang w:eastAsia="en-GB"/>
              </w:rPr>
            </w:pPr>
            <w:r w:rsidRPr="00CA7656">
              <w:rPr>
                <w:rFonts w:ascii="Calibri" w:eastAsia="Times New Roman" w:hAnsi="Calibri" w:cs="Arial"/>
                <w:color w:val="000000"/>
                <w:lang w:eastAsia="en-GB"/>
              </w:rPr>
              <w:t>14</w:t>
            </w:r>
          </w:p>
        </w:tc>
        <w:tc>
          <w:tcPr>
            <w:tcW w:w="960" w:type="dxa"/>
            <w:tcBorders>
              <w:top w:val="nil"/>
              <w:left w:val="nil"/>
              <w:bottom w:val="nil"/>
              <w:right w:val="single" w:sz="8" w:space="0" w:color="auto"/>
            </w:tcBorders>
            <w:shd w:val="clear" w:color="auto" w:fill="auto"/>
            <w:noWrap/>
            <w:vAlign w:val="center"/>
            <w:hideMark/>
          </w:tcPr>
          <w:p w:rsidR="00CA7656" w:rsidRPr="00CA7656" w:rsidRDefault="00CA7656" w:rsidP="00CA7656">
            <w:pPr>
              <w:spacing w:after="0" w:line="240" w:lineRule="auto"/>
              <w:jc w:val="right"/>
              <w:rPr>
                <w:rFonts w:ascii="Calibri" w:eastAsia="Times New Roman" w:hAnsi="Calibri" w:cs="Calibri"/>
                <w:color w:val="000000"/>
                <w:lang w:eastAsia="en-GB"/>
              </w:rPr>
            </w:pPr>
            <w:r w:rsidRPr="00CA7656">
              <w:rPr>
                <w:rFonts w:ascii="Calibri" w:eastAsia="Times New Roman" w:hAnsi="Calibri" w:cs="Arial"/>
                <w:color w:val="000000"/>
                <w:lang w:eastAsia="en-GB"/>
              </w:rPr>
              <w:t>34.1</w:t>
            </w:r>
          </w:p>
        </w:tc>
      </w:tr>
      <w:tr w:rsidR="00CA7656" w:rsidRPr="00CA7656" w:rsidTr="00CA7656">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CA7656" w:rsidRPr="00CA7656" w:rsidRDefault="00CA7656" w:rsidP="00CA7656">
            <w:pPr>
              <w:spacing w:after="0" w:line="240" w:lineRule="auto"/>
              <w:rPr>
                <w:rFonts w:ascii="Calibri" w:eastAsia="Times New Roman" w:hAnsi="Calibri" w:cs="Calibri"/>
                <w:color w:val="000000"/>
                <w:lang w:eastAsia="en-GB"/>
              </w:rPr>
            </w:pPr>
            <w:r w:rsidRPr="00CA7656">
              <w:rPr>
                <w:rFonts w:ascii="Calibri" w:eastAsia="Times New Roman" w:hAnsi="Calibri" w:cs="Calibri"/>
                <w:color w:val="000000"/>
                <w:lang w:eastAsia="en-GB"/>
              </w:rPr>
              <w:t> </w:t>
            </w:r>
          </w:p>
        </w:tc>
        <w:tc>
          <w:tcPr>
            <w:tcW w:w="6020" w:type="dxa"/>
            <w:tcBorders>
              <w:top w:val="nil"/>
              <w:left w:val="nil"/>
              <w:bottom w:val="nil"/>
              <w:right w:val="nil"/>
            </w:tcBorders>
            <w:shd w:val="clear" w:color="auto" w:fill="auto"/>
            <w:noWrap/>
            <w:vAlign w:val="center"/>
            <w:hideMark/>
          </w:tcPr>
          <w:p w:rsidR="00CA7656" w:rsidRPr="00CA7656" w:rsidRDefault="00CA7656" w:rsidP="00CA7656">
            <w:pPr>
              <w:spacing w:after="0" w:line="240" w:lineRule="auto"/>
              <w:rPr>
                <w:rFonts w:ascii="Calibri" w:eastAsia="Times New Roman" w:hAnsi="Calibri" w:cs="Calibri"/>
                <w:color w:val="000000"/>
                <w:lang w:eastAsia="en-GB"/>
              </w:rPr>
            </w:pPr>
            <w:r w:rsidRPr="00CA7656">
              <w:rPr>
                <w:rFonts w:ascii="Calibri" w:eastAsia="Times New Roman" w:hAnsi="Calibri" w:cs="Arial"/>
                <w:color w:val="000000"/>
                <w:lang w:eastAsia="en-GB"/>
              </w:rPr>
              <w:t xml:space="preserve">   changes in the market value of investments</w:t>
            </w:r>
          </w:p>
        </w:tc>
        <w:tc>
          <w:tcPr>
            <w:tcW w:w="960" w:type="dxa"/>
            <w:tcBorders>
              <w:top w:val="nil"/>
              <w:left w:val="nil"/>
              <w:bottom w:val="nil"/>
              <w:right w:val="single" w:sz="8" w:space="0" w:color="auto"/>
            </w:tcBorders>
            <w:shd w:val="clear" w:color="auto" w:fill="auto"/>
            <w:noWrap/>
            <w:vAlign w:val="center"/>
            <w:hideMark/>
          </w:tcPr>
          <w:p w:rsidR="00CA7656" w:rsidRPr="00CA7656" w:rsidRDefault="00CA7656" w:rsidP="00CA7656">
            <w:pPr>
              <w:spacing w:after="0" w:line="240" w:lineRule="auto"/>
              <w:rPr>
                <w:rFonts w:ascii="Calibri" w:eastAsia="Times New Roman" w:hAnsi="Calibri" w:cs="Calibri"/>
                <w:color w:val="000000"/>
                <w:lang w:eastAsia="en-GB"/>
              </w:rPr>
            </w:pPr>
            <w:r w:rsidRPr="00CA7656">
              <w:rPr>
                <w:rFonts w:ascii="Calibri" w:eastAsia="Times New Roman" w:hAnsi="Calibri" w:cs="Calibri"/>
                <w:color w:val="000000"/>
                <w:lang w:eastAsia="en-GB"/>
              </w:rPr>
              <w:t> </w:t>
            </w:r>
          </w:p>
        </w:tc>
        <w:tc>
          <w:tcPr>
            <w:tcW w:w="960" w:type="dxa"/>
            <w:tcBorders>
              <w:top w:val="nil"/>
              <w:left w:val="nil"/>
              <w:bottom w:val="single" w:sz="8" w:space="0" w:color="auto"/>
              <w:right w:val="single" w:sz="8" w:space="0" w:color="auto"/>
            </w:tcBorders>
            <w:shd w:val="clear" w:color="auto" w:fill="auto"/>
            <w:noWrap/>
            <w:vAlign w:val="center"/>
            <w:hideMark/>
          </w:tcPr>
          <w:p w:rsidR="00CA7656" w:rsidRPr="00CA7656" w:rsidRDefault="00CA7656" w:rsidP="00CA7656">
            <w:pPr>
              <w:spacing w:after="0" w:line="240" w:lineRule="auto"/>
              <w:rPr>
                <w:rFonts w:ascii="Calibri" w:eastAsia="Times New Roman" w:hAnsi="Calibri" w:cs="Calibri"/>
                <w:color w:val="000000"/>
                <w:lang w:eastAsia="en-GB"/>
              </w:rPr>
            </w:pPr>
            <w:r w:rsidRPr="00CA7656">
              <w:rPr>
                <w:rFonts w:ascii="Calibri" w:eastAsia="Times New Roman" w:hAnsi="Calibri" w:cs="Calibri"/>
                <w:color w:val="000000"/>
                <w:lang w:eastAsia="en-GB"/>
              </w:rPr>
              <w:t> </w:t>
            </w:r>
          </w:p>
        </w:tc>
      </w:tr>
      <w:tr w:rsidR="00CA7656" w:rsidRPr="00CA7656" w:rsidTr="00CA7656">
        <w:trPr>
          <w:trHeight w:hRule="exact" w:val="300"/>
        </w:trPr>
        <w:tc>
          <w:tcPr>
            <w:tcW w:w="960" w:type="dxa"/>
            <w:tcBorders>
              <w:top w:val="nil"/>
              <w:left w:val="single" w:sz="8" w:space="0" w:color="auto"/>
              <w:bottom w:val="nil"/>
              <w:right w:val="single" w:sz="8" w:space="0" w:color="auto"/>
            </w:tcBorders>
            <w:shd w:val="clear" w:color="auto" w:fill="auto"/>
            <w:noWrap/>
            <w:vAlign w:val="center"/>
            <w:hideMark/>
          </w:tcPr>
          <w:p w:rsidR="00CA7656" w:rsidRPr="00CA7656" w:rsidRDefault="00CA7656" w:rsidP="00CA7656">
            <w:pPr>
              <w:spacing w:after="0" w:line="240" w:lineRule="auto"/>
              <w:jc w:val="right"/>
              <w:rPr>
                <w:rFonts w:ascii="Calibri" w:eastAsia="Times New Roman" w:hAnsi="Calibri" w:cs="Calibri"/>
                <w:b/>
                <w:bCs/>
                <w:color w:val="000000"/>
                <w:lang w:eastAsia="en-GB"/>
              </w:rPr>
            </w:pPr>
            <w:r w:rsidRPr="00CA7656">
              <w:rPr>
                <w:rFonts w:ascii="Calibri" w:eastAsia="Times New Roman" w:hAnsi="Calibri" w:cs="Arial"/>
                <w:b/>
                <w:bCs/>
                <w:color w:val="000000"/>
                <w:lang w:eastAsia="en-GB"/>
              </w:rPr>
              <w:t>-63.1</w:t>
            </w:r>
          </w:p>
        </w:tc>
        <w:tc>
          <w:tcPr>
            <w:tcW w:w="6020" w:type="dxa"/>
            <w:tcBorders>
              <w:top w:val="nil"/>
              <w:left w:val="nil"/>
              <w:bottom w:val="nil"/>
              <w:right w:val="nil"/>
            </w:tcBorders>
            <w:shd w:val="clear" w:color="auto" w:fill="auto"/>
            <w:noWrap/>
            <w:vAlign w:val="center"/>
            <w:hideMark/>
          </w:tcPr>
          <w:p w:rsidR="00CA7656" w:rsidRPr="00CA7656" w:rsidRDefault="00CA7656" w:rsidP="00CA7656">
            <w:pPr>
              <w:spacing w:after="0" w:line="240" w:lineRule="auto"/>
              <w:rPr>
                <w:rFonts w:ascii="Calibri" w:eastAsia="Times New Roman" w:hAnsi="Calibri" w:cs="Calibri"/>
                <w:b/>
                <w:bCs/>
                <w:color w:val="000000"/>
                <w:lang w:eastAsia="en-GB"/>
              </w:rPr>
            </w:pPr>
            <w:r w:rsidRPr="00CA7656">
              <w:rPr>
                <w:rFonts w:ascii="Calibri" w:eastAsia="Times New Roman" w:hAnsi="Calibri" w:cs="Arial"/>
                <w:b/>
                <w:bCs/>
                <w:color w:val="000000"/>
                <w:lang w:eastAsia="en-GB"/>
              </w:rPr>
              <w:t>Net return on investments</w:t>
            </w:r>
          </w:p>
        </w:tc>
        <w:tc>
          <w:tcPr>
            <w:tcW w:w="960" w:type="dxa"/>
            <w:tcBorders>
              <w:top w:val="nil"/>
              <w:left w:val="nil"/>
              <w:bottom w:val="nil"/>
              <w:right w:val="single" w:sz="8" w:space="0" w:color="auto"/>
            </w:tcBorders>
            <w:shd w:val="clear" w:color="auto" w:fill="auto"/>
            <w:noWrap/>
            <w:vAlign w:val="center"/>
            <w:hideMark/>
          </w:tcPr>
          <w:p w:rsidR="00CA7656" w:rsidRPr="00CA7656" w:rsidRDefault="00CA7656" w:rsidP="00CA7656">
            <w:pPr>
              <w:spacing w:after="0" w:line="240" w:lineRule="auto"/>
              <w:rPr>
                <w:rFonts w:ascii="Calibri" w:eastAsia="Times New Roman" w:hAnsi="Calibri" w:cs="Calibri"/>
                <w:color w:val="000000"/>
                <w:lang w:eastAsia="en-GB"/>
              </w:rPr>
            </w:pPr>
            <w:r w:rsidRPr="00CA7656">
              <w:rPr>
                <w:rFonts w:ascii="Calibri" w:eastAsia="Times New Roman" w:hAnsi="Calibri" w:cs="Arial"/>
                <w:color w:val="000000"/>
                <w:lang w:eastAsia="en-GB"/>
              </w:rPr>
              <w:t> </w:t>
            </w:r>
          </w:p>
        </w:tc>
        <w:tc>
          <w:tcPr>
            <w:tcW w:w="960" w:type="dxa"/>
            <w:tcBorders>
              <w:top w:val="nil"/>
              <w:left w:val="nil"/>
              <w:bottom w:val="nil"/>
              <w:right w:val="single" w:sz="8" w:space="0" w:color="auto"/>
            </w:tcBorders>
            <w:shd w:val="clear" w:color="auto" w:fill="auto"/>
            <w:noWrap/>
            <w:vAlign w:val="center"/>
            <w:hideMark/>
          </w:tcPr>
          <w:p w:rsidR="00CA7656" w:rsidRPr="00CA7656" w:rsidRDefault="00CA7656" w:rsidP="00CA7656">
            <w:pPr>
              <w:spacing w:after="0" w:line="240" w:lineRule="auto"/>
              <w:jc w:val="right"/>
              <w:rPr>
                <w:rFonts w:ascii="Calibri" w:eastAsia="Times New Roman" w:hAnsi="Calibri" w:cs="Calibri"/>
                <w:b/>
                <w:bCs/>
                <w:color w:val="000000"/>
                <w:lang w:eastAsia="en-GB"/>
              </w:rPr>
            </w:pPr>
            <w:r w:rsidRPr="00CA7656">
              <w:rPr>
                <w:rFonts w:ascii="Calibri" w:eastAsia="Times New Roman" w:hAnsi="Calibri" w:cs="Arial"/>
                <w:b/>
                <w:bCs/>
                <w:color w:val="000000"/>
                <w:lang w:eastAsia="en-GB"/>
              </w:rPr>
              <w:t>32.9</w:t>
            </w:r>
          </w:p>
        </w:tc>
      </w:tr>
      <w:tr w:rsidR="00CA7656" w:rsidRPr="00CA7656" w:rsidTr="00CA7656">
        <w:trPr>
          <w:trHeight w:hRule="exact" w:val="300"/>
        </w:trPr>
        <w:tc>
          <w:tcPr>
            <w:tcW w:w="960" w:type="dxa"/>
            <w:tcBorders>
              <w:top w:val="nil"/>
              <w:left w:val="single" w:sz="8" w:space="0" w:color="auto"/>
              <w:bottom w:val="nil"/>
              <w:right w:val="single" w:sz="8" w:space="0" w:color="auto"/>
            </w:tcBorders>
            <w:shd w:val="clear" w:color="auto" w:fill="auto"/>
            <w:noWrap/>
            <w:vAlign w:val="center"/>
            <w:hideMark/>
          </w:tcPr>
          <w:p w:rsidR="00CA7656" w:rsidRPr="00CA7656" w:rsidRDefault="00CA7656" w:rsidP="00CA7656">
            <w:pPr>
              <w:spacing w:after="0" w:line="240" w:lineRule="auto"/>
              <w:jc w:val="right"/>
              <w:rPr>
                <w:rFonts w:ascii="Calibri" w:eastAsia="Times New Roman" w:hAnsi="Calibri" w:cs="Calibri"/>
                <w:color w:val="000000"/>
                <w:lang w:eastAsia="en-GB"/>
              </w:rPr>
            </w:pPr>
            <w:r w:rsidRPr="00CA7656">
              <w:rPr>
                <w:rFonts w:ascii="Calibri" w:eastAsia="Times New Roman" w:hAnsi="Calibri" w:cs="Arial"/>
                <w:color w:val="000000"/>
                <w:lang w:eastAsia="en-GB"/>
              </w:rPr>
              <w:t> </w:t>
            </w:r>
          </w:p>
        </w:tc>
        <w:tc>
          <w:tcPr>
            <w:tcW w:w="6020" w:type="dxa"/>
            <w:tcBorders>
              <w:top w:val="nil"/>
              <w:left w:val="nil"/>
              <w:bottom w:val="nil"/>
              <w:right w:val="nil"/>
            </w:tcBorders>
            <w:shd w:val="clear" w:color="auto" w:fill="auto"/>
            <w:noWrap/>
            <w:vAlign w:val="center"/>
            <w:hideMark/>
          </w:tcPr>
          <w:p w:rsidR="00CA7656" w:rsidRPr="00CA7656" w:rsidRDefault="00CA7656" w:rsidP="00CA7656">
            <w:pPr>
              <w:spacing w:after="0" w:line="240" w:lineRule="auto"/>
              <w:rPr>
                <w:rFonts w:ascii="Calibri" w:eastAsia="Times New Roman" w:hAnsi="Calibri" w:cs="Calibri"/>
                <w:b/>
                <w:bCs/>
                <w:color w:val="000000"/>
                <w:lang w:eastAsia="en-GB"/>
              </w:rPr>
            </w:pPr>
            <w:r w:rsidRPr="00CA7656">
              <w:rPr>
                <w:rFonts w:ascii="Calibri" w:eastAsia="Times New Roman" w:hAnsi="Calibri" w:cs="Calibri"/>
                <w:b/>
                <w:bCs/>
                <w:color w:val="000000"/>
                <w:lang w:eastAsia="en-GB"/>
              </w:rPr>
              <w:t> </w:t>
            </w:r>
          </w:p>
        </w:tc>
        <w:tc>
          <w:tcPr>
            <w:tcW w:w="960" w:type="dxa"/>
            <w:tcBorders>
              <w:top w:val="nil"/>
              <w:left w:val="nil"/>
              <w:bottom w:val="nil"/>
              <w:right w:val="single" w:sz="8" w:space="0" w:color="auto"/>
            </w:tcBorders>
            <w:shd w:val="clear" w:color="auto" w:fill="auto"/>
            <w:noWrap/>
            <w:vAlign w:val="center"/>
            <w:hideMark/>
          </w:tcPr>
          <w:p w:rsidR="00CA7656" w:rsidRPr="00CA7656" w:rsidRDefault="00CA7656" w:rsidP="00CA7656">
            <w:pPr>
              <w:spacing w:after="0" w:line="240" w:lineRule="auto"/>
              <w:rPr>
                <w:rFonts w:ascii="Calibri" w:eastAsia="Times New Roman" w:hAnsi="Calibri" w:cs="Calibri"/>
                <w:color w:val="000000"/>
                <w:lang w:eastAsia="en-GB"/>
              </w:rPr>
            </w:pPr>
            <w:r w:rsidRPr="00CA7656">
              <w:rPr>
                <w:rFonts w:ascii="Calibri" w:eastAsia="Times New Roman" w:hAnsi="Calibri" w:cs="Arial"/>
                <w:color w:val="000000"/>
                <w:lang w:eastAsia="en-GB"/>
              </w:rPr>
              <w:t> </w:t>
            </w:r>
          </w:p>
        </w:tc>
        <w:tc>
          <w:tcPr>
            <w:tcW w:w="960" w:type="dxa"/>
            <w:tcBorders>
              <w:top w:val="nil"/>
              <w:left w:val="nil"/>
              <w:bottom w:val="nil"/>
              <w:right w:val="single" w:sz="8" w:space="0" w:color="auto"/>
            </w:tcBorders>
            <w:shd w:val="clear" w:color="auto" w:fill="auto"/>
            <w:noWrap/>
            <w:vAlign w:val="center"/>
            <w:hideMark/>
          </w:tcPr>
          <w:p w:rsidR="00CA7656" w:rsidRPr="00CA7656" w:rsidRDefault="00CA7656" w:rsidP="00CA7656">
            <w:pPr>
              <w:spacing w:after="0" w:line="240" w:lineRule="auto"/>
              <w:jc w:val="right"/>
              <w:rPr>
                <w:rFonts w:ascii="Calibri" w:eastAsia="Times New Roman" w:hAnsi="Calibri" w:cs="Calibri"/>
                <w:color w:val="000000"/>
                <w:lang w:eastAsia="en-GB"/>
              </w:rPr>
            </w:pPr>
            <w:r w:rsidRPr="00CA7656">
              <w:rPr>
                <w:rFonts w:ascii="Calibri" w:eastAsia="Times New Roman" w:hAnsi="Calibri" w:cs="Arial"/>
                <w:color w:val="000000"/>
                <w:lang w:eastAsia="en-GB"/>
              </w:rPr>
              <w:t> </w:t>
            </w:r>
          </w:p>
        </w:tc>
      </w:tr>
      <w:tr w:rsidR="00CA7656" w:rsidRPr="00CA7656" w:rsidTr="00CA7656">
        <w:trPr>
          <w:trHeight w:val="315"/>
        </w:trPr>
        <w:tc>
          <w:tcPr>
            <w:tcW w:w="960" w:type="dxa"/>
            <w:tcBorders>
              <w:top w:val="nil"/>
              <w:left w:val="single" w:sz="8" w:space="0" w:color="auto"/>
              <w:bottom w:val="nil"/>
              <w:right w:val="single" w:sz="8" w:space="0" w:color="auto"/>
            </w:tcBorders>
            <w:shd w:val="clear" w:color="auto" w:fill="auto"/>
            <w:noWrap/>
            <w:vAlign w:val="center"/>
            <w:hideMark/>
          </w:tcPr>
          <w:p w:rsidR="00CA7656" w:rsidRPr="00CA7656" w:rsidRDefault="00CA7656" w:rsidP="00CA7656">
            <w:pPr>
              <w:spacing w:after="0" w:line="240" w:lineRule="auto"/>
              <w:jc w:val="right"/>
              <w:rPr>
                <w:rFonts w:ascii="Calibri" w:eastAsia="Times New Roman" w:hAnsi="Calibri" w:cs="Calibri"/>
                <w:color w:val="000000"/>
                <w:lang w:eastAsia="en-GB"/>
              </w:rPr>
            </w:pPr>
            <w:r w:rsidRPr="00CA7656">
              <w:rPr>
                <w:rFonts w:ascii="Calibri" w:eastAsia="Times New Roman" w:hAnsi="Calibri" w:cs="Arial"/>
                <w:color w:val="000000"/>
                <w:lang w:eastAsia="en-GB"/>
              </w:rPr>
              <w:t>-63.5</w:t>
            </w:r>
          </w:p>
        </w:tc>
        <w:tc>
          <w:tcPr>
            <w:tcW w:w="6980" w:type="dxa"/>
            <w:gridSpan w:val="2"/>
            <w:tcBorders>
              <w:top w:val="nil"/>
              <w:left w:val="single" w:sz="8" w:space="0" w:color="auto"/>
              <w:bottom w:val="nil"/>
              <w:right w:val="single" w:sz="8" w:space="0" w:color="000000"/>
            </w:tcBorders>
            <w:shd w:val="clear" w:color="auto" w:fill="auto"/>
            <w:noWrap/>
            <w:vAlign w:val="center"/>
            <w:hideMark/>
          </w:tcPr>
          <w:p w:rsidR="00CA7656" w:rsidRPr="00CA7656" w:rsidRDefault="00CA7656" w:rsidP="00CA7656">
            <w:pPr>
              <w:spacing w:after="0" w:line="240" w:lineRule="auto"/>
              <w:rPr>
                <w:rFonts w:ascii="Calibri" w:eastAsia="Times New Roman" w:hAnsi="Calibri" w:cs="Calibri"/>
                <w:b/>
                <w:bCs/>
                <w:color w:val="000000"/>
                <w:lang w:eastAsia="en-GB"/>
              </w:rPr>
            </w:pPr>
            <w:r w:rsidRPr="00CA7656">
              <w:rPr>
                <w:rFonts w:ascii="Calibri" w:eastAsia="Times New Roman" w:hAnsi="Calibri" w:cs="Arial"/>
                <w:b/>
                <w:bCs/>
                <w:color w:val="000000"/>
                <w:lang w:eastAsia="en-GB"/>
              </w:rPr>
              <w:t>Net (increase)/decrease in the net assets available for benefits during the year</w:t>
            </w:r>
          </w:p>
        </w:tc>
        <w:tc>
          <w:tcPr>
            <w:tcW w:w="960" w:type="dxa"/>
            <w:tcBorders>
              <w:top w:val="nil"/>
              <w:left w:val="nil"/>
              <w:bottom w:val="nil"/>
              <w:right w:val="single" w:sz="8" w:space="0" w:color="auto"/>
            </w:tcBorders>
            <w:shd w:val="clear" w:color="auto" w:fill="auto"/>
            <w:noWrap/>
            <w:vAlign w:val="center"/>
            <w:hideMark/>
          </w:tcPr>
          <w:p w:rsidR="00CA7656" w:rsidRPr="00CA7656" w:rsidRDefault="00CA7656" w:rsidP="00CA7656">
            <w:pPr>
              <w:spacing w:after="0" w:line="240" w:lineRule="auto"/>
              <w:jc w:val="right"/>
              <w:rPr>
                <w:rFonts w:ascii="Calibri" w:eastAsia="Times New Roman" w:hAnsi="Calibri" w:cs="Calibri"/>
                <w:color w:val="000000"/>
                <w:lang w:eastAsia="en-GB"/>
              </w:rPr>
            </w:pPr>
            <w:r w:rsidRPr="00CA7656">
              <w:rPr>
                <w:rFonts w:ascii="Calibri" w:eastAsia="Times New Roman" w:hAnsi="Calibri" w:cs="Arial"/>
                <w:color w:val="000000"/>
                <w:lang w:eastAsia="en-GB"/>
              </w:rPr>
              <w:t>25.6</w:t>
            </w:r>
          </w:p>
        </w:tc>
      </w:tr>
      <w:tr w:rsidR="00CA7656" w:rsidRPr="00CA7656" w:rsidTr="00CA7656">
        <w:trPr>
          <w:trHeight w:hRule="exact" w:val="300"/>
        </w:trPr>
        <w:tc>
          <w:tcPr>
            <w:tcW w:w="960" w:type="dxa"/>
            <w:tcBorders>
              <w:top w:val="single" w:sz="8" w:space="0" w:color="auto"/>
              <w:left w:val="single" w:sz="8" w:space="0" w:color="auto"/>
              <w:bottom w:val="nil"/>
              <w:right w:val="single" w:sz="8" w:space="0" w:color="auto"/>
            </w:tcBorders>
            <w:shd w:val="clear" w:color="auto" w:fill="auto"/>
            <w:noWrap/>
            <w:vAlign w:val="center"/>
            <w:hideMark/>
          </w:tcPr>
          <w:p w:rsidR="00CA7656" w:rsidRPr="00CA7656" w:rsidRDefault="00CA7656" w:rsidP="00CA7656">
            <w:pPr>
              <w:spacing w:after="0" w:line="240" w:lineRule="auto"/>
              <w:jc w:val="right"/>
              <w:rPr>
                <w:rFonts w:ascii="Calibri" w:eastAsia="Times New Roman" w:hAnsi="Calibri" w:cs="Calibri"/>
                <w:b/>
                <w:bCs/>
                <w:color w:val="000000"/>
                <w:lang w:eastAsia="en-GB"/>
              </w:rPr>
            </w:pPr>
            <w:r w:rsidRPr="00CA7656">
              <w:rPr>
                <w:rFonts w:ascii="Calibri" w:eastAsia="Times New Roman" w:hAnsi="Calibri" w:cs="Arial"/>
                <w:b/>
                <w:bCs/>
                <w:color w:val="000000" w:themeColor="text1"/>
                <w:lang w:eastAsia="en-GB"/>
              </w:rPr>
              <w:t> </w:t>
            </w:r>
          </w:p>
        </w:tc>
        <w:tc>
          <w:tcPr>
            <w:tcW w:w="6020" w:type="dxa"/>
            <w:tcBorders>
              <w:top w:val="nil"/>
              <w:left w:val="nil"/>
              <w:bottom w:val="nil"/>
              <w:right w:val="nil"/>
            </w:tcBorders>
            <w:shd w:val="clear" w:color="auto" w:fill="auto"/>
            <w:noWrap/>
            <w:vAlign w:val="center"/>
            <w:hideMark/>
          </w:tcPr>
          <w:p w:rsidR="00CA7656" w:rsidRPr="00CA7656" w:rsidRDefault="00CA7656" w:rsidP="00CA7656">
            <w:pPr>
              <w:spacing w:after="0" w:line="240" w:lineRule="auto"/>
              <w:jc w:val="right"/>
              <w:rPr>
                <w:rFonts w:ascii="Calibri" w:eastAsia="Times New Roman" w:hAnsi="Calibri" w:cs="Calibri"/>
                <w:b/>
                <w:bCs/>
                <w:color w:val="000000"/>
                <w:lang w:eastAsia="en-GB"/>
              </w:rPr>
            </w:pPr>
          </w:p>
        </w:tc>
        <w:tc>
          <w:tcPr>
            <w:tcW w:w="960" w:type="dxa"/>
            <w:tcBorders>
              <w:top w:val="nil"/>
              <w:left w:val="nil"/>
              <w:bottom w:val="nil"/>
              <w:right w:val="single" w:sz="8" w:space="0" w:color="auto"/>
            </w:tcBorders>
            <w:shd w:val="clear" w:color="auto" w:fill="auto"/>
            <w:noWrap/>
            <w:vAlign w:val="center"/>
            <w:hideMark/>
          </w:tcPr>
          <w:p w:rsidR="00CA7656" w:rsidRPr="00CA7656" w:rsidRDefault="00CA7656" w:rsidP="00CA7656">
            <w:pPr>
              <w:spacing w:after="0" w:line="240" w:lineRule="auto"/>
              <w:rPr>
                <w:rFonts w:ascii="Calibri" w:eastAsia="Times New Roman" w:hAnsi="Calibri" w:cs="Calibri"/>
                <w:color w:val="000000"/>
                <w:lang w:eastAsia="en-GB"/>
              </w:rPr>
            </w:pPr>
            <w:r w:rsidRPr="00CA7656">
              <w:rPr>
                <w:rFonts w:ascii="Calibri" w:eastAsia="Times New Roman" w:hAnsi="Calibri" w:cs="Arial"/>
                <w:color w:val="000000"/>
                <w:lang w:eastAsia="en-GB"/>
              </w:rPr>
              <w:t> </w:t>
            </w:r>
          </w:p>
        </w:tc>
        <w:tc>
          <w:tcPr>
            <w:tcW w:w="960" w:type="dxa"/>
            <w:tcBorders>
              <w:top w:val="single" w:sz="8" w:space="0" w:color="auto"/>
              <w:left w:val="nil"/>
              <w:bottom w:val="nil"/>
              <w:right w:val="single" w:sz="8" w:space="0" w:color="auto"/>
            </w:tcBorders>
            <w:shd w:val="clear" w:color="auto" w:fill="auto"/>
            <w:noWrap/>
            <w:vAlign w:val="center"/>
            <w:hideMark/>
          </w:tcPr>
          <w:p w:rsidR="00CA7656" w:rsidRPr="00CA7656" w:rsidRDefault="00CA7656" w:rsidP="00CA7656">
            <w:pPr>
              <w:spacing w:after="0" w:line="240" w:lineRule="auto"/>
              <w:jc w:val="right"/>
              <w:rPr>
                <w:rFonts w:ascii="Calibri" w:eastAsia="Times New Roman" w:hAnsi="Calibri" w:cs="Calibri"/>
                <w:b/>
                <w:bCs/>
                <w:color w:val="000000"/>
                <w:lang w:eastAsia="en-GB"/>
              </w:rPr>
            </w:pPr>
            <w:r w:rsidRPr="00CA7656">
              <w:rPr>
                <w:rFonts w:ascii="Calibri" w:eastAsia="Times New Roman" w:hAnsi="Calibri" w:cs="Arial"/>
                <w:b/>
                <w:bCs/>
                <w:color w:val="000000"/>
                <w:lang w:eastAsia="en-GB"/>
              </w:rPr>
              <w:t> </w:t>
            </w:r>
          </w:p>
        </w:tc>
      </w:tr>
      <w:tr w:rsidR="00CA7656" w:rsidRPr="00CA7656" w:rsidTr="00CA7656">
        <w:trPr>
          <w:trHeight w:hRule="exac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CA7656" w:rsidRPr="00CA7656" w:rsidRDefault="00CA7656" w:rsidP="00CA7656">
            <w:pPr>
              <w:spacing w:after="0" w:line="240" w:lineRule="auto"/>
              <w:jc w:val="right"/>
              <w:rPr>
                <w:rFonts w:ascii="Calibri" w:eastAsia="Times New Roman" w:hAnsi="Calibri" w:cs="Calibri"/>
                <w:b/>
                <w:bCs/>
                <w:color w:val="000000"/>
                <w:lang w:eastAsia="en-GB"/>
              </w:rPr>
            </w:pPr>
            <w:r w:rsidRPr="00CA7656">
              <w:rPr>
                <w:rFonts w:ascii="Calibri" w:eastAsia="Times New Roman" w:hAnsi="Calibri" w:cs="Arial"/>
                <w:b/>
                <w:bCs/>
                <w:color w:val="000000"/>
                <w:lang w:eastAsia="en-GB"/>
              </w:rPr>
              <w:t>-801.1</w:t>
            </w:r>
          </w:p>
        </w:tc>
        <w:tc>
          <w:tcPr>
            <w:tcW w:w="6020" w:type="dxa"/>
            <w:tcBorders>
              <w:top w:val="nil"/>
              <w:left w:val="nil"/>
              <w:bottom w:val="nil"/>
              <w:right w:val="nil"/>
            </w:tcBorders>
            <w:shd w:val="clear" w:color="auto" w:fill="auto"/>
            <w:noWrap/>
            <w:vAlign w:val="center"/>
            <w:hideMark/>
          </w:tcPr>
          <w:p w:rsidR="00CA7656" w:rsidRPr="00CA7656" w:rsidRDefault="00CA7656" w:rsidP="00CA7656">
            <w:pPr>
              <w:spacing w:after="0" w:line="240" w:lineRule="auto"/>
              <w:rPr>
                <w:rFonts w:ascii="Calibri" w:eastAsia="Times New Roman" w:hAnsi="Calibri" w:cs="Calibri"/>
                <w:b/>
                <w:bCs/>
                <w:color w:val="000000"/>
                <w:lang w:eastAsia="en-GB"/>
              </w:rPr>
            </w:pPr>
            <w:r w:rsidRPr="00CA7656">
              <w:rPr>
                <w:rFonts w:ascii="Calibri" w:eastAsia="Times New Roman" w:hAnsi="Calibri" w:cs="Arial"/>
                <w:b/>
                <w:bCs/>
                <w:color w:val="000000"/>
                <w:lang w:eastAsia="en-GB"/>
              </w:rPr>
              <w:t>Opening net assets of the scheme</w:t>
            </w:r>
          </w:p>
        </w:tc>
        <w:tc>
          <w:tcPr>
            <w:tcW w:w="960" w:type="dxa"/>
            <w:tcBorders>
              <w:top w:val="nil"/>
              <w:left w:val="nil"/>
              <w:bottom w:val="nil"/>
              <w:right w:val="single" w:sz="8" w:space="0" w:color="auto"/>
            </w:tcBorders>
            <w:shd w:val="clear" w:color="auto" w:fill="auto"/>
            <w:noWrap/>
            <w:vAlign w:val="center"/>
            <w:hideMark/>
          </w:tcPr>
          <w:p w:rsidR="00CA7656" w:rsidRPr="00CA7656" w:rsidRDefault="00CA7656" w:rsidP="00CA7656">
            <w:pPr>
              <w:spacing w:after="0" w:line="240" w:lineRule="auto"/>
              <w:rPr>
                <w:rFonts w:ascii="Calibri" w:eastAsia="Times New Roman" w:hAnsi="Calibri" w:cs="Calibri"/>
                <w:color w:val="000000"/>
                <w:lang w:eastAsia="en-GB"/>
              </w:rPr>
            </w:pPr>
            <w:r w:rsidRPr="00CA7656">
              <w:rPr>
                <w:rFonts w:ascii="Calibri" w:eastAsia="Times New Roman" w:hAnsi="Calibri" w:cs="Arial"/>
                <w:color w:val="000000"/>
                <w:lang w:eastAsia="en-GB"/>
              </w:rPr>
              <w:t> </w:t>
            </w:r>
          </w:p>
        </w:tc>
        <w:tc>
          <w:tcPr>
            <w:tcW w:w="960" w:type="dxa"/>
            <w:tcBorders>
              <w:top w:val="nil"/>
              <w:left w:val="nil"/>
              <w:bottom w:val="single" w:sz="8" w:space="0" w:color="auto"/>
              <w:right w:val="single" w:sz="8" w:space="0" w:color="auto"/>
            </w:tcBorders>
            <w:shd w:val="clear" w:color="auto" w:fill="auto"/>
            <w:noWrap/>
            <w:vAlign w:val="center"/>
            <w:hideMark/>
          </w:tcPr>
          <w:p w:rsidR="00CA7656" w:rsidRPr="00CA7656" w:rsidRDefault="00CA7656" w:rsidP="00CA7656">
            <w:pPr>
              <w:spacing w:after="0" w:line="240" w:lineRule="auto"/>
              <w:jc w:val="right"/>
              <w:rPr>
                <w:rFonts w:ascii="Calibri" w:eastAsia="Times New Roman" w:hAnsi="Calibri" w:cs="Calibri"/>
                <w:b/>
                <w:bCs/>
                <w:color w:val="000000"/>
                <w:lang w:eastAsia="en-GB"/>
              </w:rPr>
            </w:pPr>
            <w:r w:rsidRPr="00CA7656">
              <w:rPr>
                <w:rFonts w:ascii="Calibri" w:eastAsia="Times New Roman" w:hAnsi="Calibri" w:cs="Arial"/>
                <w:b/>
                <w:bCs/>
                <w:color w:val="000000"/>
                <w:lang w:eastAsia="en-GB"/>
              </w:rPr>
              <w:t>-864.6</w:t>
            </w:r>
          </w:p>
        </w:tc>
      </w:tr>
      <w:tr w:rsidR="00CA7656" w:rsidRPr="00CA7656" w:rsidTr="00CA7656">
        <w:trPr>
          <w:trHeight w:hRule="exac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CA7656" w:rsidRPr="00CA7656" w:rsidRDefault="00CA7656" w:rsidP="00CA7656">
            <w:pPr>
              <w:spacing w:after="0" w:line="240" w:lineRule="auto"/>
              <w:jc w:val="right"/>
              <w:rPr>
                <w:rFonts w:ascii="Calibri" w:eastAsia="Times New Roman" w:hAnsi="Calibri" w:cs="Calibri"/>
                <w:b/>
                <w:bCs/>
                <w:color w:val="000000"/>
                <w:lang w:eastAsia="en-GB"/>
              </w:rPr>
            </w:pPr>
            <w:r w:rsidRPr="00CA7656">
              <w:rPr>
                <w:rFonts w:ascii="Calibri" w:eastAsia="Times New Roman" w:hAnsi="Calibri" w:cs="Arial"/>
                <w:b/>
                <w:bCs/>
                <w:color w:val="000000"/>
                <w:lang w:eastAsia="en-GB"/>
              </w:rPr>
              <w:t>-864.6</w:t>
            </w:r>
          </w:p>
        </w:tc>
        <w:tc>
          <w:tcPr>
            <w:tcW w:w="6020" w:type="dxa"/>
            <w:tcBorders>
              <w:top w:val="nil"/>
              <w:left w:val="nil"/>
              <w:bottom w:val="nil"/>
              <w:right w:val="nil"/>
            </w:tcBorders>
            <w:shd w:val="clear" w:color="auto" w:fill="auto"/>
            <w:noWrap/>
            <w:vAlign w:val="center"/>
            <w:hideMark/>
          </w:tcPr>
          <w:p w:rsidR="00CA7656" w:rsidRPr="00CA7656" w:rsidRDefault="00CA7656" w:rsidP="00CA7656">
            <w:pPr>
              <w:spacing w:after="0" w:line="240" w:lineRule="auto"/>
              <w:rPr>
                <w:rFonts w:ascii="Calibri" w:eastAsia="Times New Roman" w:hAnsi="Calibri" w:cs="Calibri"/>
                <w:b/>
                <w:bCs/>
                <w:color w:val="000000"/>
                <w:lang w:eastAsia="en-GB"/>
              </w:rPr>
            </w:pPr>
            <w:r w:rsidRPr="00CA7656">
              <w:rPr>
                <w:rFonts w:ascii="Calibri" w:eastAsia="Times New Roman" w:hAnsi="Calibri" w:cs="Arial"/>
                <w:b/>
                <w:bCs/>
                <w:color w:val="000000"/>
                <w:lang w:eastAsia="en-GB"/>
              </w:rPr>
              <w:t>Closing net assets of the scheme</w:t>
            </w:r>
          </w:p>
        </w:tc>
        <w:tc>
          <w:tcPr>
            <w:tcW w:w="960" w:type="dxa"/>
            <w:tcBorders>
              <w:top w:val="nil"/>
              <w:left w:val="nil"/>
              <w:bottom w:val="nil"/>
              <w:right w:val="single" w:sz="8" w:space="0" w:color="auto"/>
            </w:tcBorders>
            <w:shd w:val="clear" w:color="auto" w:fill="auto"/>
            <w:noWrap/>
            <w:vAlign w:val="center"/>
            <w:hideMark/>
          </w:tcPr>
          <w:p w:rsidR="00CA7656" w:rsidRPr="00CA7656" w:rsidRDefault="00CA7656" w:rsidP="00CA7656">
            <w:pPr>
              <w:spacing w:after="0" w:line="240" w:lineRule="auto"/>
              <w:rPr>
                <w:rFonts w:ascii="Calibri" w:eastAsia="Times New Roman" w:hAnsi="Calibri" w:cs="Calibri"/>
                <w:color w:val="000000"/>
                <w:lang w:eastAsia="en-GB"/>
              </w:rPr>
            </w:pPr>
            <w:r w:rsidRPr="00CA7656">
              <w:rPr>
                <w:rFonts w:ascii="Calibri" w:eastAsia="Times New Roman" w:hAnsi="Calibri" w:cs="Arial"/>
                <w:color w:val="000000"/>
                <w:lang w:eastAsia="en-GB"/>
              </w:rPr>
              <w:t> </w:t>
            </w:r>
          </w:p>
        </w:tc>
        <w:tc>
          <w:tcPr>
            <w:tcW w:w="960" w:type="dxa"/>
            <w:tcBorders>
              <w:top w:val="nil"/>
              <w:left w:val="nil"/>
              <w:bottom w:val="single" w:sz="8" w:space="0" w:color="auto"/>
              <w:right w:val="single" w:sz="8" w:space="0" w:color="auto"/>
            </w:tcBorders>
            <w:shd w:val="clear" w:color="auto" w:fill="auto"/>
            <w:noWrap/>
            <w:vAlign w:val="center"/>
            <w:hideMark/>
          </w:tcPr>
          <w:p w:rsidR="00CA7656" w:rsidRPr="00CA7656" w:rsidRDefault="00CA7656" w:rsidP="00CA7656">
            <w:pPr>
              <w:spacing w:after="0" w:line="240" w:lineRule="auto"/>
              <w:jc w:val="right"/>
              <w:rPr>
                <w:rFonts w:ascii="Calibri" w:eastAsia="Times New Roman" w:hAnsi="Calibri" w:cs="Calibri"/>
                <w:b/>
                <w:bCs/>
                <w:color w:val="000000"/>
                <w:lang w:eastAsia="en-GB"/>
              </w:rPr>
            </w:pPr>
            <w:r w:rsidRPr="00CA7656">
              <w:rPr>
                <w:rFonts w:ascii="Calibri" w:eastAsia="Times New Roman" w:hAnsi="Calibri" w:cs="Arial"/>
                <w:b/>
                <w:bCs/>
                <w:color w:val="000000"/>
                <w:lang w:eastAsia="en-GB"/>
              </w:rPr>
              <w:t>-839</w:t>
            </w:r>
          </w:p>
        </w:tc>
      </w:tr>
    </w:tbl>
    <w:p w:rsidR="00CA7656" w:rsidRDefault="00CA7656" w:rsidP="00CA7656"/>
    <w:tbl>
      <w:tblPr>
        <w:tblW w:w="9125" w:type="dxa"/>
        <w:tblInd w:w="93" w:type="dxa"/>
        <w:tblLook w:val="0000" w:firstRow="0" w:lastRow="0" w:firstColumn="0" w:lastColumn="0" w:noHBand="0" w:noVBand="0"/>
      </w:tblPr>
      <w:tblGrid>
        <w:gridCol w:w="1325"/>
        <w:gridCol w:w="169"/>
        <w:gridCol w:w="4650"/>
        <w:gridCol w:w="442"/>
        <w:gridCol w:w="742"/>
        <w:gridCol w:w="442"/>
        <w:gridCol w:w="913"/>
        <w:gridCol w:w="442"/>
      </w:tblGrid>
      <w:tr w:rsidR="00CA7656" w:rsidRPr="004B3E6A" w:rsidTr="00CA7656">
        <w:trPr>
          <w:trHeight w:hRule="exact" w:val="284"/>
        </w:trPr>
        <w:tc>
          <w:tcPr>
            <w:tcW w:w="1494" w:type="dxa"/>
            <w:gridSpan w:val="2"/>
          </w:tcPr>
          <w:p w:rsidR="00CA7656" w:rsidRPr="004B3E6A" w:rsidRDefault="00CA7656" w:rsidP="00AE1C26">
            <w:pPr>
              <w:rPr>
                <w:rFonts w:cs="Arial"/>
                <w:b/>
                <w:bCs/>
                <w:lang w:eastAsia="en-GB"/>
              </w:rPr>
            </w:pPr>
          </w:p>
        </w:tc>
        <w:tc>
          <w:tcPr>
            <w:tcW w:w="5092" w:type="dxa"/>
            <w:gridSpan w:val="2"/>
            <w:noWrap/>
            <w:vAlign w:val="bottom"/>
          </w:tcPr>
          <w:p w:rsidR="00CA7656" w:rsidRPr="004B3E6A" w:rsidRDefault="00CA7656" w:rsidP="00AE1C26">
            <w:pPr>
              <w:rPr>
                <w:rFonts w:cs="Arial"/>
                <w:b/>
                <w:bCs/>
                <w:lang w:eastAsia="en-GB"/>
              </w:rPr>
            </w:pPr>
            <w:r w:rsidRPr="004B3E6A">
              <w:rPr>
                <w:rFonts w:cs="Arial"/>
                <w:b/>
                <w:bCs/>
                <w:lang w:eastAsia="en-GB"/>
              </w:rPr>
              <w:t>Net Assets Statement</w:t>
            </w:r>
          </w:p>
        </w:tc>
        <w:tc>
          <w:tcPr>
            <w:tcW w:w="1184" w:type="dxa"/>
            <w:gridSpan w:val="2"/>
            <w:noWrap/>
            <w:vAlign w:val="bottom"/>
          </w:tcPr>
          <w:p w:rsidR="00CA7656" w:rsidRPr="004B3E6A" w:rsidRDefault="00CA7656" w:rsidP="00AE1C26">
            <w:pPr>
              <w:rPr>
                <w:rFonts w:cs="Arial"/>
                <w:b/>
                <w:lang w:eastAsia="en-GB"/>
              </w:rPr>
            </w:pPr>
          </w:p>
        </w:tc>
        <w:tc>
          <w:tcPr>
            <w:tcW w:w="1355" w:type="dxa"/>
            <w:gridSpan w:val="2"/>
            <w:noWrap/>
            <w:vAlign w:val="bottom"/>
          </w:tcPr>
          <w:p w:rsidR="00CA7656" w:rsidRPr="004B3E6A" w:rsidRDefault="00CA7656" w:rsidP="00AE1C26">
            <w:pPr>
              <w:jc w:val="right"/>
              <w:rPr>
                <w:rFonts w:cs="Arial"/>
                <w:b/>
                <w:bCs/>
                <w:lang w:eastAsia="en-GB"/>
              </w:rPr>
            </w:pPr>
          </w:p>
        </w:tc>
      </w:tr>
      <w:tr w:rsidR="00CA7656" w:rsidRPr="004B3E6A" w:rsidTr="00CA7656">
        <w:trPr>
          <w:gridAfter w:val="1"/>
          <w:wAfter w:w="442" w:type="dxa"/>
          <w:trHeight w:hRule="exact" w:val="284"/>
        </w:trPr>
        <w:tc>
          <w:tcPr>
            <w:tcW w:w="1325" w:type="dxa"/>
            <w:vAlign w:val="bottom"/>
          </w:tcPr>
          <w:p w:rsidR="00CA7656" w:rsidRPr="004B3E6A" w:rsidRDefault="00CA7656" w:rsidP="00AE1C26">
            <w:pPr>
              <w:jc w:val="right"/>
              <w:rPr>
                <w:rFonts w:cs="Arial"/>
                <w:b/>
                <w:bCs/>
                <w:lang w:eastAsia="en-GB"/>
              </w:rPr>
            </w:pPr>
          </w:p>
          <w:p w:rsidR="00CA7656" w:rsidRPr="004B3E6A" w:rsidRDefault="00CA7656" w:rsidP="00AE1C26">
            <w:pPr>
              <w:jc w:val="right"/>
              <w:rPr>
                <w:rFonts w:cs="Arial"/>
                <w:color w:val="FF6600"/>
                <w:lang w:eastAsia="en-GB"/>
              </w:rPr>
            </w:pPr>
            <w:r>
              <w:rPr>
                <w:rFonts w:cs="Arial"/>
                <w:b/>
                <w:bCs/>
                <w:lang w:eastAsia="en-GB"/>
              </w:rPr>
              <w:t>31 March 2019</w:t>
            </w:r>
          </w:p>
        </w:tc>
        <w:tc>
          <w:tcPr>
            <w:tcW w:w="4819" w:type="dxa"/>
            <w:gridSpan w:val="2"/>
            <w:noWrap/>
            <w:vAlign w:val="bottom"/>
          </w:tcPr>
          <w:p w:rsidR="00CA7656" w:rsidRPr="004B3E6A" w:rsidRDefault="00CA7656" w:rsidP="00AE1C26">
            <w:pPr>
              <w:rPr>
                <w:rFonts w:cs="Arial"/>
                <w:color w:val="FF6600"/>
                <w:lang w:eastAsia="en-GB"/>
              </w:rPr>
            </w:pPr>
          </w:p>
        </w:tc>
        <w:tc>
          <w:tcPr>
            <w:tcW w:w="1184" w:type="dxa"/>
            <w:gridSpan w:val="2"/>
            <w:noWrap/>
            <w:vAlign w:val="bottom"/>
          </w:tcPr>
          <w:p w:rsidR="00CA7656" w:rsidRPr="004B3E6A" w:rsidRDefault="00CA7656" w:rsidP="00AE1C26">
            <w:pPr>
              <w:rPr>
                <w:rFonts w:cs="Arial"/>
                <w:b/>
                <w:lang w:eastAsia="en-GB"/>
              </w:rPr>
            </w:pPr>
          </w:p>
        </w:tc>
        <w:tc>
          <w:tcPr>
            <w:tcW w:w="1355" w:type="dxa"/>
            <w:gridSpan w:val="2"/>
            <w:noWrap/>
            <w:vAlign w:val="bottom"/>
          </w:tcPr>
          <w:p w:rsidR="00CA7656" w:rsidRPr="009949AF" w:rsidRDefault="00CA7656" w:rsidP="00AE1C26">
            <w:pPr>
              <w:jc w:val="right"/>
              <w:rPr>
                <w:rFonts w:cs="Arial"/>
                <w:b/>
                <w:bCs/>
                <w:lang w:eastAsia="en-GB"/>
              </w:rPr>
            </w:pPr>
            <w:r w:rsidRPr="009949AF">
              <w:rPr>
                <w:rFonts w:cs="Arial"/>
                <w:b/>
                <w:bCs/>
                <w:lang w:eastAsia="en-GB"/>
              </w:rPr>
              <w:t>31 March 2020</w:t>
            </w:r>
          </w:p>
        </w:tc>
      </w:tr>
      <w:tr w:rsidR="00CA7656" w:rsidRPr="004B3E6A" w:rsidTr="00CA7656">
        <w:trPr>
          <w:gridAfter w:val="1"/>
          <w:wAfter w:w="442" w:type="dxa"/>
          <w:trHeight w:hRule="exact" w:val="284"/>
        </w:trPr>
        <w:tc>
          <w:tcPr>
            <w:tcW w:w="1325" w:type="dxa"/>
            <w:tcBorders>
              <w:bottom w:val="single" w:sz="4" w:space="0" w:color="auto"/>
            </w:tcBorders>
            <w:vAlign w:val="bottom"/>
          </w:tcPr>
          <w:p w:rsidR="00CA7656" w:rsidRPr="004B3E6A" w:rsidRDefault="00CA7656" w:rsidP="00AE1C26">
            <w:pPr>
              <w:jc w:val="right"/>
              <w:rPr>
                <w:rFonts w:cs="Arial"/>
                <w:color w:val="FF6600"/>
                <w:lang w:eastAsia="en-GB"/>
              </w:rPr>
            </w:pPr>
            <w:r w:rsidRPr="004B3E6A">
              <w:rPr>
                <w:rFonts w:cs="Arial"/>
                <w:b/>
                <w:bCs/>
                <w:lang w:eastAsia="en-GB"/>
              </w:rPr>
              <w:t>£m</w:t>
            </w:r>
          </w:p>
        </w:tc>
        <w:tc>
          <w:tcPr>
            <w:tcW w:w="4819" w:type="dxa"/>
            <w:gridSpan w:val="2"/>
            <w:noWrap/>
            <w:vAlign w:val="bottom"/>
          </w:tcPr>
          <w:p w:rsidR="00CA7656" w:rsidRPr="004B3E6A" w:rsidRDefault="00CA7656" w:rsidP="00AE1C26">
            <w:pPr>
              <w:rPr>
                <w:rFonts w:cs="Arial"/>
                <w:color w:val="FF6600"/>
                <w:lang w:eastAsia="en-GB"/>
              </w:rPr>
            </w:pPr>
          </w:p>
        </w:tc>
        <w:tc>
          <w:tcPr>
            <w:tcW w:w="1184" w:type="dxa"/>
            <w:gridSpan w:val="2"/>
            <w:noWrap/>
            <w:vAlign w:val="bottom"/>
          </w:tcPr>
          <w:p w:rsidR="00CA7656" w:rsidRPr="004B3E6A" w:rsidRDefault="00CA7656" w:rsidP="00AE1C26">
            <w:pPr>
              <w:rPr>
                <w:rFonts w:cs="Arial"/>
                <w:color w:val="FF6600"/>
                <w:lang w:eastAsia="en-GB"/>
              </w:rPr>
            </w:pPr>
            <w:r w:rsidRPr="004B3E6A">
              <w:rPr>
                <w:rFonts w:cs="Arial"/>
                <w:b/>
                <w:lang w:eastAsia="en-GB"/>
              </w:rPr>
              <w:t>Notes</w:t>
            </w:r>
          </w:p>
        </w:tc>
        <w:tc>
          <w:tcPr>
            <w:tcW w:w="1355" w:type="dxa"/>
            <w:gridSpan w:val="2"/>
            <w:tcBorders>
              <w:bottom w:val="single" w:sz="4" w:space="0" w:color="auto"/>
            </w:tcBorders>
            <w:noWrap/>
            <w:vAlign w:val="bottom"/>
          </w:tcPr>
          <w:p w:rsidR="00CA7656" w:rsidRPr="009949AF" w:rsidRDefault="00CA7656" w:rsidP="00AE1C26">
            <w:pPr>
              <w:jc w:val="right"/>
              <w:rPr>
                <w:rFonts w:cs="Arial"/>
                <w:b/>
                <w:bCs/>
                <w:lang w:eastAsia="en-GB"/>
              </w:rPr>
            </w:pPr>
            <w:r w:rsidRPr="009949AF">
              <w:rPr>
                <w:rFonts w:cs="Arial"/>
                <w:b/>
                <w:bCs/>
                <w:lang w:eastAsia="en-GB"/>
              </w:rPr>
              <w:t>£m</w:t>
            </w:r>
          </w:p>
        </w:tc>
      </w:tr>
      <w:tr w:rsidR="00CA7656" w:rsidRPr="004B3E6A" w:rsidTr="00CA7656">
        <w:trPr>
          <w:gridAfter w:val="1"/>
          <w:wAfter w:w="442" w:type="dxa"/>
          <w:trHeight w:hRule="exact" w:val="284"/>
        </w:trPr>
        <w:tc>
          <w:tcPr>
            <w:tcW w:w="1325" w:type="dxa"/>
            <w:tcBorders>
              <w:top w:val="single" w:sz="4" w:space="0" w:color="auto"/>
              <w:left w:val="single" w:sz="4" w:space="0" w:color="auto"/>
              <w:right w:val="single" w:sz="4" w:space="0" w:color="auto"/>
            </w:tcBorders>
            <w:vAlign w:val="bottom"/>
          </w:tcPr>
          <w:p w:rsidR="00CA7656" w:rsidRPr="004B3E6A" w:rsidRDefault="00CA7656" w:rsidP="00AE1C26">
            <w:pPr>
              <w:jc w:val="right"/>
              <w:rPr>
                <w:rFonts w:cs="Arial"/>
                <w:b/>
                <w:bCs/>
                <w:lang w:eastAsia="en-GB"/>
              </w:rPr>
            </w:pPr>
          </w:p>
        </w:tc>
        <w:tc>
          <w:tcPr>
            <w:tcW w:w="4819" w:type="dxa"/>
            <w:gridSpan w:val="2"/>
            <w:tcBorders>
              <w:left w:val="single" w:sz="4" w:space="0" w:color="auto"/>
            </w:tcBorders>
            <w:noWrap/>
            <w:vAlign w:val="bottom"/>
          </w:tcPr>
          <w:p w:rsidR="00CA7656" w:rsidRPr="004B3E6A" w:rsidRDefault="00CA7656" w:rsidP="00AE1C26">
            <w:pPr>
              <w:rPr>
                <w:rFonts w:cs="Arial"/>
                <w:b/>
                <w:bCs/>
                <w:lang w:eastAsia="en-GB"/>
              </w:rPr>
            </w:pPr>
          </w:p>
        </w:tc>
        <w:tc>
          <w:tcPr>
            <w:tcW w:w="1184" w:type="dxa"/>
            <w:gridSpan w:val="2"/>
            <w:tcBorders>
              <w:right w:val="single" w:sz="4" w:space="0" w:color="auto"/>
            </w:tcBorders>
            <w:noWrap/>
            <w:vAlign w:val="bottom"/>
          </w:tcPr>
          <w:p w:rsidR="00CA7656" w:rsidRPr="004B3E6A" w:rsidRDefault="00CA7656" w:rsidP="00AE1C26">
            <w:pPr>
              <w:rPr>
                <w:rFonts w:cs="Arial"/>
                <w:lang w:eastAsia="en-GB"/>
              </w:rPr>
            </w:pPr>
          </w:p>
        </w:tc>
        <w:tc>
          <w:tcPr>
            <w:tcW w:w="1355" w:type="dxa"/>
            <w:gridSpan w:val="2"/>
            <w:tcBorders>
              <w:top w:val="single" w:sz="4" w:space="0" w:color="auto"/>
              <w:left w:val="single" w:sz="4" w:space="0" w:color="auto"/>
              <w:right w:val="single" w:sz="4" w:space="0" w:color="auto"/>
            </w:tcBorders>
            <w:noWrap/>
            <w:vAlign w:val="bottom"/>
          </w:tcPr>
          <w:p w:rsidR="00CA7656" w:rsidRPr="009949AF" w:rsidRDefault="00CA7656" w:rsidP="00AE1C26">
            <w:pPr>
              <w:jc w:val="right"/>
              <w:rPr>
                <w:rFonts w:cs="Arial"/>
                <w:lang w:eastAsia="en-GB"/>
              </w:rPr>
            </w:pPr>
          </w:p>
        </w:tc>
      </w:tr>
      <w:tr w:rsidR="00CA7656" w:rsidRPr="002B2726" w:rsidTr="00CA7656">
        <w:trPr>
          <w:gridAfter w:val="1"/>
          <w:wAfter w:w="442" w:type="dxa"/>
          <w:trHeight w:hRule="exact" w:val="284"/>
        </w:trPr>
        <w:tc>
          <w:tcPr>
            <w:tcW w:w="1325" w:type="dxa"/>
            <w:tcBorders>
              <w:left w:val="single" w:sz="4" w:space="0" w:color="auto"/>
              <w:right w:val="single" w:sz="4" w:space="0" w:color="auto"/>
            </w:tcBorders>
            <w:vAlign w:val="bottom"/>
          </w:tcPr>
          <w:p w:rsidR="00CA7656" w:rsidRPr="00BF4F45" w:rsidRDefault="00CA7656" w:rsidP="00AE1C26">
            <w:pPr>
              <w:jc w:val="right"/>
              <w:rPr>
                <w:rFonts w:cs="Arial"/>
                <w:lang w:eastAsia="en-GB"/>
              </w:rPr>
            </w:pPr>
            <w:r>
              <w:rPr>
                <w:rFonts w:cs="Arial"/>
                <w:lang w:eastAsia="en-GB"/>
              </w:rPr>
              <w:t>856.4</w:t>
            </w:r>
          </w:p>
        </w:tc>
        <w:tc>
          <w:tcPr>
            <w:tcW w:w="4819" w:type="dxa"/>
            <w:gridSpan w:val="2"/>
            <w:tcBorders>
              <w:left w:val="single" w:sz="4" w:space="0" w:color="auto"/>
            </w:tcBorders>
            <w:noWrap/>
            <w:vAlign w:val="bottom"/>
          </w:tcPr>
          <w:p w:rsidR="00CA7656" w:rsidRPr="002B2726" w:rsidRDefault="00CA7656" w:rsidP="00AE1C26">
            <w:pPr>
              <w:rPr>
                <w:rFonts w:cs="Arial"/>
                <w:lang w:eastAsia="en-GB"/>
              </w:rPr>
            </w:pPr>
            <w:r w:rsidRPr="002B2726">
              <w:rPr>
                <w:rFonts w:cs="Arial"/>
                <w:lang w:eastAsia="en-GB"/>
              </w:rPr>
              <w:t xml:space="preserve">   Investment assets</w:t>
            </w:r>
          </w:p>
        </w:tc>
        <w:tc>
          <w:tcPr>
            <w:tcW w:w="1184" w:type="dxa"/>
            <w:gridSpan w:val="2"/>
            <w:tcBorders>
              <w:right w:val="single" w:sz="4" w:space="0" w:color="auto"/>
            </w:tcBorders>
            <w:noWrap/>
            <w:vAlign w:val="bottom"/>
          </w:tcPr>
          <w:p w:rsidR="00CA7656" w:rsidRPr="002B2726" w:rsidRDefault="00CA7656" w:rsidP="00AE1C26">
            <w:pPr>
              <w:rPr>
                <w:rFonts w:cs="Arial"/>
                <w:b/>
                <w:lang w:eastAsia="en-GB"/>
              </w:rPr>
            </w:pPr>
            <w:r w:rsidRPr="002B2726">
              <w:rPr>
                <w:rFonts w:cs="Arial"/>
                <w:b/>
                <w:lang w:eastAsia="en-GB"/>
              </w:rPr>
              <w:t>14</w:t>
            </w:r>
          </w:p>
        </w:tc>
        <w:tc>
          <w:tcPr>
            <w:tcW w:w="1355" w:type="dxa"/>
            <w:gridSpan w:val="2"/>
            <w:tcBorders>
              <w:left w:val="single" w:sz="4" w:space="0" w:color="auto"/>
              <w:right w:val="single" w:sz="4" w:space="0" w:color="auto"/>
            </w:tcBorders>
            <w:noWrap/>
            <w:vAlign w:val="bottom"/>
          </w:tcPr>
          <w:p w:rsidR="00CA7656" w:rsidRPr="009949AF" w:rsidRDefault="00CA7656" w:rsidP="00AE1C26">
            <w:pPr>
              <w:jc w:val="right"/>
              <w:rPr>
                <w:rFonts w:cs="Arial"/>
                <w:lang w:eastAsia="en-GB"/>
              </w:rPr>
            </w:pPr>
            <w:r w:rsidRPr="009949AF">
              <w:rPr>
                <w:rFonts w:cs="Arial"/>
                <w:lang w:eastAsia="en-GB"/>
              </w:rPr>
              <w:t>835.3</w:t>
            </w:r>
          </w:p>
        </w:tc>
      </w:tr>
      <w:tr w:rsidR="00CA7656" w:rsidRPr="002B2726" w:rsidTr="00CA7656">
        <w:trPr>
          <w:gridAfter w:val="1"/>
          <w:wAfter w:w="442" w:type="dxa"/>
          <w:trHeight w:hRule="exact" w:val="284"/>
        </w:trPr>
        <w:tc>
          <w:tcPr>
            <w:tcW w:w="1325" w:type="dxa"/>
            <w:tcBorders>
              <w:top w:val="single" w:sz="4" w:space="0" w:color="auto"/>
              <w:left w:val="single" w:sz="4" w:space="0" w:color="auto"/>
              <w:right w:val="single" w:sz="4" w:space="0" w:color="auto"/>
            </w:tcBorders>
            <w:vAlign w:val="bottom"/>
          </w:tcPr>
          <w:p w:rsidR="00CA7656" w:rsidRPr="00BF4F45" w:rsidRDefault="00CA7656" w:rsidP="00AE1C26">
            <w:pPr>
              <w:jc w:val="right"/>
              <w:rPr>
                <w:rFonts w:cs="Arial"/>
                <w:b/>
                <w:lang w:eastAsia="en-GB"/>
              </w:rPr>
            </w:pPr>
            <w:r>
              <w:rPr>
                <w:rFonts w:cs="Arial"/>
                <w:b/>
                <w:lang w:eastAsia="en-GB"/>
              </w:rPr>
              <w:t>856.4</w:t>
            </w:r>
          </w:p>
        </w:tc>
        <w:tc>
          <w:tcPr>
            <w:tcW w:w="4819" w:type="dxa"/>
            <w:gridSpan w:val="2"/>
            <w:tcBorders>
              <w:left w:val="single" w:sz="4" w:space="0" w:color="auto"/>
            </w:tcBorders>
            <w:noWrap/>
            <w:vAlign w:val="bottom"/>
          </w:tcPr>
          <w:p w:rsidR="00CA7656" w:rsidRPr="002B2726" w:rsidRDefault="00CA7656" w:rsidP="00AE1C26">
            <w:pPr>
              <w:rPr>
                <w:rFonts w:cs="Arial"/>
                <w:lang w:eastAsia="en-GB"/>
              </w:rPr>
            </w:pPr>
          </w:p>
        </w:tc>
        <w:tc>
          <w:tcPr>
            <w:tcW w:w="1184" w:type="dxa"/>
            <w:gridSpan w:val="2"/>
            <w:tcBorders>
              <w:right w:val="single" w:sz="4" w:space="0" w:color="auto"/>
            </w:tcBorders>
            <w:noWrap/>
            <w:vAlign w:val="bottom"/>
          </w:tcPr>
          <w:p w:rsidR="00CA7656" w:rsidRPr="002B2726" w:rsidRDefault="00CA7656" w:rsidP="00AE1C26">
            <w:pPr>
              <w:rPr>
                <w:rFonts w:cs="Arial"/>
                <w:b/>
                <w:lang w:eastAsia="en-GB"/>
              </w:rPr>
            </w:pPr>
          </w:p>
        </w:tc>
        <w:tc>
          <w:tcPr>
            <w:tcW w:w="1355" w:type="dxa"/>
            <w:gridSpan w:val="2"/>
            <w:tcBorders>
              <w:top w:val="single" w:sz="4" w:space="0" w:color="auto"/>
              <w:left w:val="single" w:sz="4" w:space="0" w:color="auto"/>
              <w:right w:val="single" w:sz="4" w:space="0" w:color="auto"/>
            </w:tcBorders>
            <w:noWrap/>
            <w:vAlign w:val="bottom"/>
          </w:tcPr>
          <w:p w:rsidR="00CA7656" w:rsidRPr="009949AF" w:rsidRDefault="00CA7656" w:rsidP="00AE1C26">
            <w:pPr>
              <w:jc w:val="right"/>
              <w:rPr>
                <w:rFonts w:cs="Arial"/>
                <w:b/>
                <w:lang w:eastAsia="en-GB"/>
              </w:rPr>
            </w:pPr>
            <w:r w:rsidRPr="009949AF">
              <w:rPr>
                <w:rFonts w:cs="Arial"/>
                <w:b/>
                <w:lang w:eastAsia="en-GB"/>
              </w:rPr>
              <w:t>835.3</w:t>
            </w:r>
          </w:p>
        </w:tc>
      </w:tr>
      <w:tr w:rsidR="00CA7656" w:rsidRPr="002B2726" w:rsidTr="00CA7656">
        <w:trPr>
          <w:gridAfter w:val="1"/>
          <w:wAfter w:w="442" w:type="dxa"/>
          <w:trHeight w:hRule="exact" w:val="284"/>
        </w:trPr>
        <w:tc>
          <w:tcPr>
            <w:tcW w:w="1325" w:type="dxa"/>
            <w:tcBorders>
              <w:left w:val="single" w:sz="4" w:space="0" w:color="auto"/>
              <w:right w:val="single" w:sz="4" w:space="0" w:color="auto"/>
            </w:tcBorders>
            <w:vAlign w:val="bottom"/>
          </w:tcPr>
          <w:p w:rsidR="00CA7656" w:rsidRPr="002B2726" w:rsidRDefault="00CA7656" w:rsidP="00AE1C26">
            <w:pPr>
              <w:jc w:val="right"/>
              <w:rPr>
                <w:rFonts w:cs="Arial"/>
                <w:lang w:eastAsia="en-GB"/>
              </w:rPr>
            </w:pPr>
          </w:p>
        </w:tc>
        <w:tc>
          <w:tcPr>
            <w:tcW w:w="4819" w:type="dxa"/>
            <w:gridSpan w:val="2"/>
            <w:tcBorders>
              <w:left w:val="single" w:sz="4" w:space="0" w:color="auto"/>
            </w:tcBorders>
            <w:noWrap/>
            <w:vAlign w:val="bottom"/>
          </w:tcPr>
          <w:p w:rsidR="00CA7656" w:rsidRPr="002B2726" w:rsidRDefault="00CA7656" w:rsidP="00AE1C26">
            <w:pPr>
              <w:rPr>
                <w:rFonts w:cs="Arial"/>
                <w:lang w:eastAsia="en-GB"/>
              </w:rPr>
            </w:pPr>
          </w:p>
        </w:tc>
        <w:tc>
          <w:tcPr>
            <w:tcW w:w="1184" w:type="dxa"/>
            <w:gridSpan w:val="2"/>
            <w:tcBorders>
              <w:right w:val="single" w:sz="4" w:space="0" w:color="auto"/>
            </w:tcBorders>
            <w:noWrap/>
            <w:vAlign w:val="bottom"/>
          </w:tcPr>
          <w:p w:rsidR="00CA7656" w:rsidRPr="002B2726" w:rsidRDefault="00CA7656" w:rsidP="00AE1C26">
            <w:pPr>
              <w:rPr>
                <w:rFonts w:cs="Arial"/>
                <w:b/>
                <w:lang w:eastAsia="en-GB"/>
              </w:rPr>
            </w:pPr>
          </w:p>
        </w:tc>
        <w:tc>
          <w:tcPr>
            <w:tcW w:w="1355" w:type="dxa"/>
            <w:gridSpan w:val="2"/>
            <w:tcBorders>
              <w:left w:val="single" w:sz="4" w:space="0" w:color="auto"/>
              <w:right w:val="single" w:sz="4" w:space="0" w:color="auto"/>
            </w:tcBorders>
            <w:noWrap/>
            <w:vAlign w:val="bottom"/>
          </w:tcPr>
          <w:p w:rsidR="00CA7656" w:rsidRPr="009949AF" w:rsidRDefault="00CA7656" w:rsidP="00AE1C26">
            <w:pPr>
              <w:jc w:val="right"/>
              <w:rPr>
                <w:rFonts w:cs="Arial"/>
                <w:lang w:eastAsia="en-GB"/>
              </w:rPr>
            </w:pPr>
          </w:p>
        </w:tc>
      </w:tr>
      <w:tr w:rsidR="00CA7656" w:rsidRPr="002B2726" w:rsidTr="00CA7656">
        <w:trPr>
          <w:gridAfter w:val="1"/>
          <w:wAfter w:w="442" w:type="dxa"/>
          <w:trHeight w:hRule="exact" w:val="284"/>
        </w:trPr>
        <w:tc>
          <w:tcPr>
            <w:tcW w:w="1325" w:type="dxa"/>
            <w:tcBorders>
              <w:left w:val="single" w:sz="4" w:space="0" w:color="auto"/>
              <w:right w:val="single" w:sz="4" w:space="0" w:color="auto"/>
            </w:tcBorders>
            <w:vAlign w:val="bottom"/>
          </w:tcPr>
          <w:p w:rsidR="00CA7656" w:rsidRPr="00BF4F45" w:rsidRDefault="00CA7656" w:rsidP="00AE1C26">
            <w:pPr>
              <w:jc w:val="right"/>
              <w:rPr>
                <w:rFonts w:cs="Arial"/>
                <w:lang w:eastAsia="en-GB"/>
              </w:rPr>
            </w:pPr>
            <w:r>
              <w:rPr>
                <w:rFonts w:cs="Arial"/>
                <w:lang w:eastAsia="en-GB"/>
              </w:rPr>
              <w:t>9.1</w:t>
            </w:r>
          </w:p>
        </w:tc>
        <w:tc>
          <w:tcPr>
            <w:tcW w:w="4819" w:type="dxa"/>
            <w:gridSpan w:val="2"/>
            <w:tcBorders>
              <w:left w:val="single" w:sz="4" w:space="0" w:color="auto"/>
            </w:tcBorders>
            <w:noWrap/>
            <w:vAlign w:val="bottom"/>
          </w:tcPr>
          <w:p w:rsidR="00CA7656" w:rsidRPr="002B2726" w:rsidRDefault="00CA7656" w:rsidP="00AE1C26">
            <w:pPr>
              <w:rPr>
                <w:rFonts w:cs="Arial"/>
                <w:lang w:eastAsia="en-GB"/>
              </w:rPr>
            </w:pPr>
            <w:r w:rsidRPr="002B2726">
              <w:rPr>
                <w:rFonts w:cs="Arial"/>
                <w:lang w:eastAsia="en-GB"/>
              </w:rPr>
              <w:t xml:space="preserve">   Current assets</w:t>
            </w:r>
          </w:p>
        </w:tc>
        <w:tc>
          <w:tcPr>
            <w:tcW w:w="1184" w:type="dxa"/>
            <w:gridSpan w:val="2"/>
            <w:tcBorders>
              <w:right w:val="single" w:sz="4" w:space="0" w:color="auto"/>
            </w:tcBorders>
            <w:noWrap/>
            <w:vAlign w:val="bottom"/>
          </w:tcPr>
          <w:p w:rsidR="00CA7656" w:rsidRPr="002B2726" w:rsidRDefault="00CA7656" w:rsidP="00AE1C26">
            <w:pPr>
              <w:rPr>
                <w:rFonts w:cs="Arial"/>
                <w:b/>
                <w:lang w:eastAsia="en-GB"/>
              </w:rPr>
            </w:pPr>
            <w:r w:rsidRPr="002B2726">
              <w:rPr>
                <w:rFonts w:cs="Arial"/>
                <w:b/>
                <w:lang w:eastAsia="en-GB"/>
              </w:rPr>
              <w:t>20</w:t>
            </w:r>
          </w:p>
        </w:tc>
        <w:tc>
          <w:tcPr>
            <w:tcW w:w="1355" w:type="dxa"/>
            <w:gridSpan w:val="2"/>
            <w:tcBorders>
              <w:left w:val="single" w:sz="4" w:space="0" w:color="auto"/>
              <w:right w:val="single" w:sz="4" w:space="0" w:color="auto"/>
            </w:tcBorders>
            <w:noWrap/>
            <w:vAlign w:val="bottom"/>
          </w:tcPr>
          <w:p w:rsidR="00CA7656" w:rsidRPr="009949AF" w:rsidRDefault="00CA7656" w:rsidP="00AE1C26">
            <w:pPr>
              <w:jc w:val="right"/>
              <w:rPr>
                <w:rFonts w:cs="Arial"/>
                <w:lang w:eastAsia="en-GB"/>
              </w:rPr>
            </w:pPr>
            <w:r w:rsidRPr="009949AF">
              <w:rPr>
                <w:rFonts w:cs="Arial"/>
                <w:lang w:eastAsia="en-GB"/>
              </w:rPr>
              <w:t>4.0</w:t>
            </w:r>
          </w:p>
        </w:tc>
      </w:tr>
      <w:tr w:rsidR="00CA7656" w:rsidRPr="002B2726" w:rsidTr="00CA7656">
        <w:trPr>
          <w:gridAfter w:val="1"/>
          <w:wAfter w:w="442" w:type="dxa"/>
          <w:trHeight w:hRule="exact" w:val="284"/>
        </w:trPr>
        <w:tc>
          <w:tcPr>
            <w:tcW w:w="1325" w:type="dxa"/>
            <w:tcBorders>
              <w:left w:val="single" w:sz="4" w:space="0" w:color="auto"/>
              <w:right w:val="single" w:sz="4" w:space="0" w:color="auto"/>
            </w:tcBorders>
            <w:vAlign w:val="bottom"/>
          </w:tcPr>
          <w:p w:rsidR="00CA7656" w:rsidRPr="00BF4F45" w:rsidRDefault="00CA7656" w:rsidP="00AE1C26">
            <w:pPr>
              <w:jc w:val="right"/>
              <w:rPr>
                <w:rFonts w:cs="Arial"/>
                <w:lang w:eastAsia="en-GB"/>
              </w:rPr>
            </w:pPr>
            <w:r w:rsidRPr="00BF4F45">
              <w:rPr>
                <w:rFonts w:cs="Arial"/>
                <w:lang w:eastAsia="en-GB"/>
              </w:rPr>
              <w:t>0.0</w:t>
            </w:r>
          </w:p>
        </w:tc>
        <w:tc>
          <w:tcPr>
            <w:tcW w:w="4819" w:type="dxa"/>
            <w:gridSpan w:val="2"/>
            <w:tcBorders>
              <w:left w:val="single" w:sz="4" w:space="0" w:color="auto"/>
            </w:tcBorders>
            <w:noWrap/>
            <w:vAlign w:val="bottom"/>
          </w:tcPr>
          <w:p w:rsidR="00CA7656" w:rsidRPr="002B2726" w:rsidRDefault="00CA7656" w:rsidP="00AE1C26">
            <w:pPr>
              <w:rPr>
                <w:rFonts w:cs="Arial"/>
                <w:lang w:eastAsia="en-GB"/>
              </w:rPr>
            </w:pPr>
            <w:r w:rsidRPr="002B2726">
              <w:rPr>
                <w:rFonts w:cs="Arial"/>
                <w:lang w:eastAsia="en-GB"/>
              </w:rPr>
              <w:t xml:space="preserve">   Non-current assets</w:t>
            </w:r>
          </w:p>
        </w:tc>
        <w:tc>
          <w:tcPr>
            <w:tcW w:w="1184" w:type="dxa"/>
            <w:gridSpan w:val="2"/>
            <w:tcBorders>
              <w:right w:val="single" w:sz="4" w:space="0" w:color="auto"/>
            </w:tcBorders>
            <w:noWrap/>
            <w:vAlign w:val="bottom"/>
          </w:tcPr>
          <w:p w:rsidR="00CA7656" w:rsidRPr="002B2726" w:rsidRDefault="00CA7656" w:rsidP="00AE1C26">
            <w:pPr>
              <w:jc w:val="center"/>
              <w:rPr>
                <w:rFonts w:cs="Arial"/>
                <w:b/>
                <w:lang w:eastAsia="en-GB"/>
              </w:rPr>
            </w:pPr>
          </w:p>
        </w:tc>
        <w:tc>
          <w:tcPr>
            <w:tcW w:w="1355" w:type="dxa"/>
            <w:gridSpan w:val="2"/>
            <w:tcBorders>
              <w:left w:val="single" w:sz="4" w:space="0" w:color="auto"/>
              <w:right w:val="single" w:sz="4" w:space="0" w:color="auto"/>
            </w:tcBorders>
            <w:noWrap/>
            <w:vAlign w:val="bottom"/>
          </w:tcPr>
          <w:p w:rsidR="00CA7656" w:rsidRPr="009949AF" w:rsidRDefault="00CA7656" w:rsidP="00AE1C26">
            <w:pPr>
              <w:jc w:val="right"/>
              <w:rPr>
                <w:rFonts w:cs="Arial"/>
                <w:lang w:eastAsia="en-GB"/>
              </w:rPr>
            </w:pPr>
            <w:r w:rsidRPr="009949AF">
              <w:rPr>
                <w:rFonts w:cs="Arial"/>
                <w:lang w:eastAsia="en-GB"/>
              </w:rPr>
              <w:t>0.0</w:t>
            </w:r>
          </w:p>
        </w:tc>
      </w:tr>
      <w:tr w:rsidR="00CA7656" w:rsidRPr="002B2726" w:rsidTr="00CA7656">
        <w:trPr>
          <w:gridAfter w:val="1"/>
          <w:wAfter w:w="442" w:type="dxa"/>
          <w:trHeight w:hRule="exact" w:val="284"/>
        </w:trPr>
        <w:tc>
          <w:tcPr>
            <w:tcW w:w="1325" w:type="dxa"/>
            <w:tcBorders>
              <w:left w:val="single" w:sz="4" w:space="0" w:color="auto"/>
              <w:right w:val="single" w:sz="4" w:space="0" w:color="auto"/>
            </w:tcBorders>
            <w:vAlign w:val="bottom"/>
          </w:tcPr>
          <w:p w:rsidR="00CA7656" w:rsidRPr="00BF4F45" w:rsidRDefault="00CA7656" w:rsidP="00AE1C26">
            <w:pPr>
              <w:jc w:val="right"/>
              <w:rPr>
                <w:rFonts w:cs="Arial"/>
                <w:lang w:eastAsia="en-GB"/>
              </w:rPr>
            </w:pPr>
            <w:r>
              <w:rPr>
                <w:rFonts w:cs="Arial"/>
                <w:lang w:eastAsia="en-GB"/>
              </w:rPr>
              <w:t>(0.9</w:t>
            </w:r>
            <w:r w:rsidRPr="00BF4F45">
              <w:rPr>
                <w:rFonts w:cs="Arial"/>
                <w:lang w:eastAsia="en-GB"/>
              </w:rPr>
              <w:t>)</w:t>
            </w:r>
          </w:p>
        </w:tc>
        <w:tc>
          <w:tcPr>
            <w:tcW w:w="4819" w:type="dxa"/>
            <w:gridSpan w:val="2"/>
            <w:tcBorders>
              <w:left w:val="single" w:sz="4" w:space="0" w:color="auto"/>
            </w:tcBorders>
            <w:noWrap/>
            <w:vAlign w:val="bottom"/>
          </w:tcPr>
          <w:p w:rsidR="00CA7656" w:rsidRPr="002B2726" w:rsidRDefault="00CA7656" w:rsidP="00AE1C26">
            <w:pPr>
              <w:rPr>
                <w:rFonts w:cs="Arial"/>
                <w:lang w:eastAsia="en-GB"/>
              </w:rPr>
            </w:pPr>
            <w:r w:rsidRPr="002B2726">
              <w:rPr>
                <w:rFonts w:cs="Arial"/>
                <w:lang w:eastAsia="en-GB"/>
              </w:rPr>
              <w:t xml:space="preserve">   Current liabilities</w:t>
            </w:r>
          </w:p>
        </w:tc>
        <w:tc>
          <w:tcPr>
            <w:tcW w:w="1184" w:type="dxa"/>
            <w:gridSpan w:val="2"/>
            <w:tcBorders>
              <w:right w:val="single" w:sz="4" w:space="0" w:color="auto"/>
            </w:tcBorders>
            <w:noWrap/>
            <w:vAlign w:val="bottom"/>
          </w:tcPr>
          <w:p w:rsidR="00CA7656" w:rsidRPr="002B2726" w:rsidRDefault="00CA7656" w:rsidP="00AE1C26">
            <w:pPr>
              <w:rPr>
                <w:rFonts w:cs="Arial"/>
                <w:b/>
                <w:lang w:eastAsia="en-GB"/>
              </w:rPr>
            </w:pPr>
            <w:r w:rsidRPr="002B2726">
              <w:rPr>
                <w:rFonts w:cs="Arial"/>
                <w:b/>
                <w:lang w:eastAsia="en-GB"/>
              </w:rPr>
              <w:t>21</w:t>
            </w:r>
          </w:p>
        </w:tc>
        <w:tc>
          <w:tcPr>
            <w:tcW w:w="1355" w:type="dxa"/>
            <w:gridSpan w:val="2"/>
            <w:tcBorders>
              <w:left w:val="single" w:sz="4" w:space="0" w:color="auto"/>
              <w:right w:val="single" w:sz="4" w:space="0" w:color="auto"/>
            </w:tcBorders>
            <w:noWrap/>
            <w:vAlign w:val="bottom"/>
          </w:tcPr>
          <w:p w:rsidR="00CA7656" w:rsidRPr="009949AF" w:rsidRDefault="00CA7656" w:rsidP="00AE1C26">
            <w:pPr>
              <w:jc w:val="right"/>
              <w:rPr>
                <w:rFonts w:cs="Arial"/>
                <w:lang w:eastAsia="en-GB"/>
              </w:rPr>
            </w:pPr>
            <w:r w:rsidRPr="009949AF">
              <w:rPr>
                <w:rFonts w:cs="Arial"/>
                <w:lang w:eastAsia="en-GB"/>
              </w:rPr>
              <w:t>(0.4)</w:t>
            </w:r>
          </w:p>
        </w:tc>
      </w:tr>
      <w:tr w:rsidR="00CA7656" w:rsidRPr="002B2726" w:rsidTr="00CA7656">
        <w:trPr>
          <w:gridAfter w:val="1"/>
          <w:wAfter w:w="442" w:type="dxa"/>
          <w:trHeight w:hRule="exact" w:val="284"/>
        </w:trPr>
        <w:tc>
          <w:tcPr>
            <w:tcW w:w="1325" w:type="dxa"/>
            <w:tcBorders>
              <w:left w:val="single" w:sz="4" w:space="0" w:color="auto"/>
              <w:bottom w:val="single" w:sz="4" w:space="0" w:color="auto"/>
              <w:right w:val="single" w:sz="4" w:space="0" w:color="auto"/>
            </w:tcBorders>
            <w:vAlign w:val="bottom"/>
          </w:tcPr>
          <w:p w:rsidR="00CA7656" w:rsidRPr="002B2726" w:rsidRDefault="00CA7656" w:rsidP="00AE1C26">
            <w:pPr>
              <w:jc w:val="right"/>
              <w:rPr>
                <w:rFonts w:cs="Arial"/>
                <w:lang w:eastAsia="en-GB"/>
              </w:rPr>
            </w:pPr>
          </w:p>
        </w:tc>
        <w:tc>
          <w:tcPr>
            <w:tcW w:w="4819" w:type="dxa"/>
            <w:gridSpan w:val="2"/>
            <w:tcBorders>
              <w:left w:val="single" w:sz="4" w:space="0" w:color="auto"/>
            </w:tcBorders>
            <w:noWrap/>
            <w:vAlign w:val="bottom"/>
          </w:tcPr>
          <w:p w:rsidR="00CA7656" w:rsidRPr="002B2726" w:rsidRDefault="00CA7656" w:rsidP="00AE1C26">
            <w:pPr>
              <w:rPr>
                <w:rFonts w:cs="Arial"/>
                <w:b/>
                <w:bCs/>
                <w:lang w:eastAsia="en-GB"/>
              </w:rPr>
            </w:pPr>
            <w:r w:rsidRPr="002B2726">
              <w:rPr>
                <w:rFonts w:cs="Arial"/>
                <w:b/>
                <w:bCs/>
                <w:lang w:eastAsia="en-GB"/>
              </w:rPr>
              <w:t>Net assets of the fund available to fund</w:t>
            </w:r>
          </w:p>
        </w:tc>
        <w:tc>
          <w:tcPr>
            <w:tcW w:w="1184" w:type="dxa"/>
            <w:gridSpan w:val="2"/>
            <w:tcBorders>
              <w:right w:val="single" w:sz="4" w:space="0" w:color="auto"/>
            </w:tcBorders>
            <w:noWrap/>
            <w:vAlign w:val="bottom"/>
          </w:tcPr>
          <w:p w:rsidR="00CA7656" w:rsidRPr="002B2726" w:rsidRDefault="00CA7656" w:rsidP="00AE1C26">
            <w:pPr>
              <w:jc w:val="center"/>
              <w:rPr>
                <w:rFonts w:cs="Arial"/>
                <w:lang w:eastAsia="en-GB"/>
              </w:rPr>
            </w:pPr>
          </w:p>
        </w:tc>
        <w:tc>
          <w:tcPr>
            <w:tcW w:w="1355" w:type="dxa"/>
            <w:gridSpan w:val="2"/>
            <w:tcBorders>
              <w:left w:val="single" w:sz="4" w:space="0" w:color="auto"/>
              <w:bottom w:val="single" w:sz="4" w:space="0" w:color="auto"/>
              <w:right w:val="single" w:sz="4" w:space="0" w:color="auto"/>
            </w:tcBorders>
            <w:noWrap/>
            <w:vAlign w:val="bottom"/>
          </w:tcPr>
          <w:p w:rsidR="00CA7656" w:rsidRPr="009949AF" w:rsidRDefault="00CA7656" w:rsidP="00AE1C26">
            <w:pPr>
              <w:jc w:val="right"/>
              <w:rPr>
                <w:rFonts w:cs="Arial"/>
                <w:lang w:eastAsia="en-GB"/>
              </w:rPr>
            </w:pPr>
          </w:p>
        </w:tc>
      </w:tr>
      <w:tr w:rsidR="00CA7656" w:rsidRPr="004B3E6A" w:rsidTr="00CA7656">
        <w:trPr>
          <w:gridAfter w:val="1"/>
          <w:wAfter w:w="442" w:type="dxa"/>
          <w:trHeight w:hRule="exact" w:val="284"/>
        </w:trPr>
        <w:tc>
          <w:tcPr>
            <w:tcW w:w="1325" w:type="dxa"/>
            <w:tcBorders>
              <w:top w:val="single" w:sz="4" w:space="0" w:color="auto"/>
              <w:left w:val="single" w:sz="4" w:space="0" w:color="auto"/>
              <w:bottom w:val="single" w:sz="4" w:space="0" w:color="auto"/>
              <w:right w:val="single" w:sz="4" w:space="0" w:color="auto"/>
            </w:tcBorders>
            <w:vAlign w:val="bottom"/>
          </w:tcPr>
          <w:p w:rsidR="00CA7656" w:rsidRPr="002B2726" w:rsidRDefault="00CA7656" w:rsidP="00AE1C26">
            <w:pPr>
              <w:jc w:val="right"/>
              <w:rPr>
                <w:rFonts w:cs="Arial"/>
                <w:b/>
                <w:lang w:eastAsia="en-GB"/>
              </w:rPr>
            </w:pPr>
            <w:r>
              <w:rPr>
                <w:rFonts w:cs="Arial"/>
                <w:b/>
                <w:lang w:eastAsia="en-GB"/>
              </w:rPr>
              <w:t>864.6</w:t>
            </w:r>
          </w:p>
        </w:tc>
        <w:tc>
          <w:tcPr>
            <w:tcW w:w="4819" w:type="dxa"/>
            <w:gridSpan w:val="2"/>
            <w:tcBorders>
              <w:left w:val="single" w:sz="4" w:space="0" w:color="auto"/>
            </w:tcBorders>
            <w:noWrap/>
            <w:vAlign w:val="bottom"/>
          </w:tcPr>
          <w:p w:rsidR="00CA7656" w:rsidRPr="002B2726" w:rsidRDefault="00CA7656" w:rsidP="00AE1C26">
            <w:pPr>
              <w:rPr>
                <w:rFonts w:cs="Arial"/>
                <w:b/>
                <w:bCs/>
                <w:lang w:eastAsia="en-GB"/>
              </w:rPr>
            </w:pPr>
            <w:r w:rsidRPr="002B2726">
              <w:rPr>
                <w:rFonts w:cs="Arial"/>
                <w:b/>
                <w:bCs/>
                <w:lang w:eastAsia="en-GB"/>
              </w:rPr>
              <w:t>benefits at the period end</w:t>
            </w:r>
          </w:p>
        </w:tc>
        <w:tc>
          <w:tcPr>
            <w:tcW w:w="1184" w:type="dxa"/>
            <w:gridSpan w:val="2"/>
            <w:tcBorders>
              <w:right w:val="single" w:sz="4" w:space="0" w:color="auto"/>
            </w:tcBorders>
            <w:noWrap/>
            <w:vAlign w:val="bottom"/>
          </w:tcPr>
          <w:p w:rsidR="00CA7656" w:rsidRPr="002B2726" w:rsidRDefault="00CA7656" w:rsidP="00AE1C26">
            <w:pPr>
              <w:jc w:val="center"/>
              <w:rPr>
                <w:rFonts w:cs="Arial"/>
                <w:lang w:eastAsia="en-GB"/>
              </w:rPr>
            </w:pPr>
          </w:p>
        </w:tc>
        <w:tc>
          <w:tcPr>
            <w:tcW w:w="135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CA7656" w:rsidRPr="009949AF" w:rsidRDefault="00CA7656" w:rsidP="00AE1C26">
            <w:pPr>
              <w:jc w:val="right"/>
              <w:rPr>
                <w:rFonts w:cs="Arial"/>
                <w:b/>
                <w:lang w:eastAsia="en-GB"/>
              </w:rPr>
            </w:pPr>
            <w:r w:rsidRPr="009949AF">
              <w:rPr>
                <w:rFonts w:cs="Arial"/>
                <w:b/>
                <w:lang w:eastAsia="en-GB"/>
              </w:rPr>
              <w:t>839.0</w:t>
            </w:r>
          </w:p>
        </w:tc>
      </w:tr>
      <w:tr w:rsidR="00CA7656" w:rsidRPr="004B3E6A" w:rsidTr="00CA7656">
        <w:trPr>
          <w:trHeight w:hRule="exact" w:val="284"/>
        </w:trPr>
        <w:tc>
          <w:tcPr>
            <w:tcW w:w="1494" w:type="dxa"/>
            <w:gridSpan w:val="2"/>
            <w:tcBorders>
              <w:top w:val="single" w:sz="4" w:space="0" w:color="auto"/>
            </w:tcBorders>
          </w:tcPr>
          <w:p w:rsidR="00CA7656" w:rsidRPr="004B3E6A" w:rsidRDefault="00CA7656" w:rsidP="00AE1C26">
            <w:pPr>
              <w:jc w:val="right"/>
              <w:rPr>
                <w:rFonts w:ascii="Arial" w:hAnsi="Arial" w:cs="Arial"/>
                <w:b/>
                <w:bCs/>
                <w:lang w:eastAsia="en-GB"/>
              </w:rPr>
            </w:pPr>
          </w:p>
        </w:tc>
        <w:tc>
          <w:tcPr>
            <w:tcW w:w="5092" w:type="dxa"/>
            <w:gridSpan w:val="2"/>
            <w:noWrap/>
            <w:vAlign w:val="bottom"/>
          </w:tcPr>
          <w:p w:rsidR="00CA7656" w:rsidRPr="004B3E6A" w:rsidRDefault="00CA7656" w:rsidP="00AE1C26">
            <w:pPr>
              <w:rPr>
                <w:rFonts w:ascii="Arial" w:hAnsi="Arial" w:cs="Arial"/>
                <w:b/>
                <w:bCs/>
                <w:lang w:eastAsia="en-GB"/>
              </w:rPr>
            </w:pPr>
          </w:p>
        </w:tc>
        <w:tc>
          <w:tcPr>
            <w:tcW w:w="1184" w:type="dxa"/>
            <w:gridSpan w:val="2"/>
            <w:noWrap/>
            <w:vAlign w:val="bottom"/>
          </w:tcPr>
          <w:p w:rsidR="00CA7656" w:rsidRPr="004B3E6A" w:rsidRDefault="00CA7656" w:rsidP="00AE1C26">
            <w:pPr>
              <w:jc w:val="center"/>
              <w:rPr>
                <w:rFonts w:ascii="Arial" w:hAnsi="Arial" w:cs="Arial"/>
                <w:lang w:eastAsia="en-GB"/>
              </w:rPr>
            </w:pPr>
          </w:p>
        </w:tc>
        <w:tc>
          <w:tcPr>
            <w:tcW w:w="1355" w:type="dxa"/>
            <w:gridSpan w:val="2"/>
            <w:noWrap/>
            <w:vAlign w:val="bottom"/>
          </w:tcPr>
          <w:p w:rsidR="00CA7656" w:rsidRPr="004B3E6A" w:rsidRDefault="00CA7656" w:rsidP="00AE1C26">
            <w:pPr>
              <w:jc w:val="right"/>
              <w:rPr>
                <w:rFonts w:ascii="Arial" w:hAnsi="Arial" w:cs="Arial"/>
                <w:lang w:eastAsia="en-GB"/>
              </w:rPr>
            </w:pPr>
          </w:p>
        </w:tc>
      </w:tr>
    </w:tbl>
    <w:bookmarkEnd w:id="43"/>
    <w:p w:rsidR="00F72906" w:rsidRDefault="00F72906" w:rsidP="00F72906">
      <w:r>
        <w:lastRenderedPageBreak/>
        <w:t>The net asset statement includes all assets and liabilities of the Fund as at 31 March 2020 but excludes long-term liabilities to pay pensions and benefits in future years.  The actuarial present value of promised retirement benefits is disclosed in Note 19.</w:t>
      </w:r>
    </w:p>
    <w:p w:rsidR="00F72906" w:rsidRDefault="00F72906" w:rsidP="00F72906"/>
    <w:p w:rsidR="00F72906" w:rsidRDefault="00F72906" w:rsidP="00855E61">
      <w:pPr>
        <w:pStyle w:val="Heading2"/>
      </w:pPr>
      <w:bookmarkStart w:id="47" w:name="_Toc61870311"/>
      <w:r>
        <w:t>Notes to the Brent Pension Fund accounts</w:t>
      </w:r>
      <w:bookmarkEnd w:id="47"/>
    </w:p>
    <w:p w:rsidR="00F72906" w:rsidRDefault="00F72906" w:rsidP="00855E61">
      <w:pPr>
        <w:pStyle w:val="Heading3"/>
      </w:pPr>
      <w:r>
        <w:t>1.  Description of Fund</w:t>
      </w:r>
    </w:p>
    <w:p w:rsidR="00F72906" w:rsidRDefault="00F72906" w:rsidP="00F72906"/>
    <w:p w:rsidR="00F72906" w:rsidRDefault="00F72906" w:rsidP="00F72906">
      <w:r>
        <w:t xml:space="preserve">The Brent Pension Fund (the ‘Fund’) is part of the Local Government Pension Scheme, and is administered by Brent Council. </w:t>
      </w:r>
    </w:p>
    <w:p w:rsidR="00F72906" w:rsidRDefault="00F72906" w:rsidP="00F72906">
      <w:r>
        <w:t xml:space="preserve">The following description of the Fund is a summary only. </w:t>
      </w:r>
    </w:p>
    <w:p w:rsidR="00F72906" w:rsidRDefault="00F72906" w:rsidP="00F72906"/>
    <w:p w:rsidR="00F72906" w:rsidRDefault="00F72906" w:rsidP="00F72906">
      <w:r>
        <w:t>a)</w:t>
      </w:r>
      <w:r>
        <w:tab/>
        <w:t>General</w:t>
      </w:r>
    </w:p>
    <w:p w:rsidR="00F72906" w:rsidRDefault="00F72906" w:rsidP="00F72906"/>
    <w:p w:rsidR="00F72906" w:rsidRDefault="00F72906" w:rsidP="00F72906">
      <w:r>
        <w:t>The Fund is a contributory defined benefit pension scheme administered by Brent Council to provide pensions and other benefits for pensionable employees of Brent Council and a range of other scheduled and admitted bodies.</w:t>
      </w:r>
    </w:p>
    <w:p w:rsidR="00F72906" w:rsidRDefault="00F72906" w:rsidP="00F72906">
      <w:r>
        <w:tab/>
      </w:r>
    </w:p>
    <w:p w:rsidR="00F72906" w:rsidRDefault="00F72906" w:rsidP="00F72906">
      <w:r>
        <w:t>b)</w:t>
      </w:r>
      <w:r>
        <w:tab/>
        <w:t>Membership</w:t>
      </w:r>
    </w:p>
    <w:p w:rsidR="00F72906" w:rsidRDefault="00F72906" w:rsidP="00F72906"/>
    <w:p w:rsidR="00F72906" w:rsidRDefault="00F72906" w:rsidP="00F72906">
      <w:r>
        <w:t>Membership of the LGPS is voluntary and employees are free to choose whether to join the scheme, remain in the scheme or make their own personal arrangements outside the scheme.</w:t>
      </w:r>
    </w:p>
    <w:p w:rsidR="00F72906" w:rsidRDefault="00F72906" w:rsidP="00F72906">
      <w:r>
        <w:t>Organisations participating in the Brent Pension Fund include:</w:t>
      </w:r>
    </w:p>
    <w:p w:rsidR="00F72906" w:rsidRDefault="00F72906" w:rsidP="00F72906">
      <w:r>
        <w:t>Scheduled bodies whose staff are automatically entitled to be members of the Fund. Admitted bodies, which are other organisations that participate in the Fund under an admission agreement between the Fund and the relevant organisation. Admitted bodies include voluntary, charitable and similar bodies or private contractors undertaking a local authority function following out</w:t>
      </w:r>
      <w:r w:rsidR="00855E61">
        <w:t>sourcing to the private sector.</w:t>
      </w:r>
    </w:p>
    <w:p w:rsidR="00F72906" w:rsidRDefault="00F72906" w:rsidP="00F72906">
      <w:r>
        <w:t xml:space="preserve">There were 40 employer organisations with active members within the Brent Pension Fund </w:t>
      </w:r>
      <w:r w:rsidR="00855E61">
        <w:t>at 31 March 2020, listed below:</w:t>
      </w:r>
    </w:p>
    <w:p w:rsidR="00F72906" w:rsidRPr="00855E61" w:rsidRDefault="00F72906" w:rsidP="00F72906">
      <w:pPr>
        <w:rPr>
          <w:b/>
        </w:rPr>
      </w:pPr>
      <w:r w:rsidRPr="00855E61">
        <w:rPr>
          <w:b/>
        </w:rPr>
        <w:t>Scheduled bodies</w:t>
      </w:r>
    </w:p>
    <w:p w:rsidR="00F72906" w:rsidRDefault="00F72906" w:rsidP="00F72906">
      <w:r>
        <w:t>London Borough of Brent</w:t>
      </w:r>
    </w:p>
    <w:p w:rsidR="00F72906" w:rsidRDefault="00F72906" w:rsidP="00F72906">
      <w:r>
        <w:t>Alperton Community School</w:t>
      </w:r>
    </w:p>
    <w:p w:rsidR="00F72906" w:rsidRDefault="00F72906" w:rsidP="00F72906">
      <w:r>
        <w:t>ARK Academy</w:t>
      </w:r>
    </w:p>
    <w:p w:rsidR="00F72906" w:rsidRDefault="00F72906" w:rsidP="00F72906">
      <w:r>
        <w:t>ARK Elvin Academy</w:t>
      </w:r>
    </w:p>
    <w:p w:rsidR="00F72906" w:rsidRDefault="00F72906" w:rsidP="00F72906">
      <w:r>
        <w:t>ARK Franklin Academy</w:t>
      </w:r>
    </w:p>
    <w:p w:rsidR="00F72906" w:rsidRDefault="00F72906" w:rsidP="00F72906">
      <w:r>
        <w:t>Braintcroft Primary School</w:t>
      </w:r>
    </w:p>
    <w:p w:rsidR="00F72906" w:rsidRDefault="00F72906" w:rsidP="00F72906">
      <w:r>
        <w:t>Capital City Academy</w:t>
      </w:r>
    </w:p>
    <w:p w:rsidR="00F72906" w:rsidRDefault="00F72906" w:rsidP="00F72906">
      <w:r>
        <w:t>Claremont High School Academy</w:t>
      </w:r>
    </w:p>
    <w:p w:rsidR="00F72906" w:rsidRDefault="00F72906" w:rsidP="00F72906">
      <w:r>
        <w:lastRenderedPageBreak/>
        <w:t>Compass Learning Partnership</w:t>
      </w:r>
    </w:p>
    <w:p w:rsidR="00F72906" w:rsidRDefault="00F72906" w:rsidP="00F72906">
      <w:r>
        <w:t>Convent of Jesus &amp; Mary Language College</w:t>
      </w:r>
    </w:p>
    <w:p w:rsidR="00F72906" w:rsidRDefault="00F72906" w:rsidP="00F72906">
      <w:r>
        <w:t>Crest Academy</w:t>
      </w:r>
    </w:p>
    <w:p w:rsidR="00F72906" w:rsidRDefault="00F72906" w:rsidP="00F72906">
      <w:r>
        <w:t>Furness Primary School</w:t>
      </w:r>
    </w:p>
    <w:p w:rsidR="00F72906" w:rsidRDefault="00F72906" w:rsidP="00F72906">
      <w:r>
        <w:t>Gladstone Park Primary School</w:t>
      </w:r>
    </w:p>
    <w:p w:rsidR="00F72906" w:rsidRDefault="00F72906" w:rsidP="00F72906">
      <w:r>
        <w:t>Kingsbury High School</w:t>
      </w:r>
    </w:p>
    <w:p w:rsidR="00F72906" w:rsidRDefault="00F72906" w:rsidP="00F72906">
      <w:r>
        <w:t>Manor School</w:t>
      </w:r>
    </w:p>
    <w:p w:rsidR="00F72906" w:rsidRDefault="00F72906" w:rsidP="00F72906">
      <w:r>
        <w:t>Michaela Community School</w:t>
      </w:r>
    </w:p>
    <w:p w:rsidR="00F72906" w:rsidRDefault="00F72906" w:rsidP="00F72906">
      <w:r>
        <w:t>North West London Jewish Day School</w:t>
      </w:r>
    </w:p>
    <w:p w:rsidR="00F72906" w:rsidRDefault="00F72906" w:rsidP="00F72906">
      <w:r>
        <w:t>Oakington Manor Primary School</w:t>
      </w:r>
    </w:p>
    <w:p w:rsidR="00F72906" w:rsidRDefault="00F72906" w:rsidP="00F72906">
      <w:r>
        <w:t>Our Lady of Grace RC Infants School</w:t>
      </w:r>
    </w:p>
    <w:p w:rsidR="00F72906" w:rsidRDefault="00F72906" w:rsidP="00F72906">
      <w:r>
        <w:t>Our Lady of Grace RC Juniors School</w:t>
      </w:r>
    </w:p>
    <w:p w:rsidR="00F72906" w:rsidRDefault="00F72906" w:rsidP="00F72906">
      <w:r>
        <w:t>Preston Manor High School</w:t>
      </w:r>
    </w:p>
    <w:p w:rsidR="00F72906" w:rsidRDefault="00F72906" w:rsidP="00F72906">
      <w:r>
        <w:t>Queens Park Community School</w:t>
      </w:r>
    </w:p>
    <w:p w:rsidR="00F72906" w:rsidRDefault="00F72906" w:rsidP="00F72906">
      <w:r>
        <w:t>St Andrews and St Francis School</w:t>
      </w:r>
    </w:p>
    <w:p w:rsidR="00F72906" w:rsidRDefault="00F72906" w:rsidP="00F72906">
      <w:r>
        <w:t>St Gregory’s RC High School</w:t>
      </w:r>
    </w:p>
    <w:p w:rsidR="00F72906" w:rsidRDefault="00F72906" w:rsidP="00F72906">
      <w:r>
        <w:t>St Margaret Clitherow</w:t>
      </w:r>
    </w:p>
    <w:p w:rsidR="00F72906" w:rsidRDefault="00F72906" w:rsidP="00F72906">
      <w:r>
        <w:t>Sudbury Primary School</w:t>
      </w:r>
    </w:p>
    <w:p w:rsidR="00F72906" w:rsidRDefault="00F72906" w:rsidP="00F72906">
      <w:r>
        <w:t>The Village School</w:t>
      </w:r>
    </w:p>
    <w:p w:rsidR="00F72906" w:rsidRDefault="00F72906" w:rsidP="00F72906">
      <w:r>
        <w:t>Wembley High Technology College</w:t>
      </w:r>
    </w:p>
    <w:p w:rsidR="00F72906" w:rsidRDefault="00855E61" w:rsidP="00F72906">
      <w:r>
        <w:t>Woodfield School Academy</w:t>
      </w:r>
    </w:p>
    <w:p w:rsidR="00855E61" w:rsidRDefault="00855E61" w:rsidP="00F72906"/>
    <w:p w:rsidR="00F72906" w:rsidRPr="00855E61" w:rsidRDefault="00F72906" w:rsidP="00F72906">
      <w:pPr>
        <w:rPr>
          <w:b/>
        </w:rPr>
      </w:pPr>
      <w:r w:rsidRPr="00855E61">
        <w:rPr>
          <w:b/>
        </w:rPr>
        <w:t>Admitted bodies</w:t>
      </w:r>
    </w:p>
    <w:p w:rsidR="00F72906" w:rsidRDefault="00F72906" w:rsidP="00F72906">
      <w:r>
        <w:t>Apleona HSG Ltd (previously Bilfinger originally Europa Facility (Services Limited)</w:t>
      </w:r>
    </w:p>
    <w:p w:rsidR="00F72906" w:rsidRDefault="00F72906" w:rsidP="00F72906">
      <w:r>
        <w:t>Barnardos</w:t>
      </w:r>
    </w:p>
    <w:p w:rsidR="00F72906" w:rsidRDefault="00F72906" w:rsidP="00F72906">
      <w:r>
        <w:t>Caterlink</w:t>
      </w:r>
    </w:p>
    <w:p w:rsidR="00F72906" w:rsidRDefault="00F72906" w:rsidP="00F72906">
      <w:r>
        <w:t>Conway Aecom</w:t>
      </w:r>
    </w:p>
    <w:p w:rsidR="00F72906" w:rsidRDefault="00F72906" w:rsidP="00F72906">
      <w:r>
        <w:t>Local Employment Access Project (LEAP)</w:t>
      </w:r>
    </w:p>
    <w:p w:rsidR="00F72906" w:rsidRDefault="00F72906" w:rsidP="00F72906">
      <w:r>
        <w:t>National Autistic Society (NAS)</w:t>
      </w:r>
    </w:p>
    <w:p w:rsidR="00F72906" w:rsidRDefault="00F72906" w:rsidP="00F72906">
      <w:r>
        <w:t>Ricoh UK</w:t>
      </w:r>
    </w:p>
    <w:p w:rsidR="00F72906" w:rsidRDefault="00F72906" w:rsidP="00F72906">
      <w:r>
        <w:t>Sudbury Neighbourhood Centre</w:t>
      </w:r>
    </w:p>
    <w:p w:rsidR="00F72906" w:rsidRDefault="00F72906" w:rsidP="00F72906">
      <w:r>
        <w:t>Taylor Shaw</w:t>
      </w:r>
    </w:p>
    <w:p w:rsidR="00F72906" w:rsidRDefault="00F72906" w:rsidP="00F72906">
      <w:r>
        <w:t>Veolia</w:t>
      </w:r>
    </w:p>
    <w:p w:rsidR="00F72906" w:rsidRDefault="00F72906" w:rsidP="00F72906">
      <w:r>
        <w:lastRenderedPageBreak/>
        <w:t>Veolia (Ground Maintenance)</w:t>
      </w:r>
    </w:p>
    <w:p w:rsidR="00F72906" w:rsidRDefault="00F72906" w:rsidP="00F72906"/>
    <w:tbl>
      <w:tblPr>
        <w:tblW w:w="909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0" w:type="dxa"/>
          <w:right w:w="110" w:type="dxa"/>
        </w:tblCellMar>
        <w:tblLook w:val="0000" w:firstRow="0" w:lastRow="0" w:firstColumn="0" w:lastColumn="0" w:noHBand="0" w:noVBand="0"/>
      </w:tblPr>
      <w:tblGrid>
        <w:gridCol w:w="2268"/>
        <w:gridCol w:w="4790"/>
        <w:gridCol w:w="2040"/>
      </w:tblGrid>
      <w:tr w:rsidR="00855E61" w:rsidRPr="00B64DB9" w:rsidTr="00AE1C26">
        <w:tc>
          <w:tcPr>
            <w:tcW w:w="2268" w:type="dxa"/>
            <w:tcBorders>
              <w:top w:val="nil"/>
              <w:left w:val="nil"/>
              <w:bottom w:val="nil"/>
              <w:right w:val="nil"/>
            </w:tcBorders>
          </w:tcPr>
          <w:p w:rsidR="00855E61" w:rsidRPr="00B64DB9" w:rsidRDefault="00855E61" w:rsidP="00AE1C26">
            <w:pPr>
              <w:keepNext/>
              <w:overflowPunct w:val="0"/>
              <w:autoSpaceDE w:val="0"/>
              <w:autoSpaceDN w:val="0"/>
              <w:adjustRightInd w:val="0"/>
              <w:jc w:val="right"/>
              <w:textAlignment w:val="baseline"/>
              <w:rPr>
                <w:rFonts w:ascii="Segoe UI Light" w:hAnsi="Segoe UI Light" w:cs="Segoe UI Light"/>
                <w:b/>
              </w:rPr>
            </w:pPr>
            <w:r w:rsidRPr="00B64DB9">
              <w:rPr>
                <w:rFonts w:ascii="Segoe UI Light" w:hAnsi="Segoe UI Light" w:cs="Segoe UI Light"/>
                <w:b/>
              </w:rPr>
              <w:t>31 March 2019</w:t>
            </w:r>
          </w:p>
        </w:tc>
        <w:tc>
          <w:tcPr>
            <w:tcW w:w="4790" w:type="dxa"/>
            <w:tcBorders>
              <w:top w:val="nil"/>
              <w:left w:val="nil"/>
              <w:bottom w:val="nil"/>
              <w:right w:val="nil"/>
            </w:tcBorders>
            <w:vAlign w:val="bottom"/>
          </w:tcPr>
          <w:p w:rsidR="00855E61" w:rsidRPr="00B64DB9" w:rsidRDefault="00855E61" w:rsidP="00AE1C26">
            <w:pPr>
              <w:keepNext/>
              <w:overflowPunct w:val="0"/>
              <w:autoSpaceDE w:val="0"/>
              <w:autoSpaceDN w:val="0"/>
              <w:adjustRightInd w:val="0"/>
              <w:textAlignment w:val="baseline"/>
              <w:rPr>
                <w:rFonts w:ascii="Segoe UI Light" w:hAnsi="Segoe UI Light" w:cs="Segoe UI Light"/>
                <w:b/>
              </w:rPr>
            </w:pPr>
            <w:r w:rsidRPr="00B64DB9">
              <w:rPr>
                <w:rFonts w:ascii="Segoe UI Light" w:hAnsi="Segoe UI Light" w:cs="Segoe UI Light"/>
                <w:b/>
              </w:rPr>
              <w:t>Brent Pension Fund</w:t>
            </w:r>
          </w:p>
        </w:tc>
        <w:tc>
          <w:tcPr>
            <w:tcW w:w="2040" w:type="dxa"/>
            <w:tcBorders>
              <w:top w:val="nil"/>
              <w:left w:val="nil"/>
              <w:bottom w:val="nil"/>
              <w:right w:val="nil"/>
            </w:tcBorders>
            <w:vAlign w:val="bottom"/>
          </w:tcPr>
          <w:p w:rsidR="00855E61" w:rsidRPr="00B64DB9" w:rsidRDefault="00855E61" w:rsidP="00AE1C26">
            <w:pPr>
              <w:keepNext/>
              <w:overflowPunct w:val="0"/>
              <w:autoSpaceDE w:val="0"/>
              <w:autoSpaceDN w:val="0"/>
              <w:adjustRightInd w:val="0"/>
              <w:jc w:val="right"/>
              <w:textAlignment w:val="baseline"/>
              <w:rPr>
                <w:rFonts w:ascii="Segoe UI Light" w:hAnsi="Segoe UI Light" w:cs="Segoe UI Light"/>
                <w:b/>
              </w:rPr>
            </w:pPr>
            <w:r w:rsidRPr="00B64DB9">
              <w:rPr>
                <w:rFonts w:ascii="Segoe UI Light" w:hAnsi="Segoe UI Light" w:cs="Segoe UI Light"/>
                <w:b/>
              </w:rPr>
              <w:t>31 March 2020</w:t>
            </w:r>
          </w:p>
        </w:tc>
      </w:tr>
      <w:tr w:rsidR="00855E61" w:rsidRPr="00B64DB9" w:rsidTr="00AE1C26">
        <w:tc>
          <w:tcPr>
            <w:tcW w:w="2268" w:type="dxa"/>
            <w:tcBorders>
              <w:top w:val="nil"/>
              <w:left w:val="nil"/>
              <w:bottom w:val="nil"/>
              <w:right w:val="nil"/>
            </w:tcBorders>
          </w:tcPr>
          <w:p w:rsidR="00855E61" w:rsidRPr="00B64DB9" w:rsidRDefault="00855E61" w:rsidP="00AE1C26">
            <w:pPr>
              <w:overflowPunct w:val="0"/>
              <w:autoSpaceDE w:val="0"/>
              <w:autoSpaceDN w:val="0"/>
              <w:adjustRightInd w:val="0"/>
              <w:textAlignment w:val="baseline"/>
              <w:rPr>
                <w:rFonts w:ascii="Segoe UI Light" w:hAnsi="Segoe UI Light" w:cs="Segoe UI Light"/>
              </w:rPr>
            </w:pPr>
          </w:p>
        </w:tc>
        <w:tc>
          <w:tcPr>
            <w:tcW w:w="4790" w:type="dxa"/>
            <w:tcBorders>
              <w:top w:val="nil"/>
              <w:left w:val="nil"/>
              <w:bottom w:val="nil"/>
              <w:right w:val="nil"/>
            </w:tcBorders>
          </w:tcPr>
          <w:p w:rsidR="00855E61" w:rsidRPr="00B64DB9" w:rsidRDefault="00855E61" w:rsidP="00AE1C26">
            <w:pPr>
              <w:overflowPunct w:val="0"/>
              <w:autoSpaceDE w:val="0"/>
              <w:autoSpaceDN w:val="0"/>
              <w:adjustRightInd w:val="0"/>
              <w:textAlignment w:val="baseline"/>
              <w:rPr>
                <w:rFonts w:ascii="Segoe UI Light" w:hAnsi="Segoe UI Light" w:cs="Segoe UI Light"/>
              </w:rPr>
            </w:pPr>
          </w:p>
        </w:tc>
        <w:tc>
          <w:tcPr>
            <w:tcW w:w="2040" w:type="dxa"/>
            <w:tcBorders>
              <w:top w:val="nil"/>
              <w:left w:val="nil"/>
              <w:bottom w:val="nil"/>
              <w:right w:val="nil"/>
            </w:tcBorders>
            <w:vAlign w:val="center"/>
          </w:tcPr>
          <w:p w:rsidR="00855E61" w:rsidRPr="00B64DB9" w:rsidRDefault="00855E61" w:rsidP="00AE1C26">
            <w:pPr>
              <w:jc w:val="right"/>
              <w:rPr>
                <w:rFonts w:ascii="Segoe UI Light" w:hAnsi="Segoe UI Light" w:cs="Segoe UI Light"/>
              </w:rPr>
            </w:pPr>
          </w:p>
        </w:tc>
      </w:tr>
      <w:tr w:rsidR="00855E61" w:rsidRPr="00B64DB9" w:rsidTr="00AE1C26">
        <w:tc>
          <w:tcPr>
            <w:tcW w:w="2268" w:type="dxa"/>
            <w:tcBorders>
              <w:top w:val="nil"/>
              <w:left w:val="nil"/>
              <w:bottom w:val="nil"/>
              <w:right w:val="nil"/>
            </w:tcBorders>
            <w:vAlign w:val="center"/>
          </w:tcPr>
          <w:p w:rsidR="00855E61" w:rsidRPr="00B64DB9" w:rsidRDefault="00855E61" w:rsidP="00AE1C26">
            <w:pPr>
              <w:jc w:val="right"/>
              <w:rPr>
                <w:rFonts w:ascii="Segoe UI Light" w:hAnsi="Segoe UI Light" w:cs="Segoe UI Light"/>
              </w:rPr>
            </w:pPr>
            <w:r w:rsidRPr="00B64DB9">
              <w:rPr>
                <w:rFonts w:ascii="Segoe UI Light" w:hAnsi="Segoe UI Light" w:cs="Segoe UI Light"/>
              </w:rPr>
              <w:t>36</w:t>
            </w:r>
          </w:p>
        </w:tc>
        <w:tc>
          <w:tcPr>
            <w:tcW w:w="4790" w:type="dxa"/>
            <w:tcBorders>
              <w:top w:val="nil"/>
              <w:left w:val="nil"/>
              <w:bottom w:val="nil"/>
              <w:right w:val="nil"/>
            </w:tcBorders>
          </w:tcPr>
          <w:p w:rsidR="00855E61" w:rsidRPr="00B64DB9" w:rsidRDefault="00855E61" w:rsidP="00AE1C26">
            <w:pPr>
              <w:overflowPunct w:val="0"/>
              <w:autoSpaceDE w:val="0"/>
              <w:autoSpaceDN w:val="0"/>
              <w:adjustRightInd w:val="0"/>
              <w:textAlignment w:val="baseline"/>
              <w:rPr>
                <w:rFonts w:ascii="Segoe UI Light" w:hAnsi="Segoe UI Light" w:cs="Segoe UI Light"/>
              </w:rPr>
            </w:pPr>
            <w:r w:rsidRPr="00B64DB9">
              <w:rPr>
                <w:rFonts w:ascii="Segoe UI Light" w:hAnsi="Segoe UI Light" w:cs="Segoe UI Light"/>
              </w:rPr>
              <w:t>Number of employers with active members</w:t>
            </w:r>
          </w:p>
        </w:tc>
        <w:tc>
          <w:tcPr>
            <w:tcW w:w="2040" w:type="dxa"/>
            <w:tcBorders>
              <w:top w:val="nil"/>
              <w:left w:val="nil"/>
              <w:bottom w:val="nil"/>
              <w:right w:val="nil"/>
            </w:tcBorders>
            <w:vAlign w:val="center"/>
          </w:tcPr>
          <w:p w:rsidR="00855E61" w:rsidRPr="00B64DB9" w:rsidRDefault="00855E61" w:rsidP="00AE1C26">
            <w:pPr>
              <w:jc w:val="right"/>
              <w:rPr>
                <w:rFonts w:ascii="Segoe UI Light" w:hAnsi="Segoe UI Light" w:cs="Segoe UI Light"/>
              </w:rPr>
            </w:pPr>
            <w:r w:rsidRPr="00B64DB9">
              <w:rPr>
                <w:rFonts w:ascii="Segoe UI Light" w:hAnsi="Segoe UI Light" w:cs="Segoe UI Light"/>
              </w:rPr>
              <w:t>40</w:t>
            </w:r>
          </w:p>
        </w:tc>
      </w:tr>
      <w:tr w:rsidR="00855E61" w:rsidRPr="00B64DB9" w:rsidTr="00AE1C26">
        <w:tc>
          <w:tcPr>
            <w:tcW w:w="2268" w:type="dxa"/>
            <w:tcBorders>
              <w:top w:val="nil"/>
              <w:left w:val="nil"/>
              <w:bottom w:val="nil"/>
              <w:right w:val="nil"/>
            </w:tcBorders>
            <w:vAlign w:val="center"/>
          </w:tcPr>
          <w:p w:rsidR="00855E61" w:rsidRPr="00B64DB9" w:rsidRDefault="00855E61" w:rsidP="00AE1C26">
            <w:pPr>
              <w:jc w:val="right"/>
              <w:rPr>
                <w:rFonts w:ascii="Segoe UI Light" w:hAnsi="Segoe UI Light" w:cs="Segoe UI Light"/>
              </w:rPr>
            </w:pPr>
          </w:p>
        </w:tc>
        <w:tc>
          <w:tcPr>
            <w:tcW w:w="4790" w:type="dxa"/>
            <w:tcBorders>
              <w:top w:val="nil"/>
              <w:left w:val="nil"/>
              <w:bottom w:val="nil"/>
              <w:right w:val="nil"/>
            </w:tcBorders>
          </w:tcPr>
          <w:p w:rsidR="00855E61" w:rsidRPr="00B64DB9" w:rsidRDefault="00855E61" w:rsidP="00AE1C26">
            <w:pPr>
              <w:overflowPunct w:val="0"/>
              <w:autoSpaceDE w:val="0"/>
              <w:autoSpaceDN w:val="0"/>
              <w:adjustRightInd w:val="0"/>
              <w:textAlignment w:val="baseline"/>
              <w:rPr>
                <w:rFonts w:ascii="Segoe UI Light" w:hAnsi="Segoe UI Light" w:cs="Segoe UI Light"/>
              </w:rPr>
            </w:pPr>
          </w:p>
        </w:tc>
        <w:tc>
          <w:tcPr>
            <w:tcW w:w="2040" w:type="dxa"/>
            <w:tcBorders>
              <w:top w:val="nil"/>
              <w:left w:val="nil"/>
              <w:bottom w:val="nil"/>
              <w:right w:val="nil"/>
            </w:tcBorders>
            <w:vAlign w:val="center"/>
          </w:tcPr>
          <w:p w:rsidR="00855E61" w:rsidRPr="00B64DB9" w:rsidRDefault="00855E61" w:rsidP="00AE1C26">
            <w:pPr>
              <w:jc w:val="right"/>
              <w:rPr>
                <w:rFonts w:ascii="Segoe UI Light" w:hAnsi="Segoe UI Light" w:cs="Segoe UI Light"/>
              </w:rPr>
            </w:pPr>
          </w:p>
        </w:tc>
      </w:tr>
      <w:tr w:rsidR="00855E61" w:rsidRPr="00B64DB9" w:rsidTr="00AE1C26">
        <w:tc>
          <w:tcPr>
            <w:tcW w:w="2268" w:type="dxa"/>
            <w:tcBorders>
              <w:top w:val="nil"/>
              <w:left w:val="nil"/>
              <w:bottom w:val="nil"/>
              <w:right w:val="nil"/>
            </w:tcBorders>
            <w:vAlign w:val="center"/>
          </w:tcPr>
          <w:p w:rsidR="00855E61" w:rsidRPr="00B64DB9" w:rsidRDefault="00855E61" w:rsidP="00AE1C26">
            <w:pPr>
              <w:jc w:val="right"/>
              <w:rPr>
                <w:rFonts w:ascii="Segoe UI Light" w:hAnsi="Segoe UI Light" w:cs="Segoe UI Light"/>
              </w:rPr>
            </w:pPr>
          </w:p>
        </w:tc>
        <w:tc>
          <w:tcPr>
            <w:tcW w:w="4790" w:type="dxa"/>
            <w:tcBorders>
              <w:top w:val="nil"/>
              <w:left w:val="nil"/>
              <w:bottom w:val="nil"/>
              <w:right w:val="nil"/>
            </w:tcBorders>
          </w:tcPr>
          <w:p w:rsidR="00855E61" w:rsidRPr="00B64DB9" w:rsidRDefault="00855E61" w:rsidP="00AE1C26">
            <w:pPr>
              <w:overflowPunct w:val="0"/>
              <w:autoSpaceDE w:val="0"/>
              <w:autoSpaceDN w:val="0"/>
              <w:adjustRightInd w:val="0"/>
              <w:textAlignment w:val="baseline"/>
              <w:rPr>
                <w:rFonts w:ascii="Segoe UI Light" w:hAnsi="Segoe UI Light" w:cs="Segoe UI Light"/>
                <w:b/>
              </w:rPr>
            </w:pPr>
            <w:r w:rsidRPr="00B64DB9">
              <w:rPr>
                <w:rFonts w:ascii="Segoe UI Light" w:hAnsi="Segoe UI Light" w:cs="Segoe UI Light"/>
                <w:b/>
              </w:rPr>
              <w:t>Number of employees in scheme</w:t>
            </w:r>
          </w:p>
        </w:tc>
        <w:tc>
          <w:tcPr>
            <w:tcW w:w="2040" w:type="dxa"/>
            <w:tcBorders>
              <w:top w:val="nil"/>
              <w:left w:val="nil"/>
              <w:bottom w:val="nil"/>
              <w:right w:val="nil"/>
            </w:tcBorders>
            <w:vAlign w:val="center"/>
          </w:tcPr>
          <w:p w:rsidR="00855E61" w:rsidRPr="00B64DB9" w:rsidRDefault="00855E61" w:rsidP="00AE1C26">
            <w:pPr>
              <w:jc w:val="right"/>
              <w:rPr>
                <w:rFonts w:ascii="Segoe UI Light" w:hAnsi="Segoe UI Light" w:cs="Segoe UI Light"/>
              </w:rPr>
            </w:pPr>
          </w:p>
        </w:tc>
      </w:tr>
      <w:tr w:rsidR="00855E61" w:rsidRPr="00B64DB9" w:rsidTr="00AE1C26">
        <w:tc>
          <w:tcPr>
            <w:tcW w:w="2268" w:type="dxa"/>
            <w:tcBorders>
              <w:top w:val="nil"/>
              <w:left w:val="nil"/>
              <w:bottom w:val="nil"/>
              <w:right w:val="nil"/>
            </w:tcBorders>
            <w:vAlign w:val="center"/>
          </w:tcPr>
          <w:p w:rsidR="00855E61" w:rsidRPr="00B64DB9" w:rsidRDefault="00855E61" w:rsidP="00AE1C26">
            <w:pPr>
              <w:jc w:val="right"/>
              <w:rPr>
                <w:rFonts w:ascii="Segoe UI Light" w:hAnsi="Segoe UI Light" w:cs="Segoe UI Light"/>
              </w:rPr>
            </w:pPr>
            <w:r w:rsidRPr="00B64DB9">
              <w:rPr>
                <w:rFonts w:ascii="Segoe UI Light" w:hAnsi="Segoe UI Light" w:cs="Segoe UI Light"/>
              </w:rPr>
              <w:t>5,209</w:t>
            </w:r>
          </w:p>
        </w:tc>
        <w:tc>
          <w:tcPr>
            <w:tcW w:w="4790" w:type="dxa"/>
            <w:tcBorders>
              <w:top w:val="nil"/>
              <w:left w:val="nil"/>
              <w:bottom w:val="nil"/>
              <w:right w:val="nil"/>
            </w:tcBorders>
          </w:tcPr>
          <w:p w:rsidR="00855E61" w:rsidRPr="00B64DB9" w:rsidRDefault="00855E61" w:rsidP="00AE1C26">
            <w:pPr>
              <w:overflowPunct w:val="0"/>
              <w:autoSpaceDE w:val="0"/>
              <w:autoSpaceDN w:val="0"/>
              <w:adjustRightInd w:val="0"/>
              <w:textAlignment w:val="baseline"/>
              <w:rPr>
                <w:rFonts w:ascii="Segoe UI Light" w:hAnsi="Segoe UI Light" w:cs="Segoe UI Light"/>
              </w:rPr>
            </w:pPr>
            <w:r w:rsidRPr="00B64DB9">
              <w:rPr>
                <w:rFonts w:ascii="Segoe UI Light" w:hAnsi="Segoe UI Light" w:cs="Segoe UI Light"/>
              </w:rPr>
              <w:t>Brent Council</w:t>
            </w:r>
          </w:p>
        </w:tc>
        <w:tc>
          <w:tcPr>
            <w:tcW w:w="2040" w:type="dxa"/>
            <w:tcBorders>
              <w:top w:val="nil"/>
              <w:left w:val="nil"/>
              <w:bottom w:val="nil"/>
              <w:right w:val="nil"/>
            </w:tcBorders>
            <w:vAlign w:val="center"/>
          </w:tcPr>
          <w:p w:rsidR="00855E61" w:rsidRPr="00B64DB9" w:rsidRDefault="00855E61" w:rsidP="00AE1C26">
            <w:pPr>
              <w:jc w:val="right"/>
              <w:rPr>
                <w:rFonts w:ascii="Segoe UI Light" w:hAnsi="Segoe UI Light" w:cs="Segoe UI Light"/>
              </w:rPr>
            </w:pPr>
            <w:r w:rsidRPr="00B64DB9">
              <w:rPr>
                <w:rFonts w:ascii="Segoe UI Light" w:hAnsi="Segoe UI Light" w:cs="Segoe UI Light"/>
              </w:rPr>
              <w:t>5,239</w:t>
            </w:r>
          </w:p>
        </w:tc>
      </w:tr>
      <w:tr w:rsidR="00855E61" w:rsidRPr="00B64DB9" w:rsidTr="00AE1C26">
        <w:tc>
          <w:tcPr>
            <w:tcW w:w="2268" w:type="dxa"/>
            <w:tcBorders>
              <w:top w:val="nil"/>
              <w:left w:val="nil"/>
              <w:bottom w:val="single" w:sz="4" w:space="0" w:color="auto"/>
              <w:right w:val="nil"/>
            </w:tcBorders>
            <w:vAlign w:val="center"/>
          </w:tcPr>
          <w:p w:rsidR="00855E61" w:rsidRPr="00B64DB9" w:rsidRDefault="00855E61" w:rsidP="00AE1C26">
            <w:pPr>
              <w:jc w:val="right"/>
              <w:rPr>
                <w:rFonts w:ascii="Segoe UI Light" w:hAnsi="Segoe UI Light" w:cs="Segoe UI Light"/>
              </w:rPr>
            </w:pPr>
            <w:r w:rsidRPr="00B64DB9">
              <w:rPr>
                <w:rFonts w:ascii="Segoe UI Light" w:hAnsi="Segoe UI Light" w:cs="Segoe UI Light"/>
              </w:rPr>
              <w:t>1,547</w:t>
            </w:r>
          </w:p>
        </w:tc>
        <w:tc>
          <w:tcPr>
            <w:tcW w:w="4790" w:type="dxa"/>
            <w:tcBorders>
              <w:top w:val="nil"/>
              <w:left w:val="nil"/>
              <w:bottom w:val="nil"/>
              <w:right w:val="nil"/>
            </w:tcBorders>
          </w:tcPr>
          <w:p w:rsidR="00855E61" w:rsidRPr="00B64DB9" w:rsidRDefault="00855E61" w:rsidP="00AE1C26">
            <w:pPr>
              <w:overflowPunct w:val="0"/>
              <w:autoSpaceDE w:val="0"/>
              <w:autoSpaceDN w:val="0"/>
              <w:adjustRightInd w:val="0"/>
              <w:textAlignment w:val="baseline"/>
              <w:rPr>
                <w:rFonts w:ascii="Segoe UI Light" w:hAnsi="Segoe UI Light" w:cs="Segoe UI Light"/>
              </w:rPr>
            </w:pPr>
            <w:r w:rsidRPr="00B64DB9">
              <w:rPr>
                <w:rFonts w:ascii="Segoe UI Light" w:hAnsi="Segoe UI Light" w:cs="Segoe UI Light"/>
              </w:rPr>
              <w:t>Other employers</w:t>
            </w:r>
          </w:p>
        </w:tc>
        <w:tc>
          <w:tcPr>
            <w:tcW w:w="2040" w:type="dxa"/>
            <w:tcBorders>
              <w:top w:val="nil"/>
              <w:left w:val="nil"/>
              <w:bottom w:val="single" w:sz="4" w:space="0" w:color="auto"/>
              <w:right w:val="nil"/>
            </w:tcBorders>
            <w:vAlign w:val="center"/>
          </w:tcPr>
          <w:p w:rsidR="00855E61" w:rsidRPr="00B64DB9" w:rsidRDefault="00855E61" w:rsidP="00AE1C26">
            <w:pPr>
              <w:jc w:val="right"/>
              <w:rPr>
                <w:rFonts w:ascii="Segoe UI Light" w:hAnsi="Segoe UI Light" w:cs="Segoe UI Light"/>
              </w:rPr>
            </w:pPr>
            <w:r w:rsidRPr="00B64DB9">
              <w:rPr>
                <w:rFonts w:ascii="Segoe UI Light" w:hAnsi="Segoe UI Light" w:cs="Segoe UI Light"/>
              </w:rPr>
              <w:t>1,834</w:t>
            </w:r>
          </w:p>
        </w:tc>
      </w:tr>
      <w:tr w:rsidR="00855E61" w:rsidRPr="00B64DB9" w:rsidTr="00AE1C26">
        <w:tc>
          <w:tcPr>
            <w:tcW w:w="2268" w:type="dxa"/>
            <w:tcBorders>
              <w:top w:val="single" w:sz="4" w:space="0" w:color="auto"/>
              <w:left w:val="nil"/>
              <w:bottom w:val="nil"/>
              <w:right w:val="nil"/>
            </w:tcBorders>
            <w:vAlign w:val="center"/>
          </w:tcPr>
          <w:p w:rsidR="00855E61" w:rsidRPr="00B64DB9" w:rsidRDefault="00855E61" w:rsidP="00AE1C26">
            <w:pPr>
              <w:jc w:val="right"/>
              <w:rPr>
                <w:rFonts w:ascii="Segoe UI Light" w:hAnsi="Segoe UI Light" w:cs="Segoe UI Light"/>
                <w:b/>
              </w:rPr>
            </w:pPr>
            <w:r w:rsidRPr="00B64DB9">
              <w:rPr>
                <w:rFonts w:ascii="Segoe UI Light" w:hAnsi="Segoe UI Light" w:cs="Segoe UI Light"/>
                <w:b/>
              </w:rPr>
              <w:t>6,756</w:t>
            </w:r>
          </w:p>
        </w:tc>
        <w:tc>
          <w:tcPr>
            <w:tcW w:w="4790" w:type="dxa"/>
            <w:tcBorders>
              <w:top w:val="nil"/>
              <w:left w:val="nil"/>
              <w:bottom w:val="nil"/>
              <w:right w:val="nil"/>
            </w:tcBorders>
          </w:tcPr>
          <w:p w:rsidR="00855E61" w:rsidRPr="00B64DB9" w:rsidRDefault="00855E61" w:rsidP="00AE1C26">
            <w:pPr>
              <w:overflowPunct w:val="0"/>
              <w:autoSpaceDE w:val="0"/>
              <w:autoSpaceDN w:val="0"/>
              <w:adjustRightInd w:val="0"/>
              <w:textAlignment w:val="baseline"/>
              <w:rPr>
                <w:rFonts w:ascii="Segoe UI Light" w:hAnsi="Segoe UI Light" w:cs="Segoe UI Light"/>
                <w:b/>
              </w:rPr>
            </w:pPr>
            <w:r w:rsidRPr="00B64DB9">
              <w:rPr>
                <w:rFonts w:ascii="Segoe UI Light" w:hAnsi="Segoe UI Light" w:cs="Segoe UI Light"/>
                <w:b/>
              </w:rPr>
              <w:t>Total</w:t>
            </w:r>
          </w:p>
        </w:tc>
        <w:tc>
          <w:tcPr>
            <w:tcW w:w="2040" w:type="dxa"/>
            <w:tcBorders>
              <w:top w:val="single" w:sz="4" w:space="0" w:color="auto"/>
              <w:left w:val="nil"/>
              <w:bottom w:val="nil"/>
              <w:right w:val="nil"/>
            </w:tcBorders>
            <w:vAlign w:val="center"/>
          </w:tcPr>
          <w:p w:rsidR="00855E61" w:rsidRPr="00B64DB9" w:rsidRDefault="00855E61" w:rsidP="00AE1C26">
            <w:pPr>
              <w:jc w:val="right"/>
              <w:rPr>
                <w:rFonts w:ascii="Segoe UI Light" w:hAnsi="Segoe UI Light" w:cs="Segoe UI Light"/>
                <w:b/>
              </w:rPr>
            </w:pPr>
            <w:r w:rsidRPr="00B64DB9">
              <w:rPr>
                <w:rFonts w:ascii="Segoe UI Light" w:hAnsi="Segoe UI Light" w:cs="Segoe UI Light"/>
                <w:b/>
              </w:rPr>
              <w:t>7,073</w:t>
            </w:r>
          </w:p>
        </w:tc>
      </w:tr>
      <w:tr w:rsidR="00855E61" w:rsidRPr="00B64DB9" w:rsidTr="00AE1C26">
        <w:tc>
          <w:tcPr>
            <w:tcW w:w="2268" w:type="dxa"/>
            <w:tcBorders>
              <w:top w:val="nil"/>
              <w:left w:val="nil"/>
              <w:bottom w:val="nil"/>
              <w:right w:val="nil"/>
            </w:tcBorders>
            <w:vAlign w:val="center"/>
          </w:tcPr>
          <w:p w:rsidR="00855E61" w:rsidRPr="00B64DB9" w:rsidRDefault="00855E61" w:rsidP="00AE1C26">
            <w:pPr>
              <w:jc w:val="right"/>
              <w:rPr>
                <w:rFonts w:ascii="Segoe UI Light" w:hAnsi="Segoe UI Light" w:cs="Segoe UI Light"/>
              </w:rPr>
            </w:pPr>
          </w:p>
        </w:tc>
        <w:tc>
          <w:tcPr>
            <w:tcW w:w="4790" w:type="dxa"/>
            <w:tcBorders>
              <w:top w:val="nil"/>
              <w:left w:val="nil"/>
              <w:bottom w:val="nil"/>
              <w:right w:val="nil"/>
            </w:tcBorders>
          </w:tcPr>
          <w:p w:rsidR="00855E61" w:rsidRPr="00B64DB9" w:rsidRDefault="00855E61" w:rsidP="00AE1C26">
            <w:pPr>
              <w:overflowPunct w:val="0"/>
              <w:autoSpaceDE w:val="0"/>
              <w:autoSpaceDN w:val="0"/>
              <w:adjustRightInd w:val="0"/>
              <w:textAlignment w:val="baseline"/>
              <w:rPr>
                <w:rFonts w:ascii="Segoe UI Light" w:hAnsi="Segoe UI Light" w:cs="Segoe UI Light"/>
              </w:rPr>
            </w:pPr>
          </w:p>
        </w:tc>
        <w:tc>
          <w:tcPr>
            <w:tcW w:w="2040" w:type="dxa"/>
            <w:tcBorders>
              <w:top w:val="nil"/>
              <w:left w:val="nil"/>
              <w:bottom w:val="nil"/>
              <w:right w:val="nil"/>
            </w:tcBorders>
            <w:vAlign w:val="center"/>
          </w:tcPr>
          <w:p w:rsidR="00855E61" w:rsidRPr="00B64DB9" w:rsidRDefault="00855E61" w:rsidP="00AE1C26">
            <w:pPr>
              <w:jc w:val="right"/>
              <w:rPr>
                <w:rFonts w:ascii="Segoe UI Light" w:hAnsi="Segoe UI Light" w:cs="Segoe UI Light"/>
              </w:rPr>
            </w:pPr>
          </w:p>
        </w:tc>
      </w:tr>
      <w:tr w:rsidR="00855E61" w:rsidRPr="00B64DB9" w:rsidTr="00AE1C26">
        <w:tc>
          <w:tcPr>
            <w:tcW w:w="2268" w:type="dxa"/>
            <w:tcBorders>
              <w:top w:val="nil"/>
              <w:left w:val="nil"/>
              <w:bottom w:val="nil"/>
              <w:right w:val="nil"/>
            </w:tcBorders>
            <w:vAlign w:val="center"/>
          </w:tcPr>
          <w:p w:rsidR="00855E61" w:rsidRPr="00B64DB9" w:rsidRDefault="00855E61" w:rsidP="00AE1C26">
            <w:pPr>
              <w:jc w:val="right"/>
              <w:rPr>
                <w:rFonts w:ascii="Segoe UI Light" w:hAnsi="Segoe UI Light" w:cs="Segoe UI Light"/>
              </w:rPr>
            </w:pPr>
          </w:p>
        </w:tc>
        <w:tc>
          <w:tcPr>
            <w:tcW w:w="4790" w:type="dxa"/>
            <w:tcBorders>
              <w:top w:val="nil"/>
              <w:left w:val="nil"/>
              <w:bottom w:val="nil"/>
              <w:right w:val="nil"/>
            </w:tcBorders>
          </w:tcPr>
          <w:p w:rsidR="00855E61" w:rsidRPr="00B64DB9" w:rsidRDefault="00855E61" w:rsidP="00AE1C26">
            <w:pPr>
              <w:overflowPunct w:val="0"/>
              <w:autoSpaceDE w:val="0"/>
              <w:autoSpaceDN w:val="0"/>
              <w:adjustRightInd w:val="0"/>
              <w:textAlignment w:val="baseline"/>
              <w:rPr>
                <w:rFonts w:ascii="Segoe UI Light" w:hAnsi="Segoe UI Light" w:cs="Segoe UI Light"/>
                <w:b/>
              </w:rPr>
            </w:pPr>
            <w:r w:rsidRPr="00B64DB9">
              <w:rPr>
                <w:rFonts w:ascii="Segoe UI Light" w:hAnsi="Segoe UI Light" w:cs="Segoe UI Light"/>
                <w:b/>
              </w:rPr>
              <w:t>Number of pensioners</w:t>
            </w:r>
          </w:p>
        </w:tc>
        <w:tc>
          <w:tcPr>
            <w:tcW w:w="2040" w:type="dxa"/>
            <w:tcBorders>
              <w:top w:val="nil"/>
              <w:left w:val="nil"/>
              <w:bottom w:val="nil"/>
              <w:right w:val="nil"/>
            </w:tcBorders>
            <w:vAlign w:val="center"/>
          </w:tcPr>
          <w:p w:rsidR="00855E61" w:rsidRPr="00B64DB9" w:rsidRDefault="00855E61" w:rsidP="00AE1C26">
            <w:pPr>
              <w:jc w:val="right"/>
              <w:rPr>
                <w:rFonts w:ascii="Segoe UI Light" w:hAnsi="Segoe UI Light" w:cs="Segoe UI Light"/>
              </w:rPr>
            </w:pPr>
          </w:p>
        </w:tc>
      </w:tr>
      <w:tr w:rsidR="00855E61" w:rsidRPr="00B64DB9" w:rsidTr="00AE1C26">
        <w:tc>
          <w:tcPr>
            <w:tcW w:w="2268" w:type="dxa"/>
            <w:tcBorders>
              <w:top w:val="nil"/>
              <w:left w:val="nil"/>
              <w:bottom w:val="nil"/>
              <w:right w:val="nil"/>
            </w:tcBorders>
            <w:vAlign w:val="center"/>
          </w:tcPr>
          <w:p w:rsidR="00855E61" w:rsidRPr="00B64DB9" w:rsidRDefault="00855E61" w:rsidP="00AE1C26">
            <w:pPr>
              <w:jc w:val="right"/>
              <w:rPr>
                <w:rFonts w:ascii="Segoe UI Light" w:hAnsi="Segoe UI Light" w:cs="Segoe UI Light"/>
              </w:rPr>
            </w:pPr>
            <w:r w:rsidRPr="00B64DB9">
              <w:rPr>
                <w:rFonts w:ascii="Segoe UI Light" w:hAnsi="Segoe UI Light" w:cs="Segoe UI Light"/>
              </w:rPr>
              <w:t>6,193</w:t>
            </w:r>
          </w:p>
        </w:tc>
        <w:tc>
          <w:tcPr>
            <w:tcW w:w="4790" w:type="dxa"/>
            <w:tcBorders>
              <w:top w:val="nil"/>
              <w:left w:val="nil"/>
              <w:bottom w:val="nil"/>
              <w:right w:val="nil"/>
            </w:tcBorders>
          </w:tcPr>
          <w:p w:rsidR="00855E61" w:rsidRPr="00B64DB9" w:rsidRDefault="00855E61" w:rsidP="00AE1C26">
            <w:pPr>
              <w:overflowPunct w:val="0"/>
              <w:autoSpaceDE w:val="0"/>
              <w:autoSpaceDN w:val="0"/>
              <w:adjustRightInd w:val="0"/>
              <w:textAlignment w:val="baseline"/>
              <w:rPr>
                <w:rFonts w:ascii="Segoe UI Light" w:hAnsi="Segoe UI Light" w:cs="Segoe UI Light"/>
              </w:rPr>
            </w:pPr>
            <w:r w:rsidRPr="00B64DB9">
              <w:rPr>
                <w:rFonts w:ascii="Segoe UI Light" w:hAnsi="Segoe UI Light" w:cs="Segoe UI Light"/>
              </w:rPr>
              <w:t>Brent Council</w:t>
            </w:r>
          </w:p>
        </w:tc>
        <w:tc>
          <w:tcPr>
            <w:tcW w:w="2040" w:type="dxa"/>
            <w:tcBorders>
              <w:top w:val="nil"/>
              <w:left w:val="nil"/>
              <w:bottom w:val="nil"/>
              <w:right w:val="nil"/>
            </w:tcBorders>
            <w:vAlign w:val="center"/>
          </w:tcPr>
          <w:p w:rsidR="00855E61" w:rsidRPr="00B64DB9" w:rsidRDefault="00855E61" w:rsidP="00AE1C26">
            <w:pPr>
              <w:jc w:val="right"/>
              <w:rPr>
                <w:rFonts w:ascii="Segoe UI Light" w:hAnsi="Segoe UI Light" w:cs="Segoe UI Light"/>
              </w:rPr>
            </w:pPr>
            <w:r w:rsidRPr="00B64DB9">
              <w:rPr>
                <w:rFonts w:ascii="Segoe UI Light" w:hAnsi="Segoe UI Light" w:cs="Segoe UI Light"/>
              </w:rPr>
              <w:t>6,320</w:t>
            </w:r>
          </w:p>
        </w:tc>
      </w:tr>
      <w:tr w:rsidR="00855E61" w:rsidRPr="00B64DB9" w:rsidTr="00AE1C26">
        <w:tc>
          <w:tcPr>
            <w:tcW w:w="2268" w:type="dxa"/>
            <w:tcBorders>
              <w:top w:val="nil"/>
              <w:left w:val="nil"/>
              <w:bottom w:val="single" w:sz="4" w:space="0" w:color="auto"/>
              <w:right w:val="nil"/>
            </w:tcBorders>
            <w:vAlign w:val="center"/>
          </w:tcPr>
          <w:p w:rsidR="00855E61" w:rsidRPr="00B64DB9" w:rsidRDefault="00855E61" w:rsidP="00AE1C26">
            <w:pPr>
              <w:jc w:val="right"/>
              <w:rPr>
                <w:rFonts w:ascii="Segoe UI Light" w:hAnsi="Segoe UI Light" w:cs="Segoe UI Light"/>
              </w:rPr>
            </w:pPr>
            <w:r w:rsidRPr="00B64DB9">
              <w:rPr>
                <w:rFonts w:ascii="Segoe UI Light" w:hAnsi="Segoe UI Light" w:cs="Segoe UI Light"/>
              </w:rPr>
              <w:t>537</w:t>
            </w:r>
          </w:p>
        </w:tc>
        <w:tc>
          <w:tcPr>
            <w:tcW w:w="4790" w:type="dxa"/>
            <w:tcBorders>
              <w:top w:val="nil"/>
              <w:left w:val="nil"/>
              <w:bottom w:val="nil"/>
              <w:right w:val="nil"/>
            </w:tcBorders>
          </w:tcPr>
          <w:p w:rsidR="00855E61" w:rsidRPr="00B64DB9" w:rsidRDefault="00855E61" w:rsidP="00AE1C26">
            <w:pPr>
              <w:overflowPunct w:val="0"/>
              <w:autoSpaceDE w:val="0"/>
              <w:autoSpaceDN w:val="0"/>
              <w:adjustRightInd w:val="0"/>
              <w:textAlignment w:val="baseline"/>
              <w:rPr>
                <w:rFonts w:ascii="Segoe UI Light" w:hAnsi="Segoe UI Light" w:cs="Segoe UI Light"/>
              </w:rPr>
            </w:pPr>
            <w:r w:rsidRPr="00B64DB9">
              <w:rPr>
                <w:rFonts w:ascii="Segoe UI Light" w:hAnsi="Segoe UI Light" w:cs="Segoe UI Light"/>
              </w:rPr>
              <w:t>Other employers</w:t>
            </w:r>
          </w:p>
        </w:tc>
        <w:tc>
          <w:tcPr>
            <w:tcW w:w="2040" w:type="dxa"/>
            <w:tcBorders>
              <w:top w:val="nil"/>
              <w:left w:val="nil"/>
              <w:bottom w:val="single" w:sz="4" w:space="0" w:color="auto"/>
              <w:right w:val="nil"/>
            </w:tcBorders>
            <w:vAlign w:val="center"/>
          </w:tcPr>
          <w:p w:rsidR="00855E61" w:rsidRPr="00B64DB9" w:rsidRDefault="00855E61" w:rsidP="00AE1C26">
            <w:pPr>
              <w:jc w:val="right"/>
              <w:rPr>
                <w:rFonts w:ascii="Segoe UI Light" w:hAnsi="Segoe UI Light" w:cs="Segoe UI Light"/>
              </w:rPr>
            </w:pPr>
            <w:r w:rsidRPr="00B64DB9">
              <w:rPr>
                <w:rFonts w:ascii="Segoe UI Light" w:hAnsi="Segoe UI Light" w:cs="Segoe UI Light"/>
              </w:rPr>
              <w:t>666</w:t>
            </w:r>
          </w:p>
        </w:tc>
      </w:tr>
      <w:tr w:rsidR="00855E61" w:rsidRPr="00B64DB9" w:rsidTr="00AE1C26">
        <w:tc>
          <w:tcPr>
            <w:tcW w:w="2268" w:type="dxa"/>
            <w:tcBorders>
              <w:top w:val="single" w:sz="4" w:space="0" w:color="auto"/>
              <w:left w:val="nil"/>
              <w:bottom w:val="nil"/>
              <w:right w:val="nil"/>
            </w:tcBorders>
            <w:vAlign w:val="center"/>
          </w:tcPr>
          <w:p w:rsidR="00855E61" w:rsidRPr="00B64DB9" w:rsidRDefault="00855E61" w:rsidP="00AE1C26">
            <w:pPr>
              <w:jc w:val="right"/>
              <w:rPr>
                <w:rFonts w:ascii="Segoe UI Light" w:hAnsi="Segoe UI Light" w:cs="Segoe UI Light"/>
                <w:b/>
              </w:rPr>
            </w:pPr>
            <w:r w:rsidRPr="00B64DB9">
              <w:rPr>
                <w:rFonts w:ascii="Segoe UI Light" w:hAnsi="Segoe UI Light" w:cs="Segoe UI Light"/>
                <w:b/>
              </w:rPr>
              <w:t>6,730</w:t>
            </w:r>
          </w:p>
        </w:tc>
        <w:tc>
          <w:tcPr>
            <w:tcW w:w="4790" w:type="dxa"/>
            <w:tcBorders>
              <w:top w:val="nil"/>
              <w:left w:val="nil"/>
              <w:bottom w:val="nil"/>
              <w:right w:val="nil"/>
            </w:tcBorders>
          </w:tcPr>
          <w:p w:rsidR="00855E61" w:rsidRPr="00B64DB9" w:rsidRDefault="00855E61" w:rsidP="00AE1C26">
            <w:pPr>
              <w:overflowPunct w:val="0"/>
              <w:autoSpaceDE w:val="0"/>
              <w:autoSpaceDN w:val="0"/>
              <w:adjustRightInd w:val="0"/>
              <w:textAlignment w:val="baseline"/>
              <w:rPr>
                <w:rFonts w:ascii="Segoe UI Light" w:hAnsi="Segoe UI Light" w:cs="Segoe UI Light"/>
                <w:b/>
              </w:rPr>
            </w:pPr>
            <w:r w:rsidRPr="00B64DB9">
              <w:rPr>
                <w:rFonts w:ascii="Segoe UI Light" w:hAnsi="Segoe UI Light" w:cs="Segoe UI Light"/>
                <w:b/>
              </w:rPr>
              <w:t>Total</w:t>
            </w:r>
          </w:p>
        </w:tc>
        <w:tc>
          <w:tcPr>
            <w:tcW w:w="2040" w:type="dxa"/>
            <w:tcBorders>
              <w:top w:val="single" w:sz="4" w:space="0" w:color="auto"/>
              <w:left w:val="nil"/>
              <w:bottom w:val="nil"/>
              <w:right w:val="nil"/>
            </w:tcBorders>
            <w:vAlign w:val="center"/>
          </w:tcPr>
          <w:p w:rsidR="00855E61" w:rsidRPr="00B64DB9" w:rsidRDefault="00855E61" w:rsidP="00AE1C26">
            <w:pPr>
              <w:jc w:val="right"/>
              <w:rPr>
                <w:rFonts w:ascii="Segoe UI Light" w:hAnsi="Segoe UI Light" w:cs="Segoe UI Light"/>
                <w:b/>
              </w:rPr>
            </w:pPr>
            <w:r w:rsidRPr="00B64DB9">
              <w:rPr>
                <w:rFonts w:ascii="Segoe UI Light" w:hAnsi="Segoe UI Light" w:cs="Segoe UI Light"/>
                <w:b/>
              </w:rPr>
              <w:t>6,986</w:t>
            </w:r>
          </w:p>
        </w:tc>
      </w:tr>
      <w:tr w:rsidR="00855E61" w:rsidRPr="00B64DB9" w:rsidTr="00AE1C26">
        <w:tc>
          <w:tcPr>
            <w:tcW w:w="2268" w:type="dxa"/>
            <w:tcBorders>
              <w:top w:val="nil"/>
              <w:left w:val="nil"/>
              <w:bottom w:val="nil"/>
              <w:right w:val="nil"/>
            </w:tcBorders>
            <w:vAlign w:val="center"/>
          </w:tcPr>
          <w:p w:rsidR="00855E61" w:rsidRPr="00B64DB9" w:rsidRDefault="00855E61" w:rsidP="00AE1C26">
            <w:pPr>
              <w:jc w:val="right"/>
              <w:rPr>
                <w:rFonts w:ascii="Segoe UI Light" w:hAnsi="Segoe UI Light" w:cs="Segoe UI Light"/>
              </w:rPr>
            </w:pPr>
          </w:p>
        </w:tc>
        <w:tc>
          <w:tcPr>
            <w:tcW w:w="4790" w:type="dxa"/>
            <w:tcBorders>
              <w:top w:val="nil"/>
              <w:left w:val="nil"/>
              <w:bottom w:val="nil"/>
              <w:right w:val="nil"/>
            </w:tcBorders>
          </w:tcPr>
          <w:p w:rsidR="00855E61" w:rsidRPr="00B64DB9" w:rsidRDefault="00855E61" w:rsidP="00AE1C26">
            <w:pPr>
              <w:overflowPunct w:val="0"/>
              <w:autoSpaceDE w:val="0"/>
              <w:autoSpaceDN w:val="0"/>
              <w:adjustRightInd w:val="0"/>
              <w:textAlignment w:val="baseline"/>
              <w:rPr>
                <w:rFonts w:ascii="Segoe UI Light" w:hAnsi="Segoe UI Light" w:cs="Segoe UI Light"/>
              </w:rPr>
            </w:pPr>
          </w:p>
        </w:tc>
        <w:tc>
          <w:tcPr>
            <w:tcW w:w="2040" w:type="dxa"/>
            <w:tcBorders>
              <w:top w:val="nil"/>
              <w:left w:val="nil"/>
              <w:bottom w:val="nil"/>
              <w:right w:val="nil"/>
            </w:tcBorders>
            <w:vAlign w:val="center"/>
          </w:tcPr>
          <w:p w:rsidR="00855E61" w:rsidRPr="00B64DB9" w:rsidRDefault="00855E61" w:rsidP="00AE1C26">
            <w:pPr>
              <w:jc w:val="right"/>
              <w:rPr>
                <w:rFonts w:ascii="Segoe UI Light" w:hAnsi="Segoe UI Light" w:cs="Segoe UI Light"/>
              </w:rPr>
            </w:pPr>
          </w:p>
        </w:tc>
      </w:tr>
      <w:tr w:rsidR="00855E61" w:rsidRPr="00B64DB9" w:rsidTr="00AE1C26">
        <w:tc>
          <w:tcPr>
            <w:tcW w:w="2268" w:type="dxa"/>
            <w:tcBorders>
              <w:top w:val="nil"/>
              <w:left w:val="nil"/>
              <w:bottom w:val="nil"/>
              <w:right w:val="nil"/>
            </w:tcBorders>
            <w:vAlign w:val="center"/>
          </w:tcPr>
          <w:p w:rsidR="00855E61" w:rsidRPr="00B64DB9" w:rsidRDefault="00855E61" w:rsidP="00AE1C26">
            <w:pPr>
              <w:jc w:val="right"/>
              <w:rPr>
                <w:rFonts w:ascii="Segoe UI Light" w:hAnsi="Segoe UI Light" w:cs="Segoe UI Light"/>
              </w:rPr>
            </w:pPr>
          </w:p>
        </w:tc>
        <w:tc>
          <w:tcPr>
            <w:tcW w:w="4790" w:type="dxa"/>
            <w:tcBorders>
              <w:top w:val="nil"/>
              <w:left w:val="nil"/>
              <w:bottom w:val="nil"/>
              <w:right w:val="nil"/>
            </w:tcBorders>
          </w:tcPr>
          <w:p w:rsidR="00855E61" w:rsidRPr="00B64DB9" w:rsidRDefault="00855E61" w:rsidP="00AE1C26">
            <w:pPr>
              <w:overflowPunct w:val="0"/>
              <w:autoSpaceDE w:val="0"/>
              <w:autoSpaceDN w:val="0"/>
              <w:adjustRightInd w:val="0"/>
              <w:textAlignment w:val="baseline"/>
              <w:rPr>
                <w:rFonts w:ascii="Segoe UI Light" w:hAnsi="Segoe UI Light" w:cs="Segoe UI Light"/>
                <w:b/>
              </w:rPr>
            </w:pPr>
            <w:r w:rsidRPr="00B64DB9">
              <w:rPr>
                <w:rFonts w:ascii="Segoe UI Light" w:hAnsi="Segoe UI Light" w:cs="Segoe UI Light"/>
                <w:b/>
              </w:rPr>
              <w:t>Deferred pensioners</w:t>
            </w:r>
          </w:p>
        </w:tc>
        <w:tc>
          <w:tcPr>
            <w:tcW w:w="2040" w:type="dxa"/>
            <w:tcBorders>
              <w:top w:val="nil"/>
              <w:left w:val="nil"/>
              <w:bottom w:val="nil"/>
              <w:right w:val="nil"/>
            </w:tcBorders>
            <w:vAlign w:val="center"/>
          </w:tcPr>
          <w:p w:rsidR="00855E61" w:rsidRPr="00B64DB9" w:rsidRDefault="00855E61" w:rsidP="00AE1C26">
            <w:pPr>
              <w:jc w:val="right"/>
              <w:rPr>
                <w:rFonts w:ascii="Segoe UI Light" w:hAnsi="Segoe UI Light" w:cs="Segoe UI Light"/>
              </w:rPr>
            </w:pPr>
          </w:p>
        </w:tc>
      </w:tr>
      <w:tr w:rsidR="00855E61" w:rsidRPr="00B64DB9" w:rsidTr="00AE1C26">
        <w:tc>
          <w:tcPr>
            <w:tcW w:w="2268" w:type="dxa"/>
            <w:tcBorders>
              <w:top w:val="nil"/>
              <w:left w:val="nil"/>
              <w:bottom w:val="nil"/>
              <w:right w:val="nil"/>
            </w:tcBorders>
            <w:vAlign w:val="center"/>
          </w:tcPr>
          <w:p w:rsidR="00855E61" w:rsidRPr="00B64DB9" w:rsidRDefault="00855E61" w:rsidP="00AE1C26">
            <w:pPr>
              <w:jc w:val="right"/>
              <w:rPr>
                <w:rFonts w:ascii="Segoe UI Light" w:hAnsi="Segoe UI Light" w:cs="Segoe UI Light"/>
              </w:rPr>
            </w:pPr>
            <w:r w:rsidRPr="00B64DB9">
              <w:rPr>
                <w:rFonts w:ascii="Segoe UI Light" w:hAnsi="Segoe UI Light" w:cs="Segoe UI Light"/>
              </w:rPr>
              <w:t>7,053</w:t>
            </w:r>
          </w:p>
        </w:tc>
        <w:tc>
          <w:tcPr>
            <w:tcW w:w="4790" w:type="dxa"/>
            <w:tcBorders>
              <w:top w:val="nil"/>
              <w:left w:val="nil"/>
              <w:bottom w:val="nil"/>
              <w:right w:val="nil"/>
            </w:tcBorders>
          </w:tcPr>
          <w:p w:rsidR="00855E61" w:rsidRPr="00B64DB9" w:rsidRDefault="00855E61" w:rsidP="00AE1C26">
            <w:pPr>
              <w:overflowPunct w:val="0"/>
              <w:autoSpaceDE w:val="0"/>
              <w:autoSpaceDN w:val="0"/>
              <w:adjustRightInd w:val="0"/>
              <w:textAlignment w:val="baseline"/>
              <w:rPr>
                <w:rFonts w:ascii="Segoe UI Light" w:hAnsi="Segoe UI Light" w:cs="Segoe UI Light"/>
              </w:rPr>
            </w:pPr>
            <w:r w:rsidRPr="00B64DB9">
              <w:rPr>
                <w:rFonts w:ascii="Segoe UI Light" w:hAnsi="Segoe UI Light" w:cs="Segoe UI Light"/>
              </w:rPr>
              <w:t>Brent Council</w:t>
            </w:r>
          </w:p>
        </w:tc>
        <w:tc>
          <w:tcPr>
            <w:tcW w:w="2040" w:type="dxa"/>
            <w:tcBorders>
              <w:top w:val="nil"/>
              <w:left w:val="nil"/>
              <w:bottom w:val="nil"/>
              <w:right w:val="nil"/>
            </w:tcBorders>
            <w:vAlign w:val="center"/>
          </w:tcPr>
          <w:p w:rsidR="00855E61" w:rsidRPr="00B64DB9" w:rsidRDefault="00855E61" w:rsidP="00AE1C26">
            <w:pPr>
              <w:jc w:val="right"/>
              <w:rPr>
                <w:rFonts w:ascii="Segoe UI Light" w:hAnsi="Segoe UI Light" w:cs="Segoe UI Light"/>
              </w:rPr>
            </w:pPr>
            <w:r w:rsidRPr="00B64DB9">
              <w:rPr>
                <w:rFonts w:ascii="Segoe UI Light" w:hAnsi="Segoe UI Light" w:cs="Segoe UI Light"/>
              </w:rPr>
              <w:t>6,975</w:t>
            </w:r>
          </w:p>
        </w:tc>
      </w:tr>
      <w:tr w:rsidR="00855E61" w:rsidRPr="00B64DB9" w:rsidTr="00AE1C26">
        <w:tc>
          <w:tcPr>
            <w:tcW w:w="2268" w:type="dxa"/>
            <w:tcBorders>
              <w:top w:val="nil"/>
              <w:left w:val="nil"/>
              <w:bottom w:val="single" w:sz="4" w:space="0" w:color="auto"/>
              <w:right w:val="nil"/>
            </w:tcBorders>
            <w:vAlign w:val="center"/>
          </w:tcPr>
          <w:p w:rsidR="00855E61" w:rsidRPr="00B64DB9" w:rsidRDefault="00855E61" w:rsidP="00AE1C26">
            <w:pPr>
              <w:jc w:val="right"/>
              <w:rPr>
                <w:rFonts w:ascii="Segoe UI Light" w:hAnsi="Segoe UI Light" w:cs="Segoe UI Light"/>
              </w:rPr>
            </w:pPr>
            <w:r w:rsidRPr="00B64DB9">
              <w:rPr>
                <w:rFonts w:ascii="Segoe UI Light" w:hAnsi="Segoe UI Light" w:cs="Segoe UI Light"/>
              </w:rPr>
              <w:t>815</w:t>
            </w:r>
          </w:p>
        </w:tc>
        <w:tc>
          <w:tcPr>
            <w:tcW w:w="4790" w:type="dxa"/>
            <w:tcBorders>
              <w:top w:val="nil"/>
              <w:left w:val="nil"/>
              <w:bottom w:val="nil"/>
              <w:right w:val="nil"/>
            </w:tcBorders>
          </w:tcPr>
          <w:p w:rsidR="00855E61" w:rsidRPr="00B64DB9" w:rsidRDefault="00855E61" w:rsidP="00AE1C26">
            <w:pPr>
              <w:overflowPunct w:val="0"/>
              <w:autoSpaceDE w:val="0"/>
              <w:autoSpaceDN w:val="0"/>
              <w:adjustRightInd w:val="0"/>
              <w:textAlignment w:val="baseline"/>
              <w:rPr>
                <w:rFonts w:ascii="Segoe UI Light" w:hAnsi="Segoe UI Light" w:cs="Segoe UI Light"/>
              </w:rPr>
            </w:pPr>
            <w:r w:rsidRPr="00B64DB9">
              <w:rPr>
                <w:rFonts w:ascii="Segoe UI Light" w:hAnsi="Segoe UI Light" w:cs="Segoe UI Light"/>
              </w:rPr>
              <w:t>Other employers</w:t>
            </w:r>
          </w:p>
        </w:tc>
        <w:tc>
          <w:tcPr>
            <w:tcW w:w="2040" w:type="dxa"/>
            <w:tcBorders>
              <w:top w:val="nil"/>
              <w:left w:val="nil"/>
              <w:bottom w:val="single" w:sz="4" w:space="0" w:color="auto"/>
              <w:right w:val="nil"/>
            </w:tcBorders>
            <w:vAlign w:val="center"/>
          </w:tcPr>
          <w:p w:rsidR="00855E61" w:rsidRPr="00B64DB9" w:rsidRDefault="00855E61" w:rsidP="00AE1C26">
            <w:pPr>
              <w:jc w:val="right"/>
              <w:rPr>
                <w:rFonts w:ascii="Segoe UI Light" w:hAnsi="Segoe UI Light" w:cs="Segoe UI Light"/>
              </w:rPr>
            </w:pPr>
            <w:r w:rsidRPr="00B64DB9">
              <w:rPr>
                <w:rFonts w:ascii="Segoe UI Light" w:hAnsi="Segoe UI Light" w:cs="Segoe UI Light"/>
              </w:rPr>
              <w:t>935</w:t>
            </w:r>
          </w:p>
        </w:tc>
      </w:tr>
      <w:tr w:rsidR="00855E61" w:rsidRPr="004B3E6A" w:rsidTr="00AE1C26">
        <w:tc>
          <w:tcPr>
            <w:tcW w:w="2268" w:type="dxa"/>
            <w:tcBorders>
              <w:top w:val="single" w:sz="4" w:space="0" w:color="auto"/>
              <w:left w:val="nil"/>
              <w:bottom w:val="nil"/>
              <w:right w:val="nil"/>
            </w:tcBorders>
            <w:vAlign w:val="center"/>
          </w:tcPr>
          <w:p w:rsidR="00855E61" w:rsidRPr="00B64DB9" w:rsidRDefault="00855E61" w:rsidP="00AE1C26">
            <w:pPr>
              <w:jc w:val="right"/>
              <w:rPr>
                <w:rFonts w:ascii="Segoe UI Light" w:hAnsi="Segoe UI Light" w:cs="Segoe UI Light"/>
                <w:b/>
              </w:rPr>
            </w:pPr>
            <w:r w:rsidRPr="00B64DB9">
              <w:rPr>
                <w:rFonts w:ascii="Segoe UI Light" w:hAnsi="Segoe UI Light" w:cs="Segoe UI Light"/>
                <w:b/>
              </w:rPr>
              <w:t>7,868</w:t>
            </w:r>
          </w:p>
        </w:tc>
        <w:tc>
          <w:tcPr>
            <w:tcW w:w="4790" w:type="dxa"/>
            <w:tcBorders>
              <w:top w:val="nil"/>
              <w:left w:val="nil"/>
              <w:bottom w:val="nil"/>
              <w:right w:val="nil"/>
            </w:tcBorders>
          </w:tcPr>
          <w:p w:rsidR="00855E61" w:rsidRPr="00B64DB9" w:rsidRDefault="00855E61" w:rsidP="00AE1C26">
            <w:pPr>
              <w:overflowPunct w:val="0"/>
              <w:autoSpaceDE w:val="0"/>
              <w:autoSpaceDN w:val="0"/>
              <w:adjustRightInd w:val="0"/>
              <w:textAlignment w:val="baseline"/>
              <w:rPr>
                <w:rFonts w:ascii="Segoe UI Light" w:hAnsi="Segoe UI Light" w:cs="Segoe UI Light"/>
                <w:b/>
              </w:rPr>
            </w:pPr>
            <w:r w:rsidRPr="00B64DB9">
              <w:rPr>
                <w:rFonts w:ascii="Segoe UI Light" w:hAnsi="Segoe UI Light" w:cs="Segoe UI Light"/>
                <w:b/>
              </w:rPr>
              <w:t>Total</w:t>
            </w:r>
          </w:p>
        </w:tc>
        <w:tc>
          <w:tcPr>
            <w:tcW w:w="2040" w:type="dxa"/>
            <w:tcBorders>
              <w:top w:val="single" w:sz="4" w:space="0" w:color="auto"/>
              <w:left w:val="nil"/>
              <w:bottom w:val="nil"/>
              <w:right w:val="nil"/>
            </w:tcBorders>
            <w:vAlign w:val="center"/>
          </w:tcPr>
          <w:p w:rsidR="00855E61" w:rsidRPr="00B64DB9" w:rsidRDefault="00855E61" w:rsidP="00AE1C26">
            <w:pPr>
              <w:jc w:val="right"/>
              <w:rPr>
                <w:rFonts w:ascii="Segoe UI Light" w:hAnsi="Segoe UI Light" w:cs="Segoe UI Light"/>
                <w:b/>
              </w:rPr>
            </w:pPr>
            <w:r w:rsidRPr="00B64DB9">
              <w:rPr>
                <w:rFonts w:ascii="Segoe UI Light" w:hAnsi="Segoe UI Light" w:cs="Segoe UI Light"/>
                <w:b/>
              </w:rPr>
              <w:t>7,910</w:t>
            </w:r>
          </w:p>
        </w:tc>
      </w:tr>
    </w:tbl>
    <w:p w:rsidR="00F72906" w:rsidRDefault="00F72906" w:rsidP="00F72906"/>
    <w:p w:rsidR="00F72906" w:rsidRDefault="00855E61" w:rsidP="00F72906">
      <w:r>
        <w:t>c)</w:t>
      </w:r>
      <w:r>
        <w:tab/>
        <w:t>Funding</w:t>
      </w:r>
    </w:p>
    <w:p w:rsidR="00F72906" w:rsidRDefault="00F72906" w:rsidP="00F72906">
      <w:r>
        <w:t>Benefits are funded by contributions and investment earnings. Contributions are made by active members of the Fund in accordance with the LGPS (Benefits, Membership and Contributions) Regulations 2013 and range from 5.5% to 12.5% of pensionable pay for the financial year ending 31 March 2020. Employee contributions are matched by employers’ contributions which are set based on triennial actuarial funding valuations. The last such valuation was at 31 March 2019. During 2019/20, the most commonly applied employer contribution rate within the Brent Pension Fun</w:t>
      </w:r>
      <w:r w:rsidR="00855E61">
        <w:t>d was 35.0% of pensionable pay.</w:t>
      </w:r>
    </w:p>
    <w:p w:rsidR="00F72906" w:rsidRDefault="00855E61" w:rsidP="00F72906">
      <w:r>
        <w:t>d)</w:t>
      </w:r>
      <w:r>
        <w:tab/>
        <w:t>Benefits</w:t>
      </w:r>
    </w:p>
    <w:p w:rsidR="00F72906" w:rsidRDefault="00F72906" w:rsidP="00F72906">
      <w:r>
        <w:t>Since April 2014, the scheme is a career average scheme, whereby members accrue benefits based on their pensionable pay in that year at an accrual rate 1/49th. Accrued pension is updated annually in line with the Consumer Price index.</w:t>
      </w:r>
    </w:p>
    <w:p w:rsidR="00F72906" w:rsidRDefault="00F72906" w:rsidP="00F72906">
      <w:r>
        <w:t>For a summary of the scheme before April 2014 and details of a range of other benefits provided under the scheme including early retirement, disability pensions and death benefits, please refer to the LGPS website: www.lgpsmember.org</w:t>
      </w:r>
    </w:p>
    <w:p w:rsidR="00F72906" w:rsidRDefault="00F72906" w:rsidP="00F72906"/>
    <w:p w:rsidR="00F72906" w:rsidRDefault="00855E61" w:rsidP="00855E61">
      <w:pPr>
        <w:pStyle w:val="Heading3"/>
      </w:pPr>
      <w:r>
        <w:t>2.  Basis of preparation</w:t>
      </w:r>
    </w:p>
    <w:p w:rsidR="00F72906" w:rsidRDefault="00F72906" w:rsidP="00F72906">
      <w:r>
        <w:t>The Statement of Accounts summarises the Fund’s transactions for the 2019/20 financial year and its position at year-end as at 31 March 2020. The accounts have been prepared in accordance with the Code of Practice on Local Authority Accounting in the United Kingdom 2019/20 issued by the Chartered Institute of Public Finance and Accountancy (CIPFA) which is based upon International Financial Reporting Standards (IFRS), as amended for the UK public sector.</w:t>
      </w:r>
    </w:p>
    <w:p w:rsidR="00F72906" w:rsidRDefault="00F72906" w:rsidP="00F72906"/>
    <w:p w:rsidR="00F72906" w:rsidRDefault="00F72906" w:rsidP="00F72906">
      <w:r>
        <w:t>The accounts summarise the transactions of the Fund and report on the net assets available to pay pension benefits. The accounts do not take account of obligations to pay pensions and benefits which fall due after the end of the financial year. The actuarial present value of promised retirement benefits, valued on an International Accounting Standard (IAS) 19 basis, is disclose</w:t>
      </w:r>
      <w:r w:rsidR="00855E61">
        <w:t>d at Note 19 of these accounts.</w:t>
      </w:r>
    </w:p>
    <w:p w:rsidR="00F72906" w:rsidRDefault="00F72906" w:rsidP="00855E61">
      <w:pPr>
        <w:pStyle w:val="Heading3"/>
      </w:pPr>
      <w:r>
        <w:t>3.  Summary of significant accounting policies</w:t>
      </w:r>
    </w:p>
    <w:p w:rsidR="00F72906" w:rsidRDefault="00F72906" w:rsidP="00F72906">
      <w:r>
        <w:t>Fund Account – revenue recognition</w:t>
      </w:r>
    </w:p>
    <w:p w:rsidR="00F72906" w:rsidRDefault="00F72906" w:rsidP="00F72906"/>
    <w:p w:rsidR="00F72906" w:rsidRDefault="00F72906" w:rsidP="00F72906">
      <w:r>
        <w:t>a)</w:t>
      </w:r>
      <w:r>
        <w:tab/>
        <w:t>Contribution income</w:t>
      </w:r>
    </w:p>
    <w:p w:rsidR="00F72906" w:rsidRDefault="00F72906" w:rsidP="00F72906">
      <w:r>
        <w:t>Normal contributions, both from the members and from the employer, are accounted for on an accruals basis at the percentage rate recommended by the Fund actuary in the payroll period to which they relate.</w:t>
      </w:r>
    </w:p>
    <w:p w:rsidR="00F72906" w:rsidRDefault="00F72906" w:rsidP="00F72906"/>
    <w:p w:rsidR="00F72906" w:rsidRDefault="00F72906" w:rsidP="00F72906">
      <w:r>
        <w:t>Employers’ augmentation contributions and pensions strain contributions are accounted for in the period in which the liability arises. Any amount due in year but unpaid will be classed as a current financial asset. Amounts not due until future years are classed as long-term financial assets.</w:t>
      </w:r>
    </w:p>
    <w:p w:rsidR="00F72906" w:rsidRDefault="00F72906" w:rsidP="00F72906"/>
    <w:p w:rsidR="00F72906" w:rsidRDefault="00F72906" w:rsidP="00F72906">
      <w:r>
        <w:t>b)</w:t>
      </w:r>
      <w:r>
        <w:tab/>
        <w:t>Transfers to and from other schemes</w:t>
      </w:r>
    </w:p>
    <w:p w:rsidR="00F72906" w:rsidRDefault="00F72906" w:rsidP="00F72906"/>
    <w:p w:rsidR="00F72906" w:rsidRDefault="00F72906" w:rsidP="00F72906">
      <w:r>
        <w:t>Transfer values represent the amounts received and paid during the year for members who have either joined or left the Fund during the financial year and are calculated in accordance with the Local Government Pension Scheme Regulations (see Notes 8 and 10).</w:t>
      </w:r>
    </w:p>
    <w:p w:rsidR="00F72906" w:rsidRDefault="00F72906" w:rsidP="00F72906"/>
    <w:p w:rsidR="00F72906" w:rsidRDefault="00F72906" w:rsidP="00F72906">
      <w:r>
        <w:t>Individual transfers in/out are accounted for when received/paid, which is normally when the member liability is accepted or discharged.</w:t>
      </w:r>
    </w:p>
    <w:p w:rsidR="00F72906" w:rsidRDefault="00F72906" w:rsidP="00F72906"/>
    <w:p w:rsidR="00F72906" w:rsidRDefault="00F72906" w:rsidP="00F72906">
      <w:r>
        <w:t>Transfers in from members wishing to use the proceeds of their additional voluntary contributions (see section n below) to purchase scheme benefits are accounted for on a receipts basis and are included in Transfers In (see Note 8).</w:t>
      </w:r>
    </w:p>
    <w:p w:rsidR="00F72906" w:rsidRDefault="00F72906" w:rsidP="00F72906"/>
    <w:p w:rsidR="00F72906" w:rsidRDefault="00F72906" w:rsidP="00F72906">
      <w:r>
        <w:t>Bulk (group) transfers are accounted for on an accruals basis in accordance with the terms of the transfer agreement.</w:t>
      </w:r>
    </w:p>
    <w:p w:rsidR="00F72906" w:rsidRDefault="00F72906" w:rsidP="00F72906"/>
    <w:p w:rsidR="00F72906" w:rsidRDefault="00F72906" w:rsidP="00F72906">
      <w:r>
        <w:lastRenderedPageBreak/>
        <w:t>c)</w:t>
      </w:r>
      <w:r>
        <w:tab/>
        <w:t>Investment income</w:t>
      </w:r>
    </w:p>
    <w:p w:rsidR="00F72906" w:rsidRDefault="00F72906" w:rsidP="00F72906"/>
    <w:p w:rsidR="00F72906" w:rsidRDefault="00F72906" w:rsidP="00F72906">
      <w:r>
        <w:t>i)</w:t>
      </w:r>
      <w:r>
        <w:tab/>
        <w:t>Interest income</w:t>
      </w:r>
    </w:p>
    <w:p w:rsidR="00F72906" w:rsidRDefault="00F72906" w:rsidP="00F72906">
      <w:r>
        <w:tab/>
        <w:t>Interest income is recognised in the Fund Account as it accrues, using the effective interest rate of the financial instrument as at the date of acquisition or origination. Income includes the amortisation of any discount or premium, transaction costs or other differences between the initial carrying amount of the instrument and its amount at maturity calculated on an effective interest rate basis.</w:t>
      </w:r>
    </w:p>
    <w:p w:rsidR="00F72906" w:rsidRDefault="00F72906" w:rsidP="00F72906">
      <w:r>
        <w:t>ii)</w:t>
      </w:r>
      <w:r>
        <w:tab/>
        <w:t>Dividend income</w:t>
      </w:r>
    </w:p>
    <w:p w:rsidR="00F72906" w:rsidRDefault="00F72906" w:rsidP="00F72906">
      <w:r>
        <w:tab/>
        <w:t>Dividend income is recognised on the date the shares are quoted ex-dividend. Any amount not received by the end of the reporting period is disclosed in the Net Assets Statement as a current financial asset.</w:t>
      </w:r>
    </w:p>
    <w:p w:rsidR="00F72906" w:rsidRDefault="00F72906" w:rsidP="00F72906">
      <w:r>
        <w:t>iii)</w:t>
      </w:r>
      <w:r>
        <w:tab/>
        <w:t>Distributions from pooled funds</w:t>
      </w:r>
    </w:p>
    <w:p w:rsidR="00F72906" w:rsidRDefault="00F72906" w:rsidP="00F72906">
      <w:r>
        <w:tab/>
        <w:t>Distributions from pooled funds are recognised at the date of issue. Any amount not received by the end of the reporting period is disclosed in the Net Assets Statement as a current financial asset.</w:t>
      </w:r>
    </w:p>
    <w:p w:rsidR="00F72906" w:rsidRDefault="00F72906" w:rsidP="00F72906">
      <w:r>
        <w:t>iv)</w:t>
      </w:r>
      <w:r>
        <w:tab/>
        <w:t>Movement in the net market value of investments</w:t>
      </w:r>
    </w:p>
    <w:p w:rsidR="00F72906" w:rsidRDefault="00F72906" w:rsidP="00F72906">
      <w:r>
        <w:tab/>
        <w:t>Changes in the net market value of investments are recognised as income and comprise all realised and unrealised profits/losses during the year.</w:t>
      </w:r>
    </w:p>
    <w:p w:rsidR="00F72906" w:rsidRDefault="00F72906" w:rsidP="00F72906"/>
    <w:p w:rsidR="00F72906" w:rsidRDefault="00F72906" w:rsidP="00F72906">
      <w:r>
        <w:t>Fund Account – expense items</w:t>
      </w:r>
    </w:p>
    <w:p w:rsidR="00F72906" w:rsidRDefault="00F72906" w:rsidP="00F72906">
      <w:r>
        <w:t>d)</w:t>
      </w:r>
      <w:r>
        <w:tab/>
        <w:t>Benefits payable</w:t>
      </w:r>
    </w:p>
    <w:p w:rsidR="00F72906" w:rsidRDefault="00F72906" w:rsidP="00F72906"/>
    <w:p w:rsidR="00F72906" w:rsidRDefault="00F72906" w:rsidP="00F72906">
      <w:r>
        <w:t>Pensions and lump-sum benefits payable include all amounts known to be due as at the end of the financial year. Any amounts due but unpaid are disclosed in the Net Assets Statement as current liabilities.</w:t>
      </w:r>
    </w:p>
    <w:p w:rsidR="00F72906" w:rsidRDefault="00F72906" w:rsidP="00F72906"/>
    <w:p w:rsidR="00F72906" w:rsidRDefault="00F72906" w:rsidP="00F72906">
      <w:r>
        <w:t>e)</w:t>
      </w:r>
      <w:r>
        <w:tab/>
        <w:t>Taxation</w:t>
      </w:r>
    </w:p>
    <w:p w:rsidR="00F72906" w:rsidRDefault="00F72906" w:rsidP="00F72906"/>
    <w:p w:rsidR="00F72906" w:rsidRDefault="00F72906" w:rsidP="00F72906">
      <w:r>
        <w:t>The Fund is a registered public service scheme under section 1(1) of Schedule 36 of the Finance Act 2004 and as such is exempt from UK income tax on interest received and from capital gains tax on the proceeds of investments sold. Income from overseas investments suffers withholding tax in the country of origin, unless exemption is permitted. Irrecoverable tax is accounted for as a Fund expense as it arises.</w:t>
      </w:r>
    </w:p>
    <w:p w:rsidR="00F72906" w:rsidRDefault="00F72906" w:rsidP="00F72906"/>
    <w:p w:rsidR="00F72906" w:rsidRDefault="00F72906" w:rsidP="00F72906">
      <w:r>
        <w:t>f)</w:t>
      </w:r>
      <w:r>
        <w:tab/>
        <w:t>Administration expenses</w:t>
      </w:r>
    </w:p>
    <w:p w:rsidR="00F72906" w:rsidRDefault="00F72906" w:rsidP="00F72906"/>
    <w:p w:rsidR="00F72906" w:rsidRDefault="00F72906" w:rsidP="00F72906">
      <w:r>
        <w:t>All administration expenses are accounted for on an accruals basis. All staff costs of the pensions’ administration team are charged direct to the Fund. Management, accommodation and other overheads are apportioned to the Fund in accordance with Council policy.</w:t>
      </w:r>
    </w:p>
    <w:p w:rsidR="00F72906" w:rsidRDefault="00F72906" w:rsidP="00F72906"/>
    <w:p w:rsidR="00F72906" w:rsidRDefault="00F72906" w:rsidP="00F72906">
      <w:r>
        <w:lastRenderedPageBreak/>
        <w:t>g)</w:t>
      </w:r>
      <w:r>
        <w:tab/>
        <w:t>Investment management expenses</w:t>
      </w:r>
    </w:p>
    <w:p w:rsidR="00F72906" w:rsidRDefault="00F72906" w:rsidP="00F72906"/>
    <w:p w:rsidR="00F72906" w:rsidRDefault="00F72906" w:rsidP="00F72906">
      <w:r>
        <w:t>All investment management expenses are accounted for on an accruals basis. Fees of the external investment managers are agreed in the respective mandates governing their appointments. Broadly, these are based on the market value of the investments under their management and therefore increase or reduce as the value of these investments change.</w:t>
      </w:r>
    </w:p>
    <w:p w:rsidR="00F72906" w:rsidRDefault="00F72906" w:rsidP="00F72906"/>
    <w:p w:rsidR="00F72906" w:rsidRDefault="00F72906" w:rsidP="00F72906">
      <w:r>
        <w:t>The cost of obtaining investment advice from external consultants is included in investment management charges.</w:t>
      </w:r>
    </w:p>
    <w:p w:rsidR="00F72906" w:rsidRDefault="00F72906" w:rsidP="00F72906"/>
    <w:p w:rsidR="00F72906" w:rsidRPr="00855E61" w:rsidRDefault="00F72906" w:rsidP="00F72906">
      <w:pPr>
        <w:rPr>
          <w:b/>
        </w:rPr>
      </w:pPr>
      <w:r w:rsidRPr="00855E61">
        <w:rPr>
          <w:b/>
        </w:rPr>
        <w:t>Net Assets Statement</w:t>
      </w:r>
    </w:p>
    <w:p w:rsidR="00F72906" w:rsidRDefault="00F72906" w:rsidP="00F72906"/>
    <w:p w:rsidR="00F72906" w:rsidRDefault="00F72906" w:rsidP="00F72906">
      <w:r>
        <w:t>h)</w:t>
      </w:r>
      <w:r>
        <w:tab/>
        <w:t>Financial assets</w:t>
      </w:r>
    </w:p>
    <w:p w:rsidR="00F72906" w:rsidRDefault="00F72906" w:rsidP="00F72906"/>
    <w:p w:rsidR="00F72906" w:rsidRDefault="00F72906" w:rsidP="00F72906">
      <w:r>
        <w:t>Financial assets are included in the Net Assets Statement on a fair value basis as at the reporting date. A financial asset is recognised in the Net Assets Statement on the date the Fund becomes party to the contractual acquisition of the asset. From this date, any gains or losses arising from changes in the fair value of the asset are recognised by the Fund.</w:t>
      </w:r>
    </w:p>
    <w:p w:rsidR="00F72906" w:rsidRDefault="00F72906" w:rsidP="00F72906"/>
    <w:p w:rsidR="00F72906" w:rsidRDefault="00F72906" w:rsidP="00F72906">
      <w:r>
        <w:t>The values of investments as shown in the Net Assets Statement have been determined as follows:</w:t>
      </w:r>
    </w:p>
    <w:p w:rsidR="00F72906" w:rsidRDefault="00F72906" w:rsidP="00F72906">
      <w:r>
        <w:t>i)</w:t>
      </w:r>
      <w:r>
        <w:tab/>
        <w:t>Market-quoted investments</w:t>
      </w:r>
    </w:p>
    <w:p w:rsidR="00F72906" w:rsidRDefault="00F72906" w:rsidP="00F72906">
      <w:r>
        <w:tab/>
        <w:t>The value of an investment for which there is a readily available market price is determined by the bid market price ruling on the final day of the accounting period.</w:t>
      </w:r>
    </w:p>
    <w:p w:rsidR="00F72906" w:rsidRDefault="00F72906" w:rsidP="00F72906">
      <w:r>
        <w:t>ii)</w:t>
      </w:r>
      <w:r>
        <w:tab/>
        <w:t>Fixed interest securities</w:t>
      </w:r>
    </w:p>
    <w:p w:rsidR="00F72906" w:rsidRDefault="00F72906" w:rsidP="00F72906">
      <w:r>
        <w:tab/>
        <w:t>Fixed interest securities are recorded at net market value based on their current yields.</w:t>
      </w:r>
    </w:p>
    <w:p w:rsidR="00F72906" w:rsidRDefault="00F72906" w:rsidP="00F72906">
      <w:r>
        <w:t>iii)</w:t>
      </w:r>
      <w:r>
        <w:tab/>
        <w:t>Unquoted investments</w:t>
      </w:r>
    </w:p>
    <w:p w:rsidR="00F72906" w:rsidRDefault="00F72906" w:rsidP="00F72906">
      <w:r>
        <w:tab/>
        <w:t xml:space="preserve">The fair value of investments for which market quotations are not readily available is determined as follows: </w:t>
      </w:r>
    </w:p>
    <w:p w:rsidR="00F72906" w:rsidRDefault="00F72906" w:rsidP="00F72906">
      <w:r>
        <w:t>-</w:t>
      </w:r>
      <w:r>
        <w:tab/>
        <w:t>Valuations of delisted securities are based on the last sale price prior to delisting, or where subject to liquidation, the amount the Fund expects to receive on wind-up, less estimated realisation costs.</w:t>
      </w:r>
    </w:p>
    <w:p w:rsidR="00F72906" w:rsidRDefault="00F72906" w:rsidP="00F72906">
      <w:r>
        <w:t>-</w:t>
      </w:r>
      <w:r>
        <w:tab/>
        <w:t>Securities subject to takeover offer – the value of the consideration offered under the offer, less estimated realisation costs.</w:t>
      </w:r>
    </w:p>
    <w:p w:rsidR="00F72906" w:rsidRDefault="00F72906" w:rsidP="00F72906">
      <w:r>
        <w:t>-</w:t>
      </w:r>
      <w:r>
        <w:tab/>
        <w:t>Directly held investments include investments in limited partnerships, shares in unlisted companies, trusts and bonds. Other unquoted securities typically include pooled investments in property, infrastructure, debt securities and private equity. The valuation of these pools or directly held securities is undertaken by the investment manager or responsible entity and advised as a unit or security price. The valuation standards followed in these valuations adhere to industry guidelines or to standards set by the constituent documents of the pool or the management agreement.</w:t>
      </w:r>
    </w:p>
    <w:p w:rsidR="00F72906" w:rsidRDefault="00F72906" w:rsidP="00F72906">
      <w:r>
        <w:lastRenderedPageBreak/>
        <w:t>-</w:t>
      </w:r>
      <w:r>
        <w:tab/>
        <w:t>Investments in unquoted property and infrastructure pooled funds are valued at the net asset value or a single price advised by the fund manager.</w:t>
      </w:r>
    </w:p>
    <w:p w:rsidR="00F72906" w:rsidRDefault="00F72906" w:rsidP="00F72906">
      <w:r>
        <w:t>-</w:t>
      </w:r>
      <w:r>
        <w:tab/>
        <w:t>Investments in private equity/infrastructure funds and unquoted listed partnerships are valued based on the Fund’s share of the net assets in the private equity/infrastructure fund or limited partnership using the latest financial statements published by the respective fund managers in accordance with the guidelines set out by the British Venture Capital Association.</w:t>
      </w:r>
    </w:p>
    <w:p w:rsidR="00F72906" w:rsidRDefault="00F72906" w:rsidP="00F72906">
      <w:r>
        <w:t>iv)</w:t>
      </w:r>
      <w:r>
        <w:tab/>
        <w:t>Limited partnerships</w:t>
      </w:r>
    </w:p>
    <w:p w:rsidR="00F72906" w:rsidRDefault="00F72906" w:rsidP="00F72906">
      <w:r>
        <w:t>Fair value is based on the net asset value ascertained from periodic valuations provided by those controlling the partnership.</w:t>
      </w:r>
    </w:p>
    <w:p w:rsidR="00F72906" w:rsidRDefault="00F72906" w:rsidP="00F72906">
      <w:r>
        <w:t>v)</w:t>
      </w:r>
      <w:r>
        <w:tab/>
        <w:t>Pooled investment vehicles</w:t>
      </w:r>
    </w:p>
    <w:p w:rsidR="00F72906" w:rsidRDefault="00F72906" w:rsidP="00F72906">
      <w:r>
        <w:t>Pooled investment vehicles are valued at closing bid price if both bid and offer prices are published; or if single priced, at the closing single price. In the case of pooled investment vehicles that are accumulation funds, change in market value also includes income which is reinvested in the fund, net of applicable withholding tax.</w:t>
      </w:r>
    </w:p>
    <w:p w:rsidR="00F72906" w:rsidRDefault="00F72906" w:rsidP="00F72906"/>
    <w:p w:rsidR="00F72906" w:rsidRDefault="00F72906" w:rsidP="00F72906">
      <w:r>
        <w:t xml:space="preserve">i) </w:t>
      </w:r>
      <w:r>
        <w:tab/>
        <w:t>Contingent Assets</w:t>
      </w:r>
    </w:p>
    <w:p w:rsidR="00F72906" w:rsidRDefault="00F72906" w:rsidP="00F72906"/>
    <w:p w:rsidR="00F72906" w:rsidRDefault="00F72906" w:rsidP="00F72906">
      <w:r>
        <w:t>Admitted body employers in the Brent Pension Fund hold bonds to guard against the possibility of being unable to meet their pension obligations. These bonds are drawn in favour of the pension fund and payment will only be triggered in the event of employer default. Contingent Assets are disclosed in Note 25.</w:t>
      </w:r>
    </w:p>
    <w:p w:rsidR="00F72906" w:rsidRDefault="00F72906" w:rsidP="00F72906"/>
    <w:p w:rsidR="00F72906" w:rsidRDefault="00F72906" w:rsidP="00F72906">
      <w:r>
        <w:t>j)</w:t>
      </w:r>
      <w:r>
        <w:tab/>
        <w:t>Foreign currency transactions</w:t>
      </w:r>
    </w:p>
    <w:p w:rsidR="00F72906" w:rsidRDefault="00F72906" w:rsidP="00F72906"/>
    <w:p w:rsidR="00F72906" w:rsidRDefault="00F72906" w:rsidP="00F72906">
      <w:r>
        <w:t>Dividends, interest and purchases and sales of investments in foreign currencies have been accounted for at the spot market rates at the date of transaction. End-of-year spot market exchange rates are used to value cash balances held in foreign currency bank accounts, market values of overseas investments and purchases and sales outstanding at the end of the reporting period.</w:t>
      </w:r>
    </w:p>
    <w:p w:rsidR="00F72906" w:rsidRDefault="00F72906" w:rsidP="00F72906"/>
    <w:p w:rsidR="00F72906" w:rsidRDefault="00F72906" w:rsidP="00F72906">
      <w:r>
        <w:t>k)</w:t>
      </w:r>
      <w:r>
        <w:tab/>
        <w:t>Derivatives</w:t>
      </w:r>
    </w:p>
    <w:p w:rsidR="00F72906" w:rsidRDefault="00F72906" w:rsidP="00F72906"/>
    <w:p w:rsidR="00F72906" w:rsidRDefault="00F72906" w:rsidP="00F72906">
      <w:r>
        <w:t>The Fund does not use derivative financial instruments to manage its exposure to specific risks arising from its investment activities in its own name. Neither does it hold derivatives for speculative purposes.</w:t>
      </w:r>
    </w:p>
    <w:p w:rsidR="00F72906" w:rsidRDefault="00F72906" w:rsidP="00F72906"/>
    <w:p w:rsidR="00F72906" w:rsidRDefault="00F72906" w:rsidP="00F72906">
      <w:r>
        <w:t>l)</w:t>
      </w:r>
      <w:r>
        <w:tab/>
        <w:t>Cash and cash equivalents</w:t>
      </w:r>
    </w:p>
    <w:p w:rsidR="00F72906" w:rsidRDefault="00F72906" w:rsidP="00F72906"/>
    <w:p w:rsidR="00F72906" w:rsidRDefault="00F72906" w:rsidP="00F72906">
      <w:r>
        <w:t>Cash comprises cash in hand and demand deposits.</w:t>
      </w:r>
    </w:p>
    <w:p w:rsidR="00F72906" w:rsidRDefault="00F72906" w:rsidP="00F72906"/>
    <w:p w:rsidR="00F72906" w:rsidRDefault="00F72906" w:rsidP="00F72906">
      <w:r>
        <w:lastRenderedPageBreak/>
        <w:t>Cash equivalents are short-term, highly liquid investments that are readily convertible to known amounts of cash and that are subject to minimal risk of changes in value.</w:t>
      </w:r>
    </w:p>
    <w:p w:rsidR="00F72906" w:rsidRDefault="00F72906" w:rsidP="00F72906"/>
    <w:p w:rsidR="00F72906" w:rsidRDefault="00F72906" w:rsidP="00F72906">
      <w:r>
        <w:t>m)</w:t>
      </w:r>
      <w:r>
        <w:tab/>
        <w:t>Financial liabilities</w:t>
      </w:r>
    </w:p>
    <w:p w:rsidR="00F72906" w:rsidRDefault="00F72906" w:rsidP="00F72906"/>
    <w:p w:rsidR="00F72906" w:rsidRDefault="00F72906" w:rsidP="00F72906">
      <w:r>
        <w:t>The Fund recognises financial liabilities at fair value as at the reporting date. A financial liability is recognised in the Net Assets Statement on the date the Fund becomes party to the liability. From this date, any gains or losses arising from changes in the fair value of the liability are recognised by the Fund.</w:t>
      </w:r>
    </w:p>
    <w:p w:rsidR="00F72906" w:rsidRDefault="00F72906" w:rsidP="00F72906"/>
    <w:p w:rsidR="00F72906" w:rsidRDefault="00F72906" w:rsidP="00F72906">
      <w:r>
        <w:t>n)</w:t>
      </w:r>
      <w:r>
        <w:tab/>
        <w:t>Actuarial present value of promised retirement benefits</w:t>
      </w:r>
    </w:p>
    <w:p w:rsidR="00F72906" w:rsidRDefault="00F72906" w:rsidP="00F72906"/>
    <w:p w:rsidR="00F72906" w:rsidRDefault="00F72906" w:rsidP="00F72906">
      <w:r>
        <w:t>The actuarial present value of promised retirement benefits is assessed on a triennial basis by the scheme actuary in accordance with the requirements of IAS 19 and relevant actuarial standards.</w:t>
      </w:r>
    </w:p>
    <w:p w:rsidR="00F72906" w:rsidRDefault="00F72906" w:rsidP="00F72906"/>
    <w:p w:rsidR="00F72906" w:rsidRDefault="00F72906" w:rsidP="00F72906">
      <w:r>
        <w:t>As permitted under IAS 26, the Fund has opted to disclose the actuarial present value of promised retirement benefits by way of a note to the Net Assets Statement (Note 19).</w:t>
      </w:r>
    </w:p>
    <w:p w:rsidR="00F72906" w:rsidRDefault="00F72906" w:rsidP="00F72906"/>
    <w:p w:rsidR="00F72906" w:rsidRDefault="00F72906" w:rsidP="00F72906">
      <w:r>
        <w:t>o)</w:t>
      </w:r>
      <w:r>
        <w:tab/>
        <w:t>Additional voluntary contributions</w:t>
      </w:r>
    </w:p>
    <w:p w:rsidR="00F72906" w:rsidRDefault="00F72906" w:rsidP="00F72906"/>
    <w:p w:rsidR="00F72906" w:rsidRDefault="00F72906" w:rsidP="00F72906">
      <w:r>
        <w:t>Brent Pension Fund provides an additional voluntary contributions (AVC) scheme for its members, the assets of which are invested separately from those of the Pension Fund. The Fund has appointed Prudential as its AVC provider. AVCs are paid to the AVC provider by employers and are specifically for providing additional benefits for individual contributors. Each AVC contributor receives an annual statement showing the amount held in their account and the movements in the year.</w:t>
      </w:r>
    </w:p>
    <w:p w:rsidR="00F72906" w:rsidRDefault="00F72906" w:rsidP="00F72906"/>
    <w:p w:rsidR="00F72906" w:rsidRDefault="00F72906" w:rsidP="00F72906">
      <w:r>
        <w:t>AVCs are not included in the accounts in accordance with Section 4(1)(b) of the Local Government Pension Scheme (Management and Investment of Funds) Regulations 2016 (SI 2016/946) but are disclosed as a note only (Note 22).</w:t>
      </w:r>
    </w:p>
    <w:p w:rsidR="00F72906" w:rsidRDefault="00F72906" w:rsidP="00F72906"/>
    <w:p w:rsidR="00F72906" w:rsidRDefault="00F72906" w:rsidP="00855E61">
      <w:pPr>
        <w:pStyle w:val="Heading3"/>
      </w:pPr>
      <w:r>
        <w:t>4.  Critical judgements in applying accounting policies</w:t>
      </w:r>
    </w:p>
    <w:p w:rsidR="00F72906" w:rsidRDefault="00F72906" w:rsidP="00F72906"/>
    <w:p w:rsidR="00F72906" w:rsidRDefault="00F72906" w:rsidP="00F72906">
      <w:r>
        <w:t>Unquoted private equity/infrastructure investments</w:t>
      </w:r>
    </w:p>
    <w:p w:rsidR="00F72906" w:rsidRDefault="00F72906" w:rsidP="00F72906"/>
    <w:p w:rsidR="00F72906" w:rsidRDefault="00F72906" w:rsidP="00F72906">
      <w:r>
        <w:t>It is important to recognise the highly subjective nature of determining the fair value of private equity investments. They are inherently based on forward-looking estimates and judgements involving many factors. Unquoted private equities and infrastructure investments are valued by the investment managers using guidelines set out by the British Venture Capital Association. The value of unquoted private equities and infrastructure investments at 31 March 2020 was £84m (£95m at 31 March 2019).</w:t>
      </w:r>
    </w:p>
    <w:p w:rsidR="00F72906" w:rsidRPr="00855E61" w:rsidRDefault="00F72906" w:rsidP="00F72906">
      <w:pPr>
        <w:rPr>
          <w:b/>
        </w:rPr>
      </w:pPr>
      <w:r w:rsidRPr="00855E61">
        <w:rPr>
          <w:b/>
        </w:rPr>
        <w:lastRenderedPageBreak/>
        <w:t>Pension fund liability</w:t>
      </w:r>
    </w:p>
    <w:p w:rsidR="00F72906" w:rsidRDefault="00F72906" w:rsidP="00F72906">
      <w:r>
        <w:t>The pension fund liability is calculated every three years by the appointed actuary, with annual updates in the intervening years. The methodology used is in line with accepted guidelines and in accordance with IAS 19. Assumptions underpinning the valuations are agreed with the actuary and are summarised in Note 19. This estimate is subject to significant variances based on changes to the underlying assumptions.</w:t>
      </w:r>
    </w:p>
    <w:p w:rsidR="00F72906" w:rsidRDefault="00F72906" w:rsidP="00855E61">
      <w:pPr>
        <w:pStyle w:val="Heading3"/>
      </w:pPr>
      <w:r>
        <w:t>5.  Assumptions made about the future and other major sources of estimation uncertainty</w:t>
      </w:r>
    </w:p>
    <w:p w:rsidR="00F72906" w:rsidRDefault="00F72906" w:rsidP="00F72906">
      <w:r>
        <w:t>The Statement of Accounts contains estimated figures that are based on assumptions made by the Council about the future or that are otherwise uncertain. Estimates are made taking into account historical experience, current trends and other relevant factors. However, because balances cannot be determined with certainty, actual results could be materially different from</w:t>
      </w:r>
      <w:r w:rsidR="00855E61">
        <w:t xml:space="preserve"> the assumptions and estimates.</w:t>
      </w:r>
    </w:p>
    <w:p w:rsidR="00F72906" w:rsidRDefault="00F72906" w:rsidP="00F72906">
      <w:r>
        <w:t>The items in the Net Assets Statement at 31 March 2020 for which there is a significant risk of material adjustment in the forthcoming financial year are as follows:</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7"/>
        <w:gridCol w:w="3151"/>
        <w:gridCol w:w="3240"/>
      </w:tblGrid>
      <w:tr w:rsidR="00855E61" w:rsidRPr="00317A00" w:rsidTr="00AE1C26">
        <w:tc>
          <w:tcPr>
            <w:tcW w:w="2717" w:type="dxa"/>
          </w:tcPr>
          <w:p w:rsidR="00855E61" w:rsidRPr="00317A00" w:rsidRDefault="00855E61" w:rsidP="00AE1C26">
            <w:pPr>
              <w:widowControl w:val="0"/>
              <w:tabs>
                <w:tab w:val="left" w:pos="180"/>
                <w:tab w:val="right" w:pos="3060"/>
                <w:tab w:val="right" w:pos="4150"/>
              </w:tabs>
              <w:rPr>
                <w:rFonts w:ascii="Segoe UI Light" w:hAnsi="Segoe UI Light" w:cs="Segoe UI Light"/>
                <w:b/>
                <w:snapToGrid w:val="0"/>
                <w:color w:val="000000"/>
              </w:rPr>
            </w:pPr>
            <w:r w:rsidRPr="00317A00">
              <w:rPr>
                <w:rFonts w:ascii="Segoe UI Light" w:hAnsi="Segoe UI Light" w:cs="Segoe UI Light"/>
                <w:b/>
                <w:snapToGrid w:val="0"/>
                <w:color w:val="000000"/>
              </w:rPr>
              <w:t>Item</w:t>
            </w:r>
          </w:p>
        </w:tc>
        <w:tc>
          <w:tcPr>
            <w:tcW w:w="3151" w:type="dxa"/>
          </w:tcPr>
          <w:p w:rsidR="00855E61" w:rsidRPr="00317A00" w:rsidRDefault="00855E61" w:rsidP="00AE1C26">
            <w:pPr>
              <w:widowControl w:val="0"/>
              <w:tabs>
                <w:tab w:val="left" w:pos="180"/>
                <w:tab w:val="right" w:pos="3060"/>
                <w:tab w:val="right" w:pos="4150"/>
              </w:tabs>
              <w:rPr>
                <w:rFonts w:ascii="Segoe UI Light" w:hAnsi="Segoe UI Light" w:cs="Segoe UI Light"/>
                <w:b/>
                <w:snapToGrid w:val="0"/>
                <w:color w:val="000000"/>
              </w:rPr>
            </w:pPr>
            <w:r w:rsidRPr="00317A00">
              <w:rPr>
                <w:rFonts w:ascii="Segoe UI Light" w:hAnsi="Segoe UI Light" w:cs="Segoe UI Light"/>
                <w:b/>
                <w:snapToGrid w:val="0"/>
                <w:color w:val="000000"/>
              </w:rPr>
              <w:t>Uncertainties</w:t>
            </w:r>
          </w:p>
        </w:tc>
        <w:tc>
          <w:tcPr>
            <w:tcW w:w="3240" w:type="dxa"/>
          </w:tcPr>
          <w:p w:rsidR="00855E61" w:rsidRPr="00317A00" w:rsidRDefault="00855E61" w:rsidP="00AE1C26">
            <w:pPr>
              <w:widowControl w:val="0"/>
              <w:tabs>
                <w:tab w:val="left" w:pos="180"/>
                <w:tab w:val="right" w:pos="3060"/>
                <w:tab w:val="right" w:pos="4150"/>
              </w:tabs>
              <w:rPr>
                <w:rFonts w:ascii="Segoe UI Light" w:hAnsi="Segoe UI Light" w:cs="Segoe UI Light"/>
                <w:b/>
                <w:snapToGrid w:val="0"/>
                <w:color w:val="000000"/>
              </w:rPr>
            </w:pPr>
            <w:r w:rsidRPr="00317A00">
              <w:rPr>
                <w:rFonts w:ascii="Segoe UI Light" w:hAnsi="Segoe UI Light" w:cs="Segoe UI Light"/>
                <w:b/>
                <w:snapToGrid w:val="0"/>
                <w:color w:val="000000"/>
              </w:rPr>
              <w:t>Effect if actual results differ from assumptions</w:t>
            </w:r>
          </w:p>
        </w:tc>
      </w:tr>
      <w:tr w:rsidR="00855E61" w:rsidRPr="00317A00" w:rsidTr="00AE1C26">
        <w:tc>
          <w:tcPr>
            <w:tcW w:w="2717" w:type="dxa"/>
            <w:tcBorders>
              <w:bottom w:val="single" w:sz="4" w:space="0" w:color="auto"/>
            </w:tcBorders>
          </w:tcPr>
          <w:p w:rsidR="00855E61" w:rsidRPr="00317A00" w:rsidRDefault="00855E61" w:rsidP="00AE1C26">
            <w:pPr>
              <w:widowControl w:val="0"/>
              <w:tabs>
                <w:tab w:val="left" w:pos="180"/>
                <w:tab w:val="right" w:pos="3060"/>
                <w:tab w:val="right" w:pos="4150"/>
              </w:tabs>
              <w:rPr>
                <w:rFonts w:ascii="Segoe UI Light" w:hAnsi="Segoe UI Light" w:cs="Segoe UI Light"/>
                <w:b/>
                <w:snapToGrid w:val="0"/>
                <w:color w:val="000000"/>
              </w:rPr>
            </w:pPr>
            <w:r w:rsidRPr="00317A00">
              <w:rPr>
                <w:rFonts w:ascii="Segoe UI Light" w:hAnsi="Segoe UI Light" w:cs="Segoe UI Light"/>
                <w:b/>
                <w:snapToGrid w:val="0"/>
                <w:color w:val="000000"/>
              </w:rPr>
              <w:t>Actuarial present value of promised retirement benefits (Note 19)</w:t>
            </w:r>
          </w:p>
        </w:tc>
        <w:tc>
          <w:tcPr>
            <w:tcW w:w="3151" w:type="dxa"/>
            <w:tcBorders>
              <w:bottom w:val="single" w:sz="4" w:space="0" w:color="auto"/>
            </w:tcBorders>
          </w:tcPr>
          <w:p w:rsidR="00855E61" w:rsidRPr="00317A00" w:rsidRDefault="00855E61" w:rsidP="00AE1C26">
            <w:pPr>
              <w:widowControl w:val="0"/>
              <w:tabs>
                <w:tab w:val="left" w:pos="180"/>
                <w:tab w:val="right" w:pos="3060"/>
                <w:tab w:val="right" w:pos="4150"/>
              </w:tabs>
              <w:rPr>
                <w:rFonts w:ascii="Segoe UI Light" w:hAnsi="Segoe UI Light" w:cs="Segoe UI Light"/>
                <w:snapToGrid w:val="0"/>
                <w:color w:val="000000"/>
              </w:rPr>
            </w:pPr>
            <w:r w:rsidRPr="00317A00">
              <w:rPr>
                <w:rFonts w:ascii="Segoe UI Light" w:hAnsi="Segoe UI Light" w:cs="Segoe UI Light"/>
                <w:snapToGrid w:val="0"/>
                <w:color w:val="000000"/>
              </w:rPr>
              <w:t>Estimation of the net liability to pay pensions depends on a number of complex judgements relating to the discount rate used, the rate at which salaries are projected to increase, changes in retirement ages, mortality rates and expected returns on pension fund assets. A firm of consulting actuaries is engaged to provide the Fund with expert advice about the assumptions to be applied.</w:t>
            </w:r>
          </w:p>
        </w:tc>
        <w:tc>
          <w:tcPr>
            <w:tcW w:w="3240" w:type="dxa"/>
            <w:tcBorders>
              <w:bottom w:val="single" w:sz="4" w:space="0" w:color="auto"/>
            </w:tcBorders>
          </w:tcPr>
          <w:p w:rsidR="00855E61" w:rsidRPr="00317A00" w:rsidRDefault="00855E61" w:rsidP="00AE1C26">
            <w:pPr>
              <w:widowControl w:val="0"/>
              <w:tabs>
                <w:tab w:val="left" w:pos="180"/>
                <w:tab w:val="right" w:pos="3060"/>
                <w:tab w:val="right" w:pos="4150"/>
              </w:tabs>
              <w:rPr>
                <w:rFonts w:ascii="Segoe UI Light" w:hAnsi="Segoe UI Light" w:cs="Segoe UI Light"/>
                <w:snapToGrid w:val="0"/>
                <w:color w:val="000000"/>
              </w:rPr>
            </w:pPr>
            <w:r w:rsidRPr="00317A00">
              <w:rPr>
                <w:rFonts w:ascii="Segoe UI Light" w:hAnsi="Segoe UI Light" w:cs="Segoe UI Light"/>
                <w:snapToGrid w:val="0"/>
                <w:color w:val="000000"/>
              </w:rPr>
              <w:t>The effects on the net pension liability of changes in individual assumptions can be measured. For instance, a 0.5% increase in the discount rate assumption would result in a decrease in the pension liability of approximately £136m. A 0.5% increase in assumed earnings inflation would increase the value of liabilities by approximately £8m, and a one-year increase in assumed life expectancy would increase the liability by approximately 3 to 5%.</w:t>
            </w:r>
          </w:p>
        </w:tc>
      </w:tr>
      <w:tr w:rsidR="00855E61" w:rsidRPr="00317A00" w:rsidTr="00AE1C26">
        <w:tc>
          <w:tcPr>
            <w:tcW w:w="2717" w:type="dxa"/>
          </w:tcPr>
          <w:p w:rsidR="00855E61" w:rsidRPr="00317A00" w:rsidRDefault="00855E61" w:rsidP="00AE1C26">
            <w:pPr>
              <w:widowControl w:val="0"/>
              <w:tabs>
                <w:tab w:val="left" w:pos="180"/>
                <w:tab w:val="right" w:pos="3060"/>
                <w:tab w:val="right" w:pos="4150"/>
              </w:tabs>
              <w:rPr>
                <w:rFonts w:ascii="Segoe UI Light" w:hAnsi="Segoe UI Light" w:cs="Segoe UI Light"/>
                <w:b/>
                <w:snapToGrid w:val="0"/>
                <w:color w:val="000000"/>
              </w:rPr>
            </w:pPr>
            <w:r w:rsidRPr="00317A00">
              <w:rPr>
                <w:rFonts w:ascii="Segoe UI Light" w:hAnsi="Segoe UI Light" w:cs="Segoe UI Light"/>
                <w:b/>
                <w:snapToGrid w:val="0"/>
                <w:color w:val="000000"/>
              </w:rPr>
              <w:t>Private equity/infrastructure</w:t>
            </w:r>
          </w:p>
        </w:tc>
        <w:tc>
          <w:tcPr>
            <w:tcW w:w="3151" w:type="dxa"/>
          </w:tcPr>
          <w:p w:rsidR="00855E61" w:rsidRPr="00317A00" w:rsidRDefault="00855E61" w:rsidP="00AE1C26">
            <w:pPr>
              <w:widowControl w:val="0"/>
              <w:tabs>
                <w:tab w:val="left" w:pos="180"/>
                <w:tab w:val="right" w:pos="3060"/>
                <w:tab w:val="right" w:pos="4150"/>
              </w:tabs>
              <w:rPr>
                <w:rFonts w:ascii="Segoe UI Light" w:hAnsi="Segoe UI Light" w:cs="Segoe UI Light"/>
                <w:snapToGrid w:val="0"/>
                <w:color w:val="000000"/>
              </w:rPr>
            </w:pPr>
            <w:r w:rsidRPr="00317A00">
              <w:rPr>
                <w:rFonts w:ascii="Segoe UI Light" w:hAnsi="Segoe UI Light" w:cs="Segoe UI Light"/>
                <w:snapToGrid w:val="0"/>
                <w:color w:val="000000"/>
              </w:rPr>
              <w:t>Private equity/infrastructure investments are valued at fair value using recognised valuation techniques. These investments are not publicly listed and as such, there is a degree of estimation involved in the valuation.</w:t>
            </w:r>
          </w:p>
        </w:tc>
        <w:tc>
          <w:tcPr>
            <w:tcW w:w="3240" w:type="dxa"/>
          </w:tcPr>
          <w:p w:rsidR="00855E61" w:rsidRPr="00317A00" w:rsidRDefault="00855E61" w:rsidP="00AE1C26">
            <w:pPr>
              <w:widowControl w:val="0"/>
              <w:tabs>
                <w:tab w:val="left" w:pos="180"/>
                <w:tab w:val="right" w:pos="3060"/>
                <w:tab w:val="right" w:pos="4150"/>
              </w:tabs>
              <w:rPr>
                <w:rFonts w:ascii="Segoe UI Light" w:hAnsi="Segoe UI Light" w:cs="Segoe UI Light"/>
                <w:snapToGrid w:val="0"/>
                <w:color w:val="000000"/>
              </w:rPr>
            </w:pPr>
            <w:r w:rsidRPr="00317A00">
              <w:rPr>
                <w:rFonts w:ascii="Segoe UI Light" w:hAnsi="Segoe UI Light" w:cs="Segoe UI Light"/>
                <w:snapToGrid w:val="0"/>
                <w:color w:val="000000"/>
              </w:rPr>
              <w:t>The total private equity/infrastructure investments in the financial statements are £84m. There is a risk that this investment may be under- or overstated in the accounts.</w:t>
            </w:r>
          </w:p>
        </w:tc>
      </w:tr>
      <w:tr w:rsidR="00855E61" w:rsidRPr="00317A00" w:rsidTr="00AE1C26">
        <w:tc>
          <w:tcPr>
            <w:tcW w:w="2717" w:type="dxa"/>
          </w:tcPr>
          <w:p w:rsidR="00855E61" w:rsidRPr="00317A00" w:rsidRDefault="00855E61" w:rsidP="00AE1C26">
            <w:pPr>
              <w:widowControl w:val="0"/>
              <w:tabs>
                <w:tab w:val="left" w:pos="180"/>
                <w:tab w:val="right" w:pos="3060"/>
                <w:tab w:val="right" w:pos="4150"/>
              </w:tabs>
              <w:rPr>
                <w:rFonts w:ascii="Segoe UI Light" w:hAnsi="Segoe UI Light" w:cs="Segoe UI Light"/>
                <w:b/>
                <w:snapToGrid w:val="0"/>
                <w:color w:val="000000"/>
              </w:rPr>
            </w:pPr>
            <w:r w:rsidRPr="00317A00">
              <w:rPr>
                <w:rFonts w:ascii="Segoe UI Light" w:hAnsi="Segoe UI Light" w:cs="Segoe UI Light"/>
                <w:b/>
                <w:snapToGrid w:val="0"/>
                <w:color w:val="000000"/>
              </w:rPr>
              <w:t>Effect of Coronavirus pandemic on investment valuations</w:t>
            </w:r>
          </w:p>
        </w:tc>
        <w:tc>
          <w:tcPr>
            <w:tcW w:w="3151" w:type="dxa"/>
          </w:tcPr>
          <w:p w:rsidR="00855E61" w:rsidRPr="00317A00" w:rsidRDefault="00855E61" w:rsidP="00AE1C26">
            <w:pPr>
              <w:widowControl w:val="0"/>
              <w:tabs>
                <w:tab w:val="left" w:pos="180"/>
                <w:tab w:val="right" w:pos="3060"/>
                <w:tab w:val="right" w:pos="4150"/>
              </w:tabs>
              <w:rPr>
                <w:rFonts w:ascii="Segoe UI Light" w:hAnsi="Segoe UI Light" w:cs="Segoe UI Light"/>
                <w:snapToGrid w:val="0"/>
                <w:color w:val="000000"/>
              </w:rPr>
            </w:pPr>
            <w:r w:rsidRPr="00317A00">
              <w:rPr>
                <w:rFonts w:ascii="Segoe UI Light" w:hAnsi="Segoe UI Light" w:cs="Segoe UI Light"/>
                <w:snapToGrid w:val="0"/>
                <w:color w:val="000000"/>
              </w:rPr>
              <w:t xml:space="preserve">Due to the uncertainties in the financial markets caused by the current Coronavirus pandemic, there is an increased risk that the valuation of the Fund's level 3 investments may be affected </w:t>
            </w:r>
            <w:r w:rsidRPr="00317A00">
              <w:rPr>
                <w:rFonts w:ascii="Segoe UI Light" w:hAnsi="Segoe UI Light" w:cs="Segoe UI Light"/>
                <w:snapToGrid w:val="0"/>
                <w:color w:val="000000"/>
              </w:rPr>
              <w:lastRenderedPageBreak/>
              <w:t>and the valuations may be mis-stated. The Fund's private equity and infrastructure investments are usually valued in the accounts based on the 31st December valuations, with adjustments to roll forward cashflows to 31st March as appropriate and therefore do not fully take into account the impact of the Covid-19 pandemic.</w:t>
            </w:r>
          </w:p>
        </w:tc>
        <w:tc>
          <w:tcPr>
            <w:tcW w:w="3240" w:type="dxa"/>
          </w:tcPr>
          <w:p w:rsidR="00855E61" w:rsidRPr="00317A00" w:rsidRDefault="00855E61" w:rsidP="00AE1C26">
            <w:pPr>
              <w:widowControl w:val="0"/>
              <w:tabs>
                <w:tab w:val="left" w:pos="180"/>
                <w:tab w:val="right" w:pos="3060"/>
                <w:tab w:val="right" w:pos="4150"/>
              </w:tabs>
              <w:rPr>
                <w:rFonts w:ascii="Segoe UI Light" w:hAnsi="Segoe UI Light" w:cs="Segoe UI Light"/>
                <w:snapToGrid w:val="0"/>
                <w:color w:val="000000"/>
              </w:rPr>
            </w:pPr>
            <w:r w:rsidRPr="00317A00">
              <w:rPr>
                <w:rFonts w:ascii="Segoe UI Light" w:hAnsi="Segoe UI Light" w:cs="Segoe UI Light"/>
                <w:snapToGrid w:val="0"/>
                <w:color w:val="000000"/>
              </w:rPr>
              <w:lastRenderedPageBreak/>
              <w:t xml:space="preserve">There is a risk that this investment may be under- or overstated in the accounts. The Fund’s investment advisors estimate this to be up +/- 24.3% of the reported value. Further </w:t>
            </w:r>
            <w:r w:rsidRPr="00317A00">
              <w:rPr>
                <w:rFonts w:ascii="Segoe UI Light" w:hAnsi="Segoe UI Light" w:cs="Segoe UI Light"/>
                <w:snapToGrid w:val="0"/>
                <w:color w:val="000000"/>
              </w:rPr>
              <w:lastRenderedPageBreak/>
              <w:t>detail is provided in note 17.</w:t>
            </w:r>
          </w:p>
        </w:tc>
      </w:tr>
      <w:tr w:rsidR="00855E61" w:rsidRPr="0077140D" w:rsidTr="00AE1C26">
        <w:tc>
          <w:tcPr>
            <w:tcW w:w="2717" w:type="dxa"/>
            <w:tcBorders>
              <w:bottom w:val="single" w:sz="4" w:space="0" w:color="auto"/>
            </w:tcBorders>
          </w:tcPr>
          <w:p w:rsidR="00855E61" w:rsidRPr="00317A00" w:rsidRDefault="00855E61" w:rsidP="00AE1C26">
            <w:pPr>
              <w:widowControl w:val="0"/>
              <w:tabs>
                <w:tab w:val="left" w:pos="180"/>
                <w:tab w:val="right" w:pos="3060"/>
                <w:tab w:val="right" w:pos="4150"/>
              </w:tabs>
              <w:rPr>
                <w:rFonts w:ascii="Segoe UI Light" w:hAnsi="Segoe UI Light" w:cs="Segoe UI Light"/>
                <w:b/>
                <w:snapToGrid w:val="0"/>
                <w:color w:val="000000"/>
              </w:rPr>
            </w:pPr>
            <w:r w:rsidRPr="00317A00">
              <w:rPr>
                <w:rFonts w:ascii="Segoe UI Light" w:hAnsi="Segoe UI Light" w:cs="Segoe UI Light"/>
                <w:b/>
                <w:snapToGrid w:val="0"/>
                <w:color w:val="000000"/>
              </w:rPr>
              <w:lastRenderedPageBreak/>
              <w:t>McCloud Ruling</w:t>
            </w:r>
          </w:p>
        </w:tc>
        <w:tc>
          <w:tcPr>
            <w:tcW w:w="3151" w:type="dxa"/>
            <w:tcBorders>
              <w:bottom w:val="single" w:sz="4" w:space="0" w:color="auto"/>
            </w:tcBorders>
          </w:tcPr>
          <w:p w:rsidR="00855E61" w:rsidRPr="00317A00" w:rsidRDefault="00855E61" w:rsidP="00AE1C26">
            <w:pPr>
              <w:widowControl w:val="0"/>
              <w:tabs>
                <w:tab w:val="left" w:pos="180"/>
                <w:tab w:val="right" w:pos="3060"/>
                <w:tab w:val="right" w:pos="4150"/>
              </w:tabs>
              <w:rPr>
                <w:rFonts w:ascii="Segoe UI Light" w:hAnsi="Segoe UI Light" w:cs="Segoe UI Light"/>
                <w:snapToGrid w:val="0"/>
                <w:color w:val="000000"/>
              </w:rPr>
            </w:pPr>
            <w:r w:rsidRPr="00317A00">
              <w:rPr>
                <w:rFonts w:ascii="Segoe UI Light" w:hAnsi="Segoe UI Light" w:cs="Segoe UI Light"/>
                <w:snapToGrid w:val="0"/>
                <w:color w:val="000000"/>
              </w:rPr>
              <w:t>The “McCloud judgment” refers to a legal challenge in relation to historic benefit changes for all public sector schemes. The courts have ruled that the ‘transitional protections’ awarded to some members of public service pension schemes when the schemes were reformed (on 1 April 2014 in the case of the LGPS and Brent Pension Fund) were unlawful on the grounds of age discrimination. This will increase the liabilities of the Fund however the exact size of such liability is unknown. However, the IAS19 valuation included in London Borough of Brent’s accounts do include an estimated allowance for McCloud.</w:t>
            </w:r>
          </w:p>
          <w:p w:rsidR="00855E61" w:rsidRPr="00317A00" w:rsidRDefault="00855E61" w:rsidP="00AE1C26">
            <w:pPr>
              <w:widowControl w:val="0"/>
              <w:tabs>
                <w:tab w:val="left" w:pos="180"/>
                <w:tab w:val="right" w:pos="3060"/>
                <w:tab w:val="right" w:pos="4150"/>
              </w:tabs>
              <w:rPr>
                <w:rFonts w:ascii="Segoe UI Light" w:hAnsi="Segoe UI Light" w:cs="Segoe UI Light"/>
                <w:snapToGrid w:val="0"/>
                <w:color w:val="000000"/>
              </w:rPr>
            </w:pPr>
          </w:p>
        </w:tc>
        <w:tc>
          <w:tcPr>
            <w:tcW w:w="3240" w:type="dxa"/>
            <w:tcBorders>
              <w:bottom w:val="single" w:sz="4" w:space="0" w:color="auto"/>
            </w:tcBorders>
          </w:tcPr>
          <w:p w:rsidR="00855E61" w:rsidRPr="00317A00" w:rsidRDefault="00855E61" w:rsidP="00AE1C26">
            <w:pPr>
              <w:widowControl w:val="0"/>
              <w:tabs>
                <w:tab w:val="left" w:pos="180"/>
                <w:tab w:val="right" w:pos="3060"/>
                <w:tab w:val="right" w:pos="4150"/>
              </w:tabs>
              <w:rPr>
                <w:rFonts w:ascii="Segoe UI Light" w:hAnsi="Segoe UI Light" w:cs="Segoe UI Light"/>
                <w:snapToGrid w:val="0"/>
                <w:color w:val="000000"/>
              </w:rPr>
            </w:pPr>
            <w:r w:rsidRPr="00317A00">
              <w:rPr>
                <w:rFonts w:ascii="Segoe UI Light" w:hAnsi="Segoe UI Light" w:cs="Segoe UI Light"/>
                <w:snapToGrid w:val="0"/>
                <w:color w:val="000000"/>
              </w:rPr>
              <w:t>There is a risk that the estimate of the McCloud additional liabilities may be over or understated in these accounts.</w:t>
            </w:r>
          </w:p>
        </w:tc>
      </w:tr>
    </w:tbl>
    <w:p w:rsidR="00F72906" w:rsidRDefault="00F72906" w:rsidP="00F72906"/>
    <w:p w:rsidR="00F72906" w:rsidRDefault="00F72906" w:rsidP="00855E61">
      <w:pPr>
        <w:pStyle w:val="Heading3"/>
      </w:pPr>
      <w:r>
        <w:t>6.  Events after the Reporting Date</w:t>
      </w:r>
    </w:p>
    <w:p w:rsidR="00F72906" w:rsidRDefault="00F72906" w:rsidP="00F72906">
      <w:r>
        <w:t>There have been no events since 31 March 2020, and up to the date when these accounts were authorised that require any</w:t>
      </w:r>
      <w:r w:rsidR="00855E61">
        <w:t xml:space="preserve"> adjustments to these accounts.</w:t>
      </w:r>
    </w:p>
    <w:p w:rsidR="00F72906" w:rsidRDefault="00F72906" w:rsidP="00855E61">
      <w:pPr>
        <w:pStyle w:val="Heading3"/>
      </w:pPr>
      <w:r>
        <w:t>7.  Contributions receivable</w:t>
      </w:r>
    </w:p>
    <w:tbl>
      <w:tblPr>
        <w:tblW w:w="0" w:type="auto"/>
        <w:tblLook w:val="01E0" w:firstRow="1" w:lastRow="1" w:firstColumn="1" w:lastColumn="1" w:noHBand="0" w:noVBand="0"/>
      </w:tblPr>
      <w:tblGrid>
        <w:gridCol w:w="4820"/>
        <w:gridCol w:w="2025"/>
        <w:gridCol w:w="2026"/>
      </w:tblGrid>
      <w:tr w:rsidR="00855E61" w:rsidRPr="00833A56" w:rsidTr="00AE1C26">
        <w:tc>
          <w:tcPr>
            <w:tcW w:w="4820" w:type="dxa"/>
          </w:tcPr>
          <w:p w:rsidR="00855E61" w:rsidRPr="00833A56" w:rsidRDefault="00855E61" w:rsidP="00AE1C26">
            <w:pPr>
              <w:widowControl w:val="0"/>
              <w:tabs>
                <w:tab w:val="left" w:pos="180"/>
                <w:tab w:val="right" w:pos="3060"/>
                <w:tab w:val="right" w:pos="4150"/>
              </w:tabs>
              <w:jc w:val="both"/>
              <w:rPr>
                <w:rFonts w:cs="Segoe UI Light"/>
                <w:snapToGrid w:val="0"/>
                <w:color w:val="000000"/>
              </w:rPr>
            </w:pPr>
          </w:p>
        </w:tc>
        <w:tc>
          <w:tcPr>
            <w:tcW w:w="2025" w:type="dxa"/>
          </w:tcPr>
          <w:p w:rsidR="00855E61" w:rsidRPr="00833A56" w:rsidRDefault="00855E61" w:rsidP="00AE1C26">
            <w:pPr>
              <w:widowControl w:val="0"/>
              <w:tabs>
                <w:tab w:val="left" w:pos="180"/>
                <w:tab w:val="right" w:pos="3060"/>
                <w:tab w:val="right" w:pos="4150"/>
              </w:tabs>
              <w:jc w:val="right"/>
              <w:rPr>
                <w:rFonts w:cs="Segoe UI Light"/>
                <w:b/>
                <w:snapToGrid w:val="0"/>
                <w:color w:val="000000"/>
              </w:rPr>
            </w:pPr>
            <w:r w:rsidRPr="00833A56">
              <w:rPr>
                <w:rFonts w:cs="Segoe UI Light"/>
                <w:b/>
                <w:snapToGrid w:val="0"/>
                <w:color w:val="000000"/>
              </w:rPr>
              <w:t>2018/19</w:t>
            </w:r>
          </w:p>
        </w:tc>
        <w:tc>
          <w:tcPr>
            <w:tcW w:w="2026" w:type="dxa"/>
          </w:tcPr>
          <w:p w:rsidR="00855E61" w:rsidRPr="00833A56" w:rsidRDefault="00855E61" w:rsidP="00AE1C26">
            <w:pPr>
              <w:widowControl w:val="0"/>
              <w:tabs>
                <w:tab w:val="left" w:pos="180"/>
                <w:tab w:val="right" w:pos="3060"/>
                <w:tab w:val="right" w:pos="4150"/>
              </w:tabs>
              <w:jc w:val="right"/>
              <w:rPr>
                <w:rFonts w:cs="Segoe UI Light"/>
                <w:b/>
                <w:snapToGrid w:val="0"/>
                <w:color w:val="000000"/>
              </w:rPr>
            </w:pPr>
            <w:r w:rsidRPr="00833A56">
              <w:rPr>
                <w:rFonts w:cs="Segoe UI Light"/>
                <w:b/>
                <w:snapToGrid w:val="0"/>
                <w:color w:val="000000"/>
              </w:rPr>
              <w:t>2019/20</w:t>
            </w:r>
          </w:p>
        </w:tc>
      </w:tr>
      <w:tr w:rsidR="00855E61" w:rsidRPr="00833A56" w:rsidTr="00AE1C26">
        <w:tc>
          <w:tcPr>
            <w:tcW w:w="4820" w:type="dxa"/>
          </w:tcPr>
          <w:p w:rsidR="00855E61" w:rsidRPr="00833A56" w:rsidRDefault="00855E61" w:rsidP="00AE1C26">
            <w:pPr>
              <w:widowControl w:val="0"/>
              <w:tabs>
                <w:tab w:val="left" w:pos="180"/>
                <w:tab w:val="right" w:pos="3060"/>
                <w:tab w:val="right" w:pos="4150"/>
              </w:tabs>
              <w:jc w:val="both"/>
              <w:rPr>
                <w:rFonts w:cs="Segoe UI Light"/>
                <w:snapToGrid w:val="0"/>
                <w:color w:val="000000"/>
              </w:rPr>
            </w:pPr>
          </w:p>
        </w:tc>
        <w:tc>
          <w:tcPr>
            <w:tcW w:w="2025" w:type="dxa"/>
          </w:tcPr>
          <w:p w:rsidR="00855E61" w:rsidRPr="00833A56" w:rsidRDefault="00855E61" w:rsidP="00AE1C26">
            <w:pPr>
              <w:widowControl w:val="0"/>
              <w:tabs>
                <w:tab w:val="left" w:pos="180"/>
                <w:tab w:val="right" w:pos="3060"/>
                <w:tab w:val="right" w:pos="4150"/>
              </w:tabs>
              <w:jc w:val="right"/>
              <w:rPr>
                <w:rFonts w:cs="Segoe UI Light"/>
                <w:b/>
                <w:snapToGrid w:val="0"/>
                <w:color w:val="000000"/>
              </w:rPr>
            </w:pPr>
            <w:r w:rsidRPr="00833A56">
              <w:rPr>
                <w:rFonts w:cs="Segoe UI Light"/>
                <w:b/>
                <w:snapToGrid w:val="0"/>
                <w:color w:val="000000"/>
              </w:rPr>
              <w:t>£m</w:t>
            </w:r>
          </w:p>
        </w:tc>
        <w:tc>
          <w:tcPr>
            <w:tcW w:w="2026" w:type="dxa"/>
          </w:tcPr>
          <w:p w:rsidR="00855E61" w:rsidRPr="00833A56" w:rsidRDefault="00855E61" w:rsidP="00AE1C26">
            <w:pPr>
              <w:widowControl w:val="0"/>
              <w:tabs>
                <w:tab w:val="left" w:pos="180"/>
                <w:tab w:val="right" w:pos="3060"/>
                <w:tab w:val="right" w:pos="4150"/>
              </w:tabs>
              <w:jc w:val="right"/>
              <w:rPr>
                <w:rFonts w:cs="Segoe UI Light"/>
                <w:b/>
                <w:snapToGrid w:val="0"/>
                <w:color w:val="000000"/>
              </w:rPr>
            </w:pPr>
            <w:r w:rsidRPr="00833A56">
              <w:rPr>
                <w:rFonts w:cs="Segoe UI Light"/>
                <w:b/>
                <w:snapToGrid w:val="0"/>
                <w:color w:val="000000"/>
              </w:rPr>
              <w:t>£m</w:t>
            </w:r>
          </w:p>
        </w:tc>
      </w:tr>
      <w:tr w:rsidR="00855E61" w:rsidRPr="00833A56" w:rsidTr="00AE1C26">
        <w:tc>
          <w:tcPr>
            <w:tcW w:w="4820" w:type="dxa"/>
          </w:tcPr>
          <w:p w:rsidR="00855E61" w:rsidRPr="00833A56" w:rsidRDefault="00855E61" w:rsidP="00AE1C26">
            <w:pPr>
              <w:widowControl w:val="0"/>
              <w:tabs>
                <w:tab w:val="left" w:pos="180"/>
                <w:tab w:val="right" w:pos="3060"/>
                <w:tab w:val="right" w:pos="4150"/>
              </w:tabs>
              <w:rPr>
                <w:rFonts w:cs="Segoe UI Light"/>
                <w:snapToGrid w:val="0"/>
                <w:color w:val="000000"/>
              </w:rPr>
            </w:pPr>
            <w:r w:rsidRPr="00833A56">
              <w:rPr>
                <w:rFonts w:cs="Segoe UI Light"/>
                <w:snapToGrid w:val="0"/>
                <w:color w:val="000000"/>
              </w:rPr>
              <w:lastRenderedPageBreak/>
              <w:t>Employees’ contributions</w:t>
            </w:r>
          </w:p>
        </w:tc>
        <w:tc>
          <w:tcPr>
            <w:tcW w:w="2025" w:type="dxa"/>
          </w:tcPr>
          <w:p w:rsidR="00855E61" w:rsidRPr="00833A56" w:rsidRDefault="00855E61" w:rsidP="00AE1C26">
            <w:pPr>
              <w:widowControl w:val="0"/>
              <w:tabs>
                <w:tab w:val="left" w:pos="180"/>
                <w:tab w:val="right" w:pos="3060"/>
                <w:tab w:val="right" w:pos="4150"/>
              </w:tabs>
              <w:jc w:val="right"/>
              <w:rPr>
                <w:rFonts w:cs="Segoe UI Light"/>
                <w:snapToGrid w:val="0"/>
                <w:color w:val="000000"/>
              </w:rPr>
            </w:pPr>
            <w:r w:rsidRPr="00833A56">
              <w:rPr>
                <w:rFonts w:cs="Segoe UI Light"/>
                <w:snapToGrid w:val="0"/>
                <w:color w:val="000000"/>
              </w:rPr>
              <w:t>9.2</w:t>
            </w:r>
          </w:p>
        </w:tc>
        <w:tc>
          <w:tcPr>
            <w:tcW w:w="2026" w:type="dxa"/>
            <w:tcBorders>
              <w:top w:val="nil"/>
              <w:left w:val="nil"/>
              <w:bottom w:val="nil"/>
              <w:right w:val="nil"/>
            </w:tcBorders>
            <w:shd w:val="clear" w:color="auto" w:fill="auto"/>
            <w:vAlign w:val="bottom"/>
          </w:tcPr>
          <w:p w:rsidR="00855E61" w:rsidRPr="00833A56" w:rsidRDefault="00855E61" w:rsidP="00AE1C26">
            <w:pPr>
              <w:widowControl w:val="0"/>
              <w:tabs>
                <w:tab w:val="left" w:pos="180"/>
                <w:tab w:val="right" w:pos="3060"/>
                <w:tab w:val="right" w:pos="4150"/>
              </w:tabs>
              <w:jc w:val="right"/>
              <w:rPr>
                <w:rFonts w:cs="Segoe UI Light"/>
                <w:snapToGrid w:val="0"/>
                <w:color w:val="000000"/>
              </w:rPr>
            </w:pPr>
            <w:r w:rsidRPr="00833A56">
              <w:rPr>
                <w:rFonts w:cs="Calibri"/>
              </w:rPr>
              <w:t>8.5</w:t>
            </w:r>
          </w:p>
        </w:tc>
      </w:tr>
      <w:tr w:rsidR="00855E61" w:rsidRPr="00833A56" w:rsidTr="00AE1C26">
        <w:tc>
          <w:tcPr>
            <w:tcW w:w="4820" w:type="dxa"/>
          </w:tcPr>
          <w:p w:rsidR="00855E61" w:rsidRPr="00833A56" w:rsidRDefault="00855E61" w:rsidP="00AE1C26">
            <w:pPr>
              <w:widowControl w:val="0"/>
              <w:tabs>
                <w:tab w:val="left" w:pos="180"/>
                <w:tab w:val="right" w:pos="3060"/>
                <w:tab w:val="right" w:pos="4150"/>
              </w:tabs>
              <w:rPr>
                <w:rFonts w:cs="Segoe UI Light"/>
                <w:snapToGrid w:val="0"/>
                <w:color w:val="000000"/>
              </w:rPr>
            </w:pPr>
            <w:r w:rsidRPr="00833A56">
              <w:rPr>
                <w:rFonts w:cs="Segoe UI Light"/>
                <w:snapToGrid w:val="0"/>
                <w:color w:val="000000"/>
              </w:rPr>
              <w:t>Employers’ contributions:</w:t>
            </w:r>
          </w:p>
        </w:tc>
        <w:tc>
          <w:tcPr>
            <w:tcW w:w="2025" w:type="dxa"/>
          </w:tcPr>
          <w:p w:rsidR="00855E61" w:rsidRPr="00833A56" w:rsidRDefault="00855E61" w:rsidP="00AE1C26">
            <w:pPr>
              <w:widowControl w:val="0"/>
              <w:tabs>
                <w:tab w:val="left" w:pos="180"/>
                <w:tab w:val="right" w:pos="3060"/>
                <w:tab w:val="right" w:pos="4150"/>
              </w:tabs>
              <w:jc w:val="right"/>
              <w:rPr>
                <w:rFonts w:cs="Segoe UI Light"/>
                <w:snapToGrid w:val="0"/>
                <w:color w:val="000000"/>
              </w:rPr>
            </w:pPr>
          </w:p>
        </w:tc>
        <w:tc>
          <w:tcPr>
            <w:tcW w:w="2026" w:type="dxa"/>
            <w:tcBorders>
              <w:top w:val="nil"/>
              <w:left w:val="nil"/>
              <w:bottom w:val="nil"/>
              <w:right w:val="nil"/>
            </w:tcBorders>
            <w:shd w:val="clear" w:color="auto" w:fill="auto"/>
            <w:vAlign w:val="bottom"/>
          </w:tcPr>
          <w:p w:rsidR="00855E61" w:rsidRPr="00833A56" w:rsidRDefault="00855E61" w:rsidP="00AE1C26">
            <w:pPr>
              <w:widowControl w:val="0"/>
              <w:tabs>
                <w:tab w:val="left" w:pos="180"/>
                <w:tab w:val="right" w:pos="3060"/>
                <w:tab w:val="right" w:pos="4150"/>
              </w:tabs>
              <w:jc w:val="right"/>
              <w:rPr>
                <w:rFonts w:cs="Segoe UI Light"/>
                <w:snapToGrid w:val="0"/>
                <w:color w:val="000000"/>
              </w:rPr>
            </w:pPr>
          </w:p>
        </w:tc>
      </w:tr>
      <w:tr w:rsidR="00855E61" w:rsidRPr="00833A56" w:rsidTr="00AE1C26">
        <w:tc>
          <w:tcPr>
            <w:tcW w:w="4820" w:type="dxa"/>
          </w:tcPr>
          <w:p w:rsidR="00855E61" w:rsidRPr="00833A56" w:rsidRDefault="00855E61" w:rsidP="00AE1C26">
            <w:pPr>
              <w:widowControl w:val="0"/>
              <w:tabs>
                <w:tab w:val="left" w:pos="180"/>
                <w:tab w:val="right" w:pos="3060"/>
                <w:tab w:val="right" w:pos="4150"/>
              </w:tabs>
              <w:rPr>
                <w:rFonts w:cs="Segoe UI Light"/>
                <w:snapToGrid w:val="0"/>
                <w:color w:val="000000"/>
              </w:rPr>
            </w:pPr>
            <w:r w:rsidRPr="00833A56">
              <w:rPr>
                <w:rFonts w:cs="Segoe UI Light"/>
                <w:snapToGrid w:val="0"/>
                <w:color w:val="000000"/>
              </w:rPr>
              <w:t>Normal contributions</w:t>
            </w:r>
          </w:p>
        </w:tc>
        <w:tc>
          <w:tcPr>
            <w:tcW w:w="2025" w:type="dxa"/>
          </w:tcPr>
          <w:p w:rsidR="00855E61" w:rsidRPr="00833A56" w:rsidRDefault="00855E61" w:rsidP="00AE1C26">
            <w:pPr>
              <w:widowControl w:val="0"/>
              <w:tabs>
                <w:tab w:val="left" w:pos="180"/>
                <w:tab w:val="right" w:pos="3060"/>
                <w:tab w:val="right" w:pos="4150"/>
              </w:tabs>
              <w:jc w:val="right"/>
              <w:rPr>
                <w:rFonts w:cs="Segoe UI Light"/>
                <w:snapToGrid w:val="0"/>
                <w:color w:val="000000"/>
              </w:rPr>
            </w:pPr>
            <w:r w:rsidRPr="00833A56">
              <w:rPr>
                <w:rFonts w:cs="Segoe UI Light"/>
                <w:snapToGrid w:val="0"/>
                <w:color w:val="000000"/>
              </w:rPr>
              <w:t>39.7</w:t>
            </w:r>
          </w:p>
        </w:tc>
        <w:tc>
          <w:tcPr>
            <w:tcW w:w="2026" w:type="dxa"/>
            <w:tcBorders>
              <w:top w:val="nil"/>
              <w:left w:val="nil"/>
              <w:bottom w:val="nil"/>
              <w:right w:val="nil"/>
            </w:tcBorders>
            <w:shd w:val="clear" w:color="auto" w:fill="auto"/>
            <w:vAlign w:val="bottom"/>
          </w:tcPr>
          <w:p w:rsidR="00855E61" w:rsidRPr="00833A56" w:rsidRDefault="00855E61" w:rsidP="00AE1C26">
            <w:pPr>
              <w:widowControl w:val="0"/>
              <w:tabs>
                <w:tab w:val="left" w:pos="180"/>
                <w:tab w:val="right" w:pos="3060"/>
                <w:tab w:val="right" w:pos="4150"/>
              </w:tabs>
              <w:jc w:val="right"/>
              <w:rPr>
                <w:rFonts w:cs="Segoe UI Light"/>
                <w:snapToGrid w:val="0"/>
                <w:color w:val="000000"/>
              </w:rPr>
            </w:pPr>
            <w:r w:rsidRPr="00833A56">
              <w:rPr>
                <w:rFonts w:cs="Calibri"/>
              </w:rPr>
              <w:t>45.6</w:t>
            </w:r>
          </w:p>
        </w:tc>
      </w:tr>
      <w:tr w:rsidR="00855E61" w:rsidRPr="00833A56" w:rsidTr="00AE1C26">
        <w:tc>
          <w:tcPr>
            <w:tcW w:w="4820" w:type="dxa"/>
          </w:tcPr>
          <w:p w:rsidR="00855E61" w:rsidRPr="00833A56" w:rsidRDefault="00855E61" w:rsidP="00AE1C26">
            <w:pPr>
              <w:widowControl w:val="0"/>
              <w:tabs>
                <w:tab w:val="left" w:pos="180"/>
                <w:tab w:val="right" w:pos="3060"/>
                <w:tab w:val="right" w:pos="4150"/>
              </w:tabs>
              <w:rPr>
                <w:rFonts w:cs="Segoe UI Light"/>
                <w:snapToGrid w:val="0"/>
                <w:color w:val="000000"/>
              </w:rPr>
            </w:pPr>
            <w:r w:rsidRPr="00833A56">
              <w:rPr>
                <w:rFonts w:cs="Segoe UI Light"/>
                <w:snapToGrid w:val="0"/>
                <w:color w:val="000000"/>
              </w:rPr>
              <w:t>Deficit recovery contributions</w:t>
            </w:r>
          </w:p>
        </w:tc>
        <w:tc>
          <w:tcPr>
            <w:tcW w:w="2025" w:type="dxa"/>
          </w:tcPr>
          <w:p w:rsidR="00855E61" w:rsidRPr="00833A56" w:rsidRDefault="00855E61" w:rsidP="00AE1C26">
            <w:pPr>
              <w:widowControl w:val="0"/>
              <w:tabs>
                <w:tab w:val="left" w:pos="180"/>
                <w:tab w:val="right" w:pos="3060"/>
                <w:tab w:val="right" w:pos="4150"/>
              </w:tabs>
              <w:jc w:val="right"/>
              <w:rPr>
                <w:rFonts w:cs="Segoe UI Light"/>
                <w:snapToGrid w:val="0"/>
                <w:color w:val="000000"/>
              </w:rPr>
            </w:pPr>
            <w:r w:rsidRPr="00833A56">
              <w:rPr>
                <w:rFonts w:cs="Segoe UI Light"/>
                <w:snapToGrid w:val="0"/>
                <w:color w:val="000000"/>
              </w:rPr>
              <w:t>1.7</w:t>
            </w:r>
          </w:p>
        </w:tc>
        <w:tc>
          <w:tcPr>
            <w:tcW w:w="2026" w:type="dxa"/>
            <w:tcBorders>
              <w:top w:val="nil"/>
              <w:left w:val="nil"/>
              <w:bottom w:val="nil"/>
              <w:right w:val="nil"/>
            </w:tcBorders>
            <w:shd w:val="clear" w:color="auto" w:fill="auto"/>
            <w:vAlign w:val="bottom"/>
          </w:tcPr>
          <w:p w:rsidR="00855E61" w:rsidRPr="00833A56" w:rsidRDefault="00855E61" w:rsidP="00AE1C26">
            <w:pPr>
              <w:widowControl w:val="0"/>
              <w:tabs>
                <w:tab w:val="left" w:pos="180"/>
                <w:tab w:val="right" w:pos="3060"/>
                <w:tab w:val="right" w:pos="4150"/>
              </w:tabs>
              <w:jc w:val="right"/>
              <w:rPr>
                <w:rFonts w:cs="Segoe UI Light"/>
                <w:snapToGrid w:val="0"/>
                <w:color w:val="000000"/>
              </w:rPr>
            </w:pPr>
            <w:r w:rsidRPr="00833A56">
              <w:rPr>
                <w:rFonts w:cs="Calibri"/>
              </w:rPr>
              <w:t>1.7</w:t>
            </w:r>
          </w:p>
        </w:tc>
      </w:tr>
      <w:tr w:rsidR="00855E61" w:rsidRPr="00833A56" w:rsidTr="00AE1C26">
        <w:tc>
          <w:tcPr>
            <w:tcW w:w="4820" w:type="dxa"/>
          </w:tcPr>
          <w:p w:rsidR="00855E61" w:rsidRPr="00833A56" w:rsidRDefault="00855E61" w:rsidP="00AE1C26">
            <w:pPr>
              <w:widowControl w:val="0"/>
              <w:tabs>
                <w:tab w:val="left" w:pos="180"/>
                <w:tab w:val="right" w:pos="3060"/>
                <w:tab w:val="right" w:pos="4150"/>
              </w:tabs>
              <w:rPr>
                <w:rFonts w:cs="Segoe UI Light"/>
                <w:snapToGrid w:val="0"/>
                <w:color w:val="000000"/>
              </w:rPr>
            </w:pPr>
            <w:r w:rsidRPr="00833A56">
              <w:rPr>
                <w:rFonts w:cs="Segoe UI Light"/>
                <w:snapToGrid w:val="0"/>
                <w:color w:val="000000"/>
              </w:rPr>
              <w:t>Augmentation contributions</w:t>
            </w:r>
          </w:p>
        </w:tc>
        <w:tc>
          <w:tcPr>
            <w:tcW w:w="2025" w:type="dxa"/>
          </w:tcPr>
          <w:p w:rsidR="00855E61" w:rsidRPr="00833A56" w:rsidRDefault="00855E61" w:rsidP="00AE1C26">
            <w:pPr>
              <w:widowControl w:val="0"/>
              <w:tabs>
                <w:tab w:val="left" w:pos="180"/>
                <w:tab w:val="right" w:pos="3060"/>
                <w:tab w:val="right" w:pos="4150"/>
              </w:tabs>
              <w:jc w:val="right"/>
              <w:rPr>
                <w:rFonts w:cs="Segoe UI Light"/>
                <w:snapToGrid w:val="0"/>
                <w:color w:val="000000"/>
              </w:rPr>
            </w:pPr>
            <w:r w:rsidRPr="00833A56">
              <w:rPr>
                <w:rFonts w:cs="Segoe UI Light"/>
                <w:snapToGrid w:val="0"/>
                <w:color w:val="000000"/>
              </w:rPr>
              <w:t>1.5</w:t>
            </w:r>
          </w:p>
        </w:tc>
        <w:tc>
          <w:tcPr>
            <w:tcW w:w="2026" w:type="dxa"/>
            <w:tcBorders>
              <w:top w:val="nil"/>
              <w:left w:val="nil"/>
              <w:bottom w:val="nil"/>
              <w:right w:val="nil"/>
            </w:tcBorders>
            <w:shd w:val="clear" w:color="auto" w:fill="auto"/>
            <w:vAlign w:val="bottom"/>
          </w:tcPr>
          <w:p w:rsidR="00855E61" w:rsidRPr="00833A56" w:rsidRDefault="00855E61" w:rsidP="00AE1C26">
            <w:pPr>
              <w:widowControl w:val="0"/>
              <w:tabs>
                <w:tab w:val="left" w:pos="180"/>
                <w:tab w:val="right" w:pos="3060"/>
                <w:tab w:val="right" w:pos="4150"/>
              </w:tabs>
              <w:jc w:val="right"/>
              <w:rPr>
                <w:rFonts w:cs="Segoe UI Light"/>
                <w:snapToGrid w:val="0"/>
                <w:color w:val="000000"/>
              </w:rPr>
            </w:pPr>
            <w:r w:rsidRPr="00833A56">
              <w:rPr>
                <w:rFonts w:cs="Calibri"/>
              </w:rPr>
              <w:t>4.3</w:t>
            </w:r>
          </w:p>
        </w:tc>
      </w:tr>
      <w:tr w:rsidR="00855E61" w:rsidRPr="00833A56" w:rsidTr="00AE1C26">
        <w:tc>
          <w:tcPr>
            <w:tcW w:w="4820" w:type="dxa"/>
          </w:tcPr>
          <w:p w:rsidR="00855E61" w:rsidRPr="00833A56" w:rsidRDefault="00855E61" w:rsidP="00AE1C26">
            <w:pPr>
              <w:widowControl w:val="0"/>
              <w:tabs>
                <w:tab w:val="left" w:pos="180"/>
                <w:tab w:val="right" w:pos="3060"/>
                <w:tab w:val="right" w:pos="4150"/>
              </w:tabs>
              <w:rPr>
                <w:rFonts w:cs="Segoe UI Light"/>
                <w:snapToGrid w:val="0"/>
                <w:color w:val="000000"/>
              </w:rPr>
            </w:pPr>
            <w:r w:rsidRPr="00833A56">
              <w:rPr>
                <w:rFonts w:cs="Segoe UI Light"/>
                <w:snapToGrid w:val="0"/>
                <w:color w:val="000000"/>
              </w:rPr>
              <w:t>Total employers’ contributions</w:t>
            </w:r>
          </w:p>
        </w:tc>
        <w:tc>
          <w:tcPr>
            <w:tcW w:w="2025" w:type="dxa"/>
          </w:tcPr>
          <w:p w:rsidR="00855E61" w:rsidRPr="00833A56" w:rsidRDefault="00855E61" w:rsidP="00AE1C26">
            <w:pPr>
              <w:widowControl w:val="0"/>
              <w:tabs>
                <w:tab w:val="left" w:pos="180"/>
                <w:tab w:val="right" w:pos="3060"/>
                <w:tab w:val="right" w:pos="4150"/>
              </w:tabs>
              <w:jc w:val="right"/>
              <w:rPr>
                <w:rFonts w:cs="Segoe UI Light"/>
                <w:snapToGrid w:val="0"/>
                <w:color w:val="000000"/>
              </w:rPr>
            </w:pPr>
            <w:r w:rsidRPr="00833A56">
              <w:rPr>
                <w:rFonts w:cs="Segoe UI Light"/>
                <w:snapToGrid w:val="0"/>
                <w:color w:val="000000"/>
              </w:rPr>
              <w:t>42.9</w:t>
            </w:r>
          </w:p>
        </w:tc>
        <w:tc>
          <w:tcPr>
            <w:tcW w:w="2026" w:type="dxa"/>
            <w:tcBorders>
              <w:top w:val="nil"/>
              <w:left w:val="nil"/>
              <w:bottom w:val="nil"/>
              <w:right w:val="nil"/>
            </w:tcBorders>
            <w:shd w:val="clear" w:color="auto" w:fill="auto"/>
            <w:vAlign w:val="bottom"/>
          </w:tcPr>
          <w:p w:rsidR="00855E61" w:rsidRPr="00833A56" w:rsidRDefault="00855E61" w:rsidP="00AE1C26">
            <w:pPr>
              <w:widowControl w:val="0"/>
              <w:tabs>
                <w:tab w:val="left" w:pos="180"/>
                <w:tab w:val="right" w:pos="3060"/>
                <w:tab w:val="right" w:pos="4150"/>
              </w:tabs>
              <w:jc w:val="right"/>
              <w:rPr>
                <w:rFonts w:cs="Segoe UI Light"/>
                <w:snapToGrid w:val="0"/>
                <w:color w:val="000000"/>
              </w:rPr>
            </w:pPr>
            <w:r w:rsidRPr="00833A56">
              <w:rPr>
                <w:rFonts w:cs="Calibri"/>
              </w:rPr>
              <w:t>51.5</w:t>
            </w:r>
          </w:p>
        </w:tc>
      </w:tr>
      <w:tr w:rsidR="00855E61" w:rsidRPr="000B634C" w:rsidTr="00AE1C26">
        <w:tc>
          <w:tcPr>
            <w:tcW w:w="4820" w:type="dxa"/>
          </w:tcPr>
          <w:p w:rsidR="00855E61" w:rsidRPr="00833A56" w:rsidRDefault="00855E61" w:rsidP="00AE1C26">
            <w:pPr>
              <w:widowControl w:val="0"/>
              <w:tabs>
                <w:tab w:val="left" w:pos="180"/>
                <w:tab w:val="right" w:pos="3060"/>
                <w:tab w:val="right" w:pos="4150"/>
              </w:tabs>
              <w:jc w:val="both"/>
              <w:rPr>
                <w:rFonts w:cs="Segoe UI Light"/>
                <w:b/>
                <w:snapToGrid w:val="0"/>
                <w:color w:val="000000"/>
              </w:rPr>
            </w:pPr>
            <w:r w:rsidRPr="00833A56">
              <w:rPr>
                <w:rFonts w:cs="Segoe UI Light"/>
                <w:b/>
                <w:snapToGrid w:val="0"/>
                <w:color w:val="000000"/>
              </w:rPr>
              <w:t>Total</w:t>
            </w:r>
          </w:p>
        </w:tc>
        <w:tc>
          <w:tcPr>
            <w:tcW w:w="2025" w:type="dxa"/>
            <w:tcBorders>
              <w:top w:val="single" w:sz="4" w:space="0" w:color="auto"/>
            </w:tcBorders>
          </w:tcPr>
          <w:p w:rsidR="00855E61" w:rsidRPr="00833A56" w:rsidRDefault="00855E61" w:rsidP="00AE1C26">
            <w:pPr>
              <w:widowControl w:val="0"/>
              <w:tabs>
                <w:tab w:val="left" w:pos="180"/>
                <w:tab w:val="right" w:pos="3060"/>
                <w:tab w:val="right" w:pos="4150"/>
              </w:tabs>
              <w:jc w:val="right"/>
              <w:rPr>
                <w:rFonts w:cs="Segoe UI Light"/>
                <w:b/>
                <w:snapToGrid w:val="0"/>
                <w:color w:val="000000"/>
              </w:rPr>
            </w:pPr>
            <w:r w:rsidRPr="00833A56">
              <w:rPr>
                <w:rFonts w:cs="Segoe UI Light"/>
                <w:b/>
                <w:snapToGrid w:val="0"/>
                <w:color w:val="000000"/>
              </w:rPr>
              <w:t>52.1</w:t>
            </w:r>
          </w:p>
        </w:tc>
        <w:tc>
          <w:tcPr>
            <w:tcW w:w="2026" w:type="dxa"/>
            <w:tcBorders>
              <w:top w:val="single" w:sz="4" w:space="0" w:color="auto"/>
            </w:tcBorders>
          </w:tcPr>
          <w:p w:rsidR="00855E61" w:rsidRPr="00833A56" w:rsidRDefault="00855E61" w:rsidP="00AE1C26">
            <w:pPr>
              <w:widowControl w:val="0"/>
              <w:tabs>
                <w:tab w:val="left" w:pos="180"/>
                <w:tab w:val="right" w:pos="3060"/>
                <w:tab w:val="right" w:pos="4150"/>
              </w:tabs>
              <w:jc w:val="right"/>
              <w:rPr>
                <w:rFonts w:cs="Segoe UI Light"/>
                <w:b/>
                <w:snapToGrid w:val="0"/>
                <w:color w:val="000000"/>
              </w:rPr>
            </w:pPr>
            <w:r w:rsidRPr="00833A56">
              <w:rPr>
                <w:rFonts w:cs="Segoe UI Light"/>
                <w:b/>
                <w:snapToGrid w:val="0"/>
                <w:color w:val="000000"/>
              </w:rPr>
              <w:t>60.0</w:t>
            </w:r>
          </w:p>
        </w:tc>
      </w:tr>
    </w:tbl>
    <w:p w:rsidR="00F72906" w:rsidRDefault="00F72906" w:rsidP="00F72906"/>
    <w:tbl>
      <w:tblPr>
        <w:tblW w:w="0" w:type="auto"/>
        <w:tblLook w:val="01E0" w:firstRow="1" w:lastRow="1" w:firstColumn="1" w:lastColumn="1" w:noHBand="0" w:noVBand="0"/>
      </w:tblPr>
      <w:tblGrid>
        <w:gridCol w:w="4820"/>
        <w:gridCol w:w="2025"/>
        <w:gridCol w:w="2026"/>
      </w:tblGrid>
      <w:tr w:rsidR="00855E61" w:rsidRPr="00F953EB" w:rsidTr="00AE1C26">
        <w:tc>
          <w:tcPr>
            <w:tcW w:w="4820" w:type="dxa"/>
          </w:tcPr>
          <w:p w:rsidR="00855E61" w:rsidRPr="00F953EB" w:rsidRDefault="00855E61" w:rsidP="00AE1C26">
            <w:pPr>
              <w:widowControl w:val="0"/>
              <w:tabs>
                <w:tab w:val="left" w:pos="180"/>
                <w:tab w:val="right" w:pos="3060"/>
                <w:tab w:val="right" w:pos="4150"/>
              </w:tabs>
              <w:jc w:val="both"/>
              <w:rPr>
                <w:rFonts w:cs="Segoe UI Light"/>
                <w:b/>
                <w:snapToGrid w:val="0"/>
                <w:color w:val="000000"/>
              </w:rPr>
            </w:pPr>
            <w:r w:rsidRPr="00F953EB">
              <w:rPr>
                <w:rFonts w:cs="Segoe UI Light"/>
                <w:b/>
                <w:snapToGrid w:val="0"/>
                <w:color w:val="000000"/>
              </w:rPr>
              <w:t>By authority</w:t>
            </w:r>
          </w:p>
        </w:tc>
        <w:tc>
          <w:tcPr>
            <w:tcW w:w="2025" w:type="dxa"/>
          </w:tcPr>
          <w:p w:rsidR="00855E61" w:rsidRPr="00F953EB" w:rsidRDefault="00855E61" w:rsidP="00AE1C26">
            <w:pPr>
              <w:widowControl w:val="0"/>
              <w:tabs>
                <w:tab w:val="left" w:pos="180"/>
                <w:tab w:val="right" w:pos="3060"/>
                <w:tab w:val="right" w:pos="4150"/>
              </w:tabs>
              <w:jc w:val="right"/>
              <w:rPr>
                <w:rFonts w:cs="Segoe UI Light"/>
                <w:snapToGrid w:val="0"/>
                <w:color w:val="000000"/>
              </w:rPr>
            </w:pPr>
          </w:p>
        </w:tc>
        <w:tc>
          <w:tcPr>
            <w:tcW w:w="2026" w:type="dxa"/>
          </w:tcPr>
          <w:p w:rsidR="00855E61" w:rsidRPr="00F953EB" w:rsidRDefault="00855E61" w:rsidP="00AE1C26">
            <w:pPr>
              <w:widowControl w:val="0"/>
              <w:tabs>
                <w:tab w:val="left" w:pos="180"/>
                <w:tab w:val="right" w:pos="3060"/>
                <w:tab w:val="right" w:pos="4150"/>
              </w:tabs>
              <w:jc w:val="right"/>
              <w:rPr>
                <w:rFonts w:cs="Segoe UI Light"/>
                <w:snapToGrid w:val="0"/>
                <w:color w:val="000000"/>
              </w:rPr>
            </w:pPr>
          </w:p>
        </w:tc>
      </w:tr>
      <w:tr w:rsidR="00855E61" w:rsidRPr="00F953EB" w:rsidTr="00AE1C26">
        <w:tc>
          <w:tcPr>
            <w:tcW w:w="4820" w:type="dxa"/>
          </w:tcPr>
          <w:p w:rsidR="00855E61" w:rsidRPr="00F953EB" w:rsidRDefault="00855E61" w:rsidP="00AE1C26">
            <w:pPr>
              <w:widowControl w:val="0"/>
              <w:tabs>
                <w:tab w:val="left" w:pos="180"/>
                <w:tab w:val="right" w:pos="3060"/>
                <w:tab w:val="right" w:pos="4150"/>
              </w:tabs>
              <w:jc w:val="both"/>
              <w:rPr>
                <w:rFonts w:cs="Segoe UI Light"/>
                <w:snapToGrid w:val="0"/>
                <w:color w:val="000000"/>
              </w:rPr>
            </w:pPr>
          </w:p>
        </w:tc>
        <w:tc>
          <w:tcPr>
            <w:tcW w:w="2025" w:type="dxa"/>
          </w:tcPr>
          <w:p w:rsidR="00855E61" w:rsidRPr="00F953EB" w:rsidRDefault="00855E61" w:rsidP="00AE1C26">
            <w:pPr>
              <w:widowControl w:val="0"/>
              <w:tabs>
                <w:tab w:val="left" w:pos="180"/>
                <w:tab w:val="right" w:pos="3060"/>
                <w:tab w:val="right" w:pos="4150"/>
              </w:tabs>
              <w:jc w:val="right"/>
              <w:rPr>
                <w:rFonts w:cs="Segoe UI Light"/>
                <w:b/>
                <w:snapToGrid w:val="0"/>
                <w:color w:val="000000"/>
              </w:rPr>
            </w:pPr>
            <w:r w:rsidRPr="00F953EB">
              <w:rPr>
                <w:rFonts w:cs="Segoe UI Light"/>
                <w:b/>
                <w:snapToGrid w:val="0"/>
                <w:color w:val="000000"/>
              </w:rPr>
              <w:t>2018/19</w:t>
            </w:r>
          </w:p>
        </w:tc>
        <w:tc>
          <w:tcPr>
            <w:tcW w:w="2026" w:type="dxa"/>
          </w:tcPr>
          <w:p w:rsidR="00855E61" w:rsidRPr="00F953EB" w:rsidRDefault="00855E61" w:rsidP="00AE1C26">
            <w:pPr>
              <w:widowControl w:val="0"/>
              <w:tabs>
                <w:tab w:val="left" w:pos="180"/>
                <w:tab w:val="right" w:pos="3060"/>
                <w:tab w:val="right" w:pos="4150"/>
              </w:tabs>
              <w:jc w:val="right"/>
              <w:rPr>
                <w:rFonts w:cs="Segoe UI Light"/>
                <w:b/>
                <w:snapToGrid w:val="0"/>
                <w:color w:val="000000"/>
              </w:rPr>
            </w:pPr>
            <w:r w:rsidRPr="00F953EB">
              <w:rPr>
                <w:rFonts w:cs="Segoe UI Light"/>
                <w:b/>
                <w:snapToGrid w:val="0"/>
                <w:color w:val="000000"/>
              </w:rPr>
              <w:t>2019/20</w:t>
            </w:r>
          </w:p>
        </w:tc>
      </w:tr>
      <w:tr w:rsidR="00855E61" w:rsidRPr="00F953EB" w:rsidTr="00AE1C26">
        <w:tc>
          <w:tcPr>
            <w:tcW w:w="4820" w:type="dxa"/>
          </w:tcPr>
          <w:p w:rsidR="00855E61" w:rsidRPr="00F953EB" w:rsidRDefault="00855E61" w:rsidP="00AE1C26">
            <w:pPr>
              <w:widowControl w:val="0"/>
              <w:tabs>
                <w:tab w:val="left" w:pos="180"/>
                <w:tab w:val="right" w:pos="3060"/>
                <w:tab w:val="right" w:pos="4150"/>
              </w:tabs>
              <w:jc w:val="both"/>
              <w:rPr>
                <w:rFonts w:cs="Segoe UI Light"/>
                <w:snapToGrid w:val="0"/>
                <w:color w:val="000000"/>
              </w:rPr>
            </w:pPr>
          </w:p>
        </w:tc>
        <w:tc>
          <w:tcPr>
            <w:tcW w:w="2025" w:type="dxa"/>
          </w:tcPr>
          <w:p w:rsidR="00855E61" w:rsidRPr="00F953EB" w:rsidRDefault="00855E61" w:rsidP="00AE1C26">
            <w:pPr>
              <w:widowControl w:val="0"/>
              <w:tabs>
                <w:tab w:val="left" w:pos="180"/>
                <w:tab w:val="right" w:pos="3060"/>
                <w:tab w:val="right" w:pos="4150"/>
              </w:tabs>
              <w:jc w:val="right"/>
              <w:rPr>
                <w:rFonts w:cs="Segoe UI Light"/>
                <w:b/>
                <w:snapToGrid w:val="0"/>
                <w:color w:val="000000"/>
              </w:rPr>
            </w:pPr>
            <w:r w:rsidRPr="00F953EB">
              <w:rPr>
                <w:rFonts w:cs="Segoe UI Light"/>
                <w:b/>
                <w:snapToGrid w:val="0"/>
                <w:color w:val="000000"/>
              </w:rPr>
              <w:t>£m</w:t>
            </w:r>
          </w:p>
        </w:tc>
        <w:tc>
          <w:tcPr>
            <w:tcW w:w="2026" w:type="dxa"/>
          </w:tcPr>
          <w:p w:rsidR="00855E61" w:rsidRPr="00F953EB" w:rsidRDefault="00855E61" w:rsidP="00AE1C26">
            <w:pPr>
              <w:widowControl w:val="0"/>
              <w:tabs>
                <w:tab w:val="left" w:pos="180"/>
                <w:tab w:val="right" w:pos="3060"/>
                <w:tab w:val="right" w:pos="4150"/>
              </w:tabs>
              <w:jc w:val="right"/>
              <w:rPr>
                <w:rFonts w:cs="Segoe UI Light"/>
                <w:b/>
                <w:snapToGrid w:val="0"/>
                <w:color w:val="000000"/>
              </w:rPr>
            </w:pPr>
            <w:r w:rsidRPr="00F953EB">
              <w:rPr>
                <w:rFonts w:cs="Segoe UI Light"/>
                <w:b/>
                <w:snapToGrid w:val="0"/>
                <w:color w:val="000000"/>
              </w:rPr>
              <w:t>£m</w:t>
            </w:r>
          </w:p>
        </w:tc>
      </w:tr>
      <w:tr w:rsidR="00855E61" w:rsidRPr="00F953EB" w:rsidTr="00AE1C26">
        <w:tc>
          <w:tcPr>
            <w:tcW w:w="4820" w:type="dxa"/>
          </w:tcPr>
          <w:p w:rsidR="00855E61" w:rsidRPr="00F953EB" w:rsidRDefault="00855E61" w:rsidP="00AE1C26">
            <w:pPr>
              <w:widowControl w:val="0"/>
              <w:tabs>
                <w:tab w:val="left" w:pos="180"/>
                <w:tab w:val="right" w:pos="3060"/>
                <w:tab w:val="right" w:pos="4150"/>
              </w:tabs>
              <w:rPr>
                <w:rFonts w:cs="Segoe UI Light"/>
                <w:snapToGrid w:val="0"/>
                <w:color w:val="000000"/>
              </w:rPr>
            </w:pPr>
            <w:r w:rsidRPr="00F953EB">
              <w:rPr>
                <w:rFonts w:cs="Segoe UI Light"/>
                <w:snapToGrid w:val="0"/>
                <w:color w:val="000000"/>
              </w:rPr>
              <w:t>Administering Authority</w:t>
            </w:r>
          </w:p>
        </w:tc>
        <w:tc>
          <w:tcPr>
            <w:tcW w:w="2025" w:type="dxa"/>
          </w:tcPr>
          <w:p w:rsidR="00855E61" w:rsidRPr="00F953EB" w:rsidRDefault="00855E61" w:rsidP="00AE1C26">
            <w:pPr>
              <w:widowControl w:val="0"/>
              <w:tabs>
                <w:tab w:val="left" w:pos="180"/>
                <w:tab w:val="right" w:pos="3060"/>
                <w:tab w:val="right" w:pos="4150"/>
              </w:tabs>
              <w:jc w:val="right"/>
              <w:rPr>
                <w:rFonts w:cs="Segoe UI Light"/>
                <w:snapToGrid w:val="0"/>
                <w:color w:val="000000"/>
              </w:rPr>
            </w:pPr>
            <w:r w:rsidRPr="00F953EB">
              <w:rPr>
                <w:rFonts w:cs="Segoe UI Light"/>
                <w:snapToGrid w:val="0"/>
                <w:color w:val="000000"/>
              </w:rPr>
              <w:t>42.0</w:t>
            </w:r>
          </w:p>
        </w:tc>
        <w:tc>
          <w:tcPr>
            <w:tcW w:w="2026" w:type="dxa"/>
            <w:tcBorders>
              <w:top w:val="nil"/>
              <w:left w:val="nil"/>
              <w:bottom w:val="nil"/>
              <w:right w:val="nil"/>
            </w:tcBorders>
            <w:shd w:val="clear" w:color="auto" w:fill="auto"/>
            <w:vAlign w:val="bottom"/>
          </w:tcPr>
          <w:p w:rsidR="00855E61" w:rsidRPr="00F953EB" w:rsidRDefault="00855E61" w:rsidP="00AE1C26">
            <w:pPr>
              <w:widowControl w:val="0"/>
              <w:tabs>
                <w:tab w:val="left" w:pos="180"/>
                <w:tab w:val="right" w:pos="3060"/>
                <w:tab w:val="right" w:pos="4150"/>
              </w:tabs>
              <w:jc w:val="right"/>
              <w:rPr>
                <w:rFonts w:cs="Segoe UI Light"/>
                <w:snapToGrid w:val="0"/>
                <w:color w:val="000000"/>
              </w:rPr>
            </w:pPr>
            <w:r w:rsidRPr="00F953EB">
              <w:rPr>
                <w:rFonts w:cs="Calibri"/>
              </w:rPr>
              <w:t>47.8</w:t>
            </w:r>
          </w:p>
        </w:tc>
      </w:tr>
      <w:tr w:rsidR="00855E61" w:rsidRPr="00F953EB" w:rsidTr="00AE1C26">
        <w:tc>
          <w:tcPr>
            <w:tcW w:w="4820" w:type="dxa"/>
          </w:tcPr>
          <w:p w:rsidR="00855E61" w:rsidRPr="00F953EB" w:rsidRDefault="00855E61" w:rsidP="00AE1C26">
            <w:pPr>
              <w:widowControl w:val="0"/>
              <w:tabs>
                <w:tab w:val="left" w:pos="180"/>
                <w:tab w:val="right" w:pos="3060"/>
                <w:tab w:val="right" w:pos="4150"/>
              </w:tabs>
              <w:rPr>
                <w:rFonts w:cs="Segoe UI Light"/>
                <w:snapToGrid w:val="0"/>
                <w:color w:val="000000"/>
              </w:rPr>
            </w:pPr>
            <w:r w:rsidRPr="00F953EB">
              <w:rPr>
                <w:rFonts w:cs="Segoe UI Light"/>
                <w:snapToGrid w:val="0"/>
                <w:color w:val="000000"/>
              </w:rPr>
              <w:t>Scheduled bodies</w:t>
            </w:r>
          </w:p>
        </w:tc>
        <w:tc>
          <w:tcPr>
            <w:tcW w:w="2025" w:type="dxa"/>
          </w:tcPr>
          <w:p w:rsidR="00855E61" w:rsidRPr="00F953EB" w:rsidRDefault="00855E61" w:rsidP="00AE1C26">
            <w:pPr>
              <w:widowControl w:val="0"/>
              <w:tabs>
                <w:tab w:val="left" w:pos="180"/>
                <w:tab w:val="right" w:pos="3060"/>
                <w:tab w:val="right" w:pos="4150"/>
              </w:tabs>
              <w:jc w:val="right"/>
              <w:rPr>
                <w:rFonts w:cs="Segoe UI Light"/>
                <w:snapToGrid w:val="0"/>
                <w:color w:val="000000"/>
              </w:rPr>
            </w:pPr>
            <w:r w:rsidRPr="00F953EB">
              <w:rPr>
                <w:rFonts w:cs="Segoe UI Light"/>
                <w:snapToGrid w:val="0"/>
                <w:color w:val="000000"/>
              </w:rPr>
              <w:t>8.5</w:t>
            </w:r>
          </w:p>
        </w:tc>
        <w:tc>
          <w:tcPr>
            <w:tcW w:w="2026" w:type="dxa"/>
            <w:tcBorders>
              <w:top w:val="nil"/>
              <w:left w:val="nil"/>
              <w:bottom w:val="nil"/>
              <w:right w:val="nil"/>
            </w:tcBorders>
            <w:shd w:val="clear" w:color="auto" w:fill="auto"/>
            <w:vAlign w:val="bottom"/>
          </w:tcPr>
          <w:p w:rsidR="00855E61" w:rsidRPr="00F953EB" w:rsidRDefault="00855E61" w:rsidP="00AE1C26">
            <w:pPr>
              <w:widowControl w:val="0"/>
              <w:tabs>
                <w:tab w:val="left" w:pos="180"/>
                <w:tab w:val="right" w:pos="3060"/>
                <w:tab w:val="right" w:pos="4150"/>
              </w:tabs>
              <w:jc w:val="right"/>
              <w:rPr>
                <w:rFonts w:cs="Segoe UI Light"/>
                <w:snapToGrid w:val="0"/>
                <w:color w:val="000000"/>
              </w:rPr>
            </w:pPr>
            <w:r w:rsidRPr="00F953EB">
              <w:rPr>
                <w:rFonts w:cs="Calibri"/>
              </w:rPr>
              <w:t>10.3</w:t>
            </w:r>
          </w:p>
        </w:tc>
      </w:tr>
      <w:tr w:rsidR="00855E61" w:rsidRPr="00F953EB" w:rsidTr="00AE1C26">
        <w:tc>
          <w:tcPr>
            <w:tcW w:w="4820" w:type="dxa"/>
          </w:tcPr>
          <w:p w:rsidR="00855E61" w:rsidRPr="00F953EB" w:rsidRDefault="00855E61" w:rsidP="00AE1C26">
            <w:pPr>
              <w:widowControl w:val="0"/>
              <w:tabs>
                <w:tab w:val="left" w:pos="180"/>
                <w:tab w:val="right" w:pos="3060"/>
                <w:tab w:val="right" w:pos="4150"/>
              </w:tabs>
              <w:rPr>
                <w:rFonts w:cs="Segoe UI Light"/>
                <w:snapToGrid w:val="0"/>
                <w:color w:val="000000"/>
              </w:rPr>
            </w:pPr>
            <w:r w:rsidRPr="00F953EB">
              <w:rPr>
                <w:rFonts w:cs="Segoe UI Light"/>
                <w:snapToGrid w:val="0"/>
                <w:color w:val="000000"/>
              </w:rPr>
              <w:t>Admitted bodies</w:t>
            </w:r>
          </w:p>
        </w:tc>
        <w:tc>
          <w:tcPr>
            <w:tcW w:w="2025" w:type="dxa"/>
          </w:tcPr>
          <w:p w:rsidR="00855E61" w:rsidRPr="00F953EB" w:rsidRDefault="00855E61" w:rsidP="00AE1C26">
            <w:pPr>
              <w:widowControl w:val="0"/>
              <w:tabs>
                <w:tab w:val="left" w:pos="180"/>
                <w:tab w:val="right" w:pos="3060"/>
                <w:tab w:val="right" w:pos="4150"/>
              </w:tabs>
              <w:jc w:val="right"/>
              <w:rPr>
                <w:rFonts w:cs="Segoe UI Light"/>
                <w:snapToGrid w:val="0"/>
                <w:color w:val="000000"/>
              </w:rPr>
            </w:pPr>
            <w:r w:rsidRPr="00F953EB">
              <w:rPr>
                <w:rFonts w:cs="Segoe UI Light"/>
                <w:snapToGrid w:val="0"/>
                <w:color w:val="000000"/>
              </w:rPr>
              <w:t>1.6</w:t>
            </w:r>
          </w:p>
        </w:tc>
        <w:tc>
          <w:tcPr>
            <w:tcW w:w="2026" w:type="dxa"/>
            <w:tcBorders>
              <w:top w:val="nil"/>
              <w:left w:val="nil"/>
              <w:bottom w:val="nil"/>
              <w:right w:val="nil"/>
            </w:tcBorders>
            <w:shd w:val="clear" w:color="auto" w:fill="auto"/>
            <w:vAlign w:val="bottom"/>
          </w:tcPr>
          <w:p w:rsidR="00855E61" w:rsidRPr="00F953EB" w:rsidRDefault="00855E61" w:rsidP="00AE1C26">
            <w:pPr>
              <w:widowControl w:val="0"/>
              <w:tabs>
                <w:tab w:val="left" w:pos="180"/>
                <w:tab w:val="right" w:pos="3060"/>
                <w:tab w:val="right" w:pos="4150"/>
              </w:tabs>
              <w:jc w:val="right"/>
              <w:rPr>
                <w:rFonts w:cs="Segoe UI Light"/>
                <w:snapToGrid w:val="0"/>
                <w:color w:val="000000"/>
              </w:rPr>
            </w:pPr>
            <w:r w:rsidRPr="00F953EB">
              <w:rPr>
                <w:rFonts w:cs="Calibri"/>
              </w:rPr>
              <w:t>1.8</w:t>
            </w:r>
          </w:p>
        </w:tc>
      </w:tr>
      <w:tr w:rsidR="00855E61" w:rsidRPr="00F953EB" w:rsidTr="00AE1C26">
        <w:tc>
          <w:tcPr>
            <w:tcW w:w="4820" w:type="dxa"/>
          </w:tcPr>
          <w:p w:rsidR="00855E61" w:rsidRPr="00F953EB" w:rsidRDefault="00855E61" w:rsidP="00AE1C26">
            <w:pPr>
              <w:widowControl w:val="0"/>
              <w:tabs>
                <w:tab w:val="left" w:pos="180"/>
                <w:tab w:val="right" w:pos="3060"/>
                <w:tab w:val="right" w:pos="4150"/>
              </w:tabs>
              <w:jc w:val="both"/>
              <w:rPr>
                <w:rFonts w:cs="Segoe UI Light"/>
                <w:b/>
                <w:snapToGrid w:val="0"/>
                <w:color w:val="000000"/>
              </w:rPr>
            </w:pPr>
            <w:r w:rsidRPr="00F953EB">
              <w:rPr>
                <w:rFonts w:cs="Segoe UI Light"/>
                <w:b/>
                <w:snapToGrid w:val="0"/>
                <w:color w:val="000000"/>
              </w:rPr>
              <w:t>Total</w:t>
            </w:r>
          </w:p>
        </w:tc>
        <w:tc>
          <w:tcPr>
            <w:tcW w:w="2025" w:type="dxa"/>
            <w:tcBorders>
              <w:top w:val="single" w:sz="4" w:space="0" w:color="auto"/>
            </w:tcBorders>
          </w:tcPr>
          <w:p w:rsidR="00855E61" w:rsidRPr="00F953EB" w:rsidRDefault="00855E61" w:rsidP="00AE1C26">
            <w:pPr>
              <w:widowControl w:val="0"/>
              <w:tabs>
                <w:tab w:val="left" w:pos="180"/>
                <w:tab w:val="right" w:pos="3060"/>
                <w:tab w:val="right" w:pos="4150"/>
              </w:tabs>
              <w:jc w:val="right"/>
              <w:rPr>
                <w:rFonts w:cs="Segoe UI Light"/>
                <w:b/>
                <w:snapToGrid w:val="0"/>
                <w:color w:val="000000"/>
              </w:rPr>
            </w:pPr>
            <w:r w:rsidRPr="00F953EB">
              <w:rPr>
                <w:rFonts w:cs="Segoe UI Light"/>
                <w:b/>
                <w:snapToGrid w:val="0"/>
                <w:color w:val="000000"/>
              </w:rPr>
              <w:t>52.1</w:t>
            </w:r>
          </w:p>
        </w:tc>
        <w:tc>
          <w:tcPr>
            <w:tcW w:w="2026" w:type="dxa"/>
            <w:tcBorders>
              <w:top w:val="single" w:sz="4" w:space="0" w:color="auto"/>
            </w:tcBorders>
          </w:tcPr>
          <w:p w:rsidR="00855E61" w:rsidRPr="00F953EB" w:rsidRDefault="00855E61" w:rsidP="00AE1C26">
            <w:pPr>
              <w:widowControl w:val="0"/>
              <w:tabs>
                <w:tab w:val="left" w:pos="180"/>
                <w:tab w:val="right" w:pos="3060"/>
                <w:tab w:val="right" w:pos="4150"/>
              </w:tabs>
              <w:jc w:val="right"/>
              <w:rPr>
                <w:rFonts w:cs="Segoe UI Light"/>
                <w:b/>
                <w:snapToGrid w:val="0"/>
                <w:color w:val="000000"/>
              </w:rPr>
            </w:pPr>
            <w:r w:rsidRPr="00F953EB">
              <w:rPr>
                <w:rFonts w:cs="Segoe UI Light"/>
                <w:b/>
                <w:snapToGrid w:val="0"/>
                <w:color w:val="000000"/>
              </w:rPr>
              <w:t>60.0</w:t>
            </w:r>
          </w:p>
        </w:tc>
      </w:tr>
    </w:tbl>
    <w:p w:rsidR="00F72906" w:rsidRDefault="00F72906" w:rsidP="00855E61">
      <w:pPr>
        <w:pStyle w:val="Heading3"/>
      </w:pPr>
      <w:r>
        <w:t>8.  Transfers in from other pension funds</w:t>
      </w:r>
    </w:p>
    <w:tbl>
      <w:tblPr>
        <w:tblW w:w="0" w:type="auto"/>
        <w:tblLook w:val="01E0" w:firstRow="1" w:lastRow="1" w:firstColumn="1" w:lastColumn="1" w:noHBand="0" w:noVBand="0"/>
      </w:tblPr>
      <w:tblGrid>
        <w:gridCol w:w="4820"/>
        <w:gridCol w:w="2033"/>
        <w:gridCol w:w="2034"/>
      </w:tblGrid>
      <w:tr w:rsidR="00855E61" w:rsidRPr="006825E2" w:rsidTr="00AE1C26">
        <w:tc>
          <w:tcPr>
            <w:tcW w:w="4820" w:type="dxa"/>
          </w:tcPr>
          <w:p w:rsidR="00855E61" w:rsidRPr="006825E2" w:rsidRDefault="00855E61" w:rsidP="00AE1C26">
            <w:pPr>
              <w:widowControl w:val="0"/>
              <w:tabs>
                <w:tab w:val="left" w:pos="180"/>
                <w:tab w:val="right" w:pos="3060"/>
                <w:tab w:val="right" w:pos="4150"/>
              </w:tabs>
              <w:jc w:val="both"/>
              <w:rPr>
                <w:rFonts w:cs="Segoe UI Light"/>
                <w:snapToGrid w:val="0"/>
                <w:color w:val="000000"/>
              </w:rPr>
            </w:pPr>
          </w:p>
        </w:tc>
        <w:tc>
          <w:tcPr>
            <w:tcW w:w="2033" w:type="dxa"/>
          </w:tcPr>
          <w:p w:rsidR="00855E61" w:rsidRPr="006825E2" w:rsidRDefault="00855E61" w:rsidP="00AE1C26">
            <w:pPr>
              <w:widowControl w:val="0"/>
              <w:tabs>
                <w:tab w:val="left" w:pos="180"/>
                <w:tab w:val="right" w:pos="3060"/>
                <w:tab w:val="right" w:pos="4150"/>
              </w:tabs>
              <w:jc w:val="right"/>
              <w:rPr>
                <w:rFonts w:cs="Segoe UI Light"/>
                <w:b/>
                <w:snapToGrid w:val="0"/>
                <w:color w:val="000000"/>
              </w:rPr>
            </w:pPr>
            <w:r w:rsidRPr="006825E2">
              <w:rPr>
                <w:rFonts w:cs="Segoe UI Light"/>
                <w:b/>
                <w:snapToGrid w:val="0"/>
                <w:color w:val="000000"/>
              </w:rPr>
              <w:t>2018/19</w:t>
            </w:r>
          </w:p>
        </w:tc>
        <w:tc>
          <w:tcPr>
            <w:tcW w:w="2034" w:type="dxa"/>
          </w:tcPr>
          <w:p w:rsidR="00855E61" w:rsidRPr="006825E2" w:rsidRDefault="00855E61" w:rsidP="00AE1C26">
            <w:pPr>
              <w:widowControl w:val="0"/>
              <w:tabs>
                <w:tab w:val="left" w:pos="180"/>
                <w:tab w:val="right" w:pos="3060"/>
                <w:tab w:val="right" w:pos="4150"/>
              </w:tabs>
              <w:jc w:val="right"/>
              <w:rPr>
                <w:rFonts w:cs="Segoe UI Light"/>
                <w:b/>
                <w:snapToGrid w:val="0"/>
                <w:color w:val="000000"/>
              </w:rPr>
            </w:pPr>
            <w:r w:rsidRPr="006825E2">
              <w:rPr>
                <w:rFonts w:cs="Segoe UI Light"/>
                <w:b/>
                <w:snapToGrid w:val="0"/>
                <w:color w:val="000000"/>
              </w:rPr>
              <w:t>2019/20</w:t>
            </w:r>
          </w:p>
        </w:tc>
      </w:tr>
      <w:tr w:rsidR="00855E61" w:rsidRPr="006825E2" w:rsidTr="00AE1C26">
        <w:tc>
          <w:tcPr>
            <w:tcW w:w="4820" w:type="dxa"/>
          </w:tcPr>
          <w:p w:rsidR="00855E61" w:rsidRPr="006825E2" w:rsidRDefault="00855E61" w:rsidP="00AE1C26">
            <w:pPr>
              <w:widowControl w:val="0"/>
              <w:tabs>
                <w:tab w:val="left" w:pos="180"/>
                <w:tab w:val="right" w:pos="3060"/>
                <w:tab w:val="right" w:pos="4150"/>
              </w:tabs>
              <w:jc w:val="both"/>
              <w:rPr>
                <w:rFonts w:cs="Segoe UI Light"/>
                <w:snapToGrid w:val="0"/>
                <w:color w:val="000000"/>
              </w:rPr>
            </w:pPr>
          </w:p>
        </w:tc>
        <w:tc>
          <w:tcPr>
            <w:tcW w:w="2033" w:type="dxa"/>
          </w:tcPr>
          <w:p w:rsidR="00855E61" w:rsidRPr="006825E2" w:rsidRDefault="00855E61" w:rsidP="00AE1C26">
            <w:pPr>
              <w:widowControl w:val="0"/>
              <w:tabs>
                <w:tab w:val="left" w:pos="180"/>
                <w:tab w:val="right" w:pos="3060"/>
                <w:tab w:val="right" w:pos="4150"/>
              </w:tabs>
              <w:jc w:val="right"/>
              <w:rPr>
                <w:rFonts w:cs="Segoe UI Light"/>
                <w:b/>
                <w:snapToGrid w:val="0"/>
                <w:color w:val="000000"/>
              </w:rPr>
            </w:pPr>
            <w:r w:rsidRPr="006825E2">
              <w:rPr>
                <w:rFonts w:cs="Segoe UI Light"/>
                <w:b/>
                <w:snapToGrid w:val="0"/>
                <w:color w:val="000000"/>
              </w:rPr>
              <w:t>£m</w:t>
            </w:r>
          </w:p>
        </w:tc>
        <w:tc>
          <w:tcPr>
            <w:tcW w:w="2034" w:type="dxa"/>
          </w:tcPr>
          <w:p w:rsidR="00855E61" w:rsidRPr="006825E2" w:rsidRDefault="00855E61" w:rsidP="00AE1C26">
            <w:pPr>
              <w:widowControl w:val="0"/>
              <w:tabs>
                <w:tab w:val="left" w:pos="180"/>
                <w:tab w:val="right" w:pos="3060"/>
                <w:tab w:val="right" w:pos="4150"/>
              </w:tabs>
              <w:jc w:val="right"/>
              <w:rPr>
                <w:rFonts w:cs="Segoe UI Light"/>
                <w:b/>
                <w:snapToGrid w:val="0"/>
                <w:color w:val="000000"/>
              </w:rPr>
            </w:pPr>
            <w:r w:rsidRPr="006825E2">
              <w:rPr>
                <w:rFonts w:cs="Segoe UI Light"/>
                <w:b/>
                <w:snapToGrid w:val="0"/>
                <w:color w:val="000000"/>
              </w:rPr>
              <w:t>£m</w:t>
            </w:r>
          </w:p>
        </w:tc>
      </w:tr>
      <w:tr w:rsidR="00855E61" w:rsidRPr="006825E2" w:rsidTr="00AE1C26">
        <w:tc>
          <w:tcPr>
            <w:tcW w:w="4820" w:type="dxa"/>
          </w:tcPr>
          <w:p w:rsidR="00855E61" w:rsidRPr="006825E2" w:rsidRDefault="00855E61" w:rsidP="00AE1C26">
            <w:pPr>
              <w:widowControl w:val="0"/>
              <w:tabs>
                <w:tab w:val="left" w:pos="180"/>
                <w:tab w:val="right" w:pos="3060"/>
                <w:tab w:val="right" w:pos="4150"/>
              </w:tabs>
              <w:rPr>
                <w:rFonts w:cs="Segoe UI Light"/>
                <w:snapToGrid w:val="0"/>
                <w:color w:val="000000"/>
              </w:rPr>
            </w:pPr>
            <w:r w:rsidRPr="006825E2">
              <w:rPr>
                <w:rFonts w:cs="Segoe UI Light"/>
                <w:snapToGrid w:val="0"/>
                <w:color w:val="000000"/>
              </w:rPr>
              <w:t>Individual transfers</w:t>
            </w:r>
          </w:p>
        </w:tc>
        <w:tc>
          <w:tcPr>
            <w:tcW w:w="2033" w:type="dxa"/>
          </w:tcPr>
          <w:p w:rsidR="00855E61" w:rsidRPr="006825E2" w:rsidRDefault="00855E61" w:rsidP="00AE1C26">
            <w:pPr>
              <w:widowControl w:val="0"/>
              <w:tabs>
                <w:tab w:val="left" w:pos="180"/>
                <w:tab w:val="right" w:pos="3060"/>
                <w:tab w:val="right" w:pos="4150"/>
              </w:tabs>
              <w:jc w:val="right"/>
              <w:rPr>
                <w:rFonts w:cs="Segoe UI Light"/>
                <w:snapToGrid w:val="0"/>
                <w:color w:val="000000"/>
              </w:rPr>
            </w:pPr>
            <w:r w:rsidRPr="006825E2">
              <w:rPr>
                <w:rFonts w:cs="Segoe UI Light"/>
                <w:snapToGrid w:val="0"/>
                <w:color w:val="000000"/>
              </w:rPr>
              <w:t>2.8</w:t>
            </w:r>
          </w:p>
        </w:tc>
        <w:tc>
          <w:tcPr>
            <w:tcW w:w="2034" w:type="dxa"/>
          </w:tcPr>
          <w:p w:rsidR="00855E61" w:rsidRPr="006825E2" w:rsidRDefault="00855E61" w:rsidP="00AE1C26">
            <w:pPr>
              <w:widowControl w:val="0"/>
              <w:tabs>
                <w:tab w:val="left" w:pos="180"/>
                <w:tab w:val="right" w:pos="3060"/>
                <w:tab w:val="right" w:pos="4150"/>
              </w:tabs>
              <w:jc w:val="right"/>
              <w:rPr>
                <w:rFonts w:cs="Segoe UI Light"/>
                <w:snapToGrid w:val="0"/>
                <w:color w:val="000000"/>
              </w:rPr>
            </w:pPr>
            <w:r w:rsidRPr="006825E2">
              <w:rPr>
                <w:rFonts w:cs="Segoe UI Light"/>
                <w:snapToGrid w:val="0"/>
                <w:color w:val="000000"/>
              </w:rPr>
              <w:t>5.2</w:t>
            </w:r>
          </w:p>
        </w:tc>
      </w:tr>
      <w:tr w:rsidR="00855E61" w:rsidRPr="006825E2" w:rsidTr="00AE1C26">
        <w:tc>
          <w:tcPr>
            <w:tcW w:w="4820" w:type="dxa"/>
          </w:tcPr>
          <w:p w:rsidR="00855E61" w:rsidRPr="006825E2" w:rsidRDefault="00855E61" w:rsidP="00AE1C26">
            <w:pPr>
              <w:widowControl w:val="0"/>
              <w:tabs>
                <w:tab w:val="left" w:pos="180"/>
                <w:tab w:val="right" w:pos="3060"/>
                <w:tab w:val="right" w:pos="4150"/>
              </w:tabs>
              <w:jc w:val="both"/>
              <w:rPr>
                <w:rFonts w:cs="Segoe UI Light"/>
                <w:b/>
                <w:snapToGrid w:val="0"/>
                <w:color w:val="000000"/>
              </w:rPr>
            </w:pPr>
            <w:r w:rsidRPr="006825E2">
              <w:rPr>
                <w:rFonts w:cs="Segoe UI Light"/>
                <w:b/>
                <w:snapToGrid w:val="0"/>
                <w:color w:val="000000"/>
              </w:rPr>
              <w:t>Total</w:t>
            </w:r>
          </w:p>
        </w:tc>
        <w:tc>
          <w:tcPr>
            <w:tcW w:w="2033" w:type="dxa"/>
            <w:tcBorders>
              <w:top w:val="single" w:sz="4" w:space="0" w:color="auto"/>
            </w:tcBorders>
          </w:tcPr>
          <w:p w:rsidR="00855E61" w:rsidRPr="006825E2" w:rsidRDefault="00855E61" w:rsidP="00AE1C26">
            <w:pPr>
              <w:widowControl w:val="0"/>
              <w:tabs>
                <w:tab w:val="left" w:pos="180"/>
                <w:tab w:val="right" w:pos="3060"/>
                <w:tab w:val="right" w:pos="4150"/>
              </w:tabs>
              <w:jc w:val="right"/>
              <w:rPr>
                <w:rFonts w:cs="Segoe UI Light"/>
                <w:b/>
                <w:snapToGrid w:val="0"/>
                <w:color w:val="000000"/>
              </w:rPr>
            </w:pPr>
            <w:r w:rsidRPr="006825E2">
              <w:rPr>
                <w:rFonts w:cs="Segoe UI Light"/>
                <w:b/>
                <w:snapToGrid w:val="0"/>
                <w:color w:val="000000"/>
              </w:rPr>
              <w:t>2.8</w:t>
            </w:r>
          </w:p>
        </w:tc>
        <w:tc>
          <w:tcPr>
            <w:tcW w:w="2034" w:type="dxa"/>
            <w:tcBorders>
              <w:top w:val="single" w:sz="4" w:space="0" w:color="auto"/>
            </w:tcBorders>
          </w:tcPr>
          <w:p w:rsidR="00855E61" w:rsidRPr="006825E2" w:rsidRDefault="00855E61" w:rsidP="00AE1C26">
            <w:pPr>
              <w:widowControl w:val="0"/>
              <w:tabs>
                <w:tab w:val="left" w:pos="180"/>
                <w:tab w:val="right" w:pos="3060"/>
                <w:tab w:val="right" w:pos="4150"/>
              </w:tabs>
              <w:jc w:val="right"/>
              <w:rPr>
                <w:rFonts w:cs="Segoe UI Light"/>
                <w:b/>
                <w:snapToGrid w:val="0"/>
                <w:color w:val="000000"/>
              </w:rPr>
            </w:pPr>
            <w:r w:rsidRPr="006825E2">
              <w:rPr>
                <w:rFonts w:cs="Segoe UI Light"/>
                <w:b/>
                <w:snapToGrid w:val="0"/>
                <w:color w:val="000000"/>
              </w:rPr>
              <w:t>5.2</w:t>
            </w:r>
          </w:p>
        </w:tc>
      </w:tr>
    </w:tbl>
    <w:p w:rsidR="00F72906" w:rsidRDefault="00F72906" w:rsidP="00F72906"/>
    <w:p w:rsidR="00F72906" w:rsidRDefault="00F72906" w:rsidP="00855E61">
      <w:pPr>
        <w:pStyle w:val="Heading3"/>
      </w:pPr>
      <w:r>
        <w:t>9.  Benefits payable</w:t>
      </w:r>
    </w:p>
    <w:tbl>
      <w:tblPr>
        <w:tblW w:w="0" w:type="auto"/>
        <w:tblLook w:val="01E0" w:firstRow="1" w:lastRow="1" w:firstColumn="1" w:lastColumn="1" w:noHBand="0" w:noVBand="0"/>
      </w:tblPr>
      <w:tblGrid>
        <w:gridCol w:w="4795"/>
        <w:gridCol w:w="2009"/>
        <w:gridCol w:w="2127"/>
      </w:tblGrid>
      <w:tr w:rsidR="00E329F7" w:rsidRPr="006825E2" w:rsidTr="00AE1C26">
        <w:tc>
          <w:tcPr>
            <w:tcW w:w="4795" w:type="dxa"/>
          </w:tcPr>
          <w:p w:rsidR="00E329F7" w:rsidRPr="006825E2" w:rsidRDefault="00E329F7" w:rsidP="00AE1C26">
            <w:pPr>
              <w:widowControl w:val="0"/>
              <w:tabs>
                <w:tab w:val="left" w:pos="180"/>
                <w:tab w:val="right" w:pos="3060"/>
                <w:tab w:val="right" w:pos="4150"/>
              </w:tabs>
              <w:jc w:val="both"/>
              <w:rPr>
                <w:rFonts w:cs="Segoe UI Light"/>
                <w:snapToGrid w:val="0"/>
                <w:color w:val="000000"/>
              </w:rPr>
            </w:pPr>
          </w:p>
        </w:tc>
        <w:tc>
          <w:tcPr>
            <w:tcW w:w="2009" w:type="dxa"/>
          </w:tcPr>
          <w:p w:rsidR="00E329F7" w:rsidRPr="006825E2" w:rsidRDefault="00E329F7" w:rsidP="00AE1C26">
            <w:pPr>
              <w:widowControl w:val="0"/>
              <w:tabs>
                <w:tab w:val="left" w:pos="180"/>
                <w:tab w:val="right" w:pos="3060"/>
                <w:tab w:val="right" w:pos="4150"/>
              </w:tabs>
              <w:jc w:val="right"/>
              <w:rPr>
                <w:rFonts w:cs="Segoe UI Light"/>
                <w:b/>
                <w:snapToGrid w:val="0"/>
                <w:color w:val="000000"/>
              </w:rPr>
            </w:pPr>
            <w:r w:rsidRPr="006825E2">
              <w:rPr>
                <w:rFonts w:cs="Segoe UI Light"/>
                <w:b/>
                <w:snapToGrid w:val="0"/>
                <w:color w:val="000000"/>
              </w:rPr>
              <w:t>2018/19</w:t>
            </w:r>
          </w:p>
        </w:tc>
        <w:tc>
          <w:tcPr>
            <w:tcW w:w="2127" w:type="dxa"/>
          </w:tcPr>
          <w:p w:rsidR="00E329F7" w:rsidRPr="006825E2" w:rsidRDefault="00E329F7" w:rsidP="00AE1C26">
            <w:pPr>
              <w:widowControl w:val="0"/>
              <w:tabs>
                <w:tab w:val="left" w:pos="180"/>
                <w:tab w:val="right" w:pos="3060"/>
                <w:tab w:val="right" w:pos="4150"/>
              </w:tabs>
              <w:jc w:val="right"/>
              <w:rPr>
                <w:rFonts w:cs="Segoe UI Light"/>
                <w:b/>
                <w:snapToGrid w:val="0"/>
                <w:color w:val="000000"/>
              </w:rPr>
            </w:pPr>
            <w:r w:rsidRPr="006825E2">
              <w:rPr>
                <w:rFonts w:cs="Segoe UI Light"/>
                <w:b/>
                <w:snapToGrid w:val="0"/>
                <w:color w:val="000000"/>
              </w:rPr>
              <w:t>2019/20</w:t>
            </w:r>
          </w:p>
        </w:tc>
      </w:tr>
      <w:tr w:rsidR="00E329F7" w:rsidRPr="006825E2" w:rsidTr="00AE1C26">
        <w:tc>
          <w:tcPr>
            <w:tcW w:w="4795" w:type="dxa"/>
          </w:tcPr>
          <w:p w:rsidR="00E329F7" w:rsidRPr="006825E2" w:rsidRDefault="00E329F7" w:rsidP="00AE1C26">
            <w:pPr>
              <w:widowControl w:val="0"/>
              <w:tabs>
                <w:tab w:val="left" w:pos="180"/>
                <w:tab w:val="right" w:pos="3060"/>
                <w:tab w:val="right" w:pos="4150"/>
              </w:tabs>
              <w:jc w:val="both"/>
              <w:rPr>
                <w:rFonts w:cs="Segoe UI Light"/>
                <w:snapToGrid w:val="0"/>
                <w:color w:val="000000"/>
              </w:rPr>
            </w:pPr>
          </w:p>
        </w:tc>
        <w:tc>
          <w:tcPr>
            <w:tcW w:w="2009" w:type="dxa"/>
          </w:tcPr>
          <w:p w:rsidR="00E329F7" w:rsidRPr="006825E2" w:rsidRDefault="00E329F7" w:rsidP="00AE1C26">
            <w:pPr>
              <w:widowControl w:val="0"/>
              <w:tabs>
                <w:tab w:val="left" w:pos="180"/>
                <w:tab w:val="right" w:pos="3060"/>
                <w:tab w:val="right" w:pos="4150"/>
              </w:tabs>
              <w:jc w:val="right"/>
              <w:rPr>
                <w:rFonts w:cs="Segoe UI Light"/>
                <w:b/>
                <w:snapToGrid w:val="0"/>
                <w:color w:val="000000"/>
              </w:rPr>
            </w:pPr>
            <w:r w:rsidRPr="006825E2">
              <w:rPr>
                <w:rFonts w:cs="Segoe UI Light"/>
                <w:b/>
                <w:snapToGrid w:val="0"/>
                <w:color w:val="000000"/>
              </w:rPr>
              <w:t>£m</w:t>
            </w:r>
          </w:p>
        </w:tc>
        <w:tc>
          <w:tcPr>
            <w:tcW w:w="2127" w:type="dxa"/>
          </w:tcPr>
          <w:p w:rsidR="00E329F7" w:rsidRPr="006825E2" w:rsidRDefault="00E329F7" w:rsidP="00AE1C26">
            <w:pPr>
              <w:widowControl w:val="0"/>
              <w:tabs>
                <w:tab w:val="left" w:pos="180"/>
                <w:tab w:val="right" w:pos="3060"/>
                <w:tab w:val="right" w:pos="4150"/>
              </w:tabs>
              <w:jc w:val="right"/>
              <w:rPr>
                <w:rFonts w:cs="Segoe UI Light"/>
                <w:b/>
                <w:snapToGrid w:val="0"/>
                <w:color w:val="000000"/>
              </w:rPr>
            </w:pPr>
            <w:r w:rsidRPr="006825E2">
              <w:rPr>
                <w:rFonts w:cs="Segoe UI Light"/>
                <w:b/>
                <w:snapToGrid w:val="0"/>
                <w:color w:val="000000"/>
              </w:rPr>
              <w:t>£m</w:t>
            </w:r>
          </w:p>
        </w:tc>
      </w:tr>
      <w:tr w:rsidR="00E329F7" w:rsidRPr="006825E2" w:rsidTr="00AE1C26">
        <w:tc>
          <w:tcPr>
            <w:tcW w:w="4795" w:type="dxa"/>
          </w:tcPr>
          <w:p w:rsidR="00E329F7" w:rsidRPr="006825E2" w:rsidRDefault="00E329F7" w:rsidP="00AE1C26">
            <w:pPr>
              <w:widowControl w:val="0"/>
              <w:tabs>
                <w:tab w:val="left" w:pos="180"/>
                <w:tab w:val="right" w:pos="3060"/>
                <w:tab w:val="right" w:pos="4150"/>
              </w:tabs>
              <w:rPr>
                <w:rFonts w:cs="Segoe UI Light"/>
                <w:snapToGrid w:val="0"/>
                <w:color w:val="000000"/>
              </w:rPr>
            </w:pPr>
            <w:r w:rsidRPr="006825E2">
              <w:rPr>
                <w:rFonts w:cs="Segoe UI Light"/>
                <w:snapToGrid w:val="0"/>
                <w:color w:val="000000"/>
              </w:rPr>
              <w:t>Pensions</w:t>
            </w:r>
          </w:p>
        </w:tc>
        <w:tc>
          <w:tcPr>
            <w:tcW w:w="2009" w:type="dxa"/>
          </w:tcPr>
          <w:p w:rsidR="00E329F7" w:rsidRPr="006825E2" w:rsidRDefault="00E329F7" w:rsidP="00AE1C26">
            <w:pPr>
              <w:widowControl w:val="0"/>
              <w:tabs>
                <w:tab w:val="left" w:pos="180"/>
                <w:tab w:val="right" w:pos="3060"/>
                <w:tab w:val="right" w:pos="4150"/>
              </w:tabs>
              <w:jc w:val="right"/>
              <w:rPr>
                <w:rFonts w:cs="Segoe UI Light"/>
                <w:snapToGrid w:val="0"/>
                <w:color w:val="000000"/>
              </w:rPr>
            </w:pPr>
            <w:r w:rsidRPr="006825E2">
              <w:rPr>
                <w:rFonts w:cs="Segoe UI Light"/>
                <w:snapToGrid w:val="0"/>
                <w:color w:val="000000"/>
              </w:rPr>
              <w:t>37.7</w:t>
            </w:r>
          </w:p>
        </w:tc>
        <w:tc>
          <w:tcPr>
            <w:tcW w:w="2127" w:type="dxa"/>
          </w:tcPr>
          <w:p w:rsidR="00E329F7" w:rsidRPr="006825E2" w:rsidRDefault="00E329F7" w:rsidP="00AE1C26">
            <w:pPr>
              <w:widowControl w:val="0"/>
              <w:tabs>
                <w:tab w:val="left" w:pos="180"/>
                <w:tab w:val="right" w:pos="3060"/>
                <w:tab w:val="right" w:pos="4150"/>
              </w:tabs>
              <w:jc w:val="right"/>
              <w:rPr>
                <w:rFonts w:cs="Segoe UI Light"/>
                <w:snapToGrid w:val="0"/>
                <w:color w:val="000000"/>
              </w:rPr>
            </w:pPr>
            <w:r w:rsidRPr="006825E2">
              <w:rPr>
                <w:rFonts w:cs="Segoe UI Light"/>
                <w:snapToGrid w:val="0"/>
                <w:color w:val="000000"/>
              </w:rPr>
              <w:t>38.6</w:t>
            </w:r>
          </w:p>
        </w:tc>
      </w:tr>
      <w:tr w:rsidR="00E329F7" w:rsidRPr="006825E2" w:rsidTr="00AE1C26">
        <w:tc>
          <w:tcPr>
            <w:tcW w:w="4795" w:type="dxa"/>
          </w:tcPr>
          <w:p w:rsidR="00E329F7" w:rsidRPr="006825E2" w:rsidRDefault="00E329F7" w:rsidP="00AE1C26">
            <w:pPr>
              <w:widowControl w:val="0"/>
              <w:tabs>
                <w:tab w:val="left" w:pos="180"/>
                <w:tab w:val="right" w:pos="3060"/>
                <w:tab w:val="right" w:pos="4150"/>
              </w:tabs>
              <w:rPr>
                <w:rFonts w:cs="Segoe UI Light"/>
                <w:snapToGrid w:val="0"/>
                <w:color w:val="000000"/>
              </w:rPr>
            </w:pPr>
            <w:r w:rsidRPr="006825E2">
              <w:rPr>
                <w:rFonts w:cs="Segoe UI Light"/>
                <w:snapToGrid w:val="0"/>
                <w:color w:val="000000"/>
              </w:rPr>
              <w:t>Commutation and lump sum retirement benefits</w:t>
            </w:r>
          </w:p>
        </w:tc>
        <w:tc>
          <w:tcPr>
            <w:tcW w:w="2009" w:type="dxa"/>
          </w:tcPr>
          <w:p w:rsidR="00E329F7" w:rsidRPr="006825E2" w:rsidRDefault="00E329F7" w:rsidP="00AE1C26">
            <w:pPr>
              <w:widowControl w:val="0"/>
              <w:tabs>
                <w:tab w:val="left" w:pos="180"/>
                <w:tab w:val="right" w:pos="3060"/>
                <w:tab w:val="right" w:pos="4150"/>
              </w:tabs>
              <w:jc w:val="right"/>
              <w:rPr>
                <w:rFonts w:cs="Segoe UI Light"/>
                <w:snapToGrid w:val="0"/>
                <w:color w:val="000000"/>
              </w:rPr>
            </w:pPr>
            <w:r w:rsidRPr="006825E2">
              <w:rPr>
                <w:rFonts w:cs="Segoe UI Light"/>
                <w:snapToGrid w:val="0"/>
                <w:color w:val="000000"/>
              </w:rPr>
              <w:t>7.1</w:t>
            </w:r>
          </w:p>
        </w:tc>
        <w:tc>
          <w:tcPr>
            <w:tcW w:w="2127" w:type="dxa"/>
          </w:tcPr>
          <w:p w:rsidR="00E329F7" w:rsidRPr="006825E2" w:rsidRDefault="00E329F7" w:rsidP="00AE1C26">
            <w:pPr>
              <w:widowControl w:val="0"/>
              <w:tabs>
                <w:tab w:val="left" w:pos="180"/>
                <w:tab w:val="right" w:pos="3060"/>
                <w:tab w:val="right" w:pos="4150"/>
              </w:tabs>
              <w:jc w:val="right"/>
              <w:rPr>
                <w:rFonts w:cs="Segoe UI Light"/>
                <w:snapToGrid w:val="0"/>
                <w:color w:val="000000"/>
              </w:rPr>
            </w:pPr>
            <w:r w:rsidRPr="006825E2">
              <w:rPr>
                <w:rFonts w:cs="Segoe UI Light"/>
                <w:snapToGrid w:val="0"/>
                <w:color w:val="000000"/>
              </w:rPr>
              <w:t>8.5</w:t>
            </w:r>
          </w:p>
        </w:tc>
      </w:tr>
      <w:tr w:rsidR="00E329F7" w:rsidRPr="006825E2" w:rsidTr="00AE1C26">
        <w:tc>
          <w:tcPr>
            <w:tcW w:w="4795" w:type="dxa"/>
          </w:tcPr>
          <w:p w:rsidR="00E329F7" w:rsidRPr="006825E2" w:rsidRDefault="00E329F7" w:rsidP="00AE1C26">
            <w:pPr>
              <w:widowControl w:val="0"/>
              <w:tabs>
                <w:tab w:val="left" w:pos="180"/>
                <w:tab w:val="right" w:pos="3060"/>
                <w:tab w:val="right" w:pos="4150"/>
              </w:tabs>
              <w:rPr>
                <w:rFonts w:cs="Segoe UI Light"/>
                <w:snapToGrid w:val="0"/>
                <w:color w:val="000000"/>
              </w:rPr>
            </w:pPr>
            <w:r w:rsidRPr="006825E2">
              <w:rPr>
                <w:rFonts w:cs="Segoe UI Light"/>
                <w:snapToGrid w:val="0"/>
                <w:color w:val="000000"/>
              </w:rPr>
              <w:t>Lump sum death benefits</w:t>
            </w:r>
          </w:p>
        </w:tc>
        <w:tc>
          <w:tcPr>
            <w:tcW w:w="2009" w:type="dxa"/>
          </w:tcPr>
          <w:p w:rsidR="00E329F7" w:rsidRPr="006825E2" w:rsidRDefault="00E329F7" w:rsidP="00AE1C26">
            <w:pPr>
              <w:widowControl w:val="0"/>
              <w:tabs>
                <w:tab w:val="left" w:pos="180"/>
                <w:tab w:val="right" w:pos="3060"/>
                <w:tab w:val="right" w:pos="4150"/>
              </w:tabs>
              <w:jc w:val="right"/>
              <w:rPr>
                <w:rFonts w:cs="Segoe UI Light"/>
                <w:snapToGrid w:val="0"/>
                <w:color w:val="000000"/>
              </w:rPr>
            </w:pPr>
            <w:r w:rsidRPr="006825E2">
              <w:rPr>
                <w:rFonts w:cs="Segoe UI Light"/>
                <w:snapToGrid w:val="0"/>
                <w:color w:val="000000"/>
              </w:rPr>
              <w:t>1.1</w:t>
            </w:r>
          </w:p>
        </w:tc>
        <w:tc>
          <w:tcPr>
            <w:tcW w:w="2127" w:type="dxa"/>
          </w:tcPr>
          <w:p w:rsidR="00E329F7" w:rsidRPr="006825E2" w:rsidRDefault="00E329F7" w:rsidP="00AE1C26">
            <w:pPr>
              <w:widowControl w:val="0"/>
              <w:tabs>
                <w:tab w:val="left" w:pos="180"/>
                <w:tab w:val="right" w:pos="3060"/>
                <w:tab w:val="right" w:pos="4150"/>
              </w:tabs>
              <w:jc w:val="right"/>
              <w:rPr>
                <w:rFonts w:cs="Segoe UI Light"/>
                <w:snapToGrid w:val="0"/>
                <w:color w:val="000000"/>
              </w:rPr>
            </w:pPr>
            <w:r w:rsidRPr="006825E2">
              <w:rPr>
                <w:rFonts w:cs="Segoe UI Light"/>
                <w:snapToGrid w:val="0"/>
                <w:color w:val="000000"/>
              </w:rPr>
              <w:t>0.8</w:t>
            </w:r>
          </w:p>
        </w:tc>
      </w:tr>
      <w:tr w:rsidR="00E329F7" w:rsidRPr="006825E2" w:rsidTr="00AE1C26">
        <w:tc>
          <w:tcPr>
            <w:tcW w:w="4795" w:type="dxa"/>
          </w:tcPr>
          <w:p w:rsidR="00E329F7" w:rsidRPr="006825E2" w:rsidRDefault="00E329F7" w:rsidP="00AE1C26">
            <w:pPr>
              <w:widowControl w:val="0"/>
              <w:tabs>
                <w:tab w:val="left" w:pos="180"/>
                <w:tab w:val="right" w:pos="3060"/>
                <w:tab w:val="right" w:pos="4150"/>
              </w:tabs>
              <w:jc w:val="both"/>
              <w:rPr>
                <w:rFonts w:cs="Segoe UI Light"/>
                <w:b/>
                <w:snapToGrid w:val="0"/>
                <w:color w:val="000000"/>
              </w:rPr>
            </w:pPr>
            <w:r w:rsidRPr="006825E2">
              <w:rPr>
                <w:rFonts w:cs="Segoe UI Light"/>
                <w:b/>
                <w:snapToGrid w:val="0"/>
                <w:color w:val="000000"/>
              </w:rPr>
              <w:t>Total</w:t>
            </w:r>
          </w:p>
        </w:tc>
        <w:tc>
          <w:tcPr>
            <w:tcW w:w="2009" w:type="dxa"/>
            <w:tcBorders>
              <w:top w:val="single" w:sz="4" w:space="0" w:color="auto"/>
            </w:tcBorders>
          </w:tcPr>
          <w:p w:rsidR="00E329F7" w:rsidRPr="006825E2" w:rsidRDefault="00E329F7" w:rsidP="00AE1C26">
            <w:pPr>
              <w:widowControl w:val="0"/>
              <w:tabs>
                <w:tab w:val="left" w:pos="180"/>
                <w:tab w:val="right" w:pos="3060"/>
                <w:tab w:val="right" w:pos="4150"/>
              </w:tabs>
              <w:jc w:val="right"/>
              <w:rPr>
                <w:rFonts w:cs="Segoe UI Light"/>
                <w:b/>
                <w:snapToGrid w:val="0"/>
                <w:color w:val="000000"/>
              </w:rPr>
            </w:pPr>
            <w:r w:rsidRPr="006825E2">
              <w:rPr>
                <w:rFonts w:cs="Segoe UI Light"/>
                <w:b/>
                <w:snapToGrid w:val="0"/>
                <w:color w:val="000000"/>
              </w:rPr>
              <w:t>45.9</w:t>
            </w:r>
          </w:p>
        </w:tc>
        <w:tc>
          <w:tcPr>
            <w:tcW w:w="2127" w:type="dxa"/>
            <w:tcBorders>
              <w:top w:val="single" w:sz="4" w:space="0" w:color="auto"/>
            </w:tcBorders>
          </w:tcPr>
          <w:p w:rsidR="00E329F7" w:rsidRPr="006825E2" w:rsidRDefault="00E329F7" w:rsidP="00AE1C26">
            <w:pPr>
              <w:widowControl w:val="0"/>
              <w:tabs>
                <w:tab w:val="left" w:pos="180"/>
                <w:tab w:val="right" w:pos="3060"/>
                <w:tab w:val="right" w:pos="4150"/>
              </w:tabs>
              <w:jc w:val="right"/>
              <w:rPr>
                <w:rFonts w:cs="Segoe UI Light"/>
                <w:b/>
                <w:snapToGrid w:val="0"/>
                <w:color w:val="000000"/>
              </w:rPr>
            </w:pPr>
            <w:r w:rsidRPr="006825E2">
              <w:rPr>
                <w:rFonts w:cs="Segoe UI Light"/>
                <w:b/>
                <w:snapToGrid w:val="0"/>
                <w:color w:val="000000"/>
              </w:rPr>
              <w:t>47.9</w:t>
            </w:r>
          </w:p>
        </w:tc>
      </w:tr>
      <w:tr w:rsidR="00E329F7" w:rsidRPr="006825E2" w:rsidTr="00AE1C26">
        <w:tc>
          <w:tcPr>
            <w:tcW w:w="4795" w:type="dxa"/>
          </w:tcPr>
          <w:p w:rsidR="00E329F7" w:rsidRPr="006825E2" w:rsidRDefault="00E329F7" w:rsidP="00AE1C26">
            <w:pPr>
              <w:widowControl w:val="0"/>
              <w:tabs>
                <w:tab w:val="left" w:pos="180"/>
                <w:tab w:val="right" w:pos="3060"/>
                <w:tab w:val="right" w:pos="4150"/>
              </w:tabs>
              <w:jc w:val="both"/>
              <w:rPr>
                <w:rFonts w:cs="Segoe UI Light"/>
                <w:b/>
                <w:snapToGrid w:val="0"/>
                <w:color w:val="000000"/>
              </w:rPr>
            </w:pPr>
            <w:r w:rsidRPr="006825E2">
              <w:rPr>
                <w:rFonts w:cs="Segoe UI Light"/>
                <w:b/>
                <w:snapToGrid w:val="0"/>
                <w:color w:val="000000"/>
              </w:rPr>
              <w:br w:type="textWrapping" w:clear="all"/>
              <w:t>By authority</w:t>
            </w:r>
          </w:p>
        </w:tc>
        <w:tc>
          <w:tcPr>
            <w:tcW w:w="2009" w:type="dxa"/>
          </w:tcPr>
          <w:p w:rsidR="00E329F7" w:rsidRPr="006825E2" w:rsidRDefault="00E329F7" w:rsidP="00AE1C26">
            <w:pPr>
              <w:widowControl w:val="0"/>
              <w:tabs>
                <w:tab w:val="left" w:pos="180"/>
                <w:tab w:val="right" w:pos="3060"/>
                <w:tab w:val="right" w:pos="4150"/>
              </w:tabs>
              <w:jc w:val="right"/>
              <w:rPr>
                <w:rFonts w:cs="Segoe UI Light"/>
                <w:snapToGrid w:val="0"/>
                <w:color w:val="000000"/>
              </w:rPr>
            </w:pPr>
          </w:p>
        </w:tc>
        <w:tc>
          <w:tcPr>
            <w:tcW w:w="2127" w:type="dxa"/>
          </w:tcPr>
          <w:p w:rsidR="00E329F7" w:rsidRPr="006825E2" w:rsidRDefault="00E329F7" w:rsidP="00AE1C26">
            <w:pPr>
              <w:widowControl w:val="0"/>
              <w:tabs>
                <w:tab w:val="left" w:pos="180"/>
                <w:tab w:val="right" w:pos="3060"/>
                <w:tab w:val="right" w:pos="4150"/>
              </w:tabs>
              <w:jc w:val="right"/>
              <w:rPr>
                <w:rFonts w:cs="Segoe UI Light"/>
                <w:snapToGrid w:val="0"/>
                <w:color w:val="000000"/>
              </w:rPr>
            </w:pPr>
          </w:p>
        </w:tc>
      </w:tr>
      <w:tr w:rsidR="00E329F7" w:rsidRPr="006825E2" w:rsidTr="00AE1C26">
        <w:tc>
          <w:tcPr>
            <w:tcW w:w="4795" w:type="dxa"/>
          </w:tcPr>
          <w:p w:rsidR="00E329F7" w:rsidRPr="006825E2" w:rsidRDefault="00E329F7" w:rsidP="00AE1C26">
            <w:pPr>
              <w:widowControl w:val="0"/>
              <w:tabs>
                <w:tab w:val="left" w:pos="180"/>
                <w:tab w:val="right" w:pos="3060"/>
                <w:tab w:val="right" w:pos="4150"/>
              </w:tabs>
              <w:jc w:val="both"/>
              <w:rPr>
                <w:rFonts w:cs="Segoe UI Light"/>
                <w:snapToGrid w:val="0"/>
                <w:color w:val="000000"/>
              </w:rPr>
            </w:pPr>
          </w:p>
        </w:tc>
        <w:tc>
          <w:tcPr>
            <w:tcW w:w="2009" w:type="dxa"/>
          </w:tcPr>
          <w:p w:rsidR="00E329F7" w:rsidRPr="006825E2" w:rsidRDefault="00E329F7" w:rsidP="00AE1C26">
            <w:pPr>
              <w:widowControl w:val="0"/>
              <w:tabs>
                <w:tab w:val="left" w:pos="180"/>
                <w:tab w:val="right" w:pos="3060"/>
                <w:tab w:val="right" w:pos="4150"/>
              </w:tabs>
              <w:jc w:val="right"/>
              <w:rPr>
                <w:rFonts w:cs="Segoe UI Light"/>
                <w:b/>
                <w:snapToGrid w:val="0"/>
                <w:color w:val="000000"/>
              </w:rPr>
            </w:pPr>
            <w:r w:rsidRPr="006825E2">
              <w:rPr>
                <w:rFonts w:cs="Segoe UI Light"/>
                <w:b/>
                <w:snapToGrid w:val="0"/>
                <w:color w:val="000000"/>
              </w:rPr>
              <w:t>2018/19</w:t>
            </w:r>
          </w:p>
        </w:tc>
        <w:tc>
          <w:tcPr>
            <w:tcW w:w="2127" w:type="dxa"/>
          </w:tcPr>
          <w:p w:rsidR="00E329F7" w:rsidRPr="006825E2" w:rsidRDefault="00E329F7" w:rsidP="00AE1C26">
            <w:pPr>
              <w:widowControl w:val="0"/>
              <w:tabs>
                <w:tab w:val="left" w:pos="180"/>
                <w:tab w:val="right" w:pos="3060"/>
                <w:tab w:val="right" w:pos="4150"/>
              </w:tabs>
              <w:jc w:val="right"/>
              <w:rPr>
                <w:rFonts w:cs="Segoe UI Light"/>
                <w:b/>
                <w:snapToGrid w:val="0"/>
                <w:color w:val="000000"/>
              </w:rPr>
            </w:pPr>
            <w:r w:rsidRPr="006825E2">
              <w:rPr>
                <w:rFonts w:cs="Segoe UI Light"/>
                <w:b/>
                <w:snapToGrid w:val="0"/>
                <w:color w:val="000000"/>
              </w:rPr>
              <w:t>2019/20</w:t>
            </w:r>
          </w:p>
        </w:tc>
      </w:tr>
      <w:tr w:rsidR="00E329F7" w:rsidRPr="006825E2" w:rsidTr="00AE1C26">
        <w:tc>
          <w:tcPr>
            <w:tcW w:w="4795" w:type="dxa"/>
          </w:tcPr>
          <w:p w:rsidR="00E329F7" w:rsidRPr="006825E2" w:rsidRDefault="00E329F7" w:rsidP="00AE1C26">
            <w:pPr>
              <w:widowControl w:val="0"/>
              <w:tabs>
                <w:tab w:val="left" w:pos="180"/>
                <w:tab w:val="right" w:pos="3060"/>
                <w:tab w:val="right" w:pos="4150"/>
              </w:tabs>
              <w:jc w:val="both"/>
              <w:rPr>
                <w:rFonts w:cs="Segoe UI Light"/>
                <w:snapToGrid w:val="0"/>
                <w:color w:val="000000"/>
              </w:rPr>
            </w:pPr>
          </w:p>
        </w:tc>
        <w:tc>
          <w:tcPr>
            <w:tcW w:w="2009" w:type="dxa"/>
          </w:tcPr>
          <w:p w:rsidR="00E329F7" w:rsidRPr="006825E2" w:rsidRDefault="00E329F7" w:rsidP="00AE1C26">
            <w:pPr>
              <w:widowControl w:val="0"/>
              <w:tabs>
                <w:tab w:val="left" w:pos="180"/>
                <w:tab w:val="right" w:pos="3060"/>
                <w:tab w:val="right" w:pos="4150"/>
              </w:tabs>
              <w:jc w:val="right"/>
              <w:rPr>
                <w:rFonts w:cs="Segoe UI Light"/>
                <w:b/>
                <w:snapToGrid w:val="0"/>
                <w:color w:val="000000"/>
              </w:rPr>
            </w:pPr>
            <w:r w:rsidRPr="006825E2">
              <w:rPr>
                <w:rFonts w:cs="Segoe UI Light"/>
                <w:b/>
                <w:snapToGrid w:val="0"/>
                <w:color w:val="000000"/>
              </w:rPr>
              <w:t>£m</w:t>
            </w:r>
          </w:p>
        </w:tc>
        <w:tc>
          <w:tcPr>
            <w:tcW w:w="2127" w:type="dxa"/>
          </w:tcPr>
          <w:p w:rsidR="00E329F7" w:rsidRPr="006825E2" w:rsidRDefault="00E329F7" w:rsidP="00AE1C26">
            <w:pPr>
              <w:widowControl w:val="0"/>
              <w:tabs>
                <w:tab w:val="left" w:pos="180"/>
                <w:tab w:val="right" w:pos="3060"/>
                <w:tab w:val="right" w:pos="4150"/>
              </w:tabs>
              <w:jc w:val="right"/>
              <w:rPr>
                <w:rFonts w:cs="Segoe UI Light"/>
                <w:b/>
                <w:snapToGrid w:val="0"/>
                <w:color w:val="000000"/>
              </w:rPr>
            </w:pPr>
            <w:r w:rsidRPr="006825E2">
              <w:rPr>
                <w:rFonts w:cs="Segoe UI Light"/>
                <w:b/>
                <w:snapToGrid w:val="0"/>
                <w:color w:val="000000"/>
              </w:rPr>
              <w:t>£m</w:t>
            </w:r>
          </w:p>
        </w:tc>
      </w:tr>
      <w:tr w:rsidR="00E329F7" w:rsidRPr="006825E2" w:rsidTr="00AE1C26">
        <w:tc>
          <w:tcPr>
            <w:tcW w:w="4795" w:type="dxa"/>
          </w:tcPr>
          <w:p w:rsidR="00E329F7" w:rsidRPr="006825E2" w:rsidRDefault="00E329F7" w:rsidP="00AE1C26">
            <w:pPr>
              <w:widowControl w:val="0"/>
              <w:tabs>
                <w:tab w:val="left" w:pos="180"/>
                <w:tab w:val="right" w:pos="3060"/>
                <w:tab w:val="right" w:pos="4150"/>
              </w:tabs>
              <w:rPr>
                <w:rFonts w:cs="Segoe UI Light"/>
                <w:snapToGrid w:val="0"/>
                <w:color w:val="000000"/>
              </w:rPr>
            </w:pPr>
            <w:r w:rsidRPr="006825E2">
              <w:rPr>
                <w:rFonts w:cs="Segoe UI Light"/>
                <w:snapToGrid w:val="0"/>
                <w:color w:val="000000"/>
              </w:rPr>
              <w:t>Administering Authority and Scheduled bodies</w:t>
            </w:r>
          </w:p>
        </w:tc>
        <w:tc>
          <w:tcPr>
            <w:tcW w:w="2009" w:type="dxa"/>
          </w:tcPr>
          <w:p w:rsidR="00E329F7" w:rsidRPr="006825E2" w:rsidRDefault="00E329F7" w:rsidP="00AE1C26">
            <w:pPr>
              <w:widowControl w:val="0"/>
              <w:tabs>
                <w:tab w:val="left" w:pos="180"/>
                <w:tab w:val="right" w:pos="3060"/>
                <w:tab w:val="right" w:pos="4150"/>
              </w:tabs>
              <w:jc w:val="right"/>
              <w:rPr>
                <w:rFonts w:cstheme="minorHAnsi"/>
                <w:snapToGrid w:val="0"/>
                <w:color w:val="000000"/>
              </w:rPr>
            </w:pPr>
            <w:r w:rsidRPr="006825E2">
              <w:rPr>
                <w:rFonts w:cstheme="minorHAnsi"/>
                <w:snapToGrid w:val="0"/>
                <w:color w:val="000000"/>
              </w:rPr>
              <w:t>44.1</w:t>
            </w:r>
          </w:p>
        </w:tc>
        <w:tc>
          <w:tcPr>
            <w:tcW w:w="2127" w:type="dxa"/>
          </w:tcPr>
          <w:p w:rsidR="00E329F7" w:rsidRPr="006825E2" w:rsidRDefault="00E329F7" w:rsidP="00AE1C26">
            <w:pPr>
              <w:widowControl w:val="0"/>
              <w:tabs>
                <w:tab w:val="left" w:pos="180"/>
                <w:tab w:val="right" w:pos="3060"/>
                <w:tab w:val="right" w:pos="4150"/>
              </w:tabs>
              <w:jc w:val="right"/>
              <w:rPr>
                <w:rFonts w:cstheme="minorHAnsi"/>
                <w:snapToGrid w:val="0"/>
                <w:color w:val="000000"/>
              </w:rPr>
            </w:pPr>
            <w:r w:rsidRPr="006825E2">
              <w:rPr>
                <w:rFonts w:cstheme="minorHAnsi"/>
                <w:snapToGrid w:val="0"/>
                <w:color w:val="000000"/>
              </w:rPr>
              <w:t>47.4</w:t>
            </w:r>
          </w:p>
        </w:tc>
      </w:tr>
      <w:tr w:rsidR="00E329F7" w:rsidRPr="006825E2" w:rsidTr="00AE1C26">
        <w:tc>
          <w:tcPr>
            <w:tcW w:w="4795" w:type="dxa"/>
          </w:tcPr>
          <w:p w:rsidR="00E329F7" w:rsidRPr="006825E2" w:rsidRDefault="00E329F7" w:rsidP="00AE1C26">
            <w:pPr>
              <w:widowControl w:val="0"/>
              <w:tabs>
                <w:tab w:val="left" w:pos="180"/>
                <w:tab w:val="right" w:pos="3060"/>
                <w:tab w:val="right" w:pos="4150"/>
              </w:tabs>
              <w:rPr>
                <w:rFonts w:cs="Segoe UI Light"/>
                <w:snapToGrid w:val="0"/>
                <w:color w:val="000000"/>
              </w:rPr>
            </w:pPr>
            <w:r w:rsidRPr="006825E2">
              <w:rPr>
                <w:rFonts w:cs="Segoe UI Light"/>
                <w:snapToGrid w:val="0"/>
                <w:color w:val="000000"/>
              </w:rPr>
              <w:lastRenderedPageBreak/>
              <w:t>Admitted bodies</w:t>
            </w:r>
          </w:p>
        </w:tc>
        <w:tc>
          <w:tcPr>
            <w:tcW w:w="2009" w:type="dxa"/>
          </w:tcPr>
          <w:p w:rsidR="00E329F7" w:rsidRPr="006825E2" w:rsidRDefault="00E329F7" w:rsidP="00AE1C26">
            <w:pPr>
              <w:widowControl w:val="0"/>
              <w:tabs>
                <w:tab w:val="left" w:pos="180"/>
                <w:tab w:val="right" w:pos="3060"/>
                <w:tab w:val="right" w:pos="4150"/>
              </w:tabs>
              <w:jc w:val="right"/>
              <w:rPr>
                <w:rFonts w:cs="Segoe UI Light"/>
                <w:snapToGrid w:val="0"/>
                <w:color w:val="000000"/>
              </w:rPr>
            </w:pPr>
            <w:r w:rsidRPr="006825E2">
              <w:rPr>
                <w:rFonts w:cs="Segoe UI Light"/>
                <w:snapToGrid w:val="0"/>
                <w:color w:val="000000"/>
              </w:rPr>
              <w:t>1.8</w:t>
            </w:r>
          </w:p>
        </w:tc>
        <w:tc>
          <w:tcPr>
            <w:tcW w:w="2127" w:type="dxa"/>
          </w:tcPr>
          <w:p w:rsidR="00E329F7" w:rsidRPr="006825E2" w:rsidRDefault="00E329F7" w:rsidP="00AE1C26">
            <w:pPr>
              <w:widowControl w:val="0"/>
              <w:tabs>
                <w:tab w:val="left" w:pos="180"/>
                <w:tab w:val="right" w:pos="3060"/>
                <w:tab w:val="right" w:pos="4150"/>
              </w:tabs>
              <w:jc w:val="right"/>
              <w:rPr>
                <w:rFonts w:cs="Segoe UI Light"/>
                <w:snapToGrid w:val="0"/>
                <w:color w:val="000000"/>
              </w:rPr>
            </w:pPr>
            <w:r w:rsidRPr="006825E2">
              <w:rPr>
                <w:rFonts w:cs="Segoe UI Light"/>
                <w:snapToGrid w:val="0"/>
                <w:color w:val="000000"/>
              </w:rPr>
              <w:t>0.5</w:t>
            </w:r>
          </w:p>
        </w:tc>
      </w:tr>
      <w:tr w:rsidR="00E329F7" w:rsidRPr="006825E2" w:rsidTr="00AE1C26">
        <w:tc>
          <w:tcPr>
            <w:tcW w:w="4795" w:type="dxa"/>
          </w:tcPr>
          <w:p w:rsidR="00E329F7" w:rsidRPr="006825E2" w:rsidRDefault="00E329F7" w:rsidP="00AE1C26">
            <w:pPr>
              <w:widowControl w:val="0"/>
              <w:tabs>
                <w:tab w:val="left" w:pos="180"/>
                <w:tab w:val="right" w:pos="3060"/>
                <w:tab w:val="right" w:pos="4150"/>
              </w:tabs>
              <w:jc w:val="both"/>
              <w:rPr>
                <w:rFonts w:cs="Segoe UI Light"/>
                <w:b/>
                <w:snapToGrid w:val="0"/>
                <w:color w:val="000000"/>
              </w:rPr>
            </w:pPr>
            <w:r w:rsidRPr="006825E2">
              <w:rPr>
                <w:rFonts w:cs="Segoe UI Light"/>
                <w:b/>
                <w:snapToGrid w:val="0"/>
                <w:color w:val="000000"/>
              </w:rPr>
              <w:t>Total</w:t>
            </w:r>
          </w:p>
        </w:tc>
        <w:tc>
          <w:tcPr>
            <w:tcW w:w="2009" w:type="dxa"/>
            <w:tcBorders>
              <w:top w:val="single" w:sz="4" w:space="0" w:color="auto"/>
            </w:tcBorders>
          </w:tcPr>
          <w:p w:rsidR="00E329F7" w:rsidRPr="006825E2" w:rsidRDefault="00E329F7" w:rsidP="00AE1C26">
            <w:pPr>
              <w:widowControl w:val="0"/>
              <w:tabs>
                <w:tab w:val="left" w:pos="180"/>
                <w:tab w:val="right" w:pos="3060"/>
                <w:tab w:val="right" w:pos="4150"/>
              </w:tabs>
              <w:jc w:val="right"/>
              <w:rPr>
                <w:rFonts w:cs="Segoe UI Light"/>
                <w:b/>
                <w:snapToGrid w:val="0"/>
                <w:color w:val="000000"/>
              </w:rPr>
            </w:pPr>
            <w:r w:rsidRPr="006825E2">
              <w:rPr>
                <w:rFonts w:cs="Segoe UI Light"/>
                <w:b/>
                <w:snapToGrid w:val="0"/>
                <w:color w:val="000000"/>
              </w:rPr>
              <w:t>45.9</w:t>
            </w:r>
          </w:p>
        </w:tc>
        <w:tc>
          <w:tcPr>
            <w:tcW w:w="2127" w:type="dxa"/>
            <w:tcBorders>
              <w:top w:val="single" w:sz="4" w:space="0" w:color="auto"/>
            </w:tcBorders>
          </w:tcPr>
          <w:p w:rsidR="00E329F7" w:rsidRPr="006825E2" w:rsidRDefault="00E329F7" w:rsidP="00AE1C26">
            <w:pPr>
              <w:widowControl w:val="0"/>
              <w:tabs>
                <w:tab w:val="left" w:pos="180"/>
                <w:tab w:val="right" w:pos="3060"/>
                <w:tab w:val="right" w:pos="4150"/>
              </w:tabs>
              <w:jc w:val="right"/>
              <w:rPr>
                <w:rFonts w:cs="Segoe UI Light"/>
                <w:b/>
                <w:snapToGrid w:val="0"/>
                <w:color w:val="000000"/>
              </w:rPr>
            </w:pPr>
            <w:r w:rsidRPr="006825E2">
              <w:rPr>
                <w:rFonts w:cs="Segoe UI Light"/>
                <w:b/>
                <w:snapToGrid w:val="0"/>
                <w:color w:val="000000"/>
              </w:rPr>
              <w:t>47.9</w:t>
            </w:r>
          </w:p>
        </w:tc>
      </w:tr>
    </w:tbl>
    <w:p w:rsidR="00F72906" w:rsidRDefault="00F72906" w:rsidP="00F72906"/>
    <w:p w:rsidR="00F72906" w:rsidRDefault="00F72906" w:rsidP="00E329F7">
      <w:pPr>
        <w:pStyle w:val="Heading3"/>
      </w:pPr>
      <w:r>
        <w:t xml:space="preserve">10.  Payments to and on account of leavers </w:t>
      </w:r>
    </w:p>
    <w:tbl>
      <w:tblPr>
        <w:tblW w:w="0" w:type="auto"/>
        <w:tblLook w:val="01E0" w:firstRow="1" w:lastRow="1" w:firstColumn="1" w:lastColumn="1" w:noHBand="0" w:noVBand="0"/>
      </w:tblPr>
      <w:tblGrid>
        <w:gridCol w:w="4820"/>
        <w:gridCol w:w="1984"/>
        <w:gridCol w:w="2127"/>
      </w:tblGrid>
      <w:tr w:rsidR="00E329F7" w:rsidRPr="00317A00" w:rsidTr="00AE1C26">
        <w:tc>
          <w:tcPr>
            <w:tcW w:w="4820" w:type="dxa"/>
          </w:tcPr>
          <w:p w:rsidR="00E329F7" w:rsidRPr="00443512" w:rsidRDefault="00E329F7" w:rsidP="00AE1C26">
            <w:pPr>
              <w:widowControl w:val="0"/>
              <w:tabs>
                <w:tab w:val="left" w:pos="180"/>
                <w:tab w:val="right" w:pos="3060"/>
                <w:tab w:val="right" w:pos="4150"/>
              </w:tabs>
              <w:jc w:val="both"/>
              <w:rPr>
                <w:rFonts w:cs="Segoe UI Light"/>
                <w:snapToGrid w:val="0"/>
                <w:color w:val="000000"/>
              </w:rPr>
            </w:pPr>
          </w:p>
        </w:tc>
        <w:tc>
          <w:tcPr>
            <w:tcW w:w="1984" w:type="dxa"/>
          </w:tcPr>
          <w:p w:rsidR="00E329F7" w:rsidRPr="00317A00" w:rsidRDefault="00E329F7" w:rsidP="00AE1C26">
            <w:pPr>
              <w:widowControl w:val="0"/>
              <w:tabs>
                <w:tab w:val="left" w:pos="180"/>
                <w:tab w:val="right" w:pos="3060"/>
                <w:tab w:val="right" w:pos="4150"/>
              </w:tabs>
              <w:jc w:val="right"/>
              <w:rPr>
                <w:rFonts w:cs="Segoe UI Light"/>
                <w:b/>
                <w:snapToGrid w:val="0"/>
                <w:color w:val="000000"/>
              </w:rPr>
            </w:pPr>
            <w:r w:rsidRPr="00317A00">
              <w:rPr>
                <w:rFonts w:cs="Segoe UI Light"/>
                <w:b/>
                <w:snapToGrid w:val="0"/>
                <w:color w:val="000000"/>
              </w:rPr>
              <w:t>2018/19</w:t>
            </w:r>
          </w:p>
        </w:tc>
        <w:tc>
          <w:tcPr>
            <w:tcW w:w="2127" w:type="dxa"/>
          </w:tcPr>
          <w:p w:rsidR="00E329F7" w:rsidRPr="00317A00" w:rsidRDefault="00E329F7" w:rsidP="00AE1C26">
            <w:pPr>
              <w:widowControl w:val="0"/>
              <w:tabs>
                <w:tab w:val="left" w:pos="180"/>
                <w:tab w:val="right" w:pos="3060"/>
                <w:tab w:val="right" w:pos="4150"/>
              </w:tabs>
              <w:jc w:val="right"/>
              <w:rPr>
                <w:rFonts w:cs="Segoe UI Light"/>
                <w:b/>
                <w:snapToGrid w:val="0"/>
                <w:color w:val="000000"/>
              </w:rPr>
            </w:pPr>
            <w:r w:rsidRPr="00317A00">
              <w:rPr>
                <w:rFonts w:cs="Segoe UI Light"/>
                <w:b/>
                <w:snapToGrid w:val="0"/>
                <w:color w:val="000000"/>
              </w:rPr>
              <w:t>2019/20</w:t>
            </w:r>
          </w:p>
        </w:tc>
      </w:tr>
      <w:tr w:rsidR="00E329F7" w:rsidRPr="00317A00" w:rsidTr="00AE1C26">
        <w:tc>
          <w:tcPr>
            <w:tcW w:w="4820" w:type="dxa"/>
          </w:tcPr>
          <w:p w:rsidR="00E329F7" w:rsidRPr="00317A00" w:rsidRDefault="00E329F7" w:rsidP="00AE1C26">
            <w:pPr>
              <w:widowControl w:val="0"/>
              <w:tabs>
                <w:tab w:val="left" w:pos="180"/>
                <w:tab w:val="right" w:pos="3060"/>
                <w:tab w:val="right" w:pos="4150"/>
              </w:tabs>
              <w:jc w:val="both"/>
              <w:rPr>
                <w:rFonts w:cs="Segoe UI Light"/>
                <w:snapToGrid w:val="0"/>
                <w:color w:val="000000"/>
              </w:rPr>
            </w:pPr>
          </w:p>
        </w:tc>
        <w:tc>
          <w:tcPr>
            <w:tcW w:w="1984" w:type="dxa"/>
          </w:tcPr>
          <w:p w:rsidR="00E329F7" w:rsidRPr="00317A00" w:rsidRDefault="00E329F7" w:rsidP="00AE1C26">
            <w:pPr>
              <w:widowControl w:val="0"/>
              <w:tabs>
                <w:tab w:val="left" w:pos="180"/>
                <w:tab w:val="right" w:pos="3060"/>
                <w:tab w:val="right" w:pos="4150"/>
              </w:tabs>
              <w:jc w:val="right"/>
              <w:rPr>
                <w:rFonts w:cs="Segoe UI Light"/>
                <w:b/>
                <w:snapToGrid w:val="0"/>
                <w:color w:val="000000"/>
              </w:rPr>
            </w:pPr>
            <w:r w:rsidRPr="00317A00">
              <w:rPr>
                <w:rFonts w:cs="Segoe UI Light"/>
                <w:b/>
                <w:snapToGrid w:val="0"/>
                <w:color w:val="000000"/>
              </w:rPr>
              <w:t>£m</w:t>
            </w:r>
          </w:p>
        </w:tc>
        <w:tc>
          <w:tcPr>
            <w:tcW w:w="2127" w:type="dxa"/>
          </w:tcPr>
          <w:p w:rsidR="00E329F7" w:rsidRPr="00317A00" w:rsidRDefault="00E329F7" w:rsidP="00AE1C26">
            <w:pPr>
              <w:widowControl w:val="0"/>
              <w:tabs>
                <w:tab w:val="left" w:pos="180"/>
                <w:tab w:val="right" w:pos="3060"/>
                <w:tab w:val="right" w:pos="4150"/>
              </w:tabs>
              <w:jc w:val="right"/>
              <w:rPr>
                <w:rFonts w:cs="Segoe UI Light"/>
                <w:b/>
                <w:snapToGrid w:val="0"/>
                <w:color w:val="000000"/>
              </w:rPr>
            </w:pPr>
            <w:r w:rsidRPr="00317A00">
              <w:rPr>
                <w:rFonts w:cs="Segoe UI Light"/>
                <w:b/>
                <w:snapToGrid w:val="0"/>
                <w:color w:val="000000"/>
              </w:rPr>
              <w:t>£m</w:t>
            </w:r>
          </w:p>
        </w:tc>
      </w:tr>
      <w:tr w:rsidR="00E329F7" w:rsidRPr="00317A00" w:rsidTr="00AE1C26">
        <w:tc>
          <w:tcPr>
            <w:tcW w:w="4820" w:type="dxa"/>
          </w:tcPr>
          <w:p w:rsidR="00E329F7" w:rsidRPr="00317A00" w:rsidRDefault="00E329F7" w:rsidP="00AE1C26">
            <w:pPr>
              <w:widowControl w:val="0"/>
              <w:tabs>
                <w:tab w:val="left" w:pos="180"/>
                <w:tab w:val="right" w:pos="3060"/>
                <w:tab w:val="right" w:pos="4150"/>
              </w:tabs>
              <w:jc w:val="both"/>
              <w:rPr>
                <w:rFonts w:cs="Segoe UI Light"/>
                <w:snapToGrid w:val="0"/>
                <w:color w:val="000000"/>
              </w:rPr>
            </w:pPr>
            <w:r w:rsidRPr="00317A00">
              <w:rPr>
                <w:rFonts w:cs="Segoe UI Light"/>
                <w:snapToGrid w:val="0"/>
                <w:color w:val="000000"/>
              </w:rPr>
              <w:t>Individual transfers</w:t>
            </w:r>
          </w:p>
        </w:tc>
        <w:tc>
          <w:tcPr>
            <w:tcW w:w="1984" w:type="dxa"/>
          </w:tcPr>
          <w:p w:rsidR="00E329F7" w:rsidRPr="00317A00" w:rsidRDefault="00E329F7" w:rsidP="00AE1C26">
            <w:pPr>
              <w:widowControl w:val="0"/>
              <w:tabs>
                <w:tab w:val="left" w:pos="180"/>
                <w:tab w:val="right" w:pos="3060"/>
                <w:tab w:val="right" w:pos="4150"/>
              </w:tabs>
              <w:jc w:val="right"/>
              <w:rPr>
                <w:rFonts w:cs="Segoe UI Light"/>
                <w:snapToGrid w:val="0"/>
                <w:color w:val="000000"/>
              </w:rPr>
            </w:pPr>
            <w:r w:rsidRPr="00317A00">
              <w:rPr>
                <w:rFonts w:cs="Segoe UI Light"/>
                <w:snapToGrid w:val="0"/>
                <w:color w:val="000000"/>
              </w:rPr>
              <w:t>1.8</w:t>
            </w:r>
          </w:p>
        </w:tc>
        <w:tc>
          <w:tcPr>
            <w:tcW w:w="2127" w:type="dxa"/>
            <w:tcBorders>
              <w:top w:val="nil"/>
              <w:left w:val="nil"/>
              <w:bottom w:val="nil"/>
              <w:right w:val="nil"/>
            </w:tcBorders>
            <w:shd w:val="clear" w:color="auto" w:fill="auto"/>
            <w:vAlign w:val="bottom"/>
          </w:tcPr>
          <w:p w:rsidR="00E329F7" w:rsidRPr="00317A00" w:rsidRDefault="00E329F7" w:rsidP="00AE1C26">
            <w:pPr>
              <w:widowControl w:val="0"/>
              <w:tabs>
                <w:tab w:val="left" w:pos="180"/>
                <w:tab w:val="right" w:pos="3060"/>
                <w:tab w:val="right" w:pos="4150"/>
              </w:tabs>
              <w:jc w:val="right"/>
              <w:rPr>
                <w:rFonts w:cs="Segoe UI Light"/>
                <w:snapToGrid w:val="0"/>
                <w:color w:val="000000"/>
              </w:rPr>
            </w:pPr>
            <w:r w:rsidRPr="00317A00">
              <w:rPr>
                <w:rFonts w:cs="Calibri"/>
              </w:rPr>
              <w:t>5.9</w:t>
            </w:r>
          </w:p>
        </w:tc>
      </w:tr>
      <w:tr w:rsidR="00E329F7" w:rsidRPr="00317A00" w:rsidTr="00AE1C26">
        <w:tc>
          <w:tcPr>
            <w:tcW w:w="4820" w:type="dxa"/>
          </w:tcPr>
          <w:p w:rsidR="00E329F7" w:rsidRPr="00317A00" w:rsidRDefault="00E329F7" w:rsidP="00AE1C26">
            <w:pPr>
              <w:widowControl w:val="0"/>
              <w:tabs>
                <w:tab w:val="left" w:pos="180"/>
                <w:tab w:val="right" w:pos="3060"/>
                <w:tab w:val="right" w:pos="4150"/>
              </w:tabs>
              <w:rPr>
                <w:rFonts w:cs="Segoe UI Light"/>
                <w:snapToGrid w:val="0"/>
                <w:color w:val="000000"/>
              </w:rPr>
            </w:pPr>
            <w:r w:rsidRPr="00317A00">
              <w:rPr>
                <w:rFonts w:cs="Segoe UI Light"/>
                <w:snapToGrid w:val="0"/>
                <w:color w:val="000000"/>
              </w:rPr>
              <w:t>Refunds to members leaving service</w:t>
            </w:r>
          </w:p>
        </w:tc>
        <w:tc>
          <w:tcPr>
            <w:tcW w:w="1984" w:type="dxa"/>
          </w:tcPr>
          <w:p w:rsidR="00E329F7" w:rsidRPr="00317A00" w:rsidRDefault="00E329F7" w:rsidP="00AE1C26">
            <w:pPr>
              <w:widowControl w:val="0"/>
              <w:tabs>
                <w:tab w:val="left" w:pos="180"/>
                <w:tab w:val="right" w:pos="3060"/>
                <w:tab w:val="right" w:pos="4150"/>
              </w:tabs>
              <w:jc w:val="right"/>
              <w:rPr>
                <w:rFonts w:cs="Segoe UI Light"/>
                <w:snapToGrid w:val="0"/>
                <w:color w:val="000000"/>
              </w:rPr>
            </w:pPr>
            <w:r w:rsidRPr="00317A00">
              <w:rPr>
                <w:rFonts w:cs="Segoe UI Light"/>
                <w:snapToGrid w:val="0"/>
                <w:color w:val="000000"/>
              </w:rPr>
              <w:t>0.1</w:t>
            </w:r>
          </w:p>
        </w:tc>
        <w:tc>
          <w:tcPr>
            <w:tcW w:w="2127" w:type="dxa"/>
            <w:tcBorders>
              <w:top w:val="nil"/>
              <w:left w:val="nil"/>
              <w:bottom w:val="nil"/>
              <w:right w:val="nil"/>
            </w:tcBorders>
            <w:shd w:val="clear" w:color="auto" w:fill="auto"/>
            <w:vAlign w:val="bottom"/>
          </w:tcPr>
          <w:p w:rsidR="00E329F7" w:rsidRPr="00317A00" w:rsidRDefault="00E329F7" w:rsidP="00AE1C26">
            <w:pPr>
              <w:widowControl w:val="0"/>
              <w:tabs>
                <w:tab w:val="left" w:pos="180"/>
                <w:tab w:val="right" w:pos="3060"/>
                <w:tab w:val="right" w:pos="4150"/>
              </w:tabs>
              <w:jc w:val="right"/>
              <w:rPr>
                <w:rFonts w:cs="Segoe UI Light"/>
                <w:snapToGrid w:val="0"/>
                <w:color w:val="000000"/>
              </w:rPr>
            </w:pPr>
            <w:r w:rsidRPr="00317A00">
              <w:rPr>
                <w:rFonts w:cs="Calibri"/>
              </w:rPr>
              <w:t>0.3</w:t>
            </w:r>
          </w:p>
        </w:tc>
      </w:tr>
      <w:tr w:rsidR="00E329F7" w:rsidRPr="00317A00" w:rsidTr="00AE1C26">
        <w:tc>
          <w:tcPr>
            <w:tcW w:w="4820" w:type="dxa"/>
          </w:tcPr>
          <w:p w:rsidR="00E329F7" w:rsidRPr="00317A00" w:rsidRDefault="00E329F7" w:rsidP="00AE1C26">
            <w:pPr>
              <w:widowControl w:val="0"/>
              <w:tabs>
                <w:tab w:val="left" w:pos="180"/>
                <w:tab w:val="right" w:pos="3060"/>
                <w:tab w:val="right" w:pos="4150"/>
              </w:tabs>
              <w:rPr>
                <w:rFonts w:cs="Segoe UI Light"/>
                <w:snapToGrid w:val="0"/>
                <w:color w:val="000000"/>
              </w:rPr>
            </w:pPr>
            <w:r w:rsidRPr="00317A00">
              <w:rPr>
                <w:rFonts w:cs="Segoe UI Light"/>
                <w:snapToGrid w:val="0"/>
                <w:color w:val="000000"/>
              </w:rPr>
              <w:t>Group transfers</w:t>
            </w:r>
          </w:p>
        </w:tc>
        <w:tc>
          <w:tcPr>
            <w:tcW w:w="1984" w:type="dxa"/>
          </w:tcPr>
          <w:p w:rsidR="00E329F7" w:rsidRPr="00317A00" w:rsidRDefault="00E329F7" w:rsidP="00AE1C26">
            <w:pPr>
              <w:widowControl w:val="0"/>
              <w:tabs>
                <w:tab w:val="left" w:pos="180"/>
                <w:tab w:val="right" w:pos="3060"/>
                <w:tab w:val="right" w:pos="4150"/>
              </w:tabs>
              <w:jc w:val="right"/>
              <w:rPr>
                <w:rFonts w:cs="Segoe UI Light"/>
                <w:snapToGrid w:val="0"/>
                <w:color w:val="000000"/>
              </w:rPr>
            </w:pPr>
            <w:r w:rsidRPr="00317A00">
              <w:rPr>
                <w:rFonts w:cs="Segoe UI Light"/>
                <w:snapToGrid w:val="0"/>
                <w:color w:val="000000"/>
              </w:rPr>
              <w:t>(0.1)</w:t>
            </w:r>
          </w:p>
        </w:tc>
        <w:tc>
          <w:tcPr>
            <w:tcW w:w="2127" w:type="dxa"/>
            <w:tcBorders>
              <w:top w:val="nil"/>
              <w:left w:val="nil"/>
              <w:bottom w:val="nil"/>
              <w:right w:val="nil"/>
            </w:tcBorders>
            <w:shd w:val="clear" w:color="auto" w:fill="auto"/>
            <w:vAlign w:val="bottom"/>
          </w:tcPr>
          <w:p w:rsidR="00E329F7" w:rsidRPr="00317A00" w:rsidRDefault="00E329F7" w:rsidP="00AE1C26">
            <w:pPr>
              <w:widowControl w:val="0"/>
              <w:tabs>
                <w:tab w:val="left" w:pos="180"/>
                <w:tab w:val="right" w:pos="3060"/>
                <w:tab w:val="right" w:pos="4150"/>
              </w:tabs>
              <w:jc w:val="right"/>
              <w:rPr>
                <w:rFonts w:cs="Segoe UI Light"/>
                <w:snapToGrid w:val="0"/>
                <w:color w:val="000000"/>
              </w:rPr>
            </w:pPr>
            <w:r w:rsidRPr="00317A00">
              <w:rPr>
                <w:rFonts w:cs="Calibri"/>
              </w:rPr>
              <w:t>0.0</w:t>
            </w:r>
          </w:p>
        </w:tc>
      </w:tr>
      <w:tr w:rsidR="00E329F7" w:rsidRPr="00443512" w:rsidTr="00AE1C26">
        <w:tc>
          <w:tcPr>
            <w:tcW w:w="4820" w:type="dxa"/>
          </w:tcPr>
          <w:p w:rsidR="00E329F7" w:rsidRPr="00317A00" w:rsidRDefault="00E329F7" w:rsidP="00AE1C26">
            <w:pPr>
              <w:widowControl w:val="0"/>
              <w:tabs>
                <w:tab w:val="left" w:pos="180"/>
                <w:tab w:val="right" w:pos="3060"/>
                <w:tab w:val="right" w:pos="4150"/>
              </w:tabs>
              <w:jc w:val="both"/>
              <w:rPr>
                <w:rFonts w:cs="Segoe UI Light"/>
                <w:b/>
                <w:snapToGrid w:val="0"/>
                <w:color w:val="000000"/>
              </w:rPr>
            </w:pPr>
            <w:r w:rsidRPr="00317A00">
              <w:rPr>
                <w:rFonts w:cs="Segoe UI Light"/>
                <w:b/>
                <w:snapToGrid w:val="0"/>
                <w:color w:val="000000"/>
              </w:rPr>
              <w:t>Total</w:t>
            </w:r>
          </w:p>
        </w:tc>
        <w:tc>
          <w:tcPr>
            <w:tcW w:w="1984" w:type="dxa"/>
            <w:tcBorders>
              <w:top w:val="single" w:sz="4" w:space="0" w:color="auto"/>
            </w:tcBorders>
          </w:tcPr>
          <w:p w:rsidR="00E329F7" w:rsidRPr="00317A00" w:rsidRDefault="00E329F7" w:rsidP="00AE1C26">
            <w:pPr>
              <w:widowControl w:val="0"/>
              <w:tabs>
                <w:tab w:val="left" w:pos="180"/>
                <w:tab w:val="right" w:pos="3060"/>
                <w:tab w:val="right" w:pos="4150"/>
              </w:tabs>
              <w:jc w:val="right"/>
              <w:rPr>
                <w:rFonts w:cs="Segoe UI Light"/>
                <w:b/>
                <w:snapToGrid w:val="0"/>
                <w:color w:val="000000"/>
              </w:rPr>
            </w:pPr>
            <w:r w:rsidRPr="00317A00">
              <w:rPr>
                <w:rFonts w:cs="Segoe UI Light"/>
                <w:b/>
                <w:snapToGrid w:val="0"/>
                <w:color w:val="000000"/>
              </w:rPr>
              <w:t>1.8</w:t>
            </w:r>
          </w:p>
        </w:tc>
        <w:tc>
          <w:tcPr>
            <w:tcW w:w="2127" w:type="dxa"/>
            <w:tcBorders>
              <w:top w:val="single" w:sz="4" w:space="0" w:color="auto"/>
            </w:tcBorders>
          </w:tcPr>
          <w:p w:rsidR="00E329F7" w:rsidRPr="00443512" w:rsidRDefault="00E329F7" w:rsidP="00AE1C26">
            <w:pPr>
              <w:widowControl w:val="0"/>
              <w:tabs>
                <w:tab w:val="left" w:pos="180"/>
                <w:tab w:val="right" w:pos="3060"/>
                <w:tab w:val="right" w:pos="4150"/>
              </w:tabs>
              <w:jc w:val="right"/>
              <w:rPr>
                <w:rFonts w:cs="Segoe UI Light"/>
                <w:b/>
                <w:snapToGrid w:val="0"/>
                <w:color w:val="000000"/>
              </w:rPr>
            </w:pPr>
            <w:r w:rsidRPr="00317A00">
              <w:rPr>
                <w:rFonts w:cs="Segoe UI Light"/>
                <w:b/>
                <w:snapToGrid w:val="0"/>
                <w:color w:val="000000"/>
              </w:rPr>
              <w:t>6.2</w:t>
            </w:r>
          </w:p>
        </w:tc>
      </w:tr>
    </w:tbl>
    <w:p w:rsidR="00E329F7" w:rsidRDefault="00E329F7" w:rsidP="00F72906"/>
    <w:p w:rsidR="00E329F7" w:rsidRDefault="00E329F7">
      <w:r>
        <w:br w:type="page"/>
      </w:r>
    </w:p>
    <w:p w:rsidR="00F72906" w:rsidRDefault="00F72906" w:rsidP="00E329F7">
      <w:pPr>
        <w:pStyle w:val="Heading3"/>
      </w:pPr>
      <w:r>
        <w:lastRenderedPageBreak/>
        <w:t>11.  Management Expenses</w:t>
      </w:r>
    </w:p>
    <w:tbl>
      <w:tblPr>
        <w:tblW w:w="0" w:type="auto"/>
        <w:tblLook w:val="01E0" w:firstRow="1" w:lastRow="1" w:firstColumn="1" w:lastColumn="1" w:noHBand="0" w:noVBand="0"/>
      </w:tblPr>
      <w:tblGrid>
        <w:gridCol w:w="4820"/>
        <w:gridCol w:w="1984"/>
        <w:gridCol w:w="2127"/>
      </w:tblGrid>
      <w:tr w:rsidR="00E329F7" w:rsidRPr="00CE5563" w:rsidTr="00AE1C26">
        <w:tc>
          <w:tcPr>
            <w:tcW w:w="4820" w:type="dxa"/>
          </w:tcPr>
          <w:p w:rsidR="00E329F7" w:rsidRPr="00CE5563" w:rsidRDefault="00E329F7" w:rsidP="00AE1C26">
            <w:pPr>
              <w:widowControl w:val="0"/>
              <w:tabs>
                <w:tab w:val="left" w:pos="180"/>
                <w:tab w:val="right" w:pos="3060"/>
                <w:tab w:val="right" w:pos="4150"/>
              </w:tabs>
              <w:rPr>
                <w:rFonts w:cs="Segoe UI Light"/>
                <w:snapToGrid w:val="0"/>
                <w:color w:val="000000"/>
              </w:rPr>
            </w:pPr>
          </w:p>
        </w:tc>
        <w:tc>
          <w:tcPr>
            <w:tcW w:w="1984" w:type="dxa"/>
          </w:tcPr>
          <w:p w:rsidR="00E329F7" w:rsidRPr="00CE5563" w:rsidRDefault="00E329F7" w:rsidP="00AE1C26">
            <w:pPr>
              <w:widowControl w:val="0"/>
              <w:tabs>
                <w:tab w:val="left" w:pos="180"/>
                <w:tab w:val="right" w:pos="3060"/>
                <w:tab w:val="right" w:pos="4150"/>
              </w:tabs>
              <w:jc w:val="right"/>
              <w:rPr>
                <w:rFonts w:cs="Segoe UI Light"/>
                <w:b/>
                <w:snapToGrid w:val="0"/>
                <w:color w:val="000000"/>
              </w:rPr>
            </w:pPr>
            <w:r w:rsidRPr="00CE5563">
              <w:rPr>
                <w:rFonts w:cs="Segoe UI Light"/>
                <w:b/>
                <w:snapToGrid w:val="0"/>
                <w:color w:val="000000"/>
              </w:rPr>
              <w:t>2018/19</w:t>
            </w:r>
          </w:p>
        </w:tc>
        <w:tc>
          <w:tcPr>
            <w:tcW w:w="2127" w:type="dxa"/>
          </w:tcPr>
          <w:p w:rsidR="00E329F7" w:rsidRPr="00CE5563" w:rsidRDefault="00E329F7" w:rsidP="00AE1C26">
            <w:pPr>
              <w:widowControl w:val="0"/>
              <w:tabs>
                <w:tab w:val="left" w:pos="180"/>
                <w:tab w:val="right" w:pos="3060"/>
                <w:tab w:val="right" w:pos="4150"/>
              </w:tabs>
              <w:jc w:val="right"/>
              <w:rPr>
                <w:rFonts w:cs="Segoe UI Light"/>
                <w:b/>
                <w:snapToGrid w:val="0"/>
                <w:color w:val="000000"/>
              </w:rPr>
            </w:pPr>
            <w:r w:rsidRPr="00CE5563">
              <w:rPr>
                <w:rFonts w:cs="Segoe UI Light"/>
                <w:b/>
                <w:snapToGrid w:val="0"/>
                <w:color w:val="000000"/>
              </w:rPr>
              <w:t>20</w:t>
            </w:r>
            <w:r>
              <w:rPr>
                <w:rFonts w:cs="Segoe UI Light"/>
                <w:b/>
                <w:snapToGrid w:val="0"/>
                <w:color w:val="000000"/>
              </w:rPr>
              <w:t>19</w:t>
            </w:r>
            <w:r w:rsidRPr="00CE5563">
              <w:rPr>
                <w:rFonts w:cs="Segoe UI Light"/>
                <w:b/>
                <w:snapToGrid w:val="0"/>
                <w:color w:val="000000"/>
              </w:rPr>
              <w:t>/</w:t>
            </w:r>
            <w:r>
              <w:rPr>
                <w:rFonts w:cs="Segoe UI Light"/>
                <w:b/>
                <w:snapToGrid w:val="0"/>
                <w:color w:val="000000"/>
              </w:rPr>
              <w:t>20</w:t>
            </w:r>
          </w:p>
        </w:tc>
      </w:tr>
      <w:tr w:rsidR="00E329F7" w:rsidRPr="00CE5563" w:rsidTr="00AE1C26">
        <w:tc>
          <w:tcPr>
            <w:tcW w:w="4820" w:type="dxa"/>
          </w:tcPr>
          <w:p w:rsidR="00E329F7" w:rsidRPr="00CE5563" w:rsidRDefault="00E329F7" w:rsidP="00AE1C26">
            <w:pPr>
              <w:widowControl w:val="0"/>
              <w:tabs>
                <w:tab w:val="left" w:pos="180"/>
                <w:tab w:val="right" w:pos="3060"/>
                <w:tab w:val="right" w:pos="4150"/>
              </w:tabs>
              <w:rPr>
                <w:rFonts w:cs="Segoe UI Light"/>
                <w:snapToGrid w:val="0"/>
                <w:color w:val="000000"/>
              </w:rPr>
            </w:pPr>
          </w:p>
        </w:tc>
        <w:tc>
          <w:tcPr>
            <w:tcW w:w="1984" w:type="dxa"/>
          </w:tcPr>
          <w:p w:rsidR="00E329F7" w:rsidRPr="00CE5563" w:rsidRDefault="00E329F7" w:rsidP="00AE1C26">
            <w:pPr>
              <w:widowControl w:val="0"/>
              <w:tabs>
                <w:tab w:val="left" w:pos="180"/>
                <w:tab w:val="right" w:pos="3060"/>
                <w:tab w:val="right" w:pos="4150"/>
              </w:tabs>
              <w:jc w:val="right"/>
              <w:rPr>
                <w:rFonts w:cs="Segoe UI Light"/>
                <w:b/>
                <w:snapToGrid w:val="0"/>
                <w:color w:val="000000"/>
              </w:rPr>
            </w:pPr>
            <w:r w:rsidRPr="00CE5563">
              <w:rPr>
                <w:rFonts w:cs="Segoe UI Light"/>
                <w:b/>
                <w:snapToGrid w:val="0"/>
                <w:color w:val="000000"/>
              </w:rPr>
              <w:t>£m</w:t>
            </w:r>
          </w:p>
        </w:tc>
        <w:tc>
          <w:tcPr>
            <w:tcW w:w="2127" w:type="dxa"/>
          </w:tcPr>
          <w:p w:rsidR="00E329F7" w:rsidRPr="00CE5563" w:rsidRDefault="00E329F7" w:rsidP="00AE1C26">
            <w:pPr>
              <w:widowControl w:val="0"/>
              <w:tabs>
                <w:tab w:val="left" w:pos="180"/>
                <w:tab w:val="right" w:pos="3060"/>
                <w:tab w:val="right" w:pos="4150"/>
              </w:tabs>
              <w:jc w:val="right"/>
              <w:rPr>
                <w:rFonts w:cs="Segoe UI Light"/>
                <w:b/>
                <w:snapToGrid w:val="0"/>
                <w:color w:val="000000"/>
              </w:rPr>
            </w:pPr>
            <w:r w:rsidRPr="00CE5563">
              <w:rPr>
                <w:rFonts w:cs="Segoe UI Light"/>
                <w:b/>
                <w:snapToGrid w:val="0"/>
                <w:color w:val="000000"/>
              </w:rPr>
              <w:t>£m</w:t>
            </w:r>
          </w:p>
        </w:tc>
      </w:tr>
      <w:tr w:rsidR="00E329F7" w:rsidRPr="00CE5563" w:rsidTr="00AE1C26">
        <w:tc>
          <w:tcPr>
            <w:tcW w:w="4820" w:type="dxa"/>
          </w:tcPr>
          <w:p w:rsidR="00E329F7" w:rsidRPr="00CE5563" w:rsidRDefault="00E329F7" w:rsidP="00AE1C26">
            <w:pPr>
              <w:widowControl w:val="0"/>
              <w:tabs>
                <w:tab w:val="left" w:pos="180"/>
                <w:tab w:val="right" w:pos="3060"/>
                <w:tab w:val="right" w:pos="4150"/>
              </w:tabs>
              <w:rPr>
                <w:rFonts w:cs="Segoe UI Light"/>
                <w:snapToGrid w:val="0"/>
                <w:color w:val="000000"/>
              </w:rPr>
            </w:pPr>
            <w:r w:rsidRPr="00CE5563">
              <w:rPr>
                <w:rFonts w:cs="Segoe UI Light"/>
                <w:snapToGrid w:val="0"/>
                <w:color w:val="000000"/>
              </w:rPr>
              <w:t>Administration costs</w:t>
            </w:r>
          </w:p>
        </w:tc>
        <w:tc>
          <w:tcPr>
            <w:tcW w:w="1984" w:type="dxa"/>
          </w:tcPr>
          <w:p w:rsidR="00E329F7" w:rsidRPr="00CE5563" w:rsidRDefault="00E329F7" w:rsidP="00AE1C26">
            <w:pPr>
              <w:widowControl w:val="0"/>
              <w:tabs>
                <w:tab w:val="left" w:pos="180"/>
                <w:tab w:val="right" w:pos="3060"/>
                <w:tab w:val="right" w:pos="4150"/>
              </w:tabs>
              <w:jc w:val="right"/>
              <w:rPr>
                <w:rFonts w:cs="Segoe UI Light"/>
                <w:snapToGrid w:val="0"/>
                <w:color w:val="000000"/>
              </w:rPr>
            </w:pPr>
            <w:r w:rsidRPr="00CE5563">
              <w:rPr>
                <w:rFonts w:cs="Segoe UI Light"/>
                <w:snapToGrid w:val="0"/>
                <w:color w:val="000000"/>
              </w:rPr>
              <w:t>1.2</w:t>
            </w:r>
          </w:p>
        </w:tc>
        <w:tc>
          <w:tcPr>
            <w:tcW w:w="2127" w:type="dxa"/>
            <w:tcBorders>
              <w:top w:val="nil"/>
              <w:left w:val="nil"/>
              <w:bottom w:val="nil"/>
              <w:right w:val="nil"/>
            </w:tcBorders>
            <w:shd w:val="clear" w:color="auto" w:fill="auto"/>
            <w:vAlign w:val="bottom"/>
          </w:tcPr>
          <w:p w:rsidR="00E329F7" w:rsidRPr="00CE5563" w:rsidRDefault="00E329F7" w:rsidP="00AE1C26">
            <w:pPr>
              <w:widowControl w:val="0"/>
              <w:tabs>
                <w:tab w:val="left" w:pos="180"/>
                <w:tab w:val="right" w:pos="3060"/>
                <w:tab w:val="right" w:pos="4150"/>
              </w:tabs>
              <w:jc w:val="right"/>
              <w:rPr>
                <w:rFonts w:cs="Segoe UI Light"/>
                <w:snapToGrid w:val="0"/>
                <w:color w:val="000000"/>
              </w:rPr>
            </w:pPr>
            <w:r>
              <w:rPr>
                <w:rFonts w:cs="Calibri"/>
              </w:rPr>
              <w:t>1.1</w:t>
            </w:r>
          </w:p>
        </w:tc>
      </w:tr>
      <w:tr w:rsidR="00E329F7" w:rsidRPr="00CE5563" w:rsidTr="00AE1C26">
        <w:tc>
          <w:tcPr>
            <w:tcW w:w="4820" w:type="dxa"/>
          </w:tcPr>
          <w:p w:rsidR="00E329F7" w:rsidRPr="00CE5563" w:rsidRDefault="00E329F7" w:rsidP="00AE1C26">
            <w:pPr>
              <w:widowControl w:val="0"/>
              <w:tabs>
                <w:tab w:val="left" w:pos="180"/>
                <w:tab w:val="right" w:pos="3060"/>
                <w:tab w:val="right" w:pos="4150"/>
              </w:tabs>
              <w:rPr>
                <w:rFonts w:cs="Segoe UI Light"/>
                <w:snapToGrid w:val="0"/>
                <w:color w:val="000000"/>
              </w:rPr>
            </w:pPr>
            <w:r w:rsidRPr="00CE5563">
              <w:rPr>
                <w:rFonts w:cs="Segoe UI Light"/>
                <w:snapToGrid w:val="0"/>
                <w:color w:val="000000"/>
              </w:rPr>
              <w:t>Investment management expenses</w:t>
            </w:r>
          </w:p>
        </w:tc>
        <w:tc>
          <w:tcPr>
            <w:tcW w:w="1984" w:type="dxa"/>
          </w:tcPr>
          <w:p w:rsidR="00E329F7" w:rsidRPr="00CE5563" w:rsidRDefault="00E329F7" w:rsidP="00AE1C26">
            <w:pPr>
              <w:widowControl w:val="0"/>
              <w:tabs>
                <w:tab w:val="left" w:pos="180"/>
                <w:tab w:val="right" w:pos="3060"/>
                <w:tab w:val="right" w:pos="4150"/>
              </w:tabs>
              <w:jc w:val="right"/>
              <w:rPr>
                <w:rFonts w:cs="Segoe UI Light"/>
                <w:snapToGrid w:val="0"/>
                <w:color w:val="000000"/>
              </w:rPr>
            </w:pPr>
            <w:r w:rsidRPr="00CE5563">
              <w:rPr>
                <w:rFonts w:cs="Segoe UI Light"/>
                <w:snapToGrid w:val="0"/>
                <w:color w:val="000000"/>
              </w:rPr>
              <w:t>3.2</w:t>
            </w:r>
          </w:p>
        </w:tc>
        <w:tc>
          <w:tcPr>
            <w:tcW w:w="2127" w:type="dxa"/>
            <w:tcBorders>
              <w:top w:val="nil"/>
              <w:left w:val="nil"/>
              <w:bottom w:val="nil"/>
              <w:right w:val="nil"/>
            </w:tcBorders>
            <w:shd w:val="clear" w:color="auto" w:fill="auto"/>
            <w:vAlign w:val="bottom"/>
          </w:tcPr>
          <w:p w:rsidR="00E329F7" w:rsidRPr="00CE5563" w:rsidRDefault="00E329F7" w:rsidP="00AE1C26">
            <w:pPr>
              <w:widowControl w:val="0"/>
              <w:tabs>
                <w:tab w:val="left" w:pos="180"/>
                <w:tab w:val="right" w:pos="3060"/>
                <w:tab w:val="right" w:pos="4150"/>
              </w:tabs>
              <w:jc w:val="right"/>
              <w:rPr>
                <w:rFonts w:cs="Segoe UI Light"/>
                <w:snapToGrid w:val="0"/>
                <w:color w:val="000000"/>
              </w:rPr>
            </w:pPr>
            <w:r>
              <w:rPr>
                <w:rFonts w:cs="Calibri"/>
              </w:rPr>
              <w:t>2.4</w:t>
            </w:r>
          </w:p>
        </w:tc>
      </w:tr>
      <w:tr w:rsidR="00E329F7" w:rsidRPr="00CE5563" w:rsidTr="00AE1C26">
        <w:tc>
          <w:tcPr>
            <w:tcW w:w="4820" w:type="dxa"/>
          </w:tcPr>
          <w:p w:rsidR="00E329F7" w:rsidRPr="00CE5563" w:rsidRDefault="00E329F7" w:rsidP="00AE1C26">
            <w:pPr>
              <w:widowControl w:val="0"/>
              <w:tabs>
                <w:tab w:val="left" w:pos="180"/>
                <w:tab w:val="right" w:pos="3060"/>
                <w:tab w:val="right" w:pos="4150"/>
              </w:tabs>
              <w:rPr>
                <w:rFonts w:cs="Segoe UI Light"/>
                <w:snapToGrid w:val="0"/>
                <w:color w:val="000000"/>
              </w:rPr>
            </w:pPr>
            <w:r w:rsidRPr="00CE5563">
              <w:rPr>
                <w:rFonts w:cs="Segoe UI Light"/>
                <w:snapToGrid w:val="0"/>
                <w:color w:val="000000"/>
              </w:rPr>
              <w:t>Oversight and Governance costs</w:t>
            </w:r>
          </w:p>
        </w:tc>
        <w:tc>
          <w:tcPr>
            <w:tcW w:w="1984" w:type="dxa"/>
          </w:tcPr>
          <w:p w:rsidR="00E329F7" w:rsidRPr="00CE5563" w:rsidRDefault="00E329F7" w:rsidP="00AE1C26">
            <w:pPr>
              <w:widowControl w:val="0"/>
              <w:tabs>
                <w:tab w:val="left" w:pos="180"/>
                <w:tab w:val="right" w:pos="3060"/>
                <w:tab w:val="right" w:pos="4150"/>
              </w:tabs>
              <w:jc w:val="right"/>
              <w:rPr>
                <w:rFonts w:cs="Segoe UI Light"/>
                <w:snapToGrid w:val="0"/>
                <w:color w:val="000000"/>
              </w:rPr>
            </w:pPr>
            <w:r w:rsidRPr="00CE5563">
              <w:rPr>
                <w:rFonts w:cs="Segoe UI Light"/>
                <w:snapToGrid w:val="0"/>
                <w:color w:val="000000"/>
              </w:rPr>
              <w:t>0.2</w:t>
            </w:r>
          </w:p>
        </w:tc>
        <w:tc>
          <w:tcPr>
            <w:tcW w:w="2127" w:type="dxa"/>
            <w:tcBorders>
              <w:top w:val="nil"/>
              <w:left w:val="nil"/>
              <w:bottom w:val="nil"/>
              <w:right w:val="nil"/>
            </w:tcBorders>
            <w:shd w:val="clear" w:color="auto" w:fill="auto"/>
            <w:vAlign w:val="bottom"/>
          </w:tcPr>
          <w:p w:rsidR="00E329F7" w:rsidRPr="00CE5563" w:rsidRDefault="00E329F7" w:rsidP="00AE1C26">
            <w:pPr>
              <w:widowControl w:val="0"/>
              <w:tabs>
                <w:tab w:val="left" w:pos="180"/>
                <w:tab w:val="right" w:pos="3060"/>
                <w:tab w:val="right" w:pos="4150"/>
              </w:tabs>
              <w:jc w:val="right"/>
              <w:rPr>
                <w:rFonts w:cs="Segoe UI Light"/>
                <w:snapToGrid w:val="0"/>
                <w:color w:val="000000"/>
              </w:rPr>
            </w:pPr>
            <w:r>
              <w:rPr>
                <w:rFonts w:cs="Calibri"/>
              </w:rPr>
              <w:t>0.3</w:t>
            </w:r>
          </w:p>
        </w:tc>
      </w:tr>
      <w:tr w:rsidR="00E329F7" w:rsidRPr="00CE5563" w:rsidTr="00AE1C26">
        <w:tc>
          <w:tcPr>
            <w:tcW w:w="4820" w:type="dxa"/>
          </w:tcPr>
          <w:p w:rsidR="00E329F7" w:rsidRPr="00CE5563" w:rsidRDefault="00E329F7" w:rsidP="00AE1C26">
            <w:pPr>
              <w:widowControl w:val="0"/>
              <w:tabs>
                <w:tab w:val="left" w:pos="180"/>
                <w:tab w:val="right" w:pos="3060"/>
                <w:tab w:val="right" w:pos="4150"/>
              </w:tabs>
              <w:rPr>
                <w:rFonts w:cs="Segoe UI Light"/>
                <w:snapToGrid w:val="0"/>
                <w:color w:val="000000"/>
              </w:rPr>
            </w:pPr>
            <w:r w:rsidRPr="00CE5563">
              <w:rPr>
                <w:rFonts w:cs="Segoe UI Light"/>
                <w:snapToGrid w:val="0"/>
                <w:color w:val="000000"/>
              </w:rPr>
              <w:t>Other expenses</w:t>
            </w:r>
          </w:p>
        </w:tc>
        <w:tc>
          <w:tcPr>
            <w:tcW w:w="1984" w:type="dxa"/>
          </w:tcPr>
          <w:p w:rsidR="00E329F7" w:rsidRPr="00CE5563" w:rsidRDefault="00E329F7" w:rsidP="00AE1C26">
            <w:pPr>
              <w:widowControl w:val="0"/>
              <w:tabs>
                <w:tab w:val="left" w:pos="180"/>
                <w:tab w:val="right" w:pos="3060"/>
                <w:tab w:val="right" w:pos="4150"/>
              </w:tabs>
              <w:jc w:val="right"/>
              <w:rPr>
                <w:rFonts w:cs="Segoe UI Light"/>
                <w:snapToGrid w:val="0"/>
                <w:color w:val="000000"/>
              </w:rPr>
            </w:pPr>
            <w:r w:rsidRPr="00CE5563">
              <w:rPr>
                <w:rFonts w:cs="Segoe UI Light"/>
                <w:snapToGrid w:val="0"/>
                <w:color w:val="000000"/>
              </w:rPr>
              <w:t>2.2</w:t>
            </w:r>
          </w:p>
        </w:tc>
        <w:tc>
          <w:tcPr>
            <w:tcW w:w="2127" w:type="dxa"/>
            <w:tcBorders>
              <w:top w:val="nil"/>
              <w:left w:val="nil"/>
              <w:bottom w:val="nil"/>
              <w:right w:val="nil"/>
            </w:tcBorders>
            <w:shd w:val="clear" w:color="auto" w:fill="auto"/>
            <w:vAlign w:val="bottom"/>
          </w:tcPr>
          <w:p w:rsidR="00E329F7" w:rsidRPr="00CE5563" w:rsidRDefault="00E329F7" w:rsidP="00AE1C26">
            <w:pPr>
              <w:widowControl w:val="0"/>
              <w:tabs>
                <w:tab w:val="left" w:pos="180"/>
                <w:tab w:val="right" w:pos="3060"/>
                <w:tab w:val="right" w:pos="4150"/>
              </w:tabs>
              <w:jc w:val="right"/>
              <w:rPr>
                <w:rFonts w:cs="Segoe UI Light"/>
                <w:snapToGrid w:val="0"/>
                <w:color w:val="000000"/>
              </w:rPr>
            </w:pPr>
            <w:r>
              <w:rPr>
                <w:rFonts w:cs="Calibri"/>
                <w:color w:val="000000"/>
              </w:rPr>
              <w:t>0.0</w:t>
            </w:r>
          </w:p>
        </w:tc>
      </w:tr>
      <w:tr w:rsidR="00E329F7" w:rsidRPr="00CE5563" w:rsidTr="00AE1C26">
        <w:tc>
          <w:tcPr>
            <w:tcW w:w="4820" w:type="dxa"/>
          </w:tcPr>
          <w:p w:rsidR="00E329F7" w:rsidRPr="00CE5563" w:rsidRDefault="00E329F7" w:rsidP="00AE1C26">
            <w:pPr>
              <w:widowControl w:val="0"/>
              <w:tabs>
                <w:tab w:val="left" w:pos="180"/>
                <w:tab w:val="right" w:pos="3060"/>
                <w:tab w:val="right" w:pos="4150"/>
              </w:tabs>
              <w:rPr>
                <w:rFonts w:cs="Segoe UI Light"/>
                <w:b/>
                <w:snapToGrid w:val="0"/>
                <w:color w:val="000000"/>
              </w:rPr>
            </w:pPr>
            <w:r w:rsidRPr="00CE5563">
              <w:rPr>
                <w:rFonts w:cs="Segoe UI Light"/>
                <w:b/>
                <w:snapToGrid w:val="0"/>
                <w:color w:val="000000"/>
              </w:rPr>
              <w:t>Total</w:t>
            </w:r>
          </w:p>
        </w:tc>
        <w:tc>
          <w:tcPr>
            <w:tcW w:w="1984" w:type="dxa"/>
            <w:tcBorders>
              <w:top w:val="single" w:sz="4" w:space="0" w:color="auto"/>
            </w:tcBorders>
          </w:tcPr>
          <w:p w:rsidR="00E329F7" w:rsidRPr="00CE5563" w:rsidRDefault="00E329F7" w:rsidP="00AE1C26">
            <w:pPr>
              <w:widowControl w:val="0"/>
              <w:tabs>
                <w:tab w:val="left" w:pos="180"/>
                <w:tab w:val="right" w:pos="3060"/>
                <w:tab w:val="right" w:pos="4150"/>
              </w:tabs>
              <w:jc w:val="right"/>
              <w:rPr>
                <w:rFonts w:cs="Segoe UI Light"/>
                <w:b/>
                <w:snapToGrid w:val="0"/>
                <w:color w:val="000000"/>
              </w:rPr>
            </w:pPr>
            <w:r w:rsidRPr="00CE5563">
              <w:rPr>
                <w:rFonts w:cs="Segoe UI Light"/>
                <w:b/>
                <w:snapToGrid w:val="0"/>
                <w:color w:val="000000"/>
              </w:rPr>
              <w:t>6.8</w:t>
            </w:r>
          </w:p>
        </w:tc>
        <w:tc>
          <w:tcPr>
            <w:tcW w:w="2127" w:type="dxa"/>
            <w:tcBorders>
              <w:top w:val="single" w:sz="4" w:space="0" w:color="auto"/>
            </w:tcBorders>
          </w:tcPr>
          <w:p w:rsidR="00E329F7" w:rsidRPr="00CE5563" w:rsidRDefault="00E329F7" w:rsidP="00AE1C26">
            <w:pPr>
              <w:widowControl w:val="0"/>
              <w:tabs>
                <w:tab w:val="left" w:pos="180"/>
                <w:tab w:val="right" w:pos="3060"/>
                <w:tab w:val="right" w:pos="4150"/>
              </w:tabs>
              <w:jc w:val="right"/>
              <w:rPr>
                <w:rFonts w:cs="Segoe UI Light"/>
                <w:b/>
                <w:snapToGrid w:val="0"/>
                <w:color w:val="000000"/>
              </w:rPr>
            </w:pPr>
            <w:r>
              <w:rPr>
                <w:rFonts w:cs="Segoe UI Light"/>
                <w:b/>
                <w:snapToGrid w:val="0"/>
                <w:color w:val="000000"/>
              </w:rPr>
              <w:t>3</w:t>
            </w:r>
            <w:r w:rsidRPr="00CE5563">
              <w:rPr>
                <w:rFonts w:cs="Segoe UI Light"/>
                <w:b/>
                <w:snapToGrid w:val="0"/>
                <w:color w:val="000000"/>
              </w:rPr>
              <w:t>.8</w:t>
            </w:r>
          </w:p>
        </w:tc>
      </w:tr>
    </w:tbl>
    <w:p w:rsidR="00F72906" w:rsidRDefault="00F72906" w:rsidP="00E329F7">
      <w:r>
        <w:tab/>
      </w:r>
    </w:p>
    <w:p w:rsidR="00F72906" w:rsidRDefault="00F72906" w:rsidP="00F72906">
      <w:r>
        <w:t>The management fees disclosed above include all investment management fees directly incurred by the Fund including those charged on pooled fund investments. Audit fe</w:t>
      </w:r>
      <w:r w:rsidR="00E329F7">
        <w:t xml:space="preserve">es were £25k (£16.1k 2018/19). </w:t>
      </w:r>
    </w:p>
    <w:p w:rsidR="00E329F7" w:rsidRDefault="00F72906" w:rsidP="00E329F7">
      <w:r>
        <w:t>a)</w:t>
      </w:r>
      <w:r>
        <w:tab/>
        <w:t>Investment management expenses</w:t>
      </w:r>
    </w:p>
    <w:tbl>
      <w:tblPr>
        <w:tblW w:w="8200" w:type="dxa"/>
        <w:tblLook w:val="04A0" w:firstRow="1" w:lastRow="0" w:firstColumn="1" w:lastColumn="0" w:noHBand="0" w:noVBand="1"/>
      </w:tblPr>
      <w:tblGrid>
        <w:gridCol w:w="4236"/>
        <w:gridCol w:w="996"/>
        <w:gridCol w:w="996"/>
        <w:gridCol w:w="796"/>
        <w:gridCol w:w="1176"/>
      </w:tblGrid>
      <w:tr w:rsidR="00E329F7" w:rsidRPr="0031605C" w:rsidTr="00AE1C26">
        <w:trPr>
          <w:trHeight w:val="299"/>
        </w:trPr>
        <w:tc>
          <w:tcPr>
            <w:tcW w:w="4236" w:type="dxa"/>
            <w:tcBorders>
              <w:top w:val="nil"/>
              <w:left w:val="nil"/>
              <w:bottom w:val="nil"/>
              <w:right w:val="nil"/>
            </w:tcBorders>
            <w:shd w:val="clear" w:color="000000" w:fill="FFFFFF"/>
            <w:noWrap/>
            <w:vAlign w:val="bottom"/>
            <w:hideMark/>
          </w:tcPr>
          <w:p w:rsidR="00E329F7" w:rsidRPr="0031605C" w:rsidRDefault="00E329F7" w:rsidP="00AE1C26">
            <w:pPr>
              <w:rPr>
                <w:rFonts w:cs="Calibri"/>
                <w:color w:val="000000"/>
                <w:lang w:eastAsia="en-GB"/>
              </w:rPr>
            </w:pPr>
            <w:r w:rsidRPr="0031605C">
              <w:rPr>
                <w:rFonts w:cs="Calibri"/>
                <w:color w:val="000000"/>
                <w:lang w:eastAsia="en-GB"/>
              </w:rPr>
              <w:t> </w:t>
            </w:r>
          </w:p>
        </w:tc>
        <w:tc>
          <w:tcPr>
            <w:tcW w:w="996" w:type="dxa"/>
            <w:tcBorders>
              <w:top w:val="nil"/>
              <w:left w:val="nil"/>
              <w:bottom w:val="nil"/>
              <w:right w:val="nil"/>
            </w:tcBorders>
            <w:shd w:val="clear" w:color="000000" w:fill="FFFFFF"/>
            <w:noWrap/>
            <w:vAlign w:val="bottom"/>
            <w:hideMark/>
          </w:tcPr>
          <w:p w:rsidR="00E329F7" w:rsidRPr="0031605C" w:rsidRDefault="00E329F7" w:rsidP="00AE1C26">
            <w:pPr>
              <w:rPr>
                <w:rFonts w:cs="Calibri"/>
                <w:color w:val="000000"/>
                <w:lang w:eastAsia="en-GB"/>
              </w:rPr>
            </w:pPr>
            <w:r w:rsidRPr="0031605C">
              <w:rPr>
                <w:rFonts w:cs="Calibri"/>
                <w:color w:val="000000"/>
                <w:lang w:eastAsia="en-GB"/>
              </w:rPr>
              <w:t> </w:t>
            </w:r>
          </w:p>
        </w:tc>
        <w:tc>
          <w:tcPr>
            <w:tcW w:w="996" w:type="dxa"/>
            <w:tcBorders>
              <w:top w:val="nil"/>
              <w:left w:val="nil"/>
              <w:bottom w:val="nil"/>
              <w:right w:val="nil"/>
            </w:tcBorders>
            <w:shd w:val="clear" w:color="000000" w:fill="FFFFFF"/>
            <w:noWrap/>
            <w:vAlign w:val="bottom"/>
            <w:hideMark/>
          </w:tcPr>
          <w:p w:rsidR="00E329F7" w:rsidRPr="0031605C" w:rsidRDefault="00E329F7" w:rsidP="00AE1C26">
            <w:pPr>
              <w:jc w:val="right"/>
              <w:rPr>
                <w:rFonts w:cs="Calibri"/>
                <w:b/>
                <w:bCs/>
                <w:color w:val="000000"/>
                <w:lang w:eastAsia="en-GB"/>
              </w:rPr>
            </w:pPr>
            <w:r w:rsidRPr="0031605C">
              <w:rPr>
                <w:rFonts w:cs="Calibri"/>
                <w:b/>
                <w:bCs/>
                <w:color w:val="000000"/>
                <w:lang w:eastAsia="en-GB"/>
              </w:rPr>
              <w:t>2018/19</w:t>
            </w:r>
          </w:p>
        </w:tc>
        <w:tc>
          <w:tcPr>
            <w:tcW w:w="796" w:type="dxa"/>
            <w:tcBorders>
              <w:top w:val="nil"/>
              <w:left w:val="nil"/>
              <w:bottom w:val="nil"/>
              <w:right w:val="nil"/>
            </w:tcBorders>
            <w:shd w:val="clear" w:color="000000" w:fill="FFFFFF"/>
            <w:noWrap/>
            <w:vAlign w:val="bottom"/>
            <w:hideMark/>
          </w:tcPr>
          <w:p w:rsidR="00E329F7" w:rsidRPr="0031605C" w:rsidRDefault="00E329F7" w:rsidP="00AE1C26">
            <w:pPr>
              <w:rPr>
                <w:rFonts w:cs="Calibri"/>
                <w:color w:val="000000"/>
                <w:lang w:eastAsia="en-GB"/>
              </w:rPr>
            </w:pPr>
            <w:r w:rsidRPr="0031605C">
              <w:rPr>
                <w:rFonts w:cs="Calibri"/>
                <w:color w:val="000000"/>
                <w:lang w:eastAsia="en-GB"/>
              </w:rPr>
              <w:t> </w:t>
            </w:r>
          </w:p>
        </w:tc>
        <w:tc>
          <w:tcPr>
            <w:tcW w:w="1176" w:type="dxa"/>
            <w:tcBorders>
              <w:top w:val="nil"/>
              <w:left w:val="nil"/>
              <w:bottom w:val="nil"/>
              <w:right w:val="nil"/>
            </w:tcBorders>
            <w:shd w:val="clear" w:color="000000" w:fill="FFFFFF"/>
            <w:noWrap/>
            <w:vAlign w:val="bottom"/>
            <w:hideMark/>
          </w:tcPr>
          <w:p w:rsidR="00E329F7" w:rsidRPr="0031605C" w:rsidRDefault="00E329F7" w:rsidP="00AE1C26">
            <w:pPr>
              <w:jc w:val="right"/>
              <w:rPr>
                <w:rFonts w:cs="Calibri"/>
                <w:b/>
                <w:bCs/>
                <w:color w:val="000000"/>
                <w:lang w:eastAsia="en-GB"/>
              </w:rPr>
            </w:pPr>
            <w:r w:rsidRPr="0031605C">
              <w:rPr>
                <w:rFonts w:cs="Calibri"/>
                <w:b/>
                <w:bCs/>
                <w:color w:val="000000"/>
                <w:lang w:eastAsia="en-GB"/>
              </w:rPr>
              <w:t>2019/20</w:t>
            </w:r>
          </w:p>
        </w:tc>
      </w:tr>
      <w:tr w:rsidR="00E329F7" w:rsidRPr="0031605C" w:rsidTr="00AE1C26">
        <w:trPr>
          <w:trHeight w:val="299"/>
        </w:trPr>
        <w:tc>
          <w:tcPr>
            <w:tcW w:w="4236" w:type="dxa"/>
            <w:tcBorders>
              <w:top w:val="nil"/>
              <w:left w:val="nil"/>
              <w:bottom w:val="nil"/>
              <w:right w:val="nil"/>
            </w:tcBorders>
            <w:shd w:val="clear" w:color="000000" w:fill="FFFFFF"/>
            <w:noWrap/>
            <w:vAlign w:val="bottom"/>
            <w:hideMark/>
          </w:tcPr>
          <w:p w:rsidR="00E329F7" w:rsidRPr="0031605C" w:rsidRDefault="00E329F7" w:rsidP="00AE1C26">
            <w:pPr>
              <w:rPr>
                <w:rFonts w:cs="Calibri"/>
                <w:color w:val="000000"/>
                <w:lang w:eastAsia="en-GB"/>
              </w:rPr>
            </w:pPr>
            <w:r w:rsidRPr="0031605C">
              <w:rPr>
                <w:rFonts w:cs="Calibri"/>
                <w:color w:val="000000"/>
                <w:lang w:eastAsia="en-GB"/>
              </w:rPr>
              <w:t> </w:t>
            </w:r>
          </w:p>
        </w:tc>
        <w:tc>
          <w:tcPr>
            <w:tcW w:w="996" w:type="dxa"/>
            <w:tcBorders>
              <w:top w:val="nil"/>
              <w:left w:val="nil"/>
              <w:bottom w:val="nil"/>
              <w:right w:val="nil"/>
            </w:tcBorders>
            <w:shd w:val="clear" w:color="000000" w:fill="FFFFFF"/>
            <w:noWrap/>
            <w:vAlign w:val="bottom"/>
            <w:hideMark/>
          </w:tcPr>
          <w:p w:rsidR="00E329F7" w:rsidRPr="0031605C" w:rsidRDefault="00E329F7" w:rsidP="00AE1C26">
            <w:pPr>
              <w:rPr>
                <w:rFonts w:cs="Calibri"/>
                <w:color w:val="000000"/>
                <w:lang w:eastAsia="en-GB"/>
              </w:rPr>
            </w:pPr>
            <w:r w:rsidRPr="0031605C">
              <w:rPr>
                <w:rFonts w:cs="Calibri"/>
                <w:color w:val="000000"/>
                <w:lang w:eastAsia="en-GB"/>
              </w:rPr>
              <w:t> </w:t>
            </w:r>
          </w:p>
        </w:tc>
        <w:tc>
          <w:tcPr>
            <w:tcW w:w="996" w:type="dxa"/>
            <w:tcBorders>
              <w:top w:val="nil"/>
              <w:left w:val="nil"/>
              <w:bottom w:val="nil"/>
              <w:right w:val="nil"/>
            </w:tcBorders>
            <w:shd w:val="clear" w:color="000000" w:fill="FFFFFF"/>
            <w:noWrap/>
            <w:vAlign w:val="bottom"/>
            <w:hideMark/>
          </w:tcPr>
          <w:p w:rsidR="00E329F7" w:rsidRPr="0031605C" w:rsidRDefault="00E329F7" w:rsidP="00AE1C26">
            <w:pPr>
              <w:jc w:val="right"/>
              <w:rPr>
                <w:rFonts w:cs="Calibri"/>
                <w:b/>
                <w:bCs/>
                <w:color w:val="000000"/>
                <w:lang w:eastAsia="en-GB"/>
              </w:rPr>
            </w:pPr>
            <w:r w:rsidRPr="0031605C">
              <w:rPr>
                <w:rFonts w:cs="Calibri"/>
                <w:b/>
                <w:bCs/>
                <w:color w:val="000000"/>
                <w:lang w:eastAsia="en-GB"/>
              </w:rPr>
              <w:t>£m</w:t>
            </w:r>
          </w:p>
        </w:tc>
        <w:tc>
          <w:tcPr>
            <w:tcW w:w="796" w:type="dxa"/>
            <w:tcBorders>
              <w:top w:val="nil"/>
              <w:left w:val="nil"/>
              <w:bottom w:val="nil"/>
              <w:right w:val="nil"/>
            </w:tcBorders>
            <w:shd w:val="clear" w:color="000000" w:fill="FFFFFF"/>
            <w:noWrap/>
            <w:vAlign w:val="bottom"/>
            <w:hideMark/>
          </w:tcPr>
          <w:p w:rsidR="00E329F7" w:rsidRPr="0031605C" w:rsidRDefault="00E329F7" w:rsidP="00AE1C26">
            <w:pPr>
              <w:rPr>
                <w:rFonts w:cs="Calibri"/>
                <w:color w:val="000000"/>
                <w:lang w:eastAsia="en-GB"/>
              </w:rPr>
            </w:pPr>
            <w:r w:rsidRPr="0031605C">
              <w:rPr>
                <w:rFonts w:cs="Calibri"/>
                <w:color w:val="000000"/>
                <w:lang w:eastAsia="en-GB"/>
              </w:rPr>
              <w:t> </w:t>
            </w:r>
          </w:p>
        </w:tc>
        <w:tc>
          <w:tcPr>
            <w:tcW w:w="1176" w:type="dxa"/>
            <w:tcBorders>
              <w:top w:val="nil"/>
              <w:left w:val="nil"/>
              <w:bottom w:val="nil"/>
              <w:right w:val="nil"/>
            </w:tcBorders>
            <w:shd w:val="clear" w:color="000000" w:fill="FFFFFF"/>
            <w:noWrap/>
            <w:vAlign w:val="bottom"/>
            <w:hideMark/>
          </w:tcPr>
          <w:p w:rsidR="00E329F7" w:rsidRPr="0031605C" w:rsidRDefault="00E329F7" w:rsidP="00AE1C26">
            <w:pPr>
              <w:jc w:val="right"/>
              <w:rPr>
                <w:rFonts w:cs="Calibri"/>
                <w:b/>
                <w:bCs/>
                <w:color w:val="000000"/>
                <w:lang w:eastAsia="en-GB"/>
              </w:rPr>
            </w:pPr>
            <w:r w:rsidRPr="0031605C">
              <w:rPr>
                <w:rFonts w:cs="Calibri"/>
                <w:b/>
                <w:bCs/>
                <w:color w:val="000000"/>
                <w:lang w:eastAsia="en-GB"/>
              </w:rPr>
              <w:t>£m</w:t>
            </w:r>
          </w:p>
        </w:tc>
      </w:tr>
      <w:tr w:rsidR="00E329F7" w:rsidRPr="0031605C" w:rsidTr="00AE1C26">
        <w:trPr>
          <w:trHeight w:val="299"/>
        </w:trPr>
        <w:tc>
          <w:tcPr>
            <w:tcW w:w="4236" w:type="dxa"/>
            <w:tcBorders>
              <w:top w:val="nil"/>
              <w:left w:val="nil"/>
              <w:bottom w:val="nil"/>
              <w:right w:val="nil"/>
            </w:tcBorders>
            <w:shd w:val="clear" w:color="000000" w:fill="FFFFFF"/>
            <w:noWrap/>
            <w:vAlign w:val="bottom"/>
            <w:hideMark/>
          </w:tcPr>
          <w:p w:rsidR="00E329F7" w:rsidRPr="0031605C" w:rsidRDefault="00E329F7" w:rsidP="00AE1C26">
            <w:pPr>
              <w:rPr>
                <w:rFonts w:cs="Calibri"/>
                <w:color w:val="000000"/>
                <w:lang w:eastAsia="en-GB"/>
              </w:rPr>
            </w:pPr>
            <w:r w:rsidRPr="0031605C">
              <w:rPr>
                <w:rFonts w:cs="Calibri"/>
                <w:color w:val="000000"/>
                <w:lang w:eastAsia="en-GB"/>
              </w:rPr>
              <w:t>Management fees</w:t>
            </w:r>
          </w:p>
        </w:tc>
        <w:tc>
          <w:tcPr>
            <w:tcW w:w="996" w:type="dxa"/>
            <w:tcBorders>
              <w:top w:val="nil"/>
              <w:left w:val="nil"/>
              <w:bottom w:val="nil"/>
              <w:right w:val="nil"/>
            </w:tcBorders>
            <w:shd w:val="clear" w:color="000000" w:fill="FFFFFF"/>
            <w:noWrap/>
            <w:vAlign w:val="bottom"/>
            <w:hideMark/>
          </w:tcPr>
          <w:p w:rsidR="00E329F7" w:rsidRPr="0031605C" w:rsidRDefault="00E329F7" w:rsidP="00AE1C26">
            <w:pPr>
              <w:jc w:val="center"/>
              <w:rPr>
                <w:rFonts w:cs="Calibri"/>
                <w:color w:val="000000"/>
                <w:lang w:eastAsia="en-GB"/>
              </w:rPr>
            </w:pPr>
            <w:r w:rsidRPr="0031605C">
              <w:rPr>
                <w:rFonts w:cs="Calibri"/>
                <w:color w:val="000000"/>
                <w:lang w:eastAsia="en-GB"/>
              </w:rPr>
              <w:t> </w:t>
            </w:r>
          </w:p>
        </w:tc>
        <w:tc>
          <w:tcPr>
            <w:tcW w:w="996" w:type="dxa"/>
            <w:tcBorders>
              <w:top w:val="nil"/>
              <w:left w:val="nil"/>
              <w:bottom w:val="nil"/>
              <w:right w:val="nil"/>
            </w:tcBorders>
            <w:shd w:val="clear" w:color="000000" w:fill="FFFFFF"/>
            <w:noWrap/>
            <w:vAlign w:val="bottom"/>
            <w:hideMark/>
          </w:tcPr>
          <w:p w:rsidR="00E329F7" w:rsidRPr="0031605C" w:rsidRDefault="00E329F7" w:rsidP="00AE1C26">
            <w:pPr>
              <w:jc w:val="right"/>
              <w:rPr>
                <w:rFonts w:cs="Calibri"/>
                <w:lang w:eastAsia="en-GB"/>
              </w:rPr>
            </w:pPr>
            <w:r w:rsidRPr="0031605C">
              <w:rPr>
                <w:rFonts w:cs="Calibri"/>
                <w:lang w:eastAsia="en-GB"/>
              </w:rPr>
              <w:t>2.7</w:t>
            </w:r>
          </w:p>
        </w:tc>
        <w:tc>
          <w:tcPr>
            <w:tcW w:w="796" w:type="dxa"/>
            <w:tcBorders>
              <w:top w:val="nil"/>
              <w:left w:val="nil"/>
              <w:bottom w:val="nil"/>
              <w:right w:val="nil"/>
            </w:tcBorders>
            <w:shd w:val="clear" w:color="000000" w:fill="FFFFFF"/>
            <w:noWrap/>
            <w:vAlign w:val="bottom"/>
            <w:hideMark/>
          </w:tcPr>
          <w:p w:rsidR="00E329F7" w:rsidRPr="0031605C" w:rsidRDefault="00E329F7" w:rsidP="00AE1C26">
            <w:pPr>
              <w:rPr>
                <w:rFonts w:cs="Calibri"/>
                <w:color w:val="000000"/>
                <w:lang w:eastAsia="en-GB"/>
              </w:rPr>
            </w:pPr>
            <w:r w:rsidRPr="0031605C">
              <w:rPr>
                <w:rFonts w:cs="Calibri"/>
                <w:color w:val="000000"/>
                <w:lang w:eastAsia="en-GB"/>
              </w:rPr>
              <w:t> </w:t>
            </w:r>
          </w:p>
        </w:tc>
        <w:tc>
          <w:tcPr>
            <w:tcW w:w="1176" w:type="dxa"/>
            <w:tcBorders>
              <w:top w:val="nil"/>
              <w:left w:val="nil"/>
              <w:bottom w:val="nil"/>
              <w:right w:val="nil"/>
            </w:tcBorders>
            <w:shd w:val="clear" w:color="000000" w:fill="FFFFFF"/>
            <w:noWrap/>
            <w:vAlign w:val="bottom"/>
            <w:hideMark/>
          </w:tcPr>
          <w:p w:rsidR="00E329F7" w:rsidRPr="0031605C" w:rsidRDefault="00E329F7" w:rsidP="00AE1C26">
            <w:pPr>
              <w:jc w:val="right"/>
              <w:rPr>
                <w:rFonts w:cs="Calibri"/>
                <w:lang w:eastAsia="en-GB"/>
              </w:rPr>
            </w:pPr>
            <w:r w:rsidRPr="0031605C">
              <w:rPr>
                <w:rFonts w:cs="Calibri"/>
                <w:lang w:eastAsia="en-GB"/>
              </w:rPr>
              <w:t>2.3</w:t>
            </w:r>
          </w:p>
        </w:tc>
      </w:tr>
      <w:tr w:rsidR="00E329F7" w:rsidRPr="0031605C" w:rsidTr="00AE1C26">
        <w:trPr>
          <w:trHeight w:val="299"/>
        </w:trPr>
        <w:tc>
          <w:tcPr>
            <w:tcW w:w="4236" w:type="dxa"/>
            <w:tcBorders>
              <w:top w:val="nil"/>
              <w:left w:val="nil"/>
              <w:bottom w:val="nil"/>
              <w:right w:val="nil"/>
            </w:tcBorders>
            <w:shd w:val="clear" w:color="000000" w:fill="FFFFFF"/>
            <w:noWrap/>
            <w:vAlign w:val="bottom"/>
            <w:hideMark/>
          </w:tcPr>
          <w:p w:rsidR="00E329F7" w:rsidRPr="0031605C" w:rsidRDefault="00E329F7" w:rsidP="00AE1C26">
            <w:pPr>
              <w:rPr>
                <w:rFonts w:cs="Calibri"/>
                <w:color w:val="000000"/>
                <w:lang w:eastAsia="en-GB"/>
              </w:rPr>
            </w:pPr>
            <w:r w:rsidRPr="0031605C">
              <w:rPr>
                <w:rFonts w:cs="Calibri"/>
                <w:color w:val="000000"/>
                <w:lang w:eastAsia="en-GB"/>
              </w:rPr>
              <w:t>Custody fees</w:t>
            </w:r>
          </w:p>
        </w:tc>
        <w:tc>
          <w:tcPr>
            <w:tcW w:w="996" w:type="dxa"/>
            <w:tcBorders>
              <w:top w:val="nil"/>
              <w:left w:val="nil"/>
              <w:bottom w:val="nil"/>
              <w:right w:val="nil"/>
            </w:tcBorders>
            <w:shd w:val="clear" w:color="000000" w:fill="FFFFFF"/>
            <w:noWrap/>
            <w:vAlign w:val="bottom"/>
            <w:hideMark/>
          </w:tcPr>
          <w:p w:rsidR="00E329F7" w:rsidRPr="0031605C" w:rsidRDefault="00E329F7" w:rsidP="00AE1C26">
            <w:pPr>
              <w:rPr>
                <w:rFonts w:cs="Calibri"/>
                <w:color w:val="000000"/>
                <w:lang w:eastAsia="en-GB"/>
              </w:rPr>
            </w:pPr>
            <w:r w:rsidRPr="0031605C">
              <w:rPr>
                <w:rFonts w:cs="Calibri"/>
                <w:color w:val="000000"/>
                <w:lang w:eastAsia="en-GB"/>
              </w:rPr>
              <w:t> </w:t>
            </w:r>
          </w:p>
        </w:tc>
        <w:tc>
          <w:tcPr>
            <w:tcW w:w="996" w:type="dxa"/>
            <w:tcBorders>
              <w:top w:val="nil"/>
              <w:left w:val="nil"/>
              <w:bottom w:val="nil"/>
              <w:right w:val="nil"/>
            </w:tcBorders>
            <w:shd w:val="clear" w:color="000000" w:fill="FFFFFF"/>
            <w:noWrap/>
            <w:vAlign w:val="bottom"/>
            <w:hideMark/>
          </w:tcPr>
          <w:p w:rsidR="00E329F7" w:rsidRPr="0031605C" w:rsidRDefault="00E329F7" w:rsidP="00AE1C26">
            <w:pPr>
              <w:jc w:val="right"/>
              <w:rPr>
                <w:rFonts w:cs="Calibri"/>
                <w:lang w:eastAsia="en-GB"/>
              </w:rPr>
            </w:pPr>
            <w:r w:rsidRPr="0031605C">
              <w:rPr>
                <w:rFonts w:cs="Calibri"/>
                <w:lang w:eastAsia="en-GB"/>
              </w:rPr>
              <w:t>0.1</w:t>
            </w:r>
          </w:p>
        </w:tc>
        <w:tc>
          <w:tcPr>
            <w:tcW w:w="796" w:type="dxa"/>
            <w:tcBorders>
              <w:top w:val="nil"/>
              <w:left w:val="nil"/>
              <w:bottom w:val="nil"/>
              <w:right w:val="nil"/>
            </w:tcBorders>
            <w:shd w:val="clear" w:color="000000" w:fill="FFFFFF"/>
            <w:noWrap/>
            <w:vAlign w:val="bottom"/>
            <w:hideMark/>
          </w:tcPr>
          <w:p w:rsidR="00E329F7" w:rsidRPr="0031605C" w:rsidRDefault="00E329F7" w:rsidP="00AE1C26">
            <w:pPr>
              <w:rPr>
                <w:rFonts w:cs="Calibri"/>
                <w:color w:val="000000"/>
                <w:lang w:eastAsia="en-GB"/>
              </w:rPr>
            </w:pPr>
            <w:r w:rsidRPr="0031605C">
              <w:rPr>
                <w:rFonts w:cs="Calibri"/>
                <w:color w:val="000000"/>
                <w:lang w:eastAsia="en-GB"/>
              </w:rPr>
              <w:t> </w:t>
            </w:r>
          </w:p>
        </w:tc>
        <w:tc>
          <w:tcPr>
            <w:tcW w:w="1176" w:type="dxa"/>
            <w:tcBorders>
              <w:top w:val="nil"/>
              <w:left w:val="nil"/>
              <w:bottom w:val="nil"/>
              <w:right w:val="nil"/>
            </w:tcBorders>
            <w:shd w:val="clear" w:color="000000" w:fill="FFFFFF"/>
            <w:noWrap/>
            <w:vAlign w:val="bottom"/>
            <w:hideMark/>
          </w:tcPr>
          <w:p w:rsidR="00E329F7" w:rsidRPr="0031605C" w:rsidRDefault="00E329F7" w:rsidP="00AE1C26">
            <w:pPr>
              <w:jc w:val="right"/>
              <w:rPr>
                <w:rFonts w:cs="Calibri"/>
                <w:lang w:eastAsia="en-GB"/>
              </w:rPr>
            </w:pPr>
            <w:r w:rsidRPr="0031605C">
              <w:rPr>
                <w:rFonts w:cs="Calibri"/>
                <w:lang w:eastAsia="en-GB"/>
              </w:rPr>
              <w:t>0.0</w:t>
            </w:r>
          </w:p>
        </w:tc>
      </w:tr>
      <w:tr w:rsidR="00E329F7" w:rsidRPr="0031605C" w:rsidTr="00AE1C26">
        <w:trPr>
          <w:trHeight w:val="299"/>
        </w:trPr>
        <w:tc>
          <w:tcPr>
            <w:tcW w:w="4236" w:type="dxa"/>
            <w:tcBorders>
              <w:top w:val="nil"/>
              <w:left w:val="nil"/>
              <w:bottom w:val="nil"/>
              <w:right w:val="nil"/>
            </w:tcBorders>
            <w:shd w:val="clear" w:color="000000" w:fill="FFFFFF"/>
            <w:noWrap/>
            <w:vAlign w:val="bottom"/>
            <w:hideMark/>
          </w:tcPr>
          <w:p w:rsidR="00E329F7" w:rsidRPr="0031605C" w:rsidRDefault="00E329F7" w:rsidP="00AE1C26">
            <w:pPr>
              <w:rPr>
                <w:rFonts w:cs="Calibri"/>
                <w:color w:val="000000"/>
                <w:lang w:eastAsia="en-GB"/>
              </w:rPr>
            </w:pPr>
            <w:r w:rsidRPr="0031605C">
              <w:rPr>
                <w:rFonts w:cs="Calibri"/>
                <w:color w:val="000000"/>
                <w:lang w:eastAsia="en-GB"/>
              </w:rPr>
              <w:t>One-off transaction costs</w:t>
            </w:r>
          </w:p>
        </w:tc>
        <w:tc>
          <w:tcPr>
            <w:tcW w:w="996" w:type="dxa"/>
            <w:tcBorders>
              <w:top w:val="nil"/>
              <w:left w:val="nil"/>
              <w:bottom w:val="nil"/>
              <w:right w:val="nil"/>
            </w:tcBorders>
            <w:shd w:val="clear" w:color="000000" w:fill="FFFFFF"/>
            <w:noWrap/>
            <w:vAlign w:val="bottom"/>
            <w:hideMark/>
          </w:tcPr>
          <w:p w:rsidR="00E329F7" w:rsidRPr="0031605C" w:rsidRDefault="00E329F7" w:rsidP="00AE1C26">
            <w:pPr>
              <w:rPr>
                <w:rFonts w:cs="Calibri"/>
                <w:color w:val="000000"/>
                <w:lang w:eastAsia="en-GB"/>
              </w:rPr>
            </w:pPr>
            <w:r w:rsidRPr="0031605C">
              <w:rPr>
                <w:rFonts w:cs="Calibri"/>
                <w:color w:val="000000"/>
                <w:lang w:eastAsia="en-GB"/>
              </w:rPr>
              <w:t> </w:t>
            </w:r>
          </w:p>
        </w:tc>
        <w:tc>
          <w:tcPr>
            <w:tcW w:w="996" w:type="dxa"/>
            <w:tcBorders>
              <w:top w:val="nil"/>
              <w:left w:val="nil"/>
              <w:bottom w:val="nil"/>
              <w:right w:val="nil"/>
            </w:tcBorders>
            <w:shd w:val="clear" w:color="000000" w:fill="FFFFFF"/>
            <w:noWrap/>
            <w:vAlign w:val="bottom"/>
            <w:hideMark/>
          </w:tcPr>
          <w:p w:rsidR="00E329F7" w:rsidRPr="0031605C" w:rsidRDefault="00E329F7" w:rsidP="00AE1C26">
            <w:pPr>
              <w:jc w:val="right"/>
              <w:rPr>
                <w:rFonts w:cs="Calibri"/>
                <w:lang w:eastAsia="en-GB"/>
              </w:rPr>
            </w:pPr>
            <w:r w:rsidRPr="0031605C">
              <w:rPr>
                <w:rFonts w:cs="Calibri"/>
                <w:lang w:eastAsia="en-GB"/>
              </w:rPr>
              <w:t>0.4</w:t>
            </w:r>
          </w:p>
        </w:tc>
        <w:tc>
          <w:tcPr>
            <w:tcW w:w="796" w:type="dxa"/>
            <w:tcBorders>
              <w:top w:val="nil"/>
              <w:left w:val="nil"/>
              <w:bottom w:val="nil"/>
              <w:right w:val="nil"/>
            </w:tcBorders>
            <w:shd w:val="clear" w:color="000000" w:fill="FFFFFF"/>
            <w:noWrap/>
            <w:vAlign w:val="bottom"/>
            <w:hideMark/>
          </w:tcPr>
          <w:p w:rsidR="00E329F7" w:rsidRPr="0031605C" w:rsidRDefault="00E329F7" w:rsidP="00AE1C26">
            <w:pPr>
              <w:rPr>
                <w:rFonts w:cs="Calibri"/>
                <w:color w:val="000000"/>
                <w:lang w:eastAsia="en-GB"/>
              </w:rPr>
            </w:pPr>
            <w:r w:rsidRPr="0031605C">
              <w:rPr>
                <w:rFonts w:cs="Calibri"/>
                <w:color w:val="000000"/>
                <w:lang w:eastAsia="en-GB"/>
              </w:rPr>
              <w:t> </w:t>
            </w:r>
          </w:p>
        </w:tc>
        <w:tc>
          <w:tcPr>
            <w:tcW w:w="1176" w:type="dxa"/>
            <w:tcBorders>
              <w:top w:val="nil"/>
              <w:left w:val="nil"/>
              <w:bottom w:val="nil"/>
              <w:right w:val="nil"/>
            </w:tcBorders>
            <w:shd w:val="clear" w:color="000000" w:fill="FFFFFF"/>
            <w:noWrap/>
            <w:vAlign w:val="bottom"/>
            <w:hideMark/>
          </w:tcPr>
          <w:p w:rsidR="00E329F7" w:rsidRPr="0031605C" w:rsidRDefault="00E329F7" w:rsidP="00AE1C26">
            <w:pPr>
              <w:jc w:val="right"/>
              <w:rPr>
                <w:rFonts w:cs="Calibri"/>
                <w:lang w:eastAsia="en-GB"/>
              </w:rPr>
            </w:pPr>
            <w:r w:rsidRPr="0031605C">
              <w:rPr>
                <w:rFonts w:cs="Calibri"/>
                <w:lang w:eastAsia="en-GB"/>
              </w:rPr>
              <w:t>0.0</w:t>
            </w:r>
          </w:p>
        </w:tc>
      </w:tr>
      <w:tr w:rsidR="00E329F7" w:rsidRPr="0031605C" w:rsidTr="00AE1C26">
        <w:trPr>
          <w:trHeight w:val="299"/>
        </w:trPr>
        <w:tc>
          <w:tcPr>
            <w:tcW w:w="4236" w:type="dxa"/>
            <w:tcBorders>
              <w:top w:val="nil"/>
              <w:left w:val="nil"/>
              <w:bottom w:val="nil"/>
              <w:right w:val="nil"/>
            </w:tcBorders>
            <w:shd w:val="clear" w:color="000000" w:fill="FFFFFF"/>
            <w:noWrap/>
            <w:vAlign w:val="bottom"/>
            <w:hideMark/>
          </w:tcPr>
          <w:p w:rsidR="00E329F7" w:rsidRPr="0031605C" w:rsidRDefault="00E329F7" w:rsidP="00AE1C26">
            <w:pPr>
              <w:rPr>
                <w:rFonts w:cs="Calibri"/>
                <w:color w:val="000000"/>
                <w:lang w:eastAsia="en-GB"/>
              </w:rPr>
            </w:pPr>
            <w:r w:rsidRPr="0031605C">
              <w:rPr>
                <w:rFonts w:cs="Calibri"/>
                <w:color w:val="000000"/>
                <w:lang w:eastAsia="en-GB"/>
              </w:rPr>
              <w:t> </w:t>
            </w:r>
          </w:p>
        </w:tc>
        <w:tc>
          <w:tcPr>
            <w:tcW w:w="996" w:type="dxa"/>
            <w:tcBorders>
              <w:top w:val="nil"/>
              <w:left w:val="nil"/>
              <w:bottom w:val="nil"/>
              <w:right w:val="nil"/>
            </w:tcBorders>
            <w:shd w:val="clear" w:color="000000" w:fill="FFFFFF"/>
            <w:noWrap/>
            <w:vAlign w:val="bottom"/>
            <w:hideMark/>
          </w:tcPr>
          <w:p w:rsidR="00E329F7" w:rsidRPr="0031605C" w:rsidRDefault="00E329F7" w:rsidP="00AE1C26">
            <w:pPr>
              <w:rPr>
                <w:rFonts w:cs="Calibri"/>
                <w:color w:val="000000"/>
                <w:lang w:eastAsia="en-GB"/>
              </w:rPr>
            </w:pPr>
            <w:r w:rsidRPr="0031605C">
              <w:rPr>
                <w:rFonts w:cs="Calibri"/>
                <w:color w:val="000000"/>
                <w:lang w:eastAsia="en-GB"/>
              </w:rPr>
              <w:t> </w:t>
            </w:r>
          </w:p>
        </w:tc>
        <w:tc>
          <w:tcPr>
            <w:tcW w:w="996" w:type="dxa"/>
            <w:tcBorders>
              <w:top w:val="nil"/>
              <w:left w:val="nil"/>
              <w:bottom w:val="nil"/>
              <w:right w:val="nil"/>
            </w:tcBorders>
            <w:shd w:val="clear" w:color="000000" w:fill="FFFFFF"/>
            <w:noWrap/>
            <w:vAlign w:val="bottom"/>
            <w:hideMark/>
          </w:tcPr>
          <w:p w:rsidR="00E329F7" w:rsidRPr="0031605C" w:rsidRDefault="00E329F7" w:rsidP="00AE1C26">
            <w:pPr>
              <w:rPr>
                <w:rFonts w:cs="Calibri"/>
                <w:color w:val="000000"/>
                <w:lang w:eastAsia="en-GB"/>
              </w:rPr>
            </w:pPr>
            <w:r w:rsidRPr="0031605C">
              <w:rPr>
                <w:rFonts w:cs="Calibri"/>
                <w:color w:val="000000"/>
                <w:lang w:eastAsia="en-GB"/>
              </w:rPr>
              <w:t> </w:t>
            </w:r>
          </w:p>
        </w:tc>
        <w:tc>
          <w:tcPr>
            <w:tcW w:w="796" w:type="dxa"/>
            <w:tcBorders>
              <w:top w:val="nil"/>
              <w:left w:val="nil"/>
              <w:bottom w:val="nil"/>
              <w:right w:val="nil"/>
            </w:tcBorders>
            <w:shd w:val="clear" w:color="000000" w:fill="FFFFFF"/>
            <w:noWrap/>
            <w:vAlign w:val="bottom"/>
            <w:hideMark/>
          </w:tcPr>
          <w:p w:rsidR="00E329F7" w:rsidRPr="0031605C" w:rsidRDefault="00E329F7" w:rsidP="00AE1C26">
            <w:pPr>
              <w:rPr>
                <w:rFonts w:cs="Calibri"/>
                <w:color w:val="000000"/>
                <w:lang w:eastAsia="en-GB"/>
              </w:rPr>
            </w:pPr>
            <w:r w:rsidRPr="0031605C">
              <w:rPr>
                <w:rFonts w:cs="Calibri"/>
                <w:color w:val="000000"/>
                <w:lang w:eastAsia="en-GB"/>
              </w:rPr>
              <w:t> </w:t>
            </w:r>
          </w:p>
        </w:tc>
        <w:tc>
          <w:tcPr>
            <w:tcW w:w="1176" w:type="dxa"/>
            <w:tcBorders>
              <w:top w:val="nil"/>
              <w:left w:val="nil"/>
              <w:bottom w:val="nil"/>
              <w:right w:val="nil"/>
            </w:tcBorders>
            <w:shd w:val="clear" w:color="000000" w:fill="FFFFFF"/>
            <w:noWrap/>
            <w:vAlign w:val="bottom"/>
            <w:hideMark/>
          </w:tcPr>
          <w:p w:rsidR="00E329F7" w:rsidRPr="0031605C" w:rsidRDefault="00E329F7" w:rsidP="00AE1C26">
            <w:pPr>
              <w:rPr>
                <w:rFonts w:cs="Calibri"/>
                <w:color w:val="000000"/>
                <w:lang w:eastAsia="en-GB"/>
              </w:rPr>
            </w:pPr>
            <w:r w:rsidRPr="0031605C">
              <w:rPr>
                <w:rFonts w:cs="Calibri"/>
                <w:color w:val="000000"/>
                <w:lang w:eastAsia="en-GB"/>
              </w:rPr>
              <w:t> </w:t>
            </w:r>
          </w:p>
        </w:tc>
      </w:tr>
      <w:tr w:rsidR="00E329F7" w:rsidRPr="0031605C" w:rsidTr="00AE1C26">
        <w:trPr>
          <w:trHeight w:val="299"/>
        </w:trPr>
        <w:tc>
          <w:tcPr>
            <w:tcW w:w="4236" w:type="dxa"/>
            <w:tcBorders>
              <w:top w:val="nil"/>
              <w:left w:val="nil"/>
              <w:bottom w:val="nil"/>
              <w:right w:val="nil"/>
            </w:tcBorders>
            <w:shd w:val="clear" w:color="000000" w:fill="FFFFFF"/>
            <w:noWrap/>
            <w:vAlign w:val="bottom"/>
            <w:hideMark/>
          </w:tcPr>
          <w:p w:rsidR="00E329F7" w:rsidRPr="0031605C" w:rsidRDefault="00E329F7" w:rsidP="00AE1C26">
            <w:pPr>
              <w:rPr>
                <w:rFonts w:cs="Calibri"/>
                <w:b/>
                <w:bCs/>
                <w:color w:val="000000"/>
                <w:lang w:eastAsia="en-GB"/>
              </w:rPr>
            </w:pPr>
            <w:r w:rsidRPr="0031605C">
              <w:rPr>
                <w:rFonts w:cs="Calibri"/>
                <w:b/>
                <w:bCs/>
                <w:color w:val="000000"/>
                <w:lang w:eastAsia="en-GB"/>
              </w:rPr>
              <w:t>Total</w:t>
            </w:r>
          </w:p>
        </w:tc>
        <w:tc>
          <w:tcPr>
            <w:tcW w:w="996" w:type="dxa"/>
            <w:tcBorders>
              <w:top w:val="nil"/>
              <w:left w:val="nil"/>
              <w:bottom w:val="nil"/>
              <w:right w:val="nil"/>
            </w:tcBorders>
            <w:shd w:val="clear" w:color="000000" w:fill="FFFFFF"/>
            <w:noWrap/>
            <w:vAlign w:val="bottom"/>
            <w:hideMark/>
          </w:tcPr>
          <w:p w:rsidR="00E329F7" w:rsidRPr="0031605C" w:rsidRDefault="00E329F7" w:rsidP="00AE1C26">
            <w:pPr>
              <w:rPr>
                <w:rFonts w:cs="Calibri"/>
                <w:color w:val="000000"/>
                <w:lang w:eastAsia="en-GB"/>
              </w:rPr>
            </w:pPr>
            <w:r w:rsidRPr="0031605C">
              <w:rPr>
                <w:rFonts w:cs="Calibri"/>
                <w:color w:val="000000"/>
                <w:lang w:eastAsia="en-GB"/>
              </w:rPr>
              <w:t> </w:t>
            </w:r>
          </w:p>
        </w:tc>
        <w:tc>
          <w:tcPr>
            <w:tcW w:w="996" w:type="dxa"/>
            <w:tcBorders>
              <w:top w:val="single" w:sz="4" w:space="0" w:color="auto"/>
              <w:left w:val="nil"/>
              <w:bottom w:val="double" w:sz="6" w:space="0" w:color="auto"/>
              <w:right w:val="nil"/>
            </w:tcBorders>
            <w:shd w:val="clear" w:color="000000" w:fill="FFFFFF"/>
            <w:noWrap/>
            <w:vAlign w:val="bottom"/>
            <w:hideMark/>
          </w:tcPr>
          <w:p w:rsidR="00E329F7" w:rsidRPr="0031605C" w:rsidRDefault="00E329F7" w:rsidP="00AE1C26">
            <w:pPr>
              <w:jc w:val="right"/>
              <w:rPr>
                <w:rFonts w:cs="Calibri"/>
                <w:b/>
                <w:bCs/>
                <w:color w:val="000000"/>
                <w:lang w:eastAsia="en-GB"/>
              </w:rPr>
            </w:pPr>
            <w:r w:rsidRPr="0031605C">
              <w:rPr>
                <w:rFonts w:cs="Calibri"/>
                <w:b/>
                <w:bCs/>
                <w:color w:val="000000"/>
                <w:lang w:eastAsia="en-GB"/>
              </w:rPr>
              <w:t>3.2</w:t>
            </w:r>
          </w:p>
        </w:tc>
        <w:tc>
          <w:tcPr>
            <w:tcW w:w="796" w:type="dxa"/>
            <w:tcBorders>
              <w:top w:val="single" w:sz="4" w:space="0" w:color="auto"/>
              <w:left w:val="nil"/>
              <w:bottom w:val="double" w:sz="6" w:space="0" w:color="auto"/>
              <w:right w:val="nil"/>
            </w:tcBorders>
            <w:shd w:val="clear" w:color="000000" w:fill="FFFFFF"/>
            <w:noWrap/>
            <w:vAlign w:val="bottom"/>
            <w:hideMark/>
          </w:tcPr>
          <w:p w:rsidR="00E329F7" w:rsidRPr="0031605C" w:rsidRDefault="00E329F7" w:rsidP="00AE1C26">
            <w:pPr>
              <w:rPr>
                <w:rFonts w:cs="Calibri"/>
                <w:b/>
                <w:bCs/>
                <w:color w:val="000000"/>
                <w:lang w:eastAsia="en-GB"/>
              </w:rPr>
            </w:pPr>
            <w:r w:rsidRPr="0031605C">
              <w:rPr>
                <w:rFonts w:cs="Calibri"/>
                <w:b/>
                <w:bCs/>
                <w:color w:val="000000"/>
                <w:lang w:eastAsia="en-GB"/>
              </w:rPr>
              <w:t> </w:t>
            </w:r>
          </w:p>
        </w:tc>
        <w:tc>
          <w:tcPr>
            <w:tcW w:w="1176" w:type="dxa"/>
            <w:tcBorders>
              <w:top w:val="single" w:sz="4" w:space="0" w:color="auto"/>
              <w:left w:val="nil"/>
              <w:bottom w:val="double" w:sz="6" w:space="0" w:color="auto"/>
              <w:right w:val="nil"/>
            </w:tcBorders>
            <w:shd w:val="clear" w:color="000000" w:fill="FFFFFF"/>
            <w:noWrap/>
            <w:vAlign w:val="bottom"/>
            <w:hideMark/>
          </w:tcPr>
          <w:p w:rsidR="00E329F7" w:rsidRPr="0031605C" w:rsidRDefault="00E329F7" w:rsidP="00AE1C26">
            <w:pPr>
              <w:jc w:val="right"/>
              <w:rPr>
                <w:rFonts w:cs="Calibri"/>
                <w:b/>
                <w:bCs/>
                <w:color w:val="000000"/>
                <w:lang w:eastAsia="en-GB"/>
              </w:rPr>
            </w:pPr>
            <w:r w:rsidRPr="0031605C">
              <w:rPr>
                <w:rFonts w:cs="Calibri"/>
                <w:b/>
                <w:bCs/>
                <w:color w:val="000000"/>
                <w:lang w:eastAsia="en-GB"/>
              </w:rPr>
              <w:t>2.3</w:t>
            </w:r>
          </w:p>
        </w:tc>
      </w:tr>
    </w:tbl>
    <w:p w:rsidR="00F72906" w:rsidRDefault="00F72906" w:rsidP="00E329F7"/>
    <w:p w:rsidR="00F72906" w:rsidRDefault="00F72906" w:rsidP="00F72906">
      <w:r>
        <w:t>Transaction costs are incremental costs that are directly attributable to the acquisition, issue or disposal of a financial liability {see Appendix A, paragraph AG13 of IAS 39}. An incremental cost is one that would not have been incurred if the authority had not acquired, issued or disposed of the financial instrument.</w:t>
      </w:r>
    </w:p>
    <w:p w:rsidR="00F72906" w:rsidRDefault="00E329F7" w:rsidP="00E329F7">
      <w:pPr>
        <w:pStyle w:val="Heading3"/>
      </w:pPr>
      <w:r>
        <w:t>1</w:t>
      </w:r>
      <w:r w:rsidR="00F72906">
        <w:t>2.  Investment income</w:t>
      </w:r>
    </w:p>
    <w:tbl>
      <w:tblPr>
        <w:tblW w:w="0" w:type="auto"/>
        <w:tblLook w:val="01E0" w:firstRow="1" w:lastRow="1" w:firstColumn="1" w:lastColumn="1" w:noHBand="0" w:noVBand="0"/>
      </w:tblPr>
      <w:tblGrid>
        <w:gridCol w:w="4820"/>
        <w:gridCol w:w="1701"/>
        <w:gridCol w:w="2081"/>
      </w:tblGrid>
      <w:tr w:rsidR="00E329F7" w:rsidRPr="00573022" w:rsidTr="00AE1C26">
        <w:tc>
          <w:tcPr>
            <w:tcW w:w="4820" w:type="dxa"/>
          </w:tcPr>
          <w:p w:rsidR="00E329F7" w:rsidRPr="00573022" w:rsidRDefault="00E329F7" w:rsidP="00AE1C26">
            <w:pPr>
              <w:widowControl w:val="0"/>
              <w:tabs>
                <w:tab w:val="left" w:pos="180"/>
                <w:tab w:val="right" w:pos="3060"/>
                <w:tab w:val="right" w:pos="4150"/>
              </w:tabs>
              <w:rPr>
                <w:rFonts w:cs="Segoe UI Light"/>
                <w:snapToGrid w:val="0"/>
                <w:color w:val="000000"/>
              </w:rPr>
            </w:pPr>
          </w:p>
        </w:tc>
        <w:tc>
          <w:tcPr>
            <w:tcW w:w="1701" w:type="dxa"/>
          </w:tcPr>
          <w:p w:rsidR="00E329F7" w:rsidRPr="00573022" w:rsidRDefault="00E329F7" w:rsidP="00AE1C26">
            <w:pPr>
              <w:widowControl w:val="0"/>
              <w:tabs>
                <w:tab w:val="left" w:pos="180"/>
                <w:tab w:val="right" w:pos="3060"/>
                <w:tab w:val="right" w:pos="4150"/>
              </w:tabs>
              <w:jc w:val="right"/>
              <w:rPr>
                <w:rFonts w:cs="Segoe UI Light"/>
                <w:b/>
                <w:snapToGrid w:val="0"/>
                <w:color w:val="000000"/>
              </w:rPr>
            </w:pPr>
            <w:r w:rsidRPr="00573022">
              <w:rPr>
                <w:rFonts w:cs="Segoe UI Light"/>
                <w:b/>
                <w:snapToGrid w:val="0"/>
                <w:color w:val="000000"/>
              </w:rPr>
              <w:t>201</w:t>
            </w:r>
            <w:r>
              <w:rPr>
                <w:rFonts w:cs="Segoe UI Light"/>
                <w:b/>
                <w:snapToGrid w:val="0"/>
                <w:color w:val="000000"/>
              </w:rPr>
              <w:t>8</w:t>
            </w:r>
            <w:r w:rsidRPr="00573022">
              <w:rPr>
                <w:rFonts w:cs="Segoe UI Light"/>
                <w:b/>
                <w:snapToGrid w:val="0"/>
                <w:color w:val="000000"/>
              </w:rPr>
              <w:t>/1</w:t>
            </w:r>
            <w:r>
              <w:rPr>
                <w:rFonts w:cs="Segoe UI Light"/>
                <w:b/>
                <w:snapToGrid w:val="0"/>
                <w:color w:val="000000"/>
              </w:rPr>
              <w:t>9</w:t>
            </w:r>
          </w:p>
        </w:tc>
        <w:tc>
          <w:tcPr>
            <w:tcW w:w="2081" w:type="dxa"/>
          </w:tcPr>
          <w:p w:rsidR="00E329F7" w:rsidRPr="00573022" w:rsidRDefault="00E329F7" w:rsidP="00AE1C26">
            <w:pPr>
              <w:widowControl w:val="0"/>
              <w:tabs>
                <w:tab w:val="left" w:pos="180"/>
                <w:tab w:val="right" w:pos="3060"/>
                <w:tab w:val="right" w:pos="4150"/>
              </w:tabs>
              <w:jc w:val="right"/>
              <w:rPr>
                <w:rFonts w:cs="Segoe UI Light"/>
                <w:b/>
                <w:snapToGrid w:val="0"/>
                <w:color w:val="000000"/>
              </w:rPr>
            </w:pPr>
            <w:r w:rsidRPr="00573022">
              <w:rPr>
                <w:rFonts w:cs="Segoe UI Light"/>
                <w:b/>
                <w:snapToGrid w:val="0"/>
                <w:color w:val="000000"/>
              </w:rPr>
              <w:t>201</w:t>
            </w:r>
            <w:r>
              <w:rPr>
                <w:rFonts w:cs="Segoe UI Light"/>
                <w:b/>
                <w:snapToGrid w:val="0"/>
                <w:color w:val="000000"/>
              </w:rPr>
              <w:t>9</w:t>
            </w:r>
            <w:r w:rsidRPr="00573022">
              <w:rPr>
                <w:rFonts w:cs="Segoe UI Light"/>
                <w:b/>
                <w:snapToGrid w:val="0"/>
                <w:color w:val="000000"/>
              </w:rPr>
              <w:t>/</w:t>
            </w:r>
            <w:r>
              <w:rPr>
                <w:rFonts w:cs="Segoe UI Light"/>
                <w:b/>
                <w:snapToGrid w:val="0"/>
                <w:color w:val="000000"/>
              </w:rPr>
              <w:t>20</w:t>
            </w:r>
          </w:p>
        </w:tc>
      </w:tr>
      <w:tr w:rsidR="00E329F7" w:rsidRPr="00573022" w:rsidTr="00AE1C26">
        <w:tc>
          <w:tcPr>
            <w:tcW w:w="4820" w:type="dxa"/>
          </w:tcPr>
          <w:p w:rsidR="00E329F7" w:rsidRPr="00573022" w:rsidRDefault="00E329F7" w:rsidP="00AE1C26">
            <w:pPr>
              <w:widowControl w:val="0"/>
              <w:tabs>
                <w:tab w:val="left" w:pos="180"/>
                <w:tab w:val="right" w:pos="3060"/>
                <w:tab w:val="right" w:pos="4150"/>
              </w:tabs>
              <w:rPr>
                <w:rFonts w:cs="Segoe UI Light"/>
                <w:snapToGrid w:val="0"/>
                <w:color w:val="000000"/>
              </w:rPr>
            </w:pPr>
          </w:p>
        </w:tc>
        <w:tc>
          <w:tcPr>
            <w:tcW w:w="1701" w:type="dxa"/>
          </w:tcPr>
          <w:p w:rsidR="00E329F7" w:rsidRPr="00573022" w:rsidRDefault="00E329F7" w:rsidP="00AE1C26">
            <w:pPr>
              <w:widowControl w:val="0"/>
              <w:tabs>
                <w:tab w:val="left" w:pos="180"/>
                <w:tab w:val="right" w:pos="3060"/>
                <w:tab w:val="right" w:pos="4150"/>
              </w:tabs>
              <w:jc w:val="right"/>
              <w:rPr>
                <w:rFonts w:cs="Segoe UI Light"/>
                <w:b/>
                <w:snapToGrid w:val="0"/>
                <w:color w:val="000000"/>
              </w:rPr>
            </w:pPr>
            <w:r w:rsidRPr="00573022">
              <w:rPr>
                <w:rFonts w:cs="Segoe UI Light"/>
                <w:b/>
                <w:snapToGrid w:val="0"/>
                <w:color w:val="000000"/>
              </w:rPr>
              <w:t>£m</w:t>
            </w:r>
          </w:p>
        </w:tc>
        <w:tc>
          <w:tcPr>
            <w:tcW w:w="2081" w:type="dxa"/>
          </w:tcPr>
          <w:p w:rsidR="00E329F7" w:rsidRPr="00573022" w:rsidRDefault="00E329F7" w:rsidP="00AE1C26">
            <w:pPr>
              <w:widowControl w:val="0"/>
              <w:tabs>
                <w:tab w:val="left" w:pos="180"/>
                <w:tab w:val="right" w:pos="3060"/>
                <w:tab w:val="right" w:pos="4150"/>
              </w:tabs>
              <w:jc w:val="right"/>
              <w:rPr>
                <w:rFonts w:cs="Segoe UI Light"/>
                <w:b/>
                <w:snapToGrid w:val="0"/>
                <w:color w:val="000000"/>
              </w:rPr>
            </w:pPr>
            <w:r w:rsidRPr="00573022">
              <w:rPr>
                <w:rFonts w:cs="Segoe UI Light"/>
                <w:b/>
                <w:snapToGrid w:val="0"/>
                <w:color w:val="000000"/>
              </w:rPr>
              <w:t>£m</w:t>
            </w:r>
          </w:p>
        </w:tc>
      </w:tr>
      <w:tr w:rsidR="00E329F7" w:rsidRPr="00573022" w:rsidTr="00AE1C26">
        <w:tc>
          <w:tcPr>
            <w:tcW w:w="4820" w:type="dxa"/>
          </w:tcPr>
          <w:p w:rsidR="00E329F7" w:rsidRPr="00573022" w:rsidRDefault="00E329F7" w:rsidP="00AE1C26">
            <w:pPr>
              <w:widowControl w:val="0"/>
              <w:tabs>
                <w:tab w:val="left" w:pos="180"/>
                <w:tab w:val="right" w:pos="3060"/>
                <w:tab w:val="right" w:pos="4150"/>
              </w:tabs>
              <w:rPr>
                <w:rFonts w:cs="Segoe UI Light"/>
                <w:snapToGrid w:val="0"/>
                <w:color w:val="000000"/>
              </w:rPr>
            </w:pPr>
            <w:r w:rsidRPr="00573022">
              <w:rPr>
                <w:rFonts w:cs="Segoe UI Light"/>
                <w:snapToGrid w:val="0"/>
                <w:color w:val="000000"/>
              </w:rPr>
              <w:t>Dividend income private equities/infrastructure</w:t>
            </w:r>
          </w:p>
        </w:tc>
        <w:tc>
          <w:tcPr>
            <w:tcW w:w="1701" w:type="dxa"/>
          </w:tcPr>
          <w:p w:rsidR="00E329F7" w:rsidRPr="00573022" w:rsidRDefault="00E329F7" w:rsidP="00AE1C26">
            <w:pPr>
              <w:widowControl w:val="0"/>
              <w:tabs>
                <w:tab w:val="left" w:pos="180"/>
                <w:tab w:val="right" w:pos="3060"/>
                <w:tab w:val="right" w:pos="4150"/>
              </w:tabs>
              <w:jc w:val="right"/>
              <w:rPr>
                <w:rFonts w:cs="Segoe UI Light"/>
                <w:snapToGrid w:val="0"/>
                <w:color w:val="000000"/>
              </w:rPr>
            </w:pPr>
            <w:r w:rsidRPr="00573022">
              <w:rPr>
                <w:rFonts w:cs="Segoe UI Light"/>
                <w:snapToGrid w:val="0"/>
                <w:color w:val="000000"/>
              </w:rPr>
              <w:t>0.2</w:t>
            </w:r>
          </w:p>
        </w:tc>
        <w:tc>
          <w:tcPr>
            <w:tcW w:w="2081" w:type="dxa"/>
            <w:tcBorders>
              <w:top w:val="nil"/>
              <w:left w:val="nil"/>
              <w:bottom w:val="nil"/>
              <w:right w:val="nil"/>
            </w:tcBorders>
            <w:shd w:val="clear" w:color="auto" w:fill="auto"/>
            <w:vAlign w:val="bottom"/>
          </w:tcPr>
          <w:p w:rsidR="00E329F7" w:rsidRPr="00573022" w:rsidRDefault="00E329F7" w:rsidP="00AE1C26">
            <w:pPr>
              <w:widowControl w:val="0"/>
              <w:tabs>
                <w:tab w:val="left" w:pos="180"/>
                <w:tab w:val="right" w:pos="3060"/>
                <w:tab w:val="right" w:pos="4150"/>
              </w:tabs>
              <w:jc w:val="right"/>
              <w:rPr>
                <w:rFonts w:cs="Segoe UI Light"/>
                <w:snapToGrid w:val="0"/>
                <w:color w:val="000000"/>
              </w:rPr>
            </w:pPr>
            <w:r>
              <w:rPr>
                <w:rFonts w:cs="Calibri"/>
              </w:rPr>
              <w:t>0.5</w:t>
            </w:r>
          </w:p>
        </w:tc>
      </w:tr>
      <w:tr w:rsidR="00E329F7" w:rsidRPr="00573022" w:rsidTr="00AE1C26">
        <w:tc>
          <w:tcPr>
            <w:tcW w:w="4820" w:type="dxa"/>
          </w:tcPr>
          <w:p w:rsidR="00E329F7" w:rsidRPr="00573022" w:rsidRDefault="00E329F7" w:rsidP="00AE1C26">
            <w:pPr>
              <w:widowControl w:val="0"/>
              <w:tabs>
                <w:tab w:val="left" w:pos="180"/>
                <w:tab w:val="right" w:pos="3060"/>
                <w:tab w:val="right" w:pos="4150"/>
              </w:tabs>
              <w:rPr>
                <w:rFonts w:cs="Segoe UI Light"/>
                <w:snapToGrid w:val="0"/>
                <w:color w:val="000000"/>
              </w:rPr>
            </w:pPr>
            <w:r w:rsidRPr="00573022">
              <w:rPr>
                <w:rFonts w:cs="Segoe UI Light"/>
                <w:snapToGrid w:val="0"/>
                <w:color w:val="000000"/>
              </w:rPr>
              <w:t>Income from Pooled property investments</w:t>
            </w:r>
          </w:p>
        </w:tc>
        <w:tc>
          <w:tcPr>
            <w:tcW w:w="1701" w:type="dxa"/>
          </w:tcPr>
          <w:p w:rsidR="00E329F7" w:rsidRPr="00573022" w:rsidRDefault="00E329F7" w:rsidP="00AE1C26">
            <w:pPr>
              <w:widowControl w:val="0"/>
              <w:tabs>
                <w:tab w:val="left" w:pos="180"/>
                <w:tab w:val="right" w:pos="3060"/>
                <w:tab w:val="right" w:pos="4150"/>
              </w:tabs>
              <w:jc w:val="right"/>
              <w:rPr>
                <w:rFonts w:cs="Segoe UI Light"/>
                <w:snapToGrid w:val="0"/>
                <w:color w:val="000000"/>
              </w:rPr>
            </w:pPr>
            <w:r w:rsidRPr="00573022">
              <w:rPr>
                <w:rFonts w:cs="Segoe UI Light"/>
                <w:snapToGrid w:val="0"/>
                <w:color w:val="000000"/>
              </w:rPr>
              <w:t>0.5</w:t>
            </w:r>
          </w:p>
        </w:tc>
        <w:tc>
          <w:tcPr>
            <w:tcW w:w="2081" w:type="dxa"/>
            <w:tcBorders>
              <w:top w:val="nil"/>
              <w:left w:val="nil"/>
              <w:bottom w:val="nil"/>
              <w:right w:val="nil"/>
            </w:tcBorders>
            <w:shd w:val="clear" w:color="auto" w:fill="auto"/>
            <w:vAlign w:val="bottom"/>
          </w:tcPr>
          <w:p w:rsidR="00E329F7" w:rsidRPr="00573022" w:rsidRDefault="00E329F7" w:rsidP="00AE1C26">
            <w:pPr>
              <w:widowControl w:val="0"/>
              <w:tabs>
                <w:tab w:val="left" w:pos="180"/>
                <w:tab w:val="right" w:pos="3060"/>
                <w:tab w:val="right" w:pos="4150"/>
              </w:tabs>
              <w:jc w:val="right"/>
              <w:rPr>
                <w:rFonts w:cs="Segoe UI Light"/>
                <w:snapToGrid w:val="0"/>
                <w:color w:val="000000"/>
              </w:rPr>
            </w:pPr>
            <w:r>
              <w:rPr>
                <w:rFonts w:cs="Calibri"/>
              </w:rPr>
              <w:t>0.1</w:t>
            </w:r>
          </w:p>
        </w:tc>
      </w:tr>
      <w:tr w:rsidR="00E329F7" w:rsidRPr="00573022" w:rsidTr="00AE1C26">
        <w:tc>
          <w:tcPr>
            <w:tcW w:w="4820" w:type="dxa"/>
          </w:tcPr>
          <w:p w:rsidR="00E329F7" w:rsidRPr="00573022" w:rsidRDefault="00E329F7" w:rsidP="00AE1C26">
            <w:pPr>
              <w:widowControl w:val="0"/>
              <w:tabs>
                <w:tab w:val="left" w:pos="180"/>
                <w:tab w:val="right" w:pos="3060"/>
                <w:tab w:val="right" w:pos="4150"/>
              </w:tabs>
              <w:rPr>
                <w:rFonts w:cs="Segoe UI Light"/>
                <w:snapToGrid w:val="0"/>
                <w:color w:val="000000"/>
              </w:rPr>
            </w:pPr>
            <w:r w:rsidRPr="00573022">
              <w:rPr>
                <w:rFonts w:cs="Segoe UI Light"/>
                <w:snapToGrid w:val="0"/>
                <w:color w:val="000000"/>
              </w:rPr>
              <w:t>Income from private equities/infrastructure</w:t>
            </w:r>
          </w:p>
        </w:tc>
        <w:tc>
          <w:tcPr>
            <w:tcW w:w="1701" w:type="dxa"/>
          </w:tcPr>
          <w:p w:rsidR="00E329F7" w:rsidRPr="00573022" w:rsidRDefault="00E329F7" w:rsidP="00AE1C26">
            <w:pPr>
              <w:widowControl w:val="0"/>
              <w:tabs>
                <w:tab w:val="left" w:pos="180"/>
                <w:tab w:val="right" w:pos="3060"/>
                <w:tab w:val="right" w:pos="4150"/>
              </w:tabs>
              <w:jc w:val="right"/>
              <w:rPr>
                <w:rFonts w:cs="Segoe UI Light"/>
                <w:snapToGrid w:val="0"/>
                <w:color w:val="000000"/>
              </w:rPr>
            </w:pPr>
            <w:r w:rsidRPr="00573022">
              <w:rPr>
                <w:rFonts w:cs="Segoe UI Light"/>
                <w:snapToGrid w:val="0"/>
                <w:color w:val="000000"/>
              </w:rPr>
              <w:t>0.2</w:t>
            </w:r>
          </w:p>
        </w:tc>
        <w:tc>
          <w:tcPr>
            <w:tcW w:w="2081" w:type="dxa"/>
            <w:tcBorders>
              <w:top w:val="nil"/>
              <w:left w:val="nil"/>
              <w:bottom w:val="nil"/>
              <w:right w:val="nil"/>
            </w:tcBorders>
            <w:shd w:val="clear" w:color="auto" w:fill="auto"/>
            <w:vAlign w:val="bottom"/>
          </w:tcPr>
          <w:p w:rsidR="00E329F7" w:rsidRPr="00573022" w:rsidRDefault="00E329F7" w:rsidP="00AE1C26">
            <w:pPr>
              <w:widowControl w:val="0"/>
              <w:tabs>
                <w:tab w:val="left" w:pos="180"/>
                <w:tab w:val="right" w:pos="3060"/>
                <w:tab w:val="right" w:pos="4150"/>
              </w:tabs>
              <w:jc w:val="right"/>
              <w:rPr>
                <w:rFonts w:cs="Segoe UI Light"/>
                <w:snapToGrid w:val="0"/>
                <w:color w:val="000000"/>
              </w:rPr>
            </w:pPr>
            <w:r>
              <w:rPr>
                <w:rFonts w:cs="Calibri"/>
              </w:rPr>
              <w:t>0.3</w:t>
            </w:r>
          </w:p>
        </w:tc>
      </w:tr>
      <w:tr w:rsidR="00E329F7" w:rsidRPr="00573022" w:rsidTr="00AE1C26">
        <w:tc>
          <w:tcPr>
            <w:tcW w:w="4820" w:type="dxa"/>
          </w:tcPr>
          <w:p w:rsidR="00E329F7" w:rsidRPr="00573022" w:rsidRDefault="00E329F7" w:rsidP="00AE1C26">
            <w:pPr>
              <w:widowControl w:val="0"/>
              <w:tabs>
                <w:tab w:val="left" w:pos="180"/>
                <w:tab w:val="right" w:pos="3060"/>
                <w:tab w:val="right" w:pos="4150"/>
              </w:tabs>
              <w:rPr>
                <w:rFonts w:cs="Segoe UI Light"/>
                <w:snapToGrid w:val="0"/>
                <w:color w:val="000000"/>
              </w:rPr>
            </w:pPr>
            <w:r w:rsidRPr="00573022">
              <w:rPr>
                <w:rFonts w:cs="Segoe UI Light"/>
                <w:snapToGrid w:val="0"/>
                <w:color w:val="000000"/>
              </w:rPr>
              <w:t>Interest on cash deposits</w:t>
            </w:r>
          </w:p>
        </w:tc>
        <w:tc>
          <w:tcPr>
            <w:tcW w:w="1701" w:type="dxa"/>
          </w:tcPr>
          <w:p w:rsidR="00E329F7" w:rsidRPr="00573022" w:rsidRDefault="00E329F7" w:rsidP="00AE1C26">
            <w:pPr>
              <w:widowControl w:val="0"/>
              <w:tabs>
                <w:tab w:val="left" w:pos="180"/>
                <w:tab w:val="right" w:pos="3060"/>
                <w:tab w:val="right" w:pos="4150"/>
              </w:tabs>
              <w:jc w:val="right"/>
              <w:rPr>
                <w:rFonts w:cs="Segoe UI Light"/>
                <w:snapToGrid w:val="0"/>
                <w:color w:val="000000"/>
              </w:rPr>
            </w:pPr>
            <w:r w:rsidRPr="00573022">
              <w:rPr>
                <w:rFonts w:cs="Segoe UI Light"/>
                <w:snapToGrid w:val="0"/>
                <w:color w:val="000000"/>
              </w:rPr>
              <w:t>0.5</w:t>
            </w:r>
          </w:p>
        </w:tc>
        <w:tc>
          <w:tcPr>
            <w:tcW w:w="2081" w:type="dxa"/>
            <w:tcBorders>
              <w:top w:val="nil"/>
              <w:left w:val="nil"/>
              <w:bottom w:val="nil"/>
              <w:right w:val="nil"/>
            </w:tcBorders>
            <w:shd w:val="clear" w:color="auto" w:fill="auto"/>
            <w:vAlign w:val="bottom"/>
          </w:tcPr>
          <w:p w:rsidR="00E329F7" w:rsidRPr="00573022" w:rsidRDefault="00E329F7" w:rsidP="00AE1C26">
            <w:pPr>
              <w:widowControl w:val="0"/>
              <w:tabs>
                <w:tab w:val="left" w:pos="180"/>
                <w:tab w:val="right" w:pos="3060"/>
                <w:tab w:val="right" w:pos="4150"/>
              </w:tabs>
              <w:jc w:val="right"/>
              <w:rPr>
                <w:rFonts w:cs="Segoe UI Light"/>
                <w:snapToGrid w:val="0"/>
                <w:color w:val="000000"/>
              </w:rPr>
            </w:pPr>
            <w:r>
              <w:rPr>
                <w:rFonts w:cs="Calibri"/>
              </w:rPr>
              <w:t>0.3</w:t>
            </w:r>
          </w:p>
        </w:tc>
      </w:tr>
      <w:tr w:rsidR="00E329F7" w:rsidRPr="00573022" w:rsidTr="00AE1C26">
        <w:tc>
          <w:tcPr>
            <w:tcW w:w="4820" w:type="dxa"/>
          </w:tcPr>
          <w:p w:rsidR="00E329F7" w:rsidRPr="00573022" w:rsidRDefault="00E329F7" w:rsidP="00AE1C26">
            <w:pPr>
              <w:widowControl w:val="0"/>
              <w:tabs>
                <w:tab w:val="left" w:pos="180"/>
                <w:tab w:val="right" w:pos="3060"/>
                <w:tab w:val="right" w:pos="4150"/>
              </w:tabs>
              <w:rPr>
                <w:rFonts w:cs="Segoe UI Light"/>
                <w:b/>
                <w:snapToGrid w:val="0"/>
                <w:color w:val="000000"/>
              </w:rPr>
            </w:pPr>
            <w:r w:rsidRPr="00573022">
              <w:rPr>
                <w:rFonts w:cs="Segoe UI Light"/>
                <w:b/>
                <w:snapToGrid w:val="0"/>
                <w:color w:val="000000"/>
              </w:rPr>
              <w:t>Total</w:t>
            </w:r>
          </w:p>
        </w:tc>
        <w:tc>
          <w:tcPr>
            <w:tcW w:w="1701" w:type="dxa"/>
            <w:tcBorders>
              <w:top w:val="single" w:sz="4" w:space="0" w:color="auto"/>
            </w:tcBorders>
          </w:tcPr>
          <w:p w:rsidR="00E329F7" w:rsidRPr="00573022" w:rsidRDefault="00E329F7" w:rsidP="00AE1C26">
            <w:pPr>
              <w:widowControl w:val="0"/>
              <w:tabs>
                <w:tab w:val="left" w:pos="180"/>
                <w:tab w:val="right" w:pos="3060"/>
                <w:tab w:val="right" w:pos="4150"/>
              </w:tabs>
              <w:jc w:val="right"/>
              <w:rPr>
                <w:rFonts w:cs="Segoe UI Light"/>
                <w:b/>
                <w:snapToGrid w:val="0"/>
                <w:color w:val="000000"/>
              </w:rPr>
            </w:pPr>
            <w:r w:rsidRPr="00573022">
              <w:rPr>
                <w:rFonts w:cs="Segoe UI Light"/>
                <w:b/>
                <w:snapToGrid w:val="0"/>
                <w:color w:val="000000"/>
              </w:rPr>
              <w:t>1.</w:t>
            </w:r>
            <w:r>
              <w:rPr>
                <w:rFonts w:cs="Segoe UI Light"/>
                <w:b/>
                <w:snapToGrid w:val="0"/>
                <w:color w:val="000000"/>
              </w:rPr>
              <w:t>4</w:t>
            </w:r>
          </w:p>
        </w:tc>
        <w:tc>
          <w:tcPr>
            <w:tcW w:w="2081" w:type="dxa"/>
            <w:tcBorders>
              <w:top w:val="single" w:sz="4" w:space="0" w:color="auto"/>
            </w:tcBorders>
          </w:tcPr>
          <w:p w:rsidR="00E329F7" w:rsidRPr="00573022" w:rsidRDefault="00E329F7" w:rsidP="00AE1C26">
            <w:pPr>
              <w:widowControl w:val="0"/>
              <w:tabs>
                <w:tab w:val="left" w:pos="180"/>
                <w:tab w:val="right" w:pos="3060"/>
                <w:tab w:val="right" w:pos="4150"/>
              </w:tabs>
              <w:jc w:val="right"/>
              <w:rPr>
                <w:rFonts w:cs="Segoe UI Light"/>
                <w:b/>
                <w:snapToGrid w:val="0"/>
                <w:color w:val="000000"/>
              </w:rPr>
            </w:pPr>
            <w:r w:rsidRPr="00573022">
              <w:rPr>
                <w:rFonts w:cs="Segoe UI Light"/>
                <w:b/>
                <w:snapToGrid w:val="0"/>
                <w:color w:val="000000"/>
              </w:rPr>
              <w:t>1.</w:t>
            </w:r>
            <w:r>
              <w:rPr>
                <w:rFonts w:cs="Segoe UI Light"/>
                <w:b/>
                <w:snapToGrid w:val="0"/>
                <w:color w:val="000000"/>
              </w:rPr>
              <w:t>2</w:t>
            </w:r>
          </w:p>
        </w:tc>
      </w:tr>
    </w:tbl>
    <w:p w:rsidR="00F72906" w:rsidRDefault="00F72906" w:rsidP="00E329F7">
      <w:pPr>
        <w:pStyle w:val="Heading3"/>
      </w:pPr>
      <w:r>
        <w:t>13.  Taxes on income</w:t>
      </w:r>
    </w:p>
    <w:p w:rsidR="00E329F7" w:rsidRDefault="00F72906" w:rsidP="00E329F7">
      <w:r>
        <w:tab/>
      </w:r>
    </w:p>
    <w:tbl>
      <w:tblPr>
        <w:tblW w:w="0" w:type="auto"/>
        <w:tblLook w:val="01E0" w:firstRow="1" w:lastRow="1" w:firstColumn="1" w:lastColumn="1" w:noHBand="0" w:noVBand="0"/>
      </w:tblPr>
      <w:tblGrid>
        <w:gridCol w:w="4820"/>
        <w:gridCol w:w="1701"/>
        <w:gridCol w:w="2068"/>
      </w:tblGrid>
      <w:tr w:rsidR="00E329F7" w:rsidRPr="00A6358B" w:rsidTr="00AE1C26">
        <w:tc>
          <w:tcPr>
            <w:tcW w:w="4820" w:type="dxa"/>
          </w:tcPr>
          <w:p w:rsidR="00E329F7" w:rsidRPr="00A6358B" w:rsidRDefault="00E329F7" w:rsidP="00AE1C26">
            <w:pPr>
              <w:widowControl w:val="0"/>
              <w:tabs>
                <w:tab w:val="left" w:pos="180"/>
                <w:tab w:val="right" w:pos="3060"/>
                <w:tab w:val="right" w:pos="4150"/>
              </w:tabs>
              <w:rPr>
                <w:rFonts w:cs="Segoe UI Light"/>
                <w:snapToGrid w:val="0"/>
                <w:color w:val="000000"/>
              </w:rPr>
            </w:pPr>
          </w:p>
        </w:tc>
        <w:tc>
          <w:tcPr>
            <w:tcW w:w="1701" w:type="dxa"/>
          </w:tcPr>
          <w:p w:rsidR="00E329F7" w:rsidRPr="00A6358B" w:rsidRDefault="00E329F7" w:rsidP="00AE1C26">
            <w:pPr>
              <w:widowControl w:val="0"/>
              <w:tabs>
                <w:tab w:val="left" w:pos="180"/>
                <w:tab w:val="right" w:pos="3060"/>
                <w:tab w:val="right" w:pos="4150"/>
              </w:tabs>
              <w:jc w:val="right"/>
              <w:rPr>
                <w:rFonts w:cs="Segoe UI Light"/>
                <w:b/>
                <w:snapToGrid w:val="0"/>
                <w:color w:val="000000"/>
              </w:rPr>
            </w:pPr>
            <w:r w:rsidRPr="00A6358B">
              <w:rPr>
                <w:rFonts w:cs="Segoe UI Light"/>
                <w:b/>
                <w:snapToGrid w:val="0"/>
                <w:color w:val="000000"/>
              </w:rPr>
              <w:t>2018/19</w:t>
            </w:r>
          </w:p>
        </w:tc>
        <w:tc>
          <w:tcPr>
            <w:tcW w:w="2068" w:type="dxa"/>
          </w:tcPr>
          <w:p w:rsidR="00E329F7" w:rsidRPr="00A6358B" w:rsidRDefault="00E329F7" w:rsidP="00AE1C26">
            <w:pPr>
              <w:widowControl w:val="0"/>
              <w:tabs>
                <w:tab w:val="left" w:pos="180"/>
                <w:tab w:val="right" w:pos="3060"/>
                <w:tab w:val="right" w:pos="4150"/>
              </w:tabs>
              <w:jc w:val="right"/>
              <w:rPr>
                <w:rFonts w:cs="Segoe UI Light"/>
                <w:b/>
                <w:snapToGrid w:val="0"/>
                <w:color w:val="000000"/>
              </w:rPr>
            </w:pPr>
            <w:r w:rsidRPr="00A6358B">
              <w:rPr>
                <w:rFonts w:cs="Segoe UI Light"/>
                <w:b/>
                <w:snapToGrid w:val="0"/>
                <w:color w:val="000000"/>
              </w:rPr>
              <w:t>2019/20</w:t>
            </w:r>
          </w:p>
        </w:tc>
      </w:tr>
      <w:tr w:rsidR="00E329F7" w:rsidRPr="00A6358B" w:rsidTr="00AE1C26">
        <w:tc>
          <w:tcPr>
            <w:tcW w:w="4820" w:type="dxa"/>
          </w:tcPr>
          <w:p w:rsidR="00E329F7" w:rsidRPr="00A6358B" w:rsidRDefault="00E329F7" w:rsidP="00AE1C26">
            <w:pPr>
              <w:widowControl w:val="0"/>
              <w:tabs>
                <w:tab w:val="left" w:pos="180"/>
                <w:tab w:val="right" w:pos="3060"/>
                <w:tab w:val="right" w:pos="4150"/>
              </w:tabs>
              <w:rPr>
                <w:rFonts w:cs="Segoe UI Light"/>
                <w:snapToGrid w:val="0"/>
                <w:color w:val="000000"/>
              </w:rPr>
            </w:pPr>
          </w:p>
        </w:tc>
        <w:tc>
          <w:tcPr>
            <w:tcW w:w="1701" w:type="dxa"/>
          </w:tcPr>
          <w:p w:rsidR="00E329F7" w:rsidRPr="00A6358B" w:rsidRDefault="00E329F7" w:rsidP="00AE1C26">
            <w:pPr>
              <w:widowControl w:val="0"/>
              <w:tabs>
                <w:tab w:val="left" w:pos="180"/>
                <w:tab w:val="right" w:pos="3060"/>
                <w:tab w:val="right" w:pos="4150"/>
              </w:tabs>
              <w:jc w:val="right"/>
              <w:rPr>
                <w:rFonts w:cs="Segoe UI Light"/>
                <w:b/>
                <w:snapToGrid w:val="0"/>
                <w:color w:val="000000"/>
              </w:rPr>
            </w:pPr>
            <w:r w:rsidRPr="00A6358B">
              <w:rPr>
                <w:rFonts w:cs="Segoe UI Light"/>
                <w:b/>
                <w:snapToGrid w:val="0"/>
                <w:color w:val="000000"/>
              </w:rPr>
              <w:t>£m</w:t>
            </w:r>
          </w:p>
        </w:tc>
        <w:tc>
          <w:tcPr>
            <w:tcW w:w="2068" w:type="dxa"/>
          </w:tcPr>
          <w:p w:rsidR="00E329F7" w:rsidRPr="00A6358B" w:rsidRDefault="00E329F7" w:rsidP="00AE1C26">
            <w:pPr>
              <w:widowControl w:val="0"/>
              <w:tabs>
                <w:tab w:val="left" w:pos="180"/>
                <w:tab w:val="right" w:pos="3060"/>
                <w:tab w:val="right" w:pos="4150"/>
              </w:tabs>
              <w:jc w:val="right"/>
              <w:rPr>
                <w:rFonts w:cs="Segoe UI Light"/>
                <w:b/>
                <w:snapToGrid w:val="0"/>
                <w:color w:val="000000"/>
              </w:rPr>
            </w:pPr>
            <w:r w:rsidRPr="00A6358B">
              <w:rPr>
                <w:rFonts w:cs="Segoe UI Light"/>
                <w:b/>
                <w:snapToGrid w:val="0"/>
                <w:color w:val="000000"/>
              </w:rPr>
              <w:t>£m</w:t>
            </w:r>
          </w:p>
        </w:tc>
      </w:tr>
      <w:tr w:rsidR="00E329F7" w:rsidRPr="00A6358B" w:rsidTr="00AE1C26">
        <w:tc>
          <w:tcPr>
            <w:tcW w:w="4820" w:type="dxa"/>
          </w:tcPr>
          <w:p w:rsidR="00E329F7" w:rsidRPr="00A6358B" w:rsidRDefault="00E329F7" w:rsidP="00AE1C26">
            <w:pPr>
              <w:widowControl w:val="0"/>
              <w:tabs>
                <w:tab w:val="left" w:pos="180"/>
                <w:tab w:val="right" w:pos="3060"/>
                <w:tab w:val="right" w:pos="4150"/>
              </w:tabs>
              <w:rPr>
                <w:rFonts w:cs="Segoe UI Light"/>
                <w:snapToGrid w:val="0"/>
                <w:color w:val="000000"/>
              </w:rPr>
            </w:pPr>
            <w:r w:rsidRPr="00A6358B">
              <w:rPr>
                <w:rFonts w:cs="Segoe UI Light"/>
                <w:snapToGrid w:val="0"/>
                <w:color w:val="000000" w:themeColor="text1"/>
              </w:rPr>
              <w:t>Withholding tax</w:t>
            </w:r>
          </w:p>
        </w:tc>
        <w:tc>
          <w:tcPr>
            <w:tcW w:w="1701" w:type="dxa"/>
          </w:tcPr>
          <w:p w:rsidR="00E329F7" w:rsidRPr="00A6358B" w:rsidRDefault="00E329F7" w:rsidP="00AE1C26">
            <w:pPr>
              <w:widowControl w:val="0"/>
              <w:tabs>
                <w:tab w:val="left" w:pos="180"/>
                <w:tab w:val="right" w:pos="3060"/>
                <w:tab w:val="right" w:pos="4150"/>
              </w:tabs>
              <w:jc w:val="right"/>
              <w:rPr>
                <w:rFonts w:cs="Segoe UI Light"/>
                <w:snapToGrid w:val="0"/>
                <w:color w:val="000000"/>
              </w:rPr>
            </w:pPr>
            <w:r w:rsidRPr="00A6358B">
              <w:rPr>
                <w:rFonts w:cs="Segoe UI Light"/>
                <w:snapToGrid w:val="0"/>
                <w:color w:val="000000"/>
              </w:rPr>
              <w:t>0.0</w:t>
            </w:r>
          </w:p>
        </w:tc>
        <w:tc>
          <w:tcPr>
            <w:tcW w:w="2068" w:type="dxa"/>
          </w:tcPr>
          <w:p w:rsidR="00E329F7" w:rsidRPr="00A6358B" w:rsidRDefault="00E329F7" w:rsidP="00AE1C26">
            <w:pPr>
              <w:widowControl w:val="0"/>
              <w:tabs>
                <w:tab w:val="left" w:pos="180"/>
                <w:tab w:val="right" w:pos="3060"/>
                <w:tab w:val="right" w:pos="4150"/>
              </w:tabs>
              <w:jc w:val="right"/>
              <w:rPr>
                <w:rFonts w:cs="Segoe UI Light"/>
                <w:snapToGrid w:val="0"/>
                <w:color w:val="000000"/>
              </w:rPr>
            </w:pPr>
            <w:r w:rsidRPr="00A6358B">
              <w:rPr>
                <w:rFonts w:cs="Segoe UI Light"/>
                <w:snapToGrid w:val="0"/>
                <w:color w:val="000000"/>
              </w:rPr>
              <w:t>0.0</w:t>
            </w:r>
          </w:p>
        </w:tc>
      </w:tr>
      <w:tr w:rsidR="00E329F7" w:rsidRPr="00A6358B" w:rsidTr="00AE1C26">
        <w:tc>
          <w:tcPr>
            <w:tcW w:w="4820" w:type="dxa"/>
          </w:tcPr>
          <w:p w:rsidR="00E329F7" w:rsidRPr="00A6358B" w:rsidRDefault="00E329F7" w:rsidP="00AE1C26">
            <w:pPr>
              <w:widowControl w:val="0"/>
              <w:tabs>
                <w:tab w:val="left" w:pos="180"/>
                <w:tab w:val="right" w:pos="3060"/>
                <w:tab w:val="right" w:pos="4150"/>
              </w:tabs>
              <w:rPr>
                <w:rFonts w:cs="Segoe UI Light"/>
                <w:b/>
                <w:snapToGrid w:val="0"/>
                <w:color w:val="000000"/>
              </w:rPr>
            </w:pPr>
            <w:r w:rsidRPr="00A6358B">
              <w:rPr>
                <w:rFonts w:cs="Segoe UI Light"/>
                <w:b/>
                <w:snapToGrid w:val="0"/>
                <w:color w:val="000000"/>
              </w:rPr>
              <w:t>Total</w:t>
            </w:r>
          </w:p>
        </w:tc>
        <w:tc>
          <w:tcPr>
            <w:tcW w:w="1701" w:type="dxa"/>
            <w:tcBorders>
              <w:top w:val="single" w:sz="4" w:space="0" w:color="auto"/>
            </w:tcBorders>
          </w:tcPr>
          <w:p w:rsidR="00E329F7" w:rsidRPr="00A6358B" w:rsidRDefault="00E329F7" w:rsidP="00AE1C26">
            <w:pPr>
              <w:widowControl w:val="0"/>
              <w:tabs>
                <w:tab w:val="left" w:pos="180"/>
                <w:tab w:val="right" w:pos="3060"/>
                <w:tab w:val="right" w:pos="4150"/>
              </w:tabs>
              <w:jc w:val="right"/>
              <w:rPr>
                <w:rFonts w:cs="Segoe UI Light"/>
                <w:b/>
                <w:snapToGrid w:val="0"/>
                <w:color w:val="000000"/>
              </w:rPr>
            </w:pPr>
            <w:r w:rsidRPr="00A6358B">
              <w:rPr>
                <w:rFonts w:cs="Segoe UI Light"/>
                <w:b/>
                <w:snapToGrid w:val="0"/>
                <w:color w:val="000000"/>
              </w:rPr>
              <w:t>0.0</w:t>
            </w:r>
          </w:p>
        </w:tc>
        <w:tc>
          <w:tcPr>
            <w:tcW w:w="2068" w:type="dxa"/>
            <w:tcBorders>
              <w:top w:val="single" w:sz="4" w:space="0" w:color="auto"/>
            </w:tcBorders>
          </w:tcPr>
          <w:p w:rsidR="00E329F7" w:rsidRPr="00A6358B" w:rsidRDefault="00E329F7" w:rsidP="00AE1C26">
            <w:pPr>
              <w:widowControl w:val="0"/>
              <w:tabs>
                <w:tab w:val="left" w:pos="180"/>
                <w:tab w:val="right" w:pos="3060"/>
                <w:tab w:val="right" w:pos="4150"/>
              </w:tabs>
              <w:jc w:val="right"/>
              <w:rPr>
                <w:rFonts w:cs="Segoe UI Light"/>
                <w:b/>
                <w:snapToGrid w:val="0"/>
                <w:color w:val="000000"/>
              </w:rPr>
            </w:pPr>
            <w:r w:rsidRPr="00A6358B">
              <w:rPr>
                <w:rFonts w:cs="Segoe UI Light"/>
                <w:b/>
                <w:snapToGrid w:val="0"/>
                <w:color w:val="000000"/>
              </w:rPr>
              <w:t>0.0</w:t>
            </w:r>
          </w:p>
        </w:tc>
      </w:tr>
    </w:tbl>
    <w:p w:rsidR="00F72906" w:rsidRDefault="00F72906" w:rsidP="00E329F7">
      <w:pPr>
        <w:pStyle w:val="Heading3"/>
      </w:pPr>
      <w:r>
        <w:t>14.  Investments</w:t>
      </w:r>
    </w:p>
    <w:p w:rsidR="00E329F7" w:rsidRDefault="00F72906" w:rsidP="00E329F7">
      <w:r>
        <w:tab/>
      </w:r>
    </w:p>
    <w:tbl>
      <w:tblPr>
        <w:tblW w:w="4107" w:type="pct"/>
        <w:tblLook w:val="01E0" w:firstRow="1" w:lastRow="1" w:firstColumn="1" w:lastColumn="1" w:noHBand="0" w:noVBand="0"/>
      </w:tblPr>
      <w:tblGrid>
        <w:gridCol w:w="3281"/>
        <w:gridCol w:w="2369"/>
        <w:gridCol w:w="2364"/>
      </w:tblGrid>
      <w:tr w:rsidR="00E329F7" w:rsidRPr="00BC6CEB" w:rsidTr="00AE1C26">
        <w:tc>
          <w:tcPr>
            <w:tcW w:w="2047" w:type="pct"/>
          </w:tcPr>
          <w:p w:rsidR="00E329F7" w:rsidRPr="00BC6CEB" w:rsidRDefault="00E329F7" w:rsidP="00AE1C26">
            <w:pPr>
              <w:widowControl w:val="0"/>
              <w:tabs>
                <w:tab w:val="right" w:pos="7200"/>
              </w:tabs>
              <w:ind w:left="132" w:hanging="132"/>
              <w:rPr>
                <w:rFonts w:cs="Segoe UI Light"/>
                <w:snapToGrid w:val="0"/>
                <w:color w:val="000000"/>
              </w:rPr>
            </w:pPr>
          </w:p>
        </w:tc>
        <w:tc>
          <w:tcPr>
            <w:tcW w:w="1478" w:type="pct"/>
          </w:tcPr>
          <w:p w:rsidR="00E329F7" w:rsidRPr="00BC6CEB" w:rsidRDefault="00E329F7" w:rsidP="00AE1C26">
            <w:pPr>
              <w:widowControl w:val="0"/>
              <w:tabs>
                <w:tab w:val="right" w:pos="7200"/>
              </w:tabs>
              <w:ind w:left="132" w:hanging="132"/>
              <w:jc w:val="right"/>
              <w:rPr>
                <w:rFonts w:cs="Segoe UI Light"/>
                <w:b/>
                <w:snapToGrid w:val="0"/>
                <w:color w:val="000000"/>
              </w:rPr>
            </w:pPr>
            <w:r w:rsidRPr="00BC6CEB">
              <w:rPr>
                <w:rFonts w:cs="Segoe UI Light"/>
                <w:b/>
                <w:snapToGrid w:val="0"/>
                <w:color w:val="000000"/>
              </w:rPr>
              <w:t>Market value</w:t>
            </w:r>
          </w:p>
        </w:tc>
        <w:tc>
          <w:tcPr>
            <w:tcW w:w="1475" w:type="pct"/>
          </w:tcPr>
          <w:p w:rsidR="00E329F7" w:rsidRPr="00BC6CEB" w:rsidRDefault="00E329F7" w:rsidP="00AE1C26">
            <w:pPr>
              <w:widowControl w:val="0"/>
              <w:tabs>
                <w:tab w:val="right" w:pos="7200"/>
              </w:tabs>
              <w:ind w:left="132" w:hanging="132"/>
              <w:jc w:val="right"/>
              <w:rPr>
                <w:rFonts w:cs="Segoe UI Light"/>
                <w:b/>
                <w:snapToGrid w:val="0"/>
                <w:color w:val="000000"/>
              </w:rPr>
            </w:pPr>
            <w:r w:rsidRPr="00BC6CEB">
              <w:rPr>
                <w:rFonts w:cs="Segoe UI Light"/>
                <w:b/>
                <w:snapToGrid w:val="0"/>
                <w:color w:val="000000"/>
              </w:rPr>
              <w:t>Market value</w:t>
            </w:r>
          </w:p>
        </w:tc>
      </w:tr>
      <w:tr w:rsidR="00E329F7" w:rsidRPr="00BC6CEB" w:rsidTr="00AE1C26">
        <w:tc>
          <w:tcPr>
            <w:tcW w:w="2047" w:type="pct"/>
          </w:tcPr>
          <w:p w:rsidR="00E329F7" w:rsidRPr="00BC6CEB" w:rsidRDefault="00E329F7" w:rsidP="00AE1C26">
            <w:pPr>
              <w:widowControl w:val="0"/>
              <w:tabs>
                <w:tab w:val="right" w:pos="7200"/>
              </w:tabs>
              <w:ind w:left="132" w:hanging="132"/>
              <w:rPr>
                <w:rFonts w:cs="Segoe UI Light"/>
                <w:snapToGrid w:val="0"/>
                <w:color w:val="000000"/>
              </w:rPr>
            </w:pPr>
          </w:p>
        </w:tc>
        <w:tc>
          <w:tcPr>
            <w:tcW w:w="1478" w:type="pct"/>
          </w:tcPr>
          <w:p w:rsidR="00E329F7" w:rsidRPr="00BC6CEB" w:rsidRDefault="00E329F7" w:rsidP="00AE1C26">
            <w:pPr>
              <w:widowControl w:val="0"/>
              <w:tabs>
                <w:tab w:val="right" w:pos="7200"/>
              </w:tabs>
              <w:ind w:left="132" w:hanging="132"/>
              <w:jc w:val="right"/>
              <w:rPr>
                <w:rFonts w:cs="Segoe UI Light"/>
                <w:b/>
                <w:snapToGrid w:val="0"/>
                <w:color w:val="000000"/>
              </w:rPr>
            </w:pPr>
            <w:r w:rsidRPr="00BC6CEB">
              <w:rPr>
                <w:rFonts w:cs="Segoe UI Light"/>
                <w:b/>
                <w:snapToGrid w:val="0"/>
                <w:color w:val="000000"/>
              </w:rPr>
              <w:t>31 March 2019</w:t>
            </w:r>
          </w:p>
        </w:tc>
        <w:tc>
          <w:tcPr>
            <w:tcW w:w="1475" w:type="pct"/>
          </w:tcPr>
          <w:p w:rsidR="00E329F7" w:rsidRPr="00BC6CEB" w:rsidRDefault="00E329F7" w:rsidP="00AE1C26">
            <w:pPr>
              <w:widowControl w:val="0"/>
              <w:tabs>
                <w:tab w:val="right" w:pos="7200"/>
              </w:tabs>
              <w:ind w:left="132" w:hanging="132"/>
              <w:jc w:val="right"/>
              <w:rPr>
                <w:rFonts w:cs="Segoe UI Light"/>
                <w:b/>
                <w:snapToGrid w:val="0"/>
                <w:color w:val="000000"/>
              </w:rPr>
            </w:pPr>
            <w:r w:rsidRPr="00BC6CEB">
              <w:rPr>
                <w:rFonts w:cs="Segoe UI Light"/>
                <w:b/>
                <w:snapToGrid w:val="0"/>
                <w:color w:val="000000"/>
              </w:rPr>
              <w:t>31 March 2020</w:t>
            </w:r>
          </w:p>
        </w:tc>
      </w:tr>
      <w:tr w:rsidR="00E329F7" w:rsidRPr="00BC6CEB" w:rsidTr="00AE1C26">
        <w:tc>
          <w:tcPr>
            <w:tcW w:w="2047" w:type="pct"/>
          </w:tcPr>
          <w:p w:rsidR="00E329F7" w:rsidRPr="00BC6CEB" w:rsidRDefault="00E329F7" w:rsidP="00AE1C26">
            <w:pPr>
              <w:widowControl w:val="0"/>
              <w:tabs>
                <w:tab w:val="right" w:pos="7200"/>
              </w:tabs>
              <w:ind w:left="132" w:hanging="132"/>
              <w:rPr>
                <w:rFonts w:cs="Segoe UI Light"/>
                <w:snapToGrid w:val="0"/>
                <w:color w:val="000000"/>
              </w:rPr>
            </w:pPr>
          </w:p>
        </w:tc>
        <w:tc>
          <w:tcPr>
            <w:tcW w:w="1478" w:type="pct"/>
          </w:tcPr>
          <w:p w:rsidR="00E329F7" w:rsidRPr="00BC6CEB" w:rsidRDefault="00E329F7" w:rsidP="00AE1C26">
            <w:pPr>
              <w:widowControl w:val="0"/>
              <w:tabs>
                <w:tab w:val="right" w:pos="7200"/>
              </w:tabs>
              <w:ind w:left="132" w:hanging="132"/>
              <w:jc w:val="right"/>
              <w:rPr>
                <w:rFonts w:cs="Segoe UI Light"/>
                <w:b/>
                <w:snapToGrid w:val="0"/>
                <w:color w:val="000000"/>
              </w:rPr>
            </w:pPr>
            <w:r w:rsidRPr="00BC6CEB">
              <w:rPr>
                <w:rFonts w:cs="Segoe UI Light"/>
                <w:b/>
                <w:snapToGrid w:val="0"/>
                <w:color w:val="000000"/>
              </w:rPr>
              <w:t>£m</w:t>
            </w:r>
          </w:p>
        </w:tc>
        <w:tc>
          <w:tcPr>
            <w:tcW w:w="1475" w:type="pct"/>
          </w:tcPr>
          <w:p w:rsidR="00E329F7" w:rsidRPr="00BC6CEB" w:rsidRDefault="00E329F7" w:rsidP="00AE1C26">
            <w:pPr>
              <w:widowControl w:val="0"/>
              <w:tabs>
                <w:tab w:val="right" w:pos="7200"/>
              </w:tabs>
              <w:ind w:left="132" w:hanging="132"/>
              <w:jc w:val="right"/>
              <w:rPr>
                <w:rFonts w:cs="Segoe UI Light"/>
                <w:b/>
                <w:snapToGrid w:val="0"/>
                <w:color w:val="000000"/>
              </w:rPr>
            </w:pPr>
            <w:r w:rsidRPr="00BC6CEB">
              <w:rPr>
                <w:rFonts w:cs="Segoe UI Light"/>
                <w:b/>
                <w:snapToGrid w:val="0"/>
                <w:color w:val="000000"/>
              </w:rPr>
              <w:t>£m</w:t>
            </w:r>
          </w:p>
        </w:tc>
      </w:tr>
      <w:tr w:rsidR="00E329F7" w:rsidRPr="00BC6CEB" w:rsidTr="00AE1C26">
        <w:tc>
          <w:tcPr>
            <w:tcW w:w="2047" w:type="pct"/>
          </w:tcPr>
          <w:p w:rsidR="00E329F7" w:rsidRPr="00BC6CEB" w:rsidRDefault="00E329F7" w:rsidP="00AE1C26">
            <w:pPr>
              <w:widowControl w:val="0"/>
              <w:tabs>
                <w:tab w:val="right" w:pos="7200"/>
              </w:tabs>
              <w:ind w:left="132" w:hanging="132"/>
              <w:rPr>
                <w:rFonts w:cs="Segoe UI Light"/>
                <w:b/>
                <w:snapToGrid w:val="0"/>
                <w:color w:val="000000"/>
              </w:rPr>
            </w:pPr>
            <w:r w:rsidRPr="00BC6CEB">
              <w:rPr>
                <w:rFonts w:cs="Segoe UI Light"/>
                <w:b/>
                <w:snapToGrid w:val="0"/>
                <w:color w:val="000000"/>
              </w:rPr>
              <w:t>Investment assets</w:t>
            </w:r>
          </w:p>
        </w:tc>
        <w:tc>
          <w:tcPr>
            <w:tcW w:w="1478" w:type="pct"/>
          </w:tcPr>
          <w:p w:rsidR="00E329F7" w:rsidRPr="00BC6CEB" w:rsidRDefault="00E329F7" w:rsidP="00AE1C26">
            <w:pPr>
              <w:widowControl w:val="0"/>
              <w:tabs>
                <w:tab w:val="right" w:pos="7200"/>
              </w:tabs>
              <w:ind w:left="132" w:hanging="132"/>
              <w:jc w:val="right"/>
              <w:rPr>
                <w:rFonts w:cs="Segoe UI Light"/>
                <w:snapToGrid w:val="0"/>
                <w:color w:val="000000"/>
              </w:rPr>
            </w:pPr>
          </w:p>
        </w:tc>
        <w:tc>
          <w:tcPr>
            <w:tcW w:w="1475" w:type="pct"/>
          </w:tcPr>
          <w:p w:rsidR="00E329F7" w:rsidRPr="00BC6CEB" w:rsidRDefault="00E329F7" w:rsidP="00AE1C26">
            <w:pPr>
              <w:widowControl w:val="0"/>
              <w:tabs>
                <w:tab w:val="right" w:pos="7200"/>
              </w:tabs>
              <w:ind w:left="132" w:hanging="132"/>
              <w:jc w:val="right"/>
              <w:rPr>
                <w:rFonts w:cs="Segoe UI Light"/>
                <w:snapToGrid w:val="0"/>
                <w:color w:val="000000"/>
              </w:rPr>
            </w:pPr>
          </w:p>
        </w:tc>
      </w:tr>
      <w:tr w:rsidR="00E329F7" w:rsidRPr="00BC6CEB" w:rsidTr="00AE1C26">
        <w:tc>
          <w:tcPr>
            <w:tcW w:w="2047" w:type="pct"/>
          </w:tcPr>
          <w:p w:rsidR="00E329F7" w:rsidRPr="00BC6CEB" w:rsidRDefault="00E329F7" w:rsidP="00AE1C26">
            <w:pPr>
              <w:widowControl w:val="0"/>
              <w:tabs>
                <w:tab w:val="right" w:pos="7200"/>
              </w:tabs>
              <w:ind w:left="132" w:hanging="132"/>
              <w:rPr>
                <w:rFonts w:cs="Segoe UI Light"/>
                <w:snapToGrid w:val="0"/>
                <w:color w:val="000000"/>
              </w:rPr>
            </w:pPr>
            <w:r w:rsidRPr="00BC6CEB">
              <w:rPr>
                <w:rFonts w:cs="Segoe UI Light"/>
                <w:snapToGrid w:val="0"/>
                <w:color w:val="000000"/>
              </w:rPr>
              <w:t>Pooled investments</w:t>
            </w:r>
          </w:p>
        </w:tc>
        <w:tc>
          <w:tcPr>
            <w:tcW w:w="1478" w:type="pct"/>
            <w:shd w:val="clear" w:color="auto" w:fill="auto"/>
          </w:tcPr>
          <w:p w:rsidR="00E329F7" w:rsidRPr="00BC6CEB" w:rsidRDefault="00E329F7" w:rsidP="00AE1C26">
            <w:pPr>
              <w:widowControl w:val="0"/>
              <w:tabs>
                <w:tab w:val="right" w:pos="7200"/>
              </w:tabs>
              <w:ind w:left="132" w:hanging="132"/>
              <w:jc w:val="right"/>
              <w:rPr>
                <w:rFonts w:cs="Segoe UI Light"/>
                <w:snapToGrid w:val="0"/>
                <w:color w:val="000000"/>
              </w:rPr>
            </w:pPr>
            <w:r w:rsidRPr="00BC6CEB">
              <w:rPr>
                <w:rFonts w:cs="Segoe UI Light"/>
                <w:snapToGrid w:val="0"/>
                <w:color w:val="000000"/>
              </w:rPr>
              <w:t>737.7</w:t>
            </w:r>
          </w:p>
        </w:tc>
        <w:tc>
          <w:tcPr>
            <w:tcW w:w="1475" w:type="pct"/>
            <w:tcBorders>
              <w:top w:val="nil"/>
              <w:left w:val="nil"/>
              <w:bottom w:val="nil"/>
              <w:right w:val="nil"/>
            </w:tcBorders>
            <w:shd w:val="clear" w:color="auto" w:fill="auto"/>
            <w:vAlign w:val="bottom"/>
          </w:tcPr>
          <w:p w:rsidR="00E329F7" w:rsidRPr="00BC6CEB" w:rsidRDefault="00E329F7" w:rsidP="00AE1C26">
            <w:pPr>
              <w:widowControl w:val="0"/>
              <w:tabs>
                <w:tab w:val="right" w:pos="7200"/>
              </w:tabs>
              <w:ind w:left="132" w:hanging="132"/>
              <w:jc w:val="right"/>
              <w:rPr>
                <w:rFonts w:cs="Segoe UI Light"/>
                <w:snapToGrid w:val="0"/>
                <w:color w:val="000000"/>
              </w:rPr>
            </w:pPr>
            <w:r w:rsidRPr="00BC6CEB">
              <w:rPr>
                <w:rFonts w:cs="Calibri"/>
                <w:color w:val="000000"/>
              </w:rPr>
              <w:t>697.0</w:t>
            </w:r>
          </w:p>
        </w:tc>
      </w:tr>
      <w:tr w:rsidR="00E329F7" w:rsidRPr="00BC6CEB" w:rsidTr="00AE1C26">
        <w:tc>
          <w:tcPr>
            <w:tcW w:w="2047" w:type="pct"/>
          </w:tcPr>
          <w:p w:rsidR="00E329F7" w:rsidRPr="00BC6CEB" w:rsidRDefault="00E329F7" w:rsidP="00AE1C26">
            <w:pPr>
              <w:widowControl w:val="0"/>
              <w:tabs>
                <w:tab w:val="right" w:pos="7200"/>
              </w:tabs>
              <w:ind w:left="132" w:hanging="132"/>
              <w:rPr>
                <w:rFonts w:cs="Segoe UI Light"/>
                <w:snapToGrid w:val="0"/>
                <w:color w:val="000000"/>
              </w:rPr>
            </w:pPr>
            <w:r w:rsidRPr="00BC6CEB">
              <w:rPr>
                <w:rFonts w:cs="Segoe UI Light"/>
                <w:snapToGrid w:val="0"/>
                <w:color w:val="000000"/>
              </w:rPr>
              <w:t>Pooled property investments</w:t>
            </w:r>
          </w:p>
        </w:tc>
        <w:tc>
          <w:tcPr>
            <w:tcW w:w="1478" w:type="pct"/>
            <w:shd w:val="clear" w:color="auto" w:fill="auto"/>
          </w:tcPr>
          <w:p w:rsidR="00E329F7" w:rsidRPr="00BC6CEB" w:rsidRDefault="00E329F7" w:rsidP="00AE1C26">
            <w:pPr>
              <w:widowControl w:val="0"/>
              <w:tabs>
                <w:tab w:val="right" w:pos="7200"/>
              </w:tabs>
              <w:ind w:left="132" w:hanging="132"/>
              <w:jc w:val="right"/>
              <w:rPr>
                <w:rFonts w:cs="Segoe UI Light"/>
                <w:snapToGrid w:val="0"/>
                <w:color w:val="000000"/>
              </w:rPr>
            </w:pPr>
            <w:r w:rsidRPr="00BC6CEB">
              <w:rPr>
                <w:rFonts w:cs="Segoe UI Light"/>
                <w:snapToGrid w:val="0"/>
                <w:color w:val="000000"/>
              </w:rPr>
              <w:t>0.2</w:t>
            </w:r>
          </w:p>
        </w:tc>
        <w:tc>
          <w:tcPr>
            <w:tcW w:w="1475" w:type="pct"/>
            <w:tcBorders>
              <w:top w:val="nil"/>
              <w:left w:val="nil"/>
              <w:bottom w:val="nil"/>
              <w:right w:val="nil"/>
            </w:tcBorders>
            <w:shd w:val="clear" w:color="auto" w:fill="auto"/>
            <w:vAlign w:val="bottom"/>
          </w:tcPr>
          <w:p w:rsidR="00E329F7" w:rsidRPr="00BC6CEB" w:rsidRDefault="00E329F7" w:rsidP="00AE1C26">
            <w:pPr>
              <w:widowControl w:val="0"/>
              <w:tabs>
                <w:tab w:val="right" w:pos="7200"/>
              </w:tabs>
              <w:ind w:left="132" w:hanging="132"/>
              <w:jc w:val="right"/>
              <w:rPr>
                <w:rFonts w:cs="Segoe UI Light"/>
                <w:snapToGrid w:val="0"/>
                <w:color w:val="000000"/>
              </w:rPr>
            </w:pPr>
            <w:r w:rsidRPr="00BC6CEB">
              <w:rPr>
                <w:rFonts w:cs="Calibri"/>
                <w:color w:val="000000"/>
              </w:rPr>
              <w:t>0.1</w:t>
            </w:r>
          </w:p>
        </w:tc>
      </w:tr>
      <w:tr w:rsidR="00E329F7" w:rsidRPr="00BC6CEB" w:rsidTr="00AE1C26">
        <w:tc>
          <w:tcPr>
            <w:tcW w:w="2047" w:type="pct"/>
          </w:tcPr>
          <w:p w:rsidR="00E329F7" w:rsidRPr="00BC6CEB" w:rsidRDefault="00E329F7" w:rsidP="00AE1C26">
            <w:pPr>
              <w:widowControl w:val="0"/>
              <w:tabs>
                <w:tab w:val="right" w:pos="7200"/>
              </w:tabs>
              <w:ind w:left="132" w:hanging="132"/>
              <w:rPr>
                <w:rFonts w:cs="Segoe UI Light"/>
                <w:snapToGrid w:val="0"/>
                <w:color w:val="000000"/>
              </w:rPr>
            </w:pPr>
            <w:r w:rsidRPr="00BC6CEB">
              <w:rPr>
                <w:rFonts w:cs="Segoe UI Light"/>
                <w:snapToGrid w:val="0"/>
                <w:color w:val="000000"/>
              </w:rPr>
              <w:t>Private equity/infrastructure</w:t>
            </w:r>
          </w:p>
        </w:tc>
        <w:tc>
          <w:tcPr>
            <w:tcW w:w="1478" w:type="pct"/>
            <w:tcBorders>
              <w:bottom w:val="single" w:sz="4" w:space="0" w:color="auto"/>
            </w:tcBorders>
            <w:shd w:val="clear" w:color="auto" w:fill="auto"/>
          </w:tcPr>
          <w:p w:rsidR="00E329F7" w:rsidRPr="00BC6CEB" w:rsidRDefault="00E329F7" w:rsidP="00AE1C26">
            <w:pPr>
              <w:widowControl w:val="0"/>
              <w:tabs>
                <w:tab w:val="right" w:pos="7200"/>
              </w:tabs>
              <w:ind w:left="132" w:hanging="132"/>
              <w:jc w:val="right"/>
              <w:rPr>
                <w:rFonts w:cs="Segoe UI Light"/>
                <w:snapToGrid w:val="0"/>
                <w:color w:val="000000"/>
              </w:rPr>
            </w:pPr>
            <w:r w:rsidRPr="00BC6CEB">
              <w:rPr>
                <w:rFonts w:cs="Segoe UI Light"/>
                <w:snapToGrid w:val="0"/>
                <w:color w:val="000000"/>
              </w:rPr>
              <w:t>95.0</w:t>
            </w:r>
          </w:p>
        </w:tc>
        <w:tc>
          <w:tcPr>
            <w:tcW w:w="1475" w:type="pct"/>
            <w:tcBorders>
              <w:top w:val="nil"/>
              <w:left w:val="nil"/>
              <w:bottom w:val="nil"/>
              <w:right w:val="nil"/>
            </w:tcBorders>
            <w:shd w:val="clear" w:color="auto" w:fill="auto"/>
            <w:vAlign w:val="bottom"/>
          </w:tcPr>
          <w:p w:rsidR="00E329F7" w:rsidRPr="00BC6CEB" w:rsidRDefault="00E329F7" w:rsidP="00AE1C26">
            <w:pPr>
              <w:widowControl w:val="0"/>
              <w:tabs>
                <w:tab w:val="right" w:pos="7200"/>
              </w:tabs>
              <w:ind w:left="132" w:hanging="132"/>
              <w:jc w:val="right"/>
              <w:rPr>
                <w:rFonts w:cs="Segoe UI Light"/>
                <w:snapToGrid w:val="0"/>
                <w:color w:val="000000"/>
              </w:rPr>
            </w:pPr>
            <w:r w:rsidRPr="00BC6CEB">
              <w:rPr>
                <w:rFonts w:cs="Calibri"/>
                <w:color w:val="000000"/>
              </w:rPr>
              <w:t>84.3</w:t>
            </w:r>
          </w:p>
        </w:tc>
      </w:tr>
      <w:tr w:rsidR="00E329F7" w:rsidRPr="000B634C" w:rsidTr="00AE1C26">
        <w:trPr>
          <w:trHeight w:val="245"/>
        </w:trPr>
        <w:tc>
          <w:tcPr>
            <w:tcW w:w="2047" w:type="pct"/>
          </w:tcPr>
          <w:p w:rsidR="00E329F7" w:rsidRPr="00BC6CEB" w:rsidRDefault="00E329F7" w:rsidP="00AE1C26">
            <w:pPr>
              <w:widowControl w:val="0"/>
              <w:tabs>
                <w:tab w:val="right" w:pos="7200"/>
              </w:tabs>
              <w:rPr>
                <w:rFonts w:cs="Segoe UI Light"/>
                <w:b/>
                <w:snapToGrid w:val="0"/>
                <w:color w:val="000000"/>
              </w:rPr>
            </w:pPr>
            <w:r w:rsidRPr="00BC6CEB">
              <w:rPr>
                <w:rFonts w:cs="Segoe UI Light"/>
                <w:b/>
                <w:snapToGrid w:val="0"/>
                <w:color w:val="000000"/>
              </w:rPr>
              <w:t>Total investments</w:t>
            </w:r>
          </w:p>
        </w:tc>
        <w:tc>
          <w:tcPr>
            <w:tcW w:w="1478" w:type="pct"/>
            <w:tcBorders>
              <w:top w:val="single" w:sz="4" w:space="0" w:color="auto"/>
            </w:tcBorders>
          </w:tcPr>
          <w:p w:rsidR="00E329F7" w:rsidRPr="00BC6CEB" w:rsidRDefault="00E329F7" w:rsidP="00AE1C26">
            <w:pPr>
              <w:widowControl w:val="0"/>
              <w:tabs>
                <w:tab w:val="right" w:pos="7200"/>
              </w:tabs>
              <w:ind w:left="132" w:hanging="132"/>
              <w:jc w:val="right"/>
              <w:rPr>
                <w:rFonts w:cs="Segoe UI Light"/>
                <w:b/>
                <w:snapToGrid w:val="0"/>
                <w:color w:val="000000"/>
              </w:rPr>
            </w:pPr>
            <w:r w:rsidRPr="00BC6CEB">
              <w:rPr>
                <w:rFonts w:cs="Segoe UI Light"/>
                <w:b/>
                <w:snapToGrid w:val="0"/>
                <w:color w:val="000000"/>
              </w:rPr>
              <w:t>832.9</w:t>
            </w:r>
          </w:p>
        </w:tc>
        <w:tc>
          <w:tcPr>
            <w:tcW w:w="1475" w:type="pct"/>
            <w:tcBorders>
              <w:top w:val="single" w:sz="4" w:space="0" w:color="auto"/>
            </w:tcBorders>
            <w:shd w:val="clear" w:color="auto" w:fill="auto"/>
          </w:tcPr>
          <w:p w:rsidR="00E329F7" w:rsidRPr="007F5832" w:rsidRDefault="00E329F7" w:rsidP="00AE1C26">
            <w:pPr>
              <w:widowControl w:val="0"/>
              <w:tabs>
                <w:tab w:val="right" w:pos="7200"/>
              </w:tabs>
              <w:ind w:left="132" w:hanging="132"/>
              <w:jc w:val="right"/>
              <w:rPr>
                <w:rFonts w:cs="Segoe UI Light"/>
                <w:b/>
                <w:snapToGrid w:val="0"/>
                <w:color w:val="000000"/>
              </w:rPr>
            </w:pPr>
            <w:r w:rsidRPr="00BC6CEB">
              <w:rPr>
                <w:rFonts w:cs="Segoe UI Light"/>
                <w:b/>
                <w:snapToGrid w:val="0"/>
                <w:color w:val="000000"/>
              </w:rPr>
              <w:t>781.4</w:t>
            </w:r>
          </w:p>
        </w:tc>
      </w:tr>
    </w:tbl>
    <w:p w:rsidR="00F72906" w:rsidRDefault="00F72906" w:rsidP="00E329F7"/>
    <w:p w:rsidR="00E329F7" w:rsidRDefault="00F72906" w:rsidP="00F72906">
      <w:r>
        <w:t> </w:t>
      </w:r>
    </w:p>
    <w:p w:rsidR="00E329F7" w:rsidRDefault="00E329F7">
      <w:r>
        <w:br w:type="page"/>
      </w:r>
    </w:p>
    <w:p w:rsidR="00F72906" w:rsidRDefault="00F72906" w:rsidP="00F72906"/>
    <w:p w:rsidR="00E329F7" w:rsidRDefault="00F72906" w:rsidP="009C7D60">
      <w:pPr>
        <w:pStyle w:val="Heading3"/>
      </w:pPr>
      <w:r>
        <w:t>14a) Investments 19/20</w:t>
      </w:r>
    </w:p>
    <w:tbl>
      <w:tblPr>
        <w:tblW w:w="8620" w:type="dxa"/>
        <w:tblLook w:val="04A0" w:firstRow="1" w:lastRow="0" w:firstColumn="1" w:lastColumn="0" w:noHBand="0" w:noVBand="1"/>
      </w:tblPr>
      <w:tblGrid>
        <w:gridCol w:w="2996"/>
        <w:gridCol w:w="536"/>
        <w:gridCol w:w="888"/>
        <w:gridCol w:w="1135"/>
        <w:gridCol w:w="973"/>
        <w:gridCol w:w="1228"/>
        <w:gridCol w:w="993"/>
      </w:tblGrid>
      <w:tr w:rsidR="00E329F7" w:rsidRPr="002B2928" w:rsidTr="00AE1C26">
        <w:trPr>
          <w:trHeight w:val="1515"/>
        </w:trPr>
        <w:tc>
          <w:tcPr>
            <w:tcW w:w="2996" w:type="dxa"/>
            <w:tcBorders>
              <w:top w:val="nil"/>
              <w:left w:val="nil"/>
              <w:bottom w:val="nil"/>
              <w:right w:val="nil"/>
            </w:tcBorders>
            <w:shd w:val="clear" w:color="000000" w:fill="FFFFFF"/>
            <w:noWrap/>
            <w:vAlign w:val="bottom"/>
            <w:hideMark/>
          </w:tcPr>
          <w:p w:rsidR="00E329F7" w:rsidRPr="002B2928" w:rsidRDefault="00E329F7" w:rsidP="00AE1C26">
            <w:pPr>
              <w:rPr>
                <w:rFonts w:cs="Calibri"/>
                <w:lang w:eastAsia="en-GB"/>
              </w:rPr>
            </w:pPr>
            <w:r w:rsidRPr="002B2928">
              <w:rPr>
                <w:rFonts w:cs="Calibri"/>
                <w:lang w:eastAsia="en-GB"/>
              </w:rPr>
              <w:t> </w:t>
            </w:r>
          </w:p>
        </w:tc>
        <w:tc>
          <w:tcPr>
            <w:tcW w:w="536" w:type="dxa"/>
            <w:tcBorders>
              <w:top w:val="nil"/>
              <w:left w:val="nil"/>
              <w:bottom w:val="nil"/>
              <w:right w:val="nil"/>
            </w:tcBorders>
            <w:shd w:val="clear" w:color="000000" w:fill="FFFFFF"/>
            <w:noWrap/>
            <w:vAlign w:val="bottom"/>
            <w:hideMark/>
          </w:tcPr>
          <w:p w:rsidR="00E329F7" w:rsidRPr="002B2928" w:rsidRDefault="00E329F7" w:rsidP="00AE1C26">
            <w:pPr>
              <w:rPr>
                <w:rFonts w:cs="Calibri"/>
                <w:lang w:eastAsia="en-GB"/>
              </w:rPr>
            </w:pPr>
            <w:r w:rsidRPr="002B2928">
              <w:rPr>
                <w:rFonts w:cs="Calibri"/>
                <w:lang w:eastAsia="en-GB"/>
              </w:rPr>
              <w:t> </w:t>
            </w:r>
          </w:p>
        </w:tc>
        <w:tc>
          <w:tcPr>
            <w:tcW w:w="817" w:type="dxa"/>
            <w:tcBorders>
              <w:top w:val="nil"/>
              <w:left w:val="nil"/>
              <w:bottom w:val="nil"/>
              <w:right w:val="nil"/>
            </w:tcBorders>
            <w:shd w:val="clear" w:color="000000" w:fill="FFFFFF"/>
            <w:hideMark/>
          </w:tcPr>
          <w:p w:rsidR="009C7D60" w:rsidRDefault="00E329F7" w:rsidP="009C7D60">
            <w:pPr>
              <w:rPr>
                <w:rFonts w:cs="Calibri"/>
                <w:b/>
                <w:bCs/>
                <w:lang w:eastAsia="en-GB"/>
              </w:rPr>
            </w:pPr>
            <w:r w:rsidRPr="002B2928">
              <w:rPr>
                <w:rFonts w:cs="Calibri"/>
                <w:b/>
                <w:bCs/>
                <w:lang w:eastAsia="en-GB"/>
              </w:rPr>
              <w:t>Market value</w:t>
            </w:r>
          </w:p>
          <w:p w:rsidR="00E329F7" w:rsidRPr="002B2928" w:rsidRDefault="00E329F7" w:rsidP="009C7D60">
            <w:pPr>
              <w:rPr>
                <w:rFonts w:cs="Calibri"/>
                <w:b/>
                <w:bCs/>
                <w:lang w:eastAsia="en-GB"/>
              </w:rPr>
            </w:pPr>
            <w:r w:rsidRPr="002B2928">
              <w:rPr>
                <w:rFonts w:cs="Calibri"/>
                <w:b/>
                <w:bCs/>
                <w:lang w:eastAsia="en-GB"/>
              </w:rPr>
              <w:t>1 April 2019</w:t>
            </w:r>
          </w:p>
        </w:tc>
        <w:tc>
          <w:tcPr>
            <w:tcW w:w="1077" w:type="dxa"/>
            <w:tcBorders>
              <w:top w:val="nil"/>
              <w:left w:val="nil"/>
              <w:bottom w:val="nil"/>
              <w:right w:val="nil"/>
            </w:tcBorders>
            <w:shd w:val="clear" w:color="000000" w:fill="FFFFFF"/>
            <w:hideMark/>
          </w:tcPr>
          <w:p w:rsidR="00E329F7" w:rsidRPr="002B2928" w:rsidRDefault="00E329F7" w:rsidP="00AE1C26">
            <w:pPr>
              <w:rPr>
                <w:rFonts w:cs="Calibri"/>
                <w:b/>
                <w:bCs/>
                <w:lang w:eastAsia="en-GB"/>
              </w:rPr>
            </w:pPr>
            <w:r w:rsidRPr="002B2928">
              <w:rPr>
                <w:rFonts w:cs="Calibri"/>
                <w:b/>
                <w:bCs/>
                <w:lang w:eastAsia="en-GB"/>
              </w:rPr>
              <w:t>Purchases during the year</w:t>
            </w:r>
          </w:p>
        </w:tc>
        <w:tc>
          <w:tcPr>
            <w:tcW w:w="973" w:type="dxa"/>
            <w:tcBorders>
              <w:top w:val="nil"/>
              <w:left w:val="nil"/>
              <w:bottom w:val="nil"/>
              <w:right w:val="nil"/>
            </w:tcBorders>
            <w:shd w:val="clear" w:color="000000" w:fill="FFFFFF"/>
            <w:hideMark/>
          </w:tcPr>
          <w:p w:rsidR="00E329F7" w:rsidRPr="002B2928" w:rsidRDefault="00E329F7" w:rsidP="00AE1C26">
            <w:pPr>
              <w:rPr>
                <w:rFonts w:cs="Calibri"/>
                <w:b/>
                <w:bCs/>
                <w:lang w:eastAsia="en-GB"/>
              </w:rPr>
            </w:pPr>
            <w:r w:rsidRPr="002B2928">
              <w:rPr>
                <w:rFonts w:cs="Calibri"/>
                <w:b/>
                <w:bCs/>
                <w:lang w:eastAsia="en-GB"/>
              </w:rPr>
              <w:t>Sales during the year</w:t>
            </w:r>
          </w:p>
        </w:tc>
        <w:tc>
          <w:tcPr>
            <w:tcW w:w="1228" w:type="dxa"/>
            <w:tcBorders>
              <w:top w:val="nil"/>
              <w:left w:val="nil"/>
              <w:bottom w:val="nil"/>
              <w:right w:val="nil"/>
            </w:tcBorders>
            <w:shd w:val="clear" w:color="000000" w:fill="FFFFFF"/>
            <w:hideMark/>
          </w:tcPr>
          <w:p w:rsidR="00E329F7" w:rsidRPr="002B2928" w:rsidRDefault="00E329F7" w:rsidP="00AE1C26">
            <w:pPr>
              <w:rPr>
                <w:rFonts w:cs="Calibri"/>
                <w:b/>
                <w:bCs/>
                <w:lang w:eastAsia="en-GB"/>
              </w:rPr>
            </w:pPr>
            <w:r w:rsidRPr="002B2928">
              <w:rPr>
                <w:rFonts w:cs="Calibri"/>
                <w:b/>
                <w:bCs/>
                <w:lang w:eastAsia="en-GB"/>
              </w:rPr>
              <w:t>Change in market value during the year</w:t>
            </w:r>
          </w:p>
        </w:tc>
        <w:tc>
          <w:tcPr>
            <w:tcW w:w="993" w:type="dxa"/>
            <w:tcBorders>
              <w:top w:val="nil"/>
              <w:left w:val="nil"/>
              <w:bottom w:val="nil"/>
              <w:right w:val="nil"/>
            </w:tcBorders>
            <w:shd w:val="clear" w:color="000000" w:fill="FFFFFF"/>
            <w:hideMark/>
          </w:tcPr>
          <w:p w:rsidR="00E329F7" w:rsidRPr="002B2928" w:rsidRDefault="00E329F7" w:rsidP="00AE1C26">
            <w:pPr>
              <w:rPr>
                <w:rFonts w:cs="Calibri"/>
                <w:b/>
                <w:bCs/>
                <w:lang w:eastAsia="en-GB"/>
              </w:rPr>
            </w:pPr>
            <w:r w:rsidRPr="002B2928">
              <w:rPr>
                <w:rFonts w:cs="Calibri"/>
                <w:b/>
                <w:bCs/>
                <w:lang w:eastAsia="en-GB"/>
              </w:rPr>
              <w:t>Market value 31 March 2020</w:t>
            </w:r>
          </w:p>
        </w:tc>
      </w:tr>
      <w:tr w:rsidR="00E329F7" w:rsidRPr="002B2928" w:rsidTr="00AE1C26">
        <w:trPr>
          <w:trHeight w:val="299"/>
        </w:trPr>
        <w:tc>
          <w:tcPr>
            <w:tcW w:w="2996" w:type="dxa"/>
            <w:tcBorders>
              <w:top w:val="nil"/>
              <w:left w:val="nil"/>
              <w:bottom w:val="nil"/>
              <w:right w:val="nil"/>
            </w:tcBorders>
            <w:shd w:val="clear" w:color="000000" w:fill="FFFFFF"/>
            <w:noWrap/>
            <w:vAlign w:val="bottom"/>
            <w:hideMark/>
          </w:tcPr>
          <w:p w:rsidR="00E329F7" w:rsidRPr="002B2928" w:rsidRDefault="00E329F7" w:rsidP="00AE1C26">
            <w:pPr>
              <w:rPr>
                <w:rFonts w:cs="Calibri"/>
                <w:lang w:eastAsia="en-GB"/>
              </w:rPr>
            </w:pPr>
            <w:r w:rsidRPr="002B2928">
              <w:rPr>
                <w:rFonts w:cs="Calibri"/>
                <w:lang w:eastAsia="en-GB"/>
              </w:rPr>
              <w:t> </w:t>
            </w:r>
          </w:p>
        </w:tc>
        <w:tc>
          <w:tcPr>
            <w:tcW w:w="536" w:type="dxa"/>
            <w:tcBorders>
              <w:top w:val="nil"/>
              <w:left w:val="nil"/>
              <w:bottom w:val="nil"/>
              <w:right w:val="nil"/>
            </w:tcBorders>
            <w:shd w:val="clear" w:color="000000" w:fill="FFFFFF"/>
            <w:noWrap/>
            <w:vAlign w:val="bottom"/>
            <w:hideMark/>
          </w:tcPr>
          <w:p w:rsidR="00E329F7" w:rsidRPr="002B2928" w:rsidRDefault="00E329F7" w:rsidP="00AE1C26">
            <w:pPr>
              <w:rPr>
                <w:rFonts w:cs="Calibri"/>
                <w:lang w:eastAsia="en-GB"/>
              </w:rPr>
            </w:pPr>
            <w:r w:rsidRPr="002B2928">
              <w:rPr>
                <w:rFonts w:cs="Calibri"/>
                <w:lang w:eastAsia="en-GB"/>
              </w:rPr>
              <w:t> </w:t>
            </w:r>
          </w:p>
        </w:tc>
        <w:tc>
          <w:tcPr>
            <w:tcW w:w="817" w:type="dxa"/>
            <w:tcBorders>
              <w:top w:val="nil"/>
              <w:left w:val="nil"/>
              <w:bottom w:val="nil"/>
              <w:right w:val="nil"/>
            </w:tcBorders>
            <w:shd w:val="clear" w:color="000000" w:fill="FFFFFF"/>
            <w:noWrap/>
            <w:vAlign w:val="bottom"/>
            <w:hideMark/>
          </w:tcPr>
          <w:p w:rsidR="00E329F7" w:rsidRPr="002B2928" w:rsidRDefault="00E329F7" w:rsidP="00AE1C26">
            <w:pPr>
              <w:jc w:val="right"/>
              <w:rPr>
                <w:rFonts w:cs="Calibri"/>
                <w:b/>
                <w:bCs/>
                <w:lang w:eastAsia="en-GB"/>
              </w:rPr>
            </w:pPr>
            <w:r w:rsidRPr="002B2928">
              <w:rPr>
                <w:rFonts w:cs="Calibri"/>
                <w:b/>
                <w:bCs/>
                <w:lang w:eastAsia="en-GB"/>
              </w:rPr>
              <w:t>£m</w:t>
            </w:r>
          </w:p>
        </w:tc>
        <w:tc>
          <w:tcPr>
            <w:tcW w:w="1077" w:type="dxa"/>
            <w:tcBorders>
              <w:top w:val="nil"/>
              <w:left w:val="nil"/>
              <w:bottom w:val="nil"/>
              <w:right w:val="nil"/>
            </w:tcBorders>
            <w:shd w:val="clear" w:color="000000" w:fill="FFFFFF"/>
            <w:noWrap/>
            <w:vAlign w:val="bottom"/>
            <w:hideMark/>
          </w:tcPr>
          <w:p w:rsidR="00E329F7" w:rsidRPr="002B2928" w:rsidRDefault="00E329F7" w:rsidP="00AE1C26">
            <w:pPr>
              <w:jc w:val="right"/>
              <w:rPr>
                <w:rFonts w:cs="Calibri"/>
                <w:b/>
                <w:bCs/>
                <w:lang w:eastAsia="en-GB"/>
              </w:rPr>
            </w:pPr>
            <w:r w:rsidRPr="002B2928">
              <w:rPr>
                <w:rFonts w:cs="Calibri"/>
                <w:b/>
                <w:bCs/>
                <w:lang w:eastAsia="en-GB"/>
              </w:rPr>
              <w:t>£m</w:t>
            </w:r>
          </w:p>
        </w:tc>
        <w:tc>
          <w:tcPr>
            <w:tcW w:w="973" w:type="dxa"/>
            <w:tcBorders>
              <w:top w:val="nil"/>
              <w:left w:val="nil"/>
              <w:bottom w:val="nil"/>
              <w:right w:val="nil"/>
            </w:tcBorders>
            <w:shd w:val="clear" w:color="000000" w:fill="FFFFFF"/>
            <w:noWrap/>
            <w:vAlign w:val="bottom"/>
            <w:hideMark/>
          </w:tcPr>
          <w:p w:rsidR="00E329F7" w:rsidRPr="002B2928" w:rsidRDefault="00E329F7" w:rsidP="00AE1C26">
            <w:pPr>
              <w:jc w:val="right"/>
              <w:rPr>
                <w:rFonts w:cs="Calibri"/>
                <w:b/>
                <w:bCs/>
                <w:lang w:eastAsia="en-GB"/>
              </w:rPr>
            </w:pPr>
            <w:r w:rsidRPr="002B2928">
              <w:rPr>
                <w:rFonts w:cs="Calibri"/>
                <w:b/>
                <w:bCs/>
                <w:lang w:eastAsia="en-GB"/>
              </w:rPr>
              <w:t>£m</w:t>
            </w:r>
          </w:p>
        </w:tc>
        <w:tc>
          <w:tcPr>
            <w:tcW w:w="1228" w:type="dxa"/>
            <w:tcBorders>
              <w:top w:val="nil"/>
              <w:left w:val="nil"/>
              <w:bottom w:val="nil"/>
              <w:right w:val="nil"/>
            </w:tcBorders>
            <w:shd w:val="clear" w:color="000000" w:fill="FFFFFF"/>
            <w:noWrap/>
            <w:vAlign w:val="bottom"/>
            <w:hideMark/>
          </w:tcPr>
          <w:p w:rsidR="00E329F7" w:rsidRPr="002B2928" w:rsidRDefault="00E329F7" w:rsidP="00AE1C26">
            <w:pPr>
              <w:jc w:val="right"/>
              <w:rPr>
                <w:rFonts w:cs="Calibri"/>
                <w:b/>
                <w:bCs/>
                <w:lang w:eastAsia="en-GB"/>
              </w:rPr>
            </w:pPr>
            <w:r w:rsidRPr="002B2928">
              <w:rPr>
                <w:rFonts w:cs="Calibri"/>
                <w:b/>
                <w:bCs/>
                <w:lang w:eastAsia="en-GB"/>
              </w:rPr>
              <w:t>£m</w:t>
            </w:r>
          </w:p>
        </w:tc>
        <w:tc>
          <w:tcPr>
            <w:tcW w:w="993" w:type="dxa"/>
            <w:tcBorders>
              <w:top w:val="nil"/>
              <w:left w:val="nil"/>
              <w:bottom w:val="nil"/>
              <w:right w:val="nil"/>
            </w:tcBorders>
            <w:shd w:val="clear" w:color="000000" w:fill="FFFFFF"/>
            <w:noWrap/>
            <w:vAlign w:val="bottom"/>
            <w:hideMark/>
          </w:tcPr>
          <w:p w:rsidR="00E329F7" w:rsidRPr="002B2928" w:rsidRDefault="00E329F7" w:rsidP="00AE1C26">
            <w:pPr>
              <w:jc w:val="right"/>
              <w:rPr>
                <w:rFonts w:cs="Calibri"/>
                <w:b/>
                <w:bCs/>
                <w:lang w:eastAsia="en-GB"/>
              </w:rPr>
            </w:pPr>
            <w:r w:rsidRPr="002B2928">
              <w:rPr>
                <w:rFonts w:cs="Calibri"/>
                <w:b/>
                <w:bCs/>
                <w:lang w:eastAsia="en-GB"/>
              </w:rPr>
              <w:t>£m</w:t>
            </w:r>
          </w:p>
        </w:tc>
      </w:tr>
      <w:tr w:rsidR="00E329F7" w:rsidRPr="002B2928" w:rsidTr="00AE1C26">
        <w:trPr>
          <w:trHeight w:val="299"/>
        </w:trPr>
        <w:tc>
          <w:tcPr>
            <w:tcW w:w="2996" w:type="dxa"/>
            <w:tcBorders>
              <w:top w:val="nil"/>
              <w:left w:val="nil"/>
              <w:bottom w:val="nil"/>
              <w:right w:val="nil"/>
            </w:tcBorders>
            <w:shd w:val="clear" w:color="000000" w:fill="FFFFFF"/>
            <w:noWrap/>
            <w:vAlign w:val="bottom"/>
            <w:hideMark/>
          </w:tcPr>
          <w:p w:rsidR="00E329F7" w:rsidRPr="002B2928" w:rsidRDefault="00E329F7" w:rsidP="00AE1C26">
            <w:pPr>
              <w:rPr>
                <w:rFonts w:cs="Calibri"/>
                <w:b/>
                <w:bCs/>
                <w:lang w:eastAsia="en-GB"/>
              </w:rPr>
            </w:pPr>
            <w:r w:rsidRPr="002B2928">
              <w:rPr>
                <w:rFonts w:cs="Calibri"/>
                <w:b/>
                <w:bCs/>
                <w:lang w:eastAsia="en-GB"/>
              </w:rPr>
              <w:t>Pooled investments</w:t>
            </w:r>
          </w:p>
        </w:tc>
        <w:tc>
          <w:tcPr>
            <w:tcW w:w="536" w:type="dxa"/>
            <w:tcBorders>
              <w:top w:val="nil"/>
              <w:left w:val="nil"/>
              <w:bottom w:val="nil"/>
              <w:right w:val="nil"/>
            </w:tcBorders>
            <w:shd w:val="clear" w:color="000000" w:fill="FFFFFF"/>
            <w:noWrap/>
            <w:vAlign w:val="bottom"/>
            <w:hideMark/>
          </w:tcPr>
          <w:p w:rsidR="00E329F7" w:rsidRPr="002B2928" w:rsidRDefault="00E329F7" w:rsidP="00AE1C26">
            <w:pPr>
              <w:rPr>
                <w:rFonts w:cs="Calibri"/>
                <w:lang w:eastAsia="en-GB"/>
              </w:rPr>
            </w:pPr>
            <w:r w:rsidRPr="002B2928">
              <w:rPr>
                <w:rFonts w:cs="Calibri"/>
                <w:lang w:eastAsia="en-GB"/>
              </w:rPr>
              <w:t> </w:t>
            </w:r>
          </w:p>
        </w:tc>
        <w:tc>
          <w:tcPr>
            <w:tcW w:w="817" w:type="dxa"/>
            <w:tcBorders>
              <w:top w:val="nil"/>
              <w:left w:val="nil"/>
              <w:bottom w:val="nil"/>
              <w:right w:val="nil"/>
            </w:tcBorders>
            <w:shd w:val="clear" w:color="000000" w:fill="FFFFFF"/>
            <w:noWrap/>
            <w:vAlign w:val="bottom"/>
            <w:hideMark/>
          </w:tcPr>
          <w:p w:rsidR="00E329F7" w:rsidRPr="002B2928" w:rsidRDefault="00E329F7" w:rsidP="00AE1C26">
            <w:pPr>
              <w:jc w:val="right"/>
              <w:rPr>
                <w:rFonts w:cs="Calibri"/>
                <w:lang w:eastAsia="en-GB"/>
              </w:rPr>
            </w:pPr>
            <w:r w:rsidRPr="002B2928">
              <w:rPr>
                <w:rFonts w:cs="Calibri"/>
                <w:lang w:eastAsia="en-GB"/>
              </w:rPr>
              <w:t>737.7</w:t>
            </w:r>
          </w:p>
        </w:tc>
        <w:tc>
          <w:tcPr>
            <w:tcW w:w="1077" w:type="dxa"/>
            <w:tcBorders>
              <w:top w:val="nil"/>
              <w:left w:val="nil"/>
              <w:bottom w:val="nil"/>
              <w:right w:val="nil"/>
            </w:tcBorders>
            <w:shd w:val="clear" w:color="000000" w:fill="FFFFFF"/>
            <w:noWrap/>
            <w:vAlign w:val="bottom"/>
            <w:hideMark/>
          </w:tcPr>
          <w:p w:rsidR="00E329F7" w:rsidRPr="002B2928" w:rsidRDefault="00E329F7" w:rsidP="00AE1C26">
            <w:pPr>
              <w:jc w:val="right"/>
              <w:rPr>
                <w:rFonts w:cs="Calibri"/>
                <w:lang w:eastAsia="en-GB"/>
              </w:rPr>
            </w:pPr>
            <w:r w:rsidRPr="002B2928">
              <w:rPr>
                <w:rFonts w:cs="Calibri"/>
                <w:lang w:eastAsia="en-GB"/>
              </w:rPr>
              <w:t>0.0</w:t>
            </w:r>
          </w:p>
        </w:tc>
        <w:tc>
          <w:tcPr>
            <w:tcW w:w="973" w:type="dxa"/>
            <w:tcBorders>
              <w:top w:val="nil"/>
              <w:left w:val="nil"/>
              <w:bottom w:val="nil"/>
              <w:right w:val="nil"/>
            </w:tcBorders>
            <w:shd w:val="clear" w:color="000000" w:fill="FFFFFF"/>
            <w:noWrap/>
            <w:vAlign w:val="bottom"/>
            <w:hideMark/>
          </w:tcPr>
          <w:p w:rsidR="00E329F7" w:rsidRPr="002B2928" w:rsidRDefault="00E329F7" w:rsidP="00AE1C26">
            <w:pPr>
              <w:jc w:val="right"/>
              <w:rPr>
                <w:rFonts w:cs="Calibri"/>
                <w:lang w:eastAsia="en-GB"/>
              </w:rPr>
            </w:pPr>
            <w:r w:rsidRPr="002B2928">
              <w:rPr>
                <w:rFonts w:cs="Calibri"/>
                <w:lang w:eastAsia="en-GB"/>
              </w:rPr>
              <w:t>(1.2)</w:t>
            </w:r>
          </w:p>
        </w:tc>
        <w:tc>
          <w:tcPr>
            <w:tcW w:w="1228" w:type="dxa"/>
            <w:tcBorders>
              <w:top w:val="nil"/>
              <w:left w:val="nil"/>
              <w:bottom w:val="nil"/>
              <w:right w:val="nil"/>
            </w:tcBorders>
            <w:shd w:val="clear" w:color="000000" w:fill="FFFFFF"/>
            <w:noWrap/>
            <w:vAlign w:val="bottom"/>
            <w:hideMark/>
          </w:tcPr>
          <w:p w:rsidR="00E329F7" w:rsidRPr="002B2928" w:rsidRDefault="00E329F7" w:rsidP="00AE1C26">
            <w:pPr>
              <w:jc w:val="right"/>
              <w:rPr>
                <w:rFonts w:cs="Calibri"/>
                <w:lang w:eastAsia="en-GB"/>
              </w:rPr>
            </w:pPr>
            <w:r w:rsidRPr="002B2928">
              <w:rPr>
                <w:rFonts w:cs="Calibri"/>
                <w:lang w:eastAsia="en-GB"/>
              </w:rPr>
              <w:t>(39.5)</w:t>
            </w:r>
          </w:p>
        </w:tc>
        <w:tc>
          <w:tcPr>
            <w:tcW w:w="993" w:type="dxa"/>
            <w:tcBorders>
              <w:top w:val="nil"/>
              <w:left w:val="nil"/>
              <w:bottom w:val="nil"/>
              <w:right w:val="nil"/>
            </w:tcBorders>
            <w:shd w:val="clear" w:color="000000" w:fill="FFFFFF"/>
            <w:noWrap/>
            <w:vAlign w:val="bottom"/>
            <w:hideMark/>
          </w:tcPr>
          <w:p w:rsidR="00E329F7" w:rsidRPr="002B2928" w:rsidRDefault="00E329F7" w:rsidP="00AE1C26">
            <w:pPr>
              <w:jc w:val="right"/>
              <w:rPr>
                <w:rFonts w:cs="Calibri"/>
                <w:lang w:eastAsia="en-GB"/>
              </w:rPr>
            </w:pPr>
            <w:r w:rsidRPr="002B2928">
              <w:rPr>
                <w:rFonts w:cs="Calibri"/>
                <w:lang w:eastAsia="en-GB"/>
              </w:rPr>
              <w:t>697.0</w:t>
            </w:r>
          </w:p>
        </w:tc>
      </w:tr>
      <w:tr w:rsidR="00E329F7" w:rsidRPr="002B2928" w:rsidTr="00AE1C26">
        <w:trPr>
          <w:trHeight w:val="299"/>
        </w:trPr>
        <w:tc>
          <w:tcPr>
            <w:tcW w:w="2996" w:type="dxa"/>
            <w:tcBorders>
              <w:top w:val="nil"/>
              <w:left w:val="nil"/>
              <w:bottom w:val="nil"/>
              <w:right w:val="nil"/>
            </w:tcBorders>
            <w:shd w:val="clear" w:color="000000" w:fill="FFFFFF"/>
            <w:noWrap/>
            <w:vAlign w:val="bottom"/>
            <w:hideMark/>
          </w:tcPr>
          <w:p w:rsidR="00E329F7" w:rsidRPr="002B2928" w:rsidRDefault="00E329F7" w:rsidP="00AE1C26">
            <w:pPr>
              <w:rPr>
                <w:rFonts w:cs="Calibri"/>
                <w:b/>
                <w:bCs/>
                <w:lang w:eastAsia="en-GB"/>
              </w:rPr>
            </w:pPr>
            <w:r w:rsidRPr="002B2928">
              <w:rPr>
                <w:rFonts w:cs="Calibri"/>
                <w:b/>
                <w:bCs/>
                <w:lang w:eastAsia="en-GB"/>
              </w:rPr>
              <w:t>Pooled property investments</w:t>
            </w:r>
          </w:p>
        </w:tc>
        <w:tc>
          <w:tcPr>
            <w:tcW w:w="536" w:type="dxa"/>
            <w:tcBorders>
              <w:top w:val="nil"/>
              <w:left w:val="nil"/>
              <w:bottom w:val="nil"/>
              <w:right w:val="nil"/>
            </w:tcBorders>
            <w:shd w:val="clear" w:color="000000" w:fill="FFFFFF"/>
            <w:noWrap/>
            <w:vAlign w:val="bottom"/>
            <w:hideMark/>
          </w:tcPr>
          <w:p w:rsidR="00E329F7" w:rsidRPr="002B2928" w:rsidRDefault="00E329F7" w:rsidP="00AE1C26">
            <w:pPr>
              <w:rPr>
                <w:rFonts w:cs="Calibri"/>
                <w:lang w:eastAsia="en-GB"/>
              </w:rPr>
            </w:pPr>
            <w:r w:rsidRPr="002B2928">
              <w:rPr>
                <w:rFonts w:cs="Calibri"/>
                <w:lang w:eastAsia="en-GB"/>
              </w:rPr>
              <w:t> </w:t>
            </w:r>
          </w:p>
        </w:tc>
        <w:tc>
          <w:tcPr>
            <w:tcW w:w="817" w:type="dxa"/>
            <w:tcBorders>
              <w:top w:val="nil"/>
              <w:left w:val="nil"/>
              <w:bottom w:val="nil"/>
              <w:right w:val="nil"/>
            </w:tcBorders>
            <w:shd w:val="clear" w:color="000000" w:fill="FFFFFF"/>
            <w:noWrap/>
            <w:vAlign w:val="bottom"/>
            <w:hideMark/>
          </w:tcPr>
          <w:p w:rsidR="00E329F7" w:rsidRPr="002B2928" w:rsidRDefault="00E329F7" w:rsidP="00AE1C26">
            <w:pPr>
              <w:jc w:val="right"/>
              <w:rPr>
                <w:rFonts w:cs="Calibri"/>
                <w:lang w:eastAsia="en-GB"/>
              </w:rPr>
            </w:pPr>
            <w:r w:rsidRPr="002B2928">
              <w:rPr>
                <w:rFonts w:cs="Calibri"/>
                <w:lang w:eastAsia="en-GB"/>
              </w:rPr>
              <w:t>0.2</w:t>
            </w:r>
          </w:p>
        </w:tc>
        <w:tc>
          <w:tcPr>
            <w:tcW w:w="1077" w:type="dxa"/>
            <w:tcBorders>
              <w:top w:val="nil"/>
              <w:left w:val="nil"/>
              <w:bottom w:val="nil"/>
              <w:right w:val="nil"/>
            </w:tcBorders>
            <w:shd w:val="clear" w:color="000000" w:fill="FFFFFF"/>
            <w:noWrap/>
            <w:vAlign w:val="bottom"/>
            <w:hideMark/>
          </w:tcPr>
          <w:p w:rsidR="00E329F7" w:rsidRPr="002B2928" w:rsidRDefault="00E329F7" w:rsidP="00AE1C26">
            <w:pPr>
              <w:jc w:val="right"/>
              <w:rPr>
                <w:rFonts w:cs="Calibri"/>
                <w:lang w:eastAsia="en-GB"/>
              </w:rPr>
            </w:pPr>
            <w:r w:rsidRPr="002B2928">
              <w:rPr>
                <w:rFonts w:cs="Calibri"/>
                <w:lang w:eastAsia="en-GB"/>
              </w:rPr>
              <w:t>0.0</w:t>
            </w:r>
          </w:p>
        </w:tc>
        <w:tc>
          <w:tcPr>
            <w:tcW w:w="973" w:type="dxa"/>
            <w:tcBorders>
              <w:top w:val="nil"/>
              <w:left w:val="nil"/>
              <w:bottom w:val="nil"/>
              <w:right w:val="nil"/>
            </w:tcBorders>
            <w:shd w:val="clear" w:color="000000" w:fill="FFFFFF"/>
            <w:noWrap/>
            <w:vAlign w:val="bottom"/>
            <w:hideMark/>
          </w:tcPr>
          <w:p w:rsidR="00E329F7" w:rsidRPr="002B2928" w:rsidRDefault="00E329F7" w:rsidP="00AE1C26">
            <w:pPr>
              <w:jc w:val="right"/>
              <w:rPr>
                <w:rFonts w:cs="Calibri"/>
                <w:lang w:eastAsia="en-GB"/>
              </w:rPr>
            </w:pPr>
            <w:r w:rsidRPr="002B2928">
              <w:rPr>
                <w:rFonts w:cs="Calibri"/>
                <w:lang w:eastAsia="en-GB"/>
              </w:rPr>
              <w:t>(3.3)</w:t>
            </w:r>
          </w:p>
        </w:tc>
        <w:tc>
          <w:tcPr>
            <w:tcW w:w="1228" w:type="dxa"/>
            <w:tcBorders>
              <w:top w:val="nil"/>
              <w:left w:val="nil"/>
              <w:bottom w:val="nil"/>
              <w:right w:val="nil"/>
            </w:tcBorders>
            <w:shd w:val="clear" w:color="000000" w:fill="FFFFFF"/>
            <w:noWrap/>
            <w:vAlign w:val="bottom"/>
            <w:hideMark/>
          </w:tcPr>
          <w:p w:rsidR="00E329F7" w:rsidRPr="002B2928" w:rsidRDefault="00E329F7" w:rsidP="00AE1C26">
            <w:pPr>
              <w:jc w:val="right"/>
              <w:rPr>
                <w:rFonts w:cs="Calibri"/>
                <w:lang w:eastAsia="en-GB"/>
              </w:rPr>
            </w:pPr>
            <w:r w:rsidRPr="002B2928">
              <w:rPr>
                <w:rFonts w:cs="Calibri"/>
                <w:lang w:eastAsia="en-GB"/>
              </w:rPr>
              <w:t>3.2</w:t>
            </w:r>
          </w:p>
        </w:tc>
        <w:tc>
          <w:tcPr>
            <w:tcW w:w="993" w:type="dxa"/>
            <w:tcBorders>
              <w:top w:val="nil"/>
              <w:left w:val="nil"/>
              <w:bottom w:val="nil"/>
              <w:right w:val="nil"/>
            </w:tcBorders>
            <w:shd w:val="clear" w:color="000000" w:fill="FFFFFF"/>
            <w:noWrap/>
            <w:vAlign w:val="bottom"/>
            <w:hideMark/>
          </w:tcPr>
          <w:p w:rsidR="00E329F7" w:rsidRPr="002B2928" w:rsidRDefault="00E329F7" w:rsidP="00AE1C26">
            <w:pPr>
              <w:jc w:val="right"/>
              <w:rPr>
                <w:rFonts w:cs="Calibri"/>
                <w:lang w:eastAsia="en-GB"/>
              </w:rPr>
            </w:pPr>
            <w:r w:rsidRPr="002B2928">
              <w:rPr>
                <w:rFonts w:cs="Calibri"/>
                <w:lang w:eastAsia="en-GB"/>
              </w:rPr>
              <w:t>0.1</w:t>
            </w:r>
          </w:p>
        </w:tc>
      </w:tr>
      <w:tr w:rsidR="00E329F7" w:rsidRPr="002B2928" w:rsidTr="00AE1C26">
        <w:trPr>
          <w:trHeight w:val="299"/>
        </w:trPr>
        <w:tc>
          <w:tcPr>
            <w:tcW w:w="2996" w:type="dxa"/>
            <w:tcBorders>
              <w:top w:val="nil"/>
              <w:left w:val="nil"/>
              <w:bottom w:val="nil"/>
              <w:right w:val="nil"/>
            </w:tcBorders>
            <w:shd w:val="clear" w:color="000000" w:fill="FFFFFF"/>
            <w:noWrap/>
            <w:vAlign w:val="bottom"/>
            <w:hideMark/>
          </w:tcPr>
          <w:p w:rsidR="00E329F7" w:rsidRPr="002B2928" w:rsidRDefault="00E329F7" w:rsidP="00AE1C26">
            <w:pPr>
              <w:rPr>
                <w:rFonts w:cs="Calibri"/>
                <w:b/>
                <w:bCs/>
                <w:lang w:eastAsia="en-GB"/>
              </w:rPr>
            </w:pPr>
            <w:r w:rsidRPr="002B2928">
              <w:rPr>
                <w:rFonts w:cs="Calibri"/>
                <w:b/>
                <w:bCs/>
                <w:lang w:eastAsia="en-GB"/>
              </w:rPr>
              <w:t>Private equity/infrastructure</w:t>
            </w:r>
          </w:p>
        </w:tc>
        <w:tc>
          <w:tcPr>
            <w:tcW w:w="536" w:type="dxa"/>
            <w:tcBorders>
              <w:top w:val="nil"/>
              <w:left w:val="nil"/>
              <w:bottom w:val="nil"/>
              <w:right w:val="nil"/>
            </w:tcBorders>
            <w:shd w:val="clear" w:color="000000" w:fill="FFFFFF"/>
            <w:noWrap/>
            <w:vAlign w:val="bottom"/>
            <w:hideMark/>
          </w:tcPr>
          <w:p w:rsidR="00E329F7" w:rsidRPr="002B2928" w:rsidRDefault="00E329F7" w:rsidP="00AE1C26">
            <w:pPr>
              <w:rPr>
                <w:rFonts w:cs="Calibri"/>
                <w:lang w:eastAsia="en-GB"/>
              </w:rPr>
            </w:pPr>
            <w:r w:rsidRPr="002B2928">
              <w:rPr>
                <w:rFonts w:cs="Calibri"/>
                <w:lang w:eastAsia="en-GB"/>
              </w:rPr>
              <w:t> </w:t>
            </w:r>
          </w:p>
        </w:tc>
        <w:tc>
          <w:tcPr>
            <w:tcW w:w="817" w:type="dxa"/>
            <w:tcBorders>
              <w:top w:val="nil"/>
              <w:left w:val="nil"/>
              <w:bottom w:val="nil"/>
              <w:right w:val="nil"/>
            </w:tcBorders>
            <w:shd w:val="clear" w:color="000000" w:fill="FFFFFF"/>
            <w:noWrap/>
            <w:vAlign w:val="bottom"/>
            <w:hideMark/>
          </w:tcPr>
          <w:p w:rsidR="00E329F7" w:rsidRPr="002B2928" w:rsidRDefault="00E329F7" w:rsidP="00AE1C26">
            <w:pPr>
              <w:jc w:val="right"/>
              <w:rPr>
                <w:rFonts w:cs="Calibri"/>
                <w:lang w:eastAsia="en-GB"/>
              </w:rPr>
            </w:pPr>
            <w:r w:rsidRPr="002B2928">
              <w:rPr>
                <w:rFonts w:cs="Calibri"/>
                <w:lang w:eastAsia="en-GB"/>
              </w:rPr>
              <w:t>95.0</w:t>
            </w:r>
          </w:p>
        </w:tc>
        <w:tc>
          <w:tcPr>
            <w:tcW w:w="1077" w:type="dxa"/>
            <w:tcBorders>
              <w:top w:val="nil"/>
              <w:left w:val="nil"/>
              <w:bottom w:val="nil"/>
              <w:right w:val="nil"/>
            </w:tcBorders>
            <w:shd w:val="clear" w:color="000000" w:fill="FFFFFF"/>
            <w:noWrap/>
            <w:vAlign w:val="bottom"/>
            <w:hideMark/>
          </w:tcPr>
          <w:p w:rsidR="00E329F7" w:rsidRPr="002B2928" w:rsidRDefault="00E329F7" w:rsidP="00AE1C26">
            <w:pPr>
              <w:jc w:val="right"/>
              <w:rPr>
                <w:rFonts w:cs="Calibri"/>
                <w:lang w:eastAsia="en-GB"/>
              </w:rPr>
            </w:pPr>
            <w:r w:rsidRPr="002B2928">
              <w:rPr>
                <w:rFonts w:cs="Calibri"/>
                <w:lang w:eastAsia="en-GB"/>
              </w:rPr>
              <w:t>3.2</w:t>
            </w:r>
          </w:p>
        </w:tc>
        <w:tc>
          <w:tcPr>
            <w:tcW w:w="973" w:type="dxa"/>
            <w:tcBorders>
              <w:top w:val="nil"/>
              <w:left w:val="nil"/>
              <w:bottom w:val="nil"/>
              <w:right w:val="nil"/>
            </w:tcBorders>
            <w:shd w:val="clear" w:color="000000" w:fill="FFFFFF"/>
            <w:noWrap/>
            <w:vAlign w:val="bottom"/>
            <w:hideMark/>
          </w:tcPr>
          <w:p w:rsidR="00E329F7" w:rsidRPr="002B2928" w:rsidRDefault="00E329F7" w:rsidP="00AE1C26">
            <w:pPr>
              <w:jc w:val="right"/>
              <w:rPr>
                <w:rFonts w:cs="Calibri"/>
                <w:lang w:eastAsia="en-GB"/>
              </w:rPr>
            </w:pPr>
            <w:r w:rsidRPr="002B2928">
              <w:rPr>
                <w:rFonts w:cs="Calibri"/>
                <w:lang w:eastAsia="en-GB"/>
              </w:rPr>
              <w:t>(1</w:t>
            </w:r>
            <w:r>
              <w:rPr>
                <w:rFonts w:cs="Calibri"/>
                <w:lang w:eastAsia="en-GB"/>
              </w:rPr>
              <w:t>6</w:t>
            </w:r>
            <w:r w:rsidRPr="002B2928">
              <w:rPr>
                <w:rFonts w:cs="Calibri"/>
                <w:lang w:eastAsia="en-GB"/>
              </w:rPr>
              <w:t>.</w:t>
            </w:r>
            <w:r>
              <w:rPr>
                <w:rFonts w:cs="Calibri"/>
                <w:lang w:eastAsia="en-GB"/>
              </w:rPr>
              <w:t>1</w:t>
            </w:r>
            <w:r w:rsidRPr="002B2928">
              <w:rPr>
                <w:rFonts w:cs="Calibri"/>
                <w:lang w:eastAsia="en-GB"/>
              </w:rPr>
              <w:t>)</w:t>
            </w:r>
          </w:p>
        </w:tc>
        <w:tc>
          <w:tcPr>
            <w:tcW w:w="1228" w:type="dxa"/>
            <w:tcBorders>
              <w:top w:val="nil"/>
              <w:left w:val="nil"/>
              <w:bottom w:val="nil"/>
              <w:right w:val="nil"/>
            </w:tcBorders>
            <w:shd w:val="clear" w:color="000000" w:fill="FFFFFF"/>
            <w:noWrap/>
            <w:vAlign w:val="bottom"/>
            <w:hideMark/>
          </w:tcPr>
          <w:p w:rsidR="00E329F7" w:rsidRPr="002B2928" w:rsidRDefault="00E329F7" w:rsidP="00AE1C26">
            <w:pPr>
              <w:jc w:val="right"/>
              <w:rPr>
                <w:rFonts w:cs="Calibri"/>
                <w:lang w:eastAsia="en-GB"/>
              </w:rPr>
            </w:pPr>
            <w:r>
              <w:rPr>
                <w:rFonts w:cs="Calibri"/>
                <w:lang w:eastAsia="en-GB"/>
              </w:rPr>
              <w:t>2.2</w:t>
            </w:r>
          </w:p>
        </w:tc>
        <w:tc>
          <w:tcPr>
            <w:tcW w:w="993" w:type="dxa"/>
            <w:tcBorders>
              <w:top w:val="nil"/>
              <w:left w:val="nil"/>
              <w:bottom w:val="nil"/>
              <w:right w:val="nil"/>
            </w:tcBorders>
            <w:shd w:val="clear" w:color="000000" w:fill="FFFFFF"/>
            <w:noWrap/>
            <w:vAlign w:val="bottom"/>
            <w:hideMark/>
          </w:tcPr>
          <w:p w:rsidR="00E329F7" w:rsidRPr="002B2928" w:rsidRDefault="00E329F7" w:rsidP="00AE1C26">
            <w:pPr>
              <w:jc w:val="right"/>
              <w:rPr>
                <w:rFonts w:cs="Calibri"/>
                <w:lang w:eastAsia="en-GB"/>
              </w:rPr>
            </w:pPr>
            <w:r w:rsidRPr="002B2928">
              <w:rPr>
                <w:rFonts w:cs="Calibri"/>
                <w:lang w:eastAsia="en-GB"/>
              </w:rPr>
              <w:t>84.3</w:t>
            </w:r>
          </w:p>
        </w:tc>
      </w:tr>
      <w:tr w:rsidR="00E329F7" w:rsidRPr="002B2928" w:rsidTr="00AE1C26">
        <w:trPr>
          <w:trHeight w:val="299"/>
        </w:trPr>
        <w:tc>
          <w:tcPr>
            <w:tcW w:w="2996" w:type="dxa"/>
            <w:tcBorders>
              <w:top w:val="nil"/>
              <w:left w:val="nil"/>
              <w:bottom w:val="nil"/>
              <w:right w:val="nil"/>
            </w:tcBorders>
            <w:shd w:val="clear" w:color="000000" w:fill="FFFFFF"/>
            <w:noWrap/>
            <w:vAlign w:val="bottom"/>
            <w:hideMark/>
          </w:tcPr>
          <w:p w:rsidR="00E329F7" w:rsidRPr="002B2928" w:rsidRDefault="00E329F7" w:rsidP="00AE1C26">
            <w:pPr>
              <w:rPr>
                <w:rFonts w:cs="Calibri"/>
                <w:b/>
                <w:bCs/>
                <w:lang w:eastAsia="en-GB"/>
              </w:rPr>
            </w:pPr>
            <w:r w:rsidRPr="002B2928">
              <w:rPr>
                <w:rFonts w:cs="Calibri"/>
                <w:b/>
                <w:bCs/>
                <w:lang w:eastAsia="en-GB"/>
              </w:rPr>
              <w:t> </w:t>
            </w:r>
          </w:p>
        </w:tc>
        <w:tc>
          <w:tcPr>
            <w:tcW w:w="536" w:type="dxa"/>
            <w:tcBorders>
              <w:top w:val="nil"/>
              <w:left w:val="nil"/>
              <w:bottom w:val="nil"/>
              <w:right w:val="nil"/>
            </w:tcBorders>
            <w:shd w:val="clear" w:color="000000" w:fill="FFFFFF"/>
            <w:noWrap/>
            <w:vAlign w:val="bottom"/>
            <w:hideMark/>
          </w:tcPr>
          <w:p w:rsidR="00E329F7" w:rsidRPr="002B2928" w:rsidRDefault="00E329F7" w:rsidP="00AE1C26">
            <w:pPr>
              <w:rPr>
                <w:rFonts w:cs="Calibri"/>
                <w:lang w:eastAsia="en-GB"/>
              </w:rPr>
            </w:pPr>
            <w:r w:rsidRPr="002B2928">
              <w:rPr>
                <w:rFonts w:cs="Calibri"/>
                <w:lang w:eastAsia="en-GB"/>
              </w:rPr>
              <w:t> </w:t>
            </w:r>
          </w:p>
        </w:tc>
        <w:tc>
          <w:tcPr>
            <w:tcW w:w="817" w:type="dxa"/>
            <w:tcBorders>
              <w:top w:val="single" w:sz="4" w:space="0" w:color="auto"/>
              <w:left w:val="nil"/>
              <w:bottom w:val="nil"/>
              <w:right w:val="nil"/>
            </w:tcBorders>
            <w:shd w:val="clear" w:color="000000" w:fill="FFFFFF"/>
            <w:noWrap/>
            <w:vAlign w:val="bottom"/>
            <w:hideMark/>
          </w:tcPr>
          <w:p w:rsidR="00E329F7" w:rsidRPr="002B2928" w:rsidRDefault="00E329F7" w:rsidP="00AE1C26">
            <w:pPr>
              <w:jc w:val="right"/>
              <w:rPr>
                <w:rFonts w:cs="Calibri"/>
                <w:b/>
                <w:bCs/>
                <w:lang w:eastAsia="en-GB"/>
              </w:rPr>
            </w:pPr>
            <w:r w:rsidRPr="002B2928">
              <w:rPr>
                <w:rFonts w:cs="Calibri"/>
                <w:b/>
                <w:bCs/>
                <w:lang w:eastAsia="en-GB"/>
              </w:rPr>
              <w:t>832.9</w:t>
            </w:r>
          </w:p>
        </w:tc>
        <w:tc>
          <w:tcPr>
            <w:tcW w:w="1077" w:type="dxa"/>
            <w:tcBorders>
              <w:top w:val="single" w:sz="4" w:space="0" w:color="auto"/>
              <w:left w:val="nil"/>
              <w:bottom w:val="nil"/>
              <w:right w:val="nil"/>
            </w:tcBorders>
            <w:shd w:val="clear" w:color="000000" w:fill="FFFFFF"/>
            <w:noWrap/>
            <w:vAlign w:val="bottom"/>
            <w:hideMark/>
          </w:tcPr>
          <w:p w:rsidR="00E329F7" w:rsidRPr="002B2928" w:rsidRDefault="00E329F7" w:rsidP="00AE1C26">
            <w:pPr>
              <w:jc w:val="right"/>
              <w:rPr>
                <w:rFonts w:cs="Calibri"/>
                <w:b/>
                <w:bCs/>
                <w:lang w:eastAsia="en-GB"/>
              </w:rPr>
            </w:pPr>
            <w:r w:rsidRPr="002B2928">
              <w:rPr>
                <w:rFonts w:cs="Calibri"/>
                <w:b/>
                <w:bCs/>
                <w:lang w:eastAsia="en-GB"/>
              </w:rPr>
              <w:t>3.2</w:t>
            </w:r>
          </w:p>
        </w:tc>
        <w:tc>
          <w:tcPr>
            <w:tcW w:w="973" w:type="dxa"/>
            <w:tcBorders>
              <w:top w:val="single" w:sz="4" w:space="0" w:color="auto"/>
              <w:left w:val="nil"/>
              <w:bottom w:val="nil"/>
              <w:right w:val="nil"/>
            </w:tcBorders>
            <w:shd w:val="clear" w:color="000000" w:fill="FFFFFF"/>
            <w:noWrap/>
            <w:vAlign w:val="bottom"/>
            <w:hideMark/>
          </w:tcPr>
          <w:p w:rsidR="00E329F7" w:rsidRPr="002B2928" w:rsidRDefault="00E329F7" w:rsidP="00AE1C26">
            <w:pPr>
              <w:jc w:val="right"/>
              <w:rPr>
                <w:rFonts w:cs="Calibri"/>
                <w:b/>
                <w:bCs/>
                <w:lang w:eastAsia="en-GB"/>
              </w:rPr>
            </w:pPr>
            <w:r w:rsidRPr="002B2928">
              <w:rPr>
                <w:rFonts w:cs="Calibri"/>
                <w:b/>
                <w:bCs/>
                <w:lang w:eastAsia="en-GB"/>
              </w:rPr>
              <w:t>(2</w:t>
            </w:r>
            <w:r>
              <w:rPr>
                <w:rFonts w:cs="Calibri"/>
                <w:b/>
                <w:bCs/>
                <w:lang w:eastAsia="en-GB"/>
              </w:rPr>
              <w:t>0.6</w:t>
            </w:r>
            <w:r w:rsidRPr="002B2928">
              <w:rPr>
                <w:rFonts w:cs="Calibri"/>
                <w:b/>
                <w:bCs/>
                <w:lang w:eastAsia="en-GB"/>
              </w:rPr>
              <w:t>)</w:t>
            </w:r>
          </w:p>
        </w:tc>
        <w:tc>
          <w:tcPr>
            <w:tcW w:w="1228" w:type="dxa"/>
            <w:tcBorders>
              <w:top w:val="single" w:sz="4" w:space="0" w:color="auto"/>
              <w:left w:val="nil"/>
              <w:bottom w:val="nil"/>
              <w:right w:val="nil"/>
            </w:tcBorders>
            <w:shd w:val="clear" w:color="000000" w:fill="FFFFFF"/>
            <w:noWrap/>
            <w:vAlign w:val="bottom"/>
            <w:hideMark/>
          </w:tcPr>
          <w:p w:rsidR="00E329F7" w:rsidRPr="002B2928" w:rsidRDefault="00E329F7" w:rsidP="00AE1C26">
            <w:pPr>
              <w:jc w:val="right"/>
              <w:rPr>
                <w:rFonts w:cs="Calibri"/>
                <w:b/>
                <w:bCs/>
                <w:lang w:eastAsia="en-GB"/>
              </w:rPr>
            </w:pPr>
            <w:r w:rsidRPr="002B2928">
              <w:rPr>
                <w:rFonts w:cs="Calibri"/>
                <w:b/>
                <w:bCs/>
                <w:lang w:eastAsia="en-GB"/>
              </w:rPr>
              <w:t>(3</w:t>
            </w:r>
            <w:r>
              <w:rPr>
                <w:rFonts w:cs="Calibri"/>
                <w:b/>
                <w:bCs/>
                <w:lang w:eastAsia="en-GB"/>
              </w:rPr>
              <w:t>4</w:t>
            </w:r>
            <w:r w:rsidRPr="002B2928">
              <w:rPr>
                <w:rFonts w:cs="Calibri"/>
                <w:b/>
                <w:bCs/>
                <w:lang w:eastAsia="en-GB"/>
              </w:rPr>
              <w:t>.</w:t>
            </w:r>
            <w:r>
              <w:rPr>
                <w:rFonts w:cs="Calibri"/>
                <w:b/>
                <w:bCs/>
                <w:lang w:eastAsia="en-GB"/>
              </w:rPr>
              <w:t>1</w:t>
            </w:r>
            <w:r w:rsidRPr="002B2928">
              <w:rPr>
                <w:rFonts w:cs="Calibri"/>
                <w:b/>
                <w:bCs/>
                <w:lang w:eastAsia="en-GB"/>
              </w:rPr>
              <w:t>)</w:t>
            </w:r>
          </w:p>
        </w:tc>
        <w:tc>
          <w:tcPr>
            <w:tcW w:w="993" w:type="dxa"/>
            <w:tcBorders>
              <w:top w:val="single" w:sz="4" w:space="0" w:color="auto"/>
              <w:left w:val="nil"/>
              <w:bottom w:val="nil"/>
              <w:right w:val="nil"/>
            </w:tcBorders>
            <w:shd w:val="clear" w:color="000000" w:fill="FFFFFF"/>
            <w:noWrap/>
            <w:vAlign w:val="bottom"/>
            <w:hideMark/>
          </w:tcPr>
          <w:p w:rsidR="00E329F7" w:rsidRPr="002B2928" w:rsidRDefault="00E329F7" w:rsidP="00AE1C26">
            <w:pPr>
              <w:jc w:val="right"/>
              <w:rPr>
                <w:rFonts w:cs="Calibri"/>
                <w:b/>
                <w:bCs/>
                <w:lang w:eastAsia="en-GB"/>
              </w:rPr>
            </w:pPr>
            <w:r w:rsidRPr="002B2928">
              <w:rPr>
                <w:rFonts w:cs="Calibri"/>
                <w:b/>
                <w:bCs/>
                <w:lang w:eastAsia="en-GB"/>
              </w:rPr>
              <w:t>781.4</w:t>
            </w:r>
          </w:p>
        </w:tc>
      </w:tr>
      <w:tr w:rsidR="00E329F7" w:rsidRPr="002B2928" w:rsidTr="00AE1C26">
        <w:trPr>
          <w:trHeight w:val="585"/>
        </w:trPr>
        <w:tc>
          <w:tcPr>
            <w:tcW w:w="2996" w:type="dxa"/>
            <w:tcBorders>
              <w:top w:val="nil"/>
              <w:left w:val="nil"/>
              <w:bottom w:val="nil"/>
              <w:right w:val="nil"/>
            </w:tcBorders>
            <w:shd w:val="clear" w:color="000000" w:fill="FFFFFF"/>
            <w:vAlign w:val="bottom"/>
            <w:hideMark/>
          </w:tcPr>
          <w:p w:rsidR="00E329F7" w:rsidRPr="002B2928" w:rsidRDefault="00E329F7" w:rsidP="00AE1C26">
            <w:pPr>
              <w:rPr>
                <w:rFonts w:cs="Calibri"/>
                <w:b/>
                <w:bCs/>
                <w:lang w:eastAsia="en-GB"/>
              </w:rPr>
            </w:pPr>
            <w:r w:rsidRPr="002B2928">
              <w:rPr>
                <w:rFonts w:cs="Calibri"/>
                <w:b/>
                <w:bCs/>
                <w:lang w:eastAsia="en-GB"/>
              </w:rPr>
              <w:t>Other investment balances: Cash Deposit</w:t>
            </w:r>
          </w:p>
        </w:tc>
        <w:tc>
          <w:tcPr>
            <w:tcW w:w="536" w:type="dxa"/>
            <w:tcBorders>
              <w:top w:val="nil"/>
              <w:left w:val="nil"/>
              <w:bottom w:val="nil"/>
              <w:right w:val="nil"/>
            </w:tcBorders>
            <w:shd w:val="clear" w:color="000000" w:fill="FFFFFF"/>
            <w:noWrap/>
            <w:vAlign w:val="bottom"/>
            <w:hideMark/>
          </w:tcPr>
          <w:p w:rsidR="00E329F7" w:rsidRPr="002B2928" w:rsidRDefault="00E329F7" w:rsidP="00AE1C26">
            <w:pPr>
              <w:rPr>
                <w:rFonts w:cs="Calibri"/>
                <w:lang w:eastAsia="en-GB"/>
              </w:rPr>
            </w:pPr>
            <w:r w:rsidRPr="002B2928">
              <w:rPr>
                <w:rFonts w:cs="Calibri"/>
                <w:lang w:eastAsia="en-GB"/>
              </w:rPr>
              <w:t> </w:t>
            </w:r>
          </w:p>
        </w:tc>
        <w:tc>
          <w:tcPr>
            <w:tcW w:w="817" w:type="dxa"/>
            <w:tcBorders>
              <w:top w:val="nil"/>
              <w:left w:val="nil"/>
              <w:bottom w:val="nil"/>
              <w:right w:val="nil"/>
            </w:tcBorders>
            <w:shd w:val="clear" w:color="000000" w:fill="FFFFFF"/>
            <w:noWrap/>
            <w:vAlign w:val="bottom"/>
            <w:hideMark/>
          </w:tcPr>
          <w:p w:rsidR="00E329F7" w:rsidRPr="002B2928" w:rsidRDefault="00E329F7" w:rsidP="00AE1C26">
            <w:pPr>
              <w:jc w:val="right"/>
              <w:rPr>
                <w:rFonts w:cs="Calibri"/>
                <w:lang w:eastAsia="en-GB"/>
              </w:rPr>
            </w:pPr>
            <w:r w:rsidRPr="002B2928">
              <w:rPr>
                <w:rFonts w:cs="Calibri"/>
                <w:lang w:eastAsia="en-GB"/>
              </w:rPr>
              <w:t>23.5</w:t>
            </w:r>
          </w:p>
        </w:tc>
        <w:tc>
          <w:tcPr>
            <w:tcW w:w="1077" w:type="dxa"/>
            <w:tcBorders>
              <w:top w:val="nil"/>
              <w:left w:val="nil"/>
              <w:bottom w:val="nil"/>
              <w:right w:val="nil"/>
            </w:tcBorders>
            <w:shd w:val="clear" w:color="000000" w:fill="FFFFFF"/>
            <w:noWrap/>
            <w:vAlign w:val="bottom"/>
            <w:hideMark/>
          </w:tcPr>
          <w:p w:rsidR="00E329F7" w:rsidRPr="002B2928" w:rsidRDefault="00E329F7" w:rsidP="00AE1C26">
            <w:pPr>
              <w:rPr>
                <w:rFonts w:cs="Calibri"/>
                <w:lang w:eastAsia="en-GB"/>
              </w:rPr>
            </w:pPr>
            <w:r w:rsidRPr="002B2928">
              <w:rPr>
                <w:rFonts w:cs="Calibri"/>
                <w:lang w:eastAsia="en-GB"/>
              </w:rPr>
              <w:t> </w:t>
            </w:r>
          </w:p>
        </w:tc>
        <w:tc>
          <w:tcPr>
            <w:tcW w:w="973" w:type="dxa"/>
            <w:tcBorders>
              <w:top w:val="nil"/>
              <w:left w:val="nil"/>
              <w:bottom w:val="nil"/>
              <w:right w:val="nil"/>
            </w:tcBorders>
            <w:shd w:val="clear" w:color="000000" w:fill="FFFFFF"/>
            <w:noWrap/>
            <w:vAlign w:val="bottom"/>
            <w:hideMark/>
          </w:tcPr>
          <w:p w:rsidR="00E329F7" w:rsidRPr="002B2928" w:rsidRDefault="00E329F7" w:rsidP="00AE1C26">
            <w:pPr>
              <w:rPr>
                <w:rFonts w:cs="Calibri"/>
                <w:lang w:eastAsia="en-GB"/>
              </w:rPr>
            </w:pPr>
            <w:r w:rsidRPr="002B2928">
              <w:rPr>
                <w:rFonts w:cs="Calibri"/>
                <w:lang w:eastAsia="en-GB"/>
              </w:rPr>
              <w:t> </w:t>
            </w:r>
          </w:p>
        </w:tc>
        <w:tc>
          <w:tcPr>
            <w:tcW w:w="1228" w:type="dxa"/>
            <w:tcBorders>
              <w:top w:val="nil"/>
              <w:left w:val="nil"/>
              <w:bottom w:val="nil"/>
              <w:right w:val="nil"/>
            </w:tcBorders>
            <w:shd w:val="clear" w:color="000000" w:fill="FFFFFF"/>
            <w:noWrap/>
            <w:vAlign w:val="bottom"/>
            <w:hideMark/>
          </w:tcPr>
          <w:p w:rsidR="00E329F7" w:rsidRPr="002B2928" w:rsidRDefault="00E329F7" w:rsidP="00AE1C26">
            <w:pPr>
              <w:rPr>
                <w:rFonts w:cs="Calibri"/>
                <w:lang w:eastAsia="en-GB"/>
              </w:rPr>
            </w:pPr>
            <w:r w:rsidRPr="002B2928">
              <w:rPr>
                <w:rFonts w:cs="Calibri"/>
                <w:lang w:eastAsia="en-GB"/>
              </w:rPr>
              <w:t> </w:t>
            </w:r>
          </w:p>
        </w:tc>
        <w:tc>
          <w:tcPr>
            <w:tcW w:w="993" w:type="dxa"/>
            <w:tcBorders>
              <w:top w:val="nil"/>
              <w:left w:val="nil"/>
              <w:bottom w:val="nil"/>
              <w:right w:val="nil"/>
            </w:tcBorders>
            <w:shd w:val="clear" w:color="000000" w:fill="FFFFFF"/>
            <w:noWrap/>
            <w:vAlign w:val="bottom"/>
            <w:hideMark/>
          </w:tcPr>
          <w:p w:rsidR="00E329F7" w:rsidRPr="002B2928" w:rsidRDefault="00E329F7" w:rsidP="00AE1C26">
            <w:pPr>
              <w:jc w:val="right"/>
              <w:rPr>
                <w:rFonts w:cs="Calibri"/>
                <w:lang w:eastAsia="en-GB"/>
              </w:rPr>
            </w:pPr>
            <w:r w:rsidRPr="002B2928">
              <w:rPr>
                <w:rFonts w:cs="Calibri"/>
                <w:lang w:eastAsia="en-GB"/>
              </w:rPr>
              <w:t>53.9</w:t>
            </w:r>
          </w:p>
        </w:tc>
      </w:tr>
      <w:tr w:rsidR="00E329F7" w:rsidRPr="002B2928" w:rsidTr="00AE1C26">
        <w:trPr>
          <w:trHeight w:val="299"/>
        </w:trPr>
        <w:tc>
          <w:tcPr>
            <w:tcW w:w="2996" w:type="dxa"/>
            <w:tcBorders>
              <w:top w:val="nil"/>
              <w:left w:val="nil"/>
              <w:bottom w:val="nil"/>
              <w:right w:val="nil"/>
            </w:tcBorders>
            <w:shd w:val="clear" w:color="000000" w:fill="FFFFFF"/>
            <w:noWrap/>
            <w:vAlign w:val="bottom"/>
            <w:hideMark/>
          </w:tcPr>
          <w:p w:rsidR="00E329F7" w:rsidRPr="002B2928" w:rsidRDefault="00E329F7" w:rsidP="00AE1C26">
            <w:pPr>
              <w:rPr>
                <w:rFonts w:cs="Calibri"/>
                <w:b/>
                <w:bCs/>
                <w:lang w:eastAsia="en-GB"/>
              </w:rPr>
            </w:pPr>
            <w:r w:rsidRPr="002B2928">
              <w:rPr>
                <w:rFonts w:cs="Calibri"/>
                <w:b/>
                <w:bCs/>
                <w:lang w:eastAsia="en-GB"/>
              </w:rPr>
              <w:t>Investment income due</w:t>
            </w:r>
          </w:p>
        </w:tc>
        <w:tc>
          <w:tcPr>
            <w:tcW w:w="536" w:type="dxa"/>
            <w:tcBorders>
              <w:top w:val="nil"/>
              <w:left w:val="nil"/>
              <w:bottom w:val="nil"/>
              <w:right w:val="nil"/>
            </w:tcBorders>
            <w:shd w:val="clear" w:color="000000" w:fill="FFFFFF"/>
            <w:noWrap/>
            <w:vAlign w:val="bottom"/>
            <w:hideMark/>
          </w:tcPr>
          <w:p w:rsidR="00E329F7" w:rsidRPr="002B2928" w:rsidRDefault="00E329F7" w:rsidP="00AE1C26">
            <w:pPr>
              <w:rPr>
                <w:rFonts w:cs="Calibri"/>
                <w:lang w:eastAsia="en-GB"/>
              </w:rPr>
            </w:pPr>
            <w:r w:rsidRPr="002B2928">
              <w:rPr>
                <w:rFonts w:cs="Calibri"/>
                <w:lang w:eastAsia="en-GB"/>
              </w:rPr>
              <w:t> </w:t>
            </w:r>
          </w:p>
        </w:tc>
        <w:tc>
          <w:tcPr>
            <w:tcW w:w="817" w:type="dxa"/>
            <w:tcBorders>
              <w:top w:val="nil"/>
              <w:left w:val="nil"/>
              <w:bottom w:val="nil"/>
              <w:right w:val="nil"/>
            </w:tcBorders>
            <w:shd w:val="clear" w:color="000000" w:fill="FFFFFF"/>
            <w:noWrap/>
            <w:vAlign w:val="bottom"/>
            <w:hideMark/>
          </w:tcPr>
          <w:p w:rsidR="00E329F7" w:rsidRPr="002B2928" w:rsidRDefault="00E329F7" w:rsidP="00AE1C26">
            <w:pPr>
              <w:jc w:val="right"/>
              <w:rPr>
                <w:rFonts w:cs="Calibri"/>
                <w:lang w:eastAsia="en-GB"/>
              </w:rPr>
            </w:pPr>
            <w:r w:rsidRPr="002B2928">
              <w:rPr>
                <w:rFonts w:cs="Calibri"/>
                <w:lang w:eastAsia="en-GB"/>
              </w:rPr>
              <w:t>0.0</w:t>
            </w:r>
          </w:p>
        </w:tc>
        <w:tc>
          <w:tcPr>
            <w:tcW w:w="1077" w:type="dxa"/>
            <w:tcBorders>
              <w:top w:val="nil"/>
              <w:left w:val="nil"/>
              <w:bottom w:val="nil"/>
              <w:right w:val="nil"/>
            </w:tcBorders>
            <w:shd w:val="clear" w:color="000000" w:fill="FFFFFF"/>
            <w:noWrap/>
            <w:vAlign w:val="bottom"/>
            <w:hideMark/>
          </w:tcPr>
          <w:p w:rsidR="00E329F7" w:rsidRPr="002B2928" w:rsidRDefault="00E329F7" w:rsidP="00AE1C26">
            <w:pPr>
              <w:rPr>
                <w:rFonts w:cs="Calibri"/>
                <w:lang w:eastAsia="en-GB"/>
              </w:rPr>
            </w:pPr>
            <w:r w:rsidRPr="002B2928">
              <w:rPr>
                <w:rFonts w:cs="Calibri"/>
                <w:lang w:eastAsia="en-GB"/>
              </w:rPr>
              <w:t> </w:t>
            </w:r>
          </w:p>
        </w:tc>
        <w:tc>
          <w:tcPr>
            <w:tcW w:w="973" w:type="dxa"/>
            <w:tcBorders>
              <w:top w:val="nil"/>
              <w:left w:val="nil"/>
              <w:bottom w:val="nil"/>
              <w:right w:val="nil"/>
            </w:tcBorders>
            <w:shd w:val="clear" w:color="000000" w:fill="FFFFFF"/>
            <w:noWrap/>
            <w:vAlign w:val="bottom"/>
            <w:hideMark/>
          </w:tcPr>
          <w:p w:rsidR="00E329F7" w:rsidRPr="002B2928" w:rsidRDefault="00E329F7" w:rsidP="00AE1C26">
            <w:pPr>
              <w:rPr>
                <w:rFonts w:cs="Calibri"/>
                <w:lang w:eastAsia="en-GB"/>
              </w:rPr>
            </w:pPr>
            <w:r w:rsidRPr="002B2928">
              <w:rPr>
                <w:rFonts w:cs="Calibri"/>
                <w:lang w:eastAsia="en-GB"/>
              </w:rPr>
              <w:t> </w:t>
            </w:r>
          </w:p>
        </w:tc>
        <w:tc>
          <w:tcPr>
            <w:tcW w:w="1228" w:type="dxa"/>
            <w:tcBorders>
              <w:top w:val="nil"/>
              <w:left w:val="nil"/>
              <w:bottom w:val="nil"/>
              <w:right w:val="nil"/>
            </w:tcBorders>
            <w:shd w:val="clear" w:color="000000" w:fill="FFFFFF"/>
            <w:noWrap/>
            <w:vAlign w:val="bottom"/>
            <w:hideMark/>
          </w:tcPr>
          <w:p w:rsidR="00E329F7" w:rsidRPr="002B2928" w:rsidRDefault="00E329F7" w:rsidP="00AE1C26">
            <w:pPr>
              <w:rPr>
                <w:rFonts w:cs="Calibri"/>
                <w:lang w:eastAsia="en-GB"/>
              </w:rPr>
            </w:pPr>
            <w:r w:rsidRPr="002B2928">
              <w:rPr>
                <w:rFonts w:cs="Calibri"/>
                <w:lang w:eastAsia="en-GB"/>
              </w:rPr>
              <w:t> </w:t>
            </w:r>
          </w:p>
        </w:tc>
        <w:tc>
          <w:tcPr>
            <w:tcW w:w="993" w:type="dxa"/>
            <w:tcBorders>
              <w:top w:val="nil"/>
              <w:left w:val="nil"/>
              <w:bottom w:val="nil"/>
              <w:right w:val="nil"/>
            </w:tcBorders>
            <w:shd w:val="clear" w:color="000000" w:fill="FFFFFF"/>
            <w:noWrap/>
            <w:vAlign w:val="bottom"/>
            <w:hideMark/>
          </w:tcPr>
          <w:p w:rsidR="00E329F7" w:rsidRPr="002B2928" w:rsidRDefault="00E329F7" w:rsidP="00AE1C26">
            <w:pPr>
              <w:jc w:val="right"/>
              <w:rPr>
                <w:rFonts w:cs="Calibri"/>
                <w:lang w:eastAsia="en-GB"/>
              </w:rPr>
            </w:pPr>
            <w:r w:rsidRPr="002B2928">
              <w:rPr>
                <w:rFonts w:cs="Calibri"/>
                <w:lang w:eastAsia="en-GB"/>
              </w:rPr>
              <w:t>0.0</w:t>
            </w:r>
          </w:p>
        </w:tc>
      </w:tr>
      <w:tr w:rsidR="00E329F7" w:rsidRPr="002B2928" w:rsidTr="00AE1C26">
        <w:trPr>
          <w:trHeight w:val="585"/>
        </w:trPr>
        <w:tc>
          <w:tcPr>
            <w:tcW w:w="2996" w:type="dxa"/>
            <w:tcBorders>
              <w:top w:val="nil"/>
              <w:left w:val="nil"/>
              <w:bottom w:val="nil"/>
              <w:right w:val="nil"/>
            </w:tcBorders>
            <w:shd w:val="clear" w:color="000000" w:fill="FFFFFF"/>
            <w:noWrap/>
            <w:vAlign w:val="bottom"/>
            <w:hideMark/>
          </w:tcPr>
          <w:p w:rsidR="00E329F7" w:rsidRPr="002B2928" w:rsidRDefault="00E329F7" w:rsidP="00AE1C26">
            <w:pPr>
              <w:rPr>
                <w:rFonts w:cs="Calibri"/>
                <w:b/>
                <w:bCs/>
                <w:lang w:eastAsia="en-GB"/>
              </w:rPr>
            </w:pPr>
            <w:r w:rsidRPr="002B2928">
              <w:rPr>
                <w:rFonts w:cs="Calibri"/>
                <w:b/>
                <w:bCs/>
                <w:lang w:eastAsia="en-GB"/>
              </w:rPr>
              <w:t>Net investment assets</w:t>
            </w:r>
          </w:p>
        </w:tc>
        <w:tc>
          <w:tcPr>
            <w:tcW w:w="536" w:type="dxa"/>
            <w:tcBorders>
              <w:top w:val="nil"/>
              <w:left w:val="nil"/>
              <w:bottom w:val="nil"/>
              <w:right w:val="nil"/>
            </w:tcBorders>
            <w:shd w:val="clear" w:color="000000" w:fill="FFFFFF"/>
            <w:noWrap/>
            <w:vAlign w:val="bottom"/>
            <w:hideMark/>
          </w:tcPr>
          <w:p w:rsidR="00E329F7" w:rsidRPr="002B2928" w:rsidRDefault="00E329F7" w:rsidP="00AE1C26">
            <w:pPr>
              <w:rPr>
                <w:rFonts w:cs="Calibri"/>
                <w:lang w:eastAsia="en-GB"/>
              </w:rPr>
            </w:pPr>
            <w:r w:rsidRPr="002B2928">
              <w:rPr>
                <w:rFonts w:cs="Calibri"/>
                <w:lang w:eastAsia="en-GB"/>
              </w:rPr>
              <w:t> </w:t>
            </w:r>
          </w:p>
        </w:tc>
        <w:tc>
          <w:tcPr>
            <w:tcW w:w="817" w:type="dxa"/>
            <w:tcBorders>
              <w:top w:val="single" w:sz="4" w:space="0" w:color="auto"/>
              <w:left w:val="nil"/>
              <w:bottom w:val="double" w:sz="6" w:space="0" w:color="auto"/>
              <w:right w:val="nil"/>
            </w:tcBorders>
            <w:shd w:val="clear" w:color="000000" w:fill="FFFFFF"/>
            <w:noWrap/>
            <w:vAlign w:val="bottom"/>
            <w:hideMark/>
          </w:tcPr>
          <w:p w:rsidR="00E329F7" w:rsidRPr="002B2928" w:rsidRDefault="00E329F7" w:rsidP="00AE1C26">
            <w:pPr>
              <w:jc w:val="right"/>
              <w:rPr>
                <w:rFonts w:cs="Calibri"/>
                <w:b/>
                <w:bCs/>
                <w:lang w:eastAsia="en-GB"/>
              </w:rPr>
            </w:pPr>
            <w:r w:rsidRPr="002B2928">
              <w:rPr>
                <w:rFonts w:cs="Calibri"/>
                <w:b/>
                <w:bCs/>
                <w:lang w:eastAsia="en-GB"/>
              </w:rPr>
              <w:t>856.4</w:t>
            </w:r>
          </w:p>
        </w:tc>
        <w:tc>
          <w:tcPr>
            <w:tcW w:w="1077" w:type="dxa"/>
            <w:tcBorders>
              <w:top w:val="single" w:sz="4" w:space="0" w:color="auto"/>
              <w:left w:val="nil"/>
              <w:bottom w:val="nil"/>
              <w:right w:val="nil"/>
            </w:tcBorders>
            <w:shd w:val="clear" w:color="000000" w:fill="FFFFFF"/>
            <w:noWrap/>
            <w:vAlign w:val="bottom"/>
            <w:hideMark/>
          </w:tcPr>
          <w:p w:rsidR="00E329F7" w:rsidRPr="002B2928" w:rsidRDefault="00E329F7" w:rsidP="00AE1C26">
            <w:pPr>
              <w:rPr>
                <w:rFonts w:cs="Calibri"/>
                <w:lang w:eastAsia="en-GB"/>
              </w:rPr>
            </w:pPr>
            <w:r w:rsidRPr="002B2928">
              <w:rPr>
                <w:rFonts w:cs="Calibri"/>
                <w:lang w:eastAsia="en-GB"/>
              </w:rPr>
              <w:t> </w:t>
            </w:r>
          </w:p>
        </w:tc>
        <w:tc>
          <w:tcPr>
            <w:tcW w:w="973" w:type="dxa"/>
            <w:tcBorders>
              <w:top w:val="single" w:sz="4" w:space="0" w:color="auto"/>
              <w:left w:val="nil"/>
              <w:bottom w:val="nil"/>
              <w:right w:val="nil"/>
            </w:tcBorders>
            <w:shd w:val="clear" w:color="000000" w:fill="FFFFFF"/>
            <w:noWrap/>
            <w:vAlign w:val="bottom"/>
            <w:hideMark/>
          </w:tcPr>
          <w:p w:rsidR="00E329F7" w:rsidRPr="002B2928" w:rsidRDefault="00E329F7" w:rsidP="00AE1C26">
            <w:pPr>
              <w:rPr>
                <w:rFonts w:cs="Calibri"/>
                <w:lang w:eastAsia="en-GB"/>
              </w:rPr>
            </w:pPr>
            <w:r w:rsidRPr="002B2928">
              <w:rPr>
                <w:rFonts w:cs="Calibri"/>
                <w:lang w:eastAsia="en-GB"/>
              </w:rPr>
              <w:t> </w:t>
            </w:r>
          </w:p>
        </w:tc>
        <w:tc>
          <w:tcPr>
            <w:tcW w:w="1228" w:type="dxa"/>
            <w:tcBorders>
              <w:top w:val="single" w:sz="4" w:space="0" w:color="auto"/>
              <w:left w:val="nil"/>
              <w:bottom w:val="nil"/>
              <w:right w:val="nil"/>
            </w:tcBorders>
            <w:shd w:val="clear" w:color="000000" w:fill="FFFFFF"/>
            <w:noWrap/>
            <w:vAlign w:val="bottom"/>
            <w:hideMark/>
          </w:tcPr>
          <w:p w:rsidR="00E329F7" w:rsidRPr="002B2928" w:rsidRDefault="00E329F7" w:rsidP="00AE1C26">
            <w:pPr>
              <w:rPr>
                <w:rFonts w:cs="Calibri"/>
                <w:lang w:eastAsia="en-GB"/>
              </w:rPr>
            </w:pPr>
            <w:r w:rsidRPr="002B2928">
              <w:rPr>
                <w:rFonts w:cs="Calibri"/>
                <w:lang w:eastAsia="en-GB"/>
              </w:rPr>
              <w:t> </w:t>
            </w:r>
          </w:p>
        </w:tc>
        <w:tc>
          <w:tcPr>
            <w:tcW w:w="993" w:type="dxa"/>
            <w:tcBorders>
              <w:top w:val="single" w:sz="4" w:space="0" w:color="auto"/>
              <w:left w:val="nil"/>
              <w:bottom w:val="double" w:sz="6" w:space="0" w:color="auto"/>
              <w:right w:val="nil"/>
            </w:tcBorders>
            <w:shd w:val="clear" w:color="000000" w:fill="FFFFFF"/>
            <w:noWrap/>
            <w:vAlign w:val="bottom"/>
            <w:hideMark/>
          </w:tcPr>
          <w:p w:rsidR="00E329F7" w:rsidRPr="002B2928" w:rsidRDefault="00E329F7" w:rsidP="00AE1C26">
            <w:pPr>
              <w:jc w:val="right"/>
              <w:rPr>
                <w:rFonts w:cs="Calibri"/>
                <w:b/>
                <w:bCs/>
                <w:lang w:eastAsia="en-GB"/>
              </w:rPr>
            </w:pPr>
            <w:r w:rsidRPr="002B2928">
              <w:rPr>
                <w:rFonts w:cs="Calibri"/>
                <w:b/>
                <w:bCs/>
                <w:lang w:eastAsia="en-GB"/>
              </w:rPr>
              <w:t>835.3</w:t>
            </w:r>
          </w:p>
        </w:tc>
      </w:tr>
      <w:tr w:rsidR="00E329F7" w:rsidRPr="002B2928" w:rsidTr="00AE1C26">
        <w:trPr>
          <w:trHeight w:val="299"/>
        </w:trPr>
        <w:tc>
          <w:tcPr>
            <w:tcW w:w="2996" w:type="dxa"/>
            <w:tcBorders>
              <w:top w:val="nil"/>
              <w:left w:val="nil"/>
              <w:bottom w:val="nil"/>
              <w:right w:val="nil"/>
            </w:tcBorders>
            <w:shd w:val="clear" w:color="000000" w:fill="FFFFFF"/>
            <w:noWrap/>
            <w:vAlign w:val="bottom"/>
            <w:hideMark/>
          </w:tcPr>
          <w:p w:rsidR="00E329F7" w:rsidRDefault="00E329F7" w:rsidP="00AE1C26">
            <w:pPr>
              <w:rPr>
                <w:rFonts w:cs="Calibri"/>
                <w:lang w:eastAsia="en-GB"/>
              </w:rPr>
            </w:pPr>
            <w:r w:rsidRPr="002B2928">
              <w:rPr>
                <w:rFonts w:cs="Calibri"/>
                <w:lang w:eastAsia="en-GB"/>
              </w:rPr>
              <w:t> </w:t>
            </w:r>
          </w:p>
          <w:p w:rsidR="00E329F7" w:rsidRPr="002B2928" w:rsidRDefault="00E329F7" w:rsidP="00AE1C26">
            <w:pPr>
              <w:rPr>
                <w:rFonts w:cs="Calibri"/>
                <w:lang w:eastAsia="en-GB"/>
              </w:rPr>
            </w:pPr>
          </w:p>
        </w:tc>
        <w:tc>
          <w:tcPr>
            <w:tcW w:w="536" w:type="dxa"/>
            <w:tcBorders>
              <w:top w:val="nil"/>
              <w:left w:val="nil"/>
              <w:bottom w:val="nil"/>
              <w:right w:val="nil"/>
            </w:tcBorders>
            <w:shd w:val="clear" w:color="000000" w:fill="FFFFFF"/>
            <w:noWrap/>
            <w:vAlign w:val="bottom"/>
            <w:hideMark/>
          </w:tcPr>
          <w:p w:rsidR="00E329F7" w:rsidRPr="002B2928" w:rsidRDefault="00E329F7" w:rsidP="00AE1C26">
            <w:pPr>
              <w:rPr>
                <w:rFonts w:cs="Calibri"/>
                <w:lang w:eastAsia="en-GB"/>
              </w:rPr>
            </w:pPr>
            <w:r w:rsidRPr="002B2928">
              <w:rPr>
                <w:rFonts w:cs="Calibri"/>
                <w:lang w:eastAsia="en-GB"/>
              </w:rPr>
              <w:t> </w:t>
            </w:r>
          </w:p>
        </w:tc>
        <w:tc>
          <w:tcPr>
            <w:tcW w:w="817" w:type="dxa"/>
            <w:tcBorders>
              <w:top w:val="nil"/>
              <w:left w:val="nil"/>
              <w:bottom w:val="nil"/>
              <w:right w:val="nil"/>
            </w:tcBorders>
            <w:shd w:val="clear" w:color="000000" w:fill="FFFFFF"/>
            <w:noWrap/>
            <w:vAlign w:val="bottom"/>
            <w:hideMark/>
          </w:tcPr>
          <w:p w:rsidR="00E329F7" w:rsidRPr="002B2928" w:rsidRDefault="00E329F7" w:rsidP="00AE1C26">
            <w:pPr>
              <w:rPr>
                <w:rFonts w:cs="Calibri"/>
                <w:lang w:eastAsia="en-GB"/>
              </w:rPr>
            </w:pPr>
            <w:r w:rsidRPr="002B2928">
              <w:rPr>
                <w:rFonts w:cs="Calibri"/>
                <w:lang w:eastAsia="en-GB"/>
              </w:rPr>
              <w:t> </w:t>
            </w:r>
          </w:p>
        </w:tc>
        <w:tc>
          <w:tcPr>
            <w:tcW w:w="1077" w:type="dxa"/>
            <w:tcBorders>
              <w:top w:val="nil"/>
              <w:left w:val="nil"/>
              <w:bottom w:val="nil"/>
              <w:right w:val="nil"/>
            </w:tcBorders>
            <w:shd w:val="clear" w:color="000000" w:fill="FFFFFF"/>
            <w:noWrap/>
            <w:vAlign w:val="bottom"/>
            <w:hideMark/>
          </w:tcPr>
          <w:p w:rsidR="00E329F7" w:rsidRPr="002B2928" w:rsidRDefault="00E329F7" w:rsidP="00AE1C26">
            <w:pPr>
              <w:rPr>
                <w:rFonts w:cs="Calibri"/>
                <w:lang w:eastAsia="en-GB"/>
              </w:rPr>
            </w:pPr>
            <w:r w:rsidRPr="002B2928">
              <w:rPr>
                <w:rFonts w:cs="Calibri"/>
                <w:lang w:eastAsia="en-GB"/>
              </w:rPr>
              <w:t> </w:t>
            </w:r>
          </w:p>
        </w:tc>
        <w:tc>
          <w:tcPr>
            <w:tcW w:w="973" w:type="dxa"/>
            <w:tcBorders>
              <w:top w:val="nil"/>
              <w:left w:val="nil"/>
              <w:bottom w:val="nil"/>
              <w:right w:val="nil"/>
            </w:tcBorders>
            <w:shd w:val="clear" w:color="000000" w:fill="FFFFFF"/>
            <w:noWrap/>
            <w:vAlign w:val="bottom"/>
            <w:hideMark/>
          </w:tcPr>
          <w:p w:rsidR="00E329F7" w:rsidRPr="002B2928" w:rsidRDefault="00E329F7" w:rsidP="00AE1C26">
            <w:pPr>
              <w:rPr>
                <w:rFonts w:cs="Calibri"/>
                <w:lang w:eastAsia="en-GB"/>
              </w:rPr>
            </w:pPr>
            <w:r w:rsidRPr="002B2928">
              <w:rPr>
                <w:rFonts w:cs="Calibri"/>
                <w:lang w:eastAsia="en-GB"/>
              </w:rPr>
              <w:t> </w:t>
            </w:r>
          </w:p>
        </w:tc>
        <w:tc>
          <w:tcPr>
            <w:tcW w:w="1228" w:type="dxa"/>
            <w:tcBorders>
              <w:top w:val="nil"/>
              <w:left w:val="nil"/>
              <w:bottom w:val="nil"/>
              <w:right w:val="nil"/>
            </w:tcBorders>
            <w:shd w:val="clear" w:color="000000" w:fill="FFFFFF"/>
            <w:noWrap/>
            <w:vAlign w:val="bottom"/>
            <w:hideMark/>
          </w:tcPr>
          <w:p w:rsidR="00E329F7" w:rsidRPr="002B2928" w:rsidRDefault="00E329F7" w:rsidP="00AE1C26">
            <w:pPr>
              <w:rPr>
                <w:rFonts w:cs="Calibri"/>
                <w:lang w:eastAsia="en-GB"/>
              </w:rPr>
            </w:pPr>
            <w:r w:rsidRPr="002B2928">
              <w:rPr>
                <w:rFonts w:cs="Calibri"/>
                <w:lang w:eastAsia="en-GB"/>
              </w:rPr>
              <w:t> </w:t>
            </w:r>
          </w:p>
        </w:tc>
        <w:tc>
          <w:tcPr>
            <w:tcW w:w="993" w:type="dxa"/>
            <w:tcBorders>
              <w:top w:val="nil"/>
              <w:left w:val="nil"/>
              <w:bottom w:val="nil"/>
              <w:right w:val="nil"/>
            </w:tcBorders>
            <w:shd w:val="clear" w:color="000000" w:fill="FFFFFF"/>
            <w:noWrap/>
            <w:vAlign w:val="bottom"/>
            <w:hideMark/>
          </w:tcPr>
          <w:p w:rsidR="00E329F7" w:rsidRPr="002B2928" w:rsidRDefault="00E329F7" w:rsidP="00AE1C26">
            <w:pPr>
              <w:rPr>
                <w:rFonts w:cs="Calibri"/>
                <w:lang w:eastAsia="en-GB"/>
              </w:rPr>
            </w:pPr>
            <w:r w:rsidRPr="002B2928">
              <w:rPr>
                <w:rFonts w:cs="Calibri"/>
                <w:lang w:eastAsia="en-GB"/>
              </w:rPr>
              <w:t> </w:t>
            </w:r>
          </w:p>
        </w:tc>
      </w:tr>
      <w:tr w:rsidR="00E329F7" w:rsidRPr="002B2928" w:rsidTr="00AE1C26">
        <w:trPr>
          <w:trHeight w:val="286"/>
        </w:trPr>
        <w:tc>
          <w:tcPr>
            <w:tcW w:w="2996" w:type="dxa"/>
            <w:tcBorders>
              <w:top w:val="nil"/>
              <w:left w:val="nil"/>
              <w:bottom w:val="nil"/>
              <w:right w:val="nil"/>
            </w:tcBorders>
            <w:shd w:val="clear" w:color="000000" w:fill="FFFFFF"/>
            <w:noWrap/>
            <w:vAlign w:val="bottom"/>
            <w:hideMark/>
          </w:tcPr>
          <w:p w:rsidR="00E329F7" w:rsidRPr="002B2928" w:rsidRDefault="00E329F7" w:rsidP="00AE1C26">
            <w:pPr>
              <w:rPr>
                <w:rFonts w:cs="Calibri"/>
                <w:b/>
                <w:bCs/>
                <w:lang w:eastAsia="en-GB"/>
              </w:rPr>
            </w:pPr>
            <w:r w:rsidRPr="002B2928">
              <w:rPr>
                <w:rFonts w:cs="Calibri"/>
                <w:b/>
                <w:bCs/>
                <w:lang w:eastAsia="en-GB"/>
              </w:rPr>
              <w:t>Investments 18/19</w:t>
            </w:r>
          </w:p>
        </w:tc>
        <w:tc>
          <w:tcPr>
            <w:tcW w:w="536" w:type="dxa"/>
            <w:tcBorders>
              <w:top w:val="nil"/>
              <w:left w:val="nil"/>
              <w:bottom w:val="nil"/>
              <w:right w:val="nil"/>
            </w:tcBorders>
            <w:shd w:val="clear" w:color="000000" w:fill="FFFFFF"/>
            <w:noWrap/>
            <w:vAlign w:val="bottom"/>
            <w:hideMark/>
          </w:tcPr>
          <w:p w:rsidR="00E329F7" w:rsidRPr="002B2928" w:rsidRDefault="00E329F7" w:rsidP="00AE1C26">
            <w:pPr>
              <w:rPr>
                <w:rFonts w:cs="Calibri"/>
                <w:lang w:eastAsia="en-GB"/>
              </w:rPr>
            </w:pPr>
            <w:r w:rsidRPr="002B2928">
              <w:rPr>
                <w:rFonts w:cs="Calibri"/>
                <w:lang w:eastAsia="en-GB"/>
              </w:rPr>
              <w:t> </w:t>
            </w:r>
          </w:p>
        </w:tc>
        <w:tc>
          <w:tcPr>
            <w:tcW w:w="817" w:type="dxa"/>
            <w:tcBorders>
              <w:top w:val="nil"/>
              <w:left w:val="nil"/>
              <w:bottom w:val="nil"/>
              <w:right w:val="nil"/>
            </w:tcBorders>
            <w:shd w:val="clear" w:color="000000" w:fill="FFFFFF"/>
            <w:noWrap/>
            <w:vAlign w:val="bottom"/>
            <w:hideMark/>
          </w:tcPr>
          <w:p w:rsidR="00E329F7" w:rsidRPr="002B2928" w:rsidRDefault="00E329F7" w:rsidP="00AE1C26">
            <w:pPr>
              <w:rPr>
                <w:rFonts w:cs="Calibri"/>
                <w:lang w:eastAsia="en-GB"/>
              </w:rPr>
            </w:pPr>
            <w:r w:rsidRPr="002B2928">
              <w:rPr>
                <w:rFonts w:cs="Calibri"/>
                <w:lang w:eastAsia="en-GB"/>
              </w:rPr>
              <w:t> </w:t>
            </w:r>
          </w:p>
        </w:tc>
        <w:tc>
          <w:tcPr>
            <w:tcW w:w="1077" w:type="dxa"/>
            <w:tcBorders>
              <w:top w:val="nil"/>
              <w:left w:val="nil"/>
              <w:bottom w:val="nil"/>
              <w:right w:val="nil"/>
            </w:tcBorders>
            <w:shd w:val="clear" w:color="000000" w:fill="FFFFFF"/>
            <w:noWrap/>
            <w:vAlign w:val="bottom"/>
            <w:hideMark/>
          </w:tcPr>
          <w:p w:rsidR="00E329F7" w:rsidRPr="002B2928" w:rsidRDefault="00E329F7" w:rsidP="00AE1C26">
            <w:pPr>
              <w:rPr>
                <w:rFonts w:cs="Calibri"/>
                <w:lang w:eastAsia="en-GB"/>
              </w:rPr>
            </w:pPr>
            <w:r w:rsidRPr="002B2928">
              <w:rPr>
                <w:rFonts w:cs="Calibri"/>
                <w:lang w:eastAsia="en-GB"/>
              </w:rPr>
              <w:t> </w:t>
            </w:r>
          </w:p>
        </w:tc>
        <w:tc>
          <w:tcPr>
            <w:tcW w:w="973" w:type="dxa"/>
            <w:tcBorders>
              <w:top w:val="nil"/>
              <w:left w:val="nil"/>
              <w:bottom w:val="nil"/>
              <w:right w:val="nil"/>
            </w:tcBorders>
            <w:shd w:val="clear" w:color="000000" w:fill="FFFFFF"/>
            <w:noWrap/>
            <w:vAlign w:val="bottom"/>
            <w:hideMark/>
          </w:tcPr>
          <w:p w:rsidR="00E329F7" w:rsidRPr="002B2928" w:rsidRDefault="00E329F7" w:rsidP="00AE1C26">
            <w:pPr>
              <w:rPr>
                <w:rFonts w:cs="Calibri"/>
                <w:lang w:eastAsia="en-GB"/>
              </w:rPr>
            </w:pPr>
            <w:r w:rsidRPr="002B2928">
              <w:rPr>
                <w:rFonts w:cs="Calibri"/>
                <w:lang w:eastAsia="en-GB"/>
              </w:rPr>
              <w:t> </w:t>
            </w:r>
          </w:p>
        </w:tc>
        <w:tc>
          <w:tcPr>
            <w:tcW w:w="1228" w:type="dxa"/>
            <w:tcBorders>
              <w:top w:val="nil"/>
              <w:left w:val="nil"/>
              <w:bottom w:val="nil"/>
              <w:right w:val="nil"/>
            </w:tcBorders>
            <w:shd w:val="clear" w:color="000000" w:fill="FFFFFF"/>
            <w:noWrap/>
            <w:vAlign w:val="bottom"/>
            <w:hideMark/>
          </w:tcPr>
          <w:p w:rsidR="00E329F7" w:rsidRPr="002B2928" w:rsidRDefault="00E329F7" w:rsidP="00AE1C26">
            <w:pPr>
              <w:rPr>
                <w:rFonts w:cs="Calibri"/>
                <w:lang w:eastAsia="en-GB"/>
              </w:rPr>
            </w:pPr>
            <w:r w:rsidRPr="002B2928">
              <w:rPr>
                <w:rFonts w:cs="Calibri"/>
                <w:lang w:eastAsia="en-GB"/>
              </w:rPr>
              <w:t> </w:t>
            </w:r>
          </w:p>
        </w:tc>
        <w:tc>
          <w:tcPr>
            <w:tcW w:w="993" w:type="dxa"/>
            <w:tcBorders>
              <w:top w:val="nil"/>
              <w:left w:val="nil"/>
              <w:bottom w:val="nil"/>
              <w:right w:val="nil"/>
            </w:tcBorders>
            <w:shd w:val="clear" w:color="000000" w:fill="FFFFFF"/>
            <w:noWrap/>
            <w:vAlign w:val="bottom"/>
            <w:hideMark/>
          </w:tcPr>
          <w:p w:rsidR="00E329F7" w:rsidRPr="002B2928" w:rsidRDefault="00E329F7" w:rsidP="00AE1C26">
            <w:pPr>
              <w:rPr>
                <w:rFonts w:cs="Calibri"/>
                <w:lang w:eastAsia="en-GB"/>
              </w:rPr>
            </w:pPr>
            <w:r w:rsidRPr="002B2928">
              <w:rPr>
                <w:rFonts w:cs="Calibri"/>
                <w:lang w:eastAsia="en-GB"/>
              </w:rPr>
              <w:t> </w:t>
            </w:r>
          </w:p>
        </w:tc>
      </w:tr>
      <w:tr w:rsidR="00E329F7" w:rsidRPr="002B2928" w:rsidTr="00AE1C26">
        <w:trPr>
          <w:trHeight w:val="1712"/>
        </w:trPr>
        <w:tc>
          <w:tcPr>
            <w:tcW w:w="2996" w:type="dxa"/>
            <w:tcBorders>
              <w:top w:val="nil"/>
              <w:left w:val="nil"/>
              <w:bottom w:val="nil"/>
              <w:right w:val="nil"/>
            </w:tcBorders>
            <w:shd w:val="clear" w:color="000000" w:fill="FFFFFF"/>
            <w:noWrap/>
            <w:vAlign w:val="bottom"/>
            <w:hideMark/>
          </w:tcPr>
          <w:p w:rsidR="00E329F7" w:rsidRPr="002B2928" w:rsidRDefault="00E329F7" w:rsidP="00AE1C26">
            <w:pPr>
              <w:rPr>
                <w:rFonts w:cs="Calibri"/>
                <w:lang w:eastAsia="en-GB"/>
              </w:rPr>
            </w:pPr>
            <w:r w:rsidRPr="002B2928">
              <w:rPr>
                <w:rFonts w:cs="Calibri"/>
                <w:lang w:eastAsia="en-GB"/>
              </w:rPr>
              <w:t> </w:t>
            </w:r>
          </w:p>
        </w:tc>
        <w:tc>
          <w:tcPr>
            <w:tcW w:w="536" w:type="dxa"/>
            <w:tcBorders>
              <w:top w:val="nil"/>
              <w:left w:val="nil"/>
              <w:bottom w:val="nil"/>
              <w:right w:val="nil"/>
            </w:tcBorders>
            <w:shd w:val="clear" w:color="000000" w:fill="FFFFFF"/>
            <w:noWrap/>
            <w:vAlign w:val="bottom"/>
            <w:hideMark/>
          </w:tcPr>
          <w:p w:rsidR="00E329F7" w:rsidRPr="002B2928" w:rsidRDefault="00E329F7" w:rsidP="00AE1C26">
            <w:pPr>
              <w:rPr>
                <w:rFonts w:cs="Calibri"/>
                <w:lang w:eastAsia="en-GB"/>
              </w:rPr>
            </w:pPr>
            <w:r w:rsidRPr="002B2928">
              <w:rPr>
                <w:rFonts w:cs="Calibri"/>
                <w:lang w:eastAsia="en-GB"/>
              </w:rPr>
              <w:t> </w:t>
            </w:r>
          </w:p>
        </w:tc>
        <w:tc>
          <w:tcPr>
            <w:tcW w:w="817" w:type="dxa"/>
            <w:tcBorders>
              <w:top w:val="nil"/>
              <w:left w:val="nil"/>
              <w:bottom w:val="nil"/>
              <w:right w:val="nil"/>
            </w:tcBorders>
            <w:shd w:val="clear" w:color="000000" w:fill="FFFFFF"/>
            <w:hideMark/>
          </w:tcPr>
          <w:p w:rsidR="009C7D60" w:rsidRDefault="00E329F7" w:rsidP="009C7D60">
            <w:pPr>
              <w:rPr>
                <w:rFonts w:cs="Calibri"/>
                <w:b/>
                <w:bCs/>
                <w:lang w:eastAsia="en-GB"/>
              </w:rPr>
            </w:pPr>
            <w:r w:rsidRPr="002B2928">
              <w:rPr>
                <w:rFonts w:cs="Calibri"/>
                <w:b/>
                <w:bCs/>
                <w:lang w:eastAsia="en-GB"/>
              </w:rPr>
              <w:t>Market value</w:t>
            </w:r>
          </w:p>
          <w:p w:rsidR="00E329F7" w:rsidRPr="002B2928" w:rsidRDefault="00E329F7" w:rsidP="009C7D60">
            <w:pPr>
              <w:rPr>
                <w:rFonts w:cs="Calibri"/>
                <w:b/>
                <w:bCs/>
                <w:lang w:eastAsia="en-GB"/>
              </w:rPr>
            </w:pPr>
            <w:r w:rsidRPr="002B2928">
              <w:rPr>
                <w:rFonts w:cs="Calibri"/>
                <w:b/>
                <w:bCs/>
                <w:lang w:eastAsia="en-GB"/>
              </w:rPr>
              <w:t>1 April 2018</w:t>
            </w:r>
          </w:p>
        </w:tc>
        <w:tc>
          <w:tcPr>
            <w:tcW w:w="1077" w:type="dxa"/>
            <w:tcBorders>
              <w:top w:val="nil"/>
              <w:left w:val="nil"/>
              <w:bottom w:val="nil"/>
              <w:right w:val="nil"/>
            </w:tcBorders>
            <w:shd w:val="clear" w:color="000000" w:fill="FFFFFF"/>
            <w:hideMark/>
          </w:tcPr>
          <w:p w:rsidR="00E329F7" w:rsidRPr="002B2928" w:rsidRDefault="00E329F7" w:rsidP="00AE1C26">
            <w:pPr>
              <w:rPr>
                <w:rFonts w:cs="Calibri"/>
                <w:b/>
                <w:bCs/>
                <w:lang w:eastAsia="en-GB"/>
              </w:rPr>
            </w:pPr>
            <w:r w:rsidRPr="002B2928">
              <w:rPr>
                <w:rFonts w:cs="Calibri"/>
                <w:b/>
                <w:bCs/>
                <w:lang w:eastAsia="en-GB"/>
              </w:rPr>
              <w:t>Purchases during the year</w:t>
            </w:r>
          </w:p>
        </w:tc>
        <w:tc>
          <w:tcPr>
            <w:tcW w:w="973" w:type="dxa"/>
            <w:tcBorders>
              <w:top w:val="nil"/>
              <w:left w:val="nil"/>
              <w:bottom w:val="nil"/>
              <w:right w:val="nil"/>
            </w:tcBorders>
            <w:shd w:val="clear" w:color="000000" w:fill="FFFFFF"/>
            <w:hideMark/>
          </w:tcPr>
          <w:p w:rsidR="00E329F7" w:rsidRPr="002B2928" w:rsidRDefault="00E329F7" w:rsidP="00AE1C26">
            <w:pPr>
              <w:rPr>
                <w:rFonts w:cs="Calibri"/>
                <w:b/>
                <w:bCs/>
                <w:lang w:eastAsia="en-GB"/>
              </w:rPr>
            </w:pPr>
            <w:r w:rsidRPr="002B2928">
              <w:rPr>
                <w:rFonts w:cs="Calibri"/>
                <w:b/>
                <w:bCs/>
                <w:lang w:eastAsia="en-GB"/>
              </w:rPr>
              <w:t>Sales during the year</w:t>
            </w:r>
          </w:p>
        </w:tc>
        <w:tc>
          <w:tcPr>
            <w:tcW w:w="1228" w:type="dxa"/>
            <w:tcBorders>
              <w:top w:val="nil"/>
              <w:left w:val="nil"/>
              <w:bottom w:val="nil"/>
              <w:right w:val="nil"/>
            </w:tcBorders>
            <w:shd w:val="clear" w:color="000000" w:fill="FFFFFF"/>
            <w:hideMark/>
          </w:tcPr>
          <w:p w:rsidR="00E329F7" w:rsidRPr="002B2928" w:rsidRDefault="00E329F7" w:rsidP="00AE1C26">
            <w:pPr>
              <w:rPr>
                <w:rFonts w:cs="Calibri"/>
                <w:b/>
                <w:bCs/>
                <w:lang w:eastAsia="en-GB"/>
              </w:rPr>
            </w:pPr>
            <w:r w:rsidRPr="002B2928">
              <w:rPr>
                <w:rFonts w:cs="Calibri"/>
                <w:b/>
                <w:bCs/>
                <w:lang w:eastAsia="en-GB"/>
              </w:rPr>
              <w:t>Change in market value during the year</w:t>
            </w:r>
          </w:p>
        </w:tc>
        <w:tc>
          <w:tcPr>
            <w:tcW w:w="993" w:type="dxa"/>
            <w:tcBorders>
              <w:top w:val="nil"/>
              <w:left w:val="nil"/>
              <w:bottom w:val="nil"/>
              <w:right w:val="nil"/>
            </w:tcBorders>
            <w:shd w:val="clear" w:color="000000" w:fill="FFFFFF"/>
            <w:hideMark/>
          </w:tcPr>
          <w:p w:rsidR="00E329F7" w:rsidRPr="002B2928" w:rsidRDefault="00E329F7" w:rsidP="00AE1C26">
            <w:pPr>
              <w:rPr>
                <w:rFonts w:cs="Calibri"/>
                <w:b/>
                <w:bCs/>
                <w:lang w:eastAsia="en-GB"/>
              </w:rPr>
            </w:pPr>
            <w:r w:rsidRPr="002B2928">
              <w:rPr>
                <w:rFonts w:cs="Calibri"/>
                <w:b/>
                <w:bCs/>
                <w:lang w:eastAsia="en-GB"/>
              </w:rPr>
              <w:t>Market value 31 March 2019</w:t>
            </w:r>
          </w:p>
        </w:tc>
      </w:tr>
      <w:tr w:rsidR="00E329F7" w:rsidRPr="002B2928" w:rsidTr="00AE1C26">
        <w:trPr>
          <w:trHeight w:val="286"/>
        </w:trPr>
        <w:tc>
          <w:tcPr>
            <w:tcW w:w="2996" w:type="dxa"/>
            <w:tcBorders>
              <w:top w:val="nil"/>
              <w:left w:val="nil"/>
              <w:bottom w:val="nil"/>
              <w:right w:val="nil"/>
            </w:tcBorders>
            <w:shd w:val="clear" w:color="000000" w:fill="FFFFFF"/>
            <w:noWrap/>
            <w:vAlign w:val="bottom"/>
            <w:hideMark/>
          </w:tcPr>
          <w:p w:rsidR="00E329F7" w:rsidRPr="002B2928" w:rsidRDefault="00E329F7" w:rsidP="00AE1C26">
            <w:pPr>
              <w:rPr>
                <w:rFonts w:cs="Calibri"/>
                <w:lang w:eastAsia="en-GB"/>
              </w:rPr>
            </w:pPr>
            <w:r w:rsidRPr="002B2928">
              <w:rPr>
                <w:rFonts w:cs="Calibri"/>
                <w:lang w:eastAsia="en-GB"/>
              </w:rPr>
              <w:t> </w:t>
            </w:r>
          </w:p>
        </w:tc>
        <w:tc>
          <w:tcPr>
            <w:tcW w:w="536" w:type="dxa"/>
            <w:tcBorders>
              <w:top w:val="nil"/>
              <w:left w:val="nil"/>
              <w:bottom w:val="nil"/>
              <w:right w:val="nil"/>
            </w:tcBorders>
            <w:shd w:val="clear" w:color="000000" w:fill="FFFFFF"/>
            <w:noWrap/>
            <w:vAlign w:val="bottom"/>
            <w:hideMark/>
          </w:tcPr>
          <w:p w:rsidR="00E329F7" w:rsidRPr="002B2928" w:rsidRDefault="00E329F7" w:rsidP="00AE1C26">
            <w:pPr>
              <w:rPr>
                <w:rFonts w:cs="Calibri"/>
                <w:lang w:eastAsia="en-GB"/>
              </w:rPr>
            </w:pPr>
            <w:r w:rsidRPr="002B2928">
              <w:rPr>
                <w:rFonts w:cs="Calibri"/>
                <w:lang w:eastAsia="en-GB"/>
              </w:rPr>
              <w:t> </w:t>
            </w:r>
          </w:p>
        </w:tc>
        <w:tc>
          <w:tcPr>
            <w:tcW w:w="817" w:type="dxa"/>
            <w:tcBorders>
              <w:top w:val="nil"/>
              <w:left w:val="nil"/>
              <w:bottom w:val="nil"/>
              <w:right w:val="nil"/>
            </w:tcBorders>
            <w:shd w:val="clear" w:color="000000" w:fill="FFFFFF"/>
            <w:noWrap/>
            <w:vAlign w:val="bottom"/>
            <w:hideMark/>
          </w:tcPr>
          <w:p w:rsidR="00E329F7" w:rsidRPr="002B2928" w:rsidRDefault="00E329F7" w:rsidP="00AE1C26">
            <w:pPr>
              <w:jc w:val="right"/>
              <w:rPr>
                <w:rFonts w:cs="Calibri"/>
                <w:b/>
                <w:bCs/>
                <w:lang w:eastAsia="en-GB"/>
              </w:rPr>
            </w:pPr>
            <w:r w:rsidRPr="002B2928">
              <w:rPr>
                <w:rFonts w:cs="Calibri"/>
                <w:b/>
                <w:bCs/>
                <w:lang w:eastAsia="en-GB"/>
              </w:rPr>
              <w:t>£m</w:t>
            </w:r>
          </w:p>
        </w:tc>
        <w:tc>
          <w:tcPr>
            <w:tcW w:w="1077" w:type="dxa"/>
            <w:tcBorders>
              <w:top w:val="nil"/>
              <w:left w:val="nil"/>
              <w:bottom w:val="nil"/>
              <w:right w:val="nil"/>
            </w:tcBorders>
            <w:shd w:val="clear" w:color="000000" w:fill="FFFFFF"/>
            <w:noWrap/>
            <w:vAlign w:val="bottom"/>
            <w:hideMark/>
          </w:tcPr>
          <w:p w:rsidR="00E329F7" w:rsidRPr="002B2928" w:rsidRDefault="00E329F7" w:rsidP="00AE1C26">
            <w:pPr>
              <w:jc w:val="right"/>
              <w:rPr>
                <w:rFonts w:cs="Calibri"/>
                <w:b/>
                <w:bCs/>
                <w:lang w:eastAsia="en-GB"/>
              </w:rPr>
            </w:pPr>
            <w:r w:rsidRPr="002B2928">
              <w:rPr>
                <w:rFonts w:cs="Calibri"/>
                <w:b/>
                <w:bCs/>
                <w:lang w:eastAsia="en-GB"/>
              </w:rPr>
              <w:t>£m</w:t>
            </w:r>
          </w:p>
        </w:tc>
        <w:tc>
          <w:tcPr>
            <w:tcW w:w="973" w:type="dxa"/>
            <w:tcBorders>
              <w:top w:val="nil"/>
              <w:left w:val="nil"/>
              <w:bottom w:val="nil"/>
              <w:right w:val="nil"/>
            </w:tcBorders>
            <w:shd w:val="clear" w:color="000000" w:fill="FFFFFF"/>
            <w:noWrap/>
            <w:vAlign w:val="bottom"/>
            <w:hideMark/>
          </w:tcPr>
          <w:p w:rsidR="00E329F7" w:rsidRPr="002B2928" w:rsidRDefault="00E329F7" w:rsidP="00AE1C26">
            <w:pPr>
              <w:jc w:val="right"/>
              <w:rPr>
                <w:rFonts w:cs="Calibri"/>
                <w:b/>
                <w:bCs/>
                <w:lang w:eastAsia="en-GB"/>
              </w:rPr>
            </w:pPr>
            <w:r w:rsidRPr="002B2928">
              <w:rPr>
                <w:rFonts w:cs="Calibri"/>
                <w:b/>
                <w:bCs/>
                <w:lang w:eastAsia="en-GB"/>
              </w:rPr>
              <w:t>£m</w:t>
            </w:r>
          </w:p>
        </w:tc>
        <w:tc>
          <w:tcPr>
            <w:tcW w:w="1228" w:type="dxa"/>
            <w:tcBorders>
              <w:top w:val="nil"/>
              <w:left w:val="nil"/>
              <w:bottom w:val="nil"/>
              <w:right w:val="nil"/>
            </w:tcBorders>
            <w:shd w:val="clear" w:color="000000" w:fill="FFFFFF"/>
            <w:noWrap/>
            <w:vAlign w:val="bottom"/>
            <w:hideMark/>
          </w:tcPr>
          <w:p w:rsidR="00E329F7" w:rsidRPr="002B2928" w:rsidRDefault="00E329F7" w:rsidP="00AE1C26">
            <w:pPr>
              <w:jc w:val="right"/>
              <w:rPr>
                <w:rFonts w:cs="Calibri"/>
                <w:b/>
                <w:bCs/>
                <w:lang w:eastAsia="en-GB"/>
              </w:rPr>
            </w:pPr>
            <w:r w:rsidRPr="002B2928">
              <w:rPr>
                <w:rFonts w:cs="Calibri"/>
                <w:b/>
                <w:bCs/>
                <w:lang w:eastAsia="en-GB"/>
              </w:rPr>
              <w:t>£m</w:t>
            </w:r>
          </w:p>
        </w:tc>
        <w:tc>
          <w:tcPr>
            <w:tcW w:w="993" w:type="dxa"/>
            <w:tcBorders>
              <w:top w:val="nil"/>
              <w:left w:val="nil"/>
              <w:bottom w:val="nil"/>
              <w:right w:val="nil"/>
            </w:tcBorders>
            <w:shd w:val="clear" w:color="000000" w:fill="FFFFFF"/>
            <w:noWrap/>
            <w:vAlign w:val="bottom"/>
            <w:hideMark/>
          </w:tcPr>
          <w:p w:rsidR="00E329F7" w:rsidRPr="002B2928" w:rsidRDefault="00E329F7" w:rsidP="00AE1C26">
            <w:pPr>
              <w:jc w:val="right"/>
              <w:rPr>
                <w:rFonts w:cs="Calibri"/>
                <w:b/>
                <w:bCs/>
                <w:lang w:eastAsia="en-GB"/>
              </w:rPr>
            </w:pPr>
            <w:r w:rsidRPr="002B2928">
              <w:rPr>
                <w:rFonts w:cs="Calibri"/>
                <w:b/>
                <w:bCs/>
                <w:lang w:eastAsia="en-GB"/>
              </w:rPr>
              <w:t>£m</w:t>
            </w:r>
          </w:p>
        </w:tc>
      </w:tr>
      <w:tr w:rsidR="00E329F7" w:rsidRPr="002B2928" w:rsidTr="00AE1C26">
        <w:trPr>
          <w:trHeight w:val="286"/>
        </w:trPr>
        <w:tc>
          <w:tcPr>
            <w:tcW w:w="2996" w:type="dxa"/>
            <w:tcBorders>
              <w:top w:val="nil"/>
              <w:left w:val="nil"/>
              <w:bottom w:val="nil"/>
              <w:right w:val="nil"/>
            </w:tcBorders>
            <w:shd w:val="clear" w:color="000000" w:fill="FFFFFF"/>
            <w:noWrap/>
            <w:vAlign w:val="bottom"/>
            <w:hideMark/>
          </w:tcPr>
          <w:p w:rsidR="00E329F7" w:rsidRPr="002B2928" w:rsidRDefault="00E329F7" w:rsidP="00AE1C26">
            <w:pPr>
              <w:rPr>
                <w:rFonts w:cs="Calibri"/>
                <w:b/>
                <w:bCs/>
                <w:lang w:eastAsia="en-GB"/>
              </w:rPr>
            </w:pPr>
            <w:r w:rsidRPr="002B2928">
              <w:rPr>
                <w:rFonts w:cs="Calibri"/>
                <w:b/>
                <w:bCs/>
                <w:lang w:eastAsia="en-GB"/>
              </w:rPr>
              <w:t>Pooled investments</w:t>
            </w:r>
          </w:p>
        </w:tc>
        <w:tc>
          <w:tcPr>
            <w:tcW w:w="536" w:type="dxa"/>
            <w:tcBorders>
              <w:top w:val="nil"/>
              <w:left w:val="nil"/>
              <w:bottom w:val="nil"/>
              <w:right w:val="nil"/>
            </w:tcBorders>
            <w:shd w:val="clear" w:color="000000" w:fill="FFFFFF"/>
            <w:noWrap/>
            <w:vAlign w:val="bottom"/>
            <w:hideMark/>
          </w:tcPr>
          <w:p w:rsidR="00E329F7" w:rsidRPr="002B2928" w:rsidRDefault="00E329F7" w:rsidP="00AE1C26">
            <w:pPr>
              <w:rPr>
                <w:rFonts w:cs="Calibri"/>
                <w:lang w:eastAsia="en-GB"/>
              </w:rPr>
            </w:pPr>
            <w:r w:rsidRPr="002B2928">
              <w:rPr>
                <w:rFonts w:cs="Calibri"/>
                <w:lang w:eastAsia="en-GB"/>
              </w:rPr>
              <w:t> </w:t>
            </w:r>
          </w:p>
        </w:tc>
        <w:tc>
          <w:tcPr>
            <w:tcW w:w="817" w:type="dxa"/>
            <w:tcBorders>
              <w:top w:val="nil"/>
              <w:left w:val="nil"/>
              <w:bottom w:val="nil"/>
              <w:right w:val="nil"/>
            </w:tcBorders>
            <w:shd w:val="clear" w:color="000000" w:fill="FFFFFF"/>
            <w:noWrap/>
            <w:vAlign w:val="bottom"/>
            <w:hideMark/>
          </w:tcPr>
          <w:p w:rsidR="00E329F7" w:rsidRPr="002B2928" w:rsidRDefault="00E329F7" w:rsidP="00AE1C26">
            <w:pPr>
              <w:jc w:val="right"/>
              <w:rPr>
                <w:rFonts w:cs="Calibri"/>
                <w:lang w:eastAsia="en-GB"/>
              </w:rPr>
            </w:pPr>
            <w:r w:rsidRPr="002B2928">
              <w:rPr>
                <w:rFonts w:cs="Calibri"/>
                <w:lang w:eastAsia="en-GB"/>
              </w:rPr>
              <w:t>636.9</w:t>
            </w:r>
          </w:p>
        </w:tc>
        <w:tc>
          <w:tcPr>
            <w:tcW w:w="1077" w:type="dxa"/>
            <w:tcBorders>
              <w:top w:val="nil"/>
              <w:left w:val="nil"/>
              <w:bottom w:val="nil"/>
              <w:right w:val="nil"/>
            </w:tcBorders>
            <w:shd w:val="clear" w:color="000000" w:fill="FFFFFF"/>
            <w:noWrap/>
            <w:vAlign w:val="bottom"/>
            <w:hideMark/>
          </w:tcPr>
          <w:p w:rsidR="00E329F7" w:rsidRPr="002B2928" w:rsidRDefault="00E329F7" w:rsidP="00AE1C26">
            <w:pPr>
              <w:jc w:val="right"/>
              <w:rPr>
                <w:rFonts w:cs="Calibri"/>
                <w:lang w:eastAsia="en-GB"/>
              </w:rPr>
            </w:pPr>
            <w:r w:rsidRPr="002B2928">
              <w:rPr>
                <w:rFonts w:cs="Calibri"/>
                <w:lang w:eastAsia="en-GB"/>
              </w:rPr>
              <w:t>181.9</w:t>
            </w:r>
          </w:p>
        </w:tc>
        <w:tc>
          <w:tcPr>
            <w:tcW w:w="973" w:type="dxa"/>
            <w:tcBorders>
              <w:top w:val="nil"/>
              <w:left w:val="nil"/>
              <w:bottom w:val="nil"/>
              <w:right w:val="nil"/>
            </w:tcBorders>
            <w:shd w:val="clear" w:color="000000" w:fill="FFFFFF"/>
            <w:noWrap/>
            <w:vAlign w:val="bottom"/>
            <w:hideMark/>
          </w:tcPr>
          <w:p w:rsidR="00E329F7" w:rsidRPr="002B2928" w:rsidRDefault="00E329F7" w:rsidP="00AE1C26">
            <w:pPr>
              <w:jc w:val="right"/>
              <w:rPr>
                <w:rFonts w:cs="Calibri"/>
                <w:lang w:eastAsia="en-GB"/>
              </w:rPr>
            </w:pPr>
            <w:r w:rsidRPr="002B2928">
              <w:rPr>
                <w:rFonts w:cs="Calibri"/>
                <w:lang w:eastAsia="en-GB"/>
              </w:rPr>
              <w:t>(122.0)</w:t>
            </w:r>
          </w:p>
        </w:tc>
        <w:tc>
          <w:tcPr>
            <w:tcW w:w="1228" w:type="dxa"/>
            <w:tcBorders>
              <w:top w:val="nil"/>
              <w:left w:val="nil"/>
              <w:bottom w:val="nil"/>
              <w:right w:val="nil"/>
            </w:tcBorders>
            <w:shd w:val="clear" w:color="000000" w:fill="FFFFFF"/>
            <w:noWrap/>
            <w:vAlign w:val="bottom"/>
            <w:hideMark/>
          </w:tcPr>
          <w:p w:rsidR="00E329F7" w:rsidRPr="002B2928" w:rsidRDefault="00E329F7" w:rsidP="00AE1C26">
            <w:pPr>
              <w:jc w:val="right"/>
              <w:rPr>
                <w:rFonts w:cs="Calibri"/>
                <w:lang w:eastAsia="en-GB"/>
              </w:rPr>
            </w:pPr>
            <w:r w:rsidRPr="002B2928">
              <w:rPr>
                <w:rFonts w:cs="Calibri"/>
                <w:lang w:eastAsia="en-GB"/>
              </w:rPr>
              <w:t>40.9</w:t>
            </w:r>
          </w:p>
        </w:tc>
        <w:tc>
          <w:tcPr>
            <w:tcW w:w="993" w:type="dxa"/>
            <w:tcBorders>
              <w:top w:val="nil"/>
              <w:left w:val="nil"/>
              <w:bottom w:val="nil"/>
              <w:right w:val="nil"/>
            </w:tcBorders>
            <w:shd w:val="clear" w:color="000000" w:fill="FFFFFF"/>
            <w:noWrap/>
            <w:vAlign w:val="bottom"/>
            <w:hideMark/>
          </w:tcPr>
          <w:p w:rsidR="00E329F7" w:rsidRPr="002B2928" w:rsidRDefault="00E329F7" w:rsidP="00AE1C26">
            <w:pPr>
              <w:jc w:val="right"/>
              <w:rPr>
                <w:rFonts w:cs="Calibri"/>
                <w:lang w:eastAsia="en-GB"/>
              </w:rPr>
            </w:pPr>
            <w:r w:rsidRPr="002B2928">
              <w:rPr>
                <w:rFonts w:cs="Calibri"/>
                <w:lang w:eastAsia="en-GB"/>
              </w:rPr>
              <w:t>737.7</w:t>
            </w:r>
          </w:p>
        </w:tc>
      </w:tr>
      <w:tr w:rsidR="00E329F7" w:rsidRPr="002B2928" w:rsidTr="00AE1C26">
        <w:trPr>
          <w:trHeight w:val="286"/>
        </w:trPr>
        <w:tc>
          <w:tcPr>
            <w:tcW w:w="2996" w:type="dxa"/>
            <w:tcBorders>
              <w:top w:val="nil"/>
              <w:left w:val="nil"/>
              <w:bottom w:val="nil"/>
              <w:right w:val="nil"/>
            </w:tcBorders>
            <w:shd w:val="clear" w:color="000000" w:fill="FFFFFF"/>
            <w:noWrap/>
            <w:vAlign w:val="bottom"/>
            <w:hideMark/>
          </w:tcPr>
          <w:p w:rsidR="00E329F7" w:rsidRPr="002B2928" w:rsidRDefault="00E329F7" w:rsidP="00AE1C26">
            <w:pPr>
              <w:rPr>
                <w:rFonts w:cs="Calibri"/>
                <w:b/>
                <w:bCs/>
                <w:lang w:eastAsia="en-GB"/>
              </w:rPr>
            </w:pPr>
            <w:r w:rsidRPr="002B2928">
              <w:rPr>
                <w:rFonts w:cs="Calibri"/>
                <w:b/>
                <w:bCs/>
                <w:lang w:eastAsia="en-GB"/>
              </w:rPr>
              <w:t>Pooled property investments</w:t>
            </w:r>
          </w:p>
        </w:tc>
        <w:tc>
          <w:tcPr>
            <w:tcW w:w="536" w:type="dxa"/>
            <w:tcBorders>
              <w:top w:val="nil"/>
              <w:left w:val="nil"/>
              <w:bottom w:val="nil"/>
              <w:right w:val="nil"/>
            </w:tcBorders>
            <w:shd w:val="clear" w:color="000000" w:fill="FFFFFF"/>
            <w:noWrap/>
            <w:vAlign w:val="bottom"/>
            <w:hideMark/>
          </w:tcPr>
          <w:p w:rsidR="00E329F7" w:rsidRPr="002B2928" w:rsidRDefault="00E329F7" w:rsidP="00AE1C26">
            <w:pPr>
              <w:rPr>
                <w:rFonts w:cs="Calibri"/>
                <w:lang w:eastAsia="en-GB"/>
              </w:rPr>
            </w:pPr>
            <w:r w:rsidRPr="002B2928">
              <w:rPr>
                <w:rFonts w:cs="Calibri"/>
                <w:lang w:eastAsia="en-GB"/>
              </w:rPr>
              <w:t> </w:t>
            </w:r>
          </w:p>
        </w:tc>
        <w:tc>
          <w:tcPr>
            <w:tcW w:w="817" w:type="dxa"/>
            <w:tcBorders>
              <w:top w:val="nil"/>
              <w:left w:val="nil"/>
              <w:bottom w:val="nil"/>
              <w:right w:val="nil"/>
            </w:tcBorders>
            <w:shd w:val="clear" w:color="000000" w:fill="FFFFFF"/>
            <w:noWrap/>
            <w:vAlign w:val="bottom"/>
            <w:hideMark/>
          </w:tcPr>
          <w:p w:rsidR="00E329F7" w:rsidRPr="002B2928" w:rsidRDefault="00E329F7" w:rsidP="00AE1C26">
            <w:pPr>
              <w:jc w:val="right"/>
              <w:rPr>
                <w:rFonts w:cs="Calibri"/>
                <w:lang w:eastAsia="en-GB"/>
              </w:rPr>
            </w:pPr>
            <w:r w:rsidRPr="002B2928">
              <w:rPr>
                <w:rFonts w:cs="Calibri"/>
                <w:lang w:eastAsia="en-GB"/>
              </w:rPr>
              <w:t>2.1</w:t>
            </w:r>
          </w:p>
        </w:tc>
        <w:tc>
          <w:tcPr>
            <w:tcW w:w="1077" w:type="dxa"/>
            <w:tcBorders>
              <w:top w:val="nil"/>
              <w:left w:val="nil"/>
              <w:bottom w:val="nil"/>
              <w:right w:val="nil"/>
            </w:tcBorders>
            <w:shd w:val="clear" w:color="000000" w:fill="FFFFFF"/>
            <w:noWrap/>
            <w:vAlign w:val="bottom"/>
            <w:hideMark/>
          </w:tcPr>
          <w:p w:rsidR="00E329F7" w:rsidRPr="002B2928" w:rsidRDefault="00E329F7" w:rsidP="00AE1C26">
            <w:pPr>
              <w:jc w:val="right"/>
              <w:rPr>
                <w:rFonts w:cs="Calibri"/>
                <w:lang w:eastAsia="en-GB"/>
              </w:rPr>
            </w:pPr>
            <w:r w:rsidRPr="002B2928">
              <w:rPr>
                <w:rFonts w:cs="Calibri"/>
                <w:lang w:eastAsia="en-GB"/>
              </w:rPr>
              <w:t>0.0</w:t>
            </w:r>
          </w:p>
        </w:tc>
        <w:tc>
          <w:tcPr>
            <w:tcW w:w="973" w:type="dxa"/>
            <w:tcBorders>
              <w:top w:val="nil"/>
              <w:left w:val="nil"/>
              <w:bottom w:val="nil"/>
              <w:right w:val="nil"/>
            </w:tcBorders>
            <w:shd w:val="clear" w:color="000000" w:fill="FFFFFF"/>
            <w:noWrap/>
            <w:vAlign w:val="bottom"/>
            <w:hideMark/>
          </w:tcPr>
          <w:p w:rsidR="00E329F7" w:rsidRPr="002B2928" w:rsidRDefault="00E329F7" w:rsidP="00AE1C26">
            <w:pPr>
              <w:jc w:val="right"/>
              <w:rPr>
                <w:rFonts w:cs="Calibri"/>
                <w:lang w:eastAsia="en-GB"/>
              </w:rPr>
            </w:pPr>
            <w:r w:rsidRPr="002B2928">
              <w:rPr>
                <w:rFonts w:cs="Calibri"/>
                <w:lang w:eastAsia="en-GB"/>
              </w:rPr>
              <w:t>(1.4)</w:t>
            </w:r>
          </w:p>
        </w:tc>
        <w:tc>
          <w:tcPr>
            <w:tcW w:w="1228" w:type="dxa"/>
            <w:tcBorders>
              <w:top w:val="nil"/>
              <w:left w:val="nil"/>
              <w:bottom w:val="nil"/>
              <w:right w:val="nil"/>
            </w:tcBorders>
            <w:shd w:val="clear" w:color="000000" w:fill="FFFFFF"/>
            <w:noWrap/>
            <w:vAlign w:val="bottom"/>
            <w:hideMark/>
          </w:tcPr>
          <w:p w:rsidR="00E329F7" w:rsidRPr="002B2928" w:rsidRDefault="00E329F7" w:rsidP="00AE1C26">
            <w:pPr>
              <w:jc w:val="right"/>
              <w:rPr>
                <w:rFonts w:cs="Calibri"/>
                <w:lang w:eastAsia="en-GB"/>
              </w:rPr>
            </w:pPr>
            <w:r w:rsidRPr="002B2928">
              <w:rPr>
                <w:rFonts w:cs="Calibri"/>
                <w:lang w:eastAsia="en-GB"/>
              </w:rPr>
              <w:t>(0.5)</w:t>
            </w:r>
          </w:p>
        </w:tc>
        <w:tc>
          <w:tcPr>
            <w:tcW w:w="993" w:type="dxa"/>
            <w:tcBorders>
              <w:top w:val="nil"/>
              <w:left w:val="nil"/>
              <w:bottom w:val="nil"/>
              <w:right w:val="nil"/>
            </w:tcBorders>
            <w:shd w:val="clear" w:color="000000" w:fill="FFFFFF"/>
            <w:noWrap/>
            <w:vAlign w:val="bottom"/>
            <w:hideMark/>
          </w:tcPr>
          <w:p w:rsidR="00E329F7" w:rsidRPr="002B2928" w:rsidRDefault="00E329F7" w:rsidP="00AE1C26">
            <w:pPr>
              <w:jc w:val="right"/>
              <w:rPr>
                <w:rFonts w:cs="Calibri"/>
                <w:lang w:eastAsia="en-GB"/>
              </w:rPr>
            </w:pPr>
            <w:r w:rsidRPr="002B2928">
              <w:rPr>
                <w:rFonts w:cs="Calibri"/>
                <w:lang w:eastAsia="en-GB"/>
              </w:rPr>
              <w:t>0.2</w:t>
            </w:r>
          </w:p>
        </w:tc>
      </w:tr>
      <w:tr w:rsidR="00E329F7" w:rsidRPr="002B2928" w:rsidTr="00AE1C26">
        <w:trPr>
          <w:trHeight w:val="286"/>
        </w:trPr>
        <w:tc>
          <w:tcPr>
            <w:tcW w:w="2996" w:type="dxa"/>
            <w:tcBorders>
              <w:top w:val="nil"/>
              <w:left w:val="nil"/>
              <w:bottom w:val="nil"/>
              <w:right w:val="nil"/>
            </w:tcBorders>
            <w:shd w:val="clear" w:color="000000" w:fill="FFFFFF"/>
            <w:noWrap/>
            <w:vAlign w:val="bottom"/>
            <w:hideMark/>
          </w:tcPr>
          <w:p w:rsidR="00E329F7" w:rsidRPr="002B2928" w:rsidRDefault="00E329F7" w:rsidP="00AE1C26">
            <w:pPr>
              <w:rPr>
                <w:rFonts w:cs="Calibri"/>
                <w:b/>
                <w:bCs/>
                <w:lang w:eastAsia="en-GB"/>
              </w:rPr>
            </w:pPr>
            <w:r w:rsidRPr="002B2928">
              <w:rPr>
                <w:rFonts w:cs="Calibri"/>
                <w:b/>
                <w:bCs/>
                <w:lang w:eastAsia="en-GB"/>
              </w:rPr>
              <w:t>Private equity/infrastructure</w:t>
            </w:r>
          </w:p>
        </w:tc>
        <w:tc>
          <w:tcPr>
            <w:tcW w:w="536" w:type="dxa"/>
            <w:tcBorders>
              <w:top w:val="nil"/>
              <w:left w:val="nil"/>
              <w:bottom w:val="nil"/>
              <w:right w:val="nil"/>
            </w:tcBorders>
            <w:shd w:val="clear" w:color="000000" w:fill="FFFFFF"/>
            <w:noWrap/>
            <w:vAlign w:val="bottom"/>
            <w:hideMark/>
          </w:tcPr>
          <w:p w:rsidR="00E329F7" w:rsidRPr="002B2928" w:rsidRDefault="00E329F7" w:rsidP="00AE1C26">
            <w:pPr>
              <w:rPr>
                <w:rFonts w:cs="Calibri"/>
                <w:lang w:eastAsia="en-GB"/>
              </w:rPr>
            </w:pPr>
            <w:r w:rsidRPr="002B2928">
              <w:rPr>
                <w:rFonts w:cs="Calibri"/>
                <w:lang w:eastAsia="en-GB"/>
              </w:rPr>
              <w:t> </w:t>
            </w:r>
          </w:p>
        </w:tc>
        <w:tc>
          <w:tcPr>
            <w:tcW w:w="817" w:type="dxa"/>
            <w:tcBorders>
              <w:top w:val="nil"/>
              <w:left w:val="nil"/>
              <w:bottom w:val="nil"/>
              <w:right w:val="nil"/>
            </w:tcBorders>
            <w:shd w:val="clear" w:color="000000" w:fill="FFFFFF"/>
            <w:noWrap/>
            <w:vAlign w:val="bottom"/>
            <w:hideMark/>
          </w:tcPr>
          <w:p w:rsidR="00E329F7" w:rsidRPr="002B2928" w:rsidRDefault="00E329F7" w:rsidP="00AE1C26">
            <w:pPr>
              <w:jc w:val="right"/>
              <w:rPr>
                <w:rFonts w:cs="Calibri"/>
                <w:lang w:eastAsia="en-GB"/>
              </w:rPr>
            </w:pPr>
            <w:r w:rsidRPr="002B2928">
              <w:rPr>
                <w:rFonts w:cs="Calibri"/>
                <w:lang w:eastAsia="en-GB"/>
              </w:rPr>
              <w:t>98.3</w:t>
            </w:r>
          </w:p>
        </w:tc>
        <w:tc>
          <w:tcPr>
            <w:tcW w:w="1077" w:type="dxa"/>
            <w:tcBorders>
              <w:top w:val="nil"/>
              <w:left w:val="nil"/>
              <w:bottom w:val="nil"/>
              <w:right w:val="nil"/>
            </w:tcBorders>
            <w:shd w:val="clear" w:color="000000" w:fill="FFFFFF"/>
            <w:noWrap/>
            <w:vAlign w:val="bottom"/>
            <w:hideMark/>
          </w:tcPr>
          <w:p w:rsidR="00E329F7" w:rsidRPr="002B2928" w:rsidRDefault="00E329F7" w:rsidP="00AE1C26">
            <w:pPr>
              <w:jc w:val="right"/>
              <w:rPr>
                <w:rFonts w:cs="Calibri"/>
                <w:lang w:eastAsia="en-GB"/>
              </w:rPr>
            </w:pPr>
            <w:r w:rsidRPr="002B2928">
              <w:rPr>
                <w:rFonts w:cs="Calibri"/>
                <w:lang w:eastAsia="en-GB"/>
              </w:rPr>
              <w:t>6.2</w:t>
            </w:r>
          </w:p>
        </w:tc>
        <w:tc>
          <w:tcPr>
            <w:tcW w:w="973" w:type="dxa"/>
            <w:tcBorders>
              <w:top w:val="nil"/>
              <w:left w:val="nil"/>
              <w:bottom w:val="nil"/>
              <w:right w:val="nil"/>
            </w:tcBorders>
            <w:shd w:val="clear" w:color="000000" w:fill="FFFFFF"/>
            <w:noWrap/>
            <w:vAlign w:val="bottom"/>
            <w:hideMark/>
          </w:tcPr>
          <w:p w:rsidR="00E329F7" w:rsidRPr="002B2928" w:rsidRDefault="00E329F7" w:rsidP="00AE1C26">
            <w:pPr>
              <w:jc w:val="right"/>
              <w:rPr>
                <w:rFonts w:cs="Calibri"/>
                <w:lang w:eastAsia="en-GB"/>
              </w:rPr>
            </w:pPr>
            <w:r w:rsidRPr="002B2928">
              <w:rPr>
                <w:rFonts w:cs="Calibri"/>
                <w:lang w:eastAsia="en-GB"/>
              </w:rPr>
              <w:t>(30.8)</w:t>
            </w:r>
          </w:p>
        </w:tc>
        <w:tc>
          <w:tcPr>
            <w:tcW w:w="1228" w:type="dxa"/>
            <w:tcBorders>
              <w:top w:val="nil"/>
              <w:left w:val="nil"/>
              <w:bottom w:val="nil"/>
              <w:right w:val="nil"/>
            </w:tcBorders>
            <w:shd w:val="clear" w:color="000000" w:fill="FFFFFF"/>
            <w:noWrap/>
            <w:vAlign w:val="bottom"/>
            <w:hideMark/>
          </w:tcPr>
          <w:p w:rsidR="00E329F7" w:rsidRPr="002B2928" w:rsidRDefault="00E329F7" w:rsidP="00AE1C26">
            <w:pPr>
              <w:jc w:val="right"/>
              <w:rPr>
                <w:rFonts w:cs="Calibri"/>
                <w:lang w:eastAsia="en-GB"/>
              </w:rPr>
            </w:pPr>
            <w:r w:rsidRPr="002B2928">
              <w:rPr>
                <w:rFonts w:cs="Calibri"/>
                <w:lang w:eastAsia="en-GB"/>
              </w:rPr>
              <w:t>21.3</w:t>
            </w:r>
          </w:p>
        </w:tc>
        <w:tc>
          <w:tcPr>
            <w:tcW w:w="993" w:type="dxa"/>
            <w:tcBorders>
              <w:top w:val="nil"/>
              <w:left w:val="nil"/>
              <w:bottom w:val="nil"/>
              <w:right w:val="nil"/>
            </w:tcBorders>
            <w:shd w:val="clear" w:color="000000" w:fill="FFFFFF"/>
            <w:noWrap/>
            <w:vAlign w:val="bottom"/>
            <w:hideMark/>
          </w:tcPr>
          <w:p w:rsidR="00E329F7" w:rsidRPr="002B2928" w:rsidRDefault="00E329F7" w:rsidP="00AE1C26">
            <w:pPr>
              <w:jc w:val="right"/>
              <w:rPr>
                <w:rFonts w:cs="Calibri"/>
                <w:lang w:eastAsia="en-GB"/>
              </w:rPr>
            </w:pPr>
            <w:r w:rsidRPr="002B2928">
              <w:rPr>
                <w:rFonts w:cs="Calibri"/>
                <w:lang w:eastAsia="en-GB"/>
              </w:rPr>
              <w:t>95.0</w:t>
            </w:r>
          </w:p>
        </w:tc>
      </w:tr>
      <w:tr w:rsidR="00E329F7" w:rsidRPr="002B2928" w:rsidTr="00AE1C26">
        <w:trPr>
          <w:trHeight w:val="286"/>
        </w:trPr>
        <w:tc>
          <w:tcPr>
            <w:tcW w:w="2996" w:type="dxa"/>
            <w:tcBorders>
              <w:top w:val="nil"/>
              <w:left w:val="nil"/>
              <w:bottom w:val="nil"/>
              <w:right w:val="nil"/>
            </w:tcBorders>
            <w:shd w:val="clear" w:color="000000" w:fill="FFFFFF"/>
            <w:noWrap/>
            <w:vAlign w:val="bottom"/>
            <w:hideMark/>
          </w:tcPr>
          <w:p w:rsidR="00E329F7" w:rsidRPr="002B2928" w:rsidRDefault="00E329F7" w:rsidP="00AE1C26">
            <w:pPr>
              <w:rPr>
                <w:rFonts w:cs="Calibri"/>
                <w:b/>
                <w:bCs/>
                <w:lang w:eastAsia="en-GB"/>
              </w:rPr>
            </w:pPr>
            <w:r w:rsidRPr="002B2928">
              <w:rPr>
                <w:rFonts w:cs="Calibri"/>
                <w:b/>
                <w:bCs/>
                <w:lang w:eastAsia="en-GB"/>
              </w:rPr>
              <w:t> </w:t>
            </w:r>
          </w:p>
        </w:tc>
        <w:tc>
          <w:tcPr>
            <w:tcW w:w="536" w:type="dxa"/>
            <w:tcBorders>
              <w:top w:val="nil"/>
              <w:left w:val="nil"/>
              <w:bottom w:val="nil"/>
              <w:right w:val="nil"/>
            </w:tcBorders>
            <w:shd w:val="clear" w:color="000000" w:fill="FFFFFF"/>
            <w:noWrap/>
            <w:vAlign w:val="bottom"/>
            <w:hideMark/>
          </w:tcPr>
          <w:p w:rsidR="00E329F7" w:rsidRPr="002B2928" w:rsidRDefault="00E329F7" w:rsidP="00AE1C26">
            <w:pPr>
              <w:rPr>
                <w:rFonts w:cs="Calibri"/>
                <w:lang w:eastAsia="en-GB"/>
              </w:rPr>
            </w:pPr>
            <w:r w:rsidRPr="002B2928">
              <w:rPr>
                <w:rFonts w:cs="Calibri"/>
                <w:lang w:eastAsia="en-GB"/>
              </w:rPr>
              <w:t> </w:t>
            </w:r>
          </w:p>
        </w:tc>
        <w:tc>
          <w:tcPr>
            <w:tcW w:w="817" w:type="dxa"/>
            <w:tcBorders>
              <w:top w:val="single" w:sz="4" w:space="0" w:color="auto"/>
              <w:left w:val="nil"/>
              <w:bottom w:val="nil"/>
              <w:right w:val="nil"/>
            </w:tcBorders>
            <w:shd w:val="clear" w:color="000000" w:fill="FFFFFF"/>
            <w:noWrap/>
            <w:vAlign w:val="bottom"/>
            <w:hideMark/>
          </w:tcPr>
          <w:p w:rsidR="00E329F7" w:rsidRPr="002B2928" w:rsidRDefault="00E329F7" w:rsidP="00AE1C26">
            <w:pPr>
              <w:jc w:val="right"/>
              <w:rPr>
                <w:rFonts w:cs="Calibri"/>
                <w:b/>
                <w:bCs/>
                <w:lang w:eastAsia="en-GB"/>
              </w:rPr>
            </w:pPr>
            <w:r w:rsidRPr="002B2928">
              <w:rPr>
                <w:rFonts w:cs="Calibri"/>
                <w:b/>
                <w:bCs/>
                <w:lang w:eastAsia="en-GB"/>
              </w:rPr>
              <w:t>737.3</w:t>
            </w:r>
          </w:p>
        </w:tc>
        <w:tc>
          <w:tcPr>
            <w:tcW w:w="1077" w:type="dxa"/>
            <w:tcBorders>
              <w:top w:val="single" w:sz="4" w:space="0" w:color="auto"/>
              <w:left w:val="nil"/>
              <w:bottom w:val="nil"/>
              <w:right w:val="nil"/>
            </w:tcBorders>
            <w:shd w:val="clear" w:color="000000" w:fill="FFFFFF"/>
            <w:noWrap/>
            <w:vAlign w:val="bottom"/>
            <w:hideMark/>
          </w:tcPr>
          <w:p w:rsidR="00E329F7" w:rsidRPr="002B2928" w:rsidRDefault="00E329F7" w:rsidP="00AE1C26">
            <w:pPr>
              <w:jc w:val="right"/>
              <w:rPr>
                <w:rFonts w:cs="Calibri"/>
                <w:b/>
                <w:bCs/>
                <w:lang w:eastAsia="en-GB"/>
              </w:rPr>
            </w:pPr>
            <w:r w:rsidRPr="002B2928">
              <w:rPr>
                <w:rFonts w:cs="Calibri"/>
                <w:b/>
                <w:bCs/>
                <w:lang w:eastAsia="en-GB"/>
              </w:rPr>
              <w:t>188.1</w:t>
            </w:r>
          </w:p>
        </w:tc>
        <w:tc>
          <w:tcPr>
            <w:tcW w:w="973" w:type="dxa"/>
            <w:tcBorders>
              <w:top w:val="single" w:sz="4" w:space="0" w:color="auto"/>
              <w:left w:val="nil"/>
              <w:bottom w:val="nil"/>
              <w:right w:val="nil"/>
            </w:tcBorders>
            <w:shd w:val="clear" w:color="000000" w:fill="FFFFFF"/>
            <w:noWrap/>
            <w:vAlign w:val="bottom"/>
            <w:hideMark/>
          </w:tcPr>
          <w:p w:rsidR="00E329F7" w:rsidRPr="002B2928" w:rsidRDefault="00E329F7" w:rsidP="00AE1C26">
            <w:pPr>
              <w:jc w:val="right"/>
              <w:rPr>
                <w:rFonts w:cs="Calibri"/>
                <w:b/>
                <w:bCs/>
                <w:lang w:eastAsia="en-GB"/>
              </w:rPr>
            </w:pPr>
            <w:r w:rsidRPr="002B2928">
              <w:rPr>
                <w:rFonts w:cs="Calibri"/>
                <w:b/>
                <w:bCs/>
                <w:lang w:eastAsia="en-GB"/>
              </w:rPr>
              <w:t>(154.2)</w:t>
            </w:r>
          </w:p>
        </w:tc>
        <w:tc>
          <w:tcPr>
            <w:tcW w:w="1228" w:type="dxa"/>
            <w:tcBorders>
              <w:top w:val="single" w:sz="4" w:space="0" w:color="auto"/>
              <w:left w:val="nil"/>
              <w:bottom w:val="nil"/>
              <w:right w:val="nil"/>
            </w:tcBorders>
            <w:shd w:val="clear" w:color="000000" w:fill="FFFFFF"/>
            <w:noWrap/>
            <w:vAlign w:val="bottom"/>
            <w:hideMark/>
          </w:tcPr>
          <w:p w:rsidR="00E329F7" w:rsidRPr="002B2928" w:rsidRDefault="00E329F7" w:rsidP="00AE1C26">
            <w:pPr>
              <w:jc w:val="right"/>
              <w:rPr>
                <w:rFonts w:cs="Calibri"/>
                <w:b/>
                <w:bCs/>
                <w:lang w:eastAsia="en-GB"/>
              </w:rPr>
            </w:pPr>
            <w:r w:rsidRPr="002B2928">
              <w:rPr>
                <w:rFonts w:cs="Calibri"/>
                <w:b/>
                <w:bCs/>
                <w:lang w:eastAsia="en-GB"/>
              </w:rPr>
              <w:t>61.7</w:t>
            </w:r>
          </w:p>
        </w:tc>
        <w:tc>
          <w:tcPr>
            <w:tcW w:w="993" w:type="dxa"/>
            <w:tcBorders>
              <w:top w:val="single" w:sz="4" w:space="0" w:color="auto"/>
              <w:left w:val="nil"/>
              <w:bottom w:val="nil"/>
              <w:right w:val="nil"/>
            </w:tcBorders>
            <w:shd w:val="clear" w:color="000000" w:fill="FFFFFF"/>
            <w:noWrap/>
            <w:vAlign w:val="bottom"/>
            <w:hideMark/>
          </w:tcPr>
          <w:p w:rsidR="00E329F7" w:rsidRPr="002B2928" w:rsidRDefault="00E329F7" w:rsidP="00AE1C26">
            <w:pPr>
              <w:jc w:val="right"/>
              <w:rPr>
                <w:rFonts w:cs="Calibri"/>
                <w:b/>
                <w:bCs/>
                <w:lang w:eastAsia="en-GB"/>
              </w:rPr>
            </w:pPr>
            <w:r w:rsidRPr="002B2928">
              <w:rPr>
                <w:rFonts w:cs="Calibri"/>
                <w:b/>
                <w:bCs/>
                <w:lang w:eastAsia="en-GB"/>
              </w:rPr>
              <w:t>832.9</w:t>
            </w:r>
          </w:p>
        </w:tc>
      </w:tr>
      <w:tr w:rsidR="00E329F7" w:rsidRPr="002B2928" w:rsidTr="00AE1C26">
        <w:trPr>
          <w:trHeight w:val="571"/>
        </w:trPr>
        <w:tc>
          <w:tcPr>
            <w:tcW w:w="2996" w:type="dxa"/>
            <w:tcBorders>
              <w:top w:val="nil"/>
              <w:left w:val="nil"/>
              <w:bottom w:val="nil"/>
              <w:right w:val="nil"/>
            </w:tcBorders>
            <w:shd w:val="clear" w:color="000000" w:fill="FFFFFF"/>
            <w:vAlign w:val="bottom"/>
            <w:hideMark/>
          </w:tcPr>
          <w:p w:rsidR="00E329F7" w:rsidRPr="002B2928" w:rsidRDefault="00E329F7" w:rsidP="00AE1C26">
            <w:pPr>
              <w:rPr>
                <w:rFonts w:cs="Calibri"/>
                <w:b/>
                <w:bCs/>
                <w:lang w:eastAsia="en-GB"/>
              </w:rPr>
            </w:pPr>
            <w:r w:rsidRPr="002B2928">
              <w:rPr>
                <w:rFonts w:cs="Calibri"/>
                <w:b/>
                <w:bCs/>
                <w:lang w:eastAsia="en-GB"/>
              </w:rPr>
              <w:t>Other investment balances: Cash Deposit</w:t>
            </w:r>
          </w:p>
        </w:tc>
        <w:tc>
          <w:tcPr>
            <w:tcW w:w="536" w:type="dxa"/>
            <w:tcBorders>
              <w:top w:val="nil"/>
              <w:left w:val="nil"/>
              <w:bottom w:val="nil"/>
              <w:right w:val="nil"/>
            </w:tcBorders>
            <w:shd w:val="clear" w:color="000000" w:fill="FFFFFF"/>
            <w:noWrap/>
            <w:vAlign w:val="bottom"/>
            <w:hideMark/>
          </w:tcPr>
          <w:p w:rsidR="00E329F7" w:rsidRPr="002B2928" w:rsidRDefault="00E329F7" w:rsidP="00AE1C26">
            <w:pPr>
              <w:rPr>
                <w:rFonts w:cs="Calibri"/>
                <w:lang w:eastAsia="en-GB"/>
              </w:rPr>
            </w:pPr>
            <w:r w:rsidRPr="002B2928">
              <w:rPr>
                <w:rFonts w:cs="Calibri"/>
                <w:lang w:eastAsia="en-GB"/>
              </w:rPr>
              <w:t> </w:t>
            </w:r>
          </w:p>
        </w:tc>
        <w:tc>
          <w:tcPr>
            <w:tcW w:w="817" w:type="dxa"/>
            <w:tcBorders>
              <w:top w:val="nil"/>
              <w:left w:val="nil"/>
              <w:bottom w:val="nil"/>
              <w:right w:val="nil"/>
            </w:tcBorders>
            <w:shd w:val="clear" w:color="000000" w:fill="FFFFFF"/>
            <w:noWrap/>
            <w:vAlign w:val="bottom"/>
            <w:hideMark/>
          </w:tcPr>
          <w:p w:rsidR="00E329F7" w:rsidRPr="002B2928" w:rsidRDefault="00E329F7" w:rsidP="00AE1C26">
            <w:pPr>
              <w:jc w:val="right"/>
              <w:rPr>
                <w:rFonts w:cs="Calibri"/>
                <w:lang w:eastAsia="en-GB"/>
              </w:rPr>
            </w:pPr>
            <w:r w:rsidRPr="002B2928">
              <w:rPr>
                <w:rFonts w:cs="Calibri"/>
                <w:lang w:eastAsia="en-GB"/>
              </w:rPr>
              <w:t>94.0</w:t>
            </w:r>
          </w:p>
        </w:tc>
        <w:tc>
          <w:tcPr>
            <w:tcW w:w="1077" w:type="dxa"/>
            <w:tcBorders>
              <w:top w:val="nil"/>
              <w:left w:val="nil"/>
              <w:bottom w:val="nil"/>
              <w:right w:val="nil"/>
            </w:tcBorders>
            <w:shd w:val="clear" w:color="000000" w:fill="FFFFFF"/>
            <w:noWrap/>
            <w:vAlign w:val="bottom"/>
            <w:hideMark/>
          </w:tcPr>
          <w:p w:rsidR="00E329F7" w:rsidRPr="002B2928" w:rsidRDefault="00E329F7" w:rsidP="00AE1C26">
            <w:pPr>
              <w:rPr>
                <w:rFonts w:cs="Calibri"/>
                <w:lang w:eastAsia="en-GB"/>
              </w:rPr>
            </w:pPr>
            <w:r w:rsidRPr="002B2928">
              <w:rPr>
                <w:rFonts w:cs="Calibri"/>
                <w:lang w:eastAsia="en-GB"/>
              </w:rPr>
              <w:t> </w:t>
            </w:r>
          </w:p>
        </w:tc>
        <w:tc>
          <w:tcPr>
            <w:tcW w:w="973" w:type="dxa"/>
            <w:tcBorders>
              <w:top w:val="nil"/>
              <w:left w:val="nil"/>
              <w:bottom w:val="nil"/>
              <w:right w:val="nil"/>
            </w:tcBorders>
            <w:shd w:val="clear" w:color="000000" w:fill="FFFFFF"/>
            <w:noWrap/>
            <w:vAlign w:val="bottom"/>
            <w:hideMark/>
          </w:tcPr>
          <w:p w:rsidR="00E329F7" w:rsidRPr="002B2928" w:rsidRDefault="00E329F7" w:rsidP="00AE1C26">
            <w:pPr>
              <w:rPr>
                <w:rFonts w:cs="Calibri"/>
                <w:lang w:eastAsia="en-GB"/>
              </w:rPr>
            </w:pPr>
            <w:r w:rsidRPr="002B2928">
              <w:rPr>
                <w:rFonts w:cs="Calibri"/>
                <w:lang w:eastAsia="en-GB"/>
              </w:rPr>
              <w:t> </w:t>
            </w:r>
          </w:p>
        </w:tc>
        <w:tc>
          <w:tcPr>
            <w:tcW w:w="1228" w:type="dxa"/>
            <w:tcBorders>
              <w:top w:val="nil"/>
              <w:left w:val="nil"/>
              <w:bottom w:val="nil"/>
              <w:right w:val="nil"/>
            </w:tcBorders>
            <w:shd w:val="clear" w:color="000000" w:fill="FFFFFF"/>
            <w:noWrap/>
            <w:vAlign w:val="bottom"/>
            <w:hideMark/>
          </w:tcPr>
          <w:p w:rsidR="00E329F7" w:rsidRPr="002B2928" w:rsidRDefault="00E329F7" w:rsidP="00AE1C26">
            <w:pPr>
              <w:rPr>
                <w:rFonts w:cs="Calibri"/>
                <w:lang w:eastAsia="en-GB"/>
              </w:rPr>
            </w:pPr>
            <w:r w:rsidRPr="002B2928">
              <w:rPr>
                <w:rFonts w:cs="Calibri"/>
                <w:lang w:eastAsia="en-GB"/>
              </w:rPr>
              <w:t> </w:t>
            </w:r>
          </w:p>
        </w:tc>
        <w:tc>
          <w:tcPr>
            <w:tcW w:w="993" w:type="dxa"/>
            <w:tcBorders>
              <w:top w:val="nil"/>
              <w:left w:val="nil"/>
              <w:bottom w:val="nil"/>
              <w:right w:val="nil"/>
            </w:tcBorders>
            <w:shd w:val="clear" w:color="000000" w:fill="FFFFFF"/>
            <w:noWrap/>
            <w:vAlign w:val="bottom"/>
            <w:hideMark/>
          </w:tcPr>
          <w:p w:rsidR="00E329F7" w:rsidRPr="002B2928" w:rsidRDefault="00E329F7" w:rsidP="00AE1C26">
            <w:pPr>
              <w:jc w:val="right"/>
              <w:rPr>
                <w:rFonts w:cs="Calibri"/>
                <w:lang w:eastAsia="en-GB"/>
              </w:rPr>
            </w:pPr>
            <w:r w:rsidRPr="002B2928">
              <w:rPr>
                <w:rFonts w:cs="Calibri"/>
                <w:lang w:eastAsia="en-GB"/>
              </w:rPr>
              <w:t>23.5</w:t>
            </w:r>
          </w:p>
        </w:tc>
      </w:tr>
      <w:tr w:rsidR="00E329F7" w:rsidRPr="002B2928" w:rsidTr="00AE1C26">
        <w:trPr>
          <w:trHeight w:val="286"/>
        </w:trPr>
        <w:tc>
          <w:tcPr>
            <w:tcW w:w="2996" w:type="dxa"/>
            <w:tcBorders>
              <w:top w:val="nil"/>
              <w:left w:val="nil"/>
              <w:bottom w:val="nil"/>
              <w:right w:val="nil"/>
            </w:tcBorders>
            <w:shd w:val="clear" w:color="000000" w:fill="FFFFFF"/>
            <w:noWrap/>
            <w:vAlign w:val="bottom"/>
            <w:hideMark/>
          </w:tcPr>
          <w:p w:rsidR="00E329F7" w:rsidRPr="002B2928" w:rsidRDefault="00E329F7" w:rsidP="00AE1C26">
            <w:pPr>
              <w:rPr>
                <w:rFonts w:cs="Calibri"/>
                <w:b/>
                <w:bCs/>
                <w:lang w:eastAsia="en-GB"/>
              </w:rPr>
            </w:pPr>
            <w:r w:rsidRPr="002B2928">
              <w:rPr>
                <w:rFonts w:cs="Calibri"/>
                <w:b/>
                <w:bCs/>
                <w:lang w:eastAsia="en-GB"/>
              </w:rPr>
              <w:t>Investment income due</w:t>
            </w:r>
          </w:p>
        </w:tc>
        <w:tc>
          <w:tcPr>
            <w:tcW w:w="536" w:type="dxa"/>
            <w:tcBorders>
              <w:top w:val="nil"/>
              <w:left w:val="nil"/>
              <w:bottom w:val="nil"/>
              <w:right w:val="nil"/>
            </w:tcBorders>
            <w:shd w:val="clear" w:color="000000" w:fill="FFFFFF"/>
            <w:noWrap/>
            <w:vAlign w:val="bottom"/>
            <w:hideMark/>
          </w:tcPr>
          <w:p w:rsidR="00E329F7" w:rsidRPr="002B2928" w:rsidRDefault="00E329F7" w:rsidP="00AE1C26">
            <w:pPr>
              <w:rPr>
                <w:rFonts w:cs="Calibri"/>
                <w:lang w:eastAsia="en-GB"/>
              </w:rPr>
            </w:pPr>
            <w:r w:rsidRPr="002B2928">
              <w:rPr>
                <w:rFonts w:cs="Calibri"/>
                <w:lang w:eastAsia="en-GB"/>
              </w:rPr>
              <w:t> </w:t>
            </w:r>
          </w:p>
        </w:tc>
        <w:tc>
          <w:tcPr>
            <w:tcW w:w="817" w:type="dxa"/>
            <w:tcBorders>
              <w:top w:val="nil"/>
              <w:left w:val="nil"/>
              <w:bottom w:val="nil"/>
              <w:right w:val="nil"/>
            </w:tcBorders>
            <w:shd w:val="clear" w:color="000000" w:fill="FFFFFF"/>
            <w:noWrap/>
            <w:vAlign w:val="bottom"/>
            <w:hideMark/>
          </w:tcPr>
          <w:p w:rsidR="00E329F7" w:rsidRPr="002B2928" w:rsidRDefault="00E329F7" w:rsidP="00AE1C26">
            <w:pPr>
              <w:jc w:val="right"/>
              <w:rPr>
                <w:rFonts w:cs="Calibri"/>
                <w:lang w:eastAsia="en-GB"/>
              </w:rPr>
            </w:pPr>
            <w:r w:rsidRPr="002B2928">
              <w:rPr>
                <w:rFonts w:cs="Calibri"/>
                <w:lang w:eastAsia="en-GB"/>
              </w:rPr>
              <w:t>0.0</w:t>
            </w:r>
          </w:p>
        </w:tc>
        <w:tc>
          <w:tcPr>
            <w:tcW w:w="1077" w:type="dxa"/>
            <w:tcBorders>
              <w:top w:val="nil"/>
              <w:left w:val="nil"/>
              <w:bottom w:val="nil"/>
              <w:right w:val="nil"/>
            </w:tcBorders>
            <w:shd w:val="clear" w:color="000000" w:fill="FFFFFF"/>
            <w:noWrap/>
            <w:vAlign w:val="bottom"/>
            <w:hideMark/>
          </w:tcPr>
          <w:p w:rsidR="00E329F7" w:rsidRPr="002B2928" w:rsidRDefault="00E329F7" w:rsidP="00AE1C26">
            <w:pPr>
              <w:rPr>
                <w:rFonts w:cs="Calibri"/>
                <w:lang w:eastAsia="en-GB"/>
              </w:rPr>
            </w:pPr>
            <w:r w:rsidRPr="002B2928">
              <w:rPr>
                <w:rFonts w:cs="Calibri"/>
                <w:lang w:eastAsia="en-GB"/>
              </w:rPr>
              <w:t> </w:t>
            </w:r>
          </w:p>
        </w:tc>
        <w:tc>
          <w:tcPr>
            <w:tcW w:w="973" w:type="dxa"/>
            <w:tcBorders>
              <w:top w:val="nil"/>
              <w:left w:val="nil"/>
              <w:bottom w:val="nil"/>
              <w:right w:val="nil"/>
            </w:tcBorders>
            <w:shd w:val="clear" w:color="000000" w:fill="FFFFFF"/>
            <w:noWrap/>
            <w:vAlign w:val="bottom"/>
            <w:hideMark/>
          </w:tcPr>
          <w:p w:rsidR="00E329F7" w:rsidRPr="002B2928" w:rsidRDefault="00E329F7" w:rsidP="00AE1C26">
            <w:pPr>
              <w:rPr>
                <w:rFonts w:cs="Calibri"/>
                <w:lang w:eastAsia="en-GB"/>
              </w:rPr>
            </w:pPr>
            <w:r w:rsidRPr="002B2928">
              <w:rPr>
                <w:rFonts w:cs="Calibri"/>
                <w:lang w:eastAsia="en-GB"/>
              </w:rPr>
              <w:t> </w:t>
            </w:r>
          </w:p>
        </w:tc>
        <w:tc>
          <w:tcPr>
            <w:tcW w:w="1228" w:type="dxa"/>
            <w:tcBorders>
              <w:top w:val="nil"/>
              <w:left w:val="nil"/>
              <w:bottom w:val="nil"/>
              <w:right w:val="nil"/>
            </w:tcBorders>
            <w:shd w:val="clear" w:color="000000" w:fill="FFFFFF"/>
            <w:noWrap/>
            <w:vAlign w:val="bottom"/>
            <w:hideMark/>
          </w:tcPr>
          <w:p w:rsidR="00E329F7" w:rsidRPr="002B2928" w:rsidRDefault="00E329F7" w:rsidP="00AE1C26">
            <w:pPr>
              <w:rPr>
                <w:rFonts w:cs="Calibri"/>
                <w:lang w:eastAsia="en-GB"/>
              </w:rPr>
            </w:pPr>
            <w:r w:rsidRPr="002B2928">
              <w:rPr>
                <w:rFonts w:cs="Calibri"/>
                <w:lang w:eastAsia="en-GB"/>
              </w:rPr>
              <w:t> </w:t>
            </w:r>
          </w:p>
        </w:tc>
        <w:tc>
          <w:tcPr>
            <w:tcW w:w="993" w:type="dxa"/>
            <w:tcBorders>
              <w:top w:val="nil"/>
              <w:left w:val="nil"/>
              <w:bottom w:val="nil"/>
              <w:right w:val="nil"/>
            </w:tcBorders>
            <w:shd w:val="clear" w:color="000000" w:fill="FFFFFF"/>
            <w:noWrap/>
            <w:vAlign w:val="bottom"/>
            <w:hideMark/>
          </w:tcPr>
          <w:p w:rsidR="00E329F7" w:rsidRPr="002B2928" w:rsidRDefault="00E329F7" w:rsidP="00AE1C26">
            <w:pPr>
              <w:jc w:val="right"/>
              <w:rPr>
                <w:rFonts w:cs="Calibri"/>
                <w:lang w:eastAsia="en-GB"/>
              </w:rPr>
            </w:pPr>
            <w:r w:rsidRPr="002B2928">
              <w:rPr>
                <w:rFonts w:cs="Calibri"/>
                <w:lang w:eastAsia="en-GB"/>
              </w:rPr>
              <w:t>0.0</w:t>
            </w:r>
          </w:p>
        </w:tc>
      </w:tr>
      <w:tr w:rsidR="00E329F7" w:rsidRPr="002B2928" w:rsidTr="00AE1C26">
        <w:trPr>
          <w:trHeight w:val="299"/>
        </w:trPr>
        <w:tc>
          <w:tcPr>
            <w:tcW w:w="2996" w:type="dxa"/>
            <w:tcBorders>
              <w:top w:val="nil"/>
              <w:left w:val="nil"/>
              <w:bottom w:val="nil"/>
              <w:right w:val="nil"/>
            </w:tcBorders>
            <w:shd w:val="clear" w:color="000000" w:fill="FFFFFF"/>
            <w:noWrap/>
            <w:vAlign w:val="bottom"/>
            <w:hideMark/>
          </w:tcPr>
          <w:p w:rsidR="00E329F7" w:rsidRPr="002B2928" w:rsidRDefault="00E329F7" w:rsidP="00AE1C26">
            <w:pPr>
              <w:rPr>
                <w:rFonts w:cs="Calibri"/>
                <w:b/>
                <w:bCs/>
                <w:lang w:eastAsia="en-GB"/>
              </w:rPr>
            </w:pPr>
            <w:r w:rsidRPr="002B2928">
              <w:rPr>
                <w:rFonts w:cs="Calibri"/>
                <w:b/>
                <w:bCs/>
                <w:lang w:eastAsia="en-GB"/>
              </w:rPr>
              <w:t>Net investment assets</w:t>
            </w:r>
          </w:p>
        </w:tc>
        <w:tc>
          <w:tcPr>
            <w:tcW w:w="536" w:type="dxa"/>
            <w:tcBorders>
              <w:top w:val="nil"/>
              <w:left w:val="nil"/>
              <w:bottom w:val="nil"/>
              <w:right w:val="nil"/>
            </w:tcBorders>
            <w:shd w:val="clear" w:color="000000" w:fill="FFFFFF"/>
            <w:noWrap/>
            <w:vAlign w:val="bottom"/>
            <w:hideMark/>
          </w:tcPr>
          <w:p w:rsidR="00E329F7" w:rsidRPr="002B2928" w:rsidRDefault="00E329F7" w:rsidP="00AE1C26">
            <w:pPr>
              <w:rPr>
                <w:rFonts w:cs="Calibri"/>
                <w:lang w:eastAsia="en-GB"/>
              </w:rPr>
            </w:pPr>
            <w:r w:rsidRPr="002B2928">
              <w:rPr>
                <w:rFonts w:cs="Calibri"/>
                <w:lang w:eastAsia="en-GB"/>
              </w:rPr>
              <w:t> </w:t>
            </w:r>
          </w:p>
        </w:tc>
        <w:tc>
          <w:tcPr>
            <w:tcW w:w="817" w:type="dxa"/>
            <w:tcBorders>
              <w:top w:val="single" w:sz="4" w:space="0" w:color="auto"/>
              <w:left w:val="nil"/>
              <w:bottom w:val="double" w:sz="6" w:space="0" w:color="auto"/>
              <w:right w:val="nil"/>
            </w:tcBorders>
            <w:shd w:val="clear" w:color="000000" w:fill="FFFFFF"/>
            <w:noWrap/>
            <w:vAlign w:val="bottom"/>
            <w:hideMark/>
          </w:tcPr>
          <w:p w:rsidR="00E329F7" w:rsidRPr="002B2928" w:rsidRDefault="00E329F7" w:rsidP="00AE1C26">
            <w:pPr>
              <w:jc w:val="right"/>
              <w:rPr>
                <w:rFonts w:cs="Calibri"/>
                <w:b/>
                <w:bCs/>
                <w:lang w:eastAsia="en-GB"/>
              </w:rPr>
            </w:pPr>
            <w:r w:rsidRPr="002B2928">
              <w:rPr>
                <w:rFonts w:cs="Calibri"/>
                <w:b/>
                <w:bCs/>
                <w:lang w:eastAsia="en-GB"/>
              </w:rPr>
              <w:t>831.3</w:t>
            </w:r>
          </w:p>
        </w:tc>
        <w:tc>
          <w:tcPr>
            <w:tcW w:w="1077" w:type="dxa"/>
            <w:tcBorders>
              <w:top w:val="single" w:sz="4" w:space="0" w:color="auto"/>
              <w:left w:val="nil"/>
              <w:bottom w:val="nil"/>
              <w:right w:val="nil"/>
            </w:tcBorders>
            <w:shd w:val="clear" w:color="000000" w:fill="FFFFFF"/>
            <w:noWrap/>
            <w:vAlign w:val="bottom"/>
            <w:hideMark/>
          </w:tcPr>
          <w:p w:rsidR="00E329F7" w:rsidRPr="002B2928" w:rsidRDefault="00E329F7" w:rsidP="00AE1C26">
            <w:pPr>
              <w:rPr>
                <w:rFonts w:cs="Calibri"/>
                <w:lang w:eastAsia="en-GB"/>
              </w:rPr>
            </w:pPr>
            <w:r w:rsidRPr="002B2928">
              <w:rPr>
                <w:rFonts w:cs="Calibri"/>
                <w:lang w:eastAsia="en-GB"/>
              </w:rPr>
              <w:t> </w:t>
            </w:r>
          </w:p>
        </w:tc>
        <w:tc>
          <w:tcPr>
            <w:tcW w:w="973" w:type="dxa"/>
            <w:tcBorders>
              <w:top w:val="single" w:sz="4" w:space="0" w:color="auto"/>
              <w:left w:val="nil"/>
              <w:bottom w:val="nil"/>
              <w:right w:val="nil"/>
            </w:tcBorders>
            <w:shd w:val="clear" w:color="000000" w:fill="FFFFFF"/>
            <w:noWrap/>
            <w:vAlign w:val="bottom"/>
            <w:hideMark/>
          </w:tcPr>
          <w:p w:rsidR="00E329F7" w:rsidRPr="002B2928" w:rsidRDefault="00E329F7" w:rsidP="00AE1C26">
            <w:pPr>
              <w:rPr>
                <w:rFonts w:cs="Calibri"/>
                <w:lang w:eastAsia="en-GB"/>
              </w:rPr>
            </w:pPr>
            <w:r w:rsidRPr="002B2928">
              <w:rPr>
                <w:rFonts w:cs="Calibri"/>
                <w:lang w:eastAsia="en-GB"/>
              </w:rPr>
              <w:t> </w:t>
            </w:r>
          </w:p>
        </w:tc>
        <w:tc>
          <w:tcPr>
            <w:tcW w:w="1228" w:type="dxa"/>
            <w:tcBorders>
              <w:top w:val="single" w:sz="4" w:space="0" w:color="auto"/>
              <w:left w:val="nil"/>
              <w:bottom w:val="nil"/>
              <w:right w:val="nil"/>
            </w:tcBorders>
            <w:shd w:val="clear" w:color="000000" w:fill="FFFFFF"/>
            <w:noWrap/>
            <w:vAlign w:val="bottom"/>
            <w:hideMark/>
          </w:tcPr>
          <w:p w:rsidR="00E329F7" w:rsidRPr="002B2928" w:rsidRDefault="00E329F7" w:rsidP="00AE1C26">
            <w:pPr>
              <w:rPr>
                <w:rFonts w:cs="Calibri"/>
                <w:lang w:eastAsia="en-GB"/>
              </w:rPr>
            </w:pPr>
            <w:r w:rsidRPr="002B2928">
              <w:rPr>
                <w:rFonts w:cs="Calibri"/>
                <w:lang w:eastAsia="en-GB"/>
              </w:rPr>
              <w:t> </w:t>
            </w:r>
          </w:p>
        </w:tc>
        <w:tc>
          <w:tcPr>
            <w:tcW w:w="993" w:type="dxa"/>
            <w:tcBorders>
              <w:top w:val="single" w:sz="4" w:space="0" w:color="auto"/>
              <w:left w:val="nil"/>
              <w:bottom w:val="double" w:sz="6" w:space="0" w:color="auto"/>
              <w:right w:val="nil"/>
            </w:tcBorders>
            <w:shd w:val="clear" w:color="000000" w:fill="FFFFFF"/>
            <w:noWrap/>
            <w:vAlign w:val="bottom"/>
            <w:hideMark/>
          </w:tcPr>
          <w:p w:rsidR="00E329F7" w:rsidRPr="002B2928" w:rsidRDefault="00E329F7" w:rsidP="00AE1C26">
            <w:pPr>
              <w:jc w:val="right"/>
              <w:rPr>
                <w:rFonts w:cs="Calibri"/>
                <w:b/>
                <w:bCs/>
                <w:lang w:eastAsia="en-GB"/>
              </w:rPr>
            </w:pPr>
            <w:r w:rsidRPr="002B2928">
              <w:rPr>
                <w:rFonts w:cs="Calibri"/>
                <w:b/>
                <w:bCs/>
                <w:lang w:eastAsia="en-GB"/>
              </w:rPr>
              <w:t>856.4</w:t>
            </w:r>
          </w:p>
        </w:tc>
      </w:tr>
      <w:tr w:rsidR="00E329F7" w:rsidRPr="002B2928" w:rsidTr="00AE1C26">
        <w:trPr>
          <w:trHeight w:val="299"/>
        </w:trPr>
        <w:tc>
          <w:tcPr>
            <w:tcW w:w="2996" w:type="dxa"/>
            <w:tcBorders>
              <w:top w:val="nil"/>
              <w:left w:val="nil"/>
              <w:bottom w:val="nil"/>
              <w:right w:val="nil"/>
            </w:tcBorders>
            <w:shd w:val="clear" w:color="000000" w:fill="FFFFFF"/>
            <w:noWrap/>
            <w:vAlign w:val="bottom"/>
            <w:hideMark/>
          </w:tcPr>
          <w:p w:rsidR="00E329F7" w:rsidRPr="002B2928" w:rsidRDefault="00E329F7" w:rsidP="00AE1C26">
            <w:pPr>
              <w:rPr>
                <w:rFonts w:cs="Calibri"/>
                <w:color w:val="000000"/>
                <w:lang w:eastAsia="en-GB"/>
              </w:rPr>
            </w:pPr>
            <w:r w:rsidRPr="002B2928">
              <w:rPr>
                <w:rFonts w:cs="Calibri"/>
                <w:color w:val="000000"/>
                <w:lang w:eastAsia="en-GB"/>
              </w:rPr>
              <w:t> </w:t>
            </w:r>
          </w:p>
        </w:tc>
        <w:tc>
          <w:tcPr>
            <w:tcW w:w="536" w:type="dxa"/>
            <w:tcBorders>
              <w:top w:val="nil"/>
              <w:left w:val="nil"/>
              <w:bottom w:val="nil"/>
              <w:right w:val="nil"/>
            </w:tcBorders>
            <w:shd w:val="clear" w:color="000000" w:fill="FFFFFF"/>
            <w:noWrap/>
            <w:vAlign w:val="bottom"/>
            <w:hideMark/>
          </w:tcPr>
          <w:p w:rsidR="00E329F7" w:rsidRPr="002B2928" w:rsidRDefault="00E329F7" w:rsidP="00AE1C26">
            <w:pPr>
              <w:rPr>
                <w:rFonts w:cs="Calibri"/>
                <w:color w:val="000000"/>
                <w:lang w:eastAsia="en-GB"/>
              </w:rPr>
            </w:pPr>
            <w:r w:rsidRPr="002B2928">
              <w:rPr>
                <w:rFonts w:cs="Calibri"/>
                <w:color w:val="000000"/>
                <w:lang w:eastAsia="en-GB"/>
              </w:rPr>
              <w:t> </w:t>
            </w:r>
          </w:p>
        </w:tc>
        <w:tc>
          <w:tcPr>
            <w:tcW w:w="817" w:type="dxa"/>
            <w:tcBorders>
              <w:top w:val="nil"/>
              <w:left w:val="nil"/>
              <w:bottom w:val="nil"/>
              <w:right w:val="nil"/>
            </w:tcBorders>
            <w:shd w:val="clear" w:color="000000" w:fill="FFFFFF"/>
            <w:noWrap/>
            <w:vAlign w:val="bottom"/>
            <w:hideMark/>
          </w:tcPr>
          <w:p w:rsidR="00E329F7" w:rsidRPr="002B2928" w:rsidRDefault="00E329F7" w:rsidP="00AE1C26">
            <w:pPr>
              <w:rPr>
                <w:rFonts w:cs="Calibri"/>
                <w:color w:val="000000"/>
                <w:lang w:eastAsia="en-GB"/>
              </w:rPr>
            </w:pPr>
            <w:r w:rsidRPr="002B2928">
              <w:rPr>
                <w:rFonts w:cs="Calibri"/>
                <w:color w:val="000000"/>
                <w:lang w:eastAsia="en-GB"/>
              </w:rPr>
              <w:t> </w:t>
            </w:r>
          </w:p>
        </w:tc>
        <w:tc>
          <w:tcPr>
            <w:tcW w:w="1077" w:type="dxa"/>
            <w:tcBorders>
              <w:top w:val="nil"/>
              <w:left w:val="nil"/>
              <w:bottom w:val="nil"/>
              <w:right w:val="nil"/>
            </w:tcBorders>
            <w:shd w:val="clear" w:color="000000" w:fill="FFFFFF"/>
            <w:noWrap/>
            <w:vAlign w:val="bottom"/>
            <w:hideMark/>
          </w:tcPr>
          <w:p w:rsidR="00E329F7" w:rsidRPr="002B2928" w:rsidRDefault="00E329F7" w:rsidP="00AE1C26">
            <w:pPr>
              <w:rPr>
                <w:rFonts w:cs="Calibri"/>
                <w:color w:val="000000"/>
                <w:lang w:eastAsia="en-GB"/>
              </w:rPr>
            </w:pPr>
            <w:r w:rsidRPr="002B2928">
              <w:rPr>
                <w:rFonts w:cs="Calibri"/>
                <w:color w:val="000000"/>
                <w:lang w:eastAsia="en-GB"/>
              </w:rPr>
              <w:t> </w:t>
            </w:r>
          </w:p>
        </w:tc>
        <w:tc>
          <w:tcPr>
            <w:tcW w:w="973" w:type="dxa"/>
            <w:tcBorders>
              <w:top w:val="nil"/>
              <w:left w:val="nil"/>
              <w:bottom w:val="nil"/>
              <w:right w:val="nil"/>
            </w:tcBorders>
            <w:shd w:val="clear" w:color="000000" w:fill="FFFFFF"/>
            <w:noWrap/>
            <w:vAlign w:val="bottom"/>
            <w:hideMark/>
          </w:tcPr>
          <w:p w:rsidR="00E329F7" w:rsidRPr="002B2928" w:rsidRDefault="00E329F7" w:rsidP="00AE1C26">
            <w:pPr>
              <w:rPr>
                <w:rFonts w:cs="Calibri"/>
                <w:color w:val="000000"/>
                <w:lang w:eastAsia="en-GB"/>
              </w:rPr>
            </w:pPr>
            <w:r w:rsidRPr="002B2928">
              <w:rPr>
                <w:rFonts w:cs="Calibri"/>
                <w:color w:val="000000"/>
                <w:lang w:eastAsia="en-GB"/>
              </w:rPr>
              <w:t> </w:t>
            </w:r>
          </w:p>
        </w:tc>
        <w:tc>
          <w:tcPr>
            <w:tcW w:w="1228" w:type="dxa"/>
            <w:tcBorders>
              <w:top w:val="nil"/>
              <w:left w:val="nil"/>
              <w:bottom w:val="nil"/>
              <w:right w:val="nil"/>
            </w:tcBorders>
            <w:shd w:val="clear" w:color="000000" w:fill="FFFFFF"/>
            <w:noWrap/>
            <w:vAlign w:val="bottom"/>
            <w:hideMark/>
          </w:tcPr>
          <w:p w:rsidR="00E329F7" w:rsidRPr="002B2928" w:rsidRDefault="00E329F7" w:rsidP="00AE1C26">
            <w:pPr>
              <w:rPr>
                <w:rFonts w:cs="Calibri"/>
                <w:color w:val="000000"/>
                <w:lang w:eastAsia="en-GB"/>
              </w:rPr>
            </w:pPr>
            <w:r w:rsidRPr="002B2928">
              <w:rPr>
                <w:rFonts w:cs="Calibri"/>
                <w:color w:val="000000"/>
                <w:lang w:eastAsia="en-GB"/>
              </w:rPr>
              <w:t> </w:t>
            </w:r>
          </w:p>
        </w:tc>
        <w:tc>
          <w:tcPr>
            <w:tcW w:w="993" w:type="dxa"/>
            <w:tcBorders>
              <w:top w:val="nil"/>
              <w:left w:val="nil"/>
              <w:bottom w:val="nil"/>
              <w:right w:val="nil"/>
            </w:tcBorders>
            <w:shd w:val="clear" w:color="000000" w:fill="FFFFFF"/>
            <w:noWrap/>
            <w:vAlign w:val="bottom"/>
            <w:hideMark/>
          </w:tcPr>
          <w:p w:rsidR="00E329F7" w:rsidRPr="002B2928" w:rsidRDefault="00E329F7" w:rsidP="00AE1C26">
            <w:pPr>
              <w:rPr>
                <w:rFonts w:cs="Calibri"/>
                <w:color w:val="000000"/>
                <w:lang w:eastAsia="en-GB"/>
              </w:rPr>
            </w:pPr>
            <w:r w:rsidRPr="002B2928">
              <w:rPr>
                <w:rFonts w:cs="Calibri"/>
                <w:color w:val="000000"/>
                <w:lang w:eastAsia="en-GB"/>
              </w:rPr>
              <w:t> </w:t>
            </w:r>
          </w:p>
        </w:tc>
      </w:tr>
    </w:tbl>
    <w:p w:rsidR="00F72906" w:rsidRDefault="00E329F7" w:rsidP="009C7D60">
      <w:pPr>
        <w:pStyle w:val="Heading3"/>
      </w:pPr>
      <w:r>
        <w:lastRenderedPageBreak/>
        <w:t>1</w:t>
      </w:r>
      <w:r w:rsidR="00F72906">
        <w:t xml:space="preserve">4b) Analysis of investments by category </w:t>
      </w:r>
    </w:p>
    <w:tbl>
      <w:tblPr>
        <w:tblW w:w="8837" w:type="dxa"/>
        <w:tblLook w:val="04A0" w:firstRow="1" w:lastRow="0" w:firstColumn="1" w:lastColumn="0" w:noHBand="0" w:noVBand="1"/>
      </w:tblPr>
      <w:tblGrid>
        <w:gridCol w:w="266"/>
        <w:gridCol w:w="3903"/>
        <w:gridCol w:w="556"/>
        <w:gridCol w:w="2076"/>
        <w:gridCol w:w="2036"/>
      </w:tblGrid>
      <w:tr w:rsidR="00E329F7" w:rsidRPr="00667008" w:rsidTr="00AE1C26">
        <w:trPr>
          <w:trHeight w:val="299"/>
        </w:trPr>
        <w:tc>
          <w:tcPr>
            <w:tcW w:w="266" w:type="dxa"/>
            <w:tcBorders>
              <w:top w:val="nil"/>
              <w:left w:val="nil"/>
              <w:bottom w:val="nil"/>
              <w:right w:val="nil"/>
            </w:tcBorders>
            <w:shd w:val="clear" w:color="000000" w:fill="FFFFFF"/>
            <w:noWrap/>
            <w:vAlign w:val="bottom"/>
            <w:hideMark/>
          </w:tcPr>
          <w:p w:rsidR="00E329F7" w:rsidRPr="00667008" w:rsidRDefault="00E329F7" w:rsidP="00AE1C26">
            <w:pPr>
              <w:rPr>
                <w:rFonts w:cs="Calibri"/>
                <w:color w:val="000000"/>
                <w:lang w:eastAsia="en-GB"/>
              </w:rPr>
            </w:pPr>
            <w:r w:rsidRPr="00667008">
              <w:rPr>
                <w:rFonts w:cs="Calibri"/>
                <w:color w:val="000000"/>
                <w:lang w:eastAsia="en-GB"/>
              </w:rPr>
              <w:t> </w:t>
            </w:r>
          </w:p>
        </w:tc>
        <w:tc>
          <w:tcPr>
            <w:tcW w:w="3903" w:type="dxa"/>
            <w:tcBorders>
              <w:top w:val="nil"/>
              <w:left w:val="nil"/>
              <w:bottom w:val="nil"/>
              <w:right w:val="nil"/>
            </w:tcBorders>
            <w:shd w:val="clear" w:color="000000" w:fill="FFFFFF"/>
            <w:noWrap/>
            <w:vAlign w:val="bottom"/>
            <w:hideMark/>
          </w:tcPr>
          <w:p w:rsidR="00E329F7" w:rsidRPr="00667008" w:rsidRDefault="00E329F7" w:rsidP="00AE1C26">
            <w:pPr>
              <w:rPr>
                <w:rFonts w:cs="Calibri"/>
                <w:color w:val="000000"/>
                <w:lang w:eastAsia="en-GB"/>
              </w:rPr>
            </w:pPr>
            <w:r w:rsidRPr="00667008">
              <w:rPr>
                <w:rFonts w:cs="Calibri"/>
                <w:color w:val="000000"/>
                <w:lang w:eastAsia="en-GB"/>
              </w:rPr>
              <w:t> </w:t>
            </w:r>
          </w:p>
        </w:tc>
        <w:tc>
          <w:tcPr>
            <w:tcW w:w="556" w:type="dxa"/>
            <w:tcBorders>
              <w:top w:val="nil"/>
              <w:left w:val="nil"/>
              <w:bottom w:val="nil"/>
              <w:right w:val="nil"/>
            </w:tcBorders>
            <w:shd w:val="clear" w:color="000000" w:fill="FFFFFF"/>
            <w:noWrap/>
            <w:vAlign w:val="bottom"/>
            <w:hideMark/>
          </w:tcPr>
          <w:p w:rsidR="00E329F7" w:rsidRPr="00667008" w:rsidRDefault="00E329F7" w:rsidP="00AE1C26">
            <w:pPr>
              <w:rPr>
                <w:rFonts w:cs="Calibri"/>
                <w:color w:val="000000"/>
                <w:lang w:eastAsia="en-GB"/>
              </w:rPr>
            </w:pPr>
            <w:r w:rsidRPr="00667008">
              <w:rPr>
                <w:rFonts w:cs="Calibri"/>
                <w:color w:val="000000"/>
                <w:lang w:eastAsia="en-GB"/>
              </w:rPr>
              <w:t> </w:t>
            </w:r>
          </w:p>
        </w:tc>
        <w:tc>
          <w:tcPr>
            <w:tcW w:w="2076" w:type="dxa"/>
            <w:tcBorders>
              <w:top w:val="nil"/>
              <w:left w:val="nil"/>
              <w:bottom w:val="nil"/>
              <w:right w:val="nil"/>
            </w:tcBorders>
            <w:shd w:val="clear" w:color="000000" w:fill="FFFFFF"/>
            <w:noWrap/>
            <w:vAlign w:val="bottom"/>
            <w:hideMark/>
          </w:tcPr>
          <w:p w:rsidR="00E329F7" w:rsidRPr="00667008" w:rsidRDefault="00E329F7" w:rsidP="00AE1C26">
            <w:pPr>
              <w:rPr>
                <w:rFonts w:cs="Calibri"/>
                <w:color w:val="000000"/>
                <w:lang w:eastAsia="en-GB"/>
              </w:rPr>
            </w:pPr>
            <w:r w:rsidRPr="00667008">
              <w:rPr>
                <w:rFonts w:cs="Calibri"/>
                <w:color w:val="000000"/>
                <w:lang w:eastAsia="en-GB"/>
              </w:rPr>
              <w:t> </w:t>
            </w:r>
          </w:p>
        </w:tc>
        <w:tc>
          <w:tcPr>
            <w:tcW w:w="2036" w:type="dxa"/>
            <w:tcBorders>
              <w:top w:val="nil"/>
              <w:left w:val="nil"/>
              <w:bottom w:val="nil"/>
              <w:right w:val="nil"/>
            </w:tcBorders>
            <w:shd w:val="clear" w:color="000000" w:fill="FFFFFF"/>
            <w:noWrap/>
            <w:vAlign w:val="bottom"/>
            <w:hideMark/>
          </w:tcPr>
          <w:p w:rsidR="00E329F7" w:rsidRPr="00667008" w:rsidRDefault="00E329F7" w:rsidP="00AE1C26">
            <w:pPr>
              <w:rPr>
                <w:rFonts w:cs="Calibri"/>
                <w:color w:val="000000"/>
                <w:lang w:eastAsia="en-GB"/>
              </w:rPr>
            </w:pPr>
            <w:r w:rsidRPr="00667008">
              <w:rPr>
                <w:rFonts w:cs="Calibri"/>
                <w:color w:val="000000"/>
                <w:lang w:eastAsia="en-GB"/>
              </w:rPr>
              <w:t> </w:t>
            </w:r>
          </w:p>
        </w:tc>
      </w:tr>
      <w:tr w:rsidR="00E329F7" w:rsidRPr="00667008" w:rsidTr="00AE1C26">
        <w:trPr>
          <w:trHeight w:val="299"/>
        </w:trPr>
        <w:tc>
          <w:tcPr>
            <w:tcW w:w="266" w:type="dxa"/>
            <w:tcBorders>
              <w:top w:val="nil"/>
              <w:left w:val="nil"/>
              <w:bottom w:val="nil"/>
              <w:right w:val="nil"/>
            </w:tcBorders>
            <w:shd w:val="clear" w:color="000000" w:fill="FFFFFF"/>
            <w:noWrap/>
            <w:vAlign w:val="bottom"/>
            <w:hideMark/>
          </w:tcPr>
          <w:p w:rsidR="00E329F7" w:rsidRPr="00667008" w:rsidRDefault="00E329F7" w:rsidP="00AE1C26">
            <w:pPr>
              <w:rPr>
                <w:rFonts w:cs="Calibri"/>
                <w:color w:val="000000"/>
                <w:lang w:eastAsia="en-GB"/>
              </w:rPr>
            </w:pPr>
            <w:r w:rsidRPr="00667008">
              <w:rPr>
                <w:rFonts w:cs="Calibri"/>
                <w:color w:val="000000"/>
                <w:lang w:eastAsia="en-GB"/>
              </w:rPr>
              <w:t> </w:t>
            </w:r>
          </w:p>
        </w:tc>
        <w:tc>
          <w:tcPr>
            <w:tcW w:w="3903" w:type="dxa"/>
            <w:tcBorders>
              <w:top w:val="nil"/>
              <w:left w:val="nil"/>
              <w:bottom w:val="nil"/>
              <w:right w:val="nil"/>
            </w:tcBorders>
            <w:shd w:val="clear" w:color="000000" w:fill="FFFFFF"/>
            <w:noWrap/>
            <w:vAlign w:val="bottom"/>
            <w:hideMark/>
          </w:tcPr>
          <w:p w:rsidR="00E329F7" w:rsidRPr="00667008" w:rsidRDefault="00E329F7" w:rsidP="00AE1C26">
            <w:pPr>
              <w:rPr>
                <w:rFonts w:cs="Calibri"/>
                <w:color w:val="000000"/>
                <w:lang w:eastAsia="en-GB"/>
              </w:rPr>
            </w:pPr>
            <w:r w:rsidRPr="00667008">
              <w:rPr>
                <w:rFonts w:cs="Calibri"/>
                <w:color w:val="000000"/>
                <w:lang w:eastAsia="en-GB"/>
              </w:rPr>
              <w:t> </w:t>
            </w:r>
          </w:p>
        </w:tc>
        <w:tc>
          <w:tcPr>
            <w:tcW w:w="556" w:type="dxa"/>
            <w:tcBorders>
              <w:top w:val="nil"/>
              <w:left w:val="nil"/>
              <w:bottom w:val="nil"/>
              <w:right w:val="nil"/>
            </w:tcBorders>
            <w:shd w:val="clear" w:color="000000" w:fill="FFFFFF"/>
            <w:noWrap/>
            <w:vAlign w:val="bottom"/>
            <w:hideMark/>
          </w:tcPr>
          <w:p w:rsidR="00E329F7" w:rsidRPr="00667008" w:rsidRDefault="00E329F7" w:rsidP="00AE1C26">
            <w:pPr>
              <w:rPr>
                <w:rFonts w:cs="Calibri"/>
                <w:color w:val="000000"/>
                <w:lang w:eastAsia="en-GB"/>
              </w:rPr>
            </w:pPr>
            <w:r w:rsidRPr="00667008">
              <w:rPr>
                <w:rFonts w:cs="Calibri"/>
                <w:color w:val="000000"/>
                <w:lang w:eastAsia="en-GB"/>
              </w:rPr>
              <w:t> </w:t>
            </w:r>
          </w:p>
        </w:tc>
        <w:tc>
          <w:tcPr>
            <w:tcW w:w="2076" w:type="dxa"/>
            <w:tcBorders>
              <w:top w:val="nil"/>
              <w:left w:val="nil"/>
              <w:bottom w:val="nil"/>
              <w:right w:val="nil"/>
            </w:tcBorders>
            <w:shd w:val="clear" w:color="000000" w:fill="FFFFFF"/>
            <w:noWrap/>
            <w:vAlign w:val="bottom"/>
            <w:hideMark/>
          </w:tcPr>
          <w:p w:rsidR="00E329F7" w:rsidRPr="00667008" w:rsidRDefault="00E329F7" w:rsidP="00AE1C26">
            <w:pPr>
              <w:jc w:val="right"/>
              <w:rPr>
                <w:rFonts w:cs="Calibri"/>
                <w:b/>
                <w:bCs/>
                <w:color w:val="000000"/>
                <w:lang w:eastAsia="en-GB"/>
              </w:rPr>
            </w:pPr>
            <w:r w:rsidRPr="00667008">
              <w:rPr>
                <w:rFonts w:cs="Calibri"/>
                <w:b/>
                <w:bCs/>
                <w:color w:val="000000"/>
                <w:lang w:eastAsia="en-GB"/>
              </w:rPr>
              <w:t>31 March 2019</w:t>
            </w:r>
          </w:p>
        </w:tc>
        <w:tc>
          <w:tcPr>
            <w:tcW w:w="2036" w:type="dxa"/>
            <w:tcBorders>
              <w:top w:val="nil"/>
              <w:left w:val="nil"/>
              <w:bottom w:val="nil"/>
              <w:right w:val="nil"/>
            </w:tcBorders>
            <w:shd w:val="clear" w:color="000000" w:fill="FFFFFF"/>
            <w:noWrap/>
            <w:vAlign w:val="bottom"/>
            <w:hideMark/>
          </w:tcPr>
          <w:p w:rsidR="00E329F7" w:rsidRPr="00667008" w:rsidRDefault="00E329F7" w:rsidP="00AE1C26">
            <w:pPr>
              <w:jc w:val="right"/>
              <w:rPr>
                <w:rFonts w:cs="Calibri"/>
                <w:b/>
                <w:bCs/>
                <w:color w:val="000000"/>
                <w:lang w:eastAsia="en-GB"/>
              </w:rPr>
            </w:pPr>
            <w:r w:rsidRPr="00667008">
              <w:rPr>
                <w:rFonts w:cs="Calibri"/>
                <w:b/>
                <w:bCs/>
                <w:color w:val="000000"/>
                <w:lang w:eastAsia="en-GB"/>
              </w:rPr>
              <w:t>31 March 2020</w:t>
            </w:r>
          </w:p>
        </w:tc>
      </w:tr>
      <w:tr w:rsidR="00E329F7" w:rsidRPr="00667008" w:rsidTr="00AE1C26">
        <w:trPr>
          <w:trHeight w:val="299"/>
        </w:trPr>
        <w:tc>
          <w:tcPr>
            <w:tcW w:w="266" w:type="dxa"/>
            <w:tcBorders>
              <w:top w:val="nil"/>
              <w:left w:val="nil"/>
              <w:bottom w:val="nil"/>
              <w:right w:val="nil"/>
            </w:tcBorders>
            <w:shd w:val="clear" w:color="000000" w:fill="FFFFFF"/>
            <w:noWrap/>
            <w:vAlign w:val="bottom"/>
            <w:hideMark/>
          </w:tcPr>
          <w:p w:rsidR="00E329F7" w:rsidRPr="00667008" w:rsidRDefault="00E329F7" w:rsidP="00AE1C26">
            <w:pPr>
              <w:rPr>
                <w:rFonts w:cs="Calibri"/>
                <w:color w:val="000000"/>
                <w:lang w:eastAsia="en-GB"/>
              </w:rPr>
            </w:pPr>
            <w:r w:rsidRPr="00667008">
              <w:rPr>
                <w:rFonts w:cs="Calibri"/>
                <w:color w:val="000000"/>
                <w:lang w:eastAsia="en-GB"/>
              </w:rPr>
              <w:t> </w:t>
            </w:r>
          </w:p>
        </w:tc>
        <w:tc>
          <w:tcPr>
            <w:tcW w:w="3903" w:type="dxa"/>
            <w:tcBorders>
              <w:top w:val="nil"/>
              <w:left w:val="nil"/>
              <w:bottom w:val="nil"/>
              <w:right w:val="nil"/>
            </w:tcBorders>
            <w:shd w:val="clear" w:color="000000" w:fill="FFFFFF"/>
            <w:noWrap/>
            <w:vAlign w:val="bottom"/>
            <w:hideMark/>
          </w:tcPr>
          <w:p w:rsidR="00E329F7" w:rsidRPr="00667008" w:rsidRDefault="00E329F7" w:rsidP="00AE1C26">
            <w:pPr>
              <w:rPr>
                <w:rFonts w:cs="Calibri"/>
                <w:color w:val="000000"/>
                <w:lang w:eastAsia="en-GB"/>
              </w:rPr>
            </w:pPr>
            <w:r w:rsidRPr="00667008">
              <w:rPr>
                <w:rFonts w:cs="Calibri"/>
                <w:color w:val="000000"/>
                <w:lang w:eastAsia="en-GB"/>
              </w:rPr>
              <w:t> </w:t>
            </w:r>
          </w:p>
        </w:tc>
        <w:tc>
          <w:tcPr>
            <w:tcW w:w="556" w:type="dxa"/>
            <w:tcBorders>
              <w:top w:val="nil"/>
              <w:left w:val="nil"/>
              <w:bottom w:val="nil"/>
              <w:right w:val="nil"/>
            </w:tcBorders>
            <w:shd w:val="clear" w:color="000000" w:fill="FFFFFF"/>
            <w:noWrap/>
            <w:vAlign w:val="bottom"/>
            <w:hideMark/>
          </w:tcPr>
          <w:p w:rsidR="00E329F7" w:rsidRPr="00667008" w:rsidRDefault="00E329F7" w:rsidP="00AE1C26">
            <w:pPr>
              <w:rPr>
                <w:rFonts w:cs="Calibri"/>
                <w:color w:val="000000"/>
                <w:lang w:eastAsia="en-GB"/>
              </w:rPr>
            </w:pPr>
            <w:r w:rsidRPr="00667008">
              <w:rPr>
                <w:rFonts w:cs="Calibri"/>
                <w:color w:val="000000"/>
                <w:lang w:eastAsia="en-GB"/>
              </w:rPr>
              <w:t> </w:t>
            </w:r>
          </w:p>
        </w:tc>
        <w:tc>
          <w:tcPr>
            <w:tcW w:w="2076" w:type="dxa"/>
            <w:tcBorders>
              <w:top w:val="nil"/>
              <w:left w:val="nil"/>
              <w:bottom w:val="nil"/>
              <w:right w:val="nil"/>
            </w:tcBorders>
            <w:shd w:val="clear" w:color="000000" w:fill="FFFFFF"/>
            <w:noWrap/>
            <w:vAlign w:val="bottom"/>
            <w:hideMark/>
          </w:tcPr>
          <w:p w:rsidR="00E329F7" w:rsidRPr="00667008" w:rsidRDefault="00E329F7" w:rsidP="00AE1C26">
            <w:pPr>
              <w:jc w:val="right"/>
              <w:rPr>
                <w:rFonts w:cs="Calibri"/>
                <w:b/>
                <w:bCs/>
                <w:color w:val="000000"/>
                <w:lang w:eastAsia="en-GB"/>
              </w:rPr>
            </w:pPr>
            <w:r w:rsidRPr="00667008">
              <w:rPr>
                <w:rFonts w:cs="Calibri"/>
                <w:b/>
                <w:bCs/>
                <w:color w:val="000000"/>
                <w:lang w:eastAsia="en-GB"/>
              </w:rPr>
              <w:t>£m</w:t>
            </w:r>
          </w:p>
        </w:tc>
        <w:tc>
          <w:tcPr>
            <w:tcW w:w="2036" w:type="dxa"/>
            <w:tcBorders>
              <w:top w:val="nil"/>
              <w:left w:val="nil"/>
              <w:bottom w:val="nil"/>
              <w:right w:val="nil"/>
            </w:tcBorders>
            <w:shd w:val="clear" w:color="000000" w:fill="FFFFFF"/>
            <w:noWrap/>
            <w:vAlign w:val="bottom"/>
            <w:hideMark/>
          </w:tcPr>
          <w:p w:rsidR="00E329F7" w:rsidRPr="00667008" w:rsidRDefault="00E329F7" w:rsidP="00AE1C26">
            <w:pPr>
              <w:jc w:val="right"/>
              <w:rPr>
                <w:rFonts w:cs="Calibri"/>
                <w:b/>
                <w:bCs/>
                <w:color w:val="000000"/>
                <w:lang w:eastAsia="en-GB"/>
              </w:rPr>
            </w:pPr>
            <w:r w:rsidRPr="00667008">
              <w:rPr>
                <w:rFonts w:cs="Calibri"/>
                <w:b/>
                <w:bCs/>
                <w:color w:val="000000"/>
                <w:lang w:eastAsia="en-GB"/>
              </w:rPr>
              <w:t>£m</w:t>
            </w:r>
          </w:p>
        </w:tc>
      </w:tr>
      <w:tr w:rsidR="00E329F7" w:rsidRPr="00667008" w:rsidTr="00AE1C26">
        <w:trPr>
          <w:trHeight w:val="299"/>
        </w:trPr>
        <w:tc>
          <w:tcPr>
            <w:tcW w:w="266" w:type="dxa"/>
            <w:tcBorders>
              <w:top w:val="nil"/>
              <w:left w:val="nil"/>
              <w:bottom w:val="nil"/>
              <w:right w:val="nil"/>
            </w:tcBorders>
            <w:shd w:val="clear" w:color="000000" w:fill="FFFFFF"/>
            <w:noWrap/>
            <w:vAlign w:val="bottom"/>
            <w:hideMark/>
          </w:tcPr>
          <w:p w:rsidR="00E329F7" w:rsidRPr="00667008" w:rsidRDefault="00E329F7" w:rsidP="00AE1C26">
            <w:pPr>
              <w:rPr>
                <w:rFonts w:cs="Calibri"/>
                <w:color w:val="000000"/>
                <w:lang w:eastAsia="en-GB"/>
              </w:rPr>
            </w:pPr>
            <w:r w:rsidRPr="00667008">
              <w:rPr>
                <w:rFonts w:cs="Calibri"/>
                <w:color w:val="000000"/>
                <w:lang w:eastAsia="en-GB"/>
              </w:rPr>
              <w:t> </w:t>
            </w:r>
          </w:p>
        </w:tc>
        <w:tc>
          <w:tcPr>
            <w:tcW w:w="3903" w:type="dxa"/>
            <w:tcBorders>
              <w:top w:val="nil"/>
              <w:left w:val="nil"/>
              <w:bottom w:val="nil"/>
              <w:right w:val="nil"/>
            </w:tcBorders>
            <w:shd w:val="clear" w:color="000000" w:fill="FFFFFF"/>
            <w:noWrap/>
            <w:vAlign w:val="bottom"/>
            <w:hideMark/>
          </w:tcPr>
          <w:p w:rsidR="00E329F7" w:rsidRPr="00667008" w:rsidRDefault="00E329F7" w:rsidP="00AE1C26">
            <w:pPr>
              <w:rPr>
                <w:rFonts w:cs="Calibri"/>
                <w:color w:val="000000"/>
                <w:lang w:eastAsia="en-GB"/>
              </w:rPr>
            </w:pPr>
            <w:r w:rsidRPr="00667008">
              <w:rPr>
                <w:rFonts w:cs="Calibri"/>
                <w:color w:val="000000"/>
                <w:lang w:eastAsia="en-GB"/>
              </w:rPr>
              <w:t> </w:t>
            </w:r>
          </w:p>
        </w:tc>
        <w:tc>
          <w:tcPr>
            <w:tcW w:w="556" w:type="dxa"/>
            <w:tcBorders>
              <w:top w:val="nil"/>
              <w:left w:val="nil"/>
              <w:bottom w:val="nil"/>
              <w:right w:val="nil"/>
            </w:tcBorders>
            <w:shd w:val="clear" w:color="000000" w:fill="FFFFFF"/>
            <w:noWrap/>
            <w:vAlign w:val="bottom"/>
            <w:hideMark/>
          </w:tcPr>
          <w:p w:rsidR="00E329F7" w:rsidRPr="00667008" w:rsidRDefault="00E329F7" w:rsidP="00AE1C26">
            <w:pPr>
              <w:rPr>
                <w:rFonts w:cs="Calibri"/>
                <w:color w:val="000000"/>
                <w:lang w:eastAsia="en-GB"/>
              </w:rPr>
            </w:pPr>
            <w:r w:rsidRPr="00667008">
              <w:rPr>
                <w:rFonts w:cs="Calibri"/>
                <w:color w:val="000000"/>
                <w:lang w:eastAsia="en-GB"/>
              </w:rPr>
              <w:t> </w:t>
            </w:r>
          </w:p>
        </w:tc>
        <w:tc>
          <w:tcPr>
            <w:tcW w:w="2076" w:type="dxa"/>
            <w:tcBorders>
              <w:top w:val="nil"/>
              <w:left w:val="nil"/>
              <w:bottom w:val="nil"/>
              <w:right w:val="nil"/>
            </w:tcBorders>
            <w:shd w:val="clear" w:color="000000" w:fill="FFFFFF"/>
            <w:noWrap/>
            <w:vAlign w:val="bottom"/>
            <w:hideMark/>
          </w:tcPr>
          <w:p w:rsidR="00E329F7" w:rsidRPr="00667008" w:rsidRDefault="00E329F7" w:rsidP="00AE1C26">
            <w:pPr>
              <w:rPr>
                <w:rFonts w:cs="Calibri"/>
                <w:color w:val="000000"/>
                <w:lang w:eastAsia="en-GB"/>
              </w:rPr>
            </w:pPr>
            <w:r w:rsidRPr="00667008">
              <w:rPr>
                <w:rFonts w:cs="Calibri"/>
                <w:color w:val="000000"/>
                <w:lang w:eastAsia="en-GB"/>
              </w:rPr>
              <w:t> </w:t>
            </w:r>
          </w:p>
        </w:tc>
        <w:tc>
          <w:tcPr>
            <w:tcW w:w="2036" w:type="dxa"/>
            <w:tcBorders>
              <w:top w:val="nil"/>
              <w:left w:val="nil"/>
              <w:bottom w:val="nil"/>
              <w:right w:val="nil"/>
            </w:tcBorders>
            <w:shd w:val="clear" w:color="000000" w:fill="FFFFFF"/>
            <w:noWrap/>
            <w:vAlign w:val="bottom"/>
            <w:hideMark/>
          </w:tcPr>
          <w:p w:rsidR="00E329F7" w:rsidRPr="00667008" w:rsidRDefault="00E329F7" w:rsidP="00AE1C26">
            <w:pPr>
              <w:rPr>
                <w:rFonts w:cs="Calibri"/>
                <w:color w:val="000000"/>
                <w:lang w:eastAsia="en-GB"/>
              </w:rPr>
            </w:pPr>
            <w:r w:rsidRPr="00667008">
              <w:rPr>
                <w:rFonts w:cs="Calibri"/>
                <w:color w:val="000000"/>
                <w:lang w:eastAsia="en-GB"/>
              </w:rPr>
              <w:t> </w:t>
            </w:r>
          </w:p>
        </w:tc>
      </w:tr>
      <w:tr w:rsidR="00E329F7" w:rsidRPr="00667008" w:rsidTr="00AE1C26">
        <w:trPr>
          <w:trHeight w:val="286"/>
        </w:trPr>
        <w:tc>
          <w:tcPr>
            <w:tcW w:w="266" w:type="dxa"/>
            <w:tcBorders>
              <w:top w:val="nil"/>
              <w:left w:val="nil"/>
              <w:bottom w:val="nil"/>
              <w:right w:val="nil"/>
            </w:tcBorders>
            <w:shd w:val="clear" w:color="000000" w:fill="FFFFFF"/>
            <w:noWrap/>
            <w:vAlign w:val="bottom"/>
            <w:hideMark/>
          </w:tcPr>
          <w:p w:rsidR="00E329F7" w:rsidRPr="00667008" w:rsidRDefault="00E329F7" w:rsidP="00AE1C26">
            <w:pPr>
              <w:rPr>
                <w:rFonts w:cs="Calibri"/>
                <w:color w:val="000000"/>
                <w:lang w:eastAsia="en-GB"/>
              </w:rPr>
            </w:pPr>
            <w:r w:rsidRPr="00667008">
              <w:rPr>
                <w:rFonts w:cs="Calibri"/>
                <w:color w:val="000000"/>
                <w:lang w:eastAsia="en-GB"/>
              </w:rPr>
              <w:t> </w:t>
            </w:r>
          </w:p>
        </w:tc>
        <w:tc>
          <w:tcPr>
            <w:tcW w:w="4459" w:type="dxa"/>
            <w:gridSpan w:val="2"/>
            <w:tcBorders>
              <w:top w:val="nil"/>
              <w:left w:val="nil"/>
              <w:bottom w:val="nil"/>
              <w:right w:val="nil"/>
            </w:tcBorders>
            <w:shd w:val="clear" w:color="000000" w:fill="FFFFFF"/>
            <w:noWrap/>
            <w:vAlign w:val="bottom"/>
            <w:hideMark/>
          </w:tcPr>
          <w:p w:rsidR="00E329F7" w:rsidRPr="00667008" w:rsidRDefault="00E329F7" w:rsidP="00AE1C26">
            <w:pPr>
              <w:rPr>
                <w:rFonts w:cs="Calibri"/>
                <w:b/>
                <w:bCs/>
                <w:color w:val="000000"/>
                <w:lang w:eastAsia="en-GB"/>
              </w:rPr>
            </w:pPr>
            <w:r w:rsidRPr="00667008">
              <w:rPr>
                <w:rFonts w:cs="Calibri"/>
                <w:b/>
                <w:bCs/>
                <w:color w:val="000000"/>
                <w:lang w:eastAsia="en-GB"/>
              </w:rPr>
              <w:t>Pooled funds - additional analysis</w:t>
            </w:r>
          </w:p>
        </w:tc>
        <w:tc>
          <w:tcPr>
            <w:tcW w:w="2076" w:type="dxa"/>
            <w:tcBorders>
              <w:top w:val="nil"/>
              <w:left w:val="nil"/>
              <w:bottom w:val="nil"/>
              <w:right w:val="nil"/>
            </w:tcBorders>
            <w:shd w:val="clear" w:color="000000" w:fill="FFFFFF"/>
            <w:noWrap/>
            <w:vAlign w:val="bottom"/>
            <w:hideMark/>
          </w:tcPr>
          <w:p w:rsidR="00E329F7" w:rsidRPr="00667008" w:rsidRDefault="00E329F7" w:rsidP="00AE1C26">
            <w:pPr>
              <w:rPr>
                <w:rFonts w:cs="Calibri"/>
                <w:color w:val="000000"/>
                <w:lang w:eastAsia="en-GB"/>
              </w:rPr>
            </w:pPr>
            <w:r w:rsidRPr="00667008">
              <w:rPr>
                <w:rFonts w:cs="Calibri"/>
                <w:color w:val="000000"/>
                <w:lang w:eastAsia="en-GB"/>
              </w:rPr>
              <w:t> </w:t>
            </w:r>
          </w:p>
        </w:tc>
        <w:tc>
          <w:tcPr>
            <w:tcW w:w="2036" w:type="dxa"/>
            <w:tcBorders>
              <w:top w:val="nil"/>
              <w:left w:val="nil"/>
              <w:bottom w:val="nil"/>
              <w:right w:val="nil"/>
            </w:tcBorders>
            <w:shd w:val="clear" w:color="000000" w:fill="FFFFFF"/>
            <w:noWrap/>
            <w:vAlign w:val="bottom"/>
            <w:hideMark/>
          </w:tcPr>
          <w:p w:rsidR="00E329F7" w:rsidRPr="00667008" w:rsidRDefault="00E329F7" w:rsidP="00AE1C26">
            <w:pPr>
              <w:rPr>
                <w:rFonts w:cs="Calibri"/>
                <w:color w:val="000000"/>
                <w:lang w:eastAsia="en-GB"/>
              </w:rPr>
            </w:pPr>
            <w:r w:rsidRPr="00667008">
              <w:rPr>
                <w:rFonts w:cs="Calibri"/>
                <w:color w:val="000000"/>
                <w:lang w:eastAsia="en-GB"/>
              </w:rPr>
              <w:t> </w:t>
            </w:r>
          </w:p>
        </w:tc>
      </w:tr>
      <w:tr w:rsidR="00E329F7" w:rsidRPr="00667008" w:rsidTr="00AE1C26">
        <w:trPr>
          <w:trHeight w:val="286"/>
        </w:trPr>
        <w:tc>
          <w:tcPr>
            <w:tcW w:w="266" w:type="dxa"/>
            <w:tcBorders>
              <w:top w:val="nil"/>
              <w:left w:val="nil"/>
              <w:bottom w:val="nil"/>
              <w:right w:val="nil"/>
            </w:tcBorders>
            <w:shd w:val="clear" w:color="000000" w:fill="FFFFFF"/>
            <w:noWrap/>
            <w:vAlign w:val="bottom"/>
            <w:hideMark/>
          </w:tcPr>
          <w:p w:rsidR="00E329F7" w:rsidRPr="00667008" w:rsidRDefault="00E329F7" w:rsidP="00AE1C26">
            <w:pPr>
              <w:rPr>
                <w:rFonts w:cs="Calibri"/>
                <w:color w:val="000000"/>
                <w:lang w:eastAsia="en-GB"/>
              </w:rPr>
            </w:pPr>
            <w:r w:rsidRPr="00667008">
              <w:rPr>
                <w:rFonts w:cs="Calibri"/>
                <w:color w:val="000000"/>
                <w:lang w:eastAsia="en-GB"/>
              </w:rPr>
              <w:t> </w:t>
            </w:r>
          </w:p>
        </w:tc>
        <w:tc>
          <w:tcPr>
            <w:tcW w:w="3903" w:type="dxa"/>
            <w:tcBorders>
              <w:top w:val="nil"/>
              <w:left w:val="nil"/>
              <w:bottom w:val="nil"/>
              <w:right w:val="nil"/>
            </w:tcBorders>
            <w:shd w:val="clear" w:color="000000" w:fill="FFFFFF"/>
            <w:noWrap/>
            <w:vAlign w:val="bottom"/>
            <w:hideMark/>
          </w:tcPr>
          <w:p w:rsidR="00E329F7" w:rsidRPr="00667008" w:rsidRDefault="00E329F7" w:rsidP="00AE1C26">
            <w:pPr>
              <w:rPr>
                <w:rFonts w:cs="Calibri"/>
                <w:b/>
                <w:bCs/>
                <w:color w:val="000000"/>
                <w:lang w:eastAsia="en-GB"/>
              </w:rPr>
            </w:pPr>
            <w:r w:rsidRPr="00667008">
              <w:rPr>
                <w:rFonts w:cs="Calibri"/>
                <w:b/>
                <w:bCs/>
                <w:color w:val="000000"/>
                <w:lang w:eastAsia="en-GB"/>
              </w:rPr>
              <w:t>UK</w:t>
            </w:r>
          </w:p>
        </w:tc>
        <w:tc>
          <w:tcPr>
            <w:tcW w:w="556" w:type="dxa"/>
            <w:tcBorders>
              <w:top w:val="nil"/>
              <w:left w:val="nil"/>
              <w:bottom w:val="nil"/>
              <w:right w:val="nil"/>
            </w:tcBorders>
            <w:shd w:val="clear" w:color="000000" w:fill="FFFFFF"/>
            <w:noWrap/>
            <w:vAlign w:val="bottom"/>
            <w:hideMark/>
          </w:tcPr>
          <w:p w:rsidR="00E329F7" w:rsidRPr="00667008" w:rsidRDefault="00E329F7" w:rsidP="00AE1C26">
            <w:pPr>
              <w:rPr>
                <w:rFonts w:cs="Calibri"/>
                <w:color w:val="000000"/>
                <w:lang w:eastAsia="en-GB"/>
              </w:rPr>
            </w:pPr>
            <w:r w:rsidRPr="00667008">
              <w:rPr>
                <w:rFonts w:cs="Calibri"/>
                <w:color w:val="000000"/>
                <w:lang w:eastAsia="en-GB"/>
              </w:rPr>
              <w:t> </w:t>
            </w:r>
          </w:p>
        </w:tc>
        <w:tc>
          <w:tcPr>
            <w:tcW w:w="2076" w:type="dxa"/>
            <w:tcBorders>
              <w:top w:val="nil"/>
              <w:left w:val="nil"/>
              <w:bottom w:val="nil"/>
              <w:right w:val="nil"/>
            </w:tcBorders>
            <w:shd w:val="clear" w:color="000000" w:fill="FFFFFF"/>
            <w:noWrap/>
            <w:vAlign w:val="bottom"/>
            <w:hideMark/>
          </w:tcPr>
          <w:p w:rsidR="00E329F7" w:rsidRPr="00667008" w:rsidRDefault="00E329F7" w:rsidP="00AE1C26">
            <w:pPr>
              <w:rPr>
                <w:rFonts w:cs="Calibri"/>
                <w:color w:val="000000"/>
                <w:lang w:eastAsia="en-GB"/>
              </w:rPr>
            </w:pPr>
            <w:r w:rsidRPr="00667008">
              <w:rPr>
                <w:rFonts w:cs="Calibri"/>
                <w:color w:val="000000"/>
                <w:lang w:eastAsia="en-GB"/>
              </w:rPr>
              <w:t> </w:t>
            </w:r>
          </w:p>
        </w:tc>
        <w:tc>
          <w:tcPr>
            <w:tcW w:w="2036" w:type="dxa"/>
            <w:tcBorders>
              <w:top w:val="nil"/>
              <w:left w:val="nil"/>
              <w:bottom w:val="nil"/>
              <w:right w:val="nil"/>
            </w:tcBorders>
            <w:shd w:val="clear" w:color="000000" w:fill="FFFFFF"/>
            <w:noWrap/>
            <w:vAlign w:val="bottom"/>
            <w:hideMark/>
          </w:tcPr>
          <w:p w:rsidR="00E329F7" w:rsidRPr="00667008" w:rsidRDefault="00E329F7" w:rsidP="00AE1C26">
            <w:pPr>
              <w:rPr>
                <w:rFonts w:cs="Calibri"/>
                <w:color w:val="000000"/>
                <w:lang w:eastAsia="en-GB"/>
              </w:rPr>
            </w:pPr>
            <w:r w:rsidRPr="00667008">
              <w:rPr>
                <w:rFonts w:cs="Calibri"/>
                <w:color w:val="000000"/>
                <w:lang w:eastAsia="en-GB"/>
              </w:rPr>
              <w:t> </w:t>
            </w:r>
          </w:p>
        </w:tc>
      </w:tr>
      <w:tr w:rsidR="00E329F7" w:rsidRPr="00667008" w:rsidTr="00AE1C26">
        <w:trPr>
          <w:trHeight w:val="286"/>
        </w:trPr>
        <w:tc>
          <w:tcPr>
            <w:tcW w:w="266" w:type="dxa"/>
            <w:tcBorders>
              <w:top w:val="nil"/>
              <w:left w:val="nil"/>
              <w:bottom w:val="nil"/>
              <w:right w:val="nil"/>
            </w:tcBorders>
            <w:shd w:val="clear" w:color="000000" w:fill="FFFFFF"/>
            <w:noWrap/>
            <w:vAlign w:val="bottom"/>
            <w:hideMark/>
          </w:tcPr>
          <w:p w:rsidR="00E329F7" w:rsidRPr="00667008" w:rsidRDefault="00E329F7" w:rsidP="00AE1C26">
            <w:pPr>
              <w:rPr>
                <w:rFonts w:cs="Calibri"/>
                <w:color w:val="000000"/>
                <w:lang w:eastAsia="en-GB"/>
              </w:rPr>
            </w:pPr>
            <w:r w:rsidRPr="00667008">
              <w:rPr>
                <w:rFonts w:cs="Calibri"/>
                <w:color w:val="000000"/>
                <w:lang w:eastAsia="en-GB"/>
              </w:rPr>
              <w:t> </w:t>
            </w:r>
          </w:p>
        </w:tc>
        <w:tc>
          <w:tcPr>
            <w:tcW w:w="3903" w:type="dxa"/>
            <w:tcBorders>
              <w:top w:val="nil"/>
              <w:left w:val="nil"/>
              <w:bottom w:val="nil"/>
              <w:right w:val="nil"/>
            </w:tcBorders>
            <w:shd w:val="clear" w:color="000000" w:fill="FFFFFF"/>
            <w:noWrap/>
            <w:vAlign w:val="bottom"/>
            <w:hideMark/>
          </w:tcPr>
          <w:p w:rsidR="00E329F7" w:rsidRPr="00667008" w:rsidRDefault="00E329F7" w:rsidP="00AE1C26">
            <w:pPr>
              <w:rPr>
                <w:rFonts w:cs="Calibri"/>
                <w:color w:val="000000"/>
                <w:lang w:eastAsia="en-GB"/>
              </w:rPr>
            </w:pPr>
            <w:r w:rsidRPr="00667008">
              <w:rPr>
                <w:rFonts w:cs="Calibri"/>
                <w:color w:val="000000"/>
                <w:lang w:eastAsia="en-GB"/>
              </w:rPr>
              <w:t>Fixed income unit trust</w:t>
            </w:r>
          </w:p>
        </w:tc>
        <w:tc>
          <w:tcPr>
            <w:tcW w:w="556" w:type="dxa"/>
            <w:tcBorders>
              <w:top w:val="nil"/>
              <w:left w:val="nil"/>
              <w:bottom w:val="nil"/>
              <w:right w:val="nil"/>
            </w:tcBorders>
            <w:shd w:val="clear" w:color="000000" w:fill="FFFFFF"/>
            <w:noWrap/>
            <w:vAlign w:val="bottom"/>
            <w:hideMark/>
          </w:tcPr>
          <w:p w:rsidR="00E329F7" w:rsidRPr="00667008" w:rsidRDefault="00E329F7" w:rsidP="00AE1C26">
            <w:pPr>
              <w:rPr>
                <w:rFonts w:cs="Calibri"/>
                <w:color w:val="000000"/>
                <w:lang w:eastAsia="en-GB"/>
              </w:rPr>
            </w:pPr>
            <w:r w:rsidRPr="00667008">
              <w:rPr>
                <w:rFonts w:cs="Calibri"/>
                <w:color w:val="000000"/>
                <w:lang w:eastAsia="en-GB"/>
              </w:rPr>
              <w:t> </w:t>
            </w:r>
          </w:p>
        </w:tc>
        <w:tc>
          <w:tcPr>
            <w:tcW w:w="2076" w:type="dxa"/>
            <w:tcBorders>
              <w:top w:val="nil"/>
              <w:left w:val="nil"/>
              <w:bottom w:val="nil"/>
              <w:right w:val="nil"/>
            </w:tcBorders>
            <w:shd w:val="clear" w:color="000000" w:fill="FFFFFF"/>
            <w:noWrap/>
            <w:vAlign w:val="bottom"/>
            <w:hideMark/>
          </w:tcPr>
          <w:p w:rsidR="00E329F7" w:rsidRPr="00667008" w:rsidRDefault="00E329F7" w:rsidP="00AE1C26">
            <w:pPr>
              <w:jc w:val="right"/>
              <w:rPr>
                <w:rFonts w:cs="Calibri"/>
                <w:color w:val="000000"/>
                <w:lang w:eastAsia="en-GB"/>
              </w:rPr>
            </w:pPr>
            <w:r w:rsidRPr="00667008">
              <w:rPr>
                <w:rFonts w:cs="Calibri"/>
                <w:color w:val="000000"/>
                <w:lang w:eastAsia="en-GB"/>
              </w:rPr>
              <w:t>35.5</w:t>
            </w:r>
          </w:p>
        </w:tc>
        <w:tc>
          <w:tcPr>
            <w:tcW w:w="2036" w:type="dxa"/>
            <w:tcBorders>
              <w:top w:val="nil"/>
              <w:left w:val="nil"/>
              <w:bottom w:val="nil"/>
              <w:right w:val="nil"/>
            </w:tcBorders>
            <w:shd w:val="clear" w:color="000000" w:fill="FFFFFF"/>
            <w:noWrap/>
            <w:vAlign w:val="bottom"/>
            <w:hideMark/>
          </w:tcPr>
          <w:p w:rsidR="00E329F7" w:rsidRPr="00667008" w:rsidRDefault="00E329F7" w:rsidP="00AE1C26">
            <w:pPr>
              <w:jc w:val="right"/>
              <w:rPr>
                <w:rFonts w:cs="Calibri"/>
                <w:color w:val="000000"/>
                <w:lang w:eastAsia="en-GB"/>
              </w:rPr>
            </w:pPr>
            <w:r w:rsidRPr="00667008">
              <w:rPr>
                <w:rFonts w:cs="Calibri"/>
                <w:color w:val="000000"/>
                <w:lang w:eastAsia="en-GB"/>
              </w:rPr>
              <w:t>30.6</w:t>
            </w:r>
          </w:p>
        </w:tc>
      </w:tr>
      <w:tr w:rsidR="00E329F7" w:rsidRPr="00667008" w:rsidTr="00AE1C26">
        <w:trPr>
          <w:trHeight w:val="299"/>
        </w:trPr>
        <w:tc>
          <w:tcPr>
            <w:tcW w:w="266" w:type="dxa"/>
            <w:tcBorders>
              <w:top w:val="nil"/>
              <w:left w:val="nil"/>
              <w:bottom w:val="nil"/>
              <w:right w:val="nil"/>
            </w:tcBorders>
            <w:shd w:val="clear" w:color="000000" w:fill="FFFFFF"/>
            <w:noWrap/>
            <w:vAlign w:val="bottom"/>
            <w:hideMark/>
          </w:tcPr>
          <w:p w:rsidR="00E329F7" w:rsidRPr="00667008" w:rsidRDefault="00E329F7" w:rsidP="00AE1C26">
            <w:pPr>
              <w:rPr>
                <w:rFonts w:cs="Calibri"/>
                <w:color w:val="000000"/>
                <w:lang w:eastAsia="en-GB"/>
              </w:rPr>
            </w:pPr>
            <w:r w:rsidRPr="00667008">
              <w:rPr>
                <w:rFonts w:cs="Calibri"/>
                <w:color w:val="000000"/>
                <w:lang w:eastAsia="en-GB"/>
              </w:rPr>
              <w:t> </w:t>
            </w:r>
          </w:p>
        </w:tc>
        <w:tc>
          <w:tcPr>
            <w:tcW w:w="3903" w:type="dxa"/>
            <w:tcBorders>
              <w:top w:val="nil"/>
              <w:left w:val="nil"/>
              <w:bottom w:val="nil"/>
              <w:right w:val="nil"/>
            </w:tcBorders>
            <w:shd w:val="clear" w:color="000000" w:fill="FFFFFF"/>
            <w:noWrap/>
            <w:vAlign w:val="bottom"/>
            <w:hideMark/>
          </w:tcPr>
          <w:p w:rsidR="00E329F7" w:rsidRPr="00667008" w:rsidRDefault="00E329F7" w:rsidP="00AE1C26">
            <w:pPr>
              <w:rPr>
                <w:rFonts w:cs="Calibri"/>
                <w:color w:val="000000"/>
                <w:lang w:eastAsia="en-GB"/>
              </w:rPr>
            </w:pPr>
            <w:r w:rsidRPr="00667008">
              <w:rPr>
                <w:rFonts w:cs="Calibri"/>
                <w:color w:val="000000"/>
                <w:lang w:eastAsia="en-GB"/>
              </w:rPr>
              <w:t>Unit trusts</w:t>
            </w:r>
          </w:p>
        </w:tc>
        <w:tc>
          <w:tcPr>
            <w:tcW w:w="556" w:type="dxa"/>
            <w:tcBorders>
              <w:top w:val="nil"/>
              <w:left w:val="nil"/>
              <w:bottom w:val="nil"/>
              <w:right w:val="nil"/>
            </w:tcBorders>
            <w:shd w:val="clear" w:color="000000" w:fill="FFFFFF"/>
            <w:noWrap/>
            <w:vAlign w:val="bottom"/>
            <w:hideMark/>
          </w:tcPr>
          <w:p w:rsidR="00E329F7" w:rsidRPr="00667008" w:rsidRDefault="00E329F7" w:rsidP="00AE1C26">
            <w:pPr>
              <w:rPr>
                <w:rFonts w:cs="Calibri"/>
                <w:color w:val="000000"/>
                <w:lang w:eastAsia="en-GB"/>
              </w:rPr>
            </w:pPr>
            <w:r w:rsidRPr="00667008">
              <w:rPr>
                <w:rFonts w:cs="Calibri"/>
                <w:color w:val="000000"/>
                <w:lang w:eastAsia="en-GB"/>
              </w:rPr>
              <w:t> </w:t>
            </w:r>
          </w:p>
        </w:tc>
        <w:tc>
          <w:tcPr>
            <w:tcW w:w="2076" w:type="dxa"/>
            <w:tcBorders>
              <w:top w:val="nil"/>
              <w:left w:val="nil"/>
              <w:bottom w:val="nil"/>
              <w:right w:val="nil"/>
            </w:tcBorders>
            <w:shd w:val="clear" w:color="000000" w:fill="FFFFFF"/>
            <w:noWrap/>
            <w:vAlign w:val="bottom"/>
            <w:hideMark/>
          </w:tcPr>
          <w:p w:rsidR="00E329F7" w:rsidRPr="00667008" w:rsidRDefault="00E329F7" w:rsidP="00AE1C26">
            <w:pPr>
              <w:jc w:val="right"/>
              <w:rPr>
                <w:rFonts w:cs="Calibri"/>
                <w:color w:val="000000"/>
                <w:lang w:eastAsia="en-GB"/>
              </w:rPr>
            </w:pPr>
            <w:r w:rsidRPr="00667008">
              <w:rPr>
                <w:rFonts w:cs="Calibri"/>
                <w:color w:val="000000"/>
                <w:lang w:eastAsia="en-GB"/>
              </w:rPr>
              <w:t>224.6</w:t>
            </w:r>
          </w:p>
        </w:tc>
        <w:tc>
          <w:tcPr>
            <w:tcW w:w="2036" w:type="dxa"/>
            <w:tcBorders>
              <w:top w:val="nil"/>
              <w:left w:val="nil"/>
              <w:bottom w:val="nil"/>
              <w:right w:val="nil"/>
            </w:tcBorders>
            <w:shd w:val="clear" w:color="000000" w:fill="FFFFFF"/>
            <w:noWrap/>
            <w:vAlign w:val="bottom"/>
            <w:hideMark/>
          </w:tcPr>
          <w:p w:rsidR="00E329F7" w:rsidRPr="00667008" w:rsidRDefault="00E329F7" w:rsidP="00AE1C26">
            <w:pPr>
              <w:jc w:val="right"/>
              <w:rPr>
                <w:rFonts w:cs="Calibri"/>
                <w:color w:val="000000"/>
                <w:lang w:eastAsia="en-GB"/>
              </w:rPr>
            </w:pPr>
            <w:r w:rsidRPr="00667008">
              <w:rPr>
                <w:rFonts w:cs="Calibri"/>
                <w:color w:val="000000"/>
                <w:lang w:eastAsia="en-GB"/>
              </w:rPr>
              <w:t>212.1</w:t>
            </w:r>
          </w:p>
        </w:tc>
      </w:tr>
      <w:tr w:rsidR="00E329F7" w:rsidRPr="00667008" w:rsidTr="00AE1C26">
        <w:trPr>
          <w:trHeight w:val="286"/>
        </w:trPr>
        <w:tc>
          <w:tcPr>
            <w:tcW w:w="266" w:type="dxa"/>
            <w:tcBorders>
              <w:top w:val="nil"/>
              <w:left w:val="nil"/>
              <w:bottom w:val="nil"/>
              <w:right w:val="nil"/>
            </w:tcBorders>
            <w:shd w:val="clear" w:color="000000" w:fill="FFFFFF"/>
            <w:noWrap/>
            <w:vAlign w:val="bottom"/>
            <w:hideMark/>
          </w:tcPr>
          <w:p w:rsidR="00E329F7" w:rsidRPr="00667008" w:rsidRDefault="00E329F7" w:rsidP="00AE1C26">
            <w:pPr>
              <w:rPr>
                <w:rFonts w:cs="Calibri"/>
                <w:color w:val="000000"/>
                <w:lang w:eastAsia="en-GB"/>
              </w:rPr>
            </w:pPr>
            <w:r w:rsidRPr="00667008">
              <w:rPr>
                <w:rFonts w:cs="Calibri"/>
                <w:color w:val="000000"/>
                <w:lang w:eastAsia="en-GB"/>
              </w:rPr>
              <w:t> </w:t>
            </w:r>
          </w:p>
        </w:tc>
        <w:tc>
          <w:tcPr>
            <w:tcW w:w="3903" w:type="dxa"/>
            <w:tcBorders>
              <w:top w:val="nil"/>
              <w:left w:val="nil"/>
              <w:bottom w:val="nil"/>
              <w:right w:val="nil"/>
            </w:tcBorders>
            <w:shd w:val="clear" w:color="000000" w:fill="FFFFFF"/>
            <w:noWrap/>
            <w:vAlign w:val="bottom"/>
            <w:hideMark/>
          </w:tcPr>
          <w:p w:rsidR="00E329F7" w:rsidRPr="00667008" w:rsidRDefault="00E329F7" w:rsidP="00AE1C26">
            <w:pPr>
              <w:rPr>
                <w:rFonts w:cs="Calibri"/>
                <w:color w:val="000000"/>
                <w:lang w:eastAsia="en-GB"/>
              </w:rPr>
            </w:pPr>
            <w:r w:rsidRPr="00667008">
              <w:rPr>
                <w:rFonts w:cs="Calibri"/>
                <w:color w:val="000000"/>
                <w:lang w:eastAsia="en-GB"/>
              </w:rPr>
              <w:t>Diversified growth funds</w:t>
            </w:r>
          </w:p>
        </w:tc>
        <w:tc>
          <w:tcPr>
            <w:tcW w:w="556" w:type="dxa"/>
            <w:tcBorders>
              <w:top w:val="nil"/>
              <w:left w:val="nil"/>
              <w:bottom w:val="nil"/>
              <w:right w:val="nil"/>
            </w:tcBorders>
            <w:shd w:val="clear" w:color="000000" w:fill="FFFFFF"/>
            <w:noWrap/>
            <w:vAlign w:val="bottom"/>
            <w:hideMark/>
          </w:tcPr>
          <w:p w:rsidR="00E329F7" w:rsidRPr="00667008" w:rsidRDefault="00E329F7" w:rsidP="00AE1C26">
            <w:pPr>
              <w:rPr>
                <w:rFonts w:cs="Calibri"/>
                <w:color w:val="000000"/>
                <w:lang w:eastAsia="en-GB"/>
              </w:rPr>
            </w:pPr>
            <w:r w:rsidRPr="00667008">
              <w:rPr>
                <w:rFonts w:cs="Calibri"/>
                <w:color w:val="000000"/>
                <w:lang w:eastAsia="en-GB"/>
              </w:rPr>
              <w:t> </w:t>
            </w:r>
          </w:p>
        </w:tc>
        <w:tc>
          <w:tcPr>
            <w:tcW w:w="2076" w:type="dxa"/>
            <w:tcBorders>
              <w:top w:val="nil"/>
              <w:left w:val="nil"/>
              <w:bottom w:val="nil"/>
              <w:right w:val="nil"/>
            </w:tcBorders>
            <w:shd w:val="clear" w:color="000000" w:fill="FFFFFF"/>
            <w:noWrap/>
            <w:vAlign w:val="bottom"/>
            <w:hideMark/>
          </w:tcPr>
          <w:p w:rsidR="00E329F7" w:rsidRPr="00667008" w:rsidRDefault="00E329F7" w:rsidP="00AE1C26">
            <w:pPr>
              <w:jc w:val="right"/>
              <w:rPr>
                <w:rFonts w:cs="Calibri"/>
                <w:color w:val="000000"/>
                <w:lang w:eastAsia="en-GB"/>
              </w:rPr>
            </w:pPr>
            <w:r w:rsidRPr="00667008">
              <w:rPr>
                <w:rFonts w:cs="Calibri"/>
                <w:color w:val="000000"/>
                <w:lang w:eastAsia="en-GB"/>
              </w:rPr>
              <w:t>170.1</w:t>
            </w:r>
          </w:p>
        </w:tc>
        <w:tc>
          <w:tcPr>
            <w:tcW w:w="2036" w:type="dxa"/>
            <w:tcBorders>
              <w:top w:val="nil"/>
              <w:left w:val="nil"/>
              <w:bottom w:val="nil"/>
              <w:right w:val="nil"/>
            </w:tcBorders>
            <w:shd w:val="clear" w:color="000000" w:fill="FFFFFF"/>
            <w:noWrap/>
            <w:vAlign w:val="bottom"/>
            <w:hideMark/>
          </w:tcPr>
          <w:p w:rsidR="00E329F7" w:rsidRPr="00667008" w:rsidRDefault="00E329F7" w:rsidP="00AE1C26">
            <w:pPr>
              <w:jc w:val="right"/>
              <w:rPr>
                <w:rFonts w:cs="Calibri"/>
                <w:color w:val="000000"/>
                <w:lang w:eastAsia="en-GB"/>
              </w:rPr>
            </w:pPr>
            <w:r w:rsidRPr="00667008">
              <w:rPr>
                <w:rFonts w:cs="Calibri"/>
                <w:color w:val="000000"/>
                <w:lang w:eastAsia="en-GB"/>
              </w:rPr>
              <w:t>160.9</w:t>
            </w:r>
          </w:p>
        </w:tc>
      </w:tr>
      <w:tr w:rsidR="00E329F7" w:rsidRPr="00667008" w:rsidTr="00AE1C26">
        <w:trPr>
          <w:trHeight w:val="286"/>
        </w:trPr>
        <w:tc>
          <w:tcPr>
            <w:tcW w:w="266" w:type="dxa"/>
            <w:tcBorders>
              <w:top w:val="nil"/>
              <w:left w:val="nil"/>
              <w:bottom w:val="nil"/>
              <w:right w:val="nil"/>
            </w:tcBorders>
            <w:shd w:val="clear" w:color="000000" w:fill="FFFFFF"/>
            <w:noWrap/>
            <w:vAlign w:val="bottom"/>
            <w:hideMark/>
          </w:tcPr>
          <w:p w:rsidR="00E329F7" w:rsidRPr="00667008" w:rsidRDefault="00E329F7" w:rsidP="00AE1C26">
            <w:pPr>
              <w:rPr>
                <w:rFonts w:cs="Calibri"/>
                <w:color w:val="000000"/>
                <w:lang w:eastAsia="en-GB"/>
              </w:rPr>
            </w:pPr>
            <w:r w:rsidRPr="00667008">
              <w:rPr>
                <w:rFonts w:cs="Calibri"/>
                <w:color w:val="000000"/>
                <w:lang w:eastAsia="en-GB"/>
              </w:rPr>
              <w:t> </w:t>
            </w:r>
          </w:p>
        </w:tc>
        <w:tc>
          <w:tcPr>
            <w:tcW w:w="3903" w:type="dxa"/>
            <w:tcBorders>
              <w:top w:val="nil"/>
              <w:left w:val="nil"/>
              <w:bottom w:val="nil"/>
              <w:right w:val="nil"/>
            </w:tcBorders>
            <w:shd w:val="clear" w:color="000000" w:fill="FFFFFF"/>
            <w:noWrap/>
            <w:vAlign w:val="bottom"/>
            <w:hideMark/>
          </w:tcPr>
          <w:p w:rsidR="00E329F7" w:rsidRPr="00667008" w:rsidRDefault="00E329F7" w:rsidP="00AE1C26">
            <w:pPr>
              <w:rPr>
                <w:rFonts w:cs="Calibri"/>
                <w:b/>
                <w:bCs/>
                <w:color w:val="000000"/>
                <w:lang w:eastAsia="en-GB"/>
              </w:rPr>
            </w:pPr>
            <w:r w:rsidRPr="00667008">
              <w:rPr>
                <w:rFonts w:cs="Calibri"/>
                <w:b/>
                <w:bCs/>
                <w:color w:val="000000"/>
                <w:lang w:eastAsia="en-GB"/>
              </w:rPr>
              <w:t>Overseas</w:t>
            </w:r>
          </w:p>
        </w:tc>
        <w:tc>
          <w:tcPr>
            <w:tcW w:w="556" w:type="dxa"/>
            <w:tcBorders>
              <w:top w:val="nil"/>
              <w:left w:val="nil"/>
              <w:bottom w:val="nil"/>
              <w:right w:val="nil"/>
            </w:tcBorders>
            <w:shd w:val="clear" w:color="000000" w:fill="FFFFFF"/>
            <w:noWrap/>
            <w:vAlign w:val="bottom"/>
            <w:hideMark/>
          </w:tcPr>
          <w:p w:rsidR="00E329F7" w:rsidRPr="00667008" w:rsidRDefault="00E329F7" w:rsidP="00AE1C26">
            <w:pPr>
              <w:rPr>
                <w:rFonts w:cs="Calibri"/>
                <w:color w:val="000000"/>
                <w:lang w:eastAsia="en-GB"/>
              </w:rPr>
            </w:pPr>
            <w:r w:rsidRPr="00667008">
              <w:rPr>
                <w:rFonts w:cs="Calibri"/>
                <w:color w:val="000000"/>
                <w:lang w:eastAsia="en-GB"/>
              </w:rPr>
              <w:t> </w:t>
            </w:r>
          </w:p>
        </w:tc>
        <w:tc>
          <w:tcPr>
            <w:tcW w:w="2076" w:type="dxa"/>
            <w:tcBorders>
              <w:top w:val="nil"/>
              <w:left w:val="nil"/>
              <w:bottom w:val="nil"/>
              <w:right w:val="nil"/>
            </w:tcBorders>
            <w:shd w:val="clear" w:color="000000" w:fill="FFFFFF"/>
            <w:noWrap/>
            <w:vAlign w:val="bottom"/>
            <w:hideMark/>
          </w:tcPr>
          <w:p w:rsidR="00E329F7" w:rsidRPr="00667008" w:rsidRDefault="00E329F7" w:rsidP="00AE1C26">
            <w:pPr>
              <w:rPr>
                <w:rFonts w:cs="Calibri"/>
                <w:color w:val="000000"/>
                <w:lang w:eastAsia="en-GB"/>
              </w:rPr>
            </w:pPr>
            <w:r w:rsidRPr="00667008">
              <w:rPr>
                <w:rFonts w:cs="Calibri"/>
                <w:color w:val="000000"/>
                <w:lang w:eastAsia="en-GB"/>
              </w:rPr>
              <w:t> </w:t>
            </w:r>
          </w:p>
        </w:tc>
        <w:tc>
          <w:tcPr>
            <w:tcW w:w="2036" w:type="dxa"/>
            <w:tcBorders>
              <w:top w:val="nil"/>
              <w:left w:val="nil"/>
              <w:bottom w:val="nil"/>
              <w:right w:val="nil"/>
            </w:tcBorders>
            <w:shd w:val="clear" w:color="000000" w:fill="FFFFFF"/>
            <w:noWrap/>
            <w:vAlign w:val="bottom"/>
            <w:hideMark/>
          </w:tcPr>
          <w:p w:rsidR="00E329F7" w:rsidRPr="00667008" w:rsidRDefault="00E329F7" w:rsidP="00AE1C26">
            <w:pPr>
              <w:rPr>
                <w:rFonts w:cs="Calibri"/>
                <w:color w:val="000000"/>
                <w:lang w:eastAsia="en-GB"/>
              </w:rPr>
            </w:pPr>
            <w:r w:rsidRPr="00667008">
              <w:rPr>
                <w:rFonts w:cs="Calibri"/>
                <w:color w:val="000000"/>
                <w:lang w:eastAsia="en-GB"/>
              </w:rPr>
              <w:t> </w:t>
            </w:r>
          </w:p>
        </w:tc>
      </w:tr>
      <w:tr w:rsidR="00E329F7" w:rsidRPr="00667008" w:rsidTr="00AE1C26">
        <w:trPr>
          <w:trHeight w:val="286"/>
        </w:trPr>
        <w:tc>
          <w:tcPr>
            <w:tcW w:w="266" w:type="dxa"/>
            <w:tcBorders>
              <w:top w:val="nil"/>
              <w:left w:val="nil"/>
              <w:bottom w:val="nil"/>
              <w:right w:val="nil"/>
            </w:tcBorders>
            <w:shd w:val="clear" w:color="000000" w:fill="FFFFFF"/>
            <w:noWrap/>
            <w:vAlign w:val="bottom"/>
            <w:hideMark/>
          </w:tcPr>
          <w:p w:rsidR="00E329F7" w:rsidRPr="00667008" w:rsidRDefault="00E329F7" w:rsidP="00AE1C26">
            <w:pPr>
              <w:rPr>
                <w:rFonts w:cs="Calibri"/>
                <w:color w:val="000000"/>
                <w:lang w:eastAsia="en-GB"/>
              </w:rPr>
            </w:pPr>
            <w:r w:rsidRPr="00667008">
              <w:rPr>
                <w:rFonts w:cs="Calibri"/>
                <w:color w:val="000000"/>
                <w:lang w:eastAsia="en-GB"/>
              </w:rPr>
              <w:t> </w:t>
            </w:r>
          </w:p>
        </w:tc>
        <w:tc>
          <w:tcPr>
            <w:tcW w:w="3903" w:type="dxa"/>
            <w:tcBorders>
              <w:top w:val="nil"/>
              <w:left w:val="nil"/>
              <w:bottom w:val="nil"/>
              <w:right w:val="nil"/>
            </w:tcBorders>
            <w:shd w:val="clear" w:color="000000" w:fill="FFFFFF"/>
            <w:noWrap/>
            <w:vAlign w:val="bottom"/>
            <w:hideMark/>
          </w:tcPr>
          <w:p w:rsidR="00E329F7" w:rsidRPr="00667008" w:rsidRDefault="00E329F7" w:rsidP="00AE1C26">
            <w:pPr>
              <w:rPr>
                <w:rFonts w:cs="Calibri"/>
                <w:color w:val="000000"/>
                <w:lang w:eastAsia="en-GB"/>
              </w:rPr>
            </w:pPr>
            <w:r w:rsidRPr="00667008">
              <w:rPr>
                <w:rFonts w:cs="Calibri"/>
                <w:color w:val="000000"/>
                <w:lang w:eastAsia="en-GB"/>
              </w:rPr>
              <w:t>Unit trusts</w:t>
            </w:r>
          </w:p>
        </w:tc>
        <w:tc>
          <w:tcPr>
            <w:tcW w:w="556" w:type="dxa"/>
            <w:tcBorders>
              <w:top w:val="nil"/>
              <w:left w:val="nil"/>
              <w:bottom w:val="nil"/>
              <w:right w:val="nil"/>
            </w:tcBorders>
            <w:shd w:val="clear" w:color="000000" w:fill="FFFFFF"/>
            <w:noWrap/>
            <w:vAlign w:val="bottom"/>
            <w:hideMark/>
          </w:tcPr>
          <w:p w:rsidR="00E329F7" w:rsidRPr="00667008" w:rsidRDefault="00E329F7" w:rsidP="00AE1C26">
            <w:pPr>
              <w:rPr>
                <w:rFonts w:cs="Calibri"/>
                <w:color w:val="000000"/>
                <w:lang w:eastAsia="en-GB"/>
              </w:rPr>
            </w:pPr>
            <w:r w:rsidRPr="00667008">
              <w:rPr>
                <w:rFonts w:cs="Calibri"/>
                <w:color w:val="000000"/>
                <w:lang w:eastAsia="en-GB"/>
              </w:rPr>
              <w:t> </w:t>
            </w:r>
          </w:p>
        </w:tc>
        <w:tc>
          <w:tcPr>
            <w:tcW w:w="2076" w:type="dxa"/>
            <w:tcBorders>
              <w:top w:val="nil"/>
              <w:left w:val="nil"/>
              <w:bottom w:val="nil"/>
              <w:right w:val="nil"/>
            </w:tcBorders>
            <w:shd w:val="clear" w:color="000000" w:fill="FFFFFF"/>
            <w:noWrap/>
            <w:vAlign w:val="bottom"/>
            <w:hideMark/>
          </w:tcPr>
          <w:p w:rsidR="00E329F7" w:rsidRPr="00667008" w:rsidRDefault="00E329F7" w:rsidP="00AE1C26">
            <w:pPr>
              <w:jc w:val="right"/>
              <w:rPr>
                <w:rFonts w:cs="Calibri"/>
                <w:color w:val="000000"/>
                <w:lang w:eastAsia="en-GB"/>
              </w:rPr>
            </w:pPr>
            <w:r w:rsidRPr="00667008">
              <w:rPr>
                <w:rFonts w:cs="Calibri"/>
                <w:color w:val="000000"/>
                <w:lang w:eastAsia="en-GB"/>
              </w:rPr>
              <w:t>307.5</w:t>
            </w:r>
          </w:p>
        </w:tc>
        <w:tc>
          <w:tcPr>
            <w:tcW w:w="2036" w:type="dxa"/>
            <w:tcBorders>
              <w:top w:val="nil"/>
              <w:left w:val="nil"/>
              <w:bottom w:val="nil"/>
              <w:right w:val="nil"/>
            </w:tcBorders>
            <w:shd w:val="clear" w:color="000000" w:fill="FFFFFF"/>
            <w:noWrap/>
            <w:vAlign w:val="bottom"/>
            <w:hideMark/>
          </w:tcPr>
          <w:p w:rsidR="00E329F7" w:rsidRPr="00667008" w:rsidRDefault="00E329F7" w:rsidP="00AE1C26">
            <w:pPr>
              <w:jc w:val="right"/>
              <w:rPr>
                <w:rFonts w:cs="Calibri"/>
                <w:color w:val="000000"/>
                <w:lang w:eastAsia="en-GB"/>
              </w:rPr>
            </w:pPr>
            <w:r w:rsidRPr="00667008">
              <w:rPr>
                <w:rFonts w:cs="Calibri"/>
                <w:color w:val="000000"/>
                <w:lang w:eastAsia="en-GB"/>
              </w:rPr>
              <w:t>293.4</w:t>
            </w:r>
          </w:p>
        </w:tc>
      </w:tr>
      <w:tr w:rsidR="00E329F7" w:rsidRPr="00667008" w:rsidTr="00AE1C26">
        <w:trPr>
          <w:trHeight w:val="286"/>
        </w:trPr>
        <w:tc>
          <w:tcPr>
            <w:tcW w:w="266" w:type="dxa"/>
            <w:tcBorders>
              <w:top w:val="nil"/>
              <w:left w:val="nil"/>
              <w:bottom w:val="nil"/>
              <w:right w:val="nil"/>
            </w:tcBorders>
            <w:shd w:val="clear" w:color="000000" w:fill="FFFFFF"/>
            <w:noWrap/>
            <w:vAlign w:val="bottom"/>
            <w:hideMark/>
          </w:tcPr>
          <w:p w:rsidR="00E329F7" w:rsidRPr="00667008" w:rsidRDefault="00E329F7" w:rsidP="00AE1C26">
            <w:pPr>
              <w:rPr>
                <w:rFonts w:cs="Calibri"/>
                <w:color w:val="000000"/>
                <w:lang w:eastAsia="en-GB"/>
              </w:rPr>
            </w:pPr>
            <w:r w:rsidRPr="00667008">
              <w:rPr>
                <w:rFonts w:cs="Calibri"/>
                <w:color w:val="000000"/>
                <w:lang w:eastAsia="en-GB"/>
              </w:rPr>
              <w:t> </w:t>
            </w:r>
          </w:p>
        </w:tc>
        <w:tc>
          <w:tcPr>
            <w:tcW w:w="3903" w:type="dxa"/>
            <w:tcBorders>
              <w:top w:val="nil"/>
              <w:left w:val="nil"/>
              <w:bottom w:val="nil"/>
              <w:right w:val="nil"/>
            </w:tcBorders>
            <w:shd w:val="clear" w:color="000000" w:fill="FFFFFF"/>
            <w:noWrap/>
            <w:vAlign w:val="bottom"/>
            <w:hideMark/>
          </w:tcPr>
          <w:p w:rsidR="00E329F7" w:rsidRPr="00667008" w:rsidRDefault="00E329F7" w:rsidP="00AE1C26">
            <w:pPr>
              <w:rPr>
                <w:rFonts w:cs="Calibri"/>
                <w:b/>
                <w:bCs/>
                <w:color w:val="000000"/>
                <w:lang w:eastAsia="en-GB"/>
              </w:rPr>
            </w:pPr>
            <w:r w:rsidRPr="00667008">
              <w:rPr>
                <w:rFonts w:cs="Calibri"/>
                <w:b/>
                <w:bCs/>
                <w:color w:val="000000"/>
                <w:lang w:eastAsia="en-GB"/>
              </w:rPr>
              <w:t>Total Pooled funds</w:t>
            </w:r>
          </w:p>
        </w:tc>
        <w:tc>
          <w:tcPr>
            <w:tcW w:w="556" w:type="dxa"/>
            <w:tcBorders>
              <w:top w:val="nil"/>
              <w:left w:val="nil"/>
              <w:bottom w:val="nil"/>
              <w:right w:val="nil"/>
            </w:tcBorders>
            <w:shd w:val="clear" w:color="000000" w:fill="FFFFFF"/>
            <w:noWrap/>
            <w:vAlign w:val="bottom"/>
            <w:hideMark/>
          </w:tcPr>
          <w:p w:rsidR="00E329F7" w:rsidRPr="00667008" w:rsidRDefault="00E329F7" w:rsidP="00AE1C26">
            <w:pPr>
              <w:rPr>
                <w:rFonts w:cs="Calibri"/>
                <w:color w:val="000000"/>
                <w:lang w:eastAsia="en-GB"/>
              </w:rPr>
            </w:pPr>
            <w:r w:rsidRPr="00667008">
              <w:rPr>
                <w:rFonts w:cs="Calibri"/>
                <w:color w:val="000000"/>
                <w:lang w:eastAsia="en-GB"/>
              </w:rPr>
              <w:t> </w:t>
            </w:r>
          </w:p>
        </w:tc>
        <w:tc>
          <w:tcPr>
            <w:tcW w:w="2076" w:type="dxa"/>
            <w:tcBorders>
              <w:top w:val="single" w:sz="4" w:space="0" w:color="auto"/>
              <w:left w:val="nil"/>
              <w:bottom w:val="nil"/>
              <w:right w:val="nil"/>
            </w:tcBorders>
            <w:shd w:val="clear" w:color="000000" w:fill="FFFFFF"/>
            <w:noWrap/>
            <w:vAlign w:val="bottom"/>
            <w:hideMark/>
          </w:tcPr>
          <w:p w:rsidR="00E329F7" w:rsidRPr="00667008" w:rsidRDefault="00E329F7" w:rsidP="00AE1C26">
            <w:pPr>
              <w:jc w:val="right"/>
              <w:rPr>
                <w:rFonts w:cs="Calibri"/>
                <w:b/>
                <w:bCs/>
                <w:lang w:eastAsia="en-GB"/>
              </w:rPr>
            </w:pPr>
            <w:r w:rsidRPr="00667008">
              <w:rPr>
                <w:rFonts w:cs="Calibri"/>
                <w:b/>
                <w:bCs/>
                <w:lang w:eastAsia="en-GB"/>
              </w:rPr>
              <w:t>737.7</w:t>
            </w:r>
          </w:p>
        </w:tc>
        <w:tc>
          <w:tcPr>
            <w:tcW w:w="2036" w:type="dxa"/>
            <w:tcBorders>
              <w:top w:val="single" w:sz="4" w:space="0" w:color="auto"/>
              <w:left w:val="nil"/>
              <w:bottom w:val="nil"/>
              <w:right w:val="nil"/>
            </w:tcBorders>
            <w:shd w:val="clear" w:color="000000" w:fill="FFFFFF"/>
            <w:noWrap/>
            <w:vAlign w:val="bottom"/>
            <w:hideMark/>
          </w:tcPr>
          <w:p w:rsidR="00E329F7" w:rsidRPr="00667008" w:rsidRDefault="00E329F7" w:rsidP="00AE1C26">
            <w:pPr>
              <w:jc w:val="right"/>
              <w:rPr>
                <w:rFonts w:cs="Calibri"/>
                <w:b/>
                <w:bCs/>
                <w:lang w:eastAsia="en-GB"/>
              </w:rPr>
            </w:pPr>
            <w:r w:rsidRPr="00667008">
              <w:rPr>
                <w:rFonts w:cs="Calibri"/>
                <w:b/>
                <w:bCs/>
                <w:lang w:eastAsia="en-GB"/>
              </w:rPr>
              <w:t>697.0</w:t>
            </w:r>
          </w:p>
        </w:tc>
      </w:tr>
      <w:tr w:rsidR="00E329F7" w:rsidRPr="00667008" w:rsidTr="00AE1C26">
        <w:trPr>
          <w:trHeight w:val="286"/>
        </w:trPr>
        <w:tc>
          <w:tcPr>
            <w:tcW w:w="266" w:type="dxa"/>
            <w:tcBorders>
              <w:top w:val="nil"/>
              <w:left w:val="nil"/>
              <w:bottom w:val="nil"/>
              <w:right w:val="nil"/>
            </w:tcBorders>
            <w:shd w:val="clear" w:color="000000" w:fill="FFFFFF"/>
            <w:noWrap/>
            <w:vAlign w:val="bottom"/>
            <w:hideMark/>
          </w:tcPr>
          <w:p w:rsidR="00E329F7" w:rsidRPr="00667008" w:rsidRDefault="00E329F7" w:rsidP="00AE1C26">
            <w:pPr>
              <w:rPr>
                <w:rFonts w:cs="Calibri"/>
                <w:color w:val="000000"/>
                <w:lang w:eastAsia="en-GB"/>
              </w:rPr>
            </w:pPr>
            <w:r w:rsidRPr="00667008">
              <w:rPr>
                <w:rFonts w:cs="Calibri"/>
                <w:color w:val="000000"/>
                <w:lang w:eastAsia="en-GB"/>
              </w:rPr>
              <w:t> </w:t>
            </w:r>
          </w:p>
        </w:tc>
        <w:tc>
          <w:tcPr>
            <w:tcW w:w="3903" w:type="dxa"/>
            <w:tcBorders>
              <w:top w:val="nil"/>
              <w:left w:val="nil"/>
              <w:bottom w:val="nil"/>
              <w:right w:val="nil"/>
            </w:tcBorders>
            <w:shd w:val="clear" w:color="000000" w:fill="FFFFFF"/>
            <w:noWrap/>
            <w:vAlign w:val="bottom"/>
            <w:hideMark/>
          </w:tcPr>
          <w:p w:rsidR="00E329F7" w:rsidRPr="00667008" w:rsidRDefault="00E329F7" w:rsidP="00AE1C26">
            <w:pPr>
              <w:rPr>
                <w:rFonts w:cs="Calibri"/>
                <w:color w:val="000000"/>
                <w:lang w:eastAsia="en-GB"/>
              </w:rPr>
            </w:pPr>
            <w:r w:rsidRPr="00667008">
              <w:rPr>
                <w:rFonts w:cs="Calibri"/>
                <w:color w:val="000000"/>
                <w:lang w:eastAsia="en-GB"/>
              </w:rPr>
              <w:t> </w:t>
            </w:r>
          </w:p>
        </w:tc>
        <w:tc>
          <w:tcPr>
            <w:tcW w:w="556" w:type="dxa"/>
            <w:tcBorders>
              <w:top w:val="nil"/>
              <w:left w:val="nil"/>
              <w:bottom w:val="nil"/>
              <w:right w:val="nil"/>
            </w:tcBorders>
            <w:shd w:val="clear" w:color="000000" w:fill="FFFFFF"/>
            <w:noWrap/>
            <w:vAlign w:val="bottom"/>
            <w:hideMark/>
          </w:tcPr>
          <w:p w:rsidR="00E329F7" w:rsidRPr="00667008" w:rsidRDefault="00E329F7" w:rsidP="00AE1C26">
            <w:pPr>
              <w:rPr>
                <w:rFonts w:cs="Calibri"/>
                <w:color w:val="000000"/>
                <w:lang w:eastAsia="en-GB"/>
              </w:rPr>
            </w:pPr>
            <w:r w:rsidRPr="00667008">
              <w:rPr>
                <w:rFonts w:cs="Calibri"/>
                <w:color w:val="000000"/>
                <w:lang w:eastAsia="en-GB"/>
              </w:rPr>
              <w:t> </w:t>
            </w:r>
          </w:p>
        </w:tc>
        <w:tc>
          <w:tcPr>
            <w:tcW w:w="2076" w:type="dxa"/>
            <w:tcBorders>
              <w:top w:val="nil"/>
              <w:left w:val="nil"/>
              <w:bottom w:val="nil"/>
              <w:right w:val="nil"/>
            </w:tcBorders>
            <w:shd w:val="clear" w:color="000000" w:fill="FFFFFF"/>
            <w:noWrap/>
            <w:vAlign w:val="bottom"/>
            <w:hideMark/>
          </w:tcPr>
          <w:p w:rsidR="00E329F7" w:rsidRPr="00667008" w:rsidRDefault="00E329F7" w:rsidP="00AE1C26">
            <w:pPr>
              <w:rPr>
                <w:rFonts w:cs="Calibri"/>
                <w:color w:val="000000"/>
                <w:lang w:eastAsia="en-GB"/>
              </w:rPr>
            </w:pPr>
            <w:r w:rsidRPr="00667008">
              <w:rPr>
                <w:rFonts w:cs="Calibri"/>
                <w:color w:val="000000"/>
                <w:lang w:eastAsia="en-GB"/>
              </w:rPr>
              <w:t> </w:t>
            </w:r>
          </w:p>
        </w:tc>
        <w:tc>
          <w:tcPr>
            <w:tcW w:w="2036" w:type="dxa"/>
            <w:tcBorders>
              <w:top w:val="nil"/>
              <w:left w:val="nil"/>
              <w:bottom w:val="nil"/>
              <w:right w:val="nil"/>
            </w:tcBorders>
            <w:shd w:val="clear" w:color="000000" w:fill="FFFFFF"/>
            <w:noWrap/>
            <w:vAlign w:val="bottom"/>
            <w:hideMark/>
          </w:tcPr>
          <w:p w:rsidR="00E329F7" w:rsidRPr="00667008" w:rsidRDefault="00E329F7" w:rsidP="00AE1C26">
            <w:pPr>
              <w:rPr>
                <w:rFonts w:cs="Calibri"/>
                <w:color w:val="000000"/>
                <w:lang w:eastAsia="en-GB"/>
              </w:rPr>
            </w:pPr>
            <w:r w:rsidRPr="00667008">
              <w:rPr>
                <w:rFonts w:cs="Calibri"/>
                <w:color w:val="000000"/>
                <w:lang w:eastAsia="en-GB"/>
              </w:rPr>
              <w:t> </w:t>
            </w:r>
          </w:p>
        </w:tc>
      </w:tr>
      <w:tr w:rsidR="00E329F7" w:rsidRPr="00667008" w:rsidTr="00AE1C26">
        <w:trPr>
          <w:trHeight w:val="286"/>
        </w:trPr>
        <w:tc>
          <w:tcPr>
            <w:tcW w:w="266" w:type="dxa"/>
            <w:tcBorders>
              <w:top w:val="nil"/>
              <w:left w:val="nil"/>
              <w:bottom w:val="nil"/>
              <w:right w:val="nil"/>
            </w:tcBorders>
            <w:shd w:val="clear" w:color="000000" w:fill="FFFFFF"/>
            <w:noWrap/>
            <w:vAlign w:val="bottom"/>
            <w:hideMark/>
          </w:tcPr>
          <w:p w:rsidR="00E329F7" w:rsidRPr="00667008" w:rsidRDefault="00E329F7" w:rsidP="00AE1C26">
            <w:pPr>
              <w:rPr>
                <w:rFonts w:cs="Calibri"/>
                <w:color w:val="000000"/>
                <w:lang w:eastAsia="en-GB"/>
              </w:rPr>
            </w:pPr>
            <w:r w:rsidRPr="00667008">
              <w:rPr>
                <w:rFonts w:cs="Calibri"/>
                <w:color w:val="000000"/>
                <w:lang w:eastAsia="en-GB"/>
              </w:rPr>
              <w:t> </w:t>
            </w:r>
          </w:p>
        </w:tc>
        <w:tc>
          <w:tcPr>
            <w:tcW w:w="3903" w:type="dxa"/>
            <w:tcBorders>
              <w:top w:val="nil"/>
              <w:left w:val="nil"/>
              <w:bottom w:val="nil"/>
              <w:right w:val="nil"/>
            </w:tcBorders>
            <w:shd w:val="clear" w:color="000000" w:fill="FFFFFF"/>
            <w:noWrap/>
            <w:vAlign w:val="bottom"/>
            <w:hideMark/>
          </w:tcPr>
          <w:p w:rsidR="00E329F7" w:rsidRPr="00667008" w:rsidRDefault="00E329F7" w:rsidP="00AE1C26">
            <w:pPr>
              <w:rPr>
                <w:rFonts w:cs="Calibri"/>
                <w:b/>
                <w:bCs/>
                <w:color w:val="000000"/>
                <w:lang w:eastAsia="en-GB"/>
              </w:rPr>
            </w:pPr>
            <w:r w:rsidRPr="00667008">
              <w:rPr>
                <w:rFonts w:cs="Calibri"/>
                <w:b/>
                <w:bCs/>
                <w:color w:val="000000"/>
                <w:lang w:eastAsia="en-GB"/>
              </w:rPr>
              <w:t>Pooled property investments</w:t>
            </w:r>
          </w:p>
        </w:tc>
        <w:tc>
          <w:tcPr>
            <w:tcW w:w="556" w:type="dxa"/>
            <w:tcBorders>
              <w:top w:val="nil"/>
              <w:left w:val="nil"/>
              <w:bottom w:val="nil"/>
              <w:right w:val="nil"/>
            </w:tcBorders>
            <w:shd w:val="clear" w:color="000000" w:fill="FFFFFF"/>
            <w:noWrap/>
            <w:vAlign w:val="bottom"/>
            <w:hideMark/>
          </w:tcPr>
          <w:p w:rsidR="00E329F7" w:rsidRPr="00667008" w:rsidRDefault="00E329F7" w:rsidP="00AE1C26">
            <w:pPr>
              <w:rPr>
                <w:rFonts w:cs="Calibri"/>
                <w:color w:val="000000"/>
                <w:lang w:eastAsia="en-GB"/>
              </w:rPr>
            </w:pPr>
            <w:r w:rsidRPr="00667008">
              <w:rPr>
                <w:rFonts w:cs="Calibri"/>
                <w:color w:val="000000"/>
                <w:lang w:eastAsia="en-GB"/>
              </w:rPr>
              <w:t> </w:t>
            </w:r>
          </w:p>
        </w:tc>
        <w:tc>
          <w:tcPr>
            <w:tcW w:w="2076" w:type="dxa"/>
            <w:tcBorders>
              <w:top w:val="nil"/>
              <w:left w:val="nil"/>
              <w:bottom w:val="nil"/>
              <w:right w:val="nil"/>
            </w:tcBorders>
            <w:shd w:val="clear" w:color="000000" w:fill="FFFFFF"/>
            <w:noWrap/>
            <w:vAlign w:val="bottom"/>
            <w:hideMark/>
          </w:tcPr>
          <w:p w:rsidR="00E329F7" w:rsidRPr="00667008" w:rsidRDefault="00E329F7" w:rsidP="00AE1C26">
            <w:pPr>
              <w:jc w:val="right"/>
              <w:rPr>
                <w:rFonts w:cs="Calibri"/>
                <w:color w:val="000000"/>
                <w:lang w:eastAsia="en-GB"/>
              </w:rPr>
            </w:pPr>
            <w:r w:rsidRPr="00667008">
              <w:rPr>
                <w:rFonts w:cs="Calibri"/>
                <w:color w:val="000000"/>
                <w:lang w:eastAsia="en-GB"/>
              </w:rPr>
              <w:t>0.2</w:t>
            </w:r>
          </w:p>
        </w:tc>
        <w:tc>
          <w:tcPr>
            <w:tcW w:w="2036" w:type="dxa"/>
            <w:tcBorders>
              <w:top w:val="nil"/>
              <w:left w:val="nil"/>
              <w:bottom w:val="nil"/>
              <w:right w:val="nil"/>
            </w:tcBorders>
            <w:shd w:val="clear" w:color="000000" w:fill="FFFFFF"/>
            <w:noWrap/>
            <w:vAlign w:val="bottom"/>
            <w:hideMark/>
          </w:tcPr>
          <w:p w:rsidR="00E329F7" w:rsidRPr="00667008" w:rsidRDefault="00E329F7" w:rsidP="00AE1C26">
            <w:pPr>
              <w:jc w:val="right"/>
              <w:rPr>
                <w:rFonts w:cs="Calibri"/>
                <w:color w:val="000000"/>
                <w:lang w:eastAsia="en-GB"/>
              </w:rPr>
            </w:pPr>
            <w:r w:rsidRPr="00667008">
              <w:rPr>
                <w:rFonts w:cs="Calibri"/>
                <w:color w:val="000000"/>
                <w:lang w:eastAsia="en-GB"/>
              </w:rPr>
              <w:t>0.1</w:t>
            </w:r>
          </w:p>
        </w:tc>
      </w:tr>
      <w:tr w:rsidR="00E329F7" w:rsidRPr="00667008" w:rsidTr="00AE1C26">
        <w:trPr>
          <w:trHeight w:val="286"/>
        </w:trPr>
        <w:tc>
          <w:tcPr>
            <w:tcW w:w="266" w:type="dxa"/>
            <w:tcBorders>
              <w:top w:val="nil"/>
              <w:left w:val="nil"/>
              <w:bottom w:val="nil"/>
              <w:right w:val="nil"/>
            </w:tcBorders>
            <w:shd w:val="clear" w:color="000000" w:fill="FFFFFF"/>
            <w:noWrap/>
            <w:vAlign w:val="bottom"/>
            <w:hideMark/>
          </w:tcPr>
          <w:p w:rsidR="00E329F7" w:rsidRPr="00667008" w:rsidRDefault="00E329F7" w:rsidP="00AE1C26">
            <w:pPr>
              <w:rPr>
                <w:rFonts w:cs="Calibri"/>
                <w:color w:val="000000"/>
                <w:lang w:eastAsia="en-GB"/>
              </w:rPr>
            </w:pPr>
            <w:r w:rsidRPr="00667008">
              <w:rPr>
                <w:rFonts w:cs="Calibri"/>
                <w:color w:val="000000"/>
                <w:lang w:eastAsia="en-GB"/>
              </w:rPr>
              <w:t> </w:t>
            </w:r>
          </w:p>
        </w:tc>
        <w:tc>
          <w:tcPr>
            <w:tcW w:w="3903" w:type="dxa"/>
            <w:tcBorders>
              <w:top w:val="nil"/>
              <w:left w:val="nil"/>
              <w:bottom w:val="nil"/>
              <w:right w:val="nil"/>
            </w:tcBorders>
            <w:shd w:val="clear" w:color="000000" w:fill="FFFFFF"/>
            <w:noWrap/>
            <w:vAlign w:val="bottom"/>
            <w:hideMark/>
          </w:tcPr>
          <w:p w:rsidR="00E329F7" w:rsidRPr="00667008" w:rsidRDefault="00E329F7" w:rsidP="00AE1C26">
            <w:pPr>
              <w:rPr>
                <w:rFonts w:cs="Calibri"/>
                <w:b/>
                <w:bCs/>
                <w:color w:val="000000"/>
                <w:lang w:eastAsia="en-GB"/>
              </w:rPr>
            </w:pPr>
            <w:r w:rsidRPr="00667008">
              <w:rPr>
                <w:rFonts w:cs="Calibri"/>
                <w:b/>
                <w:bCs/>
                <w:color w:val="000000"/>
                <w:lang w:eastAsia="en-GB"/>
              </w:rPr>
              <w:t>Private equity/infrastructure</w:t>
            </w:r>
          </w:p>
        </w:tc>
        <w:tc>
          <w:tcPr>
            <w:tcW w:w="556" w:type="dxa"/>
            <w:tcBorders>
              <w:top w:val="nil"/>
              <w:left w:val="nil"/>
              <w:bottom w:val="nil"/>
              <w:right w:val="nil"/>
            </w:tcBorders>
            <w:shd w:val="clear" w:color="000000" w:fill="FFFFFF"/>
            <w:noWrap/>
            <w:vAlign w:val="bottom"/>
            <w:hideMark/>
          </w:tcPr>
          <w:p w:rsidR="00E329F7" w:rsidRPr="00667008" w:rsidRDefault="00E329F7" w:rsidP="00AE1C26">
            <w:pPr>
              <w:rPr>
                <w:rFonts w:cs="Calibri"/>
                <w:color w:val="000000"/>
                <w:lang w:eastAsia="en-GB"/>
              </w:rPr>
            </w:pPr>
            <w:r w:rsidRPr="00667008">
              <w:rPr>
                <w:rFonts w:cs="Calibri"/>
                <w:color w:val="000000"/>
                <w:lang w:eastAsia="en-GB"/>
              </w:rPr>
              <w:t> </w:t>
            </w:r>
          </w:p>
        </w:tc>
        <w:tc>
          <w:tcPr>
            <w:tcW w:w="2076" w:type="dxa"/>
            <w:tcBorders>
              <w:top w:val="nil"/>
              <w:left w:val="nil"/>
              <w:bottom w:val="nil"/>
              <w:right w:val="nil"/>
            </w:tcBorders>
            <w:shd w:val="clear" w:color="000000" w:fill="FFFFFF"/>
            <w:noWrap/>
            <w:vAlign w:val="bottom"/>
            <w:hideMark/>
          </w:tcPr>
          <w:p w:rsidR="00E329F7" w:rsidRPr="00667008" w:rsidRDefault="00E329F7" w:rsidP="00AE1C26">
            <w:pPr>
              <w:jc w:val="right"/>
              <w:rPr>
                <w:rFonts w:cs="Calibri"/>
                <w:color w:val="000000"/>
                <w:lang w:eastAsia="en-GB"/>
              </w:rPr>
            </w:pPr>
            <w:r w:rsidRPr="00667008">
              <w:rPr>
                <w:rFonts w:cs="Calibri"/>
                <w:color w:val="000000"/>
                <w:lang w:eastAsia="en-GB"/>
              </w:rPr>
              <w:t>95.0</w:t>
            </w:r>
          </w:p>
        </w:tc>
        <w:tc>
          <w:tcPr>
            <w:tcW w:w="2036" w:type="dxa"/>
            <w:tcBorders>
              <w:top w:val="nil"/>
              <w:left w:val="nil"/>
              <w:bottom w:val="nil"/>
              <w:right w:val="nil"/>
            </w:tcBorders>
            <w:shd w:val="clear" w:color="000000" w:fill="FFFFFF"/>
            <w:noWrap/>
            <w:vAlign w:val="bottom"/>
            <w:hideMark/>
          </w:tcPr>
          <w:p w:rsidR="00E329F7" w:rsidRPr="00667008" w:rsidRDefault="00E329F7" w:rsidP="00AE1C26">
            <w:pPr>
              <w:jc w:val="right"/>
              <w:rPr>
                <w:rFonts w:cs="Calibri"/>
                <w:color w:val="000000"/>
                <w:lang w:eastAsia="en-GB"/>
              </w:rPr>
            </w:pPr>
            <w:r w:rsidRPr="00667008">
              <w:rPr>
                <w:rFonts w:cs="Calibri"/>
                <w:color w:val="000000"/>
                <w:lang w:eastAsia="en-GB"/>
              </w:rPr>
              <w:t>84.3</w:t>
            </w:r>
          </w:p>
        </w:tc>
      </w:tr>
      <w:tr w:rsidR="00E329F7" w:rsidRPr="00667008" w:rsidTr="00AE1C26">
        <w:trPr>
          <w:trHeight w:val="299"/>
        </w:trPr>
        <w:tc>
          <w:tcPr>
            <w:tcW w:w="266" w:type="dxa"/>
            <w:tcBorders>
              <w:top w:val="nil"/>
              <w:left w:val="nil"/>
              <w:bottom w:val="nil"/>
              <w:right w:val="nil"/>
            </w:tcBorders>
            <w:shd w:val="clear" w:color="000000" w:fill="FFFFFF"/>
            <w:noWrap/>
            <w:vAlign w:val="bottom"/>
            <w:hideMark/>
          </w:tcPr>
          <w:p w:rsidR="00E329F7" w:rsidRPr="00667008" w:rsidRDefault="00E329F7" w:rsidP="00AE1C26">
            <w:pPr>
              <w:rPr>
                <w:rFonts w:cs="Calibri"/>
                <w:color w:val="000000"/>
                <w:lang w:eastAsia="en-GB"/>
              </w:rPr>
            </w:pPr>
            <w:r w:rsidRPr="00667008">
              <w:rPr>
                <w:rFonts w:cs="Calibri"/>
                <w:color w:val="000000"/>
                <w:lang w:eastAsia="en-GB"/>
              </w:rPr>
              <w:t> </w:t>
            </w:r>
          </w:p>
        </w:tc>
        <w:tc>
          <w:tcPr>
            <w:tcW w:w="3903" w:type="dxa"/>
            <w:tcBorders>
              <w:top w:val="nil"/>
              <w:left w:val="nil"/>
              <w:bottom w:val="nil"/>
              <w:right w:val="nil"/>
            </w:tcBorders>
            <w:shd w:val="clear" w:color="000000" w:fill="FFFFFF"/>
            <w:noWrap/>
            <w:vAlign w:val="bottom"/>
            <w:hideMark/>
          </w:tcPr>
          <w:p w:rsidR="00E329F7" w:rsidRPr="00667008" w:rsidRDefault="00E329F7" w:rsidP="00AE1C26">
            <w:pPr>
              <w:rPr>
                <w:rFonts w:cs="Calibri"/>
                <w:b/>
                <w:bCs/>
                <w:color w:val="000000"/>
                <w:lang w:eastAsia="en-GB"/>
              </w:rPr>
            </w:pPr>
            <w:r w:rsidRPr="00667008">
              <w:rPr>
                <w:rFonts w:cs="Calibri"/>
                <w:b/>
                <w:bCs/>
                <w:color w:val="000000"/>
                <w:lang w:eastAsia="en-GB"/>
              </w:rPr>
              <w:t>Total investments</w:t>
            </w:r>
          </w:p>
        </w:tc>
        <w:tc>
          <w:tcPr>
            <w:tcW w:w="556" w:type="dxa"/>
            <w:tcBorders>
              <w:top w:val="nil"/>
              <w:left w:val="nil"/>
              <w:bottom w:val="nil"/>
              <w:right w:val="nil"/>
            </w:tcBorders>
            <w:shd w:val="clear" w:color="000000" w:fill="FFFFFF"/>
            <w:noWrap/>
            <w:vAlign w:val="bottom"/>
            <w:hideMark/>
          </w:tcPr>
          <w:p w:rsidR="00E329F7" w:rsidRPr="00667008" w:rsidRDefault="00E329F7" w:rsidP="00AE1C26">
            <w:pPr>
              <w:rPr>
                <w:rFonts w:cs="Calibri"/>
                <w:color w:val="000000"/>
                <w:lang w:eastAsia="en-GB"/>
              </w:rPr>
            </w:pPr>
            <w:r w:rsidRPr="00667008">
              <w:rPr>
                <w:rFonts w:cs="Calibri"/>
                <w:color w:val="000000"/>
                <w:lang w:eastAsia="en-GB"/>
              </w:rPr>
              <w:t> </w:t>
            </w:r>
          </w:p>
        </w:tc>
        <w:tc>
          <w:tcPr>
            <w:tcW w:w="2076" w:type="dxa"/>
            <w:tcBorders>
              <w:top w:val="single" w:sz="4" w:space="0" w:color="auto"/>
              <w:left w:val="nil"/>
              <w:bottom w:val="double" w:sz="6" w:space="0" w:color="auto"/>
              <w:right w:val="nil"/>
            </w:tcBorders>
            <w:shd w:val="clear" w:color="000000" w:fill="FFFFFF"/>
            <w:noWrap/>
            <w:vAlign w:val="bottom"/>
            <w:hideMark/>
          </w:tcPr>
          <w:p w:rsidR="00E329F7" w:rsidRPr="00667008" w:rsidRDefault="00E329F7" w:rsidP="00AE1C26">
            <w:pPr>
              <w:jc w:val="right"/>
              <w:rPr>
                <w:rFonts w:cs="Calibri"/>
                <w:b/>
                <w:bCs/>
                <w:color w:val="000000"/>
                <w:lang w:eastAsia="en-GB"/>
              </w:rPr>
            </w:pPr>
            <w:r w:rsidRPr="00667008">
              <w:rPr>
                <w:rFonts w:cs="Calibri"/>
                <w:b/>
                <w:bCs/>
                <w:color w:val="000000"/>
                <w:lang w:eastAsia="en-GB"/>
              </w:rPr>
              <w:t>832.9</w:t>
            </w:r>
          </w:p>
        </w:tc>
        <w:tc>
          <w:tcPr>
            <w:tcW w:w="2036" w:type="dxa"/>
            <w:tcBorders>
              <w:top w:val="single" w:sz="4" w:space="0" w:color="auto"/>
              <w:left w:val="nil"/>
              <w:bottom w:val="double" w:sz="6" w:space="0" w:color="auto"/>
              <w:right w:val="nil"/>
            </w:tcBorders>
            <w:shd w:val="clear" w:color="000000" w:fill="FFFFFF"/>
            <w:noWrap/>
            <w:vAlign w:val="bottom"/>
            <w:hideMark/>
          </w:tcPr>
          <w:p w:rsidR="00E329F7" w:rsidRPr="00667008" w:rsidRDefault="00E329F7" w:rsidP="00AE1C26">
            <w:pPr>
              <w:jc w:val="right"/>
              <w:rPr>
                <w:rFonts w:cs="Calibri"/>
                <w:b/>
                <w:bCs/>
                <w:color w:val="000000"/>
                <w:lang w:eastAsia="en-GB"/>
              </w:rPr>
            </w:pPr>
            <w:r w:rsidRPr="00667008">
              <w:rPr>
                <w:rFonts w:cs="Calibri"/>
                <w:b/>
                <w:bCs/>
                <w:color w:val="000000"/>
                <w:lang w:eastAsia="en-GB"/>
              </w:rPr>
              <w:t>781.4</w:t>
            </w:r>
          </w:p>
        </w:tc>
      </w:tr>
      <w:tr w:rsidR="00E329F7" w:rsidRPr="00667008" w:rsidTr="00AE1C26">
        <w:trPr>
          <w:trHeight w:val="299"/>
        </w:trPr>
        <w:tc>
          <w:tcPr>
            <w:tcW w:w="266" w:type="dxa"/>
            <w:tcBorders>
              <w:top w:val="nil"/>
              <w:left w:val="nil"/>
              <w:bottom w:val="nil"/>
              <w:right w:val="nil"/>
            </w:tcBorders>
            <w:shd w:val="clear" w:color="000000" w:fill="FFFFFF"/>
            <w:noWrap/>
            <w:vAlign w:val="bottom"/>
            <w:hideMark/>
          </w:tcPr>
          <w:p w:rsidR="00E329F7" w:rsidRPr="00667008" w:rsidRDefault="00E329F7" w:rsidP="00AE1C26">
            <w:pPr>
              <w:rPr>
                <w:rFonts w:cs="Calibri"/>
                <w:color w:val="000000"/>
                <w:lang w:eastAsia="en-GB"/>
              </w:rPr>
            </w:pPr>
            <w:r w:rsidRPr="00667008">
              <w:rPr>
                <w:rFonts w:cs="Calibri"/>
                <w:color w:val="000000"/>
                <w:lang w:eastAsia="en-GB"/>
              </w:rPr>
              <w:t> </w:t>
            </w:r>
          </w:p>
        </w:tc>
        <w:tc>
          <w:tcPr>
            <w:tcW w:w="3903" w:type="dxa"/>
            <w:tcBorders>
              <w:top w:val="nil"/>
              <w:left w:val="nil"/>
              <w:bottom w:val="nil"/>
              <w:right w:val="nil"/>
            </w:tcBorders>
            <w:shd w:val="clear" w:color="000000" w:fill="FFFFFF"/>
            <w:noWrap/>
            <w:vAlign w:val="bottom"/>
            <w:hideMark/>
          </w:tcPr>
          <w:p w:rsidR="00E329F7" w:rsidRPr="00667008" w:rsidRDefault="00E329F7" w:rsidP="00AE1C26">
            <w:pPr>
              <w:rPr>
                <w:rFonts w:cs="Calibri"/>
                <w:color w:val="000000"/>
                <w:lang w:eastAsia="en-GB"/>
              </w:rPr>
            </w:pPr>
            <w:r w:rsidRPr="00667008">
              <w:rPr>
                <w:rFonts w:cs="Calibri"/>
                <w:color w:val="000000"/>
                <w:lang w:eastAsia="en-GB"/>
              </w:rPr>
              <w:t> </w:t>
            </w:r>
          </w:p>
        </w:tc>
        <w:tc>
          <w:tcPr>
            <w:tcW w:w="556" w:type="dxa"/>
            <w:tcBorders>
              <w:top w:val="nil"/>
              <w:left w:val="nil"/>
              <w:bottom w:val="nil"/>
              <w:right w:val="nil"/>
            </w:tcBorders>
            <w:shd w:val="clear" w:color="000000" w:fill="FFFFFF"/>
            <w:noWrap/>
            <w:vAlign w:val="bottom"/>
            <w:hideMark/>
          </w:tcPr>
          <w:p w:rsidR="00E329F7" w:rsidRPr="00667008" w:rsidRDefault="00E329F7" w:rsidP="00AE1C26">
            <w:pPr>
              <w:rPr>
                <w:rFonts w:cs="Calibri"/>
                <w:color w:val="000000"/>
                <w:lang w:eastAsia="en-GB"/>
              </w:rPr>
            </w:pPr>
            <w:r w:rsidRPr="00667008">
              <w:rPr>
                <w:rFonts w:cs="Calibri"/>
                <w:color w:val="000000"/>
                <w:lang w:eastAsia="en-GB"/>
              </w:rPr>
              <w:t> </w:t>
            </w:r>
          </w:p>
        </w:tc>
        <w:tc>
          <w:tcPr>
            <w:tcW w:w="2076" w:type="dxa"/>
            <w:tcBorders>
              <w:top w:val="nil"/>
              <w:left w:val="nil"/>
              <w:bottom w:val="nil"/>
              <w:right w:val="nil"/>
            </w:tcBorders>
            <w:shd w:val="clear" w:color="000000" w:fill="FFFFFF"/>
            <w:noWrap/>
            <w:vAlign w:val="bottom"/>
            <w:hideMark/>
          </w:tcPr>
          <w:p w:rsidR="00E329F7" w:rsidRPr="00667008" w:rsidRDefault="00E329F7" w:rsidP="00AE1C26">
            <w:pPr>
              <w:rPr>
                <w:rFonts w:cs="Calibri"/>
                <w:color w:val="000000"/>
                <w:lang w:eastAsia="en-GB"/>
              </w:rPr>
            </w:pPr>
            <w:r w:rsidRPr="00667008">
              <w:rPr>
                <w:rFonts w:cs="Calibri"/>
                <w:color w:val="000000"/>
                <w:lang w:eastAsia="en-GB"/>
              </w:rPr>
              <w:t> </w:t>
            </w:r>
          </w:p>
        </w:tc>
        <w:tc>
          <w:tcPr>
            <w:tcW w:w="2036" w:type="dxa"/>
            <w:tcBorders>
              <w:top w:val="nil"/>
              <w:left w:val="nil"/>
              <w:bottom w:val="nil"/>
              <w:right w:val="nil"/>
            </w:tcBorders>
            <w:shd w:val="clear" w:color="000000" w:fill="FFFFFF"/>
            <w:noWrap/>
            <w:vAlign w:val="bottom"/>
            <w:hideMark/>
          </w:tcPr>
          <w:p w:rsidR="00E329F7" w:rsidRPr="00667008" w:rsidRDefault="00E329F7" w:rsidP="00AE1C26">
            <w:pPr>
              <w:rPr>
                <w:rFonts w:cs="Calibri"/>
                <w:color w:val="000000"/>
                <w:lang w:eastAsia="en-GB"/>
              </w:rPr>
            </w:pPr>
            <w:r w:rsidRPr="00667008">
              <w:rPr>
                <w:rFonts w:cs="Calibri"/>
                <w:color w:val="000000"/>
                <w:lang w:eastAsia="en-GB"/>
              </w:rPr>
              <w:t> </w:t>
            </w:r>
          </w:p>
        </w:tc>
      </w:tr>
    </w:tbl>
    <w:p w:rsidR="00F72906" w:rsidRDefault="00F72906" w:rsidP="00E329F7">
      <w:pPr>
        <w:pStyle w:val="Heading3"/>
      </w:pPr>
      <w:r>
        <w:t>14c) Investments analysed by fund manager</w:t>
      </w:r>
    </w:p>
    <w:tbl>
      <w:tblPr>
        <w:tblW w:w="7795" w:type="dxa"/>
        <w:tblLayout w:type="fixed"/>
        <w:tblLook w:val="01E0" w:firstRow="1" w:lastRow="1" w:firstColumn="1" w:lastColumn="1" w:noHBand="0" w:noVBand="0"/>
      </w:tblPr>
      <w:tblGrid>
        <w:gridCol w:w="1843"/>
        <w:gridCol w:w="70"/>
        <w:gridCol w:w="708"/>
        <w:gridCol w:w="73"/>
        <w:gridCol w:w="69"/>
        <w:gridCol w:w="19"/>
        <w:gridCol w:w="1446"/>
        <w:gridCol w:w="474"/>
        <w:gridCol w:w="188"/>
        <w:gridCol w:w="142"/>
        <w:gridCol w:w="630"/>
        <w:gridCol w:w="151"/>
        <w:gridCol w:w="1062"/>
        <w:gridCol w:w="920"/>
      </w:tblGrid>
      <w:tr w:rsidR="00E329F7" w:rsidRPr="00CE04A4" w:rsidTr="00AE1C26">
        <w:trPr>
          <w:gridAfter w:val="3"/>
          <w:wAfter w:w="2133" w:type="dxa"/>
          <w:trHeight w:val="331"/>
        </w:trPr>
        <w:tc>
          <w:tcPr>
            <w:tcW w:w="1843" w:type="dxa"/>
            <w:shd w:val="clear" w:color="auto" w:fill="FFFFFF"/>
          </w:tcPr>
          <w:p w:rsidR="00E329F7" w:rsidRPr="00CE04A4" w:rsidRDefault="00E329F7" w:rsidP="00AE1C26">
            <w:pPr>
              <w:widowControl w:val="0"/>
              <w:tabs>
                <w:tab w:val="left" w:pos="180"/>
                <w:tab w:val="right" w:pos="3060"/>
                <w:tab w:val="right" w:pos="4150"/>
              </w:tabs>
              <w:jc w:val="right"/>
              <w:rPr>
                <w:rFonts w:cs="Segoe UI Light"/>
                <w:b/>
                <w:snapToGrid w:val="0"/>
                <w:color w:val="000000"/>
              </w:rPr>
            </w:pPr>
          </w:p>
        </w:tc>
        <w:tc>
          <w:tcPr>
            <w:tcW w:w="939" w:type="dxa"/>
            <w:gridSpan w:val="5"/>
            <w:shd w:val="clear" w:color="auto" w:fill="FFFFFF"/>
          </w:tcPr>
          <w:p w:rsidR="00E329F7" w:rsidRPr="00CE04A4" w:rsidRDefault="00E329F7" w:rsidP="00AE1C26">
            <w:pPr>
              <w:widowControl w:val="0"/>
              <w:tabs>
                <w:tab w:val="left" w:pos="180"/>
                <w:tab w:val="right" w:pos="3060"/>
                <w:tab w:val="right" w:pos="4150"/>
              </w:tabs>
              <w:jc w:val="right"/>
              <w:rPr>
                <w:rFonts w:cs="Segoe UI Light"/>
                <w:b/>
                <w:snapToGrid w:val="0"/>
                <w:color w:val="000000"/>
              </w:rPr>
            </w:pPr>
          </w:p>
        </w:tc>
        <w:tc>
          <w:tcPr>
            <w:tcW w:w="1920" w:type="dxa"/>
            <w:gridSpan w:val="2"/>
            <w:shd w:val="clear" w:color="auto" w:fill="FFFFFF"/>
          </w:tcPr>
          <w:p w:rsidR="00E329F7" w:rsidRPr="00CE04A4" w:rsidRDefault="00E329F7" w:rsidP="00AE1C26">
            <w:pPr>
              <w:widowControl w:val="0"/>
              <w:tabs>
                <w:tab w:val="left" w:pos="180"/>
                <w:tab w:val="right" w:pos="3060"/>
                <w:tab w:val="right" w:pos="4150"/>
              </w:tabs>
              <w:jc w:val="right"/>
              <w:rPr>
                <w:rFonts w:cs="Segoe UI Light"/>
                <w:b/>
                <w:snapToGrid w:val="0"/>
                <w:color w:val="000000"/>
              </w:rPr>
            </w:pPr>
            <w:r w:rsidRPr="00CE04A4">
              <w:rPr>
                <w:rFonts w:cs="Segoe UI Light"/>
                <w:b/>
                <w:snapToGrid w:val="0"/>
                <w:color w:val="000000"/>
              </w:rPr>
              <w:t xml:space="preserve">Market value  </w:t>
            </w:r>
          </w:p>
          <w:p w:rsidR="00E329F7" w:rsidRPr="00CE04A4" w:rsidRDefault="00E329F7" w:rsidP="00AE1C26">
            <w:pPr>
              <w:widowControl w:val="0"/>
              <w:tabs>
                <w:tab w:val="left" w:pos="180"/>
                <w:tab w:val="right" w:pos="3060"/>
                <w:tab w:val="right" w:pos="4150"/>
              </w:tabs>
              <w:jc w:val="right"/>
              <w:rPr>
                <w:rFonts w:cs="Segoe UI Light"/>
                <w:b/>
                <w:snapToGrid w:val="0"/>
                <w:color w:val="000000"/>
              </w:rPr>
            </w:pPr>
          </w:p>
        </w:tc>
        <w:tc>
          <w:tcPr>
            <w:tcW w:w="960" w:type="dxa"/>
            <w:gridSpan w:val="3"/>
            <w:shd w:val="clear" w:color="auto" w:fill="FFFFFF"/>
          </w:tcPr>
          <w:p w:rsidR="00E329F7" w:rsidRPr="00CE04A4" w:rsidRDefault="00E329F7" w:rsidP="00AE1C26">
            <w:pPr>
              <w:widowControl w:val="0"/>
              <w:tabs>
                <w:tab w:val="left" w:pos="180"/>
                <w:tab w:val="right" w:pos="3060"/>
                <w:tab w:val="right" w:pos="4150"/>
              </w:tabs>
              <w:jc w:val="center"/>
              <w:rPr>
                <w:rFonts w:cs="Segoe UI Light"/>
                <w:b/>
                <w:snapToGrid w:val="0"/>
                <w:color w:val="000000"/>
              </w:rPr>
            </w:pPr>
          </w:p>
        </w:tc>
      </w:tr>
      <w:tr w:rsidR="00E329F7" w:rsidRPr="00CE04A4" w:rsidTr="00AE1C26">
        <w:tc>
          <w:tcPr>
            <w:tcW w:w="1913" w:type="dxa"/>
            <w:gridSpan w:val="2"/>
            <w:shd w:val="clear" w:color="auto" w:fill="FFFFFF"/>
          </w:tcPr>
          <w:p w:rsidR="00E329F7" w:rsidRPr="00CE04A4" w:rsidRDefault="00E329F7" w:rsidP="00AE1C26">
            <w:pPr>
              <w:widowControl w:val="0"/>
              <w:tabs>
                <w:tab w:val="left" w:pos="180"/>
                <w:tab w:val="right" w:pos="3060"/>
                <w:tab w:val="right" w:pos="4150"/>
              </w:tabs>
              <w:jc w:val="right"/>
              <w:rPr>
                <w:rFonts w:cs="Segoe UI Light"/>
                <w:b/>
                <w:snapToGrid w:val="0"/>
                <w:color w:val="000000"/>
              </w:rPr>
            </w:pPr>
            <w:r w:rsidRPr="00CE04A4">
              <w:rPr>
                <w:rFonts w:cs="Segoe UI Light"/>
                <w:b/>
                <w:snapToGrid w:val="0"/>
                <w:color w:val="000000"/>
              </w:rPr>
              <w:t>31 March 2019</w:t>
            </w:r>
          </w:p>
        </w:tc>
        <w:tc>
          <w:tcPr>
            <w:tcW w:w="708" w:type="dxa"/>
            <w:shd w:val="clear" w:color="auto" w:fill="FFFFFF"/>
          </w:tcPr>
          <w:p w:rsidR="00E329F7" w:rsidRPr="00CE04A4" w:rsidRDefault="00E329F7" w:rsidP="00AE1C26">
            <w:pPr>
              <w:widowControl w:val="0"/>
              <w:tabs>
                <w:tab w:val="left" w:pos="180"/>
                <w:tab w:val="right" w:pos="3060"/>
                <w:tab w:val="right" w:pos="4150"/>
              </w:tabs>
              <w:jc w:val="right"/>
              <w:rPr>
                <w:rFonts w:cs="Segoe UI Light"/>
                <w:b/>
                <w:snapToGrid w:val="0"/>
                <w:color w:val="000000"/>
              </w:rPr>
            </w:pPr>
          </w:p>
        </w:tc>
        <w:tc>
          <w:tcPr>
            <w:tcW w:w="2269" w:type="dxa"/>
            <w:gridSpan w:val="6"/>
            <w:shd w:val="clear" w:color="auto" w:fill="FFFFFF"/>
          </w:tcPr>
          <w:p w:rsidR="00E329F7" w:rsidRPr="00CE04A4" w:rsidRDefault="00E329F7" w:rsidP="00AE1C26">
            <w:pPr>
              <w:widowControl w:val="0"/>
              <w:tabs>
                <w:tab w:val="left" w:pos="180"/>
                <w:tab w:val="right" w:pos="3060"/>
                <w:tab w:val="right" w:pos="4150"/>
              </w:tabs>
              <w:rPr>
                <w:rFonts w:cs="Segoe UI Light"/>
                <w:snapToGrid w:val="0"/>
                <w:color w:val="000000"/>
              </w:rPr>
            </w:pPr>
          </w:p>
        </w:tc>
        <w:tc>
          <w:tcPr>
            <w:tcW w:w="1985" w:type="dxa"/>
            <w:gridSpan w:val="4"/>
            <w:shd w:val="clear" w:color="auto" w:fill="FFFFFF"/>
          </w:tcPr>
          <w:p w:rsidR="00E329F7" w:rsidRPr="00CE04A4" w:rsidRDefault="00E329F7" w:rsidP="00AE1C26">
            <w:pPr>
              <w:widowControl w:val="0"/>
              <w:tabs>
                <w:tab w:val="left" w:pos="180"/>
                <w:tab w:val="right" w:pos="3060"/>
                <w:tab w:val="right" w:pos="4150"/>
              </w:tabs>
              <w:jc w:val="right"/>
              <w:rPr>
                <w:rFonts w:cs="Segoe UI Light"/>
                <w:b/>
                <w:snapToGrid w:val="0"/>
                <w:color w:val="000000"/>
              </w:rPr>
            </w:pPr>
            <w:r w:rsidRPr="00CE04A4">
              <w:rPr>
                <w:rFonts w:cs="Segoe UI Light"/>
                <w:b/>
                <w:snapToGrid w:val="0"/>
                <w:color w:val="000000"/>
              </w:rPr>
              <w:t>31 March 2020</w:t>
            </w:r>
          </w:p>
        </w:tc>
        <w:tc>
          <w:tcPr>
            <w:tcW w:w="920" w:type="dxa"/>
            <w:shd w:val="clear" w:color="auto" w:fill="FFFFFF"/>
          </w:tcPr>
          <w:p w:rsidR="00E329F7" w:rsidRPr="00CE04A4" w:rsidRDefault="00E329F7" w:rsidP="00AE1C26">
            <w:pPr>
              <w:widowControl w:val="0"/>
              <w:tabs>
                <w:tab w:val="left" w:pos="180"/>
                <w:tab w:val="right" w:pos="3060"/>
                <w:tab w:val="right" w:pos="4150"/>
              </w:tabs>
              <w:jc w:val="right"/>
              <w:rPr>
                <w:rFonts w:cs="Segoe UI Light"/>
                <w:b/>
                <w:snapToGrid w:val="0"/>
                <w:color w:val="000000"/>
              </w:rPr>
            </w:pPr>
          </w:p>
        </w:tc>
      </w:tr>
      <w:tr w:rsidR="00E329F7" w:rsidRPr="00CE04A4" w:rsidTr="00AE1C26">
        <w:tc>
          <w:tcPr>
            <w:tcW w:w="1913" w:type="dxa"/>
            <w:gridSpan w:val="2"/>
            <w:shd w:val="clear" w:color="auto" w:fill="FFFFFF"/>
          </w:tcPr>
          <w:p w:rsidR="00E329F7" w:rsidRPr="00CE04A4" w:rsidRDefault="00E329F7" w:rsidP="00AE1C26">
            <w:pPr>
              <w:widowControl w:val="0"/>
              <w:tabs>
                <w:tab w:val="left" w:pos="180"/>
                <w:tab w:val="right" w:pos="3060"/>
                <w:tab w:val="right" w:pos="4150"/>
              </w:tabs>
              <w:jc w:val="right"/>
              <w:rPr>
                <w:rFonts w:cs="Segoe UI Light"/>
                <w:snapToGrid w:val="0"/>
                <w:color w:val="000000"/>
              </w:rPr>
            </w:pPr>
            <w:r w:rsidRPr="00CE04A4">
              <w:rPr>
                <w:rFonts w:cs="Segoe UI Light"/>
                <w:b/>
                <w:snapToGrid w:val="0"/>
                <w:color w:val="000000"/>
              </w:rPr>
              <w:t>£m</w:t>
            </w:r>
          </w:p>
        </w:tc>
        <w:tc>
          <w:tcPr>
            <w:tcW w:w="708" w:type="dxa"/>
            <w:shd w:val="clear" w:color="auto" w:fill="FFFFFF"/>
          </w:tcPr>
          <w:p w:rsidR="00E329F7" w:rsidRPr="00CE04A4" w:rsidRDefault="00E329F7" w:rsidP="00AE1C26">
            <w:pPr>
              <w:widowControl w:val="0"/>
              <w:tabs>
                <w:tab w:val="left" w:pos="180"/>
                <w:tab w:val="right" w:pos="3060"/>
                <w:tab w:val="right" w:pos="4150"/>
              </w:tabs>
              <w:jc w:val="right"/>
              <w:rPr>
                <w:rFonts w:cs="Segoe UI Light"/>
                <w:snapToGrid w:val="0"/>
                <w:color w:val="000000"/>
              </w:rPr>
            </w:pPr>
            <w:r w:rsidRPr="00CE04A4">
              <w:rPr>
                <w:rFonts w:cs="Segoe UI Light"/>
                <w:b/>
                <w:snapToGrid w:val="0"/>
                <w:color w:val="000000"/>
              </w:rPr>
              <w:t>%</w:t>
            </w:r>
          </w:p>
        </w:tc>
        <w:tc>
          <w:tcPr>
            <w:tcW w:w="2411" w:type="dxa"/>
            <w:gridSpan w:val="7"/>
            <w:shd w:val="clear" w:color="auto" w:fill="FFFFFF"/>
          </w:tcPr>
          <w:p w:rsidR="00E329F7" w:rsidRPr="00CE04A4" w:rsidRDefault="00E329F7" w:rsidP="00AE1C26">
            <w:pPr>
              <w:widowControl w:val="0"/>
              <w:tabs>
                <w:tab w:val="left" w:pos="180"/>
                <w:tab w:val="right" w:pos="3060"/>
                <w:tab w:val="right" w:pos="4150"/>
              </w:tabs>
              <w:rPr>
                <w:rFonts w:cs="Segoe UI Light"/>
                <w:snapToGrid w:val="0"/>
                <w:color w:val="000000"/>
              </w:rPr>
            </w:pPr>
          </w:p>
        </w:tc>
        <w:tc>
          <w:tcPr>
            <w:tcW w:w="1843" w:type="dxa"/>
            <w:gridSpan w:val="3"/>
            <w:shd w:val="clear" w:color="auto" w:fill="FFFFFF"/>
          </w:tcPr>
          <w:p w:rsidR="00E329F7" w:rsidRPr="00CE04A4" w:rsidRDefault="00E329F7" w:rsidP="00AE1C26">
            <w:pPr>
              <w:widowControl w:val="0"/>
              <w:tabs>
                <w:tab w:val="left" w:pos="180"/>
                <w:tab w:val="right" w:pos="3060"/>
                <w:tab w:val="right" w:pos="4150"/>
              </w:tabs>
              <w:jc w:val="right"/>
              <w:rPr>
                <w:rFonts w:cs="Segoe UI Light"/>
                <w:snapToGrid w:val="0"/>
                <w:color w:val="000000"/>
              </w:rPr>
            </w:pPr>
            <w:r w:rsidRPr="00CE04A4">
              <w:rPr>
                <w:rFonts w:cs="Segoe UI Light"/>
                <w:b/>
                <w:snapToGrid w:val="0"/>
                <w:color w:val="000000"/>
              </w:rPr>
              <w:t>£m</w:t>
            </w:r>
          </w:p>
        </w:tc>
        <w:tc>
          <w:tcPr>
            <w:tcW w:w="920" w:type="dxa"/>
            <w:shd w:val="clear" w:color="auto" w:fill="FFFFFF"/>
          </w:tcPr>
          <w:p w:rsidR="00E329F7" w:rsidRPr="00CE04A4" w:rsidRDefault="00E329F7" w:rsidP="00AE1C26">
            <w:pPr>
              <w:widowControl w:val="0"/>
              <w:tabs>
                <w:tab w:val="left" w:pos="180"/>
                <w:tab w:val="right" w:pos="3060"/>
                <w:tab w:val="right" w:pos="4150"/>
              </w:tabs>
              <w:jc w:val="right"/>
              <w:rPr>
                <w:rFonts w:cs="Segoe UI Light"/>
                <w:snapToGrid w:val="0"/>
                <w:color w:val="000000"/>
              </w:rPr>
            </w:pPr>
            <w:r w:rsidRPr="00CE04A4">
              <w:rPr>
                <w:rFonts w:cs="Segoe UI Light"/>
                <w:b/>
                <w:snapToGrid w:val="0"/>
                <w:color w:val="000000"/>
              </w:rPr>
              <w:t>%</w:t>
            </w:r>
          </w:p>
        </w:tc>
      </w:tr>
      <w:tr w:rsidR="00E329F7" w:rsidRPr="00CE04A4" w:rsidTr="00AE1C26">
        <w:tc>
          <w:tcPr>
            <w:tcW w:w="1843" w:type="dxa"/>
            <w:shd w:val="clear" w:color="auto" w:fill="FFFFFF"/>
          </w:tcPr>
          <w:p w:rsidR="00E329F7" w:rsidRPr="00CE04A4" w:rsidRDefault="00E329F7" w:rsidP="00AE1C26">
            <w:pPr>
              <w:widowControl w:val="0"/>
              <w:tabs>
                <w:tab w:val="left" w:pos="180"/>
                <w:tab w:val="right" w:pos="3060"/>
                <w:tab w:val="right" w:pos="4150"/>
              </w:tabs>
              <w:jc w:val="right"/>
              <w:rPr>
                <w:rFonts w:cs="Segoe UI Light"/>
                <w:snapToGrid w:val="0"/>
                <w:color w:val="000000"/>
              </w:rPr>
            </w:pPr>
            <w:r w:rsidRPr="00CE04A4">
              <w:rPr>
                <w:rFonts w:cs="Segoe UI Light"/>
                <w:snapToGrid w:val="0"/>
                <w:color w:val="000000"/>
              </w:rPr>
              <w:t>422.9</w:t>
            </w:r>
          </w:p>
        </w:tc>
        <w:tc>
          <w:tcPr>
            <w:tcW w:w="851" w:type="dxa"/>
            <w:gridSpan w:val="3"/>
            <w:shd w:val="clear" w:color="auto" w:fill="FFFFFF"/>
          </w:tcPr>
          <w:p w:rsidR="00E329F7" w:rsidRPr="00CE04A4" w:rsidRDefault="00E329F7" w:rsidP="00AE1C26">
            <w:pPr>
              <w:widowControl w:val="0"/>
              <w:tabs>
                <w:tab w:val="left" w:pos="180"/>
                <w:tab w:val="right" w:pos="3060"/>
                <w:tab w:val="right" w:pos="4150"/>
              </w:tabs>
              <w:jc w:val="right"/>
              <w:rPr>
                <w:rFonts w:cs="Segoe UI Light"/>
                <w:snapToGrid w:val="0"/>
                <w:color w:val="000000"/>
              </w:rPr>
            </w:pPr>
            <w:r w:rsidRPr="00CE04A4">
              <w:t>50.8%</w:t>
            </w:r>
          </w:p>
        </w:tc>
        <w:tc>
          <w:tcPr>
            <w:tcW w:w="3119" w:type="dxa"/>
            <w:gridSpan w:val="8"/>
            <w:shd w:val="clear" w:color="auto" w:fill="FFFFFF"/>
          </w:tcPr>
          <w:p w:rsidR="00E329F7" w:rsidRPr="00CE04A4" w:rsidRDefault="00E329F7" w:rsidP="00AE1C26">
            <w:pPr>
              <w:widowControl w:val="0"/>
              <w:tabs>
                <w:tab w:val="left" w:pos="180"/>
                <w:tab w:val="right" w:pos="3060"/>
                <w:tab w:val="right" w:pos="4150"/>
              </w:tabs>
              <w:rPr>
                <w:rFonts w:cs="Segoe UI Light"/>
                <w:snapToGrid w:val="0"/>
                <w:color w:val="000000"/>
              </w:rPr>
            </w:pPr>
            <w:r w:rsidRPr="00CE04A4">
              <w:rPr>
                <w:rFonts w:cs="Segoe UI Light"/>
                <w:snapToGrid w:val="0"/>
                <w:color w:val="000000"/>
              </w:rPr>
              <w:t>Legal &amp; General</w:t>
            </w:r>
          </w:p>
        </w:tc>
        <w:tc>
          <w:tcPr>
            <w:tcW w:w="1062" w:type="dxa"/>
            <w:tcBorders>
              <w:top w:val="nil"/>
              <w:left w:val="nil"/>
              <w:bottom w:val="nil"/>
              <w:right w:val="nil"/>
            </w:tcBorders>
            <w:shd w:val="clear" w:color="auto" w:fill="auto"/>
            <w:vAlign w:val="bottom"/>
          </w:tcPr>
          <w:p w:rsidR="00E329F7" w:rsidRPr="00CE04A4" w:rsidRDefault="00E329F7" w:rsidP="00AE1C26">
            <w:pPr>
              <w:widowControl w:val="0"/>
              <w:tabs>
                <w:tab w:val="left" w:pos="180"/>
                <w:tab w:val="right" w:pos="3060"/>
                <w:tab w:val="right" w:pos="4150"/>
              </w:tabs>
              <w:jc w:val="right"/>
              <w:rPr>
                <w:rFonts w:cs="Segoe UI Light"/>
                <w:snapToGrid w:val="0"/>
                <w:color w:val="000000"/>
              </w:rPr>
            </w:pPr>
            <w:r w:rsidRPr="00CE04A4">
              <w:rPr>
                <w:rFonts w:cs="Calibri"/>
                <w:color w:val="000000"/>
              </w:rPr>
              <w:t>387.5</w:t>
            </w:r>
          </w:p>
        </w:tc>
        <w:tc>
          <w:tcPr>
            <w:tcW w:w="920" w:type="dxa"/>
            <w:tcBorders>
              <w:top w:val="nil"/>
              <w:left w:val="nil"/>
              <w:bottom w:val="nil"/>
              <w:right w:val="nil"/>
            </w:tcBorders>
            <w:shd w:val="clear" w:color="auto" w:fill="auto"/>
            <w:vAlign w:val="bottom"/>
          </w:tcPr>
          <w:p w:rsidR="00E329F7" w:rsidRPr="00CE04A4" w:rsidRDefault="00E329F7" w:rsidP="00AE1C26">
            <w:pPr>
              <w:jc w:val="right"/>
            </w:pPr>
            <w:r w:rsidRPr="00CE04A4">
              <w:rPr>
                <w:rFonts w:cs="Calibri"/>
                <w:color w:val="000000"/>
              </w:rPr>
              <w:t>49.6%</w:t>
            </w:r>
          </w:p>
        </w:tc>
      </w:tr>
      <w:tr w:rsidR="00E329F7" w:rsidRPr="00CE04A4" w:rsidTr="00AE1C26">
        <w:tc>
          <w:tcPr>
            <w:tcW w:w="1843" w:type="dxa"/>
            <w:shd w:val="clear" w:color="auto" w:fill="FFFFFF"/>
          </w:tcPr>
          <w:p w:rsidR="00E329F7" w:rsidRPr="00CE04A4" w:rsidRDefault="00E329F7" w:rsidP="00AE1C26">
            <w:pPr>
              <w:widowControl w:val="0"/>
              <w:tabs>
                <w:tab w:val="left" w:pos="180"/>
                <w:tab w:val="right" w:pos="3060"/>
                <w:tab w:val="right" w:pos="4150"/>
              </w:tabs>
              <w:jc w:val="right"/>
              <w:rPr>
                <w:rFonts w:cs="Segoe UI Light"/>
                <w:snapToGrid w:val="0"/>
                <w:color w:val="000000"/>
              </w:rPr>
            </w:pPr>
            <w:r w:rsidRPr="00CE04A4">
              <w:rPr>
                <w:rFonts w:cs="Segoe UI Light"/>
                <w:snapToGrid w:val="0"/>
                <w:color w:val="000000"/>
              </w:rPr>
              <w:t>0.2</w:t>
            </w:r>
          </w:p>
        </w:tc>
        <w:tc>
          <w:tcPr>
            <w:tcW w:w="851" w:type="dxa"/>
            <w:gridSpan w:val="3"/>
            <w:shd w:val="clear" w:color="auto" w:fill="FFFFFF"/>
          </w:tcPr>
          <w:p w:rsidR="00E329F7" w:rsidRPr="00CE04A4" w:rsidRDefault="00E329F7" w:rsidP="00AE1C26">
            <w:pPr>
              <w:widowControl w:val="0"/>
              <w:tabs>
                <w:tab w:val="left" w:pos="180"/>
                <w:tab w:val="right" w:pos="3060"/>
                <w:tab w:val="right" w:pos="4150"/>
              </w:tabs>
              <w:jc w:val="right"/>
              <w:rPr>
                <w:rFonts w:cs="Segoe UI Light"/>
                <w:snapToGrid w:val="0"/>
                <w:color w:val="000000"/>
              </w:rPr>
            </w:pPr>
            <w:r w:rsidRPr="00CE04A4">
              <w:t>0.0%</w:t>
            </w:r>
          </w:p>
        </w:tc>
        <w:tc>
          <w:tcPr>
            <w:tcW w:w="3119" w:type="dxa"/>
            <w:gridSpan w:val="8"/>
            <w:shd w:val="clear" w:color="auto" w:fill="FFFFFF"/>
          </w:tcPr>
          <w:p w:rsidR="00E329F7" w:rsidRPr="00CE04A4" w:rsidRDefault="00E329F7" w:rsidP="00AE1C26">
            <w:pPr>
              <w:widowControl w:val="0"/>
              <w:tabs>
                <w:tab w:val="left" w:pos="180"/>
                <w:tab w:val="right" w:pos="3060"/>
                <w:tab w:val="right" w:pos="4150"/>
              </w:tabs>
              <w:rPr>
                <w:rFonts w:cs="Segoe UI Light"/>
                <w:snapToGrid w:val="0"/>
                <w:color w:val="000000"/>
              </w:rPr>
            </w:pPr>
            <w:r w:rsidRPr="00CE04A4">
              <w:rPr>
                <w:rFonts w:cs="Segoe UI Light"/>
                <w:snapToGrid w:val="0"/>
                <w:color w:val="000000"/>
              </w:rPr>
              <w:t>London CIV</w:t>
            </w:r>
          </w:p>
        </w:tc>
        <w:tc>
          <w:tcPr>
            <w:tcW w:w="1062" w:type="dxa"/>
            <w:tcBorders>
              <w:top w:val="nil"/>
              <w:left w:val="nil"/>
              <w:bottom w:val="nil"/>
              <w:right w:val="nil"/>
            </w:tcBorders>
            <w:shd w:val="clear" w:color="auto" w:fill="auto"/>
            <w:vAlign w:val="bottom"/>
          </w:tcPr>
          <w:p w:rsidR="00E329F7" w:rsidRPr="00CE04A4" w:rsidRDefault="00E329F7" w:rsidP="00AE1C26">
            <w:pPr>
              <w:widowControl w:val="0"/>
              <w:tabs>
                <w:tab w:val="left" w:pos="180"/>
                <w:tab w:val="right" w:pos="3060"/>
                <w:tab w:val="right" w:pos="4150"/>
              </w:tabs>
              <w:jc w:val="right"/>
              <w:rPr>
                <w:rFonts w:cs="Segoe UI Light"/>
                <w:snapToGrid w:val="0"/>
                <w:color w:val="000000"/>
              </w:rPr>
            </w:pPr>
            <w:r w:rsidRPr="00CE04A4">
              <w:rPr>
                <w:rFonts w:cs="Calibri"/>
                <w:color w:val="000000"/>
              </w:rPr>
              <w:t>0.2</w:t>
            </w:r>
          </w:p>
        </w:tc>
        <w:tc>
          <w:tcPr>
            <w:tcW w:w="920" w:type="dxa"/>
            <w:tcBorders>
              <w:top w:val="nil"/>
              <w:left w:val="nil"/>
              <w:bottom w:val="nil"/>
              <w:right w:val="nil"/>
            </w:tcBorders>
            <w:shd w:val="clear" w:color="auto" w:fill="auto"/>
            <w:vAlign w:val="bottom"/>
          </w:tcPr>
          <w:p w:rsidR="00E329F7" w:rsidRPr="00CE04A4" w:rsidRDefault="00E329F7" w:rsidP="00AE1C26">
            <w:pPr>
              <w:jc w:val="right"/>
            </w:pPr>
            <w:r w:rsidRPr="00CE04A4">
              <w:rPr>
                <w:rFonts w:cs="Calibri"/>
                <w:color w:val="000000"/>
              </w:rPr>
              <w:t>0.0%</w:t>
            </w:r>
          </w:p>
        </w:tc>
      </w:tr>
      <w:tr w:rsidR="00E329F7" w:rsidRPr="00CE04A4" w:rsidTr="00AE1C26">
        <w:tc>
          <w:tcPr>
            <w:tcW w:w="1843" w:type="dxa"/>
            <w:shd w:val="clear" w:color="auto" w:fill="FFFFFF"/>
          </w:tcPr>
          <w:p w:rsidR="00E329F7" w:rsidRPr="00CE04A4" w:rsidRDefault="00E329F7" w:rsidP="00AE1C26">
            <w:pPr>
              <w:widowControl w:val="0"/>
              <w:tabs>
                <w:tab w:val="left" w:pos="180"/>
                <w:tab w:val="right" w:pos="3060"/>
                <w:tab w:val="right" w:pos="4150"/>
              </w:tabs>
              <w:jc w:val="right"/>
              <w:rPr>
                <w:rFonts w:cs="Segoe UI Light"/>
                <w:snapToGrid w:val="0"/>
                <w:color w:val="000000"/>
              </w:rPr>
            </w:pPr>
            <w:r w:rsidRPr="00CE04A4">
              <w:rPr>
                <w:rFonts w:cs="Segoe UI Light"/>
                <w:snapToGrid w:val="0"/>
                <w:color w:val="000000"/>
              </w:rPr>
              <w:t>30.3</w:t>
            </w:r>
          </w:p>
        </w:tc>
        <w:tc>
          <w:tcPr>
            <w:tcW w:w="851" w:type="dxa"/>
            <w:gridSpan w:val="3"/>
            <w:shd w:val="clear" w:color="auto" w:fill="FFFFFF"/>
          </w:tcPr>
          <w:p w:rsidR="00E329F7" w:rsidRPr="00CE04A4" w:rsidRDefault="00E329F7" w:rsidP="00AE1C26">
            <w:pPr>
              <w:widowControl w:val="0"/>
              <w:tabs>
                <w:tab w:val="left" w:pos="180"/>
                <w:tab w:val="right" w:pos="3060"/>
                <w:tab w:val="right" w:pos="4150"/>
              </w:tabs>
              <w:jc w:val="right"/>
              <w:rPr>
                <w:rFonts w:cs="Segoe UI Light"/>
                <w:snapToGrid w:val="0"/>
                <w:color w:val="000000"/>
              </w:rPr>
            </w:pPr>
            <w:r w:rsidRPr="00CE04A4">
              <w:t>3.6%</w:t>
            </w:r>
          </w:p>
        </w:tc>
        <w:tc>
          <w:tcPr>
            <w:tcW w:w="3119" w:type="dxa"/>
            <w:gridSpan w:val="8"/>
            <w:shd w:val="clear" w:color="auto" w:fill="FFFFFF"/>
          </w:tcPr>
          <w:p w:rsidR="00E329F7" w:rsidRPr="00CE04A4" w:rsidRDefault="00E329F7" w:rsidP="00AE1C26">
            <w:pPr>
              <w:widowControl w:val="0"/>
              <w:tabs>
                <w:tab w:val="left" w:pos="180"/>
                <w:tab w:val="right" w:pos="3060"/>
                <w:tab w:val="right" w:pos="4150"/>
              </w:tabs>
              <w:rPr>
                <w:rFonts w:cs="Segoe UI Light"/>
                <w:snapToGrid w:val="0"/>
                <w:color w:val="000000"/>
              </w:rPr>
            </w:pPr>
            <w:r>
              <w:rPr>
                <w:rFonts w:cs="Segoe UI Light"/>
                <w:snapToGrid w:val="0"/>
                <w:color w:val="000000"/>
              </w:rPr>
              <w:t xml:space="preserve">Janus </w:t>
            </w:r>
            <w:r w:rsidRPr="00CE04A4">
              <w:rPr>
                <w:rFonts w:cs="Segoe UI Light"/>
                <w:snapToGrid w:val="0"/>
                <w:color w:val="000000"/>
              </w:rPr>
              <w:t>Henderson</w:t>
            </w:r>
          </w:p>
        </w:tc>
        <w:tc>
          <w:tcPr>
            <w:tcW w:w="1062" w:type="dxa"/>
            <w:tcBorders>
              <w:top w:val="nil"/>
              <w:left w:val="nil"/>
              <w:bottom w:val="nil"/>
              <w:right w:val="nil"/>
            </w:tcBorders>
            <w:shd w:val="clear" w:color="auto" w:fill="auto"/>
            <w:vAlign w:val="bottom"/>
          </w:tcPr>
          <w:p w:rsidR="00E329F7" w:rsidRPr="00CE04A4" w:rsidRDefault="00E329F7" w:rsidP="00AE1C26">
            <w:pPr>
              <w:widowControl w:val="0"/>
              <w:tabs>
                <w:tab w:val="left" w:pos="180"/>
                <w:tab w:val="right" w:pos="3060"/>
                <w:tab w:val="right" w:pos="4150"/>
              </w:tabs>
              <w:jc w:val="right"/>
              <w:rPr>
                <w:rFonts w:cs="Segoe UI Light"/>
                <w:snapToGrid w:val="0"/>
                <w:color w:val="000000"/>
              </w:rPr>
            </w:pPr>
            <w:r>
              <w:rPr>
                <w:rFonts w:cs="Calibri"/>
                <w:color w:val="000000"/>
              </w:rPr>
              <w:t>0.0</w:t>
            </w:r>
          </w:p>
        </w:tc>
        <w:tc>
          <w:tcPr>
            <w:tcW w:w="920" w:type="dxa"/>
            <w:tcBorders>
              <w:top w:val="nil"/>
              <w:left w:val="nil"/>
              <w:bottom w:val="nil"/>
              <w:right w:val="nil"/>
            </w:tcBorders>
            <w:shd w:val="clear" w:color="auto" w:fill="auto"/>
            <w:vAlign w:val="bottom"/>
          </w:tcPr>
          <w:p w:rsidR="00E329F7" w:rsidRPr="00CE04A4" w:rsidRDefault="00E329F7" w:rsidP="00AE1C26">
            <w:pPr>
              <w:jc w:val="right"/>
            </w:pPr>
            <w:r>
              <w:rPr>
                <w:rFonts w:cs="Calibri"/>
                <w:color w:val="000000"/>
              </w:rPr>
              <w:t>0.0</w:t>
            </w:r>
            <w:r w:rsidRPr="00CE04A4">
              <w:rPr>
                <w:rFonts w:cs="Calibri"/>
                <w:color w:val="000000"/>
              </w:rPr>
              <w:t>%</w:t>
            </w:r>
          </w:p>
        </w:tc>
      </w:tr>
      <w:tr w:rsidR="00E329F7" w:rsidRPr="00CE04A4" w:rsidTr="00AE1C26">
        <w:tc>
          <w:tcPr>
            <w:tcW w:w="1843" w:type="dxa"/>
            <w:shd w:val="clear" w:color="auto" w:fill="FFFFFF"/>
          </w:tcPr>
          <w:p w:rsidR="00E329F7" w:rsidRPr="00CE04A4" w:rsidRDefault="00E329F7" w:rsidP="00AE1C26">
            <w:pPr>
              <w:widowControl w:val="0"/>
              <w:tabs>
                <w:tab w:val="left" w:pos="180"/>
                <w:tab w:val="right" w:pos="3060"/>
                <w:tab w:val="right" w:pos="4150"/>
              </w:tabs>
              <w:jc w:val="right"/>
              <w:rPr>
                <w:rFonts w:cs="Segoe UI Light"/>
                <w:snapToGrid w:val="0"/>
                <w:color w:val="000000"/>
              </w:rPr>
            </w:pPr>
            <w:r>
              <w:rPr>
                <w:rFonts w:cs="Segoe UI Light"/>
                <w:snapToGrid w:val="0"/>
                <w:color w:val="000000"/>
              </w:rPr>
              <w:t>0.0</w:t>
            </w:r>
          </w:p>
        </w:tc>
        <w:tc>
          <w:tcPr>
            <w:tcW w:w="851" w:type="dxa"/>
            <w:gridSpan w:val="3"/>
            <w:shd w:val="clear" w:color="auto" w:fill="FFFFFF"/>
          </w:tcPr>
          <w:p w:rsidR="00E329F7" w:rsidRPr="00CE04A4" w:rsidRDefault="00E329F7" w:rsidP="00AE1C26">
            <w:pPr>
              <w:widowControl w:val="0"/>
              <w:tabs>
                <w:tab w:val="left" w:pos="180"/>
                <w:tab w:val="right" w:pos="3060"/>
                <w:tab w:val="right" w:pos="4150"/>
              </w:tabs>
              <w:jc w:val="right"/>
            </w:pPr>
            <w:r>
              <w:t>0.0%</w:t>
            </w:r>
          </w:p>
        </w:tc>
        <w:tc>
          <w:tcPr>
            <w:tcW w:w="3119" w:type="dxa"/>
            <w:gridSpan w:val="8"/>
            <w:shd w:val="clear" w:color="auto" w:fill="FFFFFF"/>
          </w:tcPr>
          <w:p w:rsidR="00E329F7" w:rsidRPr="00CE04A4" w:rsidRDefault="00E329F7" w:rsidP="00AE1C26">
            <w:pPr>
              <w:widowControl w:val="0"/>
              <w:tabs>
                <w:tab w:val="left" w:pos="180"/>
                <w:tab w:val="right" w:pos="3060"/>
                <w:tab w:val="right" w:pos="4150"/>
              </w:tabs>
              <w:rPr>
                <w:rFonts w:cs="Segoe UI Light"/>
                <w:snapToGrid w:val="0"/>
                <w:color w:val="000000"/>
              </w:rPr>
            </w:pPr>
            <w:r>
              <w:rPr>
                <w:rFonts w:cs="Segoe UI Light"/>
                <w:snapToGrid w:val="0"/>
                <w:color w:val="000000"/>
              </w:rPr>
              <w:t>JP Morgan</w:t>
            </w:r>
          </w:p>
        </w:tc>
        <w:tc>
          <w:tcPr>
            <w:tcW w:w="1062" w:type="dxa"/>
            <w:tcBorders>
              <w:top w:val="nil"/>
              <w:left w:val="nil"/>
              <w:bottom w:val="nil"/>
              <w:right w:val="nil"/>
            </w:tcBorders>
            <w:shd w:val="clear" w:color="auto" w:fill="auto"/>
            <w:vAlign w:val="bottom"/>
          </w:tcPr>
          <w:p w:rsidR="00E329F7" w:rsidRPr="00CE04A4" w:rsidRDefault="00E329F7" w:rsidP="00AE1C26">
            <w:pPr>
              <w:widowControl w:val="0"/>
              <w:tabs>
                <w:tab w:val="left" w:pos="180"/>
                <w:tab w:val="right" w:pos="3060"/>
                <w:tab w:val="right" w:pos="4150"/>
              </w:tabs>
              <w:jc w:val="right"/>
              <w:rPr>
                <w:rFonts w:cs="Calibri"/>
                <w:color w:val="000000"/>
              </w:rPr>
            </w:pPr>
            <w:r>
              <w:rPr>
                <w:rFonts w:cs="Calibri"/>
                <w:color w:val="000000"/>
              </w:rPr>
              <w:t>25.2</w:t>
            </w:r>
          </w:p>
        </w:tc>
        <w:tc>
          <w:tcPr>
            <w:tcW w:w="920" w:type="dxa"/>
            <w:tcBorders>
              <w:top w:val="nil"/>
              <w:left w:val="nil"/>
              <w:bottom w:val="nil"/>
              <w:right w:val="nil"/>
            </w:tcBorders>
            <w:shd w:val="clear" w:color="auto" w:fill="auto"/>
            <w:vAlign w:val="bottom"/>
          </w:tcPr>
          <w:p w:rsidR="00E329F7" w:rsidRPr="00CE04A4" w:rsidRDefault="00E329F7" w:rsidP="00AE1C26">
            <w:pPr>
              <w:jc w:val="right"/>
              <w:rPr>
                <w:rFonts w:cs="Calibri"/>
                <w:color w:val="000000"/>
              </w:rPr>
            </w:pPr>
            <w:r>
              <w:rPr>
                <w:rFonts w:cs="Calibri"/>
                <w:color w:val="000000"/>
              </w:rPr>
              <w:t>3.2%</w:t>
            </w:r>
          </w:p>
        </w:tc>
      </w:tr>
      <w:tr w:rsidR="00E329F7" w:rsidRPr="00CE04A4" w:rsidTr="00AE1C26">
        <w:tc>
          <w:tcPr>
            <w:tcW w:w="1843" w:type="dxa"/>
            <w:shd w:val="clear" w:color="auto" w:fill="FFFFFF"/>
          </w:tcPr>
          <w:p w:rsidR="00E329F7" w:rsidRPr="00CE04A4" w:rsidRDefault="00E329F7" w:rsidP="00AE1C26">
            <w:pPr>
              <w:widowControl w:val="0"/>
              <w:tabs>
                <w:tab w:val="left" w:pos="180"/>
                <w:tab w:val="right" w:pos="3060"/>
                <w:tab w:val="right" w:pos="4150"/>
              </w:tabs>
              <w:jc w:val="right"/>
              <w:rPr>
                <w:rFonts w:cs="Segoe UI Light"/>
                <w:snapToGrid w:val="0"/>
                <w:color w:val="000000"/>
              </w:rPr>
            </w:pPr>
            <w:r w:rsidRPr="00CE04A4">
              <w:rPr>
                <w:rFonts w:cs="Segoe UI Light"/>
                <w:snapToGrid w:val="0"/>
                <w:color w:val="000000"/>
              </w:rPr>
              <w:t>69.4</w:t>
            </w:r>
          </w:p>
        </w:tc>
        <w:tc>
          <w:tcPr>
            <w:tcW w:w="851" w:type="dxa"/>
            <w:gridSpan w:val="3"/>
            <w:shd w:val="clear" w:color="auto" w:fill="FFFFFF"/>
          </w:tcPr>
          <w:p w:rsidR="00E329F7" w:rsidRPr="00CE04A4" w:rsidRDefault="00E329F7" w:rsidP="00AE1C26">
            <w:pPr>
              <w:widowControl w:val="0"/>
              <w:tabs>
                <w:tab w:val="left" w:pos="180"/>
                <w:tab w:val="right" w:pos="3060"/>
                <w:tab w:val="right" w:pos="4150"/>
              </w:tabs>
              <w:jc w:val="right"/>
              <w:rPr>
                <w:rFonts w:cs="Segoe UI Light"/>
                <w:snapToGrid w:val="0"/>
                <w:color w:val="000000"/>
              </w:rPr>
            </w:pPr>
            <w:r w:rsidRPr="00CE04A4">
              <w:t>8.3%</w:t>
            </w:r>
          </w:p>
        </w:tc>
        <w:tc>
          <w:tcPr>
            <w:tcW w:w="3119" w:type="dxa"/>
            <w:gridSpan w:val="8"/>
            <w:shd w:val="clear" w:color="auto" w:fill="FFFFFF"/>
          </w:tcPr>
          <w:p w:rsidR="00E329F7" w:rsidRPr="00CE04A4" w:rsidRDefault="00E329F7" w:rsidP="00AE1C26">
            <w:pPr>
              <w:widowControl w:val="0"/>
              <w:tabs>
                <w:tab w:val="left" w:pos="180"/>
                <w:tab w:val="right" w:pos="3060"/>
                <w:tab w:val="right" w:pos="4150"/>
              </w:tabs>
              <w:rPr>
                <w:rFonts w:cs="Segoe UI Light"/>
                <w:snapToGrid w:val="0"/>
                <w:color w:val="000000"/>
              </w:rPr>
            </w:pPr>
            <w:r w:rsidRPr="00CE04A4">
              <w:rPr>
                <w:rFonts w:cs="Segoe UI Light"/>
                <w:snapToGrid w:val="0"/>
                <w:color w:val="000000"/>
              </w:rPr>
              <w:t>Capital Dynamics</w:t>
            </w:r>
          </w:p>
        </w:tc>
        <w:tc>
          <w:tcPr>
            <w:tcW w:w="1062" w:type="dxa"/>
            <w:tcBorders>
              <w:top w:val="nil"/>
              <w:left w:val="nil"/>
              <w:bottom w:val="nil"/>
              <w:right w:val="nil"/>
            </w:tcBorders>
            <w:shd w:val="clear" w:color="auto" w:fill="auto"/>
            <w:vAlign w:val="bottom"/>
          </w:tcPr>
          <w:p w:rsidR="00E329F7" w:rsidRPr="00CE04A4" w:rsidRDefault="00E329F7" w:rsidP="00AE1C26">
            <w:pPr>
              <w:widowControl w:val="0"/>
              <w:tabs>
                <w:tab w:val="left" w:pos="180"/>
                <w:tab w:val="right" w:pos="3060"/>
                <w:tab w:val="right" w:pos="4150"/>
              </w:tabs>
              <w:jc w:val="right"/>
              <w:rPr>
                <w:rFonts w:cs="Segoe UI Light"/>
                <w:snapToGrid w:val="0"/>
                <w:color w:val="000000"/>
              </w:rPr>
            </w:pPr>
            <w:r w:rsidRPr="00CE04A4">
              <w:rPr>
                <w:rFonts w:cs="Calibri"/>
                <w:color w:val="000000"/>
              </w:rPr>
              <w:t>59.2</w:t>
            </w:r>
          </w:p>
        </w:tc>
        <w:tc>
          <w:tcPr>
            <w:tcW w:w="920" w:type="dxa"/>
            <w:tcBorders>
              <w:top w:val="nil"/>
              <w:left w:val="nil"/>
              <w:bottom w:val="nil"/>
              <w:right w:val="nil"/>
            </w:tcBorders>
            <w:shd w:val="clear" w:color="auto" w:fill="auto"/>
            <w:vAlign w:val="bottom"/>
          </w:tcPr>
          <w:p w:rsidR="00E329F7" w:rsidRPr="00CE04A4" w:rsidRDefault="00E329F7" w:rsidP="00AE1C26">
            <w:pPr>
              <w:jc w:val="right"/>
            </w:pPr>
            <w:r w:rsidRPr="00CE04A4">
              <w:rPr>
                <w:rFonts w:cs="Calibri"/>
                <w:color w:val="000000"/>
              </w:rPr>
              <w:t>7.6%</w:t>
            </w:r>
          </w:p>
        </w:tc>
      </w:tr>
      <w:tr w:rsidR="00E329F7" w:rsidRPr="00CE04A4" w:rsidTr="00AE1C26">
        <w:tc>
          <w:tcPr>
            <w:tcW w:w="1843" w:type="dxa"/>
            <w:shd w:val="clear" w:color="auto" w:fill="FFFFFF"/>
          </w:tcPr>
          <w:p w:rsidR="00E329F7" w:rsidRPr="00CE04A4" w:rsidRDefault="00E329F7" w:rsidP="00AE1C26">
            <w:pPr>
              <w:widowControl w:val="0"/>
              <w:tabs>
                <w:tab w:val="left" w:pos="180"/>
                <w:tab w:val="right" w:pos="3060"/>
                <w:tab w:val="right" w:pos="4150"/>
              </w:tabs>
              <w:jc w:val="right"/>
              <w:rPr>
                <w:rFonts w:cs="Segoe UI Light"/>
                <w:snapToGrid w:val="0"/>
                <w:color w:val="000000"/>
              </w:rPr>
            </w:pPr>
            <w:r w:rsidRPr="00CE04A4">
              <w:rPr>
                <w:rFonts w:cs="Segoe UI Light"/>
                <w:snapToGrid w:val="0"/>
                <w:color w:val="000000"/>
              </w:rPr>
              <w:t>0.0</w:t>
            </w:r>
          </w:p>
        </w:tc>
        <w:tc>
          <w:tcPr>
            <w:tcW w:w="851" w:type="dxa"/>
            <w:gridSpan w:val="3"/>
            <w:shd w:val="clear" w:color="auto" w:fill="FFFFFF"/>
          </w:tcPr>
          <w:p w:rsidR="00E329F7" w:rsidRPr="00CE04A4" w:rsidRDefault="00E329F7" w:rsidP="00AE1C26">
            <w:pPr>
              <w:widowControl w:val="0"/>
              <w:tabs>
                <w:tab w:val="left" w:pos="180"/>
                <w:tab w:val="right" w:pos="3060"/>
                <w:tab w:val="right" w:pos="4150"/>
              </w:tabs>
              <w:jc w:val="right"/>
              <w:rPr>
                <w:rFonts w:cs="Segoe UI Light"/>
                <w:snapToGrid w:val="0"/>
                <w:color w:val="000000"/>
              </w:rPr>
            </w:pPr>
            <w:r w:rsidRPr="00CE04A4">
              <w:t>0.0%</w:t>
            </w:r>
          </w:p>
        </w:tc>
        <w:tc>
          <w:tcPr>
            <w:tcW w:w="3119" w:type="dxa"/>
            <w:gridSpan w:val="8"/>
            <w:shd w:val="clear" w:color="auto" w:fill="FFFFFF"/>
          </w:tcPr>
          <w:p w:rsidR="00E329F7" w:rsidRPr="00CE04A4" w:rsidRDefault="00E329F7" w:rsidP="00AE1C26">
            <w:pPr>
              <w:widowControl w:val="0"/>
              <w:tabs>
                <w:tab w:val="left" w:pos="180"/>
                <w:tab w:val="right" w:pos="3060"/>
                <w:tab w:val="right" w:pos="4150"/>
              </w:tabs>
              <w:rPr>
                <w:rFonts w:cs="Segoe UI Light"/>
                <w:snapToGrid w:val="0"/>
                <w:color w:val="000000"/>
              </w:rPr>
            </w:pPr>
            <w:r w:rsidRPr="00CE04A4">
              <w:rPr>
                <w:rFonts w:cs="Segoe UI Light"/>
                <w:snapToGrid w:val="0"/>
                <w:color w:val="000000"/>
              </w:rPr>
              <w:t>Yorkshire Fund Managers</w:t>
            </w:r>
          </w:p>
        </w:tc>
        <w:tc>
          <w:tcPr>
            <w:tcW w:w="1062" w:type="dxa"/>
            <w:tcBorders>
              <w:top w:val="nil"/>
              <w:left w:val="nil"/>
              <w:bottom w:val="nil"/>
              <w:right w:val="nil"/>
            </w:tcBorders>
            <w:shd w:val="clear" w:color="auto" w:fill="auto"/>
            <w:vAlign w:val="bottom"/>
          </w:tcPr>
          <w:p w:rsidR="00E329F7" w:rsidRPr="00CE04A4" w:rsidRDefault="00E329F7" w:rsidP="00AE1C26">
            <w:pPr>
              <w:widowControl w:val="0"/>
              <w:tabs>
                <w:tab w:val="left" w:pos="180"/>
                <w:tab w:val="right" w:pos="3060"/>
                <w:tab w:val="right" w:pos="4150"/>
              </w:tabs>
              <w:jc w:val="right"/>
              <w:rPr>
                <w:rFonts w:cs="Segoe UI Light"/>
                <w:snapToGrid w:val="0"/>
                <w:color w:val="000000"/>
              </w:rPr>
            </w:pPr>
            <w:r w:rsidRPr="00CE04A4">
              <w:rPr>
                <w:rFonts w:cs="Calibri"/>
                <w:color w:val="000000"/>
              </w:rPr>
              <w:t>0.0</w:t>
            </w:r>
          </w:p>
        </w:tc>
        <w:tc>
          <w:tcPr>
            <w:tcW w:w="920" w:type="dxa"/>
            <w:tcBorders>
              <w:top w:val="nil"/>
              <w:left w:val="nil"/>
              <w:bottom w:val="nil"/>
              <w:right w:val="nil"/>
            </w:tcBorders>
            <w:shd w:val="clear" w:color="auto" w:fill="auto"/>
            <w:vAlign w:val="bottom"/>
          </w:tcPr>
          <w:p w:rsidR="00E329F7" w:rsidRPr="00CE04A4" w:rsidRDefault="00E329F7" w:rsidP="00AE1C26">
            <w:pPr>
              <w:jc w:val="right"/>
            </w:pPr>
            <w:r w:rsidRPr="00CE04A4">
              <w:rPr>
                <w:rFonts w:cs="Calibri"/>
                <w:color w:val="000000"/>
              </w:rPr>
              <w:t>0.0%</w:t>
            </w:r>
          </w:p>
        </w:tc>
      </w:tr>
      <w:tr w:rsidR="00E329F7" w:rsidRPr="00CE04A4" w:rsidTr="00AE1C26">
        <w:tc>
          <w:tcPr>
            <w:tcW w:w="1843" w:type="dxa"/>
            <w:shd w:val="clear" w:color="auto" w:fill="FFFFFF"/>
          </w:tcPr>
          <w:p w:rsidR="00E329F7" w:rsidRPr="00CE04A4" w:rsidRDefault="00E329F7" w:rsidP="00AE1C26">
            <w:pPr>
              <w:widowControl w:val="0"/>
              <w:tabs>
                <w:tab w:val="left" w:pos="180"/>
                <w:tab w:val="right" w:pos="3060"/>
                <w:tab w:val="right" w:pos="4150"/>
              </w:tabs>
              <w:jc w:val="right"/>
              <w:rPr>
                <w:rFonts w:cs="Segoe UI Light"/>
                <w:snapToGrid w:val="0"/>
                <w:color w:val="000000"/>
              </w:rPr>
            </w:pPr>
            <w:r w:rsidRPr="00CE04A4">
              <w:rPr>
                <w:rFonts w:cs="Segoe UI Light"/>
                <w:snapToGrid w:val="0"/>
                <w:color w:val="000000"/>
              </w:rPr>
              <w:t>121.5</w:t>
            </w:r>
          </w:p>
        </w:tc>
        <w:tc>
          <w:tcPr>
            <w:tcW w:w="851" w:type="dxa"/>
            <w:gridSpan w:val="3"/>
            <w:shd w:val="clear" w:color="auto" w:fill="FFFFFF"/>
          </w:tcPr>
          <w:p w:rsidR="00E329F7" w:rsidRPr="00CE04A4" w:rsidRDefault="00E329F7" w:rsidP="00AE1C26">
            <w:pPr>
              <w:widowControl w:val="0"/>
              <w:tabs>
                <w:tab w:val="left" w:pos="180"/>
                <w:tab w:val="right" w:pos="3060"/>
                <w:tab w:val="right" w:pos="4150"/>
              </w:tabs>
              <w:jc w:val="right"/>
              <w:rPr>
                <w:rFonts w:cs="Segoe UI Light"/>
                <w:snapToGrid w:val="0"/>
                <w:color w:val="000000"/>
              </w:rPr>
            </w:pPr>
            <w:r w:rsidRPr="00CE04A4">
              <w:t>14.6%</w:t>
            </w:r>
          </w:p>
        </w:tc>
        <w:tc>
          <w:tcPr>
            <w:tcW w:w="3119" w:type="dxa"/>
            <w:gridSpan w:val="8"/>
            <w:shd w:val="clear" w:color="auto" w:fill="FFFFFF"/>
          </w:tcPr>
          <w:p w:rsidR="00E329F7" w:rsidRPr="00CE04A4" w:rsidRDefault="00E329F7" w:rsidP="00AE1C26">
            <w:pPr>
              <w:widowControl w:val="0"/>
              <w:tabs>
                <w:tab w:val="left" w:pos="180"/>
                <w:tab w:val="right" w:pos="3060"/>
                <w:tab w:val="right" w:pos="4150"/>
              </w:tabs>
              <w:rPr>
                <w:rFonts w:cs="Segoe UI Light"/>
                <w:snapToGrid w:val="0"/>
                <w:color w:val="000000"/>
              </w:rPr>
            </w:pPr>
            <w:r w:rsidRPr="00CE04A4">
              <w:rPr>
                <w:rFonts w:cs="Segoe UI Light"/>
                <w:snapToGrid w:val="0"/>
                <w:color w:val="000000"/>
              </w:rPr>
              <w:t>LCIV - Baillie Gifford</w:t>
            </w:r>
          </w:p>
        </w:tc>
        <w:tc>
          <w:tcPr>
            <w:tcW w:w="1062" w:type="dxa"/>
            <w:tcBorders>
              <w:top w:val="nil"/>
              <w:left w:val="nil"/>
              <w:bottom w:val="nil"/>
              <w:right w:val="nil"/>
            </w:tcBorders>
            <w:shd w:val="clear" w:color="auto" w:fill="auto"/>
            <w:vAlign w:val="bottom"/>
          </w:tcPr>
          <w:p w:rsidR="00E329F7" w:rsidRPr="00CE04A4" w:rsidRDefault="00E329F7" w:rsidP="00AE1C26">
            <w:pPr>
              <w:widowControl w:val="0"/>
              <w:tabs>
                <w:tab w:val="left" w:pos="180"/>
                <w:tab w:val="right" w:pos="3060"/>
                <w:tab w:val="right" w:pos="4150"/>
              </w:tabs>
              <w:jc w:val="right"/>
              <w:rPr>
                <w:rFonts w:cs="Segoe UI Light"/>
                <w:snapToGrid w:val="0"/>
                <w:color w:val="000000"/>
              </w:rPr>
            </w:pPr>
            <w:r w:rsidRPr="00CE04A4">
              <w:rPr>
                <w:rFonts w:cs="Calibri"/>
                <w:color w:val="000000"/>
              </w:rPr>
              <w:t>110.8</w:t>
            </w:r>
          </w:p>
        </w:tc>
        <w:tc>
          <w:tcPr>
            <w:tcW w:w="920" w:type="dxa"/>
            <w:tcBorders>
              <w:top w:val="nil"/>
              <w:left w:val="nil"/>
              <w:bottom w:val="nil"/>
              <w:right w:val="nil"/>
            </w:tcBorders>
            <w:shd w:val="clear" w:color="auto" w:fill="auto"/>
            <w:vAlign w:val="bottom"/>
          </w:tcPr>
          <w:p w:rsidR="00E329F7" w:rsidRPr="00CE04A4" w:rsidRDefault="00E329F7" w:rsidP="00AE1C26">
            <w:pPr>
              <w:jc w:val="right"/>
            </w:pPr>
            <w:r w:rsidRPr="00CE04A4">
              <w:rPr>
                <w:rFonts w:cs="Calibri"/>
                <w:color w:val="000000"/>
              </w:rPr>
              <w:t>14.2%</w:t>
            </w:r>
          </w:p>
        </w:tc>
      </w:tr>
      <w:tr w:rsidR="00E329F7" w:rsidRPr="00CE04A4" w:rsidTr="00AE1C26">
        <w:tc>
          <w:tcPr>
            <w:tcW w:w="1843" w:type="dxa"/>
            <w:shd w:val="clear" w:color="auto" w:fill="FFFFFF"/>
          </w:tcPr>
          <w:p w:rsidR="00E329F7" w:rsidRPr="00CE04A4" w:rsidRDefault="00E329F7" w:rsidP="00AE1C26">
            <w:pPr>
              <w:widowControl w:val="0"/>
              <w:tabs>
                <w:tab w:val="left" w:pos="180"/>
                <w:tab w:val="right" w:pos="3060"/>
                <w:tab w:val="right" w:pos="4150"/>
              </w:tabs>
              <w:jc w:val="right"/>
              <w:rPr>
                <w:rFonts w:cs="Segoe UI Light"/>
                <w:snapToGrid w:val="0"/>
                <w:color w:val="000000"/>
              </w:rPr>
            </w:pPr>
            <w:r w:rsidRPr="00CE04A4">
              <w:rPr>
                <w:rFonts w:cs="Segoe UI Light"/>
                <w:snapToGrid w:val="0"/>
                <w:color w:val="000000"/>
              </w:rPr>
              <w:t>48.6</w:t>
            </w:r>
          </w:p>
        </w:tc>
        <w:tc>
          <w:tcPr>
            <w:tcW w:w="851" w:type="dxa"/>
            <w:gridSpan w:val="3"/>
            <w:shd w:val="clear" w:color="auto" w:fill="FFFFFF"/>
          </w:tcPr>
          <w:p w:rsidR="00E329F7" w:rsidRPr="00CE04A4" w:rsidRDefault="00E329F7" w:rsidP="00AE1C26">
            <w:pPr>
              <w:widowControl w:val="0"/>
              <w:tabs>
                <w:tab w:val="left" w:pos="180"/>
                <w:tab w:val="right" w:pos="3060"/>
                <w:tab w:val="right" w:pos="4150"/>
              </w:tabs>
              <w:jc w:val="right"/>
              <w:rPr>
                <w:rFonts w:cs="Segoe UI Light"/>
                <w:snapToGrid w:val="0"/>
                <w:color w:val="000000"/>
              </w:rPr>
            </w:pPr>
            <w:r w:rsidRPr="00CE04A4">
              <w:t>5.8%</w:t>
            </w:r>
          </w:p>
        </w:tc>
        <w:tc>
          <w:tcPr>
            <w:tcW w:w="3119" w:type="dxa"/>
            <w:gridSpan w:val="8"/>
            <w:shd w:val="clear" w:color="auto" w:fill="FFFFFF"/>
          </w:tcPr>
          <w:p w:rsidR="00E329F7" w:rsidRPr="00CE04A4" w:rsidRDefault="00E329F7" w:rsidP="00AE1C26">
            <w:pPr>
              <w:widowControl w:val="0"/>
              <w:tabs>
                <w:tab w:val="left" w:pos="180"/>
                <w:tab w:val="right" w:pos="3060"/>
                <w:tab w:val="right" w:pos="4150"/>
              </w:tabs>
              <w:rPr>
                <w:rFonts w:cs="Segoe UI Light"/>
                <w:snapToGrid w:val="0"/>
                <w:color w:val="000000"/>
              </w:rPr>
            </w:pPr>
            <w:r w:rsidRPr="00CE04A4">
              <w:rPr>
                <w:rFonts w:cs="Segoe UI Light"/>
                <w:snapToGrid w:val="0"/>
                <w:color w:val="000000"/>
              </w:rPr>
              <w:t>LCIV - Ruffer</w:t>
            </w:r>
          </w:p>
        </w:tc>
        <w:tc>
          <w:tcPr>
            <w:tcW w:w="1062" w:type="dxa"/>
            <w:tcBorders>
              <w:top w:val="nil"/>
              <w:left w:val="nil"/>
              <w:bottom w:val="nil"/>
              <w:right w:val="nil"/>
            </w:tcBorders>
            <w:shd w:val="clear" w:color="auto" w:fill="auto"/>
            <w:vAlign w:val="bottom"/>
          </w:tcPr>
          <w:p w:rsidR="00E329F7" w:rsidRPr="00CE04A4" w:rsidRDefault="00E329F7" w:rsidP="00AE1C26">
            <w:pPr>
              <w:widowControl w:val="0"/>
              <w:tabs>
                <w:tab w:val="left" w:pos="180"/>
                <w:tab w:val="right" w:pos="3060"/>
                <w:tab w:val="right" w:pos="4150"/>
              </w:tabs>
              <w:jc w:val="right"/>
              <w:rPr>
                <w:rFonts w:cs="Segoe UI Light"/>
                <w:snapToGrid w:val="0"/>
                <w:color w:val="000000"/>
              </w:rPr>
            </w:pPr>
            <w:r w:rsidRPr="00CE04A4">
              <w:rPr>
                <w:rFonts w:cs="Calibri"/>
                <w:color w:val="000000"/>
              </w:rPr>
              <w:t>50.1</w:t>
            </w:r>
          </w:p>
        </w:tc>
        <w:tc>
          <w:tcPr>
            <w:tcW w:w="920" w:type="dxa"/>
            <w:tcBorders>
              <w:top w:val="nil"/>
              <w:left w:val="nil"/>
              <w:bottom w:val="nil"/>
              <w:right w:val="nil"/>
            </w:tcBorders>
            <w:shd w:val="clear" w:color="auto" w:fill="auto"/>
            <w:vAlign w:val="bottom"/>
          </w:tcPr>
          <w:p w:rsidR="00E329F7" w:rsidRPr="00CE04A4" w:rsidRDefault="00E329F7" w:rsidP="00AE1C26">
            <w:pPr>
              <w:jc w:val="right"/>
            </w:pPr>
            <w:r w:rsidRPr="00CE04A4">
              <w:rPr>
                <w:rFonts w:cs="Calibri"/>
                <w:color w:val="000000"/>
              </w:rPr>
              <w:t>6.4%</w:t>
            </w:r>
          </w:p>
        </w:tc>
      </w:tr>
      <w:tr w:rsidR="00E329F7" w:rsidRPr="00CE04A4" w:rsidTr="00AE1C26">
        <w:trPr>
          <w:trHeight w:val="237"/>
        </w:trPr>
        <w:tc>
          <w:tcPr>
            <w:tcW w:w="1843" w:type="dxa"/>
            <w:shd w:val="clear" w:color="auto" w:fill="FFFFFF"/>
          </w:tcPr>
          <w:p w:rsidR="00E329F7" w:rsidRPr="00CE04A4" w:rsidRDefault="00E329F7" w:rsidP="00AE1C26">
            <w:pPr>
              <w:widowControl w:val="0"/>
              <w:tabs>
                <w:tab w:val="left" w:pos="180"/>
                <w:tab w:val="right" w:pos="3060"/>
                <w:tab w:val="right" w:pos="4150"/>
              </w:tabs>
              <w:jc w:val="right"/>
              <w:rPr>
                <w:rFonts w:cs="Segoe UI Light"/>
                <w:snapToGrid w:val="0"/>
                <w:color w:val="000000"/>
              </w:rPr>
            </w:pPr>
            <w:r w:rsidRPr="00CE04A4">
              <w:rPr>
                <w:rFonts w:cs="Segoe UI Light"/>
                <w:snapToGrid w:val="0"/>
                <w:color w:val="000000"/>
              </w:rPr>
              <w:t>35.5</w:t>
            </w:r>
          </w:p>
        </w:tc>
        <w:tc>
          <w:tcPr>
            <w:tcW w:w="851" w:type="dxa"/>
            <w:gridSpan w:val="3"/>
            <w:shd w:val="clear" w:color="auto" w:fill="FFFFFF"/>
          </w:tcPr>
          <w:p w:rsidR="00E329F7" w:rsidRPr="00CE04A4" w:rsidRDefault="00E329F7" w:rsidP="00AE1C26">
            <w:pPr>
              <w:widowControl w:val="0"/>
              <w:tabs>
                <w:tab w:val="left" w:pos="180"/>
                <w:tab w:val="right" w:pos="3060"/>
                <w:tab w:val="right" w:pos="4150"/>
              </w:tabs>
              <w:jc w:val="right"/>
              <w:rPr>
                <w:rFonts w:cs="Segoe UI Light"/>
                <w:snapToGrid w:val="0"/>
                <w:color w:val="000000"/>
              </w:rPr>
            </w:pPr>
            <w:r w:rsidRPr="00CE04A4">
              <w:t>4.3%</w:t>
            </w:r>
          </w:p>
        </w:tc>
        <w:tc>
          <w:tcPr>
            <w:tcW w:w="3119" w:type="dxa"/>
            <w:gridSpan w:val="8"/>
            <w:shd w:val="clear" w:color="auto" w:fill="FFFFFF"/>
          </w:tcPr>
          <w:p w:rsidR="00E329F7" w:rsidRPr="00CE04A4" w:rsidRDefault="00E329F7" w:rsidP="00AE1C26">
            <w:pPr>
              <w:widowControl w:val="0"/>
              <w:tabs>
                <w:tab w:val="left" w:pos="180"/>
                <w:tab w:val="right" w:pos="3060"/>
                <w:tab w:val="right" w:pos="4150"/>
              </w:tabs>
              <w:rPr>
                <w:rFonts w:cs="Segoe UI Light"/>
                <w:snapToGrid w:val="0"/>
                <w:color w:val="000000"/>
              </w:rPr>
            </w:pPr>
            <w:r w:rsidRPr="00CE04A4">
              <w:rPr>
                <w:rFonts w:cs="Segoe UI Light"/>
                <w:snapToGrid w:val="0"/>
                <w:color w:val="000000"/>
              </w:rPr>
              <w:t>LCIV- MAC (CQS)</w:t>
            </w:r>
          </w:p>
        </w:tc>
        <w:tc>
          <w:tcPr>
            <w:tcW w:w="1062" w:type="dxa"/>
            <w:tcBorders>
              <w:top w:val="nil"/>
              <w:left w:val="nil"/>
              <w:bottom w:val="nil"/>
              <w:right w:val="nil"/>
            </w:tcBorders>
            <w:shd w:val="clear" w:color="auto" w:fill="auto"/>
            <w:vAlign w:val="bottom"/>
          </w:tcPr>
          <w:p w:rsidR="00E329F7" w:rsidRPr="00CE04A4" w:rsidRDefault="00E329F7" w:rsidP="00AE1C26">
            <w:pPr>
              <w:widowControl w:val="0"/>
              <w:tabs>
                <w:tab w:val="left" w:pos="180"/>
                <w:tab w:val="right" w:pos="3060"/>
                <w:tab w:val="right" w:pos="4150"/>
              </w:tabs>
              <w:jc w:val="right"/>
              <w:rPr>
                <w:rFonts w:cs="Segoe UI Light"/>
                <w:snapToGrid w:val="0"/>
                <w:color w:val="000000"/>
              </w:rPr>
            </w:pPr>
            <w:r w:rsidRPr="00CE04A4">
              <w:rPr>
                <w:rFonts w:cs="Calibri"/>
                <w:color w:val="000000"/>
              </w:rPr>
              <w:t>30.6</w:t>
            </w:r>
          </w:p>
        </w:tc>
        <w:tc>
          <w:tcPr>
            <w:tcW w:w="920" w:type="dxa"/>
            <w:tcBorders>
              <w:top w:val="nil"/>
              <w:left w:val="nil"/>
              <w:bottom w:val="nil"/>
              <w:right w:val="nil"/>
            </w:tcBorders>
            <w:shd w:val="clear" w:color="auto" w:fill="auto"/>
            <w:vAlign w:val="bottom"/>
          </w:tcPr>
          <w:p w:rsidR="00E329F7" w:rsidRPr="00CE04A4" w:rsidRDefault="00E329F7" w:rsidP="00AE1C26">
            <w:pPr>
              <w:jc w:val="right"/>
            </w:pPr>
            <w:r w:rsidRPr="00CE04A4">
              <w:rPr>
                <w:rFonts w:cs="Calibri"/>
                <w:color w:val="000000"/>
              </w:rPr>
              <w:t>3.9%</w:t>
            </w:r>
          </w:p>
        </w:tc>
      </w:tr>
      <w:tr w:rsidR="00E329F7" w:rsidRPr="00CE04A4" w:rsidTr="00AE1C26">
        <w:trPr>
          <w:trHeight w:val="300"/>
        </w:trPr>
        <w:tc>
          <w:tcPr>
            <w:tcW w:w="1843" w:type="dxa"/>
            <w:shd w:val="clear" w:color="auto" w:fill="FFFFFF"/>
          </w:tcPr>
          <w:p w:rsidR="00E329F7" w:rsidRPr="00CE04A4" w:rsidRDefault="00E329F7" w:rsidP="00AE1C26">
            <w:pPr>
              <w:widowControl w:val="0"/>
              <w:tabs>
                <w:tab w:val="left" w:pos="180"/>
                <w:tab w:val="right" w:pos="3060"/>
                <w:tab w:val="right" w:pos="4150"/>
              </w:tabs>
              <w:jc w:val="right"/>
              <w:rPr>
                <w:rFonts w:cs="Segoe UI Light"/>
                <w:snapToGrid w:val="0"/>
                <w:color w:val="000000"/>
              </w:rPr>
            </w:pPr>
            <w:r w:rsidRPr="00CE04A4">
              <w:rPr>
                <w:rFonts w:cs="Segoe UI Light"/>
                <w:snapToGrid w:val="0"/>
                <w:color w:val="000000"/>
              </w:rPr>
              <w:t>0.0</w:t>
            </w:r>
          </w:p>
        </w:tc>
        <w:tc>
          <w:tcPr>
            <w:tcW w:w="851" w:type="dxa"/>
            <w:gridSpan w:val="3"/>
            <w:shd w:val="clear" w:color="auto" w:fill="FFFFFF"/>
          </w:tcPr>
          <w:p w:rsidR="00E329F7" w:rsidRPr="00CE04A4" w:rsidRDefault="00E329F7" w:rsidP="00AE1C26">
            <w:pPr>
              <w:widowControl w:val="0"/>
              <w:tabs>
                <w:tab w:val="left" w:pos="180"/>
                <w:tab w:val="right" w:pos="3060"/>
                <w:tab w:val="right" w:pos="4150"/>
              </w:tabs>
              <w:jc w:val="right"/>
            </w:pPr>
            <w:r w:rsidRPr="00CE04A4">
              <w:t>0.0%</w:t>
            </w:r>
          </w:p>
        </w:tc>
        <w:tc>
          <w:tcPr>
            <w:tcW w:w="3119" w:type="dxa"/>
            <w:gridSpan w:val="8"/>
            <w:shd w:val="clear" w:color="auto" w:fill="FFFFFF"/>
          </w:tcPr>
          <w:p w:rsidR="00E329F7" w:rsidRPr="00CE04A4" w:rsidRDefault="00E329F7" w:rsidP="00AE1C26">
            <w:pPr>
              <w:widowControl w:val="0"/>
              <w:tabs>
                <w:tab w:val="left" w:pos="180"/>
                <w:tab w:val="right" w:pos="3060"/>
                <w:tab w:val="right" w:pos="4150"/>
              </w:tabs>
              <w:rPr>
                <w:rFonts w:cs="Segoe UI Light"/>
                <w:snapToGrid w:val="0"/>
                <w:color w:val="000000"/>
              </w:rPr>
            </w:pPr>
            <w:r w:rsidRPr="00CE04A4">
              <w:rPr>
                <w:rFonts w:cs="Segoe UI Light"/>
                <w:snapToGrid w:val="0"/>
                <w:color w:val="000000"/>
              </w:rPr>
              <w:t>LCIV - Infrastructure</w:t>
            </w:r>
          </w:p>
        </w:tc>
        <w:tc>
          <w:tcPr>
            <w:tcW w:w="1062" w:type="dxa"/>
            <w:tcBorders>
              <w:top w:val="nil"/>
              <w:left w:val="nil"/>
              <w:bottom w:val="nil"/>
              <w:right w:val="nil"/>
            </w:tcBorders>
            <w:shd w:val="clear" w:color="auto" w:fill="auto"/>
            <w:vAlign w:val="bottom"/>
          </w:tcPr>
          <w:p w:rsidR="00E329F7" w:rsidRPr="00CE04A4" w:rsidRDefault="00E329F7" w:rsidP="00AE1C26">
            <w:pPr>
              <w:widowControl w:val="0"/>
              <w:tabs>
                <w:tab w:val="left" w:pos="180"/>
                <w:tab w:val="right" w:pos="3060"/>
                <w:tab w:val="right" w:pos="4150"/>
              </w:tabs>
              <w:jc w:val="right"/>
              <w:rPr>
                <w:rFonts w:cs="Segoe UI Light"/>
                <w:snapToGrid w:val="0"/>
                <w:color w:val="000000"/>
              </w:rPr>
            </w:pPr>
            <w:r w:rsidRPr="00CE04A4">
              <w:rPr>
                <w:rFonts w:cs="Calibri"/>
                <w:color w:val="000000"/>
              </w:rPr>
              <w:t>0.5</w:t>
            </w:r>
          </w:p>
        </w:tc>
        <w:tc>
          <w:tcPr>
            <w:tcW w:w="920" w:type="dxa"/>
            <w:tcBorders>
              <w:top w:val="nil"/>
              <w:left w:val="nil"/>
              <w:bottom w:val="nil"/>
              <w:right w:val="nil"/>
            </w:tcBorders>
            <w:shd w:val="clear" w:color="auto" w:fill="auto"/>
            <w:vAlign w:val="bottom"/>
          </w:tcPr>
          <w:p w:rsidR="00E329F7" w:rsidRPr="00CE04A4" w:rsidRDefault="00E329F7" w:rsidP="00AE1C26">
            <w:pPr>
              <w:jc w:val="right"/>
            </w:pPr>
            <w:r w:rsidRPr="00CE04A4">
              <w:rPr>
                <w:rFonts w:cs="Calibri"/>
                <w:color w:val="000000"/>
              </w:rPr>
              <w:t>0.1%</w:t>
            </w:r>
          </w:p>
        </w:tc>
      </w:tr>
      <w:tr w:rsidR="00E329F7" w:rsidRPr="00CE04A4" w:rsidTr="00AE1C26">
        <w:trPr>
          <w:trHeight w:val="300"/>
        </w:trPr>
        <w:tc>
          <w:tcPr>
            <w:tcW w:w="1843" w:type="dxa"/>
            <w:shd w:val="clear" w:color="auto" w:fill="FFFFFF"/>
          </w:tcPr>
          <w:p w:rsidR="00E329F7" w:rsidRPr="00CE04A4" w:rsidRDefault="00E329F7" w:rsidP="00AE1C26">
            <w:pPr>
              <w:widowControl w:val="0"/>
              <w:tabs>
                <w:tab w:val="left" w:pos="180"/>
                <w:tab w:val="right" w:pos="3060"/>
                <w:tab w:val="right" w:pos="4150"/>
              </w:tabs>
              <w:jc w:val="right"/>
              <w:rPr>
                <w:rFonts w:cs="Segoe UI Light"/>
                <w:snapToGrid w:val="0"/>
                <w:color w:val="000000"/>
              </w:rPr>
            </w:pPr>
            <w:r w:rsidRPr="00CE04A4">
              <w:rPr>
                <w:rFonts w:cs="Segoe UI Light"/>
                <w:snapToGrid w:val="0"/>
                <w:color w:val="000000"/>
              </w:rPr>
              <w:lastRenderedPageBreak/>
              <w:t>0.2</w:t>
            </w:r>
          </w:p>
        </w:tc>
        <w:tc>
          <w:tcPr>
            <w:tcW w:w="851" w:type="dxa"/>
            <w:gridSpan w:val="3"/>
            <w:shd w:val="clear" w:color="auto" w:fill="FFFFFF"/>
          </w:tcPr>
          <w:p w:rsidR="00E329F7" w:rsidRPr="00CE04A4" w:rsidRDefault="00E329F7" w:rsidP="00AE1C26">
            <w:pPr>
              <w:widowControl w:val="0"/>
              <w:tabs>
                <w:tab w:val="left" w:pos="180"/>
                <w:tab w:val="right" w:pos="3060"/>
                <w:tab w:val="right" w:pos="4150"/>
              </w:tabs>
              <w:jc w:val="right"/>
              <w:rPr>
                <w:rFonts w:cs="Segoe UI Light"/>
                <w:snapToGrid w:val="0"/>
                <w:color w:val="000000"/>
              </w:rPr>
            </w:pPr>
            <w:r w:rsidRPr="00CE04A4">
              <w:t>0.0%</w:t>
            </w:r>
          </w:p>
        </w:tc>
        <w:tc>
          <w:tcPr>
            <w:tcW w:w="3119" w:type="dxa"/>
            <w:gridSpan w:val="8"/>
            <w:shd w:val="clear" w:color="auto" w:fill="FFFFFF"/>
          </w:tcPr>
          <w:p w:rsidR="00E329F7" w:rsidRPr="00CE04A4" w:rsidRDefault="00E329F7" w:rsidP="00AE1C26">
            <w:pPr>
              <w:widowControl w:val="0"/>
              <w:tabs>
                <w:tab w:val="left" w:pos="180"/>
                <w:tab w:val="right" w:pos="3060"/>
                <w:tab w:val="right" w:pos="4150"/>
              </w:tabs>
              <w:rPr>
                <w:rFonts w:cs="Segoe UI Light"/>
                <w:snapToGrid w:val="0"/>
                <w:color w:val="000000"/>
              </w:rPr>
            </w:pPr>
            <w:r w:rsidRPr="00CE04A4">
              <w:rPr>
                <w:rFonts w:cs="Segoe UI Light"/>
                <w:snapToGrid w:val="0"/>
                <w:color w:val="000000"/>
              </w:rPr>
              <w:t>Aviva</w:t>
            </w:r>
          </w:p>
        </w:tc>
        <w:tc>
          <w:tcPr>
            <w:tcW w:w="1062" w:type="dxa"/>
            <w:tcBorders>
              <w:top w:val="nil"/>
              <w:left w:val="nil"/>
              <w:bottom w:val="nil"/>
              <w:right w:val="nil"/>
            </w:tcBorders>
            <w:shd w:val="clear" w:color="auto" w:fill="auto"/>
            <w:vAlign w:val="bottom"/>
          </w:tcPr>
          <w:p w:rsidR="00E329F7" w:rsidRPr="00CE04A4" w:rsidRDefault="00E329F7" w:rsidP="00AE1C26">
            <w:pPr>
              <w:widowControl w:val="0"/>
              <w:tabs>
                <w:tab w:val="left" w:pos="180"/>
                <w:tab w:val="right" w:pos="3060"/>
                <w:tab w:val="right" w:pos="4150"/>
              </w:tabs>
              <w:jc w:val="right"/>
              <w:rPr>
                <w:rFonts w:cs="Segoe UI Light"/>
                <w:snapToGrid w:val="0"/>
                <w:color w:val="000000"/>
              </w:rPr>
            </w:pPr>
            <w:r w:rsidRPr="00CE04A4">
              <w:rPr>
                <w:rFonts w:cs="Calibri"/>
                <w:color w:val="000000"/>
              </w:rPr>
              <w:t>0.1</w:t>
            </w:r>
          </w:p>
        </w:tc>
        <w:tc>
          <w:tcPr>
            <w:tcW w:w="920" w:type="dxa"/>
            <w:tcBorders>
              <w:top w:val="nil"/>
              <w:left w:val="nil"/>
              <w:bottom w:val="nil"/>
              <w:right w:val="nil"/>
            </w:tcBorders>
            <w:shd w:val="clear" w:color="auto" w:fill="auto"/>
            <w:vAlign w:val="bottom"/>
          </w:tcPr>
          <w:p w:rsidR="00E329F7" w:rsidRPr="00CE04A4" w:rsidRDefault="00E329F7" w:rsidP="00AE1C26">
            <w:pPr>
              <w:jc w:val="right"/>
            </w:pPr>
            <w:r w:rsidRPr="00CE04A4">
              <w:rPr>
                <w:rFonts w:cs="Calibri"/>
                <w:color w:val="000000"/>
              </w:rPr>
              <w:t>0.0%</w:t>
            </w:r>
          </w:p>
        </w:tc>
      </w:tr>
      <w:tr w:rsidR="00E329F7" w:rsidRPr="00CE04A4" w:rsidTr="00AE1C26">
        <w:tc>
          <w:tcPr>
            <w:tcW w:w="1843" w:type="dxa"/>
            <w:shd w:val="clear" w:color="auto" w:fill="FFFFFF"/>
          </w:tcPr>
          <w:p w:rsidR="00E329F7" w:rsidRPr="00CE04A4" w:rsidRDefault="00E329F7" w:rsidP="00AE1C26">
            <w:pPr>
              <w:widowControl w:val="0"/>
              <w:tabs>
                <w:tab w:val="left" w:pos="180"/>
                <w:tab w:val="right" w:pos="3060"/>
                <w:tab w:val="right" w:pos="4150"/>
              </w:tabs>
              <w:jc w:val="right"/>
              <w:rPr>
                <w:rFonts w:cs="Segoe UI Light"/>
                <w:snapToGrid w:val="0"/>
                <w:color w:val="000000"/>
              </w:rPr>
            </w:pPr>
            <w:r w:rsidRPr="00CE04A4">
              <w:rPr>
                <w:rFonts w:cs="Segoe UI Light"/>
                <w:snapToGrid w:val="0"/>
                <w:color w:val="000000"/>
              </w:rPr>
              <w:t>25.6</w:t>
            </w:r>
          </w:p>
        </w:tc>
        <w:tc>
          <w:tcPr>
            <w:tcW w:w="851" w:type="dxa"/>
            <w:gridSpan w:val="3"/>
            <w:shd w:val="clear" w:color="auto" w:fill="FFFFFF"/>
          </w:tcPr>
          <w:p w:rsidR="00E329F7" w:rsidRPr="00CE04A4" w:rsidRDefault="00E329F7" w:rsidP="00AE1C26">
            <w:pPr>
              <w:widowControl w:val="0"/>
              <w:tabs>
                <w:tab w:val="left" w:pos="180"/>
                <w:tab w:val="right" w:pos="3060"/>
                <w:tab w:val="right" w:pos="4150"/>
              </w:tabs>
              <w:jc w:val="right"/>
              <w:rPr>
                <w:rFonts w:cs="Segoe UI Light"/>
                <w:snapToGrid w:val="0"/>
                <w:color w:val="000000"/>
              </w:rPr>
            </w:pPr>
            <w:r w:rsidRPr="00CE04A4">
              <w:t>3.1%</w:t>
            </w:r>
          </w:p>
        </w:tc>
        <w:tc>
          <w:tcPr>
            <w:tcW w:w="3119" w:type="dxa"/>
            <w:gridSpan w:val="8"/>
            <w:shd w:val="clear" w:color="auto" w:fill="FFFFFF"/>
          </w:tcPr>
          <w:p w:rsidR="00E329F7" w:rsidRPr="00CE04A4" w:rsidRDefault="00E329F7" w:rsidP="00AE1C26">
            <w:pPr>
              <w:widowControl w:val="0"/>
              <w:tabs>
                <w:tab w:val="left" w:pos="180"/>
                <w:tab w:val="right" w:pos="3060"/>
                <w:tab w:val="right" w:pos="4150"/>
              </w:tabs>
              <w:rPr>
                <w:rFonts w:cs="Segoe UI Light"/>
                <w:snapToGrid w:val="0"/>
                <w:color w:val="000000"/>
              </w:rPr>
            </w:pPr>
            <w:r w:rsidRPr="00CE04A4">
              <w:rPr>
                <w:rFonts w:cs="Segoe UI Light"/>
                <w:snapToGrid w:val="0"/>
                <w:color w:val="000000"/>
              </w:rPr>
              <w:t>Alinda</w:t>
            </w:r>
          </w:p>
        </w:tc>
        <w:tc>
          <w:tcPr>
            <w:tcW w:w="1062" w:type="dxa"/>
            <w:tcBorders>
              <w:top w:val="nil"/>
              <w:left w:val="nil"/>
              <w:bottom w:val="nil"/>
              <w:right w:val="nil"/>
            </w:tcBorders>
            <w:shd w:val="clear" w:color="auto" w:fill="auto"/>
            <w:vAlign w:val="bottom"/>
          </w:tcPr>
          <w:p w:rsidR="00E329F7" w:rsidRPr="00CE04A4" w:rsidRDefault="00E329F7" w:rsidP="00AE1C26">
            <w:pPr>
              <w:widowControl w:val="0"/>
              <w:tabs>
                <w:tab w:val="left" w:pos="180"/>
                <w:tab w:val="right" w:pos="3060"/>
                <w:tab w:val="right" w:pos="4150"/>
              </w:tabs>
              <w:jc w:val="right"/>
              <w:rPr>
                <w:rFonts w:cs="Segoe UI Light"/>
                <w:snapToGrid w:val="0"/>
                <w:color w:val="000000"/>
              </w:rPr>
            </w:pPr>
            <w:r w:rsidRPr="00CE04A4">
              <w:rPr>
                <w:rFonts w:cs="Calibri"/>
                <w:color w:val="000000"/>
              </w:rPr>
              <w:t>24.6</w:t>
            </w:r>
          </w:p>
        </w:tc>
        <w:tc>
          <w:tcPr>
            <w:tcW w:w="920" w:type="dxa"/>
            <w:tcBorders>
              <w:top w:val="nil"/>
              <w:left w:val="nil"/>
              <w:bottom w:val="nil"/>
              <w:right w:val="nil"/>
            </w:tcBorders>
            <w:shd w:val="clear" w:color="auto" w:fill="auto"/>
            <w:vAlign w:val="bottom"/>
          </w:tcPr>
          <w:p w:rsidR="00E329F7" w:rsidRPr="00CE04A4" w:rsidRDefault="00E329F7" w:rsidP="00AE1C26">
            <w:pPr>
              <w:jc w:val="right"/>
            </w:pPr>
            <w:r w:rsidRPr="00CE04A4">
              <w:rPr>
                <w:rFonts w:cs="Calibri"/>
                <w:color w:val="000000"/>
              </w:rPr>
              <w:t>3.1%</w:t>
            </w:r>
          </w:p>
        </w:tc>
      </w:tr>
      <w:tr w:rsidR="00E329F7" w:rsidRPr="00CE04A4" w:rsidTr="00AE1C26">
        <w:tc>
          <w:tcPr>
            <w:tcW w:w="1843" w:type="dxa"/>
            <w:shd w:val="clear" w:color="auto" w:fill="FFFFFF"/>
          </w:tcPr>
          <w:p w:rsidR="00E329F7" w:rsidRPr="00CE04A4" w:rsidRDefault="00E329F7" w:rsidP="00AE1C26">
            <w:pPr>
              <w:widowControl w:val="0"/>
              <w:tabs>
                <w:tab w:val="left" w:pos="180"/>
                <w:tab w:val="right" w:pos="3060"/>
                <w:tab w:val="right" w:pos="4150"/>
              </w:tabs>
              <w:jc w:val="right"/>
              <w:rPr>
                <w:rFonts w:cs="Segoe UI Light"/>
                <w:snapToGrid w:val="0"/>
                <w:color w:val="000000"/>
              </w:rPr>
            </w:pPr>
            <w:r w:rsidRPr="00CE04A4">
              <w:rPr>
                <w:rFonts w:cs="Segoe UI Light"/>
                <w:snapToGrid w:val="0"/>
                <w:color w:val="000000"/>
              </w:rPr>
              <w:t>78.7</w:t>
            </w:r>
          </w:p>
        </w:tc>
        <w:tc>
          <w:tcPr>
            <w:tcW w:w="851" w:type="dxa"/>
            <w:gridSpan w:val="3"/>
            <w:shd w:val="clear" w:color="auto" w:fill="FFFFFF"/>
          </w:tcPr>
          <w:p w:rsidR="00E329F7" w:rsidRPr="00CE04A4" w:rsidRDefault="00E329F7" w:rsidP="00AE1C26">
            <w:pPr>
              <w:widowControl w:val="0"/>
              <w:tabs>
                <w:tab w:val="left" w:pos="180"/>
                <w:tab w:val="right" w:pos="3060"/>
                <w:tab w:val="right" w:pos="4150"/>
              </w:tabs>
              <w:jc w:val="right"/>
              <w:rPr>
                <w:rFonts w:cs="Segoe UI Light"/>
                <w:snapToGrid w:val="0"/>
                <w:color w:val="000000"/>
              </w:rPr>
            </w:pPr>
            <w:r w:rsidRPr="00CE04A4">
              <w:t>9.4%</w:t>
            </w:r>
          </w:p>
        </w:tc>
        <w:tc>
          <w:tcPr>
            <w:tcW w:w="3119" w:type="dxa"/>
            <w:gridSpan w:val="8"/>
            <w:shd w:val="clear" w:color="auto" w:fill="FFFFFF"/>
          </w:tcPr>
          <w:p w:rsidR="00E329F7" w:rsidRPr="00CE04A4" w:rsidRDefault="00E329F7" w:rsidP="00AE1C26">
            <w:pPr>
              <w:widowControl w:val="0"/>
              <w:tabs>
                <w:tab w:val="left" w:pos="180"/>
                <w:tab w:val="right" w:pos="3060"/>
                <w:tab w:val="right" w:pos="4150"/>
              </w:tabs>
              <w:rPr>
                <w:rFonts w:cs="Segoe UI Light"/>
                <w:snapToGrid w:val="0"/>
                <w:color w:val="000000"/>
              </w:rPr>
            </w:pPr>
            <w:r w:rsidRPr="00CE04A4">
              <w:rPr>
                <w:rFonts w:cs="Segoe UI Light"/>
                <w:snapToGrid w:val="0"/>
                <w:color w:val="000000"/>
              </w:rPr>
              <w:t>Blackrock</w:t>
            </w:r>
          </w:p>
        </w:tc>
        <w:tc>
          <w:tcPr>
            <w:tcW w:w="1062" w:type="dxa"/>
            <w:tcBorders>
              <w:top w:val="nil"/>
              <w:left w:val="nil"/>
              <w:bottom w:val="nil"/>
              <w:right w:val="nil"/>
            </w:tcBorders>
            <w:shd w:val="clear" w:color="auto" w:fill="auto"/>
            <w:vAlign w:val="bottom"/>
          </w:tcPr>
          <w:p w:rsidR="00E329F7" w:rsidRPr="00CE04A4" w:rsidRDefault="00E329F7" w:rsidP="00AE1C26">
            <w:pPr>
              <w:widowControl w:val="0"/>
              <w:tabs>
                <w:tab w:val="left" w:pos="180"/>
                <w:tab w:val="right" w:pos="3060"/>
                <w:tab w:val="right" w:pos="4150"/>
              </w:tabs>
              <w:jc w:val="right"/>
              <w:rPr>
                <w:rFonts w:cs="Segoe UI Light"/>
                <w:snapToGrid w:val="0"/>
                <w:color w:val="000000"/>
              </w:rPr>
            </w:pPr>
            <w:r w:rsidRPr="00CE04A4">
              <w:rPr>
                <w:rFonts w:cs="Calibri"/>
                <w:color w:val="000000"/>
              </w:rPr>
              <w:t>92.6</w:t>
            </w:r>
          </w:p>
        </w:tc>
        <w:tc>
          <w:tcPr>
            <w:tcW w:w="920" w:type="dxa"/>
            <w:tcBorders>
              <w:top w:val="nil"/>
              <w:left w:val="nil"/>
              <w:bottom w:val="nil"/>
              <w:right w:val="nil"/>
            </w:tcBorders>
            <w:shd w:val="clear" w:color="auto" w:fill="auto"/>
            <w:vAlign w:val="bottom"/>
          </w:tcPr>
          <w:p w:rsidR="00E329F7" w:rsidRPr="00CE04A4" w:rsidRDefault="00E329F7" w:rsidP="00AE1C26">
            <w:pPr>
              <w:jc w:val="right"/>
            </w:pPr>
            <w:r w:rsidRPr="00CE04A4">
              <w:rPr>
                <w:rFonts w:cs="Calibri"/>
                <w:color w:val="000000"/>
              </w:rPr>
              <w:t>11.9%</w:t>
            </w:r>
          </w:p>
        </w:tc>
      </w:tr>
      <w:tr w:rsidR="00E329F7" w:rsidRPr="00CE04A4" w:rsidTr="00AE1C26">
        <w:tc>
          <w:tcPr>
            <w:tcW w:w="1913" w:type="dxa"/>
            <w:gridSpan w:val="2"/>
            <w:tcBorders>
              <w:top w:val="single" w:sz="4" w:space="0" w:color="auto"/>
            </w:tcBorders>
            <w:shd w:val="clear" w:color="auto" w:fill="FFFFFF"/>
          </w:tcPr>
          <w:p w:rsidR="00E329F7" w:rsidRPr="00CE04A4" w:rsidRDefault="00E329F7" w:rsidP="00AE1C26">
            <w:pPr>
              <w:widowControl w:val="0"/>
              <w:tabs>
                <w:tab w:val="left" w:pos="180"/>
                <w:tab w:val="right" w:pos="3060"/>
                <w:tab w:val="right" w:pos="4150"/>
              </w:tabs>
              <w:jc w:val="right"/>
              <w:rPr>
                <w:rFonts w:cs="Segoe UI Light"/>
                <w:b/>
                <w:snapToGrid w:val="0"/>
                <w:color w:val="000000"/>
              </w:rPr>
            </w:pPr>
            <w:r w:rsidRPr="00CE04A4">
              <w:rPr>
                <w:rFonts w:cs="Segoe UI Light"/>
                <w:b/>
                <w:snapToGrid w:val="0"/>
                <w:color w:val="000000"/>
              </w:rPr>
              <w:t>832.9</w:t>
            </w:r>
          </w:p>
        </w:tc>
        <w:tc>
          <w:tcPr>
            <w:tcW w:w="850" w:type="dxa"/>
            <w:gridSpan w:val="3"/>
            <w:tcBorders>
              <w:top w:val="single" w:sz="4" w:space="0" w:color="auto"/>
            </w:tcBorders>
            <w:shd w:val="clear" w:color="auto" w:fill="FFFFFF"/>
          </w:tcPr>
          <w:p w:rsidR="00E329F7" w:rsidRPr="00CE04A4" w:rsidRDefault="00E329F7" w:rsidP="00AE1C26">
            <w:pPr>
              <w:widowControl w:val="0"/>
              <w:tabs>
                <w:tab w:val="left" w:pos="180"/>
                <w:tab w:val="right" w:pos="3060"/>
                <w:tab w:val="right" w:pos="4150"/>
              </w:tabs>
              <w:jc w:val="right"/>
              <w:rPr>
                <w:rFonts w:cs="Segoe UI Light"/>
                <w:b/>
                <w:snapToGrid w:val="0"/>
                <w:color w:val="000000"/>
              </w:rPr>
            </w:pPr>
            <w:r w:rsidRPr="00CE04A4">
              <w:rPr>
                <w:rFonts w:cs="Segoe UI Light"/>
                <w:b/>
                <w:snapToGrid w:val="0"/>
                <w:color w:val="000000"/>
              </w:rPr>
              <w:t>100.0</w:t>
            </w:r>
          </w:p>
        </w:tc>
        <w:tc>
          <w:tcPr>
            <w:tcW w:w="1465" w:type="dxa"/>
            <w:gridSpan w:val="2"/>
            <w:tcBorders>
              <w:top w:val="single" w:sz="4" w:space="0" w:color="auto"/>
            </w:tcBorders>
            <w:shd w:val="clear" w:color="auto" w:fill="FFFFFF"/>
          </w:tcPr>
          <w:p w:rsidR="00E329F7" w:rsidRPr="00CE04A4" w:rsidRDefault="00E329F7" w:rsidP="00AE1C26">
            <w:pPr>
              <w:widowControl w:val="0"/>
              <w:tabs>
                <w:tab w:val="left" w:pos="180"/>
                <w:tab w:val="right" w:pos="3060"/>
                <w:tab w:val="right" w:pos="4150"/>
              </w:tabs>
              <w:jc w:val="right"/>
              <w:rPr>
                <w:rFonts w:cs="Segoe UI Light"/>
                <w:b/>
                <w:snapToGrid w:val="0"/>
                <w:color w:val="000000"/>
              </w:rPr>
            </w:pPr>
          </w:p>
        </w:tc>
        <w:tc>
          <w:tcPr>
            <w:tcW w:w="2647" w:type="dxa"/>
            <w:gridSpan w:val="6"/>
            <w:tcBorders>
              <w:top w:val="single" w:sz="4" w:space="0" w:color="auto"/>
            </w:tcBorders>
            <w:shd w:val="clear" w:color="auto" w:fill="FFFFFF"/>
          </w:tcPr>
          <w:p w:rsidR="00E329F7" w:rsidRPr="00CE04A4" w:rsidRDefault="00E329F7" w:rsidP="00AE1C26">
            <w:pPr>
              <w:widowControl w:val="0"/>
              <w:tabs>
                <w:tab w:val="left" w:pos="180"/>
                <w:tab w:val="right" w:pos="3060"/>
                <w:tab w:val="right" w:pos="4150"/>
              </w:tabs>
              <w:jc w:val="right"/>
              <w:rPr>
                <w:rFonts w:cs="Segoe UI Light"/>
                <w:b/>
                <w:snapToGrid w:val="0"/>
                <w:color w:val="000000"/>
              </w:rPr>
            </w:pPr>
            <w:r w:rsidRPr="00CE04A4">
              <w:rPr>
                <w:rFonts w:cs="Segoe UI Light"/>
                <w:b/>
                <w:snapToGrid w:val="0"/>
                <w:color w:val="000000"/>
              </w:rPr>
              <w:t>781.4</w:t>
            </w:r>
          </w:p>
        </w:tc>
        <w:tc>
          <w:tcPr>
            <w:tcW w:w="920" w:type="dxa"/>
            <w:tcBorders>
              <w:top w:val="single" w:sz="4" w:space="0" w:color="auto"/>
            </w:tcBorders>
            <w:shd w:val="clear" w:color="auto" w:fill="FFFFFF"/>
          </w:tcPr>
          <w:p w:rsidR="00E329F7" w:rsidRPr="00CE04A4" w:rsidRDefault="00E329F7" w:rsidP="00AE1C26">
            <w:pPr>
              <w:widowControl w:val="0"/>
              <w:tabs>
                <w:tab w:val="left" w:pos="180"/>
                <w:tab w:val="right" w:pos="3060"/>
                <w:tab w:val="right" w:pos="4150"/>
              </w:tabs>
              <w:jc w:val="right"/>
              <w:rPr>
                <w:rFonts w:cs="Segoe UI Light"/>
                <w:b/>
                <w:snapToGrid w:val="0"/>
                <w:color w:val="000000"/>
              </w:rPr>
            </w:pPr>
            <w:r w:rsidRPr="00CE04A4">
              <w:rPr>
                <w:rFonts w:cs="Segoe UI Light"/>
                <w:b/>
                <w:snapToGrid w:val="0"/>
                <w:color w:val="000000"/>
              </w:rPr>
              <w:t>100.0</w:t>
            </w:r>
          </w:p>
        </w:tc>
      </w:tr>
    </w:tbl>
    <w:p w:rsidR="00F72906" w:rsidRDefault="00F72906" w:rsidP="00F72906">
      <w:r>
        <w:t xml:space="preserve">The following investments represent over 5% of the net assets of the fund. All of the these companies are registered in the United Kingdom. </w:t>
      </w:r>
    </w:p>
    <w:tbl>
      <w:tblPr>
        <w:tblW w:w="8293" w:type="dxa"/>
        <w:tblLook w:val="04A0" w:firstRow="1" w:lastRow="0" w:firstColumn="1" w:lastColumn="0" w:noHBand="0" w:noVBand="1"/>
      </w:tblPr>
      <w:tblGrid>
        <w:gridCol w:w="3412"/>
        <w:gridCol w:w="1251"/>
        <w:gridCol w:w="1248"/>
        <w:gridCol w:w="1251"/>
        <w:gridCol w:w="1131"/>
      </w:tblGrid>
      <w:tr w:rsidR="00E329F7" w:rsidRPr="00317A00" w:rsidTr="00AE1C26">
        <w:trPr>
          <w:trHeight w:val="1191"/>
        </w:trPr>
        <w:tc>
          <w:tcPr>
            <w:tcW w:w="3412" w:type="dxa"/>
            <w:tcBorders>
              <w:top w:val="nil"/>
              <w:left w:val="nil"/>
              <w:bottom w:val="nil"/>
              <w:right w:val="nil"/>
            </w:tcBorders>
            <w:shd w:val="clear" w:color="auto" w:fill="auto"/>
            <w:hideMark/>
          </w:tcPr>
          <w:p w:rsidR="00E329F7" w:rsidRPr="00317A00" w:rsidRDefault="00E329F7" w:rsidP="00AE1C26">
            <w:pPr>
              <w:rPr>
                <w:rFonts w:cs="Calibri"/>
                <w:b/>
                <w:bCs/>
                <w:color w:val="000000"/>
                <w:lang w:eastAsia="en-GB"/>
              </w:rPr>
            </w:pPr>
            <w:r w:rsidRPr="00317A00">
              <w:rPr>
                <w:rFonts w:cs="Calibri"/>
                <w:b/>
                <w:bCs/>
                <w:color w:val="000000"/>
                <w:lang w:eastAsia="en-GB"/>
              </w:rPr>
              <w:t>Security</w:t>
            </w:r>
          </w:p>
        </w:tc>
        <w:tc>
          <w:tcPr>
            <w:tcW w:w="1251" w:type="dxa"/>
            <w:tcBorders>
              <w:top w:val="nil"/>
              <w:left w:val="nil"/>
              <w:bottom w:val="nil"/>
              <w:right w:val="nil"/>
            </w:tcBorders>
            <w:shd w:val="clear" w:color="auto" w:fill="auto"/>
            <w:hideMark/>
          </w:tcPr>
          <w:p w:rsidR="009C7D60" w:rsidRDefault="00E329F7" w:rsidP="009C7D60">
            <w:pPr>
              <w:jc w:val="right"/>
              <w:rPr>
                <w:rFonts w:cs="Calibri"/>
                <w:b/>
                <w:bCs/>
                <w:color w:val="000000"/>
                <w:lang w:eastAsia="en-GB"/>
              </w:rPr>
            </w:pPr>
            <w:r w:rsidRPr="00317A00">
              <w:rPr>
                <w:rFonts w:cs="Calibri"/>
                <w:b/>
                <w:bCs/>
                <w:color w:val="000000"/>
                <w:lang w:eastAsia="en-GB"/>
              </w:rPr>
              <w:t>Market value</w:t>
            </w:r>
          </w:p>
          <w:p w:rsidR="00E329F7" w:rsidRPr="00317A00" w:rsidRDefault="00E329F7" w:rsidP="009C7D60">
            <w:pPr>
              <w:jc w:val="right"/>
              <w:rPr>
                <w:rFonts w:cs="Calibri"/>
                <w:b/>
                <w:bCs/>
                <w:color w:val="000000"/>
                <w:lang w:eastAsia="en-GB"/>
              </w:rPr>
            </w:pPr>
            <w:r w:rsidRPr="00317A00">
              <w:rPr>
                <w:rFonts w:cs="Calibri"/>
                <w:b/>
                <w:bCs/>
                <w:color w:val="000000"/>
                <w:lang w:eastAsia="en-GB"/>
              </w:rPr>
              <w:t>31 March 2020</w:t>
            </w:r>
          </w:p>
        </w:tc>
        <w:tc>
          <w:tcPr>
            <w:tcW w:w="1248" w:type="dxa"/>
            <w:tcBorders>
              <w:top w:val="nil"/>
              <w:left w:val="nil"/>
              <w:bottom w:val="nil"/>
              <w:right w:val="nil"/>
            </w:tcBorders>
            <w:shd w:val="clear" w:color="auto" w:fill="auto"/>
            <w:hideMark/>
          </w:tcPr>
          <w:p w:rsidR="00E329F7" w:rsidRPr="00317A00" w:rsidRDefault="00E329F7" w:rsidP="00AE1C26">
            <w:pPr>
              <w:jc w:val="right"/>
              <w:rPr>
                <w:rFonts w:cs="Calibri"/>
                <w:b/>
                <w:bCs/>
                <w:color w:val="000000"/>
                <w:lang w:eastAsia="en-GB"/>
              </w:rPr>
            </w:pPr>
            <w:r w:rsidRPr="00317A00">
              <w:rPr>
                <w:rFonts w:cs="Calibri"/>
                <w:b/>
                <w:bCs/>
                <w:color w:val="000000"/>
                <w:lang w:eastAsia="en-GB"/>
              </w:rPr>
              <w:t>% of total fund</w:t>
            </w:r>
          </w:p>
        </w:tc>
        <w:tc>
          <w:tcPr>
            <w:tcW w:w="1251" w:type="dxa"/>
            <w:tcBorders>
              <w:top w:val="nil"/>
              <w:left w:val="nil"/>
              <w:bottom w:val="nil"/>
              <w:right w:val="nil"/>
            </w:tcBorders>
            <w:shd w:val="clear" w:color="auto" w:fill="auto"/>
            <w:hideMark/>
          </w:tcPr>
          <w:p w:rsidR="009C7D60" w:rsidRDefault="00E329F7" w:rsidP="009C7D60">
            <w:pPr>
              <w:jc w:val="right"/>
              <w:rPr>
                <w:rFonts w:cs="Calibri"/>
                <w:b/>
                <w:bCs/>
                <w:color w:val="000000"/>
                <w:lang w:eastAsia="en-GB"/>
              </w:rPr>
            </w:pPr>
            <w:r w:rsidRPr="00317A00">
              <w:rPr>
                <w:rFonts w:cs="Calibri"/>
                <w:b/>
                <w:bCs/>
                <w:color w:val="000000"/>
                <w:lang w:eastAsia="en-GB"/>
              </w:rPr>
              <w:t>Market value</w:t>
            </w:r>
          </w:p>
          <w:p w:rsidR="00E329F7" w:rsidRPr="00317A00" w:rsidRDefault="00E329F7" w:rsidP="009C7D60">
            <w:pPr>
              <w:jc w:val="right"/>
              <w:rPr>
                <w:rFonts w:cs="Calibri"/>
                <w:b/>
                <w:bCs/>
                <w:color w:val="000000"/>
                <w:lang w:eastAsia="en-GB"/>
              </w:rPr>
            </w:pPr>
            <w:r w:rsidRPr="00317A00">
              <w:rPr>
                <w:rFonts w:cs="Calibri"/>
                <w:b/>
                <w:bCs/>
                <w:color w:val="000000"/>
                <w:lang w:eastAsia="en-GB"/>
              </w:rPr>
              <w:t>31 March 2019</w:t>
            </w:r>
          </w:p>
        </w:tc>
        <w:tc>
          <w:tcPr>
            <w:tcW w:w="1131" w:type="dxa"/>
            <w:tcBorders>
              <w:top w:val="nil"/>
              <w:left w:val="nil"/>
              <w:bottom w:val="nil"/>
              <w:right w:val="nil"/>
            </w:tcBorders>
            <w:shd w:val="clear" w:color="auto" w:fill="auto"/>
            <w:hideMark/>
          </w:tcPr>
          <w:p w:rsidR="00E329F7" w:rsidRPr="00317A00" w:rsidRDefault="00E329F7" w:rsidP="00AE1C26">
            <w:pPr>
              <w:jc w:val="right"/>
              <w:rPr>
                <w:rFonts w:cs="Calibri"/>
                <w:b/>
                <w:bCs/>
                <w:color w:val="000000"/>
                <w:lang w:eastAsia="en-GB"/>
              </w:rPr>
            </w:pPr>
            <w:r w:rsidRPr="00317A00">
              <w:rPr>
                <w:rFonts w:cs="Calibri"/>
                <w:b/>
                <w:bCs/>
                <w:color w:val="000000"/>
                <w:lang w:eastAsia="en-GB"/>
              </w:rPr>
              <w:t>% of total fund</w:t>
            </w:r>
          </w:p>
        </w:tc>
      </w:tr>
      <w:tr w:rsidR="00E329F7" w:rsidRPr="00317A00" w:rsidTr="00AE1C26">
        <w:trPr>
          <w:trHeight w:val="272"/>
        </w:trPr>
        <w:tc>
          <w:tcPr>
            <w:tcW w:w="3412" w:type="dxa"/>
            <w:tcBorders>
              <w:top w:val="nil"/>
              <w:left w:val="nil"/>
              <w:bottom w:val="nil"/>
              <w:right w:val="nil"/>
            </w:tcBorders>
            <w:shd w:val="clear" w:color="auto" w:fill="auto"/>
            <w:noWrap/>
            <w:vAlign w:val="bottom"/>
            <w:hideMark/>
          </w:tcPr>
          <w:p w:rsidR="00E329F7" w:rsidRPr="00317A00" w:rsidRDefault="00E329F7" w:rsidP="00AE1C26">
            <w:pPr>
              <w:rPr>
                <w:rFonts w:cs="Calibri"/>
                <w:color w:val="000000"/>
                <w:lang w:eastAsia="en-GB"/>
              </w:rPr>
            </w:pPr>
            <w:r w:rsidRPr="00317A00">
              <w:rPr>
                <w:rFonts w:cs="Calibri"/>
                <w:color w:val="000000"/>
                <w:lang w:eastAsia="en-GB"/>
              </w:rPr>
              <w:t>L&amp;G - Global Equities</w:t>
            </w:r>
          </w:p>
        </w:tc>
        <w:tc>
          <w:tcPr>
            <w:tcW w:w="1251" w:type="dxa"/>
            <w:tcBorders>
              <w:top w:val="nil"/>
              <w:left w:val="nil"/>
              <w:bottom w:val="nil"/>
              <w:right w:val="nil"/>
            </w:tcBorders>
            <w:shd w:val="clear" w:color="auto" w:fill="auto"/>
            <w:noWrap/>
            <w:vAlign w:val="bottom"/>
            <w:hideMark/>
          </w:tcPr>
          <w:p w:rsidR="00E329F7" w:rsidRPr="00317A00" w:rsidRDefault="00E329F7" w:rsidP="00AE1C26">
            <w:pPr>
              <w:jc w:val="right"/>
              <w:rPr>
                <w:rFonts w:cs="Calibri"/>
                <w:color w:val="000000"/>
                <w:lang w:eastAsia="en-GB"/>
              </w:rPr>
            </w:pPr>
            <w:r w:rsidRPr="00317A00">
              <w:rPr>
                <w:rFonts w:cs="Calibri"/>
                <w:color w:val="000000"/>
                <w:lang w:eastAsia="en-GB"/>
              </w:rPr>
              <w:t>293.4</w:t>
            </w:r>
          </w:p>
        </w:tc>
        <w:tc>
          <w:tcPr>
            <w:tcW w:w="1248" w:type="dxa"/>
            <w:tcBorders>
              <w:top w:val="nil"/>
              <w:left w:val="nil"/>
              <w:bottom w:val="nil"/>
              <w:right w:val="nil"/>
            </w:tcBorders>
            <w:shd w:val="clear" w:color="auto" w:fill="auto"/>
            <w:noWrap/>
            <w:vAlign w:val="bottom"/>
            <w:hideMark/>
          </w:tcPr>
          <w:p w:rsidR="00E329F7" w:rsidRPr="00317A00" w:rsidRDefault="00E329F7" w:rsidP="00AE1C26">
            <w:pPr>
              <w:jc w:val="right"/>
              <w:rPr>
                <w:rFonts w:cs="Calibri"/>
                <w:color w:val="000000"/>
                <w:lang w:eastAsia="en-GB"/>
              </w:rPr>
            </w:pPr>
            <w:r w:rsidRPr="00317A00">
              <w:rPr>
                <w:rFonts w:cs="Calibri"/>
                <w:color w:val="000000"/>
                <w:lang w:eastAsia="en-GB"/>
              </w:rPr>
              <w:t>35.1%</w:t>
            </w:r>
          </w:p>
        </w:tc>
        <w:tc>
          <w:tcPr>
            <w:tcW w:w="1251" w:type="dxa"/>
            <w:tcBorders>
              <w:top w:val="nil"/>
              <w:left w:val="nil"/>
              <w:bottom w:val="nil"/>
              <w:right w:val="nil"/>
            </w:tcBorders>
            <w:shd w:val="clear" w:color="auto" w:fill="auto"/>
            <w:noWrap/>
            <w:vAlign w:val="bottom"/>
            <w:hideMark/>
          </w:tcPr>
          <w:p w:rsidR="00E329F7" w:rsidRPr="00317A00" w:rsidRDefault="00E329F7" w:rsidP="00AE1C26">
            <w:pPr>
              <w:jc w:val="right"/>
              <w:rPr>
                <w:rFonts w:cs="Calibri"/>
                <w:color w:val="000000"/>
                <w:lang w:eastAsia="en-GB"/>
              </w:rPr>
            </w:pPr>
            <w:r w:rsidRPr="00317A00">
              <w:rPr>
                <w:rFonts w:cs="Calibri"/>
                <w:color w:val="000000"/>
                <w:lang w:eastAsia="en-GB"/>
              </w:rPr>
              <w:t>307.5</w:t>
            </w:r>
          </w:p>
        </w:tc>
        <w:tc>
          <w:tcPr>
            <w:tcW w:w="1131" w:type="dxa"/>
            <w:tcBorders>
              <w:top w:val="nil"/>
              <w:left w:val="nil"/>
              <w:bottom w:val="nil"/>
              <w:right w:val="nil"/>
            </w:tcBorders>
            <w:shd w:val="clear" w:color="auto" w:fill="auto"/>
            <w:noWrap/>
            <w:vAlign w:val="bottom"/>
            <w:hideMark/>
          </w:tcPr>
          <w:p w:rsidR="00E329F7" w:rsidRPr="00317A00" w:rsidRDefault="00E329F7" w:rsidP="00AE1C26">
            <w:pPr>
              <w:jc w:val="right"/>
              <w:rPr>
                <w:rFonts w:cs="Calibri"/>
                <w:color w:val="000000"/>
                <w:lang w:eastAsia="en-GB"/>
              </w:rPr>
            </w:pPr>
            <w:r w:rsidRPr="00317A00">
              <w:rPr>
                <w:rFonts w:cs="Calibri"/>
                <w:color w:val="000000"/>
                <w:lang w:eastAsia="en-GB"/>
              </w:rPr>
              <w:t>35.9%</w:t>
            </w:r>
          </w:p>
        </w:tc>
      </w:tr>
      <w:tr w:rsidR="00E329F7" w:rsidRPr="00317A00" w:rsidTr="00AE1C26">
        <w:trPr>
          <w:trHeight w:val="272"/>
        </w:trPr>
        <w:tc>
          <w:tcPr>
            <w:tcW w:w="3412" w:type="dxa"/>
            <w:tcBorders>
              <w:top w:val="nil"/>
              <w:left w:val="nil"/>
              <w:bottom w:val="nil"/>
              <w:right w:val="nil"/>
            </w:tcBorders>
            <w:shd w:val="clear" w:color="auto" w:fill="auto"/>
            <w:noWrap/>
            <w:vAlign w:val="bottom"/>
            <w:hideMark/>
          </w:tcPr>
          <w:p w:rsidR="00E329F7" w:rsidRPr="00317A00" w:rsidRDefault="00E329F7" w:rsidP="00AE1C26">
            <w:pPr>
              <w:rPr>
                <w:rFonts w:cs="Calibri"/>
                <w:color w:val="000000"/>
                <w:lang w:eastAsia="en-GB"/>
              </w:rPr>
            </w:pPr>
            <w:r w:rsidRPr="00317A00">
              <w:rPr>
                <w:rFonts w:cs="Calibri"/>
                <w:color w:val="000000"/>
                <w:lang w:eastAsia="en-GB"/>
              </w:rPr>
              <w:t>L&amp;G - UK Equities</w:t>
            </w:r>
          </w:p>
        </w:tc>
        <w:tc>
          <w:tcPr>
            <w:tcW w:w="1251" w:type="dxa"/>
            <w:tcBorders>
              <w:top w:val="nil"/>
              <w:left w:val="nil"/>
              <w:bottom w:val="nil"/>
              <w:right w:val="nil"/>
            </w:tcBorders>
            <w:shd w:val="clear" w:color="auto" w:fill="auto"/>
            <w:noWrap/>
            <w:vAlign w:val="bottom"/>
            <w:hideMark/>
          </w:tcPr>
          <w:p w:rsidR="00E329F7" w:rsidRPr="00317A00" w:rsidRDefault="00E329F7" w:rsidP="00AE1C26">
            <w:pPr>
              <w:jc w:val="right"/>
              <w:rPr>
                <w:rFonts w:cs="Calibri"/>
                <w:color w:val="000000"/>
                <w:lang w:eastAsia="en-GB"/>
              </w:rPr>
            </w:pPr>
            <w:r w:rsidRPr="00317A00">
              <w:rPr>
                <w:rFonts w:cs="Calibri"/>
                <w:color w:val="000000"/>
                <w:lang w:eastAsia="en-GB"/>
              </w:rPr>
              <w:t>94.1</w:t>
            </w:r>
          </w:p>
        </w:tc>
        <w:tc>
          <w:tcPr>
            <w:tcW w:w="1248" w:type="dxa"/>
            <w:tcBorders>
              <w:top w:val="nil"/>
              <w:left w:val="nil"/>
              <w:bottom w:val="nil"/>
              <w:right w:val="nil"/>
            </w:tcBorders>
            <w:shd w:val="clear" w:color="auto" w:fill="auto"/>
            <w:noWrap/>
            <w:vAlign w:val="bottom"/>
            <w:hideMark/>
          </w:tcPr>
          <w:p w:rsidR="00E329F7" w:rsidRPr="00317A00" w:rsidRDefault="00E329F7" w:rsidP="00AE1C26">
            <w:pPr>
              <w:jc w:val="right"/>
              <w:rPr>
                <w:rFonts w:cs="Calibri"/>
                <w:color w:val="000000"/>
                <w:lang w:eastAsia="en-GB"/>
              </w:rPr>
            </w:pPr>
            <w:r w:rsidRPr="00317A00">
              <w:rPr>
                <w:rFonts w:cs="Calibri"/>
                <w:color w:val="000000"/>
                <w:lang w:eastAsia="en-GB"/>
              </w:rPr>
              <w:t>11.3%</w:t>
            </w:r>
          </w:p>
        </w:tc>
        <w:tc>
          <w:tcPr>
            <w:tcW w:w="1251" w:type="dxa"/>
            <w:tcBorders>
              <w:top w:val="nil"/>
              <w:left w:val="nil"/>
              <w:bottom w:val="nil"/>
              <w:right w:val="nil"/>
            </w:tcBorders>
            <w:shd w:val="clear" w:color="auto" w:fill="auto"/>
            <w:noWrap/>
            <w:vAlign w:val="bottom"/>
            <w:hideMark/>
          </w:tcPr>
          <w:p w:rsidR="00E329F7" w:rsidRPr="00317A00" w:rsidRDefault="00E329F7" w:rsidP="00AE1C26">
            <w:pPr>
              <w:jc w:val="right"/>
              <w:rPr>
                <w:rFonts w:cs="Calibri"/>
                <w:color w:val="000000"/>
                <w:lang w:eastAsia="en-GB"/>
              </w:rPr>
            </w:pPr>
            <w:r w:rsidRPr="00317A00">
              <w:rPr>
                <w:rFonts w:cs="Calibri"/>
                <w:color w:val="000000"/>
                <w:lang w:eastAsia="en-GB"/>
              </w:rPr>
              <w:t>115.4</w:t>
            </w:r>
          </w:p>
        </w:tc>
        <w:tc>
          <w:tcPr>
            <w:tcW w:w="1131" w:type="dxa"/>
            <w:tcBorders>
              <w:top w:val="nil"/>
              <w:left w:val="nil"/>
              <w:bottom w:val="nil"/>
              <w:right w:val="nil"/>
            </w:tcBorders>
            <w:shd w:val="clear" w:color="auto" w:fill="auto"/>
            <w:noWrap/>
            <w:vAlign w:val="bottom"/>
            <w:hideMark/>
          </w:tcPr>
          <w:p w:rsidR="00E329F7" w:rsidRPr="00317A00" w:rsidRDefault="00E329F7" w:rsidP="00AE1C26">
            <w:pPr>
              <w:jc w:val="right"/>
              <w:rPr>
                <w:rFonts w:cs="Calibri"/>
                <w:color w:val="000000"/>
                <w:lang w:eastAsia="en-GB"/>
              </w:rPr>
            </w:pPr>
            <w:r w:rsidRPr="00317A00">
              <w:rPr>
                <w:rFonts w:cs="Calibri"/>
                <w:color w:val="000000"/>
                <w:lang w:eastAsia="en-GB"/>
              </w:rPr>
              <w:t>13.5%</w:t>
            </w:r>
          </w:p>
        </w:tc>
      </w:tr>
      <w:tr w:rsidR="00E329F7" w:rsidRPr="00317A00" w:rsidTr="00AE1C26">
        <w:trPr>
          <w:trHeight w:val="272"/>
        </w:trPr>
        <w:tc>
          <w:tcPr>
            <w:tcW w:w="3412" w:type="dxa"/>
            <w:tcBorders>
              <w:top w:val="nil"/>
              <w:left w:val="nil"/>
              <w:bottom w:val="nil"/>
              <w:right w:val="nil"/>
            </w:tcBorders>
            <w:shd w:val="clear" w:color="auto" w:fill="auto"/>
            <w:noWrap/>
            <w:vAlign w:val="bottom"/>
            <w:hideMark/>
          </w:tcPr>
          <w:p w:rsidR="00E329F7" w:rsidRPr="00317A00" w:rsidRDefault="00E329F7" w:rsidP="00AE1C26">
            <w:pPr>
              <w:rPr>
                <w:rFonts w:cs="Calibri"/>
                <w:color w:val="000000"/>
                <w:lang w:eastAsia="en-GB"/>
              </w:rPr>
            </w:pPr>
            <w:r w:rsidRPr="00317A00">
              <w:rPr>
                <w:rFonts w:cs="Calibri"/>
                <w:color w:val="000000"/>
                <w:lang w:eastAsia="en-GB"/>
              </w:rPr>
              <w:t>Blackrock - Over 15 year Gilts</w:t>
            </w:r>
          </w:p>
        </w:tc>
        <w:tc>
          <w:tcPr>
            <w:tcW w:w="1251" w:type="dxa"/>
            <w:tcBorders>
              <w:top w:val="nil"/>
              <w:left w:val="nil"/>
              <w:bottom w:val="nil"/>
              <w:right w:val="nil"/>
            </w:tcBorders>
            <w:shd w:val="clear" w:color="auto" w:fill="auto"/>
            <w:noWrap/>
            <w:vAlign w:val="bottom"/>
            <w:hideMark/>
          </w:tcPr>
          <w:p w:rsidR="00E329F7" w:rsidRPr="00317A00" w:rsidRDefault="00E329F7" w:rsidP="00AE1C26">
            <w:pPr>
              <w:jc w:val="right"/>
              <w:rPr>
                <w:rFonts w:cs="Calibri"/>
                <w:color w:val="000000"/>
                <w:lang w:eastAsia="en-GB"/>
              </w:rPr>
            </w:pPr>
            <w:r w:rsidRPr="00317A00">
              <w:rPr>
                <w:rFonts w:cs="Calibri"/>
                <w:color w:val="000000"/>
                <w:lang w:eastAsia="en-GB"/>
              </w:rPr>
              <w:t>92.6</w:t>
            </w:r>
          </w:p>
        </w:tc>
        <w:tc>
          <w:tcPr>
            <w:tcW w:w="1248" w:type="dxa"/>
            <w:tcBorders>
              <w:top w:val="nil"/>
              <w:left w:val="nil"/>
              <w:bottom w:val="nil"/>
              <w:right w:val="nil"/>
            </w:tcBorders>
            <w:shd w:val="clear" w:color="auto" w:fill="auto"/>
            <w:noWrap/>
            <w:vAlign w:val="bottom"/>
            <w:hideMark/>
          </w:tcPr>
          <w:p w:rsidR="00E329F7" w:rsidRPr="00317A00" w:rsidRDefault="00E329F7" w:rsidP="00AE1C26">
            <w:pPr>
              <w:jc w:val="right"/>
              <w:rPr>
                <w:rFonts w:cs="Calibri"/>
                <w:color w:val="000000"/>
                <w:lang w:eastAsia="en-GB"/>
              </w:rPr>
            </w:pPr>
            <w:r w:rsidRPr="00317A00">
              <w:rPr>
                <w:rFonts w:cs="Calibri"/>
                <w:color w:val="000000"/>
                <w:lang w:eastAsia="en-GB"/>
              </w:rPr>
              <w:t>11.1%</w:t>
            </w:r>
          </w:p>
        </w:tc>
        <w:tc>
          <w:tcPr>
            <w:tcW w:w="1251" w:type="dxa"/>
            <w:tcBorders>
              <w:top w:val="nil"/>
              <w:left w:val="nil"/>
              <w:bottom w:val="nil"/>
              <w:right w:val="nil"/>
            </w:tcBorders>
            <w:shd w:val="clear" w:color="auto" w:fill="auto"/>
            <w:noWrap/>
            <w:vAlign w:val="bottom"/>
            <w:hideMark/>
          </w:tcPr>
          <w:p w:rsidR="00E329F7" w:rsidRPr="00317A00" w:rsidRDefault="00E329F7" w:rsidP="00AE1C26">
            <w:pPr>
              <w:jc w:val="right"/>
              <w:rPr>
                <w:rFonts w:cs="Calibri"/>
                <w:color w:val="000000"/>
                <w:lang w:eastAsia="en-GB"/>
              </w:rPr>
            </w:pPr>
            <w:r w:rsidRPr="00317A00">
              <w:rPr>
                <w:rFonts w:cs="Calibri"/>
                <w:color w:val="000000"/>
                <w:lang w:eastAsia="en-GB"/>
              </w:rPr>
              <w:t>78.7</w:t>
            </w:r>
          </w:p>
        </w:tc>
        <w:tc>
          <w:tcPr>
            <w:tcW w:w="1131" w:type="dxa"/>
            <w:tcBorders>
              <w:top w:val="nil"/>
              <w:left w:val="nil"/>
              <w:bottom w:val="nil"/>
              <w:right w:val="nil"/>
            </w:tcBorders>
            <w:shd w:val="clear" w:color="auto" w:fill="auto"/>
            <w:noWrap/>
            <w:vAlign w:val="bottom"/>
            <w:hideMark/>
          </w:tcPr>
          <w:p w:rsidR="00E329F7" w:rsidRPr="00317A00" w:rsidRDefault="00E329F7" w:rsidP="00AE1C26">
            <w:pPr>
              <w:jc w:val="right"/>
              <w:rPr>
                <w:rFonts w:cs="Calibri"/>
                <w:color w:val="000000"/>
                <w:lang w:eastAsia="en-GB"/>
              </w:rPr>
            </w:pPr>
            <w:r w:rsidRPr="00317A00">
              <w:rPr>
                <w:rFonts w:cs="Calibri"/>
                <w:color w:val="000000"/>
                <w:lang w:eastAsia="en-GB"/>
              </w:rPr>
              <w:t>9.2%</w:t>
            </w:r>
          </w:p>
        </w:tc>
      </w:tr>
      <w:tr w:rsidR="00E329F7" w:rsidRPr="00317A00" w:rsidTr="00AE1C26">
        <w:trPr>
          <w:trHeight w:val="272"/>
        </w:trPr>
        <w:tc>
          <w:tcPr>
            <w:tcW w:w="3412" w:type="dxa"/>
            <w:tcBorders>
              <w:top w:val="nil"/>
              <w:left w:val="nil"/>
              <w:bottom w:val="nil"/>
              <w:right w:val="nil"/>
            </w:tcBorders>
            <w:shd w:val="clear" w:color="auto" w:fill="auto"/>
            <w:noWrap/>
            <w:vAlign w:val="bottom"/>
            <w:hideMark/>
          </w:tcPr>
          <w:p w:rsidR="00E329F7" w:rsidRPr="00317A00" w:rsidRDefault="00E329F7" w:rsidP="00AE1C26">
            <w:pPr>
              <w:rPr>
                <w:rFonts w:cs="Calibri"/>
                <w:color w:val="000000"/>
                <w:lang w:eastAsia="en-GB"/>
              </w:rPr>
            </w:pPr>
            <w:r w:rsidRPr="00317A00">
              <w:rPr>
                <w:rFonts w:cs="Calibri"/>
                <w:color w:val="000000"/>
                <w:lang w:eastAsia="en-GB"/>
              </w:rPr>
              <w:t>LCIV - Baillie Gifford DGF</w:t>
            </w:r>
          </w:p>
        </w:tc>
        <w:tc>
          <w:tcPr>
            <w:tcW w:w="1251" w:type="dxa"/>
            <w:tcBorders>
              <w:top w:val="nil"/>
              <w:left w:val="nil"/>
              <w:bottom w:val="nil"/>
              <w:right w:val="nil"/>
            </w:tcBorders>
            <w:shd w:val="clear" w:color="auto" w:fill="auto"/>
            <w:noWrap/>
            <w:vAlign w:val="bottom"/>
            <w:hideMark/>
          </w:tcPr>
          <w:p w:rsidR="00E329F7" w:rsidRPr="00317A00" w:rsidRDefault="00E329F7" w:rsidP="00AE1C26">
            <w:pPr>
              <w:jc w:val="right"/>
              <w:rPr>
                <w:rFonts w:cs="Calibri"/>
                <w:color w:val="000000"/>
                <w:lang w:eastAsia="en-GB"/>
              </w:rPr>
            </w:pPr>
            <w:r w:rsidRPr="00317A00">
              <w:rPr>
                <w:rFonts w:cs="Calibri"/>
                <w:color w:val="000000"/>
                <w:lang w:eastAsia="en-GB"/>
              </w:rPr>
              <w:t>110.8</w:t>
            </w:r>
          </w:p>
        </w:tc>
        <w:tc>
          <w:tcPr>
            <w:tcW w:w="1248" w:type="dxa"/>
            <w:tcBorders>
              <w:top w:val="nil"/>
              <w:left w:val="nil"/>
              <w:bottom w:val="nil"/>
              <w:right w:val="nil"/>
            </w:tcBorders>
            <w:shd w:val="clear" w:color="auto" w:fill="auto"/>
            <w:noWrap/>
            <w:vAlign w:val="bottom"/>
            <w:hideMark/>
          </w:tcPr>
          <w:p w:rsidR="00E329F7" w:rsidRPr="00317A00" w:rsidRDefault="00E329F7" w:rsidP="00AE1C26">
            <w:pPr>
              <w:jc w:val="right"/>
              <w:rPr>
                <w:rFonts w:cs="Calibri"/>
                <w:color w:val="000000"/>
                <w:lang w:eastAsia="en-GB"/>
              </w:rPr>
            </w:pPr>
            <w:r w:rsidRPr="00317A00">
              <w:rPr>
                <w:rFonts w:cs="Calibri"/>
                <w:color w:val="000000"/>
                <w:lang w:eastAsia="en-GB"/>
              </w:rPr>
              <w:t>13.3%</w:t>
            </w:r>
          </w:p>
        </w:tc>
        <w:tc>
          <w:tcPr>
            <w:tcW w:w="1251" w:type="dxa"/>
            <w:tcBorders>
              <w:top w:val="nil"/>
              <w:left w:val="nil"/>
              <w:bottom w:val="nil"/>
              <w:right w:val="nil"/>
            </w:tcBorders>
            <w:shd w:val="clear" w:color="auto" w:fill="auto"/>
            <w:noWrap/>
            <w:vAlign w:val="bottom"/>
            <w:hideMark/>
          </w:tcPr>
          <w:p w:rsidR="00E329F7" w:rsidRPr="00317A00" w:rsidRDefault="00E329F7" w:rsidP="00AE1C26">
            <w:pPr>
              <w:jc w:val="right"/>
              <w:rPr>
                <w:rFonts w:cs="Calibri"/>
                <w:color w:val="000000"/>
                <w:lang w:eastAsia="en-GB"/>
              </w:rPr>
            </w:pPr>
            <w:r w:rsidRPr="00317A00">
              <w:rPr>
                <w:rFonts w:cs="Calibri"/>
                <w:color w:val="000000"/>
                <w:lang w:eastAsia="en-GB"/>
              </w:rPr>
              <w:t>121.5</w:t>
            </w:r>
          </w:p>
        </w:tc>
        <w:tc>
          <w:tcPr>
            <w:tcW w:w="1131" w:type="dxa"/>
            <w:tcBorders>
              <w:top w:val="nil"/>
              <w:left w:val="nil"/>
              <w:bottom w:val="nil"/>
              <w:right w:val="nil"/>
            </w:tcBorders>
            <w:shd w:val="clear" w:color="auto" w:fill="auto"/>
            <w:noWrap/>
            <w:vAlign w:val="bottom"/>
            <w:hideMark/>
          </w:tcPr>
          <w:p w:rsidR="00E329F7" w:rsidRPr="00317A00" w:rsidRDefault="00E329F7" w:rsidP="00AE1C26">
            <w:pPr>
              <w:jc w:val="right"/>
              <w:rPr>
                <w:rFonts w:cs="Calibri"/>
                <w:color w:val="000000"/>
                <w:lang w:eastAsia="en-GB"/>
              </w:rPr>
            </w:pPr>
            <w:r w:rsidRPr="00317A00">
              <w:rPr>
                <w:rFonts w:cs="Calibri"/>
                <w:color w:val="000000"/>
                <w:lang w:eastAsia="en-GB"/>
              </w:rPr>
              <w:t>14.2%</w:t>
            </w:r>
          </w:p>
        </w:tc>
      </w:tr>
      <w:tr w:rsidR="00E329F7" w:rsidRPr="00317A00" w:rsidTr="00AE1C26">
        <w:trPr>
          <w:trHeight w:val="272"/>
        </w:trPr>
        <w:tc>
          <w:tcPr>
            <w:tcW w:w="3412" w:type="dxa"/>
            <w:tcBorders>
              <w:top w:val="nil"/>
              <w:left w:val="nil"/>
              <w:bottom w:val="nil"/>
              <w:right w:val="nil"/>
            </w:tcBorders>
            <w:shd w:val="clear" w:color="auto" w:fill="auto"/>
            <w:noWrap/>
            <w:vAlign w:val="bottom"/>
            <w:hideMark/>
          </w:tcPr>
          <w:p w:rsidR="00E329F7" w:rsidRPr="00317A00" w:rsidRDefault="00E329F7" w:rsidP="00AE1C26">
            <w:pPr>
              <w:rPr>
                <w:rFonts w:cs="Calibri"/>
                <w:color w:val="000000"/>
                <w:lang w:eastAsia="en-GB"/>
              </w:rPr>
            </w:pPr>
            <w:r w:rsidRPr="00317A00">
              <w:rPr>
                <w:rFonts w:cs="Calibri"/>
                <w:color w:val="000000"/>
                <w:lang w:eastAsia="en-GB"/>
              </w:rPr>
              <w:t>LCIV - Ruffer DGF</w:t>
            </w:r>
          </w:p>
        </w:tc>
        <w:tc>
          <w:tcPr>
            <w:tcW w:w="1251" w:type="dxa"/>
            <w:tcBorders>
              <w:top w:val="nil"/>
              <w:left w:val="nil"/>
              <w:bottom w:val="nil"/>
              <w:right w:val="nil"/>
            </w:tcBorders>
            <w:shd w:val="clear" w:color="auto" w:fill="auto"/>
            <w:noWrap/>
            <w:vAlign w:val="bottom"/>
            <w:hideMark/>
          </w:tcPr>
          <w:p w:rsidR="00E329F7" w:rsidRPr="00317A00" w:rsidRDefault="00E329F7" w:rsidP="00AE1C26">
            <w:pPr>
              <w:jc w:val="right"/>
              <w:rPr>
                <w:rFonts w:cs="Calibri"/>
                <w:color w:val="000000"/>
                <w:lang w:eastAsia="en-GB"/>
              </w:rPr>
            </w:pPr>
            <w:r w:rsidRPr="00317A00">
              <w:rPr>
                <w:rFonts w:cs="Calibri"/>
                <w:color w:val="000000"/>
                <w:lang w:eastAsia="en-GB"/>
              </w:rPr>
              <w:t>50.1</w:t>
            </w:r>
          </w:p>
        </w:tc>
        <w:tc>
          <w:tcPr>
            <w:tcW w:w="1248" w:type="dxa"/>
            <w:tcBorders>
              <w:top w:val="nil"/>
              <w:left w:val="nil"/>
              <w:bottom w:val="nil"/>
              <w:right w:val="nil"/>
            </w:tcBorders>
            <w:shd w:val="clear" w:color="auto" w:fill="auto"/>
            <w:noWrap/>
            <w:vAlign w:val="bottom"/>
            <w:hideMark/>
          </w:tcPr>
          <w:p w:rsidR="00E329F7" w:rsidRPr="00317A00" w:rsidRDefault="00E329F7" w:rsidP="00AE1C26">
            <w:pPr>
              <w:jc w:val="right"/>
              <w:rPr>
                <w:rFonts w:cs="Calibri"/>
                <w:color w:val="000000"/>
                <w:lang w:eastAsia="en-GB"/>
              </w:rPr>
            </w:pPr>
            <w:r w:rsidRPr="00317A00">
              <w:rPr>
                <w:rFonts w:cs="Calibri"/>
                <w:color w:val="000000"/>
                <w:lang w:eastAsia="en-GB"/>
              </w:rPr>
              <w:t>6.0%</w:t>
            </w:r>
          </w:p>
        </w:tc>
        <w:tc>
          <w:tcPr>
            <w:tcW w:w="1251" w:type="dxa"/>
            <w:tcBorders>
              <w:top w:val="nil"/>
              <w:left w:val="nil"/>
              <w:bottom w:val="nil"/>
              <w:right w:val="nil"/>
            </w:tcBorders>
            <w:shd w:val="clear" w:color="auto" w:fill="auto"/>
            <w:noWrap/>
            <w:vAlign w:val="bottom"/>
            <w:hideMark/>
          </w:tcPr>
          <w:p w:rsidR="00E329F7" w:rsidRPr="00317A00" w:rsidRDefault="00E329F7" w:rsidP="00AE1C26">
            <w:pPr>
              <w:jc w:val="right"/>
              <w:rPr>
                <w:rFonts w:cs="Calibri"/>
                <w:color w:val="000000"/>
                <w:lang w:eastAsia="en-GB"/>
              </w:rPr>
            </w:pPr>
            <w:r w:rsidRPr="00317A00">
              <w:rPr>
                <w:rFonts w:cs="Calibri"/>
                <w:color w:val="000000"/>
                <w:lang w:eastAsia="en-GB"/>
              </w:rPr>
              <w:t>48.6</w:t>
            </w:r>
          </w:p>
        </w:tc>
        <w:tc>
          <w:tcPr>
            <w:tcW w:w="1131" w:type="dxa"/>
            <w:tcBorders>
              <w:top w:val="nil"/>
              <w:left w:val="nil"/>
              <w:bottom w:val="nil"/>
              <w:right w:val="nil"/>
            </w:tcBorders>
            <w:shd w:val="clear" w:color="auto" w:fill="auto"/>
            <w:noWrap/>
            <w:vAlign w:val="bottom"/>
            <w:hideMark/>
          </w:tcPr>
          <w:p w:rsidR="00E329F7" w:rsidRPr="00317A00" w:rsidRDefault="00E329F7" w:rsidP="00AE1C26">
            <w:pPr>
              <w:jc w:val="right"/>
              <w:rPr>
                <w:rFonts w:cs="Calibri"/>
                <w:color w:val="000000"/>
                <w:lang w:eastAsia="en-GB"/>
              </w:rPr>
            </w:pPr>
            <w:r w:rsidRPr="00317A00">
              <w:rPr>
                <w:rFonts w:cs="Calibri"/>
                <w:color w:val="000000"/>
                <w:lang w:eastAsia="en-GB"/>
              </w:rPr>
              <w:t>5.7%</w:t>
            </w:r>
          </w:p>
        </w:tc>
      </w:tr>
      <w:tr w:rsidR="00E329F7" w:rsidRPr="00317A00" w:rsidTr="00AE1C26">
        <w:trPr>
          <w:trHeight w:val="272"/>
        </w:trPr>
        <w:tc>
          <w:tcPr>
            <w:tcW w:w="3412" w:type="dxa"/>
            <w:tcBorders>
              <w:top w:val="nil"/>
              <w:left w:val="nil"/>
              <w:bottom w:val="nil"/>
              <w:right w:val="nil"/>
            </w:tcBorders>
            <w:shd w:val="clear" w:color="auto" w:fill="auto"/>
            <w:vAlign w:val="bottom"/>
            <w:hideMark/>
          </w:tcPr>
          <w:p w:rsidR="00E329F7" w:rsidRPr="00317A00" w:rsidRDefault="00E329F7" w:rsidP="00AE1C26">
            <w:pPr>
              <w:rPr>
                <w:rFonts w:cs="Calibri"/>
                <w:color w:val="000000"/>
                <w:lang w:eastAsia="en-GB"/>
              </w:rPr>
            </w:pPr>
            <w:r w:rsidRPr="00317A00">
              <w:rPr>
                <w:rFonts w:cs="Calibri"/>
                <w:color w:val="000000"/>
                <w:lang w:eastAsia="en-GB"/>
              </w:rPr>
              <w:t>Capital Dynamics - Private Equity</w:t>
            </w:r>
          </w:p>
        </w:tc>
        <w:tc>
          <w:tcPr>
            <w:tcW w:w="1251" w:type="dxa"/>
            <w:tcBorders>
              <w:top w:val="nil"/>
              <w:left w:val="nil"/>
              <w:bottom w:val="nil"/>
              <w:right w:val="nil"/>
            </w:tcBorders>
            <w:shd w:val="clear" w:color="auto" w:fill="auto"/>
            <w:noWrap/>
            <w:vAlign w:val="bottom"/>
            <w:hideMark/>
          </w:tcPr>
          <w:p w:rsidR="00E329F7" w:rsidRPr="00317A00" w:rsidRDefault="00E329F7" w:rsidP="00AE1C26">
            <w:pPr>
              <w:jc w:val="right"/>
              <w:rPr>
                <w:rFonts w:cs="Calibri"/>
                <w:color w:val="000000"/>
                <w:lang w:eastAsia="en-GB"/>
              </w:rPr>
            </w:pPr>
            <w:r w:rsidRPr="00317A00">
              <w:rPr>
                <w:rFonts w:cs="Calibri"/>
                <w:color w:val="000000"/>
                <w:lang w:eastAsia="en-GB"/>
              </w:rPr>
              <w:t>49.1</w:t>
            </w:r>
          </w:p>
        </w:tc>
        <w:tc>
          <w:tcPr>
            <w:tcW w:w="1248" w:type="dxa"/>
            <w:tcBorders>
              <w:top w:val="nil"/>
              <w:left w:val="nil"/>
              <w:bottom w:val="nil"/>
              <w:right w:val="nil"/>
            </w:tcBorders>
            <w:shd w:val="clear" w:color="auto" w:fill="auto"/>
            <w:noWrap/>
            <w:vAlign w:val="bottom"/>
            <w:hideMark/>
          </w:tcPr>
          <w:p w:rsidR="00E329F7" w:rsidRPr="00317A00" w:rsidRDefault="00E329F7" w:rsidP="00AE1C26">
            <w:pPr>
              <w:jc w:val="right"/>
              <w:rPr>
                <w:rFonts w:cs="Calibri"/>
                <w:color w:val="000000"/>
                <w:lang w:eastAsia="en-GB"/>
              </w:rPr>
            </w:pPr>
            <w:r w:rsidRPr="00317A00">
              <w:rPr>
                <w:rFonts w:cs="Calibri"/>
                <w:color w:val="000000"/>
                <w:lang w:eastAsia="en-GB"/>
              </w:rPr>
              <w:t>5.9%</w:t>
            </w:r>
          </w:p>
        </w:tc>
        <w:tc>
          <w:tcPr>
            <w:tcW w:w="1251" w:type="dxa"/>
            <w:tcBorders>
              <w:top w:val="nil"/>
              <w:left w:val="nil"/>
              <w:bottom w:val="nil"/>
              <w:right w:val="nil"/>
            </w:tcBorders>
            <w:shd w:val="clear" w:color="auto" w:fill="auto"/>
            <w:noWrap/>
            <w:vAlign w:val="bottom"/>
            <w:hideMark/>
          </w:tcPr>
          <w:p w:rsidR="00E329F7" w:rsidRPr="00317A00" w:rsidRDefault="00E329F7" w:rsidP="00AE1C26">
            <w:pPr>
              <w:jc w:val="right"/>
              <w:rPr>
                <w:rFonts w:cs="Calibri"/>
                <w:color w:val="000000"/>
                <w:lang w:eastAsia="en-GB"/>
              </w:rPr>
            </w:pPr>
            <w:r w:rsidRPr="00317A00">
              <w:rPr>
                <w:rFonts w:cs="Calibri"/>
                <w:color w:val="000000"/>
                <w:lang w:eastAsia="en-GB"/>
              </w:rPr>
              <w:t>58.0</w:t>
            </w:r>
          </w:p>
        </w:tc>
        <w:tc>
          <w:tcPr>
            <w:tcW w:w="1131" w:type="dxa"/>
            <w:tcBorders>
              <w:top w:val="nil"/>
              <w:left w:val="nil"/>
              <w:bottom w:val="nil"/>
              <w:right w:val="nil"/>
            </w:tcBorders>
            <w:shd w:val="clear" w:color="auto" w:fill="auto"/>
            <w:noWrap/>
            <w:vAlign w:val="bottom"/>
            <w:hideMark/>
          </w:tcPr>
          <w:p w:rsidR="00E329F7" w:rsidRPr="00317A00" w:rsidRDefault="00E329F7" w:rsidP="00AE1C26">
            <w:pPr>
              <w:jc w:val="right"/>
              <w:rPr>
                <w:rFonts w:cs="Calibri"/>
                <w:color w:val="000000"/>
                <w:lang w:eastAsia="en-GB"/>
              </w:rPr>
            </w:pPr>
            <w:r w:rsidRPr="00317A00">
              <w:rPr>
                <w:rFonts w:cs="Calibri"/>
                <w:color w:val="000000"/>
                <w:lang w:eastAsia="en-GB"/>
              </w:rPr>
              <w:t>6.8%</w:t>
            </w:r>
          </w:p>
        </w:tc>
      </w:tr>
      <w:tr w:rsidR="00E329F7" w:rsidRPr="006B2DF8" w:rsidTr="00AE1C26">
        <w:trPr>
          <w:trHeight w:val="272"/>
        </w:trPr>
        <w:tc>
          <w:tcPr>
            <w:tcW w:w="3412" w:type="dxa"/>
            <w:tcBorders>
              <w:top w:val="nil"/>
              <w:left w:val="nil"/>
              <w:bottom w:val="nil"/>
              <w:right w:val="nil"/>
            </w:tcBorders>
            <w:shd w:val="clear" w:color="auto" w:fill="auto"/>
            <w:noWrap/>
            <w:vAlign w:val="bottom"/>
            <w:hideMark/>
          </w:tcPr>
          <w:p w:rsidR="00E329F7" w:rsidRPr="00317A00" w:rsidRDefault="00E329F7" w:rsidP="00AE1C26">
            <w:pPr>
              <w:rPr>
                <w:rFonts w:cs="Calibri"/>
                <w:color w:val="000000"/>
                <w:lang w:eastAsia="en-GB"/>
              </w:rPr>
            </w:pPr>
            <w:r w:rsidRPr="00317A00">
              <w:rPr>
                <w:rFonts w:cs="Calibri"/>
                <w:color w:val="000000"/>
                <w:lang w:eastAsia="en-GB"/>
              </w:rPr>
              <w:t>Cash</w:t>
            </w:r>
          </w:p>
        </w:tc>
        <w:tc>
          <w:tcPr>
            <w:tcW w:w="1251" w:type="dxa"/>
            <w:tcBorders>
              <w:top w:val="nil"/>
              <w:left w:val="nil"/>
              <w:bottom w:val="nil"/>
              <w:right w:val="nil"/>
            </w:tcBorders>
            <w:shd w:val="clear" w:color="auto" w:fill="auto"/>
            <w:noWrap/>
            <w:vAlign w:val="bottom"/>
            <w:hideMark/>
          </w:tcPr>
          <w:p w:rsidR="00E329F7" w:rsidRPr="00317A00" w:rsidRDefault="00E329F7" w:rsidP="00AE1C26">
            <w:pPr>
              <w:jc w:val="right"/>
              <w:rPr>
                <w:rFonts w:cs="Calibri"/>
                <w:color w:val="000000"/>
                <w:lang w:eastAsia="en-GB"/>
              </w:rPr>
            </w:pPr>
            <w:r w:rsidRPr="00317A00">
              <w:rPr>
                <w:rFonts w:cs="Calibri"/>
                <w:color w:val="000000"/>
                <w:lang w:eastAsia="en-GB"/>
              </w:rPr>
              <w:t>53.9</w:t>
            </w:r>
          </w:p>
        </w:tc>
        <w:tc>
          <w:tcPr>
            <w:tcW w:w="1248" w:type="dxa"/>
            <w:tcBorders>
              <w:top w:val="nil"/>
              <w:left w:val="nil"/>
              <w:bottom w:val="nil"/>
              <w:right w:val="nil"/>
            </w:tcBorders>
            <w:shd w:val="clear" w:color="auto" w:fill="auto"/>
            <w:noWrap/>
            <w:vAlign w:val="bottom"/>
            <w:hideMark/>
          </w:tcPr>
          <w:p w:rsidR="00E329F7" w:rsidRPr="00317A00" w:rsidRDefault="00E329F7" w:rsidP="00AE1C26">
            <w:pPr>
              <w:jc w:val="right"/>
              <w:rPr>
                <w:rFonts w:cs="Calibri"/>
                <w:color w:val="000000"/>
                <w:lang w:eastAsia="en-GB"/>
              </w:rPr>
            </w:pPr>
            <w:r w:rsidRPr="00317A00">
              <w:rPr>
                <w:rFonts w:cs="Calibri"/>
                <w:color w:val="000000"/>
                <w:lang w:eastAsia="en-GB"/>
              </w:rPr>
              <w:t>6.5%</w:t>
            </w:r>
          </w:p>
        </w:tc>
        <w:tc>
          <w:tcPr>
            <w:tcW w:w="1251" w:type="dxa"/>
            <w:tcBorders>
              <w:top w:val="nil"/>
              <w:left w:val="nil"/>
              <w:bottom w:val="nil"/>
              <w:right w:val="nil"/>
            </w:tcBorders>
            <w:shd w:val="clear" w:color="auto" w:fill="auto"/>
            <w:noWrap/>
            <w:vAlign w:val="bottom"/>
            <w:hideMark/>
          </w:tcPr>
          <w:p w:rsidR="00E329F7" w:rsidRPr="00317A00" w:rsidRDefault="00E329F7" w:rsidP="00AE1C26">
            <w:pPr>
              <w:jc w:val="right"/>
              <w:rPr>
                <w:rFonts w:cs="Calibri"/>
                <w:color w:val="000000"/>
                <w:lang w:eastAsia="en-GB"/>
              </w:rPr>
            </w:pPr>
            <w:r w:rsidRPr="00317A00">
              <w:rPr>
                <w:rFonts w:cs="Calibri"/>
                <w:color w:val="000000"/>
                <w:lang w:eastAsia="en-GB"/>
              </w:rPr>
              <w:t>23.5</w:t>
            </w:r>
          </w:p>
        </w:tc>
        <w:tc>
          <w:tcPr>
            <w:tcW w:w="1131" w:type="dxa"/>
            <w:tcBorders>
              <w:top w:val="nil"/>
              <w:left w:val="nil"/>
              <w:bottom w:val="nil"/>
              <w:right w:val="nil"/>
            </w:tcBorders>
            <w:shd w:val="clear" w:color="auto" w:fill="auto"/>
            <w:noWrap/>
            <w:vAlign w:val="bottom"/>
            <w:hideMark/>
          </w:tcPr>
          <w:p w:rsidR="00E329F7" w:rsidRPr="006B2DF8" w:rsidRDefault="00E329F7" w:rsidP="00AE1C26">
            <w:pPr>
              <w:jc w:val="right"/>
              <w:rPr>
                <w:rFonts w:cs="Calibri"/>
                <w:color w:val="000000"/>
                <w:lang w:eastAsia="en-GB"/>
              </w:rPr>
            </w:pPr>
            <w:r w:rsidRPr="00317A00">
              <w:rPr>
                <w:rFonts w:cs="Calibri"/>
                <w:color w:val="000000"/>
                <w:lang w:eastAsia="en-GB"/>
              </w:rPr>
              <w:t>2.7%</w:t>
            </w:r>
          </w:p>
        </w:tc>
      </w:tr>
    </w:tbl>
    <w:p w:rsidR="00F72906" w:rsidRDefault="00F72906" w:rsidP="00F72906"/>
    <w:p w:rsidR="00F72906" w:rsidRDefault="00F72906" w:rsidP="00F72906">
      <w:r>
        <w:t>d) Stock lending</w:t>
      </w:r>
    </w:p>
    <w:p w:rsidR="00F72906" w:rsidRDefault="00F72906" w:rsidP="00F72906"/>
    <w:p w:rsidR="00F72906" w:rsidRDefault="00F72906" w:rsidP="00F72906">
      <w:r>
        <w:t>The London Borough of Brent Pension Fund does not operate a Stock Lending programme.</w:t>
      </w:r>
    </w:p>
    <w:p w:rsidR="00F72906" w:rsidRDefault="00F72906" w:rsidP="00F72906"/>
    <w:p w:rsidR="00F72906" w:rsidRDefault="00F72906" w:rsidP="00E329F7">
      <w:pPr>
        <w:pStyle w:val="Heading3"/>
      </w:pPr>
      <w:r>
        <w:t>15a. Valuation of financial instruments carried at fair value</w:t>
      </w:r>
    </w:p>
    <w:p w:rsidR="00F72906" w:rsidRDefault="00F72906" w:rsidP="00F72906"/>
    <w:p w:rsidR="00F72906" w:rsidRDefault="00F72906" w:rsidP="00F72906">
      <w:r>
        <w:t>The basis of the valuation of each asset class of investment asset is set out below.  There has been no change in the valuation techniques used during the year. All assets have been valued using fair value techniques which represent the highest and best price available at the reporting date.</w:t>
      </w:r>
    </w:p>
    <w:p w:rsidR="00F72906" w:rsidRDefault="00F72906" w:rsidP="00F72906"/>
    <w:p w:rsidR="00F72906" w:rsidRDefault="00F72906" w:rsidP="00F72906"/>
    <w:tbl>
      <w:tblPr>
        <w:tblW w:w="9209" w:type="dxa"/>
        <w:tblLayout w:type="fixed"/>
        <w:tblLook w:val="04A0" w:firstRow="1" w:lastRow="0" w:firstColumn="1" w:lastColumn="0" w:noHBand="0" w:noVBand="1"/>
      </w:tblPr>
      <w:tblGrid>
        <w:gridCol w:w="1379"/>
        <w:gridCol w:w="1168"/>
        <w:gridCol w:w="1984"/>
        <w:gridCol w:w="2268"/>
        <w:gridCol w:w="2410"/>
      </w:tblGrid>
      <w:tr w:rsidR="00E329F7" w:rsidRPr="00C37386" w:rsidTr="00AE1C26">
        <w:trPr>
          <w:trHeight w:val="600"/>
        </w:trPr>
        <w:tc>
          <w:tcPr>
            <w:tcW w:w="13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29F7" w:rsidRPr="00C37386" w:rsidRDefault="00E329F7" w:rsidP="00AE1C26">
            <w:pPr>
              <w:rPr>
                <w:rFonts w:ascii="Segoe UI Light" w:hAnsi="Segoe UI Light" w:cs="Segoe UI Light"/>
                <w:b/>
                <w:snapToGrid w:val="0"/>
                <w:color w:val="000000"/>
              </w:rPr>
            </w:pPr>
            <w:r w:rsidRPr="00C37386">
              <w:rPr>
                <w:rFonts w:ascii="Segoe UI Light" w:hAnsi="Segoe UI Light" w:cs="Segoe UI Light"/>
                <w:b/>
                <w:snapToGrid w:val="0"/>
                <w:color w:val="000000"/>
              </w:rPr>
              <w:t>Description of asset</w:t>
            </w:r>
          </w:p>
        </w:tc>
        <w:tc>
          <w:tcPr>
            <w:tcW w:w="1168" w:type="dxa"/>
            <w:tcBorders>
              <w:top w:val="single" w:sz="4" w:space="0" w:color="auto"/>
              <w:left w:val="nil"/>
              <w:bottom w:val="single" w:sz="4" w:space="0" w:color="auto"/>
              <w:right w:val="single" w:sz="4" w:space="0" w:color="auto"/>
            </w:tcBorders>
            <w:shd w:val="clear" w:color="auto" w:fill="auto"/>
            <w:vAlign w:val="center"/>
            <w:hideMark/>
          </w:tcPr>
          <w:p w:rsidR="00E329F7" w:rsidRPr="00C37386" w:rsidRDefault="00E329F7" w:rsidP="00AE1C26">
            <w:pPr>
              <w:rPr>
                <w:rFonts w:ascii="Segoe UI Light" w:hAnsi="Segoe UI Light" w:cs="Segoe UI Light"/>
                <w:b/>
                <w:snapToGrid w:val="0"/>
                <w:color w:val="000000"/>
              </w:rPr>
            </w:pPr>
            <w:r w:rsidRPr="00C37386">
              <w:rPr>
                <w:rFonts w:ascii="Segoe UI Light" w:hAnsi="Segoe UI Light" w:cs="Segoe UI Light"/>
                <w:b/>
                <w:snapToGrid w:val="0"/>
                <w:color w:val="000000"/>
              </w:rPr>
              <w:t>Valuation hierarchy</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E329F7" w:rsidRPr="00C37386" w:rsidRDefault="00E329F7" w:rsidP="00AE1C26">
            <w:pPr>
              <w:rPr>
                <w:rFonts w:ascii="Segoe UI Light" w:hAnsi="Segoe UI Light" w:cs="Segoe UI Light"/>
                <w:b/>
                <w:snapToGrid w:val="0"/>
                <w:color w:val="000000"/>
              </w:rPr>
            </w:pPr>
            <w:r w:rsidRPr="00C37386">
              <w:rPr>
                <w:rFonts w:ascii="Segoe UI Light" w:hAnsi="Segoe UI Light" w:cs="Segoe UI Light"/>
                <w:b/>
                <w:snapToGrid w:val="0"/>
                <w:color w:val="000000"/>
              </w:rPr>
              <w:t>Basis of valuation</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E329F7" w:rsidRPr="00C37386" w:rsidRDefault="00E329F7" w:rsidP="00AE1C26">
            <w:pPr>
              <w:rPr>
                <w:rFonts w:ascii="Segoe UI Light" w:hAnsi="Segoe UI Light" w:cs="Segoe UI Light"/>
                <w:b/>
                <w:snapToGrid w:val="0"/>
                <w:color w:val="000000"/>
              </w:rPr>
            </w:pPr>
            <w:r w:rsidRPr="00C37386">
              <w:rPr>
                <w:rFonts w:ascii="Segoe UI Light" w:hAnsi="Segoe UI Light" w:cs="Segoe UI Light"/>
                <w:b/>
                <w:snapToGrid w:val="0"/>
                <w:color w:val="000000"/>
              </w:rPr>
              <w:t>Observable and unobservable inputs</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E329F7" w:rsidRPr="00C37386" w:rsidRDefault="00E329F7" w:rsidP="00AE1C26">
            <w:pPr>
              <w:rPr>
                <w:rFonts w:ascii="Segoe UI Light" w:hAnsi="Segoe UI Light" w:cs="Segoe UI Light"/>
                <w:b/>
                <w:snapToGrid w:val="0"/>
                <w:color w:val="000000"/>
              </w:rPr>
            </w:pPr>
            <w:r w:rsidRPr="00C37386">
              <w:rPr>
                <w:rFonts w:ascii="Segoe UI Light" w:hAnsi="Segoe UI Light" w:cs="Segoe UI Light"/>
                <w:b/>
                <w:snapToGrid w:val="0"/>
                <w:color w:val="000000"/>
              </w:rPr>
              <w:t>Key sensitivities affecting the valuations provided</w:t>
            </w:r>
          </w:p>
        </w:tc>
      </w:tr>
      <w:tr w:rsidR="00E329F7" w:rsidRPr="00C37386" w:rsidTr="00AE1C26">
        <w:trPr>
          <w:trHeight w:val="1200"/>
        </w:trPr>
        <w:tc>
          <w:tcPr>
            <w:tcW w:w="1379" w:type="dxa"/>
            <w:tcBorders>
              <w:top w:val="nil"/>
              <w:left w:val="single" w:sz="4" w:space="0" w:color="auto"/>
              <w:bottom w:val="single" w:sz="4" w:space="0" w:color="auto"/>
              <w:right w:val="single" w:sz="4" w:space="0" w:color="auto"/>
            </w:tcBorders>
            <w:shd w:val="clear" w:color="auto" w:fill="auto"/>
            <w:vAlign w:val="center"/>
            <w:hideMark/>
          </w:tcPr>
          <w:p w:rsidR="00E329F7" w:rsidRPr="00C37386" w:rsidRDefault="00E329F7" w:rsidP="00AE1C26">
            <w:pPr>
              <w:rPr>
                <w:rFonts w:ascii="Segoe UI Light" w:hAnsi="Segoe UI Light" w:cs="Segoe UI Light"/>
                <w:b/>
                <w:snapToGrid w:val="0"/>
                <w:color w:val="000000"/>
              </w:rPr>
            </w:pPr>
            <w:r w:rsidRPr="00C37386">
              <w:rPr>
                <w:rFonts w:ascii="Segoe UI Light" w:hAnsi="Segoe UI Light" w:cs="Segoe UI Light"/>
                <w:b/>
                <w:snapToGrid w:val="0"/>
                <w:color w:val="000000"/>
              </w:rPr>
              <w:t>Market quoted investments</w:t>
            </w:r>
          </w:p>
        </w:tc>
        <w:tc>
          <w:tcPr>
            <w:tcW w:w="1168" w:type="dxa"/>
            <w:tcBorders>
              <w:top w:val="nil"/>
              <w:left w:val="nil"/>
              <w:bottom w:val="single" w:sz="4" w:space="0" w:color="auto"/>
              <w:right w:val="single" w:sz="4" w:space="0" w:color="auto"/>
            </w:tcBorders>
            <w:shd w:val="clear" w:color="auto" w:fill="auto"/>
            <w:vAlign w:val="center"/>
            <w:hideMark/>
          </w:tcPr>
          <w:p w:rsidR="00E329F7" w:rsidRPr="00C37386" w:rsidRDefault="00E329F7" w:rsidP="00AE1C26">
            <w:pPr>
              <w:rPr>
                <w:rFonts w:ascii="Segoe UI Light" w:hAnsi="Segoe UI Light" w:cs="Segoe UI Light"/>
                <w:snapToGrid w:val="0"/>
                <w:color w:val="000000"/>
              </w:rPr>
            </w:pPr>
            <w:r w:rsidRPr="00C37386">
              <w:rPr>
                <w:rFonts w:ascii="Segoe UI Light" w:hAnsi="Segoe UI Light" w:cs="Segoe UI Light"/>
                <w:snapToGrid w:val="0"/>
                <w:color w:val="000000"/>
              </w:rPr>
              <w:t>Level 1</w:t>
            </w:r>
          </w:p>
        </w:tc>
        <w:tc>
          <w:tcPr>
            <w:tcW w:w="1984" w:type="dxa"/>
            <w:tcBorders>
              <w:top w:val="nil"/>
              <w:left w:val="nil"/>
              <w:bottom w:val="single" w:sz="4" w:space="0" w:color="auto"/>
              <w:right w:val="single" w:sz="4" w:space="0" w:color="auto"/>
            </w:tcBorders>
            <w:shd w:val="clear" w:color="auto" w:fill="auto"/>
            <w:vAlign w:val="center"/>
            <w:hideMark/>
          </w:tcPr>
          <w:p w:rsidR="00E329F7" w:rsidRPr="00C37386" w:rsidRDefault="00E329F7" w:rsidP="00AE1C26">
            <w:pPr>
              <w:rPr>
                <w:rFonts w:ascii="Segoe UI Light" w:hAnsi="Segoe UI Light" w:cs="Segoe UI Light"/>
                <w:snapToGrid w:val="0"/>
                <w:color w:val="000000"/>
              </w:rPr>
            </w:pPr>
            <w:r w:rsidRPr="00C37386">
              <w:rPr>
                <w:rFonts w:ascii="Segoe UI Light" w:hAnsi="Segoe UI Light" w:cs="Segoe UI Light"/>
                <w:snapToGrid w:val="0"/>
                <w:color w:val="000000"/>
              </w:rPr>
              <w:t xml:space="preserve">Published bid market price ruling on the final day of </w:t>
            </w:r>
            <w:r w:rsidRPr="00C37386">
              <w:rPr>
                <w:rFonts w:ascii="Segoe UI Light" w:hAnsi="Segoe UI Light" w:cs="Segoe UI Light"/>
                <w:snapToGrid w:val="0"/>
                <w:color w:val="000000"/>
              </w:rPr>
              <w:lastRenderedPageBreak/>
              <w:t>the accounting period</w:t>
            </w:r>
          </w:p>
        </w:tc>
        <w:tc>
          <w:tcPr>
            <w:tcW w:w="2268" w:type="dxa"/>
            <w:tcBorders>
              <w:top w:val="nil"/>
              <w:left w:val="nil"/>
              <w:bottom w:val="single" w:sz="4" w:space="0" w:color="auto"/>
              <w:right w:val="single" w:sz="4" w:space="0" w:color="auto"/>
            </w:tcBorders>
            <w:shd w:val="clear" w:color="auto" w:fill="auto"/>
            <w:vAlign w:val="center"/>
            <w:hideMark/>
          </w:tcPr>
          <w:p w:rsidR="00E329F7" w:rsidRPr="00C37386" w:rsidRDefault="00E329F7" w:rsidP="00AE1C26">
            <w:pPr>
              <w:rPr>
                <w:rFonts w:ascii="Segoe UI Light" w:hAnsi="Segoe UI Light" w:cs="Segoe UI Light"/>
                <w:snapToGrid w:val="0"/>
                <w:color w:val="000000"/>
              </w:rPr>
            </w:pPr>
            <w:r w:rsidRPr="00C37386">
              <w:rPr>
                <w:rFonts w:ascii="Segoe UI Light" w:hAnsi="Segoe UI Light" w:cs="Segoe UI Light"/>
                <w:snapToGrid w:val="0"/>
                <w:color w:val="000000"/>
              </w:rPr>
              <w:lastRenderedPageBreak/>
              <w:t>Not required</w:t>
            </w:r>
          </w:p>
        </w:tc>
        <w:tc>
          <w:tcPr>
            <w:tcW w:w="2410" w:type="dxa"/>
            <w:tcBorders>
              <w:top w:val="nil"/>
              <w:left w:val="nil"/>
              <w:bottom w:val="single" w:sz="4" w:space="0" w:color="auto"/>
              <w:right w:val="single" w:sz="4" w:space="0" w:color="auto"/>
            </w:tcBorders>
            <w:shd w:val="clear" w:color="auto" w:fill="auto"/>
            <w:vAlign w:val="center"/>
            <w:hideMark/>
          </w:tcPr>
          <w:p w:rsidR="00E329F7" w:rsidRPr="00C37386" w:rsidRDefault="00E329F7" w:rsidP="00AE1C26">
            <w:pPr>
              <w:rPr>
                <w:rFonts w:ascii="Segoe UI Light" w:hAnsi="Segoe UI Light" w:cs="Segoe UI Light"/>
                <w:snapToGrid w:val="0"/>
                <w:color w:val="000000"/>
              </w:rPr>
            </w:pPr>
            <w:r w:rsidRPr="00C37386">
              <w:rPr>
                <w:rFonts w:ascii="Segoe UI Light" w:hAnsi="Segoe UI Light" w:cs="Segoe UI Light"/>
                <w:snapToGrid w:val="0"/>
                <w:color w:val="000000"/>
              </w:rPr>
              <w:t>Not required</w:t>
            </w:r>
          </w:p>
        </w:tc>
      </w:tr>
      <w:tr w:rsidR="00E329F7" w:rsidRPr="00C37386" w:rsidTr="00AE1C26">
        <w:trPr>
          <w:trHeight w:val="1500"/>
        </w:trPr>
        <w:tc>
          <w:tcPr>
            <w:tcW w:w="1379" w:type="dxa"/>
            <w:tcBorders>
              <w:top w:val="nil"/>
              <w:left w:val="single" w:sz="4" w:space="0" w:color="auto"/>
              <w:bottom w:val="single" w:sz="4" w:space="0" w:color="auto"/>
              <w:right w:val="single" w:sz="4" w:space="0" w:color="auto"/>
            </w:tcBorders>
            <w:shd w:val="clear" w:color="auto" w:fill="auto"/>
            <w:vAlign w:val="center"/>
            <w:hideMark/>
          </w:tcPr>
          <w:p w:rsidR="00E329F7" w:rsidRPr="00C37386" w:rsidRDefault="00E329F7" w:rsidP="00AE1C26">
            <w:pPr>
              <w:rPr>
                <w:rFonts w:ascii="Segoe UI Light" w:hAnsi="Segoe UI Light" w:cs="Segoe UI Light"/>
                <w:b/>
                <w:snapToGrid w:val="0"/>
                <w:color w:val="000000"/>
              </w:rPr>
            </w:pPr>
            <w:r w:rsidRPr="00C37386">
              <w:rPr>
                <w:rFonts w:ascii="Segoe UI Light" w:hAnsi="Segoe UI Light" w:cs="Segoe UI Light"/>
                <w:b/>
                <w:snapToGrid w:val="0"/>
                <w:color w:val="000000"/>
              </w:rPr>
              <w:t xml:space="preserve">Quoted bonds </w:t>
            </w:r>
          </w:p>
        </w:tc>
        <w:tc>
          <w:tcPr>
            <w:tcW w:w="1168" w:type="dxa"/>
            <w:tcBorders>
              <w:top w:val="nil"/>
              <w:left w:val="nil"/>
              <w:bottom w:val="single" w:sz="4" w:space="0" w:color="auto"/>
              <w:right w:val="single" w:sz="4" w:space="0" w:color="auto"/>
            </w:tcBorders>
            <w:shd w:val="clear" w:color="auto" w:fill="auto"/>
            <w:vAlign w:val="center"/>
            <w:hideMark/>
          </w:tcPr>
          <w:p w:rsidR="00E329F7" w:rsidRPr="00C37386" w:rsidRDefault="00E329F7" w:rsidP="00AE1C26">
            <w:pPr>
              <w:rPr>
                <w:rFonts w:ascii="Segoe UI Light" w:hAnsi="Segoe UI Light" w:cs="Segoe UI Light"/>
                <w:snapToGrid w:val="0"/>
                <w:color w:val="000000"/>
              </w:rPr>
            </w:pPr>
            <w:r w:rsidRPr="00C37386">
              <w:rPr>
                <w:rFonts w:ascii="Segoe UI Light" w:hAnsi="Segoe UI Light" w:cs="Segoe UI Light"/>
                <w:snapToGrid w:val="0"/>
                <w:color w:val="000000"/>
              </w:rPr>
              <w:t>Level 1</w:t>
            </w:r>
          </w:p>
        </w:tc>
        <w:tc>
          <w:tcPr>
            <w:tcW w:w="1984" w:type="dxa"/>
            <w:tcBorders>
              <w:top w:val="nil"/>
              <w:left w:val="nil"/>
              <w:bottom w:val="single" w:sz="4" w:space="0" w:color="auto"/>
              <w:right w:val="single" w:sz="4" w:space="0" w:color="auto"/>
            </w:tcBorders>
            <w:shd w:val="clear" w:color="auto" w:fill="auto"/>
            <w:vAlign w:val="center"/>
            <w:hideMark/>
          </w:tcPr>
          <w:p w:rsidR="00E329F7" w:rsidRPr="00C37386" w:rsidRDefault="00E329F7" w:rsidP="00AE1C26">
            <w:pPr>
              <w:rPr>
                <w:rFonts w:ascii="Segoe UI Light" w:hAnsi="Segoe UI Light" w:cs="Segoe UI Light"/>
                <w:snapToGrid w:val="0"/>
                <w:color w:val="000000"/>
              </w:rPr>
            </w:pPr>
            <w:r w:rsidRPr="00C37386">
              <w:rPr>
                <w:rFonts w:ascii="Segoe UI Light" w:hAnsi="Segoe UI Light" w:cs="Segoe UI Light"/>
                <w:snapToGrid w:val="0"/>
                <w:color w:val="000000"/>
              </w:rPr>
              <w:t>Fixed interest securities are valued at a market value based on current yields</w:t>
            </w:r>
          </w:p>
        </w:tc>
        <w:tc>
          <w:tcPr>
            <w:tcW w:w="2268" w:type="dxa"/>
            <w:tcBorders>
              <w:top w:val="nil"/>
              <w:left w:val="nil"/>
              <w:bottom w:val="single" w:sz="4" w:space="0" w:color="auto"/>
              <w:right w:val="single" w:sz="4" w:space="0" w:color="auto"/>
            </w:tcBorders>
            <w:shd w:val="clear" w:color="auto" w:fill="auto"/>
            <w:vAlign w:val="center"/>
            <w:hideMark/>
          </w:tcPr>
          <w:p w:rsidR="00E329F7" w:rsidRPr="00C37386" w:rsidRDefault="00E329F7" w:rsidP="00AE1C26">
            <w:pPr>
              <w:rPr>
                <w:rFonts w:ascii="Segoe UI Light" w:hAnsi="Segoe UI Light" w:cs="Segoe UI Light"/>
                <w:snapToGrid w:val="0"/>
                <w:color w:val="000000"/>
              </w:rPr>
            </w:pPr>
            <w:r w:rsidRPr="00C37386">
              <w:rPr>
                <w:rFonts w:ascii="Segoe UI Light" w:hAnsi="Segoe UI Light" w:cs="Segoe UI Light"/>
                <w:snapToGrid w:val="0"/>
                <w:color w:val="000000"/>
              </w:rPr>
              <w:t>Not required</w:t>
            </w:r>
          </w:p>
        </w:tc>
        <w:tc>
          <w:tcPr>
            <w:tcW w:w="2410" w:type="dxa"/>
            <w:tcBorders>
              <w:top w:val="nil"/>
              <w:left w:val="nil"/>
              <w:bottom w:val="single" w:sz="4" w:space="0" w:color="auto"/>
              <w:right w:val="single" w:sz="4" w:space="0" w:color="auto"/>
            </w:tcBorders>
            <w:shd w:val="clear" w:color="auto" w:fill="auto"/>
            <w:vAlign w:val="center"/>
            <w:hideMark/>
          </w:tcPr>
          <w:p w:rsidR="00E329F7" w:rsidRPr="00C37386" w:rsidRDefault="00E329F7" w:rsidP="00AE1C26">
            <w:pPr>
              <w:rPr>
                <w:rFonts w:ascii="Segoe UI Light" w:hAnsi="Segoe UI Light" w:cs="Segoe UI Light"/>
                <w:snapToGrid w:val="0"/>
                <w:color w:val="000000"/>
              </w:rPr>
            </w:pPr>
            <w:r w:rsidRPr="00C37386">
              <w:rPr>
                <w:rFonts w:ascii="Segoe UI Light" w:hAnsi="Segoe UI Light" w:cs="Segoe UI Light"/>
                <w:snapToGrid w:val="0"/>
                <w:color w:val="000000"/>
              </w:rPr>
              <w:t>Not required</w:t>
            </w:r>
          </w:p>
        </w:tc>
      </w:tr>
      <w:tr w:rsidR="00E329F7" w:rsidRPr="00C37386" w:rsidTr="00AE1C26">
        <w:trPr>
          <w:trHeight w:val="1800"/>
        </w:trPr>
        <w:tc>
          <w:tcPr>
            <w:tcW w:w="13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29F7" w:rsidRPr="00C37386" w:rsidRDefault="00E329F7" w:rsidP="00AE1C26">
            <w:pPr>
              <w:rPr>
                <w:rFonts w:ascii="Segoe UI Light" w:hAnsi="Segoe UI Light" w:cs="Segoe UI Light"/>
                <w:b/>
                <w:snapToGrid w:val="0"/>
                <w:color w:val="000000"/>
              </w:rPr>
            </w:pPr>
            <w:r w:rsidRPr="00C37386">
              <w:rPr>
                <w:rFonts w:ascii="Segoe UI Light" w:hAnsi="Segoe UI Light" w:cs="Segoe UI Light"/>
                <w:b/>
                <w:snapToGrid w:val="0"/>
                <w:color w:val="000000"/>
              </w:rPr>
              <w:t>Pooled investments – overseas unit trusts and property funds</w:t>
            </w:r>
          </w:p>
        </w:tc>
        <w:tc>
          <w:tcPr>
            <w:tcW w:w="1168" w:type="dxa"/>
            <w:tcBorders>
              <w:top w:val="single" w:sz="4" w:space="0" w:color="auto"/>
              <w:left w:val="nil"/>
              <w:bottom w:val="single" w:sz="4" w:space="0" w:color="auto"/>
              <w:right w:val="single" w:sz="4" w:space="0" w:color="auto"/>
            </w:tcBorders>
            <w:shd w:val="clear" w:color="auto" w:fill="auto"/>
            <w:vAlign w:val="center"/>
            <w:hideMark/>
          </w:tcPr>
          <w:p w:rsidR="00E329F7" w:rsidRPr="00C37386" w:rsidRDefault="00E329F7" w:rsidP="00AE1C26">
            <w:pPr>
              <w:rPr>
                <w:rFonts w:ascii="Segoe UI Light" w:hAnsi="Segoe UI Light" w:cs="Segoe UI Light"/>
                <w:snapToGrid w:val="0"/>
                <w:color w:val="000000"/>
              </w:rPr>
            </w:pPr>
            <w:r w:rsidRPr="00C37386">
              <w:rPr>
                <w:rFonts w:ascii="Segoe UI Light" w:hAnsi="Segoe UI Light" w:cs="Segoe UI Light"/>
                <w:snapToGrid w:val="0"/>
                <w:color w:val="000000"/>
              </w:rPr>
              <w:t>Level 2</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E329F7" w:rsidRPr="00C37386" w:rsidRDefault="00E329F7" w:rsidP="00AE1C26">
            <w:pPr>
              <w:rPr>
                <w:rFonts w:ascii="Segoe UI Light" w:hAnsi="Segoe UI Light" w:cs="Segoe UI Light"/>
                <w:snapToGrid w:val="0"/>
                <w:color w:val="000000"/>
              </w:rPr>
            </w:pPr>
            <w:r w:rsidRPr="00C37386">
              <w:rPr>
                <w:rFonts w:ascii="Segoe UI Light" w:hAnsi="Segoe UI Light" w:cs="Segoe UI Light"/>
                <w:snapToGrid w:val="0"/>
                <w:color w:val="000000"/>
              </w:rPr>
              <w:t>Closing bid price where bid and offer prices are published. Closing single price where single price published</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E329F7" w:rsidRPr="00C37386" w:rsidRDefault="00E329F7" w:rsidP="00AE1C26">
            <w:pPr>
              <w:rPr>
                <w:rFonts w:ascii="Segoe UI Light" w:hAnsi="Segoe UI Light" w:cs="Segoe UI Light"/>
                <w:snapToGrid w:val="0"/>
                <w:color w:val="000000"/>
              </w:rPr>
            </w:pPr>
            <w:r w:rsidRPr="00C37386">
              <w:rPr>
                <w:rFonts w:ascii="Segoe UI Light" w:hAnsi="Segoe UI Light" w:cs="Segoe UI Light"/>
                <w:snapToGrid w:val="0"/>
                <w:color w:val="000000"/>
              </w:rPr>
              <w:t>NAV-based pricing set on a forward pricing basis</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E329F7" w:rsidRPr="00C37386" w:rsidRDefault="00E329F7" w:rsidP="00AE1C26">
            <w:pPr>
              <w:rPr>
                <w:rFonts w:ascii="Segoe UI Light" w:hAnsi="Segoe UI Light" w:cs="Segoe UI Light"/>
                <w:snapToGrid w:val="0"/>
                <w:color w:val="000000"/>
              </w:rPr>
            </w:pPr>
            <w:r w:rsidRPr="00C37386">
              <w:rPr>
                <w:rFonts w:ascii="Segoe UI Light" w:hAnsi="Segoe UI Light" w:cs="Segoe UI Light"/>
                <w:snapToGrid w:val="0"/>
                <w:color w:val="000000"/>
              </w:rPr>
              <w:t>Not required</w:t>
            </w:r>
          </w:p>
        </w:tc>
      </w:tr>
      <w:tr w:rsidR="00E329F7" w:rsidRPr="00C37386" w:rsidTr="00AE1C26">
        <w:trPr>
          <w:trHeight w:val="983"/>
        </w:trPr>
        <w:tc>
          <w:tcPr>
            <w:tcW w:w="1379" w:type="dxa"/>
            <w:tcBorders>
              <w:top w:val="nil"/>
              <w:left w:val="single" w:sz="4" w:space="0" w:color="auto"/>
              <w:bottom w:val="single" w:sz="4" w:space="0" w:color="auto"/>
              <w:right w:val="single" w:sz="4" w:space="0" w:color="auto"/>
            </w:tcBorders>
            <w:shd w:val="clear" w:color="auto" w:fill="auto"/>
            <w:vAlign w:val="center"/>
            <w:hideMark/>
          </w:tcPr>
          <w:p w:rsidR="00E329F7" w:rsidRPr="00C37386" w:rsidRDefault="00E329F7" w:rsidP="00AE1C26">
            <w:pPr>
              <w:rPr>
                <w:rFonts w:ascii="Segoe UI Light" w:hAnsi="Segoe UI Light" w:cs="Segoe UI Light"/>
                <w:b/>
                <w:snapToGrid w:val="0"/>
                <w:color w:val="000000"/>
              </w:rPr>
            </w:pPr>
            <w:r w:rsidRPr="00C37386">
              <w:rPr>
                <w:rFonts w:ascii="Segoe UI Light" w:hAnsi="Segoe UI Light" w:cs="Segoe UI Light"/>
                <w:b/>
                <w:snapToGrid w:val="0"/>
                <w:color w:val="000000"/>
              </w:rPr>
              <w:t>Unquoted equity</w:t>
            </w:r>
          </w:p>
        </w:tc>
        <w:tc>
          <w:tcPr>
            <w:tcW w:w="1168" w:type="dxa"/>
            <w:tcBorders>
              <w:top w:val="nil"/>
              <w:left w:val="nil"/>
              <w:bottom w:val="single" w:sz="4" w:space="0" w:color="auto"/>
              <w:right w:val="single" w:sz="4" w:space="0" w:color="auto"/>
            </w:tcBorders>
            <w:shd w:val="clear" w:color="auto" w:fill="auto"/>
            <w:vAlign w:val="center"/>
            <w:hideMark/>
          </w:tcPr>
          <w:p w:rsidR="00E329F7" w:rsidRPr="00C37386" w:rsidRDefault="00E329F7" w:rsidP="00AE1C26">
            <w:pPr>
              <w:rPr>
                <w:rFonts w:ascii="Segoe UI Light" w:hAnsi="Segoe UI Light" w:cs="Segoe UI Light"/>
                <w:snapToGrid w:val="0"/>
                <w:color w:val="000000"/>
              </w:rPr>
            </w:pPr>
            <w:r w:rsidRPr="00C37386">
              <w:rPr>
                <w:rFonts w:ascii="Segoe UI Light" w:hAnsi="Segoe UI Light" w:cs="Segoe UI Light"/>
                <w:snapToGrid w:val="0"/>
                <w:color w:val="000000"/>
              </w:rPr>
              <w:t>Level 3</w:t>
            </w:r>
          </w:p>
        </w:tc>
        <w:tc>
          <w:tcPr>
            <w:tcW w:w="1984" w:type="dxa"/>
            <w:tcBorders>
              <w:top w:val="nil"/>
              <w:left w:val="nil"/>
              <w:bottom w:val="single" w:sz="4" w:space="0" w:color="auto"/>
              <w:right w:val="single" w:sz="4" w:space="0" w:color="auto"/>
            </w:tcBorders>
            <w:shd w:val="clear" w:color="auto" w:fill="auto"/>
            <w:vAlign w:val="center"/>
            <w:hideMark/>
          </w:tcPr>
          <w:p w:rsidR="00E329F7" w:rsidRPr="00C37386" w:rsidRDefault="00E329F7" w:rsidP="00AE1C26">
            <w:pPr>
              <w:rPr>
                <w:rFonts w:ascii="Segoe UI Light" w:hAnsi="Segoe UI Light" w:cs="Segoe UI Light"/>
                <w:snapToGrid w:val="0"/>
                <w:color w:val="000000"/>
              </w:rPr>
            </w:pPr>
            <w:r w:rsidRPr="00C37386">
              <w:rPr>
                <w:rFonts w:ascii="Segoe UI Light" w:hAnsi="Segoe UI Light" w:cs="Segoe UI Light"/>
                <w:snapToGrid w:val="0"/>
                <w:color w:val="000000"/>
              </w:rPr>
              <w:t>Comparable valuation of similar companies in accordance with International Private Equity and Venture Capital Valuation Guidelines (2012)</w:t>
            </w:r>
          </w:p>
        </w:tc>
        <w:tc>
          <w:tcPr>
            <w:tcW w:w="2268" w:type="dxa"/>
            <w:tcBorders>
              <w:top w:val="nil"/>
              <w:left w:val="nil"/>
              <w:bottom w:val="single" w:sz="4" w:space="0" w:color="auto"/>
              <w:right w:val="single" w:sz="4" w:space="0" w:color="auto"/>
            </w:tcBorders>
            <w:shd w:val="clear" w:color="auto" w:fill="auto"/>
            <w:vAlign w:val="center"/>
            <w:hideMark/>
          </w:tcPr>
          <w:p w:rsidR="00E329F7" w:rsidRPr="00C37386" w:rsidRDefault="00E329F7" w:rsidP="00AE1C26">
            <w:pPr>
              <w:rPr>
                <w:rFonts w:ascii="Segoe UI Light" w:hAnsi="Segoe UI Light" w:cs="Segoe UI Light"/>
                <w:snapToGrid w:val="0"/>
                <w:color w:val="000000"/>
              </w:rPr>
            </w:pPr>
            <w:r w:rsidRPr="00C37386">
              <w:rPr>
                <w:rFonts w:ascii="Segoe UI Light" w:hAnsi="Segoe UI Light" w:cs="Segoe UI Light"/>
                <w:snapToGrid w:val="0"/>
                <w:color w:val="000000"/>
              </w:rPr>
              <w:t xml:space="preserve">EBITDA multiple </w:t>
            </w:r>
          </w:p>
          <w:p w:rsidR="00E329F7" w:rsidRPr="00C37386" w:rsidRDefault="00E329F7" w:rsidP="00AE1C26">
            <w:pPr>
              <w:rPr>
                <w:rFonts w:ascii="Segoe UI Light" w:hAnsi="Segoe UI Light" w:cs="Segoe UI Light"/>
                <w:snapToGrid w:val="0"/>
                <w:color w:val="000000"/>
              </w:rPr>
            </w:pPr>
          </w:p>
          <w:p w:rsidR="00E329F7" w:rsidRPr="00C37386" w:rsidRDefault="00E329F7" w:rsidP="00AE1C26">
            <w:pPr>
              <w:rPr>
                <w:rFonts w:ascii="Segoe UI Light" w:hAnsi="Segoe UI Light" w:cs="Segoe UI Light"/>
                <w:snapToGrid w:val="0"/>
                <w:color w:val="000000"/>
              </w:rPr>
            </w:pPr>
            <w:r w:rsidRPr="00C37386">
              <w:rPr>
                <w:rFonts w:ascii="Segoe UI Light" w:hAnsi="Segoe UI Light" w:cs="Segoe UI Light"/>
                <w:snapToGrid w:val="0"/>
                <w:color w:val="000000"/>
              </w:rPr>
              <w:t xml:space="preserve">Revenue multiple </w:t>
            </w:r>
          </w:p>
          <w:p w:rsidR="00E329F7" w:rsidRPr="00C37386" w:rsidRDefault="00E329F7" w:rsidP="00AE1C26">
            <w:pPr>
              <w:rPr>
                <w:rFonts w:ascii="Segoe UI Light" w:hAnsi="Segoe UI Light" w:cs="Segoe UI Light"/>
                <w:snapToGrid w:val="0"/>
                <w:color w:val="000000"/>
              </w:rPr>
            </w:pPr>
          </w:p>
          <w:p w:rsidR="00E329F7" w:rsidRPr="00C37386" w:rsidRDefault="00E329F7" w:rsidP="00AE1C26">
            <w:pPr>
              <w:rPr>
                <w:rFonts w:ascii="Segoe UI Light" w:hAnsi="Segoe UI Light" w:cs="Segoe UI Light"/>
                <w:snapToGrid w:val="0"/>
                <w:color w:val="000000"/>
              </w:rPr>
            </w:pPr>
            <w:r w:rsidRPr="00C37386">
              <w:rPr>
                <w:rFonts w:ascii="Segoe UI Light" w:hAnsi="Segoe UI Light" w:cs="Segoe UI Light"/>
                <w:snapToGrid w:val="0"/>
                <w:color w:val="000000"/>
              </w:rPr>
              <w:t>Discount for lack of marketability Control premium</w:t>
            </w:r>
          </w:p>
        </w:tc>
        <w:tc>
          <w:tcPr>
            <w:tcW w:w="2410" w:type="dxa"/>
            <w:tcBorders>
              <w:top w:val="nil"/>
              <w:left w:val="nil"/>
              <w:bottom w:val="single" w:sz="4" w:space="0" w:color="auto"/>
              <w:right w:val="single" w:sz="4" w:space="0" w:color="auto"/>
            </w:tcBorders>
            <w:shd w:val="clear" w:color="auto" w:fill="auto"/>
            <w:vAlign w:val="center"/>
            <w:hideMark/>
          </w:tcPr>
          <w:p w:rsidR="00E329F7" w:rsidRPr="00C37386" w:rsidRDefault="00E329F7" w:rsidP="00AE1C26">
            <w:pPr>
              <w:rPr>
                <w:rFonts w:ascii="Segoe UI Light" w:hAnsi="Segoe UI Light" w:cs="Segoe UI Light"/>
                <w:snapToGrid w:val="0"/>
                <w:color w:val="000000"/>
              </w:rPr>
            </w:pPr>
            <w:r w:rsidRPr="00C37386">
              <w:rPr>
                <w:rFonts w:ascii="Segoe UI Light" w:hAnsi="Segoe UI Light" w:cs="Segoe UI Light"/>
                <w:snapToGrid w:val="0"/>
                <w:color w:val="000000"/>
              </w:rPr>
              <w:t>Valuations could be affected by material events occurring between the date of the financial statements provided and the pension fund’s own reporting date, by changes to expected cash flows, and by any differences between audit and unaudited accounts</w:t>
            </w:r>
          </w:p>
        </w:tc>
      </w:tr>
    </w:tbl>
    <w:p w:rsidR="00F72906" w:rsidRDefault="00F72906" w:rsidP="00F72906"/>
    <w:p w:rsidR="00F72906" w:rsidRPr="00E329F7" w:rsidRDefault="00F72906" w:rsidP="00F72906">
      <w:pPr>
        <w:rPr>
          <w:b/>
        </w:rPr>
      </w:pPr>
      <w:r w:rsidRPr="00E329F7">
        <w:rPr>
          <w:b/>
        </w:rPr>
        <w:t>Sensitivity of assets valued at Level 3</w:t>
      </w:r>
    </w:p>
    <w:p w:rsidR="00E329F7" w:rsidRDefault="00F72906" w:rsidP="00E329F7">
      <w:r>
        <w:t>Having analysed historical data and current market trends, and consulted with our independent investment advisor, the fund has determined that the valuation methods described above are likely to be accurate to within the following ranges, and has set out below the consequent potential impact on the closing value of investments held at 31 March 2020.</w:t>
      </w:r>
    </w:p>
    <w:tbl>
      <w:tblPr>
        <w:tblW w:w="6780" w:type="dxa"/>
        <w:tblLook w:val="04A0" w:firstRow="1" w:lastRow="0" w:firstColumn="1" w:lastColumn="0" w:noHBand="0" w:noVBand="1"/>
      </w:tblPr>
      <w:tblGrid>
        <w:gridCol w:w="1457"/>
        <w:gridCol w:w="1333"/>
        <w:gridCol w:w="1327"/>
        <w:gridCol w:w="1331"/>
        <w:gridCol w:w="1332"/>
      </w:tblGrid>
      <w:tr w:rsidR="00E329F7" w:rsidRPr="00357961" w:rsidTr="00AE1C26">
        <w:trPr>
          <w:trHeight w:val="900"/>
        </w:trPr>
        <w:tc>
          <w:tcPr>
            <w:tcW w:w="14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9F7" w:rsidRPr="00C37386" w:rsidRDefault="00E329F7" w:rsidP="00AE1C26">
            <w:pPr>
              <w:rPr>
                <w:color w:val="000000"/>
                <w:lang w:eastAsia="en-GB"/>
              </w:rPr>
            </w:pPr>
            <w:r w:rsidRPr="00C37386">
              <w:rPr>
                <w:color w:val="000000"/>
                <w:lang w:eastAsia="en-GB"/>
              </w:rPr>
              <w:t> </w:t>
            </w:r>
          </w:p>
        </w:tc>
        <w:tc>
          <w:tcPr>
            <w:tcW w:w="1333" w:type="dxa"/>
            <w:tcBorders>
              <w:top w:val="single" w:sz="4" w:space="0" w:color="auto"/>
              <w:left w:val="nil"/>
              <w:bottom w:val="single" w:sz="4" w:space="0" w:color="auto"/>
              <w:right w:val="single" w:sz="4" w:space="0" w:color="auto"/>
            </w:tcBorders>
            <w:shd w:val="clear" w:color="auto" w:fill="auto"/>
            <w:vAlign w:val="bottom"/>
            <w:hideMark/>
          </w:tcPr>
          <w:p w:rsidR="00E329F7" w:rsidRPr="00C37386" w:rsidRDefault="00E329F7" w:rsidP="00AE1C26">
            <w:pPr>
              <w:jc w:val="center"/>
              <w:rPr>
                <w:color w:val="000000"/>
                <w:lang w:eastAsia="en-GB"/>
              </w:rPr>
            </w:pPr>
            <w:r w:rsidRPr="00C37386">
              <w:rPr>
                <w:color w:val="000000"/>
                <w:lang w:eastAsia="en-GB"/>
              </w:rPr>
              <w:t>Assessed valuation range (+/-)</w:t>
            </w:r>
          </w:p>
        </w:tc>
        <w:tc>
          <w:tcPr>
            <w:tcW w:w="1327" w:type="dxa"/>
            <w:tcBorders>
              <w:top w:val="single" w:sz="4" w:space="0" w:color="auto"/>
              <w:left w:val="nil"/>
              <w:bottom w:val="single" w:sz="4" w:space="0" w:color="auto"/>
              <w:right w:val="single" w:sz="4" w:space="0" w:color="auto"/>
            </w:tcBorders>
            <w:shd w:val="clear" w:color="auto" w:fill="auto"/>
            <w:vAlign w:val="bottom"/>
            <w:hideMark/>
          </w:tcPr>
          <w:p w:rsidR="00E329F7" w:rsidRPr="00C37386" w:rsidRDefault="00E329F7" w:rsidP="00AE1C26">
            <w:pPr>
              <w:jc w:val="center"/>
              <w:rPr>
                <w:color w:val="000000"/>
                <w:lang w:eastAsia="en-GB"/>
              </w:rPr>
            </w:pPr>
            <w:r w:rsidRPr="00C37386">
              <w:rPr>
                <w:color w:val="000000"/>
                <w:lang w:eastAsia="en-GB"/>
              </w:rPr>
              <w:t xml:space="preserve">Value at 31 March 2020 </w:t>
            </w:r>
          </w:p>
        </w:tc>
        <w:tc>
          <w:tcPr>
            <w:tcW w:w="1331" w:type="dxa"/>
            <w:tcBorders>
              <w:top w:val="single" w:sz="4" w:space="0" w:color="auto"/>
              <w:left w:val="nil"/>
              <w:bottom w:val="single" w:sz="4" w:space="0" w:color="auto"/>
              <w:right w:val="single" w:sz="4" w:space="0" w:color="auto"/>
            </w:tcBorders>
            <w:shd w:val="clear" w:color="auto" w:fill="auto"/>
            <w:vAlign w:val="bottom"/>
            <w:hideMark/>
          </w:tcPr>
          <w:p w:rsidR="00E329F7" w:rsidRPr="00C37386" w:rsidRDefault="00E329F7" w:rsidP="00AE1C26">
            <w:pPr>
              <w:jc w:val="center"/>
              <w:rPr>
                <w:color w:val="000000"/>
                <w:lang w:eastAsia="en-GB"/>
              </w:rPr>
            </w:pPr>
            <w:r w:rsidRPr="00C37386">
              <w:rPr>
                <w:color w:val="000000"/>
                <w:lang w:eastAsia="en-GB"/>
              </w:rPr>
              <w:t xml:space="preserve">Value on increase </w:t>
            </w:r>
          </w:p>
        </w:tc>
        <w:tc>
          <w:tcPr>
            <w:tcW w:w="1332" w:type="dxa"/>
            <w:tcBorders>
              <w:top w:val="single" w:sz="4" w:space="0" w:color="auto"/>
              <w:left w:val="nil"/>
              <w:bottom w:val="single" w:sz="4" w:space="0" w:color="auto"/>
              <w:right w:val="single" w:sz="4" w:space="0" w:color="auto"/>
            </w:tcBorders>
            <w:shd w:val="clear" w:color="auto" w:fill="auto"/>
            <w:vAlign w:val="bottom"/>
            <w:hideMark/>
          </w:tcPr>
          <w:p w:rsidR="00E329F7" w:rsidRPr="00C37386" w:rsidRDefault="00E329F7" w:rsidP="00AE1C26">
            <w:pPr>
              <w:jc w:val="center"/>
              <w:rPr>
                <w:color w:val="000000"/>
                <w:lang w:eastAsia="en-GB"/>
              </w:rPr>
            </w:pPr>
            <w:r w:rsidRPr="00C37386">
              <w:rPr>
                <w:color w:val="000000"/>
                <w:lang w:eastAsia="en-GB"/>
              </w:rPr>
              <w:t>Value of decrease</w:t>
            </w:r>
          </w:p>
        </w:tc>
      </w:tr>
      <w:tr w:rsidR="00E329F7" w:rsidRPr="00357961" w:rsidTr="00AE1C26">
        <w:trPr>
          <w:trHeight w:val="300"/>
        </w:trPr>
        <w:tc>
          <w:tcPr>
            <w:tcW w:w="1457" w:type="dxa"/>
            <w:tcBorders>
              <w:top w:val="nil"/>
              <w:left w:val="single" w:sz="4" w:space="0" w:color="auto"/>
              <w:bottom w:val="single" w:sz="4" w:space="0" w:color="auto"/>
              <w:right w:val="single" w:sz="4" w:space="0" w:color="auto"/>
            </w:tcBorders>
            <w:shd w:val="clear" w:color="auto" w:fill="auto"/>
            <w:vAlign w:val="bottom"/>
            <w:hideMark/>
          </w:tcPr>
          <w:p w:rsidR="00E329F7" w:rsidRPr="00C37386" w:rsidRDefault="00E329F7" w:rsidP="00AE1C26">
            <w:pPr>
              <w:rPr>
                <w:color w:val="000000"/>
                <w:lang w:eastAsia="en-GB"/>
              </w:rPr>
            </w:pPr>
            <w:r w:rsidRPr="00C37386">
              <w:rPr>
                <w:color w:val="000000"/>
                <w:lang w:eastAsia="en-GB"/>
              </w:rPr>
              <w:t> </w:t>
            </w:r>
          </w:p>
        </w:tc>
        <w:tc>
          <w:tcPr>
            <w:tcW w:w="1333" w:type="dxa"/>
            <w:tcBorders>
              <w:top w:val="nil"/>
              <w:left w:val="nil"/>
              <w:bottom w:val="single" w:sz="4" w:space="0" w:color="auto"/>
              <w:right w:val="single" w:sz="4" w:space="0" w:color="auto"/>
            </w:tcBorders>
            <w:shd w:val="clear" w:color="auto" w:fill="auto"/>
            <w:vAlign w:val="bottom"/>
            <w:hideMark/>
          </w:tcPr>
          <w:p w:rsidR="00E329F7" w:rsidRPr="00C37386" w:rsidRDefault="00E329F7" w:rsidP="00AE1C26">
            <w:pPr>
              <w:jc w:val="center"/>
              <w:rPr>
                <w:color w:val="000000"/>
                <w:lang w:eastAsia="en-GB"/>
              </w:rPr>
            </w:pPr>
            <w:r w:rsidRPr="00C37386">
              <w:rPr>
                <w:color w:val="000000"/>
                <w:lang w:eastAsia="en-GB"/>
              </w:rPr>
              <w:t> </w:t>
            </w:r>
          </w:p>
        </w:tc>
        <w:tc>
          <w:tcPr>
            <w:tcW w:w="1327" w:type="dxa"/>
            <w:tcBorders>
              <w:top w:val="nil"/>
              <w:left w:val="nil"/>
              <w:bottom w:val="single" w:sz="4" w:space="0" w:color="auto"/>
              <w:right w:val="single" w:sz="4" w:space="0" w:color="auto"/>
            </w:tcBorders>
            <w:shd w:val="clear" w:color="auto" w:fill="auto"/>
            <w:vAlign w:val="bottom"/>
            <w:hideMark/>
          </w:tcPr>
          <w:p w:rsidR="00E329F7" w:rsidRPr="00C37386" w:rsidRDefault="00E329F7" w:rsidP="00AE1C26">
            <w:pPr>
              <w:jc w:val="center"/>
              <w:rPr>
                <w:color w:val="000000"/>
                <w:lang w:eastAsia="en-GB"/>
              </w:rPr>
            </w:pPr>
            <w:r w:rsidRPr="00C37386">
              <w:rPr>
                <w:color w:val="000000"/>
                <w:lang w:eastAsia="en-GB"/>
              </w:rPr>
              <w:t>£m</w:t>
            </w:r>
          </w:p>
        </w:tc>
        <w:tc>
          <w:tcPr>
            <w:tcW w:w="1331" w:type="dxa"/>
            <w:tcBorders>
              <w:top w:val="nil"/>
              <w:left w:val="nil"/>
              <w:bottom w:val="single" w:sz="4" w:space="0" w:color="auto"/>
              <w:right w:val="single" w:sz="4" w:space="0" w:color="auto"/>
            </w:tcBorders>
            <w:shd w:val="clear" w:color="auto" w:fill="auto"/>
            <w:vAlign w:val="bottom"/>
            <w:hideMark/>
          </w:tcPr>
          <w:p w:rsidR="00E329F7" w:rsidRPr="00C37386" w:rsidRDefault="00E329F7" w:rsidP="00AE1C26">
            <w:pPr>
              <w:jc w:val="center"/>
              <w:rPr>
                <w:color w:val="000000"/>
                <w:lang w:eastAsia="en-GB"/>
              </w:rPr>
            </w:pPr>
            <w:r w:rsidRPr="00C37386">
              <w:rPr>
                <w:color w:val="000000"/>
                <w:lang w:eastAsia="en-GB"/>
              </w:rPr>
              <w:t>£m</w:t>
            </w:r>
          </w:p>
        </w:tc>
        <w:tc>
          <w:tcPr>
            <w:tcW w:w="1332" w:type="dxa"/>
            <w:tcBorders>
              <w:top w:val="nil"/>
              <w:left w:val="nil"/>
              <w:bottom w:val="single" w:sz="4" w:space="0" w:color="auto"/>
              <w:right w:val="single" w:sz="4" w:space="0" w:color="auto"/>
            </w:tcBorders>
            <w:shd w:val="clear" w:color="auto" w:fill="auto"/>
            <w:vAlign w:val="bottom"/>
            <w:hideMark/>
          </w:tcPr>
          <w:p w:rsidR="00E329F7" w:rsidRPr="00C37386" w:rsidRDefault="00E329F7" w:rsidP="00AE1C26">
            <w:pPr>
              <w:jc w:val="center"/>
              <w:rPr>
                <w:color w:val="000000"/>
                <w:lang w:eastAsia="en-GB"/>
              </w:rPr>
            </w:pPr>
            <w:r w:rsidRPr="00C37386">
              <w:rPr>
                <w:color w:val="000000"/>
                <w:lang w:eastAsia="en-GB"/>
              </w:rPr>
              <w:t>£m</w:t>
            </w:r>
          </w:p>
        </w:tc>
      </w:tr>
      <w:tr w:rsidR="00E329F7" w:rsidRPr="00357961" w:rsidTr="00AE1C26">
        <w:trPr>
          <w:trHeight w:val="300"/>
        </w:trPr>
        <w:tc>
          <w:tcPr>
            <w:tcW w:w="14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9F7" w:rsidRPr="00C37386" w:rsidRDefault="00E329F7" w:rsidP="00AE1C26">
            <w:pPr>
              <w:rPr>
                <w:color w:val="000000"/>
                <w:lang w:eastAsia="en-GB"/>
              </w:rPr>
            </w:pPr>
            <w:r w:rsidRPr="00C37386">
              <w:rPr>
                <w:color w:val="000000"/>
                <w:lang w:eastAsia="en-GB"/>
              </w:rPr>
              <w:t>Private equity/ Infrastructure</w:t>
            </w:r>
          </w:p>
        </w:tc>
        <w:tc>
          <w:tcPr>
            <w:tcW w:w="1333" w:type="dxa"/>
            <w:tcBorders>
              <w:top w:val="single" w:sz="4" w:space="0" w:color="auto"/>
              <w:left w:val="nil"/>
              <w:bottom w:val="single" w:sz="4" w:space="0" w:color="auto"/>
              <w:right w:val="single" w:sz="4" w:space="0" w:color="auto"/>
            </w:tcBorders>
            <w:shd w:val="clear" w:color="auto" w:fill="auto"/>
            <w:vAlign w:val="bottom"/>
            <w:hideMark/>
          </w:tcPr>
          <w:p w:rsidR="00E329F7" w:rsidRPr="00C37386" w:rsidRDefault="00E329F7" w:rsidP="00AE1C26">
            <w:pPr>
              <w:jc w:val="center"/>
              <w:rPr>
                <w:color w:val="000000"/>
                <w:lang w:eastAsia="en-GB"/>
              </w:rPr>
            </w:pPr>
            <w:r w:rsidRPr="00C37386">
              <w:rPr>
                <w:color w:val="000000"/>
                <w:lang w:eastAsia="en-GB"/>
              </w:rPr>
              <w:t>24.3%</w:t>
            </w:r>
          </w:p>
        </w:tc>
        <w:tc>
          <w:tcPr>
            <w:tcW w:w="1327" w:type="dxa"/>
            <w:tcBorders>
              <w:top w:val="single" w:sz="4" w:space="0" w:color="auto"/>
              <w:left w:val="nil"/>
              <w:bottom w:val="single" w:sz="4" w:space="0" w:color="auto"/>
              <w:right w:val="single" w:sz="4" w:space="0" w:color="auto"/>
            </w:tcBorders>
            <w:shd w:val="clear" w:color="auto" w:fill="auto"/>
            <w:vAlign w:val="bottom"/>
            <w:hideMark/>
          </w:tcPr>
          <w:p w:rsidR="00E329F7" w:rsidRPr="00C37386" w:rsidRDefault="00E329F7" w:rsidP="00AE1C26">
            <w:pPr>
              <w:jc w:val="center"/>
              <w:rPr>
                <w:color w:val="000000"/>
                <w:lang w:eastAsia="en-GB"/>
              </w:rPr>
            </w:pPr>
            <w:r w:rsidRPr="00C37386">
              <w:rPr>
                <w:color w:val="000000"/>
                <w:lang w:eastAsia="en-GB"/>
              </w:rPr>
              <w:t>84.3</w:t>
            </w:r>
          </w:p>
        </w:tc>
        <w:tc>
          <w:tcPr>
            <w:tcW w:w="1331" w:type="dxa"/>
            <w:tcBorders>
              <w:top w:val="single" w:sz="4" w:space="0" w:color="auto"/>
              <w:left w:val="nil"/>
              <w:bottom w:val="single" w:sz="4" w:space="0" w:color="auto"/>
              <w:right w:val="single" w:sz="4" w:space="0" w:color="auto"/>
            </w:tcBorders>
            <w:shd w:val="clear" w:color="auto" w:fill="auto"/>
            <w:vAlign w:val="bottom"/>
            <w:hideMark/>
          </w:tcPr>
          <w:p w:rsidR="00E329F7" w:rsidRPr="00C37386" w:rsidRDefault="00E329F7" w:rsidP="00AE1C26">
            <w:pPr>
              <w:jc w:val="center"/>
              <w:rPr>
                <w:color w:val="000000"/>
                <w:lang w:eastAsia="en-GB"/>
              </w:rPr>
            </w:pPr>
            <w:r w:rsidRPr="00C37386">
              <w:rPr>
                <w:color w:val="000000"/>
                <w:lang w:eastAsia="en-GB"/>
              </w:rPr>
              <w:t>104.7</w:t>
            </w:r>
          </w:p>
        </w:tc>
        <w:tc>
          <w:tcPr>
            <w:tcW w:w="1332" w:type="dxa"/>
            <w:tcBorders>
              <w:top w:val="single" w:sz="4" w:space="0" w:color="auto"/>
              <w:left w:val="nil"/>
              <w:bottom w:val="single" w:sz="4" w:space="0" w:color="auto"/>
              <w:right w:val="single" w:sz="4" w:space="0" w:color="auto"/>
            </w:tcBorders>
            <w:shd w:val="clear" w:color="auto" w:fill="auto"/>
            <w:vAlign w:val="bottom"/>
            <w:hideMark/>
          </w:tcPr>
          <w:p w:rsidR="00E329F7" w:rsidRPr="00C37386" w:rsidRDefault="00E329F7" w:rsidP="00AE1C26">
            <w:pPr>
              <w:jc w:val="center"/>
              <w:rPr>
                <w:color w:val="000000"/>
                <w:lang w:eastAsia="en-GB"/>
              </w:rPr>
            </w:pPr>
            <w:r w:rsidRPr="00C37386">
              <w:rPr>
                <w:color w:val="000000"/>
                <w:lang w:eastAsia="en-GB"/>
              </w:rPr>
              <w:t>63.9</w:t>
            </w:r>
          </w:p>
        </w:tc>
      </w:tr>
    </w:tbl>
    <w:p w:rsidR="00F72906" w:rsidRDefault="00F72906" w:rsidP="00F72906"/>
    <w:p w:rsidR="00F72906" w:rsidRDefault="00F72906" w:rsidP="00E329F7">
      <w:pPr>
        <w:pStyle w:val="Heading3"/>
      </w:pPr>
      <w:r>
        <w:lastRenderedPageBreak/>
        <w:t xml:space="preserve">15b. Fair value hierarchy </w:t>
      </w:r>
    </w:p>
    <w:p w:rsidR="00F72906" w:rsidRDefault="00F72906" w:rsidP="00F72906">
      <w:r>
        <w:t>The valuation of financial instruments had been classified into three levels, according to the quality and reliability of information used to determine fair values.  Transfers between levels are recognised i</w:t>
      </w:r>
      <w:r w:rsidR="00E329F7">
        <w:t>n the year in which they occur.</w:t>
      </w:r>
    </w:p>
    <w:p w:rsidR="00F72906" w:rsidRPr="00E329F7" w:rsidRDefault="00E329F7" w:rsidP="00F72906">
      <w:pPr>
        <w:rPr>
          <w:b/>
        </w:rPr>
      </w:pPr>
      <w:r>
        <w:rPr>
          <w:b/>
        </w:rPr>
        <w:t>Level 1</w:t>
      </w:r>
    </w:p>
    <w:p w:rsidR="00F72906" w:rsidRDefault="00F72906" w:rsidP="00F72906">
      <w:r>
        <w:t>Financial instruments at Level 1 are those where the fair values are derived from unadjusted quoted prices in active markets for identical assets or liabilities. Products classified as Level 1 comprise quoted equities, quoted fixed securities, quoted index lin</w:t>
      </w:r>
      <w:r w:rsidR="00E329F7">
        <w:t>ked securities and unit trusts.</w:t>
      </w:r>
    </w:p>
    <w:p w:rsidR="00F72906" w:rsidRDefault="00F72906" w:rsidP="00F72906">
      <w:r>
        <w:t>Listed investments are shown at bid prices. The bid value of the investment is based on the bid market quotation of the relevant stock exchange.</w:t>
      </w:r>
    </w:p>
    <w:p w:rsidR="00F72906" w:rsidRPr="00E329F7" w:rsidRDefault="00E329F7" w:rsidP="00F72906">
      <w:pPr>
        <w:rPr>
          <w:b/>
        </w:rPr>
      </w:pPr>
      <w:r>
        <w:rPr>
          <w:b/>
        </w:rPr>
        <w:t>Level 2</w:t>
      </w:r>
    </w:p>
    <w:p w:rsidR="00F72906" w:rsidRDefault="00F72906" w:rsidP="00F72906">
      <w:r>
        <w:t>Financial instruments at Level 2 are those where quoted market prices are not available; for example, where an instrument is traded in a market that is not considered to be active, or where valuation techniques are used to determine fair value and where these techniques use inputs that are based significa</w:t>
      </w:r>
      <w:r w:rsidR="00E329F7">
        <w:t>ntly on observable market data.</w:t>
      </w:r>
    </w:p>
    <w:p w:rsidR="00F72906" w:rsidRPr="00E329F7" w:rsidRDefault="00F72906" w:rsidP="00F72906">
      <w:pPr>
        <w:rPr>
          <w:b/>
        </w:rPr>
      </w:pPr>
      <w:r w:rsidRPr="00E329F7">
        <w:rPr>
          <w:b/>
        </w:rPr>
        <w:t>Level 3</w:t>
      </w:r>
    </w:p>
    <w:p w:rsidR="00F72906" w:rsidRDefault="00F72906" w:rsidP="00F72906">
      <w:r>
        <w:t>Financial instruments at Level 3 are those where at least one input that could have a significant effect on the instrument’s valuation is not based on observable market data.</w:t>
      </w:r>
    </w:p>
    <w:p w:rsidR="00F72906" w:rsidRDefault="00F72906" w:rsidP="00F72906">
      <w:r>
        <w:t>Such instruments would include unquoted equity investments and fund of hedge funds, which are valued using various valuation techniques that require significant judgement in deter</w:t>
      </w:r>
      <w:r w:rsidR="00E329F7">
        <w:t>mining appropriate assumptions.</w:t>
      </w:r>
    </w:p>
    <w:p w:rsidR="00F72906" w:rsidRDefault="00F72906" w:rsidP="00F72906">
      <w:r>
        <w:t>The values of the investment in private equity are based on valuations provided by the general partners to the private equity funds in which Brent Pension Fund has invested.</w:t>
      </w:r>
    </w:p>
    <w:p w:rsidR="00F72906" w:rsidRDefault="00F72906" w:rsidP="00F72906">
      <w:r>
        <w:t>These valuations are prepared in accordance with the International Private Equity and Venture Capital Valuation Guidelines, which follow the valuation principles of IFRS and US GAAP. Valuations are usually undertaken annually at the end of December. Cash flow adjustments are used to roll forward the valuations to 31 March as appropriate.</w:t>
      </w:r>
    </w:p>
    <w:p w:rsidR="00F72906" w:rsidRDefault="00F72906" w:rsidP="00F72906"/>
    <w:p w:rsidR="00F72906" w:rsidRDefault="00F72906" w:rsidP="00F72906">
      <w:r>
        <w:t>Transfers between levels will be recognised when there has been a change to observable mark data (improvement or reduction) or other change in valuation technique.</w:t>
      </w:r>
      <w:r w:rsidR="00E329F7">
        <w:t xml:space="preserve">  </w:t>
      </w:r>
    </w:p>
    <w:p w:rsidR="00E329F7" w:rsidRDefault="00F72906" w:rsidP="00E329F7">
      <w:r>
        <w:t xml:space="preserve">The following table provides an analysis of the financial assets and liabilities of the pension fund grouped </w:t>
      </w:r>
    </w:p>
    <w:tbl>
      <w:tblPr>
        <w:tblW w:w="8440" w:type="dxa"/>
        <w:tblLook w:val="04A0" w:firstRow="1" w:lastRow="0" w:firstColumn="1" w:lastColumn="0" w:noHBand="0" w:noVBand="1"/>
      </w:tblPr>
      <w:tblGrid>
        <w:gridCol w:w="2996"/>
        <w:gridCol w:w="1087"/>
        <w:gridCol w:w="29"/>
        <w:gridCol w:w="1301"/>
        <w:gridCol w:w="55"/>
        <w:gridCol w:w="1476"/>
        <w:gridCol w:w="80"/>
        <w:gridCol w:w="1336"/>
        <w:gridCol w:w="80"/>
      </w:tblGrid>
      <w:tr w:rsidR="00E329F7" w:rsidRPr="00FE61CD" w:rsidTr="00AE1C26">
        <w:trPr>
          <w:gridAfter w:val="1"/>
          <w:wAfter w:w="80" w:type="dxa"/>
          <w:trHeight w:val="1155"/>
        </w:trPr>
        <w:tc>
          <w:tcPr>
            <w:tcW w:w="2996" w:type="dxa"/>
            <w:tcBorders>
              <w:top w:val="nil"/>
              <w:left w:val="nil"/>
              <w:bottom w:val="nil"/>
              <w:right w:val="nil"/>
            </w:tcBorders>
            <w:shd w:val="clear" w:color="000000" w:fill="FFFFFF"/>
            <w:noWrap/>
            <w:vAlign w:val="bottom"/>
            <w:hideMark/>
          </w:tcPr>
          <w:p w:rsidR="00E329F7" w:rsidRPr="00FE61CD" w:rsidRDefault="00E329F7" w:rsidP="00AE1C26">
            <w:pPr>
              <w:rPr>
                <w:rFonts w:cs="Calibri"/>
                <w:color w:val="000000"/>
                <w:lang w:eastAsia="en-GB"/>
              </w:rPr>
            </w:pPr>
            <w:r w:rsidRPr="00FE61CD">
              <w:rPr>
                <w:rFonts w:cs="Calibri"/>
                <w:color w:val="000000"/>
                <w:lang w:eastAsia="en-GB"/>
              </w:rPr>
              <w:t> </w:t>
            </w:r>
          </w:p>
        </w:tc>
        <w:tc>
          <w:tcPr>
            <w:tcW w:w="1087" w:type="dxa"/>
            <w:tcBorders>
              <w:top w:val="nil"/>
              <w:left w:val="nil"/>
              <w:bottom w:val="nil"/>
              <w:right w:val="nil"/>
            </w:tcBorders>
            <w:shd w:val="clear" w:color="000000" w:fill="FFFFFF"/>
            <w:vAlign w:val="bottom"/>
            <w:hideMark/>
          </w:tcPr>
          <w:p w:rsidR="00E329F7" w:rsidRPr="00FE61CD" w:rsidRDefault="00E329F7" w:rsidP="00AE1C26">
            <w:pPr>
              <w:rPr>
                <w:rFonts w:cs="Calibri"/>
                <w:b/>
                <w:bCs/>
                <w:color w:val="000000"/>
                <w:lang w:eastAsia="en-GB"/>
              </w:rPr>
            </w:pPr>
            <w:r w:rsidRPr="00FE61CD">
              <w:rPr>
                <w:rFonts w:cs="Calibri"/>
                <w:b/>
                <w:bCs/>
                <w:color w:val="000000"/>
                <w:lang w:eastAsia="en-GB"/>
              </w:rPr>
              <w:t>Quoted market price</w:t>
            </w:r>
          </w:p>
        </w:tc>
        <w:tc>
          <w:tcPr>
            <w:tcW w:w="1330" w:type="dxa"/>
            <w:gridSpan w:val="2"/>
            <w:tcBorders>
              <w:top w:val="nil"/>
              <w:left w:val="nil"/>
              <w:bottom w:val="nil"/>
              <w:right w:val="nil"/>
            </w:tcBorders>
            <w:shd w:val="clear" w:color="000000" w:fill="FFFFFF"/>
            <w:vAlign w:val="bottom"/>
            <w:hideMark/>
          </w:tcPr>
          <w:p w:rsidR="00E329F7" w:rsidRPr="00FE61CD" w:rsidRDefault="00E329F7" w:rsidP="00AE1C26">
            <w:pPr>
              <w:rPr>
                <w:rFonts w:cs="Calibri"/>
                <w:b/>
                <w:bCs/>
                <w:color w:val="000000"/>
                <w:lang w:eastAsia="en-GB"/>
              </w:rPr>
            </w:pPr>
            <w:r w:rsidRPr="00FE61CD">
              <w:rPr>
                <w:rFonts w:cs="Calibri"/>
                <w:b/>
                <w:bCs/>
                <w:color w:val="000000"/>
                <w:lang w:eastAsia="en-GB"/>
              </w:rPr>
              <w:t>Using observable inputs</w:t>
            </w:r>
          </w:p>
        </w:tc>
        <w:tc>
          <w:tcPr>
            <w:tcW w:w="1531" w:type="dxa"/>
            <w:gridSpan w:val="2"/>
            <w:tcBorders>
              <w:top w:val="nil"/>
              <w:left w:val="nil"/>
              <w:bottom w:val="nil"/>
              <w:right w:val="nil"/>
            </w:tcBorders>
            <w:shd w:val="clear" w:color="000000" w:fill="FFFFFF"/>
            <w:vAlign w:val="bottom"/>
            <w:hideMark/>
          </w:tcPr>
          <w:p w:rsidR="00E329F7" w:rsidRPr="00FE61CD" w:rsidRDefault="00E329F7" w:rsidP="00AE1C26">
            <w:pPr>
              <w:rPr>
                <w:rFonts w:cs="Calibri"/>
                <w:b/>
                <w:bCs/>
                <w:color w:val="000000"/>
                <w:lang w:eastAsia="en-GB"/>
              </w:rPr>
            </w:pPr>
            <w:r w:rsidRPr="00FE61CD">
              <w:rPr>
                <w:rFonts w:cs="Calibri"/>
                <w:b/>
                <w:bCs/>
                <w:color w:val="000000"/>
                <w:lang w:eastAsia="en-GB"/>
              </w:rPr>
              <w:t>With significant unobservable inputs</w:t>
            </w:r>
          </w:p>
        </w:tc>
        <w:tc>
          <w:tcPr>
            <w:tcW w:w="1416" w:type="dxa"/>
            <w:gridSpan w:val="2"/>
            <w:tcBorders>
              <w:top w:val="nil"/>
              <w:left w:val="nil"/>
              <w:bottom w:val="nil"/>
              <w:right w:val="nil"/>
            </w:tcBorders>
            <w:shd w:val="clear" w:color="000000" w:fill="FFFFFF"/>
            <w:noWrap/>
            <w:vAlign w:val="bottom"/>
            <w:hideMark/>
          </w:tcPr>
          <w:p w:rsidR="00E329F7" w:rsidRPr="00FE61CD" w:rsidRDefault="00E329F7" w:rsidP="00AE1C26">
            <w:pPr>
              <w:rPr>
                <w:rFonts w:cs="Calibri"/>
                <w:b/>
                <w:bCs/>
                <w:color w:val="000000"/>
                <w:lang w:eastAsia="en-GB"/>
              </w:rPr>
            </w:pPr>
            <w:r w:rsidRPr="00FE61CD">
              <w:rPr>
                <w:rFonts w:cs="Calibri"/>
                <w:b/>
                <w:bCs/>
                <w:color w:val="000000"/>
                <w:lang w:eastAsia="en-GB"/>
              </w:rPr>
              <w:t> </w:t>
            </w:r>
          </w:p>
        </w:tc>
      </w:tr>
      <w:tr w:rsidR="00E329F7" w:rsidRPr="00685F79" w:rsidTr="00AE1C26">
        <w:trPr>
          <w:trHeight w:val="299"/>
        </w:trPr>
        <w:tc>
          <w:tcPr>
            <w:tcW w:w="2996" w:type="dxa"/>
            <w:tcBorders>
              <w:top w:val="nil"/>
              <w:left w:val="nil"/>
              <w:bottom w:val="nil"/>
              <w:right w:val="nil"/>
            </w:tcBorders>
            <w:shd w:val="clear" w:color="000000" w:fill="FFFFFF"/>
            <w:noWrap/>
            <w:vAlign w:val="bottom"/>
            <w:hideMark/>
          </w:tcPr>
          <w:p w:rsidR="00E329F7" w:rsidRPr="00685F79" w:rsidRDefault="00E329F7" w:rsidP="00AE1C26">
            <w:pPr>
              <w:rPr>
                <w:rFonts w:cs="Calibri"/>
                <w:b/>
                <w:bCs/>
                <w:color w:val="000000"/>
                <w:lang w:eastAsia="en-GB"/>
              </w:rPr>
            </w:pPr>
            <w:r w:rsidRPr="00685F79">
              <w:rPr>
                <w:rFonts w:cs="Calibri"/>
                <w:b/>
                <w:bCs/>
                <w:color w:val="000000"/>
                <w:lang w:eastAsia="en-GB"/>
              </w:rPr>
              <w:t>Values at 31 March 2020</w:t>
            </w:r>
          </w:p>
        </w:tc>
        <w:tc>
          <w:tcPr>
            <w:tcW w:w="1116" w:type="dxa"/>
            <w:gridSpan w:val="2"/>
            <w:tcBorders>
              <w:top w:val="nil"/>
              <w:left w:val="nil"/>
              <w:bottom w:val="nil"/>
              <w:right w:val="nil"/>
            </w:tcBorders>
            <w:shd w:val="clear" w:color="000000" w:fill="FFFFFF"/>
            <w:noWrap/>
            <w:vAlign w:val="bottom"/>
            <w:hideMark/>
          </w:tcPr>
          <w:p w:rsidR="00E329F7" w:rsidRPr="00685F79" w:rsidRDefault="00E329F7" w:rsidP="00AE1C26">
            <w:pPr>
              <w:rPr>
                <w:rFonts w:cs="Calibri"/>
                <w:b/>
                <w:bCs/>
                <w:color w:val="000000"/>
                <w:lang w:eastAsia="en-GB"/>
              </w:rPr>
            </w:pPr>
            <w:r w:rsidRPr="00685F79">
              <w:rPr>
                <w:rFonts w:cs="Calibri"/>
                <w:b/>
                <w:bCs/>
                <w:color w:val="000000"/>
                <w:lang w:eastAsia="en-GB"/>
              </w:rPr>
              <w:t>Level 1</w:t>
            </w:r>
          </w:p>
        </w:tc>
        <w:tc>
          <w:tcPr>
            <w:tcW w:w="1356" w:type="dxa"/>
            <w:gridSpan w:val="2"/>
            <w:tcBorders>
              <w:top w:val="nil"/>
              <w:left w:val="nil"/>
              <w:bottom w:val="nil"/>
              <w:right w:val="nil"/>
            </w:tcBorders>
            <w:shd w:val="clear" w:color="000000" w:fill="FFFFFF"/>
            <w:noWrap/>
            <w:vAlign w:val="bottom"/>
            <w:hideMark/>
          </w:tcPr>
          <w:p w:rsidR="00E329F7" w:rsidRPr="00685F79" w:rsidRDefault="00E329F7" w:rsidP="00AE1C26">
            <w:pPr>
              <w:rPr>
                <w:rFonts w:cs="Calibri"/>
                <w:b/>
                <w:bCs/>
                <w:color w:val="000000"/>
                <w:lang w:eastAsia="en-GB"/>
              </w:rPr>
            </w:pPr>
            <w:r w:rsidRPr="00685F79">
              <w:rPr>
                <w:rFonts w:cs="Calibri"/>
                <w:b/>
                <w:bCs/>
                <w:color w:val="000000"/>
                <w:lang w:eastAsia="en-GB"/>
              </w:rPr>
              <w:t>Level 2</w:t>
            </w:r>
          </w:p>
        </w:tc>
        <w:tc>
          <w:tcPr>
            <w:tcW w:w="1556" w:type="dxa"/>
            <w:gridSpan w:val="2"/>
            <w:tcBorders>
              <w:top w:val="nil"/>
              <w:left w:val="nil"/>
              <w:bottom w:val="nil"/>
              <w:right w:val="nil"/>
            </w:tcBorders>
            <w:shd w:val="clear" w:color="000000" w:fill="FFFFFF"/>
            <w:noWrap/>
            <w:vAlign w:val="bottom"/>
            <w:hideMark/>
          </w:tcPr>
          <w:p w:rsidR="00E329F7" w:rsidRPr="00685F79" w:rsidRDefault="00E329F7" w:rsidP="00AE1C26">
            <w:pPr>
              <w:rPr>
                <w:rFonts w:cs="Calibri"/>
                <w:b/>
                <w:bCs/>
                <w:color w:val="000000"/>
                <w:lang w:eastAsia="en-GB"/>
              </w:rPr>
            </w:pPr>
            <w:r w:rsidRPr="00685F79">
              <w:rPr>
                <w:rFonts w:cs="Calibri"/>
                <w:b/>
                <w:bCs/>
                <w:color w:val="000000"/>
                <w:lang w:eastAsia="en-GB"/>
              </w:rPr>
              <w:t>Level 3</w:t>
            </w:r>
          </w:p>
        </w:tc>
        <w:tc>
          <w:tcPr>
            <w:tcW w:w="1416" w:type="dxa"/>
            <w:gridSpan w:val="2"/>
            <w:tcBorders>
              <w:top w:val="nil"/>
              <w:left w:val="nil"/>
              <w:bottom w:val="nil"/>
              <w:right w:val="nil"/>
            </w:tcBorders>
            <w:shd w:val="clear" w:color="000000" w:fill="FFFFFF"/>
            <w:noWrap/>
            <w:vAlign w:val="bottom"/>
            <w:hideMark/>
          </w:tcPr>
          <w:p w:rsidR="00E329F7" w:rsidRPr="00685F79" w:rsidRDefault="00E329F7" w:rsidP="00AE1C26">
            <w:pPr>
              <w:jc w:val="right"/>
              <w:rPr>
                <w:rFonts w:cs="Calibri"/>
                <w:b/>
                <w:bCs/>
                <w:color w:val="000000"/>
                <w:lang w:eastAsia="en-GB"/>
              </w:rPr>
            </w:pPr>
            <w:r w:rsidRPr="00685F79">
              <w:rPr>
                <w:rFonts w:cs="Calibri"/>
                <w:b/>
                <w:bCs/>
                <w:color w:val="000000"/>
                <w:lang w:eastAsia="en-GB"/>
              </w:rPr>
              <w:t>Total</w:t>
            </w:r>
          </w:p>
        </w:tc>
      </w:tr>
      <w:tr w:rsidR="00E329F7" w:rsidRPr="00FE61CD" w:rsidTr="00AE1C26">
        <w:trPr>
          <w:gridAfter w:val="1"/>
          <w:wAfter w:w="80" w:type="dxa"/>
          <w:trHeight w:val="299"/>
        </w:trPr>
        <w:tc>
          <w:tcPr>
            <w:tcW w:w="2996" w:type="dxa"/>
            <w:tcBorders>
              <w:top w:val="nil"/>
              <w:left w:val="nil"/>
              <w:bottom w:val="nil"/>
              <w:right w:val="nil"/>
            </w:tcBorders>
            <w:shd w:val="clear" w:color="000000" w:fill="FFFFFF"/>
            <w:noWrap/>
            <w:vAlign w:val="bottom"/>
            <w:hideMark/>
          </w:tcPr>
          <w:p w:rsidR="00E329F7" w:rsidRPr="00FE61CD" w:rsidRDefault="00E329F7" w:rsidP="00AE1C26">
            <w:pPr>
              <w:rPr>
                <w:rFonts w:cs="Calibri"/>
                <w:color w:val="000000"/>
                <w:lang w:eastAsia="en-GB"/>
              </w:rPr>
            </w:pPr>
            <w:r w:rsidRPr="00FE61CD">
              <w:rPr>
                <w:rFonts w:cs="Calibri"/>
                <w:color w:val="000000"/>
                <w:lang w:eastAsia="en-GB"/>
              </w:rPr>
              <w:t> </w:t>
            </w:r>
          </w:p>
        </w:tc>
        <w:tc>
          <w:tcPr>
            <w:tcW w:w="1087" w:type="dxa"/>
            <w:tcBorders>
              <w:top w:val="nil"/>
              <w:left w:val="nil"/>
              <w:bottom w:val="nil"/>
              <w:right w:val="nil"/>
            </w:tcBorders>
            <w:shd w:val="clear" w:color="000000" w:fill="FFFFFF"/>
            <w:noWrap/>
            <w:vAlign w:val="bottom"/>
            <w:hideMark/>
          </w:tcPr>
          <w:p w:rsidR="00E329F7" w:rsidRPr="00FE61CD" w:rsidRDefault="00E329F7" w:rsidP="00AE1C26">
            <w:pPr>
              <w:jc w:val="right"/>
              <w:rPr>
                <w:rFonts w:cs="Calibri"/>
                <w:b/>
                <w:bCs/>
                <w:color w:val="000000"/>
                <w:lang w:eastAsia="en-GB"/>
              </w:rPr>
            </w:pPr>
            <w:r w:rsidRPr="00FE61CD">
              <w:rPr>
                <w:rFonts w:cs="Calibri"/>
                <w:b/>
                <w:bCs/>
                <w:color w:val="000000"/>
                <w:lang w:eastAsia="en-GB"/>
              </w:rPr>
              <w:t>£'000</w:t>
            </w:r>
          </w:p>
        </w:tc>
        <w:tc>
          <w:tcPr>
            <w:tcW w:w="1330" w:type="dxa"/>
            <w:gridSpan w:val="2"/>
            <w:tcBorders>
              <w:top w:val="nil"/>
              <w:left w:val="nil"/>
              <w:bottom w:val="nil"/>
              <w:right w:val="nil"/>
            </w:tcBorders>
            <w:shd w:val="clear" w:color="000000" w:fill="FFFFFF"/>
            <w:noWrap/>
            <w:vAlign w:val="bottom"/>
            <w:hideMark/>
          </w:tcPr>
          <w:p w:rsidR="00E329F7" w:rsidRPr="00FE61CD" w:rsidRDefault="00E329F7" w:rsidP="00AE1C26">
            <w:pPr>
              <w:jc w:val="right"/>
              <w:rPr>
                <w:rFonts w:cs="Calibri"/>
                <w:b/>
                <w:bCs/>
                <w:color w:val="000000"/>
                <w:lang w:eastAsia="en-GB"/>
              </w:rPr>
            </w:pPr>
            <w:r w:rsidRPr="00FE61CD">
              <w:rPr>
                <w:rFonts w:cs="Calibri"/>
                <w:b/>
                <w:bCs/>
                <w:color w:val="000000"/>
                <w:lang w:eastAsia="en-GB"/>
              </w:rPr>
              <w:t>£'000</w:t>
            </w:r>
          </w:p>
        </w:tc>
        <w:tc>
          <w:tcPr>
            <w:tcW w:w="1531" w:type="dxa"/>
            <w:gridSpan w:val="2"/>
            <w:tcBorders>
              <w:top w:val="nil"/>
              <w:left w:val="nil"/>
              <w:bottom w:val="nil"/>
              <w:right w:val="nil"/>
            </w:tcBorders>
            <w:shd w:val="clear" w:color="000000" w:fill="FFFFFF"/>
            <w:noWrap/>
            <w:vAlign w:val="bottom"/>
            <w:hideMark/>
          </w:tcPr>
          <w:p w:rsidR="00E329F7" w:rsidRPr="00FE61CD" w:rsidRDefault="00E329F7" w:rsidP="00AE1C26">
            <w:pPr>
              <w:jc w:val="right"/>
              <w:rPr>
                <w:rFonts w:cs="Calibri"/>
                <w:b/>
                <w:bCs/>
                <w:color w:val="000000"/>
                <w:lang w:eastAsia="en-GB"/>
              </w:rPr>
            </w:pPr>
            <w:r w:rsidRPr="00FE61CD">
              <w:rPr>
                <w:rFonts w:cs="Calibri"/>
                <w:b/>
                <w:bCs/>
                <w:color w:val="000000"/>
                <w:lang w:eastAsia="en-GB"/>
              </w:rPr>
              <w:t>£'000</w:t>
            </w:r>
          </w:p>
        </w:tc>
        <w:tc>
          <w:tcPr>
            <w:tcW w:w="1416" w:type="dxa"/>
            <w:gridSpan w:val="2"/>
            <w:tcBorders>
              <w:top w:val="nil"/>
              <w:left w:val="nil"/>
              <w:bottom w:val="nil"/>
              <w:right w:val="nil"/>
            </w:tcBorders>
            <w:shd w:val="clear" w:color="000000" w:fill="FFFFFF"/>
            <w:noWrap/>
            <w:vAlign w:val="bottom"/>
            <w:hideMark/>
          </w:tcPr>
          <w:p w:rsidR="00E329F7" w:rsidRPr="00FE61CD" w:rsidRDefault="00E329F7" w:rsidP="00AE1C26">
            <w:pPr>
              <w:jc w:val="right"/>
              <w:rPr>
                <w:rFonts w:cs="Calibri"/>
                <w:b/>
                <w:bCs/>
                <w:color w:val="000000"/>
                <w:lang w:eastAsia="en-GB"/>
              </w:rPr>
            </w:pPr>
            <w:r w:rsidRPr="00FE61CD">
              <w:rPr>
                <w:rFonts w:cs="Calibri"/>
                <w:b/>
                <w:bCs/>
                <w:color w:val="000000"/>
                <w:lang w:eastAsia="en-GB"/>
              </w:rPr>
              <w:t>£'000</w:t>
            </w:r>
          </w:p>
        </w:tc>
      </w:tr>
      <w:tr w:rsidR="00E329F7" w:rsidRPr="00FE61CD" w:rsidTr="00AE1C26">
        <w:trPr>
          <w:gridAfter w:val="1"/>
          <w:wAfter w:w="80" w:type="dxa"/>
          <w:trHeight w:val="299"/>
        </w:trPr>
        <w:tc>
          <w:tcPr>
            <w:tcW w:w="2996" w:type="dxa"/>
            <w:tcBorders>
              <w:top w:val="nil"/>
              <w:left w:val="nil"/>
              <w:bottom w:val="nil"/>
              <w:right w:val="nil"/>
            </w:tcBorders>
            <w:shd w:val="clear" w:color="000000" w:fill="FFFFFF"/>
            <w:noWrap/>
            <w:vAlign w:val="bottom"/>
            <w:hideMark/>
          </w:tcPr>
          <w:p w:rsidR="00E329F7" w:rsidRPr="00FE61CD" w:rsidRDefault="00E329F7" w:rsidP="00AE1C26">
            <w:pPr>
              <w:rPr>
                <w:rFonts w:cs="Calibri"/>
                <w:b/>
                <w:bCs/>
                <w:color w:val="000000"/>
                <w:lang w:eastAsia="en-GB"/>
              </w:rPr>
            </w:pPr>
            <w:r w:rsidRPr="00FE61CD">
              <w:rPr>
                <w:rFonts w:cs="Calibri"/>
                <w:b/>
                <w:bCs/>
                <w:color w:val="000000"/>
                <w:lang w:eastAsia="en-GB"/>
              </w:rPr>
              <w:t>Financial assets</w:t>
            </w:r>
          </w:p>
        </w:tc>
        <w:tc>
          <w:tcPr>
            <w:tcW w:w="1087" w:type="dxa"/>
            <w:tcBorders>
              <w:top w:val="nil"/>
              <w:left w:val="nil"/>
              <w:bottom w:val="nil"/>
              <w:right w:val="nil"/>
            </w:tcBorders>
            <w:shd w:val="clear" w:color="000000" w:fill="FFFFFF"/>
            <w:noWrap/>
            <w:vAlign w:val="bottom"/>
            <w:hideMark/>
          </w:tcPr>
          <w:p w:rsidR="00E329F7" w:rsidRPr="00FE61CD" w:rsidRDefault="00E329F7" w:rsidP="00AE1C26">
            <w:pPr>
              <w:rPr>
                <w:rFonts w:cs="Calibri"/>
                <w:color w:val="000000"/>
                <w:lang w:eastAsia="en-GB"/>
              </w:rPr>
            </w:pPr>
            <w:r w:rsidRPr="00FE61CD">
              <w:rPr>
                <w:rFonts w:cs="Calibri"/>
                <w:color w:val="000000"/>
                <w:lang w:eastAsia="en-GB"/>
              </w:rPr>
              <w:t> </w:t>
            </w:r>
          </w:p>
        </w:tc>
        <w:tc>
          <w:tcPr>
            <w:tcW w:w="1330" w:type="dxa"/>
            <w:gridSpan w:val="2"/>
            <w:tcBorders>
              <w:top w:val="nil"/>
              <w:left w:val="nil"/>
              <w:bottom w:val="nil"/>
              <w:right w:val="nil"/>
            </w:tcBorders>
            <w:shd w:val="clear" w:color="000000" w:fill="FFFFFF"/>
            <w:noWrap/>
            <w:vAlign w:val="bottom"/>
            <w:hideMark/>
          </w:tcPr>
          <w:p w:rsidR="00E329F7" w:rsidRPr="00FE61CD" w:rsidRDefault="00E329F7" w:rsidP="00AE1C26">
            <w:pPr>
              <w:rPr>
                <w:rFonts w:cs="Calibri"/>
                <w:color w:val="000000"/>
                <w:lang w:eastAsia="en-GB"/>
              </w:rPr>
            </w:pPr>
            <w:r w:rsidRPr="00FE61CD">
              <w:rPr>
                <w:rFonts w:cs="Calibri"/>
                <w:color w:val="000000"/>
                <w:lang w:eastAsia="en-GB"/>
              </w:rPr>
              <w:t> </w:t>
            </w:r>
          </w:p>
        </w:tc>
        <w:tc>
          <w:tcPr>
            <w:tcW w:w="1531" w:type="dxa"/>
            <w:gridSpan w:val="2"/>
            <w:tcBorders>
              <w:top w:val="nil"/>
              <w:left w:val="nil"/>
              <w:bottom w:val="nil"/>
              <w:right w:val="nil"/>
            </w:tcBorders>
            <w:shd w:val="clear" w:color="000000" w:fill="FFFFFF"/>
            <w:noWrap/>
            <w:vAlign w:val="bottom"/>
            <w:hideMark/>
          </w:tcPr>
          <w:p w:rsidR="00E329F7" w:rsidRPr="00FE61CD" w:rsidRDefault="00E329F7" w:rsidP="00AE1C26">
            <w:pPr>
              <w:rPr>
                <w:rFonts w:cs="Calibri"/>
                <w:color w:val="000000"/>
                <w:lang w:eastAsia="en-GB"/>
              </w:rPr>
            </w:pPr>
            <w:r w:rsidRPr="00FE61CD">
              <w:rPr>
                <w:rFonts w:cs="Calibri"/>
                <w:color w:val="000000"/>
                <w:lang w:eastAsia="en-GB"/>
              </w:rPr>
              <w:t> </w:t>
            </w:r>
          </w:p>
        </w:tc>
        <w:tc>
          <w:tcPr>
            <w:tcW w:w="1416" w:type="dxa"/>
            <w:gridSpan w:val="2"/>
            <w:tcBorders>
              <w:top w:val="nil"/>
              <w:left w:val="nil"/>
              <w:bottom w:val="nil"/>
              <w:right w:val="nil"/>
            </w:tcBorders>
            <w:shd w:val="clear" w:color="000000" w:fill="FFFFFF"/>
            <w:noWrap/>
            <w:vAlign w:val="bottom"/>
            <w:hideMark/>
          </w:tcPr>
          <w:p w:rsidR="00E329F7" w:rsidRPr="00FE61CD" w:rsidRDefault="00E329F7" w:rsidP="00AE1C26">
            <w:pPr>
              <w:rPr>
                <w:rFonts w:cs="Calibri"/>
                <w:color w:val="000000"/>
                <w:lang w:eastAsia="en-GB"/>
              </w:rPr>
            </w:pPr>
            <w:r w:rsidRPr="00FE61CD">
              <w:rPr>
                <w:rFonts w:cs="Calibri"/>
                <w:color w:val="000000"/>
                <w:lang w:eastAsia="en-GB"/>
              </w:rPr>
              <w:t> </w:t>
            </w:r>
          </w:p>
        </w:tc>
      </w:tr>
      <w:tr w:rsidR="00E329F7" w:rsidRPr="00FE61CD" w:rsidTr="00AE1C26">
        <w:trPr>
          <w:gridAfter w:val="1"/>
          <w:wAfter w:w="80" w:type="dxa"/>
          <w:trHeight w:val="585"/>
        </w:trPr>
        <w:tc>
          <w:tcPr>
            <w:tcW w:w="2996" w:type="dxa"/>
            <w:tcBorders>
              <w:top w:val="nil"/>
              <w:left w:val="nil"/>
              <w:bottom w:val="nil"/>
              <w:right w:val="nil"/>
            </w:tcBorders>
            <w:shd w:val="clear" w:color="000000" w:fill="FFFFFF"/>
            <w:vAlign w:val="bottom"/>
            <w:hideMark/>
          </w:tcPr>
          <w:p w:rsidR="00E329F7" w:rsidRPr="00FE61CD" w:rsidRDefault="00E329F7" w:rsidP="00AE1C26">
            <w:pPr>
              <w:rPr>
                <w:rFonts w:cs="Calibri"/>
                <w:color w:val="000000"/>
                <w:lang w:eastAsia="en-GB"/>
              </w:rPr>
            </w:pPr>
            <w:r w:rsidRPr="00FE61CD">
              <w:rPr>
                <w:rFonts w:cs="Calibri"/>
                <w:color w:val="000000"/>
                <w:lang w:eastAsia="en-GB"/>
              </w:rPr>
              <w:t>Financial assets at fair value through profit and loss</w:t>
            </w:r>
          </w:p>
        </w:tc>
        <w:tc>
          <w:tcPr>
            <w:tcW w:w="1087" w:type="dxa"/>
            <w:tcBorders>
              <w:top w:val="nil"/>
              <w:left w:val="nil"/>
              <w:bottom w:val="nil"/>
              <w:right w:val="nil"/>
            </w:tcBorders>
            <w:shd w:val="clear" w:color="000000" w:fill="FFFFFF"/>
            <w:noWrap/>
            <w:vAlign w:val="bottom"/>
            <w:hideMark/>
          </w:tcPr>
          <w:p w:rsidR="00E329F7" w:rsidRPr="00FE61CD" w:rsidRDefault="00E329F7" w:rsidP="00AE1C26">
            <w:pPr>
              <w:jc w:val="right"/>
              <w:rPr>
                <w:rFonts w:cs="Calibri"/>
                <w:color w:val="000000"/>
                <w:lang w:eastAsia="en-GB"/>
              </w:rPr>
            </w:pPr>
            <w:r w:rsidRPr="00FE61CD">
              <w:rPr>
                <w:rFonts w:cs="Calibri"/>
                <w:color w:val="000000"/>
                <w:lang w:eastAsia="en-GB"/>
              </w:rPr>
              <w:t>0.0</w:t>
            </w:r>
          </w:p>
        </w:tc>
        <w:tc>
          <w:tcPr>
            <w:tcW w:w="1330" w:type="dxa"/>
            <w:gridSpan w:val="2"/>
            <w:tcBorders>
              <w:top w:val="nil"/>
              <w:left w:val="nil"/>
              <w:bottom w:val="nil"/>
              <w:right w:val="nil"/>
            </w:tcBorders>
            <w:shd w:val="clear" w:color="000000" w:fill="FFFFFF"/>
            <w:noWrap/>
            <w:vAlign w:val="bottom"/>
            <w:hideMark/>
          </w:tcPr>
          <w:p w:rsidR="00E329F7" w:rsidRPr="00FE61CD" w:rsidRDefault="00E329F7" w:rsidP="00AE1C26">
            <w:pPr>
              <w:jc w:val="right"/>
              <w:rPr>
                <w:rFonts w:cs="Calibri"/>
                <w:color w:val="000000"/>
                <w:lang w:eastAsia="en-GB"/>
              </w:rPr>
            </w:pPr>
            <w:r w:rsidRPr="00FE61CD">
              <w:rPr>
                <w:rFonts w:cs="Calibri"/>
                <w:color w:val="000000"/>
                <w:lang w:eastAsia="en-GB"/>
              </w:rPr>
              <w:t>697.1</w:t>
            </w:r>
          </w:p>
        </w:tc>
        <w:tc>
          <w:tcPr>
            <w:tcW w:w="1531" w:type="dxa"/>
            <w:gridSpan w:val="2"/>
            <w:tcBorders>
              <w:top w:val="nil"/>
              <w:left w:val="nil"/>
              <w:bottom w:val="nil"/>
              <w:right w:val="nil"/>
            </w:tcBorders>
            <w:shd w:val="clear" w:color="000000" w:fill="FFFFFF"/>
            <w:noWrap/>
            <w:vAlign w:val="bottom"/>
            <w:hideMark/>
          </w:tcPr>
          <w:p w:rsidR="00E329F7" w:rsidRPr="00FE61CD" w:rsidRDefault="00E329F7" w:rsidP="00AE1C26">
            <w:pPr>
              <w:jc w:val="right"/>
              <w:rPr>
                <w:rFonts w:cs="Calibri"/>
                <w:color w:val="000000"/>
                <w:lang w:eastAsia="en-GB"/>
              </w:rPr>
            </w:pPr>
            <w:r w:rsidRPr="00FE61CD">
              <w:rPr>
                <w:rFonts w:cs="Calibri"/>
                <w:color w:val="000000"/>
                <w:lang w:eastAsia="en-GB"/>
              </w:rPr>
              <w:t>84.3</w:t>
            </w:r>
          </w:p>
        </w:tc>
        <w:tc>
          <w:tcPr>
            <w:tcW w:w="1416" w:type="dxa"/>
            <w:gridSpan w:val="2"/>
            <w:tcBorders>
              <w:top w:val="nil"/>
              <w:left w:val="nil"/>
              <w:bottom w:val="nil"/>
              <w:right w:val="nil"/>
            </w:tcBorders>
            <w:shd w:val="clear" w:color="000000" w:fill="FFFFFF"/>
            <w:noWrap/>
            <w:vAlign w:val="bottom"/>
            <w:hideMark/>
          </w:tcPr>
          <w:p w:rsidR="00E329F7" w:rsidRPr="00FE61CD" w:rsidRDefault="00E329F7" w:rsidP="00AE1C26">
            <w:pPr>
              <w:jc w:val="right"/>
              <w:rPr>
                <w:rFonts w:cs="Calibri"/>
                <w:color w:val="000000"/>
                <w:lang w:eastAsia="en-GB"/>
              </w:rPr>
            </w:pPr>
            <w:r w:rsidRPr="00FE61CD">
              <w:rPr>
                <w:rFonts w:cs="Calibri"/>
                <w:color w:val="000000"/>
                <w:lang w:eastAsia="en-GB"/>
              </w:rPr>
              <w:t>781.4</w:t>
            </w:r>
          </w:p>
        </w:tc>
      </w:tr>
      <w:tr w:rsidR="00E329F7" w:rsidRPr="00FE61CD" w:rsidTr="00AE1C26">
        <w:trPr>
          <w:gridAfter w:val="1"/>
          <w:wAfter w:w="80" w:type="dxa"/>
          <w:trHeight w:val="299"/>
        </w:trPr>
        <w:tc>
          <w:tcPr>
            <w:tcW w:w="2996" w:type="dxa"/>
            <w:tcBorders>
              <w:top w:val="nil"/>
              <w:left w:val="nil"/>
              <w:bottom w:val="nil"/>
              <w:right w:val="nil"/>
            </w:tcBorders>
            <w:shd w:val="clear" w:color="000000" w:fill="FFFFFF"/>
            <w:noWrap/>
            <w:vAlign w:val="bottom"/>
            <w:hideMark/>
          </w:tcPr>
          <w:p w:rsidR="00E329F7" w:rsidRPr="00FE61CD" w:rsidRDefault="00E329F7" w:rsidP="00AE1C26">
            <w:pPr>
              <w:rPr>
                <w:rFonts w:cs="Calibri"/>
                <w:color w:val="000000"/>
                <w:lang w:eastAsia="en-GB"/>
              </w:rPr>
            </w:pPr>
            <w:r w:rsidRPr="00FE61CD">
              <w:rPr>
                <w:rFonts w:cs="Calibri"/>
                <w:color w:val="000000"/>
                <w:lang w:eastAsia="en-GB"/>
              </w:rPr>
              <w:lastRenderedPageBreak/>
              <w:t>Loans and receivables</w:t>
            </w:r>
          </w:p>
        </w:tc>
        <w:tc>
          <w:tcPr>
            <w:tcW w:w="1087" w:type="dxa"/>
            <w:tcBorders>
              <w:top w:val="nil"/>
              <w:left w:val="nil"/>
              <w:bottom w:val="nil"/>
              <w:right w:val="nil"/>
            </w:tcBorders>
            <w:shd w:val="clear" w:color="000000" w:fill="FFFFFF"/>
            <w:noWrap/>
            <w:vAlign w:val="bottom"/>
            <w:hideMark/>
          </w:tcPr>
          <w:p w:rsidR="00E329F7" w:rsidRPr="00FE61CD" w:rsidRDefault="00E329F7" w:rsidP="00AE1C26">
            <w:pPr>
              <w:jc w:val="right"/>
              <w:rPr>
                <w:rFonts w:cs="Calibri"/>
                <w:color w:val="000000"/>
                <w:lang w:eastAsia="en-GB"/>
              </w:rPr>
            </w:pPr>
            <w:r w:rsidRPr="00FE61CD">
              <w:rPr>
                <w:rFonts w:cs="Calibri"/>
                <w:color w:val="000000"/>
                <w:lang w:eastAsia="en-GB"/>
              </w:rPr>
              <w:t>53.9</w:t>
            </w:r>
          </w:p>
        </w:tc>
        <w:tc>
          <w:tcPr>
            <w:tcW w:w="1330" w:type="dxa"/>
            <w:gridSpan w:val="2"/>
            <w:tcBorders>
              <w:top w:val="nil"/>
              <w:left w:val="nil"/>
              <w:bottom w:val="nil"/>
              <w:right w:val="nil"/>
            </w:tcBorders>
            <w:shd w:val="clear" w:color="000000" w:fill="FFFFFF"/>
            <w:noWrap/>
            <w:vAlign w:val="bottom"/>
            <w:hideMark/>
          </w:tcPr>
          <w:p w:rsidR="00E329F7" w:rsidRPr="00FE61CD" w:rsidRDefault="00E329F7" w:rsidP="00AE1C26">
            <w:pPr>
              <w:jc w:val="right"/>
              <w:rPr>
                <w:rFonts w:cs="Calibri"/>
                <w:color w:val="000000"/>
                <w:lang w:eastAsia="en-GB"/>
              </w:rPr>
            </w:pPr>
            <w:r w:rsidRPr="00FE61CD">
              <w:rPr>
                <w:rFonts w:cs="Calibri"/>
                <w:color w:val="000000"/>
                <w:lang w:eastAsia="en-GB"/>
              </w:rPr>
              <w:t>0.0</w:t>
            </w:r>
          </w:p>
        </w:tc>
        <w:tc>
          <w:tcPr>
            <w:tcW w:w="1531" w:type="dxa"/>
            <w:gridSpan w:val="2"/>
            <w:tcBorders>
              <w:top w:val="nil"/>
              <w:left w:val="nil"/>
              <w:bottom w:val="nil"/>
              <w:right w:val="nil"/>
            </w:tcBorders>
            <w:shd w:val="clear" w:color="000000" w:fill="FFFFFF"/>
            <w:noWrap/>
            <w:vAlign w:val="bottom"/>
            <w:hideMark/>
          </w:tcPr>
          <w:p w:rsidR="00E329F7" w:rsidRPr="00FE61CD" w:rsidRDefault="00E329F7" w:rsidP="00AE1C26">
            <w:pPr>
              <w:jc w:val="right"/>
              <w:rPr>
                <w:rFonts w:cs="Calibri"/>
                <w:color w:val="000000"/>
                <w:lang w:eastAsia="en-GB"/>
              </w:rPr>
            </w:pPr>
            <w:r w:rsidRPr="00FE61CD">
              <w:rPr>
                <w:rFonts w:cs="Calibri"/>
                <w:color w:val="000000"/>
                <w:lang w:eastAsia="en-GB"/>
              </w:rPr>
              <w:t>0.0</w:t>
            </w:r>
          </w:p>
        </w:tc>
        <w:tc>
          <w:tcPr>
            <w:tcW w:w="1416" w:type="dxa"/>
            <w:gridSpan w:val="2"/>
            <w:tcBorders>
              <w:top w:val="nil"/>
              <w:left w:val="nil"/>
              <w:bottom w:val="nil"/>
              <w:right w:val="nil"/>
            </w:tcBorders>
            <w:shd w:val="clear" w:color="000000" w:fill="FFFFFF"/>
            <w:noWrap/>
            <w:vAlign w:val="bottom"/>
            <w:hideMark/>
          </w:tcPr>
          <w:p w:rsidR="00E329F7" w:rsidRPr="00FE61CD" w:rsidRDefault="00E329F7" w:rsidP="00AE1C26">
            <w:pPr>
              <w:jc w:val="right"/>
              <w:rPr>
                <w:rFonts w:cs="Calibri"/>
                <w:color w:val="000000"/>
                <w:lang w:eastAsia="en-GB"/>
              </w:rPr>
            </w:pPr>
            <w:r w:rsidRPr="00FE61CD">
              <w:rPr>
                <w:rFonts w:cs="Calibri"/>
                <w:color w:val="000000"/>
                <w:lang w:eastAsia="en-GB"/>
              </w:rPr>
              <w:t>53.9</w:t>
            </w:r>
          </w:p>
        </w:tc>
      </w:tr>
      <w:tr w:rsidR="00E329F7" w:rsidRPr="00FE61CD" w:rsidTr="00AE1C26">
        <w:trPr>
          <w:gridAfter w:val="1"/>
          <w:wAfter w:w="80" w:type="dxa"/>
          <w:trHeight w:val="286"/>
        </w:trPr>
        <w:tc>
          <w:tcPr>
            <w:tcW w:w="2996" w:type="dxa"/>
            <w:tcBorders>
              <w:top w:val="nil"/>
              <w:left w:val="nil"/>
              <w:bottom w:val="nil"/>
              <w:right w:val="nil"/>
            </w:tcBorders>
            <w:shd w:val="clear" w:color="000000" w:fill="FFFFFF"/>
            <w:noWrap/>
            <w:vAlign w:val="bottom"/>
            <w:hideMark/>
          </w:tcPr>
          <w:p w:rsidR="00E329F7" w:rsidRPr="00FE61CD" w:rsidRDefault="00E329F7" w:rsidP="00AE1C26">
            <w:pPr>
              <w:rPr>
                <w:rFonts w:cs="Calibri"/>
                <w:b/>
                <w:bCs/>
                <w:color w:val="000000"/>
                <w:lang w:eastAsia="en-GB"/>
              </w:rPr>
            </w:pPr>
            <w:r w:rsidRPr="00FE61CD">
              <w:rPr>
                <w:rFonts w:cs="Calibri"/>
                <w:b/>
                <w:bCs/>
                <w:color w:val="000000"/>
                <w:lang w:eastAsia="en-GB"/>
              </w:rPr>
              <w:t>Total Financial assets</w:t>
            </w:r>
          </w:p>
        </w:tc>
        <w:tc>
          <w:tcPr>
            <w:tcW w:w="1087" w:type="dxa"/>
            <w:tcBorders>
              <w:top w:val="single" w:sz="4" w:space="0" w:color="auto"/>
              <w:left w:val="nil"/>
              <w:bottom w:val="single" w:sz="4" w:space="0" w:color="auto"/>
              <w:right w:val="nil"/>
            </w:tcBorders>
            <w:shd w:val="clear" w:color="000000" w:fill="FFFFFF"/>
            <w:noWrap/>
            <w:vAlign w:val="bottom"/>
            <w:hideMark/>
          </w:tcPr>
          <w:p w:rsidR="00E329F7" w:rsidRPr="00FE61CD" w:rsidRDefault="00E329F7" w:rsidP="00AE1C26">
            <w:pPr>
              <w:jc w:val="right"/>
              <w:rPr>
                <w:rFonts w:cs="Calibri"/>
                <w:b/>
                <w:bCs/>
                <w:color w:val="000000"/>
                <w:lang w:eastAsia="en-GB"/>
              </w:rPr>
            </w:pPr>
            <w:r w:rsidRPr="00FE61CD">
              <w:rPr>
                <w:rFonts w:cs="Calibri"/>
                <w:b/>
                <w:bCs/>
                <w:color w:val="000000"/>
                <w:lang w:eastAsia="en-GB"/>
              </w:rPr>
              <w:t>53.9</w:t>
            </w:r>
          </w:p>
        </w:tc>
        <w:tc>
          <w:tcPr>
            <w:tcW w:w="1330" w:type="dxa"/>
            <w:gridSpan w:val="2"/>
            <w:tcBorders>
              <w:top w:val="single" w:sz="4" w:space="0" w:color="auto"/>
              <w:left w:val="nil"/>
              <w:bottom w:val="single" w:sz="4" w:space="0" w:color="auto"/>
              <w:right w:val="nil"/>
            </w:tcBorders>
            <w:shd w:val="clear" w:color="000000" w:fill="FFFFFF"/>
            <w:noWrap/>
            <w:vAlign w:val="bottom"/>
            <w:hideMark/>
          </w:tcPr>
          <w:p w:rsidR="00E329F7" w:rsidRPr="00FE61CD" w:rsidRDefault="00E329F7" w:rsidP="00AE1C26">
            <w:pPr>
              <w:jc w:val="right"/>
              <w:rPr>
                <w:rFonts w:cs="Calibri"/>
                <w:b/>
                <w:bCs/>
                <w:color w:val="000000"/>
                <w:lang w:eastAsia="en-GB"/>
              </w:rPr>
            </w:pPr>
            <w:r w:rsidRPr="00FE61CD">
              <w:rPr>
                <w:rFonts w:cs="Calibri"/>
                <w:b/>
                <w:bCs/>
                <w:color w:val="000000"/>
                <w:lang w:eastAsia="en-GB"/>
              </w:rPr>
              <w:t>697.1</w:t>
            </w:r>
          </w:p>
        </w:tc>
        <w:tc>
          <w:tcPr>
            <w:tcW w:w="1531" w:type="dxa"/>
            <w:gridSpan w:val="2"/>
            <w:tcBorders>
              <w:top w:val="single" w:sz="4" w:space="0" w:color="auto"/>
              <w:left w:val="nil"/>
              <w:bottom w:val="single" w:sz="4" w:space="0" w:color="auto"/>
              <w:right w:val="nil"/>
            </w:tcBorders>
            <w:shd w:val="clear" w:color="000000" w:fill="FFFFFF"/>
            <w:noWrap/>
            <w:vAlign w:val="bottom"/>
            <w:hideMark/>
          </w:tcPr>
          <w:p w:rsidR="00E329F7" w:rsidRPr="00FE61CD" w:rsidRDefault="00E329F7" w:rsidP="00AE1C26">
            <w:pPr>
              <w:jc w:val="right"/>
              <w:rPr>
                <w:rFonts w:cs="Calibri"/>
                <w:b/>
                <w:bCs/>
                <w:color w:val="000000"/>
                <w:lang w:eastAsia="en-GB"/>
              </w:rPr>
            </w:pPr>
            <w:r w:rsidRPr="00FE61CD">
              <w:rPr>
                <w:rFonts w:cs="Calibri"/>
                <w:b/>
                <w:bCs/>
                <w:color w:val="000000"/>
                <w:lang w:eastAsia="en-GB"/>
              </w:rPr>
              <w:t>84.3</w:t>
            </w:r>
          </w:p>
        </w:tc>
        <w:tc>
          <w:tcPr>
            <w:tcW w:w="1416" w:type="dxa"/>
            <w:gridSpan w:val="2"/>
            <w:tcBorders>
              <w:top w:val="single" w:sz="4" w:space="0" w:color="auto"/>
              <w:left w:val="nil"/>
              <w:bottom w:val="single" w:sz="4" w:space="0" w:color="auto"/>
              <w:right w:val="nil"/>
            </w:tcBorders>
            <w:shd w:val="clear" w:color="000000" w:fill="FFFFFF"/>
            <w:noWrap/>
            <w:vAlign w:val="bottom"/>
            <w:hideMark/>
          </w:tcPr>
          <w:p w:rsidR="00E329F7" w:rsidRPr="00FE61CD" w:rsidRDefault="00E329F7" w:rsidP="00AE1C26">
            <w:pPr>
              <w:jc w:val="right"/>
              <w:rPr>
                <w:rFonts w:cs="Calibri"/>
                <w:b/>
                <w:bCs/>
                <w:color w:val="000000"/>
                <w:lang w:eastAsia="en-GB"/>
              </w:rPr>
            </w:pPr>
            <w:r w:rsidRPr="00FE61CD">
              <w:rPr>
                <w:rFonts w:cs="Calibri"/>
                <w:b/>
                <w:bCs/>
                <w:color w:val="000000"/>
                <w:lang w:eastAsia="en-GB"/>
              </w:rPr>
              <w:t>835.3</w:t>
            </w:r>
          </w:p>
        </w:tc>
      </w:tr>
      <w:tr w:rsidR="00E329F7" w:rsidRPr="00FE61CD" w:rsidTr="00AE1C26">
        <w:trPr>
          <w:gridAfter w:val="1"/>
          <w:wAfter w:w="80" w:type="dxa"/>
          <w:trHeight w:val="299"/>
        </w:trPr>
        <w:tc>
          <w:tcPr>
            <w:tcW w:w="2996" w:type="dxa"/>
            <w:tcBorders>
              <w:top w:val="nil"/>
              <w:left w:val="nil"/>
              <w:bottom w:val="nil"/>
              <w:right w:val="nil"/>
            </w:tcBorders>
            <w:shd w:val="clear" w:color="000000" w:fill="FFFFFF"/>
            <w:noWrap/>
            <w:vAlign w:val="bottom"/>
            <w:hideMark/>
          </w:tcPr>
          <w:p w:rsidR="00E329F7" w:rsidRPr="00FE61CD" w:rsidRDefault="00E329F7" w:rsidP="00AE1C26">
            <w:pPr>
              <w:rPr>
                <w:rFonts w:cs="Calibri"/>
                <w:color w:val="000000"/>
                <w:lang w:eastAsia="en-GB"/>
              </w:rPr>
            </w:pPr>
            <w:r w:rsidRPr="00FE61CD">
              <w:rPr>
                <w:rFonts w:cs="Calibri"/>
                <w:color w:val="000000"/>
                <w:lang w:eastAsia="en-GB"/>
              </w:rPr>
              <w:t> </w:t>
            </w:r>
          </w:p>
        </w:tc>
        <w:tc>
          <w:tcPr>
            <w:tcW w:w="1087" w:type="dxa"/>
            <w:tcBorders>
              <w:top w:val="nil"/>
              <w:left w:val="nil"/>
              <w:bottom w:val="nil"/>
              <w:right w:val="nil"/>
            </w:tcBorders>
            <w:shd w:val="clear" w:color="000000" w:fill="FFFFFF"/>
            <w:noWrap/>
            <w:vAlign w:val="bottom"/>
            <w:hideMark/>
          </w:tcPr>
          <w:p w:rsidR="00E329F7" w:rsidRPr="00FE61CD" w:rsidRDefault="00E329F7" w:rsidP="00AE1C26">
            <w:pPr>
              <w:rPr>
                <w:rFonts w:cs="Calibri"/>
                <w:color w:val="000000"/>
                <w:lang w:eastAsia="en-GB"/>
              </w:rPr>
            </w:pPr>
            <w:r w:rsidRPr="00FE61CD">
              <w:rPr>
                <w:rFonts w:cs="Calibri"/>
                <w:color w:val="000000"/>
                <w:lang w:eastAsia="en-GB"/>
              </w:rPr>
              <w:t> </w:t>
            </w:r>
          </w:p>
        </w:tc>
        <w:tc>
          <w:tcPr>
            <w:tcW w:w="1330" w:type="dxa"/>
            <w:gridSpan w:val="2"/>
            <w:tcBorders>
              <w:top w:val="nil"/>
              <w:left w:val="nil"/>
              <w:bottom w:val="nil"/>
              <w:right w:val="nil"/>
            </w:tcBorders>
            <w:shd w:val="clear" w:color="000000" w:fill="FFFFFF"/>
            <w:noWrap/>
            <w:vAlign w:val="bottom"/>
            <w:hideMark/>
          </w:tcPr>
          <w:p w:rsidR="00E329F7" w:rsidRPr="00FE61CD" w:rsidRDefault="00E329F7" w:rsidP="00AE1C26">
            <w:pPr>
              <w:rPr>
                <w:rFonts w:cs="Calibri"/>
                <w:color w:val="000000"/>
                <w:lang w:eastAsia="en-GB"/>
              </w:rPr>
            </w:pPr>
            <w:r w:rsidRPr="00FE61CD">
              <w:rPr>
                <w:rFonts w:cs="Calibri"/>
                <w:color w:val="000000"/>
                <w:lang w:eastAsia="en-GB"/>
              </w:rPr>
              <w:t> </w:t>
            </w:r>
          </w:p>
        </w:tc>
        <w:tc>
          <w:tcPr>
            <w:tcW w:w="1531" w:type="dxa"/>
            <w:gridSpan w:val="2"/>
            <w:tcBorders>
              <w:top w:val="nil"/>
              <w:left w:val="nil"/>
              <w:bottom w:val="nil"/>
              <w:right w:val="nil"/>
            </w:tcBorders>
            <w:shd w:val="clear" w:color="000000" w:fill="FFFFFF"/>
            <w:noWrap/>
            <w:vAlign w:val="bottom"/>
            <w:hideMark/>
          </w:tcPr>
          <w:p w:rsidR="00E329F7" w:rsidRPr="00FE61CD" w:rsidRDefault="00E329F7" w:rsidP="00AE1C26">
            <w:pPr>
              <w:rPr>
                <w:rFonts w:cs="Calibri"/>
                <w:color w:val="000000"/>
                <w:lang w:eastAsia="en-GB"/>
              </w:rPr>
            </w:pPr>
            <w:r w:rsidRPr="00FE61CD">
              <w:rPr>
                <w:rFonts w:cs="Calibri"/>
                <w:color w:val="000000"/>
                <w:lang w:eastAsia="en-GB"/>
              </w:rPr>
              <w:t> </w:t>
            </w:r>
          </w:p>
        </w:tc>
        <w:tc>
          <w:tcPr>
            <w:tcW w:w="1416" w:type="dxa"/>
            <w:gridSpan w:val="2"/>
            <w:tcBorders>
              <w:top w:val="nil"/>
              <w:left w:val="nil"/>
              <w:bottom w:val="nil"/>
              <w:right w:val="nil"/>
            </w:tcBorders>
            <w:shd w:val="clear" w:color="000000" w:fill="FFFFFF"/>
            <w:noWrap/>
            <w:vAlign w:val="bottom"/>
            <w:hideMark/>
          </w:tcPr>
          <w:p w:rsidR="00E329F7" w:rsidRPr="00FE61CD" w:rsidRDefault="00E329F7" w:rsidP="00AE1C26">
            <w:pPr>
              <w:rPr>
                <w:rFonts w:cs="Calibri"/>
                <w:color w:val="000000"/>
                <w:lang w:eastAsia="en-GB"/>
              </w:rPr>
            </w:pPr>
            <w:r w:rsidRPr="00FE61CD">
              <w:rPr>
                <w:rFonts w:cs="Calibri"/>
                <w:color w:val="000000"/>
                <w:lang w:eastAsia="en-GB"/>
              </w:rPr>
              <w:t> </w:t>
            </w:r>
          </w:p>
        </w:tc>
      </w:tr>
      <w:tr w:rsidR="00E329F7" w:rsidRPr="00FE61CD" w:rsidTr="00AE1C26">
        <w:trPr>
          <w:gridAfter w:val="1"/>
          <w:wAfter w:w="80" w:type="dxa"/>
          <w:trHeight w:val="299"/>
        </w:trPr>
        <w:tc>
          <w:tcPr>
            <w:tcW w:w="2996" w:type="dxa"/>
            <w:tcBorders>
              <w:top w:val="nil"/>
              <w:left w:val="nil"/>
              <w:bottom w:val="nil"/>
              <w:right w:val="nil"/>
            </w:tcBorders>
            <w:shd w:val="clear" w:color="000000" w:fill="FFFFFF"/>
            <w:noWrap/>
            <w:vAlign w:val="bottom"/>
            <w:hideMark/>
          </w:tcPr>
          <w:p w:rsidR="00E329F7" w:rsidRPr="00FE61CD" w:rsidRDefault="00E329F7" w:rsidP="00AE1C26">
            <w:pPr>
              <w:rPr>
                <w:rFonts w:cs="Calibri"/>
                <w:b/>
                <w:bCs/>
                <w:color w:val="000000"/>
                <w:lang w:eastAsia="en-GB"/>
              </w:rPr>
            </w:pPr>
            <w:r w:rsidRPr="00FE61CD">
              <w:rPr>
                <w:rFonts w:cs="Calibri"/>
                <w:b/>
                <w:bCs/>
                <w:color w:val="000000"/>
                <w:lang w:eastAsia="en-GB"/>
              </w:rPr>
              <w:t>Financial liabilities</w:t>
            </w:r>
          </w:p>
        </w:tc>
        <w:tc>
          <w:tcPr>
            <w:tcW w:w="1087" w:type="dxa"/>
            <w:tcBorders>
              <w:top w:val="nil"/>
              <w:left w:val="nil"/>
              <w:bottom w:val="nil"/>
              <w:right w:val="nil"/>
            </w:tcBorders>
            <w:shd w:val="clear" w:color="000000" w:fill="FFFFFF"/>
            <w:noWrap/>
            <w:vAlign w:val="bottom"/>
            <w:hideMark/>
          </w:tcPr>
          <w:p w:rsidR="00E329F7" w:rsidRPr="00FE61CD" w:rsidRDefault="00E329F7" w:rsidP="00AE1C26">
            <w:pPr>
              <w:rPr>
                <w:rFonts w:cs="Calibri"/>
                <w:color w:val="000000"/>
                <w:lang w:eastAsia="en-GB"/>
              </w:rPr>
            </w:pPr>
            <w:r w:rsidRPr="00FE61CD">
              <w:rPr>
                <w:rFonts w:cs="Calibri"/>
                <w:color w:val="000000"/>
                <w:lang w:eastAsia="en-GB"/>
              </w:rPr>
              <w:t> </w:t>
            </w:r>
          </w:p>
        </w:tc>
        <w:tc>
          <w:tcPr>
            <w:tcW w:w="1330" w:type="dxa"/>
            <w:gridSpan w:val="2"/>
            <w:tcBorders>
              <w:top w:val="nil"/>
              <w:left w:val="nil"/>
              <w:bottom w:val="nil"/>
              <w:right w:val="nil"/>
            </w:tcBorders>
            <w:shd w:val="clear" w:color="000000" w:fill="FFFFFF"/>
            <w:noWrap/>
            <w:vAlign w:val="bottom"/>
            <w:hideMark/>
          </w:tcPr>
          <w:p w:rsidR="00E329F7" w:rsidRPr="00FE61CD" w:rsidRDefault="00E329F7" w:rsidP="00AE1C26">
            <w:pPr>
              <w:rPr>
                <w:rFonts w:cs="Calibri"/>
                <w:color w:val="000000"/>
                <w:lang w:eastAsia="en-GB"/>
              </w:rPr>
            </w:pPr>
            <w:r w:rsidRPr="00FE61CD">
              <w:rPr>
                <w:rFonts w:cs="Calibri"/>
                <w:color w:val="000000"/>
                <w:lang w:eastAsia="en-GB"/>
              </w:rPr>
              <w:t> </w:t>
            </w:r>
          </w:p>
        </w:tc>
        <w:tc>
          <w:tcPr>
            <w:tcW w:w="1531" w:type="dxa"/>
            <w:gridSpan w:val="2"/>
            <w:tcBorders>
              <w:top w:val="nil"/>
              <w:left w:val="nil"/>
              <w:bottom w:val="nil"/>
              <w:right w:val="nil"/>
            </w:tcBorders>
            <w:shd w:val="clear" w:color="000000" w:fill="FFFFFF"/>
            <w:noWrap/>
            <w:vAlign w:val="bottom"/>
            <w:hideMark/>
          </w:tcPr>
          <w:p w:rsidR="00E329F7" w:rsidRPr="00FE61CD" w:rsidRDefault="00E329F7" w:rsidP="00AE1C26">
            <w:pPr>
              <w:rPr>
                <w:rFonts w:cs="Calibri"/>
                <w:color w:val="000000"/>
                <w:lang w:eastAsia="en-GB"/>
              </w:rPr>
            </w:pPr>
            <w:r w:rsidRPr="00FE61CD">
              <w:rPr>
                <w:rFonts w:cs="Calibri"/>
                <w:color w:val="000000"/>
                <w:lang w:eastAsia="en-GB"/>
              </w:rPr>
              <w:t> </w:t>
            </w:r>
          </w:p>
        </w:tc>
        <w:tc>
          <w:tcPr>
            <w:tcW w:w="1416" w:type="dxa"/>
            <w:gridSpan w:val="2"/>
            <w:tcBorders>
              <w:top w:val="nil"/>
              <w:left w:val="nil"/>
              <w:bottom w:val="nil"/>
              <w:right w:val="nil"/>
            </w:tcBorders>
            <w:shd w:val="clear" w:color="000000" w:fill="FFFFFF"/>
            <w:noWrap/>
            <w:vAlign w:val="bottom"/>
            <w:hideMark/>
          </w:tcPr>
          <w:p w:rsidR="00E329F7" w:rsidRPr="00FE61CD" w:rsidRDefault="00E329F7" w:rsidP="00AE1C26">
            <w:pPr>
              <w:rPr>
                <w:rFonts w:cs="Calibri"/>
                <w:color w:val="000000"/>
                <w:lang w:eastAsia="en-GB"/>
              </w:rPr>
            </w:pPr>
            <w:r w:rsidRPr="00FE61CD">
              <w:rPr>
                <w:rFonts w:cs="Calibri"/>
                <w:color w:val="000000"/>
                <w:lang w:eastAsia="en-GB"/>
              </w:rPr>
              <w:t> </w:t>
            </w:r>
          </w:p>
        </w:tc>
      </w:tr>
      <w:tr w:rsidR="00E329F7" w:rsidRPr="00FE61CD" w:rsidTr="00AE1C26">
        <w:trPr>
          <w:gridAfter w:val="1"/>
          <w:wAfter w:w="80" w:type="dxa"/>
          <w:trHeight w:val="585"/>
        </w:trPr>
        <w:tc>
          <w:tcPr>
            <w:tcW w:w="2996" w:type="dxa"/>
            <w:tcBorders>
              <w:top w:val="nil"/>
              <w:left w:val="nil"/>
              <w:bottom w:val="nil"/>
              <w:right w:val="nil"/>
            </w:tcBorders>
            <w:shd w:val="clear" w:color="000000" w:fill="FFFFFF"/>
            <w:vAlign w:val="bottom"/>
            <w:hideMark/>
          </w:tcPr>
          <w:p w:rsidR="00E329F7" w:rsidRPr="00FE61CD" w:rsidRDefault="00E329F7" w:rsidP="00AE1C26">
            <w:pPr>
              <w:rPr>
                <w:rFonts w:cs="Calibri"/>
                <w:color w:val="000000"/>
                <w:lang w:eastAsia="en-GB"/>
              </w:rPr>
            </w:pPr>
            <w:r w:rsidRPr="00FE61CD">
              <w:rPr>
                <w:rFonts w:cs="Calibri"/>
                <w:color w:val="000000"/>
                <w:lang w:eastAsia="en-GB"/>
              </w:rPr>
              <w:t>Financial liabilities at amortised cost</w:t>
            </w:r>
          </w:p>
        </w:tc>
        <w:tc>
          <w:tcPr>
            <w:tcW w:w="1087" w:type="dxa"/>
            <w:tcBorders>
              <w:top w:val="nil"/>
              <w:left w:val="nil"/>
              <w:bottom w:val="nil"/>
              <w:right w:val="nil"/>
            </w:tcBorders>
            <w:shd w:val="clear" w:color="000000" w:fill="FFFFFF"/>
            <w:noWrap/>
            <w:vAlign w:val="bottom"/>
            <w:hideMark/>
          </w:tcPr>
          <w:p w:rsidR="00E329F7" w:rsidRPr="00FE61CD" w:rsidRDefault="00E329F7" w:rsidP="00AE1C26">
            <w:pPr>
              <w:jc w:val="right"/>
              <w:rPr>
                <w:rFonts w:cs="Calibri"/>
                <w:lang w:eastAsia="en-GB"/>
              </w:rPr>
            </w:pPr>
            <w:r w:rsidRPr="00FE61CD">
              <w:rPr>
                <w:rFonts w:cs="Calibri"/>
                <w:lang w:eastAsia="en-GB"/>
              </w:rPr>
              <w:t>(0.4)</w:t>
            </w:r>
          </w:p>
        </w:tc>
        <w:tc>
          <w:tcPr>
            <w:tcW w:w="1330" w:type="dxa"/>
            <w:gridSpan w:val="2"/>
            <w:tcBorders>
              <w:top w:val="nil"/>
              <w:left w:val="nil"/>
              <w:bottom w:val="nil"/>
              <w:right w:val="nil"/>
            </w:tcBorders>
            <w:shd w:val="clear" w:color="000000" w:fill="FFFFFF"/>
            <w:noWrap/>
            <w:vAlign w:val="bottom"/>
            <w:hideMark/>
          </w:tcPr>
          <w:p w:rsidR="00E329F7" w:rsidRPr="00FE61CD" w:rsidRDefault="00E329F7" w:rsidP="00AE1C26">
            <w:pPr>
              <w:jc w:val="right"/>
              <w:rPr>
                <w:rFonts w:cs="Calibri"/>
                <w:lang w:eastAsia="en-GB"/>
              </w:rPr>
            </w:pPr>
            <w:r w:rsidRPr="00FE61CD">
              <w:rPr>
                <w:rFonts w:cs="Calibri"/>
                <w:lang w:eastAsia="en-GB"/>
              </w:rPr>
              <w:t>0.0</w:t>
            </w:r>
          </w:p>
        </w:tc>
        <w:tc>
          <w:tcPr>
            <w:tcW w:w="1531" w:type="dxa"/>
            <w:gridSpan w:val="2"/>
            <w:tcBorders>
              <w:top w:val="nil"/>
              <w:left w:val="nil"/>
              <w:bottom w:val="nil"/>
              <w:right w:val="nil"/>
            </w:tcBorders>
            <w:shd w:val="clear" w:color="000000" w:fill="FFFFFF"/>
            <w:noWrap/>
            <w:vAlign w:val="bottom"/>
            <w:hideMark/>
          </w:tcPr>
          <w:p w:rsidR="00E329F7" w:rsidRPr="00FE61CD" w:rsidRDefault="00E329F7" w:rsidP="00AE1C26">
            <w:pPr>
              <w:jc w:val="right"/>
              <w:rPr>
                <w:rFonts w:cs="Calibri"/>
                <w:lang w:eastAsia="en-GB"/>
              </w:rPr>
            </w:pPr>
            <w:r w:rsidRPr="00FE61CD">
              <w:rPr>
                <w:rFonts w:cs="Calibri"/>
                <w:lang w:eastAsia="en-GB"/>
              </w:rPr>
              <w:t>0.0</w:t>
            </w:r>
          </w:p>
        </w:tc>
        <w:tc>
          <w:tcPr>
            <w:tcW w:w="1416" w:type="dxa"/>
            <w:gridSpan w:val="2"/>
            <w:tcBorders>
              <w:top w:val="nil"/>
              <w:left w:val="nil"/>
              <w:bottom w:val="nil"/>
              <w:right w:val="nil"/>
            </w:tcBorders>
            <w:shd w:val="clear" w:color="000000" w:fill="FFFFFF"/>
            <w:noWrap/>
            <w:vAlign w:val="bottom"/>
            <w:hideMark/>
          </w:tcPr>
          <w:p w:rsidR="00E329F7" w:rsidRPr="00FE61CD" w:rsidRDefault="00E329F7" w:rsidP="00AE1C26">
            <w:pPr>
              <w:jc w:val="right"/>
              <w:rPr>
                <w:rFonts w:cs="Calibri"/>
                <w:lang w:eastAsia="en-GB"/>
              </w:rPr>
            </w:pPr>
            <w:r w:rsidRPr="00FE61CD">
              <w:rPr>
                <w:rFonts w:cs="Calibri"/>
                <w:lang w:eastAsia="en-GB"/>
              </w:rPr>
              <w:t>(0.4)</w:t>
            </w:r>
          </w:p>
        </w:tc>
      </w:tr>
      <w:tr w:rsidR="00E329F7" w:rsidRPr="00FE61CD" w:rsidTr="00AE1C26">
        <w:trPr>
          <w:gridAfter w:val="1"/>
          <w:wAfter w:w="80" w:type="dxa"/>
          <w:trHeight w:val="299"/>
        </w:trPr>
        <w:tc>
          <w:tcPr>
            <w:tcW w:w="2996" w:type="dxa"/>
            <w:tcBorders>
              <w:top w:val="nil"/>
              <w:left w:val="nil"/>
              <w:bottom w:val="nil"/>
              <w:right w:val="nil"/>
            </w:tcBorders>
            <w:shd w:val="clear" w:color="000000" w:fill="FFFFFF"/>
            <w:noWrap/>
            <w:vAlign w:val="bottom"/>
            <w:hideMark/>
          </w:tcPr>
          <w:p w:rsidR="00E329F7" w:rsidRPr="00FE61CD" w:rsidRDefault="00E329F7" w:rsidP="00AE1C26">
            <w:pPr>
              <w:rPr>
                <w:rFonts w:cs="Calibri"/>
                <w:b/>
                <w:bCs/>
                <w:color w:val="000000"/>
                <w:lang w:eastAsia="en-GB"/>
              </w:rPr>
            </w:pPr>
            <w:r w:rsidRPr="00FE61CD">
              <w:rPr>
                <w:rFonts w:cs="Calibri"/>
                <w:b/>
                <w:bCs/>
                <w:color w:val="000000"/>
                <w:lang w:eastAsia="en-GB"/>
              </w:rPr>
              <w:t>Total Financial liabilities</w:t>
            </w:r>
          </w:p>
        </w:tc>
        <w:tc>
          <w:tcPr>
            <w:tcW w:w="1087" w:type="dxa"/>
            <w:tcBorders>
              <w:top w:val="single" w:sz="4" w:space="0" w:color="auto"/>
              <w:left w:val="nil"/>
              <w:bottom w:val="single" w:sz="4" w:space="0" w:color="auto"/>
              <w:right w:val="nil"/>
            </w:tcBorders>
            <w:shd w:val="clear" w:color="000000" w:fill="FFFFFF"/>
            <w:noWrap/>
            <w:vAlign w:val="bottom"/>
            <w:hideMark/>
          </w:tcPr>
          <w:p w:rsidR="00E329F7" w:rsidRPr="00FE61CD" w:rsidRDefault="00E329F7" w:rsidP="00AE1C26">
            <w:pPr>
              <w:jc w:val="right"/>
              <w:rPr>
                <w:rFonts w:cs="Calibri"/>
                <w:b/>
                <w:bCs/>
                <w:lang w:eastAsia="en-GB"/>
              </w:rPr>
            </w:pPr>
            <w:r w:rsidRPr="00FE61CD">
              <w:rPr>
                <w:rFonts w:cs="Calibri"/>
                <w:b/>
                <w:bCs/>
                <w:lang w:eastAsia="en-GB"/>
              </w:rPr>
              <w:t>(0.4)</w:t>
            </w:r>
          </w:p>
        </w:tc>
        <w:tc>
          <w:tcPr>
            <w:tcW w:w="1330" w:type="dxa"/>
            <w:gridSpan w:val="2"/>
            <w:tcBorders>
              <w:top w:val="single" w:sz="4" w:space="0" w:color="auto"/>
              <w:left w:val="nil"/>
              <w:bottom w:val="single" w:sz="4" w:space="0" w:color="auto"/>
              <w:right w:val="nil"/>
            </w:tcBorders>
            <w:shd w:val="clear" w:color="000000" w:fill="FFFFFF"/>
            <w:noWrap/>
            <w:vAlign w:val="bottom"/>
            <w:hideMark/>
          </w:tcPr>
          <w:p w:rsidR="00E329F7" w:rsidRPr="00FE61CD" w:rsidRDefault="00E329F7" w:rsidP="00AE1C26">
            <w:pPr>
              <w:jc w:val="right"/>
              <w:rPr>
                <w:rFonts w:cs="Calibri"/>
                <w:b/>
                <w:bCs/>
                <w:lang w:eastAsia="en-GB"/>
              </w:rPr>
            </w:pPr>
            <w:r w:rsidRPr="00FE61CD">
              <w:rPr>
                <w:rFonts w:cs="Calibri"/>
                <w:b/>
                <w:bCs/>
                <w:lang w:eastAsia="en-GB"/>
              </w:rPr>
              <w:t>0.0</w:t>
            </w:r>
          </w:p>
        </w:tc>
        <w:tc>
          <w:tcPr>
            <w:tcW w:w="1531" w:type="dxa"/>
            <w:gridSpan w:val="2"/>
            <w:tcBorders>
              <w:top w:val="single" w:sz="4" w:space="0" w:color="auto"/>
              <w:left w:val="nil"/>
              <w:bottom w:val="single" w:sz="4" w:space="0" w:color="auto"/>
              <w:right w:val="nil"/>
            </w:tcBorders>
            <w:shd w:val="clear" w:color="000000" w:fill="FFFFFF"/>
            <w:noWrap/>
            <w:vAlign w:val="bottom"/>
            <w:hideMark/>
          </w:tcPr>
          <w:p w:rsidR="00E329F7" w:rsidRPr="00FE61CD" w:rsidRDefault="00E329F7" w:rsidP="00AE1C26">
            <w:pPr>
              <w:jc w:val="right"/>
              <w:rPr>
                <w:rFonts w:cs="Calibri"/>
                <w:b/>
                <w:bCs/>
                <w:lang w:eastAsia="en-GB"/>
              </w:rPr>
            </w:pPr>
            <w:r w:rsidRPr="00FE61CD">
              <w:rPr>
                <w:rFonts w:cs="Calibri"/>
                <w:b/>
                <w:bCs/>
                <w:lang w:eastAsia="en-GB"/>
              </w:rPr>
              <w:t>0.0</w:t>
            </w:r>
          </w:p>
        </w:tc>
        <w:tc>
          <w:tcPr>
            <w:tcW w:w="1416" w:type="dxa"/>
            <w:gridSpan w:val="2"/>
            <w:tcBorders>
              <w:top w:val="single" w:sz="4" w:space="0" w:color="auto"/>
              <w:left w:val="nil"/>
              <w:bottom w:val="single" w:sz="4" w:space="0" w:color="auto"/>
              <w:right w:val="nil"/>
            </w:tcBorders>
            <w:shd w:val="clear" w:color="000000" w:fill="FFFFFF"/>
            <w:noWrap/>
            <w:vAlign w:val="bottom"/>
            <w:hideMark/>
          </w:tcPr>
          <w:p w:rsidR="00E329F7" w:rsidRPr="00FE61CD" w:rsidRDefault="00E329F7" w:rsidP="00AE1C26">
            <w:pPr>
              <w:jc w:val="right"/>
              <w:rPr>
                <w:rFonts w:cs="Calibri"/>
                <w:b/>
                <w:bCs/>
                <w:lang w:eastAsia="en-GB"/>
              </w:rPr>
            </w:pPr>
            <w:r w:rsidRPr="00FE61CD">
              <w:rPr>
                <w:rFonts w:cs="Calibri"/>
                <w:b/>
                <w:bCs/>
                <w:lang w:eastAsia="en-GB"/>
              </w:rPr>
              <w:t>(0.4)</w:t>
            </w:r>
          </w:p>
        </w:tc>
      </w:tr>
      <w:tr w:rsidR="00E329F7" w:rsidRPr="00FE61CD" w:rsidTr="00AE1C26">
        <w:trPr>
          <w:gridAfter w:val="1"/>
          <w:wAfter w:w="80" w:type="dxa"/>
          <w:trHeight w:val="299"/>
        </w:trPr>
        <w:tc>
          <w:tcPr>
            <w:tcW w:w="2996" w:type="dxa"/>
            <w:tcBorders>
              <w:top w:val="nil"/>
              <w:left w:val="nil"/>
              <w:bottom w:val="nil"/>
              <w:right w:val="nil"/>
            </w:tcBorders>
            <w:shd w:val="clear" w:color="000000" w:fill="FFFFFF"/>
            <w:noWrap/>
            <w:vAlign w:val="bottom"/>
            <w:hideMark/>
          </w:tcPr>
          <w:p w:rsidR="00E329F7" w:rsidRPr="00FE61CD" w:rsidRDefault="00E329F7" w:rsidP="00AE1C26">
            <w:pPr>
              <w:rPr>
                <w:rFonts w:cs="Calibri"/>
                <w:color w:val="000000"/>
                <w:lang w:eastAsia="en-GB"/>
              </w:rPr>
            </w:pPr>
            <w:r w:rsidRPr="00FE61CD">
              <w:rPr>
                <w:rFonts w:cs="Calibri"/>
                <w:color w:val="000000"/>
                <w:lang w:eastAsia="en-GB"/>
              </w:rPr>
              <w:t> </w:t>
            </w:r>
          </w:p>
        </w:tc>
        <w:tc>
          <w:tcPr>
            <w:tcW w:w="1087" w:type="dxa"/>
            <w:tcBorders>
              <w:top w:val="nil"/>
              <w:left w:val="nil"/>
              <w:bottom w:val="nil"/>
              <w:right w:val="nil"/>
            </w:tcBorders>
            <w:shd w:val="clear" w:color="000000" w:fill="FFFFFF"/>
            <w:noWrap/>
            <w:vAlign w:val="bottom"/>
            <w:hideMark/>
          </w:tcPr>
          <w:p w:rsidR="00E329F7" w:rsidRPr="00FE61CD" w:rsidRDefault="00E329F7" w:rsidP="00AE1C26">
            <w:pPr>
              <w:rPr>
                <w:rFonts w:cs="Calibri"/>
                <w:lang w:eastAsia="en-GB"/>
              </w:rPr>
            </w:pPr>
            <w:r w:rsidRPr="00FE61CD">
              <w:rPr>
                <w:rFonts w:cs="Calibri"/>
                <w:lang w:eastAsia="en-GB"/>
              </w:rPr>
              <w:t> </w:t>
            </w:r>
          </w:p>
        </w:tc>
        <w:tc>
          <w:tcPr>
            <w:tcW w:w="1330" w:type="dxa"/>
            <w:gridSpan w:val="2"/>
            <w:tcBorders>
              <w:top w:val="nil"/>
              <w:left w:val="nil"/>
              <w:bottom w:val="nil"/>
              <w:right w:val="nil"/>
            </w:tcBorders>
            <w:shd w:val="clear" w:color="000000" w:fill="FFFFFF"/>
            <w:noWrap/>
            <w:vAlign w:val="bottom"/>
            <w:hideMark/>
          </w:tcPr>
          <w:p w:rsidR="00E329F7" w:rsidRPr="00FE61CD" w:rsidRDefault="00E329F7" w:rsidP="00AE1C26">
            <w:pPr>
              <w:rPr>
                <w:rFonts w:cs="Calibri"/>
                <w:lang w:eastAsia="en-GB"/>
              </w:rPr>
            </w:pPr>
            <w:r w:rsidRPr="00FE61CD">
              <w:rPr>
                <w:rFonts w:cs="Calibri"/>
                <w:lang w:eastAsia="en-GB"/>
              </w:rPr>
              <w:t> </w:t>
            </w:r>
          </w:p>
        </w:tc>
        <w:tc>
          <w:tcPr>
            <w:tcW w:w="1531" w:type="dxa"/>
            <w:gridSpan w:val="2"/>
            <w:tcBorders>
              <w:top w:val="nil"/>
              <w:left w:val="nil"/>
              <w:bottom w:val="nil"/>
              <w:right w:val="nil"/>
            </w:tcBorders>
            <w:shd w:val="clear" w:color="000000" w:fill="FFFFFF"/>
            <w:noWrap/>
            <w:vAlign w:val="bottom"/>
            <w:hideMark/>
          </w:tcPr>
          <w:p w:rsidR="00E329F7" w:rsidRPr="00FE61CD" w:rsidRDefault="00E329F7" w:rsidP="00AE1C26">
            <w:pPr>
              <w:rPr>
                <w:rFonts w:cs="Calibri"/>
                <w:lang w:eastAsia="en-GB"/>
              </w:rPr>
            </w:pPr>
            <w:r w:rsidRPr="00FE61CD">
              <w:rPr>
                <w:rFonts w:cs="Calibri"/>
                <w:lang w:eastAsia="en-GB"/>
              </w:rPr>
              <w:t> </w:t>
            </w:r>
          </w:p>
        </w:tc>
        <w:tc>
          <w:tcPr>
            <w:tcW w:w="1416" w:type="dxa"/>
            <w:gridSpan w:val="2"/>
            <w:tcBorders>
              <w:top w:val="nil"/>
              <w:left w:val="nil"/>
              <w:bottom w:val="nil"/>
              <w:right w:val="nil"/>
            </w:tcBorders>
            <w:shd w:val="clear" w:color="000000" w:fill="FFFFFF"/>
            <w:noWrap/>
            <w:vAlign w:val="bottom"/>
            <w:hideMark/>
          </w:tcPr>
          <w:p w:rsidR="00E329F7" w:rsidRPr="00FE61CD" w:rsidRDefault="00E329F7" w:rsidP="00AE1C26">
            <w:pPr>
              <w:rPr>
                <w:rFonts w:cs="Calibri"/>
                <w:lang w:eastAsia="en-GB"/>
              </w:rPr>
            </w:pPr>
            <w:r w:rsidRPr="00FE61CD">
              <w:rPr>
                <w:rFonts w:cs="Calibri"/>
                <w:lang w:eastAsia="en-GB"/>
              </w:rPr>
              <w:t> </w:t>
            </w:r>
          </w:p>
        </w:tc>
      </w:tr>
      <w:tr w:rsidR="00E329F7" w:rsidRPr="00FE61CD" w:rsidTr="00AE1C26">
        <w:trPr>
          <w:gridAfter w:val="1"/>
          <w:wAfter w:w="80" w:type="dxa"/>
          <w:trHeight w:val="299"/>
        </w:trPr>
        <w:tc>
          <w:tcPr>
            <w:tcW w:w="2996" w:type="dxa"/>
            <w:tcBorders>
              <w:top w:val="nil"/>
              <w:left w:val="nil"/>
              <w:bottom w:val="nil"/>
              <w:right w:val="nil"/>
            </w:tcBorders>
            <w:shd w:val="clear" w:color="000000" w:fill="FFFFFF"/>
            <w:noWrap/>
            <w:vAlign w:val="bottom"/>
            <w:hideMark/>
          </w:tcPr>
          <w:p w:rsidR="00E329F7" w:rsidRPr="00FE61CD" w:rsidRDefault="00E329F7" w:rsidP="00AE1C26">
            <w:pPr>
              <w:rPr>
                <w:rFonts w:cs="Calibri"/>
                <w:b/>
                <w:bCs/>
                <w:color w:val="000000"/>
                <w:lang w:eastAsia="en-GB"/>
              </w:rPr>
            </w:pPr>
            <w:r w:rsidRPr="00FE61CD">
              <w:rPr>
                <w:rFonts w:cs="Calibri"/>
                <w:b/>
                <w:bCs/>
                <w:color w:val="000000"/>
                <w:lang w:eastAsia="en-GB"/>
              </w:rPr>
              <w:t>Net Financial assets</w:t>
            </w:r>
          </w:p>
        </w:tc>
        <w:tc>
          <w:tcPr>
            <w:tcW w:w="1087" w:type="dxa"/>
            <w:tcBorders>
              <w:top w:val="single" w:sz="4" w:space="0" w:color="auto"/>
              <w:left w:val="nil"/>
              <w:bottom w:val="double" w:sz="6" w:space="0" w:color="auto"/>
              <w:right w:val="nil"/>
            </w:tcBorders>
            <w:shd w:val="clear" w:color="000000" w:fill="FFFFFF"/>
            <w:noWrap/>
            <w:vAlign w:val="bottom"/>
            <w:hideMark/>
          </w:tcPr>
          <w:p w:rsidR="00E329F7" w:rsidRPr="00FE61CD" w:rsidRDefault="00E329F7" w:rsidP="00AE1C26">
            <w:pPr>
              <w:jc w:val="right"/>
              <w:rPr>
                <w:rFonts w:cs="Calibri"/>
                <w:b/>
                <w:bCs/>
                <w:lang w:eastAsia="en-GB"/>
              </w:rPr>
            </w:pPr>
            <w:r w:rsidRPr="00FE61CD">
              <w:rPr>
                <w:rFonts w:cs="Calibri"/>
                <w:b/>
                <w:bCs/>
                <w:lang w:eastAsia="en-GB"/>
              </w:rPr>
              <w:t>53.5</w:t>
            </w:r>
          </w:p>
        </w:tc>
        <w:tc>
          <w:tcPr>
            <w:tcW w:w="1330" w:type="dxa"/>
            <w:gridSpan w:val="2"/>
            <w:tcBorders>
              <w:top w:val="single" w:sz="4" w:space="0" w:color="auto"/>
              <w:left w:val="nil"/>
              <w:bottom w:val="double" w:sz="6" w:space="0" w:color="auto"/>
              <w:right w:val="nil"/>
            </w:tcBorders>
            <w:shd w:val="clear" w:color="000000" w:fill="FFFFFF"/>
            <w:noWrap/>
            <w:vAlign w:val="bottom"/>
            <w:hideMark/>
          </w:tcPr>
          <w:p w:rsidR="00E329F7" w:rsidRPr="00FE61CD" w:rsidRDefault="00E329F7" w:rsidP="00AE1C26">
            <w:pPr>
              <w:jc w:val="right"/>
              <w:rPr>
                <w:rFonts w:cs="Calibri"/>
                <w:b/>
                <w:bCs/>
                <w:lang w:eastAsia="en-GB"/>
              </w:rPr>
            </w:pPr>
            <w:r w:rsidRPr="00FE61CD">
              <w:rPr>
                <w:rFonts w:cs="Calibri"/>
                <w:b/>
                <w:bCs/>
                <w:lang w:eastAsia="en-GB"/>
              </w:rPr>
              <w:t>697.1</w:t>
            </w:r>
          </w:p>
        </w:tc>
        <w:tc>
          <w:tcPr>
            <w:tcW w:w="1531" w:type="dxa"/>
            <w:gridSpan w:val="2"/>
            <w:tcBorders>
              <w:top w:val="single" w:sz="4" w:space="0" w:color="auto"/>
              <w:left w:val="nil"/>
              <w:bottom w:val="double" w:sz="6" w:space="0" w:color="auto"/>
              <w:right w:val="nil"/>
            </w:tcBorders>
            <w:shd w:val="clear" w:color="000000" w:fill="FFFFFF"/>
            <w:noWrap/>
            <w:vAlign w:val="bottom"/>
            <w:hideMark/>
          </w:tcPr>
          <w:p w:rsidR="00E329F7" w:rsidRPr="00FE61CD" w:rsidRDefault="00E329F7" w:rsidP="00AE1C26">
            <w:pPr>
              <w:jc w:val="right"/>
              <w:rPr>
                <w:rFonts w:cs="Calibri"/>
                <w:b/>
                <w:bCs/>
                <w:lang w:eastAsia="en-GB"/>
              </w:rPr>
            </w:pPr>
            <w:r w:rsidRPr="00FE61CD">
              <w:rPr>
                <w:rFonts w:cs="Calibri"/>
                <w:b/>
                <w:bCs/>
                <w:lang w:eastAsia="en-GB"/>
              </w:rPr>
              <w:t>84.3</w:t>
            </w:r>
          </w:p>
        </w:tc>
        <w:tc>
          <w:tcPr>
            <w:tcW w:w="1416" w:type="dxa"/>
            <w:gridSpan w:val="2"/>
            <w:tcBorders>
              <w:top w:val="single" w:sz="4" w:space="0" w:color="auto"/>
              <w:left w:val="nil"/>
              <w:bottom w:val="double" w:sz="6" w:space="0" w:color="auto"/>
              <w:right w:val="nil"/>
            </w:tcBorders>
            <w:shd w:val="clear" w:color="000000" w:fill="FFFFFF"/>
            <w:noWrap/>
            <w:vAlign w:val="bottom"/>
            <w:hideMark/>
          </w:tcPr>
          <w:p w:rsidR="00E329F7" w:rsidRPr="00FE61CD" w:rsidRDefault="00E329F7" w:rsidP="00AE1C26">
            <w:pPr>
              <w:jc w:val="right"/>
              <w:rPr>
                <w:rFonts w:cs="Calibri"/>
                <w:b/>
                <w:bCs/>
                <w:lang w:eastAsia="en-GB"/>
              </w:rPr>
            </w:pPr>
            <w:r w:rsidRPr="00FE61CD">
              <w:rPr>
                <w:rFonts w:cs="Calibri"/>
                <w:b/>
                <w:bCs/>
                <w:lang w:eastAsia="en-GB"/>
              </w:rPr>
              <w:t>834.9</w:t>
            </w:r>
          </w:p>
        </w:tc>
      </w:tr>
    </w:tbl>
    <w:p w:rsidR="00E329F7" w:rsidRDefault="00F72906" w:rsidP="00E329F7">
      <w:r>
        <w:t> </w:t>
      </w:r>
      <w:r>
        <w:t xml:space="preserve"> </w:t>
      </w:r>
    </w:p>
    <w:tbl>
      <w:tblPr>
        <w:tblW w:w="8440" w:type="dxa"/>
        <w:tblLook w:val="04A0" w:firstRow="1" w:lastRow="0" w:firstColumn="1" w:lastColumn="0" w:noHBand="0" w:noVBand="1"/>
      </w:tblPr>
      <w:tblGrid>
        <w:gridCol w:w="2996"/>
        <w:gridCol w:w="1087"/>
        <w:gridCol w:w="29"/>
        <w:gridCol w:w="1301"/>
        <w:gridCol w:w="55"/>
        <w:gridCol w:w="1476"/>
        <w:gridCol w:w="80"/>
        <w:gridCol w:w="1336"/>
        <w:gridCol w:w="80"/>
      </w:tblGrid>
      <w:tr w:rsidR="00E329F7" w:rsidRPr="00FE61CD" w:rsidTr="00AE1C26">
        <w:trPr>
          <w:gridAfter w:val="1"/>
          <w:wAfter w:w="80" w:type="dxa"/>
          <w:trHeight w:val="299"/>
        </w:trPr>
        <w:tc>
          <w:tcPr>
            <w:tcW w:w="2996" w:type="dxa"/>
            <w:tcBorders>
              <w:top w:val="nil"/>
              <w:left w:val="nil"/>
              <w:bottom w:val="nil"/>
              <w:right w:val="nil"/>
            </w:tcBorders>
            <w:shd w:val="clear" w:color="000000" w:fill="FFFFFF"/>
            <w:noWrap/>
            <w:vAlign w:val="bottom"/>
            <w:hideMark/>
          </w:tcPr>
          <w:p w:rsidR="00E329F7" w:rsidRPr="00FE61CD" w:rsidRDefault="00E329F7" w:rsidP="00AE1C26">
            <w:pPr>
              <w:rPr>
                <w:rFonts w:cs="Calibri"/>
                <w:color w:val="000000"/>
                <w:lang w:eastAsia="en-GB"/>
              </w:rPr>
            </w:pPr>
            <w:r w:rsidRPr="00FE61CD">
              <w:rPr>
                <w:rFonts w:cs="Calibri"/>
                <w:color w:val="000000"/>
                <w:lang w:eastAsia="en-GB"/>
              </w:rPr>
              <w:t> </w:t>
            </w:r>
          </w:p>
        </w:tc>
        <w:tc>
          <w:tcPr>
            <w:tcW w:w="1087" w:type="dxa"/>
            <w:tcBorders>
              <w:top w:val="nil"/>
              <w:left w:val="nil"/>
              <w:bottom w:val="nil"/>
              <w:right w:val="nil"/>
            </w:tcBorders>
            <w:shd w:val="clear" w:color="000000" w:fill="FFFFFF"/>
            <w:noWrap/>
            <w:vAlign w:val="bottom"/>
            <w:hideMark/>
          </w:tcPr>
          <w:p w:rsidR="00E329F7" w:rsidRPr="00FE61CD" w:rsidRDefault="00E329F7" w:rsidP="00AE1C26">
            <w:pPr>
              <w:rPr>
                <w:rFonts w:cs="Calibri"/>
                <w:lang w:eastAsia="en-GB"/>
              </w:rPr>
            </w:pPr>
            <w:r w:rsidRPr="00FE61CD">
              <w:rPr>
                <w:rFonts w:cs="Calibri"/>
                <w:lang w:eastAsia="en-GB"/>
              </w:rPr>
              <w:t> </w:t>
            </w:r>
          </w:p>
        </w:tc>
        <w:tc>
          <w:tcPr>
            <w:tcW w:w="1330" w:type="dxa"/>
            <w:gridSpan w:val="2"/>
            <w:tcBorders>
              <w:top w:val="nil"/>
              <w:left w:val="nil"/>
              <w:bottom w:val="nil"/>
              <w:right w:val="nil"/>
            </w:tcBorders>
            <w:shd w:val="clear" w:color="000000" w:fill="FFFFFF"/>
            <w:noWrap/>
            <w:vAlign w:val="bottom"/>
            <w:hideMark/>
          </w:tcPr>
          <w:p w:rsidR="00E329F7" w:rsidRPr="00FE61CD" w:rsidRDefault="00E329F7" w:rsidP="00AE1C26">
            <w:pPr>
              <w:rPr>
                <w:rFonts w:cs="Calibri"/>
                <w:lang w:eastAsia="en-GB"/>
              </w:rPr>
            </w:pPr>
            <w:r w:rsidRPr="00FE61CD">
              <w:rPr>
                <w:rFonts w:cs="Calibri"/>
                <w:lang w:eastAsia="en-GB"/>
              </w:rPr>
              <w:t> </w:t>
            </w:r>
          </w:p>
        </w:tc>
        <w:tc>
          <w:tcPr>
            <w:tcW w:w="1531" w:type="dxa"/>
            <w:gridSpan w:val="2"/>
            <w:tcBorders>
              <w:top w:val="nil"/>
              <w:left w:val="nil"/>
              <w:bottom w:val="nil"/>
              <w:right w:val="nil"/>
            </w:tcBorders>
            <w:shd w:val="clear" w:color="000000" w:fill="FFFFFF"/>
            <w:noWrap/>
            <w:vAlign w:val="bottom"/>
            <w:hideMark/>
          </w:tcPr>
          <w:p w:rsidR="00E329F7" w:rsidRPr="00FE61CD" w:rsidRDefault="00E329F7" w:rsidP="00AE1C26">
            <w:pPr>
              <w:rPr>
                <w:rFonts w:cs="Calibri"/>
                <w:lang w:eastAsia="en-GB"/>
              </w:rPr>
            </w:pPr>
            <w:r w:rsidRPr="00FE61CD">
              <w:rPr>
                <w:rFonts w:cs="Calibri"/>
                <w:lang w:eastAsia="en-GB"/>
              </w:rPr>
              <w:t> </w:t>
            </w:r>
          </w:p>
        </w:tc>
        <w:tc>
          <w:tcPr>
            <w:tcW w:w="1416" w:type="dxa"/>
            <w:gridSpan w:val="2"/>
            <w:tcBorders>
              <w:top w:val="nil"/>
              <w:left w:val="nil"/>
              <w:bottom w:val="nil"/>
              <w:right w:val="nil"/>
            </w:tcBorders>
            <w:shd w:val="clear" w:color="000000" w:fill="FFFFFF"/>
            <w:noWrap/>
            <w:vAlign w:val="bottom"/>
            <w:hideMark/>
          </w:tcPr>
          <w:p w:rsidR="00E329F7" w:rsidRPr="00FE61CD" w:rsidRDefault="00E329F7" w:rsidP="00AE1C26">
            <w:pPr>
              <w:rPr>
                <w:rFonts w:cs="Calibri"/>
                <w:lang w:eastAsia="en-GB"/>
              </w:rPr>
            </w:pPr>
            <w:r w:rsidRPr="00FE61CD">
              <w:rPr>
                <w:rFonts w:cs="Calibri"/>
                <w:lang w:eastAsia="en-GB"/>
              </w:rPr>
              <w:t> </w:t>
            </w:r>
          </w:p>
        </w:tc>
      </w:tr>
      <w:tr w:rsidR="00E329F7" w:rsidRPr="00FE61CD" w:rsidTr="00AE1C26">
        <w:trPr>
          <w:gridAfter w:val="1"/>
          <w:wAfter w:w="80" w:type="dxa"/>
          <w:trHeight w:val="299"/>
        </w:trPr>
        <w:tc>
          <w:tcPr>
            <w:tcW w:w="2996" w:type="dxa"/>
            <w:tcBorders>
              <w:top w:val="nil"/>
              <w:left w:val="nil"/>
              <w:bottom w:val="nil"/>
              <w:right w:val="nil"/>
            </w:tcBorders>
            <w:shd w:val="clear" w:color="000000" w:fill="FFFFFF"/>
            <w:noWrap/>
            <w:vAlign w:val="bottom"/>
            <w:hideMark/>
          </w:tcPr>
          <w:p w:rsidR="00E329F7" w:rsidRPr="00FE61CD" w:rsidRDefault="00E329F7" w:rsidP="00AE1C26">
            <w:pPr>
              <w:rPr>
                <w:rFonts w:cs="Calibri"/>
                <w:color w:val="000000"/>
                <w:lang w:eastAsia="en-GB"/>
              </w:rPr>
            </w:pPr>
            <w:r w:rsidRPr="00FE61CD">
              <w:rPr>
                <w:rFonts w:cs="Calibri"/>
                <w:color w:val="000000"/>
                <w:lang w:eastAsia="en-GB"/>
              </w:rPr>
              <w:t> </w:t>
            </w:r>
          </w:p>
        </w:tc>
        <w:tc>
          <w:tcPr>
            <w:tcW w:w="1087" w:type="dxa"/>
            <w:tcBorders>
              <w:top w:val="nil"/>
              <w:left w:val="nil"/>
              <w:bottom w:val="nil"/>
              <w:right w:val="nil"/>
            </w:tcBorders>
            <w:shd w:val="clear" w:color="000000" w:fill="FFFFFF"/>
            <w:noWrap/>
            <w:vAlign w:val="bottom"/>
            <w:hideMark/>
          </w:tcPr>
          <w:p w:rsidR="00E329F7" w:rsidRPr="00FE61CD" w:rsidRDefault="00E329F7" w:rsidP="00AE1C26">
            <w:pPr>
              <w:rPr>
                <w:rFonts w:cs="Calibri"/>
                <w:color w:val="000000"/>
                <w:lang w:eastAsia="en-GB"/>
              </w:rPr>
            </w:pPr>
            <w:r w:rsidRPr="00FE61CD">
              <w:rPr>
                <w:rFonts w:cs="Calibri"/>
                <w:color w:val="000000"/>
                <w:lang w:eastAsia="en-GB"/>
              </w:rPr>
              <w:t> </w:t>
            </w:r>
          </w:p>
        </w:tc>
        <w:tc>
          <w:tcPr>
            <w:tcW w:w="1330" w:type="dxa"/>
            <w:gridSpan w:val="2"/>
            <w:tcBorders>
              <w:top w:val="nil"/>
              <w:left w:val="nil"/>
              <w:bottom w:val="nil"/>
              <w:right w:val="nil"/>
            </w:tcBorders>
            <w:shd w:val="clear" w:color="000000" w:fill="FFFFFF"/>
            <w:noWrap/>
            <w:vAlign w:val="bottom"/>
            <w:hideMark/>
          </w:tcPr>
          <w:p w:rsidR="00E329F7" w:rsidRPr="00FE61CD" w:rsidRDefault="00E329F7" w:rsidP="00AE1C26">
            <w:pPr>
              <w:rPr>
                <w:rFonts w:cs="Calibri"/>
                <w:color w:val="000000"/>
                <w:lang w:eastAsia="en-GB"/>
              </w:rPr>
            </w:pPr>
            <w:r w:rsidRPr="00FE61CD">
              <w:rPr>
                <w:rFonts w:cs="Calibri"/>
                <w:color w:val="000000"/>
                <w:lang w:eastAsia="en-GB"/>
              </w:rPr>
              <w:t> </w:t>
            </w:r>
          </w:p>
        </w:tc>
        <w:tc>
          <w:tcPr>
            <w:tcW w:w="1531" w:type="dxa"/>
            <w:gridSpan w:val="2"/>
            <w:tcBorders>
              <w:top w:val="nil"/>
              <w:left w:val="nil"/>
              <w:bottom w:val="nil"/>
              <w:right w:val="nil"/>
            </w:tcBorders>
            <w:shd w:val="clear" w:color="000000" w:fill="FFFFFF"/>
            <w:noWrap/>
            <w:vAlign w:val="bottom"/>
            <w:hideMark/>
          </w:tcPr>
          <w:p w:rsidR="00E329F7" w:rsidRPr="00FE61CD" w:rsidRDefault="00E329F7" w:rsidP="00AE1C26">
            <w:pPr>
              <w:rPr>
                <w:rFonts w:cs="Calibri"/>
                <w:color w:val="000000"/>
                <w:lang w:eastAsia="en-GB"/>
              </w:rPr>
            </w:pPr>
            <w:r w:rsidRPr="00FE61CD">
              <w:rPr>
                <w:rFonts w:cs="Calibri"/>
                <w:color w:val="000000"/>
                <w:lang w:eastAsia="en-GB"/>
              </w:rPr>
              <w:t> </w:t>
            </w:r>
          </w:p>
        </w:tc>
        <w:tc>
          <w:tcPr>
            <w:tcW w:w="1416" w:type="dxa"/>
            <w:gridSpan w:val="2"/>
            <w:tcBorders>
              <w:top w:val="nil"/>
              <w:left w:val="nil"/>
              <w:bottom w:val="nil"/>
              <w:right w:val="nil"/>
            </w:tcBorders>
            <w:shd w:val="clear" w:color="000000" w:fill="FFFFFF"/>
            <w:noWrap/>
            <w:vAlign w:val="bottom"/>
            <w:hideMark/>
          </w:tcPr>
          <w:p w:rsidR="00E329F7" w:rsidRPr="00FE61CD" w:rsidRDefault="00E329F7" w:rsidP="00AE1C26">
            <w:pPr>
              <w:rPr>
                <w:rFonts w:cs="Calibri"/>
                <w:color w:val="000000"/>
                <w:lang w:eastAsia="en-GB"/>
              </w:rPr>
            </w:pPr>
            <w:r w:rsidRPr="00FE61CD">
              <w:rPr>
                <w:rFonts w:cs="Calibri"/>
                <w:color w:val="000000"/>
                <w:lang w:eastAsia="en-GB"/>
              </w:rPr>
              <w:t> </w:t>
            </w:r>
          </w:p>
        </w:tc>
      </w:tr>
      <w:tr w:rsidR="00E329F7" w:rsidRPr="00FE61CD" w:rsidTr="00AE1C26">
        <w:trPr>
          <w:gridAfter w:val="1"/>
          <w:wAfter w:w="80" w:type="dxa"/>
          <w:trHeight w:val="1155"/>
        </w:trPr>
        <w:tc>
          <w:tcPr>
            <w:tcW w:w="2996" w:type="dxa"/>
            <w:tcBorders>
              <w:top w:val="nil"/>
              <w:left w:val="nil"/>
              <w:bottom w:val="nil"/>
              <w:right w:val="nil"/>
            </w:tcBorders>
            <w:shd w:val="clear" w:color="000000" w:fill="FFFFFF"/>
            <w:noWrap/>
            <w:vAlign w:val="bottom"/>
            <w:hideMark/>
          </w:tcPr>
          <w:p w:rsidR="00E329F7" w:rsidRPr="00FE61CD" w:rsidRDefault="00E329F7" w:rsidP="00AE1C26">
            <w:pPr>
              <w:rPr>
                <w:rFonts w:cs="Calibri"/>
                <w:color w:val="000000"/>
                <w:lang w:eastAsia="en-GB"/>
              </w:rPr>
            </w:pPr>
            <w:r w:rsidRPr="00FE61CD">
              <w:rPr>
                <w:rFonts w:cs="Calibri"/>
                <w:color w:val="000000"/>
                <w:lang w:eastAsia="en-GB"/>
              </w:rPr>
              <w:t> </w:t>
            </w:r>
          </w:p>
        </w:tc>
        <w:tc>
          <w:tcPr>
            <w:tcW w:w="1087" w:type="dxa"/>
            <w:tcBorders>
              <w:top w:val="nil"/>
              <w:left w:val="nil"/>
              <w:bottom w:val="nil"/>
              <w:right w:val="nil"/>
            </w:tcBorders>
            <w:shd w:val="clear" w:color="000000" w:fill="FFFFFF"/>
            <w:vAlign w:val="bottom"/>
            <w:hideMark/>
          </w:tcPr>
          <w:p w:rsidR="00E329F7" w:rsidRPr="00FE61CD" w:rsidRDefault="00E329F7" w:rsidP="00AE1C26">
            <w:pPr>
              <w:rPr>
                <w:rFonts w:cs="Calibri"/>
                <w:b/>
                <w:bCs/>
                <w:color w:val="000000"/>
                <w:lang w:eastAsia="en-GB"/>
              </w:rPr>
            </w:pPr>
            <w:r w:rsidRPr="00FE61CD">
              <w:rPr>
                <w:rFonts w:cs="Calibri"/>
                <w:b/>
                <w:bCs/>
                <w:color w:val="000000"/>
                <w:lang w:eastAsia="en-GB"/>
              </w:rPr>
              <w:t>Quoted market price</w:t>
            </w:r>
          </w:p>
        </w:tc>
        <w:tc>
          <w:tcPr>
            <w:tcW w:w="1330" w:type="dxa"/>
            <w:gridSpan w:val="2"/>
            <w:tcBorders>
              <w:top w:val="nil"/>
              <w:left w:val="nil"/>
              <w:bottom w:val="nil"/>
              <w:right w:val="nil"/>
            </w:tcBorders>
            <w:shd w:val="clear" w:color="000000" w:fill="FFFFFF"/>
            <w:vAlign w:val="bottom"/>
            <w:hideMark/>
          </w:tcPr>
          <w:p w:rsidR="00E329F7" w:rsidRPr="00FE61CD" w:rsidRDefault="00E329F7" w:rsidP="00AE1C26">
            <w:pPr>
              <w:rPr>
                <w:rFonts w:cs="Calibri"/>
                <w:b/>
                <w:bCs/>
                <w:color w:val="000000"/>
                <w:lang w:eastAsia="en-GB"/>
              </w:rPr>
            </w:pPr>
            <w:r w:rsidRPr="00FE61CD">
              <w:rPr>
                <w:rFonts w:cs="Calibri"/>
                <w:b/>
                <w:bCs/>
                <w:color w:val="000000"/>
                <w:lang w:eastAsia="en-GB"/>
              </w:rPr>
              <w:t>Using observable inputs</w:t>
            </w:r>
          </w:p>
        </w:tc>
        <w:tc>
          <w:tcPr>
            <w:tcW w:w="1531" w:type="dxa"/>
            <w:gridSpan w:val="2"/>
            <w:tcBorders>
              <w:top w:val="nil"/>
              <w:left w:val="nil"/>
              <w:bottom w:val="nil"/>
              <w:right w:val="nil"/>
            </w:tcBorders>
            <w:shd w:val="clear" w:color="000000" w:fill="FFFFFF"/>
            <w:vAlign w:val="bottom"/>
            <w:hideMark/>
          </w:tcPr>
          <w:p w:rsidR="00E329F7" w:rsidRPr="00FE61CD" w:rsidRDefault="00E329F7" w:rsidP="00AE1C26">
            <w:pPr>
              <w:rPr>
                <w:rFonts w:cs="Calibri"/>
                <w:b/>
                <w:bCs/>
                <w:color w:val="000000"/>
                <w:lang w:eastAsia="en-GB"/>
              </w:rPr>
            </w:pPr>
            <w:r w:rsidRPr="00FE61CD">
              <w:rPr>
                <w:rFonts w:cs="Calibri"/>
                <w:b/>
                <w:bCs/>
                <w:color w:val="000000"/>
                <w:lang w:eastAsia="en-GB"/>
              </w:rPr>
              <w:t>With significant unobservable inputs</w:t>
            </w:r>
          </w:p>
        </w:tc>
        <w:tc>
          <w:tcPr>
            <w:tcW w:w="1416" w:type="dxa"/>
            <w:gridSpan w:val="2"/>
            <w:tcBorders>
              <w:top w:val="nil"/>
              <w:left w:val="nil"/>
              <w:bottom w:val="nil"/>
              <w:right w:val="nil"/>
            </w:tcBorders>
            <w:shd w:val="clear" w:color="000000" w:fill="FFFFFF"/>
            <w:noWrap/>
            <w:vAlign w:val="bottom"/>
            <w:hideMark/>
          </w:tcPr>
          <w:p w:rsidR="00E329F7" w:rsidRPr="00FE61CD" w:rsidRDefault="00E329F7" w:rsidP="00AE1C26">
            <w:pPr>
              <w:rPr>
                <w:rFonts w:cs="Calibri"/>
                <w:b/>
                <w:bCs/>
                <w:color w:val="000000"/>
                <w:lang w:eastAsia="en-GB"/>
              </w:rPr>
            </w:pPr>
            <w:r w:rsidRPr="00FE61CD">
              <w:rPr>
                <w:rFonts w:cs="Calibri"/>
                <w:b/>
                <w:bCs/>
                <w:color w:val="000000"/>
                <w:lang w:eastAsia="en-GB"/>
              </w:rPr>
              <w:t> </w:t>
            </w:r>
          </w:p>
        </w:tc>
      </w:tr>
      <w:tr w:rsidR="00E329F7" w:rsidRPr="00685F79" w:rsidTr="00AE1C26">
        <w:trPr>
          <w:trHeight w:val="286"/>
        </w:trPr>
        <w:tc>
          <w:tcPr>
            <w:tcW w:w="2996" w:type="dxa"/>
            <w:tcBorders>
              <w:top w:val="nil"/>
              <w:left w:val="nil"/>
              <w:bottom w:val="nil"/>
              <w:right w:val="nil"/>
            </w:tcBorders>
            <w:shd w:val="clear" w:color="auto" w:fill="auto"/>
            <w:noWrap/>
            <w:vAlign w:val="bottom"/>
            <w:hideMark/>
          </w:tcPr>
          <w:p w:rsidR="00E329F7" w:rsidRPr="00685F79" w:rsidRDefault="00E329F7" w:rsidP="00AE1C26">
            <w:pPr>
              <w:rPr>
                <w:rFonts w:cs="Calibri"/>
                <w:b/>
                <w:bCs/>
                <w:color w:val="000000"/>
                <w:lang w:eastAsia="en-GB"/>
              </w:rPr>
            </w:pPr>
            <w:r w:rsidRPr="00685F79">
              <w:rPr>
                <w:rFonts w:cs="Calibri"/>
                <w:b/>
                <w:bCs/>
                <w:color w:val="000000"/>
                <w:lang w:eastAsia="en-GB"/>
              </w:rPr>
              <w:t>Values at 31 March 2019</w:t>
            </w:r>
          </w:p>
        </w:tc>
        <w:tc>
          <w:tcPr>
            <w:tcW w:w="1116" w:type="dxa"/>
            <w:gridSpan w:val="2"/>
            <w:tcBorders>
              <w:top w:val="nil"/>
              <w:left w:val="nil"/>
              <w:bottom w:val="nil"/>
              <w:right w:val="nil"/>
            </w:tcBorders>
            <w:shd w:val="clear" w:color="auto" w:fill="auto"/>
            <w:noWrap/>
            <w:vAlign w:val="bottom"/>
            <w:hideMark/>
          </w:tcPr>
          <w:p w:rsidR="00E329F7" w:rsidRPr="00685F79" w:rsidRDefault="00E329F7" w:rsidP="00AE1C26">
            <w:pPr>
              <w:rPr>
                <w:rFonts w:cs="Calibri"/>
                <w:b/>
                <w:bCs/>
                <w:color w:val="000000"/>
                <w:lang w:eastAsia="en-GB"/>
              </w:rPr>
            </w:pPr>
            <w:r w:rsidRPr="00685F79">
              <w:rPr>
                <w:rFonts w:cs="Calibri"/>
                <w:b/>
                <w:bCs/>
                <w:color w:val="000000"/>
                <w:lang w:eastAsia="en-GB"/>
              </w:rPr>
              <w:t>Level 1</w:t>
            </w:r>
          </w:p>
        </w:tc>
        <w:tc>
          <w:tcPr>
            <w:tcW w:w="1356" w:type="dxa"/>
            <w:gridSpan w:val="2"/>
            <w:tcBorders>
              <w:top w:val="nil"/>
              <w:left w:val="nil"/>
              <w:bottom w:val="nil"/>
              <w:right w:val="nil"/>
            </w:tcBorders>
            <w:shd w:val="clear" w:color="auto" w:fill="auto"/>
            <w:noWrap/>
            <w:vAlign w:val="bottom"/>
            <w:hideMark/>
          </w:tcPr>
          <w:p w:rsidR="00E329F7" w:rsidRPr="00685F79" w:rsidRDefault="00E329F7" w:rsidP="00AE1C26">
            <w:pPr>
              <w:rPr>
                <w:rFonts w:cs="Calibri"/>
                <w:b/>
                <w:bCs/>
                <w:color w:val="000000"/>
                <w:lang w:eastAsia="en-GB"/>
              </w:rPr>
            </w:pPr>
            <w:r w:rsidRPr="00685F79">
              <w:rPr>
                <w:rFonts w:cs="Calibri"/>
                <w:b/>
                <w:bCs/>
                <w:color w:val="000000"/>
                <w:lang w:eastAsia="en-GB"/>
              </w:rPr>
              <w:t>Level 2</w:t>
            </w:r>
          </w:p>
        </w:tc>
        <w:tc>
          <w:tcPr>
            <w:tcW w:w="1556" w:type="dxa"/>
            <w:gridSpan w:val="2"/>
            <w:tcBorders>
              <w:top w:val="nil"/>
              <w:left w:val="nil"/>
              <w:bottom w:val="nil"/>
              <w:right w:val="nil"/>
            </w:tcBorders>
            <w:shd w:val="clear" w:color="auto" w:fill="auto"/>
            <w:noWrap/>
            <w:vAlign w:val="bottom"/>
            <w:hideMark/>
          </w:tcPr>
          <w:p w:rsidR="00E329F7" w:rsidRPr="00685F79" w:rsidRDefault="00E329F7" w:rsidP="00AE1C26">
            <w:pPr>
              <w:rPr>
                <w:rFonts w:cs="Calibri"/>
                <w:b/>
                <w:bCs/>
                <w:color w:val="000000"/>
                <w:lang w:eastAsia="en-GB"/>
              </w:rPr>
            </w:pPr>
            <w:r w:rsidRPr="00685F79">
              <w:rPr>
                <w:rFonts w:cs="Calibri"/>
                <w:b/>
                <w:bCs/>
                <w:color w:val="000000"/>
                <w:lang w:eastAsia="en-GB"/>
              </w:rPr>
              <w:t>Level 3</w:t>
            </w:r>
          </w:p>
        </w:tc>
        <w:tc>
          <w:tcPr>
            <w:tcW w:w="1416" w:type="dxa"/>
            <w:gridSpan w:val="2"/>
            <w:tcBorders>
              <w:top w:val="nil"/>
              <w:left w:val="nil"/>
              <w:bottom w:val="nil"/>
              <w:right w:val="nil"/>
            </w:tcBorders>
            <w:shd w:val="clear" w:color="auto" w:fill="auto"/>
            <w:noWrap/>
            <w:vAlign w:val="bottom"/>
            <w:hideMark/>
          </w:tcPr>
          <w:p w:rsidR="00E329F7" w:rsidRPr="00685F79" w:rsidRDefault="00E329F7" w:rsidP="00AE1C26">
            <w:pPr>
              <w:jc w:val="right"/>
              <w:rPr>
                <w:rFonts w:cs="Calibri"/>
                <w:b/>
                <w:bCs/>
                <w:color w:val="000000"/>
                <w:lang w:eastAsia="en-GB"/>
              </w:rPr>
            </w:pPr>
            <w:r w:rsidRPr="00685F79">
              <w:rPr>
                <w:rFonts w:cs="Calibri"/>
                <w:b/>
                <w:bCs/>
                <w:color w:val="000000"/>
                <w:lang w:eastAsia="en-GB"/>
              </w:rPr>
              <w:t>Total</w:t>
            </w:r>
          </w:p>
        </w:tc>
      </w:tr>
      <w:tr w:rsidR="00E329F7" w:rsidRPr="00FE61CD" w:rsidTr="00AE1C26">
        <w:trPr>
          <w:gridAfter w:val="1"/>
          <w:wAfter w:w="80" w:type="dxa"/>
          <w:trHeight w:val="286"/>
        </w:trPr>
        <w:tc>
          <w:tcPr>
            <w:tcW w:w="2996" w:type="dxa"/>
            <w:tcBorders>
              <w:top w:val="nil"/>
              <w:left w:val="nil"/>
              <w:bottom w:val="nil"/>
              <w:right w:val="nil"/>
            </w:tcBorders>
            <w:shd w:val="clear" w:color="000000" w:fill="FFFFFF"/>
            <w:noWrap/>
            <w:vAlign w:val="bottom"/>
            <w:hideMark/>
          </w:tcPr>
          <w:p w:rsidR="00E329F7" w:rsidRPr="00FE61CD" w:rsidRDefault="00E329F7" w:rsidP="00AE1C26">
            <w:pPr>
              <w:rPr>
                <w:rFonts w:cs="Calibri"/>
                <w:color w:val="000000"/>
                <w:lang w:eastAsia="en-GB"/>
              </w:rPr>
            </w:pPr>
            <w:r w:rsidRPr="00FE61CD">
              <w:rPr>
                <w:rFonts w:cs="Calibri"/>
                <w:color w:val="000000"/>
                <w:lang w:eastAsia="en-GB"/>
              </w:rPr>
              <w:t> </w:t>
            </w:r>
          </w:p>
        </w:tc>
        <w:tc>
          <w:tcPr>
            <w:tcW w:w="1087" w:type="dxa"/>
            <w:tcBorders>
              <w:top w:val="nil"/>
              <w:left w:val="nil"/>
              <w:bottom w:val="nil"/>
              <w:right w:val="nil"/>
            </w:tcBorders>
            <w:shd w:val="clear" w:color="000000" w:fill="FFFFFF"/>
            <w:noWrap/>
            <w:vAlign w:val="bottom"/>
            <w:hideMark/>
          </w:tcPr>
          <w:p w:rsidR="00E329F7" w:rsidRPr="00FE61CD" w:rsidRDefault="00E329F7" w:rsidP="00AE1C26">
            <w:pPr>
              <w:jc w:val="right"/>
              <w:rPr>
                <w:rFonts w:cs="Calibri"/>
                <w:b/>
                <w:bCs/>
                <w:color w:val="000000"/>
                <w:lang w:eastAsia="en-GB"/>
              </w:rPr>
            </w:pPr>
            <w:r w:rsidRPr="00FE61CD">
              <w:rPr>
                <w:rFonts w:cs="Calibri"/>
                <w:b/>
                <w:bCs/>
                <w:color w:val="000000"/>
                <w:lang w:eastAsia="en-GB"/>
              </w:rPr>
              <w:t>£m</w:t>
            </w:r>
          </w:p>
        </w:tc>
        <w:tc>
          <w:tcPr>
            <w:tcW w:w="1330" w:type="dxa"/>
            <w:gridSpan w:val="2"/>
            <w:tcBorders>
              <w:top w:val="nil"/>
              <w:left w:val="nil"/>
              <w:bottom w:val="nil"/>
              <w:right w:val="nil"/>
            </w:tcBorders>
            <w:shd w:val="clear" w:color="000000" w:fill="FFFFFF"/>
            <w:noWrap/>
            <w:vAlign w:val="bottom"/>
            <w:hideMark/>
          </w:tcPr>
          <w:p w:rsidR="00E329F7" w:rsidRPr="00FE61CD" w:rsidRDefault="00E329F7" w:rsidP="00AE1C26">
            <w:pPr>
              <w:jc w:val="right"/>
              <w:rPr>
                <w:rFonts w:cs="Calibri"/>
                <w:b/>
                <w:bCs/>
                <w:color w:val="000000"/>
                <w:lang w:eastAsia="en-GB"/>
              </w:rPr>
            </w:pPr>
            <w:r w:rsidRPr="00FE61CD">
              <w:rPr>
                <w:rFonts w:cs="Calibri"/>
                <w:b/>
                <w:bCs/>
                <w:color w:val="000000"/>
                <w:lang w:eastAsia="en-GB"/>
              </w:rPr>
              <w:t>£m</w:t>
            </w:r>
          </w:p>
        </w:tc>
        <w:tc>
          <w:tcPr>
            <w:tcW w:w="1531" w:type="dxa"/>
            <w:gridSpan w:val="2"/>
            <w:tcBorders>
              <w:top w:val="nil"/>
              <w:left w:val="nil"/>
              <w:bottom w:val="nil"/>
              <w:right w:val="nil"/>
            </w:tcBorders>
            <w:shd w:val="clear" w:color="000000" w:fill="FFFFFF"/>
            <w:noWrap/>
            <w:vAlign w:val="bottom"/>
            <w:hideMark/>
          </w:tcPr>
          <w:p w:rsidR="00E329F7" w:rsidRPr="00FE61CD" w:rsidRDefault="00E329F7" w:rsidP="00AE1C26">
            <w:pPr>
              <w:jc w:val="right"/>
              <w:rPr>
                <w:rFonts w:cs="Calibri"/>
                <w:b/>
                <w:bCs/>
                <w:color w:val="000000"/>
                <w:lang w:eastAsia="en-GB"/>
              </w:rPr>
            </w:pPr>
            <w:r w:rsidRPr="00FE61CD">
              <w:rPr>
                <w:rFonts w:cs="Calibri"/>
                <w:b/>
                <w:bCs/>
                <w:color w:val="000000"/>
                <w:lang w:eastAsia="en-GB"/>
              </w:rPr>
              <w:t>£m</w:t>
            </w:r>
          </w:p>
        </w:tc>
        <w:tc>
          <w:tcPr>
            <w:tcW w:w="1416" w:type="dxa"/>
            <w:gridSpan w:val="2"/>
            <w:tcBorders>
              <w:top w:val="nil"/>
              <w:left w:val="nil"/>
              <w:bottom w:val="nil"/>
              <w:right w:val="nil"/>
            </w:tcBorders>
            <w:shd w:val="clear" w:color="000000" w:fill="FFFFFF"/>
            <w:noWrap/>
            <w:vAlign w:val="bottom"/>
            <w:hideMark/>
          </w:tcPr>
          <w:p w:rsidR="00E329F7" w:rsidRPr="00FE61CD" w:rsidRDefault="00E329F7" w:rsidP="00AE1C26">
            <w:pPr>
              <w:jc w:val="right"/>
              <w:rPr>
                <w:rFonts w:cs="Calibri"/>
                <w:b/>
                <w:bCs/>
                <w:color w:val="000000"/>
                <w:lang w:eastAsia="en-GB"/>
              </w:rPr>
            </w:pPr>
            <w:r w:rsidRPr="00FE61CD">
              <w:rPr>
                <w:rFonts w:cs="Calibri"/>
                <w:b/>
                <w:bCs/>
                <w:color w:val="000000"/>
                <w:lang w:eastAsia="en-GB"/>
              </w:rPr>
              <w:t>£m</w:t>
            </w:r>
          </w:p>
        </w:tc>
      </w:tr>
      <w:tr w:rsidR="00E329F7" w:rsidRPr="00FE61CD" w:rsidTr="00AE1C26">
        <w:trPr>
          <w:gridAfter w:val="1"/>
          <w:wAfter w:w="80" w:type="dxa"/>
          <w:trHeight w:val="286"/>
        </w:trPr>
        <w:tc>
          <w:tcPr>
            <w:tcW w:w="2996" w:type="dxa"/>
            <w:tcBorders>
              <w:top w:val="nil"/>
              <w:left w:val="nil"/>
              <w:bottom w:val="nil"/>
              <w:right w:val="nil"/>
            </w:tcBorders>
            <w:shd w:val="clear" w:color="000000" w:fill="FFFFFF"/>
            <w:noWrap/>
            <w:vAlign w:val="bottom"/>
            <w:hideMark/>
          </w:tcPr>
          <w:p w:rsidR="00E329F7" w:rsidRPr="00FE61CD" w:rsidRDefault="00E329F7" w:rsidP="00AE1C26">
            <w:pPr>
              <w:rPr>
                <w:rFonts w:cs="Calibri"/>
                <w:b/>
                <w:bCs/>
                <w:color w:val="000000"/>
                <w:lang w:eastAsia="en-GB"/>
              </w:rPr>
            </w:pPr>
            <w:r w:rsidRPr="00FE61CD">
              <w:rPr>
                <w:rFonts w:cs="Calibri"/>
                <w:b/>
                <w:bCs/>
                <w:color w:val="000000"/>
                <w:lang w:eastAsia="en-GB"/>
              </w:rPr>
              <w:t>Financial assets</w:t>
            </w:r>
          </w:p>
        </w:tc>
        <w:tc>
          <w:tcPr>
            <w:tcW w:w="1087" w:type="dxa"/>
            <w:tcBorders>
              <w:top w:val="nil"/>
              <w:left w:val="nil"/>
              <w:bottom w:val="nil"/>
              <w:right w:val="nil"/>
            </w:tcBorders>
            <w:shd w:val="clear" w:color="000000" w:fill="FFFFFF"/>
            <w:noWrap/>
            <w:vAlign w:val="bottom"/>
            <w:hideMark/>
          </w:tcPr>
          <w:p w:rsidR="00E329F7" w:rsidRPr="00FE61CD" w:rsidRDefault="00E329F7" w:rsidP="00AE1C26">
            <w:pPr>
              <w:rPr>
                <w:rFonts w:cs="Calibri"/>
                <w:color w:val="000000"/>
                <w:lang w:eastAsia="en-GB"/>
              </w:rPr>
            </w:pPr>
            <w:r w:rsidRPr="00FE61CD">
              <w:rPr>
                <w:rFonts w:cs="Calibri"/>
                <w:color w:val="000000"/>
                <w:lang w:eastAsia="en-GB"/>
              </w:rPr>
              <w:t> </w:t>
            </w:r>
          </w:p>
        </w:tc>
        <w:tc>
          <w:tcPr>
            <w:tcW w:w="1330" w:type="dxa"/>
            <w:gridSpan w:val="2"/>
            <w:tcBorders>
              <w:top w:val="nil"/>
              <w:left w:val="nil"/>
              <w:bottom w:val="nil"/>
              <w:right w:val="nil"/>
            </w:tcBorders>
            <w:shd w:val="clear" w:color="000000" w:fill="FFFFFF"/>
            <w:noWrap/>
            <w:vAlign w:val="bottom"/>
            <w:hideMark/>
          </w:tcPr>
          <w:p w:rsidR="00E329F7" w:rsidRPr="00FE61CD" w:rsidRDefault="00E329F7" w:rsidP="00AE1C26">
            <w:pPr>
              <w:rPr>
                <w:rFonts w:cs="Calibri"/>
                <w:color w:val="000000"/>
                <w:lang w:eastAsia="en-GB"/>
              </w:rPr>
            </w:pPr>
            <w:r w:rsidRPr="00FE61CD">
              <w:rPr>
                <w:rFonts w:cs="Calibri"/>
                <w:color w:val="000000"/>
                <w:lang w:eastAsia="en-GB"/>
              </w:rPr>
              <w:t> </w:t>
            </w:r>
          </w:p>
        </w:tc>
        <w:tc>
          <w:tcPr>
            <w:tcW w:w="1531" w:type="dxa"/>
            <w:gridSpan w:val="2"/>
            <w:tcBorders>
              <w:top w:val="nil"/>
              <w:left w:val="nil"/>
              <w:bottom w:val="nil"/>
              <w:right w:val="nil"/>
            </w:tcBorders>
            <w:shd w:val="clear" w:color="000000" w:fill="FFFFFF"/>
            <w:noWrap/>
            <w:vAlign w:val="bottom"/>
            <w:hideMark/>
          </w:tcPr>
          <w:p w:rsidR="00E329F7" w:rsidRPr="00FE61CD" w:rsidRDefault="00E329F7" w:rsidP="00AE1C26">
            <w:pPr>
              <w:rPr>
                <w:rFonts w:cs="Calibri"/>
                <w:color w:val="000000"/>
                <w:lang w:eastAsia="en-GB"/>
              </w:rPr>
            </w:pPr>
            <w:r w:rsidRPr="00FE61CD">
              <w:rPr>
                <w:rFonts w:cs="Calibri"/>
                <w:color w:val="000000"/>
                <w:lang w:eastAsia="en-GB"/>
              </w:rPr>
              <w:t> </w:t>
            </w:r>
          </w:p>
        </w:tc>
        <w:tc>
          <w:tcPr>
            <w:tcW w:w="1416" w:type="dxa"/>
            <w:gridSpan w:val="2"/>
            <w:tcBorders>
              <w:top w:val="nil"/>
              <w:left w:val="nil"/>
              <w:bottom w:val="nil"/>
              <w:right w:val="nil"/>
            </w:tcBorders>
            <w:shd w:val="clear" w:color="000000" w:fill="FFFFFF"/>
            <w:noWrap/>
            <w:vAlign w:val="bottom"/>
            <w:hideMark/>
          </w:tcPr>
          <w:p w:rsidR="00E329F7" w:rsidRPr="00FE61CD" w:rsidRDefault="00E329F7" w:rsidP="00AE1C26">
            <w:pPr>
              <w:rPr>
                <w:rFonts w:cs="Calibri"/>
                <w:color w:val="000000"/>
                <w:lang w:eastAsia="en-GB"/>
              </w:rPr>
            </w:pPr>
            <w:r w:rsidRPr="00FE61CD">
              <w:rPr>
                <w:rFonts w:cs="Calibri"/>
                <w:color w:val="000000"/>
                <w:lang w:eastAsia="en-GB"/>
              </w:rPr>
              <w:t> </w:t>
            </w:r>
          </w:p>
        </w:tc>
      </w:tr>
      <w:tr w:rsidR="00E329F7" w:rsidRPr="00FE61CD" w:rsidTr="00AE1C26">
        <w:trPr>
          <w:gridAfter w:val="1"/>
          <w:wAfter w:w="80" w:type="dxa"/>
          <w:trHeight w:val="585"/>
        </w:trPr>
        <w:tc>
          <w:tcPr>
            <w:tcW w:w="2996" w:type="dxa"/>
            <w:tcBorders>
              <w:top w:val="nil"/>
              <w:left w:val="nil"/>
              <w:bottom w:val="nil"/>
              <w:right w:val="nil"/>
            </w:tcBorders>
            <w:shd w:val="clear" w:color="000000" w:fill="FFFFFF"/>
            <w:vAlign w:val="bottom"/>
            <w:hideMark/>
          </w:tcPr>
          <w:p w:rsidR="00E329F7" w:rsidRPr="00FE61CD" w:rsidRDefault="00E329F7" w:rsidP="00AE1C26">
            <w:pPr>
              <w:rPr>
                <w:rFonts w:cs="Calibri"/>
                <w:color w:val="000000"/>
                <w:lang w:eastAsia="en-GB"/>
              </w:rPr>
            </w:pPr>
            <w:r w:rsidRPr="00FE61CD">
              <w:rPr>
                <w:rFonts w:cs="Calibri"/>
                <w:color w:val="000000"/>
                <w:lang w:eastAsia="en-GB"/>
              </w:rPr>
              <w:t>Financial assets at fair value through profit and loss</w:t>
            </w:r>
          </w:p>
        </w:tc>
        <w:tc>
          <w:tcPr>
            <w:tcW w:w="1087" w:type="dxa"/>
            <w:tcBorders>
              <w:top w:val="nil"/>
              <w:left w:val="nil"/>
              <w:bottom w:val="nil"/>
              <w:right w:val="nil"/>
            </w:tcBorders>
            <w:shd w:val="clear" w:color="000000" w:fill="FFFFFF"/>
            <w:noWrap/>
            <w:vAlign w:val="bottom"/>
            <w:hideMark/>
          </w:tcPr>
          <w:p w:rsidR="00E329F7" w:rsidRPr="00FE61CD" w:rsidRDefault="00E329F7" w:rsidP="00AE1C26">
            <w:pPr>
              <w:jc w:val="right"/>
              <w:rPr>
                <w:rFonts w:cs="Calibri"/>
                <w:color w:val="000000"/>
                <w:lang w:eastAsia="en-GB"/>
              </w:rPr>
            </w:pPr>
            <w:r w:rsidRPr="00FE61CD">
              <w:rPr>
                <w:rFonts w:cs="Calibri"/>
                <w:color w:val="000000"/>
                <w:lang w:eastAsia="en-GB"/>
              </w:rPr>
              <w:t>0.0</w:t>
            </w:r>
          </w:p>
        </w:tc>
        <w:tc>
          <w:tcPr>
            <w:tcW w:w="1330" w:type="dxa"/>
            <w:gridSpan w:val="2"/>
            <w:tcBorders>
              <w:top w:val="nil"/>
              <w:left w:val="nil"/>
              <w:bottom w:val="nil"/>
              <w:right w:val="nil"/>
            </w:tcBorders>
            <w:shd w:val="clear" w:color="000000" w:fill="FFFFFF"/>
            <w:noWrap/>
            <w:vAlign w:val="bottom"/>
            <w:hideMark/>
          </w:tcPr>
          <w:p w:rsidR="00E329F7" w:rsidRPr="00FE61CD" w:rsidRDefault="00E329F7" w:rsidP="00AE1C26">
            <w:pPr>
              <w:jc w:val="right"/>
              <w:rPr>
                <w:rFonts w:cs="Calibri"/>
                <w:color w:val="000000"/>
                <w:lang w:eastAsia="en-GB"/>
              </w:rPr>
            </w:pPr>
            <w:r w:rsidRPr="00FE61CD">
              <w:rPr>
                <w:rFonts w:cs="Calibri"/>
                <w:color w:val="000000"/>
                <w:lang w:eastAsia="en-GB"/>
              </w:rPr>
              <w:t>737.9</w:t>
            </w:r>
          </w:p>
        </w:tc>
        <w:tc>
          <w:tcPr>
            <w:tcW w:w="1531" w:type="dxa"/>
            <w:gridSpan w:val="2"/>
            <w:tcBorders>
              <w:top w:val="nil"/>
              <w:left w:val="nil"/>
              <w:bottom w:val="nil"/>
              <w:right w:val="nil"/>
            </w:tcBorders>
            <w:shd w:val="clear" w:color="000000" w:fill="FFFFFF"/>
            <w:noWrap/>
            <w:vAlign w:val="bottom"/>
            <w:hideMark/>
          </w:tcPr>
          <w:p w:rsidR="00E329F7" w:rsidRPr="00FE61CD" w:rsidRDefault="00E329F7" w:rsidP="00AE1C26">
            <w:pPr>
              <w:jc w:val="right"/>
              <w:rPr>
                <w:rFonts w:cs="Calibri"/>
                <w:color w:val="000000"/>
                <w:lang w:eastAsia="en-GB"/>
              </w:rPr>
            </w:pPr>
            <w:r w:rsidRPr="00FE61CD">
              <w:rPr>
                <w:rFonts w:cs="Calibri"/>
                <w:color w:val="000000"/>
                <w:lang w:eastAsia="en-GB"/>
              </w:rPr>
              <w:t>95.0</w:t>
            </w:r>
          </w:p>
        </w:tc>
        <w:tc>
          <w:tcPr>
            <w:tcW w:w="1416" w:type="dxa"/>
            <w:gridSpan w:val="2"/>
            <w:tcBorders>
              <w:top w:val="nil"/>
              <w:left w:val="nil"/>
              <w:bottom w:val="nil"/>
              <w:right w:val="nil"/>
            </w:tcBorders>
            <w:shd w:val="clear" w:color="000000" w:fill="FFFFFF"/>
            <w:noWrap/>
            <w:vAlign w:val="bottom"/>
            <w:hideMark/>
          </w:tcPr>
          <w:p w:rsidR="00E329F7" w:rsidRPr="00FE61CD" w:rsidRDefault="00E329F7" w:rsidP="00AE1C26">
            <w:pPr>
              <w:jc w:val="right"/>
              <w:rPr>
                <w:rFonts w:cs="Calibri"/>
                <w:color w:val="000000"/>
                <w:lang w:eastAsia="en-GB"/>
              </w:rPr>
            </w:pPr>
            <w:r w:rsidRPr="00FE61CD">
              <w:rPr>
                <w:rFonts w:cs="Calibri"/>
                <w:color w:val="000000"/>
                <w:lang w:eastAsia="en-GB"/>
              </w:rPr>
              <w:t>832.9</w:t>
            </w:r>
          </w:p>
        </w:tc>
      </w:tr>
      <w:tr w:rsidR="00E329F7" w:rsidRPr="00FE61CD" w:rsidTr="00AE1C26">
        <w:trPr>
          <w:gridAfter w:val="1"/>
          <w:wAfter w:w="80" w:type="dxa"/>
          <w:trHeight w:val="286"/>
        </w:trPr>
        <w:tc>
          <w:tcPr>
            <w:tcW w:w="2996" w:type="dxa"/>
            <w:tcBorders>
              <w:top w:val="nil"/>
              <w:left w:val="nil"/>
              <w:bottom w:val="nil"/>
              <w:right w:val="nil"/>
            </w:tcBorders>
            <w:shd w:val="clear" w:color="000000" w:fill="FFFFFF"/>
            <w:noWrap/>
            <w:vAlign w:val="bottom"/>
            <w:hideMark/>
          </w:tcPr>
          <w:p w:rsidR="00E329F7" w:rsidRPr="00FE61CD" w:rsidRDefault="00E329F7" w:rsidP="00AE1C26">
            <w:pPr>
              <w:rPr>
                <w:rFonts w:cs="Calibri"/>
                <w:color w:val="000000"/>
                <w:lang w:eastAsia="en-GB"/>
              </w:rPr>
            </w:pPr>
            <w:r w:rsidRPr="00FE61CD">
              <w:rPr>
                <w:rFonts w:cs="Calibri"/>
                <w:color w:val="000000"/>
                <w:lang w:eastAsia="en-GB"/>
              </w:rPr>
              <w:t>Loans and receivables</w:t>
            </w:r>
          </w:p>
        </w:tc>
        <w:tc>
          <w:tcPr>
            <w:tcW w:w="1087" w:type="dxa"/>
            <w:tcBorders>
              <w:top w:val="nil"/>
              <w:left w:val="nil"/>
              <w:bottom w:val="nil"/>
              <w:right w:val="nil"/>
            </w:tcBorders>
            <w:shd w:val="clear" w:color="000000" w:fill="FFFFFF"/>
            <w:noWrap/>
            <w:vAlign w:val="bottom"/>
            <w:hideMark/>
          </w:tcPr>
          <w:p w:rsidR="00E329F7" w:rsidRPr="00FE61CD" w:rsidRDefault="00E329F7" w:rsidP="00AE1C26">
            <w:pPr>
              <w:jc w:val="right"/>
              <w:rPr>
                <w:rFonts w:cs="Calibri"/>
                <w:color w:val="000000"/>
                <w:lang w:eastAsia="en-GB"/>
              </w:rPr>
            </w:pPr>
            <w:r w:rsidRPr="00FE61CD">
              <w:rPr>
                <w:rFonts w:cs="Calibri"/>
                <w:color w:val="000000"/>
                <w:lang w:eastAsia="en-GB"/>
              </w:rPr>
              <w:t>23.5</w:t>
            </w:r>
          </w:p>
        </w:tc>
        <w:tc>
          <w:tcPr>
            <w:tcW w:w="1330" w:type="dxa"/>
            <w:gridSpan w:val="2"/>
            <w:tcBorders>
              <w:top w:val="nil"/>
              <w:left w:val="nil"/>
              <w:bottom w:val="nil"/>
              <w:right w:val="nil"/>
            </w:tcBorders>
            <w:shd w:val="clear" w:color="000000" w:fill="FFFFFF"/>
            <w:noWrap/>
            <w:vAlign w:val="bottom"/>
            <w:hideMark/>
          </w:tcPr>
          <w:p w:rsidR="00E329F7" w:rsidRPr="00FE61CD" w:rsidRDefault="00E329F7" w:rsidP="00AE1C26">
            <w:pPr>
              <w:jc w:val="right"/>
              <w:rPr>
                <w:rFonts w:cs="Calibri"/>
                <w:color w:val="000000"/>
                <w:lang w:eastAsia="en-GB"/>
              </w:rPr>
            </w:pPr>
            <w:r w:rsidRPr="00FE61CD">
              <w:rPr>
                <w:rFonts w:cs="Calibri"/>
                <w:color w:val="000000"/>
                <w:lang w:eastAsia="en-GB"/>
              </w:rPr>
              <w:t>0.0</w:t>
            </w:r>
          </w:p>
        </w:tc>
        <w:tc>
          <w:tcPr>
            <w:tcW w:w="1531" w:type="dxa"/>
            <w:gridSpan w:val="2"/>
            <w:tcBorders>
              <w:top w:val="nil"/>
              <w:left w:val="nil"/>
              <w:bottom w:val="nil"/>
              <w:right w:val="nil"/>
            </w:tcBorders>
            <w:shd w:val="clear" w:color="000000" w:fill="FFFFFF"/>
            <w:noWrap/>
            <w:vAlign w:val="bottom"/>
            <w:hideMark/>
          </w:tcPr>
          <w:p w:rsidR="00E329F7" w:rsidRPr="00FE61CD" w:rsidRDefault="00E329F7" w:rsidP="00AE1C26">
            <w:pPr>
              <w:jc w:val="right"/>
              <w:rPr>
                <w:rFonts w:cs="Calibri"/>
                <w:color w:val="000000"/>
                <w:lang w:eastAsia="en-GB"/>
              </w:rPr>
            </w:pPr>
            <w:r w:rsidRPr="00FE61CD">
              <w:rPr>
                <w:rFonts w:cs="Calibri"/>
                <w:color w:val="000000"/>
                <w:lang w:eastAsia="en-GB"/>
              </w:rPr>
              <w:t>0.0</w:t>
            </w:r>
          </w:p>
        </w:tc>
        <w:tc>
          <w:tcPr>
            <w:tcW w:w="1416" w:type="dxa"/>
            <w:gridSpan w:val="2"/>
            <w:tcBorders>
              <w:top w:val="nil"/>
              <w:left w:val="nil"/>
              <w:bottom w:val="nil"/>
              <w:right w:val="nil"/>
            </w:tcBorders>
            <w:shd w:val="clear" w:color="000000" w:fill="FFFFFF"/>
            <w:noWrap/>
            <w:vAlign w:val="bottom"/>
            <w:hideMark/>
          </w:tcPr>
          <w:p w:rsidR="00E329F7" w:rsidRPr="00FE61CD" w:rsidRDefault="00E329F7" w:rsidP="00AE1C26">
            <w:pPr>
              <w:jc w:val="right"/>
              <w:rPr>
                <w:rFonts w:cs="Calibri"/>
                <w:color w:val="000000"/>
                <w:lang w:eastAsia="en-GB"/>
              </w:rPr>
            </w:pPr>
            <w:r w:rsidRPr="00FE61CD">
              <w:rPr>
                <w:rFonts w:cs="Calibri"/>
                <w:color w:val="000000"/>
                <w:lang w:eastAsia="en-GB"/>
              </w:rPr>
              <w:t>23.5</w:t>
            </w:r>
          </w:p>
        </w:tc>
      </w:tr>
      <w:tr w:rsidR="00E329F7" w:rsidRPr="00FE61CD" w:rsidTr="00AE1C26">
        <w:trPr>
          <w:gridAfter w:val="1"/>
          <w:wAfter w:w="80" w:type="dxa"/>
          <w:trHeight w:val="286"/>
        </w:trPr>
        <w:tc>
          <w:tcPr>
            <w:tcW w:w="2996" w:type="dxa"/>
            <w:tcBorders>
              <w:top w:val="nil"/>
              <w:left w:val="nil"/>
              <w:bottom w:val="nil"/>
              <w:right w:val="nil"/>
            </w:tcBorders>
            <w:shd w:val="clear" w:color="000000" w:fill="FFFFFF"/>
            <w:noWrap/>
            <w:vAlign w:val="bottom"/>
            <w:hideMark/>
          </w:tcPr>
          <w:p w:rsidR="00E329F7" w:rsidRPr="00FE61CD" w:rsidRDefault="00E329F7" w:rsidP="00AE1C26">
            <w:pPr>
              <w:rPr>
                <w:rFonts w:cs="Calibri"/>
                <w:b/>
                <w:bCs/>
                <w:color w:val="000000"/>
                <w:lang w:eastAsia="en-GB"/>
              </w:rPr>
            </w:pPr>
            <w:r w:rsidRPr="00FE61CD">
              <w:rPr>
                <w:rFonts w:cs="Calibri"/>
                <w:b/>
                <w:bCs/>
                <w:color w:val="000000"/>
                <w:lang w:eastAsia="en-GB"/>
              </w:rPr>
              <w:t>Total Financial assets</w:t>
            </w:r>
          </w:p>
        </w:tc>
        <w:tc>
          <w:tcPr>
            <w:tcW w:w="1087" w:type="dxa"/>
            <w:tcBorders>
              <w:top w:val="single" w:sz="4" w:space="0" w:color="auto"/>
              <w:left w:val="nil"/>
              <w:bottom w:val="single" w:sz="4" w:space="0" w:color="auto"/>
              <w:right w:val="nil"/>
            </w:tcBorders>
            <w:shd w:val="clear" w:color="000000" w:fill="FFFFFF"/>
            <w:noWrap/>
            <w:vAlign w:val="bottom"/>
            <w:hideMark/>
          </w:tcPr>
          <w:p w:rsidR="00E329F7" w:rsidRPr="00FE61CD" w:rsidRDefault="00E329F7" w:rsidP="00AE1C26">
            <w:pPr>
              <w:jc w:val="right"/>
              <w:rPr>
                <w:rFonts w:cs="Calibri"/>
                <w:b/>
                <w:bCs/>
                <w:color w:val="000000"/>
                <w:lang w:eastAsia="en-GB"/>
              </w:rPr>
            </w:pPr>
            <w:r w:rsidRPr="00FE61CD">
              <w:rPr>
                <w:rFonts w:cs="Calibri"/>
                <w:b/>
                <w:bCs/>
                <w:color w:val="000000"/>
                <w:lang w:eastAsia="en-GB"/>
              </w:rPr>
              <w:t>23.5</w:t>
            </w:r>
          </w:p>
        </w:tc>
        <w:tc>
          <w:tcPr>
            <w:tcW w:w="1330" w:type="dxa"/>
            <w:gridSpan w:val="2"/>
            <w:tcBorders>
              <w:top w:val="single" w:sz="4" w:space="0" w:color="auto"/>
              <w:left w:val="nil"/>
              <w:bottom w:val="single" w:sz="4" w:space="0" w:color="auto"/>
              <w:right w:val="nil"/>
            </w:tcBorders>
            <w:shd w:val="clear" w:color="000000" w:fill="FFFFFF"/>
            <w:noWrap/>
            <w:vAlign w:val="bottom"/>
            <w:hideMark/>
          </w:tcPr>
          <w:p w:rsidR="00E329F7" w:rsidRPr="00FE61CD" w:rsidRDefault="00E329F7" w:rsidP="00AE1C26">
            <w:pPr>
              <w:jc w:val="right"/>
              <w:rPr>
                <w:rFonts w:cs="Calibri"/>
                <w:b/>
                <w:bCs/>
                <w:color w:val="000000"/>
                <w:lang w:eastAsia="en-GB"/>
              </w:rPr>
            </w:pPr>
            <w:r w:rsidRPr="00FE61CD">
              <w:rPr>
                <w:rFonts w:cs="Calibri"/>
                <w:b/>
                <w:bCs/>
                <w:color w:val="000000"/>
                <w:lang w:eastAsia="en-GB"/>
              </w:rPr>
              <w:t>737.9</w:t>
            </w:r>
          </w:p>
        </w:tc>
        <w:tc>
          <w:tcPr>
            <w:tcW w:w="1531" w:type="dxa"/>
            <w:gridSpan w:val="2"/>
            <w:tcBorders>
              <w:top w:val="single" w:sz="4" w:space="0" w:color="auto"/>
              <w:left w:val="nil"/>
              <w:bottom w:val="single" w:sz="4" w:space="0" w:color="auto"/>
              <w:right w:val="nil"/>
            </w:tcBorders>
            <w:shd w:val="clear" w:color="000000" w:fill="FFFFFF"/>
            <w:noWrap/>
            <w:vAlign w:val="bottom"/>
            <w:hideMark/>
          </w:tcPr>
          <w:p w:rsidR="00E329F7" w:rsidRPr="00FE61CD" w:rsidRDefault="00E329F7" w:rsidP="00AE1C26">
            <w:pPr>
              <w:jc w:val="right"/>
              <w:rPr>
                <w:rFonts w:cs="Calibri"/>
                <w:b/>
                <w:bCs/>
                <w:color w:val="000000"/>
                <w:lang w:eastAsia="en-GB"/>
              </w:rPr>
            </w:pPr>
            <w:r w:rsidRPr="00FE61CD">
              <w:rPr>
                <w:rFonts w:cs="Calibri"/>
                <w:b/>
                <w:bCs/>
                <w:color w:val="000000"/>
                <w:lang w:eastAsia="en-GB"/>
              </w:rPr>
              <w:t>95.0</w:t>
            </w:r>
          </w:p>
        </w:tc>
        <w:tc>
          <w:tcPr>
            <w:tcW w:w="1416" w:type="dxa"/>
            <w:gridSpan w:val="2"/>
            <w:tcBorders>
              <w:top w:val="single" w:sz="4" w:space="0" w:color="auto"/>
              <w:left w:val="nil"/>
              <w:bottom w:val="single" w:sz="4" w:space="0" w:color="auto"/>
              <w:right w:val="nil"/>
            </w:tcBorders>
            <w:shd w:val="clear" w:color="000000" w:fill="FFFFFF"/>
            <w:noWrap/>
            <w:vAlign w:val="bottom"/>
            <w:hideMark/>
          </w:tcPr>
          <w:p w:rsidR="00E329F7" w:rsidRPr="00FE61CD" w:rsidRDefault="00E329F7" w:rsidP="00AE1C26">
            <w:pPr>
              <w:jc w:val="right"/>
              <w:rPr>
                <w:rFonts w:cs="Calibri"/>
                <w:b/>
                <w:bCs/>
                <w:color w:val="000000"/>
                <w:lang w:eastAsia="en-GB"/>
              </w:rPr>
            </w:pPr>
            <w:r w:rsidRPr="00FE61CD">
              <w:rPr>
                <w:rFonts w:cs="Calibri"/>
                <w:b/>
                <w:bCs/>
                <w:color w:val="000000"/>
                <w:lang w:eastAsia="en-GB"/>
              </w:rPr>
              <w:t>856.4</w:t>
            </w:r>
          </w:p>
        </w:tc>
      </w:tr>
      <w:tr w:rsidR="00E329F7" w:rsidRPr="00FE61CD" w:rsidTr="00AE1C26">
        <w:trPr>
          <w:gridAfter w:val="1"/>
          <w:wAfter w:w="80" w:type="dxa"/>
          <w:trHeight w:val="286"/>
        </w:trPr>
        <w:tc>
          <w:tcPr>
            <w:tcW w:w="2996" w:type="dxa"/>
            <w:tcBorders>
              <w:top w:val="nil"/>
              <w:left w:val="nil"/>
              <w:bottom w:val="nil"/>
              <w:right w:val="nil"/>
            </w:tcBorders>
            <w:shd w:val="clear" w:color="000000" w:fill="FFFFFF"/>
            <w:noWrap/>
            <w:vAlign w:val="bottom"/>
            <w:hideMark/>
          </w:tcPr>
          <w:p w:rsidR="00E329F7" w:rsidRPr="00FE61CD" w:rsidRDefault="00E329F7" w:rsidP="00AE1C26">
            <w:pPr>
              <w:rPr>
                <w:rFonts w:cs="Calibri"/>
                <w:color w:val="000000"/>
                <w:lang w:eastAsia="en-GB"/>
              </w:rPr>
            </w:pPr>
            <w:r w:rsidRPr="00FE61CD">
              <w:rPr>
                <w:rFonts w:cs="Calibri"/>
                <w:color w:val="000000"/>
                <w:lang w:eastAsia="en-GB"/>
              </w:rPr>
              <w:t> </w:t>
            </w:r>
          </w:p>
        </w:tc>
        <w:tc>
          <w:tcPr>
            <w:tcW w:w="1087" w:type="dxa"/>
            <w:tcBorders>
              <w:top w:val="nil"/>
              <w:left w:val="nil"/>
              <w:bottom w:val="nil"/>
              <w:right w:val="nil"/>
            </w:tcBorders>
            <w:shd w:val="clear" w:color="000000" w:fill="FFFFFF"/>
            <w:noWrap/>
            <w:vAlign w:val="bottom"/>
            <w:hideMark/>
          </w:tcPr>
          <w:p w:rsidR="00E329F7" w:rsidRPr="00FE61CD" w:rsidRDefault="00E329F7" w:rsidP="00AE1C26">
            <w:pPr>
              <w:rPr>
                <w:rFonts w:cs="Calibri"/>
                <w:color w:val="000000"/>
                <w:lang w:eastAsia="en-GB"/>
              </w:rPr>
            </w:pPr>
            <w:r w:rsidRPr="00FE61CD">
              <w:rPr>
                <w:rFonts w:cs="Calibri"/>
                <w:color w:val="000000"/>
                <w:lang w:eastAsia="en-GB"/>
              </w:rPr>
              <w:t> </w:t>
            </w:r>
          </w:p>
        </w:tc>
        <w:tc>
          <w:tcPr>
            <w:tcW w:w="1330" w:type="dxa"/>
            <w:gridSpan w:val="2"/>
            <w:tcBorders>
              <w:top w:val="nil"/>
              <w:left w:val="nil"/>
              <w:bottom w:val="nil"/>
              <w:right w:val="nil"/>
            </w:tcBorders>
            <w:shd w:val="clear" w:color="000000" w:fill="FFFFFF"/>
            <w:noWrap/>
            <w:vAlign w:val="bottom"/>
            <w:hideMark/>
          </w:tcPr>
          <w:p w:rsidR="00E329F7" w:rsidRPr="00FE61CD" w:rsidRDefault="00E329F7" w:rsidP="00AE1C26">
            <w:pPr>
              <w:rPr>
                <w:rFonts w:cs="Calibri"/>
                <w:color w:val="000000"/>
                <w:lang w:eastAsia="en-GB"/>
              </w:rPr>
            </w:pPr>
            <w:r w:rsidRPr="00FE61CD">
              <w:rPr>
                <w:rFonts w:cs="Calibri"/>
                <w:color w:val="000000"/>
                <w:lang w:eastAsia="en-GB"/>
              </w:rPr>
              <w:t> </w:t>
            </w:r>
          </w:p>
        </w:tc>
        <w:tc>
          <w:tcPr>
            <w:tcW w:w="1531" w:type="dxa"/>
            <w:gridSpan w:val="2"/>
            <w:tcBorders>
              <w:top w:val="nil"/>
              <w:left w:val="nil"/>
              <w:bottom w:val="nil"/>
              <w:right w:val="nil"/>
            </w:tcBorders>
            <w:shd w:val="clear" w:color="000000" w:fill="FFFFFF"/>
            <w:noWrap/>
            <w:vAlign w:val="bottom"/>
            <w:hideMark/>
          </w:tcPr>
          <w:p w:rsidR="00E329F7" w:rsidRPr="00FE61CD" w:rsidRDefault="00E329F7" w:rsidP="00AE1C26">
            <w:pPr>
              <w:rPr>
                <w:rFonts w:cs="Calibri"/>
                <w:color w:val="000000"/>
                <w:lang w:eastAsia="en-GB"/>
              </w:rPr>
            </w:pPr>
            <w:r w:rsidRPr="00FE61CD">
              <w:rPr>
                <w:rFonts w:cs="Calibri"/>
                <w:color w:val="000000"/>
                <w:lang w:eastAsia="en-GB"/>
              </w:rPr>
              <w:t> </w:t>
            </w:r>
          </w:p>
        </w:tc>
        <w:tc>
          <w:tcPr>
            <w:tcW w:w="1416" w:type="dxa"/>
            <w:gridSpan w:val="2"/>
            <w:tcBorders>
              <w:top w:val="nil"/>
              <w:left w:val="nil"/>
              <w:bottom w:val="nil"/>
              <w:right w:val="nil"/>
            </w:tcBorders>
            <w:shd w:val="clear" w:color="000000" w:fill="FFFFFF"/>
            <w:noWrap/>
            <w:vAlign w:val="bottom"/>
            <w:hideMark/>
          </w:tcPr>
          <w:p w:rsidR="00E329F7" w:rsidRPr="00FE61CD" w:rsidRDefault="00E329F7" w:rsidP="00AE1C26">
            <w:pPr>
              <w:rPr>
                <w:rFonts w:cs="Calibri"/>
                <w:color w:val="000000"/>
                <w:lang w:eastAsia="en-GB"/>
              </w:rPr>
            </w:pPr>
            <w:r w:rsidRPr="00FE61CD">
              <w:rPr>
                <w:rFonts w:cs="Calibri"/>
                <w:color w:val="000000"/>
                <w:lang w:eastAsia="en-GB"/>
              </w:rPr>
              <w:t> </w:t>
            </w:r>
          </w:p>
        </w:tc>
      </w:tr>
      <w:tr w:rsidR="00E329F7" w:rsidRPr="00FE61CD" w:rsidTr="00AE1C26">
        <w:trPr>
          <w:gridAfter w:val="1"/>
          <w:wAfter w:w="80" w:type="dxa"/>
          <w:trHeight w:val="286"/>
        </w:trPr>
        <w:tc>
          <w:tcPr>
            <w:tcW w:w="2996" w:type="dxa"/>
            <w:tcBorders>
              <w:top w:val="nil"/>
              <w:left w:val="nil"/>
              <w:bottom w:val="nil"/>
              <w:right w:val="nil"/>
            </w:tcBorders>
            <w:shd w:val="clear" w:color="000000" w:fill="FFFFFF"/>
            <w:noWrap/>
            <w:vAlign w:val="bottom"/>
            <w:hideMark/>
          </w:tcPr>
          <w:p w:rsidR="00E329F7" w:rsidRPr="00FE61CD" w:rsidRDefault="00E329F7" w:rsidP="00AE1C26">
            <w:pPr>
              <w:rPr>
                <w:rFonts w:cs="Calibri"/>
                <w:b/>
                <w:bCs/>
                <w:color w:val="000000"/>
                <w:lang w:eastAsia="en-GB"/>
              </w:rPr>
            </w:pPr>
            <w:r w:rsidRPr="00FE61CD">
              <w:rPr>
                <w:rFonts w:cs="Calibri"/>
                <w:b/>
                <w:bCs/>
                <w:color w:val="000000"/>
                <w:lang w:eastAsia="en-GB"/>
              </w:rPr>
              <w:t>Financial liabilities</w:t>
            </w:r>
          </w:p>
        </w:tc>
        <w:tc>
          <w:tcPr>
            <w:tcW w:w="1087" w:type="dxa"/>
            <w:tcBorders>
              <w:top w:val="nil"/>
              <w:left w:val="nil"/>
              <w:bottom w:val="nil"/>
              <w:right w:val="nil"/>
            </w:tcBorders>
            <w:shd w:val="clear" w:color="000000" w:fill="FFFFFF"/>
            <w:noWrap/>
            <w:vAlign w:val="bottom"/>
            <w:hideMark/>
          </w:tcPr>
          <w:p w:rsidR="00E329F7" w:rsidRPr="00FE61CD" w:rsidRDefault="00E329F7" w:rsidP="00AE1C26">
            <w:pPr>
              <w:rPr>
                <w:rFonts w:cs="Calibri"/>
                <w:color w:val="000000"/>
                <w:lang w:eastAsia="en-GB"/>
              </w:rPr>
            </w:pPr>
            <w:r w:rsidRPr="00FE61CD">
              <w:rPr>
                <w:rFonts w:cs="Calibri"/>
                <w:color w:val="000000"/>
                <w:lang w:eastAsia="en-GB"/>
              </w:rPr>
              <w:t> </w:t>
            </w:r>
          </w:p>
        </w:tc>
        <w:tc>
          <w:tcPr>
            <w:tcW w:w="1330" w:type="dxa"/>
            <w:gridSpan w:val="2"/>
            <w:tcBorders>
              <w:top w:val="nil"/>
              <w:left w:val="nil"/>
              <w:bottom w:val="nil"/>
              <w:right w:val="nil"/>
            </w:tcBorders>
            <w:shd w:val="clear" w:color="000000" w:fill="FFFFFF"/>
            <w:noWrap/>
            <w:vAlign w:val="bottom"/>
            <w:hideMark/>
          </w:tcPr>
          <w:p w:rsidR="00E329F7" w:rsidRPr="00FE61CD" w:rsidRDefault="00E329F7" w:rsidP="00AE1C26">
            <w:pPr>
              <w:rPr>
                <w:rFonts w:cs="Calibri"/>
                <w:color w:val="000000"/>
                <w:lang w:eastAsia="en-GB"/>
              </w:rPr>
            </w:pPr>
            <w:r w:rsidRPr="00FE61CD">
              <w:rPr>
                <w:rFonts w:cs="Calibri"/>
                <w:color w:val="000000"/>
                <w:lang w:eastAsia="en-GB"/>
              </w:rPr>
              <w:t> </w:t>
            </w:r>
          </w:p>
        </w:tc>
        <w:tc>
          <w:tcPr>
            <w:tcW w:w="1531" w:type="dxa"/>
            <w:gridSpan w:val="2"/>
            <w:tcBorders>
              <w:top w:val="nil"/>
              <w:left w:val="nil"/>
              <w:bottom w:val="nil"/>
              <w:right w:val="nil"/>
            </w:tcBorders>
            <w:shd w:val="clear" w:color="000000" w:fill="FFFFFF"/>
            <w:noWrap/>
            <w:vAlign w:val="bottom"/>
            <w:hideMark/>
          </w:tcPr>
          <w:p w:rsidR="00E329F7" w:rsidRPr="00FE61CD" w:rsidRDefault="00E329F7" w:rsidP="00AE1C26">
            <w:pPr>
              <w:rPr>
                <w:rFonts w:cs="Calibri"/>
                <w:color w:val="000000"/>
                <w:lang w:eastAsia="en-GB"/>
              </w:rPr>
            </w:pPr>
            <w:r w:rsidRPr="00FE61CD">
              <w:rPr>
                <w:rFonts w:cs="Calibri"/>
                <w:color w:val="000000"/>
                <w:lang w:eastAsia="en-GB"/>
              </w:rPr>
              <w:t> </w:t>
            </w:r>
          </w:p>
        </w:tc>
        <w:tc>
          <w:tcPr>
            <w:tcW w:w="1416" w:type="dxa"/>
            <w:gridSpan w:val="2"/>
            <w:tcBorders>
              <w:top w:val="nil"/>
              <w:left w:val="nil"/>
              <w:bottom w:val="nil"/>
              <w:right w:val="nil"/>
            </w:tcBorders>
            <w:shd w:val="clear" w:color="000000" w:fill="FFFFFF"/>
            <w:noWrap/>
            <w:vAlign w:val="bottom"/>
            <w:hideMark/>
          </w:tcPr>
          <w:p w:rsidR="00E329F7" w:rsidRPr="00FE61CD" w:rsidRDefault="00E329F7" w:rsidP="00AE1C26">
            <w:pPr>
              <w:rPr>
                <w:rFonts w:cs="Calibri"/>
                <w:color w:val="000000"/>
                <w:lang w:eastAsia="en-GB"/>
              </w:rPr>
            </w:pPr>
            <w:r w:rsidRPr="00FE61CD">
              <w:rPr>
                <w:rFonts w:cs="Calibri"/>
                <w:color w:val="000000"/>
                <w:lang w:eastAsia="en-GB"/>
              </w:rPr>
              <w:t> </w:t>
            </w:r>
          </w:p>
        </w:tc>
      </w:tr>
      <w:tr w:rsidR="00E329F7" w:rsidRPr="00FE61CD" w:rsidTr="00AE1C26">
        <w:trPr>
          <w:gridAfter w:val="1"/>
          <w:wAfter w:w="80" w:type="dxa"/>
          <w:trHeight w:val="571"/>
        </w:trPr>
        <w:tc>
          <w:tcPr>
            <w:tcW w:w="2996" w:type="dxa"/>
            <w:tcBorders>
              <w:top w:val="nil"/>
              <w:left w:val="nil"/>
              <w:bottom w:val="nil"/>
              <w:right w:val="nil"/>
            </w:tcBorders>
            <w:shd w:val="clear" w:color="000000" w:fill="FFFFFF"/>
            <w:vAlign w:val="bottom"/>
            <w:hideMark/>
          </w:tcPr>
          <w:p w:rsidR="00E329F7" w:rsidRPr="00FE61CD" w:rsidRDefault="00E329F7" w:rsidP="00AE1C26">
            <w:pPr>
              <w:rPr>
                <w:rFonts w:cs="Calibri"/>
                <w:color w:val="000000"/>
                <w:lang w:eastAsia="en-GB"/>
              </w:rPr>
            </w:pPr>
            <w:r w:rsidRPr="00FE61CD">
              <w:rPr>
                <w:rFonts w:cs="Calibri"/>
                <w:color w:val="000000"/>
                <w:lang w:eastAsia="en-GB"/>
              </w:rPr>
              <w:t>Financial liabilities at amortised cost</w:t>
            </w:r>
          </w:p>
        </w:tc>
        <w:tc>
          <w:tcPr>
            <w:tcW w:w="1087" w:type="dxa"/>
            <w:tcBorders>
              <w:top w:val="nil"/>
              <w:left w:val="nil"/>
              <w:bottom w:val="nil"/>
              <w:right w:val="nil"/>
            </w:tcBorders>
            <w:shd w:val="clear" w:color="000000" w:fill="FFFFFF"/>
            <w:noWrap/>
            <w:vAlign w:val="bottom"/>
            <w:hideMark/>
          </w:tcPr>
          <w:p w:rsidR="00E329F7" w:rsidRPr="00FE61CD" w:rsidRDefault="00E329F7" w:rsidP="00AE1C26">
            <w:pPr>
              <w:jc w:val="right"/>
              <w:rPr>
                <w:rFonts w:cs="Calibri"/>
                <w:lang w:eastAsia="en-GB"/>
              </w:rPr>
            </w:pPr>
            <w:r w:rsidRPr="00FE61CD">
              <w:rPr>
                <w:rFonts w:cs="Calibri"/>
                <w:lang w:eastAsia="en-GB"/>
              </w:rPr>
              <w:t>(0.9)</w:t>
            </w:r>
          </w:p>
        </w:tc>
        <w:tc>
          <w:tcPr>
            <w:tcW w:w="1330" w:type="dxa"/>
            <w:gridSpan w:val="2"/>
            <w:tcBorders>
              <w:top w:val="nil"/>
              <w:left w:val="nil"/>
              <w:bottom w:val="nil"/>
              <w:right w:val="nil"/>
            </w:tcBorders>
            <w:shd w:val="clear" w:color="000000" w:fill="FFFFFF"/>
            <w:noWrap/>
            <w:vAlign w:val="bottom"/>
            <w:hideMark/>
          </w:tcPr>
          <w:p w:rsidR="00E329F7" w:rsidRPr="00FE61CD" w:rsidRDefault="00E329F7" w:rsidP="00AE1C26">
            <w:pPr>
              <w:jc w:val="right"/>
              <w:rPr>
                <w:rFonts w:cs="Calibri"/>
                <w:lang w:eastAsia="en-GB"/>
              </w:rPr>
            </w:pPr>
            <w:r w:rsidRPr="00FE61CD">
              <w:rPr>
                <w:rFonts w:cs="Calibri"/>
                <w:lang w:eastAsia="en-GB"/>
              </w:rPr>
              <w:t>0.0</w:t>
            </w:r>
          </w:p>
        </w:tc>
        <w:tc>
          <w:tcPr>
            <w:tcW w:w="1531" w:type="dxa"/>
            <w:gridSpan w:val="2"/>
            <w:tcBorders>
              <w:top w:val="nil"/>
              <w:left w:val="nil"/>
              <w:bottom w:val="nil"/>
              <w:right w:val="nil"/>
            </w:tcBorders>
            <w:shd w:val="clear" w:color="000000" w:fill="FFFFFF"/>
            <w:noWrap/>
            <w:vAlign w:val="bottom"/>
            <w:hideMark/>
          </w:tcPr>
          <w:p w:rsidR="00E329F7" w:rsidRPr="00FE61CD" w:rsidRDefault="00E329F7" w:rsidP="00AE1C26">
            <w:pPr>
              <w:jc w:val="right"/>
              <w:rPr>
                <w:rFonts w:cs="Calibri"/>
                <w:lang w:eastAsia="en-GB"/>
              </w:rPr>
            </w:pPr>
            <w:r w:rsidRPr="00FE61CD">
              <w:rPr>
                <w:rFonts w:cs="Calibri"/>
                <w:lang w:eastAsia="en-GB"/>
              </w:rPr>
              <w:t>0.0</w:t>
            </w:r>
          </w:p>
        </w:tc>
        <w:tc>
          <w:tcPr>
            <w:tcW w:w="1416" w:type="dxa"/>
            <w:gridSpan w:val="2"/>
            <w:tcBorders>
              <w:top w:val="nil"/>
              <w:left w:val="nil"/>
              <w:bottom w:val="nil"/>
              <w:right w:val="nil"/>
            </w:tcBorders>
            <w:shd w:val="clear" w:color="000000" w:fill="FFFFFF"/>
            <w:noWrap/>
            <w:vAlign w:val="bottom"/>
            <w:hideMark/>
          </w:tcPr>
          <w:p w:rsidR="00E329F7" w:rsidRPr="00FE61CD" w:rsidRDefault="00E329F7" w:rsidP="00AE1C26">
            <w:pPr>
              <w:jc w:val="right"/>
              <w:rPr>
                <w:rFonts w:cs="Calibri"/>
                <w:lang w:eastAsia="en-GB"/>
              </w:rPr>
            </w:pPr>
            <w:r w:rsidRPr="00FE61CD">
              <w:rPr>
                <w:rFonts w:cs="Calibri"/>
                <w:lang w:eastAsia="en-GB"/>
              </w:rPr>
              <w:t>(0.9)</w:t>
            </w:r>
          </w:p>
        </w:tc>
      </w:tr>
      <w:tr w:rsidR="00E329F7" w:rsidRPr="00FE61CD" w:rsidTr="00AE1C26">
        <w:trPr>
          <w:gridAfter w:val="1"/>
          <w:wAfter w:w="80" w:type="dxa"/>
          <w:trHeight w:val="286"/>
        </w:trPr>
        <w:tc>
          <w:tcPr>
            <w:tcW w:w="2996" w:type="dxa"/>
            <w:tcBorders>
              <w:top w:val="nil"/>
              <w:left w:val="nil"/>
              <w:bottom w:val="nil"/>
              <w:right w:val="nil"/>
            </w:tcBorders>
            <w:shd w:val="clear" w:color="000000" w:fill="FFFFFF"/>
            <w:noWrap/>
            <w:vAlign w:val="bottom"/>
            <w:hideMark/>
          </w:tcPr>
          <w:p w:rsidR="00E329F7" w:rsidRPr="00FE61CD" w:rsidRDefault="00E329F7" w:rsidP="00AE1C26">
            <w:pPr>
              <w:rPr>
                <w:rFonts w:cs="Calibri"/>
                <w:b/>
                <w:bCs/>
                <w:color w:val="000000"/>
                <w:lang w:eastAsia="en-GB"/>
              </w:rPr>
            </w:pPr>
            <w:r w:rsidRPr="00FE61CD">
              <w:rPr>
                <w:rFonts w:cs="Calibri"/>
                <w:b/>
                <w:bCs/>
                <w:color w:val="000000"/>
                <w:lang w:eastAsia="en-GB"/>
              </w:rPr>
              <w:t>Total Financial liabilities</w:t>
            </w:r>
          </w:p>
        </w:tc>
        <w:tc>
          <w:tcPr>
            <w:tcW w:w="1087" w:type="dxa"/>
            <w:tcBorders>
              <w:top w:val="single" w:sz="4" w:space="0" w:color="auto"/>
              <w:left w:val="nil"/>
              <w:bottom w:val="single" w:sz="4" w:space="0" w:color="auto"/>
              <w:right w:val="nil"/>
            </w:tcBorders>
            <w:shd w:val="clear" w:color="000000" w:fill="FFFFFF"/>
            <w:noWrap/>
            <w:vAlign w:val="bottom"/>
            <w:hideMark/>
          </w:tcPr>
          <w:p w:rsidR="00E329F7" w:rsidRPr="00FE61CD" w:rsidRDefault="00E329F7" w:rsidP="00AE1C26">
            <w:pPr>
              <w:jc w:val="right"/>
              <w:rPr>
                <w:rFonts w:cs="Calibri"/>
                <w:b/>
                <w:bCs/>
                <w:lang w:eastAsia="en-GB"/>
              </w:rPr>
            </w:pPr>
            <w:r w:rsidRPr="00FE61CD">
              <w:rPr>
                <w:rFonts w:cs="Calibri"/>
                <w:b/>
                <w:bCs/>
                <w:lang w:eastAsia="en-GB"/>
              </w:rPr>
              <w:t>(0.9)</w:t>
            </w:r>
          </w:p>
        </w:tc>
        <w:tc>
          <w:tcPr>
            <w:tcW w:w="1330" w:type="dxa"/>
            <w:gridSpan w:val="2"/>
            <w:tcBorders>
              <w:top w:val="single" w:sz="4" w:space="0" w:color="auto"/>
              <w:left w:val="nil"/>
              <w:bottom w:val="single" w:sz="4" w:space="0" w:color="auto"/>
              <w:right w:val="nil"/>
            </w:tcBorders>
            <w:shd w:val="clear" w:color="000000" w:fill="FFFFFF"/>
            <w:noWrap/>
            <w:vAlign w:val="bottom"/>
            <w:hideMark/>
          </w:tcPr>
          <w:p w:rsidR="00E329F7" w:rsidRPr="00FE61CD" w:rsidRDefault="00E329F7" w:rsidP="00AE1C26">
            <w:pPr>
              <w:jc w:val="right"/>
              <w:rPr>
                <w:rFonts w:cs="Calibri"/>
                <w:b/>
                <w:bCs/>
                <w:lang w:eastAsia="en-GB"/>
              </w:rPr>
            </w:pPr>
            <w:r w:rsidRPr="00FE61CD">
              <w:rPr>
                <w:rFonts w:cs="Calibri"/>
                <w:b/>
                <w:bCs/>
                <w:lang w:eastAsia="en-GB"/>
              </w:rPr>
              <w:t>0.0</w:t>
            </w:r>
          </w:p>
        </w:tc>
        <w:tc>
          <w:tcPr>
            <w:tcW w:w="1531" w:type="dxa"/>
            <w:gridSpan w:val="2"/>
            <w:tcBorders>
              <w:top w:val="single" w:sz="4" w:space="0" w:color="auto"/>
              <w:left w:val="nil"/>
              <w:bottom w:val="single" w:sz="4" w:space="0" w:color="auto"/>
              <w:right w:val="nil"/>
            </w:tcBorders>
            <w:shd w:val="clear" w:color="000000" w:fill="FFFFFF"/>
            <w:noWrap/>
            <w:vAlign w:val="bottom"/>
            <w:hideMark/>
          </w:tcPr>
          <w:p w:rsidR="00E329F7" w:rsidRPr="00FE61CD" w:rsidRDefault="00E329F7" w:rsidP="00AE1C26">
            <w:pPr>
              <w:jc w:val="right"/>
              <w:rPr>
                <w:rFonts w:cs="Calibri"/>
                <w:b/>
                <w:bCs/>
                <w:lang w:eastAsia="en-GB"/>
              </w:rPr>
            </w:pPr>
            <w:r w:rsidRPr="00FE61CD">
              <w:rPr>
                <w:rFonts w:cs="Calibri"/>
                <w:b/>
                <w:bCs/>
                <w:lang w:eastAsia="en-GB"/>
              </w:rPr>
              <w:t>0.0</w:t>
            </w:r>
          </w:p>
        </w:tc>
        <w:tc>
          <w:tcPr>
            <w:tcW w:w="1416" w:type="dxa"/>
            <w:gridSpan w:val="2"/>
            <w:tcBorders>
              <w:top w:val="single" w:sz="4" w:space="0" w:color="auto"/>
              <w:left w:val="nil"/>
              <w:bottom w:val="single" w:sz="4" w:space="0" w:color="auto"/>
              <w:right w:val="nil"/>
            </w:tcBorders>
            <w:shd w:val="clear" w:color="000000" w:fill="FFFFFF"/>
            <w:noWrap/>
            <w:vAlign w:val="bottom"/>
            <w:hideMark/>
          </w:tcPr>
          <w:p w:rsidR="00E329F7" w:rsidRPr="00FE61CD" w:rsidRDefault="00E329F7" w:rsidP="00AE1C26">
            <w:pPr>
              <w:jc w:val="right"/>
              <w:rPr>
                <w:rFonts w:cs="Calibri"/>
                <w:b/>
                <w:bCs/>
                <w:lang w:eastAsia="en-GB"/>
              </w:rPr>
            </w:pPr>
            <w:r w:rsidRPr="00FE61CD">
              <w:rPr>
                <w:rFonts w:cs="Calibri"/>
                <w:b/>
                <w:bCs/>
                <w:lang w:eastAsia="en-GB"/>
              </w:rPr>
              <w:t>(0.9)</w:t>
            </w:r>
          </w:p>
        </w:tc>
      </w:tr>
      <w:tr w:rsidR="00E329F7" w:rsidRPr="00FE61CD" w:rsidTr="00AE1C26">
        <w:trPr>
          <w:gridAfter w:val="1"/>
          <w:wAfter w:w="80" w:type="dxa"/>
          <w:trHeight w:val="286"/>
        </w:trPr>
        <w:tc>
          <w:tcPr>
            <w:tcW w:w="2996" w:type="dxa"/>
            <w:tcBorders>
              <w:top w:val="nil"/>
              <w:left w:val="nil"/>
              <w:bottom w:val="nil"/>
              <w:right w:val="nil"/>
            </w:tcBorders>
            <w:shd w:val="clear" w:color="000000" w:fill="FFFFFF"/>
            <w:noWrap/>
            <w:vAlign w:val="bottom"/>
            <w:hideMark/>
          </w:tcPr>
          <w:p w:rsidR="00E329F7" w:rsidRPr="00FE61CD" w:rsidRDefault="00E329F7" w:rsidP="00AE1C26">
            <w:pPr>
              <w:rPr>
                <w:rFonts w:cs="Calibri"/>
                <w:color w:val="000000"/>
                <w:lang w:eastAsia="en-GB"/>
              </w:rPr>
            </w:pPr>
            <w:r w:rsidRPr="00FE61CD">
              <w:rPr>
                <w:rFonts w:cs="Calibri"/>
                <w:color w:val="000000"/>
                <w:lang w:eastAsia="en-GB"/>
              </w:rPr>
              <w:t> </w:t>
            </w:r>
          </w:p>
        </w:tc>
        <w:tc>
          <w:tcPr>
            <w:tcW w:w="1087" w:type="dxa"/>
            <w:tcBorders>
              <w:top w:val="nil"/>
              <w:left w:val="nil"/>
              <w:bottom w:val="nil"/>
              <w:right w:val="nil"/>
            </w:tcBorders>
            <w:shd w:val="clear" w:color="000000" w:fill="FFFFFF"/>
            <w:noWrap/>
            <w:vAlign w:val="bottom"/>
            <w:hideMark/>
          </w:tcPr>
          <w:p w:rsidR="00E329F7" w:rsidRPr="00FE61CD" w:rsidRDefault="00E329F7" w:rsidP="00AE1C26">
            <w:pPr>
              <w:rPr>
                <w:rFonts w:cs="Calibri"/>
                <w:color w:val="000000"/>
                <w:lang w:eastAsia="en-GB"/>
              </w:rPr>
            </w:pPr>
            <w:r w:rsidRPr="00FE61CD">
              <w:rPr>
                <w:rFonts w:cs="Calibri"/>
                <w:color w:val="000000"/>
                <w:lang w:eastAsia="en-GB"/>
              </w:rPr>
              <w:t> </w:t>
            </w:r>
          </w:p>
        </w:tc>
        <w:tc>
          <w:tcPr>
            <w:tcW w:w="1330" w:type="dxa"/>
            <w:gridSpan w:val="2"/>
            <w:tcBorders>
              <w:top w:val="nil"/>
              <w:left w:val="nil"/>
              <w:bottom w:val="nil"/>
              <w:right w:val="nil"/>
            </w:tcBorders>
            <w:shd w:val="clear" w:color="000000" w:fill="FFFFFF"/>
            <w:noWrap/>
            <w:vAlign w:val="bottom"/>
            <w:hideMark/>
          </w:tcPr>
          <w:p w:rsidR="00E329F7" w:rsidRPr="00FE61CD" w:rsidRDefault="00E329F7" w:rsidP="00AE1C26">
            <w:pPr>
              <w:rPr>
                <w:rFonts w:cs="Calibri"/>
                <w:color w:val="000000"/>
                <w:lang w:eastAsia="en-GB"/>
              </w:rPr>
            </w:pPr>
            <w:r w:rsidRPr="00FE61CD">
              <w:rPr>
                <w:rFonts w:cs="Calibri"/>
                <w:color w:val="000000"/>
                <w:lang w:eastAsia="en-GB"/>
              </w:rPr>
              <w:t> </w:t>
            </w:r>
          </w:p>
        </w:tc>
        <w:tc>
          <w:tcPr>
            <w:tcW w:w="1531" w:type="dxa"/>
            <w:gridSpan w:val="2"/>
            <w:tcBorders>
              <w:top w:val="nil"/>
              <w:left w:val="nil"/>
              <w:bottom w:val="nil"/>
              <w:right w:val="nil"/>
            </w:tcBorders>
            <w:shd w:val="clear" w:color="000000" w:fill="FFFFFF"/>
            <w:noWrap/>
            <w:vAlign w:val="bottom"/>
            <w:hideMark/>
          </w:tcPr>
          <w:p w:rsidR="00E329F7" w:rsidRPr="00FE61CD" w:rsidRDefault="00E329F7" w:rsidP="00AE1C26">
            <w:pPr>
              <w:rPr>
                <w:rFonts w:cs="Calibri"/>
                <w:color w:val="000000"/>
                <w:lang w:eastAsia="en-GB"/>
              </w:rPr>
            </w:pPr>
            <w:r w:rsidRPr="00FE61CD">
              <w:rPr>
                <w:rFonts w:cs="Calibri"/>
                <w:color w:val="000000"/>
                <w:lang w:eastAsia="en-GB"/>
              </w:rPr>
              <w:t> </w:t>
            </w:r>
          </w:p>
        </w:tc>
        <w:tc>
          <w:tcPr>
            <w:tcW w:w="1416" w:type="dxa"/>
            <w:gridSpan w:val="2"/>
            <w:tcBorders>
              <w:top w:val="nil"/>
              <w:left w:val="nil"/>
              <w:bottom w:val="nil"/>
              <w:right w:val="nil"/>
            </w:tcBorders>
            <w:shd w:val="clear" w:color="000000" w:fill="FFFFFF"/>
            <w:noWrap/>
            <w:vAlign w:val="bottom"/>
            <w:hideMark/>
          </w:tcPr>
          <w:p w:rsidR="00E329F7" w:rsidRPr="00FE61CD" w:rsidRDefault="00E329F7" w:rsidP="00AE1C26">
            <w:pPr>
              <w:rPr>
                <w:rFonts w:cs="Calibri"/>
                <w:color w:val="000000"/>
                <w:lang w:eastAsia="en-GB"/>
              </w:rPr>
            </w:pPr>
            <w:r w:rsidRPr="00FE61CD">
              <w:rPr>
                <w:rFonts w:cs="Calibri"/>
                <w:color w:val="000000"/>
                <w:lang w:eastAsia="en-GB"/>
              </w:rPr>
              <w:t> </w:t>
            </w:r>
          </w:p>
        </w:tc>
      </w:tr>
      <w:tr w:rsidR="00E329F7" w:rsidRPr="00FE61CD" w:rsidTr="00AE1C26">
        <w:trPr>
          <w:gridAfter w:val="1"/>
          <w:wAfter w:w="80" w:type="dxa"/>
          <w:trHeight w:val="299"/>
        </w:trPr>
        <w:tc>
          <w:tcPr>
            <w:tcW w:w="2996" w:type="dxa"/>
            <w:tcBorders>
              <w:top w:val="nil"/>
              <w:left w:val="nil"/>
              <w:bottom w:val="nil"/>
              <w:right w:val="nil"/>
            </w:tcBorders>
            <w:shd w:val="clear" w:color="000000" w:fill="FFFFFF"/>
            <w:noWrap/>
            <w:vAlign w:val="bottom"/>
            <w:hideMark/>
          </w:tcPr>
          <w:p w:rsidR="00E329F7" w:rsidRPr="00FE61CD" w:rsidRDefault="00E329F7" w:rsidP="00AE1C26">
            <w:pPr>
              <w:rPr>
                <w:rFonts w:cs="Calibri"/>
                <w:b/>
                <w:bCs/>
                <w:color w:val="000000"/>
                <w:lang w:eastAsia="en-GB"/>
              </w:rPr>
            </w:pPr>
            <w:r w:rsidRPr="00FE61CD">
              <w:rPr>
                <w:rFonts w:cs="Calibri"/>
                <w:b/>
                <w:bCs/>
                <w:color w:val="000000"/>
                <w:lang w:eastAsia="en-GB"/>
              </w:rPr>
              <w:t>Net Financial assets</w:t>
            </w:r>
          </w:p>
        </w:tc>
        <w:tc>
          <w:tcPr>
            <w:tcW w:w="1087" w:type="dxa"/>
            <w:tcBorders>
              <w:top w:val="single" w:sz="4" w:space="0" w:color="auto"/>
              <w:left w:val="nil"/>
              <w:bottom w:val="double" w:sz="6" w:space="0" w:color="auto"/>
              <w:right w:val="nil"/>
            </w:tcBorders>
            <w:shd w:val="clear" w:color="000000" w:fill="FFFFFF"/>
            <w:noWrap/>
            <w:vAlign w:val="bottom"/>
            <w:hideMark/>
          </w:tcPr>
          <w:p w:rsidR="00E329F7" w:rsidRPr="00FE61CD" w:rsidRDefault="00E329F7" w:rsidP="00AE1C26">
            <w:pPr>
              <w:jc w:val="right"/>
              <w:rPr>
                <w:rFonts w:cs="Calibri"/>
                <w:b/>
                <w:bCs/>
                <w:color w:val="000000"/>
                <w:lang w:eastAsia="en-GB"/>
              </w:rPr>
            </w:pPr>
            <w:r w:rsidRPr="00FE61CD">
              <w:rPr>
                <w:rFonts w:cs="Calibri"/>
                <w:b/>
                <w:bCs/>
                <w:color w:val="000000"/>
                <w:lang w:eastAsia="en-GB"/>
              </w:rPr>
              <w:t>22.6</w:t>
            </w:r>
          </w:p>
        </w:tc>
        <w:tc>
          <w:tcPr>
            <w:tcW w:w="1330" w:type="dxa"/>
            <w:gridSpan w:val="2"/>
            <w:tcBorders>
              <w:top w:val="single" w:sz="4" w:space="0" w:color="auto"/>
              <w:left w:val="nil"/>
              <w:bottom w:val="double" w:sz="6" w:space="0" w:color="auto"/>
              <w:right w:val="nil"/>
            </w:tcBorders>
            <w:shd w:val="clear" w:color="000000" w:fill="FFFFFF"/>
            <w:noWrap/>
            <w:vAlign w:val="bottom"/>
            <w:hideMark/>
          </w:tcPr>
          <w:p w:rsidR="00E329F7" w:rsidRPr="00FE61CD" w:rsidRDefault="00E329F7" w:rsidP="00AE1C26">
            <w:pPr>
              <w:jc w:val="right"/>
              <w:rPr>
                <w:rFonts w:cs="Calibri"/>
                <w:b/>
                <w:bCs/>
                <w:color w:val="000000"/>
                <w:lang w:eastAsia="en-GB"/>
              </w:rPr>
            </w:pPr>
            <w:r w:rsidRPr="00FE61CD">
              <w:rPr>
                <w:rFonts w:cs="Calibri"/>
                <w:b/>
                <w:bCs/>
                <w:color w:val="000000"/>
                <w:lang w:eastAsia="en-GB"/>
              </w:rPr>
              <w:t>737.9</w:t>
            </w:r>
          </w:p>
        </w:tc>
        <w:tc>
          <w:tcPr>
            <w:tcW w:w="1531" w:type="dxa"/>
            <w:gridSpan w:val="2"/>
            <w:tcBorders>
              <w:top w:val="single" w:sz="4" w:space="0" w:color="auto"/>
              <w:left w:val="nil"/>
              <w:bottom w:val="double" w:sz="6" w:space="0" w:color="auto"/>
              <w:right w:val="nil"/>
            </w:tcBorders>
            <w:shd w:val="clear" w:color="000000" w:fill="FFFFFF"/>
            <w:noWrap/>
            <w:vAlign w:val="bottom"/>
            <w:hideMark/>
          </w:tcPr>
          <w:p w:rsidR="00E329F7" w:rsidRPr="00FE61CD" w:rsidRDefault="00E329F7" w:rsidP="00AE1C26">
            <w:pPr>
              <w:jc w:val="right"/>
              <w:rPr>
                <w:rFonts w:cs="Calibri"/>
                <w:b/>
                <w:bCs/>
                <w:color w:val="000000"/>
                <w:lang w:eastAsia="en-GB"/>
              </w:rPr>
            </w:pPr>
            <w:r w:rsidRPr="00FE61CD">
              <w:rPr>
                <w:rFonts w:cs="Calibri"/>
                <w:b/>
                <w:bCs/>
                <w:color w:val="000000"/>
                <w:lang w:eastAsia="en-GB"/>
              </w:rPr>
              <w:t>95.0</w:t>
            </w:r>
          </w:p>
        </w:tc>
        <w:tc>
          <w:tcPr>
            <w:tcW w:w="1416" w:type="dxa"/>
            <w:gridSpan w:val="2"/>
            <w:tcBorders>
              <w:top w:val="single" w:sz="4" w:space="0" w:color="auto"/>
              <w:left w:val="nil"/>
              <w:bottom w:val="double" w:sz="6" w:space="0" w:color="auto"/>
              <w:right w:val="nil"/>
            </w:tcBorders>
            <w:shd w:val="clear" w:color="000000" w:fill="FFFFFF"/>
            <w:noWrap/>
            <w:vAlign w:val="bottom"/>
            <w:hideMark/>
          </w:tcPr>
          <w:p w:rsidR="00E329F7" w:rsidRPr="00FE61CD" w:rsidRDefault="00E329F7" w:rsidP="00AE1C26">
            <w:pPr>
              <w:jc w:val="right"/>
              <w:rPr>
                <w:rFonts w:cs="Calibri"/>
                <w:b/>
                <w:bCs/>
                <w:color w:val="000000"/>
                <w:lang w:eastAsia="en-GB"/>
              </w:rPr>
            </w:pPr>
            <w:r w:rsidRPr="00FE61CD">
              <w:rPr>
                <w:rFonts w:cs="Calibri"/>
                <w:b/>
                <w:bCs/>
                <w:color w:val="000000"/>
                <w:lang w:eastAsia="en-GB"/>
              </w:rPr>
              <w:t>855.5</w:t>
            </w:r>
          </w:p>
        </w:tc>
      </w:tr>
      <w:tr w:rsidR="00E329F7" w:rsidRPr="00FE61CD" w:rsidTr="00AE1C26">
        <w:trPr>
          <w:gridAfter w:val="1"/>
          <w:wAfter w:w="80" w:type="dxa"/>
          <w:trHeight w:val="299"/>
        </w:trPr>
        <w:tc>
          <w:tcPr>
            <w:tcW w:w="2996" w:type="dxa"/>
            <w:tcBorders>
              <w:top w:val="nil"/>
              <w:left w:val="nil"/>
              <w:bottom w:val="nil"/>
              <w:right w:val="nil"/>
            </w:tcBorders>
            <w:shd w:val="clear" w:color="000000" w:fill="FFFFFF"/>
            <w:noWrap/>
            <w:vAlign w:val="bottom"/>
            <w:hideMark/>
          </w:tcPr>
          <w:p w:rsidR="00E329F7" w:rsidRPr="00FE61CD" w:rsidRDefault="00E329F7" w:rsidP="00AE1C26">
            <w:pPr>
              <w:rPr>
                <w:rFonts w:cs="Calibri"/>
                <w:color w:val="000000"/>
                <w:lang w:eastAsia="en-GB"/>
              </w:rPr>
            </w:pPr>
            <w:r w:rsidRPr="00FE61CD">
              <w:rPr>
                <w:rFonts w:cs="Calibri"/>
                <w:color w:val="000000"/>
                <w:lang w:eastAsia="en-GB"/>
              </w:rPr>
              <w:t> </w:t>
            </w:r>
          </w:p>
        </w:tc>
        <w:tc>
          <w:tcPr>
            <w:tcW w:w="1087" w:type="dxa"/>
            <w:tcBorders>
              <w:top w:val="nil"/>
              <w:left w:val="nil"/>
              <w:bottom w:val="nil"/>
              <w:right w:val="nil"/>
            </w:tcBorders>
            <w:shd w:val="clear" w:color="000000" w:fill="FFFFFF"/>
            <w:noWrap/>
            <w:vAlign w:val="bottom"/>
            <w:hideMark/>
          </w:tcPr>
          <w:p w:rsidR="00E329F7" w:rsidRPr="00FE61CD" w:rsidRDefault="00E329F7" w:rsidP="00AE1C26">
            <w:pPr>
              <w:rPr>
                <w:rFonts w:cs="Calibri"/>
                <w:color w:val="000000"/>
                <w:lang w:eastAsia="en-GB"/>
              </w:rPr>
            </w:pPr>
            <w:r w:rsidRPr="00FE61CD">
              <w:rPr>
                <w:rFonts w:cs="Calibri"/>
                <w:color w:val="000000"/>
                <w:lang w:eastAsia="en-GB"/>
              </w:rPr>
              <w:t> </w:t>
            </w:r>
          </w:p>
        </w:tc>
        <w:tc>
          <w:tcPr>
            <w:tcW w:w="1330" w:type="dxa"/>
            <w:gridSpan w:val="2"/>
            <w:tcBorders>
              <w:top w:val="nil"/>
              <w:left w:val="nil"/>
              <w:bottom w:val="nil"/>
              <w:right w:val="nil"/>
            </w:tcBorders>
            <w:shd w:val="clear" w:color="000000" w:fill="FFFFFF"/>
            <w:noWrap/>
            <w:vAlign w:val="bottom"/>
            <w:hideMark/>
          </w:tcPr>
          <w:p w:rsidR="00E329F7" w:rsidRPr="00FE61CD" w:rsidRDefault="00E329F7" w:rsidP="00AE1C26">
            <w:pPr>
              <w:rPr>
                <w:rFonts w:cs="Calibri"/>
                <w:color w:val="000000"/>
                <w:lang w:eastAsia="en-GB"/>
              </w:rPr>
            </w:pPr>
            <w:r w:rsidRPr="00FE61CD">
              <w:rPr>
                <w:rFonts w:cs="Calibri"/>
                <w:color w:val="000000"/>
                <w:lang w:eastAsia="en-GB"/>
              </w:rPr>
              <w:t> </w:t>
            </w:r>
          </w:p>
        </w:tc>
        <w:tc>
          <w:tcPr>
            <w:tcW w:w="1531" w:type="dxa"/>
            <w:gridSpan w:val="2"/>
            <w:tcBorders>
              <w:top w:val="nil"/>
              <w:left w:val="nil"/>
              <w:bottom w:val="nil"/>
              <w:right w:val="nil"/>
            </w:tcBorders>
            <w:shd w:val="clear" w:color="000000" w:fill="FFFFFF"/>
            <w:noWrap/>
            <w:vAlign w:val="bottom"/>
            <w:hideMark/>
          </w:tcPr>
          <w:p w:rsidR="00E329F7" w:rsidRPr="00FE61CD" w:rsidRDefault="00E329F7" w:rsidP="00AE1C26">
            <w:pPr>
              <w:rPr>
                <w:rFonts w:cs="Calibri"/>
                <w:color w:val="000000"/>
                <w:lang w:eastAsia="en-GB"/>
              </w:rPr>
            </w:pPr>
            <w:r w:rsidRPr="00FE61CD">
              <w:rPr>
                <w:rFonts w:cs="Calibri"/>
                <w:color w:val="000000"/>
                <w:lang w:eastAsia="en-GB"/>
              </w:rPr>
              <w:t> </w:t>
            </w:r>
          </w:p>
        </w:tc>
        <w:tc>
          <w:tcPr>
            <w:tcW w:w="1416" w:type="dxa"/>
            <w:gridSpan w:val="2"/>
            <w:tcBorders>
              <w:top w:val="nil"/>
              <w:left w:val="nil"/>
              <w:bottom w:val="nil"/>
              <w:right w:val="nil"/>
            </w:tcBorders>
            <w:shd w:val="clear" w:color="000000" w:fill="FFFFFF"/>
            <w:noWrap/>
            <w:vAlign w:val="bottom"/>
            <w:hideMark/>
          </w:tcPr>
          <w:p w:rsidR="00E329F7" w:rsidRPr="00FE61CD" w:rsidRDefault="00E329F7" w:rsidP="00AE1C26">
            <w:pPr>
              <w:rPr>
                <w:rFonts w:cs="Calibri"/>
                <w:color w:val="000000"/>
                <w:lang w:eastAsia="en-GB"/>
              </w:rPr>
            </w:pPr>
            <w:r w:rsidRPr="00FE61CD">
              <w:rPr>
                <w:rFonts w:cs="Calibri"/>
                <w:color w:val="000000"/>
                <w:lang w:eastAsia="en-GB"/>
              </w:rPr>
              <w:t> </w:t>
            </w:r>
          </w:p>
        </w:tc>
      </w:tr>
    </w:tbl>
    <w:p w:rsidR="00F72906" w:rsidRDefault="00F72906" w:rsidP="00E329F7">
      <w:pPr>
        <w:pStyle w:val="Heading3"/>
      </w:pPr>
      <w:r>
        <w:t>15c. Transfers between Levels 1 and 2</w:t>
      </w:r>
    </w:p>
    <w:p w:rsidR="00F72906" w:rsidRDefault="00F72906" w:rsidP="00F72906"/>
    <w:p w:rsidR="00F72906" w:rsidRDefault="00F72906" w:rsidP="00F72906">
      <w:r>
        <w:t>There were no transfers between</w:t>
      </w:r>
      <w:r w:rsidR="00E329F7">
        <w:t xml:space="preserve"> levels 1 and 2 during the year</w:t>
      </w:r>
    </w:p>
    <w:p w:rsidR="00F72906" w:rsidRDefault="00F72906" w:rsidP="00E329F7">
      <w:pPr>
        <w:pStyle w:val="Heading3"/>
      </w:pPr>
      <w:r>
        <w:lastRenderedPageBreak/>
        <w:t xml:space="preserve">15d. Reconciliation of Fair Value Measurements within Level 3 </w:t>
      </w:r>
    </w:p>
    <w:p w:rsidR="00E329F7" w:rsidRDefault="00E329F7" w:rsidP="00E329F7"/>
    <w:tbl>
      <w:tblPr>
        <w:tblW w:w="3460" w:type="dxa"/>
        <w:tblLook w:val="04A0" w:firstRow="1" w:lastRow="0" w:firstColumn="1" w:lastColumn="0" w:noHBand="0" w:noVBand="1"/>
      </w:tblPr>
      <w:tblGrid>
        <w:gridCol w:w="2500"/>
        <w:gridCol w:w="960"/>
      </w:tblGrid>
      <w:tr w:rsidR="00E329F7" w:rsidRPr="00C37386" w:rsidTr="00AE1C26">
        <w:trPr>
          <w:trHeight w:val="300"/>
        </w:trPr>
        <w:tc>
          <w:tcPr>
            <w:tcW w:w="2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29F7" w:rsidRPr="00C37386" w:rsidRDefault="00E329F7" w:rsidP="00AE1C26">
            <w:pPr>
              <w:rPr>
                <w:color w:val="000000"/>
                <w:lang w:eastAsia="en-GB"/>
              </w:rPr>
            </w:pPr>
            <w:r w:rsidRPr="00C37386">
              <w:rPr>
                <w:color w:val="000000"/>
                <w:lang w:eastAsia="en-GB"/>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E329F7" w:rsidRPr="00C37386" w:rsidRDefault="00E329F7" w:rsidP="00AE1C26">
            <w:pPr>
              <w:jc w:val="center"/>
              <w:rPr>
                <w:color w:val="000000"/>
                <w:lang w:eastAsia="en-GB"/>
              </w:rPr>
            </w:pPr>
            <w:r w:rsidRPr="00C37386">
              <w:rPr>
                <w:color w:val="000000"/>
                <w:lang w:eastAsia="en-GB"/>
              </w:rPr>
              <w:t>£m</w:t>
            </w:r>
          </w:p>
        </w:tc>
      </w:tr>
      <w:tr w:rsidR="00E329F7" w:rsidRPr="00C37386" w:rsidTr="00AE1C26">
        <w:trPr>
          <w:trHeight w:val="30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E329F7" w:rsidRPr="00C37386" w:rsidRDefault="00E329F7" w:rsidP="00AE1C26">
            <w:pPr>
              <w:rPr>
                <w:color w:val="000000"/>
                <w:lang w:eastAsia="en-GB"/>
              </w:rPr>
            </w:pPr>
            <w:r w:rsidRPr="00C37386">
              <w:rPr>
                <w:color w:val="000000"/>
                <w:lang w:eastAsia="en-GB"/>
              </w:rPr>
              <w:t>Value at 31 March 2019</w:t>
            </w:r>
          </w:p>
        </w:tc>
        <w:tc>
          <w:tcPr>
            <w:tcW w:w="960" w:type="dxa"/>
            <w:tcBorders>
              <w:top w:val="nil"/>
              <w:left w:val="nil"/>
              <w:bottom w:val="single" w:sz="4" w:space="0" w:color="auto"/>
              <w:right w:val="single" w:sz="4" w:space="0" w:color="auto"/>
            </w:tcBorders>
            <w:shd w:val="clear" w:color="auto" w:fill="auto"/>
            <w:noWrap/>
            <w:vAlign w:val="bottom"/>
            <w:hideMark/>
          </w:tcPr>
          <w:p w:rsidR="00E329F7" w:rsidRPr="00C37386" w:rsidRDefault="00E329F7" w:rsidP="00AE1C26">
            <w:pPr>
              <w:jc w:val="center"/>
              <w:rPr>
                <w:color w:val="000000"/>
                <w:lang w:eastAsia="en-GB"/>
              </w:rPr>
            </w:pPr>
            <w:r w:rsidRPr="00C37386">
              <w:rPr>
                <w:color w:val="000000"/>
                <w:lang w:eastAsia="en-GB"/>
              </w:rPr>
              <w:t>95.0</w:t>
            </w:r>
          </w:p>
        </w:tc>
      </w:tr>
      <w:tr w:rsidR="00E329F7" w:rsidRPr="00C37386" w:rsidTr="00AE1C26">
        <w:trPr>
          <w:trHeight w:val="30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E329F7" w:rsidRPr="00C37386" w:rsidRDefault="00E329F7" w:rsidP="00AE1C26">
            <w:pPr>
              <w:rPr>
                <w:color w:val="000000"/>
                <w:lang w:eastAsia="en-GB"/>
              </w:rPr>
            </w:pPr>
            <w:r w:rsidRPr="00C37386">
              <w:rPr>
                <w:color w:val="000000"/>
                <w:lang w:eastAsia="en-GB"/>
              </w:rPr>
              <w:t>Transfers into Level 3</w:t>
            </w:r>
          </w:p>
        </w:tc>
        <w:tc>
          <w:tcPr>
            <w:tcW w:w="960" w:type="dxa"/>
            <w:tcBorders>
              <w:top w:val="nil"/>
              <w:left w:val="nil"/>
              <w:bottom w:val="single" w:sz="4" w:space="0" w:color="auto"/>
              <w:right w:val="single" w:sz="4" w:space="0" w:color="auto"/>
            </w:tcBorders>
            <w:shd w:val="clear" w:color="auto" w:fill="auto"/>
            <w:noWrap/>
            <w:vAlign w:val="bottom"/>
            <w:hideMark/>
          </w:tcPr>
          <w:p w:rsidR="00E329F7" w:rsidRPr="00C37386" w:rsidRDefault="00E329F7" w:rsidP="00AE1C26">
            <w:pPr>
              <w:jc w:val="center"/>
              <w:rPr>
                <w:color w:val="000000"/>
                <w:lang w:eastAsia="en-GB"/>
              </w:rPr>
            </w:pPr>
            <w:r w:rsidRPr="00C37386">
              <w:rPr>
                <w:color w:val="000000"/>
                <w:lang w:eastAsia="en-GB"/>
              </w:rPr>
              <w:t>0</w:t>
            </w:r>
          </w:p>
        </w:tc>
      </w:tr>
      <w:tr w:rsidR="00E329F7" w:rsidRPr="00C37386" w:rsidTr="00AE1C26">
        <w:trPr>
          <w:trHeight w:val="30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E329F7" w:rsidRPr="00C37386" w:rsidRDefault="00E329F7" w:rsidP="00AE1C26">
            <w:pPr>
              <w:rPr>
                <w:color w:val="000000"/>
                <w:lang w:eastAsia="en-GB"/>
              </w:rPr>
            </w:pPr>
            <w:r w:rsidRPr="00C37386">
              <w:rPr>
                <w:color w:val="000000"/>
                <w:lang w:eastAsia="en-GB"/>
              </w:rPr>
              <w:t>Transfers out of Level 3</w:t>
            </w:r>
          </w:p>
        </w:tc>
        <w:tc>
          <w:tcPr>
            <w:tcW w:w="960" w:type="dxa"/>
            <w:tcBorders>
              <w:top w:val="nil"/>
              <w:left w:val="nil"/>
              <w:bottom w:val="single" w:sz="4" w:space="0" w:color="auto"/>
              <w:right w:val="single" w:sz="4" w:space="0" w:color="auto"/>
            </w:tcBorders>
            <w:shd w:val="clear" w:color="auto" w:fill="auto"/>
            <w:noWrap/>
            <w:vAlign w:val="bottom"/>
            <w:hideMark/>
          </w:tcPr>
          <w:p w:rsidR="00E329F7" w:rsidRPr="00C37386" w:rsidRDefault="00E329F7" w:rsidP="00AE1C26">
            <w:pPr>
              <w:jc w:val="center"/>
              <w:rPr>
                <w:color w:val="000000"/>
                <w:lang w:eastAsia="en-GB"/>
              </w:rPr>
            </w:pPr>
            <w:r w:rsidRPr="00C37386">
              <w:rPr>
                <w:color w:val="000000"/>
                <w:lang w:eastAsia="en-GB"/>
              </w:rPr>
              <w:t>0</w:t>
            </w:r>
          </w:p>
        </w:tc>
      </w:tr>
      <w:tr w:rsidR="00E329F7" w:rsidRPr="00C37386" w:rsidTr="00AE1C26">
        <w:trPr>
          <w:trHeight w:val="30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E329F7" w:rsidRPr="00C37386" w:rsidRDefault="00E329F7" w:rsidP="00AE1C26">
            <w:pPr>
              <w:rPr>
                <w:color w:val="000000"/>
                <w:lang w:eastAsia="en-GB"/>
              </w:rPr>
            </w:pPr>
            <w:r w:rsidRPr="00C37386">
              <w:rPr>
                <w:color w:val="000000"/>
                <w:lang w:eastAsia="en-GB"/>
              </w:rPr>
              <w:t>Purchases</w:t>
            </w:r>
          </w:p>
        </w:tc>
        <w:tc>
          <w:tcPr>
            <w:tcW w:w="960" w:type="dxa"/>
            <w:tcBorders>
              <w:top w:val="nil"/>
              <w:left w:val="nil"/>
              <w:bottom w:val="single" w:sz="4" w:space="0" w:color="auto"/>
              <w:right w:val="single" w:sz="4" w:space="0" w:color="auto"/>
            </w:tcBorders>
            <w:shd w:val="clear" w:color="auto" w:fill="auto"/>
            <w:noWrap/>
            <w:vAlign w:val="bottom"/>
            <w:hideMark/>
          </w:tcPr>
          <w:p w:rsidR="00E329F7" w:rsidRPr="00C37386" w:rsidRDefault="00E329F7" w:rsidP="00AE1C26">
            <w:pPr>
              <w:jc w:val="center"/>
              <w:rPr>
                <w:color w:val="000000"/>
                <w:lang w:eastAsia="en-GB"/>
              </w:rPr>
            </w:pPr>
            <w:r w:rsidRPr="00C37386">
              <w:rPr>
                <w:color w:val="000000"/>
                <w:lang w:eastAsia="en-GB"/>
              </w:rPr>
              <w:t>3.2</w:t>
            </w:r>
          </w:p>
        </w:tc>
      </w:tr>
      <w:tr w:rsidR="00E329F7" w:rsidRPr="00C37386" w:rsidTr="00AE1C26">
        <w:trPr>
          <w:trHeight w:val="30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E329F7" w:rsidRPr="00C37386" w:rsidRDefault="00E329F7" w:rsidP="00AE1C26">
            <w:pPr>
              <w:rPr>
                <w:color w:val="000000"/>
                <w:lang w:eastAsia="en-GB"/>
              </w:rPr>
            </w:pPr>
            <w:r w:rsidRPr="00C37386">
              <w:rPr>
                <w:color w:val="000000"/>
                <w:lang w:eastAsia="en-GB"/>
              </w:rPr>
              <w:t>Sales</w:t>
            </w:r>
          </w:p>
        </w:tc>
        <w:tc>
          <w:tcPr>
            <w:tcW w:w="960" w:type="dxa"/>
            <w:tcBorders>
              <w:top w:val="nil"/>
              <w:left w:val="nil"/>
              <w:bottom w:val="single" w:sz="4" w:space="0" w:color="auto"/>
              <w:right w:val="single" w:sz="4" w:space="0" w:color="auto"/>
            </w:tcBorders>
            <w:shd w:val="clear" w:color="auto" w:fill="auto"/>
            <w:noWrap/>
            <w:vAlign w:val="bottom"/>
            <w:hideMark/>
          </w:tcPr>
          <w:p w:rsidR="00E329F7" w:rsidRPr="00C37386" w:rsidRDefault="00E329F7" w:rsidP="00AE1C26">
            <w:pPr>
              <w:jc w:val="center"/>
              <w:rPr>
                <w:color w:val="000000"/>
                <w:lang w:eastAsia="en-GB"/>
              </w:rPr>
            </w:pPr>
            <w:r w:rsidRPr="00C37386">
              <w:rPr>
                <w:color w:val="000000"/>
                <w:lang w:eastAsia="en-GB"/>
              </w:rPr>
              <w:t>(16.1)</w:t>
            </w:r>
          </w:p>
        </w:tc>
      </w:tr>
      <w:tr w:rsidR="00E329F7" w:rsidRPr="00C37386" w:rsidTr="00AE1C26">
        <w:trPr>
          <w:trHeight w:val="30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E329F7" w:rsidRPr="00C37386" w:rsidRDefault="00E329F7" w:rsidP="00AE1C26">
            <w:pPr>
              <w:rPr>
                <w:color w:val="000000"/>
                <w:lang w:eastAsia="en-GB"/>
              </w:rPr>
            </w:pPr>
            <w:r w:rsidRPr="00C37386">
              <w:rPr>
                <w:color w:val="000000"/>
                <w:lang w:eastAsia="en-GB"/>
              </w:rPr>
              <w:t>Issues</w:t>
            </w:r>
          </w:p>
        </w:tc>
        <w:tc>
          <w:tcPr>
            <w:tcW w:w="960" w:type="dxa"/>
            <w:tcBorders>
              <w:top w:val="nil"/>
              <w:left w:val="nil"/>
              <w:bottom w:val="single" w:sz="4" w:space="0" w:color="auto"/>
              <w:right w:val="single" w:sz="4" w:space="0" w:color="auto"/>
            </w:tcBorders>
            <w:shd w:val="clear" w:color="auto" w:fill="auto"/>
            <w:noWrap/>
            <w:vAlign w:val="bottom"/>
            <w:hideMark/>
          </w:tcPr>
          <w:p w:rsidR="00E329F7" w:rsidRPr="00C37386" w:rsidRDefault="00E329F7" w:rsidP="00AE1C26">
            <w:pPr>
              <w:jc w:val="center"/>
              <w:rPr>
                <w:color w:val="000000"/>
                <w:lang w:eastAsia="en-GB"/>
              </w:rPr>
            </w:pPr>
            <w:r w:rsidRPr="00C37386">
              <w:rPr>
                <w:color w:val="000000"/>
                <w:lang w:eastAsia="en-GB"/>
              </w:rPr>
              <w:t>0</w:t>
            </w:r>
          </w:p>
        </w:tc>
      </w:tr>
      <w:tr w:rsidR="00E329F7" w:rsidRPr="00C37386" w:rsidTr="00AE1C26">
        <w:trPr>
          <w:trHeight w:val="30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E329F7" w:rsidRPr="00C37386" w:rsidRDefault="00E329F7" w:rsidP="00AE1C26">
            <w:pPr>
              <w:rPr>
                <w:color w:val="000000"/>
                <w:lang w:eastAsia="en-GB"/>
              </w:rPr>
            </w:pPr>
            <w:r w:rsidRPr="00C37386">
              <w:rPr>
                <w:color w:val="000000"/>
                <w:lang w:eastAsia="en-GB"/>
              </w:rPr>
              <w:t>Settlements</w:t>
            </w:r>
          </w:p>
        </w:tc>
        <w:tc>
          <w:tcPr>
            <w:tcW w:w="960" w:type="dxa"/>
            <w:tcBorders>
              <w:top w:val="nil"/>
              <w:left w:val="nil"/>
              <w:bottom w:val="single" w:sz="4" w:space="0" w:color="auto"/>
              <w:right w:val="single" w:sz="4" w:space="0" w:color="auto"/>
            </w:tcBorders>
            <w:shd w:val="clear" w:color="auto" w:fill="auto"/>
            <w:noWrap/>
            <w:vAlign w:val="bottom"/>
            <w:hideMark/>
          </w:tcPr>
          <w:p w:rsidR="00E329F7" w:rsidRPr="00C37386" w:rsidRDefault="00E329F7" w:rsidP="00AE1C26">
            <w:pPr>
              <w:jc w:val="center"/>
              <w:rPr>
                <w:color w:val="000000"/>
                <w:lang w:eastAsia="en-GB"/>
              </w:rPr>
            </w:pPr>
            <w:r w:rsidRPr="00C37386">
              <w:rPr>
                <w:color w:val="000000"/>
                <w:lang w:eastAsia="en-GB"/>
              </w:rPr>
              <w:t>0</w:t>
            </w:r>
          </w:p>
        </w:tc>
      </w:tr>
      <w:tr w:rsidR="00E329F7" w:rsidRPr="00C37386" w:rsidTr="00AE1C26">
        <w:trPr>
          <w:trHeight w:val="30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E329F7" w:rsidRPr="00C37386" w:rsidRDefault="00E329F7" w:rsidP="00AE1C26">
            <w:pPr>
              <w:rPr>
                <w:color w:val="000000"/>
                <w:lang w:eastAsia="en-GB"/>
              </w:rPr>
            </w:pPr>
            <w:r w:rsidRPr="00C37386">
              <w:rPr>
                <w:color w:val="000000"/>
                <w:lang w:eastAsia="en-GB"/>
              </w:rPr>
              <w:t xml:space="preserve">Unrealised gains/losses </w:t>
            </w:r>
          </w:p>
        </w:tc>
        <w:tc>
          <w:tcPr>
            <w:tcW w:w="960" w:type="dxa"/>
            <w:tcBorders>
              <w:top w:val="nil"/>
              <w:left w:val="nil"/>
              <w:bottom w:val="single" w:sz="4" w:space="0" w:color="auto"/>
              <w:right w:val="single" w:sz="4" w:space="0" w:color="auto"/>
            </w:tcBorders>
            <w:shd w:val="clear" w:color="auto" w:fill="auto"/>
            <w:noWrap/>
            <w:vAlign w:val="bottom"/>
            <w:hideMark/>
          </w:tcPr>
          <w:p w:rsidR="00E329F7" w:rsidRPr="00C37386" w:rsidRDefault="00E329F7" w:rsidP="00AE1C26">
            <w:pPr>
              <w:jc w:val="center"/>
              <w:rPr>
                <w:color w:val="000000"/>
                <w:lang w:eastAsia="en-GB"/>
              </w:rPr>
            </w:pPr>
            <w:r w:rsidRPr="00C37386">
              <w:rPr>
                <w:color w:val="000000"/>
                <w:lang w:eastAsia="en-GB"/>
              </w:rPr>
              <w:t>0</w:t>
            </w:r>
          </w:p>
        </w:tc>
      </w:tr>
      <w:tr w:rsidR="00E329F7" w:rsidRPr="00C37386" w:rsidTr="00AE1C26">
        <w:trPr>
          <w:trHeight w:val="30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E329F7" w:rsidRPr="00C37386" w:rsidRDefault="00E329F7" w:rsidP="00AE1C26">
            <w:pPr>
              <w:rPr>
                <w:color w:val="000000"/>
                <w:lang w:eastAsia="en-GB"/>
              </w:rPr>
            </w:pPr>
            <w:r w:rsidRPr="00C37386">
              <w:rPr>
                <w:color w:val="000000"/>
                <w:lang w:eastAsia="en-GB"/>
              </w:rPr>
              <w:t>Realised gains/losses</w:t>
            </w:r>
          </w:p>
        </w:tc>
        <w:tc>
          <w:tcPr>
            <w:tcW w:w="960" w:type="dxa"/>
            <w:tcBorders>
              <w:top w:val="nil"/>
              <w:left w:val="nil"/>
              <w:bottom w:val="single" w:sz="4" w:space="0" w:color="auto"/>
              <w:right w:val="single" w:sz="4" w:space="0" w:color="auto"/>
            </w:tcBorders>
            <w:shd w:val="clear" w:color="auto" w:fill="auto"/>
            <w:noWrap/>
            <w:vAlign w:val="bottom"/>
            <w:hideMark/>
          </w:tcPr>
          <w:p w:rsidR="00E329F7" w:rsidRPr="00C37386" w:rsidRDefault="00E329F7" w:rsidP="00AE1C26">
            <w:pPr>
              <w:jc w:val="center"/>
              <w:rPr>
                <w:color w:val="000000"/>
                <w:lang w:eastAsia="en-GB"/>
              </w:rPr>
            </w:pPr>
            <w:r w:rsidRPr="00C37386">
              <w:rPr>
                <w:color w:val="000000"/>
                <w:lang w:eastAsia="en-GB"/>
              </w:rPr>
              <w:t>2.2</w:t>
            </w:r>
          </w:p>
        </w:tc>
      </w:tr>
      <w:tr w:rsidR="00E329F7" w:rsidRPr="00C20A63" w:rsidTr="00AE1C26">
        <w:trPr>
          <w:trHeight w:val="30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E329F7" w:rsidRPr="00C37386" w:rsidRDefault="00E329F7" w:rsidP="00AE1C26">
            <w:pPr>
              <w:rPr>
                <w:color w:val="000000"/>
                <w:lang w:eastAsia="en-GB"/>
              </w:rPr>
            </w:pPr>
            <w:r w:rsidRPr="00C37386">
              <w:rPr>
                <w:color w:val="000000"/>
                <w:lang w:eastAsia="en-GB"/>
              </w:rPr>
              <w:t>Value at 31 March 2020</w:t>
            </w:r>
          </w:p>
        </w:tc>
        <w:tc>
          <w:tcPr>
            <w:tcW w:w="960" w:type="dxa"/>
            <w:tcBorders>
              <w:top w:val="nil"/>
              <w:left w:val="nil"/>
              <w:bottom w:val="single" w:sz="4" w:space="0" w:color="auto"/>
              <w:right w:val="single" w:sz="4" w:space="0" w:color="auto"/>
            </w:tcBorders>
            <w:shd w:val="clear" w:color="auto" w:fill="auto"/>
            <w:noWrap/>
            <w:vAlign w:val="bottom"/>
            <w:hideMark/>
          </w:tcPr>
          <w:p w:rsidR="00E329F7" w:rsidRPr="00C37386" w:rsidRDefault="00E329F7" w:rsidP="00AE1C26">
            <w:pPr>
              <w:jc w:val="center"/>
              <w:rPr>
                <w:color w:val="000000"/>
                <w:lang w:eastAsia="en-GB"/>
              </w:rPr>
            </w:pPr>
            <w:r w:rsidRPr="00C37386">
              <w:rPr>
                <w:color w:val="000000"/>
                <w:lang w:eastAsia="en-GB"/>
              </w:rPr>
              <w:t>84.</w:t>
            </w:r>
            <w:r>
              <w:rPr>
                <w:color w:val="000000"/>
                <w:lang w:eastAsia="en-GB"/>
              </w:rPr>
              <w:t>3</w:t>
            </w:r>
          </w:p>
        </w:tc>
      </w:tr>
    </w:tbl>
    <w:p w:rsidR="00F72906" w:rsidRDefault="00F72906" w:rsidP="00E329F7">
      <w:pPr>
        <w:pStyle w:val="Heading3"/>
      </w:pPr>
    </w:p>
    <w:p w:rsidR="00F72906" w:rsidRDefault="00F72906" w:rsidP="00E329F7">
      <w:pPr>
        <w:pStyle w:val="Heading3"/>
      </w:pPr>
      <w:r>
        <w:t>16.  Classification of financial instruments</w:t>
      </w:r>
    </w:p>
    <w:p w:rsidR="00F72906" w:rsidRDefault="00F72906" w:rsidP="00F72906"/>
    <w:p w:rsidR="009C7D60" w:rsidRDefault="00F72906" w:rsidP="00E329F7">
      <w:r>
        <w:t>Accounting policies describe how different asset classes of financial instruments are measured, and how income and expenses, including fair value gains and losses, are recognised. The following table analyses the carrying amounts of financial assets and liabilities by category and net assets statement heading. No financial assets were reclassified during the accounting period.</w:t>
      </w:r>
    </w:p>
    <w:p w:rsidR="009C7D60" w:rsidRDefault="009C7D60">
      <w:r>
        <w:br w:type="page"/>
      </w:r>
    </w:p>
    <w:p w:rsidR="00E329F7" w:rsidRDefault="00E329F7" w:rsidP="00E329F7"/>
    <w:tbl>
      <w:tblPr>
        <w:tblW w:w="8992" w:type="dxa"/>
        <w:tblLook w:val="04A0" w:firstRow="1" w:lastRow="0" w:firstColumn="1" w:lastColumn="0" w:noHBand="0" w:noVBand="1"/>
      </w:tblPr>
      <w:tblGrid>
        <w:gridCol w:w="1256"/>
        <w:gridCol w:w="1058"/>
        <w:gridCol w:w="1256"/>
        <w:gridCol w:w="2056"/>
        <w:gridCol w:w="1136"/>
        <w:gridCol w:w="1216"/>
        <w:gridCol w:w="1016"/>
      </w:tblGrid>
      <w:tr w:rsidR="00E329F7" w:rsidRPr="00DD0298" w:rsidTr="00AE1C26">
        <w:trPr>
          <w:trHeight w:val="299"/>
        </w:trPr>
        <w:tc>
          <w:tcPr>
            <w:tcW w:w="1256" w:type="dxa"/>
            <w:tcBorders>
              <w:top w:val="nil"/>
              <w:left w:val="nil"/>
              <w:bottom w:val="nil"/>
              <w:right w:val="nil"/>
            </w:tcBorders>
            <w:shd w:val="clear" w:color="000000" w:fill="FFFFFF"/>
            <w:noWrap/>
            <w:vAlign w:val="bottom"/>
            <w:hideMark/>
          </w:tcPr>
          <w:p w:rsidR="00E329F7" w:rsidRPr="00DD0298" w:rsidRDefault="00E329F7" w:rsidP="00AE1C26">
            <w:pPr>
              <w:rPr>
                <w:rFonts w:cs="Calibri"/>
                <w:color w:val="000000"/>
                <w:sz w:val="18"/>
                <w:szCs w:val="18"/>
                <w:lang w:eastAsia="en-GB"/>
              </w:rPr>
            </w:pPr>
            <w:r w:rsidRPr="00DD0298">
              <w:rPr>
                <w:rFonts w:cs="Calibri"/>
                <w:color w:val="000000"/>
                <w:sz w:val="18"/>
                <w:szCs w:val="18"/>
                <w:lang w:eastAsia="en-GB"/>
              </w:rPr>
              <w:t> </w:t>
            </w:r>
          </w:p>
        </w:tc>
        <w:tc>
          <w:tcPr>
            <w:tcW w:w="1056" w:type="dxa"/>
            <w:tcBorders>
              <w:top w:val="nil"/>
              <w:left w:val="nil"/>
              <w:bottom w:val="nil"/>
              <w:right w:val="nil"/>
            </w:tcBorders>
            <w:shd w:val="clear" w:color="000000" w:fill="FFFFFF"/>
            <w:noWrap/>
            <w:vAlign w:val="bottom"/>
            <w:hideMark/>
          </w:tcPr>
          <w:p w:rsidR="00E329F7" w:rsidRPr="00DD0298" w:rsidRDefault="00E329F7" w:rsidP="00AE1C26">
            <w:pPr>
              <w:jc w:val="center"/>
              <w:rPr>
                <w:rFonts w:cs="Calibri"/>
                <w:b/>
                <w:bCs/>
                <w:color w:val="000000"/>
                <w:sz w:val="18"/>
                <w:szCs w:val="18"/>
                <w:lang w:eastAsia="en-GB"/>
              </w:rPr>
            </w:pPr>
            <w:r w:rsidRPr="00DD0298">
              <w:rPr>
                <w:rFonts w:cs="Calibri"/>
                <w:b/>
                <w:bCs/>
                <w:color w:val="000000"/>
                <w:sz w:val="18"/>
                <w:szCs w:val="18"/>
                <w:lang w:eastAsia="en-GB"/>
              </w:rPr>
              <w:t>31 March 2019</w:t>
            </w:r>
          </w:p>
        </w:tc>
        <w:tc>
          <w:tcPr>
            <w:tcW w:w="1256" w:type="dxa"/>
            <w:tcBorders>
              <w:top w:val="nil"/>
              <w:left w:val="nil"/>
              <w:bottom w:val="nil"/>
              <w:right w:val="nil"/>
            </w:tcBorders>
            <w:shd w:val="clear" w:color="000000" w:fill="FFFFFF"/>
            <w:noWrap/>
            <w:vAlign w:val="bottom"/>
            <w:hideMark/>
          </w:tcPr>
          <w:p w:rsidR="00E329F7" w:rsidRPr="00DD0298" w:rsidRDefault="00E329F7" w:rsidP="00AE1C26">
            <w:pPr>
              <w:rPr>
                <w:rFonts w:cs="Calibri"/>
                <w:color w:val="000000"/>
                <w:sz w:val="18"/>
                <w:szCs w:val="18"/>
                <w:lang w:eastAsia="en-GB"/>
              </w:rPr>
            </w:pPr>
            <w:r w:rsidRPr="00DD0298">
              <w:rPr>
                <w:rFonts w:cs="Calibri"/>
                <w:color w:val="000000"/>
                <w:sz w:val="18"/>
                <w:szCs w:val="18"/>
                <w:lang w:eastAsia="en-GB"/>
              </w:rPr>
              <w:t> </w:t>
            </w:r>
          </w:p>
        </w:tc>
        <w:tc>
          <w:tcPr>
            <w:tcW w:w="2056" w:type="dxa"/>
            <w:tcBorders>
              <w:top w:val="nil"/>
              <w:left w:val="nil"/>
              <w:bottom w:val="nil"/>
              <w:right w:val="nil"/>
            </w:tcBorders>
            <w:shd w:val="clear" w:color="000000" w:fill="FFFFFF"/>
            <w:noWrap/>
            <w:vAlign w:val="bottom"/>
            <w:hideMark/>
          </w:tcPr>
          <w:p w:rsidR="00E329F7" w:rsidRPr="00DD0298" w:rsidRDefault="00E329F7" w:rsidP="00AE1C26">
            <w:pPr>
              <w:rPr>
                <w:rFonts w:cs="Calibri"/>
                <w:color w:val="000000"/>
                <w:sz w:val="18"/>
                <w:szCs w:val="18"/>
                <w:lang w:eastAsia="en-GB"/>
              </w:rPr>
            </w:pPr>
            <w:r w:rsidRPr="00DD0298">
              <w:rPr>
                <w:rFonts w:cs="Calibri"/>
                <w:color w:val="000000"/>
                <w:sz w:val="18"/>
                <w:szCs w:val="18"/>
                <w:lang w:eastAsia="en-GB"/>
              </w:rPr>
              <w:t> </w:t>
            </w:r>
          </w:p>
        </w:tc>
        <w:tc>
          <w:tcPr>
            <w:tcW w:w="1136" w:type="dxa"/>
            <w:tcBorders>
              <w:top w:val="nil"/>
              <w:left w:val="nil"/>
              <w:bottom w:val="nil"/>
              <w:right w:val="nil"/>
            </w:tcBorders>
            <w:shd w:val="clear" w:color="000000" w:fill="FFFFFF"/>
            <w:noWrap/>
            <w:vAlign w:val="bottom"/>
            <w:hideMark/>
          </w:tcPr>
          <w:p w:rsidR="00E329F7" w:rsidRPr="00DD0298" w:rsidRDefault="00E329F7" w:rsidP="00AE1C26">
            <w:pPr>
              <w:rPr>
                <w:rFonts w:cs="Calibri"/>
                <w:color w:val="000000"/>
                <w:sz w:val="18"/>
                <w:szCs w:val="18"/>
                <w:lang w:eastAsia="en-GB"/>
              </w:rPr>
            </w:pPr>
            <w:r w:rsidRPr="00DD0298">
              <w:rPr>
                <w:rFonts w:cs="Calibri"/>
                <w:color w:val="000000"/>
                <w:sz w:val="18"/>
                <w:szCs w:val="18"/>
                <w:lang w:eastAsia="en-GB"/>
              </w:rPr>
              <w:t> </w:t>
            </w:r>
          </w:p>
        </w:tc>
        <w:tc>
          <w:tcPr>
            <w:tcW w:w="1216" w:type="dxa"/>
            <w:tcBorders>
              <w:top w:val="nil"/>
              <w:left w:val="nil"/>
              <w:bottom w:val="nil"/>
              <w:right w:val="nil"/>
            </w:tcBorders>
            <w:shd w:val="clear" w:color="000000" w:fill="FFFFFF"/>
            <w:noWrap/>
            <w:vAlign w:val="bottom"/>
            <w:hideMark/>
          </w:tcPr>
          <w:p w:rsidR="00E329F7" w:rsidRPr="00DD0298" w:rsidRDefault="00E329F7" w:rsidP="00AE1C26">
            <w:pPr>
              <w:jc w:val="center"/>
              <w:rPr>
                <w:rFonts w:cs="Calibri"/>
                <w:b/>
                <w:bCs/>
                <w:color w:val="000000"/>
                <w:sz w:val="18"/>
                <w:szCs w:val="18"/>
                <w:lang w:eastAsia="en-GB"/>
              </w:rPr>
            </w:pPr>
            <w:r w:rsidRPr="00DD0298">
              <w:rPr>
                <w:rFonts w:cs="Calibri"/>
                <w:b/>
                <w:bCs/>
                <w:color w:val="000000"/>
                <w:sz w:val="18"/>
                <w:szCs w:val="18"/>
                <w:lang w:eastAsia="en-GB"/>
              </w:rPr>
              <w:t>31 March 2020</w:t>
            </w:r>
          </w:p>
        </w:tc>
        <w:tc>
          <w:tcPr>
            <w:tcW w:w="1016" w:type="dxa"/>
            <w:tcBorders>
              <w:top w:val="nil"/>
              <w:left w:val="nil"/>
              <w:bottom w:val="nil"/>
              <w:right w:val="nil"/>
            </w:tcBorders>
            <w:shd w:val="clear" w:color="000000" w:fill="FFFFFF"/>
            <w:noWrap/>
            <w:vAlign w:val="bottom"/>
            <w:hideMark/>
          </w:tcPr>
          <w:p w:rsidR="00E329F7" w:rsidRPr="00DD0298" w:rsidRDefault="00E329F7" w:rsidP="00AE1C26">
            <w:pPr>
              <w:rPr>
                <w:rFonts w:cs="Calibri"/>
                <w:color w:val="000000"/>
                <w:sz w:val="18"/>
                <w:szCs w:val="18"/>
                <w:lang w:eastAsia="en-GB"/>
              </w:rPr>
            </w:pPr>
            <w:r w:rsidRPr="00DD0298">
              <w:rPr>
                <w:rFonts w:cs="Calibri"/>
                <w:color w:val="000000"/>
                <w:sz w:val="18"/>
                <w:szCs w:val="18"/>
                <w:lang w:eastAsia="en-GB"/>
              </w:rPr>
              <w:t> </w:t>
            </w:r>
          </w:p>
        </w:tc>
      </w:tr>
      <w:tr w:rsidR="00E329F7" w:rsidRPr="00DD0298" w:rsidTr="00AE1C26">
        <w:trPr>
          <w:trHeight w:val="951"/>
        </w:trPr>
        <w:tc>
          <w:tcPr>
            <w:tcW w:w="1256" w:type="dxa"/>
            <w:tcBorders>
              <w:top w:val="nil"/>
              <w:left w:val="nil"/>
              <w:bottom w:val="nil"/>
              <w:right w:val="nil"/>
            </w:tcBorders>
            <w:shd w:val="clear" w:color="000000" w:fill="FFFFFF"/>
            <w:vAlign w:val="bottom"/>
            <w:hideMark/>
          </w:tcPr>
          <w:p w:rsidR="00E329F7" w:rsidRPr="00DD0298" w:rsidRDefault="00E329F7" w:rsidP="00AE1C26">
            <w:pPr>
              <w:rPr>
                <w:rFonts w:cs="Calibri"/>
                <w:b/>
                <w:bCs/>
                <w:color w:val="000000"/>
                <w:sz w:val="18"/>
                <w:szCs w:val="18"/>
                <w:lang w:eastAsia="en-GB"/>
              </w:rPr>
            </w:pPr>
            <w:r w:rsidRPr="00DD0298">
              <w:rPr>
                <w:rFonts w:cs="Calibri"/>
                <w:b/>
                <w:bCs/>
                <w:color w:val="000000"/>
                <w:sz w:val="18"/>
                <w:szCs w:val="18"/>
                <w:lang w:eastAsia="en-GB"/>
              </w:rPr>
              <w:t>Fair value through profit and loss</w:t>
            </w:r>
          </w:p>
        </w:tc>
        <w:tc>
          <w:tcPr>
            <w:tcW w:w="1056" w:type="dxa"/>
            <w:tcBorders>
              <w:top w:val="nil"/>
              <w:left w:val="nil"/>
              <w:bottom w:val="nil"/>
              <w:right w:val="nil"/>
            </w:tcBorders>
            <w:shd w:val="clear" w:color="000000" w:fill="FFFFFF"/>
            <w:vAlign w:val="bottom"/>
            <w:hideMark/>
          </w:tcPr>
          <w:p w:rsidR="00E329F7" w:rsidRPr="00DD0298" w:rsidRDefault="00E329F7" w:rsidP="00AE1C26">
            <w:pPr>
              <w:rPr>
                <w:rFonts w:cs="Calibri"/>
                <w:b/>
                <w:bCs/>
                <w:color w:val="000000"/>
                <w:sz w:val="18"/>
                <w:szCs w:val="18"/>
                <w:lang w:eastAsia="en-GB"/>
              </w:rPr>
            </w:pPr>
            <w:r w:rsidRPr="00DD0298">
              <w:rPr>
                <w:rFonts w:cs="Calibri"/>
                <w:b/>
                <w:bCs/>
                <w:color w:val="000000"/>
                <w:sz w:val="18"/>
                <w:szCs w:val="18"/>
                <w:lang w:eastAsia="en-GB"/>
              </w:rPr>
              <w:t>Loans and receivables</w:t>
            </w:r>
          </w:p>
        </w:tc>
        <w:tc>
          <w:tcPr>
            <w:tcW w:w="1256" w:type="dxa"/>
            <w:tcBorders>
              <w:top w:val="nil"/>
              <w:left w:val="nil"/>
              <w:bottom w:val="nil"/>
              <w:right w:val="nil"/>
            </w:tcBorders>
            <w:shd w:val="clear" w:color="000000" w:fill="FFFFFF"/>
            <w:vAlign w:val="bottom"/>
            <w:hideMark/>
          </w:tcPr>
          <w:p w:rsidR="00E329F7" w:rsidRPr="00DD0298" w:rsidRDefault="00E329F7" w:rsidP="00AE1C26">
            <w:pPr>
              <w:rPr>
                <w:rFonts w:cs="Calibri"/>
                <w:b/>
                <w:bCs/>
                <w:color w:val="000000"/>
                <w:sz w:val="18"/>
                <w:szCs w:val="18"/>
                <w:lang w:eastAsia="en-GB"/>
              </w:rPr>
            </w:pPr>
            <w:r w:rsidRPr="00DD0298">
              <w:rPr>
                <w:rFonts w:cs="Calibri"/>
                <w:b/>
                <w:bCs/>
                <w:color w:val="000000"/>
                <w:sz w:val="18"/>
                <w:szCs w:val="18"/>
                <w:lang w:eastAsia="en-GB"/>
              </w:rPr>
              <w:t>Financial liabilities at amortised cost</w:t>
            </w:r>
          </w:p>
        </w:tc>
        <w:tc>
          <w:tcPr>
            <w:tcW w:w="2056" w:type="dxa"/>
            <w:tcBorders>
              <w:top w:val="nil"/>
              <w:left w:val="nil"/>
              <w:bottom w:val="nil"/>
              <w:right w:val="nil"/>
            </w:tcBorders>
            <w:shd w:val="clear" w:color="000000" w:fill="FFFFFF"/>
            <w:noWrap/>
            <w:vAlign w:val="bottom"/>
            <w:hideMark/>
          </w:tcPr>
          <w:p w:rsidR="00E329F7" w:rsidRPr="00DD0298" w:rsidRDefault="00E329F7" w:rsidP="00AE1C26">
            <w:pPr>
              <w:rPr>
                <w:rFonts w:cs="Calibri"/>
                <w:color w:val="000000"/>
                <w:sz w:val="18"/>
                <w:szCs w:val="18"/>
                <w:lang w:eastAsia="en-GB"/>
              </w:rPr>
            </w:pPr>
            <w:r w:rsidRPr="00DD0298">
              <w:rPr>
                <w:rFonts w:cs="Calibri"/>
                <w:color w:val="000000"/>
                <w:sz w:val="18"/>
                <w:szCs w:val="18"/>
                <w:lang w:eastAsia="en-GB"/>
              </w:rPr>
              <w:t> </w:t>
            </w:r>
          </w:p>
        </w:tc>
        <w:tc>
          <w:tcPr>
            <w:tcW w:w="1136" w:type="dxa"/>
            <w:tcBorders>
              <w:top w:val="nil"/>
              <w:left w:val="nil"/>
              <w:bottom w:val="nil"/>
              <w:right w:val="nil"/>
            </w:tcBorders>
            <w:shd w:val="clear" w:color="000000" w:fill="FFFFFF"/>
            <w:vAlign w:val="bottom"/>
            <w:hideMark/>
          </w:tcPr>
          <w:p w:rsidR="00E329F7" w:rsidRPr="00DD0298" w:rsidRDefault="00E329F7" w:rsidP="00AE1C26">
            <w:pPr>
              <w:rPr>
                <w:rFonts w:cs="Calibri"/>
                <w:b/>
                <w:bCs/>
                <w:color w:val="000000"/>
                <w:sz w:val="18"/>
                <w:szCs w:val="18"/>
                <w:lang w:eastAsia="en-GB"/>
              </w:rPr>
            </w:pPr>
            <w:r w:rsidRPr="00DD0298">
              <w:rPr>
                <w:rFonts w:cs="Calibri"/>
                <w:b/>
                <w:bCs/>
                <w:color w:val="000000"/>
                <w:sz w:val="18"/>
                <w:szCs w:val="18"/>
                <w:lang w:eastAsia="en-GB"/>
              </w:rPr>
              <w:t>Fair value through profit and loss</w:t>
            </w:r>
          </w:p>
        </w:tc>
        <w:tc>
          <w:tcPr>
            <w:tcW w:w="1216" w:type="dxa"/>
            <w:tcBorders>
              <w:top w:val="nil"/>
              <w:left w:val="nil"/>
              <w:bottom w:val="nil"/>
              <w:right w:val="nil"/>
            </w:tcBorders>
            <w:shd w:val="clear" w:color="000000" w:fill="FFFFFF"/>
            <w:vAlign w:val="bottom"/>
            <w:hideMark/>
          </w:tcPr>
          <w:p w:rsidR="00E329F7" w:rsidRPr="00DD0298" w:rsidRDefault="00E329F7" w:rsidP="00AE1C26">
            <w:pPr>
              <w:rPr>
                <w:rFonts w:cs="Calibri"/>
                <w:b/>
                <w:bCs/>
                <w:color w:val="000000"/>
                <w:sz w:val="18"/>
                <w:szCs w:val="18"/>
                <w:lang w:eastAsia="en-GB"/>
              </w:rPr>
            </w:pPr>
            <w:r w:rsidRPr="00DD0298">
              <w:rPr>
                <w:rFonts w:cs="Calibri"/>
                <w:b/>
                <w:bCs/>
                <w:color w:val="000000"/>
                <w:sz w:val="18"/>
                <w:szCs w:val="18"/>
                <w:lang w:eastAsia="en-GB"/>
              </w:rPr>
              <w:t>Loans and receivables</w:t>
            </w:r>
          </w:p>
        </w:tc>
        <w:tc>
          <w:tcPr>
            <w:tcW w:w="1016" w:type="dxa"/>
            <w:tcBorders>
              <w:top w:val="nil"/>
              <w:left w:val="nil"/>
              <w:bottom w:val="nil"/>
              <w:right w:val="nil"/>
            </w:tcBorders>
            <w:shd w:val="clear" w:color="000000" w:fill="FFFFFF"/>
            <w:vAlign w:val="bottom"/>
            <w:hideMark/>
          </w:tcPr>
          <w:p w:rsidR="00E329F7" w:rsidRPr="00DD0298" w:rsidRDefault="00E329F7" w:rsidP="00AE1C26">
            <w:pPr>
              <w:rPr>
                <w:rFonts w:cs="Calibri"/>
                <w:b/>
                <w:bCs/>
                <w:color w:val="000000"/>
                <w:sz w:val="18"/>
                <w:szCs w:val="18"/>
                <w:lang w:eastAsia="en-GB"/>
              </w:rPr>
            </w:pPr>
            <w:r w:rsidRPr="00DD0298">
              <w:rPr>
                <w:rFonts w:cs="Calibri"/>
                <w:b/>
                <w:bCs/>
                <w:color w:val="000000"/>
                <w:sz w:val="18"/>
                <w:szCs w:val="18"/>
                <w:lang w:eastAsia="en-GB"/>
              </w:rPr>
              <w:t>Financial liabilities at amortised cost</w:t>
            </w:r>
          </w:p>
        </w:tc>
      </w:tr>
      <w:tr w:rsidR="00E329F7" w:rsidRPr="00DD0298" w:rsidTr="00AE1C26">
        <w:trPr>
          <w:trHeight w:val="299"/>
        </w:trPr>
        <w:tc>
          <w:tcPr>
            <w:tcW w:w="1256" w:type="dxa"/>
            <w:tcBorders>
              <w:top w:val="nil"/>
              <w:left w:val="nil"/>
              <w:bottom w:val="nil"/>
              <w:right w:val="nil"/>
            </w:tcBorders>
            <w:shd w:val="clear" w:color="000000" w:fill="FFFFFF"/>
            <w:noWrap/>
            <w:vAlign w:val="bottom"/>
            <w:hideMark/>
          </w:tcPr>
          <w:p w:rsidR="00E329F7" w:rsidRPr="00DD0298" w:rsidRDefault="00E329F7" w:rsidP="00AE1C26">
            <w:pPr>
              <w:jc w:val="right"/>
              <w:rPr>
                <w:rFonts w:cs="Calibri"/>
                <w:b/>
                <w:bCs/>
                <w:color w:val="000000"/>
                <w:sz w:val="18"/>
                <w:szCs w:val="18"/>
                <w:lang w:eastAsia="en-GB"/>
              </w:rPr>
            </w:pPr>
            <w:r w:rsidRPr="00DD0298">
              <w:rPr>
                <w:rFonts w:cs="Calibri"/>
                <w:b/>
                <w:bCs/>
                <w:color w:val="000000"/>
                <w:sz w:val="18"/>
                <w:szCs w:val="18"/>
                <w:lang w:eastAsia="en-GB"/>
              </w:rPr>
              <w:t>£'000</w:t>
            </w:r>
          </w:p>
        </w:tc>
        <w:tc>
          <w:tcPr>
            <w:tcW w:w="1056" w:type="dxa"/>
            <w:tcBorders>
              <w:top w:val="nil"/>
              <w:left w:val="nil"/>
              <w:bottom w:val="nil"/>
              <w:right w:val="nil"/>
            </w:tcBorders>
            <w:shd w:val="clear" w:color="000000" w:fill="FFFFFF"/>
            <w:noWrap/>
            <w:vAlign w:val="bottom"/>
            <w:hideMark/>
          </w:tcPr>
          <w:p w:rsidR="00E329F7" w:rsidRPr="00DD0298" w:rsidRDefault="00E329F7" w:rsidP="00AE1C26">
            <w:pPr>
              <w:jc w:val="right"/>
              <w:rPr>
                <w:rFonts w:cs="Calibri"/>
                <w:b/>
                <w:bCs/>
                <w:color w:val="000000"/>
                <w:sz w:val="18"/>
                <w:szCs w:val="18"/>
                <w:lang w:eastAsia="en-GB"/>
              </w:rPr>
            </w:pPr>
            <w:r w:rsidRPr="00DD0298">
              <w:rPr>
                <w:rFonts w:cs="Calibri"/>
                <w:b/>
                <w:bCs/>
                <w:color w:val="000000"/>
                <w:sz w:val="18"/>
                <w:szCs w:val="18"/>
                <w:lang w:eastAsia="en-GB"/>
              </w:rPr>
              <w:t>£'000</w:t>
            </w:r>
          </w:p>
        </w:tc>
        <w:tc>
          <w:tcPr>
            <w:tcW w:w="1256" w:type="dxa"/>
            <w:tcBorders>
              <w:top w:val="nil"/>
              <w:left w:val="nil"/>
              <w:bottom w:val="nil"/>
              <w:right w:val="nil"/>
            </w:tcBorders>
            <w:shd w:val="clear" w:color="000000" w:fill="FFFFFF"/>
            <w:noWrap/>
            <w:vAlign w:val="bottom"/>
            <w:hideMark/>
          </w:tcPr>
          <w:p w:rsidR="00E329F7" w:rsidRPr="00DD0298" w:rsidRDefault="00E329F7" w:rsidP="00AE1C26">
            <w:pPr>
              <w:jc w:val="right"/>
              <w:rPr>
                <w:rFonts w:cs="Calibri"/>
                <w:b/>
                <w:bCs/>
                <w:color w:val="000000"/>
                <w:sz w:val="18"/>
                <w:szCs w:val="18"/>
                <w:lang w:eastAsia="en-GB"/>
              </w:rPr>
            </w:pPr>
            <w:r w:rsidRPr="00DD0298">
              <w:rPr>
                <w:rFonts w:cs="Calibri"/>
                <w:b/>
                <w:bCs/>
                <w:color w:val="000000"/>
                <w:sz w:val="18"/>
                <w:szCs w:val="18"/>
                <w:lang w:eastAsia="en-GB"/>
              </w:rPr>
              <w:t>£'000</w:t>
            </w:r>
          </w:p>
        </w:tc>
        <w:tc>
          <w:tcPr>
            <w:tcW w:w="2056" w:type="dxa"/>
            <w:tcBorders>
              <w:top w:val="nil"/>
              <w:left w:val="nil"/>
              <w:bottom w:val="nil"/>
              <w:right w:val="nil"/>
            </w:tcBorders>
            <w:shd w:val="clear" w:color="000000" w:fill="FFFFFF"/>
            <w:noWrap/>
            <w:vAlign w:val="bottom"/>
            <w:hideMark/>
          </w:tcPr>
          <w:p w:rsidR="00E329F7" w:rsidRPr="00DD0298" w:rsidRDefault="00E329F7" w:rsidP="00AE1C26">
            <w:pPr>
              <w:jc w:val="right"/>
              <w:rPr>
                <w:rFonts w:cs="Calibri"/>
                <w:b/>
                <w:bCs/>
                <w:color w:val="000000"/>
                <w:sz w:val="18"/>
                <w:szCs w:val="18"/>
                <w:lang w:eastAsia="en-GB"/>
              </w:rPr>
            </w:pPr>
            <w:r w:rsidRPr="00DD0298">
              <w:rPr>
                <w:rFonts w:cs="Calibri"/>
                <w:b/>
                <w:bCs/>
                <w:color w:val="000000"/>
                <w:sz w:val="18"/>
                <w:szCs w:val="18"/>
                <w:lang w:eastAsia="en-GB"/>
              </w:rPr>
              <w:t> </w:t>
            </w:r>
          </w:p>
        </w:tc>
        <w:tc>
          <w:tcPr>
            <w:tcW w:w="1136" w:type="dxa"/>
            <w:tcBorders>
              <w:top w:val="nil"/>
              <w:left w:val="nil"/>
              <w:bottom w:val="nil"/>
              <w:right w:val="nil"/>
            </w:tcBorders>
            <w:shd w:val="clear" w:color="000000" w:fill="FFFFFF"/>
            <w:noWrap/>
            <w:vAlign w:val="bottom"/>
            <w:hideMark/>
          </w:tcPr>
          <w:p w:rsidR="00E329F7" w:rsidRPr="00DD0298" w:rsidRDefault="00E329F7" w:rsidP="00AE1C26">
            <w:pPr>
              <w:jc w:val="right"/>
              <w:rPr>
                <w:rFonts w:cs="Calibri"/>
                <w:b/>
                <w:bCs/>
                <w:color w:val="000000"/>
                <w:sz w:val="18"/>
                <w:szCs w:val="18"/>
                <w:lang w:eastAsia="en-GB"/>
              </w:rPr>
            </w:pPr>
            <w:r w:rsidRPr="00DD0298">
              <w:rPr>
                <w:rFonts w:cs="Calibri"/>
                <w:b/>
                <w:bCs/>
                <w:color w:val="000000"/>
                <w:sz w:val="18"/>
                <w:szCs w:val="18"/>
                <w:lang w:eastAsia="en-GB"/>
              </w:rPr>
              <w:t>£'000</w:t>
            </w:r>
          </w:p>
        </w:tc>
        <w:tc>
          <w:tcPr>
            <w:tcW w:w="1216" w:type="dxa"/>
            <w:tcBorders>
              <w:top w:val="nil"/>
              <w:left w:val="nil"/>
              <w:bottom w:val="nil"/>
              <w:right w:val="nil"/>
            </w:tcBorders>
            <w:shd w:val="clear" w:color="000000" w:fill="FFFFFF"/>
            <w:noWrap/>
            <w:vAlign w:val="bottom"/>
            <w:hideMark/>
          </w:tcPr>
          <w:p w:rsidR="00E329F7" w:rsidRPr="00DD0298" w:rsidRDefault="00E329F7" w:rsidP="00AE1C26">
            <w:pPr>
              <w:jc w:val="right"/>
              <w:rPr>
                <w:rFonts w:cs="Calibri"/>
                <w:b/>
                <w:bCs/>
                <w:color w:val="000000"/>
                <w:sz w:val="18"/>
                <w:szCs w:val="18"/>
                <w:lang w:eastAsia="en-GB"/>
              </w:rPr>
            </w:pPr>
            <w:r w:rsidRPr="00DD0298">
              <w:rPr>
                <w:rFonts w:cs="Calibri"/>
                <w:b/>
                <w:bCs/>
                <w:color w:val="000000"/>
                <w:sz w:val="18"/>
                <w:szCs w:val="18"/>
                <w:lang w:eastAsia="en-GB"/>
              </w:rPr>
              <w:t>£'000</w:t>
            </w:r>
          </w:p>
        </w:tc>
        <w:tc>
          <w:tcPr>
            <w:tcW w:w="1016" w:type="dxa"/>
            <w:tcBorders>
              <w:top w:val="nil"/>
              <w:left w:val="nil"/>
              <w:bottom w:val="nil"/>
              <w:right w:val="nil"/>
            </w:tcBorders>
            <w:shd w:val="clear" w:color="000000" w:fill="FFFFFF"/>
            <w:noWrap/>
            <w:vAlign w:val="bottom"/>
            <w:hideMark/>
          </w:tcPr>
          <w:p w:rsidR="00E329F7" w:rsidRPr="00DD0298" w:rsidRDefault="00E329F7" w:rsidP="00AE1C26">
            <w:pPr>
              <w:jc w:val="right"/>
              <w:rPr>
                <w:rFonts w:cs="Calibri"/>
                <w:b/>
                <w:bCs/>
                <w:color w:val="000000"/>
                <w:sz w:val="18"/>
                <w:szCs w:val="18"/>
                <w:lang w:eastAsia="en-GB"/>
              </w:rPr>
            </w:pPr>
            <w:r w:rsidRPr="00DD0298">
              <w:rPr>
                <w:rFonts w:cs="Calibri"/>
                <w:b/>
                <w:bCs/>
                <w:color w:val="000000"/>
                <w:sz w:val="18"/>
                <w:szCs w:val="18"/>
                <w:lang w:eastAsia="en-GB"/>
              </w:rPr>
              <w:t>£'000</w:t>
            </w:r>
          </w:p>
        </w:tc>
      </w:tr>
      <w:tr w:rsidR="00E329F7" w:rsidRPr="00DD0298" w:rsidTr="00AE1C26">
        <w:trPr>
          <w:trHeight w:val="299"/>
        </w:trPr>
        <w:tc>
          <w:tcPr>
            <w:tcW w:w="1256" w:type="dxa"/>
            <w:tcBorders>
              <w:top w:val="nil"/>
              <w:left w:val="nil"/>
              <w:bottom w:val="nil"/>
              <w:right w:val="nil"/>
            </w:tcBorders>
            <w:shd w:val="clear" w:color="000000" w:fill="FFFFFF"/>
            <w:noWrap/>
            <w:vAlign w:val="bottom"/>
            <w:hideMark/>
          </w:tcPr>
          <w:p w:rsidR="00E329F7" w:rsidRPr="00DD0298" w:rsidRDefault="00E329F7" w:rsidP="00AE1C26">
            <w:pPr>
              <w:rPr>
                <w:rFonts w:cs="Calibri"/>
                <w:color w:val="000000"/>
                <w:sz w:val="18"/>
                <w:szCs w:val="18"/>
                <w:lang w:eastAsia="en-GB"/>
              </w:rPr>
            </w:pPr>
            <w:r w:rsidRPr="00DD0298">
              <w:rPr>
                <w:rFonts w:cs="Calibri"/>
                <w:color w:val="000000"/>
                <w:sz w:val="18"/>
                <w:szCs w:val="18"/>
                <w:lang w:eastAsia="en-GB"/>
              </w:rPr>
              <w:t> </w:t>
            </w:r>
          </w:p>
        </w:tc>
        <w:tc>
          <w:tcPr>
            <w:tcW w:w="1056" w:type="dxa"/>
            <w:tcBorders>
              <w:top w:val="nil"/>
              <w:left w:val="nil"/>
              <w:bottom w:val="nil"/>
              <w:right w:val="nil"/>
            </w:tcBorders>
            <w:shd w:val="clear" w:color="000000" w:fill="FFFFFF"/>
            <w:noWrap/>
            <w:vAlign w:val="bottom"/>
            <w:hideMark/>
          </w:tcPr>
          <w:p w:rsidR="00E329F7" w:rsidRPr="00DD0298" w:rsidRDefault="00E329F7" w:rsidP="00AE1C26">
            <w:pPr>
              <w:rPr>
                <w:rFonts w:cs="Calibri"/>
                <w:color w:val="000000"/>
                <w:sz w:val="18"/>
                <w:szCs w:val="18"/>
                <w:lang w:eastAsia="en-GB"/>
              </w:rPr>
            </w:pPr>
            <w:r w:rsidRPr="00DD0298">
              <w:rPr>
                <w:rFonts w:cs="Calibri"/>
                <w:color w:val="000000"/>
                <w:sz w:val="18"/>
                <w:szCs w:val="18"/>
                <w:lang w:eastAsia="en-GB"/>
              </w:rPr>
              <w:t> </w:t>
            </w:r>
          </w:p>
        </w:tc>
        <w:tc>
          <w:tcPr>
            <w:tcW w:w="1256" w:type="dxa"/>
            <w:tcBorders>
              <w:top w:val="nil"/>
              <w:left w:val="nil"/>
              <w:bottom w:val="nil"/>
              <w:right w:val="nil"/>
            </w:tcBorders>
            <w:shd w:val="clear" w:color="000000" w:fill="FFFFFF"/>
            <w:noWrap/>
            <w:vAlign w:val="bottom"/>
            <w:hideMark/>
          </w:tcPr>
          <w:p w:rsidR="00E329F7" w:rsidRPr="00DD0298" w:rsidRDefault="00E329F7" w:rsidP="00AE1C26">
            <w:pPr>
              <w:rPr>
                <w:rFonts w:cs="Calibri"/>
                <w:color w:val="000000"/>
                <w:sz w:val="18"/>
                <w:szCs w:val="18"/>
                <w:lang w:eastAsia="en-GB"/>
              </w:rPr>
            </w:pPr>
            <w:r w:rsidRPr="00DD0298">
              <w:rPr>
                <w:rFonts w:cs="Calibri"/>
                <w:color w:val="000000"/>
                <w:sz w:val="18"/>
                <w:szCs w:val="18"/>
                <w:lang w:eastAsia="en-GB"/>
              </w:rPr>
              <w:t> </w:t>
            </w:r>
          </w:p>
        </w:tc>
        <w:tc>
          <w:tcPr>
            <w:tcW w:w="2056" w:type="dxa"/>
            <w:tcBorders>
              <w:top w:val="nil"/>
              <w:left w:val="nil"/>
              <w:bottom w:val="nil"/>
              <w:right w:val="nil"/>
            </w:tcBorders>
            <w:shd w:val="clear" w:color="000000" w:fill="FFFFFF"/>
            <w:noWrap/>
            <w:vAlign w:val="bottom"/>
            <w:hideMark/>
          </w:tcPr>
          <w:p w:rsidR="00E329F7" w:rsidRPr="00DD0298" w:rsidRDefault="00E329F7" w:rsidP="00AE1C26">
            <w:pPr>
              <w:rPr>
                <w:rFonts w:cs="Calibri"/>
                <w:b/>
                <w:bCs/>
                <w:color w:val="000000"/>
                <w:sz w:val="18"/>
                <w:szCs w:val="18"/>
                <w:lang w:eastAsia="en-GB"/>
              </w:rPr>
            </w:pPr>
            <w:r w:rsidRPr="00DD0298">
              <w:rPr>
                <w:rFonts w:cs="Calibri"/>
                <w:b/>
                <w:bCs/>
                <w:color w:val="000000"/>
                <w:sz w:val="18"/>
                <w:szCs w:val="18"/>
                <w:lang w:eastAsia="en-GB"/>
              </w:rPr>
              <w:t>Financial assets</w:t>
            </w:r>
          </w:p>
        </w:tc>
        <w:tc>
          <w:tcPr>
            <w:tcW w:w="1136" w:type="dxa"/>
            <w:tcBorders>
              <w:top w:val="nil"/>
              <w:left w:val="nil"/>
              <w:bottom w:val="nil"/>
              <w:right w:val="nil"/>
            </w:tcBorders>
            <w:shd w:val="clear" w:color="000000" w:fill="FFFFFF"/>
            <w:noWrap/>
            <w:vAlign w:val="bottom"/>
            <w:hideMark/>
          </w:tcPr>
          <w:p w:rsidR="00E329F7" w:rsidRPr="00DD0298" w:rsidRDefault="00E329F7" w:rsidP="00AE1C26">
            <w:pPr>
              <w:rPr>
                <w:rFonts w:cs="Calibri"/>
                <w:color w:val="000000"/>
                <w:sz w:val="18"/>
                <w:szCs w:val="18"/>
                <w:lang w:eastAsia="en-GB"/>
              </w:rPr>
            </w:pPr>
            <w:r w:rsidRPr="00DD0298">
              <w:rPr>
                <w:rFonts w:cs="Calibri"/>
                <w:color w:val="000000"/>
                <w:sz w:val="18"/>
                <w:szCs w:val="18"/>
                <w:lang w:eastAsia="en-GB"/>
              </w:rPr>
              <w:t> </w:t>
            </w:r>
          </w:p>
        </w:tc>
        <w:tc>
          <w:tcPr>
            <w:tcW w:w="1216" w:type="dxa"/>
            <w:tcBorders>
              <w:top w:val="nil"/>
              <w:left w:val="nil"/>
              <w:bottom w:val="nil"/>
              <w:right w:val="nil"/>
            </w:tcBorders>
            <w:shd w:val="clear" w:color="000000" w:fill="FFFFFF"/>
            <w:noWrap/>
            <w:vAlign w:val="bottom"/>
            <w:hideMark/>
          </w:tcPr>
          <w:p w:rsidR="00E329F7" w:rsidRPr="00DD0298" w:rsidRDefault="00E329F7" w:rsidP="00AE1C26">
            <w:pPr>
              <w:rPr>
                <w:rFonts w:cs="Calibri"/>
                <w:color w:val="000000"/>
                <w:sz w:val="18"/>
                <w:szCs w:val="18"/>
                <w:lang w:eastAsia="en-GB"/>
              </w:rPr>
            </w:pPr>
            <w:r w:rsidRPr="00DD0298">
              <w:rPr>
                <w:rFonts w:cs="Calibri"/>
                <w:color w:val="000000"/>
                <w:sz w:val="18"/>
                <w:szCs w:val="18"/>
                <w:lang w:eastAsia="en-GB"/>
              </w:rPr>
              <w:t> </w:t>
            </w:r>
          </w:p>
        </w:tc>
        <w:tc>
          <w:tcPr>
            <w:tcW w:w="1016" w:type="dxa"/>
            <w:tcBorders>
              <w:top w:val="nil"/>
              <w:left w:val="nil"/>
              <w:bottom w:val="nil"/>
              <w:right w:val="nil"/>
            </w:tcBorders>
            <w:shd w:val="clear" w:color="000000" w:fill="FFFFFF"/>
            <w:noWrap/>
            <w:vAlign w:val="bottom"/>
            <w:hideMark/>
          </w:tcPr>
          <w:p w:rsidR="00E329F7" w:rsidRPr="00DD0298" w:rsidRDefault="00E329F7" w:rsidP="00AE1C26">
            <w:pPr>
              <w:rPr>
                <w:rFonts w:cs="Calibri"/>
                <w:color w:val="000000"/>
                <w:sz w:val="18"/>
                <w:szCs w:val="18"/>
                <w:lang w:eastAsia="en-GB"/>
              </w:rPr>
            </w:pPr>
            <w:r w:rsidRPr="00DD0298">
              <w:rPr>
                <w:rFonts w:cs="Calibri"/>
                <w:color w:val="000000"/>
                <w:sz w:val="18"/>
                <w:szCs w:val="18"/>
                <w:lang w:eastAsia="en-GB"/>
              </w:rPr>
              <w:t> </w:t>
            </w:r>
          </w:p>
        </w:tc>
      </w:tr>
      <w:tr w:rsidR="00E329F7" w:rsidRPr="00DD0298" w:rsidTr="00AE1C26">
        <w:trPr>
          <w:trHeight w:val="299"/>
        </w:trPr>
        <w:tc>
          <w:tcPr>
            <w:tcW w:w="1256" w:type="dxa"/>
            <w:tcBorders>
              <w:top w:val="nil"/>
              <w:left w:val="nil"/>
              <w:bottom w:val="nil"/>
              <w:right w:val="nil"/>
            </w:tcBorders>
            <w:shd w:val="clear" w:color="000000" w:fill="FFFFFF"/>
            <w:noWrap/>
            <w:vAlign w:val="bottom"/>
            <w:hideMark/>
          </w:tcPr>
          <w:p w:rsidR="00E329F7" w:rsidRPr="00DD0298" w:rsidRDefault="00E329F7" w:rsidP="00AE1C26">
            <w:pPr>
              <w:jc w:val="right"/>
              <w:rPr>
                <w:rFonts w:cs="Calibri"/>
                <w:color w:val="000000"/>
                <w:sz w:val="18"/>
                <w:szCs w:val="18"/>
                <w:lang w:eastAsia="en-GB"/>
              </w:rPr>
            </w:pPr>
            <w:r w:rsidRPr="00DD0298">
              <w:rPr>
                <w:rFonts w:cs="Calibri"/>
                <w:color w:val="000000"/>
                <w:sz w:val="18"/>
                <w:szCs w:val="18"/>
                <w:lang w:eastAsia="en-GB"/>
              </w:rPr>
              <w:t>737.7</w:t>
            </w:r>
          </w:p>
        </w:tc>
        <w:tc>
          <w:tcPr>
            <w:tcW w:w="1056" w:type="dxa"/>
            <w:tcBorders>
              <w:top w:val="nil"/>
              <w:left w:val="nil"/>
              <w:bottom w:val="nil"/>
              <w:right w:val="nil"/>
            </w:tcBorders>
            <w:shd w:val="clear" w:color="000000" w:fill="FFFFFF"/>
            <w:noWrap/>
            <w:vAlign w:val="bottom"/>
            <w:hideMark/>
          </w:tcPr>
          <w:p w:rsidR="00E329F7" w:rsidRPr="00DD0298" w:rsidRDefault="00E329F7" w:rsidP="00AE1C26">
            <w:pPr>
              <w:rPr>
                <w:rFonts w:cs="Calibri"/>
                <w:color w:val="000000"/>
                <w:sz w:val="18"/>
                <w:szCs w:val="18"/>
                <w:lang w:eastAsia="en-GB"/>
              </w:rPr>
            </w:pPr>
            <w:r w:rsidRPr="00DD0298">
              <w:rPr>
                <w:rFonts w:cs="Calibri"/>
                <w:color w:val="000000"/>
                <w:sz w:val="18"/>
                <w:szCs w:val="18"/>
                <w:lang w:eastAsia="en-GB"/>
              </w:rPr>
              <w:t> </w:t>
            </w:r>
          </w:p>
        </w:tc>
        <w:tc>
          <w:tcPr>
            <w:tcW w:w="1256" w:type="dxa"/>
            <w:tcBorders>
              <w:top w:val="nil"/>
              <w:left w:val="nil"/>
              <w:bottom w:val="nil"/>
              <w:right w:val="nil"/>
            </w:tcBorders>
            <w:shd w:val="clear" w:color="000000" w:fill="FFFFFF"/>
            <w:noWrap/>
            <w:vAlign w:val="bottom"/>
            <w:hideMark/>
          </w:tcPr>
          <w:p w:rsidR="00E329F7" w:rsidRPr="00DD0298" w:rsidRDefault="00E329F7" w:rsidP="00AE1C26">
            <w:pPr>
              <w:rPr>
                <w:rFonts w:cs="Calibri"/>
                <w:color w:val="000000"/>
                <w:sz w:val="18"/>
                <w:szCs w:val="18"/>
                <w:lang w:eastAsia="en-GB"/>
              </w:rPr>
            </w:pPr>
            <w:r w:rsidRPr="00DD0298">
              <w:rPr>
                <w:rFonts w:cs="Calibri"/>
                <w:color w:val="000000"/>
                <w:sz w:val="18"/>
                <w:szCs w:val="18"/>
                <w:lang w:eastAsia="en-GB"/>
              </w:rPr>
              <w:t> </w:t>
            </w:r>
          </w:p>
        </w:tc>
        <w:tc>
          <w:tcPr>
            <w:tcW w:w="2056" w:type="dxa"/>
            <w:tcBorders>
              <w:top w:val="nil"/>
              <w:left w:val="nil"/>
              <w:bottom w:val="nil"/>
              <w:right w:val="nil"/>
            </w:tcBorders>
            <w:shd w:val="clear" w:color="000000" w:fill="FFFFFF"/>
            <w:noWrap/>
            <w:vAlign w:val="bottom"/>
            <w:hideMark/>
          </w:tcPr>
          <w:p w:rsidR="00E329F7" w:rsidRPr="00DD0298" w:rsidRDefault="00E329F7" w:rsidP="00AE1C26">
            <w:pPr>
              <w:rPr>
                <w:rFonts w:cs="Calibri"/>
                <w:color w:val="000000"/>
                <w:sz w:val="18"/>
                <w:szCs w:val="18"/>
                <w:lang w:eastAsia="en-GB"/>
              </w:rPr>
            </w:pPr>
            <w:r w:rsidRPr="00DD0298">
              <w:rPr>
                <w:rFonts w:cs="Calibri"/>
                <w:color w:val="000000"/>
                <w:sz w:val="18"/>
                <w:szCs w:val="18"/>
                <w:lang w:eastAsia="en-GB"/>
              </w:rPr>
              <w:t>Pooled investments</w:t>
            </w:r>
          </w:p>
        </w:tc>
        <w:tc>
          <w:tcPr>
            <w:tcW w:w="1136" w:type="dxa"/>
            <w:tcBorders>
              <w:top w:val="nil"/>
              <w:left w:val="nil"/>
              <w:bottom w:val="nil"/>
              <w:right w:val="nil"/>
            </w:tcBorders>
            <w:shd w:val="clear" w:color="000000" w:fill="FFFFFF"/>
            <w:noWrap/>
            <w:vAlign w:val="bottom"/>
            <w:hideMark/>
          </w:tcPr>
          <w:p w:rsidR="00E329F7" w:rsidRPr="00DD0298" w:rsidRDefault="00E329F7" w:rsidP="00AE1C26">
            <w:pPr>
              <w:jc w:val="right"/>
              <w:rPr>
                <w:rFonts w:cs="Calibri"/>
                <w:color w:val="000000"/>
                <w:sz w:val="18"/>
                <w:szCs w:val="18"/>
                <w:lang w:eastAsia="en-GB"/>
              </w:rPr>
            </w:pPr>
            <w:r w:rsidRPr="00DD0298">
              <w:rPr>
                <w:rFonts w:cs="Calibri"/>
                <w:color w:val="000000"/>
                <w:sz w:val="18"/>
                <w:szCs w:val="18"/>
                <w:lang w:eastAsia="en-GB"/>
              </w:rPr>
              <w:t>697.0</w:t>
            </w:r>
          </w:p>
        </w:tc>
        <w:tc>
          <w:tcPr>
            <w:tcW w:w="1216" w:type="dxa"/>
            <w:tcBorders>
              <w:top w:val="nil"/>
              <w:left w:val="nil"/>
              <w:bottom w:val="nil"/>
              <w:right w:val="nil"/>
            </w:tcBorders>
            <w:shd w:val="clear" w:color="000000" w:fill="FFFFFF"/>
            <w:noWrap/>
            <w:vAlign w:val="bottom"/>
            <w:hideMark/>
          </w:tcPr>
          <w:p w:rsidR="00E329F7" w:rsidRPr="00DD0298" w:rsidRDefault="00E329F7" w:rsidP="00AE1C26">
            <w:pPr>
              <w:rPr>
                <w:rFonts w:cs="Calibri"/>
                <w:color w:val="000000"/>
                <w:sz w:val="18"/>
                <w:szCs w:val="18"/>
                <w:lang w:eastAsia="en-GB"/>
              </w:rPr>
            </w:pPr>
            <w:r w:rsidRPr="00DD0298">
              <w:rPr>
                <w:rFonts w:cs="Calibri"/>
                <w:color w:val="000000"/>
                <w:sz w:val="18"/>
                <w:szCs w:val="18"/>
                <w:lang w:eastAsia="en-GB"/>
              </w:rPr>
              <w:t> </w:t>
            </w:r>
          </w:p>
        </w:tc>
        <w:tc>
          <w:tcPr>
            <w:tcW w:w="1016" w:type="dxa"/>
            <w:tcBorders>
              <w:top w:val="nil"/>
              <w:left w:val="nil"/>
              <w:bottom w:val="nil"/>
              <w:right w:val="nil"/>
            </w:tcBorders>
            <w:shd w:val="clear" w:color="000000" w:fill="FFFFFF"/>
            <w:noWrap/>
            <w:vAlign w:val="bottom"/>
            <w:hideMark/>
          </w:tcPr>
          <w:p w:rsidR="00E329F7" w:rsidRPr="00DD0298" w:rsidRDefault="00E329F7" w:rsidP="00AE1C26">
            <w:pPr>
              <w:rPr>
                <w:rFonts w:cs="Calibri"/>
                <w:color w:val="000000"/>
                <w:sz w:val="18"/>
                <w:szCs w:val="18"/>
                <w:lang w:eastAsia="en-GB"/>
              </w:rPr>
            </w:pPr>
            <w:r w:rsidRPr="00DD0298">
              <w:rPr>
                <w:rFonts w:cs="Calibri"/>
                <w:color w:val="000000"/>
                <w:sz w:val="18"/>
                <w:szCs w:val="18"/>
                <w:lang w:eastAsia="en-GB"/>
              </w:rPr>
              <w:t> </w:t>
            </w:r>
          </w:p>
        </w:tc>
      </w:tr>
      <w:tr w:rsidR="00E329F7" w:rsidRPr="00DD0298" w:rsidTr="00AE1C26">
        <w:trPr>
          <w:trHeight w:val="489"/>
        </w:trPr>
        <w:tc>
          <w:tcPr>
            <w:tcW w:w="1256" w:type="dxa"/>
            <w:tcBorders>
              <w:top w:val="nil"/>
              <w:left w:val="nil"/>
              <w:bottom w:val="nil"/>
              <w:right w:val="nil"/>
            </w:tcBorders>
            <w:shd w:val="clear" w:color="000000" w:fill="FFFFFF"/>
            <w:noWrap/>
            <w:vAlign w:val="bottom"/>
            <w:hideMark/>
          </w:tcPr>
          <w:p w:rsidR="00E329F7" w:rsidRPr="00DD0298" w:rsidRDefault="00E329F7" w:rsidP="00AE1C26">
            <w:pPr>
              <w:jc w:val="right"/>
              <w:rPr>
                <w:rFonts w:cs="Calibri"/>
                <w:color w:val="000000"/>
                <w:sz w:val="18"/>
                <w:szCs w:val="18"/>
                <w:lang w:eastAsia="en-GB"/>
              </w:rPr>
            </w:pPr>
            <w:r w:rsidRPr="00DD0298">
              <w:rPr>
                <w:rFonts w:cs="Calibri"/>
                <w:color w:val="000000"/>
                <w:sz w:val="18"/>
                <w:szCs w:val="18"/>
                <w:lang w:eastAsia="en-GB"/>
              </w:rPr>
              <w:t>0.2</w:t>
            </w:r>
          </w:p>
        </w:tc>
        <w:tc>
          <w:tcPr>
            <w:tcW w:w="1056" w:type="dxa"/>
            <w:tcBorders>
              <w:top w:val="nil"/>
              <w:left w:val="nil"/>
              <w:bottom w:val="nil"/>
              <w:right w:val="nil"/>
            </w:tcBorders>
            <w:shd w:val="clear" w:color="000000" w:fill="FFFFFF"/>
            <w:noWrap/>
            <w:vAlign w:val="bottom"/>
            <w:hideMark/>
          </w:tcPr>
          <w:p w:rsidR="00E329F7" w:rsidRPr="00DD0298" w:rsidRDefault="00E329F7" w:rsidP="00AE1C26">
            <w:pPr>
              <w:rPr>
                <w:rFonts w:cs="Calibri"/>
                <w:color w:val="000000"/>
                <w:sz w:val="18"/>
                <w:szCs w:val="18"/>
                <w:lang w:eastAsia="en-GB"/>
              </w:rPr>
            </w:pPr>
            <w:r w:rsidRPr="00DD0298">
              <w:rPr>
                <w:rFonts w:cs="Calibri"/>
                <w:color w:val="000000"/>
                <w:sz w:val="18"/>
                <w:szCs w:val="18"/>
                <w:lang w:eastAsia="en-GB"/>
              </w:rPr>
              <w:t> </w:t>
            </w:r>
          </w:p>
        </w:tc>
        <w:tc>
          <w:tcPr>
            <w:tcW w:w="1256" w:type="dxa"/>
            <w:tcBorders>
              <w:top w:val="nil"/>
              <w:left w:val="nil"/>
              <w:bottom w:val="nil"/>
              <w:right w:val="nil"/>
            </w:tcBorders>
            <w:shd w:val="clear" w:color="000000" w:fill="FFFFFF"/>
            <w:noWrap/>
            <w:vAlign w:val="bottom"/>
            <w:hideMark/>
          </w:tcPr>
          <w:p w:rsidR="00E329F7" w:rsidRPr="00DD0298" w:rsidRDefault="00E329F7" w:rsidP="00AE1C26">
            <w:pPr>
              <w:rPr>
                <w:rFonts w:cs="Calibri"/>
                <w:color w:val="000000"/>
                <w:sz w:val="18"/>
                <w:szCs w:val="18"/>
                <w:lang w:eastAsia="en-GB"/>
              </w:rPr>
            </w:pPr>
            <w:r w:rsidRPr="00DD0298">
              <w:rPr>
                <w:rFonts w:cs="Calibri"/>
                <w:color w:val="000000"/>
                <w:sz w:val="18"/>
                <w:szCs w:val="18"/>
                <w:lang w:eastAsia="en-GB"/>
              </w:rPr>
              <w:t> </w:t>
            </w:r>
          </w:p>
        </w:tc>
        <w:tc>
          <w:tcPr>
            <w:tcW w:w="2056" w:type="dxa"/>
            <w:tcBorders>
              <w:top w:val="nil"/>
              <w:left w:val="nil"/>
              <w:bottom w:val="nil"/>
              <w:right w:val="nil"/>
            </w:tcBorders>
            <w:shd w:val="clear" w:color="000000" w:fill="FFFFFF"/>
            <w:vAlign w:val="bottom"/>
            <w:hideMark/>
          </w:tcPr>
          <w:p w:rsidR="00E329F7" w:rsidRPr="00DD0298" w:rsidRDefault="00E329F7" w:rsidP="00AE1C26">
            <w:pPr>
              <w:rPr>
                <w:rFonts w:cs="Calibri"/>
                <w:color w:val="000000"/>
                <w:sz w:val="18"/>
                <w:szCs w:val="18"/>
                <w:lang w:eastAsia="en-GB"/>
              </w:rPr>
            </w:pPr>
            <w:r w:rsidRPr="00DD0298">
              <w:rPr>
                <w:rFonts w:cs="Calibri"/>
                <w:color w:val="000000"/>
                <w:sz w:val="18"/>
                <w:szCs w:val="18"/>
                <w:lang w:eastAsia="en-GB"/>
              </w:rPr>
              <w:t>Pooled property investments</w:t>
            </w:r>
          </w:p>
        </w:tc>
        <w:tc>
          <w:tcPr>
            <w:tcW w:w="1136" w:type="dxa"/>
            <w:tcBorders>
              <w:top w:val="nil"/>
              <w:left w:val="nil"/>
              <w:bottom w:val="nil"/>
              <w:right w:val="nil"/>
            </w:tcBorders>
            <w:shd w:val="clear" w:color="000000" w:fill="FFFFFF"/>
            <w:noWrap/>
            <w:vAlign w:val="bottom"/>
            <w:hideMark/>
          </w:tcPr>
          <w:p w:rsidR="00E329F7" w:rsidRPr="00DD0298" w:rsidRDefault="00E329F7" w:rsidP="00AE1C26">
            <w:pPr>
              <w:jc w:val="right"/>
              <w:rPr>
                <w:rFonts w:cs="Calibri"/>
                <w:color w:val="000000"/>
                <w:sz w:val="18"/>
                <w:szCs w:val="18"/>
                <w:lang w:eastAsia="en-GB"/>
              </w:rPr>
            </w:pPr>
            <w:r w:rsidRPr="00DD0298">
              <w:rPr>
                <w:rFonts w:cs="Calibri"/>
                <w:color w:val="000000"/>
                <w:sz w:val="18"/>
                <w:szCs w:val="18"/>
                <w:lang w:eastAsia="en-GB"/>
              </w:rPr>
              <w:t>0.1</w:t>
            </w:r>
          </w:p>
        </w:tc>
        <w:tc>
          <w:tcPr>
            <w:tcW w:w="1216" w:type="dxa"/>
            <w:tcBorders>
              <w:top w:val="nil"/>
              <w:left w:val="nil"/>
              <w:bottom w:val="nil"/>
              <w:right w:val="nil"/>
            </w:tcBorders>
            <w:shd w:val="clear" w:color="000000" w:fill="FFFFFF"/>
            <w:noWrap/>
            <w:vAlign w:val="bottom"/>
            <w:hideMark/>
          </w:tcPr>
          <w:p w:rsidR="00E329F7" w:rsidRPr="00DD0298" w:rsidRDefault="00E329F7" w:rsidP="00AE1C26">
            <w:pPr>
              <w:rPr>
                <w:rFonts w:cs="Calibri"/>
                <w:color w:val="000000"/>
                <w:sz w:val="18"/>
                <w:szCs w:val="18"/>
                <w:lang w:eastAsia="en-GB"/>
              </w:rPr>
            </w:pPr>
            <w:r w:rsidRPr="00DD0298">
              <w:rPr>
                <w:rFonts w:cs="Calibri"/>
                <w:color w:val="000000"/>
                <w:sz w:val="18"/>
                <w:szCs w:val="18"/>
                <w:lang w:eastAsia="en-GB"/>
              </w:rPr>
              <w:t> </w:t>
            </w:r>
          </w:p>
        </w:tc>
        <w:tc>
          <w:tcPr>
            <w:tcW w:w="1016" w:type="dxa"/>
            <w:tcBorders>
              <w:top w:val="nil"/>
              <w:left w:val="nil"/>
              <w:bottom w:val="nil"/>
              <w:right w:val="nil"/>
            </w:tcBorders>
            <w:shd w:val="clear" w:color="000000" w:fill="FFFFFF"/>
            <w:noWrap/>
            <w:vAlign w:val="bottom"/>
            <w:hideMark/>
          </w:tcPr>
          <w:p w:rsidR="00E329F7" w:rsidRPr="00DD0298" w:rsidRDefault="00E329F7" w:rsidP="00AE1C26">
            <w:pPr>
              <w:rPr>
                <w:rFonts w:cs="Calibri"/>
                <w:color w:val="000000"/>
                <w:sz w:val="18"/>
                <w:szCs w:val="18"/>
                <w:lang w:eastAsia="en-GB"/>
              </w:rPr>
            </w:pPr>
            <w:r w:rsidRPr="00DD0298">
              <w:rPr>
                <w:rFonts w:cs="Calibri"/>
                <w:color w:val="000000"/>
                <w:sz w:val="18"/>
                <w:szCs w:val="18"/>
                <w:lang w:eastAsia="en-GB"/>
              </w:rPr>
              <w:t> </w:t>
            </w:r>
          </w:p>
        </w:tc>
      </w:tr>
      <w:tr w:rsidR="00E329F7" w:rsidRPr="00DD0298" w:rsidTr="00AE1C26">
        <w:trPr>
          <w:trHeight w:val="489"/>
        </w:trPr>
        <w:tc>
          <w:tcPr>
            <w:tcW w:w="1256" w:type="dxa"/>
            <w:tcBorders>
              <w:top w:val="nil"/>
              <w:left w:val="nil"/>
              <w:bottom w:val="nil"/>
              <w:right w:val="nil"/>
            </w:tcBorders>
            <w:shd w:val="clear" w:color="000000" w:fill="FFFFFF"/>
            <w:noWrap/>
            <w:vAlign w:val="bottom"/>
            <w:hideMark/>
          </w:tcPr>
          <w:p w:rsidR="00E329F7" w:rsidRPr="00DD0298" w:rsidRDefault="00E329F7" w:rsidP="00AE1C26">
            <w:pPr>
              <w:jc w:val="right"/>
              <w:rPr>
                <w:rFonts w:cs="Calibri"/>
                <w:color w:val="000000"/>
                <w:sz w:val="18"/>
                <w:szCs w:val="18"/>
                <w:lang w:eastAsia="en-GB"/>
              </w:rPr>
            </w:pPr>
            <w:r w:rsidRPr="00DD0298">
              <w:rPr>
                <w:rFonts w:cs="Calibri"/>
                <w:color w:val="000000"/>
                <w:sz w:val="18"/>
                <w:szCs w:val="18"/>
                <w:lang w:eastAsia="en-GB"/>
              </w:rPr>
              <w:t>95.0</w:t>
            </w:r>
          </w:p>
        </w:tc>
        <w:tc>
          <w:tcPr>
            <w:tcW w:w="1056" w:type="dxa"/>
            <w:tcBorders>
              <w:top w:val="nil"/>
              <w:left w:val="nil"/>
              <w:bottom w:val="nil"/>
              <w:right w:val="nil"/>
            </w:tcBorders>
            <w:shd w:val="clear" w:color="000000" w:fill="FFFFFF"/>
            <w:noWrap/>
            <w:vAlign w:val="bottom"/>
            <w:hideMark/>
          </w:tcPr>
          <w:p w:rsidR="00E329F7" w:rsidRPr="00DD0298" w:rsidRDefault="00E329F7" w:rsidP="00AE1C26">
            <w:pPr>
              <w:rPr>
                <w:rFonts w:cs="Calibri"/>
                <w:color w:val="000000"/>
                <w:sz w:val="18"/>
                <w:szCs w:val="18"/>
                <w:lang w:eastAsia="en-GB"/>
              </w:rPr>
            </w:pPr>
            <w:r w:rsidRPr="00DD0298">
              <w:rPr>
                <w:rFonts w:cs="Calibri"/>
                <w:color w:val="000000"/>
                <w:sz w:val="18"/>
                <w:szCs w:val="18"/>
                <w:lang w:eastAsia="en-GB"/>
              </w:rPr>
              <w:t> </w:t>
            </w:r>
          </w:p>
        </w:tc>
        <w:tc>
          <w:tcPr>
            <w:tcW w:w="1256" w:type="dxa"/>
            <w:tcBorders>
              <w:top w:val="nil"/>
              <w:left w:val="nil"/>
              <w:bottom w:val="nil"/>
              <w:right w:val="nil"/>
            </w:tcBorders>
            <w:shd w:val="clear" w:color="000000" w:fill="FFFFFF"/>
            <w:noWrap/>
            <w:vAlign w:val="bottom"/>
            <w:hideMark/>
          </w:tcPr>
          <w:p w:rsidR="00E329F7" w:rsidRPr="00DD0298" w:rsidRDefault="00E329F7" w:rsidP="00AE1C26">
            <w:pPr>
              <w:rPr>
                <w:rFonts w:cs="Calibri"/>
                <w:color w:val="000000"/>
                <w:sz w:val="18"/>
                <w:szCs w:val="18"/>
                <w:lang w:eastAsia="en-GB"/>
              </w:rPr>
            </w:pPr>
            <w:r w:rsidRPr="00DD0298">
              <w:rPr>
                <w:rFonts w:cs="Calibri"/>
                <w:color w:val="000000"/>
                <w:sz w:val="18"/>
                <w:szCs w:val="18"/>
                <w:lang w:eastAsia="en-GB"/>
              </w:rPr>
              <w:t> </w:t>
            </w:r>
          </w:p>
        </w:tc>
        <w:tc>
          <w:tcPr>
            <w:tcW w:w="2056" w:type="dxa"/>
            <w:tcBorders>
              <w:top w:val="nil"/>
              <w:left w:val="nil"/>
              <w:bottom w:val="nil"/>
              <w:right w:val="nil"/>
            </w:tcBorders>
            <w:shd w:val="clear" w:color="000000" w:fill="FFFFFF"/>
            <w:vAlign w:val="bottom"/>
            <w:hideMark/>
          </w:tcPr>
          <w:p w:rsidR="00E329F7" w:rsidRPr="00DD0298" w:rsidRDefault="00E329F7" w:rsidP="00AE1C26">
            <w:pPr>
              <w:rPr>
                <w:rFonts w:cs="Calibri"/>
                <w:color w:val="000000"/>
                <w:sz w:val="18"/>
                <w:szCs w:val="18"/>
                <w:lang w:eastAsia="en-GB"/>
              </w:rPr>
            </w:pPr>
            <w:r w:rsidRPr="00DD0298">
              <w:rPr>
                <w:rFonts w:cs="Calibri"/>
                <w:color w:val="000000"/>
                <w:sz w:val="18"/>
                <w:szCs w:val="18"/>
                <w:lang w:eastAsia="en-GB"/>
              </w:rPr>
              <w:t>Private equity/infrastructure</w:t>
            </w:r>
          </w:p>
        </w:tc>
        <w:tc>
          <w:tcPr>
            <w:tcW w:w="1136" w:type="dxa"/>
            <w:tcBorders>
              <w:top w:val="nil"/>
              <w:left w:val="nil"/>
              <w:bottom w:val="nil"/>
              <w:right w:val="nil"/>
            </w:tcBorders>
            <w:shd w:val="clear" w:color="000000" w:fill="FFFFFF"/>
            <w:noWrap/>
            <w:vAlign w:val="bottom"/>
            <w:hideMark/>
          </w:tcPr>
          <w:p w:rsidR="00E329F7" w:rsidRPr="00DD0298" w:rsidRDefault="00E329F7" w:rsidP="00AE1C26">
            <w:pPr>
              <w:jc w:val="right"/>
              <w:rPr>
                <w:rFonts w:cs="Calibri"/>
                <w:color w:val="000000"/>
                <w:sz w:val="18"/>
                <w:szCs w:val="18"/>
                <w:lang w:eastAsia="en-GB"/>
              </w:rPr>
            </w:pPr>
            <w:r w:rsidRPr="00DD0298">
              <w:rPr>
                <w:rFonts w:cs="Calibri"/>
                <w:color w:val="000000"/>
                <w:sz w:val="18"/>
                <w:szCs w:val="18"/>
                <w:lang w:eastAsia="en-GB"/>
              </w:rPr>
              <w:t>84.3</w:t>
            </w:r>
          </w:p>
        </w:tc>
        <w:tc>
          <w:tcPr>
            <w:tcW w:w="1216" w:type="dxa"/>
            <w:tcBorders>
              <w:top w:val="nil"/>
              <w:left w:val="nil"/>
              <w:bottom w:val="nil"/>
              <w:right w:val="nil"/>
            </w:tcBorders>
            <w:shd w:val="clear" w:color="000000" w:fill="FFFFFF"/>
            <w:noWrap/>
            <w:vAlign w:val="bottom"/>
            <w:hideMark/>
          </w:tcPr>
          <w:p w:rsidR="00E329F7" w:rsidRPr="00DD0298" w:rsidRDefault="00E329F7" w:rsidP="00AE1C26">
            <w:pPr>
              <w:rPr>
                <w:rFonts w:cs="Calibri"/>
                <w:color w:val="000000"/>
                <w:sz w:val="18"/>
                <w:szCs w:val="18"/>
                <w:lang w:eastAsia="en-GB"/>
              </w:rPr>
            </w:pPr>
            <w:r w:rsidRPr="00DD0298">
              <w:rPr>
                <w:rFonts w:cs="Calibri"/>
                <w:color w:val="000000"/>
                <w:sz w:val="18"/>
                <w:szCs w:val="18"/>
                <w:lang w:eastAsia="en-GB"/>
              </w:rPr>
              <w:t> </w:t>
            </w:r>
          </w:p>
        </w:tc>
        <w:tc>
          <w:tcPr>
            <w:tcW w:w="1016" w:type="dxa"/>
            <w:tcBorders>
              <w:top w:val="nil"/>
              <w:left w:val="nil"/>
              <w:bottom w:val="nil"/>
              <w:right w:val="nil"/>
            </w:tcBorders>
            <w:shd w:val="clear" w:color="000000" w:fill="FFFFFF"/>
            <w:noWrap/>
            <w:vAlign w:val="bottom"/>
            <w:hideMark/>
          </w:tcPr>
          <w:p w:rsidR="00E329F7" w:rsidRPr="00DD0298" w:rsidRDefault="00E329F7" w:rsidP="00AE1C26">
            <w:pPr>
              <w:rPr>
                <w:rFonts w:cs="Calibri"/>
                <w:color w:val="000000"/>
                <w:sz w:val="18"/>
                <w:szCs w:val="18"/>
                <w:lang w:eastAsia="en-GB"/>
              </w:rPr>
            </w:pPr>
            <w:r w:rsidRPr="00DD0298">
              <w:rPr>
                <w:rFonts w:cs="Calibri"/>
                <w:color w:val="000000"/>
                <w:sz w:val="18"/>
                <w:szCs w:val="18"/>
                <w:lang w:eastAsia="en-GB"/>
              </w:rPr>
              <w:t> </w:t>
            </w:r>
          </w:p>
        </w:tc>
      </w:tr>
      <w:tr w:rsidR="00E329F7" w:rsidRPr="00DD0298" w:rsidTr="00AE1C26">
        <w:trPr>
          <w:trHeight w:val="299"/>
        </w:trPr>
        <w:tc>
          <w:tcPr>
            <w:tcW w:w="1256" w:type="dxa"/>
            <w:tcBorders>
              <w:top w:val="nil"/>
              <w:left w:val="nil"/>
              <w:bottom w:val="nil"/>
              <w:right w:val="nil"/>
            </w:tcBorders>
            <w:shd w:val="clear" w:color="000000" w:fill="FFFFFF"/>
            <w:noWrap/>
            <w:vAlign w:val="bottom"/>
            <w:hideMark/>
          </w:tcPr>
          <w:p w:rsidR="00E329F7" w:rsidRPr="00DD0298" w:rsidRDefault="00E329F7" w:rsidP="00AE1C26">
            <w:pPr>
              <w:rPr>
                <w:rFonts w:cs="Calibri"/>
                <w:color w:val="000000"/>
                <w:sz w:val="18"/>
                <w:szCs w:val="18"/>
                <w:lang w:eastAsia="en-GB"/>
              </w:rPr>
            </w:pPr>
            <w:r w:rsidRPr="00DD0298">
              <w:rPr>
                <w:rFonts w:cs="Calibri"/>
                <w:color w:val="000000"/>
                <w:sz w:val="18"/>
                <w:szCs w:val="18"/>
                <w:lang w:eastAsia="en-GB"/>
              </w:rPr>
              <w:t> </w:t>
            </w:r>
          </w:p>
        </w:tc>
        <w:tc>
          <w:tcPr>
            <w:tcW w:w="1056" w:type="dxa"/>
            <w:tcBorders>
              <w:top w:val="nil"/>
              <w:left w:val="nil"/>
              <w:bottom w:val="nil"/>
              <w:right w:val="nil"/>
            </w:tcBorders>
            <w:shd w:val="clear" w:color="000000" w:fill="FFFFFF"/>
            <w:noWrap/>
            <w:vAlign w:val="bottom"/>
            <w:hideMark/>
          </w:tcPr>
          <w:p w:rsidR="00E329F7" w:rsidRPr="00DD0298" w:rsidRDefault="00E329F7" w:rsidP="00AE1C26">
            <w:pPr>
              <w:jc w:val="right"/>
              <w:rPr>
                <w:rFonts w:cs="Calibri"/>
                <w:color w:val="000000"/>
                <w:sz w:val="18"/>
                <w:szCs w:val="18"/>
                <w:lang w:eastAsia="en-GB"/>
              </w:rPr>
            </w:pPr>
            <w:r w:rsidRPr="00DD0298">
              <w:rPr>
                <w:rFonts w:cs="Calibri"/>
                <w:color w:val="000000"/>
                <w:sz w:val="18"/>
                <w:szCs w:val="18"/>
                <w:lang w:eastAsia="en-GB"/>
              </w:rPr>
              <w:t>23.5</w:t>
            </w:r>
          </w:p>
        </w:tc>
        <w:tc>
          <w:tcPr>
            <w:tcW w:w="1256" w:type="dxa"/>
            <w:tcBorders>
              <w:top w:val="nil"/>
              <w:left w:val="nil"/>
              <w:bottom w:val="nil"/>
              <w:right w:val="nil"/>
            </w:tcBorders>
            <w:shd w:val="clear" w:color="000000" w:fill="FFFFFF"/>
            <w:noWrap/>
            <w:vAlign w:val="bottom"/>
            <w:hideMark/>
          </w:tcPr>
          <w:p w:rsidR="00E329F7" w:rsidRPr="00DD0298" w:rsidRDefault="00E329F7" w:rsidP="00AE1C26">
            <w:pPr>
              <w:rPr>
                <w:rFonts w:cs="Calibri"/>
                <w:color w:val="000000"/>
                <w:sz w:val="18"/>
                <w:szCs w:val="18"/>
                <w:lang w:eastAsia="en-GB"/>
              </w:rPr>
            </w:pPr>
            <w:r w:rsidRPr="00DD0298">
              <w:rPr>
                <w:rFonts w:cs="Calibri"/>
                <w:color w:val="000000"/>
                <w:sz w:val="18"/>
                <w:szCs w:val="18"/>
                <w:lang w:eastAsia="en-GB"/>
              </w:rPr>
              <w:t> </w:t>
            </w:r>
          </w:p>
        </w:tc>
        <w:tc>
          <w:tcPr>
            <w:tcW w:w="2056" w:type="dxa"/>
            <w:tcBorders>
              <w:top w:val="nil"/>
              <w:left w:val="nil"/>
              <w:bottom w:val="nil"/>
              <w:right w:val="nil"/>
            </w:tcBorders>
            <w:shd w:val="clear" w:color="000000" w:fill="FFFFFF"/>
            <w:noWrap/>
            <w:vAlign w:val="bottom"/>
            <w:hideMark/>
          </w:tcPr>
          <w:p w:rsidR="00E329F7" w:rsidRPr="00DD0298" w:rsidRDefault="00E329F7" w:rsidP="00AE1C26">
            <w:pPr>
              <w:rPr>
                <w:rFonts w:cs="Calibri"/>
                <w:color w:val="000000"/>
                <w:sz w:val="18"/>
                <w:szCs w:val="18"/>
                <w:lang w:eastAsia="en-GB"/>
              </w:rPr>
            </w:pPr>
            <w:r w:rsidRPr="00DD0298">
              <w:rPr>
                <w:rFonts w:cs="Calibri"/>
                <w:color w:val="000000"/>
                <w:sz w:val="18"/>
                <w:szCs w:val="18"/>
                <w:lang w:eastAsia="en-GB"/>
              </w:rPr>
              <w:t>Cash</w:t>
            </w:r>
          </w:p>
        </w:tc>
        <w:tc>
          <w:tcPr>
            <w:tcW w:w="1136" w:type="dxa"/>
            <w:tcBorders>
              <w:top w:val="nil"/>
              <w:left w:val="nil"/>
              <w:bottom w:val="nil"/>
              <w:right w:val="nil"/>
            </w:tcBorders>
            <w:shd w:val="clear" w:color="000000" w:fill="FFFFFF"/>
            <w:noWrap/>
            <w:vAlign w:val="bottom"/>
            <w:hideMark/>
          </w:tcPr>
          <w:p w:rsidR="00E329F7" w:rsidRPr="00DD0298" w:rsidRDefault="00E329F7" w:rsidP="00AE1C26">
            <w:pPr>
              <w:rPr>
                <w:rFonts w:cs="Calibri"/>
                <w:color w:val="000000"/>
                <w:sz w:val="18"/>
                <w:szCs w:val="18"/>
                <w:lang w:eastAsia="en-GB"/>
              </w:rPr>
            </w:pPr>
            <w:r w:rsidRPr="00DD0298">
              <w:rPr>
                <w:rFonts w:cs="Calibri"/>
                <w:color w:val="000000"/>
                <w:sz w:val="18"/>
                <w:szCs w:val="18"/>
                <w:lang w:eastAsia="en-GB"/>
              </w:rPr>
              <w:t> </w:t>
            </w:r>
          </w:p>
        </w:tc>
        <w:tc>
          <w:tcPr>
            <w:tcW w:w="1216" w:type="dxa"/>
            <w:tcBorders>
              <w:top w:val="nil"/>
              <w:left w:val="nil"/>
              <w:bottom w:val="nil"/>
              <w:right w:val="nil"/>
            </w:tcBorders>
            <w:shd w:val="clear" w:color="000000" w:fill="FFFFFF"/>
            <w:noWrap/>
            <w:vAlign w:val="bottom"/>
            <w:hideMark/>
          </w:tcPr>
          <w:p w:rsidR="00E329F7" w:rsidRPr="00DD0298" w:rsidRDefault="00E329F7" w:rsidP="00AE1C26">
            <w:pPr>
              <w:jc w:val="right"/>
              <w:rPr>
                <w:rFonts w:cs="Calibri"/>
                <w:color w:val="000000"/>
                <w:sz w:val="18"/>
                <w:szCs w:val="18"/>
                <w:lang w:eastAsia="en-GB"/>
              </w:rPr>
            </w:pPr>
            <w:r w:rsidRPr="00DD0298">
              <w:rPr>
                <w:rFonts w:cs="Calibri"/>
                <w:color w:val="000000"/>
                <w:sz w:val="18"/>
                <w:szCs w:val="18"/>
                <w:lang w:eastAsia="en-GB"/>
              </w:rPr>
              <w:t>53.9</w:t>
            </w:r>
          </w:p>
        </w:tc>
        <w:tc>
          <w:tcPr>
            <w:tcW w:w="1016" w:type="dxa"/>
            <w:tcBorders>
              <w:top w:val="nil"/>
              <w:left w:val="nil"/>
              <w:bottom w:val="nil"/>
              <w:right w:val="nil"/>
            </w:tcBorders>
            <w:shd w:val="clear" w:color="000000" w:fill="FFFFFF"/>
            <w:noWrap/>
            <w:vAlign w:val="bottom"/>
            <w:hideMark/>
          </w:tcPr>
          <w:p w:rsidR="00E329F7" w:rsidRPr="00DD0298" w:rsidRDefault="00E329F7" w:rsidP="00AE1C26">
            <w:pPr>
              <w:rPr>
                <w:rFonts w:cs="Calibri"/>
                <w:color w:val="000000"/>
                <w:sz w:val="18"/>
                <w:szCs w:val="18"/>
                <w:lang w:eastAsia="en-GB"/>
              </w:rPr>
            </w:pPr>
            <w:r w:rsidRPr="00DD0298">
              <w:rPr>
                <w:rFonts w:cs="Calibri"/>
                <w:color w:val="000000"/>
                <w:sz w:val="18"/>
                <w:szCs w:val="18"/>
                <w:lang w:eastAsia="en-GB"/>
              </w:rPr>
              <w:t> </w:t>
            </w:r>
          </w:p>
        </w:tc>
      </w:tr>
      <w:tr w:rsidR="00E329F7" w:rsidRPr="00DD0298" w:rsidTr="00AE1C26">
        <w:trPr>
          <w:trHeight w:val="299"/>
        </w:trPr>
        <w:tc>
          <w:tcPr>
            <w:tcW w:w="1256" w:type="dxa"/>
            <w:tcBorders>
              <w:top w:val="nil"/>
              <w:left w:val="nil"/>
              <w:bottom w:val="nil"/>
              <w:right w:val="nil"/>
            </w:tcBorders>
            <w:shd w:val="clear" w:color="000000" w:fill="FFFFFF"/>
            <w:noWrap/>
            <w:vAlign w:val="bottom"/>
            <w:hideMark/>
          </w:tcPr>
          <w:p w:rsidR="00E329F7" w:rsidRPr="00DD0298" w:rsidRDefault="00E329F7" w:rsidP="00AE1C26">
            <w:pPr>
              <w:rPr>
                <w:rFonts w:cs="Calibri"/>
                <w:color w:val="000000"/>
                <w:sz w:val="18"/>
                <w:szCs w:val="18"/>
                <w:lang w:eastAsia="en-GB"/>
              </w:rPr>
            </w:pPr>
            <w:r w:rsidRPr="00DD0298">
              <w:rPr>
                <w:rFonts w:cs="Calibri"/>
                <w:color w:val="000000"/>
                <w:sz w:val="18"/>
                <w:szCs w:val="18"/>
                <w:lang w:eastAsia="en-GB"/>
              </w:rPr>
              <w:t> </w:t>
            </w:r>
          </w:p>
        </w:tc>
        <w:tc>
          <w:tcPr>
            <w:tcW w:w="1056" w:type="dxa"/>
            <w:tcBorders>
              <w:top w:val="nil"/>
              <w:left w:val="nil"/>
              <w:bottom w:val="nil"/>
              <w:right w:val="nil"/>
            </w:tcBorders>
            <w:shd w:val="clear" w:color="000000" w:fill="FFFFFF"/>
            <w:noWrap/>
            <w:vAlign w:val="bottom"/>
            <w:hideMark/>
          </w:tcPr>
          <w:p w:rsidR="00E329F7" w:rsidRPr="00DD0298" w:rsidRDefault="00E329F7" w:rsidP="00AE1C26">
            <w:pPr>
              <w:jc w:val="right"/>
              <w:rPr>
                <w:rFonts w:cs="Calibri"/>
                <w:color w:val="000000"/>
                <w:sz w:val="18"/>
                <w:szCs w:val="18"/>
                <w:lang w:eastAsia="en-GB"/>
              </w:rPr>
            </w:pPr>
            <w:r w:rsidRPr="00DD0298">
              <w:rPr>
                <w:rFonts w:cs="Calibri"/>
                <w:color w:val="000000"/>
                <w:sz w:val="18"/>
                <w:szCs w:val="18"/>
                <w:lang w:eastAsia="en-GB"/>
              </w:rPr>
              <w:t>9.1</w:t>
            </w:r>
          </w:p>
        </w:tc>
        <w:tc>
          <w:tcPr>
            <w:tcW w:w="1256" w:type="dxa"/>
            <w:tcBorders>
              <w:top w:val="nil"/>
              <w:left w:val="nil"/>
              <w:bottom w:val="nil"/>
              <w:right w:val="nil"/>
            </w:tcBorders>
            <w:shd w:val="clear" w:color="000000" w:fill="FFFFFF"/>
            <w:noWrap/>
            <w:vAlign w:val="bottom"/>
            <w:hideMark/>
          </w:tcPr>
          <w:p w:rsidR="00E329F7" w:rsidRPr="00DD0298" w:rsidRDefault="00E329F7" w:rsidP="00AE1C26">
            <w:pPr>
              <w:rPr>
                <w:rFonts w:cs="Calibri"/>
                <w:color w:val="000000"/>
                <w:sz w:val="18"/>
                <w:szCs w:val="18"/>
                <w:lang w:eastAsia="en-GB"/>
              </w:rPr>
            </w:pPr>
            <w:r w:rsidRPr="00DD0298">
              <w:rPr>
                <w:rFonts w:cs="Calibri"/>
                <w:color w:val="000000"/>
                <w:sz w:val="18"/>
                <w:szCs w:val="18"/>
                <w:lang w:eastAsia="en-GB"/>
              </w:rPr>
              <w:t> </w:t>
            </w:r>
          </w:p>
        </w:tc>
        <w:tc>
          <w:tcPr>
            <w:tcW w:w="2056" w:type="dxa"/>
            <w:tcBorders>
              <w:top w:val="nil"/>
              <w:left w:val="nil"/>
              <w:bottom w:val="nil"/>
              <w:right w:val="nil"/>
            </w:tcBorders>
            <w:shd w:val="clear" w:color="000000" w:fill="FFFFFF"/>
            <w:noWrap/>
            <w:vAlign w:val="bottom"/>
            <w:hideMark/>
          </w:tcPr>
          <w:p w:rsidR="00E329F7" w:rsidRPr="00DD0298" w:rsidRDefault="00E329F7" w:rsidP="00AE1C26">
            <w:pPr>
              <w:rPr>
                <w:rFonts w:cs="Calibri"/>
                <w:color w:val="000000"/>
                <w:sz w:val="18"/>
                <w:szCs w:val="18"/>
                <w:lang w:eastAsia="en-GB"/>
              </w:rPr>
            </w:pPr>
            <w:r w:rsidRPr="00DD0298">
              <w:rPr>
                <w:rFonts w:cs="Calibri"/>
                <w:color w:val="000000"/>
                <w:sz w:val="18"/>
                <w:szCs w:val="18"/>
                <w:lang w:eastAsia="en-GB"/>
              </w:rPr>
              <w:t>Debtors</w:t>
            </w:r>
          </w:p>
        </w:tc>
        <w:tc>
          <w:tcPr>
            <w:tcW w:w="1136" w:type="dxa"/>
            <w:tcBorders>
              <w:top w:val="nil"/>
              <w:left w:val="nil"/>
              <w:bottom w:val="single" w:sz="4" w:space="0" w:color="auto"/>
              <w:right w:val="nil"/>
            </w:tcBorders>
            <w:shd w:val="clear" w:color="000000" w:fill="FFFFFF"/>
            <w:noWrap/>
            <w:vAlign w:val="bottom"/>
            <w:hideMark/>
          </w:tcPr>
          <w:p w:rsidR="00E329F7" w:rsidRPr="00DD0298" w:rsidRDefault="00E329F7" w:rsidP="00AE1C26">
            <w:pPr>
              <w:rPr>
                <w:rFonts w:cs="Calibri"/>
                <w:color w:val="000000"/>
                <w:sz w:val="18"/>
                <w:szCs w:val="18"/>
                <w:lang w:eastAsia="en-GB"/>
              </w:rPr>
            </w:pPr>
            <w:r w:rsidRPr="00DD0298">
              <w:rPr>
                <w:rFonts w:cs="Calibri"/>
                <w:color w:val="000000"/>
                <w:sz w:val="18"/>
                <w:szCs w:val="18"/>
                <w:lang w:eastAsia="en-GB"/>
              </w:rPr>
              <w:t> </w:t>
            </w:r>
          </w:p>
        </w:tc>
        <w:tc>
          <w:tcPr>
            <w:tcW w:w="1216" w:type="dxa"/>
            <w:tcBorders>
              <w:top w:val="nil"/>
              <w:left w:val="nil"/>
              <w:bottom w:val="nil"/>
              <w:right w:val="nil"/>
            </w:tcBorders>
            <w:shd w:val="clear" w:color="000000" w:fill="FFFFFF"/>
            <w:noWrap/>
            <w:vAlign w:val="bottom"/>
            <w:hideMark/>
          </w:tcPr>
          <w:p w:rsidR="00E329F7" w:rsidRPr="00DD0298" w:rsidRDefault="00E329F7" w:rsidP="00AE1C26">
            <w:pPr>
              <w:jc w:val="right"/>
              <w:rPr>
                <w:rFonts w:cs="Calibri"/>
                <w:color w:val="000000"/>
                <w:sz w:val="18"/>
                <w:szCs w:val="18"/>
                <w:lang w:eastAsia="en-GB"/>
              </w:rPr>
            </w:pPr>
            <w:r w:rsidRPr="00DD0298">
              <w:rPr>
                <w:rFonts w:cs="Calibri"/>
                <w:color w:val="000000"/>
                <w:sz w:val="18"/>
                <w:szCs w:val="18"/>
                <w:lang w:eastAsia="en-GB"/>
              </w:rPr>
              <w:t>4.0</w:t>
            </w:r>
          </w:p>
        </w:tc>
        <w:tc>
          <w:tcPr>
            <w:tcW w:w="1016" w:type="dxa"/>
            <w:tcBorders>
              <w:top w:val="nil"/>
              <w:left w:val="nil"/>
              <w:bottom w:val="single" w:sz="4" w:space="0" w:color="auto"/>
              <w:right w:val="nil"/>
            </w:tcBorders>
            <w:shd w:val="clear" w:color="000000" w:fill="FFFFFF"/>
            <w:noWrap/>
            <w:vAlign w:val="bottom"/>
            <w:hideMark/>
          </w:tcPr>
          <w:p w:rsidR="00E329F7" w:rsidRPr="00DD0298" w:rsidRDefault="00E329F7" w:rsidP="00AE1C26">
            <w:pPr>
              <w:rPr>
                <w:rFonts w:cs="Calibri"/>
                <w:color w:val="000000"/>
                <w:sz w:val="18"/>
                <w:szCs w:val="18"/>
                <w:lang w:eastAsia="en-GB"/>
              </w:rPr>
            </w:pPr>
            <w:r w:rsidRPr="00DD0298">
              <w:rPr>
                <w:rFonts w:cs="Calibri"/>
                <w:color w:val="000000"/>
                <w:sz w:val="18"/>
                <w:szCs w:val="18"/>
                <w:lang w:eastAsia="en-GB"/>
              </w:rPr>
              <w:t> </w:t>
            </w:r>
          </w:p>
        </w:tc>
      </w:tr>
      <w:tr w:rsidR="00E329F7" w:rsidRPr="00DD0298" w:rsidTr="00AE1C26">
        <w:trPr>
          <w:trHeight w:val="286"/>
        </w:trPr>
        <w:tc>
          <w:tcPr>
            <w:tcW w:w="1256" w:type="dxa"/>
            <w:tcBorders>
              <w:top w:val="single" w:sz="4" w:space="0" w:color="auto"/>
              <w:left w:val="nil"/>
              <w:bottom w:val="nil"/>
              <w:right w:val="nil"/>
            </w:tcBorders>
            <w:shd w:val="clear" w:color="000000" w:fill="FFFFFF"/>
            <w:noWrap/>
            <w:vAlign w:val="bottom"/>
            <w:hideMark/>
          </w:tcPr>
          <w:p w:rsidR="00E329F7" w:rsidRPr="00DD0298" w:rsidRDefault="00E329F7" w:rsidP="00AE1C26">
            <w:pPr>
              <w:jc w:val="right"/>
              <w:rPr>
                <w:rFonts w:cs="Calibri"/>
                <w:b/>
                <w:bCs/>
                <w:color w:val="000000"/>
                <w:sz w:val="18"/>
                <w:szCs w:val="18"/>
                <w:lang w:eastAsia="en-GB"/>
              </w:rPr>
            </w:pPr>
            <w:r w:rsidRPr="00DD0298">
              <w:rPr>
                <w:rFonts w:cs="Calibri"/>
                <w:b/>
                <w:bCs/>
                <w:color w:val="000000"/>
                <w:sz w:val="18"/>
                <w:szCs w:val="18"/>
                <w:lang w:eastAsia="en-GB"/>
              </w:rPr>
              <w:t>832.9</w:t>
            </w:r>
          </w:p>
        </w:tc>
        <w:tc>
          <w:tcPr>
            <w:tcW w:w="1056" w:type="dxa"/>
            <w:tcBorders>
              <w:top w:val="single" w:sz="4" w:space="0" w:color="auto"/>
              <w:left w:val="nil"/>
              <w:bottom w:val="nil"/>
              <w:right w:val="nil"/>
            </w:tcBorders>
            <w:shd w:val="clear" w:color="000000" w:fill="FFFFFF"/>
            <w:noWrap/>
            <w:vAlign w:val="bottom"/>
            <w:hideMark/>
          </w:tcPr>
          <w:p w:rsidR="00E329F7" w:rsidRPr="00DD0298" w:rsidRDefault="00E329F7" w:rsidP="00AE1C26">
            <w:pPr>
              <w:jc w:val="right"/>
              <w:rPr>
                <w:rFonts w:cs="Calibri"/>
                <w:b/>
                <w:bCs/>
                <w:color w:val="000000"/>
                <w:sz w:val="18"/>
                <w:szCs w:val="18"/>
                <w:lang w:eastAsia="en-GB"/>
              </w:rPr>
            </w:pPr>
            <w:r w:rsidRPr="00DD0298">
              <w:rPr>
                <w:rFonts w:cs="Calibri"/>
                <w:b/>
                <w:bCs/>
                <w:color w:val="000000"/>
                <w:sz w:val="18"/>
                <w:szCs w:val="18"/>
                <w:lang w:eastAsia="en-GB"/>
              </w:rPr>
              <w:t>32.6</w:t>
            </w:r>
          </w:p>
        </w:tc>
        <w:tc>
          <w:tcPr>
            <w:tcW w:w="1256" w:type="dxa"/>
            <w:tcBorders>
              <w:top w:val="single" w:sz="4" w:space="0" w:color="auto"/>
              <w:left w:val="nil"/>
              <w:bottom w:val="nil"/>
              <w:right w:val="nil"/>
            </w:tcBorders>
            <w:shd w:val="clear" w:color="000000" w:fill="FFFFFF"/>
            <w:noWrap/>
            <w:vAlign w:val="bottom"/>
            <w:hideMark/>
          </w:tcPr>
          <w:p w:rsidR="00E329F7" w:rsidRPr="00DD0298" w:rsidRDefault="00E329F7" w:rsidP="00AE1C26">
            <w:pPr>
              <w:jc w:val="right"/>
              <w:rPr>
                <w:rFonts w:cs="Calibri"/>
                <w:b/>
                <w:bCs/>
                <w:color w:val="000000"/>
                <w:sz w:val="18"/>
                <w:szCs w:val="18"/>
                <w:lang w:eastAsia="en-GB"/>
              </w:rPr>
            </w:pPr>
            <w:r w:rsidRPr="00DD0298">
              <w:rPr>
                <w:rFonts w:cs="Calibri"/>
                <w:b/>
                <w:bCs/>
                <w:color w:val="000000"/>
                <w:sz w:val="18"/>
                <w:szCs w:val="18"/>
                <w:lang w:eastAsia="en-GB"/>
              </w:rPr>
              <w:t>0.0</w:t>
            </w:r>
          </w:p>
        </w:tc>
        <w:tc>
          <w:tcPr>
            <w:tcW w:w="2056" w:type="dxa"/>
            <w:tcBorders>
              <w:top w:val="single" w:sz="4" w:space="0" w:color="auto"/>
              <w:left w:val="nil"/>
              <w:bottom w:val="nil"/>
              <w:right w:val="nil"/>
            </w:tcBorders>
            <w:shd w:val="clear" w:color="000000" w:fill="FFFFFF"/>
            <w:noWrap/>
            <w:vAlign w:val="bottom"/>
            <w:hideMark/>
          </w:tcPr>
          <w:p w:rsidR="00E329F7" w:rsidRPr="00DD0298" w:rsidRDefault="00E329F7" w:rsidP="00AE1C26">
            <w:pPr>
              <w:rPr>
                <w:rFonts w:cs="Calibri"/>
                <w:b/>
                <w:bCs/>
                <w:color w:val="000000"/>
                <w:sz w:val="18"/>
                <w:szCs w:val="18"/>
                <w:lang w:eastAsia="en-GB"/>
              </w:rPr>
            </w:pPr>
            <w:r w:rsidRPr="00DD0298">
              <w:rPr>
                <w:rFonts w:cs="Calibri"/>
                <w:b/>
                <w:bCs/>
                <w:color w:val="000000"/>
                <w:sz w:val="18"/>
                <w:szCs w:val="18"/>
                <w:lang w:eastAsia="en-GB"/>
              </w:rPr>
              <w:t>Total Financial assets</w:t>
            </w:r>
          </w:p>
        </w:tc>
        <w:tc>
          <w:tcPr>
            <w:tcW w:w="1136" w:type="dxa"/>
            <w:tcBorders>
              <w:top w:val="single" w:sz="4" w:space="0" w:color="auto"/>
              <w:left w:val="nil"/>
              <w:bottom w:val="nil"/>
              <w:right w:val="nil"/>
            </w:tcBorders>
            <w:shd w:val="clear" w:color="000000" w:fill="FFFFFF"/>
            <w:noWrap/>
            <w:vAlign w:val="bottom"/>
            <w:hideMark/>
          </w:tcPr>
          <w:p w:rsidR="00E329F7" w:rsidRPr="00DD0298" w:rsidRDefault="00E329F7" w:rsidP="00AE1C26">
            <w:pPr>
              <w:jc w:val="right"/>
              <w:rPr>
                <w:rFonts w:cs="Calibri"/>
                <w:b/>
                <w:bCs/>
                <w:color w:val="000000"/>
                <w:sz w:val="18"/>
                <w:szCs w:val="18"/>
                <w:lang w:eastAsia="en-GB"/>
              </w:rPr>
            </w:pPr>
            <w:r w:rsidRPr="00DD0298">
              <w:rPr>
                <w:rFonts w:cs="Calibri"/>
                <w:b/>
                <w:bCs/>
                <w:color w:val="000000"/>
                <w:sz w:val="18"/>
                <w:szCs w:val="18"/>
                <w:lang w:eastAsia="en-GB"/>
              </w:rPr>
              <w:t>781.4</w:t>
            </w:r>
          </w:p>
        </w:tc>
        <w:tc>
          <w:tcPr>
            <w:tcW w:w="1216" w:type="dxa"/>
            <w:tcBorders>
              <w:top w:val="single" w:sz="4" w:space="0" w:color="auto"/>
              <w:left w:val="nil"/>
              <w:bottom w:val="nil"/>
              <w:right w:val="nil"/>
            </w:tcBorders>
            <w:shd w:val="clear" w:color="000000" w:fill="FFFFFF"/>
            <w:noWrap/>
            <w:vAlign w:val="bottom"/>
            <w:hideMark/>
          </w:tcPr>
          <w:p w:rsidR="00E329F7" w:rsidRPr="00DD0298" w:rsidRDefault="00E329F7" w:rsidP="00AE1C26">
            <w:pPr>
              <w:jc w:val="right"/>
              <w:rPr>
                <w:rFonts w:cs="Calibri"/>
                <w:b/>
                <w:bCs/>
                <w:color w:val="000000"/>
                <w:sz w:val="18"/>
                <w:szCs w:val="18"/>
                <w:lang w:eastAsia="en-GB"/>
              </w:rPr>
            </w:pPr>
            <w:r w:rsidRPr="00DD0298">
              <w:rPr>
                <w:rFonts w:cs="Calibri"/>
                <w:b/>
                <w:bCs/>
                <w:color w:val="000000"/>
                <w:sz w:val="18"/>
                <w:szCs w:val="18"/>
                <w:lang w:eastAsia="en-GB"/>
              </w:rPr>
              <w:t>57.9</w:t>
            </w:r>
          </w:p>
        </w:tc>
        <w:tc>
          <w:tcPr>
            <w:tcW w:w="1016" w:type="dxa"/>
            <w:tcBorders>
              <w:top w:val="single" w:sz="4" w:space="0" w:color="auto"/>
              <w:left w:val="nil"/>
              <w:bottom w:val="nil"/>
              <w:right w:val="nil"/>
            </w:tcBorders>
            <w:shd w:val="clear" w:color="000000" w:fill="FFFFFF"/>
            <w:noWrap/>
            <w:vAlign w:val="bottom"/>
            <w:hideMark/>
          </w:tcPr>
          <w:p w:rsidR="00E329F7" w:rsidRPr="00DD0298" w:rsidRDefault="00E329F7" w:rsidP="00AE1C26">
            <w:pPr>
              <w:jc w:val="right"/>
              <w:rPr>
                <w:rFonts w:cs="Calibri"/>
                <w:b/>
                <w:bCs/>
                <w:color w:val="000000"/>
                <w:sz w:val="18"/>
                <w:szCs w:val="18"/>
                <w:lang w:eastAsia="en-GB"/>
              </w:rPr>
            </w:pPr>
            <w:r w:rsidRPr="00DD0298">
              <w:rPr>
                <w:rFonts w:cs="Calibri"/>
                <w:b/>
                <w:bCs/>
                <w:color w:val="000000"/>
                <w:sz w:val="18"/>
                <w:szCs w:val="18"/>
                <w:lang w:eastAsia="en-GB"/>
              </w:rPr>
              <w:t>0.0</w:t>
            </w:r>
          </w:p>
        </w:tc>
      </w:tr>
      <w:tr w:rsidR="00E329F7" w:rsidRPr="00DD0298" w:rsidTr="00AE1C26">
        <w:trPr>
          <w:trHeight w:val="299"/>
        </w:trPr>
        <w:tc>
          <w:tcPr>
            <w:tcW w:w="1256" w:type="dxa"/>
            <w:tcBorders>
              <w:top w:val="nil"/>
              <w:left w:val="nil"/>
              <w:bottom w:val="nil"/>
              <w:right w:val="nil"/>
            </w:tcBorders>
            <w:shd w:val="clear" w:color="000000" w:fill="FFFFFF"/>
            <w:noWrap/>
            <w:vAlign w:val="bottom"/>
            <w:hideMark/>
          </w:tcPr>
          <w:p w:rsidR="00E329F7" w:rsidRPr="00DD0298" w:rsidRDefault="00E329F7" w:rsidP="00AE1C26">
            <w:pPr>
              <w:rPr>
                <w:rFonts w:cs="Calibri"/>
                <w:color w:val="000000"/>
                <w:sz w:val="18"/>
                <w:szCs w:val="18"/>
                <w:lang w:eastAsia="en-GB"/>
              </w:rPr>
            </w:pPr>
            <w:r w:rsidRPr="00DD0298">
              <w:rPr>
                <w:rFonts w:cs="Calibri"/>
                <w:color w:val="000000"/>
                <w:sz w:val="18"/>
                <w:szCs w:val="18"/>
                <w:lang w:eastAsia="en-GB"/>
              </w:rPr>
              <w:t> </w:t>
            </w:r>
          </w:p>
        </w:tc>
        <w:tc>
          <w:tcPr>
            <w:tcW w:w="1056" w:type="dxa"/>
            <w:tcBorders>
              <w:top w:val="nil"/>
              <w:left w:val="nil"/>
              <w:bottom w:val="nil"/>
              <w:right w:val="nil"/>
            </w:tcBorders>
            <w:shd w:val="clear" w:color="000000" w:fill="FFFFFF"/>
            <w:noWrap/>
            <w:vAlign w:val="bottom"/>
            <w:hideMark/>
          </w:tcPr>
          <w:p w:rsidR="00E329F7" w:rsidRPr="00DD0298" w:rsidRDefault="00E329F7" w:rsidP="00AE1C26">
            <w:pPr>
              <w:rPr>
                <w:rFonts w:cs="Calibri"/>
                <w:color w:val="000000"/>
                <w:sz w:val="18"/>
                <w:szCs w:val="18"/>
                <w:lang w:eastAsia="en-GB"/>
              </w:rPr>
            </w:pPr>
            <w:r w:rsidRPr="00DD0298">
              <w:rPr>
                <w:rFonts w:cs="Calibri"/>
                <w:color w:val="000000"/>
                <w:sz w:val="18"/>
                <w:szCs w:val="18"/>
                <w:lang w:eastAsia="en-GB"/>
              </w:rPr>
              <w:t> </w:t>
            </w:r>
          </w:p>
        </w:tc>
        <w:tc>
          <w:tcPr>
            <w:tcW w:w="1256" w:type="dxa"/>
            <w:tcBorders>
              <w:top w:val="nil"/>
              <w:left w:val="nil"/>
              <w:bottom w:val="nil"/>
              <w:right w:val="nil"/>
            </w:tcBorders>
            <w:shd w:val="clear" w:color="000000" w:fill="FFFFFF"/>
            <w:noWrap/>
            <w:vAlign w:val="bottom"/>
            <w:hideMark/>
          </w:tcPr>
          <w:p w:rsidR="00E329F7" w:rsidRPr="00DD0298" w:rsidRDefault="00E329F7" w:rsidP="00AE1C26">
            <w:pPr>
              <w:rPr>
                <w:rFonts w:cs="Calibri"/>
                <w:color w:val="000000"/>
                <w:sz w:val="18"/>
                <w:szCs w:val="18"/>
                <w:lang w:eastAsia="en-GB"/>
              </w:rPr>
            </w:pPr>
            <w:r w:rsidRPr="00DD0298">
              <w:rPr>
                <w:rFonts w:cs="Calibri"/>
                <w:color w:val="000000"/>
                <w:sz w:val="18"/>
                <w:szCs w:val="18"/>
                <w:lang w:eastAsia="en-GB"/>
              </w:rPr>
              <w:t> </w:t>
            </w:r>
          </w:p>
        </w:tc>
        <w:tc>
          <w:tcPr>
            <w:tcW w:w="2056" w:type="dxa"/>
            <w:tcBorders>
              <w:top w:val="nil"/>
              <w:left w:val="nil"/>
              <w:bottom w:val="nil"/>
              <w:right w:val="nil"/>
            </w:tcBorders>
            <w:shd w:val="clear" w:color="000000" w:fill="FFFFFF"/>
            <w:noWrap/>
            <w:vAlign w:val="bottom"/>
            <w:hideMark/>
          </w:tcPr>
          <w:p w:rsidR="00E329F7" w:rsidRPr="00DD0298" w:rsidRDefault="00E329F7" w:rsidP="00AE1C26">
            <w:pPr>
              <w:rPr>
                <w:rFonts w:cs="Calibri"/>
                <w:b/>
                <w:bCs/>
                <w:color w:val="000000"/>
                <w:sz w:val="18"/>
                <w:szCs w:val="18"/>
                <w:lang w:eastAsia="en-GB"/>
              </w:rPr>
            </w:pPr>
            <w:r w:rsidRPr="00DD0298">
              <w:rPr>
                <w:rFonts w:cs="Calibri"/>
                <w:b/>
                <w:bCs/>
                <w:color w:val="000000"/>
                <w:sz w:val="18"/>
                <w:szCs w:val="18"/>
                <w:lang w:eastAsia="en-GB"/>
              </w:rPr>
              <w:t>Financial liabilities</w:t>
            </w:r>
          </w:p>
        </w:tc>
        <w:tc>
          <w:tcPr>
            <w:tcW w:w="1136" w:type="dxa"/>
            <w:tcBorders>
              <w:top w:val="nil"/>
              <w:left w:val="nil"/>
              <w:bottom w:val="nil"/>
              <w:right w:val="nil"/>
            </w:tcBorders>
            <w:shd w:val="clear" w:color="000000" w:fill="FFFFFF"/>
            <w:noWrap/>
            <w:vAlign w:val="bottom"/>
            <w:hideMark/>
          </w:tcPr>
          <w:p w:rsidR="00E329F7" w:rsidRPr="00DD0298" w:rsidRDefault="00E329F7" w:rsidP="00AE1C26">
            <w:pPr>
              <w:rPr>
                <w:rFonts w:cs="Calibri"/>
                <w:color w:val="000000"/>
                <w:sz w:val="18"/>
                <w:szCs w:val="18"/>
                <w:lang w:eastAsia="en-GB"/>
              </w:rPr>
            </w:pPr>
            <w:r w:rsidRPr="00DD0298">
              <w:rPr>
                <w:rFonts w:cs="Calibri"/>
                <w:color w:val="000000"/>
                <w:sz w:val="18"/>
                <w:szCs w:val="18"/>
                <w:lang w:eastAsia="en-GB"/>
              </w:rPr>
              <w:t> </w:t>
            </w:r>
          </w:p>
        </w:tc>
        <w:tc>
          <w:tcPr>
            <w:tcW w:w="1216" w:type="dxa"/>
            <w:tcBorders>
              <w:top w:val="nil"/>
              <w:left w:val="nil"/>
              <w:bottom w:val="nil"/>
              <w:right w:val="nil"/>
            </w:tcBorders>
            <w:shd w:val="clear" w:color="000000" w:fill="FFFFFF"/>
            <w:noWrap/>
            <w:vAlign w:val="bottom"/>
            <w:hideMark/>
          </w:tcPr>
          <w:p w:rsidR="00E329F7" w:rsidRPr="00DD0298" w:rsidRDefault="00E329F7" w:rsidP="00AE1C26">
            <w:pPr>
              <w:rPr>
                <w:rFonts w:cs="Calibri"/>
                <w:color w:val="000000"/>
                <w:sz w:val="18"/>
                <w:szCs w:val="18"/>
                <w:lang w:eastAsia="en-GB"/>
              </w:rPr>
            </w:pPr>
            <w:r w:rsidRPr="00DD0298">
              <w:rPr>
                <w:rFonts w:cs="Calibri"/>
                <w:color w:val="000000"/>
                <w:sz w:val="18"/>
                <w:szCs w:val="18"/>
                <w:lang w:eastAsia="en-GB"/>
              </w:rPr>
              <w:t> </w:t>
            </w:r>
          </w:p>
        </w:tc>
        <w:tc>
          <w:tcPr>
            <w:tcW w:w="1016" w:type="dxa"/>
            <w:tcBorders>
              <w:top w:val="nil"/>
              <w:left w:val="nil"/>
              <w:bottom w:val="nil"/>
              <w:right w:val="nil"/>
            </w:tcBorders>
            <w:shd w:val="clear" w:color="000000" w:fill="FFFFFF"/>
            <w:noWrap/>
            <w:vAlign w:val="bottom"/>
            <w:hideMark/>
          </w:tcPr>
          <w:p w:rsidR="00E329F7" w:rsidRPr="00DD0298" w:rsidRDefault="00E329F7" w:rsidP="00AE1C26">
            <w:pPr>
              <w:rPr>
                <w:rFonts w:cs="Calibri"/>
                <w:color w:val="000000"/>
                <w:sz w:val="18"/>
                <w:szCs w:val="18"/>
                <w:lang w:eastAsia="en-GB"/>
              </w:rPr>
            </w:pPr>
            <w:r w:rsidRPr="00DD0298">
              <w:rPr>
                <w:rFonts w:cs="Calibri"/>
                <w:color w:val="000000"/>
                <w:sz w:val="18"/>
                <w:szCs w:val="18"/>
                <w:lang w:eastAsia="en-GB"/>
              </w:rPr>
              <w:t> </w:t>
            </w:r>
          </w:p>
        </w:tc>
      </w:tr>
      <w:tr w:rsidR="00E329F7" w:rsidRPr="00DD0298" w:rsidTr="00AE1C26">
        <w:trPr>
          <w:trHeight w:val="299"/>
        </w:trPr>
        <w:tc>
          <w:tcPr>
            <w:tcW w:w="1256" w:type="dxa"/>
            <w:tcBorders>
              <w:top w:val="nil"/>
              <w:left w:val="nil"/>
              <w:bottom w:val="nil"/>
              <w:right w:val="nil"/>
            </w:tcBorders>
            <w:shd w:val="clear" w:color="000000" w:fill="FFFFFF"/>
            <w:noWrap/>
            <w:vAlign w:val="bottom"/>
            <w:hideMark/>
          </w:tcPr>
          <w:p w:rsidR="00E329F7" w:rsidRPr="00DD0298" w:rsidRDefault="00E329F7" w:rsidP="00AE1C26">
            <w:pPr>
              <w:rPr>
                <w:rFonts w:cs="Calibri"/>
                <w:color w:val="000000"/>
                <w:sz w:val="18"/>
                <w:szCs w:val="18"/>
                <w:lang w:eastAsia="en-GB"/>
              </w:rPr>
            </w:pPr>
            <w:r w:rsidRPr="00DD0298">
              <w:rPr>
                <w:rFonts w:cs="Calibri"/>
                <w:color w:val="000000"/>
                <w:sz w:val="18"/>
                <w:szCs w:val="18"/>
                <w:lang w:eastAsia="en-GB"/>
              </w:rPr>
              <w:t> </w:t>
            </w:r>
          </w:p>
        </w:tc>
        <w:tc>
          <w:tcPr>
            <w:tcW w:w="1056" w:type="dxa"/>
            <w:tcBorders>
              <w:top w:val="nil"/>
              <w:left w:val="nil"/>
              <w:bottom w:val="nil"/>
              <w:right w:val="nil"/>
            </w:tcBorders>
            <w:shd w:val="clear" w:color="000000" w:fill="FFFFFF"/>
            <w:noWrap/>
            <w:vAlign w:val="bottom"/>
            <w:hideMark/>
          </w:tcPr>
          <w:p w:rsidR="00E329F7" w:rsidRPr="00DD0298" w:rsidRDefault="00E329F7" w:rsidP="00AE1C26">
            <w:pPr>
              <w:rPr>
                <w:rFonts w:cs="Calibri"/>
                <w:color w:val="000000"/>
                <w:sz w:val="18"/>
                <w:szCs w:val="18"/>
                <w:lang w:eastAsia="en-GB"/>
              </w:rPr>
            </w:pPr>
            <w:r w:rsidRPr="00DD0298">
              <w:rPr>
                <w:rFonts w:cs="Calibri"/>
                <w:color w:val="000000"/>
                <w:sz w:val="18"/>
                <w:szCs w:val="18"/>
                <w:lang w:eastAsia="en-GB"/>
              </w:rPr>
              <w:t> </w:t>
            </w:r>
          </w:p>
        </w:tc>
        <w:tc>
          <w:tcPr>
            <w:tcW w:w="1256" w:type="dxa"/>
            <w:tcBorders>
              <w:top w:val="nil"/>
              <w:left w:val="nil"/>
              <w:bottom w:val="nil"/>
              <w:right w:val="nil"/>
            </w:tcBorders>
            <w:shd w:val="clear" w:color="000000" w:fill="FFFFFF"/>
            <w:noWrap/>
            <w:vAlign w:val="bottom"/>
            <w:hideMark/>
          </w:tcPr>
          <w:p w:rsidR="00E329F7" w:rsidRPr="00DD0298" w:rsidRDefault="00E329F7" w:rsidP="00AE1C26">
            <w:pPr>
              <w:jc w:val="right"/>
              <w:rPr>
                <w:rFonts w:cs="Calibri"/>
                <w:color w:val="000000"/>
                <w:sz w:val="18"/>
                <w:szCs w:val="18"/>
                <w:lang w:eastAsia="en-GB"/>
              </w:rPr>
            </w:pPr>
            <w:r w:rsidRPr="00DD0298">
              <w:rPr>
                <w:rFonts w:cs="Calibri"/>
                <w:color w:val="FF0000"/>
                <w:sz w:val="18"/>
                <w:szCs w:val="18"/>
                <w:lang w:eastAsia="en-GB"/>
              </w:rPr>
              <w:t>(0.9)</w:t>
            </w:r>
          </w:p>
        </w:tc>
        <w:tc>
          <w:tcPr>
            <w:tcW w:w="2056" w:type="dxa"/>
            <w:tcBorders>
              <w:top w:val="nil"/>
              <w:left w:val="nil"/>
              <w:bottom w:val="nil"/>
              <w:right w:val="nil"/>
            </w:tcBorders>
            <w:shd w:val="clear" w:color="000000" w:fill="FFFFFF"/>
            <w:noWrap/>
            <w:vAlign w:val="bottom"/>
            <w:hideMark/>
          </w:tcPr>
          <w:p w:rsidR="00E329F7" w:rsidRPr="00DD0298" w:rsidRDefault="00E329F7" w:rsidP="00AE1C26">
            <w:pPr>
              <w:rPr>
                <w:rFonts w:cs="Calibri"/>
                <w:color w:val="000000"/>
                <w:sz w:val="18"/>
                <w:szCs w:val="18"/>
                <w:lang w:eastAsia="en-GB"/>
              </w:rPr>
            </w:pPr>
            <w:r w:rsidRPr="00DD0298">
              <w:rPr>
                <w:rFonts w:cs="Calibri"/>
                <w:color w:val="000000"/>
                <w:sz w:val="18"/>
                <w:szCs w:val="18"/>
                <w:lang w:eastAsia="en-GB"/>
              </w:rPr>
              <w:t>Creditors</w:t>
            </w:r>
          </w:p>
        </w:tc>
        <w:tc>
          <w:tcPr>
            <w:tcW w:w="1136" w:type="dxa"/>
            <w:tcBorders>
              <w:top w:val="nil"/>
              <w:left w:val="nil"/>
              <w:bottom w:val="nil"/>
              <w:right w:val="nil"/>
            </w:tcBorders>
            <w:shd w:val="clear" w:color="000000" w:fill="FFFFFF"/>
            <w:noWrap/>
            <w:vAlign w:val="bottom"/>
            <w:hideMark/>
          </w:tcPr>
          <w:p w:rsidR="00E329F7" w:rsidRPr="00DD0298" w:rsidRDefault="00E329F7" w:rsidP="00AE1C26">
            <w:pPr>
              <w:rPr>
                <w:rFonts w:cs="Calibri"/>
                <w:color w:val="000000"/>
                <w:sz w:val="18"/>
                <w:szCs w:val="18"/>
                <w:lang w:eastAsia="en-GB"/>
              </w:rPr>
            </w:pPr>
            <w:r w:rsidRPr="00DD0298">
              <w:rPr>
                <w:rFonts w:cs="Calibri"/>
                <w:color w:val="000000"/>
                <w:sz w:val="18"/>
                <w:szCs w:val="18"/>
                <w:lang w:eastAsia="en-GB"/>
              </w:rPr>
              <w:t> </w:t>
            </w:r>
          </w:p>
        </w:tc>
        <w:tc>
          <w:tcPr>
            <w:tcW w:w="1216" w:type="dxa"/>
            <w:tcBorders>
              <w:top w:val="nil"/>
              <w:left w:val="nil"/>
              <w:bottom w:val="nil"/>
              <w:right w:val="nil"/>
            </w:tcBorders>
            <w:shd w:val="clear" w:color="000000" w:fill="FFFFFF"/>
            <w:noWrap/>
            <w:vAlign w:val="bottom"/>
            <w:hideMark/>
          </w:tcPr>
          <w:p w:rsidR="00E329F7" w:rsidRPr="00DD0298" w:rsidRDefault="00E329F7" w:rsidP="00AE1C26">
            <w:pPr>
              <w:rPr>
                <w:rFonts w:cs="Calibri"/>
                <w:color w:val="000000"/>
                <w:sz w:val="18"/>
                <w:szCs w:val="18"/>
                <w:lang w:eastAsia="en-GB"/>
              </w:rPr>
            </w:pPr>
            <w:r w:rsidRPr="00DD0298">
              <w:rPr>
                <w:rFonts w:cs="Calibri"/>
                <w:color w:val="000000"/>
                <w:sz w:val="18"/>
                <w:szCs w:val="18"/>
                <w:lang w:eastAsia="en-GB"/>
              </w:rPr>
              <w:t> </w:t>
            </w:r>
          </w:p>
        </w:tc>
        <w:tc>
          <w:tcPr>
            <w:tcW w:w="1016" w:type="dxa"/>
            <w:tcBorders>
              <w:top w:val="nil"/>
              <w:left w:val="nil"/>
              <w:bottom w:val="nil"/>
              <w:right w:val="nil"/>
            </w:tcBorders>
            <w:shd w:val="clear" w:color="000000" w:fill="FFFFFF"/>
            <w:noWrap/>
            <w:vAlign w:val="bottom"/>
            <w:hideMark/>
          </w:tcPr>
          <w:p w:rsidR="00E329F7" w:rsidRPr="00DD0298" w:rsidRDefault="00E329F7" w:rsidP="00AE1C26">
            <w:pPr>
              <w:jc w:val="right"/>
              <w:rPr>
                <w:rFonts w:cs="Calibri"/>
                <w:color w:val="000000"/>
                <w:sz w:val="18"/>
                <w:szCs w:val="18"/>
                <w:lang w:eastAsia="en-GB"/>
              </w:rPr>
            </w:pPr>
            <w:r w:rsidRPr="00DD0298">
              <w:rPr>
                <w:rFonts w:cs="Calibri"/>
                <w:color w:val="FF0000"/>
                <w:sz w:val="18"/>
                <w:szCs w:val="18"/>
                <w:lang w:eastAsia="en-GB"/>
              </w:rPr>
              <w:t>(0.4)</w:t>
            </w:r>
          </w:p>
        </w:tc>
      </w:tr>
      <w:tr w:rsidR="00E329F7" w:rsidRPr="00DD0298" w:rsidTr="00AE1C26">
        <w:trPr>
          <w:trHeight w:val="299"/>
        </w:trPr>
        <w:tc>
          <w:tcPr>
            <w:tcW w:w="1256" w:type="dxa"/>
            <w:tcBorders>
              <w:top w:val="single" w:sz="4" w:space="0" w:color="auto"/>
              <w:left w:val="nil"/>
              <w:bottom w:val="nil"/>
              <w:right w:val="nil"/>
            </w:tcBorders>
            <w:shd w:val="clear" w:color="000000" w:fill="FFFFFF"/>
            <w:noWrap/>
            <w:vAlign w:val="bottom"/>
            <w:hideMark/>
          </w:tcPr>
          <w:p w:rsidR="00E329F7" w:rsidRPr="00DD0298" w:rsidRDefault="00E329F7" w:rsidP="00AE1C26">
            <w:pPr>
              <w:jc w:val="right"/>
              <w:rPr>
                <w:rFonts w:cs="Calibri"/>
                <w:b/>
                <w:bCs/>
                <w:color w:val="000000"/>
                <w:sz w:val="18"/>
                <w:szCs w:val="18"/>
                <w:lang w:eastAsia="en-GB"/>
              </w:rPr>
            </w:pPr>
            <w:r w:rsidRPr="00DD0298">
              <w:rPr>
                <w:rFonts w:cs="Calibri"/>
                <w:b/>
                <w:bCs/>
                <w:color w:val="000000"/>
                <w:sz w:val="18"/>
                <w:szCs w:val="18"/>
                <w:lang w:eastAsia="en-GB"/>
              </w:rPr>
              <w:t>0</w:t>
            </w:r>
          </w:p>
        </w:tc>
        <w:tc>
          <w:tcPr>
            <w:tcW w:w="1056" w:type="dxa"/>
            <w:tcBorders>
              <w:top w:val="single" w:sz="4" w:space="0" w:color="auto"/>
              <w:left w:val="nil"/>
              <w:bottom w:val="nil"/>
              <w:right w:val="nil"/>
            </w:tcBorders>
            <w:shd w:val="clear" w:color="000000" w:fill="FFFFFF"/>
            <w:noWrap/>
            <w:vAlign w:val="bottom"/>
            <w:hideMark/>
          </w:tcPr>
          <w:p w:rsidR="00E329F7" w:rsidRPr="00DD0298" w:rsidRDefault="00E329F7" w:rsidP="00AE1C26">
            <w:pPr>
              <w:jc w:val="right"/>
              <w:rPr>
                <w:rFonts w:cs="Calibri"/>
                <w:b/>
                <w:bCs/>
                <w:color w:val="000000"/>
                <w:sz w:val="18"/>
                <w:szCs w:val="18"/>
                <w:lang w:eastAsia="en-GB"/>
              </w:rPr>
            </w:pPr>
            <w:r w:rsidRPr="00DD0298">
              <w:rPr>
                <w:rFonts w:cs="Calibri"/>
                <w:b/>
                <w:bCs/>
                <w:color w:val="000000"/>
                <w:sz w:val="18"/>
                <w:szCs w:val="18"/>
                <w:lang w:eastAsia="en-GB"/>
              </w:rPr>
              <w:t>0</w:t>
            </w:r>
          </w:p>
        </w:tc>
        <w:tc>
          <w:tcPr>
            <w:tcW w:w="1256" w:type="dxa"/>
            <w:tcBorders>
              <w:top w:val="single" w:sz="4" w:space="0" w:color="auto"/>
              <w:left w:val="nil"/>
              <w:bottom w:val="nil"/>
              <w:right w:val="nil"/>
            </w:tcBorders>
            <w:shd w:val="clear" w:color="000000" w:fill="FFFFFF"/>
            <w:noWrap/>
            <w:vAlign w:val="bottom"/>
            <w:hideMark/>
          </w:tcPr>
          <w:p w:rsidR="00E329F7" w:rsidRPr="00DD0298" w:rsidRDefault="00E329F7" w:rsidP="00AE1C26">
            <w:pPr>
              <w:jc w:val="right"/>
              <w:rPr>
                <w:rFonts w:cs="Calibri"/>
                <w:b/>
                <w:bCs/>
                <w:color w:val="000000"/>
                <w:sz w:val="18"/>
                <w:szCs w:val="18"/>
                <w:lang w:eastAsia="en-GB"/>
              </w:rPr>
            </w:pPr>
            <w:r w:rsidRPr="00DD0298">
              <w:rPr>
                <w:rFonts w:cs="Calibri"/>
                <w:b/>
                <w:bCs/>
                <w:color w:val="FF0000"/>
                <w:sz w:val="18"/>
                <w:szCs w:val="18"/>
                <w:lang w:eastAsia="en-GB"/>
              </w:rPr>
              <w:t>(0.9)</w:t>
            </w:r>
          </w:p>
        </w:tc>
        <w:tc>
          <w:tcPr>
            <w:tcW w:w="2056" w:type="dxa"/>
            <w:tcBorders>
              <w:top w:val="single" w:sz="4" w:space="0" w:color="auto"/>
              <w:left w:val="nil"/>
              <w:bottom w:val="nil"/>
              <w:right w:val="nil"/>
            </w:tcBorders>
            <w:shd w:val="clear" w:color="000000" w:fill="FFFFFF"/>
            <w:noWrap/>
            <w:vAlign w:val="bottom"/>
            <w:hideMark/>
          </w:tcPr>
          <w:p w:rsidR="00E329F7" w:rsidRPr="00DD0298" w:rsidRDefault="00E329F7" w:rsidP="00AE1C26">
            <w:pPr>
              <w:rPr>
                <w:rFonts w:cs="Calibri"/>
                <w:b/>
                <w:bCs/>
                <w:color w:val="000000"/>
                <w:sz w:val="18"/>
                <w:szCs w:val="18"/>
                <w:lang w:eastAsia="en-GB"/>
              </w:rPr>
            </w:pPr>
            <w:r w:rsidRPr="00DD0298">
              <w:rPr>
                <w:rFonts w:cs="Calibri"/>
                <w:b/>
                <w:bCs/>
                <w:color w:val="000000"/>
                <w:sz w:val="18"/>
                <w:szCs w:val="18"/>
                <w:lang w:eastAsia="en-GB"/>
              </w:rPr>
              <w:t>Total Financial liabilities</w:t>
            </w:r>
          </w:p>
        </w:tc>
        <w:tc>
          <w:tcPr>
            <w:tcW w:w="1136" w:type="dxa"/>
            <w:tcBorders>
              <w:top w:val="single" w:sz="4" w:space="0" w:color="auto"/>
              <w:left w:val="nil"/>
              <w:bottom w:val="nil"/>
              <w:right w:val="nil"/>
            </w:tcBorders>
            <w:shd w:val="clear" w:color="000000" w:fill="FFFFFF"/>
            <w:noWrap/>
            <w:vAlign w:val="bottom"/>
            <w:hideMark/>
          </w:tcPr>
          <w:p w:rsidR="00E329F7" w:rsidRPr="00DD0298" w:rsidRDefault="00E329F7" w:rsidP="00AE1C26">
            <w:pPr>
              <w:jc w:val="right"/>
              <w:rPr>
                <w:rFonts w:cs="Calibri"/>
                <w:b/>
                <w:bCs/>
                <w:color w:val="000000"/>
                <w:sz w:val="18"/>
                <w:szCs w:val="18"/>
                <w:lang w:eastAsia="en-GB"/>
              </w:rPr>
            </w:pPr>
            <w:r w:rsidRPr="00DD0298">
              <w:rPr>
                <w:rFonts w:cs="Calibri"/>
                <w:b/>
                <w:bCs/>
                <w:color w:val="000000"/>
                <w:sz w:val="18"/>
                <w:szCs w:val="18"/>
                <w:lang w:eastAsia="en-GB"/>
              </w:rPr>
              <w:t>0</w:t>
            </w:r>
          </w:p>
        </w:tc>
        <w:tc>
          <w:tcPr>
            <w:tcW w:w="1216" w:type="dxa"/>
            <w:tcBorders>
              <w:top w:val="single" w:sz="4" w:space="0" w:color="auto"/>
              <w:left w:val="nil"/>
              <w:bottom w:val="nil"/>
              <w:right w:val="nil"/>
            </w:tcBorders>
            <w:shd w:val="clear" w:color="000000" w:fill="FFFFFF"/>
            <w:noWrap/>
            <w:vAlign w:val="bottom"/>
            <w:hideMark/>
          </w:tcPr>
          <w:p w:rsidR="00E329F7" w:rsidRPr="00DD0298" w:rsidRDefault="00E329F7" w:rsidP="00AE1C26">
            <w:pPr>
              <w:jc w:val="right"/>
              <w:rPr>
                <w:rFonts w:cs="Calibri"/>
                <w:b/>
                <w:bCs/>
                <w:color w:val="000000"/>
                <w:sz w:val="18"/>
                <w:szCs w:val="18"/>
                <w:lang w:eastAsia="en-GB"/>
              </w:rPr>
            </w:pPr>
            <w:r w:rsidRPr="00DD0298">
              <w:rPr>
                <w:rFonts w:cs="Calibri"/>
                <w:b/>
                <w:bCs/>
                <w:color w:val="000000"/>
                <w:sz w:val="18"/>
                <w:szCs w:val="18"/>
                <w:lang w:eastAsia="en-GB"/>
              </w:rPr>
              <w:t>0</w:t>
            </w:r>
          </w:p>
        </w:tc>
        <w:tc>
          <w:tcPr>
            <w:tcW w:w="1016" w:type="dxa"/>
            <w:tcBorders>
              <w:top w:val="single" w:sz="4" w:space="0" w:color="auto"/>
              <w:left w:val="nil"/>
              <w:bottom w:val="nil"/>
              <w:right w:val="nil"/>
            </w:tcBorders>
            <w:shd w:val="clear" w:color="000000" w:fill="FFFFFF"/>
            <w:noWrap/>
            <w:vAlign w:val="bottom"/>
            <w:hideMark/>
          </w:tcPr>
          <w:p w:rsidR="00E329F7" w:rsidRPr="00DD0298" w:rsidRDefault="00E329F7" w:rsidP="00AE1C26">
            <w:pPr>
              <w:jc w:val="right"/>
              <w:rPr>
                <w:rFonts w:cs="Calibri"/>
                <w:b/>
                <w:bCs/>
                <w:color w:val="000000"/>
                <w:sz w:val="18"/>
                <w:szCs w:val="18"/>
                <w:lang w:eastAsia="en-GB"/>
              </w:rPr>
            </w:pPr>
            <w:r w:rsidRPr="00DD0298">
              <w:rPr>
                <w:rFonts w:cs="Calibri"/>
                <w:b/>
                <w:bCs/>
                <w:color w:val="FF0000"/>
                <w:sz w:val="18"/>
                <w:szCs w:val="18"/>
                <w:lang w:eastAsia="en-GB"/>
              </w:rPr>
              <w:t>(0.4)</w:t>
            </w:r>
          </w:p>
        </w:tc>
      </w:tr>
      <w:tr w:rsidR="00E329F7" w:rsidRPr="00DD0298" w:rsidTr="00AE1C26">
        <w:trPr>
          <w:trHeight w:val="299"/>
        </w:trPr>
        <w:tc>
          <w:tcPr>
            <w:tcW w:w="1256" w:type="dxa"/>
            <w:tcBorders>
              <w:top w:val="nil"/>
              <w:left w:val="nil"/>
              <w:bottom w:val="nil"/>
              <w:right w:val="nil"/>
            </w:tcBorders>
            <w:shd w:val="clear" w:color="000000" w:fill="FFFFFF"/>
            <w:noWrap/>
            <w:vAlign w:val="bottom"/>
            <w:hideMark/>
          </w:tcPr>
          <w:p w:rsidR="00E329F7" w:rsidRPr="00DD0298" w:rsidRDefault="00E329F7" w:rsidP="00AE1C26">
            <w:pPr>
              <w:rPr>
                <w:rFonts w:cs="Calibri"/>
                <w:color w:val="000000"/>
                <w:sz w:val="18"/>
                <w:szCs w:val="18"/>
                <w:lang w:eastAsia="en-GB"/>
              </w:rPr>
            </w:pPr>
            <w:r w:rsidRPr="00DD0298">
              <w:rPr>
                <w:rFonts w:cs="Calibri"/>
                <w:color w:val="000000"/>
                <w:sz w:val="18"/>
                <w:szCs w:val="18"/>
                <w:lang w:eastAsia="en-GB"/>
              </w:rPr>
              <w:t> </w:t>
            </w:r>
          </w:p>
        </w:tc>
        <w:tc>
          <w:tcPr>
            <w:tcW w:w="1056" w:type="dxa"/>
            <w:tcBorders>
              <w:top w:val="nil"/>
              <w:left w:val="nil"/>
              <w:bottom w:val="nil"/>
              <w:right w:val="nil"/>
            </w:tcBorders>
            <w:shd w:val="clear" w:color="000000" w:fill="FFFFFF"/>
            <w:noWrap/>
            <w:vAlign w:val="bottom"/>
            <w:hideMark/>
          </w:tcPr>
          <w:p w:rsidR="00E329F7" w:rsidRPr="00DD0298" w:rsidRDefault="00E329F7" w:rsidP="00AE1C26">
            <w:pPr>
              <w:rPr>
                <w:rFonts w:cs="Calibri"/>
                <w:color w:val="000000"/>
                <w:sz w:val="18"/>
                <w:szCs w:val="18"/>
                <w:lang w:eastAsia="en-GB"/>
              </w:rPr>
            </w:pPr>
            <w:r w:rsidRPr="00DD0298">
              <w:rPr>
                <w:rFonts w:cs="Calibri"/>
                <w:color w:val="000000"/>
                <w:sz w:val="18"/>
                <w:szCs w:val="18"/>
                <w:lang w:eastAsia="en-GB"/>
              </w:rPr>
              <w:t> </w:t>
            </w:r>
          </w:p>
        </w:tc>
        <w:tc>
          <w:tcPr>
            <w:tcW w:w="1256" w:type="dxa"/>
            <w:tcBorders>
              <w:top w:val="nil"/>
              <w:left w:val="nil"/>
              <w:bottom w:val="nil"/>
              <w:right w:val="nil"/>
            </w:tcBorders>
            <w:shd w:val="clear" w:color="000000" w:fill="FFFFFF"/>
            <w:noWrap/>
            <w:vAlign w:val="bottom"/>
            <w:hideMark/>
          </w:tcPr>
          <w:p w:rsidR="00E329F7" w:rsidRPr="00DD0298" w:rsidRDefault="00E329F7" w:rsidP="00AE1C26">
            <w:pPr>
              <w:rPr>
                <w:rFonts w:cs="Calibri"/>
                <w:color w:val="000000"/>
                <w:sz w:val="18"/>
                <w:szCs w:val="18"/>
                <w:lang w:eastAsia="en-GB"/>
              </w:rPr>
            </w:pPr>
            <w:r w:rsidRPr="00DD0298">
              <w:rPr>
                <w:rFonts w:cs="Calibri"/>
                <w:color w:val="000000"/>
                <w:sz w:val="18"/>
                <w:szCs w:val="18"/>
                <w:lang w:eastAsia="en-GB"/>
              </w:rPr>
              <w:t> </w:t>
            </w:r>
          </w:p>
        </w:tc>
        <w:tc>
          <w:tcPr>
            <w:tcW w:w="2056" w:type="dxa"/>
            <w:tcBorders>
              <w:top w:val="nil"/>
              <w:left w:val="nil"/>
              <w:bottom w:val="nil"/>
              <w:right w:val="nil"/>
            </w:tcBorders>
            <w:shd w:val="clear" w:color="000000" w:fill="FFFFFF"/>
            <w:noWrap/>
            <w:vAlign w:val="bottom"/>
            <w:hideMark/>
          </w:tcPr>
          <w:p w:rsidR="00E329F7" w:rsidRPr="00DD0298" w:rsidRDefault="00E329F7" w:rsidP="00AE1C26">
            <w:pPr>
              <w:rPr>
                <w:rFonts w:cs="Calibri"/>
                <w:color w:val="000000"/>
                <w:sz w:val="18"/>
                <w:szCs w:val="18"/>
                <w:lang w:eastAsia="en-GB"/>
              </w:rPr>
            </w:pPr>
            <w:r w:rsidRPr="00DD0298">
              <w:rPr>
                <w:rFonts w:cs="Calibri"/>
                <w:color w:val="000000"/>
                <w:sz w:val="18"/>
                <w:szCs w:val="18"/>
                <w:lang w:eastAsia="en-GB"/>
              </w:rPr>
              <w:t> </w:t>
            </w:r>
          </w:p>
        </w:tc>
        <w:tc>
          <w:tcPr>
            <w:tcW w:w="1136" w:type="dxa"/>
            <w:tcBorders>
              <w:top w:val="nil"/>
              <w:left w:val="nil"/>
              <w:bottom w:val="nil"/>
              <w:right w:val="nil"/>
            </w:tcBorders>
            <w:shd w:val="clear" w:color="000000" w:fill="FFFFFF"/>
            <w:noWrap/>
            <w:vAlign w:val="bottom"/>
            <w:hideMark/>
          </w:tcPr>
          <w:p w:rsidR="00E329F7" w:rsidRPr="00DD0298" w:rsidRDefault="00E329F7" w:rsidP="00AE1C26">
            <w:pPr>
              <w:rPr>
                <w:rFonts w:cs="Calibri"/>
                <w:color w:val="000000"/>
                <w:sz w:val="18"/>
                <w:szCs w:val="18"/>
                <w:lang w:eastAsia="en-GB"/>
              </w:rPr>
            </w:pPr>
            <w:r w:rsidRPr="00DD0298">
              <w:rPr>
                <w:rFonts w:cs="Calibri"/>
                <w:color w:val="000000"/>
                <w:sz w:val="18"/>
                <w:szCs w:val="18"/>
                <w:lang w:eastAsia="en-GB"/>
              </w:rPr>
              <w:t> </w:t>
            </w:r>
          </w:p>
        </w:tc>
        <w:tc>
          <w:tcPr>
            <w:tcW w:w="1216" w:type="dxa"/>
            <w:tcBorders>
              <w:top w:val="nil"/>
              <w:left w:val="nil"/>
              <w:bottom w:val="nil"/>
              <w:right w:val="nil"/>
            </w:tcBorders>
            <w:shd w:val="clear" w:color="000000" w:fill="FFFFFF"/>
            <w:noWrap/>
            <w:vAlign w:val="bottom"/>
            <w:hideMark/>
          </w:tcPr>
          <w:p w:rsidR="00E329F7" w:rsidRPr="00DD0298" w:rsidRDefault="00E329F7" w:rsidP="00AE1C26">
            <w:pPr>
              <w:rPr>
                <w:rFonts w:cs="Calibri"/>
                <w:color w:val="000000"/>
                <w:sz w:val="18"/>
                <w:szCs w:val="18"/>
                <w:lang w:eastAsia="en-GB"/>
              </w:rPr>
            </w:pPr>
            <w:r w:rsidRPr="00DD0298">
              <w:rPr>
                <w:rFonts w:cs="Calibri"/>
                <w:color w:val="000000"/>
                <w:sz w:val="18"/>
                <w:szCs w:val="18"/>
                <w:lang w:eastAsia="en-GB"/>
              </w:rPr>
              <w:t> </w:t>
            </w:r>
          </w:p>
        </w:tc>
        <w:tc>
          <w:tcPr>
            <w:tcW w:w="1016" w:type="dxa"/>
            <w:tcBorders>
              <w:top w:val="nil"/>
              <w:left w:val="nil"/>
              <w:bottom w:val="nil"/>
              <w:right w:val="nil"/>
            </w:tcBorders>
            <w:shd w:val="clear" w:color="000000" w:fill="FFFFFF"/>
            <w:noWrap/>
            <w:vAlign w:val="bottom"/>
            <w:hideMark/>
          </w:tcPr>
          <w:p w:rsidR="00E329F7" w:rsidRPr="00DD0298" w:rsidRDefault="00E329F7" w:rsidP="00AE1C26">
            <w:pPr>
              <w:rPr>
                <w:rFonts w:cs="Calibri"/>
                <w:color w:val="000000"/>
                <w:sz w:val="18"/>
                <w:szCs w:val="18"/>
                <w:lang w:eastAsia="en-GB"/>
              </w:rPr>
            </w:pPr>
            <w:r w:rsidRPr="00DD0298">
              <w:rPr>
                <w:rFonts w:cs="Calibri"/>
                <w:color w:val="000000"/>
                <w:sz w:val="18"/>
                <w:szCs w:val="18"/>
                <w:lang w:eastAsia="en-GB"/>
              </w:rPr>
              <w:t> </w:t>
            </w:r>
          </w:p>
        </w:tc>
      </w:tr>
      <w:tr w:rsidR="00E329F7" w:rsidRPr="00DD0298" w:rsidTr="00AE1C26">
        <w:trPr>
          <w:trHeight w:val="299"/>
        </w:trPr>
        <w:tc>
          <w:tcPr>
            <w:tcW w:w="1256" w:type="dxa"/>
            <w:tcBorders>
              <w:top w:val="single" w:sz="4" w:space="0" w:color="auto"/>
              <w:left w:val="nil"/>
              <w:bottom w:val="double" w:sz="6" w:space="0" w:color="auto"/>
              <w:right w:val="nil"/>
            </w:tcBorders>
            <w:shd w:val="clear" w:color="000000" w:fill="FFFFFF"/>
            <w:noWrap/>
            <w:vAlign w:val="bottom"/>
            <w:hideMark/>
          </w:tcPr>
          <w:p w:rsidR="00E329F7" w:rsidRPr="00DD0298" w:rsidRDefault="00E329F7" w:rsidP="00AE1C26">
            <w:pPr>
              <w:jc w:val="right"/>
              <w:rPr>
                <w:rFonts w:cs="Calibri"/>
                <w:b/>
                <w:bCs/>
                <w:color w:val="000000"/>
                <w:sz w:val="18"/>
                <w:szCs w:val="18"/>
                <w:lang w:eastAsia="en-GB"/>
              </w:rPr>
            </w:pPr>
            <w:r w:rsidRPr="00DD0298">
              <w:rPr>
                <w:rFonts w:cs="Calibri"/>
                <w:b/>
                <w:bCs/>
                <w:color w:val="000000"/>
                <w:sz w:val="18"/>
                <w:szCs w:val="18"/>
                <w:lang w:eastAsia="en-GB"/>
              </w:rPr>
              <w:t>832.9</w:t>
            </w:r>
          </w:p>
        </w:tc>
        <w:tc>
          <w:tcPr>
            <w:tcW w:w="1056" w:type="dxa"/>
            <w:tcBorders>
              <w:top w:val="single" w:sz="4" w:space="0" w:color="auto"/>
              <w:left w:val="nil"/>
              <w:bottom w:val="double" w:sz="6" w:space="0" w:color="auto"/>
              <w:right w:val="nil"/>
            </w:tcBorders>
            <w:shd w:val="clear" w:color="000000" w:fill="FFFFFF"/>
            <w:noWrap/>
            <w:vAlign w:val="bottom"/>
            <w:hideMark/>
          </w:tcPr>
          <w:p w:rsidR="00E329F7" w:rsidRPr="00DD0298" w:rsidRDefault="00E329F7" w:rsidP="00AE1C26">
            <w:pPr>
              <w:jc w:val="right"/>
              <w:rPr>
                <w:rFonts w:cs="Calibri"/>
                <w:b/>
                <w:bCs/>
                <w:color w:val="000000"/>
                <w:sz w:val="18"/>
                <w:szCs w:val="18"/>
                <w:lang w:eastAsia="en-GB"/>
              </w:rPr>
            </w:pPr>
            <w:r w:rsidRPr="00DD0298">
              <w:rPr>
                <w:rFonts w:cs="Calibri"/>
                <w:b/>
                <w:bCs/>
                <w:color w:val="000000"/>
                <w:sz w:val="18"/>
                <w:szCs w:val="18"/>
                <w:lang w:eastAsia="en-GB"/>
              </w:rPr>
              <w:t>32.6</w:t>
            </w:r>
          </w:p>
        </w:tc>
        <w:tc>
          <w:tcPr>
            <w:tcW w:w="1256" w:type="dxa"/>
            <w:tcBorders>
              <w:top w:val="single" w:sz="4" w:space="0" w:color="auto"/>
              <w:left w:val="nil"/>
              <w:bottom w:val="double" w:sz="6" w:space="0" w:color="auto"/>
              <w:right w:val="nil"/>
            </w:tcBorders>
            <w:shd w:val="clear" w:color="000000" w:fill="FFFFFF"/>
            <w:noWrap/>
            <w:vAlign w:val="bottom"/>
            <w:hideMark/>
          </w:tcPr>
          <w:p w:rsidR="00E329F7" w:rsidRPr="00DD0298" w:rsidRDefault="00E329F7" w:rsidP="00AE1C26">
            <w:pPr>
              <w:jc w:val="right"/>
              <w:rPr>
                <w:rFonts w:cs="Calibri"/>
                <w:b/>
                <w:bCs/>
                <w:color w:val="000000"/>
                <w:sz w:val="18"/>
                <w:szCs w:val="18"/>
                <w:lang w:eastAsia="en-GB"/>
              </w:rPr>
            </w:pPr>
            <w:r w:rsidRPr="00DD0298">
              <w:rPr>
                <w:rFonts w:cs="Calibri"/>
                <w:b/>
                <w:bCs/>
                <w:color w:val="FF0000"/>
                <w:sz w:val="18"/>
                <w:szCs w:val="18"/>
                <w:lang w:eastAsia="en-GB"/>
              </w:rPr>
              <w:t>(0.9)</w:t>
            </w:r>
          </w:p>
        </w:tc>
        <w:tc>
          <w:tcPr>
            <w:tcW w:w="2056" w:type="dxa"/>
            <w:tcBorders>
              <w:top w:val="single" w:sz="4" w:space="0" w:color="auto"/>
              <w:left w:val="nil"/>
              <w:bottom w:val="double" w:sz="6" w:space="0" w:color="auto"/>
              <w:right w:val="nil"/>
            </w:tcBorders>
            <w:shd w:val="clear" w:color="000000" w:fill="FFFFFF"/>
            <w:noWrap/>
            <w:vAlign w:val="bottom"/>
            <w:hideMark/>
          </w:tcPr>
          <w:p w:rsidR="00E329F7" w:rsidRPr="00DD0298" w:rsidRDefault="00E329F7" w:rsidP="00AE1C26">
            <w:pPr>
              <w:rPr>
                <w:rFonts w:cs="Calibri"/>
                <w:b/>
                <w:bCs/>
                <w:color w:val="000000"/>
                <w:sz w:val="18"/>
                <w:szCs w:val="18"/>
                <w:lang w:eastAsia="en-GB"/>
              </w:rPr>
            </w:pPr>
            <w:r w:rsidRPr="00DD0298">
              <w:rPr>
                <w:rFonts w:cs="Calibri"/>
                <w:b/>
                <w:bCs/>
                <w:color w:val="000000"/>
                <w:sz w:val="18"/>
                <w:szCs w:val="18"/>
                <w:lang w:eastAsia="en-GB"/>
              </w:rPr>
              <w:t>Net Financial assets</w:t>
            </w:r>
          </w:p>
        </w:tc>
        <w:tc>
          <w:tcPr>
            <w:tcW w:w="1136" w:type="dxa"/>
            <w:tcBorders>
              <w:top w:val="single" w:sz="4" w:space="0" w:color="auto"/>
              <w:left w:val="nil"/>
              <w:bottom w:val="double" w:sz="6" w:space="0" w:color="auto"/>
              <w:right w:val="nil"/>
            </w:tcBorders>
            <w:shd w:val="clear" w:color="000000" w:fill="FFFFFF"/>
            <w:noWrap/>
            <w:vAlign w:val="bottom"/>
            <w:hideMark/>
          </w:tcPr>
          <w:p w:rsidR="00E329F7" w:rsidRPr="00DD0298" w:rsidRDefault="00E329F7" w:rsidP="00AE1C26">
            <w:pPr>
              <w:jc w:val="right"/>
              <w:rPr>
                <w:rFonts w:cs="Calibri"/>
                <w:b/>
                <w:bCs/>
                <w:color w:val="000000"/>
                <w:sz w:val="18"/>
                <w:szCs w:val="18"/>
                <w:lang w:eastAsia="en-GB"/>
              </w:rPr>
            </w:pPr>
            <w:r w:rsidRPr="00DD0298">
              <w:rPr>
                <w:rFonts w:cs="Calibri"/>
                <w:b/>
                <w:bCs/>
                <w:color w:val="000000"/>
                <w:sz w:val="18"/>
                <w:szCs w:val="18"/>
                <w:lang w:eastAsia="en-GB"/>
              </w:rPr>
              <w:t>781.4</w:t>
            </w:r>
          </w:p>
        </w:tc>
        <w:tc>
          <w:tcPr>
            <w:tcW w:w="1216" w:type="dxa"/>
            <w:tcBorders>
              <w:top w:val="single" w:sz="4" w:space="0" w:color="auto"/>
              <w:left w:val="nil"/>
              <w:bottom w:val="double" w:sz="6" w:space="0" w:color="auto"/>
              <w:right w:val="nil"/>
            </w:tcBorders>
            <w:shd w:val="clear" w:color="000000" w:fill="FFFFFF"/>
            <w:noWrap/>
            <w:vAlign w:val="bottom"/>
            <w:hideMark/>
          </w:tcPr>
          <w:p w:rsidR="00E329F7" w:rsidRPr="00DD0298" w:rsidRDefault="00E329F7" w:rsidP="00AE1C26">
            <w:pPr>
              <w:jc w:val="right"/>
              <w:rPr>
                <w:rFonts w:cs="Calibri"/>
                <w:b/>
                <w:bCs/>
                <w:color w:val="000000"/>
                <w:sz w:val="18"/>
                <w:szCs w:val="18"/>
                <w:lang w:eastAsia="en-GB"/>
              </w:rPr>
            </w:pPr>
            <w:r w:rsidRPr="00DD0298">
              <w:rPr>
                <w:rFonts w:cs="Calibri"/>
                <w:b/>
                <w:bCs/>
                <w:color w:val="000000"/>
                <w:sz w:val="18"/>
                <w:szCs w:val="18"/>
                <w:lang w:eastAsia="en-GB"/>
              </w:rPr>
              <w:t>57.9</w:t>
            </w:r>
          </w:p>
        </w:tc>
        <w:tc>
          <w:tcPr>
            <w:tcW w:w="1016" w:type="dxa"/>
            <w:tcBorders>
              <w:top w:val="single" w:sz="4" w:space="0" w:color="auto"/>
              <w:left w:val="nil"/>
              <w:bottom w:val="double" w:sz="6" w:space="0" w:color="auto"/>
              <w:right w:val="nil"/>
            </w:tcBorders>
            <w:shd w:val="clear" w:color="000000" w:fill="FFFFFF"/>
            <w:noWrap/>
            <w:vAlign w:val="bottom"/>
            <w:hideMark/>
          </w:tcPr>
          <w:p w:rsidR="00E329F7" w:rsidRPr="00DD0298" w:rsidRDefault="00E329F7" w:rsidP="00AE1C26">
            <w:pPr>
              <w:jc w:val="right"/>
              <w:rPr>
                <w:rFonts w:cs="Calibri"/>
                <w:b/>
                <w:bCs/>
                <w:color w:val="000000"/>
                <w:sz w:val="18"/>
                <w:szCs w:val="18"/>
                <w:lang w:eastAsia="en-GB"/>
              </w:rPr>
            </w:pPr>
            <w:r w:rsidRPr="00DD0298">
              <w:rPr>
                <w:rFonts w:cs="Calibri"/>
                <w:b/>
                <w:bCs/>
                <w:color w:val="FF0000"/>
                <w:sz w:val="18"/>
                <w:szCs w:val="18"/>
                <w:lang w:eastAsia="en-GB"/>
              </w:rPr>
              <w:t>(0.4)</w:t>
            </w:r>
          </w:p>
        </w:tc>
      </w:tr>
    </w:tbl>
    <w:p w:rsidR="00F72906" w:rsidRDefault="00F72906" w:rsidP="00E329F7"/>
    <w:p w:rsidR="00F72906" w:rsidRPr="00E329F7" w:rsidRDefault="00F72906" w:rsidP="00F72906">
      <w:pPr>
        <w:rPr>
          <w:b/>
        </w:rPr>
      </w:pPr>
      <w:r w:rsidRPr="00E329F7">
        <w:rPr>
          <w:b/>
        </w:rPr>
        <w:t>a) Net gains and losses on financial instruments</w:t>
      </w:r>
    </w:p>
    <w:p w:rsidR="00F72906" w:rsidRDefault="00F72906" w:rsidP="00F72906"/>
    <w:tbl>
      <w:tblPr>
        <w:tblW w:w="3971" w:type="pct"/>
        <w:tblLook w:val="01E0" w:firstRow="1" w:lastRow="1" w:firstColumn="1" w:lastColumn="1" w:noHBand="0" w:noVBand="0"/>
      </w:tblPr>
      <w:tblGrid>
        <w:gridCol w:w="1841"/>
        <w:gridCol w:w="3541"/>
        <w:gridCol w:w="2367"/>
      </w:tblGrid>
      <w:tr w:rsidR="00E329F7" w:rsidRPr="00685F79" w:rsidTr="00AE1C26">
        <w:tc>
          <w:tcPr>
            <w:tcW w:w="1188" w:type="pct"/>
          </w:tcPr>
          <w:p w:rsidR="00E329F7" w:rsidRPr="00685F79" w:rsidRDefault="00E329F7" w:rsidP="00AE1C26">
            <w:pPr>
              <w:widowControl w:val="0"/>
              <w:tabs>
                <w:tab w:val="right" w:pos="7200"/>
              </w:tabs>
              <w:ind w:left="132" w:hanging="132"/>
              <w:jc w:val="right"/>
              <w:rPr>
                <w:rFonts w:cs="Segoe UI Light"/>
                <w:snapToGrid w:val="0"/>
                <w:color w:val="000000"/>
              </w:rPr>
            </w:pPr>
            <w:r w:rsidRPr="00685F79">
              <w:rPr>
                <w:rFonts w:cs="Segoe UI Light"/>
                <w:b/>
                <w:snapToGrid w:val="0"/>
                <w:color w:val="000000"/>
              </w:rPr>
              <w:t>31 March 2019</w:t>
            </w:r>
          </w:p>
        </w:tc>
        <w:tc>
          <w:tcPr>
            <w:tcW w:w="2285" w:type="pct"/>
          </w:tcPr>
          <w:p w:rsidR="00E329F7" w:rsidRPr="00685F79" w:rsidRDefault="00E329F7" w:rsidP="00AE1C26">
            <w:pPr>
              <w:widowControl w:val="0"/>
              <w:tabs>
                <w:tab w:val="right" w:pos="7200"/>
              </w:tabs>
              <w:ind w:left="132" w:hanging="132"/>
              <w:jc w:val="right"/>
              <w:rPr>
                <w:rFonts w:cs="Segoe UI Light"/>
                <w:b/>
                <w:snapToGrid w:val="0"/>
                <w:color w:val="000000"/>
              </w:rPr>
            </w:pPr>
          </w:p>
        </w:tc>
        <w:tc>
          <w:tcPr>
            <w:tcW w:w="1527" w:type="pct"/>
          </w:tcPr>
          <w:p w:rsidR="00E329F7" w:rsidRPr="00685F79" w:rsidRDefault="00E329F7" w:rsidP="00AE1C26">
            <w:pPr>
              <w:widowControl w:val="0"/>
              <w:tabs>
                <w:tab w:val="right" w:pos="7200"/>
              </w:tabs>
              <w:ind w:left="132" w:hanging="132"/>
              <w:jc w:val="right"/>
              <w:rPr>
                <w:rFonts w:cs="Segoe UI Light"/>
                <w:b/>
                <w:snapToGrid w:val="0"/>
                <w:color w:val="000000"/>
              </w:rPr>
            </w:pPr>
            <w:r w:rsidRPr="00685F79">
              <w:rPr>
                <w:rFonts w:cs="Segoe UI Light"/>
                <w:b/>
                <w:snapToGrid w:val="0"/>
                <w:color w:val="000000"/>
              </w:rPr>
              <w:t>31 March 2020</w:t>
            </w:r>
          </w:p>
        </w:tc>
      </w:tr>
      <w:tr w:rsidR="00E329F7" w:rsidRPr="00685F79" w:rsidTr="00AE1C26">
        <w:trPr>
          <w:trHeight w:val="337"/>
        </w:trPr>
        <w:tc>
          <w:tcPr>
            <w:tcW w:w="1188" w:type="pct"/>
          </w:tcPr>
          <w:p w:rsidR="00E329F7" w:rsidRPr="00685F79" w:rsidRDefault="00E329F7" w:rsidP="00AE1C26">
            <w:pPr>
              <w:widowControl w:val="0"/>
              <w:tabs>
                <w:tab w:val="right" w:pos="7200"/>
              </w:tabs>
              <w:ind w:left="132" w:hanging="132"/>
              <w:jc w:val="right"/>
              <w:rPr>
                <w:rFonts w:cs="Segoe UI Light"/>
                <w:snapToGrid w:val="0"/>
                <w:color w:val="000000"/>
              </w:rPr>
            </w:pPr>
            <w:r w:rsidRPr="00685F79">
              <w:rPr>
                <w:rFonts w:cs="Segoe UI Light"/>
                <w:b/>
                <w:snapToGrid w:val="0"/>
                <w:color w:val="000000"/>
              </w:rPr>
              <w:t>£m</w:t>
            </w:r>
          </w:p>
        </w:tc>
        <w:tc>
          <w:tcPr>
            <w:tcW w:w="2285" w:type="pct"/>
          </w:tcPr>
          <w:p w:rsidR="00E329F7" w:rsidRPr="00685F79" w:rsidRDefault="00E329F7" w:rsidP="00AE1C26">
            <w:pPr>
              <w:widowControl w:val="0"/>
              <w:tabs>
                <w:tab w:val="right" w:pos="7200"/>
              </w:tabs>
              <w:ind w:left="132" w:hanging="132"/>
              <w:jc w:val="right"/>
              <w:rPr>
                <w:rFonts w:cs="Segoe UI Light"/>
                <w:b/>
                <w:snapToGrid w:val="0"/>
                <w:color w:val="000000"/>
              </w:rPr>
            </w:pPr>
          </w:p>
        </w:tc>
        <w:tc>
          <w:tcPr>
            <w:tcW w:w="1527" w:type="pct"/>
          </w:tcPr>
          <w:p w:rsidR="00E329F7" w:rsidRPr="00685F79" w:rsidRDefault="00E329F7" w:rsidP="00AE1C26">
            <w:pPr>
              <w:widowControl w:val="0"/>
              <w:tabs>
                <w:tab w:val="right" w:pos="7200"/>
              </w:tabs>
              <w:ind w:left="132" w:hanging="132"/>
              <w:jc w:val="right"/>
              <w:rPr>
                <w:rFonts w:cs="Segoe UI Light"/>
                <w:b/>
                <w:snapToGrid w:val="0"/>
                <w:color w:val="000000"/>
              </w:rPr>
            </w:pPr>
            <w:r w:rsidRPr="00685F79">
              <w:rPr>
                <w:rFonts w:cs="Segoe UI Light"/>
                <w:b/>
                <w:snapToGrid w:val="0"/>
                <w:color w:val="000000"/>
              </w:rPr>
              <w:t>£m</w:t>
            </w:r>
          </w:p>
        </w:tc>
      </w:tr>
      <w:tr w:rsidR="00E329F7" w:rsidRPr="00685F79" w:rsidTr="00AE1C26">
        <w:tc>
          <w:tcPr>
            <w:tcW w:w="1188" w:type="pct"/>
          </w:tcPr>
          <w:p w:rsidR="00E329F7" w:rsidRPr="00685F79" w:rsidRDefault="00E329F7" w:rsidP="00AE1C26">
            <w:pPr>
              <w:widowControl w:val="0"/>
              <w:tabs>
                <w:tab w:val="right" w:pos="7200"/>
              </w:tabs>
              <w:ind w:left="132" w:hanging="132"/>
              <w:rPr>
                <w:rFonts w:cs="Segoe UI Light"/>
                <w:snapToGrid w:val="0"/>
                <w:color w:val="000000"/>
              </w:rPr>
            </w:pPr>
          </w:p>
        </w:tc>
        <w:tc>
          <w:tcPr>
            <w:tcW w:w="2285" w:type="pct"/>
          </w:tcPr>
          <w:p w:rsidR="00E329F7" w:rsidRPr="00685F79" w:rsidRDefault="00E329F7" w:rsidP="00AE1C26">
            <w:pPr>
              <w:widowControl w:val="0"/>
              <w:tabs>
                <w:tab w:val="right" w:pos="7200"/>
              </w:tabs>
              <w:ind w:left="132" w:hanging="132"/>
              <w:rPr>
                <w:rFonts w:cs="Segoe UI Light"/>
                <w:b/>
                <w:snapToGrid w:val="0"/>
                <w:color w:val="000000"/>
              </w:rPr>
            </w:pPr>
            <w:r w:rsidRPr="00685F79">
              <w:rPr>
                <w:rFonts w:cs="Segoe UI Light"/>
                <w:b/>
                <w:snapToGrid w:val="0"/>
                <w:color w:val="000000"/>
              </w:rPr>
              <w:t>Financial assets</w:t>
            </w:r>
          </w:p>
        </w:tc>
        <w:tc>
          <w:tcPr>
            <w:tcW w:w="1527" w:type="pct"/>
          </w:tcPr>
          <w:p w:rsidR="00E329F7" w:rsidRPr="00685F79" w:rsidRDefault="00E329F7" w:rsidP="00AE1C26">
            <w:pPr>
              <w:widowControl w:val="0"/>
              <w:tabs>
                <w:tab w:val="right" w:pos="7200"/>
              </w:tabs>
              <w:ind w:left="132" w:hanging="132"/>
              <w:jc w:val="right"/>
              <w:rPr>
                <w:rFonts w:cs="Segoe UI Light"/>
                <w:snapToGrid w:val="0"/>
                <w:color w:val="000000"/>
              </w:rPr>
            </w:pPr>
          </w:p>
        </w:tc>
      </w:tr>
      <w:tr w:rsidR="00E329F7" w:rsidRPr="000B634C" w:rsidTr="00AE1C26">
        <w:tc>
          <w:tcPr>
            <w:tcW w:w="1188" w:type="pct"/>
          </w:tcPr>
          <w:p w:rsidR="00E329F7" w:rsidRPr="00685F79" w:rsidRDefault="00E329F7" w:rsidP="00AE1C26">
            <w:pPr>
              <w:widowControl w:val="0"/>
              <w:tabs>
                <w:tab w:val="right" w:pos="7200"/>
              </w:tabs>
              <w:ind w:left="132" w:hanging="132"/>
              <w:jc w:val="right"/>
              <w:rPr>
                <w:rFonts w:cs="Segoe UI Light"/>
                <w:snapToGrid w:val="0"/>
                <w:color w:val="000000"/>
              </w:rPr>
            </w:pPr>
            <w:r w:rsidRPr="00685F79">
              <w:rPr>
                <w:rFonts w:cs="Segoe UI Light"/>
                <w:snapToGrid w:val="0"/>
                <w:color w:val="000000"/>
              </w:rPr>
              <w:t>61.7</w:t>
            </w:r>
          </w:p>
        </w:tc>
        <w:tc>
          <w:tcPr>
            <w:tcW w:w="2285" w:type="pct"/>
          </w:tcPr>
          <w:p w:rsidR="00E329F7" w:rsidRPr="00685F79" w:rsidRDefault="00E329F7" w:rsidP="00AE1C26">
            <w:pPr>
              <w:widowControl w:val="0"/>
              <w:tabs>
                <w:tab w:val="right" w:pos="7200"/>
              </w:tabs>
              <w:ind w:left="132" w:hanging="132"/>
              <w:rPr>
                <w:rFonts w:cs="Segoe UI Light"/>
                <w:snapToGrid w:val="0"/>
                <w:color w:val="000000"/>
              </w:rPr>
            </w:pPr>
            <w:r w:rsidRPr="00685F79">
              <w:rPr>
                <w:rFonts w:cs="Segoe UI Light"/>
                <w:snapToGrid w:val="0"/>
                <w:color w:val="000000"/>
              </w:rPr>
              <w:t>Fair value through profit and loss</w:t>
            </w:r>
          </w:p>
        </w:tc>
        <w:tc>
          <w:tcPr>
            <w:tcW w:w="1527" w:type="pct"/>
          </w:tcPr>
          <w:p w:rsidR="00E329F7" w:rsidRPr="00A64E90" w:rsidRDefault="00E329F7" w:rsidP="00AE1C26">
            <w:pPr>
              <w:widowControl w:val="0"/>
              <w:tabs>
                <w:tab w:val="right" w:pos="7200"/>
              </w:tabs>
              <w:ind w:left="132" w:hanging="132"/>
              <w:jc w:val="right"/>
              <w:rPr>
                <w:rFonts w:cs="Segoe UI Light"/>
                <w:snapToGrid w:val="0"/>
                <w:color w:val="000000"/>
              </w:rPr>
            </w:pPr>
            <w:r w:rsidRPr="00685F79">
              <w:rPr>
                <w:rFonts w:cs="Segoe UI Light"/>
                <w:snapToGrid w:val="0"/>
                <w:color w:val="000000"/>
              </w:rPr>
              <w:t>(34.1)</w:t>
            </w:r>
          </w:p>
        </w:tc>
      </w:tr>
      <w:tr w:rsidR="00E329F7" w:rsidRPr="000B634C" w:rsidTr="00AE1C26">
        <w:tc>
          <w:tcPr>
            <w:tcW w:w="1188" w:type="pct"/>
            <w:tcBorders>
              <w:top w:val="single" w:sz="4" w:space="0" w:color="auto"/>
              <w:bottom w:val="single" w:sz="4" w:space="0" w:color="auto"/>
            </w:tcBorders>
          </w:tcPr>
          <w:p w:rsidR="00E329F7" w:rsidRPr="00A64E90" w:rsidRDefault="00E329F7" w:rsidP="00AE1C26">
            <w:pPr>
              <w:widowControl w:val="0"/>
              <w:tabs>
                <w:tab w:val="right" w:pos="7200"/>
              </w:tabs>
              <w:ind w:left="132" w:hanging="132"/>
              <w:jc w:val="right"/>
              <w:rPr>
                <w:rFonts w:cs="Segoe UI Light"/>
                <w:b/>
                <w:snapToGrid w:val="0"/>
                <w:color w:val="000000"/>
              </w:rPr>
            </w:pPr>
            <w:r w:rsidRPr="00A64E90">
              <w:rPr>
                <w:rFonts w:cs="Segoe UI Light"/>
                <w:b/>
                <w:snapToGrid w:val="0"/>
                <w:color w:val="000000"/>
              </w:rPr>
              <w:t>61.7</w:t>
            </w:r>
          </w:p>
        </w:tc>
        <w:tc>
          <w:tcPr>
            <w:tcW w:w="2285" w:type="pct"/>
            <w:tcBorders>
              <w:top w:val="single" w:sz="4" w:space="0" w:color="auto"/>
              <w:bottom w:val="single" w:sz="4" w:space="0" w:color="auto"/>
            </w:tcBorders>
          </w:tcPr>
          <w:p w:rsidR="00E329F7" w:rsidRPr="00A64E90" w:rsidRDefault="00E329F7" w:rsidP="00AE1C26">
            <w:pPr>
              <w:widowControl w:val="0"/>
              <w:tabs>
                <w:tab w:val="right" w:pos="7200"/>
              </w:tabs>
              <w:ind w:left="132" w:hanging="132"/>
              <w:rPr>
                <w:rFonts w:cs="Segoe UI Light"/>
                <w:b/>
                <w:snapToGrid w:val="0"/>
                <w:color w:val="000000"/>
              </w:rPr>
            </w:pPr>
            <w:r w:rsidRPr="00A64E90">
              <w:rPr>
                <w:rFonts w:cs="Segoe UI Light"/>
                <w:b/>
                <w:snapToGrid w:val="0"/>
                <w:color w:val="000000"/>
              </w:rPr>
              <w:t>Total</w:t>
            </w:r>
          </w:p>
        </w:tc>
        <w:tc>
          <w:tcPr>
            <w:tcW w:w="1527" w:type="pct"/>
            <w:tcBorders>
              <w:top w:val="single" w:sz="4" w:space="0" w:color="auto"/>
              <w:bottom w:val="single" w:sz="4" w:space="0" w:color="auto"/>
            </w:tcBorders>
          </w:tcPr>
          <w:p w:rsidR="00E329F7" w:rsidRPr="00A64E90" w:rsidRDefault="00E329F7" w:rsidP="00AE1C26">
            <w:pPr>
              <w:widowControl w:val="0"/>
              <w:tabs>
                <w:tab w:val="right" w:pos="7200"/>
              </w:tabs>
              <w:ind w:left="132" w:hanging="132"/>
              <w:jc w:val="right"/>
              <w:rPr>
                <w:rFonts w:cs="Segoe UI Light"/>
                <w:b/>
                <w:snapToGrid w:val="0"/>
                <w:color w:val="000000"/>
              </w:rPr>
            </w:pPr>
            <w:r>
              <w:rPr>
                <w:rFonts w:cs="Segoe UI Light"/>
                <w:b/>
                <w:snapToGrid w:val="0"/>
                <w:color w:val="000000"/>
              </w:rPr>
              <w:t>(34.1)</w:t>
            </w:r>
          </w:p>
        </w:tc>
      </w:tr>
    </w:tbl>
    <w:p w:rsidR="00F72906" w:rsidRPr="00E329F7" w:rsidRDefault="00F72906" w:rsidP="00F72906">
      <w:pPr>
        <w:rPr>
          <w:b/>
        </w:rPr>
      </w:pPr>
    </w:p>
    <w:p w:rsidR="00F72906" w:rsidRPr="00E329F7" w:rsidRDefault="00F72906" w:rsidP="00F72906">
      <w:pPr>
        <w:rPr>
          <w:b/>
        </w:rPr>
      </w:pPr>
      <w:r w:rsidRPr="00E329F7">
        <w:rPr>
          <w:b/>
        </w:rPr>
        <w:t>b)  Fair value of financial instruments and liabilities</w:t>
      </w:r>
    </w:p>
    <w:p w:rsidR="00F72906" w:rsidRDefault="00F72906" w:rsidP="00F72906">
      <w:r>
        <w:t>The following table summarises the carrying values of the financial assets and financial liabilities by class of instrument compared with their fair values.</w:t>
      </w:r>
    </w:p>
    <w:p w:rsidR="00F72906" w:rsidRDefault="00F72906" w:rsidP="00F72906"/>
    <w:tbl>
      <w:tblPr>
        <w:tblW w:w="7718" w:type="dxa"/>
        <w:tblLook w:val="04A0" w:firstRow="1" w:lastRow="0" w:firstColumn="1" w:lastColumn="0" w:noHBand="0" w:noVBand="1"/>
      </w:tblPr>
      <w:tblGrid>
        <w:gridCol w:w="1536"/>
        <w:gridCol w:w="1256"/>
        <w:gridCol w:w="2276"/>
        <w:gridCol w:w="1334"/>
        <w:gridCol w:w="1316"/>
      </w:tblGrid>
      <w:tr w:rsidR="00E329F7" w:rsidRPr="00A64E90" w:rsidTr="00AE1C26">
        <w:trPr>
          <w:trHeight w:val="286"/>
        </w:trPr>
        <w:tc>
          <w:tcPr>
            <w:tcW w:w="1536" w:type="dxa"/>
            <w:tcBorders>
              <w:top w:val="nil"/>
              <w:left w:val="nil"/>
              <w:bottom w:val="nil"/>
              <w:right w:val="nil"/>
            </w:tcBorders>
            <w:shd w:val="clear" w:color="000000" w:fill="FFFFFF"/>
            <w:noWrap/>
            <w:vAlign w:val="bottom"/>
            <w:hideMark/>
          </w:tcPr>
          <w:p w:rsidR="00E329F7" w:rsidRPr="00A64E90" w:rsidRDefault="00E329F7" w:rsidP="00AE1C26">
            <w:pPr>
              <w:jc w:val="center"/>
              <w:rPr>
                <w:rFonts w:cs="Calibri"/>
                <w:b/>
                <w:bCs/>
                <w:color w:val="000000"/>
                <w:lang w:eastAsia="en-GB"/>
              </w:rPr>
            </w:pPr>
            <w:r>
              <w:t xml:space="preserve"> </w:t>
            </w:r>
            <w:r w:rsidRPr="00A64E90">
              <w:rPr>
                <w:rFonts w:cs="Calibri"/>
                <w:b/>
                <w:bCs/>
                <w:color w:val="000000"/>
                <w:lang w:eastAsia="en-GB"/>
              </w:rPr>
              <w:t>31 March 2019</w:t>
            </w:r>
          </w:p>
        </w:tc>
        <w:tc>
          <w:tcPr>
            <w:tcW w:w="1256" w:type="dxa"/>
            <w:tcBorders>
              <w:top w:val="nil"/>
              <w:left w:val="nil"/>
              <w:bottom w:val="nil"/>
              <w:right w:val="nil"/>
            </w:tcBorders>
            <w:shd w:val="clear" w:color="000000" w:fill="FFFFFF"/>
            <w:noWrap/>
            <w:vAlign w:val="bottom"/>
            <w:hideMark/>
          </w:tcPr>
          <w:p w:rsidR="00E329F7" w:rsidRPr="00A64E90" w:rsidRDefault="00E329F7" w:rsidP="00AE1C26">
            <w:pPr>
              <w:rPr>
                <w:rFonts w:cs="Calibri"/>
                <w:color w:val="000000"/>
                <w:lang w:eastAsia="en-GB"/>
              </w:rPr>
            </w:pPr>
            <w:r w:rsidRPr="00A64E90">
              <w:rPr>
                <w:rFonts w:cs="Calibri"/>
                <w:color w:val="000000"/>
                <w:lang w:eastAsia="en-GB"/>
              </w:rPr>
              <w:t> </w:t>
            </w:r>
          </w:p>
        </w:tc>
        <w:tc>
          <w:tcPr>
            <w:tcW w:w="2276" w:type="dxa"/>
            <w:tcBorders>
              <w:top w:val="nil"/>
              <w:left w:val="nil"/>
              <w:bottom w:val="nil"/>
              <w:right w:val="nil"/>
            </w:tcBorders>
            <w:shd w:val="clear" w:color="000000" w:fill="FFFFFF"/>
            <w:noWrap/>
            <w:vAlign w:val="bottom"/>
            <w:hideMark/>
          </w:tcPr>
          <w:p w:rsidR="00E329F7" w:rsidRPr="00A64E90" w:rsidRDefault="00E329F7" w:rsidP="00AE1C26">
            <w:pPr>
              <w:rPr>
                <w:rFonts w:cs="Calibri"/>
                <w:color w:val="000000"/>
                <w:lang w:eastAsia="en-GB"/>
              </w:rPr>
            </w:pPr>
            <w:r w:rsidRPr="00A64E90">
              <w:rPr>
                <w:rFonts w:cs="Calibri"/>
                <w:color w:val="000000"/>
                <w:lang w:eastAsia="en-GB"/>
              </w:rPr>
              <w:t> </w:t>
            </w:r>
          </w:p>
        </w:tc>
        <w:tc>
          <w:tcPr>
            <w:tcW w:w="1334" w:type="dxa"/>
            <w:tcBorders>
              <w:top w:val="nil"/>
              <w:left w:val="nil"/>
              <w:bottom w:val="nil"/>
              <w:right w:val="nil"/>
            </w:tcBorders>
            <w:shd w:val="clear" w:color="000000" w:fill="FFFFFF"/>
            <w:noWrap/>
            <w:vAlign w:val="bottom"/>
            <w:hideMark/>
          </w:tcPr>
          <w:p w:rsidR="00E329F7" w:rsidRPr="00A64E90" w:rsidRDefault="00E329F7" w:rsidP="00AE1C26">
            <w:pPr>
              <w:jc w:val="center"/>
              <w:rPr>
                <w:rFonts w:cs="Calibri"/>
                <w:b/>
                <w:bCs/>
                <w:color w:val="000000"/>
                <w:lang w:eastAsia="en-GB"/>
              </w:rPr>
            </w:pPr>
            <w:r w:rsidRPr="00A64E90">
              <w:rPr>
                <w:rFonts w:cs="Calibri"/>
                <w:b/>
                <w:bCs/>
                <w:color w:val="000000"/>
                <w:lang w:eastAsia="en-GB"/>
              </w:rPr>
              <w:t>31 March 20</w:t>
            </w:r>
            <w:r>
              <w:rPr>
                <w:rFonts w:cs="Calibri"/>
                <w:b/>
                <w:bCs/>
                <w:color w:val="000000"/>
                <w:lang w:eastAsia="en-GB"/>
              </w:rPr>
              <w:t>20</w:t>
            </w:r>
          </w:p>
        </w:tc>
        <w:tc>
          <w:tcPr>
            <w:tcW w:w="1316" w:type="dxa"/>
            <w:tcBorders>
              <w:top w:val="nil"/>
              <w:left w:val="nil"/>
              <w:bottom w:val="nil"/>
              <w:right w:val="nil"/>
            </w:tcBorders>
            <w:shd w:val="clear" w:color="000000" w:fill="FFFFFF"/>
            <w:noWrap/>
            <w:vAlign w:val="bottom"/>
            <w:hideMark/>
          </w:tcPr>
          <w:p w:rsidR="00E329F7" w:rsidRPr="00A64E90" w:rsidRDefault="00E329F7" w:rsidP="00AE1C26">
            <w:pPr>
              <w:rPr>
                <w:rFonts w:cs="Calibri"/>
                <w:color w:val="000000"/>
                <w:lang w:eastAsia="en-GB"/>
              </w:rPr>
            </w:pPr>
            <w:r w:rsidRPr="00A64E90">
              <w:rPr>
                <w:rFonts w:cs="Calibri"/>
                <w:color w:val="000000"/>
                <w:lang w:eastAsia="en-GB"/>
              </w:rPr>
              <w:t> </w:t>
            </w:r>
          </w:p>
        </w:tc>
      </w:tr>
      <w:tr w:rsidR="00E329F7" w:rsidRPr="00A64E90" w:rsidTr="00AE1C26">
        <w:trPr>
          <w:trHeight w:val="286"/>
        </w:trPr>
        <w:tc>
          <w:tcPr>
            <w:tcW w:w="1536" w:type="dxa"/>
            <w:tcBorders>
              <w:top w:val="nil"/>
              <w:left w:val="nil"/>
              <w:bottom w:val="nil"/>
              <w:right w:val="nil"/>
            </w:tcBorders>
            <w:shd w:val="clear" w:color="000000" w:fill="FFFFFF"/>
            <w:noWrap/>
            <w:vAlign w:val="bottom"/>
            <w:hideMark/>
          </w:tcPr>
          <w:p w:rsidR="00E329F7" w:rsidRPr="00A64E90" w:rsidRDefault="00E329F7" w:rsidP="00AE1C26">
            <w:pPr>
              <w:rPr>
                <w:rFonts w:cs="Calibri"/>
                <w:b/>
                <w:bCs/>
                <w:color w:val="000000"/>
                <w:lang w:eastAsia="en-GB"/>
              </w:rPr>
            </w:pPr>
            <w:r w:rsidRPr="00A64E90">
              <w:rPr>
                <w:rFonts w:cs="Calibri"/>
                <w:b/>
                <w:bCs/>
                <w:color w:val="000000"/>
                <w:lang w:eastAsia="en-GB"/>
              </w:rPr>
              <w:lastRenderedPageBreak/>
              <w:t>Carrying Value</w:t>
            </w:r>
          </w:p>
        </w:tc>
        <w:tc>
          <w:tcPr>
            <w:tcW w:w="1256" w:type="dxa"/>
            <w:tcBorders>
              <w:top w:val="nil"/>
              <w:left w:val="nil"/>
              <w:bottom w:val="nil"/>
              <w:right w:val="nil"/>
            </w:tcBorders>
            <w:shd w:val="clear" w:color="000000" w:fill="FFFFFF"/>
            <w:noWrap/>
            <w:vAlign w:val="bottom"/>
            <w:hideMark/>
          </w:tcPr>
          <w:p w:rsidR="00E329F7" w:rsidRPr="00A64E90" w:rsidRDefault="00E329F7" w:rsidP="00AE1C26">
            <w:pPr>
              <w:rPr>
                <w:rFonts w:cs="Calibri"/>
                <w:b/>
                <w:bCs/>
                <w:color w:val="000000"/>
                <w:lang w:eastAsia="en-GB"/>
              </w:rPr>
            </w:pPr>
            <w:r w:rsidRPr="00A64E90">
              <w:rPr>
                <w:rFonts w:cs="Calibri"/>
                <w:b/>
                <w:bCs/>
                <w:color w:val="000000"/>
                <w:lang w:eastAsia="en-GB"/>
              </w:rPr>
              <w:t>Fair Value</w:t>
            </w:r>
          </w:p>
        </w:tc>
        <w:tc>
          <w:tcPr>
            <w:tcW w:w="2276" w:type="dxa"/>
            <w:tcBorders>
              <w:top w:val="nil"/>
              <w:left w:val="nil"/>
              <w:bottom w:val="nil"/>
              <w:right w:val="nil"/>
            </w:tcBorders>
            <w:shd w:val="clear" w:color="000000" w:fill="FFFFFF"/>
            <w:noWrap/>
            <w:vAlign w:val="bottom"/>
            <w:hideMark/>
          </w:tcPr>
          <w:p w:rsidR="00E329F7" w:rsidRPr="00A64E90" w:rsidRDefault="00E329F7" w:rsidP="00AE1C26">
            <w:pPr>
              <w:rPr>
                <w:rFonts w:cs="Calibri"/>
                <w:color w:val="000000"/>
                <w:lang w:eastAsia="en-GB"/>
              </w:rPr>
            </w:pPr>
            <w:r w:rsidRPr="00A64E90">
              <w:rPr>
                <w:rFonts w:cs="Calibri"/>
                <w:color w:val="000000"/>
                <w:lang w:eastAsia="en-GB"/>
              </w:rPr>
              <w:t> </w:t>
            </w:r>
          </w:p>
        </w:tc>
        <w:tc>
          <w:tcPr>
            <w:tcW w:w="1334" w:type="dxa"/>
            <w:tcBorders>
              <w:top w:val="nil"/>
              <w:left w:val="nil"/>
              <w:bottom w:val="nil"/>
              <w:right w:val="nil"/>
            </w:tcBorders>
            <w:shd w:val="clear" w:color="000000" w:fill="FFFFFF"/>
            <w:noWrap/>
            <w:vAlign w:val="bottom"/>
            <w:hideMark/>
          </w:tcPr>
          <w:p w:rsidR="00E329F7" w:rsidRPr="00A64E90" w:rsidRDefault="00E329F7" w:rsidP="00AE1C26">
            <w:pPr>
              <w:rPr>
                <w:rFonts w:cs="Calibri"/>
                <w:b/>
                <w:bCs/>
                <w:color w:val="000000"/>
                <w:lang w:eastAsia="en-GB"/>
              </w:rPr>
            </w:pPr>
            <w:r w:rsidRPr="00A64E90">
              <w:rPr>
                <w:rFonts w:cs="Calibri"/>
                <w:b/>
                <w:bCs/>
                <w:color w:val="000000"/>
                <w:lang w:eastAsia="en-GB"/>
              </w:rPr>
              <w:t>Carrying Value</w:t>
            </w:r>
          </w:p>
        </w:tc>
        <w:tc>
          <w:tcPr>
            <w:tcW w:w="1316" w:type="dxa"/>
            <w:tcBorders>
              <w:top w:val="nil"/>
              <w:left w:val="nil"/>
              <w:bottom w:val="nil"/>
              <w:right w:val="nil"/>
            </w:tcBorders>
            <w:shd w:val="clear" w:color="000000" w:fill="FFFFFF"/>
            <w:noWrap/>
            <w:vAlign w:val="bottom"/>
            <w:hideMark/>
          </w:tcPr>
          <w:p w:rsidR="00E329F7" w:rsidRPr="00A64E90" w:rsidRDefault="00E329F7" w:rsidP="00AE1C26">
            <w:pPr>
              <w:rPr>
                <w:rFonts w:cs="Calibri"/>
                <w:b/>
                <w:bCs/>
                <w:color w:val="000000"/>
                <w:lang w:eastAsia="en-GB"/>
              </w:rPr>
            </w:pPr>
            <w:r w:rsidRPr="00A64E90">
              <w:rPr>
                <w:rFonts w:cs="Calibri"/>
                <w:b/>
                <w:bCs/>
                <w:color w:val="000000"/>
                <w:lang w:eastAsia="en-GB"/>
              </w:rPr>
              <w:t>Fair Value</w:t>
            </w:r>
          </w:p>
        </w:tc>
      </w:tr>
      <w:tr w:rsidR="00E329F7" w:rsidRPr="00A64E90" w:rsidTr="00AE1C26">
        <w:trPr>
          <w:trHeight w:val="286"/>
        </w:trPr>
        <w:tc>
          <w:tcPr>
            <w:tcW w:w="1536" w:type="dxa"/>
            <w:tcBorders>
              <w:top w:val="nil"/>
              <w:left w:val="nil"/>
              <w:bottom w:val="nil"/>
              <w:right w:val="nil"/>
            </w:tcBorders>
            <w:shd w:val="clear" w:color="000000" w:fill="FFFFFF"/>
            <w:noWrap/>
            <w:vAlign w:val="bottom"/>
            <w:hideMark/>
          </w:tcPr>
          <w:p w:rsidR="00E329F7" w:rsidRPr="00A64E90" w:rsidRDefault="00E329F7" w:rsidP="00AE1C26">
            <w:pPr>
              <w:jc w:val="right"/>
              <w:rPr>
                <w:rFonts w:cs="Calibri"/>
                <w:b/>
                <w:bCs/>
                <w:color w:val="000000"/>
                <w:lang w:eastAsia="en-GB"/>
              </w:rPr>
            </w:pPr>
            <w:r w:rsidRPr="00A64E90">
              <w:rPr>
                <w:rFonts w:cs="Calibri"/>
                <w:b/>
                <w:bCs/>
                <w:color w:val="000000"/>
                <w:lang w:eastAsia="en-GB"/>
              </w:rPr>
              <w:t>£'000</w:t>
            </w:r>
          </w:p>
        </w:tc>
        <w:tc>
          <w:tcPr>
            <w:tcW w:w="1256" w:type="dxa"/>
            <w:tcBorders>
              <w:top w:val="nil"/>
              <w:left w:val="nil"/>
              <w:bottom w:val="nil"/>
              <w:right w:val="nil"/>
            </w:tcBorders>
            <w:shd w:val="clear" w:color="000000" w:fill="FFFFFF"/>
            <w:noWrap/>
            <w:vAlign w:val="bottom"/>
            <w:hideMark/>
          </w:tcPr>
          <w:p w:rsidR="00E329F7" w:rsidRPr="00A64E90" w:rsidRDefault="00E329F7" w:rsidP="00AE1C26">
            <w:pPr>
              <w:jc w:val="right"/>
              <w:rPr>
                <w:rFonts w:cs="Calibri"/>
                <w:b/>
                <w:bCs/>
                <w:color w:val="000000"/>
                <w:lang w:eastAsia="en-GB"/>
              </w:rPr>
            </w:pPr>
            <w:r w:rsidRPr="00A64E90">
              <w:rPr>
                <w:rFonts w:cs="Calibri"/>
                <w:b/>
                <w:bCs/>
                <w:color w:val="000000"/>
                <w:lang w:eastAsia="en-GB"/>
              </w:rPr>
              <w:t>£'000</w:t>
            </w:r>
          </w:p>
        </w:tc>
        <w:tc>
          <w:tcPr>
            <w:tcW w:w="2276" w:type="dxa"/>
            <w:tcBorders>
              <w:top w:val="nil"/>
              <w:left w:val="nil"/>
              <w:bottom w:val="nil"/>
              <w:right w:val="nil"/>
            </w:tcBorders>
            <w:shd w:val="clear" w:color="000000" w:fill="FFFFFF"/>
            <w:noWrap/>
            <w:vAlign w:val="bottom"/>
            <w:hideMark/>
          </w:tcPr>
          <w:p w:rsidR="00E329F7" w:rsidRPr="00A64E90" w:rsidRDefault="00E329F7" w:rsidP="00AE1C26">
            <w:pPr>
              <w:rPr>
                <w:rFonts w:cs="Calibri"/>
                <w:color w:val="000000"/>
                <w:lang w:eastAsia="en-GB"/>
              </w:rPr>
            </w:pPr>
            <w:r w:rsidRPr="00A64E90">
              <w:rPr>
                <w:rFonts w:cs="Calibri"/>
                <w:color w:val="000000"/>
                <w:lang w:eastAsia="en-GB"/>
              </w:rPr>
              <w:t> </w:t>
            </w:r>
          </w:p>
        </w:tc>
        <w:tc>
          <w:tcPr>
            <w:tcW w:w="1334" w:type="dxa"/>
            <w:tcBorders>
              <w:top w:val="nil"/>
              <w:left w:val="nil"/>
              <w:bottom w:val="nil"/>
              <w:right w:val="nil"/>
            </w:tcBorders>
            <w:shd w:val="clear" w:color="000000" w:fill="FFFFFF"/>
            <w:noWrap/>
            <w:vAlign w:val="bottom"/>
            <w:hideMark/>
          </w:tcPr>
          <w:p w:rsidR="00E329F7" w:rsidRPr="00A64E90" w:rsidRDefault="00E329F7" w:rsidP="00AE1C26">
            <w:pPr>
              <w:jc w:val="right"/>
              <w:rPr>
                <w:rFonts w:cs="Calibri"/>
                <w:b/>
                <w:bCs/>
                <w:color w:val="000000"/>
                <w:lang w:eastAsia="en-GB"/>
              </w:rPr>
            </w:pPr>
            <w:r w:rsidRPr="00A64E90">
              <w:rPr>
                <w:rFonts w:cs="Calibri"/>
                <w:b/>
                <w:bCs/>
                <w:color w:val="000000"/>
                <w:lang w:eastAsia="en-GB"/>
              </w:rPr>
              <w:t>£'000</w:t>
            </w:r>
          </w:p>
        </w:tc>
        <w:tc>
          <w:tcPr>
            <w:tcW w:w="1316" w:type="dxa"/>
            <w:tcBorders>
              <w:top w:val="nil"/>
              <w:left w:val="nil"/>
              <w:bottom w:val="nil"/>
              <w:right w:val="nil"/>
            </w:tcBorders>
            <w:shd w:val="clear" w:color="000000" w:fill="FFFFFF"/>
            <w:noWrap/>
            <w:vAlign w:val="bottom"/>
            <w:hideMark/>
          </w:tcPr>
          <w:p w:rsidR="00E329F7" w:rsidRPr="00A64E90" w:rsidRDefault="00E329F7" w:rsidP="00AE1C26">
            <w:pPr>
              <w:jc w:val="right"/>
              <w:rPr>
                <w:rFonts w:cs="Calibri"/>
                <w:b/>
                <w:bCs/>
                <w:color w:val="000000"/>
                <w:lang w:eastAsia="en-GB"/>
              </w:rPr>
            </w:pPr>
            <w:r w:rsidRPr="00A64E90">
              <w:rPr>
                <w:rFonts w:cs="Calibri"/>
                <w:b/>
                <w:bCs/>
                <w:color w:val="000000"/>
                <w:lang w:eastAsia="en-GB"/>
              </w:rPr>
              <w:t>£'000</w:t>
            </w:r>
          </w:p>
        </w:tc>
      </w:tr>
      <w:tr w:rsidR="00E329F7" w:rsidRPr="00A64E90" w:rsidTr="00AE1C26">
        <w:trPr>
          <w:trHeight w:val="286"/>
        </w:trPr>
        <w:tc>
          <w:tcPr>
            <w:tcW w:w="1536" w:type="dxa"/>
            <w:tcBorders>
              <w:top w:val="nil"/>
              <w:left w:val="nil"/>
              <w:bottom w:val="nil"/>
              <w:right w:val="nil"/>
            </w:tcBorders>
            <w:shd w:val="clear" w:color="000000" w:fill="FFFFFF"/>
            <w:noWrap/>
            <w:vAlign w:val="bottom"/>
            <w:hideMark/>
          </w:tcPr>
          <w:p w:rsidR="00E329F7" w:rsidRPr="00A64E90" w:rsidRDefault="00E329F7" w:rsidP="00AE1C26">
            <w:pPr>
              <w:rPr>
                <w:rFonts w:cs="Calibri"/>
                <w:color w:val="000000"/>
                <w:lang w:eastAsia="en-GB"/>
              </w:rPr>
            </w:pPr>
            <w:r w:rsidRPr="00A64E90">
              <w:rPr>
                <w:rFonts w:cs="Calibri"/>
                <w:color w:val="000000"/>
                <w:lang w:eastAsia="en-GB"/>
              </w:rPr>
              <w:t> </w:t>
            </w:r>
          </w:p>
        </w:tc>
        <w:tc>
          <w:tcPr>
            <w:tcW w:w="1256" w:type="dxa"/>
            <w:tcBorders>
              <w:top w:val="nil"/>
              <w:left w:val="nil"/>
              <w:bottom w:val="nil"/>
              <w:right w:val="nil"/>
            </w:tcBorders>
            <w:shd w:val="clear" w:color="000000" w:fill="FFFFFF"/>
            <w:noWrap/>
            <w:vAlign w:val="bottom"/>
            <w:hideMark/>
          </w:tcPr>
          <w:p w:rsidR="00E329F7" w:rsidRPr="00A64E90" w:rsidRDefault="00E329F7" w:rsidP="00AE1C26">
            <w:pPr>
              <w:rPr>
                <w:rFonts w:cs="Calibri"/>
                <w:color w:val="000000"/>
                <w:lang w:eastAsia="en-GB"/>
              </w:rPr>
            </w:pPr>
            <w:r w:rsidRPr="00A64E90">
              <w:rPr>
                <w:rFonts w:cs="Calibri"/>
                <w:color w:val="000000"/>
                <w:lang w:eastAsia="en-GB"/>
              </w:rPr>
              <w:t> </w:t>
            </w:r>
          </w:p>
        </w:tc>
        <w:tc>
          <w:tcPr>
            <w:tcW w:w="2276" w:type="dxa"/>
            <w:tcBorders>
              <w:top w:val="nil"/>
              <w:left w:val="nil"/>
              <w:bottom w:val="nil"/>
              <w:right w:val="nil"/>
            </w:tcBorders>
            <w:shd w:val="clear" w:color="000000" w:fill="FFFFFF"/>
            <w:noWrap/>
            <w:vAlign w:val="bottom"/>
            <w:hideMark/>
          </w:tcPr>
          <w:p w:rsidR="00E329F7" w:rsidRPr="00A64E90" w:rsidRDefault="00E329F7" w:rsidP="00AE1C26">
            <w:pPr>
              <w:rPr>
                <w:rFonts w:cs="Calibri"/>
                <w:b/>
                <w:bCs/>
                <w:color w:val="000000"/>
                <w:lang w:eastAsia="en-GB"/>
              </w:rPr>
            </w:pPr>
            <w:r w:rsidRPr="00A64E90">
              <w:rPr>
                <w:rFonts w:cs="Calibri"/>
                <w:b/>
                <w:bCs/>
                <w:color w:val="000000"/>
                <w:lang w:eastAsia="en-GB"/>
              </w:rPr>
              <w:t>Financial assets</w:t>
            </w:r>
          </w:p>
        </w:tc>
        <w:tc>
          <w:tcPr>
            <w:tcW w:w="1334" w:type="dxa"/>
            <w:tcBorders>
              <w:top w:val="nil"/>
              <w:left w:val="nil"/>
              <w:bottom w:val="nil"/>
              <w:right w:val="nil"/>
            </w:tcBorders>
            <w:shd w:val="clear" w:color="000000" w:fill="FFFFFF"/>
            <w:noWrap/>
            <w:vAlign w:val="bottom"/>
            <w:hideMark/>
          </w:tcPr>
          <w:p w:rsidR="00E329F7" w:rsidRPr="00A64E90" w:rsidRDefault="00E329F7" w:rsidP="00AE1C26">
            <w:pPr>
              <w:rPr>
                <w:rFonts w:cs="Calibri"/>
                <w:color w:val="000000"/>
                <w:lang w:eastAsia="en-GB"/>
              </w:rPr>
            </w:pPr>
            <w:r w:rsidRPr="00A64E90">
              <w:rPr>
                <w:rFonts w:cs="Calibri"/>
                <w:color w:val="000000"/>
                <w:lang w:eastAsia="en-GB"/>
              </w:rPr>
              <w:t> </w:t>
            </w:r>
          </w:p>
        </w:tc>
        <w:tc>
          <w:tcPr>
            <w:tcW w:w="1316" w:type="dxa"/>
            <w:tcBorders>
              <w:top w:val="nil"/>
              <w:left w:val="nil"/>
              <w:bottom w:val="nil"/>
              <w:right w:val="nil"/>
            </w:tcBorders>
            <w:shd w:val="clear" w:color="000000" w:fill="FFFFFF"/>
            <w:noWrap/>
            <w:vAlign w:val="bottom"/>
            <w:hideMark/>
          </w:tcPr>
          <w:p w:rsidR="00E329F7" w:rsidRPr="00A64E90" w:rsidRDefault="00E329F7" w:rsidP="00AE1C26">
            <w:pPr>
              <w:rPr>
                <w:rFonts w:cs="Calibri"/>
                <w:color w:val="000000"/>
                <w:lang w:eastAsia="en-GB"/>
              </w:rPr>
            </w:pPr>
            <w:r w:rsidRPr="00A64E90">
              <w:rPr>
                <w:rFonts w:cs="Calibri"/>
                <w:color w:val="000000"/>
                <w:lang w:eastAsia="en-GB"/>
              </w:rPr>
              <w:t> </w:t>
            </w:r>
          </w:p>
        </w:tc>
      </w:tr>
      <w:tr w:rsidR="00E329F7" w:rsidRPr="00A64E90" w:rsidTr="00AE1C26">
        <w:trPr>
          <w:trHeight w:val="571"/>
        </w:trPr>
        <w:tc>
          <w:tcPr>
            <w:tcW w:w="1536" w:type="dxa"/>
            <w:tcBorders>
              <w:top w:val="nil"/>
              <w:left w:val="nil"/>
              <w:bottom w:val="nil"/>
              <w:right w:val="nil"/>
            </w:tcBorders>
            <w:shd w:val="clear" w:color="000000" w:fill="FFFFFF"/>
            <w:noWrap/>
            <w:vAlign w:val="bottom"/>
            <w:hideMark/>
          </w:tcPr>
          <w:p w:rsidR="00E329F7" w:rsidRPr="00A64E90" w:rsidRDefault="00E329F7" w:rsidP="00AE1C26">
            <w:pPr>
              <w:jc w:val="right"/>
              <w:rPr>
                <w:rFonts w:cs="Calibri"/>
                <w:color w:val="000000"/>
                <w:lang w:eastAsia="en-GB"/>
              </w:rPr>
            </w:pPr>
            <w:r w:rsidRPr="00A64E90">
              <w:rPr>
                <w:rFonts w:cs="Calibri"/>
                <w:color w:val="000000"/>
                <w:lang w:eastAsia="en-GB"/>
              </w:rPr>
              <w:t>832.9</w:t>
            </w:r>
          </w:p>
        </w:tc>
        <w:tc>
          <w:tcPr>
            <w:tcW w:w="1256" w:type="dxa"/>
            <w:tcBorders>
              <w:top w:val="nil"/>
              <w:left w:val="nil"/>
              <w:bottom w:val="nil"/>
              <w:right w:val="nil"/>
            </w:tcBorders>
            <w:shd w:val="clear" w:color="000000" w:fill="FFFFFF"/>
            <w:noWrap/>
            <w:vAlign w:val="bottom"/>
            <w:hideMark/>
          </w:tcPr>
          <w:p w:rsidR="00E329F7" w:rsidRPr="00A64E90" w:rsidRDefault="00E329F7" w:rsidP="00AE1C26">
            <w:pPr>
              <w:jc w:val="right"/>
              <w:rPr>
                <w:rFonts w:cs="Calibri"/>
                <w:color w:val="000000"/>
                <w:lang w:eastAsia="en-GB"/>
              </w:rPr>
            </w:pPr>
            <w:r w:rsidRPr="00A64E90">
              <w:rPr>
                <w:rFonts w:cs="Calibri"/>
                <w:color w:val="000000"/>
                <w:lang w:eastAsia="en-GB"/>
              </w:rPr>
              <w:t>832.9</w:t>
            </w:r>
          </w:p>
        </w:tc>
        <w:tc>
          <w:tcPr>
            <w:tcW w:w="2276" w:type="dxa"/>
            <w:tcBorders>
              <w:top w:val="nil"/>
              <w:left w:val="nil"/>
              <w:bottom w:val="nil"/>
              <w:right w:val="nil"/>
            </w:tcBorders>
            <w:shd w:val="clear" w:color="000000" w:fill="FFFFFF"/>
            <w:vAlign w:val="bottom"/>
            <w:hideMark/>
          </w:tcPr>
          <w:p w:rsidR="00E329F7" w:rsidRPr="00A64E90" w:rsidRDefault="00E329F7" w:rsidP="00AE1C26">
            <w:pPr>
              <w:rPr>
                <w:rFonts w:cs="Calibri"/>
                <w:color w:val="000000"/>
                <w:lang w:eastAsia="en-GB"/>
              </w:rPr>
            </w:pPr>
            <w:r w:rsidRPr="00A64E90">
              <w:rPr>
                <w:rFonts w:cs="Calibri"/>
                <w:color w:val="000000"/>
                <w:lang w:eastAsia="en-GB"/>
              </w:rPr>
              <w:t>Fair value through profit and loss</w:t>
            </w:r>
          </w:p>
        </w:tc>
        <w:tc>
          <w:tcPr>
            <w:tcW w:w="1334" w:type="dxa"/>
            <w:tcBorders>
              <w:top w:val="nil"/>
              <w:left w:val="nil"/>
              <w:bottom w:val="nil"/>
              <w:right w:val="nil"/>
            </w:tcBorders>
            <w:shd w:val="clear" w:color="000000" w:fill="FFFFFF"/>
            <w:noWrap/>
            <w:vAlign w:val="bottom"/>
            <w:hideMark/>
          </w:tcPr>
          <w:p w:rsidR="00E329F7" w:rsidRPr="00A64E90" w:rsidRDefault="00E329F7" w:rsidP="00AE1C26">
            <w:pPr>
              <w:jc w:val="right"/>
              <w:rPr>
                <w:rFonts w:cs="Calibri"/>
                <w:color w:val="000000"/>
                <w:lang w:eastAsia="en-GB"/>
              </w:rPr>
            </w:pPr>
            <w:r w:rsidRPr="00A64E90">
              <w:rPr>
                <w:rFonts w:cs="Calibri"/>
                <w:color w:val="000000"/>
                <w:lang w:eastAsia="en-GB"/>
              </w:rPr>
              <w:t>781.4</w:t>
            </w:r>
          </w:p>
        </w:tc>
        <w:tc>
          <w:tcPr>
            <w:tcW w:w="1316" w:type="dxa"/>
            <w:tcBorders>
              <w:top w:val="nil"/>
              <w:left w:val="nil"/>
              <w:bottom w:val="nil"/>
              <w:right w:val="nil"/>
            </w:tcBorders>
            <w:shd w:val="clear" w:color="000000" w:fill="FFFFFF"/>
            <w:noWrap/>
            <w:vAlign w:val="bottom"/>
            <w:hideMark/>
          </w:tcPr>
          <w:p w:rsidR="00E329F7" w:rsidRPr="00A64E90" w:rsidRDefault="00E329F7" w:rsidP="00AE1C26">
            <w:pPr>
              <w:jc w:val="right"/>
              <w:rPr>
                <w:rFonts w:cs="Calibri"/>
                <w:color w:val="000000"/>
                <w:lang w:eastAsia="en-GB"/>
              </w:rPr>
            </w:pPr>
            <w:r w:rsidRPr="00A64E90">
              <w:rPr>
                <w:rFonts w:cs="Calibri"/>
                <w:color w:val="000000"/>
                <w:lang w:eastAsia="en-GB"/>
              </w:rPr>
              <w:t>781.4</w:t>
            </w:r>
          </w:p>
        </w:tc>
      </w:tr>
      <w:tr w:rsidR="00E329F7" w:rsidRPr="00A64E90" w:rsidTr="00AE1C26">
        <w:trPr>
          <w:trHeight w:val="286"/>
        </w:trPr>
        <w:tc>
          <w:tcPr>
            <w:tcW w:w="1536" w:type="dxa"/>
            <w:tcBorders>
              <w:top w:val="nil"/>
              <w:left w:val="nil"/>
              <w:bottom w:val="nil"/>
              <w:right w:val="nil"/>
            </w:tcBorders>
            <w:shd w:val="clear" w:color="000000" w:fill="FFFFFF"/>
            <w:noWrap/>
            <w:vAlign w:val="bottom"/>
            <w:hideMark/>
          </w:tcPr>
          <w:p w:rsidR="00E329F7" w:rsidRPr="00A64E90" w:rsidRDefault="00E329F7" w:rsidP="00AE1C26">
            <w:pPr>
              <w:jc w:val="right"/>
              <w:rPr>
                <w:rFonts w:cs="Calibri"/>
                <w:color w:val="000000"/>
                <w:lang w:eastAsia="en-GB"/>
              </w:rPr>
            </w:pPr>
            <w:r w:rsidRPr="00A64E90">
              <w:rPr>
                <w:rFonts w:cs="Calibri"/>
                <w:color w:val="000000"/>
                <w:lang w:eastAsia="en-GB"/>
              </w:rPr>
              <w:t>32.6</w:t>
            </w:r>
          </w:p>
        </w:tc>
        <w:tc>
          <w:tcPr>
            <w:tcW w:w="1256" w:type="dxa"/>
            <w:tcBorders>
              <w:top w:val="nil"/>
              <w:left w:val="nil"/>
              <w:bottom w:val="nil"/>
              <w:right w:val="nil"/>
            </w:tcBorders>
            <w:shd w:val="clear" w:color="000000" w:fill="FFFFFF"/>
            <w:noWrap/>
            <w:vAlign w:val="bottom"/>
            <w:hideMark/>
          </w:tcPr>
          <w:p w:rsidR="00E329F7" w:rsidRPr="00A64E90" w:rsidRDefault="00E329F7" w:rsidP="00AE1C26">
            <w:pPr>
              <w:jc w:val="right"/>
              <w:rPr>
                <w:rFonts w:cs="Calibri"/>
                <w:color w:val="000000"/>
                <w:lang w:eastAsia="en-GB"/>
              </w:rPr>
            </w:pPr>
            <w:r w:rsidRPr="00A64E90">
              <w:rPr>
                <w:rFonts w:cs="Calibri"/>
                <w:color w:val="000000"/>
                <w:lang w:eastAsia="en-GB"/>
              </w:rPr>
              <w:t>32.6</w:t>
            </w:r>
          </w:p>
        </w:tc>
        <w:tc>
          <w:tcPr>
            <w:tcW w:w="2276" w:type="dxa"/>
            <w:tcBorders>
              <w:top w:val="nil"/>
              <w:left w:val="nil"/>
              <w:bottom w:val="nil"/>
              <w:right w:val="nil"/>
            </w:tcBorders>
            <w:shd w:val="clear" w:color="000000" w:fill="FFFFFF"/>
            <w:noWrap/>
            <w:vAlign w:val="bottom"/>
            <w:hideMark/>
          </w:tcPr>
          <w:p w:rsidR="00E329F7" w:rsidRPr="00A64E90" w:rsidRDefault="00E329F7" w:rsidP="00AE1C26">
            <w:pPr>
              <w:rPr>
                <w:rFonts w:cs="Calibri"/>
                <w:color w:val="000000"/>
                <w:lang w:eastAsia="en-GB"/>
              </w:rPr>
            </w:pPr>
            <w:r w:rsidRPr="00A64E90">
              <w:rPr>
                <w:rFonts w:cs="Calibri"/>
                <w:color w:val="000000"/>
                <w:lang w:eastAsia="en-GB"/>
              </w:rPr>
              <w:t>Loans and receivables</w:t>
            </w:r>
          </w:p>
        </w:tc>
        <w:tc>
          <w:tcPr>
            <w:tcW w:w="1334" w:type="dxa"/>
            <w:tcBorders>
              <w:top w:val="nil"/>
              <w:left w:val="nil"/>
              <w:bottom w:val="nil"/>
              <w:right w:val="nil"/>
            </w:tcBorders>
            <w:shd w:val="clear" w:color="000000" w:fill="FFFFFF"/>
            <w:noWrap/>
            <w:vAlign w:val="bottom"/>
            <w:hideMark/>
          </w:tcPr>
          <w:p w:rsidR="00E329F7" w:rsidRPr="00A64E90" w:rsidRDefault="00E329F7" w:rsidP="00AE1C26">
            <w:pPr>
              <w:jc w:val="right"/>
              <w:rPr>
                <w:rFonts w:cs="Calibri"/>
                <w:color w:val="000000"/>
                <w:lang w:eastAsia="en-GB"/>
              </w:rPr>
            </w:pPr>
            <w:r w:rsidRPr="00A64E90">
              <w:rPr>
                <w:rFonts w:cs="Calibri"/>
                <w:color w:val="000000"/>
                <w:lang w:eastAsia="en-GB"/>
              </w:rPr>
              <w:t>57.9</w:t>
            </w:r>
          </w:p>
        </w:tc>
        <w:tc>
          <w:tcPr>
            <w:tcW w:w="1316" w:type="dxa"/>
            <w:tcBorders>
              <w:top w:val="nil"/>
              <w:left w:val="nil"/>
              <w:bottom w:val="nil"/>
              <w:right w:val="nil"/>
            </w:tcBorders>
            <w:shd w:val="clear" w:color="000000" w:fill="FFFFFF"/>
            <w:noWrap/>
            <w:vAlign w:val="bottom"/>
            <w:hideMark/>
          </w:tcPr>
          <w:p w:rsidR="00E329F7" w:rsidRPr="00A64E90" w:rsidRDefault="00E329F7" w:rsidP="00AE1C26">
            <w:pPr>
              <w:jc w:val="right"/>
              <w:rPr>
                <w:rFonts w:cs="Calibri"/>
                <w:color w:val="000000"/>
                <w:lang w:eastAsia="en-GB"/>
              </w:rPr>
            </w:pPr>
            <w:r w:rsidRPr="00A64E90">
              <w:rPr>
                <w:rFonts w:cs="Calibri"/>
                <w:color w:val="000000"/>
                <w:lang w:eastAsia="en-GB"/>
              </w:rPr>
              <w:t>57.9</w:t>
            </w:r>
          </w:p>
        </w:tc>
      </w:tr>
      <w:tr w:rsidR="00E329F7" w:rsidRPr="00A64E90" w:rsidTr="00AE1C26">
        <w:trPr>
          <w:trHeight w:val="299"/>
        </w:trPr>
        <w:tc>
          <w:tcPr>
            <w:tcW w:w="1536" w:type="dxa"/>
            <w:tcBorders>
              <w:top w:val="single" w:sz="4" w:space="0" w:color="auto"/>
              <w:left w:val="nil"/>
              <w:bottom w:val="double" w:sz="6" w:space="0" w:color="auto"/>
              <w:right w:val="nil"/>
            </w:tcBorders>
            <w:shd w:val="clear" w:color="000000" w:fill="FFFFFF"/>
            <w:noWrap/>
            <w:vAlign w:val="bottom"/>
            <w:hideMark/>
          </w:tcPr>
          <w:p w:rsidR="00E329F7" w:rsidRPr="00A64E90" w:rsidRDefault="00E329F7" w:rsidP="00AE1C26">
            <w:pPr>
              <w:jc w:val="right"/>
              <w:rPr>
                <w:rFonts w:cs="Calibri"/>
                <w:b/>
                <w:bCs/>
                <w:color w:val="000000"/>
                <w:lang w:eastAsia="en-GB"/>
              </w:rPr>
            </w:pPr>
            <w:r w:rsidRPr="00A64E90">
              <w:rPr>
                <w:rFonts w:cs="Calibri"/>
                <w:b/>
                <w:bCs/>
                <w:color w:val="000000"/>
                <w:lang w:eastAsia="en-GB"/>
              </w:rPr>
              <w:t>865.5</w:t>
            </w:r>
          </w:p>
        </w:tc>
        <w:tc>
          <w:tcPr>
            <w:tcW w:w="1256" w:type="dxa"/>
            <w:tcBorders>
              <w:top w:val="single" w:sz="4" w:space="0" w:color="auto"/>
              <w:left w:val="nil"/>
              <w:bottom w:val="double" w:sz="6" w:space="0" w:color="auto"/>
              <w:right w:val="nil"/>
            </w:tcBorders>
            <w:shd w:val="clear" w:color="000000" w:fill="FFFFFF"/>
            <w:noWrap/>
            <w:vAlign w:val="bottom"/>
            <w:hideMark/>
          </w:tcPr>
          <w:p w:rsidR="00E329F7" w:rsidRPr="00A64E90" w:rsidRDefault="00E329F7" w:rsidP="00AE1C26">
            <w:pPr>
              <w:jc w:val="right"/>
              <w:rPr>
                <w:rFonts w:cs="Calibri"/>
                <w:b/>
                <w:bCs/>
                <w:color w:val="000000"/>
                <w:lang w:eastAsia="en-GB"/>
              </w:rPr>
            </w:pPr>
            <w:r w:rsidRPr="00A64E90">
              <w:rPr>
                <w:rFonts w:cs="Calibri"/>
                <w:b/>
                <w:bCs/>
                <w:color w:val="000000"/>
                <w:lang w:eastAsia="en-GB"/>
              </w:rPr>
              <w:t>865.5</w:t>
            </w:r>
          </w:p>
        </w:tc>
        <w:tc>
          <w:tcPr>
            <w:tcW w:w="2276" w:type="dxa"/>
            <w:tcBorders>
              <w:top w:val="single" w:sz="4" w:space="0" w:color="auto"/>
              <w:left w:val="nil"/>
              <w:bottom w:val="double" w:sz="6" w:space="0" w:color="auto"/>
              <w:right w:val="nil"/>
            </w:tcBorders>
            <w:shd w:val="clear" w:color="000000" w:fill="FFFFFF"/>
            <w:noWrap/>
            <w:vAlign w:val="bottom"/>
            <w:hideMark/>
          </w:tcPr>
          <w:p w:rsidR="00E329F7" w:rsidRPr="00A64E90" w:rsidRDefault="00E329F7" w:rsidP="00AE1C26">
            <w:pPr>
              <w:rPr>
                <w:rFonts w:cs="Calibri"/>
                <w:b/>
                <w:bCs/>
                <w:color w:val="000000"/>
                <w:lang w:eastAsia="en-GB"/>
              </w:rPr>
            </w:pPr>
            <w:r w:rsidRPr="00A64E90">
              <w:rPr>
                <w:rFonts w:cs="Calibri"/>
                <w:b/>
                <w:bCs/>
                <w:color w:val="000000"/>
                <w:lang w:eastAsia="en-GB"/>
              </w:rPr>
              <w:t>Total financial assets</w:t>
            </w:r>
          </w:p>
        </w:tc>
        <w:tc>
          <w:tcPr>
            <w:tcW w:w="1334" w:type="dxa"/>
            <w:tcBorders>
              <w:top w:val="single" w:sz="4" w:space="0" w:color="auto"/>
              <w:left w:val="nil"/>
              <w:bottom w:val="double" w:sz="6" w:space="0" w:color="auto"/>
              <w:right w:val="nil"/>
            </w:tcBorders>
            <w:shd w:val="clear" w:color="000000" w:fill="FFFFFF"/>
            <w:noWrap/>
            <w:vAlign w:val="bottom"/>
            <w:hideMark/>
          </w:tcPr>
          <w:p w:rsidR="00E329F7" w:rsidRPr="00A64E90" w:rsidRDefault="00E329F7" w:rsidP="00AE1C26">
            <w:pPr>
              <w:jc w:val="right"/>
              <w:rPr>
                <w:rFonts w:cs="Calibri"/>
                <w:b/>
                <w:bCs/>
                <w:color w:val="000000"/>
                <w:lang w:eastAsia="en-GB"/>
              </w:rPr>
            </w:pPr>
            <w:r w:rsidRPr="00A64E90">
              <w:rPr>
                <w:rFonts w:cs="Calibri"/>
                <w:b/>
                <w:bCs/>
                <w:color w:val="000000"/>
                <w:lang w:eastAsia="en-GB"/>
              </w:rPr>
              <w:t>839.3</w:t>
            </w:r>
          </w:p>
        </w:tc>
        <w:tc>
          <w:tcPr>
            <w:tcW w:w="1316" w:type="dxa"/>
            <w:tcBorders>
              <w:top w:val="single" w:sz="4" w:space="0" w:color="auto"/>
              <w:left w:val="nil"/>
              <w:bottom w:val="double" w:sz="6" w:space="0" w:color="auto"/>
              <w:right w:val="nil"/>
            </w:tcBorders>
            <w:shd w:val="clear" w:color="000000" w:fill="FFFFFF"/>
            <w:noWrap/>
            <w:vAlign w:val="bottom"/>
            <w:hideMark/>
          </w:tcPr>
          <w:p w:rsidR="00E329F7" w:rsidRPr="00A64E90" w:rsidRDefault="00E329F7" w:rsidP="00AE1C26">
            <w:pPr>
              <w:jc w:val="right"/>
              <w:rPr>
                <w:rFonts w:cs="Calibri"/>
                <w:b/>
                <w:bCs/>
                <w:color w:val="000000"/>
                <w:lang w:eastAsia="en-GB"/>
              </w:rPr>
            </w:pPr>
            <w:r w:rsidRPr="00A64E90">
              <w:rPr>
                <w:rFonts w:cs="Calibri"/>
                <w:b/>
                <w:bCs/>
                <w:color w:val="000000"/>
                <w:lang w:eastAsia="en-GB"/>
              </w:rPr>
              <w:t>839.3</w:t>
            </w:r>
          </w:p>
        </w:tc>
      </w:tr>
      <w:tr w:rsidR="00E329F7" w:rsidRPr="00A64E90" w:rsidTr="00AE1C26">
        <w:trPr>
          <w:trHeight w:val="286"/>
        </w:trPr>
        <w:tc>
          <w:tcPr>
            <w:tcW w:w="1536" w:type="dxa"/>
            <w:tcBorders>
              <w:top w:val="nil"/>
              <w:left w:val="nil"/>
              <w:bottom w:val="nil"/>
              <w:right w:val="nil"/>
            </w:tcBorders>
            <w:shd w:val="clear" w:color="000000" w:fill="FFFFFF"/>
            <w:noWrap/>
            <w:vAlign w:val="bottom"/>
            <w:hideMark/>
          </w:tcPr>
          <w:p w:rsidR="00E329F7" w:rsidRPr="00A64E90" w:rsidRDefault="00E329F7" w:rsidP="00AE1C26">
            <w:pPr>
              <w:rPr>
                <w:rFonts w:cs="Calibri"/>
                <w:lang w:eastAsia="en-GB"/>
              </w:rPr>
            </w:pPr>
            <w:r w:rsidRPr="00A64E90">
              <w:rPr>
                <w:rFonts w:cs="Calibri"/>
                <w:lang w:eastAsia="en-GB"/>
              </w:rPr>
              <w:t> </w:t>
            </w:r>
          </w:p>
        </w:tc>
        <w:tc>
          <w:tcPr>
            <w:tcW w:w="1256" w:type="dxa"/>
            <w:tcBorders>
              <w:top w:val="nil"/>
              <w:left w:val="nil"/>
              <w:bottom w:val="nil"/>
              <w:right w:val="nil"/>
            </w:tcBorders>
            <w:shd w:val="clear" w:color="000000" w:fill="FFFFFF"/>
            <w:noWrap/>
            <w:vAlign w:val="bottom"/>
            <w:hideMark/>
          </w:tcPr>
          <w:p w:rsidR="00E329F7" w:rsidRPr="00A64E90" w:rsidRDefault="00E329F7" w:rsidP="00AE1C26">
            <w:pPr>
              <w:rPr>
                <w:rFonts w:cs="Calibri"/>
                <w:lang w:eastAsia="en-GB"/>
              </w:rPr>
            </w:pPr>
            <w:r w:rsidRPr="00A64E90">
              <w:rPr>
                <w:rFonts w:cs="Calibri"/>
                <w:lang w:eastAsia="en-GB"/>
              </w:rPr>
              <w:t> </w:t>
            </w:r>
          </w:p>
        </w:tc>
        <w:tc>
          <w:tcPr>
            <w:tcW w:w="2276" w:type="dxa"/>
            <w:tcBorders>
              <w:top w:val="nil"/>
              <w:left w:val="nil"/>
              <w:bottom w:val="nil"/>
              <w:right w:val="nil"/>
            </w:tcBorders>
            <w:shd w:val="clear" w:color="000000" w:fill="FFFFFF"/>
            <w:noWrap/>
            <w:vAlign w:val="bottom"/>
            <w:hideMark/>
          </w:tcPr>
          <w:p w:rsidR="00E329F7" w:rsidRPr="00A64E90" w:rsidRDefault="00E329F7" w:rsidP="00AE1C26">
            <w:pPr>
              <w:rPr>
                <w:rFonts w:cs="Calibri"/>
                <w:b/>
                <w:bCs/>
                <w:lang w:eastAsia="en-GB"/>
              </w:rPr>
            </w:pPr>
            <w:r w:rsidRPr="00A64E90">
              <w:rPr>
                <w:rFonts w:cs="Calibri"/>
                <w:b/>
                <w:bCs/>
                <w:lang w:eastAsia="en-GB"/>
              </w:rPr>
              <w:t>Financial liabilities</w:t>
            </w:r>
          </w:p>
        </w:tc>
        <w:tc>
          <w:tcPr>
            <w:tcW w:w="1334" w:type="dxa"/>
            <w:tcBorders>
              <w:top w:val="nil"/>
              <w:left w:val="nil"/>
              <w:bottom w:val="nil"/>
              <w:right w:val="nil"/>
            </w:tcBorders>
            <w:shd w:val="clear" w:color="000000" w:fill="FFFFFF"/>
            <w:noWrap/>
            <w:vAlign w:val="bottom"/>
            <w:hideMark/>
          </w:tcPr>
          <w:p w:rsidR="00E329F7" w:rsidRPr="00A64E90" w:rsidRDefault="00E329F7" w:rsidP="00AE1C26">
            <w:pPr>
              <w:rPr>
                <w:rFonts w:cs="Calibri"/>
                <w:lang w:eastAsia="en-GB"/>
              </w:rPr>
            </w:pPr>
            <w:r w:rsidRPr="00A64E90">
              <w:rPr>
                <w:rFonts w:cs="Calibri"/>
                <w:lang w:eastAsia="en-GB"/>
              </w:rPr>
              <w:t> </w:t>
            </w:r>
          </w:p>
        </w:tc>
        <w:tc>
          <w:tcPr>
            <w:tcW w:w="1316" w:type="dxa"/>
            <w:tcBorders>
              <w:top w:val="nil"/>
              <w:left w:val="nil"/>
              <w:bottom w:val="nil"/>
              <w:right w:val="nil"/>
            </w:tcBorders>
            <w:shd w:val="clear" w:color="000000" w:fill="FFFFFF"/>
            <w:noWrap/>
            <w:vAlign w:val="bottom"/>
            <w:hideMark/>
          </w:tcPr>
          <w:p w:rsidR="00E329F7" w:rsidRPr="00A64E90" w:rsidRDefault="00E329F7" w:rsidP="00AE1C26">
            <w:pPr>
              <w:rPr>
                <w:rFonts w:cs="Calibri"/>
                <w:lang w:eastAsia="en-GB"/>
              </w:rPr>
            </w:pPr>
            <w:r w:rsidRPr="00A64E90">
              <w:rPr>
                <w:rFonts w:cs="Calibri"/>
                <w:lang w:eastAsia="en-GB"/>
              </w:rPr>
              <w:t> </w:t>
            </w:r>
          </w:p>
        </w:tc>
      </w:tr>
      <w:tr w:rsidR="00E329F7" w:rsidRPr="00A64E90" w:rsidTr="00AE1C26">
        <w:trPr>
          <w:trHeight w:val="571"/>
        </w:trPr>
        <w:tc>
          <w:tcPr>
            <w:tcW w:w="1536" w:type="dxa"/>
            <w:tcBorders>
              <w:top w:val="nil"/>
              <w:left w:val="nil"/>
              <w:bottom w:val="nil"/>
              <w:right w:val="nil"/>
            </w:tcBorders>
            <w:shd w:val="clear" w:color="000000" w:fill="FFFFFF"/>
            <w:noWrap/>
            <w:vAlign w:val="bottom"/>
            <w:hideMark/>
          </w:tcPr>
          <w:p w:rsidR="00E329F7" w:rsidRPr="00A64E90" w:rsidRDefault="00E329F7" w:rsidP="00AE1C26">
            <w:pPr>
              <w:jc w:val="right"/>
              <w:rPr>
                <w:rFonts w:cs="Calibri"/>
                <w:lang w:eastAsia="en-GB"/>
              </w:rPr>
            </w:pPr>
            <w:r w:rsidRPr="00A64E90">
              <w:rPr>
                <w:rFonts w:cs="Calibri"/>
                <w:lang w:eastAsia="en-GB"/>
              </w:rPr>
              <w:t>(0.9)</w:t>
            </w:r>
          </w:p>
        </w:tc>
        <w:tc>
          <w:tcPr>
            <w:tcW w:w="1256" w:type="dxa"/>
            <w:tcBorders>
              <w:top w:val="nil"/>
              <w:left w:val="nil"/>
              <w:bottom w:val="nil"/>
              <w:right w:val="nil"/>
            </w:tcBorders>
            <w:shd w:val="clear" w:color="000000" w:fill="FFFFFF"/>
            <w:noWrap/>
            <w:vAlign w:val="bottom"/>
            <w:hideMark/>
          </w:tcPr>
          <w:p w:rsidR="00E329F7" w:rsidRPr="00A64E90" w:rsidRDefault="00E329F7" w:rsidP="00AE1C26">
            <w:pPr>
              <w:jc w:val="right"/>
              <w:rPr>
                <w:rFonts w:cs="Calibri"/>
                <w:lang w:eastAsia="en-GB"/>
              </w:rPr>
            </w:pPr>
            <w:r w:rsidRPr="00A64E90">
              <w:rPr>
                <w:rFonts w:cs="Calibri"/>
                <w:lang w:eastAsia="en-GB"/>
              </w:rPr>
              <w:t>(0.9)</w:t>
            </w:r>
          </w:p>
        </w:tc>
        <w:tc>
          <w:tcPr>
            <w:tcW w:w="2276" w:type="dxa"/>
            <w:tcBorders>
              <w:top w:val="nil"/>
              <w:left w:val="nil"/>
              <w:bottom w:val="nil"/>
              <w:right w:val="nil"/>
            </w:tcBorders>
            <w:shd w:val="clear" w:color="000000" w:fill="FFFFFF"/>
            <w:vAlign w:val="bottom"/>
            <w:hideMark/>
          </w:tcPr>
          <w:p w:rsidR="00E329F7" w:rsidRPr="00A64E90" w:rsidRDefault="00E329F7" w:rsidP="00AE1C26">
            <w:pPr>
              <w:rPr>
                <w:rFonts w:cs="Calibri"/>
                <w:lang w:eastAsia="en-GB"/>
              </w:rPr>
            </w:pPr>
            <w:r w:rsidRPr="00A64E90">
              <w:rPr>
                <w:rFonts w:cs="Calibri"/>
                <w:lang w:eastAsia="en-GB"/>
              </w:rPr>
              <w:t>Financial liabilities at amortised cost</w:t>
            </w:r>
          </w:p>
        </w:tc>
        <w:tc>
          <w:tcPr>
            <w:tcW w:w="1334" w:type="dxa"/>
            <w:tcBorders>
              <w:top w:val="nil"/>
              <w:left w:val="nil"/>
              <w:bottom w:val="nil"/>
              <w:right w:val="nil"/>
            </w:tcBorders>
            <w:shd w:val="clear" w:color="000000" w:fill="FFFFFF"/>
            <w:noWrap/>
            <w:vAlign w:val="bottom"/>
            <w:hideMark/>
          </w:tcPr>
          <w:p w:rsidR="00E329F7" w:rsidRPr="00A64E90" w:rsidRDefault="00E329F7" w:rsidP="00AE1C26">
            <w:pPr>
              <w:jc w:val="right"/>
              <w:rPr>
                <w:rFonts w:cs="Calibri"/>
                <w:lang w:eastAsia="en-GB"/>
              </w:rPr>
            </w:pPr>
            <w:r w:rsidRPr="00A64E90">
              <w:rPr>
                <w:rFonts w:cs="Calibri"/>
                <w:lang w:eastAsia="en-GB"/>
              </w:rPr>
              <w:t>(0.4)</w:t>
            </w:r>
          </w:p>
        </w:tc>
        <w:tc>
          <w:tcPr>
            <w:tcW w:w="1316" w:type="dxa"/>
            <w:tcBorders>
              <w:top w:val="nil"/>
              <w:left w:val="nil"/>
              <w:bottom w:val="nil"/>
              <w:right w:val="nil"/>
            </w:tcBorders>
            <w:shd w:val="clear" w:color="000000" w:fill="FFFFFF"/>
            <w:noWrap/>
            <w:vAlign w:val="bottom"/>
            <w:hideMark/>
          </w:tcPr>
          <w:p w:rsidR="00E329F7" w:rsidRPr="00A64E90" w:rsidRDefault="00E329F7" w:rsidP="00AE1C26">
            <w:pPr>
              <w:jc w:val="right"/>
              <w:rPr>
                <w:rFonts w:cs="Calibri"/>
                <w:lang w:eastAsia="en-GB"/>
              </w:rPr>
            </w:pPr>
            <w:r w:rsidRPr="00A64E90">
              <w:rPr>
                <w:rFonts w:cs="Calibri"/>
                <w:lang w:eastAsia="en-GB"/>
              </w:rPr>
              <w:t>(0.4)</w:t>
            </w:r>
          </w:p>
        </w:tc>
      </w:tr>
      <w:tr w:rsidR="00E329F7" w:rsidRPr="00A64E90" w:rsidTr="00AE1C26">
        <w:trPr>
          <w:trHeight w:val="299"/>
        </w:trPr>
        <w:tc>
          <w:tcPr>
            <w:tcW w:w="1536" w:type="dxa"/>
            <w:tcBorders>
              <w:top w:val="single" w:sz="4" w:space="0" w:color="auto"/>
              <w:left w:val="nil"/>
              <w:bottom w:val="double" w:sz="6" w:space="0" w:color="auto"/>
              <w:right w:val="nil"/>
            </w:tcBorders>
            <w:shd w:val="clear" w:color="000000" w:fill="FFFFFF"/>
            <w:noWrap/>
            <w:vAlign w:val="bottom"/>
            <w:hideMark/>
          </w:tcPr>
          <w:p w:rsidR="00E329F7" w:rsidRPr="00A64E90" w:rsidRDefault="00E329F7" w:rsidP="00AE1C26">
            <w:pPr>
              <w:jc w:val="right"/>
              <w:rPr>
                <w:rFonts w:cs="Calibri"/>
                <w:b/>
                <w:bCs/>
                <w:lang w:eastAsia="en-GB"/>
              </w:rPr>
            </w:pPr>
            <w:r w:rsidRPr="00A64E90">
              <w:rPr>
                <w:rFonts w:cs="Calibri"/>
                <w:b/>
                <w:bCs/>
                <w:lang w:eastAsia="en-GB"/>
              </w:rPr>
              <w:t>(0.9)</w:t>
            </w:r>
          </w:p>
        </w:tc>
        <w:tc>
          <w:tcPr>
            <w:tcW w:w="1256" w:type="dxa"/>
            <w:tcBorders>
              <w:top w:val="single" w:sz="4" w:space="0" w:color="auto"/>
              <w:left w:val="nil"/>
              <w:bottom w:val="double" w:sz="6" w:space="0" w:color="auto"/>
              <w:right w:val="nil"/>
            </w:tcBorders>
            <w:shd w:val="clear" w:color="000000" w:fill="FFFFFF"/>
            <w:noWrap/>
            <w:vAlign w:val="bottom"/>
            <w:hideMark/>
          </w:tcPr>
          <w:p w:rsidR="00E329F7" w:rsidRPr="00A64E90" w:rsidRDefault="00E329F7" w:rsidP="00AE1C26">
            <w:pPr>
              <w:jc w:val="right"/>
              <w:rPr>
                <w:rFonts w:cs="Calibri"/>
                <w:b/>
                <w:bCs/>
                <w:lang w:eastAsia="en-GB"/>
              </w:rPr>
            </w:pPr>
            <w:r w:rsidRPr="00A64E90">
              <w:rPr>
                <w:rFonts w:cs="Calibri"/>
                <w:b/>
                <w:bCs/>
                <w:lang w:eastAsia="en-GB"/>
              </w:rPr>
              <w:t>(0.9)</w:t>
            </w:r>
          </w:p>
        </w:tc>
        <w:tc>
          <w:tcPr>
            <w:tcW w:w="2276" w:type="dxa"/>
            <w:tcBorders>
              <w:top w:val="single" w:sz="4" w:space="0" w:color="auto"/>
              <w:left w:val="nil"/>
              <w:bottom w:val="double" w:sz="6" w:space="0" w:color="auto"/>
              <w:right w:val="nil"/>
            </w:tcBorders>
            <w:shd w:val="clear" w:color="000000" w:fill="FFFFFF"/>
            <w:noWrap/>
            <w:vAlign w:val="bottom"/>
            <w:hideMark/>
          </w:tcPr>
          <w:p w:rsidR="00E329F7" w:rsidRPr="00A64E90" w:rsidRDefault="00E329F7" w:rsidP="00AE1C26">
            <w:pPr>
              <w:rPr>
                <w:rFonts w:cs="Calibri"/>
                <w:b/>
                <w:bCs/>
                <w:lang w:eastAsia="en-GB"/>
              </w:rPr>
            </w:pPr>
            <w:r w:rsidRPr="00A64E90">
              <w:rPr>
                <w:rFonts w:cs="Calibri"/>
                <w:b/>
                <w:bCs/>
                <w:lang w:eastAsia="en-GB"/>
              </w:rPr>
              <w:t>Total financial liabilities</w:t>
            </w:r>
          </w:p>
        </w:tc>
        <w:tc>
          <w:tcPr>
            <w:tcW w:w="1334" w:type="dxa"/>
            <w:tcBorders>
              <w:top w:val="single" w:sz="4" w:space="0" w:color="auto"/>
              <w:left w:val="nil"/>
              <w:bottom w:val="double" w:sz="6" w:space="0" w:color="auto"/>
              <w:right w:val="nil"/>
            </w:tcBorders>
            <w:shd w:val="clear" w:color="000000" w:fill="FFFFFF"/>
            <w:noWrap/>
            <w:vAlign w:val="bottom"/>
            <w:hideMark/>
          </w:tcPr>
          <w:p w:rsidR="00E329F7" w:rsidRPr="00A64E90" w:rsidRDefault="00E329F7" w:rsidP="00AE1C26">
            <w:pPr>
              <w:jc w:val="right"/>
              <w:rPr>
                <w:rFonts w:cs="Calibri"/>
                <w:b/>
                <w:bCs/>
                <w:lang w:eastAsia="en-GB"/>
              </w:rPr>
            </w:pPr>
            <w:r w:rsidRPr="00A64E90">
              <w:rPr>
                <w:rFonts w:cs="Calibri"/>
                <w:b/>
                <w:bCs/>
                <w:lang w:eastAsia="en-GB"/>
              </w:rPr>
              <w:t>(0.4)</w:t>
            </w:r>
          </w:p>
        </w:tc>
        <w:tc>
          <w:tcPr>
            <w:tcW w:w="1316" w:type="dxa"/>
            <w:tcBorders>
              <w:top w:val="single" w:sz="4" w:space="0" w:color="auto"/>
              <w:left w:val="nil"/>
              <w:bottom w:val="double" w:sz="6" w:space="0" w:color="auto"/>
              <w:right w:val="nil"/>
            </w:tcBorders>
            <w:shd w:val="clear" w:color="000000" w:fill="FFFFFF"/>
            <w:noWrap/>
            <w:vAlign w:val="bottom"/>
            <w:hideMark/>
          </w:tcPr>
          <w:p w:rsidR="00E329F7" w:rsidRPr="00A64E90" w:rsidRDefault="00E329F7" w:rsidP="00AE1C26">
            <w:pPr>
              <w:jc w:val="right"/>
              <w:rPr>
                <w:rFonts w:cs="Calibri"/>
                <w:b/>
                <w:bCs/>
                <w:lang w:eastAsia="en-GB"/>
              </w:rPr>
            </w:pPr>
            <w:r w:rsidRPr="00A64E90">
              <w:rPr>
                <w:rFonts w:cs="Calibri"/>
                <w:b/>
                <w:bCs/>
                <w:lang w:eastAsia="en-GB"/>
              </w:rPr>
              <w:t>(0.4)</w:t>
            </w:r>
          </w:p>
        </w:tc>
      </w:tr>
    </w:tbl>
    <w:p w:rsidR="00F72906" w:rsidRDefault="00F72906" w:rsidP="00F72906"/>
    <w:p w:rsidR="00F72906" w:rsidRDefault="00F72906" w:rsidP="00F72906">
      <w:r>
        <w:t>The authority has not entered into any financial guarantees that are required to be accounted for as financial instruments.</w:t>
      </w:r>
    </w:p>
    <w:p w:rsidR="00F72906" w:rsidRDefault="00F72906" w:rsidP="00F72906"/>
    <w:p w:rsidR="00F72906" w:rsidRDefault="00F72906" w:rsidP="00E329F7">
      <w:pPr>
        <w:pStyle w:val="Heading3"/>
      </w:pPr>
      <w:r>
        <w:t>17.  Nature and extent of risks arising from financial instruments</w:t>
      </w:r>
    </w:p>
    <w:p w:rsidR="00F72906" w:rsidRPr="00E329F7" w:rsidRDefault="00F72906" w:rsidP="00F72906">
      <w:pPr>
        <w:rPr>
          <w:b/>
        </w:rPr>
      </w:pPr>
    </w:p>
    <w:p w:rsidR="00F72906" w:rsidRPr="00E329F7" w:rsidRDefault="00F72906" w:rsidP="00F72906">
      <w:pPr>
        <w:rPr>
          <w:b/>
        </w:rPr>
      </w:pPr>
      <w:r w:rsidRPr="00E329F7">
        <w:rPr>
          <w:b/>
        </w:rPr>
        <w:t>Risk and risk management</w:t>
      </w:r>
    </w:p>
    <w:p w:rsidR="00F72906" w:rsidRDefault="00F72906" w:rsidP="00F72906">
      <w:r>
        <w:t>The Fund’s primary long-term risk is that the Fund’s assets will fall short of its liabilities (i.e., promised benefits payable to members). Therefore the aim of investment risk management is to minimise the risk of an overall reduction in the value of the Fund and to maximise the opportunity for gains across the whole Fund portfolio. The Fund achieves this through asset diversification to reduce exposure to market risk (price risk, currency risk, and interest rate risk) and credit risk to an acceptable level. In addition, the Fund manages its liquidity risk to ensure there is sufficient liquidity to meet the Fund’s forecast cash flows. The Pension Fund manages these investment risks as part of its overall pension fund risk management programme.</w:t>
      </w:r>
    </w:p>
    <w:p w:rsidR="009C7D60" w:rsidRDefault="00F72906" w:rsidP="00F72906">
      <w:r>
        <w:t>Responsibility for the Fund’s risk management strategy rests with the Pension Fund Sub-Committee. Risk management policies are established to identify and analyse the risks faced by the Pension Fund’s operations. Policies are reviewed regularly to reflect changes in act</w:t>
      </w:r>
      <w:r w:rsidR="005C77F5">
        <w:t>ivity and in market conditions.</w:t>
      </w:r>
    </w:p>
    <w:p w:rsidR="00F72906" w:rsidRPr="005C77F5" w:rsidRDefault="009C7D60" w:rsidP="00F72906">
      <w:pPr>
        <w:rPr>
          <w:b/>
        </w:rPr>
      </w:pPr>
      <w:r w:rsidRPr="005C77F5">
        <w:rPr>
          <w:b/>
        </w:rPr>
        <w:t xml:space="preserve"> </w:t>
      </w:r>
      <w:r w:rsidR="00F72906" w:rsidRPr="005C77F5">
        <w:rPr>
          <w:b/>
        </w:rPr>
        <w:t>a) Market risk</w:t>
      </w:r>
    </w:p>
    <w:p w:rsidR="00F72906" w:rsidRDefault="00F72906" w:rsidP="00F72906">
      <w:r>
        <w:t>Market risk is the risk of loss from fluctuations in equity and commodity prices, interest and foreign exchange rates and credit spreads. The Fund is exposed to market risk from its investment activities, particularly through its equity holdings. The level of risk exposure depends on market conditions, expectations of future price and yield movements and the asset mix.</w:t>
      </w:r>
    </w:p>
    <w:p w:rsidR="00F72906" w:rsidRDefault="00F72906" w:rsidP="00F72906"/>
    <w:p w:rsidR="00F72906" w:rsidRDefault="00F72906" w:rsidP="00F72906">
      <w:r>
        <w:t>The objective of the Fund’s risk management strategy is to identify, manage and control market risk exposure within acceptable parameters, whilst optimising the return on risk.</w:t>
      </w:r>
    </w:p>
    <w:p w:rsidR="00F72906" w:rsidRDefault="00F72906" w:rsidP="00F72906"/>
    <w:p w:rsidR="00F72906" w:rsidRDefault="00F72906" w:rsidP="00F72906">
      <w:r>
        <w:lastRenderedPageBreak/>
        <w:t>In general, excessive volatility in market risk is managed through the diversification of the portfolio in terms of geographical and industry sectors and individual securities. To mitigate market risk, the Pension Fund and its investment advisers undertake appropriate monitoring of market conditions and benchmark analysis.</w:t>
      </w:r>
    </w:p>
    <w:p w:rsidR="00F72906" w:rsidRDefault="00F72906" w:rsidP="00F72906"/>
    <w:p w:rsidR="00F72906" w:rsidRPr="005C77F5" w:rsidRDefault="00F72906" w:rsidP="00F72906">
      <w:pPr>
        <w:rPr>
          <w:b/>
        </w:rPr>
      </w:pPr>
      <w:r w:rsidRPr="005C77F5">
        <w:rPr>
          <w:b/>
        </w:rPr>
        <w:t>Other price risk</w:t>
      </w:r>
    </w:p>
    <w:p w:rsidR="00F72906" w:rsidRDefault="00F72906" w:rsidP="00F72906"/>
    <w:p w:rsidR="00F72906" w:rsidRDefault="00F72906" w:rsidP="00F72906">
      <w:r>
        <w:t>Other price risk represents the risk that the value of a financial instrument will fluctuate as a result of changes in market prices (other than those arising from interest rate risk or foreign exchange risk), whether those changes are caused by factors specific to the individual instrument or its issuer or factors affecting all such instruments in the market.</w:t>
      </w:r>
    </w:p>
    <w:p w:rsidR="00F72906" w:rsidRDefault="00F72906" w:rsidP="00F72906"/>
    <w:p w:rsidR="00F72906" w:rsidRDefault="00F72906" w:rsidP="00F72906">
      <w:r>
        <w:t>The Fund is exposed to share and derivative price risk. This arises from investments held by the Fund for which the future price is uncertain. All securities investments present a risk of loss of capital. Except for shares sold short, the maximum risk resulting from financial instruments is determined by the fair value of the financial instruments. Possible losses from shares sold short are unlimited.</w:t>
      </w:r>
    </w:p>
    <w:p w:rsidR="00F72906" w:rsidRDefault="00F72906" w:rsidP="00F72906"/>
    <w:p w:rsidR="00F72906" w:rsidRDefault="00F72906" w:rsidP="00F72906">
      <w:r>
        <w:t>The Fund’s investment managers mitigate this price risk through diversification and the selection of securities and other financial instruments is monitored by the Pension Fund to ensure it is within limits specified in the Fund investment strategy.</w:t>
      </w:r>
    </w:p>
    <w:p w:rsidR="00F72906" w:rsidRDefault="00F72906" w:rsidP="00F72906"/>
    <w:p w:rsidR="00F72906" w:rsidRPr="005C77F5" w:rsidRDefault="00F72906" w:rsidP="00F72906">
      <w:pPr>
        <w:rPr>
          <w:b/>
        </w:rPr>
      </w:pPr>
      <w:r w:rsidRPr="005C77F5">
        <w:rPr>
          <w:b/>
        </w:rPr>
        <w:t>Other price risk – sensitivity analysis</w:t>
      </w:r>
    </w:p>
    <w:p w:rsidR="00F72906" w:rsidRDefault="00F72906" w:rsidP="00F72906"/>
    <w:p w:rsidR="00F72906" w:rsidRDefault="00F72906" w:rsidP="00F72906">
      <w:r>
        <w:t>Following analysis of historical data and expected investment return movement during the financial year, in consultation with the fund’s investment advisors, the council has determined that the following movements in market price risk are reasonably possible for the 2019/20 reporting period. (based on data as at 31 March 2020 using data provided by investment advisors scenario model). The sensitivities are consistent with the assumptions contained in the investment advisors’ most recent review. Some of these sensitivities have risen significantly compared to last year. This reflects the prevailing volatility in the markets since the global outbreak of coronavirus.  This analysis assumes that all other variables, in particular foreign currency exchange rates and interest rates, remain the same.</w:t>
      </w:r>
    </w:p>
    <w:p w:rsidR="00F72906" w:rsidRPr="005C77F5" w:rsidRDefault="00F72906" w:rsidP="00F72906">
      <w:pPr>
        <w:rPr>
          <w:b/>
        </w:rPr>
      </w:pPr>
    </w:p>
    <w:tbl>
      <w:tblPr>
        <w:tblW w:w="6372" w:type="dxa"/>
        <w:tblLook w:val="04A0" w:firstRow="1" w:lastRow="0" w:firstColumn="1" w:lastColumn="0" w:noHBand="0" w:noVBand="1"/>
      </w:tblPr>
      <w:tblGrid>
        <w:gridCol w:w="3005"/>
        <w:gridCol w:w="1551"/>
        <w:gridCol w:w="1816"/>
      </w:tblGrid>
      <w:tr w:rsidR="005C77F5" w:rsidRPr="00C4352A" w:rsidTr="00AE1C26">
        <w:trPr>
          <w:trHeight w:val="299"/>
        </w:trPr>
        <w:tc>
          <w:tcPr>
            <w:tcW w:w="4556" w:type="dxa"/>
            <w:gridSpan w:val="2"/>
            <w:tcBorders>
              <w:top w:val="nil"/>
              <w:left w:val="nil"/>
              <w:bottom w:val="nil"/>
              <w:right w:val="nil"/>
            </w:tcBorders>
            <w:shd w:val="clear" w:color="000000" w:fill="FFFFFF"/>
            <w:noWrap/>
            <w:vAlign w:val="bottom"/>
            <w:hideMark/>
          </w:tcPr>
          <w:p w:rsidR="005C77F5" w:rsidRPr="00C4352A" w:rsidRDefault="005C77F5" w:rsidP="00AE1C26">
            <w:pPr>
              <w:rPr>
                <w:rFonts w:cs="Calibri"/>
                <w:b/>
                <w:bCs/>
                <w:color w:val="000000"/>
                <w:lang w:eastAsia="en-GB"/>
              </w:rPr>
            </w:pPr>
            <w:r w:rsidRPr="00C4352A">
              <w:rPr>
                <w:rFonts w:cs="Calibri"/>
                <w:b/>
                <w:bCs/>
                <w:color w:val="000000"/>
                <w:lang w:eastAsia="en-GB"/>
              </w:rPr>
              <w:t>Other price risk – sensitivity analysis</w:t>
            </w:r>
          </w:p>
        </w:tc>
        <w:tc>
          <w:tcPr>
            <w:tcW w:w="1816" w:type="dxa"/>
            <w:tcBorders>
              <w:top w:val="nil"/>
              <w:left w:val="nil"/>
              <w:bottom w:val="nil"/>
              <w:right w:val="nil"/>
            </w:tcBorders>
            <w:shd w:val="clear" w:color="000000" w:fill="FFFFFF"/>
            <w:noWrap/>
            <w:vAlign w:val="bottom"/>
            <w:hideMark/>
          </w:tcPr>
          <w:p w:rsidR="005C77F5" w:rsidRPr="00C4352A" w:rsidRDefault="005C77F5" w:rsidP="00AE1C26">
            <w:pPr>
              <w:rPr>
                <w:rFonts w:cs="Calibri"/>
                <w:color w:val="000000"/>
                <w:lang w:eastAsia="en-GB"/>
              </w:rPr>
            </w:pPr>
            <w:r w:rsidRPr="00C4352A">
              <w:rPr>
                <w:rFonts w:cs="Calibri"/>
                <w:color w:val="000000"/>
                <w:lang w:eastAsia="en-GB"/>
              </w:rPr>
              <w:t> </w:t>
            </w:r>
          </w:p>
        </w:tc>
      </w:tr>
      <w:tr w:rsidR="005C77F5" w:rsidRPr="00C4352A" w:rsidTr="00AE1C26">
        <w:trPr>
          <w:trHeight w:val="680"/>
        </w:trPr>
        <w:tc>
          <w:tcPr>
            <w:tcW w:w="3005" w:type="dxa"/>
            <w:tcBorders>
              <w:top w:val="nil"/>
              <w:left w:val="nil"/>
              <w:bottom w:val="nil"/>
              <w:right w:val="nil"/>
            </w:tcBorders>
            <w:shd w:val="clear" w:color="000000" w:fill="FFFFFF"/>
            <w:noWrap/>
            <w:vAlign w:val="bottom"/>
            <w:hideMark/>
          </w:tcPr>
          <w:p w:rsidR="005C77F5" w:rsidRPr="00C4352A" w:rsidRDefault="005C77F5" w:rsidP="00AE1C26">
            <w:pPr>
              <w:rPr>
                <w:rFonts w:cs="Calibri"/>
                <w:b/>
                <w:bCs/>
                <w:color w:val="000000"/>
                <w:lang w:eastAsia="en-GB"/>
              </w:rPr>
            </w:pPr>
            <w:r w:rsidRPr="00C4352A">
              <w:rPr>
                <w:rFonts w:cs="Calibri"/>
                <w:b/>
                <w:bCs/>
                <w:color w:val="000000"/>
                <w:lang w:eastAsia="en-GB"/>
              </w:rPr>
              <w:t>Asset Type</w:t>
            </w:r>
          </w:p>
        </w:tc>
        <w:tc>
          <w:tcPr>
            <w:tcW w:w="1551" w:type="dxa"/>
            <w:tcBorders>
              <w:top w:val="nil"/>
              <w:left w:val="nil"/>
              <w:bottom w:val="nil"/>
              <w:right w:val="nil"/>
            </w:tcBorders>
            <w:shd w:val="clear" w:color="000000" w:fill="FFFFFF"/>
            <w:vAlign w:val="bottom"/>
            <w:hideMark/>
          </w:tcPr>
          <w:p w:rsidR="005C77F5" w:rsidRPr="00C4352A" w:rsidRDefault="005C77F5" w:rsidP="00AE1C26">
            <w:pPr>
              <w:rPr>
                <w:rFonts w:cs="Calibri"/>
                <w:b/>
                <w:bCs/>
                <w:color w:val="000000"/>
                <w:lang w:eastAsia="en-GB"/>
              </w:rPr>
            </w:pPr>
            <w:r w:rsidRPr="00C4352A">
              <w:rPr>
                <w:rFonts w:cs="Calibri"/>
                <w:b/>
                <w:bCs/>
                <w:color w:val="000000"/>
                <w:lang w:eastAsia="en-GB"/>
              </w:rPr>
              <w:t>31/03/2020 Value (£m)</w:t>
            </w:r>
          </w:p>
        </w:tc>
        <w:tc>
          <w:tcPr>
            <w:tcW w:w="1816" w:type="dxa"/>
            <w:tcBorders>
              <w:top w:val="nil"/>
              <w:left w:val="nil"/>
              <w:bottom w:val="nil"/>
              <w:right w:val="nil"/>
            </w:tcBorders>
            <w:shd w:val="clear" w:color="000000" w:fill="FFFFFF"/>
            <w:vAlign w:val="bottom"/>
            <w:hideMark/>
          </w:tcPr>
          <w:p w:rsidR="005C77F5" w:rsidRPr="00C4352A" w:rsidRDefault="005C77F5" w:rsidP="00AE1C26">
            <w:pPr>
              <w:rPr>
                <w:rFonts w:cs="Calibri"/>
                <w:b/>
                <w:bCs/>
                <w:color w:val="000000"/>
                <w:lang w:eastAsia="en-GB"/>
              </w:rPr>
            </w:pPr>
            <w:r w:rsidRPr="00C4352A">
              <w:rPr>
                <w:rFonts w:cs="Calibri"/>
                <w:b/>
                <w:bCs/>
                <w:color w:val="000000"/>
                <w:lang w:eastAsia="en-GB"/>
              </w:rPr>
              <w:t>Potential market movements (+/-)</w:t>
            </w:r>
          </w:p>
        </w:tc>
      </w:tr>
      <w:tr w:rsidR="005C77F5" w:rsidRPr="00C4352A" w:rsidTr="00AE1C26">
        <w:trPr>
          <w:trHeight w:val="299"/>
        </w:trPr>
        <w:tc>
          <w:tcPr>
            <w:tcW w:w="3005" w:type="dxa"/>
            <w:tcBorders>
              <w:top w:val="nil"/>
              <w:left w:val="nil"/>
              <w:bottom w:val="nil"/>
              <w:right w:val="nil"/>
            </w:tcBorders>
            <w:shd w:val="clear" w:color="000000" w:fill="FFFFFF"/>
            <w:noWrap/>
            <w:vAlign w:val="bottom"/>
            <w:hideMark/>
          </w:tcPr>
          <w:p w:rsidR="005C77F5" w:rsidRPr="00C4352A" w:rsidRDefault="005C77F5" w:rsidP="00AE1C26">
            <w:pPr>
              <w:rPr>
                <w:rFonts w:cs="Calibri"/>
                <w:b/>
                <w:bCs/>
                <w:color w:val="000000"/>
                <w:lang w:eastAsia="en-GB"/>
              </w:rPr>
            </w:pPr>
            <w:r w:rsidRPr="00C4352A">
              <w:rPr>
                <w:rFonts w:cs="Calibri"/>
                <w:b/>
                <w:bCs/>
                <w:color w:val="000000"/>
                <w:lang w:eastAsia="en-GB"/>
              </w:rPr>
              <w:t> </w:t>
            </w:r>
          </w:p>
        </w:tc>
        <w:tc>
          <w:tcPr>
            <w:tcW w:w="1551" w:type="dxa"/>
            <w:tcBorders>
              <w:top w:val="nil"/>
              <w:left w:val="nil"/>
              <w:bottom w:val="nil"/>
              <w:right w:val="nil"/>
            </w:tcBorders>
            <w:shd w:val="clear" w:color="000000" w:fill="FFFFFF"/>
            <w:noWrap/>
            <w:vAlign w:val="bottom"/>
            <w:hideMark/>
          </w:tcPr>
          <w:p w:rsidR="005C77F5" w:rsidRPr="00C4352A" w:rsidRDefault="005C77F5" w:rsidP="00AE1C26">
            <w:pPr>
              <w:rPr>
                <w:rFonts w:cs="Calibri"/>
                <w:color w:val="000000"/>
                <w:lang w:eastAsia="en-GB"/>
              </w:rPr>
            </w:pPr>
            <w:r w:rsidRPr="00C4352A">
              <w:rPr>
                <w:rFonts w:cs="Calibri"/>
                <w:color w:val="000000"/>
                <w:lang w:eastAsia="en-GB"/>
              </w:rPr>
              <w:t> </w:t>
            </w:r>
          </w:p>
        </w:tc>
        <w:tc>
          <w:tcPr>
            <w:tcW w:w="1816" w:type="dxa"/>
            <w:tcBorders>
              <w:top w:val="nil"/>
              <w:left w:val="nil"/>
              <w:bottom w:val="nil"/>
              <w:right w:val="nil"/>
            </w:tcBorders>
            <w:shd w:val="clear" w:color="000000" w:fill="FFFFFF"/>
            <w:noWrap/>
            <w:vAlign w:val="bottom"/>
            <w:hideMark/>
          </w:tcPr>
          <w:p w:rsidR="005C77F5" w:rsidRPr="00C4352A" w:rsidRDefault="005C77F5" w:rsidP="00AE1C26">
            <w:pPr>
              <w:rPr>
                <w:rFonts w:cs="Calibri"/>
                <w:color w:val="000000"/>
                <w:lang w:eastAsia="en-GB"/>
              </w:rPr>
            </w:pPr>
            <w:r w:rsidRPr="00C4352A">
              <w:rPr>
                <w:rFonts w:cs="Calibri"/>
                <w:color w:val="000000"/>
                <w:lang w:eastAsia="en-GB"/>
              </w:rPr>
              <w:t> </w:t>
            </w:r>
          </w:p>
        </w:tc>
      </w:tr>
      <w:tr w:rsidR="005C77F5" w:rsidRPr="00C4352A" w:rsidTr="00AE1C26">
        <w:trPr>
          <w:trHeight w:val="299"/>
        </w:trPr>
        <w:tc>
          <w:tcPr>
            <w:tcW w:w="3005" w:type="dxa"/>
            <w:tcBorders>
              <w:top w:val="nil"/>
              <w:left w:val="nil"/>
              <w:bottom w:val="nil"/>
              <w:right w:val="nil"/>
            </w:tcBorders>
            <w:shd w:val="clear" w:color="000000" w:fill="FFFFFF"/>
            <w:noWrap/>
            <w:vAlign w:val="bottom"/>
            <w:hideMark/>
          </w:tcPr>
          <w:p w:rsidR="005C77F5" w:rsidRPr="00C4352A" w:rsidRDefault="005C77F5" w:rsidP="00AE1C26">
            <w:pPr>
              <w:rPr>
                <w:rFonts w:cs="Calibri"/>
                <w:color w:val="000000"/>
                <w:lang w:eastAsia="en-GB"/>
              </w:rPr>
            </w:pPr>
            <w:r w:rsidRPr="00C4352A">
              <w:rPr>
                <w:rFonts w:cs="Calibri"/>
                <w:color w:val="000000"/>
                <w:lang w:eastAsia="en-GB"/>
              </w:rPr>
              <w:t>Bonds</w:t>
            </w:r>
          </w:p>
        </w:tc>
        <w:tc>
          <w:tcPr>
            <w:tcW w:w="1551" w:type="dxa"/>
            <w:tcBorders>
              <w:top w:val="nil"/>
              <w:left w:val="nil"/>
              <w:bottom w:val="nil"/>
              <w:right w:val="nil"/>
            </w:tcBorders>
            <w:shd w:val="clear" w:color="000000" w:fill="FFFFFF"/>
            <w:noWrap/>
            <w:vAlign w:val="bottom"/>
            <w:hideMark/>
          </w:tcPr>
          <w:p w:rsidR="005C77F5" w:rsidRPr="00C4352A" w:rsidRDefault="005C77F5" w:rsidP="00AE1C26">
            <w:pPr>
              <w:jc w:val="right"/>
              <w:rPr>
                <w:rFonts w:cs="Calibri"/>
                <w:color w:val="000000"/>
                <w:lang w:eastAsia="en-GB"/>
              </w:rPr>
            </w:pPr>
            <w:r w:rsidRPr="00C4352A">
              <w:rPr>
                <w:rFonts w:cs="Calibri"/>
                <w:color w:val="000000"/>
                <w:lang w:eastAsia="en-GB"/>
              </w:rPr>
              <w:t>123.2</w:t>
            </w:r>
          </w:p>
        </w:tc>
        <w:tc>
          <w:tcPr>
            <w:tcW w:w="1816" w:type="dxa"/>
            <w:tcBorders>
              <w:top w:val="nil"/>
              <w:left w:val="nil"/>
              <w:bottom w:val="nil"/>
              <w:right w:val="nil"/>
            </w:tcBorders>
            <w:shd w:val="clear" w:color="000000" w:fill="FFFFFF"/>
            <w:noWrap/>
            <w:vAlign w:val="bottom"/>
            <w:hideMark/>
          </w:tcPr>
          <w:p w:rsidR="005C77F5" w:rsidRPr="00C4352A" w:rsidRDefault="005C77F5" w:rsidP="00AE1C26">
            <w:pPr>
              <w:jc w:val="right"/>
              <w:rPr>
                <w:rFonts w:cs="Calibri"/>
                <w:color w:val="000000"/>
                <w:lang w:eastAsia="en-GB"/>
              </w:rPr>
            </w:pPr>
            <w:r w:rsidRPr="00C4352A">
              <w:rPr>
                <w:rFonts w:cs="Calibri"/>
                <w:color w:val="000000"/>
                <w:lang w:eastAsia="en-GB"/>
              </w:rPr>
              <w:t>7.6%</w:t>
            </w:r>
          </w:p>
        </w:tc>
      </w:tr>
      <w:tr w:rsidR="005C77F5" w:rsidRPr="00C4352A" w:rsidTr="00AE1C26">
        <w:trPr>
          <w:trHeight w:val="299"/>
        </w:trPr>
        <w:tc>
          <w:tcPr>
            <w:tcW w:w="3005" w:type="dxa"/>
            <w:tcBorders>
              <w:top w:val="nil"/>
              <w:left w:val="nil"/>
              <w:bottom w:val="nil"/>
              <w:right w:val="nil"/>
            </w:tcBorders>
            <w:shd w:val="clear" w:color="000000" w:fill="FFFFFF"/>
            <w:noWrap/>
            <w:vAlign w:val="bottom"/>
            <w:hideMark/>
          </w:tcPr>
          <w:p w:rsidR="005C77F5" w:rsidRPr="00C4352A" w:rsidRDefault="005C77F5" w:rsidP="00AE1C26">
            <w:pPr>
              <w:rPr>
                <w:rFonts w:cs="Calibri"/>
                <w:color w:val="000000"/>
                <w:lang w:eastAsia="en-GB"/>
              </w:rPr>
            </w:pPr>
            <w:r w:rsidRPr="00C4352A">
              <w:rPr>
                <w:rFonts w:cs="Calibri"/>
                <w:color w:val="000000"/>
                <w:lang w:eastAsia="en-GB"/>
              </w:rPr>
              <w:t>Equities</w:t>
            </w:r>
          </w:p>
        </w:tc>
        <w:tc>
          <w:tcPr>
            <w:tcW w:w="1551" w:type="dxa"/>
            <w:tcBorders>
              <w:top w:val="nil"/>
              <w:left w:val="nil"/>
              <w:bottom w:val="nil"/>
              <w:right w:val="nil"/>
            </w:tcBorders>
            <w:shd w:val="clear" w:color="000000" w:fill="FFFFFF"/>
            <w:noWrap/>
            <w:vAlign w:val="bottom"/>
            <w:hideMark/>
          </w:tcPr>
          <w:p w:rsidR="005C77F5" w:rsidRPr="00C4352A" w:rsidRDefault="005C77F5" w:rsidP="00AE1C26">
            <w:pPr>
              <w:jc w:val="right"/>
              <w:rPr>
                <w:rFonts w:cs="Calibri"/>
                <w:color w:val="000000"/>
                <w:lang w:eastAsia="en-GB"/>
              </w:rPr>
            </w:pPr>
            <w:r w:rsidRPr="00C4352A">
              <w:rPr>
                <w:rFonts w:cs="Calibri"/>
                <w:color w:val="000000"/>
                <w:lang w:eastAsia="en-GB"/>
              </w:rPr>
              <w:t>412.9</w:t>
            </w:r>
          </w:p>
        </w:tc>
        <w:tc>
          <w:tcPr>
            <w:tcW w:w="1816" w:type="dxa"/>
            <w:tcBorders>
              <w:top w:val="nil"/>
              <w:left w:val="nil"/>
              <w:bottom w:val="nil"/>
              <w:right w:val="nil"/>
            </w:tcBorders>
            <w:shd w:val="clear" w:color="000000" w:fill="FFFFFF"/>
            <w:noWrap/>
            <w:vAlign w:val="bottom"/>
            <w:hideMark/>
          </w:tcPr>
          <w:p w:rsidR="005C77F5" w:rsidRPr="00C4352A" w:rsidRDefault="005C77F5" w:rsidP="00AE1C26">
            <w:pPr>
              <w:jc w:val="right"/>
              <w:rPr>
                <w:rFonts w:cs="Calibri"/>
                <w:color w:val="000000"/>
                <w:lang w:eastAsia="en-GB"/>
              </w:rPr>
            </w:pPr>
            <w:r w:rsidRPr="00C4352A">
              <w:rPr>
                <w:rFonts w:cs="Calibri"/>
                <w:color w:val="000000"/>
                <w:lang w:eastAsia="en-GB"/>
              </w:rPr>
              <w:t>26.3%</w:t>
            </w:r>
          </w:p>
        </w:tc>
      </w:tr>
      <w:tr w:rsidR="005C77F5" w:rsidRPr="00C4352A" w:rsidTr="00AE1C26">
        <w:trPr>
          <w:trHeight w:val="299"/>
        </w:trPr>
        <w:tc>
          <w:tcPr>
            <w:tcW w:w="3005" w:type="dxa"/>
            <w:tcBorders>
              <w:top w:val="nil"/>
              <w:left w:val="nil"/>
              <w:bottom w:val="nil"/>
              <w:right w:val="nil"/>
            </w:tcBorders>
            <w:shd w:val="clear" w:color="000000" w:fill="FFFFFF"/>
            <w:noWrap/>
            <w:vAlign w:val="bottom"/>
            <w:hideMark/>
          </w:tcPr>
          <w:p w:rsidR="005C77F5" w:rsidRPr="00C4352A" w:rsidRDefault="005C77F5" w:rsidP="00AE1C26">
            <w:pPr>
              <w:rPr>
                <w:rFonts w:cs="Calibri"/>
                <w:color w:val="000000"/>
                <w:lang w:eastAsia="en-GB"/>
              </w:rPr>
            </w:pPr>
            <w:r w:rsidRPr="00C4352A">
              <w:rPr>
                <w:rFonts w:cs="Calibri"/>
                <w:color w:val="000000"/>
                <w:lang w:eastAsia="en-GB"/>
              </w:rPr>
              <w:t>Other Pooled investments</w:t>
            </w:r>
          </w:p>
        </w:tc>
        <w:tc>
          <w:tcPr>
            <w:tcW w:w="1551" w:type="dxa"/>
            <w:tcBorders>
              <w:top w:val="nil"/>
              <w:left w:val="nil"/>
              <w:bottom w:val="nil"/>
              <w:right w:val="nil"/>
            </w:tcBorders>
            <w:shd w:val="clear" w:color="000000" w:fill="FFFFFF"/>
            <w:noWrap/>
            <w:vAlign w:val="bottom"/>
            <w:hideMark/>
          </w:tcPr>
          <w:p w:rsidR="005C77F5" w:rsidRPr="00C4352A" w:rsidRDefault="005C77F5" w:rsidP="00AE1C26">
            <w:pPr>
              <w:jc w:val="right"/>
              <w:rPr>
                <w:rFonts w:cs="Calibri"/>
                <w:color w:val="000000"/>
                <w:lang w:eastAsia="en-GB"/>
              </w:rPr>
            </w:pPr>
            <w:r w:rsidRPr="00C4352A">
              <w:rPr>
                <w:rFonts w:cs="Calibri"/>
                <w:color w:val="000000"/>
                <w:lang w:eastAsia="en-GB"/>
              </w:rPr>
              <w:t>160.9</w:t>
            </w:r>
          </w:p>
        </w:tc>
        <w:tc>
          <w:tcPr>
            <w:tcW w:w="1816" w:type="dxa"/>
            <w:tcBorders>
              <w:top w:val="nil"/>
              <w:left w:val="nil"/>
              <w:bottom w:val="nil"/>
              <w:right w:val="nil"/>
            </w:tcBorders>
            <w:shd w:val="clear" w:color="000000" w:fill="FFFFFF"/>
            <w:noWrap/>
            <w:vAlign w:val="bottom"/>
            <w:hideMark/>
          </w:tcPr>
          <w:p w:rsidR="005C77F5" w:rsidRPr="00C4352A" w:rsidRDefault="005C77F5" w:rsidP="00AE1C26">
            <w:pPr>
              <w:jc w:val="right"/>
              <w:rPr>
                <w:rFonts w:cs="Calibri"/>
                <w:color w:val="000000"/>
                <w:lang w:eastAsia="en-GB"/>
              </w:rPr>
            </w:pPr>
            <w:r w:rsidRPr="00C4352A">
              <w:rPr>
                <w:rFonts w:cs="Calibri"/>
                <w:color w:val="000000"/>
                <w:lang w:eastAsia="en-GB"/>
              </w:rPr>
              <w:t>13.0%</w:t>
            </w:r>
          </w:p>
        </w:tc>
      </w:tr>
      <w:tr w:rsidR="005C77F5" w:rsidRPr="00C4352A" w:rsidTr="00AE1C26">
        <w:trPr>
          <w:trHeight w:val="299"/>
        </w:trPr>
        <w:tc>
          <w:tcPr>
            <w:tcW w:w="3005" w:type="dxa"/>
            <w:tcBorders>
              <w:top w:val="nil"/>
              <w:left w:val="nil"/>
              <w:bottom w:val="nil"/>
              <w:right w:val="nil"/>
            </w:tcBorders>
            <w:shd w:val="clear" w:color="000000" w:fill="FFFFFF"/>
            <w:noWrap/>
            <w:vAlign w:val="bottom"/>
            <w:hideMark/>
          </w:tcPr>
          <w:p w:rsidR="005C77F5" w:rsidRPr="00C4352A" w:rsidRDefault="005C77F5" w:rsidP="00AE1C26">
            <w:pPr>
              <w:rPr>
                <w:rFonts w:cs="Calibri"/>
                <w:color w:val="000000"/>
                <w:lang w:eastAsia="en-GB"/>
              </w:rPr>
            </w:pPr>
            <w:r w:rsidRPr="00C4352A">
              <w:rPr>
                <w:rFonts w:cs="Calibri"/>
                <w:color w:val="000000"/>
                <w:lang w:eastAsia="en-GB"/>
              </w:rPr>
              <w:t>Pooled Property investments</w:t>
            </w:r>
          </w:p>
        </w:tc>
        <w:tc>
          <w:tcPr>
            <w:tcW w:w="1551" w:type="dxa"/>
            <w:tcBorders>
              <w:top w:val="nil"/>
              <w:left w:val="nil"/>
              <w:bottom w:val="nil"/>
              <w:right w:val="nil"/>
            </w:tcBorders>
            <w:shd w:val="clear" w:color="000000" w:fill="FFFFFF"/>
            <w:noWrap/>
            <w:vAlign w:val="bottom"/>
            <w:hideMark/>
          </w:tcPr>
          <w:p w:rsidR="005C77F5" w:rsidRPr="00C4352A" w:rsidRDefault="005C77F5" w:rsidP="00AE1C26">
            <w:pPr>
              <w:jc w:val="right"/>
              <w:rPr>
                <w:rFonts w:cs="Calibri"/>
                <w:color w:val="000000"/>
                <w:lang w:eastAsia="en-GB"/>
              </w:rPr>
            </w:pPr>
            <w:r w:rsidRPr="00C4352A">
              <w:rPr>
                <w:rFonts w:cs="Calibri"/>
                <w:color w:val="000000"/>
                <w:lang w:eastAsia="en-GB"/>
              </w:rPr>
              <w:t>0.1</w:t>
            </w:r>
          </w:p>
        </w:tc>
        <w:tc>
          <w:tcPr>
            <w:tcW w:w="1816" w:type="dxa"/>
            <w:tcBorders>
              <w:top w:val="nil"/>
              <w:left w:val="nil"/>
              <w:bottom w:val="nil"/>
              <w:right w:val="nil"/>
            </w:tcBorders>
            <w:shd w:val="clear" w:color="000000" w:fill="FFFFFF"/>
            <w:noWrap/>
            <w:vAlign w:val="bottom"/>
            <w:hideMark/>
          </w:tcPr>
          <w:p w:rsidR="005C77F5" w:rsidRPr="00C4352A" w:rsidRDefault="005C77F5" w:rsidP="00AE1C26">
            <w:pPr>
              <w:jc w:val="right"/>
              <w:rPr>
                <w:rFonts w:cs="Calibri"/>
                <w:color w:val="000000"/>
                <w:lang w:eastAsia="en-GB"/>
              </w:rPr>
            </w:pPr>
            <w:r w:rsidRPr="00C4352A">
              <w:rPr>
                <w:rFonts w:cs="Calibri"/>
                <w:color w:val="000000"/>
                <w:lang w:eastAsia="en-GB"/>
              </w:rPr>
              <w:t>14.2%</w:t>
            </w:r>
          </w:p>
        </w:tc>
      </w:tr>
      <w:tr w:rsidR="005C77F5" w:rsidRPr="00C4352A" w:rsidTr="00AE1C26">
        <w:trPr>
          <w:trHeight w:val="299"/>
        </w:trPr>
        <w:tc>
          <w:tcPr>
            <w:tcW w:w="3005" w:type="dxa"/>
            <w:tcBorders>
              <w:top w:val="nil"/>
              <w:left w:val="nil"/>
              <w:bottom w:val="nil"/>
              <w:right w:val="nil"/>
            </w:tcBorders>
            <w:shd w:val="clear" w:color="000000" w:fill="FFFFFF"/>
            <w:noWrap/>
            <w:vAlign w:val="bottom"/>
            <w:hideMark/>
          </w:tcPr>
          <w:p w:rsidR="005C77F5" w:rsidRPr="00C4352A" w:rsidRDefault="005C77F5" w:rsidP="00AE1C26">
            <w:pPr>
              <w:rPr>
                <w:rFonts w:cs="Calibri"/>
                <w:color w:val="000000"/>
                <w:lang w:eastAsia="en-GB"/>
              </w:rPr>
            </w:pPr>
            <w:r w:rsidRPr="00C4352A">
              <w:rPr>
                <w:rFonts w:cs="Calibri"/>
                <w:color w:val="000000"/>
                <w:lang w:eastAsia="en-GB"/>
              </w:rPr>
              <w:lastRenderedPageBreak/>
              <w:t>Private Equity</w:t>
            </w:r>
            <w:r>
              <w:rPr>
                <w:rFonts w:cs="Calibri"/>
                <w:color w:val="000000"/>
                <w:lang w:eastAsia="en-GB"/>
              </w:rPr>
              <w:t>/Infrastructure</w:t>
            </w:r>
          </w:p>
        </w:tc>
        <w:tc>
          <w:tcPr>
            <w:tcW w:w="1551" w:type="dxa"/>
            <w:tcBorders>
              <w:top w:val="nil"/>
              <w:left w:val="nil"/>
              <w:bottom w:val="nil"/>
              <w:right w:val="nil"/>
            </w:tcBorders>
            <w:shd w:val="clear" w:color="000000" w:fill="FFFFFF"/>
            <w:noWrap/>
            <w:vAlign w:val="bottom"/>
            <w:hideMark/>
          </w:tcPr>
          <w:p w:rsidR="005C77F5" w:rsidRPr="00C4352A" w:rsidRDefault="005C77F5" w:rsidP="00AE1C26">
            <w:pPr>
              <w:jc w:val="right"/>
              <w:rPr>
                <w:rFonts w:cs="Calibri"/>
                <w:color w:val="000000"/>
                <w:lang w:eastAsia="en-GB"/>
              </w:rPr>
            </w:pPr>
            <w:r w:rsidRPr="00C4352A">
              <w:rPr>
                <w:rFonts w:cs="Calibri"/>
                <w:color w:val="000000"/>
                <w:lang w:eastAsia="en-GB"/>
              </w:rPr>
              <w:t>84.3</w:t>
            </w:r>
          </w:p>
        </w:tc>
        <w:tc>
          <w:tcPr>
            <w:tcW w:w="1816" w:type="dxa"/>
            <w:tcBorders>
              <w:top w:val="nil"/>
              <w:left w:val="nil"/>
              <w:bottom w:val="nil"/>
              <w:right w:val="nil"/>
            </w:tcBorders>
            <w:shd w:val="clear" w:color="000000" w:fill="FFFFFF"/>
            <w:noWrap/>
            <w:vAlign w:val="bottom"/>
            <w:hideMark/>
          </w:tcPr>
          <w:p w:rsidR="005C77F5" w:rsidRPr="00C4352A" w:rsidRDefault="005C77F5" w:rsidP="00AE1C26">
            <w:pPr>
              <w:jc w:val="right"/>
              <w:rPr>
                <w:rFonts w:cs="Calibri"/>
                <w:color w:val="000000"/>
                <w:lang w:eastAsia="en-GB"/>
              </w:rPr>
            </w:pPr>
            <w:r w:rsidRPr="00C4352A">
              <w:rPr>
                <w:rFonts w:cs="Calibri"/>
                <w:color w:val="000000"/>
                <w:lang w:eastAsia="en-GB"/>
              </w:rPr>
              <w:t>24.3%</w:t>
            </w:r>
          </w:p>
        </w:tc>
      </w:tr>
    </w:tbl>
    <w:p w:rsidR="00F72906" w:rsidRDefault="00F72906" w:rsidP="00F72906"/>
    <w:p w:rsidR="00F72906" w:rsidRDefault="00F72906" w:rsidP="00F72906">
      <w:r>
        <w:t>Had the market price of the fund investments increased/decreased the change in the net assets available to pay benefits in the market price would have been as follows:</w:t>
      </w:r>
    </w:p>
    <w:tbl>
      <w:tblPr>
        <w:tblW w:w="7100" w:type="dxa"/>
        <w:tblLook w:val="04A0" w:firstRow="1" w:lastRow="0" w:firstColumn="1" w:lastColumn="0" w:noHBand="0" w:noVBand="1"/>
      </w:tblPr>
      <w:tblGrid>
        <w:gridCol w:w="2956"/>
        <w:gridCol w:w="1594"/>
        <w:gridCol w:w="1473"/>
        <w:gridCol w:w="1077"/>
      </w:tblGrid>
      <w:tr w:rsidR="005C77F5" w:rsidRPr="007F738E" w:rsidTr="00AE1C26">
        <w:trPr>
          <w:trHeight w:val="870"/>
        </w:trPr>
        <w:tc>
          <w:tcPr>
            <w:tcW w:w="2956" w:type="dxa"/>
            <w:tcBorders>
              <w:top w:val="nil"/>
              <w:left w:val="nil"/>
              <w:bottom w:val="nil"/>
              <w:right w:val="nil"/>
            </w:tcBorders>
            <w:shd w:val="clear" w:color="000000" w:fill="FFFFFF"/>
            <w:noWrap/>
            <w:vAlign w:val="bottom"/>
            <w:hideMark/>
          </w:tcPr>
          <w:p w:rsidR="005C77F5" w:rsidRPr="007F738E" w:rsidRDefault="005C77F5" w:rsidP="00AE1C26">
            <w:pPr>
              <w:rPr>
                <w:rFonts w:cs="Calibri"/>
                <w:b/>
                <w:bCs/>
                <w:color w:val="000000"/>
                <w:lang w:eastAsia="en-GB"/>
              </w:rPr>
            </w:pPr>
            <w:r w:rsidRPr="007F738E">
              <w:rPr>
                <w:rFonts w:cs="Calibri"/>
                <w:b/>
                <w:bCs/>
                <w:color w:val="000000"/>
                <w:lang w:eastAsia="en-GB"/>
              </w:rPr>
              <w:t>Asset Type</w:t>
            </w:r>
          </w:p>
        </w:tc>
        <w:tc>
          <w:tcPr>
            <w:tcW w:w="1594" w:type="dxa"/>
            <w:tcBorders>
              <w:top w:val="nil"/>
              <w:left w:val="nil"/>
              <w:bottom w:val="nil"/>
              <w:right w:val="nil"/>
            </w:tcBorders>
            <w:shd w:val="clear" w:color="000000" w:fill="FFFFFF"/>
            <w:vAlign w:val="bottom"/>
            <w:hideMark/>
          </w:tcPr>
          <w:p w:rsidR="005C77F5" w:rsidRPr="007F738E" w:rsidRDefault="005C77F5" w:rsidP="00AE1C26">
            <w:pPr>
              <w:rPr>
                <w:rFonts w:cs="Calibri"/>
                <w:b/>
                <w:bCs/>
                <w:color w:val="000000"/>
                <w:lang w:eastAsia="en-GB"/>
              </w:rPr>
            </w:pPr>
            <w:r w:rsidRPr="007F738E">
              <w:rPr>
                <w:rFonts w:cs="Calibri"/>
                <w:b/>
                <w:bCs/>
                <w:color w:val="000000"/>
                <w:lang w:eastAsia="en-GB"/>
              </w:rPr>
              <w:t>31/03/2020 Value</w:t>
            </w:r>
          </w:p>
        </w:tc>
        <w:tc>
          <w:tcPr>
            <w:tcW w:w="1473" w:type="dxa"/>
            <w:tcBorders>
              <w:top w:val="nil"/>
              <w:left w:val="nil"/>
              <w:bottom w:val="nil"/>
              <w:right w:val="nil"/>
            </w:tcBorders>
            <w:shd w:val="clear" w:color="000000" w:fill="FFFFFF"/>
            <w:vAlign w:val="bottom"/>
            <w:hideMark/>
          </w:tcPr>
          <w:p w:rsidR="005C77F5" w:rsidRPr="007F738E" w:rsidRDefault="005C77F5" w:rsidP="00AE1C26">
            <w:pPr>
              <w:rPr>
                <w:rFonts w:cs="Calibri"/>
                <w:b/>
                <w:bCs/>
                <w:color w:val="000000"/>
                <w:lang w:eastAsia="en-GB"/>
              </w:rPr>
            </w:pPr>
            <w:r w:rsidRPr="007F738E">
              <w:rPr>
                <w:rFonts w:cs="Calibri"/>
                <w:b/>
                <w:bCs/>
                <w:color w:val="000000"/>
                <w:lang w:eastAsia="en-GB"/>
              </w:rPr>
              <w:t>Potential value on increase</w:t>
            </w:r>
          </w:p>
        </w:tc>
        <w:tc>
          <w:tcPr>
            <w:tcW w:w="1077" w:type="dxa"/>
            <w:tcBorders>
              <w:top w:val="nil"/>
              <w:left w:val="nil"/>
              <w:bottom w:val="nil"/>
              <w:right w:val="nil"/>
            </w:tcBorders>
            <w:shd w:val="clear" w:color="000000" w:fill="FFFFFF"/>
            <w:vAlign w:val="bottom"/>
            <w:hideMark/>
          </w:tcPr>
          <w:p w:rsidR="005C77F5" w:rsidRPr="007F738E" w:rsidRDefault="005C77F5" w:rsidP="00AE1C26">
            <w:pPr>
              <w:rPr>
                <w:rFonts w:cs="Calibri"/>
                <w:b/>
                <w:bCs/>
                <w:color w:val="000000"/>
                <w:lang w:eastAsia="en-GB"/>
              </w:rPr>
            </w:pPr>
            <w:r w:rsidRPr="007F738E">
              <w:rPr>
                <w:rFonts w:cs="Calibri"/>
                <w:b/>
                <w:bCs/>
                <w:color w:val="000000"/>
                <w:lang w:eastAsia="en-GB"/>
              </w:rPr>
              <w:t>Potential value on decrease</w:t>
            </w:r>
          </w:p>
        </w:tc>
      </w:tr>
      <w:tr w:rsidR="005C77F5" w:rsidRPr="007F738E" w:rsidTr="00AE1C26">
        <w:trPr>
          <w:trHeight w:val="286"/>
        </w:trPr>
        <w:tc>
          <w:tcPr>
            <w:tcW w:w="2956" w:type="dxa"/>
            <w:tcBorders>
              <w:top w:val="nil"/>
              <w:left w:val="nil"/>
              <w:bottom w:val="nil"/>
              <w:right w:val="nil"/>
            </w:tcBorders>
            <w:shd w:val="clear" w:color="000000" w:fill="FFFFFF"/>
            <w:noWrap/>
            <w:vAlign w:val="bottom"/>
            <w:hideMark/>
          </w:tcPr>
          <w:p w:rsidR="005C77F5" w:rsidRPr="007F738E" w:rsidRDefault="005C77F5" w:rsidP="00AE1C26">
            <w:pPr>
              <w:rPr>
                <w:rFonts w:cs="Calibri"/>
                <w:color w:val="000000"/>
                <w:lang w:eastAsia="en-GB"/>
              </w:rPr>
            </w:pPr>
            <w:r w:rsidRPr="007F738E">
              <w:rPr>
                <w:rFonts w:cs="Calibri"/>
                <w:color w:val="000000"/>
                <w:lang w:eastAsia="en-GB"/>
              </w:rPr>
              <w:t>Bonds</w:t>
            </w:r>
          </w:p>
        </w:tc>
        <w:tc>
          <w:tcPr>
            <w:tcW w:w="1594" w:type="dxa"/>
            <w:tcBorders>
              <w:top w:val="nil"/>
              <w:left w:val="nil"/>
              <w:bottom w:val="nil"/>
              <w:right w:val="nil"/>
            </w:tcBorders>
            <w:shd w:val="clear" w:color="000000" w:fill="FFFFFF"/>
            <w:noWrap/>
            <w:vAlign w:val="bottom"/>
            <w:hideMark/>
          </w:tcPr>
          <w:p w:rsidR="005C77F5" w:rsidRPr="007F738E" w:rsidRDefault="005C77F5" w:rsidP="00AE1C26">
            <w:pPr>
              <w:jc w:val="right"/>
              <w:rPr>
                <w:rFonts w:cs="Calibri"/>
                <w:color w:val="000000"/>
                <w:lang w:eastAsia="en-GB"/>
              </w:rPr>
            </w:pPr>
            <w:r w:rsidRPr="007F738E">
              <w:rPr>
                <w:rFonts w:cs="Calibri"/>
                <w:color w:val="000000"/>
                <w:lang w:eastAsia="en-GB"/>
              </w:rPr>
              <w:t>123.2</w:t>
            </w:r>
          </w:p>
        </w:tc>
        <w:tc>
          <w:tcPr>
            <w:tcW w:w="1473" w:type="dxa"/>
            <w:tcBorders>
              <w:top w:val="nil"/>
              <w:left w:val="nil"/>
              <w:bottom w:val="nil"/>
              <w:right w:val="nil"/>
            </w:tcBorders>
            <w:shd w:val="clear" w:color="000000" w:fill="FFFFFF"/>
            <w:noWrap/>
            <w:vAlign w:val="bottom"/>
            <w:hideMark/>
          </w:tcPr>
          <w:p w:rsidR="005C77F5" w:rsidRPr="007F738E" w:rsidRDefault="005C77F5" w:rsidP="00AE1C26">
            <w:pPr>
              <w:jc w:val="right"/>
              <w:rPr>
                <w:rFonts w:cs="Calibri"/>
                <w:color w:val="000000"/>
                <w:lang w:eastAsia="en-GB"/>
              </w:rPr>
            </w:pPr>
            <w:r w:rsidRPr="007F738E">
              <w:rPr>
                <w:rFonts w:cs="Calibri"/>
                <w:color w:val="000000"/>
                <w:lang w:eastAsia="en-GB"/>
              </w:rPr>
              <w:t>132.6</w:t>
            </w:r>
          </w:p>
        </w:tc>
        <w:tc>
          <w:tcPr>
            <w:tcW w:w="1077" w:type="dxa"/>
            <w:tcBorders>
              <w:top w:val="nil"/>
              <w:left w:val="nil"/>
              <w:bottom w:val="nil"/>
              <w:right w:val="nil"/>
            </w:tcBorders>
            <w:shd w:val="clear" w:color="000000" w:fill="FFFFFF"/>
            <w:noWrap/>
            <w:vAlign w:val="bottom"/>
            <w:hideMark/>
          </w:tcPr>
          <w:p w:rsidR="005C77F5" w:rsidRPr="007F738E" w:rsidRDefault="005C77F5" w:rsidP="00AE1C26">
            <w:pPr>
              <w:jc w:val="right"/>
              <w:rPr>
                <w:rFonts w:cs="Calibri"/>
                <w:color w:val="000000"/>
                <w:lang w:eastAsia="en-GB"/>
              </w:rPr>
            </w:pPr>
            <w:r w:rsidRPr="007F738E">
              <w:rPr>
                <w:rFonts w:cs="Calibri"/>
                <w:color w:val="000000"/>
                <w:lang w:eastAsia="en-GB"/>
              </w:rPr>
              <w:t>113.8</w:t>
            </w:r>
          </w:p>
        </w:tc>
      </w:tr>
      <w:tr w:rsidR="005C77F5" w:rsidRPr="007F738E" w:rsidTr="00AE1C26">
        <w:trPr>
          <w:trHeight w:val="299"/>
        </w:trPr>
        <w:tc>
          <w:tcPr>
            <w:tcW w:w="2956" w:type="dxa"/>
            <w:tcBorders>
              <w:top w:val="nil"/>
              <w:left w:val="nil"/>
              <w:bottom w:val="nil"/>
              <w:right w:val="nil"/>
            </w:tcBorders>
            <w:shd w:val="clear" w:color="000000" w:fill="FFFFFF"/>
            <w:noWrap/>
            <w:vAlign w:val="bottom"/>
            <w:hideMark/>
          </w:tcPr>
          <w:p w:rsidR="005C77F5" w:rsidRPr="007F738E" w:rsidRDefault="005C77F5" w:rsidP="00AE1C26">
            <w:pPr>
              <w:rPr>
                <w:rFonts w:cs="Calibri"/>
                <w:color w:val="000000"/>
                <w:lang w:eastAsia="en-GB"/>
              </w:rPr>
            </w:pPr>
            <w:r w:rsidRPr="007F738E">
              <w:rPr>
                <w:rFonts w:cs="Calibri"/>
                <w:color w:val="000000"/>
                <w:lang w:eastAsia="en-GB"/>
              </w:rPr>
              <w:t>Equities</w:t>
            </w:r>
          </w:p>
        </w:tc>
        <w:tc>
          <w:tcPr>
            <w:tcW w:w="1594" w:type="dxa"/>
            <w:tcBorders>
              <w:top w:val="nil"/>
              <w:left w:val="nil"/>
              <w:bottom w:val="nil"/>
              <w:right w:val="nil"/>
            </w:tcBorders>
            <w:shd w:val="clear" w:color="000000" w:fill="FFFFFF"/>
            <w:noWrap/>
            <w:vAlign w:val="bottom"/>
            <w:hideMark/>
          </w:tcPr>
          <w:p w:rsidR="005C77F5" w:rsidRPr="007F738E" w:rsidRDefault="005C77F5" w:rsidP="00AE1C26">
            <w:pPr>
              <w:jc w:val="right"/>
              <w:rPr>
                <w:rFonts w:cs="Calibri"/>
                <w:color w:val="000000"/>
                <w:lang w:eastAsia="en-GB"/>
              </w:rPr>
            </w:pPr>
            <w:r w:rsidRPr="007F738E">
              <w:rPr>
                <w:rFonts w:cs="Calibri"/>
                <w:color w:val="000000"/>
                <w:lang w:eastAsia="en-GB"/>
              </w:rPr>
              <w:t>412.9</w:t>
            </w:r>
          </w:p>
        </w:tc>
        <w:tc>
          <w:tcPr>
            <w:tcW w:w="1473" w:type="dxa"/>
            <w:tcBorders>
              <w:top w:val="nil"/>
              <w:left w:val="nil"/>
              <w:bottom w:val="nil"/>
              <w:right w:val="nil"/>
            </w:tcBorders>
            <w:shd w:val="clear" w:color="000000" w:fill="FFFFFF"/>
            <w:noWrap/>
            <w:vAlign w:val="bottom"/>
            <w:hideMark/>
          </w:tcPr>
          <w:p w:rsidR="005C77F5" w:rsidRPr="007F738E" w:rsidRDefault="005C77F5" w:rsidP="00AE1C26">
            <w:pPr>
              <w:jc w:val="right"/>
              <w:rPr>
                <w:rFonts w:cs="Calibri"/>
                <w:color w:val="000000"/>
                <w:lang w:eastAsia="en-GB"/>
              </w:rPr>
            </w:pPr>
            <w:r w:rsidRPr="007F738E">
              <w:rPr>
                <w:rFonts w:cs="Calibri"/>
                <w:color w:val="000000"/>
                <w:lang w:eastAsia="en-GB"/>
              </w:rPr>
              <w:t>521.5</w:t>
            </w:r>
          </w:p>
        </w:tc>
        <w:tc>
          <w:tcPr>
            <w:tcW w:w="1077" w:type="dxa"/>
            <w:tcBorders>
              <w:top w:val="nil"/>
              <w:left w:val="nil"/>
              <w:bottom w:val="nil"/>
              <w:right w:val="nil"/>
            </w:tcBorders>
            <w:shd w:val="clear" w:color="000000" w:fill="FFFFFF"/>
            <w:noWrap/>
            <w:vAlign w:val="bottom"/>
            <w:hideMark/>
          </w:tcPr>
          <w:p w:rsidR="005C77F5" w:rsidRPr="007F738E" w:rsidRDefault="005C77F5" w:rsidP="00AE1C26">
            <w:pPr>
              <w:jc w:val="right"/>
              <w:rPr>
                <w:rFonts w:cs="Calibri"/>
                <w:color w:val="000000"/>
                <w:lang w:eastAsia="en-GB"/>
              </w:rPr>
            </w:pPr>
            <w:r w:rsidRPr="007F738E">
              <w:rPr>
                <w:rFonts w:cs="Calibri"/>
                <w:color w:val="000000"/>
                <w:lang w:eastAsia="en-GB"/>
              </w:rPr>
              <w:t>304.3</w:t>
            </w:r>
          </w:p>
        </w:tc>
      </w:tr>
      <w:tr w:rsidR="005C77F5" w:rsidRPr="007F738E" w:rsidTr="00AE1C26">
        <w:trPr>
          <w:trHeight w:val="286"/>
        </w:trPr>
        <w:tc>
          <w:tcPr>
            <w:tcW w:w="2956" w:type="dxa"/>
            <w:tcBorders>
              <w:top w:val="nil"/>
              <w:left w:val="nil"/>
              <w:bottom w:val="nil"/>
              <w:right w:val="nil"/>
            </w:tcBorders>
            <w:shd w:val="clear" w:color="000000" w:fill="FFFFFF"/>
            <w:noWrap/>
            <w:vAlign w:val="bottom"/>
            <w:hideMark/>
          </w:tcPr>
          <w:p w:rsidR="005C77F5" w:rsidRPr="007F738E" w:rsidRDefault="005C77F5" w:rsidP="00AE1C26">
            <w:pPr>
              <w:rPr>
                <w:rFonts w:cs="Calibri"/>
                <w:color w:val="000000"/>
                <w:lang w:eastAsia="en-GB"/>
              </w:rPr>
            </w:pPr>
            <w:r w:rsidRPr="007F738E">
              <w:rPr>
                <w:rFonts w:cs="Calibri"/>
                <w:color w:val="000000"/>
                <w:lang w:eastAsia="en-GB"/>
              </w:rPr>
              <w:t>Other Pooled investments</w:t>
            </w:r>
          </w:p>
        </w:tc>
        <w:tc>
          <w:tcPr>
            <w:tcW w:w="1594" w:type="dxa"/>
            <w:tcBorders>
              <w:top w:val="nil"/>
              <w:left w:val="nil"/>
              <w:bottom w:val="nil"/>
              <w:right w:val="nil"/>
            </w:tcBorders>
            <w:shd w:val="clear" w:color="000000" w:fill="FFFFFF"/>
            <w:noWrap/>
            <w:vAlign w:val="bottom"/>
            <w:hideMark/>
          </w:tcPr>
          <w:p w:rsidR="005C77F5" w:rsidRPr="007F738E" w:rsidRDefault="005C77F5" w:rsidP="00AE1C26">
            <w:pPr>
              <w:jc w:val="right"/>
              <w:rPr>
                <w:rFonts w:cs="Calibri"/>
                <w:color w:val="000000"/>
                <w:lang w:eastAsia="en-GB"/>
              </w:rPr>
            </w:pPr>
            <w:r w:rsidRPr="007F738E">
              <w:rPr>
                <w:rFonts w:cs="Calibri"/>
                <w:color w:val="000000"/>
                <w:lang w:eastAsia="en-GB"/>
              </w:rPr>
              <w:t>160.9</w:t>
            </w:r>
          </w:p>
        </w:tc>
        <w:tc>
          <w:tcPr>
            <w:tcW w:w="1473" w:type="dxa"/>
            <w:tcBorders>
              <w:top w:val="nil"/>
              <w:left w:val="nil"/>
              <w:bottom w:val="nil"/>
              <w:right w:val="nil"/>
            </w:tcBorders>
            <w:shd w:val="clear" w:color="000000" w:fill="FFFFFF"/>
            <w:noWrap/>
            <w:vAlign w:val="bottom"/>
            <w:hideMark/>
          </w:tcPr>
          <w:p w:rsidR="005C77F5" w:rsidRPr="007F738E" w:rsidRDefault="005C77F5" w:rsidP="00AE1C26">
            <w:pPr>
              <w:jc w:val="right"/>
              <w:rPr>
                <w:rFonts w:cs="Calibri"/>
                <w:color w:val="000000"/>
                <w:lang w:eastAsia="en-GB"/>
              </w:rPr>
            </w:pPr>
            <w:r w:rsidRPr="007F738E">
              <w:rPr>
                <w:rFonts w:cs="Calibri"/>
                <w:color w:val="000000"/>
                <w:lang w:eastAsia="en-GB"/>
              </w:rPr>
              <w:t>181.8</w:t>
            </w:r>
          </w:p>
        </w:tc>
        <w:tc>
          <w:tcPr>
            <w:tcW w:w="1077" w:type="dxa"/>
            <w:tcBorders>
              <w:top w:val="nil"/>
              <w:left w:val="nil"/>
              <w:bottom w:val="nil"/>
              <w:right w:val="nil"/>
            </w:tcBorders>
            <w:shd w:val="clear" w:color="000000" w:fill="FFFFFF"/>
            <w:noWrap/>
            <w:vAlign w:val="bottom"/>
            <w:hideMark/>
          </w:tcPr>
          <w:p w:rsidR="005C77F5" w:rsidRPr="007F738E" w:rsidRDefault="005C77F5" w:rsidP="00AE1C26">
            <w:pPr>
              <w:jc w:val="right"/>
              <w:rPr>
                <w:rFonts w:cs="Calibri"/>
                <w:color w:val="000000"/>
                <w:lang w:eastAsia="en-GB"/>
              </w:rPr>
            </w:pPr>
            <w:r w:rsidRPr="007F738E">
              <w:rPr>
                <w:rFonts w:cs="Calibri"/>
                <w:color w:val="000000"/>
                <w:lang w:eastAsia="en-GB"/>
              </w:rPr>
              <w:t>140.0</w:t>
            </w:r>
          </w:p>
        </w:tc>
      </w:tr>
      <w:tr w:rsidR="005C77F5" w:rsidRPr="007F738E" w:rsidTr="00AE1C26">
        <w:trPr>
          <w:trHeight w:val="286"/>
        </w:trPr>
        <w:tc>
          <w:tcPr>
            <w:tcW w:w="2956" w:type="dxa"/>
            <w:tcBorders>
              <w:top w:val="nil"/>
              <w:left w:val="nil"/>
              <w:bottom w:val="nil"/>
              <w:right w:val="nil"/>
            </w:tcBorders>
            <w:shd w:val="clear" w:color="000000" w:fill="FFFFFF"/>
            <w:noWrap/>
            <w:vAlign w:val="bottom"/>
            <w:hideMark/>
          </w:tcPr>
          <w:p w:rsidR="005C77F5" w:rsidRPr="007F738E" w:rsidRDefault="005C77F5" w:rsidP="00AE1C26">
            <w:pPr>
              <w:rPr>
                <w:rFonts w:cs="Calibri"/>
                <w:color w:val="000000"/>
                <w:lang w:eastAsia="en-GB"/>
              </w:rPr>
            </w:pPr>
            <w:r w:rsidRPr="007F738E">
              <w:rPr>
                <w:rFonts w:cs="Calibri"/>
                <w:color w:val="000000"/>
                <w:lang w:eastAsia="en-GB"/>
              </w:rPr>
              <w:t>Pooled Property investments</w:t>
            </w:r>
          </w:p>
        </w:tc>
        <w:tc>
          <w:tcPr>
            <w:tcW w:w="1594" w:type="dxa"/>
            <w:tcBorders>
              <w:top w:val="nil"/>
              <w:left w:val="nil"/>
              <w:bottom w:val="nil"/>
              <w:right w:val="nil"/>
            </w:tcBorders>
            <w:shd w:val="clear" w:color="000000" w:fill="FFFFFF"/>
            <w:noWrap/>
            <w:vAlign w:val="bottom"/>
            <w:hideMark/>
          </w:tcPr>
          <w:p w:rsidR="005C77F5" w:rsidRPr="007F738E" w:rsidRDefault="005C77F5" w:rsidP="00AE1C26">
            <w:pPr>
              <w:jc w:val="right"/>
              <w:rPr>
                <w:rFonts w:cs="Calibri"/>
                <w:color w:val="000000"/>
                <w:lang w:eastAsia="en-GB"/>
              </w:rPr>
            </w:pPr>
            <w:r w:rsidRPr="007F738E">
              <w:rPr>
                <w:rFonts w:cs="Calibri"/>
                <w:color w:val="000000"/>
                <w:lang w:eastAsia="en-GB"/>
              </w:rPr>
              <w:t>0.1</w:t>
            </w:r>
          </w:p>
        </w:tc>
        <w:tc>
          <w:tcPr>
            <w:tcW w:w="1473" w:type="dxa"/>
            <w:tcBorders>
              <w:top w:val="nil"/>
              <w:left w:val="nil"/>
              <w:bottom w:val="nil"/>
              <w:right w:val="nil"/>
            </w:tcBorders>
            <w:shd w:val="clear" w:color="000000" w:fill="FFFFFF"/>
            <w:noWrap/>
            <w:vAlign w:val="bottom"/>
            <w:hideMark/>
          </w:tcPr>
          <w:p w:rsidR="005C77F5" w:rsidRPr="007F738E" w:rsidRDefault="005C77F5" w:rsidP="00AE1C26">
            <w:pPr>
              <w:jc w:val="right"/>
              <w:rPr>
                <w:rFonts w:cs="Calibri"/>
                <w:color w:val="000000"/>
                <w:lang w:eastAsia="en-GB"/>
              </w:rPr>
            </w:pPr>
            <w:r w:rsidRPr="007F738E">
              <w:rPr>
                <w:rFonts w:cs="Calibri"/>
                <w:color w:val="000000"/>
                <w:lang w:eastAsia="en-GB"/>
              </w:rPr>
              <w:t>0.1</w:t>
            </w:r>
          </w:p>
        </w:tc>
        <w:tc>
          <w:tcPr>
            <w:tcW w:w="1077" w:type="dxa"/>
            <w:tcBorders>
              <w:top w:val="nil"/>
              <w:left w:val="nil"/>
              <w:bottom w:val="nil"/>
              <w:right w:val="nil"/>
            </w:tcBorders>
            <w:shd w:val="clear" w:color="000000" w:fill="FFFFFF"/>
            <w:noWrap/>
            <w:vAlign w:val="bottom"/>
            <w:hideMark/>
          </w:tcPr>
          <w:p w:rsidR="005C77F5" w:rsidRPr="007F738E" w:rsidRDefault="005C77F5" w:rsidP="00AE1C26">
            <w:pPr>
              <w:jc w:val="right"/>
              <w:rPr>
                <w:rFonts w:cs="Calibri"/>
                <w:color w:val="000000"/>
                <w:lang w:eastAsia="en-GB"/>
              </w:rPr>
            </w:pPr>
            <w:r w:rsidRPr="007F738E">
              <w:rPr>
                <w:rFonts w:cs="Calibri"/>
                <w:color w:val="000000"/>
                <w:lang w:eastAsia="en-GB"/>
              </w:rPr>
              <w:t>0.1</w:t>
            </w:r>
          </w:p>
        </w:tc>
      </w:tr>
      <w:tr w:rsidR="005C77F5" w:rsidRPr="007F738E" w:rsidTr="00AE1C26">
        <w:trPr>
          <w:trHeight w:val="299"/>
        </w:trPr>
        <w:tc>
          <w:tcPr>
            <w:tcW w:w="2956" w:type="dxa"/>
            <w:tcBorders>
              <w:top w:val="nil"/>
              <w:left w:val="nil"/>
              <w:bottom w:val="nil"/>
              <w:right w:val="nil"/>
            </w:tcBorders>
            <w:shd w:val="clear" w:color="000000" w:fill="FFFFFF"/>
            <w:noWrap/>
            <w:vAlign w:val="bottom"/>
            <w:hideMark/>
          </w:tcPr>
          <w:p w:rsidR="005C77F5" w:rsidRPr="007F738E" w:rsidRDefault="005C77F5" w:rsidP="00AE1C26">
            <w:pPr>
              <w:rPr>
                <w:rFonts w:cs="Calibri"/>
                <w:color w:val="000000"/>
                <w:lang w:eastAsia="en-GB"/>
              </w:rPr>
            </w:pPr>
            <w:r w:rsidRPr="007F738E">
              <w:rPr>
                <w:rFonts w:cs="Calibri"/>
                <w:color w:val="000000"/>
                <w:lang w:eastAsia="en-GB"/>
              </w:rPr>
              <w:t>Private Equity</w:t>
            </w:r>
            <w:r>
              <w:rPr>
                <w:rFonts w:cs="Calibri"/>
                <w:color w:val="000000"/>
                <w:lang w:eastAsia="en-GB"/>
              </w:rPr>
              <w:t>/Infrastructure</w:t>
            </w:r>
          </w:p>
        </w:tc>
        <w:tc>
          <w:tcPr>
            <w:tcW w:w="1594" w:type="dxa"/>
            <w:tcBorders>
              <w:top w:val="nil"/>
              <w:left w:val="nil"/>
              <w:bottom w:val="nil"/>
              <w:right w:val="nil"/>
            </w:tcBorders>
            <w:shd w:val="clear" w:color="000000" w:fill="FFFFFF"/>
            <w:noWrap/>
            <w:vAlign w:val="bottom"/>
            <w:hideMark/>
          </w:tcPr>
          <w:p w:rsidR="005C77F5" w:rsidRPr="007F738E" w:rsidRDefault="005C77F5" w:rsidP="00AE1C26">
            <w:pPr>
              <w:jc w:val="right"/>
              <w:rPr>
                <w:rFonts w:cs="Calibri"/>
                <w:color w:val="000000"/>
                <w:lang w:eastAsia="en-GB"/>
              </w:rPr>
            </w:pPr>
            <w:r w:rsidRPr="007F738E">
              <w:rPr>
                <w:rFonts w:cs="Calibri"/>
                <w:color w:val="000000"/>
                <w:lang w:eastAsia="en-GB"/>
              </w:rPr>
              <w:t>84.3</w:t>
            </w:r>
          </w:p>
        </w:tc>
        <w:tc>
          <w:tcPr>
            <w:tcW w:w="1473" w:type="dxa"/>
            <w:tcBorders>
              <w:top w:val="nil"/>
              <w:left w:val="nil"/>
              <w:bottom w:val="nil"/>
              <w:right w:val="nil"/>
            </w:tcBorders>
            <w:shd w:val="clear" w:color="000000" w:fill="FFFFFF"/>
            <w:noWrap/>
            <w:vAlign w:val="bottom"/>
            <w:hideMark/>
          </w:tcPr>
          <w:p w:rsidR="005C77F5" w:rsidRPr="007F738E" w:rsidRDefault="005C77F5" w:rsidP="00AE1C26">
            <w:pPr>
              <w:jc w:val="right"/>
              <w:rPr>
                <w:rFonts w:cs="Calibri"/>
                <w:color w:val="000000"/>
                <w:lang w:eastAsia="en-GB"/>
              </w:rPr>
            </w:pPr>
            <w:r w:rsidRPr="007F738E">
              <w:rPr>
                <w:rFonts w:cs="Calibri"/>
                <w:color w:val="000000"/>
                <w:lang w:eastAsia="en-GB"/>
              </w:rPr>
              <w:t>104.7</w:t>
            </w:r>
          </w:p>
        </w:tc>
        <w:tc>
          <w:tcPr>
            <w:tcW w:w="1077" w:type="dxa"/>
            <w:tcBorders>
              <w:top w:val="nil"/>
              <w:left w:val="nil"/>
              <w:bottom w:val="nil"/>
              <w:right w:val="nil"/>
            </w:tcBorders>
            <w:shd w:val="clear" w:color="000000" w:fill="FFFFFF"/>
            <w:noWrap/>
            <w:vAlign w:val="bottom"/>
            <w:hideMark/>
          </w:tcPr>
          <w:p w:rsidR="005C77F5" w:rsidRPr="007F738E" w:rsidRDefault="005C77F5" w:rsidP="00AE1C26">
            <w:pPr>
              <w:jc w:val="right"/>
              <w:rPr>
                <w:rFonts w:cs="Calibri"/>
                <w:color w:val="000000"/>
                <w:lang w:eastAsia="en-GB"/>
              </w:rPr>
            </w:pPr>
            <w:r w:rsidRPr="007F738E">
              <w:rPr>
                <w:rFonts w:cs="Calibri"/>
                <w:color w:val="000000"/>
                <w:lang w:eastAsia="en-GB"/>
              </w:rPr>
              <w:t>63.9</w:t>
            </w:r>
          </w:p>
        </w:tc>
      </w:tr>
      <w:tr w:rsidR="005C77F5" w:rsidRPr="007F738E" w:rsidTr="00AE1C26">
        <w:trPr>
          <w:trHeight w:val="299"/>
        </w:trPr>
        <w:tc>
          <w:tcPr>
            <w:tcW w:w="2956" w:type="dxa"/>
            <w:tcBorders>
              <w:top w:val="single" w:sz="4" w:space="0" w:color="auto"/>
              <w:left w:val="nil"/>
              <w:bottom w:val="double" w:sz="6" w:space="0" w:color="auto"/>
              <w:right w:val="nil"/>
            </w:tcBorders>
            <w:shd w:val="clear" w:color="000000" w:fill="FFFFFF"/>
            <w:noWrap/>
            <w:vAlign w:val="bottom"/>
            <w:hideMark/>
          </w:tcPr>
          <w:p w:rsidR="005C77F5" w:rsidRPr="007F738E" w:rsidRDefault="005C77F5" w:rsidP="00AE1C26">
            <w:pPr>
              <w:rPr>
                <w:rFonts w:cs="Calibri"/>
                <w:b/>
                <w:bCs/>
                <w:color w:val="000000"/>
                <w:lang w:eastAsia="en-GB"/>
              </w:rPr>
            </w:pPr>
            <w:r w:rsidRPr="007F738E">
              <w:rPr>
                <w:rFonts w:cs="Calibri"/>
                <w:b/>
                <w:bCs/>
                <w:color w:val="000000"/>
                <w:lang w:eastAsia="en-GB"/>
              </w:rPr>
              <w:t>Total</w:t>
            </w:r>
          </w:p>
        </w:tc>
        <w:tc>
          <w:tcPr>
            <w:tcW w:w="1594" w:type="dxa"/>
            <w:tcBorders>
              <w:top w:val="single" w:sz="4" w:space="0" w:color="auto"/>
              <w:left w:val="nil"/>
              <w:bottom w:val="double" w:sz="6" w:space="0" w:color="auto"/>
              <w:right w:val="nil"/>
            </w:tcBorders>
            <w:shd w:val="clear" w:color="000000" w:fill="FFFFFF"/>
            <w:noWrap/>
            <w:vAlign w:val="bottom"/>
            <w:hideMark/>
          </w:tcPr>
          <w:p w:rsidR="005C77F5" w:rsidRPr="007F738E" w:rsidRDefault="005C77F5" w:rsidP="00AE1C26">
            <w:pPr>
              <w:jc w:val="right"/>
              <w:rPr>
                <w:rFonts w:cs="Calibri"/>
                <w:b/>
                <w:bCs/>
                <w:color w:val="000000"/>
                <w:lang w:eastAsia="en-GB"/>
              </w:rPr>
            </w:pPr>
            <w:r w:rsidRPr="007F738E">
              <w:rPr>
                <w:rFonts w:cs="Calibri"/>
                <w:b/>
                <w:bCs/>
                <w:color w:val="000000"/>
                <w:lang w:eastAsia="en-GB"/>
              </w:rPr>
              <w:t>781.4</w:t>
            </w:r>
          </w:p>
        </w:tc>
        <w:tc>
          <w:tcPr>
            <w:tcW w:w="1473" w:type="dxa"/>
            <w:tcBorders>
              <w:top w:val="single" w:sz="4" w:space="0" w:color="auto"/>
              <w:left w:val="nil"/>
              <w:bottom w:val="double" w:sz="6" w:space="0" w:color="auto"/>
              <w:right w:val="nil"/>
            </w:tcBorders>
            <w:shd w:val="clear" w:color="000000" w:fill="FFFFFF"/>
            <w:noWrap/>
            <w:vAlign w:val="bottom"/>
            <w:hideMark/>
          </w:tcPr>
          <w:p w:rsidR="005C77F5" w:rsidRPr="007F738E" w:rsidRDefault="005C77F5" w:rsidP="00AE1C26">
            <w:pPr>
              <w:jc w:val="right"/>
              <w:rPr>
                <w:rFonts w:cs="Calibri"/>
                <w:b/>
                <w:bCs/>
                <w:color w:val="000000"/>
                <w:lang w:eastAsia="en-GB"/>
              </w:rPr>
            </w:pPr>
            <w:r w:rsidRPr="007F738E">
              <w:rPr>
                <w:rFonts w:cs="Calibri"/>
                <w:b/>
                <w:bCs/>
                <w:color w:val="000000"/>
                <w:lang w:eastAsia="en-GB"/>
              </w:rPr>
              <w:t>940.7</w:t>
            </w:r>
          </w:p>
        </w:tc>
        <w:tc>
          <w:tcPr>
            <w:tcW w:w="1077" w:type="dxa"/>
            <w:tcBorders>
              <w:top w:val="single" w:sz="4" w:space="0" w:color="auto"/>
              <w:left w:val="nil"/>
              <w:bottom w:val="double" w:sz="6" w:space="0" w:color="auto"/>
              <w:right w:val="nil"/>
            </w:tcBorders>
            <w:shd w:val="clear" w:color="000000" w:fill="FFFFFF"/>
            <w:noWrap/>
            <w:vAlign w:val="bottom"/>
            <w:hideMark/>
          </w:tcPr>
          <w:p w:rsidR="005C77F5" w:rsidRPr="007F738E" w:rsidRDefault="005C77F5" w:rsidP="00AE1C26">
            <w:pPr>
              <w:jc w:val="right"/>
              <w:rPr>
                <w:rFonts w:cs="Calibri"/>
                <w:b/>
                <w:bCs/>
                <w:color w:val="000000"/>
                <w:lang w:eastAsia="en-GB"/>
              </w:rPr>
            </w:pPr>
            <w:r w:rsidRPr="007F738E">
              <w:rPr>
                <w:rFonts w:cs="Calibri"/>
                <w:b/>
                <w:bCs/>
                <w:color w:val="000000"/>
                <w:lang w:eastAsia="en-GB"/>
              </w:rPr>
              <w:t>622.1</w:t>
            </w:r>
          </w:p>
        </w:tc>
      </w:tr>
    </w:tbl>
    <w:p w:rsidR="00F72906" w:rsidRDefault="00F72906" w:rsidP="00F72906"/>
    <w:p w:rsidR="00F72906" w:rsidRPr="005C77F5" w:rsidRDefault="00F72906" w:rsidP="00F72906">
      <w:pPr>
        <w:rPr>
          <w:b/>
        </w:rPr>
      </w:pPr>
      <w:r w:rsidRPr="005C77F5">
        <w:rPr>
          <w:b/>
        </w:rPr>
        <w:t>Interes</w:t>
      </w:r>
      <w:r w:rsidR="005C77F5">
        <w:rPr>
          <w:b/>
        </w:rPr>
        <w:t>t rate risk exposure asset type</w:t>
      </w:r>
    </w:p>
    <w:p w:rsidR="00F72906" w:rsidRDefault="00F72906" w:rsidP="00F72906">
      <w:r>
        <w:t>The Fund invests in financial assets for the primary purpose of obtaining a return on investments. These investments are subject to interest rate risks, which represent the risk that the fair value or future cash flows of a financial instrument will fluctuate because of changes in market interest rates.</w:t>
      </w:r>
    </w:p>
    <w:p w:rsidR="00F72906" w:rsidRDefault="00F72906" w:rsidP="00F72906"/>
    <w:p w:rsidR="00F72906" w:rsidRDefault="00F72906" w:rsidP="00F72906">
      <w:r>
        <w:t>The Fund’s interest rate risk is routinely monitored by the Pension Fund in accordance with the Fund’s risk management strategy, including monitoring the exposure to interest rates and assessment of actual interest rates against the relevant benchmarks.</w:t>
      </w:r>
    </w:p>
    <w:p w:rsidR="00F72906" w:rsidRDefault="00F72906" w:rsidP="00F72906"/>
    <w:p w:rsidR="00F72906" w:rsidRDefault="00F72906" w:rsidP="00F72906">
      <w:r>
        <w:t>The Fund’s direct exposure to interest rate movements as at 31 March 2019 and 31 March 2020 is set out below. These disclosures present interest rate risk based on the underlying financial assets at fair value:</w:t>
      </w:r>
    </w:p>
    <w:tbl>
      <w:tblPr>
        <w:tblW w:w="7724" w:type="dxa"/>
        <w:tblLook w:val="04A0" w:firstRow="1" w:lastRow="0" w:firstColumn="1" w:lastColumn="0" w:noHBand="0" w:noVBand="1"/>
      </w:tblPr>
      <w:tblGrid>
        <w:gridCol w:w="2956"/>
        <w:gridCol w:w="1136"/>
        <w:gridCol w:w="1816"/>
        <w:gridCol w:w="1816"/>
      </w:tblGrid>
      <w:tr w:rsidR="005C77F5" w:rsidRPr="00C4352A" w:rsidTr="00AE1C26">
        <w:trPr>
          <w:trHeight w:val="299"/>
        </w:trPr>
        <w:tc>
          <w:tcPr>
            <w:tcW w:w="2956" w:type="dxa"/>
            <w:tcBorders>
              <w:top w:val="nil"/>
              <w:left w:val="nil"/>
              <w:bottom w:val="nil"/>
              <w:right w:val="nil"/>
            </w:tcBorders>
            <w:shd w:val="clear" w:color="auto" w:fill="auto"/>
            <w:noWrap/>
            <w:vAlign w:val="bottom"/>
            <w:hideMark/>
          </w:tcPr>
          <w:p w:rsidR="005C77F5" w:rsidRPr="00C4352A" w:rsidRDefault="005C77F5" w:rsidP="00AE1C26">
            <w:pPr>
              <w:rPr>
                <w:rFonts w:ascii="Times New Roman" w:hAnsi="Times New Roman"/>
                <w:sz w:val="20"/>
                <w:szCs w:val="20"/>
                <w:lang w:eastAsia="en-GB"/>
              </w:rPr>
            </w:pPr>
          </w:p>
        </w:tc>
        <w:tc>
          <w:tcPr>
            <w:tcW w:w="1136" w:type="dxa"/>
            <w:tcBorders>
              <w:top w:val="nil"/>
              <w:left w:val="nil"/>
              <w:bottom w:val="nil"/>
              <w:right w:val="nil"/>
            </w:tcBorders>
            <w:shd w:val="clear" w:color="auto" w:fill="auto"/>
            <w:noWrap/>
            <w:vAlign w:val="bottom"/>
            <w:hideMark/>
          </w:tcPr>
          <w:p w:rsidR="005C77F5" w:rsidRPr="00C4352A" w:rsidRDefault="005C77F5" w:rsidP="00AE1C26">
            <w:pPr>
              <w:rPr>
                <w:rFonts w:ascii="Times New Roman" w:hAnsi="Times New Roman"/>
                <w:sz w:val="20"/>
                <w:szCs w:val="20"/>
                <w:lang w:eastAsia="en-GB"/>
              </w:rPr>
            </w:pPr>
          </w:p>
        </w:tc>
        <w:tc>
          <w:tcPr>
            <w:tcW w:w="1816" w:type="dxa"/>
            <w:tcBorders>
              <w:top w:val="nil"/>
              <w:left w:val="nil"/>
              <w:bottom w:val="nil"/>
              <w:right w:val="nil"/>
            </w:tcBorders>
            <w:shd w:val="clear" w:color="auto" w:fill="auto"/>
            <w:noWrap/>
            <w:vAlign w:val="bottom"/>
            <w:hideMark/>
          </w:tcPr>
          <w:p w:rsidR="005C77F5" w:rsidRPr="00C4352A" w:rsidRDefault="005C77F5" w:rsidP="00AE1C26">
            <w:pPr>
              <w:rPr>
                <w:rFonts w:ascii="Times New Roman" w:hAnsi="Times New Roman"/>
                <w:sz w:val="20"/>
                <w:szCs w:val="20"/>
                <w:lang w:eastAsia="en-GB"/>
              </w:rPr>
            </w:pPr>
          </w:p>
        </w:tc>
        <w:tc>
          <w:tcPr>
            <w:tcW w:w="1816" w:type="dxa"/>
            <w:tcBorders>
              <w:top w:val="nil"/>
              <w:left w:val="nil"/>
              <w:bottom w:val="nil"/>
              <w:right w:val="nil"/>
            </w:tcBorders>
            <w:shd w:val="clear" w:color="auto" w:fill="auto"/>
            <w:noWrap/>
            <w:vAlign w:val="bottom"/>
            <w:hideMark/>
          </w:tcPr>
          <w:p w:rsidR="005C77F5" w:rsidRPr="00C4352A" w:rsidRDefault="005C77F5" w:rsidP="00AE1C26">
            <w:pPr>
              <w:rPr>
                <w:rFonts w:ascii="Times New Roman" w:hAnsi="Times New Roman"/>
                <w:sz w:val="20"/>
                <w:szCs w:val="20"/>
                <w:lang w:eastAsia="en-GB"/>
              </w:rPr>
            </w:pPr>
          </w:p>
        </w:tc>
      </w:tr>
      <w:tr w:rsidR="005C77F5" w:rsidRPr="00C4352A" w:rsidTr="00AE1C26">
        <w:trPr>
          <w:trHeight w:val="299"/>
        </w:trPr>
        <w:tc>
          <w:tcPr>
            <w:tcW w:w="2956" w:type="dxa"/>
            <w:tcBorders>
              <w:top w:val="nil"/>
              <w:left w:val="nil"/>
              <w:bottom w:val="nil"/>
              <w:right w:val="nil"/>
            </w:tcBorders>
            <w:shd w:val="clear" w:color="000000" w:fill="FFFFFF"/>
            <w:noWrap/>
            <w:vAlign w:val="bottom"/>
            <w:hideMark/>
          </w:tcPr>
          <w:p w:rsidR="005C77F5" w:rsidRPr="00C4352A" w:rsidRDefault="005C77F5" w:rsidP="00AE1C26">
            <w:pPr>
              <w:rPr>
                <w:rFonts w:cs="Calibri"/>
                <w:color w:val="000000"/>
                <w:lang w:eastAsia="en-GB"/>
              </w:rPr>
            </w:pPr>
            <w:r w:rsidRPr="00C4352A">
              <w:rPr>
                <w:rFonts w:cs="Calibri"/>
                <w:color w:val="000000"/>
                <w:lang w:eastAsia="en-GB"/>
              </w:rPr>
              <w:t> </w:t>
            </w:r>
          </w:p>
        </w:tc>
        <w:tc>
          <w:tcPr>
            <w:tcW w:w="1136" w:type="dxa"/>
            <w:tcBorders>
              <w:top w:val="nil"/>
              <w:left w:val="nil"/>
              <w:bottom w:val="nil"/>
              <w:right w:val="nil"/>
            </w:tcBorders>
            <w:shd w:val="clear" w:color="000000" w:fill="FFFFFF"/>
            <w:noWrap/>
            <w:vAlign w:val="bottom"/>
            <w:hideMark/>
          </w:tcPr>
          <w:p w:rsidR="005C77F5" w:rsidRPr="00C4352A" w:rsidRDefault="005C77F5" w:rsidP="00AE1C26">
            <w:pPr>
              <w:rPr>
                <w:rFonts w:cs="Calibri"/>
                <w:color w:val="000000"/>
                <w:lang w:eastAsia="en-GB"/>
              </w:rPr>
            </w:pPr>
            <w:r w:rsidRPr="00C4352A">
              <w:rPr>
                <w:rFonts w:cs="Calibri"/>
                <w:color w:val="000000"/>
                <w:lang w:eastAsia="en-GB"/>
              </w:rPr>
              <w:t> </w:t>
            </w:r>
          </w:p>
        </w:tc>
        <w:tc>
          <w:tcPr>
            <w:tcW w:w="1816" w:type="dxa"/>
            <w:tcBorders>
              <w:top w:val="nil"/>
              <w:left w:val="nil"/>
              <w:bottom w:val="nil"/>
              <w:right w:val="nil"/>
            </w:tcBorders>
            <w:shd w:val="clear" w:color="000000" w:fill="FFFFFF"/>
            <w:noWrap/>
            <w:vAlign w:val="bottom"/>
            <w:hideMark/>
          </w:tcPr>
          <w:p w:rsidR="005C77F5" w:rsidRPr="00C4352A" w:rsidRDefault="005C77F5" w:rsidP="00AE1C26">
            <w:pPr>
              <w:jc w:val="right"/>
              <w:rPr>
                <w:rFonts w:cs="Calibri"/>
                <w:b/>
                <w:bCs/>
                <w:color w:val="000000"/>
                <w:lang w:eastAsia="en-GB"/>
              </w:rPr>
            </w:pPr>
            <w:r w:rsidRPr="00C4352A">
              <w:rPr>
                <w:rFonts w:cs="Calibri"/>
                <w:b/>
                <w:bCs/>
                <w:color w:val="000000"/>
                <w:lang w:eastAsia="en-GB"/>
              </w:rPr>
              <w:t>31 March 2019</w:t>
            </w:r>
          </w:p>
        </w:tc>
        <w:tc>
          <w:tcPr>
            <w:tcW w:w="1816" w:type="dxa"/>
            <w:tcBorders>
              <w:top w:val="nil"/>
              <w:left w:val="nil"/>
              <w:bottom w:val="nil"/>
              <w:right w:val="nil"/>
            </w:tcBorders>
            <w:shd w:val="clear" w:color="000000" w:fill="FFFFFF"/>
            <w:noWrap/>
            <w:vAlign w:val="bottom"/>
            <w:hideMark/>
          </w:tcPr>
          <w:p w:rsidR="005C77F5" w:rsidRPr="00C4352A" w:rsidRDefault="005C77F5" w:rsidP="00AE1C26">
            <w:pPr>
              <w:jc w:val="right"/>
              <w:rPr>
                <w:rFonts w:cs="Calibri"/>
                <w:b/>
                <w:bCs/>
                <w:color w:val="000000"/>
                <w:lang w:eastAsia="en-GB"/>
              </w:rPr>
            </w:pPr>
            <w:r w:rsidRPr="00C4352A">
              <w:rPr>
                <w:rFonts w:cs="Calibri"/>
                <w:b/>
                <w:bCs/>
                <w:color w:val="000000"/>
                <w:lang w:eastAsia="en-GB"/>
              </w:rPr>
              <w:t>31 March 2020</w:t>
            </w:r>
          </w:p>
        </w:tc>
      </w:tr>
      <w:tr w:rsidR="005C77F5" w:rsidRPr="00C4352A" w:rsidTr="00AE1C26">
        <w:trPr>
          <w:trHeight w:val="299"/>
        </w:trPr>
        <w:tc>
          <w:tcPr>
            <w:tcW w:w="2956" w:type="dxa"/>
            <w:tcBorders>
              <w:top w:val="nil"/>
              <w:left w:val="nil"/>
              <w:bottom w:val="nil"/>
              <w:right w:val="nil"/>
            </w:tcBorders>
            <w:shd w:val="clear" w:color="000000" w:fill="FFFFFF"/>
            <w:noWrap/>
            <w:vAlign w:val="bottom"/>
            <w:hideMark/>
          </w:tcPr>
          <w:p w:rsidR="005C77F5" w:rsidRPr="00C4352A" w:rsidRDefault="005C77F5" w:rsidP="00AE1C26">
            <w:pPr>
              <w:rPr>
                <w:rFonts w:cs="Calibri"/>
                <w:color w:val="000000"/>
                <w:lang w:eastAsia="en-GB"/>
              </w:rPr>
            </w:pPr>
            <w:r w:rsidRPr="00C4352A">
              <w:rPr>
                <w:rFonts w:cs="Calibri"/>
                <w:color w:val="000000"/>
                <w:lang w:eastAsia="en-GB"/>
              </w:rPr>
              <w:t> </w:t>
            </w:r>
          </w:p>
        </w:tc>
        <w:tc>
          <w:tcPr>
            <w:tcW w:w="1136" w:type="dxa"/>
            <w:tcBorders>
              <w:top w:val="nil"/>
              <w:left w:val="nil"/>
              <w:bottom w:val="nil"/>
              <w:right w:val="nil"/>
            </w:tcBorders>
            <w:shd w:val="clear" w:color="000000" w:fill="FFFFFF"/>
            <w:noWrap/>
            <w:vAlign w:val="bottom"/>
            <w:hideMark/>
          </w:tcPr>
          <w:p w:rsidR="005C77F5" w:rsidRPr="00C4352A" w:rsidRDefault="005C77F5" w:rsidP="00AE1C26">
            <w:pPr>
              <w:rPr>
                <w:rFonts w:cs="Calibri"/>
                <w:color w:val="000000"/>
                <w:lang w:eastAsia="en-GB"/>
              </w:rPr>
            </w:pPr>
            <w:r w:rsidRPr="00C4352A">
              <w:rPr>
                <w:rFonts w:cs="Calibri"/>
                <w:color w:val="000000"/>
                <w:lang w:eastAsia="en-GB"/>
              </w:rPr>
              <w:t> </w:t>
            </w:r>
          </w:p>
        </w:tc>
        <w:tc>
          <w:tcPr>
            <w:tcW w:w="1816" w:type="dxa"/>
            <w:tcBorders>
              <w:top w:val="nil"/>
              <w:left w:val="nil"/>
              <w:bottom w:val="nil"/>
              <w:right w:val="nil"/>
            </w:tcBorders>
            <w:shd w:val="clear" w:color="000000" w:fill="FFFFFF"/>
            <w:noWrap/>
            <w:vAlign w:val="bottom"/>
            <w:hideMark/>
          </w:tcPr>
          <w:p w:rsidR="005C77F5" w:rsidRPr="00C4352A" w:rsidRDefault="005C77F5" w:rsidP="00AE1C26">
            <w:pPr>
              <w:jc w:val="right"/>
              <w:rPr>
                <w:rFonts w:cs="Calibri"/>
                <w:b/>
                <w:bCs/>
                <w:color w:val="000000"/>
                <w:lang w:eastAsia="en-GB"/>
              </w:rPr>
            </w:pPr>
            <w:r w:rsidRPr="00C4352A">
              <w:rPr>
                <w:rFonts w:cs="Calibri"/>
                <w:b/>
                <w:bCs/>
                <w:color w:val="000000"/>
                <w:lang w:eastAsia="en-GB"/>
              </w:rPr>
              <w:t>£m</w:t>
            </w:r>
          </w:p>
        </w:tc>
        <w:tc>
          <w:tcPr>
            <w:tcW w:w="1816" w:type="dxa"/>
            <w:tcBorders>
              <w:top w:val="nil"/>
              <w:left w:val="nil"/>
              <w:bottom w:val="nil"/>
              <w:right w:val="nil"/>
            </w:tcBorders>
            <w:shd w:val="clear" w:color="000000" w:fill="FFFFFF"/>
            <w:noWrap/>
            <w:vAlign w:val="bottom"/>
            <w:hideMark/>
          </w:tcPr>
          <w:p w:rsidR="005C77F5" w:rsidRPr="00C4352A" w:rsidRDefault="005C77F5" w:rsidP="00AE1C26">
            <w:pPr>
              <w:jc w:val="right"/>
              <w:rPr>
                <w:rFonts w:cs="Calibri"/>
                <w:b/>
                <w:bCs/>
                <w:color w:val="000000"/>
                <w:lang w:eastAsia="en-GB"/>
              </w:rPr>
            </w:pPr>
            <w:r w:rsidRPr="00C4352A">
              <w:rPr>
                <w:rFonts w:cs="Calibri"/>
                <w:b/>
                <w:bCs/>
                <w:color w:val="000000"/>
                <w:lang w:eastAsia="en-GB"/>
              </w:rPr>
              <w:t>£m</w:t>
            </w:r>
          </w:p>
        </w:tc>
      </w:tr>
      <w:tr w:rsidR="005C77F5" w:rsidRPr="00C4352A" w:rsidTr="00AE1C26">
        <w:trPr>
          <w:trHeight w:val="286"/>
        </w:trPr>
        <w:tc>
          <w:tcPr>
            <w:tcW w:w="2956" w:type="dxa"/>
            <w:tcBorders>
              <w:top w:val="nil"/>
              <w:left w:val="nil"/>
              <w:bottom w:val="nil"/>
              <w:right w:val="nil"/>
            </w:tcBorders>
            <w:shd w:val="clear" w:color="000000" w:fill="FFFFFF"/>
            <w:noWrap/>
            <w:vAlign w:val="bottom"/>
            <w:hideMark/>
          </w:tcPr>
          <w:p w:rsidR="005C77F5" w:rsidRPr="00C4352A" w:rsidRDefault="005C77F5" w:rsidP="00AE1C26">
            <w:pPr>
              <w:rPr>
                <w:rFonts w:cs="Calibri"/>
                <w:color w:val="000000"/>
                <w:lang w:eastAsia="en-GB"/>
              </w:rPr>
            </w:pPr>
            <w:r w:rsidRPr="00C4352A">
              <w:rPr>
                <w:rFonts w:cs="Calibri"/>
                <w:color w:val="000000"/>
                <w:lang w:eastAsia="en-GB"/>
              </w:rPr>
              <w:t>Cash balances</w:t>
            </w:r>
          </w:p>
        </w:tc>
        <w:tc>
          <w:tcPr>
            <w:tcW w:w="1136" w:type="dxa"/>
            <w:tcBorders>
              <w:top w:val="nil"/>
              <w:left w:val="nil"/>
              <w:bottom w:val="nil"/>
              <w:right w:val="nil"/>
            </w:tcBorders>
            <w:shd w:val="clear" w:color="000000" w:fill="FFFFFF"/>
            <w:noWrap/>
            <w:vAlign w:val="bottom"/>
            <w:hideMark/>
          </w:tcPr>
          <w:p w:rsidR="005C77F5" w:rsidRPr="00C4352A" w:rsidRDefault="005C77F5" w:rsidP="00AE1C26">
            <w:pPr>
              <w:rPr>
                <w:rFonts w:cs="Calibri"/>
                <w:color w:val="000000"/>
                <w:lang w:eastAsia="en-GB"/>
              </w:rPr>
            </w:pPr>
            <w:r w:rsidRPr="00C4352A">
              <w:rPr>
                <w:rFonts w:cs="Calibri"/>
                <w:color w:val="000000"/>
                <w:lang w:eastAsia="en-GB"/>
              </w:rPr>
              <w:t> </w:t>
            </w:r>
          </w:p>
        </w:tc>
        <w:tc>
          <w:tcPr>
            <w:tcW w:w="1816" w:type="dxa"/>
            <w:tcBorders>
              <w:top w:val="nil"/>
              <w:left w:val="nil"/>
              <w:bottom w:val="nil"/>
              <w:right w:val="nil"/>
            </w:tcBorders>
            <w:shd w:val="clear" w:color="000000" w:fill="FFFFFF"/>
            <w:noWrap/>
            <w:vAlign w:val="bottom"/>
            <w:hideMark/>
          </w:tcPr>
          <w:p w:rsidR="005C77F5" w:rsidRPr="00C4352A" w:rsidRDefault="005C77F5" w:rsidP="00AE1C26">
            <w:pPr>
              <w:jc w:val="right"/>
              <w:rPr>
                <w:rFonts w:cs="Calibri"/>
                <w:color w:val="000000"/>
                <w:lang w:eastAsia="en-GB"/>
              </w:rPr>
            </w:pPr>
            <w:r w:rsidRPr="00C4352A">
              <w:rPr>
                <w:rFonts w:cs="Calibri"/>
                <w:color w:val="000000"/>
                <w:lang w:eastAsia="en-GB"/>
              </w:rPr>
              <w:t>23.5</w:t>
            </w:r>
          </w:p>
        </w:tc>
        <w:tc>
          <w:tcPr>
            <w:tcW w:w="1816" w:type="dxa"/>
            <w:tcBorders>
              <w:top w:val="nil"/>
              <w:left w:val="nil"/>
              <w:bottom w:val="nil"/>
              <w:right w:val="nil"/>
            </w:tcBorders>
            <w:shd w:val="clear" w:color="000000" w:fill="FFFFFF"/>
            <w:noWrap/>
            <w:vAlign w:val="bottom"/>
            <w:hideMark/>
          </w:tcPr>
          <w:p w:rsidR="005C77F5" w:rsidRPr="00C4352A" w:rsidRDefault="005C77F5" w:rsidP="00AE1C26">
            <w:pPr>
              <w:jc w:val="right"/>
              <w:rPr>
                <w:rFonts w:cs="Calibri"/>
                <w:color w:val="000000"/>
                <w:lang w:eastAsia="en-GB"/>
              </w:rPr>
            </w:pPr>
            <w:r w:rsidRPr="00C4352A">
              <w:rPr>
                <w:rFonts w:cs="Calibri"/>
                <w:color w:val="000000"/>
                <w:lang w:eastAsia="en-GB"/>
              </w:rPr>
              <w:t>53.9</w:t>
            </w:r>
          </w:p>
        </w:tc>
      </w:tr>
      <w:tr w:rsidR="005C77F5" w:rsidRPr="00C4352A" w:rsidTr="00AE1C26">
        <w:trPr>
          <w:trHeight w:val="286"/>
        </w:trPr>
        <w:tc>
          <w:tcPr>
            <w:tcW w:w="2956" w:type="dxa"/>
            <w:tcBorders>
              <w:top w:val="nil"/>
              <w:left w:val="nil"/>
              <w:bottom w:val="nil"/>
              <w:right w:val="nil"/>
            </w:tcBorders>
            <w:shd w:val="clear" w:color="000000" w:fill="FFFFFF"/>
            <w:noWrap/>
            <w:vAlign w:val="bottom"/>
            <w:hideMark/>
          </w:tcPr>
          <w:p w:rsidR="005C77F5" w:rsidRPr="00C4352A" w:rsidRDefault="005C77F5" w:rsidP="00AE1C26">
            <w:pPr>
              <w:rPr>
                <w:rFonts w:cs="Calibri"/>
                <w:color w:val="000000"/>
                <w:lang w:eastAsia="en-GB"/>
              </w:rPr>
            </w:pPr>
            <w:r w:rsidRPr="00C4352A">
              <w:rPr>
                <w:rFonts w:cs="Calibri"/>
                <w:color w:val="000000"/>
                <w:lang w:eastAsia="en-GB"/>
              </w:rPr>
              <w:t>UK Fixed income unit trust</w:t>
            </w:r>
          </w:p>
        </w:tc>
        <w:tc>
          <w:tcPr>
            <w:tcW w:w="1136" w:type="dxa"/>
            <w:tcBorders>
              <w:top w:val="nil"/>
              <w:left w:val="nil"/>
              <w:bottom w:val="nil"/>
              <w:right w:val="nil"/>
            </w:tcBorders>
            <w:shd w:val="clear" w:color="000000" w:fill="FFFFFF"/>
            <w:noWrap/>
            <w:vAlign w:val="bottom"/>
            <w:hideMark/>
          </w:tcPr>
          <w:p w:rsidR="005C77F5" w:rsidRPr="00C4352A" w:rsidRDefault="005C77F5" w:rsidP="00AE1C26">
            <w:pPr>
              <w:rPr>
                <w:rFonts w:cs="Calibri"/>
                <w:color w:val="000000"/>
                <w:lang w:eastAsia="en-GB"/>
              </w:rPr>
            </w:pPr>
            <w:r w:rsidRPr="00C4352A">
              <w:rPr>
                <w:rFonts w:cs="Calibri"/>
                <w:color w:val="000000"/>
                <w:lang w:eastAsia="en-GB"/>
              </w:rPr>
              <w:t> </w:t>
            </w:r>
          </w:p>
        </w:tc>
        <w:tc>
          <w:tcPr>
            <w:tcW w:w="1816" w:type="dxa"/>
            <w:tcBorders>
              <w:top w:val="nil"/>
              <w:left w:val="nil"/>
              <w:bottom w:val="nil"/>
              <w:right w:val="nil"/>
            </w:tcBorders>
            <w:shd w:val="clear" w:color="000000" w:fill="FFFFFF"/>
            <w:noWrap/>
            <w:vAlign w:val="bottom"/>
            <w:hideMark/>
          </w:tcPr>
          <w:p w:rsidR="005C77F5" w:rsidRPr="00C4352A" w:rsidRDefault="005C77F5" w:rsidP="00AE1C26">
            <w:pPr>
              <w:jc w:val="right"/>
              <w:rPr>
                <w:rFonts w:cs="Calibri"/>
                <w:color w:val="000000"/>
                <w:lang w:eastAsia="en-GB"/>
              </w:rPr>
            </w:pPr>
            <w:r w:rsidRPr="00C4352A">
              <w:rPr>
                <w:rFonts w:cs="Calibri"/>
                <w:color w:val="000000"/>
                <w:lang w:eastAsia="en-GB"/>
              </w:rPr>
              <w:t>35.5</w:t>
            </w:r>
          </w:p>
        </w:tc>
        <w:tc>
          <w:tcPr>
            <w:tcW w:w="1816" w:type="dxa"/>
            <w:tcBorders>
              <w:top w:val="nil"/>
              <w:left w:val="nil"/>
              <w:bottom w:val="nil"/>
              <w:right w:val="nil"/>
            </w:tcBorders>
            <w:shd w:val="clear" w:color="000000" w:fill="FFFFFF"/>
            <w:noWrap/>
            <w:vAlign w:val="bottom"/>
            <w:hideMark/>
          </w:tcPr>
          <w:p w:rsidR="005C77F5" w:rsidRPr="00C4352A" w:rsidRDefault="005C77F5" w:rsidP="00AE1C26">
            <w:pPr>
              <w:jc w:val="right"/>
              <w:rPr>
                <w:rFonts w:cs="Calibri"/>
                <w:color w:val="000000"/>
                <w:lang w:eastAsia="en-GB"/>
              </w:rPr>
            </w:pPr>
            <w:r w:rsidRPr="00C4352A">
              <w:rPr>
                <w:rFonts w:cs="Calibri"/>
                <w:color w:val="000000"/>
                <w:lang w:eastAsia="en-GB"/>
              </w:rPr>
              <w:t>30.6</w:t>
            </w:r>
          </w:p>
        </w:tc>
      </w:tr>
      <w:tr w:rsidR="005C77F5" w:rsidRPr="00C4352A" w:rsidTr="00AE1C26">
        <w:trPr>
          <w:trHeight w:val="286"/>
        </w:trPr>
        <w:tc>
          <w:tcPr>
            <w:tcW w:w="2956" w:type="dxa"/>
            <w:tcBorders>
              <w:top w:val="nil"/>
              <w:left w:val="nil"/>
              <w:bottom w:val="nil"/>
              <w:right w:val="nil"/>
            </w:tcBorders>
            <w:shd w:val="clear" w:color="000000" w:fill="FFFFFF"/>
            <w:noWrap/>
            <w:vAlign w:val="bottom"/>
            <w:hideMark/>
          </w:tcPr>
          <w:p w:rsidR="005C77F5" w:rsidRPr="00C4352A" w:rsidRDefault="005C77F5" w:rsidP="00AE1C26">
            <w:pPr>
              <w:rPr>
                <w:rFonts w:cs="Calibri"/>
                <w:color w:val="000000"/>
                <w:lang w:eastAsia="en-GB"/>
              </w:rPr>
            </w:pPr>
            <w:r w:rsidRPr="00C4352A">
              <w:rPr>
                <w:rFonts w:cs="Calibri"/>
                <w:color w:val="000000"/>
                <w:lang w:eastAsia="en-GB"/>
              </w:rPr>
              <w:t> </w:t>
            </w:r>
          </w:p>
        </w:tc>
        <w:tc>
          <w:tcPr>
            <w:tcW w:w="1136" w:type="dxa"/>
            <w:tcBorders>
              <w:top w:val="nil"/>
              <w:left w:val="nil"/>
              <w:bottom w:val="nil"/>
              <w:right w:val="nil"/>
            </w:tcBorders>
            <w:shd w:val="clear" w:color="000000" w:fill="FFFFFF"/>
            <w:noWrap/>
            <w:vAlign w:val="bottom"/>
            <w:hideMark/>
          </w:tcPr>
          <w:p w:rsidR="005C77F5" w:rsidRPr="00C4352A" w:rsidRDefault="005C77F5" w:rsidP="00AE1C26">
            <w:pPr>
              <w:rPr>
                <w:rFonts w:cs="Calibri"/>
                <w:color w:val="000000"/>
                <w:lang w:eastAsia="en-GB"/>
              </w:rPr>
            </w:pPr>
            <w:r w:rsidRPr="00C4352A">
              <w:rPr>
                <w:rFonts w:cs="Calibri"/>
                <w:color w:val="000000"/>
                <w:lang w:eastAsia="en-GB"/>
              </w:rPr>
              <w:t> </w:t>
            </w:r>
          </w:p>
        </w:tc>
        <w:tc>
          <w:tcPr>
            <w:tcW w:w="1816" w:type="dxa"/>
            <w:tcBorders>
              <w:top w:val="nil"/>
              <w:left w:val="nil"/>
              <w:bottom w:val="nil"/>
              <w:right w:val="nil"/>
            </w:tcBorders>
            <w:shd w:val="clear" w:color="000000" w:fill="FFFFFF"/>
            <w:noWrap/>
            <w:vAlign w:val="bottom"/>
            <w:hideMark/>
          </w:tcPr>
          <w:p w:rsidR="005C77F5" w:rsidRPr="00C4352A" w:rsidRDefault="005C77F5" w:rsidP="00AE1C26">
            <w:pPr>
              <w:rPr>
                <w:rFonts w:cs="Calibri"/>
                <w:color w:val="000000"/>
                <w:lang w:eastAsia="en-GB"/>
              </w:rPr>
            </w:pPr>
            <w:r w:rsidRPr="00C4352A">
              <w:rPr>
                <w:rFonts w:cs="Calibri"/>
                <w:color w:val="000000"/>
                <w:lang w:eastAsia="en-GB"/>
              </w:rPr>
              <w:t> </w:t>
            </w:r>
          </w:p>
        </w:tc>
        <w:tc>
          <w:tcPr>
            <w:tcW w:w="1816" w:type="dxa"/>
            <w:tcBorders>
              <w:top w:val="nil"/>
              <w:left w:val="nil"/>
              <w:bottom w:val="nil"/>
              <w:right w:val="nil"/>
            </w:tcBorders>
            <w:shd w:val="clear" w:color="000000" w:fill="FFFFFF"/>
            <w:noWrap/>
            <w:vAlign w:val="bottom"/>
            <w:hideMark/>
          </w:tcPr>
          <w:p w:rsidR="005C77F5" w:rsidRPr="00C4352A" w:rsidRDefault="005C77F5" w:rsidP="00AE1C26">
            <w:pPr>
              <w:rPr>
                <w:rFonts w:cs="Calibri"/>
                <w:color w:val="000000"/>
                <w:lang w:eastAsia="en-GB"/>
              </w:rPr>
            </w:pPr>
            <w:r w:rsidRPr="00C4352A">
              <w:rPr>
                <w:rFonts w:cs="Calibri"/>
                <w:color w:val="000000"/>
                <w:lang w:eastAsia="en-GB"/>
              </w:rPr>
              <w:t> </w:t>
            </w:r>
          </w:p>
        </w:tc>
      </w:tr>
      <w:tr w:rsidR="005C77F5" w:rsidRPr="00C4352A" w:rsidTr="00AE1C26">
        <w:trPr>
          <w:trHeight w:val="299"/>
        </w:trPr>
        <w:tc>
          <w:tcPr>
            <w:tcW w:w="2956" w:type="dxa"/>
            <w:tcBorders>
              <w:top w:val="nil"/>
              <w:left w:val="nil"/>
              <w:bottom w:val="nil"/>
              <w:right w:val="nil"/>
            </w:tcBorders>
            <w:shd w:val="clear" w:color="000000" w:fill="FFFFFF"/>
            <w:noWrap/>
            <w:vAlign w:val="bottom"/>
            <w:hideMark/>
          </w:tcPr>
          <w:p w:rsidR="005C77F5" w:rsidRPr="00C4352A" w:rsidRDefault="005C77F5" w:rsidP="00AE1C26">
            <w:pPr>
              <w:rPr>
                <w:rFonts w:cs="Calibri"/>
                <w:b/>
                <w:bCs/>
                <w:color w:val="000000"/>
                <w:lang w:eastAsia="en-GB"/>
              </w:rPr>
            </w:pPr>
            <w:r w:rsidRPr="00C4352A">
              <w:rPr>
                <w:rFonts w:cs="Calibri"/>
                <w:b/>
                <w:bCs/>
                <w:color w:val="000000"/>
                <w:lang w:eastAsia="en-GB"/>
              </w:rPr>
              <w:t>Total</w:t>
            </w:r>
          </w:p>
        </w:tc>
        <w:tc>
          <w:tcPr>
            <w:tcW w:w="1136" w:type="dxa"/>
            <w:tcBorders>
              <w:top w:val="nil"/>
              <w:left w:val="nil"/>
              <w:bottom w:val="nil"/>
              <w:right w:val="nil"/>
            </w:tcBorders>
            <w:shd w:val="clear" w:color="000000" w:fill="FFFFFF"/>
            <w:noWrap/>
            <w:vAlign w:val="bottom"/>
            <w:hideMark/>
          </w:tcPr>
          <w:p w:rsidR="005C77F5" w:rsidRPr="00C4352A" w:rsidRDefault="005C77F5" w:rsidP="00AE1C26">
            <w:pPr>
              <w:rPr>
                <w:rFonts w:cs="Calibri"/>
                <w:color w:val="000000"/>
                <w:lang w:eastAsia="en-GB"/>
              </w:rPr>
            </w:pPr>
            <w:r w:rsidRPr="00C4352A">
              <w:rPr>
                <w:rFonts w:cs="Calibri"/>
                <w:color w:val="000000"/>
                <w:lang w:eastAsia="en-GB"/>
              </w:rPr>
              <w:t> </w:t>
            </w:r>
          </w:p>
        </w:tc>
        <w:tc>
          <w:tcPr>
            <w:tcW w:w="1816" w:type="dxa"/>
            <w:tcBorders>
              <w:top w:val="single" w:sz="4" w:space="0" w:color="auto"/>
              <w:left w:val="nil"/>
              <w:bottom w:val="double" w:sz="6" w:space="0" w:color="auto"/>
              <w:right w:val="nil"/>
            </w:tcBorders>
            <w:shd w:val="clear" w:color="000000" w:fill="FFFFFF"/>
            <w:noWrap/>
            <w:vAlign w:val="bottom"/>
            <w:hideMark/>
          </w:tcPr>
          <w:p w:rsidR="005C77F5" w:rsidRPr="00C4352A" w:rsidRDefault="005C77F5" w:rsidP="00AE1C26">
            <w:pPr>
              <w:jc w:val="right"/>
              <w:rPr>
                <w:rFonts w:cs="Calibri"/>
                <w:b/>
                <w:bCs/>
                <w:color w:val="000000"/>
                <w:lang w:eastAsia="en-GB"/>
              </w:rPr>
            </w:pPr>
            <w:r w:rsidRPr="00C4352A">
              <w:rPr>
                <w:rFonts w:cs="Calibri"/>
                <w:b/>
                <w:bCs/>
                <w:color w:val="000000"/>
                <w:lang w:eastAsia="en-GB"/>
              </w:rPr>
              <w:t>59.0</w:t>
            </w:r>
          </w:p>
        </w:tc>
        <w:tc>
          <w:tcPr>
            <w:tcW w:w="1816" w:type="dxa"/>
            <w:tcBorders>
              <w:top w:val="single" w:sz="4" w:space="0" w:color="auto"/>
              <w:left w:val="nil"/>
              <w:bottom w:val="double" w:sz="6" w:space="0" w:color="auto"/>
              <w:right w:val="nil"/>
            </w:tcBorders>
            <w:shd w:val="clear" w:color="000000" w:fill="FFFFFF"/>
            <w:noWrap/>
            <w:vAlign w:val="bottom"/>
            <w:hideMark/>
          </w:tcPr>
          <w:p w:rsidR="005C77F5" w:rsidRPr="00C4352A" w:rsidRDefault="005C77F5" w:rsidP="00AE1C26">
            <w:pPr>
              <w:jc w:val="right"/>
              <w:rPr>
                <w:rFonts w:cs="Calibri"/>
                <w:b/>
                <w:bCs/>
                <w:color w:val="000000"/>
                <w:lang w:eastAsia="en-GB"/>
              </w:rPr>
            </w:pPr>
            <w:r w:rsidRPr="00C4352A">
              <w:rPr>
                <w:rFonts w:cs="Calibri"/>
                <w:b/>
                <w:bCs/>
                <w:color w:val="000000"/>
                <w:lang w:eastAsia="en-GB"/>
              </w:rPr>
              <w:t>84.5</w:t>
            </w:r>
          </w:p>
        </w:tc>
      </w:tr>
    </w:tbl>
    <w:p w:rsidR="005C77F5" w:rsidRDefault="00F72906" w:rsidP="005C77F5">
      <w:r>
        <w:t xml:space="preserve"> </w:t>
      </w:r>
    </w:p>
    <w:tbl>
      <w:tblPr>
        <w:tblW w:w="4299" w:type="pct"/>
        <w:tblLook w:val="01E0" w:firstRow="1" w:lastRow="1" w:firstColumn="1" w:lastColumn="1" w:noHBand="0" w:noVBand="0"/>
      </w:tblPr>
      <w:tblGrid>
        <w:gridCol w:w="3366"/>
        <w:gridCol w:w="1596"/>
        <w:gridCol w:w="1679"/>
        <w:gridCol w:w="1748"/>
      </w:tblGrid>
      <w:tr w:rsidR="005C77F5" w:rsidRPr="00216C18" w:rsidTr="005C77F5">
        <w:trPr>
          <w:trHeight w:val="758"/>
        </w:trPr>
        <w:tc>
          <w:tcPr>
            <w:tcW w:w="2006" w:type="pct"/>
          </w:tcPr>
          <w:p w:rsidR="005C77F5" w:rsidRPr="00216C18" w:rsidRDefault="005C77F5" w:rsidP="00AE1C26">
            <w:pPr>
              <w:widowControl w:val="0"/>
              <w:tabs>
                <w:tab w:val="right" w:pos="7200"/>
              </w:tabs>
              <w:rPr>
                <w:rFonts w:cs="Segoe UI Light"/>
                <w:b/>
                <w:snapToGrid w:val="0"/>
                <w:color w:val="000000"/>
              </w:rPr>
            </w:pPr>
          </w:p>
          <w:p w:rsidR="005C77F5" w:rsidRPr="00216C18" w:rsidRDefault="005C77F5" w:rsidP="00AE1C26">
            <w:pPr>
              <w:widowControl w:val="0"/>
              <w:tabs>
                <w:tab w:val="right" w:pos="7200"/>
              </w:tabs>
              <w:rPr>
                <w:rFonts w:cs="Segoe UI Light"/>
                <w:b/>
                <w:snapToGrid w:val="0"/>
                <w:color w:val="000000"/>
              </w:rPr>
            </w:pPr>
            <w:r w:rsidRPr="00216C18">
              <w:rPr>
                <w:rFonts w:cs="Segoe UI Light"/>
                <w:b/>
                <w:snapToGrid w:val="0"/>
                <w:color w:val="000000"/>
              </w:rPr>
              <w:t>Asset type</w:t>
            </w:r>
          </w:p>
        </w:tc>
        <w:tc>
          <w:tcPr>
            <w:tcW w:w="951" w:type="pct"/>
            <w:tcBorders>
              <w:bottom w:val="single" w:sz="4" w:space="0" w:color="auto"/>
            </w:tcBorders>
          </w:tcPr>
          <w:p w:rsidR="005C77F5" w:rsidRPr="00216C18" w:rsidRDefault="005C77F5" w:rsidP="00AE1C26">
            <w:pPr>
              <w:widowControl w:val="0"/>
              <w:tabs>
                <w:tab w:val="right" w:pos="7200"/>
              </w:tabs>
              <w:ind w:hanging="132"/>
              <w:jc w:val="right"/>
              <w:rPr>
                <w:rFonts w:cs="Segoe UI Light"/>
                <w:b/>
                <w:snapToGrid w:val="0"/>
                <w:color w:val="000000"/>
              </w:rPr>
            </w:pPr>
            <w:r w:rsidRPr="00216C18">
              <w:rPr>
                <w:rFonts w:cs="Segoe UI Light"/>
                <w:b/>
                <w:snapToGrid w:val="0"/>
                <w:color w:val="000000"/>
              </w:rPr>
              <w:t>Carrying amount as at 31 March 2020</w:t>
            </w:r>
          </w:p>
        </w:tc>
        <w:tc>
          <w:tcPr>
            <w:tcW w:w="2043" w:type="pct"/>
            <w:gridSpan w:val="2"/>
          </w:tcPr>
          <w:p w:rsidR="005C77F5" w:rsidRPr="00216C18" w:rsidRDefault="005C77F5" w:rsidP="00AE1C26">
            <w:pPr>
              <w:widowControl w:val="0"/>
              <w:tabs>
                <w:tab w:val="right" w:pos="7200"/>
              </w:tabs>
              <w:ind w:hanging="132"/>
              <w:jc w:val="right"/>
              <w:rPr>
                <w:rFonts w:cs="Segoe UI Light"/>
                <w:b/>
                <w:snapToGrid w:val="0"/>
                <w:color w:val="000000"/>
              </w:rPr>
            </w:pPr>
            <w:r w:rsidRPr="00216C18">
              <w:rPr>
                <w:rFonts w:cs="Segoe UI Light"/>
                <w:b/>
                <w:snapToGrid w:val="0"/>
                <w:color w:val="000000"/>
              </w:rPr>
              <w:t>Change in year in the net assets available to pay benefits</w:t>
            </w:r>
          </w:p>
        </w:tc>
      </w:tr>
      <w:tr w:rsidR="005C77F5" w:rsidRPr="00216C18" w:rsidTr="005C77F5">
        <w:trPr>
          <w:trHeight w:val="239"/>
        </w:trPr>
        <w:tc>
          <w:tcPr>
            <w:tcW w:w="2006" w:type="pct"/>
          </w:tcPr>
          <w:p w:rsidR="005C77F5" w:rsidRPr="00216C18" w:rsidRDefault="005C77F5" w:rsidP="00AE1C26">
            <w:pPr>
              <w:widowControl w:val="0"/>
              <w:tabs>
                <w:tab w:val="right" w:pos="7200"/>
              </w:tabs>
              <w:ind w:hanging="132"/>
              <w:rPr>
                <w:rFonts w:cs="Segoe UI Light"/>
                <w:snapToGrid w:val="0"/>
                <w:color w:val="000000"/>
              </w:rPr>
            </w:pPr>
          </w:p>
        </w:tc>
        <w:tc>
          <w:tcPr>
            <w:tcW w:w="951" w:type="pct"/>
            <w:tcBorders>
              <w:top w:val="single" w:sz="4" w:space="0" w:color="auto"/>
            </w:tcBorders>
          </w:tcPr>
          <w:p w:rsidR="005C77F5" w:rsidRPr="00216C18" w:rsidRDefault="005C77F5" w:rsidP="00AE1C26">
            <w:pPr>
              <w:widowControl w:val="0"/>
              <w:tabs>
                <w:tab w:val="right" w:pos="7200"/>
              </w:tabs>
              <w:ind w:hanging="132"/>
              <w:jc w:val="right"/>
              <w:rPr>
                <w:rFonts w:cs="Segoe UI Light"/>
                <w:b/>
                <w:snapToGrid w:val="0"/>
                <w:color w:val="000000"/>
              </w:rPr>
            </w:pPr>
          </w:p>
        </w:tc>
        <w:tc>
          <w:tcPr>
            <w:tcW w:w="1001" w:type="pct"/>
          </w:tcPr>
          <w:p w:rsidR="005C77F5" w:rsidRPr="00216C18" w:rsidRDefault="005C77F5" w:rsidP="00AE1C26">
            <w:pPr>
              <w:widowControl w:val="0"/>
              <w:tabs>
                <w:tab w:val="right" w:pos="7200"/>
              </w:tabs>
              <w:ind w:hanging="132"/>
              <w:jc w:val="right"/>
              <w:rPr>
                <w:rFonts w:cs="Segoe UI Light"/>
                <w:b/>
                <w:snapToGrid w:val="0"/>
                <w:color w:val="000000"/>
              </w:rPr>
            </w:pPr>
            <w:r w:rsidRPr="00216C18">
              <w:rPr>
                <w:rFonts w:cs="Segoe UI Light"/>
                <w:b/>
                <w:snapToGrid w:val="0"/>
                <w:color w:val="000000"/>
              </w:rPr>
              <w:t>+100 BPS</w:t>
            </w:r>
          </w:p>
        </w:tc>
        <w:tc>
          <w:tcPr>
            <w:tcW w:w="1042" w:type="pct"/>
          </w:tcPr>
          <w:p w:rsidR="005C77F5" w:rsidRPr="00216C18" w:rsidRDefault="005C77F5" w:rsidP="00AE1C26">
            <w:pPr>
              <w:widowControl w:val="0"/>
              <w:tabs>
                <w:tab w:val="right" w:pos="7200"/>
              </w:tabs>
              <w:ind w:hanging="132"/>
              <w:jc w:val="right"/>
              <w:rPr>
                <w:rFonts w:cs="Segoe UI Light"/>
                <w:b/>
                <w:snapToGrid w:val="0"/>
                <w:color w:val="000000"/>
              </w:rPr>
            </w:pPr>
            <w:r w:rsidRPr="00216C18">
              <w:rPr>
                <w:rFonts w:cs="Segoe UI Light"/>
                <w:b/>
                <w:snapToGrid w:val="0"/>
                <w:color w:val="000000"/>
              </w:rPr>
              <w:t>-100 BPS</w:t>
            </w:r>
          </w:p>
        </w:tc>
      </w:tr>
      <w:tr w:rsidR="005C77F5" w:rsidRPr="00216C18" w:rsidTr="005C77F5">
        <w:trPr>
          <w:trHeight w:val="251"/>
        </w:trPr>
        <w:tc>
          <w:tcPr>
            <w:tcW w:w="2006" w:type="pct"/>
          </w:tcPr>
          <w:p w:rsidR="005C77F5" w:rsidRPr="00216C18" w:rsidRDefault="005C77F5" w:rsidP="00AE1C26">
            <w:pPr>
              <w:widowControl w:val="0"/>
              <w:tabs>
                <w:tab w:val="right" w:pos="7200"/>
              </w:tabs>
              <w:ind w:hanging="132"/>
              <w:rPr>
                <w:rFonts w:cs="Segoe UI Light"/>
                <w:snapToGrid w:val="0"/>
                <w:color w:val="000000"/>
              </w:rPr>
            </w:pPr>
          </w:p>
        </w:tc>
        <w:tc>
          <w:tcPr>
            <w:tcW w:w="951" w:type="pct"/>
          </w:tcPr>
          <w:p w:rsidR="005C77F5" w:rsidRPr="00216C18" w:rsidRDefault="005C77F5" w:rsidP="00AE1C26">
            <w:pPr>
              <w:widowControl w:val="0"/>
              <w:tabs>
                <w:tab w:val="right" w:pos="7200"/>
              </w:tabs>
              <w:ind w:hanging="132"/>
              <w:jc w:val="right"/>
              <w:rPr>
                <w:rFonts w:cs="Segoe UI Light"/>
                <w:b/>
                <w:snapToGrid w:val="0"/>
                <w:color w:val="000000"/>
              </w:rPr>
            </w:pPr>
            <w:r w:rsidRPr="00216C18">
              <w:rPr>
                <w:rFonts w:cs="Segoe UI Light"/>
                <w:b/>
                <w:snapToGrid w:val="0"/>
                <w:color w:val="000000"/>
              </w:rPr>
              <w:t>£m</w:t>
            </w:r>
          </w:p>
        </w:tc>
        <w:tc>
          <w:tcPr>
            <w:tcW w:w="1001" w:type="pct"/>
          </w:tcPr>
          <w:p w:rsidR="005C77F5" w:rsidRPr="00216C18" w:rsidRDefault="005C77F5" w:rsidP="00AE1C26">
            <w:pPr>
              <w:widowControl w:val="0"/>
              <w:tabs>
                <w:tab w:val="right" w:pos="7200"/>
              </w:tabs>
              <w:ind w:hanging="132"/>
              <w:jc w:val="right"/>
              <w:rPr>
                <w:rFonts w:cs="Segoe UI Light"/>
                <w:b/>
                <w:snapToGrid w:val="0"/>
                <w:color w:val="000000"/>
              </w:rPr>
            </w:pPr>
            <w:r w:rsidRPr="00216C18">
              <w:rPr>
                <w:rFonts w:cs="Segoe UI Light"/>
                <w:b/>
                <w:snapToGrid w:val="0"/>
                <w:color w:val="000000"/>
              </w:rPr>
              <w:t>£m</w:t>
            </w:r>
          </w:p>
        </w:tc>
        <w:tc>
          <w:tcPr>
            <w:tcW w:w="1042" w:type="pct"/>
          </w:tcPr>
          <w:p w:rsidR="005C77F5" w:rsidRPr="00216C18" w:rsidRDefault="005C77F5" w:rsidP="00AE1C26">
            <w:pPr>
              <w:widowControl w:val="0"/>
              <w:tabs>
                <w:tab w:val="right" w:pos="7200"/>
              </w:tabs>
              <w:ind w:hanging="132"/>
              <w:jc w:val="right"/>
              <w:rPr>
                <w:rFonts w:cs="Segoe UI Light"/>
                <w:b/>
                <w:snapToGrid w:val="0"/>
                <w:color w:val="000000"/>
              </w:rPr>
            </w:pPr>
            <w:r w:rsidRPr="00216C18">
              <w:rPr>
                <w:rFonts w:cs="Segoe UI Light"/>
                <w:b/>
                <w:snapToGrid w:val="0"/>
                <w:color w:val="000000"/>
              </w:rPr>
              <w:t>£m</w:t>
            </w:r>
          </w:p>
        </w:tc>
      </w:tr>
      <w:tr w:rsidR="005C77F5" w:rsidRPr="00216C18" w:rsidTr="005C77F5">
        <w:trPr>
          <w:trHeight w:val="239"/>
        </w:trPr>
        <w:tc>
          <w:tcPr>
            <w:tcW w:w="2006" w:type="pct"/>
          </w:tcPr>
          <w:p w:rsidR="005C77F5" w:rsidRPr="00216C18" w:rsidRDefault="005C77F5" w:rsidP="00AE1C26">
            <w:pPr>
              <w:widowControl w:val="0"/>
              <w:tabs>
                <w:tab w:val="right" w:pos="7200"/>
              </w:tabs>
              <w:ind w:hanging="132"/>
              <w:rPr>
                <w:rFonts w:cs="Segoe UI Light"/>
                <w:snapToGrid w:val="0"/>
                <w:color w:val="000000"/>
              </w:rPr>
            </w:pPr>
          </w:p>
        </w:tc>
        <w:tc>
          <w:tcPr>
            <w:tcW w:w="951" w:type="pct"/>
          </w:tcPr>
          <w:p w:rsidR="005C77F5" w:rsidRPr="00216C18" w:rsidRDefault="005C77F5" w:rsidP="00AE1C26">
            <w:pPr>
              <w:widowControl w:val="0"/>
              <w:tabs>
                <w:tab w:val="right" w:pos="7200"/>
              </w:tabs>
              <w:ind w:hanging="132"/>
              <w:jc w:val="right"/>
              <w:rPr>
                <w:rFonts w:cs="Segoe UI Light"/>
                <w:snapToGrid w:val="0"/>
                <w:color w:val="000000"/>
              </w:rPr>
            </w:pPr>
          </w:p>
        </w:tc>
        <w:tc>
          <w:tcPr>
            <w:tcW w:w="1001" w:type="pct"/>
          </w:tcPr>
          <w:p w:rsidR="005C77F5" w:rsidRPr="00216C18" w:rsidRDefault="005C77F5" w:rsidP="00AE1C26">
            <w:pPr>
              <w:widowControl w:val="0"/>
              <w:tabs>
                <w:tab w:val="right" w:pos="7200"/>
              </w:tabs>
              <w:ind w:hanging="132"/>
              <w:jc w:val="right"/>
              <w:rPr>
                <w:rFonts w:cs="Segoe UI Light"/>
                <w:snapToGrid w:val="0"/>
                <w:color w:val="000000"/>
              </w:rPr>
            </w:pPr>
          </w:p>
        </w:tc>
        <w:tc>
          <w:tcPr>
            <w:tcW w:w="1042" w:type="pct"/>
          </w:tcPr>
          <w:p w:rsidR="005C77F5" w:rsidRPr="00216C18" w:rsidRDefault="005C77F5" w:rsidP="00AE1C26">
            <w:pPr>
              <w:widowControl w:val="0"/>
              <w:tabs>
                <w:tab w:val="right" w:pos="7200"/>
              </w:tabs>
              <w:ind w:hanging="132"/>
              <w:jc w:val="right"/>
              <w:rPr>
                <w:rFonts w:cs="Segoe UI Light"/>
                <w:snapToGrid w:val="0"/>
                <w:color w:val="000000"/>
              </w:rPr>
            </w:pPr>
          </w:p>
        </w:tc>
      </w:tr>
      <w:tr w:rsidR="005C77F5" w:rsidRPr="00216C18" w:rsidTr="005C77F5">
        <w:trPr>
          <w:trHeight w:val="226"/>
        </w:trPr>
        <w:tc>
          <w:tcPr>
            <w:tcW w:w="2006" w:type="pct"/>
          </w:tcPr>
          <w:p w:rsidR="005C77F5" w:rsidRPr="00216C18" w:rsidRDefault="005C77F5" w:rsidP="00AE1C26">
            <w:pPr>
              <w:widowControl w:val="0"/>
              <w:tabs>
                <w:tab w:val="right" w:pos="7200"/>
              </w:tabs>
              <w:ind w:hanging="132"/>
              <w:rPr>
                <w:rFonts w:cs="Segoe UI Light"/>
                <w:snapToGrid w:val="0"/>
                <w:color w:val="000000"/>
              </w:rPr>
            </w:pPr>
            <w:r w:rsidRPr="00216C18">
              <w:rPr>
                <w:rFonts w:cs="Segoe UI Light"/>
                <w:snapToGrid w:val="0"/>
                <w:color w:val="000000"/>
              </w:rPr>
              <w:t>Cash balances</w:t>
            </w:r>
          </w:p>
        </w:tc>
        <w:tc>
          <w:tcPr>
            <w:tcW w:w="951" w:type="pct"/>
            <w:tcBorders>
              <w:top w:val="nil"/>
              <w:left w:val="nil"/>
              <w:bottom w:val="nil"/>
              <w:right w:val="nil"/>
            </w:tcBorders>
            <w:shd w:val="clear" w:color="auto" w:fill="auto"/>
            <w:vAlign w:val="bottom"/>
          </w:tcPr>
          <w:p w:rsidR="005C77F5" w:rsidRPr="00216C18" w:rsidRDefault="005C77F5" w:rsidP="00AE1C26">
            <w:pPr>
              <w:widowControl w:val="0"/>
              <w:tabs>
                <w:tab w:val="right" w:pos="7200"/>
              </w:tabs>
              <w:ind w:hanging="132"/>
              <w:jc w:val="right"/>
              <w:rPr>
                <w:rFonts w:cs="Segoe UI Light"/>
                <w:snapToGrid w:val="0"/>
                <w:color w:val="000000"/>
              </w:rPr>
            </w:pPr>
            <w:r w:rsidRPr="00216C18">
              <w:rPr>
                <w:rFonts w:cs="Calibri"/>
                <w:color w:val="000000"/>
              </w:rPr>
              <w:t>53.9</w:t>
            </w:r>
          </w:p>
        </w:tc>
        <w:tc>
          <w:tcPr>
            <w:tcW w:w="1001" w:type="pct"/>
            <w:tcBorders>
              <w:top w:val="nil"/>
              <w:left w:val="nil"/>
              <w:bottom w:val="nil"/>
              <w:right w:val="nil"/>
            </w:tcBorders>
            <w:shd w:val="clear" w:color="auto" w:fill="auto"/>
            <w:vAlign w:val="bottom"/>
          </w:tcPr>
          <w:p w:rsidR="005C77F5" w:rsidRPr="00216C18" w:rsidRDefault="005C77F5" w:rsidP="00AE1C26">
            <w:pPr>
              <w:widowControl w:val="0"/>
              <w:tabs>
                <w:tab w:val="right" w:pos="7200"/>
              </w:tabs>
              <w:ind w:hanging="132"/>
              <w:jc w:val="right"/>
              <w:rPr>
                <w:rFonts w:cs="Segoe UI Light"/>
                <w:snapToGrid w:val="0"/>
                <w:color w:val="000000"/>
              </w:rPr>
            </w:pPr>
            <w:r w:rsidRPr="00216C18">
              <w:rPr>
                <w:rFonts w:cs="Calibri"/>
                <w:color w:val="000000"/>
              </w:rPr>
              <w:t>0.5</w:t>
            </w:r>
          </w:p>
        </w:tc>
        <w:tc>
          <w:tcPr>
            <w:tcW w:w="1042" w:type="pct"/>
            <w:tcBorders>
              <w:top w:val="nil"/>
              <w:left w:val="nil"/>
              <w:bottom w:val="nil"/>
              <w:right w:val="nil"/>
            </w:tcBorders>
            <w:shd w:val="clear" w:color="auto" w:fill="auto"/>
            <w:vAlign w:val="bottom"/>
          </w:tcPr>
          <w:p w:rsidR="005C77F5" w:rsidRPr="00216C18" w:rsidRDefault="005C77F5" w:rsidP="00AE1C26">
            <w:pPr>
              <w:widowControl w:val="0"/>
              <w:tabs>
                <w:tab w:val="right" w:pos="7200"/>
              </w:tabs>
              <w:ind w:hanging="132"/>
              <w:jc w:val="right"/>
              <w:rPr>
                <w:rFonts w:cs="Segoe UI Light"/>
                <w:snapToGrid w:val="0"/>
              </w:rPr>
            </w:pPr>
            <w:r w:rsidRPr="00216C18">
              <w:rPr>
                <w:rFonts w:cs="Calibri"/>
              </w:rPr>
              <w:t>(0.5)</w:t>
            </w:r>
          </w:p>
        </w:tc>
      </w:tr>
      <w:tr w:rsidR="005C77F5" w:rsidRPr="00216C18" w:rsidTr="005C77F5">
        <w:trPr>
          <w:trHeight w:val="226"/>
        </w:trPr>
        <w:tc>
          <w:tcPr>
            <w:tcW w:w="2006" w:type="pct"/>
          </w:tcPr>
          <w:p w:rsidR="005C77F5" w:rsidRPr="00216C18" w:rsidRDefault="005C77F5" w:rsidP="00AE1C26">
            <w:pPr>
              <w:widowControl w:val="0"/>
              <w:tabs>
                <w:tab w:val="right" w:pos="7200"/>
              </w:tabs>
              <w:ind w:hanging="132"/>
              <w:rPr>
                <w:rFonts w:cs="Segoe UI Light"/>
                <w:snapToGrid w:val="0"/>
                <w:color w:val="000000"/>
              </w:rPr>
            </w:pPr>
            <w:r w:rsidRPr="00216C18">
              <w:rPr>
                <w:rFonts w:cs="Segoe UI Light"/>
                <w:snapToGrid w:val="0"/>
                <w:color w:val="000000"/>
              </w:rPr>
              <w:t xml:space="preserve">UK Fixed income unit trust  </w:t>
            </w:r>
          </w:p>
        </w:tc>
        <w:tc>
          <w:tcPr>
            <w:tcW w:w="951" w:type="pct"/>
            <w:tcBorders>
              <w:top w:val="nil"/>
              <w:left w:val="nil"/>
              <w:bottom w:val="nil"/>
              <w:right w:val="nil"/>
            </w:tcBorders>
            <w:shd w:val="clear" w:color="auto" w:fill="auto"/>
            <w:vAlign w:val="bottom"/>
          </w:tcPr>
          <w:p w:rsidR="005C77F5" w:rsidRPr="00216C18" w:rsidRDefault="005C77F5" w:rsidP="00AE1C26">
            <w:pPr>
              <w:widowControl w:val="0"/>
              <w:tabs>
                <w:tab w:val="right" w:pos="7200"/>
              </w:tabs>
              <w:ind w:hanging="132"/>
              <w:jc w:val="right"/>
              <w:rPr>
                <w:rFonts w:cs="Segoe UI Light"/>
                <w:snapToGrid w:val="0"/>
                <w:color w:val="000000"/>
              </w:rPr>
            </w:pPr>
            <w:r w:rsidRPr="00216C18">
              <w:rPr>
                <w:rFonts w:cs="Calibri"/>
                <w:color w:val="000000"/>
              </w:rPr>
              <w:t>30.6</w:t>
            </w:r>
          </w:p>
        </w:tc>
        <w:tc>
          <w:tcPr>
            <w:tcW w:w="1001" w:type="pct"/>
            <w:tcBorders>
              <w:top w:val="nil"/>
              <w:left w:val="nil"/>
              <w:bottom w:val="nil"/>
              <w:right w:val="nil"/>
            </w:tcBorders>
            <w:shd w:val="clear" w:color="auto" w:fill="auto"/>
            <w:vAlign w:val="bottom"/>
          </w:tcPr>
          <w:p w:rsidR="005C77F5" w:rsidRPr="00216C18" w:rsidRDefault="005C77F5" w:rsidP="00AE1C26">
            <w:pPr>
              <w:widowControl w:val="0"/>
              <w:tabs>
                <w:tab w:val="right" w:pos="7200"/>
              </w:tabs>
              <w:ind w:hanging="132"/>
              <w:jc w:val="right"/>
              <w:rPr>
                <w:rFonts w:cs="Segoe UI Light"/>
                <w:snapToGrid w:val="0"/>
                <w:color w:val="000000"/>
              </w:rPr>
            </w:pPr>
            <w:r w:rsidRPr="00216C18">
              <w:rPr>
                <w:rFonts w:cs="Calibri"/>
                <w:color w:val="000000"/>
              </w:rPr>
              <w:t>0.3</w:t>
            </w:r>
          </w:p>
        </w:tc>
        <w:tc>
          <w:tcPr>
            <w:tcW w:w="1042" w:type="pct"/>
            <w:tcBorders>
              <w:top w:val="nil"/>
              <w:left w:val="nil"/>
              <w:bottom w:val="nil"/>
              <w:right w:val="nil"/>
            </w:tcBorders>
            <w:shd w:val="clear" w:color="auto" w:fill="auto"/>
            <w:vAlign w:val="bottom"/>
          </w:tcPr>
          <w:p w:rsidR="005C77F5" w:rsidRPr="00216C18" w:rsidRDefault="005C77F5" w:rsidP="00AE1C26">
            <w:pPr>
              <w:widowControl w:val="0"/>
              <w:tabs>
                <w:tab w:val="right" w:pos="7200"/>
              </w:tabs>
              <w:ind w:hanging="132"/>
              <w:jc w:val="right"/>
              <w:rPr>
                <w:rFonts w:cs="Segoe UI Light"/>
                <w:snapToGrid w:val="0"/>
              </w:rPr>
            </w:pPr>
            <w:r w:rsidRPr="00216C18">
              <w:rPr>
                <w:rFonts w:cs="Calibri"/>
              </w:rPr>
              <w:t>(0.3)</w:t>
            </w:r>
          </w:p>
        </w:tc>
      </w:tr>
      <w:tr w:rsidR="005C77F5" w:rsidRPr="00216C18" w:rsidTr="005C77F5">
        <w:trPr>
          <w:trHeight w:val="226"/>
        </w:trPr>
        <w:tc>
          <w:tcPr>
            <w:tcW w:w="2006" w:type="pct"/>
          </w:tcPr>
          <w:p w:rsidR="005C77F5" w:rsidRPr="00216C18" w:rsidRDefault="005C77F5" w:rsidP="00AE1C26">
            <w:pPr>
              <w:widowControl w:val="0"/>
              <w:tabs>
                <w:tab w:val="right" w:pos="7200"/>
              </w:tabs>
              <w:rPr>
                <w:rFonts w:cs="Segoe UI Light"/>
                <w:b/>
                <w:snapToGrid w:val="0"/>
                <w:color w:val="000000"/>
              </w:rPr>
            </w:pPr>
            <w:r w:rsidRPr="00216C18">
              <w:rPr>
                <w:rFonts w:cs="Segoe UI Light"/>
                <w:b/>
                <w:snapToGrid w:val="0"/>
                <w:color w:val="000000"/>
              </w:rPr>
              <w:t>Total change in assets available</w:t>
            </w:r>
          </w:p>
        </w:tc>
        <w:tc>
          <w:tcPr>
            <w:tcW w:w="951" w:type="pct"/>
            <w:tcBorders>
              <w:top w:val="single" w:sz="4" w:space="0" w:color="auto"/>
            </w:tcBorders>
          </w:tcPr>
          <w:p w:rsidR="005C77F5" w:rsidRPr="004B2301" w:rsidRDefault="005C77F5" w:rsidP="00AE1C26">
            <w:pPr>
              <w:widowControl w:val="0"/>
              <w:tabs>
                <w:tab w:val="right" w:pos="7200"/>
              </w:tabs>
              <w:ind w:hanging="132"/>
              <w:jc w:val="right"/>
              <w:rPr>
                <w:rFonts w:cs="Segoe UI Light"/>
                <w:b/>
                <w:snapToGrid w:val="0"/>
                <w:color w:val="000000"/>
              </w:rPr>
            </w:pPr>
            <w:r w:rsidRPr="004B2301">
              <w:rPr>
                <w:rFonts w:cs="Segoe UI Light"/>
                <w:b/>
                <w:snapToGrid w:val="0"/>
                <w:color w:val="000000"/>
              </w:rPr>
              <w:t>84.5</w:t>
            </w:r>
          </w:p>
        </w:tc>
        <w:tc>
          <w:tcPr>
            <w:tcW w:w="1001" w:type="pct"/>
            <w:tcBorders>
              <w:top w:val="single" w:sz="4" w:space="0" w:color="auto"/>
            </w:tcBorders>
          </w:tcPr>
          <w:p w:rsidR="005C77F5" w:rsidRPr="004B2301" w:rsidRDefault="005C77F5" w:rsidP="00AE1C26">
            <w:pPr>
              <w:widowControl w:val="0"/>
              <w:tabs>
                <w:tab w:val="right" w:pos="7200"/>
              </w:tabs>
              <w:ind w:hanging="132"/>
              <w:jc w:val="right"/>
              <w:rPr>
                <w:rFonts w:cs="Segoe UI Light"/>
                <w:b/>
                <w:snapToGrid w:val="0"/>
                <w:color w:val="000000"/>
              </w:rPr>
            </w:pPr>
            <w:r w:rsidRPr="004B2301">
              <w:rPr>
                <w:rFonts w:cs="Segoe UI Light"/>
                <w:b/>
                <w:snapToGrid w:val="0"/>
                <w:color w:val="000000"/>
              </w:rPr>
              <w:t>0.8</w:t>
            </w:r>
          </w:p>
        </w:tc>
        <w:tc>
          <w:tcPr>
            <w:tcW w:w="1042" w:type="pct"/>
            <w:tcBorders>
              <w:top w:val="single" w:sz="4" w:space="0" w:color="auto"/>
            </w:tcBorders>
          </w:tcPr>
          <w:p w:rsidR="005C77F5" w:rsidRPr="004B2301" w:rsidRDefault="005C77F5" w:rsidP="00AE1C26">
            <w:pPr>
              <w:widowControl w:val="0"/>
              <w:tabs>
                <w:tab w:val="right" w:pos="7200"/>
              </w:tabs>
              <w:ind w:hanging="132"/>
              <w:jc w:val="right"/>
              <w:rPr>
                <w:rFonts w:cs="Segoe UI Light"/>
                <w:b/>
                <w:snapToGrid w:val="0"/>
                <w:color w:val="000000"/>
              </w:rPr>
            </w:pPr>
            <w:r w:rsidRPr="004B2301">
              <w:rPr>
                <w:rFonts w:cs="Segoe UI Light"/>
                <w:b/>
                <w:snapToGrid w:val="0"/>
                <w:color w:val="000000"/>
              </w:rPr>
              <w:t>(0.8)</w:t>
            </w:r>
          </w:p>
        </w:tc>
      </w:tr>
      <w:tr w:rsidR="005C77F5" w:rsidRPr="00216C18" w:rsidTr="005C77F5">
        <w:trPr>
          <w:trHeight w:val="758"/>
        </w:trPr>
        <w:tc>
          <w:tcPr>
            <w:tcW w:w="2006" w:type="pct"/>
          </w:tcPr>
          <w:p w:rsidR="005C77F5" w:rsidRPr="00216C18" w:rsidRDefault="005C77F5" w:rsidP="00AE1C26">
            <w:pPr>
              <w:widowControl w:val="0"/>
              <w:tabs>
                <w:tab w:val="right" w:pos="7200"/>
              </w:tabs>
              <w:rPr>
                <w:rFonts w:cs="Segoe UI Light"/>
                <w:b/>
                <w:snapToGrid w:val="0"/>
                <w:color w:val="000000"/>
              </w:rPr>
            </w:pPr>
          </w:p>
        </w:tc>
        <w:tc>
          <w:tcPr>
            <w:tcW w:w="951" w:type="pct"/>
          </w:tcPr>
          <w:p w:rsidR="005C77F5" w:rsidRPr="00216C18" w:rsidRDefault="005C77F5" w:rsidP="00AE1C26">
            <w:pPr>
              <w:widowControl w:val="0"/>
              <w:tabs>
                <w:tab w:val="right" w:pos="7200"/>
              </w:tabs>
              <w:ind w:hanging="132"/>
              <w:jc w:val="right"/>
              <w:rPr>
                <w:rFonts w:cs="Segoe UI Light"/>
                <w:b/>
                <w:snapToGrid w:val="0"/>
                <w:color w:val="000000"/>
              </w:rPr>
            </w:pPr>
          </w:p>
        </w:tc>
        <w:tc>
          <w:tcPr>
            <w:tcW w:w="2043" w:type="pct"/>
            <w:gridSpan w:val="2"/>
          </w:tcPr>
          <w:p w:rsidR="005C77F5" w:rsidRPr="00216C18" w:rsidRDefault="005C77F5" w:rsidP="00AE1C26">
            <w:pPr>
              <w:widowControl w:val="0"/>
              <w:tabs>
                <w:tab w:val="right" w:pos="7200"/>
              </w:tabs>
              <w:ind w:hanging="132"/>
              <w:jc w:val="right"/>
              <w:rPr>
                <w:rFonts w:cs="Segoe UI Light"/>
                <w:b/>
                <w:snapToGrid w:val="0"/>
                <w:color w:val="000000"/>
              </w:rPr>
            </w:pPr>
          </w:p>
        </w:tc>
      </w:tr>
      <w:tr w:rsidR="005C77F5" w:rsidRPr="00216C18" w:rsidTr="005C77F5">
        <w:trPr>
          <w:trHeight w:val="758"/>
        </w:trPr>
        <w:tc>
          <w:tcPr>
            <w:tcW w:w="2006" w:type="pct"/>
          </w:tcPr>
          <w:p w:rsidR="005C77F5" w:rsidRPr="00216C18" w:rsidRDefault="005C77F5" w:rsidP="00AE1C26">
            <w:pPr>
              <w:widowControl w:val="0"/>
              <w:tabs>
                <w:tab w:val="right" w:pos="7200"/>
              </w:tabs>
              <w:rPr>
                <w:rFonts w:cs="Segoe UI Light"/>
                <w:b/>
                <w:snapToGrid w:val="0"/>
                <w:color w:val="000000"/>
              </w:rPr>
            </w:pPr>
            <w:r w:rsidRPr="00216C18">
              <w:rPr>
                <w:rFonts w:cs="Segoe UI Light"/>
                <w:b/>
                <w:snapToGrid w:val="0"/>
                <w:color w:val="000000"/>
              </w:rPr>
              <w:t>Asset type</w:t>
            </w:r>
          </w:p>
        </w:tc>
        <w:tc>
          <w:tcPr>
            <w:tcW w:w="951" w:type="pct"/>
            <w:tcBorders>
              <w:bottom w:val="single" w:sz="4" w:space="0" w:color="auto"/>
            </w:tcBorders>
          </w:tcPr>
          <w:p w:rsidR="005C77F5" w:rsidRPr="00216C18" w:rsidRDefault="005C77F5" w:rsidP="00AE1C26">
            <w:pPr>
              <w:widowControl w:val="0"/>
              <w:tabs>
                <w:tab w:val="right" w:pos="7200"/>
              </w:tabs>
              <w:ind w:hanging="132"/>
              <w:jc w:val="right"/>
              <w:rPr>
                <w:rFonts w:cs="Segoe UI Light"/>
                <w:b/>
                <w:snapToGrid w:val="0"/>
                <w:color w:val="000000"/>
              </w:rPr>
            </w:pPr>
            <w:r w:rsidRPr="00216C18">
              <w:rPr>
                <w:rFonts w:cs="Segoe UI Light"/>
                <w:b/>
                <w:snapToGrid w:val="0"/>
                <w:color w:val="000000"/>
              </w:rPr>
              <w:t>Carrying amount as at 31 March 2019</w:t>
            </w:r>
          </w:p>
        </w:tc>
        <w:tc>
          <w:tcPr>
            <w:tcW w:w="2043" w:type="pct"/>
            <w:gridSpan w:val="2"/>
          </w:tcPr>
          <w:p w:rsidR="005C77F5" w:rsidRPr="00216C18" w:rsidRDefault="005C77F5" w:rsidP="00AE1C26">
            <w:pPr>
              <w:widowControl w:val="0"/>
              <w:tabs>
                <w:tab w:val="right" w:pos="7200"/>
              </w:tabs>
              <w:ind w:hanging="132"/>
              <w:jc w:val="right"/>
              <w:rPr>
                <w:rFonts w:cs="Segoe UI Light"/>
                <w:b/>
                <w:snapToGrid w:val="0"/>
                <w:color w:val="000000"/>
              </w:rPr>
            </w:pPr>
            <w:r w:rsidRPr="00216C18">
              <w:rPr>
                <w:rFonts w:cs="Segoe UI Light"/>
                <w:b/>
                <w:snapToGrid w:val="0"/>
                <w:color w:val="000000"/>
              </w:rPr>
              <w:t>Change in year in the net assets available to pay benefits</w:t>
            </w:r>
          </w:p>
        </w:tc>
      </w:tr>
      <w:tr w:rsidR="005C77F5" w:rsidRPr="00216C18" w:rsidTr="005C77F5">
        <w:trPr>
          <w:trHeight w:val="239"/>
        </w:trPr>
        <w:tc>
          <w:tcPr>
            <w:tcW w:w="2006" w:type="pct"/>
          </w:tcPr>
          <w:p w:rsidR="005C77F5" w:rsidRPr="00216C18" w:rsidRDefault="005C77F5" w:rsidP="00AE1C26">
            <w:pPr>
              <w:widowControl w:val="0"/>
              <w:tabs>
                <w:tab w:val="right" w:pos="7200"/>
              </w:tabs>
              <w:ind w:hanging="132"/>
              <w:rPr>
                <w:rFonts w:cs="Segoe UI Light"/>
                <w:snapToGrid w:val="0"/>
                <w:color w:val="000000"/>
              </w:rPr>
            </w:pPr>
          </w:p>
        </w:tc>
        <w:tc>
          <w:tcPr>
            <w:tcW w:w="951" w:type="pct"/>
            <w:tcBorders>
              <w:top w:val="single" w:sz="4" w:space="0" w:color="auto"/>
            </w:tcBorders>
          </w:tcPr>
          <w:p w:rsidR="005C77F5" w:rsidRPr="00216C18" w:rsidRDefault="005C77F5" w:rsidP="00AE1C26">
            <w:pPr>
              <w:widowControl w:val="0"/>
              <w:tabs>
                <w:tab w:val="right" w:pos="7200"/>
              </w:tabs>
              <w:ind w:hanging="132"/>
              <w:jc w:val="right"/>
              <w:rPr>
                <w:rFonts w:cs="Segoe UI Light"/>
                <w:b/>
                <w:snapToGrid w:val="0"/>
                <w:color w:val="000000"/>
              </w:rPr>
            </w:pPr>
          </w:p>
        </w:tc>
        <w:tc>
          <w:tcPr>
            <w:tcW w:w="1001" w:type="pct"/>
          </w:tcPr>
          <w:p w:rsidR="005C77F5" w:rsidRPr="00216C18" w:rsidRDefault="005C77F5" w:rsidP="00AE1C26">
            <w:pPr>
              <w:widowControl w:val="0"/>
              <w:tabs>
                <w:tab w:val="right" w:pos="7200"/>
              </w:tabs>
              <w:ind w:hanging="132"/>
              <w:jc w:val="right"/>
              <w:rPr>
                <w:rFonts w:cs="Segoe UI Light"/>
                <w:b/>
                <w:snapToGrid w:val="0"/>
                <w:color w:val="000000"/>
              </w:rPr>
            </w:pPr>
            <w:r w:rsidRPr="00216C18">
              <w:rPr>
                <w:rFonts w:cs="Segoe UI Light"/>
                <w:b/>
                <w:snapToGrid w:val="0"/>
                <w:color w:val="000000"/>
              </w:rPr>
              <w:t>+100 BPS</w:t>
            </w:r>
          </w:p>
        </w:tc>
        <w:tc>
          <w:tcPr>
            <w:tcW w:w="1042" w:type="pct"/>
          </w:tcPr>
          <w:p w:rsidR="005C77F5" w:rsidRPr="00216C18" w:rsidRDefault="005C77F5" w:rsidP="00AE1C26">
            <w:pPr>
              <w:widowControl w:val="0"/>
              <w:tabs>
                <w:tab w:val="right" w:pos="7200"/>
              </w:tabs>
              <w:ind w:hanging="132"/>
              <w:jc w:val="right"/>
              <w:rPr>
                <w:rFonts w:cs="Segoe UI Light"/>
                <w:b/>
                <w:snapToGrid w:val="0"/>
                <w:color w:val="000000"/>
              </w:rPr>
            </w:pPr>
            <w:r w:rsidRPr="00216C18">
              <w:rPr>
                <w:rFonts w:cs="Segoe UI Light"/>
                <w:b/>
                <w:snapToGrid w:val="0"/>
                <w:color w:val="000000"/>
              </w:rPr>
              <w:t>-100 BPS</w:t>
            </w:r>
          </w:p>
        </w:tc>
      </w:tr>
      <w:tr w:rsidR="005C77F5" w:rsidRPr="00216C18" w:rsidTr="005C77F5">
        <w:trPr>
          <w:trHeight w:val="251"/>
        </w:trPr>
        <w:tc>
          <w:tcPr>
            <w:tcW w:w="2006" w:type="pct"/>
          </w:tcPr>
          <w:p w:rsidR="005C77F5" w:rsidRPr="00216C18" w:rsidRDefault="005C77F5" w:rsidP="00AE1C26">
            <w:pPr>
              <w:widowControl w:val="0"/>
              <w:tabs>
                <w:tab w:val="right" w:pos="7200"/>
              </w:tabs>
              <w:ind w:hanging="132"/>
              <w:rPr>
                <w:rFonts w:cs="Segoe UI Light"/>
                <w:snapToGrid w:val="0"/>
                <w:color w:val="000000"/>
              </w:rPr>
            </w:pPr>
          </w:p>
        </w:tc>
        <w:tc>
          <w:tcPr>
            <w:tcW w:w="951" w:type="pct"/>
          </w:tcPr>
          <w:p w:rsidR="005C77F5" w:rsidRPr="00216C18" w:rsidRDefault="005C77F5" w:rsidP="00AE1C26">
            <w:pPr>
              <w:widowControl w:val="0"/>
              <w:tabs>
                <w:tab w:val="right" w:pos="7200"/>
              </w:tabs>
              <w:ind w:hanging="132"/>
              <w:jc w:val="right"/>
              <w:rPr>
                <w:rFonts w:cs="Segoe UI Light"/>
                <w:b/>
                <w:snapToGrid w:val="0"/>
                <w:color w:val="000000"/>
              </w:rPr>
            </w:pPr>
            <w:r w:rsidRPr="00216C18">
              <w:rPr>
                <w:rFonts w:cs="Segoe UI Light"/>
                <w:b/>
                <w:snapToGrid w:val="0"/>
                <w:color w:val="000000"/>
              </w:rPr>
              <w:t>£m</w:t>
            </w:r>
          </w:p>
        </w:tc>
        <w:tc>
          <w:tcPr>
            <w:tcW w:w="1001" w:type="pct"/>
          </w:tcPr>
          <w:p w:rsidR="005C77F5" w:rsidRPr="00216C18" w:rsidRDefault="005C77F5" w:rsidP="00AE1C26">
            <w:pPr>
              <w:widowControl w:val="0"/>
              <w:tabs>
                <w:tab w:val="right" w:pos="7200"/>
              </w:tabs>
              <w:ind w:hanging="132"/>
              <w:jc w:val="right"/>
              <w:rPr>
                <w:rFonts w:cs="Segoe UI Light"/>
                <w:b/>
                <w:snapToGrid w:val="0"/>
                <w:color w:val="000000"/>
              </w:rPr>
            </w:pPr>
            <w:r w:rsidRPr="00216C18">
              <w:rPr>
                <w:rFonts w:cs="Segoe UI Light"/>
                <w:b/>
                <w:snapToGrid w:val="0"/>
                <w:color w:val="000000"/>
              </w:rPr>
              <w:t>£m</w:t>
            </w:r>
          </w:p>
        </w:tc>
        <w:tc>
          <w:tcPr>
            <w:tcW w:w="1042" w:type="pct"/>
          </w:tcPr>
          <w:p w:rsidR="005C77F5" w:rsidRPr="00216C18" w:rsidRDefault="005C77F5" w:rsidP="00AE1C26">
            <w:pPr>
              <w:widowControl w:val="0"/>
              <w:tabs>
                <w:tab w:val="right" w:pos="7200"/>
              </w:tabs>
              <w:ind w:hanging="132"/>
              <w:jc w:val="right"/>
              <w:rPr>
                <w:rFonts w:cs="Segoe UI Light"/>
                <w:b/>
                <w:snapToGrid w:val="0"/>
                <w:color w:val="000000"/>
              </w:rPr>
            </w:pPr>
            <w:r w:rsidRPr="00216C18">
              <w:rPr>
                <w:rFonts w:cs="Segoe UI Light"/>
                <w:b/>
                <w:snapToGrid w:val="0"/>
                <w:color w:val="000000"/>
              </w:rPr>
              <w:t>£m</w:t>
            </w:r>
          </w:p>
        </w:tc>
      </w:tr>
      <w:tr w:rsidR="005C77F5" w:rsidRPr="00216C18" w:rsidTr="005C77F5">
        <w:trPr>
          <w:trHeight w:val="239"/>
        </w:trPr>
        <w:tc>
          <w:tcPr>
            <w:tcW w:w="2006" w:type="pct"/>
          </w:tcPr>
          <w:p w:rsidR="005C77F5" w:rsidRPr="00216C18" w:rsidRDefault="005C77F5" w:rsidP="00AE1C26">
            <w:pPr>
              <w:widowControl w:val="0"/>
              <w:tabs>
                <w:tab w:val="right" w:pos="7200"/>
              </w:tabs>
              <w:ind w:hanging="132"/>
              <w:rPr>
                <w:rFonts w:cs="Segoe UI Light"/>
                <w:snapToGrid w:val="0"/>
                <w:color w:val="000000"/>
              </w:rPr>
            </w:pPr>
          </w:p>
        </w:tc>
        <w:tc>
          <w:tcPr>
            <w:tcW w:w="951" w:type="pct"/>
          </w:tcPr>
          <w:p w:rsidR="005C77F5" w:rsidRPr="00216C18" w:rsidRDefault="005C77F5" w:rsidP="00AE1C26">
            <w:pPr>
              <w:widowControl w:val="0"/>
              <w:tabs>
                <w:tab w:val="right" w:pos="7200"/>
              </w:tabs>
              <w:ind w:hanging="132"/>
              <w:jc w:val="right"/>
              <w:rPr>
                <w:rFonts w:cs="Segoe UI Light"/>
                <w:snapToGrid w:val="0"/>
                <w:color w:val="000000"/>
              </w:rPr>
            </w:pPr>
          </w:p>
        </w:tc>
        <w:tc>
          <w:tcPr>
            <w:tcW w:w="1001" w:type="pct"/>
          </w:tcPr>
          <w:p w:rsidR="005C77F5" w:rsidRPr="00216C18" w:rsidRDefault="005C77F5" w:rsidP="00AE1C26">
            <w:pPr>
              <w:widowControl w:val="0"/>
              <w:tabs>
                <w:tab w:val="right" w:pos="7200"/>
              </w:tabs>
              <w:ind w:hanging="132"/>
              <w:jc w:val="right"/>
              <w:rPr>
                <w:rFonts w:cs="Segoe UI Light"/>
                <w:snapToGrid w:val="0"/>
                <w:color w:val="000000"/>
              </w:rPr>
            </w:pPr>
          </w:p>
        </w:tc>
        <w:tc>
          <w:tcPr>
            <w:tcW w:w="1042" w:type="pct"/>
          </w:tcPr>
          <w:p w:rsidR="005C77F5" w:rsidRPr="00216C18" w:rsidRDefault="005C77F5" w:rsidP="00AE1C26">
            <w:pPr>
              <w:widowControl w:val="0"/>
              <w:tabs>
                <w:tab w:val="right" w:pos="7200"/>
              </w:tabs>
              <w:ind w:hanging="132"/>
              <w:jc w:val="right"/>
              <w:rPr>
                <w:rFonts w:cs="Segoe UI Light"/>
                <w:snapToGrid w:val="0"/>
                <w:color w:val="000000"/>
              </w:rPr>
            </w:pPr>
          </w:p>
        </w:tc>
      </w:tr>
      <w:tr w:rsidR="005C77F5" w:rsidRPr="00216C18" w:rsidTr="005C77F5">
        <w:trPr>
          <w:trHeight w:val="226"/>
        </w:trPr>
        <w:tc>
          <w:tcPr>
            <w:tcW w:w="2006" w:type="pct"/>
          </w:tcPr>
          <w:p w:rsidR="005C77F5" w:rsidRPr="00216C18" w:rsidRDefault="005C77F5" w:rsidP="00AE1C26">
            <w:pPr>
              <w:widowControl w:val="0"/>
              <w:tabs>
                <w:tab w:val="right" w:pos="7200"/>
              </w:tabs>
              <w:ind w:hanging="132"/>
              <w:rPr>
                <w:rFonts w:cs="Segoe UI Light"/>
                <w:snapToGrid w:val="0"/>
                <w:color w:val="000000"/>
              </w:rPr>
            </w:pPr>
            <w:r w:rsidRPr="00216C18">
              <w:rPr>
                <w:rFonts w:cs="Segoe UI Light"/>
                <w:snapToGrid w:val="0"/>
                <w:color w:val="000000"/>
              </w:rPr>
              <w:t>Cash balances</w:t>
            </w:r>
          </w:p>
        </w:tc>
        <w:tc>
          <w:tcPr>
            <w:tcW w:w="951" w:type="pct"/>
          </w:tcPr>
          <w:p w:rsidR="005C77F5" w:rsidRPr="00216C18" w:rsidRDefault="005C77F5" w:rsidP="00AE1C26">
            <w:pPr>
              <w:widowControl w:val="0"/>
              <w:tabs>
                <w:tab w:val="right" w:pos="7200"/>
              </w:tabs>
              <w:ind w:hanging="132"/>
              <w:jc w:val="right"/>
              <w:rPr>
                <w:rFonts w:cs="Segoe UI Light"/>
                <w:snapToGrid w:val="0"/>
                <w:color w:val="000000"/>
              </w:rPr>
            </w:pPr>
            <w:r w:rsidRPr="00216C18">
              <w:rPr>
                <w:rFonts w:cs="Segoe UI Light"/>
                <w:snapToGrid w:val="0"/>
                <w:color w:val="000000"/>
              </w:rPr>
              <w:t>23.5</w:t>
            </w:r>
          </w:p>
        </w:tc>
        <w:tc>
          <w:tcPr>
            <w:tcW w:w="1001" w:type="pct"/>
          </w:tcPr>
          <w:p w:rsidR="005C77F5" w:rsidRPr="00216C18" w:rsidRDefault="005C77F5" w:rsidP="00AE1C26">
            <w:pPr>
              <w:widowControl w:val="0"/>
              <w:tabs>
                <w:tab w:val="right" w:pos="7200"/>
              </w:tabs>
              <w:ind w:hanging="132"/>
              <w:jc w:val="right"/>
              <w:rPr>
                <w:rFonts w:cs="Segoe UI Light"/>
                <w:snapToGrid w:val="0"/>
                <w:color w:val="000000"/>
              </w:rPr>
            </w:pPr>
            <w:r w:rsidRPr="00216C18">
              <w:rPr>
                <w:rFonts w:cs="Segoe UI Light"/>
                <w:snapToGrid w:val="0"/>
                <w:color w:val="000000"/>
              </w:rPr>
              <w:t>0.2</w:t>
            </w:r>
          </w:p>
        </w:tc>
        <w:tc>
          <w:tcPr>
            <w:tcW w:w="1042" w:type="pct"/>
          </w:tcPr>
          <w:p w:rsidR="005C77F5" w:rsidRPr="00216C18" w:rsidRDefault="005C77F5" w:rsidP="00AE1C26">
            <w:pPr>
              <w:widowControl w:val="0"/>
              <w:tabs>
                <w:tab w:val="right" w:pos="7200"/>
              </w:tabs>
              <w:ind w:hanging="132"/>
              <w:jc w:val="right"/>
              <w:rPr>
                <w:rFonts w:cs="Segoe UI Light"/>
                <w:snapToGrid w:val="0"/>
                <w:color w:val="000000"/>
              </w:rPr>
            </w:pPr>
            <w:r w:rsidRPr="00216C18">
              <w:rPr>
                <w:rFonts w:cs="Segoe UI Light"/>
                <w:snapToGrid w:val="0"/>
                <w:color w:val="000000"/>
              </w:rPr>
              <w:t>(0.2)</w:t>
            </w:r>
          </w:p>
        </w:tc>
      </w:tr>
      <w:tr w:rsidR="005C77F5" w:rsidRPr="00216C18" w:rsidTr="005C77F5">
        <w:trPr>
          <w:trHeight w:val="226"/>
        </w:trPr>
        <w:tc>
          <w:tcPr>
            <w:tcW w:w="2006" w:type="pct"/>
          </w:tcPr>
          <w:p w:rsidR="005C77F5" w:rsidRPr="00216C18" w:rsidRDefault="005C77F5" w:rsidP="00AE1C26">
            <w:pPr>
              <w:widowControl w:val="0"/>
              <w:tabs>
                <w:tab w:val="right" w:pos="7200"/>
              </w:tabs>
              <w:ind w:hanging="132"/>
              <w:rPr>
                <w:rFonts w:cs="Segoe UI Light"/>
                <w:snapToGrid w:val="0"/>
                <w:color w:val="000000"/>
              </w:rPr>
            </w:pPr>
            <w:r w:rsidRPr="00216C18">
              <w:rPr>
                <w:rFonts w:cs="Segoe UI Light"/>
                <w:snapToGrid w:val="0"/>
                <w:color w:val="000000"/>
              </w:rPr>
              <w:t xml:space="preserve">UK Fixed income unit trust  </w:t>
            </w:r>
          </w:p>
        </w:tc>
        <w:tc>
          <w:tcPr>
            <w:tcW w:w="951" w:type="pct"/>
          </w:tcPr>
          <w:p w:rsidR="005C77F5" w:rsidRPr="00216C18" w:rsidRDefault="005C77F5" w:rsidP="00AE1C26">
            <w:pPr>
              <w:widowControl w:val="0"/>
              <w:tabs>
                <w:tab w:val="right" w:pos="7200"/>
              </w:tabs>
              <w:ind w:hanging="132"/>
              <w:jc w:val="right"/>
              <w:rPr>
                <w:rFonts w:cs="Segoe UI Light"/>
                <w:snapToGrid w:val="0"/>
                <w:color w:val="000000"/>
              </w:rPr>
            </w:pPr>
            <w:r w:rsidRPr="00216C18">
              <w:rPr>
                <w:rFonts w:cs="Segoe UI Light"/>
                <w:snapToGrid w:val="0"/>
                <w:color w:val="000000"/>
              </w:rPr>
              <w:t>35.5</w:t>
            </w:r>
          </w:p>
        </w:tc>
        <w:tc>
          <w:tcPr>
            <w:tcW w:w="1001" w:type="pct"/>
          </w:tcPr>
          <w:p w:rsidR="005C77F5" w:rsidRPr="00216C18" w:rsidRDefault="005C77F5" w:rsidP="00AE1C26">
            <w:pPr>
              <w:widowControl w:val="0"/>
              <w:tabs>
                <w:tab w:val="right" w:pos="7200"/>
              </w:tabs>
              <w:ind w:hanging="132"/>
              <w:jc w:val="right"/>
              <w:rPr>
                <w:rFonts w:cs="Segoe UI Light"/>
                <w:snapToGrid w:val="0"/>
                <w:color w:val="000000"/>
              </w:rPr>
            </w:pPr>
            <w:r w:rsidRPr="00216C18">
              <w:rPr>
                <w:rFonts w:cs="Segoe UI Light"/>
                <w:snapToGrid w:val="0"/>
                <w:color w:val="000000"/>
              </w:rPr>
              <w:t>0.4</w:t>
            </w:r>
          </w:p>
        </w:tc>
        <w:tc>
          <w:tcPr>
            <w:tcW w:w="1042" w:type="pct"/>
          </w:tcPr>
          <w:p w:rsidR="005C77F5" w:rsidRPr="00216C18" w:rsidRDefault="005C77F5" w:rsidP="00AE1C26">
            <w:pPr>
              <w:widowControl w:val="0"/>
              <w:tabs>
                <w:tab w:val="right" w:pos="7200"/>
              </w:tabs>
              <w:ind w:hanging="132"/>
              <w:jc w:val="right"/>
              <w:rPr>
                <w:rFonts w:cs="Segoe UI Light"/>
                <w:snapToGrid w:val="0"/>
                <w:color w:val="000000"/>
              </w:rPr>
            </w:pPr>
            <w:r w:rsidRPr="00216C18">
              <w:rPr>
                <w:rFonts w:cs="Segoe UI Light"/>
                <w:snapToGrid w:val="0"/>
                <w:color w:val="000000"/>
              </w:rPr>
              <w:t>(0.4)</w:t>
            </w:r>
          </w:p>
        </w:tc>
      </w:tr>
      <w:tr w:rsidR="005C77F5" w:rsidRPr="00216C18" w:rsidTr="005C77F5">
        <w:trPr>
          <w:trHeight w:val="226"/>
        </w:trPr>
        <w:tc>
          <w:tcPr>
            <w:tcW w:w="2006" w:type="pct"/>
          </w:tcPr>
          <w:p w:rsidR="005C77F5" w:rsidRPr="00216C18" w:rsidRDefault="005C77F5" w:rsidP="00AE1C26">
            <w:pPr>
              <w:widowControl w:val="0"/>
              <w:tabs>
                <w:tab w:val="right" w:pos="7200"/>
              </w:tabs>
              <w:rPr>
                <w:rFonts w:cs="Segoe UI Light"/>
                <w:b/>
                <w:snapToGrid w:val="0"/>
                <w:color w:val="000000"/>
              </w:rPr>
            </w:pPr>
            <w:r w:rsidRPr="00216C18">
              <w:rPr>
                <w:rFonts w:cs="Segoe UI Light"/>
                <w:b/>
                <w:snapToGrid w:val="0"/>
                <w:color w:val="000000"/>
              </w:rPr>
              <w:t>Total change in assets available</w:t>
            </w:r>
          </w:p>
        </w:tc>
        <w:tc>
          <w:tcPr>
            <w:tcW w:w="951" w:type="pct"/>
            <w:tcBorders>
              <w:top w:val="single" w:sz="4" w:space="0" w:color="auto"/>
            </w:tcBorders>
          </w:tcPr>
          <w:p w:rsidR="005C77F5" w:rsidRPr="00216C18" w:rsidRDefault="005C77F5" w:rsidP="00AE1C26">
            <w:pPr>
              <w:widowControl w:val="0"/>
              <w:tabs>
                <w:tab w:val="right" w:pos="7200"/>
              </w:tabs>
              <w:ind w:hanging="132"/>
              <w:jc w:val="right"/>
              <w:rPr>
                <w:rFonts w:cs="Segoe UI Light"/>
                <w:b/>
                <w:snapToGrid w:val="0"/>
                <w:color w:val="000000"/>
              </w:rPr>
            </w:pPr>
            <w:r w:rsidRPr="00216C18">
              <w:rPr>
                <w:rFonts w:cs="Segoe UI Light"/>
                <w:b/>
                <w:snapToGrid w:val="0"/>
                <w:color w:val="000000"/>
              </w:rPr>
              <w:t>59.0</w:t>
            </w:r>
          </w:p>
        </w:tc>
        <w:tc>
          <w:tcPr>
            <w:tcW w:w="1001" w:type="pct"/>
            <w:tcBorders>
              <w:top w:val="single" w:sz="4" w:space="0" w:color="auto"/>
            </w:tcBorders>
          </w:tcPr>
          <w:p w:rsidR="005C77F5" w:rsidRPr="00216C18" w:rsidRDefault="005C77F5" w:rsidP="00AE1C26">
            <w:pPr>
              <w:widowControl w:val="0"/>
              <w:tabs>
                <w:tab w:val="right" w:pos="7200"/>
              </w:tabs>
              <w:ind w:hanging="132"/>
              <w:jc w:val="right"/>
              <w:rPr>
                <w:rFonts w:cs="Segoe UI Light"/>
                <w:b/>
                <w:snapToGrid w:val="0"/>
                <w:color w:val="000000"/>
              </w:rPr>
            </w:pPr>
            <w:r w:rsidRPr="00216C18">
              <w:rPr>
                <w:rFonts w:cs="Segoe UI Light"/>
                <w:b/>
                <w:snapToGrid w:val="0"/>
                <w:color w:val="000000"/>
              </w:rPr>
              <w:t>0.6</w:t>
            </w:r>
          </w:p>
        </w:tc>
        <w:tc>
          <w:tcPr>
            <w:tcW w:w="1042" w:type="pct"/>
            <w:tcBorders>
              <w:top w:val="single" w:sz="4" w:space="0" w:color="auto"/>
            </w:tcBorders>
          </w:tcPr>
          <w:p w:rsidR="005C77F5" w:rsidRPr="00216C18" w:rsidRDefault="005C77F5" w:rsidP="00AE1C26">
            <w:pPr>
              <w:widowControl w:val="0"/>
              <w:tabs>
                <w:tab w:val="right" w:pos="7200"/>
              </w:tabs>
              <w:ind w:hanging="132"/>
              <w:jc w:val="right"/>
              <w:rPr>
                <w:rFonts w:cs="Segoe UI Light"/>
                <w:b/>
                <w:snapToGrid w:val="0"/>
                <w:color w:val="000000"/>
              </w:rPr>
            </w:pPr>
            <w:r w:rsidRPr="00216C18">
              <w:rPr>
                <w:rFonts w:cs="Segoe UI Light"/>
                <w:b/>
                <w:snapToGrid w:val="0"/>
                <w:color w:val="000000"/>
              </w:rPr>
              <w:t>(0.6)</w:t>
            </w:r>
          </w:p>
        </w:tc>
      </w:tr>
    </w:tbl>
    <w:p w:rsidR="005C77F5" w:rsidRDefault="005C77F5" w:rsidP="00F72906">
      <w:pPr>
        <w:rPr>
          <w:b/>
        </w:rPr>
        <w:sectPr w:rsidR="005C77F5" w:rsidSect="00CB4118">
          <w:pgSz w:w="11906" w:h="16838"/>
          <w:pgMar w:top="709" w:right="1440" w:bottom="1440" w:left="709" w:header="708" w:footer="708" w:gutter="0"/>
          <w:cols w:space="708"/>
          <w:docGrid w:linePitch="360"/>
        </w:sectPr>
      </w:pPr>
    </w:p>
    <w:p w:rsidR="00F72906" w:rsidRPr="005C77F5" w:rsidRDefault="00F72906" w:rsidP="00F72906">
      <w:pPr>
        <w:rPr>
          <w:b/>
        </w:rPr>
      </w:pPr>
      <w:r w:rsidRPr="005C77F5">
        <w:rPr>
          <w:b/>
        </w:rPr>
        <w:lastRenderedPageBreak/>
        <w:t>Currency risk</w:t>
      </w:r>
    </w:p>
    <w:p w:rsidR="00F72906" w:rsidRDefault="00F72906" w:rsidP="00F72906">
      <w:r>
        <w:t>Currency risk represents the risk that the fair value of future cash flows of a financial instrument will fluctuate because of changes in foreign exchange rates. The Fund is exposed to currency risk on financial instruments that are denominated in any currency other than the functional currency of the Fund (£UK). The Fund holds both monetary and non-monetary assets denominate</w:t>
      </w:r>
      <w:r w:rsidR="00286159">
        <w:t>d in currencies other than £UK.</w:t>
      </w:r>
    </w:p>
    <w:p w:rsidR="00F72906" w:rsidRDefault="00F72906" w:rsidP="00F72906">
      <w:r>
        <w:t>The Fund’s currency rate risk is routinely monitored by the Pension Fund in accordance with the Fund’s risk management strategy, including monitoring the range of exposure to currency fluctuations.</w:t>
      </w:r>
    </w:p>
    <w:p w:rsidR="00F72906" w:rsidRDefault="00F72906" w:rsidP="00F72906">
      <w:r>
        <w:t>The following table summarises the Fund’s currency exposure as at 31 March 2020 and as at the previous period end:</w:t>
      </w:r>
    </w:p>
    <w:p w:rsidR="00F72906" w:rsidRDefault="00F72906" w:rsidP="00F72906"/>
    <w:tbl>
      <w:tblPr>
        <w:tblW w:w="8151" w:type="dxa"/>
        <w:tblLook w:val="01E0" w:firstRow="1" w:lastRow="1" w:firstColumn="1" w:lastColumn="1" w:noHBand="0" w:noVBand="0"/>
      </w:tblPr>
      <w:tblGrid>
        <w:gridCol w:w="4381"/>
        <w:gridCol w:w="1885"/>
        <w:gridCol w:w="1885"/>
      </w:tblGrid>
      <w:tr w:rsidR="00286159" w:rsidRPr="00790EFE" w:rsidTr="00AE1C26">
        <w:tc>
          <w:tcPr>
            <w:tcW w:w="4381" w:type="dxa"/>
          </w:tcPr>
          <w:p w:rsidR="00286159" w:rsidRPr="00790EFE" w:rsidRDefault="00286159" w:rsidP="00AE1C26">
            <w:pPr>
              <w:widowControl w:val="0"/>
              <w:tabs>
                <w:tab w:val="right" w:pos="7224"/>
              </w:tabs>
              <w:jc w:val="both"/>
              <w:rPr>
                <w:rFonts w:cs="Segoe UI Light"/>
                <w:b/>
                <w:snapToGrid w:val="0"/>
                <w:color w:val="000000"/>
              </w:rPr>
            </w:pPr>
            <w:r w:rsidRPr="00790EFE">
              <w:rPr>
                <w:rFonts w:cs="Segoe UI Light"/>
                <w:b/>
                <w:snapToGrid w:val="0"/>
                <w:color w:val="000000"/>
              </w:rPr>
              <w:t>Currency risk exposure – asset type</w:t>
            </w:r>
          </w:p>
        </w:tc>
        <w:tc>
          <w:tcPr>
            <w:tcW w:w="1885" w:type="dxa"/>
          </w:tcPr>
          <w:p w:rsidR="00286159" w:rsidRPr="00790EFE" w:rsidRDefault="00286159" w:rsidP="00AE1C26">
            <w:pPr>
              <w:widowControl w:val="0"/>
              <w:tabs>
                <w:tab w:val="right" w:pos="7224"/>
              </w:tabs>
              <w:jc w:val="right"/>
              <w:rPr>
                <w:rFonts w:cs="Segoe UI Light"/>
                <w:b/>
                <w:snapToGrid w:val="0"/>
                <w:color w:val="000000"/>
              </w:rPr>
            </w:pPr>
            <w:r w:rsidRPr="00790EFE">
              <w:rPr>
                <w:rFonts w:cs="Segoe UI Light"/>
                <w:b/>
                <w:snapToGrid w:val="0"/>
                <w:color w:val="000000"/>
              </w:rPr>
              <w:t>Asset value at 31 March 2019</w:t>
            </w:r>
          </w:p>
        </w:tc>
        <w:tc>
          <w:tcPr>
            <w:tcW w:w="1885" w:type="dxa"/>
          </w:tcPr>
          <w:p w:rsidR="00286159" w:rsidRPr="00790EFE" w:rsidRDefault="00286159" w:rsidP="00AE1C26">
            <w:pPr>
              <w:widowControl w:val="0"/>
              <w:tabs>
                <w:tab w:val="right" w:pos="7224"/>
              </w:tabs>
              <w:jc w:val="right"/>
              <w:rPr>
                <w:rFonts w:cs="Segoe UI Light"/>
                <w:b/>
                <w:snapToGrid w:val="0"/>
                <w:color w:val="000000"/>
              </w:rPr>
            </w:pPr>
            <w:r w:rsidRPr="00790EFE">
              <w:rPr>
                <w:rFonts w:cs="Segoe UI Light"/>
                <w:b/>
                <w:snapToGrid w:val="0"/>
                <w:color w:val="000000"/>
              </w:rPr>
              <w:t>Asset value at 31 March 2020</w:t>
            </w:r>
          </w:p>
        </w:tc>
      </w:tr>
      <w:tr w:rsidR="00286159" w:rsidRPr="00790EFE" w:rsidTr="00AE1C26">
        <w:tc>
          <w:tcPr>
            <w:tcW w:w="4381" w:type="dxa"/>
          </w:tcPr>
          <w:p w:rsidR="00286159" w:rsidRPr="00790EFE" w:rsidRDefault="00286159" w:rsidP="00AE1C26">
            <w:pPr>
              <w:widowControl w:val="0"/>
              <w:tabs>
                <w:tab w:val="right" w:pos="7224"/>
              </w:tabs>
              <w:jc w:val="both"/>
              <w:rPr>
                <w:rFonts w:cs="Segoe UI Light"/>
                <w:snapToGrid w:val="0"/>
                <w:color w:val="000000"/>
              </w:rPr>
            </w:pPr>
          </w:p>
        </w:tc>
        <w:tc>
          <w:tcPr>
            <w:tcW w:w="1885" w:type="dxa"/>
          </w:tcPr>
          <w:p w:rsidR="00286159" w:rsidRPr="00790EFE" w:rsidRDefault="00286159" w:rsidP="00AE1C26">
            <w:pPr>
              <w:widowControl w:val="0"/>
              <w:tabs>
                <w:tab w:val="right" w:pos="7224"/>
              </w:tabs>
              <w:jc w:val="right"/>
              <w:rPr>
                <w:rFonts w:cs="Segoe UI Light"/>
                <w:b/>
                <w:snapToGrid w:val="0"/>
                <w:color w:val="000000"/>
              </w:rPr>
            </w:pPr>
            <w:r w:rsidRPr="00790EFE">
              <w:rPr>
                <w:rFonts w:cs="Segoe UI Light"/>
                <w:b/>
                <w:snapToGrid w:val="0"/>
                <w:color w:val="000000"/>
              </w:rPr>
              <w:t>£m</w:t>
            </w:r>
          </w:p>
        </w:tc>
        <w:tc>
          <w:tcPr>
            <w:tcW w:w="1885" w:type="dxa"/>
          </w:tcPr>
          <w:p w:rsidR="00286159" w:rsidRPr="00790EFE" w:rsidRDefault="00286159" w:rsidP="00AE1C26">
            <w:pPr>
              <w:widowControl w:val="0"/>
              <w:tabs>
                <w:tab w:val="right" w:pos="7224"/>
              </w:tabs>
              <w:jc w:val="right"/>
              <w:rPr>
                <w:rFonts w:cs="Segoe UI Light"/>
                <w:b/>
                <w:snapToGrid w:val="0"/>
                <w:color w:val="000000"/>
              </w:rPr>
            </w:pPr>
            <w:r w:rsidRPr="00790EFE">
              <w:rPr>
                <w:rFonts w:cs="Segoe UI Light"/>
                <w:b/>
                <w:snapToGrid w:val="0"/>
                <w:color w:val="000000"/>
              </w:rPr>
              <w:t>£m</w:t>
            </w:r>
          </w:p>
        </w:tc>
      </w:tr>
      <w:tr w:rsidR="00286159" w:rsidRPr="00790EFE" w:rsidTr="00AE1C26">
        <w:tc>
          <w:tcPr>
            <w:tcW w:w="4381" w:type="dxa"/>
          </w:tcPr>
          <w:p w:rsidR="00286159" w:rsidRPr="00790EFE" w:rsidRDefault="00286159" w:rsidP="00AE1C26">
            <w:pPr>
              <w:widowControl w:val="0"/>
              <w:tabs>
                <w:tab w:val="right" w:pos="7224"/>
              </w:tabs>
              <w:rPr>
                <w:rFonts w:cs="Segoe UI Light"/>
                <w:snapToGrid w:val="0"/>
                <w:color w:val="000000"/>
              </w:rPr>
            </w:pPr>
            <w:r w:rsidRPr="00790EFE">
              <w:rPr>
                <w:rFonts w:cs="Segoe UI Light"/>
                <w:snapToGrid w:val="0"/>
                <w:color w:val="000000"/>
              </w:rPr>
              <w:t>Overseas unit trusts</w:t>
            </w:r>
          </w:p>
        </w:tc>
        <w:tc>
          <w:tcPr>
            <w:tcW w:w="1885" w:type="dxa"/>
            <w:vAlign w:val="center"/>
          </w:tcPr>
          <w:p w:rsidR="00286159" w:rsidRPr="00790EFE" w:rsidRDefault="00286159" w:rsidP="00AE1C26">
            <w:pPr>
              <w:widowControl w:val="0"/>
              <w:tabs>
                <w:tab w:val="right" w:pos="7224"/>
              </w:tabs>
              <w:jc w:val="right"/>
              <w:rPr>
                <w:rFonts w:cs="Segoe UI Light"/>
                <w:snapToGrid w:val="0"/>
                <w:color w:val="000000"/>
              </w:rPr>
            </w:pPr>
            <w:r w:rsidRPr="00790EFE">
              <w:rPr>
                <w:rFonts w:cs="Segoe UI Light"/>
                <w:snapToGrid w:val="0"/>
                <w:color w:val="000000"/>
              </w:rPr>
              <w:t>307.5</w:t>
            </w:r>
          </w:p>
        </w:tc>
        <w:tc>
          <w:tcPr>
            <w:tcW w:w="1885" w:type="dxa"/>
            <w:tcBorders>
              <w:top w:val="nil"/>
              <w:left w:val="nil"/>
              <w:bottom w:val="nil"/>
              <w:right w:val="nil"/>
            </w:tcBorders>
            <w:shd w:val="clear" w:color="auto" w:fill="auto"/>
            <w:vAlign w:val="bottom"/>
          </w:tcPr>
          <w:p w:rsidR="00286159" w:rsidRPr="00790EFE" w:rsidRDefault="00286159" w:rsidP="00AE1C26">
            <w:pPr>
              <w:widowControl w:val="0"/>
              <w:tabs>
                <w:tab w:val="right" w:pos="7224"/>
              </w:tabs>
              <w:jc w:val="right"/>
              <w:rPr>
                <w:rFonts w:cs="Segoe UI Light"/>
                <w:snapToGrid w:val="0"/>
                <w:color w:val="000000"/>
              </w:rPr>
            </w:pPr>
            <w:r w:rsidRPr="00790EFE">
              <w:rPr>
                <w:rFonts w:cs="Calibri"/>
                <w:color w:val="000000"/>
              </w:rPr>
              <w:t>293.4</w:t>
            </w:r>
          </w:p>
        </w:tc>
      </w:tr>
      <w:tr w:rsidR="00286159" w:rsidRPr="00790EFE" w:rsidTr="00AE1C26">
        <w:tc>
          <w:tcPr>
            <w:tcW w:w="4381" w:type="dxa"/>
          </w:tcPr>
          <w:p w:rsidR="00286159" w:rsidRPr="00790EFE" w:rsidRDefault="00286159" w:rsidP="00AE1C26">
            <w:pPr>
              <w:widowControl w:val="0"/>
              <w:tabs>
                <w:tab w:val="right" w:pos="7224"/>
              </w:tabs>
              <w:rPr>
                <w:rFonts w:cs="Segoe UI Light"/>
                <w:snapToGrid w:val="0"/>
                <w:color w:val="000000"/>
              </w:rPr>
            </w:pPr>
            <w:r w:rsidRPr="00790EFE">
              <w:rPr>
                <w:rFonts w:cs="Segoe UI Light"/>
                <w:snapToGrid w:val="0"/>
                <w:color w:val="000000"/>
              </w:rPr>
              <w:t>Overseas pooled property investments</w:t>
            </w:r>
          </w:p>
        </w:tc>
        <w:tc>
          <w:tcPr>
            <w:tcW w:w="1885" w:type="dxa"/>
            <w:vAlign w:val="center"/>
          </w:tcPr>
          <w:p w:rsidR="00286159" w:rsidRPr="00790EFE" w:rsidRDefault="00286159" w:rsidP="00AE1C26">
            <w:pPr>
              <w:widowControl w:val="0"/>
              <w:tabs>
                <w:tab w:val="right" w:pos="7224"/>
              </w:tabs>
              <w:jc w:val="right"/>
              <w:rPr>
                <w:rFonts w:cs="Segoe UI Light"/>
                <w:snapToGrid w:val="0"/>
                <w:color w:val="000000"/>
              </w:rPr>
            </w:pPr>
            <w:r w:rsidRPr="00790EFE">
              <w:rPr>
                <w:rFonts w:cs="Segoe UI Light"/>
                <w:snapToGrid w:val="0"/>
                <w:color w:val="000000"/>
              </w:rPr>
              <w:t>0.2</w:t>
            </w:r>
          </w:p>
        </w:tc>
        <w:tc>
          <w:tcPr>
            <w:tcW w:w="1885" w:type="dxa"/>
            <w:tcBorders>
              <w:top w:val="nil"/>
              <w:left w:val="nil"/>
              <w:bottom w:val="nil"/>
              <w:right w:val="nil"/>
            </w:tcBorders>
            <w:shd w:val="clear" w:color="auto" w:fill="auto"/>
            <w:vAlign w:val="bottom"/>
          </w:tcPr>
          <w:p w:rsidR="00286159" w:rsidRPr="00790EFE" w:rsidRDefault="00286159" w:rsidP="00AE1C26">
            <w:pPr>
              <w:widowControl w:val="0"/>
              <w:tabs>
                <w:tab w:val="right" w:pos="7224"/>
              </w:tabs>
              <w:jc w:val="right"/>
              <w:rPr>
                <w:rFonts w:cs="Segoe UI Light"/>
                <w:snapToGrid w:val="0"/>
                <w:color w:val="000000"/>
              </w:rPr>
            </w:pPr>
            <w:r w:rsidRPr="00790EFE">
              <w:rPr>
                <w:rFonts w:cs="Calibri"/>
                <w:color w:val="000000"/>
              </w:rPr>
              <w:t>0.1</w:t>
            </w:r>
          </w:p>
        </w:tc>
      </w:tr>
      <w:tr w:rsidR="00286159" w:rsidRPr="00790EFE" w:rsidTr="00AE1C26">
        <w:tc>
          <w:tcPr>
            <w:tcW w:w="4381" w:type="dxa"/>
          </w:tcPr>
          <w:p w:rsidR="00286159" w:rsidRPr="00790EFE" w:rsidRDefault="00286159" w:rsidP="00AE1C26">
            <w:pPr>
              <w:widowControl w:val="0"/>
              <w:tabs>
                <w:tab w:val="right" w:pos="7224"/>
              </w:tabs>
              <w:rPr>
                <w:rFonts w:cs="Segoe UI Light"/>
                <w:snapToGrid w:val="0"/>
                <w:color w:val="000000"/>
              </w:rPr>
            </w:pPr>
            <w:r w:rsidRPr="00790EFE">
              <w:rPr>
                <w:rFonts w:cs="Segoe UI Light"/>
                <w:snapToGrid w:val="0"/>
                <w:color w:val="000000"/>
              </w:rPr>
              <w:t>Overseas private equity/infrastructure</w:t>
            </w:r>
          </w:p>
        </w:tc>
        <w:tc>
          <w:tcPr>
            <w:tcW w:w="1885" w:type="dxa"/>
            <w:vAlign w:val="center"/>
          </w:tcPr>
          <w:p w:rsidR="00286159" w:rsidRPr="00790EFE" w:rsidRDefault="00286159" w:rsidP="00AE1C26">
            <w:pPr>
              <w:widowControl w:val="0"/>
              <w:tabs>
                <w:tab w:val="right" w:pos="7224"/>
              </w:tabs>
              <w:jc w:val="right"/>
              <w:rPr>
                <w:rFonts w:cs="Segoe UI Light"/>
                <w:snapToGrid w:val="0"/>
                <w:color w:val="000000"/>
              </w:rPr>
            </w:pPr>
            <w:r w:rsidRPr="00790EFE">
              <w:rPr>
                <w:rFonts w:cs="Segoe UI Light"/>
                <w:snapToGrid w:val="0"/>
                <w:color w:val="000000"/>
              </w:rPr>
              <w:t>95.0</w:t>
            </w:r>
          </w:p>
        </w:tc>
        <w:tc>
          <w:tcPr>
            <w:tcW w:w="1885" w:type="dxa"/>
            <w:tcBorders>
              <w:top w:val="nil"/>
              <w:left w:val="nil"/>
              <w:bottom w:val="nil"/>
              <w:right w:val="nil"/>
            </w:tcBorders>
            <w:shd w:val="clear" w:color="auto" w:fill="auto"/>
            <w:vAlign w:val="bottom"/>
          </w:tcPr>
          <w:p w:rsidR="00286159" w:rsidRPr="00790EFE" w:rsidRDefault="00286159" w:rsidP="00AE1C26">
            <w:pPr>
              <w:widowControl w:val="0"/>
              <w:tabs>
                <w:tab w:val="right" w:pos="7224"/>
              </w:tabs>
              <w:jc w:val="right"/>
              <w:rPr>
                <w:rFonts w:cs="Segoe UI Light"/>
                <w:snapToGrid w:val="0"/>
                <w:color w:val="000000"/>
              </w:rPr>
            </w:pPr>
            <w:r w:rsidRPr="00790EFE">
              <w:rPr>
                <w:rFonts w:cs="Calibri"/>
                <w:color w:val="000000"/>
              </w:rPr>
              <w:t>84.3</w:t>
            </w:r>
          </w:p>
        </w:tc>
      </w:tr>
      <w:tr w:rsidR="00286159" w:rsidRPr="000B634C" w:rsidTr="00AE1C26">
        <w:tc>
          <w:tcPr>
            <w:tcW w:w="4381" w:type="dxa"/>
          </w:tcPr>
          <w:p w:rsidR="00286159" w:rsidRPr="00790EFE" w:rsidRDefault="00286159" w:rsidP="00AE1C26">
            <w:pPr>
              <w:widowControl w:val="0"/>
              <w:tabs>
                <w:tab w:val="right" w:pos="7224"/>
              </w:tabs>
              <w:rPr>
                <w:rFonts w:cs="Segoe UI Light"/>
                <w:b/>
                <w:snapToGrid w:val="0"/>
                <w:color w:val="000000"/>
              </w:rPr>
            </w:pPr>
            <w:r w:rsidRPr="00790EFE">
              <w:rPr>
                <w:rFonts w:cs="Segoe UI Light"/>
                <w:b/>
                <w:snapToGrid w:val="0"/>
                <w:color w:val="000000"/>
              </w:rPr>
              <w:t>Total overseas assets</w:t>
            </w:r>
          </w:p>
        </w:tc>
        <w:tc>
          <w:tcPr>
            <w:tcW w:w="1885" w:type="dxa"/>
            <w:tcBorders>
              <w:top w:val="single" w:sz="4" w:space="0" w:color="auto"/>
              <w:bottom w:val="single" w:sz="4" w:space="0" w:color="auto"/>
            </w:tcBorders>
            <w:vAlign w:val="center"/>
          </w:tcPr>
          <w:p w:rsidR="00286159" w:rsidRPr="00946878" w:rsidRDefault="00286159" w:rsidP="00AE1C26">
            <w:pPr>
              <w:widowControl w:val="0"/>
              <w:tabs>
                <w:tab w:val="right" w:pos="7224"/>
              </w:tabs>
              <w:jc w:val="right"/>
              <w:rPr>
                <w:rFonts w:cs="Segoe UI Light"/>
                <w:b/>
                <w:snapToGrid w:val="0"/>
                <w:color w:val="000000"/>
              </w:rPr>
            </w:pPr>
            <w:r w:rsidRPr="00946878">
              <w:rPr>
                <w:rFonts w:cs="Segoe UI Light"/>
                <w:b/>
                <w:snapToGrid w:val="0"/>
                <w:color w:val="000000"/>
              </w:rPr>
              <w:t>402.7</w:t>
            </w:r>
          </w:p>
        </w:tc>
        <w:tc>
          <w:tcPr>
            <w:tcW w:w="1885" w:type="dxa"/>
            <w:tcBorders>
              <w:top w:val="single" w:sz="4" w:space="0" w:color="auto"/>
              <w:bottom w:val="single" w:sz="4" w:space="0" w:color="auto"/>
            </w:tcBorders>
            <w:vAlign w:val="center"/>
          </w:tcPr>
          <w:p w:rsidR="00286159" w:rsidRPr="00946878" w:rsidRDefault="00286159" w:rsidP="00AE1C26">
            <w:pPr>
              <w:widowControl w:val="0"/>
              <w:tabs>
                <w:tab w:val="right" w:pos="7224"/>
              </w:tabs>
              <w:jc w:val="right"/>
              <w:rPr>
                <w:rFonts w:cs="Segoe UI Light"/>
                <w:b/>
                <w:snapToGrid w:val="0"/>
                <w:color w:val="000000"/>
              </w:rPr>
            </w:pPr>
            <w:r w:rsidRPr="00946878">
              <w:rPr>
                <w:rFonts w:cs="Segoe UI Light"/>
                <w:b/>
                <w:snapToGrid w:val="0"/>
                <w:color w:val="000000"/>
              </w:rPr>
              <w:t>377.8</w:t>
            </w:r>
          </w:p>
        </w:tc>
      </w:tr>
    </w:tbl>
    <w:p w:rsidR="00F72906" w:rsidRDefault="00F72906" w:rsidP="00F72906"/>
    <w:p w:rsidR="00F72906" w:rsidRDefault="00F72906" w:rsidP="00F72906">
      <w:r>
        <w:t>A 1% strengthening/weakening of the pound against the various currencies in which the Fund holds investments would increase/decrease the net assets available to pay benefits as follows:</w:t>
      </w:r>
    </w:p>
    <w:tbl>
      <w:tblPr>
        <w:tblW w:w="4711" w:type="pct"/>
        <w:tblLook w:val="01E0" w:firstRow="1" w:lastRow="1" w:firstColumn="1" w:lastColumn="1" w:noHBand="0" w:noVBand="0"/>
      </w:tblPr>
      <w:tblGrid>
        <w:gridCol w:w="3373"/>
        <w:gridCol w:w="2296"/>
        <w:gridCol w:w="1533"/>
        <w:gridCol w:w="1991"/>
      </w:tblGrid>
      <w:tr w:rsidR="00286159" w:rsidRPr="00946878" w:rsidTr="00AE1C26">
        <w:tc>
          <w:tcPr>
            <w:tcW w:w="1834" w:type="pct"/>
          </w:tcPr>
          <w:p w:rsidR="00286159" w:rsidRPr="00946878" w:rsidRDefault="00286159" w:rsidP="00AE1C26">
            <w:pPr>
              <w:widowControl w:val="0"/>
              <w:tabs>
                <w:tab w:val="right" w:pos="7200"/>
              </w:tabs>
              <w:ind w:left="132" w:hanging="132"/>
              <w:rPr>
                <w:rFonts w:cs="Segoe UI Light"/>
                <w:b/>
                <w:snapToGrid w:val="0"/>
                <w:color w:val="000000"/>
              </w:rPr>
            </w:pPr>
          </w:p>
        </w:tc>
        <w:tc>
          <w:tcPr>
            <w:tcW w:w="1249" w:type="pct"/>
          </w:tcPr>
          <w:p w:rsidR="00286159" w:rsidRPr="00946878" w:rsidRDefault="00286159" w:rsidP="00AE1C26">
            <w:pPr>
              <w:widowControl w:val="0"/>
              <w:tabs>
                <w:tab w:val="right" w:pos="7200"/>
              </w:tabs>
              <w:ind w:left="132" w:hanging="132"/>
              <w:jc w:val="right"/>
              <w:rPr>
                <w:rFonts w:cs="Segoe UI Light"/>
                <w:b/>
                <w:snapToGrid w:val="0"/>
                <w:color w:val="000000"/>
              </w:rPr>
            </w:pPr>
            <w:r w:rsidRPr="00946878">
              <w:rPr>
                <w:rFonts w:cs="Segoe UI Light"/>
                <w:b/>
                <w:snapToGrid w:val="0"/>
                <w:color w:val="000000"/>
              </w:rPr>
              <w:t>Asset value as at 31 March 2020</w:t>
            </w:r>
          </w:p>
        </w:tc>
        <w:tc>
          <w:tcPr>
            <w:tcW w:w="1916" w:type="pct"/>
            <w:gridSpan w:val="2"/>
          </w:tcPr>
          <w:p w:rsidR="00286159" w:rsidRPr="00946878" w:rsidRDefault="00286159" w:rsidP="00AE1C26">
            <w:pPr>
              <w:widowControl w:val="0"/>
              <w:tabs>
                <w:tab w:val="right" w:pos="7200"/>
              </w:tabs>
              <w:ind w:left="132" w:hanging="132"/>
              <w:jc w:val="right"/>
              <w:rPr>
                <w:rFonts w:cs="Segoe UI Light"/>
                <w:b/>
                <w:snapToGrid w:val="0"/>
                <w:color w:val="000000"/>
              </w:rPr>
            </w:pPr>
            <w:r w:rsidRPr="00946878">
              <w:rPr>
                <w:rFonts w:cs="Segoe UI Light"/>
                <w:b/>
                <w:snapToGrid w:val="0"/>
                <w:color w:val="000000"/>
              </w:rPr>
              <w:t>Change to net assets available to pay benefits</w:t>
            </w:r>
          </w:p>
        </w:tc>
      </w:tr>
      <w:tr w:rsidR="00286159" w:rsidRPr="00946878" w:rsidTr="00AE1C26">
        <w:tc>
          <w:tcPr>
            <w:tcW w:w="1834" w:type="pct"/>
          </w:tcPr>
          <w:p w:rsidR="00286159" w:rsidRPr="00946878" w:rsidRDefault="00286159" w:rsidP="00AE1C26">
            <w:pPr>
              <w:widowControl w:val="0"/>
              <w:tabs>
                <w:tab w:val="right" w:pos="7200"/>
              </w:tabs>
              <w:ind w:left="132" w:hanging="132"/>
              <w:rPr>
                <w:rFonts w:cs="Segoe UI Light"/>
                <w:snapToGrid w:val="0"/>
                <w:color w:val="000000"/>
              </w:rPr>
            </w:pPr>
          </w:p>
        </w:tc>
        <w:tc>
          <w:tcPr>
            <w:tcW w:w="1249" w:type="pct"/>
          </w:tcPr>
          <w:p w:rsidR="00286159" w:rsidRPr="00946878" w:rsidRDefault="00286159" w:rsidP="00AE1C26">
            <w:pPr>
              <w:widowControl w:val="0"/>
              <w:tabs>
                <w:tab w:val="right" w:pos="7200"/>
              </w:tabs>
              <w:ind w:left="132" w:hanging="132"/>
              <w:jc w:val="right"/>
              <w:rPr>
                <w:rFonts w:cs="Segoe UI Light"/>
                <w:b/>
                <w:snapToGrid w:val="0"/>
                <w:color w:val="000000"/>
              </w:rPr>
            </w:pPr>
          </w:p>
        </w:tc>
        <w:tc>
          <w:tcPr>
            <w:tcW w:w="834" w:type="pct"/>
          </w:tcPr>
          <w:p w:rsidR="00286159" w:rsidRPr="00946878" w:rsidRDefault="00286159" w:rsidP="00AE1C26">
            <w:pPr>
              <w:widowControl w:val="0"/>
              <w:tabs>
                <w:tab w:val="right" w:pos="7200"/>
              </w:tabs>
              <w:ind w:left="132" w:hanging="132"/>
              <w:jc w:val="right"/>
              <w:rPr>
                <w:rFonts w:cs="Segoe UI Light"/>
                <w:b/>
                <w:snapToGrid w:val="0"/>
                <w:color w:val="000000"/>
              </w:rPr>
            </w:pPr>
            <w:r w:rsidRPr="00946878">
              <w:rPr>
                <w:rFonts w:cs="Segoe UI Light"/>
                <w:b/>
                <w:snapToGrid w:val="0"/>
                <w:color w:val="000000"/>
              </w:rPr>
              <w:t>+1%</w:t>
            </w:r>
          </w:p>
        </w:tc>
        <w:tc>
          <w:tcPr>
            <w:tcW w:w="1082" w:type="pct"/>
          </w:tcPr>
          <w:p w:rsidR="00286159" w:rsidRPr="00946878" w:rsidRDefault="00286159" w:rsidP="00AE1C26">
            <w:pPr>
              <w:widowControl w:val="0"/>
              <w:tabs>
                <w:tab w:val="right" w:pos="7200"/>
              </w:tabs>
              <w:ind w:left="132" w:hanging="132"/>
              <w:jc w:val="right"/>
              <w:rPr>
                <w:rFonts w:cs="Segoe UI Light"/>
                <w:b/>
                <w:snapToGrid w:val="0"/>
                <w:color w:val="000000"/>
              </w:rPr>
            </w:pPr>
            <w:r w:rsidRPr="00946878">
              <w:rPr>
                <w:rFonts w:cs="Segoe UI Light"/>
                <w:b/>
                <w:snapToGrid w:val="0"/>
                <w:color w:val="000000"/>
              </w:rPr>
              <w:t>-1%</w:t>
            </w:r>
          </w:p>
        </w:tc>
      </w:tr>
      <w:tr w:rsidR="00286159" w:rsidRPr="00946878" w:rsidTr="00AE1C26">
        <w:tc>
          <w:tcPr>
            <w:tcW w:w="1834" w:type="pct"/>
          </w:tcPr>
          <w:p w:rsidR="00286159" w:rsidRPr="00946878" w:rsidRDefault="00286159" w:rsidP="00AE1C26">
            <w:pPr>
              <w:widowControl w:val="0"/>
              <w:tabs>
                <w:tab w:val="right" w:pos="7200"/>
              </w:tabs>
              <w:ind w:left="132" w:hanging="132"/>
              <w:rPr>
                <w:rFonts w:cs="Segoe UI Light"/>
                <w:snapToGrid w:val="0"/>
                <w:color w:val="000000"/>
              </w:rPr>
            </w:pPr>
          </w:p>
        </w:tc>
        <w:tc>
          <w:tcPr>
            <w:tcW w:w="1249" w:type="pct"/>
          </w:tcPr>
          <w:p w:rsidR="00286159" w:rsidRPr="00946878" w:rsidRDefault="00286159" w:rsidP="00AE1C26">
            <w:pPr>
              <w:widowControl w:val="0"/>
              <w:tabs>
                <w:tab w:val="right" w:pos="7200"/>
              </w:tabs>
              <w:ind w:left="132" w:hanging="132"/>
              <w:jc w:val="right"/>
              <w:rPr>
                <w:rFonts w:cs="Segoe UI Light"/>
                <w:b/>
                <w:snapToGrid w:val="0"/>
                <w:color w:val="000000"/>
              </w:rPr>
            </w:pPr>
            <w:r w:rsidRPr="00946878">
              <w:rPr>
                <w:rFonts w:cs="Segoe UI Light"/>
                <w:b/>
                <w:snapToGrid w:val="0"/>
                <w:color w:val="000000"/>
              </w:rPr>
              <w:t>£m</w:t>
            </w:r>
          </w:p>
        </w:tc>
        <w:tc>
          <w:tcPr>
            <w:tcW w:w="834" w:type="pct"/>
          </w:tcPr>
          <w:p w:rsidR="00286159" w:rsidRPr="00946878" w:rsidRDefault="00286159" w:rsidP="00AE1C26">
            <w:pPr>
              <w:widowControl w:val="0"/>
              <w:tabs>
                <w:tab w:val="right" w:pos="7200"/>
              </w:tabs>
              <w:ind w:left="132" w:hanging="132"/>
              <w:jc w:val="right"/>
              <w:rPr>
                <w:rFonts w:cs="Segoe UI Light"/>
                <w:b/>
                <w:snapToGrid w:val="0"/>
                <w:color w:val="000000"/>
              </w:rPr>
            </w:pPr>
            <w:r w:rsidRPr="00946878">
              <w:rPr>
                <w:rFonts w:cs="Segoe UI Light"/>
                <w:b/>
                <w:snapToGrid w:val="0"/>
                <w:color w:val="000000"/>
              </w:rPr>
              <w:t>£m</w:t>
            </w:r>
          </w:p>
        </w:tc>
        <w:tc>
          <w:tcPr>
            <w:tcW w:w="1082" w:type="pct"/>
          </w:tcPr>
          <w:p w:rsidR="00286159" w:rsidRPr="00946878" w:rsidRDefault="00286159" w:rsidP="00AE1C26">
            <w:pPr>
              <w:widowControl w:val="0"/>
              <w:tabs>
                <w:tab w:val="right" w:pos="7200"/>
              </w:tabs>
              <w:ind w:left="132" w:hanging="132"/>
              <w:jc w:val="right"/>
              <w:rPr>
                <w:rFonts w:cs="Segoe UI Light"/>
                <w:b/>
                <w:snapToGrid w:val="0"/>
                <w:color w:val="000000"/>
              </w:rPr>
            </w:pPr>
            <w:r w:rsidRPr="00946878">
              <w:rPr>
                <w:rFonts w:cs="Segoe UI Light"/>
                <w:b/>
                <w:snapToGrid w:val="0"/>
                <w:color w:val="000000"/>
              </w:rPr>
              <w:t>£m</w:t>
            </w:r>
          </w:p>
        </w:tc>
      </w:tr>
      <w:tr w:rsidR="00286159" w:rsidRPr="00946878" w:rsidTr="00AE1C26">
        <w:tc>
          <w:tcPr>
            <w:tcW w:w="1834" w:type="pct"/>
          </w:tcPr>
          <w:p w:rsidR="00286159" w:rsidRPr="00946878" w:rsidRDefault="00286159" w:rsidP="00AE1C26">
            <w:pPr>
              <w:widowControl w:val="0"/>
              <w:tabs>
                <w:tab w:val="right" w:pos="7224"/>
              </w:tabs>
              <w:rPr>
                <w:rFonts w:cs="Segoe UI Light"/>
                <w:snapToGrid w:val="0"/>
                <w:color w:val="000000"/>
              </w:rPr>
            </w:pPr>
            <w:r w:rsidRPr="00946878">
              <w:rPr>
                <w:rFonts w:cs="Segoe UI Light"/>
                <w:snapToGrid w:val="0"/>
                <w:color w:val="000000"/>
              </w:rPr>
              <w:t>Overseas unit trusts</w:t>
            </w:r>
          </w:p>
        </w:tc>
        <w:tc>
          <w:tcPr>
            <w:tcW w:w="1249" w:type="pct"/>
            <w:tcBorders>
              <w:top w:val="nil"/>
              <w:left w:val="nil"/>
              <w:bottom w:val="nil"/>
              <w:right w:val="nil"/>
            </w:tcBorders>
            <w:shd w:val="clear" w:color="auto" w:fill="auto"/>
            <w:vAlign w:val="bottom"/>
          </w:tcPr>
          <w:p w:rsidR="00286159" w:rsidRPr="00946878" w:rsidRDefault="00286159" w:rsidP="00AE1C26">
            <w:pPr>
              <w:jc w:val="right"/>
              <w:rPr>
                <w:rFonts w:cs="Segoe UI Light"/>
                <w:color w:val="000000"/>
                <w:lang w:eastAsia="en-GB"/>
              </w:rPr>
            </w:pPr>
            <w:r w:rsidRPr="00946878">
              <w:rPr>
                <w:rFonts w:cs="Calibri"/>
                <w:color w:val="000000"/>
              </w:rPr>
              <w:t>293.4</w:t>
            </w:r>
          </w:p>
        </w:tc>
        <w:tc>
          <w:tcPr>
            <w:tcW w:w="834" w:type="pct"/>
            <w:tcBorders>
              <w:top w:val="nil"/>
              <w:left w:val="nil"/>
              <w:bottom w:val="nil"/>
              <w:right w:val="nil"/>
            </w:tcBorders>
            <w:shd w:val="clear" w:color="auto" w:fill="auto"/>
            <w:vAlign w:val="bottom"/>
          </w:tcPr>
          <w:p w:rsidR="00286159" w:rsidRPr="00946878" w:rsidRDefault="00286159" w:rsidP="00AE1C26">
            <w:pPr>
              <w:jc w:val="right"/>
              <w:rPr>
                <w:rFonts w:cs="Segoe UI Light"/>
                <w:color w:val="000000"/>
                <w:lang w:eastAsia="en-GB"/>
              </w:rPr>
            </w:pPr>
            <w:r w:rsidRPr="00946878">
              <w:rPr>
                <w:rFonts w:cs="Calibri"/>
                <w:color w:val="000000"/>
              </w:rPr>
              <w:t>2.9</w:t>
            </w:r>
          </w:p>
        </w:tc>
        <w:tc>
          <w:tcPr>
            <w:tcW w:w="1082" w:type="pct"/>
            <w:tcBorders>
              <w:top w:val="nil"/>
              <w:left w:val="nil"/>
              <w:bottom w:val="nil"/>
              <w:right w:val="nil"/>
            </w:tcBorders>
            <w:shd w:val="clear" w:color="auto" w:fill="auto"/>
            <w:vAlign w:val="bottom"/>
          </w:tcPr>
          <w:p w:rsidR="00286159" w:rsidRPr="00946878" w:rsidRDefault="00286159" w:rsidP="00AE1C26">
            <w:pPr>
              <w:jc w:val="right"/>
              <w:rPr>
                <w:rFonts w:cs="Segoe UI Light"/>
                <w:lang w:eastAsia="en-GB"/>
              </w:rPr>
            </w:pPr>
            <w:r w:rsidRPr="00946878">
              <w:rPr>
                <w:rFonts w:cs="Calibri"/>
              </w:rPr>
              <w:t>(2.9)</w:t>
            </w:r>
          </w:p>
        </w:tc>
      </w:tr>
      <w:tr w:rsidR="00286159" w:rsidRPr="00946878" w:rsidTr="00AE1C26">
        <w:tc>
          <w:tcPr>
            <w:tcW w:w="1834" w:type="pct"/>
          </w:tcPr>
          <w:p w:rsidR="00286159" w:rsidRPr="00946878" w:rsidRDefault="00286159" w:rsidP="00AE1C26">
            <w:pPr>
              <w:widowControl w:val="0"/>
              <w:tabs>
                <w:tab w:val="right" w:pos="7224"/>
              </w:tabs>
              <w:rPr>
                <w:rFonts w:cs="Segoe UI Light"/>
                <w:snapToGrid w:val="0"/>
                <w:color w:val="000000"/>
              </w:rPr>
            </w:pPr>
            <w:r w:rsidRPr="00946878">
              <w:rPr>
                <w:rFonts w:cs="Segoe UI Light"/>
                <w:snapToGrid w:val="0"/>
                <w:color w:val="000000"/>
              </w:rPr>
              <w:t>Overseas pooled property investments</w:t>
            </w:r>
          </w:p>
        </w:tc>
        <w:tc>
          <w:tcPr>
            <w:tcW w:w="1249" w:type="pct"/>
            <w:tcBorders>
              <w:top w:val="nil"/>
              <w:left w:val="nil"/>
              <w:bottom w:val="nil"/>
              <w:right w:val="nil"/>
            </w:tcBorders>
            <w:shd w:val="clear" w:color="auto" w:fill="auto"/>
            <w:vAlign w:val="bottom"/>
          </w:tcPr>
          <w:p w:rsidR="00286159" w:rsidRPr="00946878" w:rsidRDefault="00286159" w:rsidP="00AE1C26">
            <w:pPr>
              <w:jc w:val="right"/>
              <w:rPr>
                <w:rFonts w:cs="Segoe UI Light"/>
                <w:color w:val="000000"/>
                <w:lang w:eastAsia="en-GB"/>
              </w:rPr>
            </w:pPr>
            <w:r w:rsidRPr="00946878">
              <w:rPr>
                <w:rFonts w:cs="Calibri"/>
                <w:color w:val="000000"/>
              </w:rPr>
              <w:t>0.1</w:t>
            </w:r>
          </w:p>
        </w:tc>
        <w:tc>
          <w:tcPr>
            <w:tcW w:w="834" w:type="pct"/>
            <w:tcBorders>
              <w:top w:val="nil"/>
              <w:left w:val="nil"/>
              <w:bottom w:val="nil"/>
              <w:right w:val="nil"/>
            </w:tcBorders>
            <w:shd w:val="clear" w:color="auto" w:fill="auto"/>
            <w:vAlign w:val="bottom"/>
          </w:tcPr>
          <w:p w:rsidR="00286159" w:rsidRPr="00946878" w:rsidRDefault="00286159" w:rsidP="00AE1C26">
            <w:pPr>
              <w:jc w:val="right"/>
              <w:rPr>
                <w:rFonts w:cs="Segoe UI Light"/>
                <w:color w:val="000000"/>
                <w:lang w:eastAsia="en-GB"/>
              </w:rPr>
            </w:pPr>
            <w:r w:rsidRPr="00946878">
              <w:rPr>
                <w:rFonts w:cs="Calibri"/>
                <w:color w:val="000000"/>
              </w:rPr>
              <w:t>0.0</w:t>
            </w:r>
          </w:p>
        </w:tc>
        <w:tc>
          <w:tcPr>
            <w:tcW w:w="1082" w:type="pct"/>
            <w:tcBorders>
              <w:top w:val="nil"/>
              <w:left w:val="nil"/>
              <w:bottom w:val="nil"/>
              <w:right w:val="nil"/>
            </w:tcBorders>
            <w:shd w:val="clear" w:color="auto" w:fill="auto"/>
            <w:vAlign w:val="bottom"/>
          </w:tcPr>
          <w:p w:rsidR="00286159" w:rsidRPr="00946878" w:rsidRDefault="00286159" w:rsidP="00AE1C26">
            <w:pPr>
              <w:jc w:val="right"/>
              <w:rPr>
                <w:rFonts w:cs="Segoe UI Light"/>
                <w:lang w:eastAsia="en-GB"/>
              </w:rPr>
            </w:pPr>
            <w:r w:rsidRPr="00946878">
              <w:rPr>
                <w:rFonts w:cs="Calibri"/>
              </w:rPr>
              <w:t>(0.0)</w:t>
            </w:r>
          </w:p>
        </w:tc>
      </w:tr>
      <w:tr w:rsidR="00286159" w:rsidRPr="00946878" w:rsidTr="00AE1C26">
        <w:tc>
          <w:tcPr>
            <w:tcW w:w="1834" w:type="pct"/>
          </w:tcPr>
          <w:p w:rsidR="00286159" w:rsidRPr="00946878" w:rsidRDefault="00286159" w:rsidP="00AE1C26">
            <w:pPr>
              <w:widowControl w:val="0"/>
              <w:tabs>
                <w:tab w:val="right" w:pos="7224"/>
              </w:tabs>
              <w:rPr>
                <w:rFonts w:cs="Segoe UI Light"/>
                <w:snapToGrid w:val="0"/>
                <w:color w:val="000000"/>
              </w:rPr>
            </w:pPr>
            <w:r w:rsidRPr="00946878">
              <w:rPr>
                <w:rFonts w:cs="Segoe UI Light"/>
                <w:snapToGrid w:val="0"/>
                <w:color w:val="000000"/>
              </w:rPr>
              <w:t>Overseas private equity/infrastructure</w:t>
            </w:r>
          </w:p>
        </w:tc>
        <w:tc>
          <w:tcPr>
            <w:tcW w:w="1249" w:type="pct"/>
            <w:tcBorders>
              <w:top w:val="nil"/>
              <w:left w:val="nil"/>
              <w:bottom w:val="nil"/>
              <w:right w:val="nil"/>
            </w:tcBorders>
            <w:shd w:val="clear" w:color="auto" w:fill="auto"/>
            <w:vAlign w:val="bottom"/>
          </w:tcPr>
          <w:p w:rsidR="00286159" w:rsidRPr="00946878" w:rsidRDefault="00286159" w:rsidP="00AE1C26">
            <w:pPr>
              <w:jc w:val="right"/>
              <w:rPr>
                <w:rFonts w:cs="Segoe UI Light"/>
                <w:color w:val="000000"/>
                <w:lang w:eastAsia="en-GB"/>
              </w:rPr>
            </w:pPr>
            <w:r w:rsidRPr="00946878">
              <w:rPr>
                <w:rFonts w:cs="Calibri"/>
                <w:color w:val="000000"/>
              </w:rPr>
              <w:t>84.3</w:t>
            </w:r>
          </w:p>
        </w:tc>
        <w:tc>
          <w:tcPr>
            <w:tcW w:w="834" w:type="pct"/>
            <w:tcBorders>
              <w:top w:val="nil"/>
              <w:left w:val="nil"/>
              <w:bottom w:val="nil"/>
              <w:right w:val="nil"/>
            </w:tcBorders>
            <w:shd w:val="clear" w:color="auto" w:fill="auto"/>
            <w:vAlign w:val="bottom"/>
          </w:tcPr>
          <w:p w:rsidR="00286159" w:rsidRPr="00946878" w:rsidRDefault="00286159" w:rsidP="00AE1C26">
            <w:pPr>
              <w:jc w:val="right"/>
              <w:rPr>
                <w:rFonts w:cs="Segoe UI Light"/>
                <w:color w:val="000000"/>
                <w:lang w:eastAsia="en-GB"/>
              </w:rPr>
            </w:pPr>
            <w:r w:rsidRPr="00946878">
              <w:rPr>
                <w:rFonts w:cs="Calibri"/>
                <w:color w:val="000000"/>
              </w:rPr>
              <w:t>0.8</w:t>
            </w:r>
          </w:p>
        </w:tc>
        <w:tc>
          <w:tcPr>
            <w:tcW w:w="1082" w:type="pct"/>
            <w:tcBorders>
              <w:top w:val="nil"/>
              <w:left w:val="nil"/>
              <w:bottom w:val="nil"/>
              <w:right w:val="nil"/>
            </w:tcBorders>
            <w:shd w:val="clear" w:color="auto" w:fill="auto"/>
            <w:vAlign w:val="bottom"/>
          </w:tcPr>
          <w:p w:rsidR="00286159" w:rsidRPr="00946878" w:rsidRDefault="00286159" w:rsidP="00AE1C26">
            <w:pPr>
              <w:jc w:val="right"/>
              <w:rPr>
                <w:rFonts w:cs="Segoe UI Light"/>
                <w:lang w:eastAsia="en-GB"/>
              </w:rPr>
            </w:pPr>
            <w:r w:rsidRPr="00946878">
              <w:rPr>
                <w:rFonts w:cs="Calibri"/>
              </w:rPr>
              <w:t>(0.8)</w:t>
            </w:r>
          </w:p>
        </w:tc>
      </w:tr>
      <w:tr w:rsidR="00286159" w:rsidRPr="00946878" w:rsidTr="00AE1C26">
        <w:tc>
          <w:tcPr>
            <w:tcW w:w="1834" w:type="pct"/>
          </w:tcPr>
          <w:p w:rsidR="00286159" w:rsidRPr="00946878" w:rsidRDefault="00286159" w:rsidP="00AE1C26">
            <w:pPr>
              <w:widowControl w:val="0"/>
              <w:tabs>
                <w:tab w:val="right" w:pos="7200"/>
              </w:tabs>
              <w:ind w:left="34"/>
              <w:rPr>
                <w:rFonts w:cs="Segoe UI Light"/>
                <w:b/>
                <w:snapToGrid w:val="0"/>
                <w:color w:val="000000"/>
              </w:rPr>
            </w:pPr>
            <w:r w:rsidRPr="00946878">
              <w:rPr>
                <w:rFonts w:cs="Segoe UI Light"/>
                <w:b/>
                <w:snapToGrid w:val="0"/>
                <w:color w:val="000000"/>
              </w:rPr>
              <w:t>Total change in assets available</w:t>
            </w:r>
          </w:p>
        </w:tc>
        <w:tc>
          <w:tcPr>
            <w:tcW w:w="1249" w:type="pct"/>
            <w:tcBorders>
              <w:top w:val="single" w:sz="4" w:space="0" w:color="auto"/>
            </w:tcBorders>
            <w:vAlign w:val="center"/>
          </w:tcPr>
          <w:p w:rsidR="00286159" w:rsidRPr="00946878" w:rsidRDefault="00286159" w:rsidP="00AE1C26">
            <w:pPr>
              <w:widowControl w:val="0"/>
              <w:tabs>
                <w:tab w:val="right" w:pos="7200"/>
              </w:tabs>
              <w:ind w:left="132" w:hanging="132"/>
              <w:jc w:val="right"/>
              <w:rPr>
                <w:rFonts w:cs="Segoe UI Light"/>
                <w:b/>
                <w:snapToGrid w:val="0"/>
                <w:color w:val="000000"/>
              </w:rPr>
            </w:pPr>
            <w:r w:rsidRPr="00946878">
              <w:rPr>
                <w:rFonts w:cs="Segoe UI Light"/>
                <w:b/>
                <w:snapToGrid w:val="0"/>
                <w:color w:val="000000"/>
              </w:rPr>
              <w:t>377.8</w:t>
            </w:r>
          </w:p>
        </w:tc>
        <w:tc>
          <w:tcPr>
            <w:tcW w:w="834" w:type="pct"/>
            <w:tcBorders>
              <w:top w:val="single" w:sz="4" w:space="0" w:color="auto"/>
            </w:tcBorders>
            <w:vAlign w:val="center"/>
          </w:tcPr>
          <w:p w:rsidR="00286159" w:rsidRPr="00946878" w:rsidRDefault="00286159" w:rsidP="00AE1C26">
            <w:pPr>
              <w:widowControl w:val="0"/>
              <w:tabs>
                <w:tab w:val="right" w:pos="7200"/>
              </w:tabs>
              <w:ind w:left="132" w:hanging="132"/>
              <w:jc w:val="right"/>
              <w:rPr>
                <w:rFonts w:cs="Segoe UI Light"/>
                <w:b/>
                <w:snapToGrid w:val="0"/>
                <w:color w:val="000000"/>
              </w:rPr>
            </w:pPr>
            <w:r w:rsidRPr="00946878">
              <w:rPr>
                <w:rFonts w:cs="Segoe UI Light"/>
                <w:b/>
                <w:snapToGrid w:val="0"/>
                <w:color w:val="000000"/>
              </w:rPr>
              <w:t>3.8</w:t>
            </w:r>
          </w:p>
        </w:tc>
        <w:tc>
          <w:tcPr>
            <w:tcW w:w="1082" w:type="pct"/>
            <w:tcBorders>
              <w:top w:val="single" w:sz="4" w:space="0" w:color="auto"/>
            </w:tcBorders>
            <w:vAlign w:val="center"/>
          </w:tcPr>
          <w:p w:rsidR="00286159" w:rsidRPr="00946878" w:rsidRDefault="00286159" w:rsidP="00AE1C26">
            <w:pPr>
              <w:widowControl w:val="0"/>
              <w:tabs>
                <w:tab w:val="right" w:pos="7200"/>
              </w:tabs>
              <w:ind w:left="132" w:hanging="132"/>
              <w:jc w:val="right"/>
              <w:rPr>
                <w:rFonts w:cs="Segoe UI Light"/>
                <w:b/>
                <w:snapToGrid w:val="0"/>
                <w:color w:val="000000"/>
              </w:rPr>
            </w:pPr>
            <w:r w:rsidRPr="00946878">
              <w:rPr>
                <w:rFonts w:cs="Segoe UI Light"/>
                <w:b/>
                <w:snapToGrid w:val="0"/>
                <w:color w:val="000000"/>
              </w:rPr>
              <w:t>(3.8)</w:t>
            </w:r>
          </w:p>
        </w:tc>
      </w:tr>
      <w:tr w:rsidR="00286159" w:rsidRPr="00946878" w:rsidTr="00AE1C26">
        <w:tblPrEx>
          <w:tblLook w:val="00A0" w:firstRow="1" w:lastRow="0" w:firstColumn="1" w:lastColumn="0" w:noHBand="0" w:noVBand="0"/>
        </w:tblPrEx>
        <w:trPr>
          <w:trHeight w:val="790"/>
        </w:trPr>
        <w:tc>
          <w:tcPr>
            <w:tcW w:w="1834" w:type="pct"/>
            <w:tcBorders>
              <w:top w:val="nil"/>
              <w:left w:val="nil"/>
              <w:bottom w:val="nil"/>
              <w:right w:val="nil"/>
            </w:tcBorders>
            <w:vAlign w:val="center"/>
          </w:tcPr>
          <w:p w:rsidR="00286159" w:rsidRPr="00946878" w:rsidRDefault="00286159" w:rsidP="00AE1C26">
            <w:pPr>
              <w:rPr>
                <w:rFonts w:cs="Segoe UI Light"/>
                <w:lang w:eastAsia="en-GB"/>
              </w:rPr>
            </w:pPr>
          </w:p>
        </w:tc>
        <w:tc>
          <w:tcPr>
            <w:tcW w:w="1249" w:type="pct"/>
            <w:tcBorders>
              <w:top w:val="nil"/>
              <w:left w:val="nil"/>
              <w:bottom w:val="nil"/>
              <w:right w:val="nil"/>
            </w:tcBorders>
            <w:vAlign w:val="center"/>
          </w:tcPr>
          <w:p w:rsidR="00286159" w:rsidRPr="00946878" w:rsidRDefault="00286159" w:rsidP="00AE1C26">
            <w:pPr>
              <w:jc w:val="right"/>
              <w:rPr>
                <w:rFonts w:cs="Segoe UI Light"/>
                <w:b/>
                <w:bCs/>
                <w:color w:val="000000"/>
                <w:lang w:eastAsia="en-GB"/>
              </w:rPr>
            </w:pPr>
            <w:r w:rsidRPr="00946878">
              <w:rPr>
                <w:rFonts w:cs="Segoe UI Light"/>
                <w:b/>
                <w:bCs/>
                <w:color w:val="000000"/>
                <w:lang w:eastAsia="en-GB"/>
              </w:rPr>
              <w:t>Asset value as at 31 March 2019</w:t>
            </w:r>
          </w:p>
        </w:tc>
        <w:tc>
          <w:tcPr>
            <w:tcW w:w="1917" w:type="pct"/>
            <w:gridSpan w:val="2"/>
            <w:tcBorders>
              <w:top w:val="nil"/>
              <w:left w:val="nil"/>
              <w:bottom w:val="nil"/>
              <w:right w:val="nil"/>
            </w:tcBorders>
            <w:vAlign w:val="center"/>
          </w:tcPr>
          <w:p w:rsidR="00286159" w:rsidRPr="00946878" w:rsidRDefault="00286159" w:rsidP="00AE1C26">
            <w:pPr>
              <w:jc w:val="right"/>
              <w:rPr>
                <w:rFonts w:cs="Segoe UI Light"/>
                <w:b/>
                <w:bCs/>
                <w:color w:val="000000"/>
                <w:lang w:eastAsia="en-GB"/>
              </w:rPr>
            </w:pPr>
            <w:r w:rsidRPr="00946878">
              <w:rPr>
                <w:rFonts w:cs="Segoe UI Light"/>
                <w:b/>
                <w:bCs/>
                <w:color w:val="000000"/>
                <w:lang w:eastAsia="en-GB"/>
              </w:rPr>
              <w:t>Change to net assets available to pay benefits</w:t>
            </w:r>
          </w:p>
        </w:tc>
      </w:tr>
      <w:tr w:rsidR="00286159" w:rsidRPr="00946878" w:rsidTr="00AE1C26">
        <w:tblPrEx>
          <w:tblLook w:val="00A0" w:firstRow="1" w:lastRow="0" w:firstColumn="1" w:lastColumn="0" w:noHBand="0" w:noVBand="0"/>
        </w:tblPrEx>
        <w:trPr>
          <w:trHeight w:val="255"/>
        </w:trPr>
        <w:tc>
          <w:tcPr>
            <w:tcW w:w="1834" w:type="pct"/>
            <w:tcBorders>
              <w:top w:val="nil"/>
              <w:left w:val="nil"/>
              <w:bottom w:val="nil"/>
              <w:right w:val="nil"/>
            </w:tcBorders>
            <w:vAlign w:val="center"/>
          </w:tcPr>
          <w:p w:rsidR="00286159" w:rsidRPr="00946878" w:rsidRDefault="00286159" w:rsidP="00AE1C26">
            <w:pPr>
              <w:jc w:val="right"/>
              <w:rPr>
                <w:rFonts w:cs="Segoe UI Light"/>
                <w:b/>
                <w:bCs/>
                <w:color w:val="000000"/>
                <w:lang w:eastAsia="en-GB"/>
              </w:rPr>
            </w:pPr>
          </w:p>
        </w:tc>
        <w:tc>
          <w:tcPr>
            <w:tcW w:w="1249" w:type="pct"/>
            <w:tcBorders>
              <w:top w:val="nil"/>
              <w:left w:val="nil"/>
              <w:bottom w:val="nil"/>
              <w:right w:val="nil"/>
            </w:tcBorders>
            <w:vAlign w:val="center"/>
          </w:tcPr>
          <w:p w:rsidR="00286159" w:rsidRPr="00946878" w:rsidRDefault="00286159" w:rsidP="00AE1C26">
            <w:pPr>
              <w:rPr>
                <w:rFonts w:cs="Segoe UI Light"/>
                <w:lang w:eastAsia="en-GB"/>
              </w:rPr>
            </w:pPr>
          </w:p>
        </w:tc>
        <w:tc>
          <w:tcPr>
            <w:tcW w:w="834" w:type="pct"/>
            <w:tcBorders>
              <w:top w:val="nil"/>
              <w:left w:val="nil"/>
              <w:bottom w:val="nil"/>
              <w:right w:val="nil"/>
            </w:tcBorders>
            <w:vAlign w:val="center"/>
          </w:tcPr>
          <w:p w:rsidR="00286159" w:rsidRPr="00946878" w:rsidRDefault="00286159" w:rsidP="00AE1C26">
            <w:pPr>
              <w:jc w:val="right"/>
              <w:rPr>
                <w:rFonts w:cs="Segoe UI Light"/>
                <w:b/>
                <w:bCs/>
                <w:color w:val="000000"/>
                <w:lang w:eastAsia="en-GB"/>
              </w:rPr>
            </w:pPr>
            <w:r w:rsidRPr="00946878">
              <w:rPr>
                <w:rFonts w:cs="Segoe UI Light"/>
                <w:b/>
                <w:bCs/>
                <w:color w:val="000000"/>
                <w:lang w:eastAsia="en-GB"/>
              </w:rPr>
              <w:t>+1%</w:t>
            </w:r>
          </w:p>
        </w:tc>
        <w:tc>
          <w:tcPr>
            <w:tcW w:w="1083" w:type="pct"/>
            <w:tcBorders>
              <w:top w:val="nil"/>
              <w:left w:val="nil"/>
              <w:bottom w:val="nil"/>
              <w:right w:val="nil"/>
            </w:tcBorders>
            <w:vAlign w:val="center"/>
          </w:tcPr>
          <w:p w:rsidR="00286159" w:rsidRPr="00946878" w:rsidRDefault="00286159" w:rsidP="00AE1C26">
            <w:pPr>
              <w:jc w:val="right"/>
              <w:rPr>
                <w:rFonts w:cs="Segoe UI Light"/>
                <w:b/>
                <w:bCs/>
                <w:color w:val="000000"/>
                <w:lang w:eastAsia="en-GB"/>
              </w:rPr>
            </w:pPr>
            <w:r w:rsidRPr="00946878">
              <w:rPr>
                <w:rFonts w:cs="Segoe UI Light"/>
                <w:b/>
                <w:bCs/>
                <w:color w:val="000000"/>
                <w:lang w:eastAsia="en-GB"/>
              </w:rPr>
              <w:t>-1%</w:t>
            </w:r>
          </w:p>
        </w:tc>
      </w:tr>
      <w:tr w:rsidR="00286159" w:rsidRPr="00946878" w:rsidTr="00AE1C26">
        <w:tblPrEx>
          <w:tblLook w:val="00A0" w:firstRow="1" w:lastRow="0" w:firstColumn="1" w:lastColumn="0" w:noHBand="0" w:noVBand="0"/>
        </w:tblPrEx>
        <w:trPr>
          <w:trHeight w:val="255"/>
        </w:trPr>
        <w:tc>
          <w:tcPr>
            <w:tcW w:w="1834" w:type="pct"/>
            <w:tcBorders>
              <w:top w:val="nil"/>
              <w:left w:val="nil"/>
              <w:bottom w:val="nil"/>
              <w:right w:val="nil"/>
            </w:tcBorders>
            <w:vAlign w:val="center"/>
          </w:tcPr>
          <w:p w:rsidR="00286159" w:rsidRPr="00946878" w:rsidRDefault="00286159" w:rsidP="00AE1C26">
            <w:pPr>
              <w:jc w:val="right"/>
              <w:rPr>
                <w:rFonts w:cs="Segoe UI Light"/>
                <w:b/>
                <w:bCs/>
                <w:color w:val="000000"/>
                <w:lang w:eastAsia="en-GB"/>
              </w:rPr>
            </w:pPr>
          </w:p>
        </w:tc>
        <w:tc>
          <w:tcPr>
            <w:tcW w:w="1249" w:type="pct"/>
            <w:tcBorders>
              <w:top w:val="nil"/>
              <w:left w:val="nil"/>
              <w:bottom w:val="nil"/>
              <w:right w:val="nil"/>
            </w:tcBorders>
            <w:vAlign w:val="center"/>
          </w:tcPr>
          <w:p w:rsidR="00286159" w:rsidRPr="00946878" w:rsidRDefault="00286159" w:rsidP="00AE1C26">
            <w:pPr>
              <w:jc w:val="right"/>
              <w:rPr>
                <w:rFonts w:cs="Segoe UI Light"/>
                <w:b/>
                <w:bCs/>
                <w:color w:val="000000"/>
                <w:lang w:eastAsia="en-GB"/>
              </w:rPr>
            </w:pPr>
            <w:r w:rsidRPr="00946878">
              <w:rPr>
                <w:rFonts w:cs="Segoe UI Light"/>
                <w:b/>
                <w:bCs/>
                <w:color w:val="000000"/>
                <w:lang w:eastAsia="en-GB"/>
              </w:rPr>
              <w:t>£m</w:t>
            </w:r>
          </w:p>
        </w:tc>
        <w:tc>
          <w:tcPr>
            <w:tcW w:w="834" w:type="pct"/>
            <w:tcBorders>
              <w:top w:val="nil"/>
              <w:left w:val="nil"/>
              <w:bottom w:val="nil"/>
              <w:right w:val="nil"/>
            </w:tcBorders>
            <w:vAlign w:val="center"/>
          </w:tcPr>
          <w:p w:rsidR="00286159" w:rsidRPr="00946878" w:rsidRDefault="00286159" w:rsidP="00AE1C26">
            <w:pPr>
              <w:jc w:val="right"/>
              <w:rPr>
                <w:rFonts w:cs="Segoe UI Light"/>
                <w:b/>
                <w:bCs/>
                <w:color w:val="000000"/>
                <w:lang w:eastAsia="en-GB"/>
              </w:rPr>
            </w:pPr>
            <w:r w:rsidRPr="00946878">
              <w:rPr>
                <w:rFonts w:cs="Segoe UI Light"/>
                <w:b/>
                <w:bCs/>
                <w:color w:val="000000"/>
                <w:lang w:eastAsia="en-GB"/>
              </w:rPr>
              <w:t>£m</w:t>
            </w:r>
          </w:p>
        </w:tc>
        <w:tc>
          <w:tcPr>
            <w:tcW w:w="1083" w:type="pct"/>
            <w:tcBorders>
              <w:top w:val="nil"/>
              <w:left w:val="nil"/>
              <w:bottom w:val="nil"/>
              <w:right w:val="nil"/>
            </w:tcBorders>
            <w:vAlign w:val="center"/>
          </w:tcPr>
          <w:p w:rsidR="00286159" w:rsidRPr="00946878" w:rsidRDefault="00286159" w:rsidP="00AE1C26">
            <w:pPr>
              <w:jc w:val="right"/>
              <w:rPr>
                <w:rFonts w:cs="Segoe UI Light"/>
                <w:b/>
                <w:bCs/>
                <w:color w:val="000000"/>
                <w:lang w:eastAsia="en-GB"/>
              </w:rPr>
            </w:pPr>
            <w:r w:rsidRPr="00946878">
              <w:rPr>
                <w:rFonts w:cs="Segoe UI Light"/>
                <w:b/>
                <w:bCs/>
                <w:color w:val="000000"/>
                <w:lang w:eastAsia="en-GB"/>
              </w:rPr>
              <w:t>£m</w:t>
            </w:r>
          </w:p>
        </w:tc>
      </w:tr>
      <w:tr w:rsidR="00286159" w:rsidRPr="00946878" w:rsidTr="00AE1C26">
        <w:tblPrEx>
          <w:tblLook w:val="00A0" w:firstRow="1" w:lastRow="0" w:firstColumn="1" w:lastColumn="0" w:noHBand="0" w:noVBand="0"/>
        </w:tblPrEx>
        <w:trPr>
          <w:trHeight w:val="255"/>
        </w:trPr>
        <w:tc>
          <w:tcPr>
            <w:tcW w:w="1834" w:type="pct"/>
            <w:tcBorders>
              <w:top w:val="nil"/>
              <w:left w:val="nil"/>
              <w:bottom w:val="nil"/>
              <w:right w:val="nil"/>
            </w:tcBorders>
            <w:vAlign w:val="center"/>
          </w:tcPr>
          <w:p w:rsidR="00286159" w:rsidRPr="00946878" w:rsidRDefault="00286159" w:rsidP="00AE1C26">
            <w:pPr>
              <w:rPr>
                <w:rFonts w:cs="Segoe UI Light"/>
                <w:color w:val="000000"/>
                <w:lang w:eastAsia="en-GB"/>
              </w:rPr>
            </w:pPr>
            <w:r w:rsidRPr="00946878">
              <w:rPr>
                <w:rFonts w:cs="Segoe UI Light"/>
                <w:color w:val="000000"/>
                <w:lang w:eastAsia="en-GB"/>
              </w:rPr>
              <w:lastRenderedPageBreak/>
              <w:t>Overseas unit trusts</w:t>
            </w:r>
          </w:p>
        </w:tc>
        <w:tc>
          <w:tcPr>
            <w:tcW w:w="1249" w:type="pct"/>
            <w:tcBorders>
              <w:top w:val="nil"/>
              <w:left w:val="nil"/>
              <w:bottom w:val="nil"/>
              <w:right w:val="nil"/>
            </w:tcBorders>
            <w:vAlign w:val="center"/>
          </w:tcPr>
          <w:p w:rsidR="00286159" w:rsidRPr="00946878" w:rsidRDefault="00286159" w:rsidP="00AE1C26">
            <w:pPr>
              <w:jc w:val="right"/>
              <w:rPr>
                <w:rFonts w:cs="Segoe UI Light"/>
                <w:color w:val="000000"/>
                <w:lang w:eastAsia="en-GB"/>
              </w:rPr>
            </w:pPr>
            <w:r w:rsidRPr="00946878">
              <w:rPr>
                <w:rFonts w:cs="Segoe UI Light"/>
                <w:color w:val="000000"/>
                <w:lang w:eastAsia="en-GB"/>
              </w:rPr>
              <w:t>307.5</w:t>
            </w:r>
          </w:p>
        </w:tc>
        <w:tc>
          <w:tcPr>
            <w:tcW w:w="834" w:type="pct"/>
            <w:tcBorders>
              <w:top w:val="nil"/>
              <w:left w:val="nil"/>
              <w:bottom w:val="nil"/>
              <w:right w:val="nil"/>
            </w:tcBorders>
            <w:vAlign w:val="center"/>
          </w:tcPr>
          <w:p w:rsidR="00286159" w:rsidRPr="00946878" w:rsidRDefault="00286159" w:rsidP="00AE1C26">
            <w:pPr>
              <w:jc w:val="right"/>
              <w:rPr>
                <w:rFonts w:cs="Segoe UI Light"/>
                <w:color w:val="000000"/>
                <w:lang w:eastAsia="en-GB"/>
              </w:rPr>
            </w:pPr>
            <w:r w:rsidRPr="00946878">
              <w:rPr>
                <w:rFonts w:cs="Segoe UI Light"/>
                <w:color w:val="000000"/>
                <w:lang w:eastAsia="en-GB"/>
              </w:rPr>
              <w:t>3.1</w:t>
            </w:r>
          </w:p>
        </w:tc>
        <w:tc>
          <w:tcPr>
            <w:tcW w:w="1083" w:type="pct"/>
            <w:tcBorders>
              <w:top w:val="nil"/>
              <w:left w:val="nil"/>
              <w:bottom w:val="nil"/>
              <w:right w:val="nil"/>
            </w:tcBorders>
            <w:vAlign w:val="center"/>
          </w:tcPr>
          <w:p w:rsidR="00286159" w:rsidRPr="00946878" w:rsidRDefault="00286159" w:rsidP="00AE1C26">
            <w:pPr>
              <w:jc w:val="right"/>
              <w:rPr>
                <w:rFonts w:cs="Segoe UI Light"/>
                <w:color w:val="000000"/>
                <w:lang w:eastAsia="en-GB"/>
              </w:rPr>
            </w:pPr>
            <w:r w:rsidRPr="00946878">
              <w:rPr>
                <w:rFonts w:cs="Segoe UI Light"/>
                <w:color w:val="000000"/>
                <w:lang w:eastAsia="en-GB"/>
              </w:rPr>
              <w:t>(3.1)</w:t>
            </w:r>
          </w:p>
        </w:tc>
      </w:tr>
      <w:tr w:rsidR="00286159" w:rsidRPr="00946878" w:rsidTr="00AE1C26">
        <w:tblPrEx>
          <w:tblLook w:val="00A0" w:firstRow="1" w:lastRow="0" w:firstColumn="1" w:lastColumn="0" w:noHBand="0" w:noVBand="0"/>
        </w:tblPrEx>
        <w:trPr>
          <w:trHeight w:val="510"/>
        </w:trPr>
        <w:tc>
          <w:tcPr>
            <w:tcW w:w="1834" w:type="pct"/>
            <w:tcBorders>
              <w:top w:val="nil"/>
              <w:left w:val="nil"/>
              <w:bottom w:val="nil"/>
              <w:right w:val="nil"/>
            </w:tcBorders>
            <w:vAlign w:val="center"/>
          </w:tcPr>
          <w:p w:rsidR="00286159" w:rsidRPr="00946878" w:rsidRDefault="00286159" w:rsidP="00AE1C26">
            <w:pPr>
              <w:rPr>
                <w:rFonts w:cs="Segoe UI Light"/>
                <w:color w:val="000000"/>
                <w:lang w:eastAsia="en-GB"/>
              </w:rPr>
            </w:pPr>
            <w:r w:rsidRPr="00946878">
              <w:rPr>
                <w:rFonts w:cs="Segoe UI Light"/>
                <w:color w:val="000000"/>
                <w:lang w:eastAsia="en-GB"/>
              </w:rPr>
              <w:t>Overseas pooled property investments</w:t>
            </w:r>
          </w:p>
        </w:tc>
        <w:tc>
          <w:tcPr>
            <w:tcW w:w="1249" w:type="pct"/>
            <w:tcBorders>
              <w:top w:val="nil"/>
              <w:left w:val="nil"/>
              <w:bottom w:val="nil"/>
              <w:right w:val="nil"/>
            </w:tcBorders>
            <w:vAlign w:val="center"/>
          </w:tcPr>
          <w:p w:rsidR="00286159" w:rsidRPr="00946878" w:rsidRDefault="00286159" w:rsidP="00AE1C26">
            <w:pPr>
              <w:jc w:val="right"/>
              <w:rPr>
                <w:rFonts w:cs="Segoe UI Light"/>
                <w:color w:val="000000"/>
                <w:lang w:eastAsia="en-GB"/>
              </w:rPr>
            </w:pPr>
            <w:r w:rsidRPr="00946878">
              <w:rPr>
                <w:rFonts w:cs="Segoe UI Light"/>
                <w:color w:val="000000"/>
                <w:lang w:eastAsia="en-GB"/>
              </w:rPr>
              <w:t>0.2</w:t>
            </w:r>
          </w:p>
        </w:tc>
        <w:tc>
          <w:tcPr>
            <w:tcW w:w="834" w:type="pct"/>
            <w:tcBorders>
              <w:top w:val="nil"/>
              <w:left w:val="nil"/>
              <w:bottom w:val="nil"/>
              <w:right w:val="nil"/>
            </w:tcBorders>
            <w:vAlign w:val="center"/>
          </w:tcPr>
          <w:p w:rsidR="00286159" w:rsidRPr="00946878" w:rsidRDefault="00286159" w:rsidP="00AE1C26">
            <w:pPr>
              <w:jc w:val="right"/>
              <w:rPr>
                <w:rFonts w:cs="Segoe UI Light"/>
                <w:color w:val="000000"/>
                <w:lang w:eastAsia="en-GB"/>
              </w:rPr>
            </w:pPr>
            <w:r w:rsidRPr="00946878">
              <w:rPr>
                <w:rFonts w:cs="Segoe UI Light"/>
                <w:color w:val="000000"/>
                <w:lang w:eastAsia="en-GB"/>
              </w:rPr>
              <w:t>0.0</w:t>
            </w:r>
          </w:p>
        </w:tc>
        <w:tc>
          <w:tcPr>
            <w:tcW w:w="1083" w:type="pct"/>
            <w:tcBorders>
              <w:top w:val="nil"/>
              <w:left w:val="nil"/>
              <w:bottom w:val="nil"/>
              <w:right w:val="nil"/>
            </w:tcBorders>
            <w:vAlign w:val="center"/>
          </w:tcPr>
          <w:p w:rsidR="00286159" w:rsidRPr="00946878" w:rsidRDefault="00286159" w:rsidP="00AE1C26">
            <w:pPr>
              <w:jc w:val="right"/>
              <w:rPr>
                <w:rFonts w:cs="Segoe UI Light"/>
                <w:color w:val="000000"/>
                <w:lang w:eastAsia="en-GB"/>
              </w:rPr>
            </w:pPr>
            <w:r w:rsidRPr="00946878">
              <w:rPr>
                <w:rFonts w:cs="Segoe UI Light"/>
                <w:color w:val="000000"/>
                <w:lang w:eastAsia="en-GB"/>
              </w:rPr>
              <w:t>(0.0)</w:t>
            </w:r>
          </w:p>
        </w:tc>
      </w:tr>
      <w:tr w:rsidR="00286159" w:rsidRPr="00946878" w:rsidTr="00AE1C26">
        <w:tblPrEx>
          <w:tblLook w:val="00A0" w:firstRow="1" w:lastRow="0" w:firstColumn="1" w:lastColumn="0" w:noHBand="0" w:noVBand="0"/>
        </w:tblPrEx>
        <w:trPr>
          <w:trHeight w:val="510"/>
        </w:trPr>
        <w:tc>
          <w:tcPr>
            <w:tcW w:w="1834" w:type="pct"/>
            <w:tcBorders>
              <w:top w:val="nil"/>
              <w:left w:val="nil"/>
              <w:bottom w:val="nil"/>
              <w:right w:val="nil"/>
            </w:tcBorders>
            <w:vAlign w:val="center"/>
          </w:tcPr>
          <w:p w:rsidR="00286159" w:rsidRPr="00946878" w:rsidRDefault="00286159" w:rsidP="00AE1C26">
            <w:pPr>
              <w:rPr>
                <w:rFonts w:cs="Segoe UI Light"/>
                <w:color w:val="000000"/>
                <w:lang w:eastAsia="en-GB"/>
              </w:rPr>
            </w:pPr>
            <w:r w:rsidRPr="00946878">
              <w:rPr>
                <w:rFonts w:cs="Segoe UI Light"/>
                <w:color w:val="000000"/>
                <w:lang w:eastAsia="en-GB"/>
              </w:rPr>
              <w:t>Overseas private equity/infrastructure</w:t>
            </w:r>
          </w:p>
        </w:tc>
        <w:tc>
          <w:tcPr>
            <w:tcW w:w="1249" w:type="pct"/>
            <w:tcBorders>
              <w:top w:val="nil"/>
              <w:left w:val="nil"/>
              <w:bottom w:val="nil"/>
              <w:right w:val="nil"/>
            </w:tcBorders>
            <w:vAlign w:val="center"/>
          </w:tcPr>
          <w:p w:rsidR="00286159" w:rsidRPr="00946878" w:rsidRDefault="00286159" w:rsidP="00AE1C26">
            <w:pPr>
              <w:jc w:val="right"/>
              <w:rPr>
                <w:rFonts w:cs="Segoe UI Light"/>
                <w:color w:val="000000"/>
                <w:lang w:eastAsia="en-GB"/>
              </w:rPr>
            </w:pPr>
            <w:r w:rsidRPr="00946878">
              <w:rPr>
                <w:rFonts w:cs="Segoe UI Light"/>
                <w:color w:val="000000"/>
                <w:lang w:eastAsia="en-GB"/>
              </w:rPr>
              <w:t>95.0</w:t>
            </w:r>
          </w:p>
        </w:tc>
        <w:tc>
          <w:tcPr>
            <w:tcW w:w="834" w:type="pct"/>
            <w:tcBorders>
              <w:top w:val="nil"/>
              <w:left w:val="nil"/>
              <w:bottom w:val="nil"/>
              <w:right w:val="nil"/>
            </w:tcBorders>
            <w:vAlign w:val="center"/>
          </w:tcPr>
          <w:p w:rsidR="00286159" w:rsidRPr="00946878" w:rsidRDefault="00286159" w:rsidP="00AE1C26">
            <w:pPr>
              <w:jc w:val="right"/>
              <w:rPr>
                <w:rFonts w:cs="Segoe UI Light"/>
                <w:color w:val="000000"/>
                <w:lang w:eastAsia="en-GB"/>
              </w:rPr>
            </w:pPr>
            <w:r w:rsidRPr="00946878">
              <w:rPr>
                <w:rFonts w:cs="Segoe UI Light"/>
                <w:color w:val="000000"/>
                <w:lang w:eastAsia="en-GB"/>
              </w:rPr>
              <w:t>1.0</w:t>
            </w:r>
          </w:p>
        </w:tc>
        <w:tc>
          <w:tcPr>
            <w:tcW w:w="1083" w:type="pct"/>
            <w:tcBorders>
              <w:top w:val="nil"/>
              <w:left w:val="nil"/>
              <w:bottom w:val="nil"/>
              <w:right w:val="nil"/>
            </w:tcBorders>
            <w:vAlign w:val="center"/>
          </w:tcPr>
          <w:p w:rsidR="00286159" w:rsidRPr="00946878" w:rsidRDefault="00286159" w:rsidP="00AE1C26">
            <w:pPr>
              <w:jc w:val="right"/>
              <w:rPr>
                <w:rFonts w:cs="Segoe UI Light"/>
                <w:color w:val="000000"/>
                <w:lang w:eastAsia="en-GB"/>
              </w:rPr>
            </w:pPr>
            <w:r w:rsidRPr="00946878">
              <w:rPr>
                <w:rFonts w:cs="Segoe UI Light"/>
                <w:color w:val="000000"/>
                <w:lang w:eastAsia="en-GB"/>
              </w:rPr>
              <w:t>(1.0)</w:t>
            </w:r>
          </w:p>
        </w:tc>
      </w:tr>
      <w:tr w:rsidR="00286159" w:rsidRPr="00946878" w:rsidTr="00AE1C26">
        <w:tc>
          <w:tcPr>
            <w:tcW w:w="1834" w:type="pct"/>
          </w:tcPr>
          <w:p w:rsidR="00286159" w:rsidRPr="00946878" w:rsidRDefault="00286159" w:rsidP="00AE1C26">
            <w:pPr>
              <w:widowControl w:val="0"/>
              <w:tabs>
                <w:tab w:val="right" w:pos="7200"/>
              </w:tabs>
              <w:ind w:left="34"/>
              <w:rPr>
                <w:rFonts w:cs="Segoe UI Light"/>
                <w:b/>
                <w:snapToGrid w:val="0"/>
                <w:color w:val="000000"/>
              </w:rPr>
            </w:pPr>
            <w:r w:rsidRPr="00946878">
              <w:rPr>
                <w:rFonts w:cs="Segoe UI Light"/>
                <w:b/>
                <w:snapToGrid w:val="0"/>
                <w:color w:val="000000"/>
              </w:rPr>
              <w:t>Total change in assets available</w:t>
            </w:r>
          </w:p>
        </w:tc>
        <w:tc>
          <w:tcPr>
            <w:tcW w:w="1249" w:type="pct"/>
            <w:tcBorders>
              <w:top w:val="single" w:sz="4" w:space="0" w:color="auto"/>
            </w:tcBorders>
            <w:vAlign w:val="center"/>
          </w:tcPr>
          <w:p w:rsidR="00286159" w:rsidRPr="00946878" w:rsidRDefault="00286159" w:rsidP="00AE1C26">
            <w:pPr>
              <w:widowControl w:val="0"/>
              <w:tabs>
                <w:tab w:val="right" w:pos="7200"/>
              </w:tabs>
              <w:ind w:left="132" w:hanging="132"/>
              <w:jc w:val="right"/>
              <w:rPr>
                <w:rFonts w:cs="Segoe UI Light"/>
                <w:b/>
                <w:snapToGrid w:val="0"/>
                <w:color w:val="000000"/>
              </w:rPr>
            </w:pPr>
            <w:r w:rsidRPr="00946878">
              <w:rPr>
                <w:rFonts w:cs="Segoe UI Light"/>
                <w:b/>
                <w:snapToGrid w:val="0"/>
                <w:color w:val="000000"/>
              </w:rPr>
              <w:t>402.7</w:t>
            </w:r>
          </w:p>
        </w:tc>
        <w:tc>
          <w:tcPr>
            <w:tcW w:w="834" w:type="pct"/>
            <w:tcBorders>
              <w:top w:val="single" w:sz="4" w:space="0" w:color="auto"/>
            </w:tcBorders>
            <w:vAlign w:val="center"/>
          </w:tcPr>
          <w:p w:rsidR="00286159" w:rsidRPr="00946878" w:rsidRDefault="00286159" w:rsidP="00AE1C26">
            <w:pPr>
              <w:widowControl w:val="0"/>
              <w:tabs>
                <w:tab w:val="right" w:pos="7200"/>
              </w:tabs>
              <w:ind w:left="132" w:hanging="132"/>
              <w:jc w:val="right"/>
              <w:rPr>
                <w:rFonts w:cs="Segoe UI Light"/>
                <w:b/>
                <w:snapToGrid w:val="0"/>
                <w:color w:val="000000"/>
              </w:rPr>
            </w:pPr>
            <w:r w:rsidRPr="00946878">
              <w:rPr>
                <w:rFonts w:cs="Segoe UI Light"/>
                <w:b/>
                <w:snapToGrid w:val="0"/>
                <w:color w:val="000000"/>
              </w:rPr>
              <w:t>4.0</w:t>
            </w:r>
          </w:p>
        </w:tc>
        <w:tc>
          <w:tcPr>
            <w:tcW w:w="1083" w:type="pct"/>
            <w:tcBorders>
              <w:top w:val="single" w:sz="4" w:space="0" w:color="auto"/>
            </w:tcBorders>
            <w:vAlign w:val="center"/>
          </w:tcPr>
          <w:p w:rsidR="00286159" w:rsidRPr="00946878" w:rsidRDefault="00286159" w:rsidP="00AE1C26">
            <w:pPr>
              <w:widowControl w:val="0"/>
              <w:tabs>
                <w:tab w:val="right" w:pos="7200"/>
              </w:tabs>
              <w:ind w:left="132" w:hanging="132"/>
              <w:jc w:val="right"/>
              <w:rPr>
                <w:rFonts w:cs="Segoe UI Light"/>
                <w:b/>
                <w:snapToGrid w:val="0"/>
                <w:color w:val="000000"/>
              </w:rPr>
            </w:pPr>
            <w:r w:rsidRPr="00946878">
              <w:rPr>
                <w:rFonts w:cs="Segoe UI Light"/>
                <w:b/>
                <w:snapToGrid w:val="0"/>
                <w:color w:val="000000"/>
              </w:rPr>
              <w:t>(4.0)</w:t>
            </w:r>
          </w:p>
        </w:tc>
      </w:tr>
    </w:tbl>
    <w:p w:rsidR="00F72906" w:rsidRDefault="00F72906" w:rsidP="00F72906"/>
    <w:p w:rsidR="00F72906" w:rsidRPr="00286159" w:rsidRDefault="00F72906" w:rsidP="00F72906">
      <w:pPr>
        <w:rPr>
          <w:b/>
        </w:rPr>
      </w:pPr>
      <w:r w:rsidRPr="00286159">
        <w:rPr>
          <w:b/>
        </w:rPr>
        <w:t>b)</w:t>
      </w:r>
      <w:r w:rsidRPr="00286159">
        <w:rPr>
          <w:b/>
        </w:rPr>
        <w:tab/>
        <w:t>Credit risk</w:t>
      </w:r>
    </w:p>
    <w:p w:rsidR="00F72906" w:rsidRDefault="00F72906" w:rsidP="00F72906">
      <w:r>
        <w:t>Credit risk represents the risk that the counterparty to a transaction or a financial instrument will fail to discharge an obligation and cause the Fund to incur a financial loss. The market values of investments generally reflect an assessment of credit in their pricing and consequently the risk of loss is implicitly provided for in the carrying value of the Fund’s financial assets and liabilities.</w:t>
      </w:r>
    </w:p>
    <w:p w:rsidR="00F72906" w:rsidRDefault="00F72906" w:rsidP="00F72906"/>
    <w:p w:rsidR="00F72906" w:rsidRDefault="00F72906" w:rsidP="00F72906">
      <w:r>
        <w:t xml:space="preserve">In essence, the Fund’s entire investment portfolio is exposed to some form of credit risk. However, the selection of high quality counterparties, brokers and financial institutions minimises credit risk that may occur through the failure to settle a </w:t>
      </w:r>
      <w:r w:rsidR="00286159">
        <w:t>transaction in a timely manner.</w:t>
      </w:r>
    </w:p>
    <w:p w:rsidR="00F72906" w:rsidRDefault="00F72906" w:rsidP="00F72906">
      <w:r>
        <w:t>The Pension Fund’s cash balance is held in an interest bearing instant access deposit account with NatWest plc, which is rated independently and meets Br</w:t>
      </w:r>
      <w:r w:rsidR="00286159">
        <w:t xml:space="preserve">ent Council’s credit criteria. </w:t>
      </w:r>
    </w:p>
    <w:p w:rsidR="00F72906" w:rsidRDefault="00F72906" w:rsidP="00F72906">
      <w:r>
        <w:t>The Pension Fund believes it has managed its exposure to credit risk, and has had no experience of default or uncollectable deposits over the past five financial years. The Fund’s cash holding under its treasury management arrangements at 31 March 2020 was £54.0m (31 March 2019: £23.5m). This was held with the following institutions:</w:t>
      </w:r>
    </w:p>
    <w:tbl>
      <w:tblPr>
        <w:tblW w:w="4177" w:type="pct"/>
        <w:tblLook w:val="01E0" w:firstRow="1" w:lastRow="1" w:firstColumn="1" w:lastColumn="1" w:noHBand="0" w:noVBand="0"/>
      </w:tblPr>
      <w:tblGrid>
        <w:gridCol w:w="2894"/>
        <w:gridCol w:w="919"/>
        <w:gridCol w:w="2103"/>
        <w:gridCol w:w="2235"/>
      </w:tblGrid>
      <w:tr w:rsidR="00286159" w:rsidRPr="00A30141" w:rsidTr="00AE1C26">
        <w:tc>
          <w:tcPr>
            <w:tcW w:w="1775" w:type="pct"/>
          </w:tcPr>
          <w:p w:rsidR="00286159" w:rsidRPr="00A30141" w:rsidRDefault="00286159" w:rsidP="00AE1C26">
            <w:pPr>
              <w:widowControl w:val="0"/>
              <w:tabs>
                <w:tab w:val="right" w:pos="7200"/>
              </w:tabs>
              <w:ind w:left="132" w:hanging="132"/>
              <w:rPr>
                <w:rFonts w:cs="Segoe UI Light"/>
                <w:b/>
                <w:snapToGrid w:val="0"/>
                <w:color w:val="000000"/>
              </w:rPr>
            </w:pPr>
          </w:p>
        </w:tc>
        <w:tc>
          <w:tcPr>
            <w:tcW w:w="564" w:type="pct"/>
          </w:tcPr>
          <w:p w:rsidR="00286159" w:rsidRPr="00A30141" w:rsidRDefault="00286159" w:rsidP="00AE1C26">
            <w:pPr>
              <w:widowControl w:val="0"/>
              <w:tabs>
                <w:tab w:val="right" w:pos="7200"/>
              </w:tabs>
              <w:ind w:left="132" w:hanging="132"/>
              <w:jc w:val="right"/>
              <w:rPr>
                <w:rFonts w:cs="Segoe UI Light"/>
                <w:b/>
                <w:snapToGrid w:val="0"/>
                <w:color w:val="000000"/>
              </w:rPr>
            </w:pPr>
            <w:r w:rsidRPr="00A30141">
              <w:rPr>
                <w:rFonts w:cs="Segoe UI Light"/>
                <w:b/>
                <w:snapToGrid w:val="0"/>
                <w:color w:val="000000"/>
              </w:rPr>
              <w:t>Rating</w:t>
            </w:r>
          </w:p>
        </w:tc>
        <w:tc>
          <w:tcPr>
            <w:tcW w:w="1290" w:type="pct"/>
            <w:vMerge w:val="restart"/>
          </w:tcPr>
          <w:p w:rsidR="00286159" w:rsidRPr="00A30141" w:rsidRDefault="00286159" w:rsidP="00AE1C26">
            <w:pPr>
              <w:widowControl w:val="0"/>
              <w:tabs>
                <w:tab w:val="right" w:pos="7200"/>
              </w:tabs>
              <w:ind w:left="132" w:hanging="132"/>
              <w:jc w:val="right"/>
              <w:rPr>
                <w:rFonts w:cs="Segoe UI Light"/>
                <w:b/>
                <w:snapToGrid w:val="0"/>
                <w:color w:val="000000"/>
              </w:rPr>
            </w:pPr>
            <w:r w:rsidRPr="00A30141">
              <w:rPr>
                <w:rFonts w:cs="Segoe UI Light"/>
                <w:b/>
                <w:snapToGrid w:val="0"/>
                <w:color w:val="000000"/>
              </w:rPr>
              <w:t>Balances as at 31 March 2019</w:t>
            </w:r>
          </w:p>
        </w:tc>
        <w:tc>
          <w:tcPr>
            <w:tcW w:w="1371" w:type="pct"/>
            <w:vMerge w:val="restart"/>
          </w:tcPr>
          <w:p w:rsidR="00286159" w:rsidRPr="00A30141" w:rsidRDefault="00286159" w:rsidP="00AE1C26">
            <w:pPr>
              <w:widowControl w:val="0"/>
              <w:tabs>
                <w:tab w:val="right" w:pos="7200"/>
              </w:tabs>
              <w:ind w:left="132" w:hanging="132"/>
              <w:jc w:val="right"/>
              <w:rPr>
                <w:rFonts w:cs="Segoe UI Light"/>
                <w:b/>
                <w:snapToGrid w:val="0"/>
                <w:color w:val="000000"/>
              </w:rPr>
            </w:pPr>
            <w:r w:rsidRPr="00A30141">
              <w:rPr>
                <w:rFonts w:cs="Segoe UI Light"/>
                <w:b/>
                <w:snapToGrid w:val="0"/>
                <w:color w:val="000000"/>
              </w:rPr>
              <w:t>Balances as at 31 March 2020</w:t>
            </w:r>
          </w:p>
        </w:tc>
      </w:tr>
      <w:tr w:rsidR="00286159" w:rsidRPr="00A30141" w:rsidTr="00AE1C26">
        <w:tc>
          <w:tcPr>
            <w:tcW w:w="1775" w:type="pct"/>
          </w:tcPr>
          <w:p w:rsidR="00286159" w:rsidRPr="00A30141" w:rsidRDefault="00286159" w:rsidP="00AE1C26">
            <w:pPr>
              <w:widowControl w:val="0"/>
              <w:tabs>
                <w:tab w:val="right" w:pos="7200"/>
              </w:tabs>
              <w:ind w:left="132" w:hanging="132"/>
              <w:rPr>
                <w:rFonts w:cs="Segoe UI Light"/>
                <w:snapToGrid w:val="0"/>
                <w:color w:val="000000"/>
              </w:rPr>
            </w:pPr>
          </w:p>
        </w:tc>
        <w:tc>
          <w:tcPr>
            <w:tcW w:w="564" w:type="pct"/>
          </w:tcPr>
          <w:p w:rsidR="00286159" w:rsidRPr="00A30141" w:rsidRDefault="00286159" w:rsidP="00AE1C26">
            <w:pPr>
              <w:widowControl w:val="0"/>
              <w:tabs>
                <w:tab w:val="right" w:pos="7200"/>
              </w:tabs>
              <w:ind w:left="132" w:hanging="132"/>
              <w:jc w:val="right"/>
              <w:rPr>
                <w:rFonts w:cs="Segoe UI Light"/>
                <w:b/>
                <w:snapToGrid w:val="0"/>
                <w:color w:val="000000"/>
              </w:rPr>
            </w:pPr>
          </w:p>
        </w:tc>
        <w:tc>
          <w:tcPr>
            <w:tcW w:w="1290" w:type="pct"/>
            <w:vMerge/>
          </w:tcPr>
          <w:p w:rsidR="00286159" w:rsidRPr="00A30141" w:rsidRDefault="00286159" w:rsidP="00AE1C26">
            <w:pPr>
              <w:widowControl w:val="0"/>
              <w:tabs>
                <w:tab w:val="right" w:pos="7200"/>
              </w:tabs>
              <w:ind w:left="132" w:hanging="132"/>
              <w:jc w:val="right"/>
              <w:rPr>
                <w:rFonts w:cs="Segoe UI Light"/>
                <w:b/>
                <w:snapToGrid w:val="0"/>
                <w:color w:val="000000"/>
              </w:rPr>
            </w:pPr>
          </w:p>
        </w:tc>
        <w:tc>
          <w:tcPr>
            <w:tcW w:w="1371" w:type="pct"/>
            <w:vMerge/>
          </w:tcPr>
          <w:p w:rsidR="00286159" w:rsidRPr="00A30141" w:rsidRDefault="00286159" w:rsidP="00AE1C26">
            <w:pPr>
              <w:widowControl w:val="0"/>
              <w:tabs>
                <w:tab w:val="right" w:pos="7200"/>
              </w:tabs>
              <w:ind w:left="132" w:hanging="132"/>
              <w:jc w:val="right"/>
              <w:rPr>
                <w:rFonts w:cs="Segoe UI Light"/>
                <w:b/>
                <w:snapToGrid w:val="0"/>
                <w:color w:val="000000"/>
              </w:rPr>
            </w:pPr>
          </w:p>
        </w:tc>
      </w:tr>
      <w:tr w:rsidR="00286159" w:rsidRPr="00A30141" w:rsidTr="00AE1C26">
        <w:tc>
          <w:tcPr>
            <w:tcW w:w="1775" w:type="pct"/>
          </w:tcPr>
          <w:p w:rsidR="00286159" w:rsidRPr="00A30141" w:rsidRDefault="00286159" w:rsidP="00AE1C26">
            <w:pPr>
              <w:widowControl w:val="0"/>
              <w:tabs>
                <w:tab w:val="right" w:pos="7200"/>
              </w:tabs>
              <w:ind w:left="132" w:hanging="132"/>
              <w:rPr>
                <w:rFonts w:cs="Segoe UI Light"/>
                <w:snapToGrid w:val="0"/>
                <w:color w:val="000000"/>
              </w:rPr>
            </w:pPr>
          </w:p>
        </w:tc>
        <w:tc>
          <w:tcPr>
            <w:tcW w:w="564" w:type="pct"/>
          </w:tcPr>
          <w:p w:rsidR="00286159" w:rsidRPr="00A30141" w:rsidRDefault="00286159" w:rsidP="00AE1C26">
            <w:pPr>
              <w:widowControl w:val="0"/>
              <w:tabs>
                <w:tab w:val="right" w:pos="7200"/>
              </w:tabs>
              <w:ind w:left="132" w:hanging="132"/>
              <w:jc w:val="right"/>
              <w:rPr>
                <w:rFonts w:cs="Segoe UI Light"/>
                <w:b/>
                <w:snapToGrid w:val="0"/>
                <w:color w:val="000000"/>
              </w:rPr>
            </w:pPr>
          </w:p>
        </w:tc>
        <w:tc>
          <w:tcPr>
            <w:tcW w:w="1290" w:type="pct"/>
          </w:tcPr>
          <w:p w:rsidR="00286159" w:rsidRPr="00A30141" w:rsidRDefault="00286159" w:rsidP="00AE1C26">
            <w:pPr>
              <w:widowControl w:val="0"/>
              <w:tabs>
                <w:tab w:val="right" w:pos="7200"/>
              </w:tabs>
              <w:ind w:left="132" w:hanging="132"/>
              <w:jc w:val="right"/>
              <w:rPr>
                <w:rFonts w:cs="Segoe UI Light"/>
                <w:b/>
                <w:snapToGrid w:val="0"/>
                <w:color w:val="000000"/>
              </w:rPr>
            </w:pPr>
            <w:r w:rsidRPr="00A30141">
              <w:rPr>
                <w:rFonts w:cs="Segoe UI Light"/>
                <w:b/>
                <w:snapToGrid w:val="0"/>
                <w:color w:val="000000"/>
              </w:rPr>
              <w:t>£m</w:t>
            </w:r>
          </w:p>
        </w:tc>
        <w:tc>
          <w:tcPr>
            <w:tcW w:w="1371" w:type="pct"/>
          </w:tcPr>
          <w:p w:rsidR="00286159" w:rsidRPr="00A30141" w:rsidRDefault="00286159" w:rsidP="00AE1C26">
            <w:pPr>
              <w:widowControl w:val="0"/>
              <w:tabs>
                <w:tab w:val="right" w:pos="7200"/>
              </w:tabs>
              <w:ind w:left="132" w:hanging="132"/>
              <w:jc w:val="right"/>
              <w:rPr>
                <w:rFonts w:cs="Segoe UI Light"/>
                <w:b/>
                <w:snapToGrid w:val="0"/>
                <w:color w:val="000000"/>
              </w:rPr>
            </w:pPr>
            <w:r w:rsidRPr="00A30141">
              <w:rPr>
                <w:rFonts w:cs="Segoe UI Light"/>
                <w:b/>
                <w:snapToGrid w:val="0"/>
                <w:color w:val="000000"/>
              </w:rPr>
              <w:t>£m</w:t>
            </w:r>
          </w:p>
        </w:tc>
      </w:tr>
      <w:tr w:rsidR="00286159" w:rsidRPr="00A30141" w:rsidTr="00AE1C26">
        <w:trPr>
          <w:trHeight w:val="369"/>
        </w:trPr>
        <w:tc>
          <w:tcPr>
            <w:tcW w:w="1775" w:type="pct"/>
          </w:tcPr>
          <w:p w:rsidR="00286159" w:rsidRPr="00A30141" w:rsidRDefault="00286159" w:rsidP="00AE1C26">
            <w:pPr>
              <w:widowControl w:val="0"/>
              <w:tabs>
                <w:tab w:val="right" w:pos="7200"/>
              </w:tabs>
              <w:ind w:left="132" w:hanging="132"/>
              <w:rPr>
                <w:rFonts w:cs="Segoe UI Light"/>
                <w:b/>
                <w:snapToGrid w:val="0"/>
                <w:color w:val="000000"/>
              </w:rPr>
            </w:pPr>
            <w:r w:rsidRPr="00A30141">
              <w:rPr>
                <w:rFonts w:cs="Segoe UI Light"/>
                <w:b/>
                <w:snapToGrid w:val="0"/>
                <w:color w:val="000000"/>
              </w:rPr>
              <w:t>Bank deposit accounts</w:t>
            </w:r>
          </w:p>
        </w:tc>
        <w:tc>
          <w:tcPr>
            <w:tcW w:w="564" w:type="pct"/>
          </w:tcPr>
          <w:p w:rsidR="00286159" w:rsidRPr="00A30141" w:rsidRDefault="00286159" w:rsidP="00AE1C26">
            <w:pPr>
              <w:widowControl w:val="0"/>
              <w:tabs>
                <w:tab w:val="right" w:pos="7200"/>
              </w:tabs>
              <w:ind w:left="132" w:hanging="132"/>
              <w:jc w:val="right"/>
              <w:rPr>
                <w:rFonts w:cs="Segoe UI Light"/>
                <w:snapToGrid w:val="0"/>
                <w:color w:val="000000"/>
              </w:rPr>
            </w:pPr>
          </w:p>
        </w:tc>
        <w:tc>
          <w:tcPr>
            <w:tcW w:w="1290" w:type="pct"/>
          </w:tcPr>
          <w:p w:rsidR="00286159" w:rsidRPr="00A30141" w:rsidRDefault="00286159" w:rsidP="00AE1C26">
            <w:pPr>
              <w:widowControl w:val="0"/>
              <w:tabs>
                <w:tab w:val="right" w:pos="7200"/>
              </w:tabs>
              <w:ind w:left="132" w:hanging="132"/>
              <w:jc w:val="right"/>
              <w:rPr>
                <w:rFonts w:cs="Segoe UI Light"/>
                <w:snapToGrid w:val="0"/>
                <w:color w:val="000000"/>
              </w:rPr>
            </w:pPr>
          </w:p>
        </w:tc>
        <w:tc>
          <w:tcPr>
            <w:tcW w:w="1371" w:type="pct"/>
          </w:tcPr>
          <w:p w:rsidR="00286159" w:rsidRPr="00A30141" w:rsidRDefault="00286159" w:rsidP="00AE1C26">
            <w:pPr>
              <w:widowControl w:val="0"/>
              <w:tabs>
                <w:tab w:val="right" w:pos="7200"/>
              </w:tabs>
              <w:ind w:left="132" w:hanging="132"/>
              <w:jc w:val="right"/>
              <w:rPr>
                <w:rFonts w:cs="Segoe UI Light"/>
                <w:snapToGrid w:val="0"/>
                <w:color w:val="000000"/>
              </w:rPr>
            </w:pPr>
          </w:p>
        </w:tc>
      </w:tr>
      <w:tr w:rsidR="00286159" w:rsidRPr="00A30141" w:rsidTr="00AE1C26">
        <w:tc>
          <w:tcPr>
            <w:tcW w:w="1775" w:type="pct"/>
          </w:tcPr>
          <w:p w:rsidR="00286159" w:rsidRPr="00A30141" w:rsidRDefault="00286159" w:rsidP="00AE1C26">
            <w:pPr>
              <w:widowControl w:val="0"/>
              <w:tabs>
                <w:tab w:val="right" w:pos="7200"/>
              </w:tabs>
              <w:ind w:left="132" w:hanging="132"/>
              <w:rPr>
                <w:rFonts w:cs="Segoe UI Light"/>
                <w:snapToGrid w:val="0"/>
                <w:color w:val="000000"/>
              </w:rPr>
            </w:pPr>
            <w:r w:rsidRPr="00A30141">
              <w:rPr>
                <w:rFonts w:cs="Segoe UI Light"/>
                <w:snapToGrid w:val="0"/>
                <w:color w:val="000000"/>
              </w:rPr>
              <w:t>NatWest</w:t>
            </w:r>
          </w:p>
        </w:tc>
        <w:tc>
          <w:tcPr>
            <w:tcW w:w="564" w:type="pct"/>
          </w:tcPr>
          <w:p w:rsidR="00286159" w:rsidRPr="00A30141" w:rsidRDefault="00286159" w:rsidP="00AE1C26">
            <w:pPr>
              <w:widowControl w:val="0"/>
              <w:tabs>
                <w:tab w:val="right" w:pos="7200"/>
              </w:tabs>
              <w:ind w:left="132" w:hanging="132"/>
              <w:jc w:val="right"/>
              <w:rPr>
                <w:rFonts w:cs="Segoe UI Light"/>
                <w:snapToGrid w:val="0"/>
                <w:color w:val="000000"/>
              </w:rPr>
            </w:pPr>
            <w:r w:rsidRPr="00A30141">
              <w:rPr>
                <w:rFonts w:cs="Segoe UI Light"/>
                <w:snapToGrid w:val="0"/>
                <w:color w:val="000000"/>
              </w:rPr>
              <w:t>BBB+</w:t>
            </w:r>
          </w:p>
        </w:tc>
        <w:tc>
          <w:tcPr>
            <w:tcW w:w="1290" w:type="pct"/>
            <w:tcBorders>
              <w:top w:val="nil"/>
              <w:left w:val="nil"/>
              <w:bottom w:val="nil"/>
              <w:right w:val="nil"/>
            </w:tcBorders>
            <w:shd w:val="clear" w:color="auto" w:fill="auto"/>
            <w:vAlign w:val="bottom"/>
          </w:tcPr>
          <w:p w:rsidR="00286159" w:rsidRPr="00A30141" w:rsidRDefault="00286159" w:rsidP="00AE1C26">
            <w:pPr>
              <w:widowControl w:val="0"/>
              <w:tabs>
                <w:tab w:val="right" w:pos="7200"/>
              </w:tabs>
              <w:ind w:left="132" w:hanging="132"/>
              <w:jc w:val="right"/>
              <w:rPr>
                <w:rFonts w:cs="Segoe UI Light"/>
                <w:snapToGrid w:val="0"/>
                <w:color w:val="000000"/>
              </w:rPr>
            </w:pPr>
            <w:r w:rsidRPr="00A30141">
              <w:rPr>
                <w:rFonts w:cs="Calibri"/>
                <w:color w:val="000000"/>
              </w:rPr>
              <w:t>1.1</w:t>
            </w:r>
          </w:p>
        </w:tc>
        <w:tc>
          <w:tcPr>
            <w:tcW w:w="1371" w:type="pct"/>
            <w:tcBorders>
              <w:top w:val="nil"/>
              <w:left w:val="nil"/>
              <w:bottom w:val="nil"/>
              <w:right w:val="nil"/>
            </w:tcBorders>
            <w:shd w:val="clear" w:color="auto" w:fill="auto"/>
            <w:vAlign w:val="bottom"/>
          </w:tcPr>
          <w:p w:rsidR="00286159" w:rsidRPr="00A30141" w:rsidRDefault="00286159" w:rsidP="00AE1C26">
            <w:pPr>
              <w:widowControl w:val="0"/>
              <w:tabs>
                <w:tab w:val="right" w:pos="7200"/>
              </w:tabs>
              <w:ind w:left="132" w:hanging="132"/>
              <w:jc w:val="right"/>
              <w:rPr>
                <w:rFonts w:cs="Segoe UI Light"/>
                <w:snapToGrid w:val="0"/>
                <w:color w:val="000000"/>
              </w:rPr>
            </w:pPr>
            <w:r w:rsidRPr="00A30141">
              <w:rPr>
                <w:rFonts w:cs="Calibri"/>
                <w:color w:val="000000"/>
              </w:rPr>
              <w:t>0.8</w:t>
            </w:r>
          </w:p>
        </w:tc>
      </w:tr>
      <w:tr w:rsidR="00286159" w:rsidRPr="00A30141" w:rsidTr="00AE1C26">
        <w:tc>
          <w:tcPr>
            <w:tcW w:w="1775" w:type="pct"/>
          </w:tcPr>
          <w:p w:rsidR="00286159" w:rsidRPr="00A30141" w:rsidRDefault="00286159" w:rsidP="00AE1C26">
            <w:pPr>
              <w:widowControl w:val="0"/>
              <w:tabs>
                <w:tab w:val="right" w:pos="7200"/>
              </w:tabs>
              <w:ind w:left="132" w:hanging="132"/>
              <w:rPr>
                <w:rFonts w:cs="Segoe UI Light"/>
                <w:snapToGrid w:val="0"/>
                <w:color w:val="000000"/>
              </w:rPr>
            </w:pPr>
            <w:r w:rsidRPr="00A30141">
              <w:rPr>
                <w:rFonts w:cs="Segoe UI Light"/>
                <w:snapToGrid w:val="0"/>
                <w:color w:val="000000"/>
              </w:rPr>
              <w:t>Northern Trust</w:t>
            </w:r>
          </w:p>
        </w:tc>
        <w:tc>
          <w:tcPr>
            <w:tcW w:w="564" w:type="pct"/>
          </w:tcPr>
          <w:p w:rsidR="00286159" w:rsidRPr="00A30141" w:rsidRDefault="00286159" w:rsidP="00AE1C26">
            <w:pPr>
              <w:widowControl w:val="0"/>
              <w:tabs>
                <w:tab w:val="right" w:pos="7200"/>
              </w:tabs>
              <w:ind w:left="132" w:hanging="132"/>
              <w:jc w:val="right"/>
              <w:rPr>
                <w:rFonts w:cs="Segoe UI Light"/>
                <w:snapToGrid w:val="0"/>
                <w:color w:val="000000"/>
              </w:rPr>
            </w:pPr>
          </w:p>
        </w:tc>
        <w:tc>
          <w:tcPr>
            <w:tcW w:w="1290" w:type="pct"/>
            <w:tcBorders>
              <w:top w:val="nil"/>
              <w:left w:val="nil"/>
              <w:bottom w:val="nil"/>
              <w:right w:val="nil"/>
            </w:tcBorders>
            <w:shd w:val="clear" w:color="auto" w:fill="auto"/>
            <w:vAlign w:val="bottom"/>
          </w:tcPr>
          <w:p w:rsidR="00286159" w:rsidRPr="00A30141" w:rsidRDefault="00286159" w:rsidP="00AE1C26">
            <w:pPr>
              <w:widowControl w:val="0"/>
              <w:tabs>
                <w:tab w:val="right" w:pos="7200"/>
              </w:tabs>
              <w:ind w:left="132" w:hanging="132"/>
              <w:jc w:val="right"/>
              <w:rPr>
                <w:rFonts w:cs="Segoe UI Light"/>
                <w:snapToGrid w:val="0"/>
                <w:color w:val="000000"/>
              </w:rPr>
            </w:pPr>
            <w:r w:rsidRPr="00A30141">
              <w:rPr>
                <w:rFonts w:cs="Calibri"/>
                <w:color w:val="000000"/>
              </w:rPr>
              <w:t>3.3</w:t>
            </w:r>
          </w:p>
        </w:tc>
        <w:tc>
          <w:tcPr>
            <w:tcW w:w="1371" w:type="pct"/>
            <w:tcBorders>
              <w:top w:val="nil"/>
              <w:left w:val="nil"/>
              <w:bottom w:val="nil"/>
              <w:right w:val="nil"/>
            </w:tcBorders>
            <w:shd w:val="clear" w:color="auto" w:fill="auto"/>
            <w:vAlign w:val="bottom"/>
          </w:tcPr>
          <w:p w:rsidR="00286159" w:rsidRPr="00A30141" w:rsidRDefault="00286159" w:rsidP="00AE1C26">
            <w:pPr>
              <w:widowControl w:val="0"/>
              <w:tabs>
                <w:tab w:val="right" w:pos="7200"/>
              </w:tabs>
              <w:ind w:left="132" w:hanging="132"/>
              <w:jc w:val="right"/>
              <w:rPr>
                <w:rFonts w:cs="Segoe UI Light"/>
                <w:snapToGrid w:val="0"/>
                <w:color w:val="000000"/>
              </w:rPr>
            </w:pPr>
            <w:r w:rsidRPr="00A30141">
              <w:rPr>
                <w:rFonts w:cs="Calibri"/>
                <w:color w:val="000000"/>
              </w:rPr>
              <w:t>0.1</w:t>
            </w:r>
          </w:p>
        </w:tc>
      </w:tr>
      <w:tr w:rsidR="00286159" w:rsidRPr="00A30141" w:rsidTr="00AE1C26">
        <w:tc>
          <w:tcPr>
            <w:tcW w:w="1775" w:type="pct"/>
          </w:tcPr>
          <w:p w:rsidR="00286159" w:rsidRPr="00A30141" w:rsidRDefault="00286159" w:rsidP="00AE1C26">
            <w:pPr>
              <w:widowControl w:val="0"/>
              <w:tabs>
                <w:tab w:val="right" w:pos="7200"/>
              </w:tabs>
              <w:ind w:left="132" w:hanging="132"/>
              <w:rPr>
                <w:rFonts w:cs="Segoe UI Light"/>
                <w:snapToGrid w:val="0"/>
                <w:color w:val="000000"/>
              </w:rPr>
            </w:pPr>
            <w:r w:rsidRPr="00A30141">
              <w:rPr>
                <w:rFonts w:cs="Segoe UI Light"/>
                <w:snapToGrid w:val="0"/>
                <w:color w:val="000000"/>
              </w:rPr>
              <w:t>Money Market deposits</w:t>
            </w:r>
          </w:p>
        </w:tc>
        <w:tc>
          <w:tcPr>
            <w:tcW w:w="564" w:type="pct"/>
          </w:tcPr>
          <w:p w:rsidR="00286159" w:rsidRPr="00A30141" w:rsidRDefault="00286159" w:rsidP="00AE1C26">
            <w:pPr>
              <w:widowControl w:val="0"/>
              <w:tabs>
                <w:tab w:val="right" w:pos="7200"/>
              </w:tabs>
              <w:ind w:left="132" w:hanging="132"/>
              <w:jc w:val="right"/>
              <w:rPr>
                <w:rFonts w:cs="Segoe UI Light"/>
                <w:snapToGrid w:val="0"/>
                <w:color w:val="000000"/>
              </w:rPr>
            </w:pPr>
            <w:r w:rsidRPr="00A30141">
              <w:rPr>
                <w:rFonts w:cs="Segoe UI Light"/>
                <w:snapToGrid w:val="0"/>
                <w:color w:val="000000"/>
              </w:rPr>
              <w:t xml:space="preserve">A+ </w:t>
            </w:r>
          </w:p>
        </w:tc>
        <w:tc>
          <w:tcPr>
            <w:tcW w:w="1290" w:type="pct"/>
            <w:tcBorders>
              <w:top w:val="nil"/>
              <w:left w:val="nil"/>
              <w:bottom w:val="nil"/>
              <w:right w:val="nil"/>
            </w:tcBorders>
            <w:shd w:val="clear" w:color="auto" w:fill="auto"/>
            <w:vAlign w:val="bottom"/>
          </w:tcPr>
          <w:p w:rsidR="00286159" w:rsidRPr="00A30141" w:rsidRDefault="00286159" w:rsidP="00AE1C26">
            <w:pPr>
              <w:widowControl w:val="0"/>
              <w:tabs>
                <w:tab w:val="right" w:pos="7200"/>
              </w:tabs>
              <w:ind w:left="132" w:hanging="132"/>
              <w:jc w:val="right"/>
              <w:rPr>
                <w:rFonts w:cs="Segoe UI Light"/>
                <w:snapToGrid w:val="0"/>
                <w:color w:val="000000"/>
              </w:rPr>
            </w:pPr>
            <w:r w:rsidRPr="00A30141">
              <w:rPr>
                <w:rFonts w:cs="Calibri"/>
                <w:color w:val="000000"/>
              </w:rPr>
              <w:t>19.1</w:t>
            </w:r>
          </w:p>
        </w:tc>
        <w:tc>
          <w:tcPr>
            <w:tcW w:w="1371" w:type="pct"/>
            <w:tcBorders>
              <w:top w:val="nil"/>
              <w:left w:val="nil"/>
              <w:bottom w:val="nil"/>
              <w:right w:val="nil"/>
            </w:tcBorders>
            <w:shd w:val="clear" w:color="auto" w:fill="auto"/>
            <w:vAlign w:val="bottom"/>
          </w:tcPr>
          <w:p w:rsidR="00286159" w:rsidRPr="00A30141" w:rsidRDefault="00286159" w:rsidP="00AE1C26">
            <w:pPr>
              <w:jc w:val="right"/>
            </w:pPr>
            <w:r w:rsidRPr="00A30141">
              <w:rPr>
                <w:rFonts w:cs="Calibri"/>
                <w:color w:val="000000"/>
              </w:rPr>
              <w:t>53.1</w:t>
            </w:r>
          </w:p>
        </w:tc>
      </w:tr>
      <w:tr w:rsidR="00286159" w:rsidRPr="00A30141" w:rsidTr="00AE1C26">
        <w:tc>
          <w:tcPr>
            <w:tcW w:w="1775" w:type="pct"/>
          </w:tcPr>
          <w:p w:rsidR="00286159" w:rsidRPr="00A30141" w:rsidRDefault="00286159" w:rsidP="00AE1C26">
            <w:pPr>
              <w:widowControl w:val="0"/>
              <w:tabs>
                <w:tab w:val="right" w:pos="7200"/>
              </w:tabs>
              <w:ind w:left="132" w:hanging="132"/>
              <w:rPr>
                <w:rFonts w:cs="Segoe UI Light"/>
                <w:snapToGrid w:val="0"/>
                <w:color w:val="000000"/>
              </w:rPr>
            </w:pPr>
          </w:p>
        </w:tc>
        <w:tc>
          <w:tcPr>
            <w:tcW w:w="564" w:type="pct"/>
          </w:tcPr>
          <w:p w:rsidR="00286159" w:rsidRPr="00A30141" w:rsidRDefault="00286159" w:rsidP="00AE1C26">
            <w:pPr>
              <w:widowControl w:val="0"/>
              <w:tabs>
                <w:tab w:val="right" w:pos="7200"/>
              </w:tabs>
              <w:ind w:left="132" w:hanging="132"/>
              <w:jc w:val="right"/>
              <w:rPr>
                <w:rFonts w:cs="Segoe UI Light"/>
                <w:snapToGrid w:val="0"/>
                <w:color w:val="000000"/>
              </w:rPr>
            </w:pPr>
          </w:p>
        </w:tc>
        <w:tc>
          <w:tcPr>
            <w:tcW w:w="1290" w:type="pct"/>
            <w:tcBorders>
              <w:top w:val="nil"/>
              <w:left w:val="nil"/>
              <w:bottom w:val="nil"/>
              <w:right w:val="nil"/>
            </w:tcBorders>
            <w:shd w:val="clear" w:color="auto" w:fill="auto"/>
            <w:vAlign w:val="bottom"/>
          </w:tcPr>
          <w:p w:rsidR="00286159" w:rsidRPr="00A30141" w:rsidRDefault="00286159" w:rsidP="00AE1C26">
            <w:pPr>
              <w:widowControl w:val="0"/>
              <w:tabs>
                <w:tab w:val="right" w:pos="7200"/>
              </w:tabs>
              <w:ind w:left="132" w:hanging="132"/>
              <w:jc w:val="right"/>
              <w:rPr>
                <w:rFonts w:cs="Segoe UI Light"/>
                <w:snapToGrid w:val="0"/>
                <w:color w:val="000000"/>
              </w:rPr>
            </w:pPr>
          </w:p>
        </w:tc>
        <w:tc>
          <w:tcPr>
            <w:tcW w:w="1371" w:type="pct"/>
            <w:tcBorders>
              <w:top w:val="nil"/>
              <w:left w:val="nil"/>
              <w:bottom w:val="nil"/>
              <w:right w:val="nil"/>
            </w:tcBorders>
            <w:shd w:val="clear" w:color="auto" w:fill="auto"/>
            <w:vAlign w:val="bottom"/>
          </w:tcPr>
          <w:p w:rsidR="00286159" w:rsidRPr="00A30141" w:rsidRDefault="00286159" w:rsidP="00AE1C26"/>
        </w:tc>
      </w:tr>
      <w:tr w:rsidR="00286159" w:rsidRPr="00A30141" w:rsidTr="00AE1C26">
        <w:tc>
          <w:tcPr>
            <w:tcW w:w="1775" w:type="pct"/>
          </w:tcPr>
          <w:p w:rsidR="00286159" w:rsidRPr="00A30141" w:rsidRDefault="00286159" w:rsidP="00AE1C26">
            <w:pPr>
              <w:widowControl w:val="0"/>
              <w:tabs>
                <w:tab w:val="right" w:pos="7200"/>
              </w:tabs>
              <w:ind w:left="132" w:hanging="132"/>
              <w:rPr>
                <w:rFonts w:cs="Segoe UI Light"/>
                <w:snapToGrid w:val="0"/>
                <w:color w:val="000000"/>
              </w:rPr>
            </w:pPr>
            <w:r w:rsidRPr="00A30141">
              <w:rPr>
                <w:rFonts w:cs="Segoe UI Light"/>
                <w:b/>
                <w:snapToGrid w:val="0"/>
                <w:color w:val="000000"/>
              </w:rPr>
              <w:t>Other short-term lending</w:t>
            </w:r>
          </w:p>
        </w:tc>
        <w:tc>
          <w:tcPr>
            <w:tcW w:w="564" w:type="pct"/>
          </w:tcPr>
          <w:p w:rsidR="00286159" w:rsidRPr="00A30141" w:rsidRDefault="00286159" w:rsidP="00AE1C26">
            <w:pPr>
              <w:widowControl w:val="0"/>
              <w:tabs>
                <w:tab w:val="right" w:pos="7200"/>
              </w:tabs>
              <w:ind w:left="132" w:hanging="132"/>
              <w:jc w:val="right"/>
              <w:rPr>
                <w:rFonts w:cs="Segoe UI Light"/>
                <w:snapToGrid w:val="0"/>
                <w:color w:val="000000"/>
              </w:rPr>
            </w:pPr>
          </w:p>
        </w:tc>
        <w:tc>
          <w:tcPr>
            <w:tcW w:w="1290" w:type="pct"/>
            <w:tcBorders>
              <w:top w:val="nil"/>
              <w:left w:val="nil"/>
              <w:bottom w:val="nil"/>
              <w:right w:val="nil"/>
            </w:tcBorders>
            <w:shd w:val="clear" w:color="auto" w:fill="auto"/>
            <w:vAlign w:val="bottom"/>
          </w:tcPr>
          <w:p w:rsidR="00286159" w:rsidRPr="00A30141" w:rsidRDefault="00286159" w:rsidP="00AE1C26">
            <w:pPr>
              <w:widowControl w:val="0"/>
              <w:tabs>
                <w:tab w:val="right" w:pos="7200"/>
              </w:tabs>
              <w:ind w:left="132" w:hanging="132"/>
              <w:jc w:val="right"/>
              <w:rPr>
                <w:rFonts w:cs="Segoe UI Light"/>
                <w:snapToGrid w:val="0"/>
                <w:color w:val="000000"/>
              </w:rPr>
            </w:pPr>
          </w:p>
        </w:tc>
        <w:tc>
          <w:tcPr>
            <w:tcW w:w="1371" w:type="pct"/>
            <w:tcBorders>
              <w:top w:val="nil"/>
              <w:left w:val="nil"/>
              <w:bottom w:val="nil"/>
              <w:right w:val="nil"/>
            </w:tcBorders>
            <w:shd w:val="clear" w:color="auto" w:fill="auto"/>
            <w:vAlign w:val="bottom"/>
          </w:tcPr>
          <w:p w:rsidR="00286159" w:rsidRPr="00A30141" w:rsidRDefault="00286159" w:rsidP="00AE1C26"/>
        </w:tc>
      </w:tr>
      <w:tr w:rsidR="00286159" w:rsidRPr="00A30141" w:rsidTr="00AE1C26">
        <w:tc>
          <w:tcPr>
            <w:tcW w:w="1775" w:type="pct"/>
          </w:tcPr>
          <w:p w:rsidR="00286159" w:rsidRPr="00A30141" w:rsidRDefault="00286159" w:rsidP="00AE1C26">
            <w:pPr>
              <w:widowControl w:val="0"/>
              <w:tabs>
                <w:tab w:val="right" w:pos="7200"/>
              </w:tabs>
              <w:ind w:left="132" w:hanging="132"/>
              <w:rPr>
                <w:rFonts w:cs="Segoe UI Light"/>
                <w:snapToGrid w:val="0"/>
                <w:color w:val="000000"/>
              </w:rPr>
            </w:pPr>
            <w:r w:rsidRPr="00A30141">
              <w:rPr>
                <w:rFonts w:cs="Segoe UI Light"/>
                <w:snapToGrid w:val="0"/>
                <w:color w:val="000000"/>
              </w:rPr>
              <w:t>Local authorities</w:t>
            </w:r>
          </w:p>
        </w:tc>
        <w:tc>
          <w:tcPr>
            <w:tcW w:w="564" w:type="pct"/>
          </w:tcPr>
          <w:p w:rsidR="00286159" w:rsidRPr="00A30141" w:rsidRDefault="00286159" w:rsidP="00AE1C26">
            <w:pPr>
              <w:widowControl w:val="0"/>
              <w:tabs>
                <w:tab w:val="right" w:pos="7200"/>
              </w:tabs>
              <w:ind w:left="132" w:hanging="132"/>
              <w:jc w:val="right"/>
              <w:rPr>
                <w:rFonts w:cs="Segoe UI Light"/>
                <w:snapToGrid w:val="0"/>
                <w:color w:val="000000"/>
              </w:rPr>
            </w:pPr>
          </w:p>
        </w:tc>
        <w:tc>
          <w:tcPr>
            <w:tcW w:w="1290" w:type="pct"/>
            <w:tcBorders>
              <w:top w:val="nil"/>
              <w:left w:val="nil"/>
              <w:bottom w:val="nil"/>
              <w:right w:val="nil"/>
            </w:tcBorders>
            <w:shd w:val="clear" w:color="auto" w:fill="auto"/>
            <w:vAlign w:val="bottom"/>
          </w:tcPr>
          <w:p w:rsidR="00286159" w:rsidRPr="00A30141" w:rsidRDefault="00286159" w:rsidP="00AE1C26">
            <w:pPr>
              <w:widowControl w:val="0"/>
              <w:tabs>
                <w:tab w:val="right" w:pos="7200"/>
              </w:tabs>
              <w:ind w:left="132" w:hanging="132"/>
              <w:jc w:val="right"/>
              <w:rPr>
                <w:rFonts w:cs="Segoe UI Light"/>
                <w:snapToGrid w:val="0"/>
                <w:color w:val="000000"/>
              </w:rPr>
            </w:pPr>
            <w:r w:rsidRPr="00A30141">
              <w:rPr>
                <w:rFonts w:cs="Calibri"/>
                <w:color w:val="000000"/>
              </w:rPr>
              <w:t>0.0</w:t>
            </w:r>
          </w:p>
        </w:tc>
        <w:tc>
          <w:tcPr>
            <w:tcW w:w="1371" w:type="pct"/>
            <w:tcBorders>
              <w:top w:val="nil"/>
              <w:left w:val="nil"/>
              <w:bottom w:val="nil"/>
              <w:right w:val="nil"/>
            </w:tcBorders>
            <w:shd w:val="clear" w:color="auto" w:fill="auto"/>
            <w:vAlign w:val="bottom"/>
          </w:tcPr>
          <w:p w:rsidR="00286159" w:rsidRPr="00A30141" w:rsidRDefault="00286159" w:rsidP="00AE1C26">
            <w:pPr>
              <w:jc w:val="right"/>
            </w:pPr>
            <w:r w:rsidRPr="00A30141">
              <w:rPr>
                <w:rFonts w:cs="Calibri"/>
                <w:color w:val="000000"/>
              </w:rPr>
              <w:t>0.0</w:t>
            </w:r>
          </w:p>
        </w:tc>
      </w:tr>
      <w:tr w:rsidR="00286159" w:rsidRPr="00A30141" w:rsidTr="00AE1C26">
        <w:tc>
          <w:tcPr>
            <w:tcW w:w="1775" w:type="pct"/>
          </w:tcPr>
          <w:p w:rsidR="00286159" w:rsidRPr="00A30141" w:rsidRDefault="00286159" w:rsidP="00AE1C26">
            <w:pPr>
              <w:widowControl w:val="0"/>
              <w:tabs>
                <w:tab w:val="right" w:pos="7200"/>
              </w:tabs>
              <w:ind w:left="132" w:hanging="132"/>
              <w:rPr>
                <w:rFonts w:cs="Segoe UI Light"/>
                <w:b/>
                <w:snapToGrid w:val="0"/>
                <w:color w:val="000000"/>
              </w:rPr>
            </w:pPr>
            <w:r w:rsidRPr="00A30141">
              <w:rPr>
                <w:rFonts w:cs="Segoe UI Light"/>
                <w:b/>
                <w:snapToGrid w:val="0"/>
                <w:color w:val="000000"/>
              </w:rPr>
              <w:t>Total</w:t>
            </w:r>
          </w:p>
        </w:tc>
        <w:tc>
          <w:tcPr>
            <w:tcW w:w="564" w:type="pct"/>
          </w:tcPr>
          <w:p w:rsidR="00286159" w:rsidRPr="00A30141" w:rsidRDefault="00286159" w:rsidP="00AE1C26">
            <w:pPr>
              <w:widowControl w:val="0"/>
              <w:tabs>
                <w:tab w:val="right" w:pos="7200"/>
              </w:tabs>
              <w:ind w:left="132" w:hanging="132"/>
              <w:jc w:val="right"/>
              <w:rPr>
                <w:rFonts w:cs="Segoe UI Light"/>
                <w:b/>
                <w:snapToGrid w:val="0"/>
                <w:color w:val="000000"/>
              </w:rPr>
            </w:pPr>
          </w:p>
        </w:tc>
        <w:tc>
          <w:tcPr>
            <w:tcW w:w="1290" w:type="pct"/>
            <w:tcBorders>
              <w:top w:val="single" w:sz="4" w:space="0" w:color="auto"/>
            </w:tcBorders>
          </w:tcPr>
          <w:p w:rsidR="00286159" w:rsidRPr="00A30141" w:rsidRDefault="00286159" w:rsidP="00AE1C26">
            <w:pPr>
              <w:widowControl w:val="0"/>
              <w:tabs>
                <w:tab w:val="right" w:pos="7200"/>
              </w:tabs>
              <w:ind w:left="132" w:hanging="132"/>
              <w:jc w:val="right"/>
              <w:rPr>
                <w:rFonts w:cs="Segoe UI Light"/>
                <w:b/>
                <w:snapToGrid w:val="0"/>
                <w:color w:val="000000"/>
              </w:rPr>
            </w:pPr>
            <w:r w:rsidRPr="00A30141">
              <w:rPr>
                <w:rFonts w:cs="Segoe UI Light"/>
                <w:b/>
                <w:snapToGrid w:val="0"/>
                <w:color w:val="000000"/>
              </w:rPr>
              <w:t>23.5</w:t>
            </w:r>
          </w:p>
        </w:tc>
        <w:tc>
          <w:tcPr>
            <w:tcW w:w="1371" w:type="pct"/>
            <w:tcBorders>
              <w:top w:val="single" w:sz="4" w:space="0" w:color="auto"/>
            </w:tcBorders>
          </w:tcPr>
          <w:p w:rsidR="00286159" w:rsidRPr="00A30141" w:rsidRDefault="00286159" w:rsidP="00AE1C26">
            <w:pPr>
              <w:widowControl w:val="0"/>
              <w:tabs>
                <w:tab w:val="center" w:pos="925"/>
                <w:tab w:val="right" w:pos="1851"/>
                <w:tab w:val="right" w:pos="7200"/>
              </w:tabs>
              <w:ind w:left="132" w:hanging="132"/>
              <w:jc w:val="right"/>
              <w:rPr>
                <w:rFonts w:cs="Segoe UI Light"/>
                <w:b/>
                <w:snapToGrid w:val="0"/>
                <w:color w:val="000000"/>
              </w:rPr>
            </w:pPr>
            <w:r w:rsidRPr="00A30141">
              <w:rPr>
                <w:rFonts w:cs="Segoe UI Light"/>
                <w:b/>
                <w:snapToGrid w:val="0"/>
                <w:color w:val="000000"/>
              </w:rPr>
              <w:t>54.0</w:t>
            </w:r>
          </w:p>
        </w:tc>
      </w:tr>
    </w:tbl>
    <w:p w:rsidR="00F72906" w:rsidRDefault="00F72906" w:rsidP="00F72906"/>
    <w:p w:rsidR="00286159" w:rsidRDefault="00286159" w:rsidP="00F72906">
      <w:pPr>
        <w:rPr>
          <w:b/>
        </w:rPr>
      </w:pPr>
    </w:p>
    <w:p w:rsidR="00F72906" w:rsidRPr="00286159" w:rsidRDefault="00F72906" w:rsidP="00F72906">
      <w:pPr>
        <w:rPr>
          <w:b/>
        </w:rPr>
      </w:pPr>
      <w:r w:rsidRPr="00286159">
        <w:rPr>
          <w:b/>
        </w:rPr>
        <w:lastRenderedPageBreak/>
        <w:t>c)</w:t>
      </w:r>
      <w:r w:rsidRPr="00286159">
        <w:rPr>
          <w:b/>
        </w:rPr>
        <w:tab/>
        <w:t>Liquidity risk</w:t>
      </w:r>
    </w:p>
    <w:p w:rsidR="00F72906" w:rsidRDefault="00F72906" w:rsidP="00F72906"/>
    <w:p w:rsidR="00F72906" w:rsidRDefault="00F72906" w:rsidP="00F72906">
      <w:r>
        <w:t>Liquidity risk represents the risk that the Fund will not be able to meet its financial obligations as they fall due. The Pension Fund therefore takes steps to ensure that it has adequate cash resources to meet its pensioner payroll costs and investment commitments.</w:t>
      </w:r>
    </w:p>
    <w:p w:rsidR="00F72906" w:rsidRDefault="00F72906" w:rsidP="00F72906"/>
    <w:p w:rsidR="00F72906" w:rsidRDefault="00F72906" w:rsidP="00F72906">
      <w:r>
        <w:t>The Pension Fund has immediate access to its cash holdings.</w:t>
      </w:r>
    </w:p>
    <w:p w:rsidR="00F72906" w:rsidRDefault="00F72906" w:rsidP="00F72906"/>
    <w:p w:rsidR="00F72906" w:rsidRDefault="00F72906" w:rsidP="00F72906">
      <w:r>
        <w:t>The Fund defines liquid assets as assets that can be converted to cash within three months. Illiquid assets are those assets which will take longer than three months to convert into cash. At 31 March 2020 the value of illiquid assets was £84.4m, which represented 10% (31 March 2019: £95.2m, which represented 11%) of the total fund assets.</w:t>
      </w:r>
    </w:p>
    <w:p w:rsidR="00F72906" w:rsidRDefault="00F72906" w:rsidP="00F72906"/>
    <w:p w:rsidR="00F72906" w:rsidRDefault="00F72906" w:rsidP="00F72906">
      <w:r>
        <w:t>Periodic cash flow forecasts are prepared to understand and manage the timing of the Fund’s cash flows. The appropriate strategic level of cash balances to be held forms part of the Fund investment strategy.</w:t>
      </w:r>
    </w:p>
    <w:p w:rsidR="00F72906" w:rsidRDefault="00F72906" w:rsidP="00F72906">
      <w:r>
        <w:t>All financial liabilities at 31 March 2020 are due within one year.</w:t>
      </w:r>
    </w:p>
    <w:p w:rsidR="00F72906" w:rsidRDefault="00F72906" w:rsidP="00F72906"/>
    <w:p w:rsidR="00F72906" w:rsidRDefault="00F72906" w:rsidP="00F72906">
      <w:r>
        <w:t>d)</w:t>
      </w:r>
      <w:r>
        <w:tab/>
        <w:t>Refinancing risk</w:t>
      </w:r>
    </w:p>
    <w:p w:rsidR="00F72906" w:rsidRDefault="00F72906" w:rsidP="00F72906"/>
    <w:p w:rsidR="00F72906" w:rsidRDefault="00F72906" w:rsidP="00F72906">
      <w:r>
        <w:t>The key risk is that the Pension Fund will be bound to replenish a significant proportion of its financial instruments at a time of unfavourable interest rates. However, the Pension Fund does not have any financial instruments that have a refinancing risk as part of its treasury management and investment strategies.</w:t>
      </w:r>
    </w:p>
    <w:p w:rsidR="00F72906" w:rsidRDefault="00F72906" w:rsidP="00F72906"/>
    <w:p w:rsidR="00F72906" w:rsidRDefault="00F72906" w:rsidP="00F72906">
      <w:r>
        <w:t>18.  Funding arrangements</w:t>
      </w:r>
    </w:p>
    <w:p w:rsidR="00F72906" w:rsidRDefault="00F72906" w:rsidP="00F72906"/>
    <w:p w:rsidR="00F72906" w:rsidRDefault="00F72906" w:rsidP="00F72906">
      <w:r>
        <w:t>In line with the LGPS (Administration) Regulations 2008, the Fund’s actuary undertakes a funding valuation every three years for the purpose of setting employer contribution rates for the forthcoming triennial period. The last such valuation took place as at 31 March 2019. The next valuation will take place as at March 2022.</w:t>
      </w:r>
    </w:p>
    <w:p w:rsidR="00F72906" w:rsidRDefault="00F72906" w:rsidP="00F72906"/>
    <w:p w:rsidR="00F72906" w:rsidRDefault="00F72906" w:rsidP="00F72906">
      <w:r>
        <w:t>The key elements of the funding policy are:</w:t>
      </w:r>
    </w:p>
    <w:p w:rsidR="00F72906" w:rsidRDefault="00F72906" w:rsidP="00F72906"/>
    <w:p w:rsidR="00F72906" w:rsidRDefault="00F72906" w:rsidP="00F72906">
      <w:r>
        <w:t>-</w:t>
      </w:r>
      <w:r>
        <w:tab/>
        <w:t>to ensure the long-term solvency of the Fund, i.e., that sufficient funds are available to meet all pension liabilities as they fall due for payment</w:t>
      </w:r>
    </w:p>
    <w:p w:rsidR="00F72906" w:rsidRDefault="00F72906" w:rsidP="00F72906">
      <w:r>
        <w:t>-</w:t>
      </w:r>
      <w:r>
        <w:tab/>
        <w:t>to ensure that employer contribution rates are as stable as possible</w:t>
      </w:r>
    </w:p>
    <w:p w:rsidR="00F72906" w:rsidRDefault="00F72906" w:rsidP="00F72906">
      <w:r>
        <w:lastRenderedPageBreak/>
        <w:t>-</w:t>
      </w:r>
      <w:r>
        <w:tab/>
        <w:t>to minimise the long-term cost of the Scheme by recognising the link between assets and liabilities and adopting an investment strategy that balances risk and return</w:t>
      </w:r>
    </w:p>
    <w:p w:rsidR="00F72906" w:rsidRDefault="00F72906" w:rsidP="00F72906">
      <w:r>
        <w:t>-</w:t>
      </w:r>
      <w:r>
        <w:tab/>
        <w:t>to reflect the different characteristics of employing bodies in determining contribution rates where the administering authority considers it reasonable to do so</w:t>
      </w:r>
    </w:p>
    <w:p w:rsidR="00F72906" w:rsidRDefault="00F72906" w:rsidP="00F72906">
      <w:r>
        <w:t>-</w:t>
      </w:r>
      <w:r>
        <w:tab/>
        <w:t>to use reasonable measures to reduce the risk to other employers and ultimately to the council taxpayer from an employer defaulting on its pension obligations.</w:t>
      </w:r>
    </w:p>
    <w:p w:rsidR="00F72906" w:rsidRDefault="00F72906" w:rsidP="00F72906"/>
    <w:p w:rsidR="00F72906" w:rsidRDefault="00F72906" w:rsidP="00F72906">
      <w:r>
        <w:t>The aim is to achieve 100% solvency over a period of 19 years from 1 April 2019 and to provide stability in employer contribution rates by spreading any increases in rates over a period of time. Solvency is achieved when the funds held, plus future expected investment returns and future contributions are sufficient to meet expected future pension benefits payable.</w:t>
      </w:r>
    </w:p>
    <w:p w:rsidR="00F72906" w:rsidRDefault="00F72906" w:rsidP="00F72906"/>
    <w:p w:rsidR="00F72906" w:rsidRDefault="00F72906" w:rsidP="00F72906">
      <w:r>
        <w:t>At the 2019 actuarial valuation, the Fund was assessed as 78% funded, which is a significant improvement to the 55% valuation at the 2016 valuation. This corresponded to a deficit of £248m (2016 valuation: £562m) at that time.  As a result, a deficit recovery plan is in place which aims to achieve 100% funding over a period of 19 years from April 2019.</w:t>
      </w:r>
    </w:p>
    <w:p w:rsidR="00F72906" w:rsidRDefault="00F72906" w:rsidP="00F72906"/>
    <w:p w:rsidR="00F72906" w:rsidRDefault="00F72906" w:rsidP="00F72906">
      <w:r>
        <w:t>Contribution increases or decreases may be phased in over the three-year period beginning 31 March 2020 for both Scheme employers and admitted bodies. The most commonly applied employer contribution rate within the Brent Pension Fund is:</w:t>
      </w:r>
    </w:p>
    <w:tbl>
      <w:tblPr>
        <w:tblStyle w:val="TableGrid"/>
        <w:tblW w:w="0" w:type="auto"/>
        <w:tblLook w:val="04A0" w:firstRow="1" w:lastRow="0" w:firstColumn="1" w:lastColumn="0" w:noHBand="0" w:noVBand="1"/>
        <w:tblCaption w:val="Employer contribution rate"/>
        <w:tblDescription w:val="employer contribution rate for the past 3 years"/>
      </w:tblPr>
      <w:tblGrid>
        <w:gridCol w:w="4873"/>
        <w:gridCol w:w="4874"/>
      </w:tblGrid>
      <w:tr w:rsidR="009C7D60" w:rsidTr="001822CA">
        <w:trPr>
          <w:tblHeader/>
        </w:trPr>
        <w:tc>
          <w:tcPr>
            <w:tcW w:w="4873" w:type="dxa"/>
          </w:tcPr>
          <w:p w:rsidR="009C7D60" w:rsidRDefault="009C7D60" w:rsidP="00F72906">
            <w:r>
              <w:t>Year</w:t>
            </w:r>
            <w:r>
              <w:tab/>
            </w:r>
          </w:p>
        </w:tc>
        <w:tc>
          <w:tcPr>
            <w:tcW w:w="4874" w:type="dxa"/>
          </w:tcPr>
          <w:p w:rsidR="009C7D60" w:rsidRDefault="009C7D60" w:rsidP="009C7D60">
            <w:r>
              <w:t>Employers’ contribution rate</w:t>
            </w:r>
          </w:p>
          <w:p w:rsidR="009C7D60" w:rsidRDefault="009C7D60" w:rsidP="00F72906"/>
        </w:tc>
      </w:tr>
      <w:tr w:rsidR="009C7D60" w:rsidTr="009C7D60">
        <w:tc>
          <w:tcPr>
            <w:tcW w:w="4873" w:type="dxa"/>
          </w:tcPr>
          <w:p w:rsidR="009C7D60" w:rsidRDefault="009C7D60" w:rsidP="00F72906">
            <w:r>
              <w:t>2018/19</w:t>
            </w:r>
          </w:p>
        </w:tc>
        <w:tc>
          <w:tcPr>
            <w:tcW w:w="4874" w:type="dxa"/>
          </w:tcPr>
          <w:p w:rsidR="009C7D60" w:rsidRDefault="009C7D60" w:rsidP="009C7D60">
            <w:pPr>
              <w:ind w:left="720"/>
            </w:pPr>
            <w:r>
              <w:t>33.8%</w:t>
            </w:r>
          </w:p>
          <w:p w:rsidR="009C7D60" w:rsidRDefault="009C7D60" w:rsidP="00F72906"/>
        </w:tc>
      </w:tr>
      <w:tr w:rsidR="009C7D60" w:rsidTr="009C7D60">
        <w:tc>
          <w:tcPr>
            <w:tcW w:w="4873" w:type="dxa"/>
          </w:tcPr>
          <w:p w:rsidR="009C7D60" w:rsidRDefault="009C7D60" w:rsidP="00F72906">
            <w:r>
              <w:t>2019/20</w:t>
            </w:r>
          </w:p>
        </w:tc>
        <w:tc>
          <w:tcPr>
            <w:tcW w:w="4874" w:type="dxa"/>
          </w:tcPr>
          <w:p w:rsidR="009C7D60" w:rsidRDefault="009C7D60" w:rsidP="009C7D60">
            <w:pPr>
              <w:ind w:left="720"/>
            </w:pPr>
            <w:r>
              <w:t>35.0%</w:t>
            </w:r>
          </w:p>
          <w:p w:rsidR="009C7D60" w:rsidRDefault="009C7D60" w:rsidP="00F72906"/>
        </w:tc>
      </w:tr>
      <w:tr w:rsidR="009C7D60" w:rsidTr="009C7D60">
        <w:tc>
          <w:tcPr>
            <w:tcW w:w="4873" w:type="dxa"/>
          </w:tcPr>
          <w:p w:rsidR="009C7D60" w:rsidRDefault="009C7D60" w:rsidP="00F72906">
            <w:r>
              <w:t>2020/21</w:t>
            </w:r>
          </w:p>
        </w:tc>
        <w:tc>
          <w:tcPr>
            <w:tcW w:w="4874" w:type="dxa"/>
          </w:tcPr>
          <w:p w:rsidR="009C7D60" w:rsidRDefault="009C7D60" w:rsidP="009C7D60">
            <w:pPr>
              <w:ind w:left="720"/>
            </w:pPr>
            <w:r>
              <w:t>35.0%</w:t>
            </w:r>
          </w:p>
        </w:tc>
      </w:tr>
    </w:tbl>
    <w:p w:rsidR="00F72906" w:rsidRDefault="00F72906" w:rsidP="00F72906"/>
    <w:p w:rsidR="00F72906" w:rsidRDefault="00F72906" w:rsidP="00F72906">
      <w:r>
        <w:t>Individual employers’ rates will vary from the common contribution rate depending on the demographic and actuarial factors particular to each employer. Full details of the contribution rates payable can be found in the 2019 actuarial valuation report and the funding strategy statement on the Fund’s website.</w:t>
      </w:r>
    </w:p>
    <w:p w:rsidR="00F72906" w:rsidRDefault="00F72906" w:rsidP="00F72906"/>
    <w:p w:rsidR="00F72906" w:rsidRDefault="00F72906" w:rsidP="00F72906">
      <w:r>
        <w:t>The valuation of the Fund has been undertaken using the projected unit method under which the salary increase for each member is assumed to increase until they leave active service by death, retirement or withdrawal from service. The principal assumptions were:</w:t>
      </w:r>
    </w:p>
    <w:p w:rsidR="00F72906" w:rsidRDefault="00F72906" w:rsidP="00F72906"/>
    <w:p w:rsidR="00F72906" w:rsidRDefault="00F72906" w:rsidP="00F72906">
      <w:r>
        <w:t>The main actuarial assumptions used for the March 2019 actuarial valuation were as follows:</w:t>
      </w:r>
    </w:p>
    <w:p w:rsidR="00F72906" w:rsidRDefault="00F72906" w:rsidP="00F72906"/>
    <w:p w:rsidR="00F72906" w:rsidRDefault="00F72906" w:rsidP="00F72906">
      <w:r>
        <w:t>Discount rate</w:t>
      </w:r>
      <w:r>
        <w:tab/>
      </w:r>
      <w:r>
        <w:tab/>
        <w:t>4.4% p.a.</w:t>
      </w:r>
    </w:p>
    <w:p w:rsidR="00F72906" w:rsidRDefault="00F72906" w:rsidP="00F72906">
      <w:r>
        <w:lastRenderedPageBreak/>
        <w:t>Pay increases</w:t>
      </w:r>
      <w:r>
        <w:tab/>
      </w:r>
      <w:r>
        <w:tab/>
        <w:t>2.6% p.a.</w:t>
      </w:r>
    </w:p>
    <w:p w:rsidR="00F72906" w:rsidRDefault="00286159" w:rsidP="00F72906">
      <w:r>
        <w:t>Pension increases</w:t>
      </w:r>
      <w:r>
        <w:tab/>
      </w:r>
      <w:r w:rsidR="00F72906">
        <w:t>2.3% p.a.</w:t>
      </w:r>
    </w:p>
    <w:p w:rsidR="00F72906" w:rsidRDefault="00F72906" w:rsidP="00F72906"/>
    <w:p w:rsidR="00F72906" w:rsidRPr="00286159" w:rsidRDefault="00F72906" w:rsidP="00F72906">
      <w:pPr>
        <w:rPr>
          <w:b/>
        </w:rPr>
      </w:pPr>
      <w:r w:rsidRPr="00286159">
        <w:rPr>
          <w:b/>
        </w:rPr>
        <w:t>Mortality assumptions</w:t>
      </w:r>
    </w:p>
    <w:p w:rsidR="00F72906" w:rsidRDefault="00F72906" w:rsidP="00F72906"/>
    <w:p w:rsidR="00F72906" w:rsidRDefault="00F72906" w:rsidP="00F72906">
      <w:r>
        <w:t>Future life expectancy based on the Actuary’s fund-specific mortality review was:</w:t>
      </w:r>
    </w:p>
    <w:tbl>
      <w:tblPr>
        <w:tblStyle w:val="TableGrid"/>
        <w:tblW w:w="0" w:type="auto"/>
        <w:tblLook w:val="04A0" w:firstRow="1" w:lastRow="0" w:firstColumn="1" w:lastColumn="0" w:noHBand="0" w:noVBand="1"/>
        <w:tblCaption w:val="mortality assumptions"/>
        <w:tblDescription w:val="future life expectancy"/>
      </w:tblPr>
      <w:tblGrid>
        <w:gridCol w:w="3249"/>
        <w:gridCol w:w="3249"/>
        <w:gridCol w:w="3249"/>
      </w:tblGrid>
      <w:tr w:rsidR="00C96EA3" w:rsidTr="001822CA">
        <w:trPr>
          <w:tblHeader/>
        </w:trPr>
        <w:tc>
          <w:tcPr>
            <w:tcW w:w="3249" w:type="dxa"/>
          </w:tcPr>
          <w:p w:rsidR="00C96EA3" w:rsidRDefault="00C96EA3" w:rsidP="00F72906">
            <w:r>
              <w:t>Mortality assumption at age 65</w:t>
            </w:r>
            <w:r>
              <w:tab/>
            </w:r>
          </w:p>
        </w:tc>
        <w:tc>
          <w:tcPr>
            <w:tcW w:w="3249" w:type="dxa"/>
          </w:tcPr>
          <w:p w:rsidR="00C96EA3" w:rsidRDefault="00C96EA3" w:rsidP="00F72906">
            <w:r>
              <w:t>Male</w:t>
            </w:r>
          </w:p>
        </w:tc>
        <w:tc>
          <w:tcPr>
            <w:tcW w:w="3249" w:type="dxa"/>
          </w:tcPr>
          <w:p w:rsidR="00C96EA3" w:rsidRDefault="00C96EA3" w:rsidP="00F72906">
            <w:r>
              <w:t>Female</w:t>
            </w:r>
          </w:p>
        </w:tc>
      </w:tr>
      <w:tr w:rsidR="00C96EA3" w:rsidTr="00C96EA3">
        <w:tc>
          <w:tcPr>
            <w:tcW w:w="3249" w:type="dxa"/>
          </w:tcPr>
          <w:p w:rsidR="00C96EA3" w:rsidRDefault="00C96EA3" w:rsidP="00F72906">
            <w:r>
              <w:t>Current pensioners</w:t>
            </w:r>
          </w:p>
        </w:tc>
        <w:tc>
          <w:tcPr>
            <w:tcW w:w="3249" w:type="dxa"/>
          </w:tcPr>
          <w:p w:rsidR="00C96EA3" w:rsidRDefault="00C96EA3" w:rsidP="00F72906">
            <w:r>
              <w:t>22.1 years</w:t>
            </w:r>
          </w:p>
        </w:tc>
        <w:tc>
          <w:tcPr>
            <w:tcW w:w="3249" w:type="dxa"/>
          </w:tcPr>
          <w:p w:rsidR="00C96EA3" w:rsidRDefault="00C96EA3" w:rsidP="00F72906">
            <w:r>
              <w:t>24.3 years</w:t>
            </w:r>
          </w:p>
        </w:tc>
      </w:tr>
    </w:tbl>
    <w:p w:rsidR="00F72906" w:rsidRDefault="00F72906" w:rsidP="00F72906"/>
    <w:p w:rsidR="00F72906" w:rsidRPr="00286159" w:rsidRDefault="00F72906" w:rsidP="00F72906">
      <w:pPr>
        <w:rPr>
          <w:b/>
        </w:rPr>
      </w:pPr>
    </w:p>
    <w:p w:rsidR="00F72906" w:rsidRPr="00286159" w:rsidRDefault="00F72906" w:rsidP="00F72906">
      <w:pPr>
        <w:rPr>
          <w:b/>
        </w:rPr>
      </w:pPr>
      <w:r w:rsidRPr="00286159">
        <w:rPr>
          <w:b/>
        </w:rPr>
        <w:t>Commutation assumption</w:t>
      </w:r>
    </w:p>
    <w:p w:rsidR="00F72906" w:rsidRDefault="00F72906" w:rsidP="00F72906"/>
    <w:p w:rsidR="00F72906" w:rsidRDefault="00F72906" w:rsidP="00F72906">
      <w:r>
        <w:t>It is assumed that 50% of future retirements will elect to exchange pension for additional tax free cash up to HMRC limits for service to 1 April 2008 and 75% for service from 1 April 2008.</w:t>
      </w:r>
    </w:p>
    <w:p w:rsidR="00F72906" w:rsidRDefault="00F72906" w:rsidP="00F72906"/>
    <w:p w:rsidR="00F72906" w:rsidRDefault="00F72906" w:rsidP="00286159">
      <w:pPr>
        <w:pStyle w:val="Heading3"/>
      </w:pPr>
      <w:r>
        <w:t>19.  Actuarial present value of promised retirement benefits</w:t>
      </w:r>
    </w:p>
    <w:p w:rsidR="00F72906" w:rsidRDefault="00F72906" w:rsidP="00F72906"/>
    <w:p w:rsidR="00F72906" w:rsidRDefault="00F72906" w:rsidP="00F72906">
      <w:r>
        <w:t>In addition to the triennial funding valuation, the Fund’s Actuary also undertakes a valuation of the pension fund liabilities, on an IAS 19 basis, every year using the same base data as the funding valuation rolled forward to the current financial year, taking account of changes in membership numbers and updating assumptions to the current year.  This valuation is not carried out on the same basis as that used for setting fund contribution rates and the fund accounts do not take account of liabilities to pay pensions and other benefits in the future.</w:t>
      </w:r>
    </w:p>
    <w:p w:rsidR="00F72906" w:rsidRDefault="00F72906" w:rsidP="00F72906"/>
    <w:p w:rsidR="00F72906" w:rsidRDefault="00F72906" w:rsidP="00F72906">
      <w:r>
        <w:t>In order to assess the value of the benefits on this basis, the Actuary has updated the actuarial assumptions (set out below) from those used for funding purposes (see Note 18). The Actuary has also used valued ill health and death benefits in line with IAS 19.</w:t>
      </w:r>
    </w:p>
    <w:p w:rsidR="00F72906" w:rsidRDefault="00F72906" w:rsidP="00F72906"/>
    <w:p w:rsidR="00C96EA3" w:rsidRDefault="00F72906" w:rsidP="00F72906">
      <w:r>
        <w:t>Calculated on an IAS19 basis, the actuarial present value of promised retirement benefits at 31 March 2020 was £1,489m (31 March 2019: £1,826m). This figure includes both vested and non-vested benefits, although the latter is assumed to have a negligible value.  The Fund Accounts do not take account of liabilities to pay pensions and other benefits in the future.</w:t>
      </w:r>
    </w:p>
    <w:p w:rsidR="00F72906" w:rsidRDefault="00C96EA3" w:rsidP="00F72906">
      <w:r>
        <w:t xml:space="preserve"> </w:t>
      </w:r>
      <w:r w:rsidR="00F72906">
        <w:t>The liabilities above are calculated on an IAS 19 basis and therefore differ from the results of the 2019 triennial funding valuation because IAS 19 stipulates a discount rate rather than a rate which reflects market rates.</w:t>
      </w:r>
    </w:p>
    <w:p w:rsidR="00F72906" w:rsidRDefault="00F72906" w:rsidP="00F72906"/>
    <w:p w:rsidR="00C96EA3" w:rsidRDefault="00C96EA3">
      <w:pPr>
        <w:rPr>
          <w:b/>
        </w:rPr>
      </w:pPr>
      <w:r>
        <w:rPr>
          <w:b/>
        </w:rPr>
        <w:br w:type="page"/>
      </w:r>
    </w:p>
    <w:p w:rsidR="00F72906" w:rsidRPr="00286159" w:rsidRDefault="00F72906" w:rsidP="00F72906">
      <w:pPr>
        <w:rPr>
          <w:b/>
        </w:rPr>
      </w:pPr>
      <w:r w:rsidRPr="00286159">
        <w:rPr>
          <w:b/>
        </w:rPr>
        <w:lastRenderedPageBreak/>
        <w:t>Financial assumptions</w:t>
      </w:r>
    </w:p>
    <w:tbl>
      <w:tblPr>
        <w:tblStyle w:val="TableGrid"/>
        <w:tblW w:w="0" w:type="auto"/>
        <w:tblLook w:val="04A0" w:firstRow="1" w:lastRow="0" w:firstColumn="1" w:lastColumn="0" w:noHBand="0" w:noVBand="1"/>
        <w:tblCaption w:val="Financial assumptions"/>
        <w:tblDescription w:val="inflation/pension increase rate, salary increase rate and discount rate"/>
      </w:tblPr>
      <w:tblGrid>
        <w:gridCol w:w="4873"/>
        <w:gridCol w:w="4874"/>
      </w:tblGrid>
      <w:tr w:rsidR="00C96EA3" w:rsidTr="001822CA">
        <w:trPr>
          <w:tblHeader/>
        </w:trPr>
        <w:tc>
          <w:tcPr>
            <w:tcW w:w="4873" w:type="dxa"/>
          </w:tcPr>
          <w:p w:rsidR="00C96EA3" w:rsidRDefault="00C96EA3" w:rsidP="00F72906">
            <w:r>
              <w:t>Inflation/pensions increase rate</w:t>
            </w:r>
          </w:p>
        </w:tc>
        <w:tc>
          <w:tcPr>
            <w:tcW w:w="4874" w:type="dxa"/>
          </w:tcPr>
          <w:p w:rsidR="00C96EA3" w:rsidRDefault="00C96EA3" w:rsidP="00F72906">
            <w:r>
              <w:t>1.9%</w:t>
            </w:r>
          </w:p>
        </w:tc>
      </w:tr>
      <w:tr w:rsidR="00C96EA3" w:rsidTr="00C96EA3">
        <w:tc>
          <w:tcPr>
            <w:tcW w:w="4873" w:type="dxa"/>
          </w:tcPr>
          <w:p w:rsidR="00C96EA3" w:rsidRDefault="00C96EA3" w:rsidP="00F72906">
            <w:r>
              <w:t>Salary increase rate</w:t>
            </w:r>
          </w:p>
        </w:tc>
        <w:tc>
          <w:tcPr>
            <w:tcW w:w="4874" w:type="dxa"/>
          </w:tcPr>
          <w:p w:rsidR="00C96EA3" w:rsidRDefault="00C96EA3" w:rsidP="00F72906">
            <w:r>
              <w:t>2.2%</w:t>
            </w:r>
          </w:p>
        </w:tc>
      </w:tr>
      <w:tr w:rsidR="00C96EA3" w:rsidTr="00C96EA3">
        <w:tc>
          <w:tcPr>
            <w:tcW w:w="4873" w:type="dxa"/>
          </w:tcPr>
          <w:p w:rsidR="00C96EA3" w:rsidRDefault="00C96EA3" w:rsidP="00F72906">
            <w:r>
              <w:t>Discount rate</w:t>
            </w:r>
          </w:p>
        </w:tc>
        <w:tc>
          <w:tcPr>
            <w:tcW w:w="4874" w:type="dxa"/>
          </w:tcPr>
          <w:p w:rsidR="00C96EA3" w:rsidRDefault="00C96EA3" w:rsidP="00F72906">
            <w:r>
              <w:t>2.3%</w:t>
            </w:r>
          </w:p>
        </w:tc>
      </w:tr>
    </w:tbl>
    <w:p w:rsidR="00F72906" w:rsidRDefault="00F72906" w:rsidP="00F72906"/>
    <w:p w:rsidR="00F72906" w:rsidRPr="00286159" w:rsidRDefault="00F72906" w:rsidP="00F72906">
      <w:pPr>
        <w:rPr>
          <w:b/>
        </w:rPr>
      </w:pPr>
      <w:r w:rsidRPr="00286159">
        <w:rPr>
          <w:b/>
        </w:rPr>
        <w:t>Longevity assumption</w:t>
      </w:r>
    </w:p>
    <w:p w:rsidR="00F72906" w:rsidRDefault="00F72906" w:rsidP="00F72906"/>
    <w:p w:rsidR="00F72906" w:rsidRDefault="00F72906" w:rsidP="00F72906">
      <w:r>
        <w:t>The average future life expectancies at age 65 are summarised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17"/>
        <w:gridCol w:w="2717"/>
        <w:gridCol w:w="2718"/>
      </w:tblGrid>
      <w:tr w:rsidR="00286159" w:rsidRPr="003002DD" w:rsidTr="00AE1C26">
        <w:tc>
          <w:tcPr>
            <w:tcW w:w="2717" w:type="dxa"/>
          </w:tcPr>
          <w:p w:rsidR="00286159" w:rsidRPr="003002DD" w:rsidRDefault="00286159" w:rsidP="00AE1C26">
            <w:pPr>
              <w:widowControl w:val="0"/>
              <w:tabs>
                <w:tab w:val="left" w:pos="600"/>
                <w:tab w:val="right" w:pos="3060"/>
                <w:tab w:val="right" w:pos="4150"/>
              </w:tabs>
              <w:jc w:val="center"/>
              <w:rPr>
                <w:rFonts w:ascii="Segoe UI Light" w:hAnsi="Segoe UI Light" w:cs="Segoe UI Light"/>
                <w:snapToGrid w:val="0"/>
                <w:color w:val="000000"/>
              </w:rPr>
            </w:pPr>
          </w:p>
        </w:tc>
        <w:tc>
          <w:tcPr>
            <w:tcW w:w="2717" w:type="dxa"/>
          </w:tcPr>
          <w:p w:rsidR="00286159" w:rsidRPr="003002DD" w:rsidRDefault="00286159" w:rsidP="00AE1C26">
            <w:pPr>
              <w:widowControl w:val="0"/>
              <w:tabs>
                <w:tab w:val="left" w:pos="600"/>
                <w:tab w:val="right" w:pos="3060"/>
                <w:tab w:val="right" w:pos="4150"/>
              </w:tabs>
              <w:jc w:val="center"/>
              <w:rPr>
                <w:rFonts w:ascii="Segoe UI Light" w:hAnsi="Segoe UI Light" w:cs="Segoe UI Light"/>
                <w:b/>
                <w:snapToGrid w:val="0"/>
                <w:color w:val="000000"/>
              </w:rPr>
            </w:pPr>
            <w:r w:rsidRPr="003002DD">
              <w:rPr>
                <w:rFonts w:ascii="Segoe UI Light" w:hAnsi="Segoe UI Light" w:cs="Segoe UI Light"/>
                <w:b/>
                <w:snapToGrid w:val="0"/>
                <w:color w:val="000000"/>
              </w:rPr>
              <w:t>Males</w:t>
            </w:r>
          </w:p>
        </w:tc>
        <w:tc>
          <w:tcPr>
            <w:tcW w:w="2718" w:type="dxa"/>
          </w:tcPr>
          <w:p w:rsidR="00286159" w:rsidRPr="003002DD" w:rsidRDefault="00286159" w:rsidP="00AE1C26">
            <w:pPr>
              <w:widowControl w:val="0"/>
              <w:tabs>
                <w:tab w:val="left" w:pos="600"/>
                <w:tab w:val="right" w:pos="3060"/>
                <w:tab w:val="right" w:pos="4150"/>
              </w:tabs>
              <w:jc w:val="center"/>
              <w:rPr>
                <w:rFonts w:ascii="Segoe UI Light" w:hAnsi="Segoe UI Light" w:cs="Segoe UI Light"/>
                <w:b/>
                <w:snapToGrid w:val="0"/>
                <w:color w:val="000000"/>
              </w:rPr>
            </w:pPr>
            <w:r w:rsidRPr="003002DD">
              <w:rPr>
                <w:rFonts w:ascii="Segoe UI Light" w:hAnsi="Segoe UI Light" w:cs="Segoe UI Light"/>
                <w:b/>
                <w:snapToGrid w:val="0"/>
                <w:color w:val="000000"/>
              </w:rPr>
              <w:t>Females</w:t>
            </w:r>
          </w:p>
        </w:tc>
      </w:tr>
      <w:tr w:rsidR="00286159" w:rsidRPr="003002DD" w:rsidTr="00AE1C26">
        <w:tc>
          <w:tcPr>
            <w:tcW w:w="2717" w:type="dxa"/>
          </w:tcPr>
          <w:p w:rsidR="00286159" w:rsidRPr="003002DD" w:rsidRDefault="00286159" w:rsidP="00AE1C26">
            <w:pPr>
              <w:widowControl w:val="0"/>
              <w:tabs>
                <w:tab w:val="left" w:pos="600"/>
                <w:tab w:val="right" w:pos="3060"/>
                <w:tab w:val="right" w:pos="4150"/>
              </w:tabs>
              <w:jc w:val="center"/>
              <w:rPr>
                <w:rFonts w:ascii="Segoe UI Light" w:hAnsi="Segoe UI Light" w:cs="Segoe UI Light"/>
                <w:snapToGrid w:val="0"/>
                <w:color w:val="000000"/>
              </w:rPr>
            </w:pPr>
            <w:r w:rsidRPr="003002DD">
              <w:rPr>
                <w:rFonts w:ascii="Segoe UI Light" w:hAnsi="Segoe UI Light" w:cs="Segoe UI Light"/>
                <w:snapToGrid w:val="0"/>
                <w:color w:val="000000"/>
              </w:rPr>
              <w:t>Current pensioners</w:t>
            </w:r>
          </w:p>
        </w:tc>
        <w:tc>
          <w:tcPr>
            <w:tcW w:w="2717" w:type="dxa"/>
          </w:tcPr>
          <w:p w:rsidR="00286159" w:rsidRPr="003002DD" w:rsidRDefault="00286159" w:rsidP="00AE1C26">
            <w:pPr>
              <w:widowControl w:val="0"/>
              <w:tabs>
                <w:tab w:val="left" w:pos="600"/>
                <w:tab w:val="right" w:pos="3060"/>
                <w:tab w:val="right" w:pos="4150"/>
              </w:tabs>
              <w:jc w:val="center"/>
              <w:rPr>
                <w:rFonts w:ascii="Segoe UI Light" w:hAnsi="Segoe UI Light" w:cs="Segoe UI Light"/>
                <w:snapToGrid w:val="0"/>
                <w:color w:val="000000"/>
              </w:rPr>
            </w:pPr>
            <w:r w:rsidRPr="003002DD">
              <w:rPr>
                <w:rFonts w:ascii="Segoe UI Light" w:hAnsi="Segoe UI Light" w:cs="Segoe UI Light"/>
                <w:snapToGrid w:val="0"/>
                <w:color w:val="000000"/>
              </w:rPr>
              <w:t>22.1 years</w:t>
            </w:r>
          </w:p>
        </w:tc>
        <w:tc>
          <w:tcPr>
            <w:tcW w:w="2718" w:type="dxa"/>
          </w:tcPr>
          <w:p w:rsidR="00286159" w:rsidRPr="003002DD" w:rsidRDefault="00286159" w:rsidP="00AE1C26">
            <w:pPr>
              <w:widowControl w:val="0"/>
              <w:tabs>
                <w:tab w:val="left" w:pos="600"/>
                <w:tab w:val="right" w:pos="3060"/>
                <w:tab w:val="right" w:pos="4150"/>
              </w:tabs>
              <w:jc w:val="center"/>
              <w:rPr>
                <w:rFonts w:ascii="Segoe UI Light" w:hAnsi="Segoe UI Light" w:cs="Segoe UI Light"/>
                <w:snapToGrid w:val="0"/>
                <w:color w:val="000000"/>
              </w:rPr>
            </w:pPr>
            <w:r w:rsidRPr="003002DD">
              <w:rPr>
                <w:rFonts w:ascii="Segoe UI Light" w:hAnsi="Segoe UI Light" w:cs="Segoe UI Light"/>
                <w:snapToGrid w:val="0"/>
                <w:color w:val="000000"/>
              </w:rPr>
              <w:t>24.3 years</w:t>
            </w:r>
          </w:p>
        </w:tc>
      </w:tr>
      <w:tr w:rsidR="00286159" w:rsidRPr="003002DD" w:rsidTr="00AE1C26">
        <w:tc>
          <w:tcPr>
            <w:tcW w:w="2717" w:type="dxa"/>
          </w:tcPr>
          <w:p w:rsidR="00286159" w:rsidRPr="003002DD" w:rsidRDefault="00286159" w:rsidP="00AE1C26">
            <w:pPr>
              <w:widowControl w:val="0"/>
              <w:tabs>
                <w:tab w:val="left" w:pos="600"/>
                <w:tab w:val="right" w:pos="3060"/>
                <w:tab w:val="right" w:pos="4150"/>
              </w:tabs>
              <w:jc w:val="center"/>
              <w:rPr>
                <w:rFonts w:ascii="Segoe UI Light" w:hAnsi="Segoe UI Light" w:cs="Segoe UI Light"/>
                <w:snapToGrid w:val="0"/>
                <w:color w:val="000000"/>
              </w:rPr>
            </w:pPr>
            <w:r w:rsidRPr="003002DD">
              <w:rPr>
                <w:rFonts w:ascii="Segoe UI Light" w:hAnsi="Segoe UI Light" w:cs="Segoe UI Light"/>
                <w:snapToGrid w:val="0"/>
                <w:color w:val="000000"/>
              </w:rPr>
              <w:t>Future pensioners*</w:t>
            </w:r>
          </w:p>
        </w:tc>
        <w:tc>
          <w:tcPr>
            <w:tcW w:w="2717" w:type="dxa"/>
          </w:tcPr>
          <w:p w:rsidR="00286159" w:rsidRPr="003002DD" w:rsidRDefault="00286159" w:rsidP="00AE1C26">
            <w:pPr>
              <w:widowControl w:val="0"/>
              <w:tabs>
                <w:tab w:val="left" w:pos="600"/>
                <w:tab w:val="right" w:pos="3060"/>
                <w:tab w:val="right" w:pos="4150"/>
              </w:tabs>
              <w:contextualSpacing/>
              <w:jc w:val="center"/>
              <w:rPr>
                <w:rFonts w:ascii="Segoe UI Light" w:hAnsi="Segoe UI Light" w:cs="Segoe UI Light"/>
                <w:snapToGrid w:val="0"/>
                <w:color w:val="000000"/>
              </w:rPr>
            </w:pPr>
            <w:r w:rsidRPr="003002DD">
              <w:rPr>
                <w:rFonts w:ascii="Segoe UI Light" w:hAnsi="Segoe UI Light" w:cs="Segoe UI Light"/>
                <w:snapToGrid w:val="0"/>
                <w:color w:val="000000"/>
              </w:rPr>
              <w:t>23.0 years</w:t>
            </w:r>
          </w:p>
        </w:tc>
        <w:tc>
          <w:tcPr>
            <w:tcW w:w="2718" w:type="dxa"/>
          </w:tcPr>
          <w:p w:rsidR="00286159" w:rsidRPr="003002DD" w:rsidRDefault="00286159" w:rsidP="00AE1C26">
            <w:pPr>
              <w:widowControl w:val="0"/>
              <w:tabs>
                <w:tab w:val="left" w:pos="600"/>
                <w:tab w:val="right" w:pos="3060"/>
                <w:tab w:val="right" w:pos="4150"/>
              </w:tabs>
              <w:jc w:val="center"/>
              <w:rPr>
                <w:rFonts w:ascii="Segoe UI Light" w:hAnsi="Segoe UI Light" w:cs="Segoe UI Light"/>
                <w:snapToGrid w:val="0"/>
                <w:color w:val="000000"/>
              </w:rPr>
            </w:pPr>
            <w:r w:rsidRPr="003002DD">
              <w:rPr>
                <w:rFonts w:ascii="Segoe UI Light" w:hAnsi="Segoe UI Light" w:cs="Segoe UI Light"/>
                <w:snapToGrid w:val="0"/>
                <w:color w:val="000000"/>
              </w:rPr>
              <w:t>25.5 years</w:t>
            </w:r>
          </w:p>
        </w:tc>
      </w:tr>
    </w:tbl>
    <w:p w:rsidR="00F72906" w:rsidRDefault="00F72906" w:rsidP="00F72906"/>
    <w:p w:rsidR="00F72906" w:rsidRDefault="00F72906" w:rsidP="00F72906">
      <w:r>
        <w:t>* Future pensioners are assumed to be currently aged 45</w:t>
      </w:r>
    </w:p>
    <w:p w:rsidR="00F72906" w:rsidRDefault="00F72906" w:rsidP="00F72906"/>
    <w:p w:rsidR="00F72906" w:rsidRPr="00286159" w:rsidRDefault="00F72906" w:rsidP="00F72906">
      <w:pPr>
        <w:rPr>
          <w:b/>
        </w:rPr>
      </w:pPr>
      <w:r w:rsidRPr="00286159">
        <w:rPr>
          <w:b/>
        </w:rPr>
        <w:t>Commutation assumption</w:t>
      </w:r>
    </w:p>
    <w:p w:rsidR="00F72906" w:rsidRDefault="00F72906" w:rsidP="00F72906"/>
    <w:p w:rsidR="00F72906" w:rsidRDefault="00F72906" w:rsidP="00F72906">
      <w:r>
        <w:t>An allowance is included for future retirements to elect to take 50% of the maximum additional tax-free cash up to HMRC limits for pre-April 2008 service and 75% of the maximum tax-free cash for post-April 2008 service.</w:t>
      </w:r>
    </w:p>
    <w:p w:rsidR="00F72906" w:rsidRPr="00286159" w:rsidRDefault="00F72906" w:rsidP="00F72906">
      <w:pPr>
        <w:rPr>
          <w:b/>
        </w:rPr>
      </w:pPr>
    </w:p>
    <w:p w:rsidR="00F72906" w:rsidRPr="00286159" w:rsidRDefault="00F72906" w:rsidP="00F72906">
      <w:pPr>
        <w:rPr>
          <w:b/>
        </w:rPr>
      </w:pPr>
      <w:r w:rsidRPr="00286159">
        <w:rPr>
          <w:b/>
        </w:rPr>
        <w:t>Sensitivity Analysis</w:t>
      </w:r>
    </w:p>
    <w:tbl>
      <w:tblPr>
        <w:tblW w:w="7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5"/>
        <w:gridCol w:w="1683"/>
        <w:gridCol w:w="1719"/>
      </w:tblGrid>
      <w:tr w:rsidR="00286159" w:rsidRPr="00317A00" w:rsidTr="00AE1C26">
        <w:tc>
          <w:tcPr>
            <w:tcW w:w="4395" w:type="dxa"/>
          </w:tcPr>
          <w:p w:rsidR="00286159" w:rsidRPr="00317A00" w:rsidRDefault="00286159" w:rsidP="00AE1C26">
            <w:pPr>
              <w:widowControl w:val="0"/>
              <w:tabs>
                <w:tab w:val="left" w:pos="600"/>
                <w:tab w:val="right" w:pos="3060"/>
                <w:tab w:val="right" w:pos="4150"/>
              </w:tabs>
              <w:rPr>
                <w:rFonts w:cs="Segoe UI Light"/>
                <w:b/>
                <w:snapToGrid w:val="0"/>
                <w:color w:val="000000"/>
                <w:lang w:eastAsia="en-GB"/>
              </w:rPr>
            </w:pPr>
            <w:r w:rsidRPr="00317A00">
              <w:rPr>
                <w:rFonts w:cs="Segoe UI Light"/>
                <w:b/>
                <w:snapToGrid w:val="0"/>
                <w:color w:val="000000"/>
                <w:lang w:eastAsia="en-GB"/>
              </w:rPr>
              <w:t>Sensitivity to the assumptions for the year ended 31 March 2020</w:t>
            </w:r>
          </w:p>
        </w:tc>
        <w:tc>
          <w:tcPr>
            <w:tcW w:w="1683" w:type="dxa"/>
          </w:tcPr>
          <w:p w:rsidR="00286159" w:rsidRPr="00317A00" w:rsidRDefault="00286159" w:rsidP="00AE1C26">
            <w:pPr>
              <w:widowControl w:val="0"/>
              <w:tabs>
                <w:tab w:val="left" w:pos="600"/>
                <w:tab w:val="right" w:pos="3060"/>
                <w:tab w:val="right" w:pos="4150"/>
              </w:tabs>
              <w:jc w:val="center"/>
              <w:rPr>
                <w:rFonts w:cs="Segoe UI Light"/>
                <w:b/>
                <w:snapToGrid w:val="0"/>
                <w:color w:val="000000"/>
                <w:lang w:eastAsia="en-GB"/>
              </w:rPr>
            </w:pPr>
            <w:r w:rsidRPr="00317A00">
              <w:rPr>
                <w:rFonts w:cs="Segoe UI Light"/>
                <w:b/>
                <w:snapToGrid w:val="0"/>
                <w:color w:val="000000"/>
                <w:lang w:eastAsia="en-GB"/>
              </w:rPr>
              <w:t>Approximate % increase to liabilities</w:t>
            </w:r>
          </w:p>
        </w:tc>
        <w:tc>
          <w:tcPr>
            <w:tcW w:w="1719" w:type="dxa"/>
          </w:tcPr>
          <w:p w:rsidR="00286159" w:rsidRPr="00317A00" w:rsidRDefault="00286159" w:rsidP="00AE1C26">
            <w:pPr>
              <w:widowControl w:val="0"/>
              <w:tabs>
                <w:tab w:val="left" w:pos="600"/>
                <w:tab w:val="right" w:pos="3060"/>
                <w:tab w:val="right" w:pos="4150"/>
              </w:tabs>
              <w:jc w:val="center"/>
              <w:rPr>
                <w:rFonts w:cs="Segoe UI Light"/>
                <w:b/>
                <w:snapToGrid w:val="0"/>
                <w:color w:val="000000"/>
                <w:lang w:eastAsia="en-GB"/>
              </w:rPr>
            </w:pPr>
            <w:r w:rsidRPr="00317A00">
              <w:rPr>
                <w:rFonts w:cs="Segoe UI Light"/>
                <w:b/>
                <w:snapToGrid w:val="0"/>
                <w:color w:val="000000"/>
                <w:lang w:eastAsia="en-GB"/>
              </w:rPr>
              <w:t>Approximate monetary amount (£m)</w:t>
            </w:r>
          </w:p>
        </w:tc>
      </w:tr>
      <w:tr w:rsidR="00286159" w:rsidRPr="00317A00" w:rsidTr="00AE1C26">
        <w:tc>
          <w:tcPr>
            <w:tcW w:w="4395" w:type="dxa"/>
          </w:tcPr>
          <w:p w:rsidR="00286159" w:rsidRPr="00317A00" w:rsidRDefault="00286159" w:rsidP="00AE1C26">
            <w:pPr>
              <w:widowControl w:val="0"/>
              <w:tabs>
                <w:tab w:val="left" w:pos="600"/>
                <w:tab w:val="right" w:pos="3060"/>
                <w:tab w:val="right" w:pos="4150"/>
              </w:tabs>
              <w:rPr>
                <w:rFonts w:cs="Segoe UI Light"/>
                <w:snapToGrid w:val="0"/>
                <w:color w:val="000000"/>
                <w:lang w:eastAsia="en-GB"/>
              </w:rPr>
            </w:pPr>
            <w:r w:rsidRPr="00317A00">
              <w:rPr>
                <w:rFonts w:cs="Segoe UI Light"/>
                <w:snapToGrid w:val="0"/>
                <w:color w:val="000000"/>
                <w:lang w:eastAsia="en-GB"/>
              </w:rPr>
              <w:t>0.5% p.a. increase in the Pension Increase Rate (CPI)</w:t>
            </w:r>
          </w:p>
        </w:tc>
        <w:tc>
          <w:tcPr>
            <w:tcW w:w="1683" w:type="dxa"/>
          </w:tcPr>
          <w:p w:rsidR="00286159" w:rsidRPr="00317A00" w:rsidRDefault="00286159" w:rsidP="00AE1C26">
            <w:pPr>
              <w:widowControl w:val="0"/>
              <w:tabs>
                <w:tab w:val="left" w:pos="600"/>
                <w:tab w:val="right" w:pos="3060"/>
                <w:tab w:val="right" w:pos="4150"/>
              </w:tabs>
              <w:jc w:val="center"/>
              <w:rPr>
                <w:rFonts w:cs="Segoe UI Light"/>
                <w:snapToGrid w:val="0"/>
                <w:color w:val="000000"/>
                <w:lang w:eastAsia="en-GB"/>
              </w:rPr>
            </w:pPr>
            <w:r w:rsidRPr="00317A00">
              <w:rPr>
                <w:rFonts w:cs="Segoe UI Light"/>
                <w:snapToGrid w:val="0"/>
                <w:color w:val="000000"/>
                <w:lang w:eastAsia="en-GB"/>
              </w:rPr>
              <w:t>9%</w:t>
            </w:r>
          </w:p>
        </w:tc>
        <w:tc>
          <w:tcPr>
            <w:tcW w:w="1719" w:type="dxa"/>
          </w:tcPr>
          <w:p w:rsidR="00286159" w:rsidRPr="00317A00" w:rsidRDefault="00286159" w:rsidP="00AE1C26">
            <w:pPr>
              <w:widowControl w:val="0"/>
              <w:tabs>
                <w:tab w:val="left" w:pos="600"/>
                <w:tab w:val="right" w:pos="3060"/>
                <w:tab w:val="right" w:pos="4150"/>
              </w:tabs>
              <w:jc w:val="center"/>
              <w:rPr>
                <w:rFonts w:cs="Segoe UI Light"/>
                <w:snapToGrid w:val="0"/>
                <w:color w:val="000000"/>
                <w:lang w:eastAsia="en-GB"/>
              </w:rPr>
            </w:pPr>
            <w:r w:rsidRPr="00317A00">
              <w:rPr>
                <w:rFonts w:cs="Segoe UI Light"/>
                <w:snapToGrid w:val="0"/>
                <w:color w:val="000000"/>
                <w:lang w:eastAsia="en-GB"/>
              </w:rPr>
              <w:t>127</w:t>
            </w:r>
          </w:p>
        </w:tc>
      </w:tr>
      <w:tr w:rsidR="00286159" w:rsidRPr="00317A00" w:rsidTr="00AE1C26">
        <w:tc>
          <w:tcPr>
            <w:tcW w:w="4395" w:type="dxa"/>
          </w:tcPr>
          <w:p w:rsidR="00286159" w:rsidRPr="00317A00" w:rsidRDefault="00286159" w:rsidP="00AE1C26">
            <w:pPr>
              <w:widowControl w:val="0"/>
              <w:tabs>
                <w:tab w:val="left" w:pos="600"/>
                <w:tab w:val="right" w:pos="3060"/>
                <w:tab w:val="right" w:pos="4150"/>
              </w:tabs>
              <w:rPr>
                <w:rFonts w:cs="Segoe UI Light"/>
                <w:snapToGrid w:val="0"/>
                <w:color w:val="000000"/>
                <w:lang w:eastAsia="en-GB"/>
              </w:rPr>
            </w:pPr>
            <w:r w:rsidRPr="00317A00">
              <w:rPr>
                <w:rFonts w:cs="Segoe UI Light"/>
                <w:snapToGrid w:val="0"/>
                <w:color w:val="000000"/>
                <w:lang w:eastAsia="en-GB"/>
              </w:rPr>
              <w:t>0.5% p.a. increase in the Salary Increase Rate</w:t>
            </w:r>
          </w:p>
        </w:tc>
        <w:tc>
          <w:tcPr>
            <w:tcW w:w="1683" w:type="dxa"/>
          </w:tcPr>
          <w:p w:rsidR="00286159" w:rsidRPr="00317A00" w:rsidRDefault="00286159" w:rsidP="00AE1C26">
            <w:pPr>
              <w:widowControl w:val="0"/>
              <w:tabs>
                <w:tab w:val="left" w:pos="600"/>
                <w:tab w:val="right" w:pos="3060"/>
                <w:tab w:val="right" w:pos="4150"/>
              </w:tabs>
              <w:jc w:val="center"/>
              <w:rPr>
                <w:rFonts w:cs="Segoe UI Light"/>
                <w:snapToGrid w:val="0"/>
                <w:color w:val="000000"/>
                <w:lang w:eastAsia="en-GB"/>
              </w:rPr>
            </w:pPr>
            <w:r w:rsidRPr="00317A00">
              <w:rPr>
                <w:rFonts w:cs="Segoe UI Light"/>
                <w:snapToGrid w:val="0"/>
                <w:color w:val="000000"/>
                <w:lang w:eastAsia="en-GB"/>
              </w:rPr>
              <w:t>1%</w:t>
            </w:r>
          </w:p>
        </w:tc>
        <w:tc>
          <w:tcPr>
            <w:tcW w:w="1719" w:type="dxa"/>
          </w:tcPr>
          <w:p w:rsidR="00286159" w:rsidRPr="00317A00" w:rsidRDefault="00286159" w:rsidP="00AE1C26">
            <w:pPr>
              <w:widowControl w:val="0"/>
              <w:tabs>
                <w:tab w:val="left" w:pos="600"/>
                <w:tab w:val="right" w:pos="3060"/>
                <w:tab w:val="right" w:pos="4150"/>
              </w:tabs>
              <w:jc w:val="center"/>
              <w:rPr>
                <w:rFonts w:cs="Segoe UI Light"/>
                <w:snapToGrid w:val="0"/>
                <w:color w:val="000000"/>
                <w:lang w:eastAsia="en-GB"/>
              </w:rPr>
            </w:pPr>
            <w:r w:rsidRPr="00317A00">
              <w:rPr>
                <w:rFonts w:cs="Segoe UI Light"/>
                <w:snapToGrid w:val="0"/>
                <w:color w:val="000000"/>
                <w:lang w:eastAsia="en-GB"/>
              </w:rPr>
              <w:t>8</w:t>
            </w:r>
          </w:p>
        </w:tc>
      </w:tr>
      <w:tr w:rsidR="00286159" w:rsidRPr="007462FB" w:rsidTr="00AE1C26">
        <w:tc>
          <w:tcPr>
            <w:tcW w:w="4395" w:type="dxa"/>
          </w:tcPr>
          <w:p w:rsidR="00286159" w:rsidRPr="00317A00" w:rsidRDefault="00286159" w:rsidP="00AE1C26">
            <w:pPr>
              <w:widowControl w:val="0"/>
              <w:tabs>
                <w:tab w:val="left" w:pos="600"/>
                <w:tab w:val="right" w:pos="3060"/>
                <w:tab w:val="right" w:pos="4150"/>
              </w:tabs>
              <w:rPr>
                <w:rFonts w:cs="Segoe UI Light"/>
                <w:snapToGrid w:val="0"/>
                <w:color w:val="000000"/>
                <w:lang w:eastAsia="en-GB"/>
              </w:rPr>
            </w:pPr>
            <w:r w:rsidRPr="00317A00">
              <w:rPr>
                <w:rFonts w:cs="Segoe UI Light"/>
                <w:snapToGrid w:val="0"/>
                <w:color w:val="000000"/>
                <w:lang w:eastAsia="en-GB"/>
              </w:rPr>
              <w:t>0.5% p.a. decrease in the discount rate</w:t>
            </w:r>
          </w:p>
        </w:tc>
        <w:tc>
          <w:tcPr>
            <w:tcW w:w="1683" w:type="dxa"/>
          </w:tcPr>
          <w:p w:rsidR="00286159" w:rsidRPr="00317A00" w:rsidRDefault="00286159" w:rsidP="00AE1C26">
            <w:pPr>
              <w:widowControl w:val="0"/>
              <w:tabs>
                <w:tab w:val="left" w:pos="600"/>
                <w:tab w:val="right" w:pos="3060"/>
                <w:tab w:val="right" w:pos="4150"/>
              </w:tabs>
              <w:jc w:val="center"/>
              <w:rPr>
                <w:rFonts w:cs="Segoe UI Light"/>
                <w:snapToGrid w:val="0"/>
                <w:color w:val="000000"/>
                <w:lang w:eastAsia="en-GB"/>
              </w:rPr>
            </w:pPr>
            <w:r w:rsidRPr="00317A00">
              <w:rPr>
                <w:rFonts w:cs="Segoe UI Light"/>
                <w:snapToGrid w:val="0"/>
                <w:color w:val="000000"/>
                <w:lang w:eastAsia="en-GB"/>
              </w:rPr>
              <w:t>9%</w:t>
            </w:r>
          </w:p>
        </w:tc>
        <w:tc>
          <w:tcPr>
            <w:tcW w:w="1719" w:type="dxa"/>
          </w:tcPr>
          <w:p w:rsidR="00286159" w:rsidRPr="007462FB" w:rsidRDefault="00286159" w:rsidP="00AE1C26">
            <w:pPr>
              <w:widowControl w:val="0"/>
              <w:tabs>
                <w:tab w:val="left" w:pos="600"/>
                <w:tab w:val="right" w:pos="3060"/>
                <w:tab w:val="right" w:pos="4150"/>
              </w:tabs>
              <w:jc w:val="center"/>
              <w:rPr>
                <w:rFonts w:cs="Segoe UI Light"/>
                <w:snapToGrid w:val="0"/>
                <w:color w:val="000000"/>
                <w:lang w:eastAsia="en-GB"/>
              </w:rPr>
            </w:pPr>
            <w:r w:rsidRPr="00317A00">
              <w:rPr>
                <w:rFonts w:cs="Segoe UI Light"/>
                <w:snapToGrid w:val="0"/>
                <w:color w:val="000000"/>
                <w:lang w:eastAsia="en-GB"/>
              </w:rPr>
              <w:t>136</w:t>
            </w:r>
          </w:p>
        </w:tc>
      </w:tr>
    </w:tbl>
    <w:p w:rsidR="00F72906" w:rsidRDefault="00F72906" w:rsidP="00F72906"/>
    <w:p w:rsidR="00F72906" w:rsidRDefault="00F72906" w:rsidP="00286159">
      <w:pPr>
        <w:pStyle w:val="Heading3"/>
      </w:pPr>
      <w:r>
        <w:t>20.  Assets</w:t>
      </w:r>
    </w:p>
    <w:p w:rsidR="00F72906" w:rsidRDefault="00F72906" w:rsidP="00F72906"/>
    <w:p w:rsidR="00F72906" w:rsidRDefault="00F72906" w:rsidP="00F72906">
      <w:r>
        <w:t>a) Current assets</w:t>
      </w:r>
    </w:p>
    <w:tbl>
      <w:tblPr>
        <w:tblW w:w="0" w:type="auto"/>
        <w:tblLook w:val="01E0" w:firstRow="1" w:lastRow="1" w:firstColumn="1" w:lastColumn="1" w:noHBand="0" w:noVBand="0"/>
      </w:tblPr>
      <w:tblGrid>
        <w:gridCol w:w="4057"/>
        <w:gridCol w:w="1869"/>
        <w:gridCol w:w="1870"/>
      </w:tblGrid>
      <w:tr w:rsidR="00286159" w:rsidRPr="00FF3B61" w:rsidTr="00AE1C26">
        <w:tc>
          <w:tcPr>
            <w:tcW w:w="4057" w:type="dxa"/>
          </w:tcPr>
          <w:p w:rsidR="00286159" w:rsidRPr="00FF3B61" w:rsidRDefault="00286159" w:rsidP="00AE1C26">
            <w:pPr>
              <w:widowControl w:val="0"/>
              <w:tabs>
                <w:tab w:val="left" w:pos="180"/>
                <w:tab w:val="right" w:pos="3060"/>
                <w:tab w:val="right" w:pos="4150"/>
              </w:tabs>
              <w:rPr>
                <w:rFonts w:cs="Segoe UI Light"/>
                <w:snapToGrid w:val="0"/>
                <w:color w:val="000000"/>
              </w:rPr>
            </w:pPr>
          </w:p>
        </w:tc>
        <w:tc>
          <w:tcPr>
            <w:tcW w:w="1869" w:type="dxa"/>
          </w:tcPr>
          <w:p w:rsidR="00286159" w:rsidRPr="00FF3B61" w:rsidRDefault="00286159" w:rsidP="00AE1C26">
            <w:pPr>
              <w:widowControl w:val="0"/>
              <w:tabs>
                <w:tab w:val="left" w:pos="180"/>
                <w:tab w:val="right" w:pos="3060"/>
                <w:tab w:val="right" w:pos="4150"/>
              </w:tabs>
              <w:jc w:val="right"/>
              <w:rPr>
                <w:rFonts w:cs="Segoe UI Light"/>
                <w:b/>
                <w:snapToGrid w:val="0"/>
                <w:color w:val="000000"/>
              </w:rPr>
            </w:pPr>
            <w:r w:rsidRPr="00FF3B61">
              <w:rPr>
                <w:rFonts w:cs="Segoe UI Light"/>
                <w:b/>
                <w:snapToGrid w:val="0"/>
                <w:color w:val="000000"/>
              </w:rPr>
              <w:t>31 March 2019</w:t>
            </w:r>
          </w:p>
        </w:tc>
        <w:tc>
          <w:tcPr>
            <w:tcW w:w="1870" w:type="dxa"/>
          </w:tcPr>
          <w:p w:rsidR="00286159" w:rsidRPr="00FF3B61" w:rsidRDefault="00286159" w:rsidP="00AE1C26">
            <w:pPr>
              <w:widowControl w:val="0"/>
              <w:tabs>
                <w:tab w:val="left" w:pos="180"/>
                <w:tab w:val="right" w:pos="3060"/>
                <w:tab w:val="right" w:pos="4150"/>
              </w:tabs>
              <w:jc w:val="right"/>
              <w:rPr>
                <w:rFonts w:cs="Segoe UI Light"/>
                <w:b/>
                <w:snapToGrid w:val="0"/>
                <w:color w:val="000000"/>
              </w:rPr>
            </w:pPr>
            <w:r w:rsidRPr="00FF3B61">
              <w:rPr>
                <w:rFonts w:cs="Segoe UI Light"/>
                <w:b/>
                <w:snapToGrid w:val="0"/>
                <w:color w:val="000000"/>
              </w:rPr>
              <w:t>31 March 2020</w:t>
            </w:r>
          </w:p>
        </w:tc>
      </w:tr>
      <w:tr w:rsidR="00286159" w:rsidRPr="00FF3B61" w:rsidTr="00AE1C26">
        <w:tc>
          <w:tcPr>
            <w:tcW w:w="4057" w:type="dxa"/>
          </w:tcPr>
          <w:p w:rsidR="00286159" w:rsidRPr="00FF3B61" w:rsidRDefault="00286159" w:rsidP="00AE1C26">
            <w:pPr>
              <w:widowControl w:val="0"/>
              <w:tabs>
                <w:tab w:val="left" w:pos="180"/>
                <w:tab w:val="right" w:pos="3060"/>
                <w:tab w:val="right" w:pos="4150"/>
              </w:tabs>
              <w:rPr>
                <w:rFonts w:cs="Segoe UI Light"/>
                <w:snapToGrid w:val="0"/>
                <w:color w:val="000000"/>
              </w:rPr>
            </w:pPr>
          </w:p>
        </w:tc>
        <w:tc>
          <w:tcPr>
            <w:tcW w:w="1869" w:type="dxa"/>
          </w:tcPr>
          <w:p w:rsidR="00286159" w:rsidRPr="00FF3B61" w:rsidRDefault="00286159" w:rsidP="00AE1C26">
            <w:pPr>
              <w:widowControl w:val="0"/>
              <w:tabs>
                <w:tab w:val="left" w:pos="180"/>
                <w:tab w:val="right" w:pos="3060"/>
                <w:tab w:val="right" w:pos="4150"/>
              </w:tabs>
              <w:jc w:val="right"/>
              <w:rPr>
                <w:rFonts w:cs="Segoe UI Light"/>
                <w:b/>
                <w:snapToGrid w:val="0"/>
                <w:color w:val="000000"/>
              </w:rPr>
            </w:pPr>
            <w:r w:rsidRPr="00FF3B61">
              <w:rPr>
                <w:rFonts w:cs="Segoe UI Light"/>
                <w:b/>
                <w:snapToGrid w:val="0"/>
                <w:color w:val="000000"/>
              </w:rPr>
              <w:t>£m</w:t>
            </w:r>
          </w:p>
        </w:tc>
        <w:tc>
          <w:tcPr>
            <w:tcW w:w="1870" w:type="dxa"/>
          </w:tcPr>
          <w:p w:rsidR="00286159" w:rsidRPr="00FF3B61" w:rsidRDefault="00286159" w:rsidP="00AE1C26">
            <w:pPr>
              <w:widowControl w:val="0"/>
              <w:tabs>
                <w:tab w:val="left" w:pos="180"/>
                <w:tab w:val="right" w:pos="3060"/>
                <w:tab w:val="right" w:pos="4150"/>
              </w:tabs>
              <w:jc w:val="right"/>
              <w:rPr>
                <w:rFonts w:cs="Segoe UI Light"/>
                <w:b/>
                <w:snapToGrid w:val="0"/>
                <w:color w:val="000000"/>
              </w:rPr>
            </w:pPr>
            <w:r w:rsidRPr="00FF3B61">
              <w:rPr>
                <w:rFonts w:cs="Segoe UI Light"/>
                <w:b/>
                <w:snapToGrid w:val="0"/>
                <w:color w:val="000000"/>
              </w:rPr>
              <w:t>£m</w:t>
            </w:r>
          </w:p>
        </w:tc>
      </w:tr>
      <w:tr w:rsidR="00286159" w:rsidRPr="00FF3B61" w:rsidTr="00AE1C26">
        <w:tc>
          <w:tcPr>
            <w:tcW w:w="4057" w:type="dxa"/>
          </w:tcPr>
          <w:p w:rsidR="00286159" w:rsidRPr="00FF3B61" w:rsidRDefault="00286159" w:rsidP="00AE1C26">
            <w:pPr>
              <w:widowControl w:val="0"/>
              <w:tabs>
                <w:tab w:val="left" w:pos="180"/>
                <w:tab w:val="right" w:pos="3060"/>
                <w:tab w:val="right" w:pos="4150"/>
              </w:tabs>
              <w:rPr>
                <w:rFonts w:cs="Segoe UI Light"/>
                <w:snapToGrid w:val="0"/>
                <w:color w:val="000000"/>
              </w:rPr>
            </w:pPr>
            <w:r w:rsidRPr="00FF3B61">
              <w:rPr>
                <w:rFonts w:cs="Segoe UI Light"/>
                <w:snapToGrid w:val="0"/>
                <w:color w:val="000000"/>
              </w:rPr>
              <w:lastRenderedPageBreak/>
              <w:t>Debtors:</w:t>
            </w:r>
          </w:p>
        </w:tc>
        <w:tc>
          <w:tcPr>
            <w:tcW w:w="1869" w:type="dxa"/>
          </w:tcPr>
          <w:p w:rsidR="00286159" w:rsidRPr="00FF3B61" w:rsidRDefault="00286159" w:rsidP="00AE1C26">
            <w:pPr>
              <w:widowControl w:val="0"/>
              <w:tabs>
                <w:tab w:val="left" w:pos="180"/>
                <w:tab w:val="right" w:pos="3060"/>
                <w:tab w:val="right" w:pos="4150"/>
              </w:tabs>
              <w:jc w:val="right"/>
              <w:rPr>
                <w:rFonts w:cs="Segoe UI Light"/>
                <w:snapToGrid w:val="0"/>
                <w:color w:val="000000"/>
              </w:rPr>
            </w:pPr>
          </w:p>
        </w:tc>
        <w:tc>
          <w:tcPr>
            <w:tcW w:w="1870" w:type="dxa"/>
          </w:tcPr>
          <w:p w:rsidR="00286159" w:rsidRPr="00FF3B61" w:rsidRDefault="00286159" w:rsidP="00AE1C26">
            <w:pPr>
              <w:widowControl w:val="0"/>
              <w:tabs>
                <w:tab w:val="left" w:pos="180"/>
                <w:tab w:val="right" w:pos="3060"/>
                <w:tab w:val="right" w:pos="4150"/>
              </w:tabs>
              <w:jc w:val="right"/>
              <w:rPr>
                <w:rFonts w:cs="Segoe UI Light"/>
                <w:snapToGrid w:val="0"/>
                <w:color w:val="000000"/>
              </w:rPr>
            </w:pPr>
          </w:p>
        </w:tc>
      </w:tr>
      <w:tr w:rsidR="00286159" w:rsidRPr="00FF3B61" w:rsidTr="00AE1C26">
        <w:tc>
          <w:tcPr>
            <w:tcW w:w="4057" w:type="dxa"/>
          </w:tcPr>
          <w:p w:rsidR="00286159" w:rsidRPr="00FF3B61" w:rsidRDefault="00286159" w:rsidP="00AE1C26">
            <w:pPr>
              <w:widowControl w:val="0"/>
              <w:tabs>
                <w:tab w:val="left" w:pos="180"/>
                <w:tab w:val="right" w:pos="3060"/>
                <w:tab w:val="right" w:pos="4150"/>
              </w:tabs>
              <w:rPr>
                <w:rFonts w:cs="Segoe UI Light"/>
                <w:snapToGrid w:val="0"/>
                <w:color w:val="000000"/>
              </w:rPr>
            </w:pPr>
            <w:r w:rsidRPr="00FF3B61">
              <w:rPr>
                <w:rFonts w:cs="Segoe UI Light"/>
                <w:snapToGrid w:val="0"/>
                <w:color w:val="000000"/>
              </w:rPr>
              <w:t>- Contributions due – employees</w:t>
            </w:r>
          </w:p>
        </w:tc>
        <w:tc>
          <w:tcPr>
            <w:tcW w:w="1869" w:type="dxa"/>
          </w:tcPr>
          <w:p w:rsidR="00286159" w:rsidRPr="00FF3B61" w:rsidRDefault="00286159" w:rsidP="00AE1C26">
            <w:pPr>
              <w:widowControl w:val="0"/>
              <w:tabs>
                <w:tab w:val="left" w:pos="180"/>
                <w:tab w:val="right" w:pos="3060"/>
                <w:tab w:val="right" w:pos="4150"/>
              </w:tabs>
              <w:jc w:val="right"/>
              <w:rPr>
                <w:rFonts w:cs="Segoe UI Light"/>
                <w:snapToGrid w:val="0"/>
                <w:color w:val="000000"/>
              </w:rPr>
            </w:pPr>
            <w:r w:rsidRPr="00FF3B61">
              <w:rPr>
                <w:rFonts w:cs="Segoe UI Light"/>
                <w:snapToGrid w:val="0"/>
                <w:color w:val="000000"/>
              </w:rPr>
              <w:t>1.3</w:t>
            </w:r>
          </w:p>
        </w:tc>
        <w:tc>
          <w:tcPr>
            <w:tcW w:w="1870" w:type="dxa"/>
            <w:tcBorders>
              <w:top w:val="nil"/>
              <w:left w:val="nil"/>
              <w:bottom w:val="nil"/>
              <w:right w:val="nil"/>
            </w:tcBorders>
            <w:shd w:val="clear" w:color="auto" w:fill="auto"/>
            <w:vAlign w:val="bottom"/>
          </w:tcPr>
          <w:p w:rsidR="00286159" w:rsidRPr="00FF3B61" w:rsidRDefault="00286159" w:rsidP="00AE1C26">
            <w:pPr>
              <w:widowControl w:val="0"/>
              <w:tabs>
                <w:tab w:val="left" w:pos="180"/>
                <w:tab w:val="right" w:pos="3060"/>
                <w:tab w:val="right" w:pos="4150"/>
              </w:tabs>
              <w:jc w:val="right"/>
              <w:rPr>
                <w:rFonts w:cs="Segoe UI Light"/>
                <w:snapToGrid w:val="0"/>
                <w:color w:val="000000"/>
              </w:rPr>
            </w:pPr>
            <w:r w:rsidRPr="00FF3B61">
              <w:rPr>
                <w:rFonts w:cs="Calibri"/>
              </w:rPr>
              <w:t>0.7</w:t>
            </w:r>
          </w:p>
        </w:tc>
      </w:tr>
      <w:tr w:rsidR="00286159" w:rsidRPr="00FF3B61" w:rsidTr="00AE1C26">
        <w:tc>
          <w:tcPr>
            <w:tcW w:w="4057" w:type="dxa"/>
          </w:tcPr>
          <w:p w:rsidR="00286159" w:rsidRPr="00FF3B61" w:rsidRDefault="00286159" w:rsidP="00AE1C26">
            <w:pPr>
              <w:widowControl w:val="0"/>
              <w:tabs>
                <w:tab w:val="left" w:pos="180"/>
                <w:tab w:val="right" w:pos="3060"/>
                <w:tab w:val="right" w:pos="4150"/>
              </w:tabs>
              <w:rPr>
                <w:rFonts w:cs="Segoe UI Light"/>
                <w:snapToGrid w:val="0"/>
                <w:color w:val="000000"/>
              </w:rPr>
            </w:pPr>
            <w:r w:rsidRPr="00FF3B61">
              <w:rPr>
                <w:rFonts w:cs="Segoe UI Light"/>
                <w:snapToGrid w:val="0"/>
                <w:color w:val="000000"/>
              </w:rPr>
              <w:t>- Contributions due – employers</w:t>
            </w:r>
          </w:p>
        </w:tc>
        <w:tc>
          <w:tcPr>
            <w:tcW w:w="1869" w:type="dxa"/>
          </w:tcPr>
          <w:p w:rsidR="00286159" w:rsidRPr="00FF3B61" w:rsidRDefault="00286159" w:rsidP="00AE1C26">
            <w:pPr>
              <w:widowControl w:val="0"/>
              <w:tabs>
                <w:tab w:val="left" w:pos="180"/>
                <w:tab w:val="right" w:pos="3060"/>
                <w:tab w:val="right" w:pos="4150"/>
              </w:tabs>
              <w:jc w:val="right"/>
              <w:rPr>
                <w:rFonts w:cs="Segoe UI Light"/>
                <w:snapToGrid w:val="0"/>
                <w:color w:val="000000"/>
              </w:rPr>
            </w:pPr>
            <w:r w:rsidRPr="00FF3B61">
              <w:rPr>
                <w:rFonts w:cs="Segoe UI Light"/>
                <w:snapToGrid w:val="0"/>
                <w:color w:val="000000"/>
              </w:rPr>
              <w:t>7.0</w:t>
            </w:r>
          </w:p>
        </w:tc>
        <w:tc>
          <w:tcPr>
            <w:tcW w:w="1870" w:type="dxa"/>
            <w:tcBorders>
              <w:top w:val="nil"/>
              <w:left w:val="nil"/>
              <w:bottom w:val="nil"/>
              <w:right w:val="nil"/>
            </w:tcBorders>
            <w:shd w:val="clear" w:color="auto" w:fill="auto"/>
            <w:vAlign w:val="bottom"/>
          </w:tcPr>
          <w:p w:rsidR="00286159" w:rsidRPr="00FF3B61" w:rsidRDefault="00286159" w:rsidP="00AE1C26">
            <w:pPr>
              <w:widowControl w:val="0"/>
              <w:tabs>
                <w:tab w:val="left" w:pos="180"/>
                <w:tab w:val="right" w:pos="3060"/>
                <w:tab w:val="right" w:pos="4150"/>
              </w:tabs>
              <w:jc w:val="right"/>
              <w:rPr>
                <w:rFonts w:cs="Segoe UI Light"/>
                <w:snapToGrid w:val="0"/>
                <w:color w:val="000000"/>
              </w:rPr>
            </w:pPr>
            <w:r w:rsidRPr="00FF3B61">
              <w:rPr>
                <w:rFonts w:cs="Calibri"/>
              </w:rPr>
              <w:t>2.9</w:t>
            </w:r>
          </w:p>
        </w:tc>
      </w:tr>
      <w:tr w:rsidR="00286159" w:rsidRPr="00FF3B61" w:rsidTr="00AE1C26">
        <w:tc>
          <w:tcPr>
            <w:tcW w:w="4057" w:type="dxa"/>
          </w:tcPr>
          <w:p w:rsidR="00286159" w:rsidRPr="00FF3B61" w:rsidRDefault="00286159" w:rsidP="00AE1C26">
            <w:pPr>
              <w:widowControl w:val="0"/>
              <w:tabs>
                <w:tab w:val="left" w:pos="180"/>
                <w:tab w:val="right" w:pos="3060"/>
                <w:tab w:val="right" w:pos="4150"/>
              </w:tabs>
              <w:rPr>
                <w:rFonts w:cs="Segoe UI Light"/>
                <w:snapToGrid w:val="0"/>
                <w:color w:val="000000"/>
              </w:rPr>
            </w:pPr>
            <w:r w:rsidRPr="00FF3B61">
              <w:rPr>
                <w:rFonts w:cs="Segoe UI Light"/>
                <w:snapToGrid w:val="0"/>
                <w:color w:val="000000"/>
              </w:rPr>
              <w:t>- Sundry debtors</w:t>
            </w:r>
          </w:p>
        </w:tc>
        <w:tc>
          <w:tcPr>
            <w:tcW w:w="1869" w:type="dxa"/>
          </w:tcPr>
          <w:p w:rsidR="00286159" w:rsidRPr="00FF3B61" w:rsidRDefault="00286159" w:rsidP="00AE1C26">
            <w:pPr>
              <w:widowControl w:val="0"/>
              <w:tabs>
                <w:tab w:val="left" w:pos="180"/>
                <w:tab w:val="right" w:pos="3060"/>
                <w:tab w:val="right" w:pos="4150"/>
              </w:tabs>
              <w:jc w:val="right"/>
              <w:rPr>
                <w:rFonts w:cs="Segoe UI Light"/>
                <w:snapToGrid w:val="0"/>
                <w:color w:val="000000"/>
              </w:rPr>
            </w:pPr>
            <w:r w:rsidRPr="00FF3B61">
              <w:rPr>
                <w:rFonts w:cs="Segoe UI Light"/>
                <w:snapToGrid w:val="0"/>
                <w:color w:val="000000"/>
              </w:rPr>
              <w:t>0.8</w:t>
            </w:r>
          </w:p>
        </w:tc>
        <w:tc>
          <w:tcPr>
            <w:tcW w:w="1870" w:type="dxa"/>
            <w:tcBorders>
              <w:top w:val="nil"/>
              <w:left w:val="nil"/>
              <w:bottom w:val="nil"/>
              <w:right w:val="nil"/>
            </w:tcBorders>
            <w:shd w:val="clear" w:color="auto" w:fill="auto"/>
            <w:vAlign w:val="bottom"/>
          </w:tcPr>
          <w:p w:rsidR="00286159" w:rsidRPr="00FF3B61" w:rsidRDefault="00286159" w:rsidP="00AE1C26">
            <w:pPr>
              <w:widowControl w:val="0"/>
              <w:tabs>
                <w:tab w:val="left" w:pos="180"/>
                <w:tab w:val="right" w:pos="3060"/>
                <w:tab w:val="right" w:pos="4150"/>
              </w:tabs>
              <w:jc w:val="right"/>
              <w:rPr>
                <w:rFonts w:cs="Segoe UI Light"/>
                <w:snapToGrid w:val="0"/>
                <w:color w:val="000000"/>
              </w:rPr>
            </w:pPr>
            <w:r w:rsidRPr="00FF3B61">
              <w:rPr>
                <w:rFonts w:cs="Calibri"/>
              </w:rPr>
              <w:t>0.5</w:t>
            </w:r>
          </w:p>
        </w:tc>
      </w:tr>
      <w:tr w:rsidR="00286159" w:rsidRPr="00FF3B61" w:rsidTr="00AE1C26">
        <w:tc>
          <w:tcPr>
            <w:tcW w:w="4057" w:type="dxa"/>
          </w:tcPr>
          <w:p w:rsidR="00286159" w:rsidRPr="00FF3B61" w:rsidRDefault="00286159" w:rsidP="00AE1C26">
            <w:pPr>
              <w:widowControl w:val="0"/>
              <w:tabs>
                <w:tab w:val="left" w:pos="180"/>
                <w:tab w:val="right" w:pos="3060"/>
                <w:tab w:val="right" w:pos="4150"/>
              </w:tabs>
              <w:rPr>
                <w:rFonts w:cs="Segoe UI Light"/>
                <w:b/>
                <w:snapToGrid w:val="0"/>
                <w:color w:val="000000"/>
              </w:rPr>
            </w:pPr>
            <w:r w:rsidRPr="00FF3B61">
              <w:rPr>
                <w:rFonts w:cs="Segoe UI Light"/>
                <w:b/>
                <w:snapToGrid w:val="0"/>
                <w:color w:val="000000"/>
              </w:rPr>
              <w:t>Total</w:t>
            </w:r>
          </w:p>
        </w:tc>
        <w:tc>
          <w:tcPr>
            <w:tcW w:w="1869" w:type="dxa"/>
            <w:tcBorders>
              <w:top w:val="single" w:sz="4" w:space="0" w:color="auto"/>
            </w:tcBorders>
          </w:tcPr>
          <w:p w:rsidR="00286159" w:rsidRPr="00FF3B61" w:rsidRDefault="00286159" w:rsidP="00AE1C26">
            <w:pPr>
              <w:widowControl w:val="0"/>
              <w:tabs>
                <w:tab w:val="left" w:pos="180"/>
                <w:tab w:val="right" w:pos="3060"/>
                <w:tab w:val="right" w:pos="4150"/>
              </w:tabs>
              <w:jc w:val="right"/>
              <w:rPr>
                <w:rFonts w:cs="Segoe UI Light"/>
                <w:b/>
                <w:snapToGrid w:val="0"/>
                <w:color w:val="000000"/>
              </w:rPr>
            </w:pPr>
            <w:r w:rsidRPr="00FF3B61">
              <w:rPr>
                <w:rFonts w:cs="Segoe UI Light"/>
                <w:b/>
                <w:snapToGrid w:val="0"/>
                <w:color w:val="000000"/>
              </w:rPr>
              <w:t>9.1</w:t>
            </w:r>
          </w:p>
        </w:tc>
        <w:tc>
          <w:tcPr>
            <w:tcW w:w="1870" w:type="dxa"/>
            <w:tcBorders>
              <w:top w:val="single" w:sz="4" w:space="0" w:color="auto"/>
            </w:tcBorders>
          </w:tcPr>
          <w:p w:rsidR="00286159" w:rsidRPr="00FF3B61" w:rsidRDefault="00286159" w:rsidP="00AE1C26">
            <w:pPr>
              <w:widowControl w:val="0"/>
              <w:tabs>
                <w:tab w:val="left" w:pos="180"/>
                <w:tab w:val="right" w:pos="3060"/>
                <w:tab w:val="right" w:pos="4150"/>
              </w:tabs>
              <w:jc w:val="right"/>
              <w:rPr>
                <w:rFonts w:cs="Segoe UI Light"/>
                <w:b/>
                <w:snapToGrid w:val="0"/>
                <w:color w:val="000000"/>
              </w:rPr>
            </w:pPr>
            <w:r w:rsidRPr="00FF3B61">
              <w:rPr>
                <w:rFonts w:cs="Segoe UI Light"/>
                <w:b/>
                <w:snapToGrid w:val="0"/>
                <w:color w:val="000000"/>
              </w:rPr>
              <w:t>4.0</w:t>
            </w:r>
          </w:p>
        </w:tc>
      </w:tr>
    </w:tbl>
    <w:p w:rsidR="00F72906" w:rsidRDefault="00F72906" w:rsidP="00F72906"/>
    <w:p w:rsidR="00F72906" w:rsidRDefault="00F72906" w:rsidP="00F72906">
      <w:r>
        <w:t>Analysis of debtors</w:t>
      </w:r>
    </w:p>
    <w:tbl>
      <w:tblPr>
        <w:tblW w:w="0" w:type="auto"/>
        <w:tblLook w:val="01E0" w:firstRow="1" w:lastRow="1" w:firstColumn="1" w:lastColumn="1" w:noHBand="0" w:noVBand="0"/>
      </w:tblPr>
      <w:tblGrid>
        <w:gridCol w:w="4054"/>
        <w:gridCol w:w="1871"/>
        <w:gridCol w:w="1871"/>
      </w:tblGrid>
      <w:tr w:rsidR="00286159" w:rsidRPr="00FF3B61" w:rsidTr="00AE1C26">
        <w:tc>
          <w:tcPr>
            <w:tcW w:w="4054" w:type="dxa"/>
          </w:tcPr>
          <w:p w:rsidR="00286159" w:rsidRPr="00FF3B61" w:rsidRDefault="00286159" w:rsidP="00AE1C26">
            <w:pPr>
              <w:widowControl w:val="0"/>
              <w:tabs>
                <w:tab w:val="left" w:pos="180"/>
                <w:tab w:val="right" w:pos="3060"/>
                <w:tab w:val="right" w:pos="4150"/>
              </w:tabs>
              <w:rPr>
                <w:rFonts w:cs="Segoe UI Light"/>
                <w:snapToGrid w:val="0"/>
                <w:color w:val="000000"/>
              </w:rPr>
            </w:pPr>
          </w:p>
        </w:tc>
        <w:tc>
          <w:tcPr>
            <w:tcW w:w="1871" w:type="dxa"/>
          </w:tcPr>
          <w:p w:rsidR="00286159" w:rsidRPr="00FF3B61" w:rsidRDefault="00286159" w:rsidP="00AE1C26">
            <w:pPr>
              <w:widowControl w:val="0"/>
              <w:tabs>
                <w:tab w:val="left" w:pos="180"/>
                <w:tab w:val="right" w:pos="3060"/>
                <w:tab w:val="right" w:pos="4150"/>
              </w:tabs>
              <w:jc w:val="right"/>
              <w:rPr>
                <w:rFonts w:cs="Segoe UI Light"/>
                <w:b/>
                <w:snapToGrid w:val="0"/>
                <w:color w:val="000000"/>
              </w:rPr>
            </w:pPr>
            <w:r w:rsidRPr="00FF3B61">
              <w:rPr>
                <w:rFonts w:cs="Segoe UI Light"/>
                <w:b/>
                <w:snapToGrid w:val="0"/>
                <w:color w:val="000000"/>
              </w:rPr>
              <w:t>31 March 2019</w:t>
            </w:r>
          </w:p>
        </w:tc>
        <w:tc>
          <w:tcPr>
            <w:tcW w:w="1871" w:type="dxa"/>
          </w:tcPr>
          <w:p w:rsidR="00286159" w:rsidRPr="00FF3B61" w:rsidRDefault="00286159" w:rsidP="00AE1C26">
            <w:pPr>
              <w:widowControl w:val="0"/>
              <w:tabs>
                <w:tab w:val="left" w:pos="180"/>
                <w:tab w:val="right" w:pos="3060"/>
                <w:tab w:val="right" w:pos="4150"/>
              </w:tabs>
              <w:jc w:val="right"/>
              <w:rPr>
                <w:rFonts w:cs="Segoe UI Light"/>
                <w:b/>
                <w:snapToGrid w:val="0"/>
                <w:color w:val="000000"/>
              </w:rPr>
            </w:pPr>
            <w:r w:rsidRPr="00FF3B61">
              <w:rPr>
                <w:rFonts w:cs="Segoe UI Light"/>
                <w:b/>
                <w:snapToGrid w:val="0"/>
                <w:color w:val="000000"/>
              </w:rPr>
              <w:t>31 March 2020</w:t>
            </w:r>
          </w:p>
        </w:tc>
      </w:tr>
      <w:tr w:rsidR="00286159" w:rsidRPr="00FF3B61" w:rsidTr="00AE1C26">
        <w:tc>
          <w:tcPr>
            <w:tcW w:w="4054" w:type="dxa"/>
          </w:tcPr>
          <w:p w:rsidR="00286159" w:rsidRPr="00FF3B61" w:rsidRDefault="00286159" w:rsidP="00AE1C26">
            <w:pPr>
              <w:widowControl w:val="0"/>
              <w:tabs>
                <w:tab w:val="left" w:pos="180"/>
                <w:tab w:val="right" w:pos="3060"/>
                <w:tab w:val="right" w:pos="4150"/>
              </w:tabs>
              <w:rPr>
                <w:rFonts w:cs="Segoe UI Light"/>
                <w:snapToGrid w:val="0"/>
                <w:color w:val="000000"/>
              </w:rPr>
            </w:pPr>
          </w:p>
        </w:tc>
        <w:tc>
          <w:tcPr>
            <w:tcW w:w="1871" w:type="dxa"/>
          </w:tcPr>
          <w:p w:rsidR="00286159" w:rsidRPr="00FF3B61" w:rsidRDefault="00286159" w:rsidP="00AE1C26">
            <w:pPr>
              <w:widowControl w:val="0"/>
              <w:tabs>
                <w:tab w:val="left" w:pos="180"/>
                <w:tab w:val="right" w:pos="3060"/>
                <w:tab w:val="right" w:pos="4150"/>
              </w:tabs>
              <w:jc w:val="right"/>
              <w:rPr>
                <w:rFonts w:cs="Segoe UI Light"/>
                <w:b/>
                <w:snapToGrid w:val="0"/>
                <w:color w:val="000000"/>
              </w:rPr>
            </w:pPr>
            <w:r w:rsidRPr="00FF3B61">
              <w:rPr>
                <w:rFonts w:cs="Segoe UI Light"/>
                <w:b/>
                <w:snapToGrid w:val="0"/>
                <w:color w:val="000000"/>
              </w:rPr>
              <w:t>£m</w:t>
            </w:r>
          </w:p>
        </w:tc>
        <w:tc>
          <w:tcPr>
            <w:tcW w:w="1871" w:type="dxa"/>
          </w:tcPr>
          <w:p w:rsidR="00286159" w:rsidRPr="00FF3B61" w:rsidRDefault="00286159" w:rsidP="00AE1C26">
            <w:pPr>
              <w:widowControl w:val="0"/>
              <w:tabs>
                <w:tab w:val="left" w:pos="180"/>
                <w:tab w:val="right" w:pos="3060"/>
                <w:tab w:val="right" w:pos="4150"/>
              </w:tabs>
              <w:jc w:val="right"/>
              <w:rPr>
                <w:rFonts w:cs="Segoe UI Light"/>
                <w:b/>
                <w:snapToGrid w:val="0"/>
                <w:color w:val="000000"/>
              </w:rPr>
            </w:pPr>
            <w:r w:rsidRPr="00FF3B61">
              <w:rPr>
                <w:rFonts w:cs="Segoe UI Light"/>
                <w:b/>
                <w:snapToGrid w:val="0"/>
                <w:color w:val="000000"/>
              </w:rPr>
              <w:t>£m</w:t>
            </w:r>
          </w:p>
        </w:tc>
      </w:tr>
      <w:tr w:rsidR="00286159" w:rsidRPr="00585E6B" w:rsidTr="00AE1C26">
        <w:tc>
          <w:tcPr>
            <w:tcW w:w="4054" w:type="dxa"/>
          </w:tcPr>
          <w:p w:rsidR="00286159" w:rsidRPr="00FF3B61" w:rsidRDefault="00286159" w:rsidP="00AE1C26">
            <w:pPr>
              <w:widowControl w:val="0"/>
              <w:tabs>
                <w:tab w:val="left" w:pos="180"/>
                <w:tab w:val="right" w:pos="3060"/>
                <w:tab w:val="right" w:pos="4150"/>
              </w:tabs>
              <w:rPr>
                <w:rFonts w:cs="Segoe UI Light"/>
                <w:snapToGrid w:val="0"/>
                <w:color w:val="000000"/>
              </w:rPr>
            </w:pPr>
            <w:r w:rsidRPr="00FF3B61">
              <w:rPr>
                <w:rFonts w:cs="Segoe UI Light"/>
                <w:snapToGrid w:val="0"/>
                <w:color w:val="000000"/>
              </w:rPr>
              <w:t>Central government bodies</w:t>
            </w:r>
          </w:p>
        </w:tc>
        <w:tc>
          <w:tcPr>
            <w:tcW w:w="1871" w:type="dxa"/>
          </w:tcPr>
          <w:p w:rsidR="00286159" w:rsidRPr="00FF3B61" w:rsidRDefault="00286159" w:rsidP="00AE1C26">
            <w:pPr>
              <w:widowControl w:val="0"/>
              <w:tabs>
                <w:tab w:val="left" w:pos="180"/>
                <w:tab w:val="right" w:pos="3060"/>
                <w:tab w:val="right" w:pos="4150"/>
              </w:tabs>
              <w:jc w:val="right"/>
              <w:rPr>
                <w:rFonts w:cs="Segoe UI Light"/>
                <w:snapToGrid w:val="0"/>
                <w:color w:val="000000"/>
              </w:rPr>
            </w:pPr>
            <w:r w:rsidRPr="00FF3B61">
              <w:rPr>
                <w:rFonts w:cs="Segoe UI Light"/>
                <w:snapToGrid w:val="0"/>
                <w:color w:val="000000"/>
              </w:rPr>
              <w:t>0.1</w:t>
            </w:r>
          </w:p>
        </w:tc>
        <w:tc>
          <w:tcPr>
            <w:tcW w:w="1871" w:type="dxa"/>
            <w:tcBorders>
              <w:top w:val="nil"/>
              <w:left w:val="nil"/>
              <w:bottom w:val="nil"/>
              <w:right w:val="nil"/>
            </w:tcBorders>
            <w:shd w:val="clear" w:color="auto" w:fill="auto"/>
            <w:vAlign w:val="bottom"/>
          </w:tcPr>
          <w:p w:rsidR="00286159" w:rsidRPr="00585E6B" w:rsidRDefault="00286159" w:rsidP="00AE1C26">
            <w:pPr>
              <w:widowControl w:val="0"/>
              <w:tabs>
                <w:tab w:val="left" w:pos="180"/>
                <w:tab w:val="right" w:pos="3060"/>
                <w:tab w:val="right" w:pos="4150"/>
              </w:tabs>
              <w:jc w:val="right"/>
              <w:rPr>
                <w:rFonts w:cs="Segoe UI Light"/>
                <w:snapToGrid w:val="0"/>
                <w:color w:val="000000"/>
              </w:rPr>
            </w:pPr>
            <w:r w:rsidRPr="00585E6B">
              <w:rPr>
                <w:rFonts w:cs="Calibri"/>
              </w:rPr>
              <w:t>0.4</w:t>
            </w:r>
          </w:p>
        </w:tc>
      </w:tr>
      <w:tr w:rsidR="00286159" w:rsidRPr="00585E6B" w:rsidTr="00AE1C26">
        <w:tc>
          <w:tcPr>
            <w:tcW w:w="4054" w:type="dxa"/>
          </w:tcPr>
          <w:p w:rsidR="00286159" w:rsidRPr="00FF3B61" w:rsidRDefault="00286159" w:rsidP="00AE1C26">
            <w:pPr>
              <w:widowControl w:val="0"/>
              <w:tabs>
                <w:tab w:val="left" w:pos="180"/>
                <w:tab w:val="right" w:pos="3060"/>
                <w:tab w:val="right" w:pos="4150"/>
              </w:tabs>
              <w:rPr>
                <w:rFonts w:cs="Segoe UI Light"/>
                <w:snapToGrid w:val="0"/>
                <w:color w:val="000000"/>
              </w:rPr>
            </w:pPr>
            <w:r w:rsidRPr="00FF3B61">
              <w:rPr>
                <w:rFonts w:cs="Segoe UI Light"/>
                <w:snapToGrid w:val="0"/>
                <w:color w:val="000000"/>
              </w:rPr>
              <w:t>Other local authorities</w:t>
            </w:r>
          </w:p>
        </w:tc>
        <w:tc>
          <w:tcPr>
            <w:tcW w:w="1871" w:type="dxa"/>
          </w:tcPr>
          <w:p w:rsidR="00286159" w:rsidRPr="00FF3B61" w:rsidRDefault="00286159" w:rsidP="00AE1C26">
            <w:pPr>
              <w:widowControl w:val="0"/>
              <w:tabs>
                <w:tab w:val="left" w:pos="180"/>
                <w:tab w:val="right" w:pos="3060"/>
                <w:tab w:val="right" w:pos="4150"/>
              </w:tabs>
              <w:jc w:val="right"/>
              <w:rPr>
                <w:rFonts w:cs="Segoe UI Light"/>
                <w:snapToGrid w:val="0"/>
                <w:color w:val="000000"/>
              </w:rPr>
            </w:pPr>
            <w:r>
              <w:rPr>
                <w:rFonts w:cs="Segoe UI Light"/>
                <w:snapToGrid w:val="0"/>
                <w:color w:val="000000"/>
              </w:rPr>
              <w:t>6.8</w:t>
            </w:r>
          </w:p>
        </w:tc>
        <w:tc>
          <w:tcPr>
            <w:tcW w:w="1871" w:type="dxa"/>
            <w:tcBorders>
              <w:top w:val="nil"/>
              <w:left w:val="nil"/>
              <w:bottom w:val="nil"/>
              <w:right w:val="nil"/>
            </w:tcBorders>
            <w:shd w:val="clear" w:color="auto" w:fill="auto"/>
            <w:vAlign w:val="bottom"/>
          </w:tcPr>
          <w:p w:rsidR="00286159" w:rsidRPr="00585E6B" w:rsidRDefault="00286159" w:rsidP="00AE1C26">
            <w:pPr>
              <w:widowControl w:val="0"/>
              <w:tabs>
                <w:tab w:val="left" w:pos="180"/>
                <w:tab w:val="right" w:pos="3060"/>
                <w:tab w:val="right" w:pos="4150"/>
              </w:tabs>
              <w:jc w:val="right"/>
              <w:rPr>
                <w:rFonts w:cs="Segoe UI Light"/>
                <w:snapToGrid w:val="0"/>
                <w:color w:val="000000"/>
              </w:rPr>
            </w:pPr>
            <w:r w:rsidRPr="00585E6B">
              <w:rPr>
                <w:rFonts w:cs="Calibri"/>
              </w:rPr>
              <w:t>3.5</w:t>
            </w:r>
          </w:p>
        </w:tc>
      </w:tr>
      <w:tr w:rsidR="00286159" w:rsidRPr="00585E6B" w:rsidTr="00AE1C26">
        <w:tc>
          <w:tcPr>
            <w:tcW w:w="4054" w:type="dxa"/>
          </w:tcPr>
          <w:p w:rsidR="00286159" w:rsidRPr="00FF3B61" w:rsidRDefault="00286159" w:rsidP="00AE1C26">
            <w:pPr>
              <w:widowControl w:val="0"/>
              <w:tabs>
                <w:tab w:val="left" w:pos="180"/>
                <w:tab w:val="right" w:pos="3060"/>
                <w:tab w:val="right" w:pos="4150"/>
              </w:tabs>
              <w:rPr>
                <w:rFonts w:cs="Segoe UI Light"/>
                <w:snapToGrid w:val="0"/>
                <w:color w:val="000000"/>
              </w:rPr>
            </w:pPr>
            <w:r w:rsidRPr="00FF3B61">
              <w:rPr>
                <w:rFonts w:cs="Segoe UI Light"/>
                <w:snapToGrid w:val="0"/>
                <w:color w:val="000000"/>
              </w:rPr>
              <w:t>Other entities and individuals</w:t>
            </w:r>
          </w:p>
        </w:tc>
        <w:tc>
          <w:tcPr>
            <w:tcW w:w="1871" w:type="dxa"/>
          </w:tcPr>
          <w:p w:rsidR="00286159" w:rsidRPr="00FF3B61" w:rsidRDefault="00286159" w:rsidP="00AE1C26">
            <w:pPr>
              <w:widowControl w:val="0"/>
              <w:tabs>
                <w:tab w:val="left" w:pos="180"/>
                <w:tab w:val="right" w:pos="3060"/>
                <w:tab w:val="right" w:pos="4150"/>
              </w:tabs>
              <w:jc w:val="right"/>
              <w:rPr>
                <w:rFonts w:cs="Segoe UI Light"/>
                <w:snapToGrid w:val="0"/>
                <w:color w:val="000000"/>
              </w:rPr>
            </w:pPr>
            <w:r>
              <w:rPr>
                <w:rFonts w:cs="Segoe UI Light"/>
                <w:snapToGrid w:val="0"/>
                <w:color w:val="000000"/>
              </w:rPr>
              <w:t>2.2</w:t>
            </w:r>
          </w:p>
        </w:tc>
        <w:tc>
          <w:tcPr>
            <w:tcW w:w="1871" w:type="dxa"/>
            <w:tcBorders>
              <w:top w:val="nil"/>
              <w:left w:val="nil"/>
              <w:bottom w:val="nil"/>
              <w:right w:val="nil"/>
            </w:tcBorders>
            <w:shd w:val="clear" w:color="auto" w:fill="auto"/>
            <w:vAlign w:val="bottom"/>
          </w:tcPr>
          <w:p w:rsidR="00286159" w:rsidRPr="00585E6B" w:rsidRDefault="00286159" w:rsidP="00AE1C26">
            <w:pPr>
              <w:widowControl w:val="0"/>
              <w:tabs>
                <w:tab w:val="left" w:pos="180"/>
                <w:tab w:val="right" w:pos="3060"/>
                <w:tab w:val="right" w:pos="4150"/>
              </w:tabs>
              <w:jc w:val="right"/>
              <w:rPr>
                <w:rFonts w:cs="Segoe UI Light"/>
                <w:snapToGrid w:val="0"/>
                <w:color w:val="000000"/>
              </w:rPr>
            </w:pPr>
            <w:r w:rsidRPr="00585E6B">
              <w:rPr>
                <w:rFonts w:cs="Calibri"/>
              </w:rPr>
              <w:t>0.1</w:t>
            </w:r>
          </w:p>
        </w:tc>
      </w:tr>
      <w:tr w:rsidR="00286159" w:rsidRPr="00585E6B" w:rsidTr="00AE1C26">
        <w:tc>
          <w:tcPr>
            <w:tcW w:w="4054" w:type="dxa"/>
          </w:tcPr>
          <w:p w:rsidR="00286159" w:rsidRPr="00FF3B61" w:rsidRDefault="00286159" w:rsidP="00AE1C26">
            <w:pPr>
              <w:widowControl w:val="0"/>
              <w:tabs>
                <w:tab w:val="left" w:pos="180"/>
                <w:tab w:val="right" w:pos="3060"/>
                <w:tab w:val="right" w:pos="4150"/>
              </w:tabs>
              <w:rPr>
                <w:rFonts w:cs="Segoe UI Light"/>
                <w:b/>
                <w:snapToGrid w:val="0"/>
                <w:color w:val="000000"/>
              </w:rPr>
            </w:pPr>
            <w:r w:rsidRPr="00FF3B61">
              <w:rPr>
                <w:rFonts w:cs="Segoe UI Light"/>
                <w:b/>
                <w:snapToGrid w:val="0"/>
                <w:color w:val="000000"/>
              </w:rPr>
              <w:t>Total</w:t>
            </w:r>
          </w:p>
        </w:tc>
        <w:tc>
          <w:tcPr>
            <w:tcW w:w="1871" w:type="dxa"/>
            <w:tcBorders>
              <w:top w:val="single" w:sz="4" w:space="0" w:color="auto"/>
            </w:tcBorders>
          </w:tcPr>
          <w:p w:rsidR="00286159" w:rsidRPr="00FF3B61" w:rsidRDefault="00286159" w:rsidP="00AE1C26">
            <w:pPr>
              <w:widowControl w:val="0"/>
              <w:tabs>
                <w:tab w:val="left" w:pos="180"/>
                <w:tab w:val="right" w:pos="3060"/>
                <w:tab w:val="right" w:pos="4150"/>
              </w:tabs>
              <w:jc w:val="right"/>
              <w:rPr>
                <w:rFonts w:cs="Segoe UI Light"/>
                <w:b/>
                <w:snapToGrid w:val="0"/>
                <w:color w:val="000000"/>
              </w:rPr>
            </w:pPr>
            <w:r w:rsidRPr="00FF3B61">
              <w:rPr>
                <w:rFonts w:cs="Segoe UI Light"/>
                <w:b/>
                <w:snapToGrid w:val="0"/>
                <w:color w:val="000000"/>
              </w:rPr>
              <w:t>9.1</w:t>
            </w:r>
          </w:p>
        </w:tc>
        <w:tc>
          <w:tcPr>
            <w:tcW w:w="1871" w:type="dxa"/>
            <w:tcBorders>
              <w:top w:val="single" w:sz="4" w:space="0" w:color="auto"/>
            </w:tcBorders>
          </w:tcPr>
          <w:p w:rsidR="00286159" w:rsidRPr="00585E6B" w:rsidRDefault="00286159" w:rsidP="00AE1C26">
            <w:pPr>
              <w:widowControl w:val="0"/>
              <w:tabs>
                <w:tab w:val="left" w:pos="180"/>
                <w:tab w:val="right" w:pos="3060"/>
                <w:tab w:val="right" w:pos="4150"/>
              </w:tabs>
              <w:jc w:val="right"/>
              <w:rPr>
                <w:rFonts w:cs="Segoe UI Light"/>
                <w:b/>
                <w:snapToGrid w:val="0"/>
                <w:color w:val="000000"/>
              </w:rPr>
            </w:pPr>
            <w:r w:rsidRPr="00585E6B">
              <w:rPr>
                <w:rFonts w:cs="Segoe UI Light"/>
                <w:b/>
                <w:snapToGrid w:val="0"/>
                <w:color w:val="000000"/>
              </w:rPr>
              <w:t>4.0</w:t>
            </w:r>
          </w:p>
        </w:tc>
      </w:tr>
    </w:tbl>
    <w:p w:rsidR="00F72906" w:rsidRDefault="00F72906" w:rsidP="00F72906"/>
    <w:p w:rsidR="00F72906" w:rsidRDefault="00F72906" w:rsidP="00F72906">
      <w:r>
        <w:t>Non- current assets comprises of contributions due from employers, repayable later than a year from the Balance Sheet date.</w:t>
      </w:r>
    </w:p>
    <w:p w:rsidR="00F72906" w:rsidRDefault="00F72906" w:rsidP="00F72906"/>
    <w:p w:rsidR="00F72906" w:rsidRDefault="00F72906" w:rsidP="00286159">
      <w:pPr>
        <w:pStyle w:val="Heading3"/>
      </w:pPr>
      <w:r>
        <w:t>21.  Current liabilities</w:t>
      </w:r>
    </w:p>
    <w:tbl>
      <w:tblPr>
        <w:tblW w:w="7752" w:type="dxa"/>
        <w:tblLook w:val="04A0" w:firstRow="1" w:lastRow="0" w:firstColumn="1" w:lastColumn="0" w:noHBand="0" w:noVBand="1"/>
      </w:tblPr>
      <w:tblGrid>
        <w:gridCol w:w="996"/>
        <w:gridCol w:w="996"/>
        <w:gridCol w:w="996"/>
        <w:gridCol w:w="656"/>
        <w:gridCol w:w="1836"/>
        <w:gridCol w:w="456"/>
        <w:gridCol w:w="1816"/>
      </w:tblGrid>
      <w:tr w:rsidR="00286159" w:rsidRPr="00CD126B" w:rsidTr="00AE1C26">
        <w:trPr>
          <w:trHeight w:val="299"/>
        </w:trPr>
        <w:tc>
          <w:tcPr>
            <w:tcW w:w="996" w:type="dxa"/>
            <w:tcBorders>
              <w:top w:val="nil"/>
              <w:left w:val="nil"/>
              <w:bottom w:val="nil"/>
              <w:right w:val="nil"/>
            </w:tcBorders>
            <w:shd w:val="clear" w:color="000000" w:fill="FFFFFF"/>
            <w:noWrap/>
            <w:vAlign w:val="bottom"/>
            <w:hideMark/>
          </w:tcPr>
          <w:p w:rsidR="00286159" w:rsidRPr="00CD126B" w:rsidRDefault="00286159" w:rsidP="00AE1C26">
            <w:pPr>
              <w:rPr>
                <w:rFonts w:cs="Calibri"/>
                <w:color w:val="000000"/>
                <w:lang w:eastAsia="en-GB"/>
              </w:rPr>
            </w:pPr>
            <w:r w:rsidRPr="00CD126B">
              <w:rPr>
                <w:rFonts w:cs="Calibri"/>
                <w:color w:val="000000"/>
                <w:lang w:eastAsia="en-GB"/>
              </w:rPr>
              <w:t> </w:t>
            </w:r>
          </w:p>
        </w:tc>
        <w:tc>
          <w:tcPr>
            <w:tcW w:w="996" w:type="dxa"/>
            <w:tcBorders>
              <w:top w:val="nil"/>
              <w:left w:val="nil"/>
              <w:bottom w:val="nil"/>
              <w:right w:val="nil"/>
            </w:tcBorders>
            <w:shd w:val="clear" w:color="000000" w:fill="FFFFFF"/>
            <w:noWrap/>
            <w:vAlign w:val="bottom"/>
            <w:hideMark/>
          </w:tcPr>
          <w:p w:rsidR="00286159" w:rsidRPr="00CD126B" w:rsidRDefault="00286159" w:rsidP="00AE1C26">
            <w:pPr>
              <w:rPr>
                <w:rFonts w:cs="Calibri"/>
                <w:color w:val="000000"/>
                <w:lang w:eastAsia="en-GB"/>
              </w:rPr>
            </w:pPr>
            <w:r w:rsidRPr="00CD126B">
              <w:rPr>
                <w:rFonts w:cs="Calibri"/>
                <w:color w:val="000000"/>
                <w:lang w:eastAsia="en-GB"/>
              </w:rPr>
              <w:t> </w:t>
            </w:r>
          </w:p>
        </w:tc>
        <w:tc>
          <w:tcPr>
            <w:tcW w:w="996" w:type="dxa"/>
            <w:tcBorders>
              <w:top w:val="nil"/>
              <w:left w:val="nil"/>
              <w:bottom w:val="nil"/>
              <w:right w:val="nil"/>
            </w:tcBorders>
            <w:shd w:val="clear" w:color="000000" w:fill="FFFFFF"/>
            <w:noWrap/>
            <w:vAlign w:val="bottom"/>
            <w:hideMark/>
          </w:tcPr>
          <w:p w:rsidR="00286159" w:rsidRPr="00CD126B" w:rsidRDefault="00286159" w:rsidP="00AE1C26">
            <w:pPr>
              <w:rPr>
                <w:rFonts w:cs="Calibri"/>
                <w:color w:val="000000"/>
                <w:lang w:eastAsia="en-GB"/>
              </w:rPr>
            </w:pPr>
            <w:r w:rsidRPr="00CD126B">
              <w:rPr>
                <w:rFonts w:cs="Calibri"/>
                <w:color w:val="000000"/>
                <w:lang w:eastAsia="en-GB"/>
              </w:rPr>
              <w:t> </w:t>
            </w:r>
          </w:p>
        </w:tc>
        <w:tc>
          <w:tcPr>
            <w:tcW w:w="656" w:type="dxa"/>
            <w:tcBorders>
              <w:top w:val="nil"/>
              <w:left w:val="nil"/>
              <w:bottom w:val="nil"/>
              <w:right w:val="nil"/>
            </w:tcBorders>
            <w:shd w:val="clear" w:color="000000" w:fill="FFFFFF"/>
            <w:noWrap/>
            <w:vAlign w:val="bottom"/>
            <w:hideMark/>
          </w:tcPr>
          <w:p w:rsidR="00286159" w:rsidRPr="00CD126B" w:rsidRDefault="00286159" w:rsidP="00AE1C26">
            <w:pPr>
              <w:rPr>
                <w:rFonts w:cs="Calibri"/>
                <w:color w:val="000000"/>
                <w:lang w:eastAsia="en-GB"/>
              </w:rPr>
            </w:pPr>
            <w:r w:rsidRPr="00CD126B">
              <w:rPr>
                <w:rFonts w:cs="Calibri"/>
                <w:color w:val="000000"/>
                <w:lang w:eastAsia="en-GB"/>
              </w:rPr>
              <w:t> </w:t>
            </w:r>
          </w:p>
        </w:tc>
        <w:tc>
          <w:tcPr>
            <w:tcW w:w="1836" w:type="dxa"/>
            <w:tcBorders>
              <w:top w:val="nil"/>
              <w:left w:val="nil"/>
              <w:bottom w:val="nil"/>
              <w:right w:val="nil"/>
            </w:tcBorders>
            <w:shd w:val="clear" w:color="000000" w:fill="FFFFFF"/>
            <w:noWrap/>
            <w:vAlign w:val="bottom"/>
            <w:hideMark/>
          </w:tcPr>
          <w:p w:rsidR="00286159" w:rsidRPr="00CD126B" w:rsidRDefault="00286159" w:rsidP="00AE1C26">
            <w:pPr>
              <w:jc w:val="right"/>
              <w:rPr>
                <w:rFonts w:cs="Calibri"/>
                <w:b/>
                <w:bCs/>
                <w:color w:val="000000"/>
                <w:lang w:eastAsia="en-GB"/>
              </w:rPr>
            </w:pPr>
            <w:r w:rsidRPr="00CD126B">
              <w:rPr>
                <w:rFonts w:cs="Calibri"/>
                <w:b/>
                <w:bCs/>
                <w:color w:val="000000"/>
                <w:lang w:eastAsia="en-GB"/>
              </w:rPr>
              <w:t>31 March 2019</w:t>
            </w:r>
          </w:p>
        </w:tc>
        <w:tc>
          <w:tcPr>
            <w:tcW w:w="456" w:type="dxa"/>
            <w:tcBorders>
              <w:top w:val="nil"/>
              <w:left w:val="nil"/>
              <w:bottom w:val="nil"/>
              <w:right w:val="nil"/>
            </w:tcBorders>
            <w:shd w:val="clear" w:color="000000" w:fill="FFFFFF"/>
            <w:noWrap/>
            <w:vAlign w:val="bottom"/>
            <w:hideMark/>
          </w:tcPr>
          <w:p w:rsidR="00286159" w:rsidRPr="00CD126B" w:rsidRDefault="00286159" w:rsidP="00AE1C26">
            <w:pPr>
              <w:rPr>
                <w:rFonts w:cs="Calibri"/>
                <w:color w:val="000000"/>
                <w:lang w:eastAsia="en-GB"/>
              </w:rPr>
            </w:pPr>
            <w:r w:rsidRPr="00CD126B">
              <w:rPr>
                <w:rFonts w:cs="Calibri"/>
                <w:color w:val="000000"/>
                <w:lang w:eastAsia="en-GB"/>
              </w:rPr>
              <w:t> </w:t>
            </w:r>
          </w:p>
        </w:tc>
        <w:tc>
          <w:tcPr>
            <w:tcW w:w="1816" w:type="dxa"/>
            <w:tcBorders>
              <w:top w:val="nil"/>
              <w:left w:val="nil"/>
              <w:bottom w:val="nil"/>
              <w:right w:val="nil"/>
            </w:tcBorders>
            <w:shd w:val="clear" w:color="000000" w:fill="FFFFFF"/>
            <w:noWrap/>
            <w:vAlign w:val="bottom"/>
            <w:hideMark/>
          </w:tcPr>
          <w:p w:rsidR="00286159" w:rsidRPr="00CD126B" w:rsidRDefault="00286159" w:rsidP="00AE1C26">
            <w:pPr>
              <w:jc w:val="right"/>
              <w:rPr>
                <w:rFonts w:cs="Calibri"/>
                <w:b/>
                <w:bCs/>
                <w:color w:val="000000"/>
                <w:lang w:eastAsia="en-GB"/>
              </w:rPr>
            </w:pPr>
            <w:r w:rsidRPr="00CD126B">
              <w:rPr>
                <w:rFonts w:cs="Calibri"/>
                <w:b/>
                <w:bCs/>
                <w:color w:val="000000"/>
                <w:lang w:eastAsia="en-GB"/>
              </w:rPr>
              <w:t>31 March 2020</w:t>
            </w:r>
          </w:p>
        </w:tc>
      </w:tr>
      <w:tr w:rsidR="00286159" w:rsidRPr="00CD126B" w:rsidTr="00AE1C26">
        <w:trPr>
          <w:trHeight w:val="299"/>
        </w:trPr>
        <w:tc>
          <w:tcPr>
            <w:tcW w:w="996" w:type="dxa"/>
            <w:tcBorders>
              <w:top w:val="nil"/>
              <w:left w:val="nil"/>
              <w:bottom w:val="nil"/>
              <w:right w:val="nil"/>
            </w:tcBorders>
            <w:shd w:val="clear" w:color="000000" w:fill="FFFFFF"/>
            <w:noWrap/>
            <w:vAlign w:val="bottom"/>
            <w:hideMark/>
          </w:tcPr>
          <w:p w:rsidR="00286159" w:rsidRPr="00CD126B" w:rsidRDefault="00286159" w:rsidP="00AE1C26">
            <w:pPr>
              <w:rPr>
                <w:rFonts w:cs="Calibri"/>
                <w:color w:val="000000"/>
                <w:lang w:eastAsia="en-GB"/>
              </w:rPr>
            </w:pPr>
            <w:r w:rsidRPr="00CD126B">
              <w:rPr>
                <w:rFonts w:cs="Calibri"/>
                <w:color w:val="000000"/>
                <w:lang w:eastAsia="en-GB"/>
              </w:rPr>
              <w:t> </w:t>
            </w:r>
          </w:p>
        </w:tc>
        <w:tc>
          <w:tcPr>
            <w:tcW w:w="996" w:type="dxa"/>
            <w:tcBorders>
              <w:top w:val="nil"/>
              <w:left w:val="nil"/>
              <w:bottom w:val="nil"/>
              <w:right w:val="nil"/>
            </w:tcBorders>
            <w:shd w:val="clear" w:color="000000" w:fill="FFFFFF"/>
            <w:noWrap/>
            <w:vAlign w:val="bottom"/>
            <w:hideMark/>
          </w:tcPr>
          <w:p w:rsidR="00286159" w:rsidRPr="00CD126B" w:rsidRDefault="00286159" w:rsidP="00AE1C26">
            <w:pPr>
              <w:rPr>
                <w:rFonts w:cs="Calibri"/>
                <w:color w:val="000000"/>
                <w:lang w:eastAsia="en-GB"/>
              </w:rPr>
            </w:pPr>
            <w:r w:rsidRPr="00CD126B">
              <w:rPr>
                <w:rFonts w:cs="Calibri"/>
                <w:color w:val="000000"/>
                <w:lang w:eastAsia="en-GB"/>
              </w:rPr>
              <w:t> </w:t>
            </w:r>
          </w:p>
        </w:tc>
        <w:tc>
          <w:tcPr>
            <w:tcW w:w="996" w:type="dxa"/>
            <w:tcBorders>
              <w:top w:val="nil"/>
              <w:left w:val="nil"/>
              <w:bottom w:val="nil"/>
              <w:right w:val="nil"/>
            </w:tcBorders>
            <w:shd w:val="clear" w:color="000000" w:fill="FFFFFF"/>
            <w:noWrap/>
            <w:vAlign w:val="bottom"/>
            <w:hideMark/>
          </w:tcPr>
          <w:p w:rsidR="00286159" w:rsidRPr="00CD126B" w:rsidRDefault="00286159" w:rsidP="00AE1C26">
            <w:pPr>
              <w:rPr>
                <w:rFonts w:cs="Calibri"/>
                <w:color w:val="000000"/>
                <w:lang w:eastAsia="en-GB"/>
              </w:rPr>
            </w:pPr>
            <w:r w:rsidRPr="00CD126B">
              <w:rPr>
                <w:rFonts w:cs="Calibri"/>
                <w:color w:val="000000"/>
                <w:lang w:eastAsia="en-GB"/>
              </w:rPr>
              <w:t> </w:t>
            </w:r>
          </w:p>
        </w:tc>
        <w:tc>
          <w:tcPr>
            <w:tcW w:w="656" w:type="dxa"/>
            <w:tcBorders>
              <w:top w:val="nil"/>
              <w:left w:val="nil"/>
              <w:bottom w:val="nil"/>
              <w:right w:val="nil"/>
            </w:tcBorders>
            <w:shd w:val="clear" w:color="000000" w:fill="FFFFFF"/>
            <w:noWrap/>
            <w:vAlign w:val="bottom"/>
            <w:hideMark/>
          </w:tcPr>
          <w:p w:rsidR="00286159" w:rsidRPr="00CD126B" w:rsidRDefault="00286159" w:rsidP="00AE1C26">
            <w:pPr>
              <w:rPr>
                <w:rFonts w:cs="Calibri"/>
                <w:color w:val="000000"/>
                <w:lang w:eastAsia="en-GB"/>
              </w:rPr>
            </w:pPr>
            <w:r w:rsidRPr="00CD126B">
              <w:rPr>
                <w:rFonts w:cs="Calibri"/>
                <w:color w:val="000000"/>
                <w:lang w:eastAsia="en-GB"/>
              </w:rPr>
              <w:t> </w:t>
            </w:r>
          </w:p>
        </w:tc>
        <w:tc>
          <w:tcPr>
            <w:tcW w:w="1836" w:type="dxa"/>
            <w:tcBorders>
              <w:top w:val="nil"/>
              <w:left w:val="nil"/>
              <w:bottom w:val="nil"/>
              <w:right w:val="nil"/>
            </w:tcBorders>
            <w:shd w:val="clear" w:color="000000" w:fill="FFFFFF"/>
            <w:noWrap/>
            <w:vAlign w:val="bottom"/>
            <w:hideMark/>
          </w:tcPr>
          <w:p w:rsidR="00286159" w:rsidRPr="00CD126B" w:rsidRDefault="00286159" w:rsidP="00AE1C26">
            <w:pPr>
              <w:jc w:val="right"/>
              <w:rPr>
                <w:rFonts w:cs="Calibri"/>
                <w:b/>
                <w:bCs/>
                <w:color w:val="000000"/>
                <w:lang w:eastAsia="en-GB"/>
              </w:rPr>
            </w:pPr>
            <w:r w:rsidRPr="00CD126B">
              <w:rPr>
                <w:rFonts w:cs="Calibri"/>
                <w:b/>
                <w:bCs/>
                <w:color w:val="000000"/>
                <w:lang w:eastAsia="en-GB"/>
              </w:rPr>
              <w:t>£m</w:t>
            </w:r>
          </w:p>
        </w:tc>
        <w:tc>
          <w:tcPr>
            <w:tcW w:w="456" w:type="dxa"/>
            <w:tcBorders>
              <w:top w:val="nil"/>
              <w:left w:val="nil"/>
              <w:bottom w:val="nil"/>
              <w:right w:val="nil"/>
            </w:tcBorders>
            <w:shd w:val="clear" w:color="000000" w:fill="FFFFFF"/>
            <w:noWrap/>
            <w:vAlign w:val="bottom"/>
            <w:hideMark/>
          </w:tcPr>
          <w:p w:rsidR="00286159" w:rsidRPr="00CD126B" w:rsidRDefault="00286159" w:rsidP="00AE1C26">
            <w:pPr>
              <w:rPr>
                <w:rFonts w:cs="Calibri"/>
                <w:color w:val="000000"/>
                <w:lang w:eastAsia="en-GB"/>
              </w:rPr>
            </w:pPr>
            <w:r w:rsidRPr="00CD126B">
              <w:rPr>
                <w:rFonts w:cs="Calibri"/>
                <w:color w:val="000000"/>
                <w:lang w:eastAsia="en-GB"/>
              </w:rPr>
              <w:t> </w:t>
            </w:r>
          </w:p>
        </w:tc>
        <w:tc>
          <w:tcPr>
            <w:tcW w:w="1816" w:type="dxa"/>
            <w:tcBorders>
              <w:top w:val="nil"/>
              <w:left w:val="nil"/>
              <w:bottom w:val="nil"/>
              <w:right w:val="nil"/>
            </w:tcBorders>
            <w:shd w:val="clear" w:color="000000" w:fill="FFFFFF"/>
            <w:noWrap/>
            <w:vAlign w:val="bottom"/>
            <w:hideMark/>
          </w:tcPr>
          <w:p w:rsidR="00286159" w:rsidRPr="00CD126B" w:rsidRDefault="00286159" w:rsidP="00AE1C26">
            <w:pPr>
              <w:jc w:val="right"/>
              <w:rPr>
                <w:rFonts w:cs="Calibri"/>
                <w:b/>
                <w:bCs/>
                <w:color w:val="000000"/>
                <w:lang w:eastAsia="en-GB"/>
              </w:rPr>
            </w:pPr>
            <w:r w:rsidRPr="00CD126B">
              <w:rPr>
                <w:rFonts w:cs="Calibri"/>
                <w:b/>
                <w:bCs/>
                <w:color w:val="000000"/>
                <w:lang w:eastAsia="en-GB"/>
              </w:rPr>
              <w:t>£m</w:t>
            </w:r>
          </w:p>
        </w:tc>
      </w:tr>
      <w:tr w:rsidR="00286159" w:rsidRPr="00CD126B" w:rsidTr="00AE1C26">
        <w:trPr>
          <w:trHeight w:val="299"/>
        </w:trPr>
        <w:tc>
          <w:tcPr>
            <w:tcW w:w="1992" w:type="dxa"/>
            <w:gridSpan w:val="2"/>
            <w:tcBorders>
              <w:top w:val="nil"/>
              <w:left w:val="nil"/>
              <w:bottom w:val="nil"/>
              <w:right w:val="nil"/>
            </w:tcBorders>
            <w:shd w:val="clear" w:color="000000" w:fill="FFFFFF"/>
            <w:noWrap/>
            <w:vAlign w:val="bottom"/>
            <w:hideMark/>
          </w:tcPr>
          <w:p w:rsidR="00286159" w:rsidRPr="00CD126B" w:rsidRDefault="00286159" w:rsidP="00AE1C26">
            <w:pPr>
              <w:rPr>
                <w:rFonts w:cs="Calibri"/>
                <w:color w:val="000000"/>
                <w:lang w:eastAsia="en-GB"/>
              </w:rPr>
            </w:pPr>
            <w:r w:rsidRPr="00CD126B">
              <w:rPr>
                <w:rFonts w:cs="Calibri"/>
                <w:color w:val="000000"/>
                <w:lang w:eastAsia="en-GB"/>
              </w:rPr>
              <w:t>Group transfers</w:t>
            </w:r>
          </w:p>
        </w:tc>
        <w:tc>
          <w:tcPr>
            <w:tcW w:w="996" w:type="dxa"/>
            <w:tcBorders>
              <w:top w:val="nil"/>
              <w:left w:val="nil"/>
              <w:bottom w:val="nil"/>
              <w:right w:val="nil"/>
            </w:tcBorders>
            <w:shd w:val="clear" w:color="000000" w:fill="FFFFFF"/>
            <w:noWrap/>
            <w:vAlign w:val="bottom"/>
            <w:hideMark/>
          </w:tcPr>
          <w:p w:rsidR="00286159" w:rsidRPr="00CD126B" w:rsidRDefault="00286159" w:rsidP="00AE1C26">
            <w:pPr>
              <w:rPr>
                <w:rFonts w:cs="Calibri"/>
                <w:color w:val="000000"/>
                <w:lang w:eastAsia="en-GB"/>
              </w:rPr>
            </w:pPr>
            <w:r w:rsidRPr="00CD126B">
              <w:rPr>
                <w:rFonts w:cs="Calibri"/>
                <w:color w:val="000000"/>
                <w:lang w:eastAsia="en-GB"/>
              </w:rPr>
              <w:t> </w:t>
            </w:r>
          </w:p>
        </w:tc>
        <w:tc>
          <w:tcPr>
            <w:tcW w:w="656" w:type="dxa"/>
            <w:tcBorders>
              <w:top w:val="nil"/>
              <w:left w:val="nil"/>
              <w:bottom w:val="nil"/>
              <w:right w:val="nil"/>
            </w:tcBorders>
            <w:shd w:val="clear" w:color="000000" w:fill="FFFFFF"/>
            <w:noWrap/>
            <w:vAlign w:val="bottom"/>
            <w:hideMark/>
          </w:tcPr>
          <w:p w:rsidR="00286159" w:rsidRPr="00CD126B" w:rsidRDefault="00286159" w:rsidP="00AE1C26">
            <w:pPr>
              <w:rPr>
                <w:rFonts w:cs="Calibri"/>
                <w:color w:val="0563C1"/>
                <w:u w:val="single"/>
                <w:lang w:eastAsia="en-GB"/>
              </w:rPr>
            </w:pPr>
          </w:p>
        </w:tc>
        <w:tc>
          <w:tcPr>
            <w:tcW w:w="1836" w:type="dxa"/>
            <w:tcBorders>
              <w:top w:val="nil"/>
              <w:left w:val="nil"/>
              <w:bottom w:val="nil"/>
              <w:right w:val="nil"/>
            </w:tcBorders>
            <w:shd w:val="clear" w:color="000000" w:fill="FFFFFF"/>
            <w:noWrap/>
            <w:vAlign w:val="bottom"/>
            <w:hideMark/>
          </w:tcPr>
          <w:p w:rsidR="00286159" w:rsidRPr="00CD126B" w:rsidRDefault="00286159" w:rsidP="00AE1C26">
            <w:pPr>
              <w:jc w:val="right"/>
              <w:rPr>
                <w:rFonts w:cs="Calibri"/>
                <w:lang w:eastAsia="en-GB"/>
              </w:rPr>
            </w:pPr>
            <w:r>
              <w:rPr>
                <w:rFonts w:cs="Calibri"/>
                <w:lang w:eastAsia="en-GB"/>
              </w:rPr>
              <w:t>(0.1</w:t>
            </w:r>
            <w:r w:rsidRPr="00CD126B">
              <w:rPr>
                <w:rFonts w:cs="Calibri"/>
                <w:lang w:eastAsia="en-GB"/>
              </w:rPr>
              <w:t>)</w:t>
            </w:r>
          </w:p>
        </w:tc>
        <w:tc>
          <w:tcPr>
            <w:tcW w:w="456" w:type="dxa"/>
            <w:tcBorders>
              <w:top w:val="nil"/>
              <w:left w:val="nil"/>
              <w:bottom w:val="nil"/>
              <w:right w:val="nil"/>
            </w:tcBorders>
            <w:shd w:val="clear" w:color="000000" w:fill="FFFFFF"/>
            <w:noWrap/>
            <w:vAlign w:val="bottom"/>
            <w:hideMark/>
          </w:tcPr>
          <w:p w:rsidR="00286159" w:rsidRPr="00CD126B" w:rsidRDefault="00286159" w:rsidP="00AE1C26">
            <w:pPr>
              <w:rPr>
                <w:rFonts w:cs="Calibri"/>
                <w:lang w:eastAsia="en-GB"/>
              </w:rPr>
            </w:pPr>
            <w:r w:rsidRPr="00CD126B">
              <w:rPr>
                <w:rFonts w:cs="Calibri"/>
                <w:lang w:eastAsia="en-GB"/>
              </w:rPr>
              <w:t> </w:t>
            </w:r>
          </w:p>
        </w:tc>
        <w:tc>
          <w:tcPr>
            <w:tcW w:w="1816" w:type="dxa"/>
            <w:tcBorders>
              <w:top w:val="nil"/>
              <w:left w:val="nil"/>
              <w:bottom w:val="nil"/>
              <w:right w:val="nil"/>
            </w:tcBorders>
            <w:shd w:val="clear" w:color="000000" w:fill="FFFFFF"/>
            <w:noWrap/>
            <w:vAlign w:val="bottom"/>
            <w:hideMark/>
          </w:tcPr>
          <w:p w:rsidR="00286159" w:rsidRPr="00CD126B" w:rsidRDefault="00286159" w:rsidP="00AE1C26">
            <w:pPr>
              <w:jc w:val="right"/>
              <w:rPr>
                <w:rFonts w:cs="Calibri"/>
                <w:color w:val="000000"/>
                <w:lang w:eastAsia="en-GB"/>
              </w:rPr>
            </w:pPr>
            <w:r w:rsidRPr="00CD126B">
              <w:rPr>
                <w:rFonts w:cs="Calibri"/>
                <w:color w:val="000000"/>
                <w:lang w:eastAsia="en-GB"/>
              </w:rPr>
              <w:t xml:space="preserve">0.0 </w:t>
            </w:r>
          </w:p>
        </w:tc>
      </w:tr>
      <w:tr w:rsidR="00286159" w:rsidRPr="00CD126B" w:rsidTr="00AE1C26">
        <w:trPr>
          <w:trHeight w:val="299"/>
        </w:trPr>
        <w:tc>
          <w:tcPr>
            <w:tcW w:w="1992" w:type="dxa"/>
            <w:gridSpan w:val="2"/>
            <w:tcBorders>
              <w:top w:val="nil"/>
              <w:left w:val="nil"/>
              <w:bottom w:val="nil"/>
              <w:right w:val="nil"/>
            </w:tcBorders>
            <w:shd w:val="clear" w:color="000000" w:fill="FFFFFF"/>
            <w:noWrap/>
            <w:vAlign w:val="bottom"/>
            <w:hideMark/>
          </w:tcPr>
          <w:p w:rsidR="00286159" w:rsidRPr="00CD126B" w:rsidRDefault="00286159" w:rsidP="00AE1C26">
            <w:pPr>
              <w:rPr>
                <w:rFonts w:cs="Calibri"/>
                <w:lang w:eastAsia="en-GB"/>
              </w:rPr>
            </w:pPr>
            <w:r w:rsidRPr="00CD126B">
              <w:rPr>
                <w:rFonts w:cs="Calibri"/>
                <w:lang w:eastAsia="en-GB"/>
              </w:rPr>
              <w:t>Sundry creditors</w:t>
            </w:r>
          </w:p>
        </w:tc>
        <w:tc>
          <w:tcPr>
            <w:tcW w:w="996" w:type="dxa"/>
            <w:tcBorders>
              <w:top w:val="nil"/>
              <w:left w:val="nil"/>
              <w:bottom w:val="nil"/>
              <w:right w:val="nil"/>
            </w:tcBorders>
            <w:shd w:val="clear" w:color="000000" w:fill="FFFFFF"/>
            <w:noWrap/>
            <w:vAlign w:val="bottom"/>
            <w:hideMark/>
          </w:tcPr>
          <w:p w:rsidR="00286159" w:rsidRPr="00CD126B" w:rsidRDefault="00286159" w:rsidP="00AE1C26">
            <w:pPr>
              <w:rPr>
                <w:rFonts w:cs="Calibri"/>
                <w:lang w:eastAsia="en-GB"/>
              </w:rPr>
            </w:pPr>
            <w:r w:rsidRPr="00CD126B">
              <w:rPr>
                <w:rFonts w:cs="Calibri"/>
                <w:lang w:eastAsia="en-GB"/>
              </w:rPr>
              <w:t> </w:t>
            </w:r>
          </w:p>
        </w:tc>
        <w:tc>
          <w:tcPr>
            <w:tcW w:w="656" w:type="dxa"/>
            <w:tcBorders>
              <w:top w:val="nil"/>
              <w:left w:val="nil"/>
              <w:bottom w:val="nil"/>
              <w:right w:val="nil"/>
            </w:tcBorders>
            <w:shd w:val="clear" w:color="000000" w:fill="FFFFFF"/>
            <w:noWrap/>
            <w:vAlign w:val="bottom"/>
            <w:hideMark/>
          </w:tcPr>
          <w:p w:rsidR="00286159" w:rsidRPr="00CD126B" w:rsidRDefault="00286159" w:rsidP="00AE1C26">
            <w:pPr>
              <w:rPr>
                <w:rFonts w:cs="Calibri"/>
                <w:lang w:eastAsia="en-GB"/>
              </w:rPr>
            </w:pPr>
            <w:r w:rsidRPr="00CD126B">
              <w:rPr>
                <w:rFonts w:cs="Calibri"/>
                <w:lang w:eastAsia="en-GB"/>
              </w:rPr>
              <w:t> </w:t>
            </w:r>
          </w:p>
        </w:tc>
        <w:tc>
          <w:tcPr>
            <w:tcW w:w="1836" w:type="dxa"/>
            <w:tcBorders>
              <w:top w:val="nil"/>
              <w:left w:val="nil"/>
              <w:bottom w:val="nil"/>
              <w:right w:val="nil"/>
            </w:tcBorders>
            <w:shd w:val="clear" w:color="000000" w:fill="FFFFFF"/>
            <w:noWrap/>
            <w:vAlign w:val="bottom"/>
            <w:hideMark/>
          </w:tcPr>
          <w:p w:rsidR="00286159" w:rsidRPr="00CD126B" w:rsidRDefault="00286159" w:rsidP="00AE1C26">
            <w:pPr>
              <w:jc w:val="right"/>
              <w:rPr>
                <w:rFonts w:cs="Calibri"/>
                <w:color w:val="000000"/>
                <w:lang w:eastAsia="en-GB"/>
              </w:rPr>
            </w:pPr>
            <w:r>
              <w:rPr>
                <w:rFonts w:cs="Calibri"/>
                <w:color w:val="000000"/>
                <w:lang w:eastAsia="en-GB"/>
              </w:rPr>
              <w:t>1.0</w:t>
            </w:r>
          </w:p>
        </w:tc>
        <w:tc>
          <w:tcPr>
            <w:tcW w:w="456" w:type="dxa"/>
            <w:tcBorders>
              <w:top w:val="nil"/>
              <w:left w:val="nil"/>
              <w:bottom w:val="nil"/>
              <w:right w:val="nil"/>
            </w:tcBorders>
            <w:shd w:val="clear" w:color="000000" w:fill="FFFFFF"/>
            <w:noWrap/>
            <w:vAlign w:val="bottom"/>
            <w:hideMark/>
          </w:tcPr>
          <w:p w:rsidR="00286159" w:rsidRPr="00CD126B" w:rsidRDefault="00286159" w:rsidP="00AE1C26">
            <w:pPr>
              <w:rPr>
                <w:rFonts w:cs="Calibri"/>
                <w:lang w:eastAsia="en-GB"/>
              </w:rPr>
            </w:pPr>
            <w:r w:rsidRPr="00CD126B">
              <w:rPr>
                <w:rFonts w:cs="Calibri"/>
                <w:lang w:eastAsia="en-GB"/>
              </w:rPr>
              <w:t> </w:t>
            </w:r>
          </w:p>
        </w:tc>
        <w:tc>
          <w:tcPr>
            <w:tcW w:w="1816" w:type="dxa"/>
            <w:tcBorders>
              <w:top w:val="nil"/>
              <w:left w:val="nil"/>
              <w:bottom w:val="nil"/>
              <w:right w:val="nil"/>
            </w:tcBorders>
            <w:shd w:val="clear" w:color="000000" w:fill="FFFFFF"/>
            <w:noWrap/>
            <w:vAlign w:val="bottom"/>
            <w:hideMark/>
          </w:tcPr>
          <w:p w:rsidR="00286159" w:rsidRPr="00CD126B" w:rsidRDefault="00286159" w:rsidP="00AE1C26">
            <w:pPr>
              <w:jc w:val="right"/>
              <w:rPr>
                <w:rFonts w:cs="Calibri"/>
                <w:color w:val="000000"/>
                <w:lang w:eastAsia="en-GB"/>
              </w:rPr>
            </w:pPr>
            <w:r w:rsidRPr="00CD126B">
              <w:rPr>
                <w:rFonts w:cs="Calibri"/>
                <w:color w:val="000000"/>
                <w:lang w:eastAsia="en-GB"/>
              </w:rPr>
              <w:t>0.4</w:t>
            </w:r>
          </w:p>
        </w:tc>
      </w:tr>
      <w:tr w:rsidR="00286159" w:rsidRPr="00CD126B" w:rsidTr="00AE1C26">
        <w:trPr>
          <w:trHeight w:val="299"/>
        </w:trPr>
        <w:tc>
          <w:tcPr>
            <w:tcW w:w="996" w:type="dxa"/>
            <w:tcBorders>
              <w:top w:val="nil"/>
              <w:left w:val="nil"/>
              <w:bottom w:val="nil"/>
              <w:right w:val="nil"/>
            </w:tcBorders>
            <w:shd w:val="clear" w:color="000000" w:fill="FFFFFF"/>
            <w:noWrap/>
            <w:vAlign w:val="bottom"/>
            <w:hideMark/>
          </w:tcPr>
          <w:p w:rsidR="00286159" w:rsidRPr="00CD126B" w:rsidRDefault="00286159" w:rsidP="00AE1C26">
            <w:pPr>
              <w:rPr>
                <w:rFonts w:cs="Calibri"/>
                <w:lang w:eastAsia="en-GB"/>
              </w:rPr>
            </w:pPr>
            <w:r w:rsidRPr="00CD126B">
              <w:rPr>
                <w:rFonts w:cs="Calibri"/>
                <w:lang w:eastAsia="en-GB"/>
              </w:rPr>
              <w:t> </w:t>
            </w:r>
          </w:p>
        </w:tc>
        <w:tc>
          <w:tcPr>
            <w:tcW w:w="996" w:type="dxa"/>
            <w:tcBorders>
              <w:top w:val="nil"/>
              <w:left w:val="nil"/>
              <w:bottom w:val="nil"/>
              <w:right w:val="nil"/>
            </w:tcBorders>
            <w:shd w:val="clear" w:color="000000" w:fill="FFFFFF"/>
            <w:noWrap/>
            <w:vAlign w:val="bottom"/>
            <w:hideMark/>
          </w:tcPr>
          <w:p w:rsidR="00286159" w:rsidRPr="00CD126B" w:rsidRDefault="00286159" w:rsidP="00AE1C26">
            <w:pPr>
              <w:rPr>
                <w:rFonts w:cs="Calibri"/>
                <w:lang w:eastAsia="en-GB"/>
              </w:rPr>
            </w:pPr>
            <w:r w:rsidRPr="00CD126B">
              <w:rPr>
                <w:rFonts w:cs="Calibri"/>
                <w:lang w:eastAsia="en-GB"/>
              </w:rPr>
              <w:t> </w:t>
            </w:r>
          </w:p>
        </w:tc>
        <w:tc>
          <w:tcPr>
            <w:tcW w:w="996" w:type="dxa"/>
            <w:tcBorders>
              <w:top w:val="nil"/>
              <w:left w:val="nil"/>
              <w:bottom w:val="nil"/>
              <w:right w:val="nil"/>
            </w:tcBorders>
            <w:shd w:val="clear" w:color="000000" w:fill="FFFFFF"/>
            <w:noWrap/>
            <w:vAlign w:val="bottom"/>
            <w:hideMark/>
          </w:tcPr>
          <w:p w:rsidR="00286159" w:rsidRPr="00CD126B" w:rsidRDefault="00286159" w:rsidP="00AE1C26">
            <w:pPr>
              <w:rPr>
                <w:rFonts w:cs="Calibri"/>
                <w:lang w:eastAsia="en-GB"/>
              </w:rPr>
            </w:pPr>
            <w:r w:rsidRPr="00CD126B">
              <w:rPr>
                <w:rFonts w:cs="Calibri"/>
                <w:lang w:eastAsia="en-GB"/>
              </w:rPr>
              <w:t> </w:t>
            </w:r>
          </w:p>
        </w:tc>
        <w:tc>
          <w:tcPr>
            <w:tcW w:w="656" w:type="dxa"/>
            <w:tcBorders>
              <w:top w:val="nil"/>
              <w:left w:val="nil"/>
              <w:bottom w:val="nil"/>
              <w:right w:val="nil"/>
            </w:tcBorders>
            <w:shd w:val="clear" w:color="000000" w:fill="FFFFFF"/>
            <w:noWrap/>
            <w:vAlign w:val="bottom"/>
            <w:hideMark/>
          </w:tcPr>
          <w:p w:rsidR="00286159" w:rsidRPr="00CD126B" w:rsidRDefault="00286159" w:rsidP="00AE1C26">
            <w:pPr>
              <w:rPr>
                <w:rFonts w:cs="Calibri"/>
                <w:lang w:eastAsia="en-GB"/>
              </w:rPr>
            </w:pPr>
            <w:r w:rsidRPr="00CD126B">
              <w:rPr>
                <w:rFonts w:cs="Calibri"/>
                <w:lang w:eastAsia="en-GB"/>
              </w:rPr>
              <w:t> </w:t>
            </w:r>
          </w:p>
        </w:tc>
        <w:tc>
          <w:tcPr>
            <w:tcW w:w="1836" w:type="dxa"/>
            <w:tcBorders>
              <w:top w:val="single" w:sz="4" w:space="0" w:color="auto"/>
              <w:left w:val="nil"/>
              <w:bottom w:val="single" w:sz="4" w:space="0" w:color="auto"/>
              <w:right w:val="nil"/>
            </w:tcBorders>
            <w:shd w:val="clear" w:color="000000" w:fill="FFFFFF"/>
            <w:noWrap/>
            <w:vAlign w:val="bottom"/>
            <w:hideMark/>
          </w:tcPr>
          <w:p w:rsidR="00286159" w:rsidRPr="00CD126B" w:rsidRDefault="00286159" w:rsidP="00AE1C26">
            <w:pPr>
              <w:jc w:val="right"/>
              <w:rPr>
                <w:rFonts w:cs="Calibri"/>
                <w:b/>
                <w:bCs/>
                <w:lang w:eastAsia="en-GB"/>
              </w:rPr>
            </w:pPr>
            <w:r>
              <w:rPr>
                <w:rFonts w:cs="Calibri"/>
                <w:b/>
                <w:bCs/>
                <w:lang w:eastAsia="en-GB"/>
              </w:rPr>
              <w:t>0.9</w:t>
            </w:r>
          </w:p>
        </w:tc>
        <w:tc>
          <w:tcPr>
            <w:tcW w:w="456" w:type="dxa"/>
            <w:tcBorders>
              <w:top w:val="nil"/>
              <w:left w:val="nil"/>
              <w:bottom w:val="nil"/>
              <w:right w:val="nil"/>
            </w:tcBorders>
            <w:shd w:val="clear" w:color="000000" w:fill="FFFFFF"/>
            <w:noWrap/>
            <w:vAlign w:val="bottom"/>
            <w:hideMark/>
          </w:tcPr>
          <w:p w:rsidR="00286159" w:rsidRPr="00CD126B" w:rsidRDefault="00286159" w:rsidP="00AE1C26">
            <w:pPr>
              <w:rPr>
                <w:rFonts w:cs="Calibri"/>
                <w:lang w:eastAsia="en-GB"/>
              </w:rPr>
            </w:pPr>
            <w:r w:rsidRPr="00CD126B">
              <w:rPr>
                <w:rFonts w:cs="Calibri"/>
                <w:lang w:eastAsia="en-GB"/>
              </w:rPr>
              <w:t> </w:t>
            </w:r>
          </w:p>
        </w:tc>
        <w:tc>
          <w:tcPr>
            <w:tcW w:w="1816" w:type="dxa"/>
            <w:tcBorders>
              <w:top w:val="single" w:sz="4" w:space="0" w:color="auto"/>
              <w:left w:val="nil"/>
              <w:bottom w:val="single" w:sz="4" w:space="0" w:color="auto"/>
              <w:right w:val="nil"/>
            </w:tcBorders>
            <w:shd w:val="clear" w:color="000000" w:fill="FFFFFF"/>
            <w:noWrap/>
            <w:vAlign w:val="bottom"/>
            <w:hideMark/>
          </w:tcPr>
          <w:p w:rsidR="00286159" w:rsidRPr="00CD126B" w:rsidRDefault="00286159" w:rsidP="00AE1C26">
            <w:pPr>
              <w:jc w:val="right"/>
              <w:rPr>
                <w:rFonts w:cs="Calibri"/>
                <w:b/>
                <w:bCs/>
                <w:lang w:eastAsia="en-GB"/>
              </w:rPr>
            </w:pPr>
            <w:r w:rsidRPr="00CD126B">
              <w:rPr>
                <w:rFonts w:cs="Calibri"/>
                <w:b/>
                <w:bCs/>
                <w:lang w:eastAsia="en-GB"/>
              </w:rPr>
              <w:t>0.4</w:t>
            </w:r>
          </w:p>
        </w:tc>
      </w:tr>
    </w:tbl>
    <w:p w:rsidR="00F72906" w:rsidRDefault="00F72906" w:rsidP="00F72906"/>
    <w:p w:rsidR="00F72906" w:rsidRDefault="00F72906" w:rsidP="00F72906">
      <w:r>
        <w:t>Analysis of creditors</w:t>
      </w:r>
    </w:p>
    <w:p w:rsidR="00286159" w:rsidRDefault="00F72906" w:rsidP="00286159">
      <w:r>
        <w:tab/>
      </w:r>
    </w:p>
    <w:tbl>
      <w:tblPr>
        <w:tblW w:w="0" w:type="auto"/>
        <w:tblLook w:val="01E0" w:firstRow="1" w:lastRow="1" w:firstColumn="1" w:lastColumn="1" w:noHBand="0" w:noVBand="0"/>
      </w:tblPr>
      <w:tblGrid>
        <w:gridCol w:w="4054"/>
        <w:gridCol w:w="1871"/>
        <w:gridCol w:w="1871"/>
      </w:tblGrid>
      <w:tr w:rsidR="00286159" w:rsidRPr="00FF3B61" w:rsidTr="00AE1C26">
        <w:tc>
          <w:tcPr>
            <w:tcW w:w="4054" w:type="dxa"/>
          </w:tcPr>
          <w:p w:rsidR="00286159" w:rsidRPr="00FF3B61" w:rsidRDefault="00286159" w:rsidP="00AE1C26">
            <w:pPr>
              <w:widowControl w:val="0"/>
              <w:tabs>
                <w:tab w:val="left" w:pos="180"/>
                <w:tab w:val="right" w:pos="3060"/>
                <w:tab w:val="right" w:pos="4150"/>
              </w:tabs>
              <w:rPr>
                <w:rFonts w:cs="Segoe UI Light"/>
                <w:snapToGrid w:val="0"/>
                <w:color w:val="000000"/>
              </w:rPr>
            </w:pPr>
          </w:p>
        </w:tc>
        <w:tc>
          <w:tcPr>
            <w:tcW w:w="1871" w:type="dxa"/>
          </w:tcPr>
          <w:p w:rsidR="00286159" w:rsidRPr="00FF3B61" w:rsidRDefault="00286159" w:rsidP="00AE1C26">
            <w:pPr>
              <w:widowControl w:val="0"/>
              <w:tabs>
                <w:tab w:val="left" w:pos="180"/>
                <w:tab w:val="right" w:pos="3060"/>
                <w:tab w:val="right" w:pos="4150"/>
              </w:tabs>
              <w:jc w:val="right"/>
              <w:rPr>
                <w:rFonts w:cs="Segoe UI Light"/>
                <w:b/>
                <w:snapToGrid w:val="0"/>
                <w:color w:val="000000"/>
              </w:rPr>
            </w:pPr>
            <w:r w:rsidRPr="00FF3B61">
              <w:rPr>
                <w:rFonts w:cs="Segoe UI Light"/>
                <w:b/>
                <w:snapToGrid w:val="0"/>
                <w:color w:val="000000"/>
              </w:rPr>
              <w:t>31 March 20</w:t>
            </w:r>
            <w:r>
              <w:rPr>
                <w:rFonts w:cs="Segoe UI Light"/>
                <w:b/>
                <w:snapToGrid w:val="0"/>
                <w:color w:val="000000"/>
              </w:rPr>
              <w:t>19</w:t>
            </w:r>
          </w:p>
        </w:tc>
        <w:tc>
          <w:tcPr>
            <w:tcW w:w="1871" w:type="dxa"/>
          </w:tcPr>
          <w:p w:rsidR="00286159" w:rsidRPr="00FF3B61" w:rsidRDefault="00286159" w:rsidP="00AE1C26">
            <w:pPr>
              <w:widowControl w:val="0"/>
              <w:tabs>
                <w:tab w:val="left" w:pos="180"/>
                <w:tab w:val="right" w:pos="3060"/>
                <w:tab w:val="right" w:pos="4150"/>
              </w:tabs>
              <w:jc w:val="right"/>
              <w:rPr>
                <w:rFonts w:cs="Segoe UI Light"/>
                <w:b/>
                <w:snapToGrid w:val="0"/>
                <w:color w:val="000000"/>
              </w:rPr>
            </w:pPr>
            <w:r w:rsidRPr="00FF3B61">
              <w:rPr>
                <w:rFonts w:cs="Segoe UI Light"/>
                <w:b/>
                <w:snapToGrid w:val="0"/>
                <w:color w:val="000000"/>
              </w:rPr>
              <w:t>31 March 20</w:t>
            </w:r>
            <w:r>
              <w:rPr>
                <w:rFonts w:cs="Segoe UI Light"/>
                <w:b/>
                <w:snapToGrid w:val="0"/>
                <w:color w:val="000000"/>
              </w:rPr>
              <w:t>20</w:t>
            </w:r>
          </w:p>
        </w:tc>
      </w:tr>
      <w:tr w:rsidR="00286159" w:rsidRPr="00FF3B61" w:rsidTr="00AE1C26">
        <w:tc>
          <w:tcPr>
            <w:tcW w:w="4054" w:type="dxa"/>
          </w:tcPr>
          <w:p w:rsidR="00286159" w:rsidRPr="00FF3B61" w:rsidRDefault="00286159" w:rsidP="00AE1C26">
            <w:pPr>
              <w:widowControl w:val="0"/>
              <w:tabs>
                <w:tab w:val="left" w:pos="180"/>
                <w:tab w:val="right" w:pos="3060"/>
                <w:tab w:val="right" w:pos="4150"/>
              </w:tabs>
              <w:rPr>
                <w:rFonts w:cs="Segoe UI Light"/>
                <w:snapToGrid w:val="0"/>
                <w:color w:val="000000"/>
              </w:rPr>
            </w:pPr>
          </w:p>
        </w:tc>
        <w:tc>
          <w:tcPr>
            <w:tcW w:w="1871" w:type="dxa"/>
          </w:tcPr>
          <w:p w:rsidR="00286159" w:rsidRPr="00FF3B61" w:rsidRDefault="00286159" w:rsidP="00AE1C26">
            <w:pPr>
              <w:widowControl w:val="0"/>
              <w:tabs>
                <w:tab w:val="left" w:pos="180"/>
                <w:tab w:val="right" w:pos="3060"/>
                <w:tab w:val="right" w:pos="4150"/>
              </w:tabs>
              <w:jc w:val="right"/>
              <w:rPr>
                <w:rFonts w:cs="Segoe UI Light"/>
                <w:b/>
                <w:snapToGrid w:val="0"/>
                <w:color w:val="000000"/>
              </w:rPr>
            </w:pPr>
            <w:r w:rsidRPr="00FF3B61">
              <w:rPr>
                <w:rFonts w:cs="Segoe UI Light"/>
                <w:b/>
                <w:snapToGrid w:val="0"/>
                <w:color w:val="000000"/>
              </w:rPr>
              <w:t>£m</w:t>
            </w:r>
          </w:p>
        </w:tc>
        <w:tc>
          <w:tcPr>
            <w:tcW w:w="1871" w:type="dxa"/>
          </w:tcPr>
          <w:p w:rsidR="00286159" w:rsidRPr="00FF3B61" w:rsidRDefault="00286159" w:rsidP="00AE1C26">
            <w:pPr>
              <w:widowControl w:val="0"/>
              <w:tabs>
                <w:tab w:val="left" w:pos="180"/>
                <w:tab w:val="right" w:pos="3060"/>
                <w:tab w:val="right" w:pos="4150"/>
              </w:tabs>
              <w:jc w:val="right"/>
              <w:rPr>
                <w:rFonts w:cs="Segoe UI Light"/>
                <w:b/>
                <w:snapToGrid w:val="0"/>
                <w:color w:val="000000"/>
              </w:rPr>
            </w:pPr>
            <w:r w:rsidRPr="00FF3B61">
              <w:rPr>
                <w:rFonts w:cs="Segoe UI Light"/>
                <w:b/>
                <w:snapToGrid w:val="0"/>
                <w:color w:val="000000"/>
              </w:rPr>
              <w:t>£m</w:t>
            </w:r>
          </w:p>
        </w:tc>
      </w:tr>
      <w:tr w:rsidR="00286159" w:rsidRPr="00FF3B61" w:rsidTr="00AE1C26">
        <w:trPr>
          <w:trHeight w:val="386"/>
        </w:trPr>
        <w:tc>
          <w:tcPr>
            <w:tcW w:w="4054" w:type="dxa"/>
          </w:tcPr>
          <w:p w:rsidR="00286159" w:rsidRPr="00FF3B61" w:rsidRDefault="00286159" w:rsidP="00AE1C26">
            <w:pPr>
              <w:widowControl w:val="0"/>
              <w:tabs>
                <w:tab w:val="left" w:pos="180"/>
                <w:tab w:val="right" w:pos="3060"/>
                <w:tab w:val="right" w:pos="4150"/>
              </w:tabs>
              <w:rPr>
                <w:rFonts w:cs="Segoe UI Light"/>
                <w:snapToGrid w:val="0"/>
                <w:color w:val="000000"/>
              </w:rPr>
            </w:pPr>
            <w:r w:rsidRPr="00FF3B61">
              <w:rPr>
                <w:rFonts w:cs="Segoe UI Light"/>
                <w:snapToGrid w:val="0"/>
                <w:color w:val="000000"/>
              </w:rPr>
              <w:t>College of North West London</w:t>
            </w:r>
          </w:p>
        </w:tc>
        <w:tc>
          <w:tcPr>
            <w:tcW w:w="1871" w:type="dxa"/>
          </w:tcPr>
          <w:p w:rsidR="00286159" w:rsidRPr="00FF3B61" w:rsidRDefault="00286159" w:rsidP="00AE1C26">
            <w:pPr>
              <w:widowControl w:val="0"/>
              <w:tabs>
                <w:tab w:val="left" w:pos="180"/>
                <w:tab w:val="right" w:pos="3060"/>
                <w:tab w:val="right" w:pos="4150"/>
              </w:tabs>
              <w:jc w:val="right"/>
              <w:rPr>
                <w:rFonts w:cs="Segoe UI Light"/>
                <w:snapToGrid w:val="0"/>
                <w:color w:val="000000"/>
              </w:rPr>
            </w:pPr>
            <w:r w:rsidRPr="00FF3B61">
              <w:rPr>
                <w:rFonts w:cs="Segoe UI Light"/>
                <w:snapToGrid w:val="0"/>
                <w:color w:val="000000"/>
              </w:rPr>
              <w:t>(0.1)</w:t>
            </w:r>
          </w:p>
        </w:tc>
        <w:tc>
          <w:tcPr>
            <w:tcW w:w="1871" w:type="dxa"/>
          </w:tcPr>
          <w:p w:rsidR="00286159" w:rsidRPr="00FF3B61" w:rsidRDefault="00286159" w:rsidP="00AE1C26">
            <w:pPr>
              <w:widowControl w:val="0"/>
              <w:tabs>
                <w:tab w:val="left" w:pos="180"/>
                <w:tab w:val="right" w:pos="3060"/>
                <w:tab w:val="right" w:pos="4150"/>
              </w:tabs>
              <w:jc w:val="right"/>
              <w:rPr>
                <w:rFonts w:cs="Segoe UI Light"/>
                <w:snapToGrid w:val="0"/>
                <w:color w:val="000000"/>
              </w:rPr>
            </w:pPr>
            <w:r>
              <w:rPr>
                <w:rFonts w:cs="Segoe UI Light"/>
                <w:snapToGrid w:val="0"/>
                <w:color w:val="000000"/>
              </w:rPr>
              <w:t>0.0</w:t>
            </w:r>
          </w:p>
        </w:tc>
      </w:tr>
      <w:tr w:rsidR="00286159" w:rsidRPr="00FF3B61" w:rsidTr="00AE1C26">
        <w:tc>
          <w:tcPr>
            <w:tcW w:w="4054" w:type="dxa"/>
          </w:tcPr>
          <w:p w:rsidR="00286159" w:rsidRPr="00FF3B61" w:rsidRDefault="00286159" w:rsidP="00AE1C26">
            <w:pPr>
              <w:widowControl w:val="0"/>
              <w:tabs>
                <w:tab w:val="left" w:pos="180"/>
                <w:tab w:val="right" w:pos="3060"/>
                <w:tab w:val="right" w:pos="4150"/>
              </w:tabs>
              <w:rPr>
                <w:rFonts w:cs="Segoe UI Light"/>
                <w:snapToGrid w:val="0"/>
                <w:color w:val="000000"/>
              </w:rPr>
            </w:pPr>
            <w:r w:rsidRPr="00FF3B61">
              <w:rPr>
                <w:rFonts w:cs="Segoe UI Light"/>
                <w:snapToGrid w:val="0"/>
                <w:color w:val="000000"/>
              </w:rPr>
              <w:t>Other entities and individuals</w:t>
            </w:r>
          </w:p>
        </w:tc>
        <w:tc>
          <w:tcPr>
            <w:tcW w:w="1871" w:type="dxa"/>
          </w:tcPr>
          <w:p w:rsidR="00286159" w:rsidRPr="00FF3B61" w:rsidRDefault="00286159" w:rsidP="00AE1C26">
            <w:pPr>
              <w:widowControl w:val="0"/>
              <w:tabs>
                <w:tab w:val="left" w:pos="180"/>
                <w:tab w:val="right" w:pos="3060"/>
                <w:tab w:val="right" w:pos="4150"/>
              </w:tabs>
              <w:jc w:val="right"/>
              <w:rPr>
                <w:rFonts w:cs="Segoe UI Light"/>
                <w:snapToGrid w:val="0"/>
                <w:color w:val="000000"/>
              </w:rPr>
            </w:pPr>
            <w:r w:rsidRPr="00FF3B61">
              <w:rPr>
                <w:rFonts w:cs="Segoe UI Light"/>
                <w:snapToGrid w:val="0"/>
                <w:color w:val="000000"/>
              </w:rPr>
              <w:t>1.0</w:t>
            </w:r>
          </w:p>
        </w:tc>
        <w:tc>
          <w:tcPr>
            <w:tcW w:w="1871" w:type="dxa"/>
          </w:tcPr>
          <w:p w:rsidR="00286159" w:rsidRPr="00FF3B61" w:rsidRDefault="00286159" w:rsidP="00AE1C26">
            <w:pPr>
              <w:widowControl w:val="0"/>
              <w:tabs>
                <w:tab w:val="left" w:pos="180"/>
                <w:tab w:val="right" w:pos="3060"/>
                <w:tab w:val="right" w:pos="4150"/>
              </w:tabs>
              <w:jc w:val="right"/>
              <w:rPr>
                <w:rFonts w:cs="Segoe UI Light"/>
                <w:snapToGrid w:val="0"/>
                <w:color w:val="000000"/>
              </w:rPr>
            </w:pPr>
            <w:r>
              <w:rPr>
                <w:rFonts w:cs="Segoe UI Light"/>
                <w:snapToGrid w:val="0"/>
                <w:color w:val="000000"/>
              </w:rPr>
              <w:t>0.4</w:t>
            </w:r>
          </w:p>
        </w:tc>
      </w:tr>
      <w:tr w:rsidR="00286159" w:rsidRPr="00FF3B61" w:rsidTr="00AE1C26">
        <w:tc>
          <w:tcPr>
            <w:tcW w:w="4054" w:type="dxa"/>
          </w:tcPr>
          <w:p w:rsidR="00286159" w:rsidRPr="00FF3B61" w:rsidRDefault="00286159" w:rsidP="00AE1C26">
            <w:pPr>
              <w:widowControl w:val="0"/>
              <w:tabs>
                <w:tab w:val="left" w:pos="180"/>
                <w:tab w:val="right" w:pos="3060"/>
                <w:tab w:val="right" w:pos="4150"/>
              </w:tabs>
              <w:rPr>
                <w:rFonts w:cs="Segoe UI Light"/>
                <w:b/>
                <w:snapToGrid w:val="0"/>
                <w:color w:val="000000"/>
              </w:rPr>
            </w:pPr>
            <w:r w:rsidRPr="00FF3B61">
              <w:rPr>
                <w:rFonts w:cs="Segoe UI Light"/>
                <w:b/>
                <w:snapToGrid w:val="0"/>
                <w:color w:val="000000"/>
              </w:rPr>
              <w:t>Total</w:t>
            </w:r>
          </w:p>
        </w:tc>
        <w:tc>
          <w:tcPr>
            <w:tcW w:w="1871" w:type="dxa"/>
            <w:tcBorders>
              <w:top w:val="single" w:sz="4" w:space="0" w:color="auto"/>
            </w:tcBorders>
          </w:tcPr>
          <w:p w:rsidR="00286159" w:rsidRPr="00FF3B61" w:rsidRDefault="00286159" w:rsidP="00AE1C26">
            <w:pPr>
              <w:widowControl w:val="0"/>
              <w:tabs>
                <w:tab w:val="left" w:pos="180"/>
                <w:tab w:val="right" w:pos="3060"/>
                <w:tab w:val="right" w:pos="4150"/>
              </w:tabs>
              <w:jc w:val="right"/>
              <w:rPr>
                <w:rFonts w:cs="Segoe UI Light"/>
                <w:b/>
                <w:snapToGrid w:val="0"/>
                <w:color w:val="000000"/>
              </w:rPr>
            </w:pPr>
            <w:r w:rsidRPr="00FF3B61">
              <w:rPr>
                <w:rFonts w:cs="Segoe UI Light"/>
                <w:b/>
                <w:snapToGrid w:val="0"/>
                <w:color w:val="000000"/>
              </w:rPr>
              <w:t>0.9</w:t>
            </w:r>
          </w:p>
        </w:tc>
        <w:tc>
          <w:tcPr>
            <w:tcW w:w="1871" w:type="dxa"/>
            <w:tcBorders>
              <w:top w:val="single" w:sz="4" w:space="0" w:color="auto"/>
            </w:tcBorders>
          </w:tcPr>
          <w:p w:rsidR="00286159" w:rsidRPr="00FF3B61" w:rsidRDefault="00286159" w:rsidP="00AE1C26">
            <w:pPr>
              <w:widowControl w:val="0"/>
              <w:tabs>
                <w:tab w:val="left" w:pos="180"/>
                <w:tab w:val="right" w:pos="3060"/>
                <w:tab w:val="right" w:pos="4150"/>
              </w:tabs>
              <w:jc w:val="right"/>
              <w:rPr>
                <w:rFonts w:cs="Segoe UI Light"/>
                <w:b/>
                <w:snapToGrid w:val="0"/>
                <w:color w:val="000000"/>
              </w:rPr>
            </w:pPr>
            <w:r w:rsidRPr="00A42F67">
              <w:rPr>
                <w:rFonts w:cs="Segoe UI Light"/>
                <w:b/>
                <w:snapToGrid w:val="0"/>
                <w:color w:val="000000"/>
              </w:rPr>
              <w:t>0.4</w:t>
            </w:r>
          </w:p>
        </w:tc>
      </w:tr>
    </w:tbl>
    <w:p w:rsidR="00F72906" w:rsidRDefault="00F72906" w:rsidP="00286159"/>
    <w:p w:rsidR="00F72906" w:rsidRDefault="00F72906" w:rsidP="00286159">
      <w:pPr>
        <w:pStyle w:val="Heading3"/>
      </w:pPr>
      <w:r>
        <w:t>22.  Additional voluntary contributions</w:t>
      </w:r>
    </w:p>
    <w:p w:rsidR="00286159" w:rsidRDefault="00F72906" w:rsidP="00286159">
      <w:r>
        <w:tab/>
      </w:r>
    </w:p>
    <w:tbl>
      <w:tblPr>
        <w:tblW w:w="3706" w:type="pct"/>
        <w:tblLook w:val="01E0" w:firstRow="1" w:lastRow="1" w:firstColumn="1" w:lastColumn="1" w:noHBand="0" w:noVBand="0"/>
      </w:tblPr>
      <w:tblGrid>
        <w:gridCol w:w="3156"/>
        <w:gridCol w:w="2300"/>
        <w:gridCol w:w="1776"/>
      </w:tblGrid>
      <w:tr w:rsidR="00286159" w:rsidRPr="00B719B7" w:rsidTr="00AE1C26">
        <w:tc>
          <w:tcPr>
            <w:tcW w:w="2182" w:type="pct"/>
          </w:tcPr>
          <w:p w:rsidR="00286159" w:rsidRPr="00B719B7" w:rsidRDefault="00286159" w:rsidP="00AE1C26">
            <w:pPr>
              <w:widowControl w:val="0"/>
              <w:tabs>
                <w:tab w:val="right" w:pos="7200"/>
              </w:tabs>
              <w:ind w:left="132" w:hanging="132"/>
              <w:rPr>
                <w:rFonts w:cs="Segoe UI Light"/>
                <w:snapToGrid w:val="0"/>
                <w:color w:val="000000"/>
              </w:rPr>
            </w:pPr>
          </w:p>
        </w:tc>
        <w:tc>
          <w:tcPr>
            <w:tcW w:w="1590" w:type="pct"/>
          </w:tcPr>
          <w:p w:rsidR="00286159" w:rsidRPr="00B719B7" w:rsidRDefault="00286159" w:rsidP="00AE1C26">
            <w:pPr>
              <w:widowControl w:val="0"/>
              <w:tabs>
                <w:tab w:val="right" w:pos="7200"/>
              </w:tabs>
              <w:ind w:left="132" w:hanging="132"/>
              <w:jc w:val="right"/>
              <w:rPr>
                <w:rFonts w:cs="Segoe UI Light"/>
                <w:b/>
                <w:snapToGrid w:val="0"/>
                <w:color w:val="000000"/>
              </w:rPr>
            </w:pPr>
            <w:r w:rsidRPr="00B719B7">
              <w:rPr>
                <w:rFonts w:cs="Segoe UI Light"/>
                <w:b/>
                <w:snapToGrid w:val="0"/>
                <w:color w:val="000000"/>
              </w:rPr>
              <w:t>Market value</w:t>
            </w:r>
          </w:p>
        </w:tc>
        <w:tc>
          <w:tcPr>
            <w:tcW w:w="1228" w:type="pct"/>
          </w:tcPr>
          <w:p w:rsidR="00286159" w:rsidRPr="00B719B7" w:rsidRDefault="00286159" w:rsidP="00AE1C26">
            <w:pPr>
              <w:widowControl w:val="0"/>
              <w:tabs>
                <w:tab w:val="right" w:pos="7200"/>
              </w:tabs>
              <w:ind w:left="132" w:hanging="132"/>
              <w:jc w:val="right"/>
              <w:rPr>
                <w:rFonts w:cs="Segoe UI Light"/>
                <w:b/>
                <w:snapToGrid w:val="0"/>
                <w:color w:val="000000"/>
              </w:rPr>
            </w:pPr>
            <w:r w:rsidRPr="00B719B7">
              <w:rPr>
                <w:rFonts w:cs="Segoe UI Light"/>
                <w:b/>
                <w:snapToGrid w:val="0"/>
                <w:color w:val="000000"/>
              </w:rPr>
              <w:t>Market value</w:t>
            </w:r>
          </w:p>
        </w:tc>
      </w:tr>
      <w:tr w:rsidR="00286159" w:rsidRPr="00B719B7" w:rsidTr="00AE1C26">
        <w:tc>
          <w:tcPr>
            <w:tcW w:w="2182" w:type="pct"/>
          </w:tcPr>
          <w:p w:rsidR="00286159" w:rsidRPr="00B719B7" w:rsidRDefault="00286159" w:rsidP="00AE1C26">
            <w:pPr>
              <w:widowControl w:val="0"/>
              <w:tabs>
                <w:tab w:val="right" w:pos="7200"/>
              </w:tabs>
              <w:ind w:left="132" w:hanging="132"/>
              <w:rPr>
                <w:rFonts w:cs="Segoe UI Light"/>
                <w:snapToGrid w:val="0"/>
                <w:color w:val="000000"/>
              </w:rPr>
            </w:pPr>
          </w:p>
        </w:tc>
        <w:tc>
          <w:tcPr>
            <w:tcW w:w="1590" w:type="pct"/>
          </w:tcPr>
          <w:p w:rsidR="00286159" w:rsidRPr="00B719B7" w:rsidRDefault="00286159" w:rsidP="00AE1C26">
            <w:pPr>
              <w:widowControl w:val="0"/>
              <w:tabs>
                <w:tab w:val="left" w:pos="180"/>
                <w:tab w:val="right" w:pos="3060"/>
                <w:tab w:val="right" w:pos="4150"/>
              </w:tabs>
              <w:jc w:val="right"/>
              <w:rPr>
                <w:rFonts w:cs="Segoe UI Light"/>
                <w:b/>
                <w:snapToGrid w:val="0"/>
                <w:color w:val="000000"/>
              </w:rPr>
            </w:pPr>
            <w:r w:rsidRPr="00B719B7">
              <w:rPr>
                <w:rFonts w:cs="Segoe UI Light"/>
                <w:b/>
                <w:snapToGrid w:val="0"/>
                <w:color w:val="000000"/>
              </w:rPr>
              <w:t>31 March 2019</w:t>
            </w:r>
          </w:p>
        </w:tc>
        <w:tc>
          <w:tcPr>
            <w:tcW w:w="1228" w:type="pct"/>
          </w:tcPr>
          <w:p w:rsidR="00286159" w:rsidRPr="00B719B7" w:rsidRDefault="00286159" w:rsidP="00AE1C26">
            <w:pPr>
              <w:widowControl w:val="0"/>
              <w:tabs>
                <w:tab w:val="left" w:pos="180"/>
                <w:tab w:val="right" w:pos="3060"/>
                <w:tab w:val="right" w:pos="4150"/>
              </w:tabs>
              <w:jc w:val="right"/>
              <w:rPr>
                <w:rFonts w:cs="Segoe UI Light"/>
                <w:b/>
                <w:snapToGrid w:val="0"/>
                <w:color w:val="000000"/>
              </w:rPr>
            </w:pPr>
            <w:r w:rsidRPr="00B719B7">
              <w:rPr>
                <w:rFonts w:cs="Segoe UI Light"/>
                <w:b/>
                <w:snapToGrid w:val="0"/>
                <w:color w:val="000000"/>
              </w:rPr>
              <w:t>31 March 2020</w:t>
            </w:r>
          </w:p>
        </w:tc>
      </w:tr>
      <w:tr w:rsidR="00286159" w:rsidRPr="00B719B7" w:rsidTr="00AE1C26">
        <w:trPr>
          <w:trHeight w:val="451"/>
        </w:trPr>
        <w:tc>
          <w:tcPr>
            <w:tcW w:w="2182" w:type="pct"/>
          </w:tcPr>
          <w:p w:rsidR="00286159" w:rsidRPr="00B719B7" w:rsidRDefault="00286159" w:rsidP="00AE1C26">
            <w:pPr>
              <w:widowControl w:val="0"/>
              <w:tabs>
                <w:tab w:val="right" w:pos="7200"/>
              </w:tabs>
              <w:ind w:left="132" w:hanging="132"/>
              <w:rPr>
                <w:rFonts w:cs="Segoe UI Light"/>
                <w:snapToGrid w:val="0"/>
                <w:color w:val="000000"/>
              </w:rPr>
            </w:pPr>
          </w:p>
        </w:tc>
        <w:tc>
          <w:tcPr>
            <w:tcW w:w="1590" w:type="pct"/>
          </w:tcPr>
          <w:p w:rsidR="00286159" w:rsidRPr="00B719B7" w:rsidRDefault="00286159" w:rsidP="00AE1C26">
            <w:pPr>
              <w:widowControl w:val="0"/>
              <w:tabs>
                <w:tab w:val="right" w:pos="7200"/>
              </w:tabs>
              <w:ind w:left="132" w:hanging="132"/>
              <w:jc w:val="right"/>
              <w:rPr>
                <w:rFonts w:cs="Segoe UI Light"/>
                <w:b/>
                <w:snapToGrid w:val="0"/>
                <w:color w:val="000000"/>
              </w:rPr>
            </w:pPr>
            <w:r w:rsidRPr="00B719B7">
              <w:rPr>
                <w:rFonts w:cs="Segoe UI Light"/>
                <w:b/>
                <w:snapToGrid w:val="0"/>
                <w:color w:val="000000"/>
              </w:rPr>
              <w:t>£m</w:t>
            </w:r>
          </w:p>
        </w:tc>
        <w:tc>
          <w:tcPr>
            <w:tcW w:w="1228" w:type="pct"/>
          </w:tcPr>
          <w:p w:rsidR="00286159" w:rsidRPr="00B719B7" w:rsidRDefault="00286159" w:rsidP="00AE1C26">
            <w:pPr>
              <w:widowControl w:val="0"/>
              <w:tabs>
                <w:tab w:val="right" w:pos="7200"/>
              </w:tabs>
              <w:ind w:left="132" w:hanging="132"/>
              <w:jc w:val="right"/>
              <w:rPr>
                <w:rFonts w:cs="Segoe UI Light"/>
                <w:b/>
                <w:snapToGrid w:val="0"/>
                <w:color w:val="000000"/>
              </w:rPr>
            </w:pPr>
            <w:r w:rsidRPr="00B719B7">
              <w:rPr>
                <w:rFonts w:cs="Segoe UI Light"/>
                <w:b/>
                <w:snapToGrid w:val="0"/>
                <w:color w:val="000000"/>
              </w:rPr>
              <w:t>£m</w:t>
            </w:r>
          </w:p>
        </w:tc>
      </w:tr>
      <w:tr w:rsidR="00286159" w:rsidRPr="00B719B7" w:rsidTr="00AE1C26">
        <w:tc>
          <w:tcPr>
            <w:tcW w:w="2182" w:type="pct"/>
          </w:tcPr>
          <w:p w:rsidR="00286159" w:rsidRPr="00B719B7" w:rsidRDefault="00286159" w:rsidP="00AE1C26">
            <w:pPr>
              <w:widowControl w:val="0"/>
              <w:tabs>
                <w:tab w:val="right" w:pos="7200"/>
              </w:tabs>
              <w:ind w:left="132" w:hanging="132"/>
              <w:rPr>
                <w:rFonts w:cs="Segoe UI Light"/>
                <w:snapToGrid w:val="0"/>
                <w:color w:val="000000"/>
              </w:rPr>
            </w:pPr>
            <w:r w:rsidRPr="00B719B7">
              <w:rPr>
                <w:rFonts w:cs="Segoe UI Light"/>
                <w:snapToGrid w:val="0"/>
                <w:color w:val="000000"/>
              </w:rPr>
              <w:t xml:space="preserve">Clerical Medical  </w:t>
            </w:r>
          </w:p>
        </w:tc>
        <w:tc>
          <w:tcPr>
            <w:tcW w:w="1590" w:type="pct"/>
          </w:tcPr>
          <w:p w:rsidR="00286159" w:rsidRPr="00B719B7" w:rsidRDefault="00286159" w:rsidP="00AE1C26">
            <w:pPr>
              <w:widowControl w:val="0"/>
              <w:tabs>
                <w:tab w:val="right" w:pos="7200"/>
              </w:tabs>
              <w:ind w:left="132" w:hanging="132"/>
              <w:jc w:val="right"/>
              <w:rPr>
                <w:rFonts w:cs="Segoe UI Light"/>
                <w:snapToGrid w:val="0"/>
                <w:color w:val="000000"/>
              </w:rPr>
            </w:pPr>
            <w:r w:rsidRPr="00B719B7">
              <w:rPr>
                <w:rFonts w:cs="Segoe UI Light"/>
                <w:snapToGrid w:val="0"/>
                <w:color w:val="000000"/>
              </w:rPr>
              <w:t>1.3</w:t>
            </w:r>
          </w:p>
        </w:tc>
        <w:tc>
          <w:tcPr>
            <w:tcW w:w="1228" w:type="pct"/>
          </w:tcPr>
          <w:p w:rsidR="00286159" w:rsidRPr="00B719B7" w:rsidRDefault="00286159" w:rsidP="00AE1C26">
            <w:pPr>
              <w:widowControl w:val="0"/>
              <w:tabs>
                <w:tab w:val="right" w:pos="7200"/>
              </w:tabs>
              <w:ind w:left="132" w:hanging="132"/>
              <w:jc w:val="right"/>
              <w:rPr>
                <w:rFonts w:cs="Segoe UI Light"/>
                <w:snapToGrid w:val="0"/>
                <w:color w:val="000000"/>
              </w:rPr>
            </w:pPr>
            <w:r w:rsidRPr="00B719B7">
              <w:rPr>
                <w:rFonts w:cs="Segoe UI Light"/>
                <w:snapToGrid w:val="0"/>
                <w:color w:val="000000"/>
              </w:rPr>
              <w:t>1.3</w:t>
            </w:r>
          </w:p>
        </w:tc>
      </w:tr>
      <w:tr w:rsidR="00286159" w:rsidRPr="00B719B7" w:rsidTr="00AE1C26">
        <w:tc>
          <w:tcPr>
            <w:tcW w:w="2182" w:type="pct"/>
          </w:tcPr>
          <w:p w:rsidR="00286159" w:rsidRPr="00B719B7" w:rsidRDefault="00286159" w:rsidP="00AE1C26">
            <w:pPr>
              <w:widowControl w:val="0"/>
              <w:tabs>
                <w:tab w:val="right" w:pos="7200"/>
              </w:tabs>
              <w:ind w:left="132" w:hanging="132"/>
              <w:rPr>
                <w:rFonts w:cs="Segoe UI Light"/>
                <w:snapToGrid w:val="0"/>
                <w:color w:val="000000"/>
              </w:rPr>
            </w:pPr>
            <w:r w:rsidRPr="00B719B7">
              <w:rPr>
                <w:rFonts w:cs="Segoe UI Light"/>
                <w:snapToGrid w:val="0"/>
                <w:color w:val="000000"/>
              </w:rPr>
              <w:t xml:space="preserve">Equitable Life  </w:t>
            </w:r>
          </w:p>
        </w:tc>
        <w:tc>
          <w:tcPr>
            <w:tcW w:w="1590" w:type="pct"/>
          </w:tcPr>
          <w:p w:rsidR="00286159" w:rsidRPr="00B719B7" w:rsidRDefault="00286159" w:rsidP="00AE1C26">
            <w:pPr>
              <w:widowControl w:val="0"/>
              <w:tabs>
                <w:tab w:val="right" w:pos="7200"/>
              </w:tabs>
              <w:ind w:left="132" w:hanging="132"/>
              <w:jc w:val="right"/>
              <w:rPr>
                <w:rFonts w:cs="Segoe UI Light"/>
                <w:snapToGrid w:val="0"/>
                <w:color w:val="000000"/>
              </w:rPr>
            </w:pPr>
            <w:r w:rsidRPr="00B719B7">
              <w:rPr>
                <w:rFonts w:cs="Segoe UI Light"/>
                <w:snapToGrid w:val="0"/>
                <w:color w:val="000000"/>
              </w:rPr>
              <w:t>0.2</w:t>
            </w:r>
          </w:p>
        </w:tc>
        <w:tc>
          <w:tcPr>
            <w:tcW w:w="1228" w:type="pct"/>
          </w:tcPr>
          <w:p w:rsidR="00286159" w:rsidRPr="00B719B7" w:rsidRDefault="00286159" w:rsidP="00AE1C26">
            <w:pPr>
              <w:widowControl w:val="0"/>
              <w:tabs>
                <w:tab w:val="right" w:pos="7200"/>
              </w:tabs>
              <w:ind w:left="132" w:hanging="132"/>
              <w:jc w:val="right"/>
              <w:rPr>
                <w:rFonts w:cs="Segoe UI Light"/>
                <w:snapToGrid w:val="0"/>
                <w:color w:val="000000"/>
              </w:rPr>
            </w:pPr>
            <w:r w:rsidRPr="00B719B7">
              <w:rPr>
                <w:rFonts w:cs="Segoe UI Light"/>
                <w:snapToGrid w:val="0"/>
                <w:color w:val="000000"/>
              </w:rPr>
              <w:t>0.2</w:t>
            </w:r>
          </w:p>
        </w:tc>
      </w:tr>
      <w:tr w:rsidR="00286159" w:rsidRPr="00B719B7" w:rsidTr="00AE1C26">
        <w:tc>
          <w:tcPr>
            <w:tcW w:w="2182" w:type="pct"/>
          </w:tcPr>
          <w:p w:rsidR="00286159" w:rsidRPr="00B719B7" w:rsidRDefault="00286159" w:rsidP="00AE1C26">
            <w:pPr>
              <w:widowControl w:val="0"/>
              <w:tabs>
                <w:tab w:val="right" w:pos="7200"/>
              </w:tabs>
              <w:ind w:left="132" w:hanging="132"/>
              <w:rPr>
                <w:rFonts w:cs="Segoe UI Light"/>
                <w:snapToGrid w:val="0"/>
                <w:color w:val="000000"/>
              </w:rPr>
            </w:pPr>
            <w:r w:rsidRPr="00B719B7">
              <w:rPr>
                <w:rFonts w:cs="Segoe UI Light"/>
                <w:snapToGrid w:val="0"/>
                <w:color w:val="000000"/>
              </w:rPr>
              <w:t>Prudential</w:t>
            </w:r>
          </w:p>
        </w:tc>
        <w:tc>
          <w:tcPr>
            <w:tcW w:w="1590" w:type="pct"/>
          </w:tcPr>
          <w:p w:rsidR="00286159" w:rsidRPr="00B719B7" w:rsidRDefault="00286159" w:rsidP="00AE1C26">
            <w:pPr>
              <w:widowControl w:val="0"/>
              <w:tabs>
                <w:tab w:val="right" w:pos="7200"/>
              </w:tabs>
              <w:ind w:left="132" w:hanging="132"/>
              <w:jc w:val="right"/>
              <w:rPr>
                <w:rFonts w:cs="Segoe UI Light"/>
                <w:snapToGrid w:val="0"/>
                <w:color w:val="000000"/>
              </w:rPr>
            </w:pPr>
            <w:r w:rsidRPr="00B719B7">
              <w:rPr>
                <w:rFonts w:cs="Segoe UI Light"/>
                <w:snapToGrid w:val="0"/>
                <w:color w:val="000000"/>
              </w:rPr>
              <w:t>0.1</w:t>
            </w:r>
          </w:p>
        </w:tc>
        <w:tc>
          <w:tcPr>
            <w:tcW w:w="1228" w:type="pct"/>
          </w:tcPr>
          <w:p w:rsidR="00286159" w:rsidRPr="00B719B7" w:rsidRDefault="00286159" w:rsidP="00AE1C26">
            <w:pPr>
              <w:widowControl w:val="0"/>
              <w:tabs>
                <w:tab w:val="right" w:pos="7200"/>
              </w:tabs>
              <w:ind w:left="132" w:hanging="132"/>
              <w:jc w:val="right"/>
              <w:rPr>
                <w:rFonts w:cs="Segoe UI Light"/>
                <w:snapToGrid w:val="0"/>
                <w:color w:val="000000"/>
              </w:rPr>
            </w:pPr>
            <w:r w:rsidRPr="00B719B7">
              <w:rPr>
                <w:rFonts w:cs="Segoe UI Light"/>
                <w:snapToGrid w:val="0"/>
                <w:color w:val="000000"/>
              </w:rPr>
              <w:t>0.3</w:t>
            </w:r>
          </w:p>
        </w:tc>
      </w:tr>
      <w:tr w:rsidR="00286159" w:rsidRPr="00B719B7" w:rsidTr="00AE1C26">
        <w:tc>
          <w:tcPr>
            <w:tcW w:w="2182" w:type="pct"/>
          </w:tcPr>
          <w:p w:rsidR="00286159" w:rsidRPr="00B719B7" w:rsidRDefault="00286159" w:rsidP="00AE1C26">
            <w:pPr>
              <w:widowControl w:val="0"/>
              <w:tabs>
                <w:tab w:val="right" w:pos="7200"/>
              </w:tabs>
              <w:ind w:left="132" w:hanging="132"/>
              <w:rPr>
                <w:rFonts w:cs="Segoe UI Light"/>
                <w:b/>
                <w:snapToGrid w:val="0"/>
                <w:color w:val="000000"/>
              </w:rPr>
            </w:pPr>
            <w:r w:rsidRPr="00B719B7">
              <w:rPr>
                <w:rFonts w:cs="Segoe UI Light"/>
                <w:b/>
                <w:snapToGrid w:val="0"/>
                <w:color w:val="000000"/>
              </w:rPr>
              <w:t>Total</w:t>
            </w:r>
          </w:p>
        </w:tc>
        <w:tc>
          <w:tcPr>
            <w:tcW w:w="1590" w:type="pct"/>
            <w:tcBorders>
              <w:top w:val="single" w:sz="4" w:space="0" w:color="auto"/>
            </w:tcBorders>
          </w:tcPr>
          <w:p w:rsidR="00286159" w:rsidRPr="00B719B7" w:rsidRDefault="00286159" w:rsidP="00AE1C26">
            <w:pPr>
              <w:widowControl w:val="0"/>
              <w:tabs>
                <w:tab w:val="right" w:pos="7200"/>
              </w:tabs>
              <w:ind w:left="132" w:hanging="132"/>
              <w:jc w:val="right"/>
              <w:rPr>
                <w:rFonts w:cs="Segoe UI Light"/>
                <w:b/>
                <w:snapToGrid w:val="0"/>
                <w:color w:val="000000"/>
              </w:rPr>
            </w:pPr>
            <w:r w:rsidRPr="00B719B7">
              <w:rPr>
                <w:rFonts w:cs="Segoe UI Light"/>
                <w:b/>
                <w:snapToGrid w:val="0"/>
                <w:color w:val="000000"/>
              </w:rPr>
              <w:t>1.5</w:t>
            </w:r>
          </w:p>
        </w:tc>
        <w:tc>
          <w:tcPr>
            <w:tcW w:w="1228" w:type="pct"/>
            <w:tcBorders>
              <w:top w:val="single" w:sz="4" w:space="0" w:color="auto"/>
            </w:tcBorders>
          </w:tcPr>
          <w:p w:rsidR="00286159" w:rsidRPr="00B719B7" w:rsidRDefault="00286159" w:rsidP="00AE1C26">
            <w:pPr>
              <w:widowControl w:val="0"/>
              <w:tabs>
                <w:tab w:val="right" w:pos="7200"/>
              </w:tabs>
              <w:ind w:left="132" w:hanging="132"/>
              <w:jc w:val="right"/>
              <w:rPr>
                <w:rFonts w:cs="Segoe UI Light"/>
                <w:b/>
                <w:snapToGrid w:val="0"/>
                <w:color w:val="000000"/>
              </w:rPr>
            </w:pPr>
            <w:r w:rsidRPr="00B719B7">
              <w:rPr>
                <w:rFonts w:cs="Segoe UI Light"/>
                <w:b/>
                <w:snapToGrid w:val="0"/>
                <w:color w:val="000000"/>
              </w:rPr>
              <w:t>1.8</w:t>
            </w:r>
          </w:p>
        </w:tc>
      </w:tr>
    </w:tbl>
    <w:p w:rsidR="00F72906" w:rsidRDefault="00F72906" w:rsidP="00286159"/>
    <w:p w:rsidR="00F72906" w:rsidRDefault="00F72906" w:rsidP="00F72906">
      <w:r>
        <w:t>The Pension Fund’s former provider, Equitable Life, no longer accepts AVC contributions from Scheme members.</w:t>
      </w:r>
    </w:p>
    <w:p w:rsidR="00F72906" w:rsidRDefault="00F72906" w:rsidP="00F72906"/>
    <w:p w:rsidR="00F72906" w:rsidRDefault="00F72906" w:rsidP="00F72906">
      <w:r>
        <w:t>For information, Prudential has since replaced Clerical Medical as the Fund’s AVC provider with effect from 1 April 2014.</w:t>
      </w:r>
    </w:p>
    <w:p w:rsidR="00F72906" w:rsidRDefault="00F72906" w:rsidP="00F72906"/>
    <w:p w:rsidR="00F72906" w:rsidRDefault="00F72906" w:rsidP="00F72906">
      <w:r>
        <w:t>In accordance with Regulation 4(1)(b) of the Pension Scheme (Management and Investment of Funds) Regulations 2016, the contributions paid and the assets of these investments are not included in the Fund’s Accounts.</w:t>
      </w:r>
    </w:p>
    <w:p w:rsidR="00F72906" w:rsidRDefault="00F72906" w:rsidP="00F72906"/>
    <w:p w:rsidR="00F72906" w:rsidRDefault="00F72906" w:rsidP="00286159">
      <w:pPr>
        <w:pStyle w:val="Heading3"/>
      </w:pPr>
      <w:r>
        <w:t>23.  Related party transactions</w:t>
      </w:r>
    </w:p>
    <w:p w:rsidR="00F72906" w:rsidRDefault="00F72906" w:rsidP="00F72906"/>
    <w:p w:rsidR="00F72906" w:rsidRPr="00286159" w:rsidRDefault="00286159" w:rsidP="00F72906">
      <w:pPr>
        <w:rPr>
          <w:b/>
        </w:rPr>
      </w:pPr>
      <w:r>
        <w:rPr>
          <w:b/>
        </w:rPr>
        <w:t>Brent Council</w:t>
      </w:r>
    </w:p>
    <w:p w:rsidR="00F72906" w:rsidRDefault="00F72906" w:rsidP="00F72906">
      <w:r>
        <w:t>The Brent Pension Fund is administered by Brent Council. Consequently, there is a strong relationship between th</w:t>
      </w:r>
      <w:r w:rsidR="00286159">
        <w:t>e Council and the Pension Fund.</w:t>
      </w:r>
    </w:p>
    <w:p w:rsidR="00F72906" w:rsidRDefault="00F72906" w:rsidP="00F72906">
      <w:r>
        <w:t xml:space="preserve">The Council incurred costs of £0.997m (2018/19: £0.796m) in relation to the administration of the Fund and was subsequently reimbursed by the Fund for these expenses. The Council is also the single largest employer of members of the Pension Fund and contributed £33.7m to the Fund in 2019/20 (2018/19: £32.5m). </w:t>
      </w:r>
    </w:p>
    <w:p w:rsidR="00F72906" w:rsidRPr="00286159" w:rsidRDefault="00286159" w:rsidP="00F72906">
      <w:pPr>
        <w:rPr>
          <w:b/>
        </w:rPr>
      </w:pPr>
      <w:r>
        <w:rPr>
          <w:b/>
        </w:rPr>
        <w:t>Governance</w:t>
      </w:r>
    </w:p>
    <w:p w:rsidR="00F72906" w:rsidRDefault="00F72906" w:rsidP="00F72906">
      <w:r>
        <w:t>There are no members of the Pension Fund Sub-Committee who are either in receipt of pension benefits from or active members of the Brent Pension Fund. Each member of the Pension Fund Sub-Committee is required to declare their interests at each meeting.</w:t>
      </w:r>
    </w:p>
    <w:p w:rsidR="00F72906" w:rsidRPr="00286159" w:rsidRDefault="00F72906" w:rsidP="00F72906">
      <w:pPr>
        <w:rPr>
          <w:b/>
        </w:rPr>
      </w:pPr>
    </w:p>
    <w:p w:rsidR="00F72906" w:rsidRPr="00286159" w:rsidRDefault="00286159" w:rsidP="00F72906">
      <w:pPr>
        <w:rPr>
          <w:b/>
        </w:rPr>
      </w:pPr>
      <w:r>
        <w:rPr>
          <w:b/>
        </w:rPr>
        <w:t>Key management personnel</w:t>
      </w:r>
    </w:p>
    <w:p w:rsidR="00F72906" w:rsidRDefault="00F72906" w:rsidP="00F72906">
      <w:r>
        <w:lastRenderedPageBreak/>
        <w:t>The key management personnel of the fund are the Chief Executive, the Assistant Chief Executive the Director of Legal &amp; HR, the Chief Finance Officer (s.151 officer) and the Head of Finance (Pensions). The proportion of the total remuneration payable to key management personnel that is charged to the Pension Fund is set out below:</w:t>
      </w:r>
    </w:p>
    <w:p w:rsidR="00F72906" w:rsidRDefault="00F72906" w:rsidP="00F72906"/>
    <w:tbl>
      <w:tblPr>
        <w:tblW w:w="7648" w:type="dxa"/>
        <w:tblLook w:val="04A0" w:firstRow="1" w:lastRow="0" w:firstColumn="1" w:lastColumn="0" w:noHBand="0" w:noVBand="1"/>
      </w:tblPr>
      <w:tblGrid>
        <w:gridCol w:w="3136"/>
        <w:gridCol w:w="2256"/>
        <w:gridCol w:w="2256"/>
      </w:tblGrid>
      <w:tr w:rsidR="00286159" w:rsidRPr="00E44E68" w:rsidTr="00AE1C26">
        <w:trPr>
          <w:trHeight w:val="299"/>
        </w:trPr>
        <w:tc>
          <w:tcPr>
            <w:tcW w:w="3136" w:type="dxa"/>
            <w:tcBorders>
              <w:top w:val="nil"/>
              <w:left w:val="nil"/>
              <w:bottom w:val="nil"/>
              <w:right w:val="nil"/>
            </w:tcBorders>
            <w:shd w:val="clear" w:color="000000" w:fill="FFFFFF"/>
            <w:noWrap/>
            <w:vAlign w:val="bottom"/>
            <w:hideMark/>
          </w:tcPr>
          <w:p w:rsidR="00286159" w:rsidRPr="00E44E68" w:rsidRDefault="00286159" w:rsidP="00AE1C26">
            <w:pPr>
              <w:rPr>
                <w:rFonts w:cs="Calibri"/>
                <w:lang w:eastAsia="en-GB"/>
              </w:rPr>
            </w:pPr>
            <w:r w:rsidRPr="00E44E68">
              <w:rPr>
                <w:rFonts w:cs="Calibri"/>
                <w:lang w:eastAsia="en-GB"/>
              </w:rPr>
              <w:t> </w:t>
            </w:r>
          </w:p>
        </w:tc>
        <w:tc>
          <w:tcPr>
            <w:tcW w:w="2256" w:type="dxa"/>
            <w:tcBorders>
              <w:top w:val="nil"/>
              <w:left w:val="nil"/>
              <w:bottom w:val="nil"/>
              <w:right w:val="nil"/>
            </w:tcBorders>
            <w:shd w:val="clear" w:color="000000" w:fill="FFFFFF"/>
            <w:noWrap/>
            <w:vAlign w:val="bottom"/>
            <w:hideMark/>
          </w:tcPr>
          <w:p w:rsidR="00286159" w:rsidRPr="00E44E68" w:rsidRDefault="00286159" w:rsidP="00AE1C26">
            <w:pPr>
              <w:jc w:val="right"/>
              <w:rPr>
                <w:rFonts w:cs="Calibri"/>
                <w:b/>
                <w:bCs/>
                <w:lang w:eastAsia="en-GB"/>
              </w:rPr>
            </w:pPr>
            <w:r w:rsidRPr="00E44E68">
              <w:rPr>
                <w:rFonts w:cs="Calibri"/>
                <w:b/>
                <w:bCs/>
                <w:lang w:eastAsia="en-GB"/>
              </w:rPr>
              <w:t>31st March 2019</w:t>
            </w:r>
          </w:p>
        </w:tc>
        <w:tc>
          <w:tcPr>
            <w:tcW w:w="2256" w:type="dxa"/>
            <w:tcBorders>
              <w:top w:val="nil"/>
              <w:left w:val="nil"/>
              <w:bottom w:val="nil"/>
              <w:right w:val="nil"/>
            </w:tcBorders>
            <w:shd w:val="clear" w:color="000000" w:fill="FFFFFF"/>
            <w:noWrap/>
            <w:vAlign w:val="bottom"/>
            <w:hideMark/>
          </w:tcPr>
          <w:p w:rsidR="00286159" w:rsidRPr="00E44E68" w:rsidRDefault="00286159" w:rsidP="00AE1C26">
            <w:pPr>
              <w:jc w:val="right"/>
              <w:rPr>
                <w:rFonts w:cs="Calibri"/>
                <w:b/>
                <w:bCs/>
                <w:lang w:eastAsia="en-GB"/>
              </w:rPr>
            </w:pPr>
            <w:r w:rsidRPr="00E44E68">
              <w:rPr>
                <w:rFonts w:cs="Calibri"/>
                <w:b/>
                <w:bCs/>
                <w:lang w:eastAsia="en-GB"/>
              </w:rPr>
              <w:t>31st March 2020</w:t>
            </w:r>
          </w:p>
        </w:tc>
      </w:tr>
      <w:tr w:rsidR="00286159" w:rsidRPr="00E44E68" w:rsidTr="00AE1C26">
        <w:trPr>
          <w:trHeight w:val="286"/>
        </w:trPr>
        <w:tc>
          <w:tcPr>
            <w:tcW w:w="3136" w:type="dxa"/>
            <w:tcBorders>
              <w:top w:val="nil"/>
              <w:left w:val="nil"/>
              <w:bottom w:val="nil"/>
              <w:right w:val="nil"/>
            </w:tcBorders>
            <w:shd w:val="clear" w:color="000000" w:fill="FFFFFF"/>
            <w:noWrap/>
            <w:vAlign w:val="bottom"/>
            <w:hideMark/>
          </w:tcPr>
          <w:p w:rsidR="00286159" w:rsidRPr="00E44E68" w:rsidRDefault="00286159" w:rsidP="00AE1C26">
            <w:pPr>
              <w:rPr>
                <w:rFonts w:cs="Calibri"/>
                <w:lang w:eastAsia="en-GB"/>
              </w:rPr>
            </w:pPr>
            <w:r w:rsidRPr="00E44E68">
              <w:rPr>
                <w:rFonts w:cs="Calibri"/>
                <w:lang w:eastAsia="en-GB"/>
              </w:rPr>
              <w:t> </w:t>
            </w:r>
          </w:p>
        </w:tc>
        <w:tc>
          <w:tcPr>
            <w:tcW w:w="2256" w:type="dxa"/>
            <w:tcBorders>
              <w:top w:val="nil"/>
              <w:left w:val="nil"/>
              <w:bottom w:val="nil"/>
              <w:right w:val="nil"/>
            </w:tcBorders>
            <w:shd w:val="clear" w:color="000000" w:fill="FFFFFF"/>
            <w:noWrap/>
            <w:vAlign w:val="bottom"/>
            <w:hideMark/>
          </w:tcPr>
          <w:p w:rsidR="00286159" w:rsidRPr="00E44E68" w:rsidRDefault="00286159" w:rsidP="00AE1C26">
            <w:pPr>
              <w:jc w:val="right"/>
              <w:rPr>
                <w:rFonts w:cs="Calibri"/>
                <w:b/>
                <w:bCs/>
                <w:color w:val="000000"/>
                <w:lang w:eastAsia="en-GB"/>
              </w:rPr>
            </w:pPr>
            <w:r w:rsidRPr="00E44E68">
              <w:rPr>
                <w:rFonts w:cs="Calibri"/>
                <w:b/>
                <w:bCs/>
                <w:color w:val="000000"/>
                <w:lang w:eastAsia="en-GB"/>
              </w:rPr>
              <w:t>£m</w:t>
            </w:r>
          </w:p>
        </w:tc>
        <w:tc>
          <w:tcPr>
            <w:tcW w:w="2256" w:type="dxa"/>
            <w:tcBorders>
              <w:top w:val="nil"/>
              <w:left w:val="nil"/>
              <w:bottom w:val="nil"/>
              <w:right w:val="nil"/>
            </w:tcBorders>
            <w:shd w:val="clear" w:color="000000" w:fill="FFFFFF"/>
            <w:noWrap/>
            <w:vAlign w:val="bottom"/>
            <w:hideMark/>
          </w:tcPr>
          <w:p w:rsidR="00286159" w:rsidRPr="00E44E68" w:rsidRDefault="00286159" w:rsidP="00AE1C26">
            <w:pPr>
              <w:jc w:val="right"/>
              <w:rPr>
                <w:rFonts w:cs="Calibri"/>
                <w:b/>
                <w:bCs/>
                <w:color w:val="000000"/>
                <w:lang w:eastAsia="en-GB"/>
              </w:rPr>
            </w:pPr>
            <w:r w:rsidRPr="00E44E68">
              <w:rPr>
                <w:rFonts w:cs="Calibri"/>
                <w:b/>
                <w:bCs/>
                <w:color w:val="000000"/>
                <w:lang w:eastAsia="en-GB"/>
              </w:rPr>
              <w:t>£m</w:t>
            </w:r>
          </w:p>
        </w:tc>
      </w:tr>
      <w:tr w:rsidR="00286159" w:rsidRPr="00E44E68" w:rsidTr="00AE1C26">
        <w:trPr>
          <w:trHeight w:val="299"/>
        </w:trPr>
        <w:tc>
          <w:tcPr>
            <w:tcW w:w="3136" w:type="dxa"/>
            <w:tcBorders>
              <w:top w:val="nil"/>
              <w:left w:val="nil"/>
              <w:bottom w:val="nil"/>
              <w:right w:val="nil"/>
            </w:tcBorders>
            <w:shd w:val="clear" w:color="000000" w:fill="FFFFFF"/>
            <w:noWrap/>
            <w:vAlign w:val="bottom"/>
            <w:hideMark/>
          </w:tcPr>
          <w:p w:rsidR="00286159" w:rsidRPr="00E44E68" w:rsidRDefault="00286159" w:rsidP="00AE1C26">
            <w:pPr>
              <w:rPr>
                <w:rFonts w:cs="Calibri"/>
                <w:lang w:eastAsia="en-GB"/>
              </w:rPr>
            </w:pPr>
            <w:r w:rsidRPr="00E44E68">
              <w:rPr>
                <w:rFonts w:cs="Calibri"/>
                <w:lang w:eastAsia="en-GB"/>
              </w:rPr>
              <w:t>Short Term Benefits</w:t>
            </w:r>
          </w:p>
        </w:tc>
        <w:tc>
          <w:tcPr>
            <w:tcW w:w="2256" w:type="dxa"/>
            <w:tcBorders>
              <w:top w:val="nil"/>
              <w:left w:val="nil"/>
              <w:bottom w:val="nil"/>
              <w:right w:val="nil"/>
            </w:tcBorders>
            <w:shd w:val="clear" w:color="000000" w:fill="FFFFFF"/>
            <w:noWrap/>
            <w:vAlign w:val="bottom"/>
            <w:hideMark/>
          </w:tcPr>
          <w:p w:rsidR="00286159" w:rsidRPr="00E44E68" w:rsidRDefault="00286159" w:rsidP="00AE1C26">
            <w:pPr>
              <w:jc w:val="right"/>
              <w:rPr>
                <w:rFonts w:cs="Calibri"/>
                <w:lang w:eastAsia="en-GB"/>
              </w:rPr>
            </w:pPr>
            <w:r w:rsidRPr="00E44E68">
              <w:rPr>
                <w:rFonts w:cs="Calibri"/>
                <w:lang w:eastAsia="en-GB"/>
              </w:rPr>
              <w:t>0.036</w:t>
            </w:r>
          </w:p>
        </w:tc>
        <w:tc>
          <w:tcPr>
            <w:tcW w:w="2256" w:type="dxa"/>
            <w:tcBorders>
              <w:top w:val="nil"/>
              <w:left w:val="nil"/>
              <w:bottom w:val="nil"/>
              <w:right w:val="nil"/>
            </w:tcBorders>
            <w:shd w:val="clear" w:color="000000" w:fill="FFFFFF"/>
            <w:noWrap/>
            <w:vAlign w:val="bottom"/>
            <w:hideMark/>
          </w:tcPr>
          <w:p w:rsidR="00286159" w:rsidRPr="00E44E68" w:rsidRDefault="00286159" w:rsidP="00AE1C26">
            <w:pPr>
              <w:jc w:val="right"/>
              <w:rPr>
                <w:rFonts w:cs="Calibri"/>
                <w:lang w:eastAsia="en-GB"/>
              </w:rPr>
            </w:pPr>
            <w:r w:rsidRPr="00E44E68">
              <w:rPr>
                <w:rFonts w:cs="Calibri"/>
                <w:lang w:eastAsia="en-GB"/>
              </w:rPr>
              <w:t>0.039</w:t>
            </w:r>
          </w:p>
        </w:tc>
      </w:tr>
      <w:tr w:rsidR="00286159" w:rsidRPr="00E44E68" w:rsidTr="00AE1C26">
        <w:trPr>
          <w:trHeight w:val="299"/>
        </w:trPr>
        <w:tc>
          <w:tcPr>
            <w:tcW w:w="3136" w:type="dxa"/>
            <w:tcBorders>
              <w:top w:val="nil"/>
              <w:left w:val="nil"/>
              <w:bottom w:val="nil"/>
              <w:right w:val="nil"/>
            </w:tcBorders>
            <w:shd w:val="clear" w:color="000000" w:fill="FFFFFF"/>
            <w:noWrap/>
            <w:vAlign w:val="bottom"/>
            <w:hideMark/>
          </w:tcPr>
          <w:p w:rsidR="00286159" w:rsidRPr="00E44E68" w:rsidRDefault="00286159" w:rsidP="00AE1C26">
            <w:pPr>
              <w:rPr>
                <w:rFonts w:cs="Calibri"/>
                <w:lang w:eastAsia="en-GB"/>
              </w:rPr>
            </w:pPr>
            <w:r w:rsidRPr="00E44E68">
              <w:rPr>
                <w:rFonts w:cs="Calibri"/>
                <w:lang w:eastAsia="en-GB"/>
              </w:rPr>
              <w:t>Post Employment Benefits</w:t>
            </w:r>
          </w:p>
        </w:tc>
        <w:tc>
          <w:tcPr>
            <w:tcW w:w="2256" w:type="dxa"/>
            <w:tcBorders>
              <w:top w:val="nil"/>
              <w:left w:val="nil"/>
              <w:bottom w:val="nil"/>
              <w:right w:val="nil"/>
            </w:tcBorders>
            <w:shd w:val="clear" w:color="000000" w:fill="FFFFFF"/>
            <w:noWrap/>
            <w:vAlign w:val="bottom"/>
            <w:hideMark/>
          </w:tcPr>
          <w:p w:rsidR="00286159" w:rsidRPr="00E44E68" w:rsidRDefault="00286159" w:rsidP="00AE1C26">
            <w:pPr>
              <w:jc w:val="right"/>
              <w:rPr>
                <w:rFonts w:cs="Calibri"/>
                <w:lang w:eastAsia="en-GB"/>
              </w:rPr>
            </w:pPr>
            <w:r w:rsidRPr="00E44E68">
              <w:rPr>
                <w:rFonts w:cs="Calibri"/>
                <w:lang w:eastAsia="en-GB"/>
              </w:rPr>
              <w:t>0.008</w:t>
            </w:r>
          </w:p>
        </w:tc>
        <w:tc>
          <w:tcPr>
            <w:tcW w:w="2256" w:type="dxa"/>
            <w:tcBorders>
              <w:top w:val="nil"/>
              <w:left w:val="nil"/>
              <w:bottom w:val="nil"/>
              <w:right w:val="nil"/>
            </w:tcBorders>
            <w:shd w:val="clear" w:color="000000" w:fill="FFFFFF"/>
            <w:noWrap/>
            <w:vAlign w:val="bottom"/>
            <w:hideMark/>
          </w:tcPr>
          <w:p w:rsidR="00286159" w:rsidRPr="00E44E68" w:rsidRDefault="00286159" w:rsidP="00AE1C26">
            <w:pPr>
              <w:jc w:val="right"/>
              <w:rPr>
                <w:rFonts w:cs="Calibri"/>
                <w:lang w:eastAsia="en-GB"/>
              </w:rPr>
            </w:pPr>
            <w:r w:rsidRPr="00E44E68">
              <w:rPr>
                <w:rFonts w:cs="Calibri"/>
                <w:lang w:eastAsia="en-GB"/>
              </w:rPr>
              <w:t>0.011</w:t>
            </w:r>
          </w:p>
        </w:tc>
      </w:tr>
      <w:tr w:rsidR="00286159" w:rsidRPr="00E44E68" w:rsidTr="00AE1C26">
        <w:trPr>
          <w:trHeight w:val="286"/>
        </w:trPr>
        <w:tc>
          <w:tcPr>
            <w:tcW w:w="3136" w:type="dxa"/>
            <w:tcBorders>
              <w:top w:val="nil"/>
              <w:left w:val="nil"/>
              <w:bottom w:val="nil"/>
              <w:right w:val="nil"/>
            </w:tcBorders>
            <w:shd w:val="clear" w:color="000000" w:fill="FFFFFF"/>
            <w:noWrap/>
            <w:vAlign w:val="bottom"/>
            <w:hideMark/>
          </w:tcPr>
          <w:p w:rsidR="00286159" w:rsidRPr="00E44E68" w:rsidRDefault="00286159" w:rsidP="00AE1C26">
            <w:pPr>
              <w:rPr>
                <w:rFonts w:cs="Calibri"/>
                <w:lang w:eastAsia="en-GB"/>
              </w:rPr>
            </w:pPr>
            <w:r w:rsidRPr="00E44E68">
              <w:rPr>
                <w:rFonts w:cs="Calibri"/>
                <w:lang w:eastAsia="en-GB"/>
              </w:rPr>
              <w:t>Termination Benefits</w:t>
            </w:r>
          </w:p>
        </w:tc>
        <w:tc>
          <w:tcPr>
            <w:tcW w:w="2256" w:type="dxa"/>
            <w:tcBorders>
              <w:top w:val="nil"/>
              <w:left w:val="nil"/>
              <w:bottom w:val="nil"/>
              <w:right w:val="nil"/>
            </w:tcBorders>
            <w:shd w:val="clear" w:color="000000" w:fill="FFFFFF"/>
            <w:noWrap/>
            <w:vAlign w:val="bottom"/>
            <w:hideMark/>
          </w:tcPr>
          <w:p w:rsidR="00286159" w:rsidRPr="00E44E68" w:rsidRDefault="00286159" w:rsidP="00AE1C26">
            <w:pPr>
              <w:jc w:val="right"/>
              <w:rPr>
                <w:rFonts w:cs="Calibri"/>
                <w:lang w:eastAsia="en-GB"/>
              </w:rPr>
            </w:pPr>
            <w:r w:rsidRPr="00E44E68">
              <w:rPr>
                <w:rFonts w:cs="Calibri"/>
                <w:lang w:eastAsia="en-GB"/>
              </w:rPr>
              <w:t>0.000</w:t>
            </w:r>
          </w:p>
        </w:tc>
        <w:tc>
          <w:tcPr>
            <w:tcW w:w="2256" w:type="dxa"/>
            <w:tcBorders>
              <w:top w:val="nil"/>
              <w:left w:val="nil"/>
              <w:bottom w:val="nil"/>
              <w:right w:val="nil"/>
            </w:tcBorders>
            <w:shd w:val="clear" w:color="000000" w:fill="FFFFFF"/>
            <w:noWrap/>
            <w:vAlign w:val="bottom"/>
            <w:hideMark/>
          </w:tcPr>
          <w:p w:rsidR="00286159" w:rsidRPr="00E44E68" w:rsidRDefault="00286159" w:rsidP="00AE1C26">
            <w:pPr>
              <w:jc w:val="right"/>
              <w:rPr>
                <w:rFonts w:cs="Calibri"/>
                <w:lang w:eastAsia="en-GB"/>
              </w:rPr>
            </w:pPr>
            <w:r w:rsidRPr="00E44E68">
              <w:rPr>
                <w:rFonts w:cs="Calibri"/>
                <w:lang w:eastAsia="en-GB"/>
              </w:rPr>
              <w:t>0.000</w:t>
            </w:r>
          </w:p>
        </w:tc>
      </w:tr>
      <w:tr w:rsidR="00286159" w:rsidRPr="00E44E68" w:rsidTr="00AE1C26">
        <w:trPr>
          <w:trHeight w:val="299"/>
        </w:trPr>
        <w:tc>
          <w:tcPr>
            <w:tcW w:w="3136" w:type="dxa"/>
            <w:tcBorders>
              <w:top w:val="nil"/>
              <w:left w:val="nil"/>
              <w:bottom w:val="nil"/>
              <w:right w:val="nil"/>
            </w:tcBorders>
            <w:shd w:val="clear" w:color="000000" w:fill="FFFFFF"/>
            <w:noWrap/>
            <w:vAlign w:val="bottom"/>
            <w:hideMark/>
          </w:tcPr>
          <w:p w:rsidR="00286159" w:rsidRPr="00E44E68" w:rsidRDefault="00286159" w:rsidP="00AE1C26">
            <w:pPr>
              <w:rPr>
                <w:rFonts w:cs="Calibri"/>
                <w:b/>
                <w:bCs/>
                <w:color w:val="000000"/>
                <w:lang w:eastAsia="en-GB"/>
              </w:rPr>
            </w:pPr>
            <w:r w:rsidRPr="00E44E68">
              <w:rPr>
                <w:rFonts w:cs="Calibri"/>
                <w:b/>
                <w:bCs/>
                <w:color w:val="000000"/>
                <w:lang w:eastAsia="en-GB"/>
              </w:rPr>
              <w:t>Total Remunerations</w:t>
            </w:r>
          </w:p>
        </w:tc>
        <w:tc>
          <w:tcPr>
            <w:tcW w:w="2256" w:type="dxa"/>
            <w:tcBorders>
              <w:top w:val="single" w:sz="4" w:space="0" w:color="auto"/>
              <w:left w:val="nil"/>
              <w:bottom w:val="double" w:sz="6" w:space="0" w:color="auto"/>
              <w:right w:val="nil"/>
            </w:tcBorders>
            <w:shd w:val="clear" w:color="000000" w:fill="FFFFFF"/>
            <w:noWrap/>
            <w:vAlign w:val="bottom"/>
            <w:hideMark/>
          </w:tcPr>
          <w:p w:rsidR="00286159" w:rsidRPr="00E44E68" w:rsidRDefault="00286159" w:rsidP="00AE1C26">
            <w:pPr>
              <w:jc w:val="right"/>
              <w:rPr>
                <w:rFonts w:cs="Calibri"/>
                <w:b/>
                <w:bCs/>
                <w:lang w:eastAsia="en-GB"/>
              </w:rPr>
            </w:pPr>
            <w:r w:rsidRPr="00E44E68">
              <w:rPr>
                <w:rFonts w:cs="Calibri"/>
                <w:b/>
                <w:bCs/>
                <w:lang w:eastAsia="en-GB"/>
              </w:rPr>
              <w:t>0.044</w:t>
            </w:r>
          </w:p>
        </w:tc>
        <w:tc>
          <w:tcPr>
            <w:tcW w:w="2256" w:type="dxa"/>
            <w:tcBorders>
              <w:top w:val="single" w:sz="4" w:space="0" w:color="auto"/>
              <w:left w:val="nil"/>
              <w:bottom w:val="double" w:sz="6" w:space="0" w:color="auto"/>
              <w:right w:val="nil"/>
            </w:tcBorders>
            <w:shd w:val="clear" w:color="000000" w:fill="FFFFFF"/>
            <w:noWrap/>
            <w:vAlign w:val="bottom"/>
            <w:hideMark/>
          </w:tcPr>
          <w:p w:rsidR="00286159" w:rsidRPr="00E44E68" w:rsidRDefault="00286159" w:rsidP="00AE1C26">
            <w:pPr>
              <w:jc w:val="right"/>
              <w:rPr>
                <w:rFonts w:cs="Calibri"/>
                <w:b/>
                <w:bCs/>
                <w:lang w:eastAsia="en-GB"/>
              </w:rPr>
            </w:pPr>
            <w:r w:rsidRPr="00E44E68">
              <w:rPr>
                <w:rFonts w:cs="Calibri"/>
                <w:b/>
                <w:bCs/>
                <w:lang w:eastAsia="en-GB"/>
              </w:rPr>
              <w:t>0.050</w:t>
            </w:r>
          </w:p>
        </w:tc>
      </w:tr>
    </w:tbl>
    <w:p w:rsidR="00F72906" w:rsidRDefault="00F72906" w:rsidP="00F72906"/>
    <w:p w:rsidR="00F72906" w:rsidRDefault="00F72906" w:rsidP="00286159">
      <w:pPr>
        <w:pStyle w:val="Heading3"/>
      </w:pPr>
      <w:r>
        <w:t>24.  Contingent liabilities</w:t>
      </w:r>
    </w:p>
    <w:p w:rsidR="00F72906" w:rsidRDefault="00F72906" w:rsidP="00F72906"/>
    <w:p w:rsidR="00286159" w:rsidRDefault="00F72906" w:rsidP="00286159">
      <w:r>
        <w:t>Outstanding capital commitments (investments) at 31 March 2020 totalled £76m (31 March 2019: £26.9m).</w:t>
      </w:r>
    </w:p>
    <w:tbl>
      <w:tblPr>
        <w:tblW w:w="7264" w:type="dxa"/>
        <w:tblLook w:val="04A0" w:firstRow="1" w:lastRow="0" w:firstColumn="1" w:lastColumn="0" w:noHBand="0" w:noVBand="1"/>
      </w:tblPr>
      <w:tblGrid>
        <w:gridCol w:w="3136"/>
        <w:gridCol w:w="1756"/>
        <w:gridCol w:w="416"/>
        <w:gridCol w:w="1956"/>
      </w:tblGrid>
      <w:tr w:rsidR="00286159" w:rsidRPr="00E33804" w:rsidTr="00AE1C26">
        <w:trPr>
          <w:trHeight w:val="299"/>
        </w:trPr>
        <w:tc>
          <w:tcPr>
            <w:tcW w:w="3136" w:type="dxa"/>
            <w:tcBorders>
              <w:top w:val="nil"/>
              <w:left w:val="nil"/>
              <w:bottom w:val="nil"/>
              <w:right w:val="nil"/>
            </w:tcBorders>
            <w:shd w:val="clear" w:color="000000" w:fill="FFFFFF"/>
            <w:noWrap/>
            <w:vAlign w:val="bottom"/>
            <w:hideMark/>
          </w:tcPr>
          <w:p w:rsidR="00286159" w:rsidRPr="00E33804" w:rsidRDefault="00286159" w:rsidP="00AE1C26">
            <w:pPr>
              <w:rPr>
                <w:rFonts w:cs="Calibri"/>
                <w:lang w:eastAsia="en-GB"/>
              </w:rPr>
            </w:pPr>
            <w:r w:rsidRPr="00E33804">
              <w:rPr>
                <w:rFonts w:cs="Calibri"/>
                <w:lang w:eastAsia="en-GB"/>
              </w:rPr>
              <w:t> </w:t>
            </w:r>
          </w:p>
        </w:tc>
        <w:tc>
          <w:tcPr>
            <w:tcW w:w="1756" w:type="dxa"/>
            <w:tcBorders>
              <w:top w:val="nil"/>
              <w:left w:val="nil"/>
              <w:bottom w:val="nil"/>
              <w:right w:val="nil"/>
            </w:tcBorders>
            <w:shd w:val="clear" w:color="000000" w:fill="FFFFFF"/>
            <w:noWrap/>
            <w:vAlign w:val="bottom"/>
            <w:hideMark/>
          </w:tcPr>
          <w:p w:rsidR="00286159" w:rsidRPr="00E33804" w:rsidRDefault="00286159" w:rsidP="00AE1C26">
            <w:pPr>
              <w:jc w:val="right"/>
              <w:rPr>
                <w:rFonts w:cs="Calibri"/>
                <w:b/>
                <w:bCs/>
                <w:lang w:eastAsia="en-GB"/>
              </w:rPr>
            </w:pPr>
            <w:r w:rsidRPr="00E33804">
              <w:rPr>
                <w:rFonts w:cs="Calibri"/>
                <w:b/>
                <w:bCs/>
                <w:lang w:eastAsia="en-GB"/>
              </w:rPr>
              <w:t>31st March 2019</w:t>
            </w:r>
          </w:p>
        </w:tc>
        <w:tc>
          <w:tcPr>
            <w:tcW w:w="416" w:type="dxa"/>
            <w:tcBorders>
              <w:top w:val="nil"/>
              <w:left w:val="nil"/>
              <w:bottom w:val="nil"/>
              <w:right w:val="nil"/>
            </w:tcBorders>
            <w:shd w:val="clear" w:color="000000" w:fill="FFFFFF"/>
            <w:noWrap/>
            <w:vAlign w:val="bottom"/>
            <w:hideMark/>
          </w:tcPr>
          <w:p w:rsidR="00286159" w:rsidRPr="00E33804" w:rsidRDefault="00286159" w:rsidP="00AE1C26">
            <w:pPr>
              <w:jc w:val="right"/>
              <w:rPr>
                <w:rFonts w:cs="Calibri"/>
                <w:b/>
                <w:bCs/>
                <w:lang w:eastAsia="en-GB"/>
              </w:rPr>
            </w:pPr>
            <w:r w:rsidRPr="00E33804">
              <w:rPr>
                <w:rFonts w:cs="Calibri"/>
                <w:b/>
                <w:bCs/>
                <w:lang w:eastAsia="en-GB"/>
              </w:rPr>
              <w:t> </w:t>
            </w:r>
          </w:p>
        </w:tc>
        <w:tc>
          <w:tcPr>
            <w:tcW w:w="1956" w:type="dxa"/>
            <w:tcBorders>
              <w:top w:val="nil"/>
              <w:left w:val="nil"/>
              <w:bottom w:val="nil"/>
              <w:right w:val="nil"/>
            </w:tcBorders>
            <w:shd w:val="clear" w:color="000000" w:fill="FFFFFF"/>
            <w:noWrap/>
            <w:vAlign w:val="bottom"/>
            <w:hideMark/>
          </w:tcPr>
          <w:p w:rsidR="00286159" w:rsidRPr="00E33804" w:rsidRDefault="00286159" w:rsidP="00AE1C26">
            <w:pPr>
              <w:jc w:val="right"/>
              <w:rPr>
                <w:rFonts w:cs="Calibri"/>
                <w:b/>
                <w:bCs/>
                <w:lang w:eastAsia="en-GB"/>
              </w:rPr>
            </w:pPr>
            <w:r w:rsidRPr="00E33804">
              <w:rPr>
                <w:rFonts w:cs="Calibri"/>
                <w:b/>
                <w:bCs/>
                <w:lang w:eastAsia="en-GB"/>
              </w:rPr>
              <w:t>31st March 2020</w:t>
            </w:r>
          </w:p>
        </w:tc>
      </w:tr>
      <w:tr w:rsidR="00286159" w:rsidRPr="00E33804" w:rsidTr="00AE1C26">
        <w:trPr>
          <w:trHeight w:val="299"/>
        </w:trPr>
        <w:tc>
          <w:tcPr>
            <w:tcW w:w="3136" w:type="dxa"/>
            <w:tcBorders>
              <w:top w:val="nil"/>
              <w:left w:val="nil"/>
              <w:bottom w:val="nil"/>
              <w:right w:val="nil"/>
            </w:tcBorders>
            <w:shd w:val="clear" w:color="000000" w:fill="FFFFFF"/>
            <w:noWrap/>
            <w:vAlign w:val="bottom"/>
            <w:hideMark/>
          </w:tcPr>
          <w:p w:rsidR="00286159" w:rsidRPr="00E33804" w:rsidRDefault="00286159" w:rsidP="00AE1C26">
            <w:pPr>
              <w:rPr>
                <w:rFonts w:cs="Calibri"/>
                <w:color w:val="000000"/>
                <w:lang w:eastAsia="en-GB"/>
              </w:rPr>
            </w:pPr>
            <w:r w:rsidRPr="00E33804">
              <w:rPr>
                <w:rFonts w:cs="Calibri"/>
                <w:color w:val="000000"/>
                <w:lang w:eastAsia="en-GB"/>
              </w:rPr>
              <w:t> </w:t>
            </w:r>
          </w:p>
        </w:tc>
        <w:tc>
          <w:tcPr>
            <w:tcW w:w="1756" w:type="dxa"/>
            <w:tcBorders>
              <w:top w:val="nil"/>
              <w:left w:val="nil"/>
              <w:bottom w:val="nil"/>
              <w:right w:val="nil"/>
            </w:tcBorders>
            <w:shd w:val="clear" w:color="000000" w:fill="FFFFFF"/>
            <w:noWrap/>
            <w:vAlign w:val="bottom"/>
            <w:hideMark/>
          </w:tcPr>
          <w:p w:rsidR="00286159" w:rsidRPr="00E33804" w:rsidRDefault="00286159" w:rsidP="00AE1C26">
            <w:pPr>
              <w:jc w:val="right"/>
              <w:rPr>
                <w:rFonts w:cs="Calibri"/>
                <w:b/>
                <w:bCs/>
                <w:color w:val="000000"/>
                <w:lang w:eastAsia="en-GB"/>
              </w:rPr>
            </w:pPr>
            <w:r w:rsidRPr="00E33804">
              <w:rPr>
                <w:rFonts w:cs="Calibri"/>
                <w:b/>
                <w:bCs/>
                <w:color w:val="000000"/>
                <w:lang w:eastAsia="en-GB"/>
              </w:rPr>
              <w:t>£m</w:t>
            </w:r>
          </w:p>
        </w:tc>
        <w:tc>
          <w:tcPr>
            <w:tcW w:w="416" w:type="dxa"/>
            <w:tcBorders>
              <w:top w:val="nil"/>
              <w:left w:val="nil"/>
              <w:bottom w:val="nil"/>
              <w:right w:val="nil"/>
            </w:tcBorders>
            <w:shd w:val="clear" w:color="000000" w:fill="FFFFFF"/>
            <w:noWrap/>
            <w:vAlign w:val="bottom"/>
            <w:hideMark/>
          </w:tcPr>
          <w:p w:rsidR="00286159" w:rsidRPr="00E33804" w:rsidRDefault="00286159" w:rsidP="00AE1C26">
            <w:pPr>
              <w:rPr>
                <w:rFonts w:cs="Calibri"/>
                <w:color w:val="000000"/>
                <w:lang w:eastAsia="en-GB"/>
              </w:rPr>
            </w:pPr>
            <w:r w:rsidRPr="00E33804">
              <w:rPr>
                <w:rFonts w:cs="Calibri"/>
                <w:color w:val="000000"/>
                <w:lang w:eastAsia="en-GB"/>
              </w:rPr>
              <w:t> </w:t>
            </w:r>
          </w:p>
        </w:tc>
        <w:tc>
          <w:tcPr>
            <w:tcW w:w="1956" w:type="dxa"/>
            <w:tcBorders>
              <w:top w:val="nil"/>
              <w:left w:val="nil"/>
              <w:bottom w:val="nil"/>
              <w:right w:val="nil"/>
            </w:tcBorders>
            <w:shd w:val="clear" w:color="000000" w:fill="FFFFFF"/>
            <w:noWrap/>
            <w:vAlign w:val="bottom"/>
            <w:hideMark/>
          </w:tcPr>
          <w:p w:rsidR="00286159" w:rsidRPr="00E33804" w:rsidRDefault="00286159" w:rsidP="00AE1C26">
            <w:pPr>
              <w:jc w:val="right"/>
              <w:rPr>
                <w:rFonts w:cs="Calibri"/>
                <w:b/>
                <w:bCs/>
                <w:color w:val="000000"/>
                <w:lang w:eastAsia="en-GB"/>
              </w:rPr>
            </w:pPr>
            <w:r w:rsidRPr="00E33804">
              <w:rPr>
                <w:rFonts w:cs="Calibri"/>
                <w:b/>
                <w:bCs/>
                <w:color w:val="000000"/>
                <w:lang w:eastAsia="en-GB"/>
              </w:rPr>
              <w:t>£m</w:t>
            </w:r>
          </w:p>
        </w:tc>
      </w:tr>
      <w:tr w:rsidR="00286159" w:rsidRPr="00E33804" w:rsidTr="00AE1C26">
        <w:trPr>
          <w:trHeight w:val="299"/>
        </w:trPr>
        <w:tc>
          <w:tcPr>
            <w:tcW w:w="3136" w:type="dxa"/>
            <w:tcBorders>
              <w:top w:val="nil"/>
              <w:left w:val="nil"/>
              <w:bottom w:val="nil"/>
              <w:right w:val="nil"/>
            </w:tcBorders>
            <w:shd w:val="clear" w:color="000000" w:fill="FFFFFF"/>
            <w:noWrap/>
            <w:vAlign w:val="bottom"/>
            <w:hideMark/>
          </w:tcPr>
          <w:p w:rsidR="00286159" w:rsidRPr="00E33804" w:rsidRDefault="00286159" w:rsidP="00AE1C26">
            <w:pPr>
              <w:rPr>
                <w:rFonts w:cs="Calibri"/>
                <w:lang w:eastAsia="en-GB"/>
              </w:rPr>
            </w:pPr>
            <w:r w:rsidRPr="00E33804">
              <w:rPr>
                <w:rFonts w:cs="Calibri"/>
                <w:lang w:eastAsia="en-GB"/>
              </w:rPr>
              <w:t>Capital Dynamics</w:t>
            </w:r>
          </w:p>
        </w:tc>
        <w:tc>
          <w:tcPr>
            <w:tcW w:w="1756" w:type="dxa"/>
            <w:tcBorders>
              <w:top w:val="nil"/>
              <w:left w:val="nil"/>
              <w:bottom w:val="nil"/>
              <w:right w:val="nil"/>
            </w:tcBorders>
            <w:shd w:val="clear" w:color="000000" w:fill="FFFFFF"/>
            <w:noWrap/>
            <w:vAlign w:val="bottom"/>
            <w:hideMark/>
          </w:tcPr>
          <w:p w:rsidR="00286159" w:rsidRPr="00E33804" w:rsidRDefault="00286159" w:rsidP="00AE1C26">
            <w:pPr>
              <w:jc w:val="right"/>
              <w:rPr>
                <w:rFonts w:cs="Calibri"/>
                <w:lang w:eastAsia="en-GB"/>
              </w:rPr>
            </w:pPr>
            <w:r w:rsidRPr="00E33804">
              <w:rPr>
                <w:rFonts w:cs="Calibri"/>
                <w:lang w:eastAsia="en-GB"/>
              </w:rPr>
              <w:t>14.1</w:t>
            </w:r>
          </w:p>
        </w:tc>
        <w:tc>
          <w:tcPr>
            <w:tcW w:w="416" w:type="dxa"/>
            <w:tcBorders>
              <w:top w:val="nil"/>
              <w:left w:val="nil"/>
              <w:bottom w:val="nil"/>
              <w:right w:val="nil"/>
            </w:tcBorders>
            <w:shd w:val="clear" w:color="000000" w:fill="FFFFFF"/>
            <w:noWrap/>
            <w:vAlign w:val="bottom"/>
            <w:hideMark/>
          </w:tcPr>
          <w:p w:rsidR="00286159" w:rsidRPr="00E33804" w:rsidRDefault="00286159" w:rsidP="00AE1C26">
            <w:pPr>
              <w:rPr>
                <w:rFonts w:cs="Calibri"/>
                <w:lang w:eastAsia="en-GB"/>
              </w:rPr>
            </w:pPr>
            <w:r w:rsidRPr="00E33804">
              <w:rPr>
                <w:rFonts w:cs="Calibri"/>
                <w:lang w:eastAsia="en-GB"/>
              </w:rPr>
              <w:t> </w:t>
            </w:r>
          </w:p>
        </w:tc>
        <w:tc>
          <w:tcPr>
            <w:tcW w:w="1956" w:type="dxa"/>
            <w:tcBorders>
              <w:top w:val="nil"/>
              <w:left w:val="nil"/>
              <w:bottom w:val="nil"/>
              <w:right w:val="nil"/>
            </w:tcBorders>
            <w:shd w:val="clear" w:color="000000" w:fill="FFFFFF"/>
            <w:noWrap/>
            <w:vAlign w:val="bottom"/>
            <w:hideMark/>
          </w:tcPr>
          <w:p w:rsidR="00286159" w:rsidRPr="00E33804" w:rsidRDefault="00286159" w:rsidP="00AE1C26">
            <w:pPr>
              <w:jc w:val="right"/>
              <w:rPr>
                <w:rFonts w:cs="Calibri"/>
                <w:lang w:eastAsia="en-GB"/>
              </w:rPr>
            </w:pPr>
            <w:r w:rsidRPr="00E33804">
              <w:rPr>
                <w:rFonts w:cs="Calibri"/>
                <w:lang w:eastAsia="en-GB"/>
              </w:rPr>
              <w:t>13.9</w:t>
            </w:r>
          </w:p>
        </w:tc>
      </w:tr>
      <w:tr w:rsidR="00286159" w:rsidRPr="00E33804" w:rsidTr="00AE1C26">
        <w:trPr>
          <w:trHeight w:val="299"/>
        </w:trPr>
        <w:tc>
          <w:tcPr>
            <w:tcW w:w="3136" w:type="dxa"/>
            <w:tcBorders>
              <w:top w:val="nil"/>
              <w:left w:val="nil"/>
              <w:bottom w:val="nil"/>
              <w:right w:val="nil"/>
            </w:tcBorders>
            <w:shd w:val="clear" w:color="000000" w:fill="FFFFFF"/>
            <w:noWrap/>
            <w:vAlign w:val="bottom"/>
            <w:hideMark/>
          </w:tcPr>
          <w:p w:rsidR="00286159" w:rsidRPr="00E33804" w:rsidRDefault="00286159" w:rsidP="00AE1C26">
            <w:pPr>
              <w:rPr>
                <w:rFonts w:cs="Calibri"/>
                <w:lang w:eastAsia="en-GB"/>
              </w:rPr>
            </w:pPr>
            <w:r w:rsidRPr="00E33804">
              <w:rPr>
                <w:rFonts w:cs="Calibri"/>
                <w:lang w:eastAsia="en-GB"/>
              </w:rPr>
              <w:t>Alinda Fund II</w:t>
            </w:r>
          </w:p>
        </w:tc>
        <w:tc>
          <w:tcPr>
            <w:tcW w:w="1756" w:type="dxa"/>
            <w:tcBorders>
              <w:top w:val="nil"/>
              <w:left w:val="nil"/>
              <w:bottom w:val="nil"/>
              <w:right w:val="nil"/>
            </w:tcBorders>
            <w:shd w:val="clear" w:color="000000" w:fill="FFFFFF"/>
            <w:noWrap/>
            <w:vAlign w:val="bottom"/>
            <w:hideMark/>
          </w:tcPr>
          <w:p w:rsidR="00286159" w:rsidRPr="00E33804" w:rsidRDefault="00286159" w:rsidP="00AE1C26">
            <w:pPr>
              <w:jc w:val="right"/>
              <w:rPr>
                <w:rFonts w:cs="Calibri"/>
                <w:lang w:eastAsia="en-GB"/>
              </w:rPr>
            </w:pPr>
            <w:r w:rsidRPr="00E33804">
              <w:rPr>
                <w:rFonts w:cs="Calibri"/>
                <w:lang w:eastAsia="en-GB"/>
              </w:rPr>
              <w:t>2.9</w:t>
            </w:r>
          </w:p>
        </w:tc>
        <w:tc>
          <w:tcPr>
            <w:tcW w:w="416" w:type="dxa"/>
            <w:tcBorders>
              <w:top w:val="nil"/>
              <w:left w:val="nil"/>
              <w:bottom w:val="nil"/>
              <w:right w:val="nil"/>
            </w:tcBorders>
            <w:shd w:val="clear" w:color="000000" w:fill="FFFFFF"/>
            <w:noWrap/>
            <w:vAlign w:val="bottom"/>
            <w:hideMark/>
          </w:tcPr>
          <w:p w:rsidR="00286159" w:rsidRPr="00E33804" w:rsidRDefault="00286159" w:rsidP="00AE1C26">
            <w:pPr>
              <w:rPr>
                <w:rFonts w:cs="Calibri"/>
                <w:lang w:eastAsia="en-GB"/>
              </w:rPr>
            </w:pPr>
            <w:r w:rsidRPr="00E33804">
              <w:rPr>
                <w:rFonts w:cs="Calibri"/>
                <w:lang w:eastAsia="en-GB"/>
              </w:rPr>
              <w:t> </w:t>
            </w:r>
          </w:p>
        </w:tc>
        <w:tc>
          <w:tcPr>
            <w:tcW w:w="1956" w:type="dxa"/>
            <w:tcBorders>
              <w:top w:val="nil"/>
              <w:left w:val="nil"/>
              <w:bottom w:val="nil"/>
              <w:right w:val="nil"/>
            </w:tcBorders>
            <w:shd w:val="clear" w:color="000000" w:fill="FFFFFF"/>
            <w:noWrap/>
            <w:vAlign w:val="bottom"/>
            <w:hideMark/>
          </w:tcPr>
          <w:p w:rsidR="00286159" w:rsidRPr="00E33804" w:rsidRDefault="00286159" w:rsidP="00AE1C26">
            <w:pPr>
              <w:jc w:val="right"/>
              <w:rPr>
                <w:rFonts w:cs="Calibri"/>
                <w:lang w:eastAsia="en-GB"/>
              </w:rPr>
            </w:pPr>
            <w:r w:rsidRPr="00E33804">
              <w:rPr>
                <w:rFonts w:cs="Calibri"/>
                <w:lang w:eastAsia="en-GB"/>
              </w:rPr>
              <w:t>3.1</w:t>
            </w:r>
          </w:p>
        </w:tc>
      </w:tr>
      <w:tr w:rsidR="00286159" w:rsidRPr="00E33804" w:rsidTr="00AE1C26">
        <w:trPr>
          <w:trHeight w:val="299"/>
        </w:trPr>
        <w:tc>
          <w:tcPr>
            <w:tcW w:w="3136" w:type="dxa"/>
            <w:tcBorders>
              <w:top w:val="nil"/>
              <w:left w:val="nil"/>
              <w:bottom w:val="nil"/>
              <w:right w:val="nil"/>
            </w:tcBorders>
            <w:shd w:val="clear" w:color="000000" w:fill="FFFFFF"/>
            <w:noWrap/>
            <w:vAlign w:val="bottom"/>
            <w:hideMark/>
          </w:tcPr>
          <w:p w:rsidR="00286159" w:rsidRPr="00E33804" w:rsidRDefault="00286159" w:rsidP="00AE1C26">
            <w:pPr>
              <w:rPr>
                <w:rFonts w:cs="Calibri"/>
                <w:lang w:eastAsia="en-GB"/>
              </w:rPr>
            </w:pPr>
            <w:r w:rsidRPr="00E33804">
              <w:rPr>
                <w:rFonts w:cs="Calibri"/>
                <w:lang w:eastAsia="en-GB"/>
              </w:rPr>
              <w:t>Alinda Fund III</w:t>
            </w:r>
          </w:p>
        </w:tc>
        <w:tc>
          <w:tcPr>
            <w:tcW w:w="1756" w:type="dxa"/>
            <w:tcBorders>
              <w:top w:val="nil"/>
              <w:left w:val="nil"/>
              <w:bottom w:val="nil"/>
              <w:right w:val="nil"/>
            </w:tcBorders>
            <w:shd w:val="clear" w:color="000000" w:fill="FFFFFF"/>
            <w:noWrap/>
            <w:vAlign w:val="bottom"/>
            <w:hideMark/>
          </w:tcPr>
          <w:p w:rsidR="00286159" w:rsidRPr="00E33804" w:rsidRDefault="00286159" w:rsidP="00AE1C26">
            <w:pPr>
              <w:jc w:val="right"/>
              <w:rPr>
                <w:rFonts w:cs="Calibri"/>
                <w:lang w:eastAsia="en-GB"/>
              </w:rPr>
            </w:pPr>
            <w:r w:rsidRPr="00E33804">
              <w:rPr>
                <w:rFonts w:cs="Calibri"/>
                <w:lang w:eastAsia="en-GB"/>
              </w:rPr>
              <w:t>9.9</w:t>
            </w:r>
          </w:p>
        </w:tc>
        <w:tc>
          <w:tcPr>
            <w:tcW w:w="416" w:type="dxa"/>
            <w:tcBorders>
              <w:top w:val="nil"/>
              <w:left w:val="nil"/>
              <w:bottom w:val="nil"/>
              <w:right w:val="nil"/>
            </w:tcBorders>
            <w:shd w:val="clear" w:color="000000" w:fill="FFFFFF"/>
            <w:noWrap/>
            <w:vAlign w:val="bottom"/>
            <w:hideMark/>
          </w:tcPr>
          <w:p w:rsidR="00286159" w:rsidRPr="00E33804" w:rsidRDefault="00286159" w:rsidP="00AE1C26">
            <w:pPr>
              <w:rPr>
                <w:rFonts w:cs="Calibri"/>
                <w:lang w:eastAsia="en-GB"/>
              </w:rPr>
            </w:pPr>
            <w:r w:rsidRPr="00E33804">
              <w:rPr>
                <w:rFonts w:cs="Calibri"/>
                <w:lang w:eastAsia="en-GB"/>
              </w:rPr>
              <w:t> </w:t>
            </w:r>
          </w:p>
        </w:tc>
        <w:tc>
          <w:tcPr>
            <w:tcW w:w="1956" w:type="dxa"/>
            <w:tcBorders>
              <w:top w:val="nil"/>
              <w:left w:val="nil"/>
              <w:bottom w:val="nil"/>
              <w:right w:val="nil"/>
            </w:tcBorders>
            <w:shd w:val="clear" w:color="000000" w:fill="FFFFFF"/>
            <w:noWrap/>
            <w:vAlign w:val="bottom"/>
            <w:hideMark/>
          </w:tcPr>
          <w:p w:rsidR="00286159" w:rsidRPr="00E33804" w:rsidRDefault="00286159" w:rsidP="00AE1C26">
            <w:pPr>
              <w:jc w:val="right"/>
              <w:rPr>
                <w:rFonts w:cs="Calibri"/>
                <w:lang w:eastAsia="en-GB"/>
              </w:rPr>
            </w:pPr>
            <w:r w:rsidRPr="00E33804">
              <w:rPr>
                <w:rFonts w:cs="Calibri"/>
                <w:lang w:eastAsia="en-GB"/>
              </w:rPr>
              <w:t>9.5</w:t>
            </w:r>
          </w:p>
        </w:tc>
      </w:tr>
      <w:tr w:rsidR="00286159" w:rsidRPr="00E33804" w:rsidTr="00AE1C26">
        <w:trPr>
          <w:trHeight w:val="299"/>
        </w:trPr>
        <w:tc>
          <w:tcPr>
            <w:tcW w:w="3136" w:type="dxa"/>
            <w:tcBorders>
              <w:top w:val="nil"/>
              <w:left w:val="nil"/>
              <w:bottom w:val="nil"/>
              <w:right w:val="nil"/>
            </w:tcBorders>
            <w:shd w:val="clear" w:color="000000" w:fill="FFFFFF"/>
            <w:noWrap/>
            <w:vAlign w:val="bottom"/>
            <w:hideMark/>
          </w:tcPr>
          <w:p w:rsidR="00286159" w:rsidRPr="00E33804" w:rsidRDefault="00286159" w:rsidP="00AE1C26">
            <w:pPr>
              <w:rPr>
                <w:rFonts w:cs="Calibri"/>
                <w:lang w:eastAsia="en-GB"/>
              </w:rPr>
            </w:pPr>
            <w:r w:rsidRPr="00E33804">
              <w:rPr>
                <w:rFonts w:cs="Calibri"/>
                <w:lang w:eastAsia="en-GB"/>
              </w:rPr>
              <w:t>London CIV Infrastructure Fund</w:t>
            </w:r>
          </w:p>
        </w:tc>
        <w:tc>
          <w:tcPr>
            <w:tcW w:w="1756" w:type="dxa"/>
            <w:tcBorders>
              <w:top w:val="nil"/>
              <w:left w:val="nil"/>
              <w:bottom w:val="nil"/>
              <w:right w:val="nil"/>
            </w:tcBorders>
            <w:shd w:val="clear" w:color="000000" w:fill="FFFFFF"/>
            <w:noWrap/>
            <w:vAlign w:val="bottom"/>
            <w:hideMark/>
          </w:tcPr>
          <w:p w:rsidR="00286159" w:rsidRPr="00E33804" w:rsidRDefault="00286159" w:rsidP="00AE1C26">
            <w:pPr>
              <w:jc w:val="right"/>
              <w:rPr>
                <w:rFonts w:cs="Calibri"/>
                <w:color w:val="000000"/>
                <w:lang w:eastAsia="en-GB"/>
              </w:rPr>
            </w:pPr>
            <w:r>
              <w:rPr>
                <w:rFonts w:cs="Calibri"/>
                <w:color w:val="000000"/>
                <w:lang w:eastAsia="en-GB"/>
              </w:rPr>
              <w:t>n/a</w:t>
            </w:r>
          </w:p>
        </w:tc>
        <w:tc>
          <w:tcPr>
            <w:tcW w:w="416" w:type="dxa"/>
            <w:tcBorders>
              <w:top w:val="nil"/>
              <w:left w:val="nil"/>
              <w:bottom w:val="nil"/>
              <w:right w:val="nil"/>
            </w:tcBorders>
            <w:shd w:val="clear" w:color="000000" w:fill="FFFFFF"/>
            <w:noWrap/>
            <w:vAlign w:val="bottom"/>
            <w:hideMark/>
          </w:tcPr>
          <w:p w:rsidR="00286159" w:rsidRPr="00E33804" w:rsidRDefault="00286159" w:rsidP="00AE1C26">
            <w:pPr>
              <w:rPr>
                <w:rFonts w:cs="Calibri"/>
                <w:color w:val="000000"/>
                <w:lang w:eastAsia="en-GB"/>
              </w:rPr>
            </w:pPr>
            <w:r w:rsidRPr="00E33804">
              <w:rPr>
                <w:rFonts w:cs="Calibri"/>
                <w:color w:val="000000"/>
                <w:lang w:eastAsia="en-GB"/>
              </w:rPr>
              <w:t> </w:t>
            </w:r>
          </w:p>
        </w:tc>
        <w:tc>
          <w:tcPr>
            <w:tcW w:w="1956" w:type="dxa"/>
            <w:tcBorders>
              <w:top w:val="nil"/>
              <w:left w:val="nil"/>
              <w:bottom w:val="nil"/>
              <w:right w:val="nil"/>
            </w:tcBorders>
            <w:shd w:val="clear" w:color="000000" w:fill="FFFFFF"/>
            <w:noWrap/>
            <w:vAlign w:val="bottom"/>
            <w:hideMark/>
          </w:tcPr>
          <w:p w:rsidR="00286159" w:rsidRPr="00E33804" w:rsidRDefault="00286159" w:rsidP="00AE1C26">
            <w:pPr>
              <w:jc w:val="right"/>
              <w:rPr>
                <w:rFonts w:cs="Calibri"/>
                <w:color w:val="000000"/>
                <w:lang w:eastAsia="en-GB"/>
              </w:rPr>
            </w:pPr>
            <w:r w:rsidRPr="00E33804">
              <w:rPr>
                <w:rFonts w:cs="Calibri"/>
                <w:color w:val="000000"/>
                <w:lang w:eastAsia="en-GB"/>
              </w:rPr>
              <w:t>49.5</w:t>
            </w:r>
          </w:p>
        </w:tc>
      </w:tr>
      <w:tr w:rsidR="00286159" w:rsidRPr="00E33804" w:rsidTr="00AE1C26">
        <w:trPr>
          <w:trHeight w:val="299"/>
        </w:trPr>
        <w:tc>
          <w:tcPr>
            <w:tcW w:w="3136" w:type="dxa"/>
            <w:tcBorders>
              <w:top w:val="nil"/>
              <w:left w:val="nil"/>
              <w:bottom w:val="nil"/>
              <w:right w:val="nil"/>
            </w:tcBorders>
            <w:shd w:val="clear" w:color="000000" w:fill="FFFFFF"/>
            <w:noWrap/>
            <w:vAlign w:val="bottom"/>
            <w:hideMark/>
          </w:tcPr>
          <w:p w:rsidR="00286159" w:rsidRPr="00E33804" w:rsidRDefault="00286159" w:rsidP="00AE1C26">
            <w:pPr>
              <w:rPr>
                <w:rFonts w:cs="Calibri"/>
                <w:b/>
                <w:bCs/>
                <w:color w:val="000000"/>
                <w:lang w:eastAsia="en-GB"/>
              </w:rPr>
            </w:pPr>
            <w:r w:rsidRPr="00E33804">
              <w:rPr>
                <w:rFonts w:cs="Calibri"/>
                <w:b/>
                <w:bCs/>
                <w:color w:val="000000"/>
                <w:lang w:eastAsia="en-GB"/>
              </w:rPr>
              <w:t>Total</w:t>
            </w:r>
          </w:p>
        </w:tc>
        <w:tc>
          <w:tcPr>
            <w:tcW w:w="1756" w:type="dxa"/>
            <w:tcBorders>
              <w:top w:val="single" w:sz="4" w:space="0" w:color="auto"/>
              <w:left w:val="nil"/>
              <w:bottom w:val="double" w:sz="6" w:space="0" w:color="auto"/>
              <w:right w:val="nil"/>
            </w:tcBorders>
            <w:shd w:val="clear" w:color="000000" w:fill="FFFFFF"/>
            <w:noWrap/>
            <w:vAlign w:val="bottom"/>
            <w:hideMark/>
          </w:tcPr>
          <w:p w:rsidR="00286159" w:rsidRPr="00E33804" w:rsidRDefault="00286159" w:rsidP="00AE1C26">
            <w:pPr>
              <w:jc w:val="right"/>
              <w:rPr>
                <w:rFonts w:cs="Calibri"/>
                <w:b/>
                <w:bCs/>
                <w:lang w:eastAsia="en-GB"/>
              </w:rPr>
            </w:pPr>
            <w:r w:rsidRPr="00E33804">
              <w:rPr>
                <w:rFonts w:cs="Calibri"/>
                <w:b/>
                <w:bCs/>
                <w:lang w:eastAsia="en-GB"/>
              </w:rPr>
              <w:t>26.9</w:t>
            </w:r>
          </w:p>
        </w:tc>
        <w:tc>
          <w:tcPr>
            <w:tcW w:w="416" w:type="dxa"/>
            <w:tcBorders>
              <w:top w:val="single" w:sz="4" w:space="0" w:color="auto"/>
              <w:left w:val="nil"/>
              <w:bottom w:val="double" w:sz="6" w:space="0" w:color="auto"/>
              <w:right w:val="nil"/>
            </w:tcBorders>
            <w:shd w:val="clear" w:color="000000" w:fill="FFFFFF"/>
            <w:noWrap/>
            <w:vAlign w:val="bottom"/>
            <w:hideMark/>
          </w:tcPr>
          <w:p w:rsidR="00286159" w:rsidRPr="00E33804" w:rsidRDefault="00286159" w:rsidP="00AE1C26">
            <w:pPr>
              <w:rPr>
                <w:rFonts w:cs="Calibri"/>
                <w:b/>
                <w:bCs/>
                <w:lang w:eastAsia="en-GB"/>
              </w:rPr>
            </w:pPr>
            <w:r w:rsidRPr="00E33804">
              <w:rPr>
                <w:rFonts w:cs="Calibri"/>
                <w:b/>
                <w:bCs/>
                <w:lang w:eastAsia="en-GB"/>
              </w:rPr>
              <w:t> </w:t>
            </w:r>
          </w:p>
        </w:tc>
        <w:tc>
          <w:tcPr>
            <w:tcW w:w="1956" w:type="dxa"/>
            <w:tcBorders>
              <w:top w:val="single" w:sz="4" w:space="0" w:color="auto"/>
              <w:left w:val="nil"/>
              <w:bottom w:val="double" w:sz="6" w:space="0" w:color="auto"/>
              <w:right w:val="nil"/>
            </w:tcBorders>
            <w:shd w:val="clear" w:color="000000" w:fill="FFFFFF"/>
            <w:noWrap/>
            <w:vAlign w:val="bottom"/>
            <w:hideMark/>
          </w:tcPr>
          <w:p w:rsidR="00286159" w:rsidRPr="00E33804" w:rsidRDefault="00286159" w:rsidP="00AE1C26">
            <w:pPr>
              <w:jc w:val="right"/>
              <w:rPr>
                <w:rFonts w:cs="Calibri"/>
                <w:b/>
                <w:bCs/>
                <w:lang w:eastAsia="en-GB"/>
              </w:rPr>
            </w:pPr>
            <w:r w:rsidRPr="00E33804">
              <w:rPr>
                <w:rFonts w:cs="Calibri"/>
                <w:b/>
                <w:bCs/>
                <w:lang w:eastAsia="en-GB"/>
              </w:rPr>
              <w:t>75.9</w:t>
            </w:r>
          </w:p>
        </w:tc>
      </w:tr>
    </w:tbl>
    <w:p w:rsidR="00F72906" w:rsidRDefault="00F72906" w:rsidP="00286159"/>
    <w:p w:rsidR="00F72906" w:rsidRDefault="00F72906" w:rsidP="00F72906">
      <w:r>
        <w:t>These commitments relate to outstanding call payments due on unquoted limited partnership funds held in the private equity and infrastructure parts of the portfolio. The amounts ‘called’ by these funds are irregular in both size and timing over a period of between four and six years from the date of each original commitment.</w:t>
      </w:r>
    </w:p>
    <w:p w:rsidR="00F72906" w:rsidRDefault="00F72906" w:rsidP="00286159">
      <w:pPr>
        <w:pStyle w:val="Heading3"/>
      </w:pPr>
      <w:r>
        <w:t>25.  Contingent Assets</w:t>
      </w:r>
    </w:p>
    <w:p w:rsidR="00F72906" w:rsidRDefault="00F72906" w:rsidP="00F72906"/>
    <w:p w:rsidR="00F72906" w:rsidRPr="00286159" w:rsidRDefault="00F72906" w:rsidP="00F72906">
      <w:pPr>
        <w:rPr>
          <w:b/>
        </w:rPr>
      </w:pPr>
      <w:r w:rsidRPr="00286159">
        <w:rPr>
          <w:b/>
        </w:rPr>
        <w:t>Other Contingent assets</w:t>
      </w:r>
    </w:p>
    <w:p w:rsidR="00F72906" w:rsidRDefault="00F72906" w:rsidP="00F72906"/>
    <w:p w:rsidR="00F72906" w:rsidRDefault="00F72906" w:rsidP="00F72906">
      <w:r>
        <w:t>Two non-associated admitted body employers in the Brent Pension Fund hold insurance bonds to guard against the possibility of being unable to meet their pension obligations. These bonds are drawn in favour of the Pension Fund and payment will only be triggered in the event of employer default.</w:t>
      </w:r>
    </w:p>
    <w:tbl>
      <w:tblPr>
        <w:tblW w:w="7264" w:type="dxa"/>
        <w:tblLook w:val="04A0" w:firstRow="1" w:lastRow="0" w:firstColumn="1" w:lastColumn="0" w:noHBand="0" w:noVBand="1"/>
      </w:tblPr>
      <w:tblGrid>
        <w:gridCol w:w="3136"/>
        <w:gridCol w:w="1756"/>
        <w:gridCol w:w="416"/>
        <w:gridCol w:w="1956"/>
      </w:tblGrid>
      <w:tr w:rsidR="00286159" w:rsidRPr="00317A00" w:rsidTr="00AE1C26">
        <w:trPr>
          <w:trHeight w:val="286"/>
        </w:trPr>
        <w:tc>
          <w:tcPr>
            <w:tcW w:w="3136" w:type="dxa"/>
            <w:tcBorders>
              <w:top w:val="nil"/>
              <w:left w:val="nil"/>
              <w:bottom w:val="nil"/>
              <w:right w:val="nil"/>
            </w:tcBorders>
            <w:shd w:val="clear" w:color="000000" w:fill="FFFFFF"/>
            <w:noWrap/>
            <w:vAlign w:val="bottom"/>
            <w:hideMark/>
          </w:tcPr>
          <w:p w:rsidR="00286159" w:rsidRPr="00317A00" w:rsidRDefault="00286159" w:rsidP="00AE1C26">
            <w:pPr>
              <w:rPr>
                <w:rFonts w:cs="Calibri"/>
                <w:lang w:eastAsia="en-GB"/>
              </w:rPr>
            </w:pPr>
            <w:r w:rsidRPr="00317A00">
              <w:rPr>
                <w:rFonts w:cs="Calibri"/>
                <w:lang w:eastAsia="en-GB"/>
              </w:rPr>
              <w:lastRenderedPageBreak/>
              <w:t> </w:t>
            </w:r>
          </w:p>
        </w:tc>
        <w:tc>
          <w:tcPr>
            <w:tcW w:w="1756" w:type="dxa"/>
            <w:tcBorders>
              <w:top w:val="nil"/>
              <w:left w:val="nil"/>
              <w:bottom w:val="nil"/>
              <w:right w:val="nil"/>
            </w:tcBorders>
            <w:shd w:val="clear" w:color="000000" w:fill="FFFFFF"/>
            <w:noWrap/>
            <w:vAlign w:val="bottom"/>
            <w:hideMark/>
          </w:tcPr>
          <w:p w:rsidR="00286159" w:rsidRPr="00317A00" w:rsidRDefault="00286159" w:rsidP="00AE1C26">
            <w:pPr>
              <w:jc w:val="right"/>
              <w:rPr>
                <w:rFonts w:cs="Calibri"/>
                <w:b/>
                <w:bCs/>
                <w:lang w:eastAsia="en-GB"/>
              </w:rPr>
            </w:pPr>
            <w:r w:rsidRPr="00317A00">
              <w:rPr>
                <w:rFonts w:cs="Calibri"/>
                <w:b/>
                <w:bCs/>
                <w:lang w:eastAsia="en-GB"/>
              </w:rPr>
              <w:t>31st March 2019</w:t>
            </w:r>
          </w:p>
        </w:tc>
        <w:tc>
          <w:tcPr>
            <w:tcW w:w="416" w:type="dxa"/>
            <w:tcBorders>
              <w:top w:val="nil"/>
              <w:left w:val="nil"/>
              <w:bottom w:val="nil"/>
              <w:right w:val="nil"/>
            </w:tcBorders>
            <w:shd w:val="clear" w:color="000000" w:fill="FFFFFF"/>
            <w:noWrap/>
            <w:vAlign w:val="bottom"/>
            <w:hideMark/>
          </w:tcPr>
          <w:p w:rsidR="00286159" w:rsidRPr="00317A00" w:rsidRDefault="00286159" w:rsidP="00AE1C26">
            <w:pPr>
              <w:jc w:val="right"/>
              <w:rPr>
                <w:rFonts w:cs="Calibri"/>
                <w:b/>
                <w:bCs/>
                <w:lang w:eastAsia="en-GB"/>
              </w:rPr>
            </w:pPr>
            <w:r w:rsidRPr="00317A00">
              <w:rPr>
                <w:rFonts w:cs="Calibri"/>
                <w:b/>
                <w:bCs/>
                <w:lang w:eastAsia="en-GB"/>
              </w:rPr>
              <w:t> </w:t>
            </w:r>
          </w:p>
        </w:tc>
        <w:tc>
          <w:tcPr>
            <w:tcW w:w="1956" w:type="dxa"/>
            <w:tcBorders>
              <w:top w:val="nil"/>
              <w:left w:val="nil"/>
              <w:bottom w:val="nil"/>
              <w:right w:val="nil"/>
            </w:tcBorders>
            <w:shd w:val="clear" w:color="000000" w:fill="FFFFFF"/>
            <w:noWrap/>
            <w:vAlign w:val="bottom"/>
            <w:hideMark/>
          </w:tcPr>
          <w:p w:rsidR="00286159" w:rsidRPr="00317A00" w:rsidRDefault="00286159" w:rsidP="00AE1C26">
            <w:pPr>
              <w:jc w:val="right"/>
              <w:rPr>
                <w:rFonts w:cs="Calibri"/>
                <w:b/>
                <w:bCs/>
                <w:lang w:eastAsia="en-GB"/>
              </w:rPr>
            </w:pPr>
            <w:r w:rsidRPr="00317A00">
              <w:rPr>
                <w:rFonts w:cs="Calibri"/>
                <w:b/>
                <w:bCs/>
                <w:lang w:eastAsia="en-GB"/>
              </w:rPr>
              <w:t>31st March 2020</w:t>
            </w:r>
          </w:p>
        </w:tc>
      </w:tr>
      <w:tr w:rsidR="00286159" w:rsidRPr="00317A00" w:rsidTr="00AE1C26">
        <w:trPr>
          <w:trHeight w:val="286"/>
        </w:trPr>
        <w:tc>
          <w:tcPr>
            <w:tcW w:w="3136" w:type="dxa"/>
            <w:tcBorders>
              <w:top w:val="nil"/>
              <w:left w:val="nil"/>
              <w:bottom w:val="nil"/>
              <w:right w:val="nil"/>
            </w:tcBorders>
            <w:shd w:val="clear" w:color="000000" w:fill="FFFFFF"/>
            <w:noWrap/>
            <w:vAlign w:val="bottom"/>
            <w:hideMark/>
          </w:tcPr>
          <w:p w:rsidR="00286159" w:rsidRPr="00317A00" w:rsidRDefault="00286159" w:rsidP="00AE1C26">
            <w:pPr>
              <w:rPr>
                <w:rFonts w:cs="Calibri"/>
                <w:color w:val="000000"/>
                <w:lang w:eastAsia="en-GB"/>
              </w:rPr>
            </w:pPr>
            <w:r w:rsidRPr="00317A00">
              <w:rPr>
                <w:rFonts w:cs="Calibri"/>
                <w:color w:val="000000"/>
                <w:lang w:eastAsia="en-GB"/>
              </w:rPr>
              <w:t> </w:t>
            </w:r>
          </w:p>
        </w:tc>
        <w:tc>
          <w:tcPr>
            <w:tcW w:w="1756" w:type="dxa"/>
            <w:tcBorders>
              <w:top w:val="nil"/>
              <w:left w:val="nil"/>
              <w:bottom w:val="nil"/>
              <w:right w:val="nil"/>
            </w:tcBorders>
            <w:shd w:val="clear" w:color="000000" w:fill="FFFFFF"/>
            <w:noWrap/>
            <w:vAlign w:val="bottom"/>
            <w:hideMark/>
          </w:tcPr>
          <w:p w:rsidR="00286159" w:rsidRPr="00317A00" w:rsidRDefault="00286159" w:rsidP="00AE1C26">
            <w:pPr>
              <w:jc w:val="right"/>
              <w:rPr>
                <w:rFonts w:cs="Calibri"/>
                <w:b/>
                <w:bCs/>
                <w:color w:val="000000"/>
                <w:lang w:eastAsia="en-GB"/>
              </w:rPr>
            </w:pPr>
            <w:r w:rsidRPr="00317A00">
              <w:rPr>
                <w:rFonts w:cs="Calibri"/>
                <w:b/>
                <w:bCs/>
                <w:color w:val="000000"/>
                <w:lang w:eastAsia="en-GB"/>
              </w:rPr>
              <w:t>£m</w:t>
            </w:r>
          </w:p>
        </w:tc>
        <w:tc>
          <w:tcPr>
            <w:tcW w:w="416" w:type="dxa"/>
            <w:tcBorders>
              <w:top w:val="nil"/>
              <w:left w:val="nil"/>
              <w:bottom w:val="nil"/>
              <w:right w:val="nil"/>
            </w:tcBorders>
            <w:shd w:val="clear" w:color="000000" w:fill="FFFFFF"/>
            <w:noWrap/>
            <w:vAlign w:val="bottom"/>
            <w:hideMark/>
          </w:tcPr>
          <w:p w:rsidR="00286159" w:rsidRPr="00317A00" w:rsidRDefault="00286159" w:rsidP="00AE1C26">
            <w:pPr>
              <w:rPr>
                <w:rFonts w:cs="Calibri"/>
                <w:color w:val="000000"/>
                <w:lang w:eastAsia="en-GB"/>
              </w:rPr>
            </w:pPr>
            <w:r w:rsidRPr="00317A00">
              <w:rPr>
                <w:rFonts w:cs="Calibri"/>
                <w:color w:val="000000"/>
                <w:lang w:eastAsia="en-GB"/>
              </w:rPr>
              <w:t> </w:t>
            </w:r>
          </w:p>
        </w:tc>
        <w:tc>
          <w:tcPr>
            <w:tcW w:w="1956" w:type="dxa"/>
            <w:tcBorders>
              <w:top w:val="nil"/>
              <w:left w:val="nil"/>
              <w:bottom w:val="nil"/>
              <w:right w:val="nil"/>
            </w:tcBorders>
            <w:shd w:val="clear" w:color="000000" w:fill="FFFFFF"/>
            <w:noWrap/>
            <w:vAlign w:val="bottom"/>
            <w:hideMark/>
          </w:tcPr>
          <w:p w:rsidR="00286159" w:rsidRPr="00317A00" w:rsidRDefault="00286159" w:rsidP="00AE1C26">
            <w:pPr>
              <w:jc w:val="right"/>
              <w:rPr>
                <w:rFonts w:cs="Calibri"/>
                <w:b/>
                <w:bCs/>
                <w:color w:val="000000"/>
                <w:lang w:eastAsia="en-GB"/>
              </w:rPr>
            </w:pPr>
            <w:r w:rsidRPr="00317A00">
              <w:rPr>
                <w:rFonts w:cs="Calibri"/>
                <w:b/>
                <w:bCs/>
                <w:color w:val="000000"/>
                <w:lang w:eastAsia="en-GB"/>
              </w:rPr>
              <w:t>£m</w:t>
            </w:r>
          </w:p>
        </w:tc>
      </w:tr>
      <w:tr w:rsidR="00286159" w:rsidRPr="00317A00" w:rsidTr="00AE1C26">
        <w:trPr>
          <w:trHeight w:val="530"/>
        </w:trPr>
        <w:tc>
          <w:tcPr>
            <w:tcW w:w="3136" w:type="dxa"/>
            <w:tcBorders>
              <w:top w:val="nil"/>
              <w:left w:val="nil"/>
              <w:bottom w:val="nil"/>
              <w:right w:val="nil"/>
            </w:tcBorders>
            <w:shd w:val="clear" w:color="000000" w:fill="FFFFFF"/>
            <w:vAlign w:val="bottom"/>
            <w:hideMark/>
          </w:tcPr>
          <w:p w:rsidR="00286159" w:rsidRPr="00317A00" w:rsidRDefault="00286159" w:rsidP="00AE1C26">
            <w:pPr>
              <w:rPr>
                <w:rFonts w:cs="Calibri"/>
                <w:lang w:eastAsia="en-GB"/>
              </w:rPr>
            </w:pPr>
            <w:r w:rsidRPr="00317A00">
              <w:rPr>
                <w:rFonts w:cs="Calibri"/>
                <w:lang w:eastAsia="en-GB"/>
              </w:rPr>
              <w:t>Apleona HSG Limited (previously Bilfinger)</w:t>
            </w:r>
          </w:p>
        </w:tc>
        <w:tc>
          <w:tcPr>
            <w:tcW w:w="1756" w:type="dxa"/>
            <w:tcBorders>
              <w:top w:val="nil"/>
              <w:left w:val="nil"/>
              <w:bottom w:val="nil"/>
              <w:right w:val="nil"/>
            </w:tcBorders>
            <w:shd w:val="clear" w:color="000000" w:fill="FFFFFF"/>
            <w:noWrap/>
            <w:vAlign w:val="bottom"/>
            <w:hideMark/>
          </w:tcPr>
          <w:p w:rsidR="00286159" w:rsidRPr="00317A00" w:rsidRDefault="00286159" w:rsidP="00AE1C26">
            <w:pPr>
              <w:jc w:val="right"/>
              <w:rPr>
                <w:rFonts w:cs="Calibri"/>
                <w:lang w:eastAsia="en-GB"/>
              </w:rPr>
            </w:pPr>
            <w:r w:rsidRPr="00317A00">
              <w:rPr>
                <w:rFonts w:cs="Calibri"/>
                <w:lang w:eastAsia="en-GB"/>
              </w:rPr>
              <w:t>0.1</w:t>
            </w:r>
          </w:p>
        </w:tc>
        <w:tc>
          <w:tcPr>
            <w:tcW w:w="416" w:type="dxa"/>
            <w:tcBorders>
              <w:top w:val="nil"/>
              <w:left w:val="nil"/>
              <w:bottom w:val="nil"/>
              <w:right w:val="nil"/>
            </w:tcBorders>
            <w:shd w:val="clear" w:color="000000" w:fill="FFFFFF"/>
            <w:noWrap/>
            <w:vAlign w:val="bottom"/>
            <w:hideMark/>
          </w:tcPr>
          <w:p w:rsidR="00286159" w:rsidRPr="00317A00" w:rsidRDefault="00286159" w:rsidP="00AE1C26">
            <w:pPr>
              <w:rPr>
                <w:rFonts w:cs="Calibri"/>
                <w:lang w:eastAsia="en-GB"/>
              </w:rPr>
            </w:pPr>
            <w:r w:rsidRPr="00317A00">
              <w:rPr>
                <w:rFonts w:cs="Calibri"/>
                <w:lang w:eastAsia="en-GB"/>
              </w:rPr>
              <w:t> </w:t>
            </w:r>
          </w:p>
        </w:tc>
        <w:tc>
          <w:tcPr>
            <w:tcW w:w="1956" w:type="dxa"/>
            <w:tcBorders>
              <w:top w:val="nil"/>
              <w:left w:val="nil"/>
              <w:bottom w:val="nil"/>
              <w:right w:val="nil"/>
            </w:tcBorders>
            <w:shd w:val="clear" w:color="000000" w:fill="FFFFFF"/>
            <w:noWrap/>
            <w:vAlign w:val="bottom"/>
            <w:hideMark/>
          </w:tcPr>
          <w:p w:rsidR="00286159" w:rsidRPr="00317A00" w:rsidRDefault="00286159" w:rsidP="00AE1C26">
            <w:pPr>
              <w:jc w:val="right"/>
              <w:rPr>
                <w:rFonts w:cs="Calibri"/>
                <w:lang w:eastAsia="en-GB"/>
              </w:rPr>
            </w:pPr>
            <w:r w:rsidRPr="00317A00">
              <w:rPr>
                <w:rFonts w:cs="Calibri"/>
                <w:lang w:eastAsia="en-GB"/>
              </w:rPr>
              <w:t>0.1</w:t>
            </w:r>
          </w:p>
        </w:tc>
      </w:tr>
      <w:tr w:rsidR="00286159" w:rsidRPr="00317A00" w:rsidTr="00AE1C26">
        <w:trPr>
          <w:trHeight w:val="286"/>
        </w:trPr>
        <w:tc>
          <w:tcPr>
            <w:tcW w:w="3136" w:type="dxa"/>
            <w:tcBorders>
              <w:top w:val="nil"/>
              <w:left w:val="nil"/>
              <w:bottom w:val="nil"/>
              <w:right w:val="nil"/>
            </w:tcBorders>
            <w:shd w:val="clear" w:color="000000" w:fill="FFFFFF"/>
            <w:noWrap/>
            <w:vAlign w:val="bottom"/>
            <w:hideMark/>
          </w:tcPr>
          <w:p w:rsidR="00286159" w:rsidRPr="00317A00" w:rsidRDefault="00286159" w:rsidP="00AE1C26">
            <w:pPr>
              <w:rPr>
                <w:rFonts w:cs="Calibri"/>
                <w:lang w:eastAsia="en-GB"/>
              </w:rPr>
            </w:pPr>
            <w:r w:rsidRPr="00317A00">
              <w:rPr>
                <w:rFonts w:cs="Calibri"/>
                <w:lang w:eastAsia="en-GB"/>
              </w:rPr>
              <w:t>Conway Aecom</w:t>
            </w:r>
          </w:p>
        </w:tc>
        <w:tc>
          <w:tcPr>
            <w:tcW w:w="1756" w:type="dxa"/>
            <w:tcBorders>
              <w:top w:val="nil"/>
              <w:left w:val="nil"/>
              <w:bottom w:val="nil"/>
              <w:right w:val="nil"/>
            </w:tcBorders>
            <w:shd w:val="clear" w:color="000000" w:fill="FFFFFF"/>
            <w:noWrap/>
            <w:vAlign w:val="bottom"/>
            <w:hideMark/>
          </w:tcPr>
          <w:p w:rsidR="00286159" w:rsidRPr="00317A00" w:rsidRDefault="00286159" w:rsidP="00AE1C26">
            <w:pPr>
              <w:jc w:val="right"/>
              <w:rPr>
                <w:rFonts w:cs="Calibri"/>
                <w:lang w:eastAsia="en-GB"/>
              </w:rPr>
            </w:pPr>
            <w:r w:rsidRPr="00317A00">
              <w:rPr>
                <w:rFonts w:cs="Calibri"/>
                <w:lang w:eastAsia="en-GB"/>
              </w:rPr>
              <w:t>0.1</w:t>
            </w:r>
          </w:p>
        </w:tc>
        <w:tc>
          <w:tcPr>
            <w:tcW w:w="416" w:type="dxa"/>
            <w:tcBorders>
              <w:top w:val="nil"/>
              <w:left w:val="nil"/>
              <w:bottom w:val="nil"/>
              <w:right w:val="nil"/>
            </w:tcBorders>
            <w:shd w:val="clear" w:color="000000" w:fill="FFFFFF"/>
            <w:noWrap/>
            <w:vAlign w:val="bottom"/>
            <w:hideMark/>
          </w:tcPr>
          <w:p w:rsidR="00286159" w:rsidRPr="00317A00" w:rsidRDefault="00286159" w:rsidP="00AE1C26">
            <w:pPr>
              <w:rPr>
                <w:rFonts w:cs="Calibri"/>
                <w:lang w:eastAsia="en-GB"/>
              </w:rPr>
            </w:pPr>
            <w:r w:rsidRPr="00317A00">
              <w:rPr>
                <w:rFonts w:cs="Calibri"/>
                <w:lang w:eastAsia="en-GB"/>
              </w:rPr>
              <w:t> </w:t>
            </w:r>
          </w:p>
        </w:tc>
        <w:tc>
          <w:tcPr>
            <w:tcW w:w="1956" w:type="dxa"/>
            <w:tcBorders>
              <w:top w:val="nil"/>
              <w:left w:val="nil"/>
              <w:bottom w:val="nil"/>
              <w:right w:val="nil"/>
            </w:tcBorders>
            <w:shd w:val="clear" w:color="000000" w:fill="FFFFFF"/>
            <w:noWrap/>
            <w:vAlign w:val="bottom"/>
            <w:hideMark/>
          </w:tcPr>
          <w:p w:rsidR="00286159" w:rsidRPr="00317A00" w:rsidRDefault="00286159" w:rsidP="00AE1C26">
            <w:pPr>
              <w:jc w:val="right"/>
              <w:rPr>
                <w:rFonts w:cs="Calibri"/>
                <w:lang w:eastAsia="en-GB"/>
              </w:rPr>
            </w:pPr>
            <w:r w:rsidRPr="00317A00">
              <w:rPr>
                <w:rFonts w:cs="Calibri"/>
                <w:lang w:eastAsia="en-GB"/>
              </w:rPr>
              <w:t>0.1</w:t>
            </w:r>
          </w:p>
        </w:tc>
      </w:tr>
      <w:tr w:rsidR="00286159" w:rsidRPr="00317A00" w:rsidTr="00AE1C26">
        <w:trPr>
          <w:trHeight w:val="286"/>
        </w:trPr>
        <w:tc>
          <w:tcPr>
            <w:tcW w:w="3136" w:type="dxa"/>
            <w:tcBorders>
              <w:top w:val="nil"/>
              <w:left w:val="nil"/>
              <w:bottom w:val="nil"/>
              <w:right w:val="nil"/>
            </w:tcBorders>
            <w:shd w:val="clear" w:color="000000" w:fill="FFFFFF"/>
            <w:noWrap/>
            <w:vAlign w:val="bottom"/>
          </w:tcPr>
          <w:p w:rsidR="00286159" w:rsidRPr="00317A00" w:rsidRDefault="00286159" w:rsidP="00AE1C26">
            <w:pPr>
              <w:rPr>
                <w:rFonts w:cs="Calibri"/>
                <w:lang w:eastAsia="en-GB"/>
              </w:rPr>
            </w:pPr>
            <w:r w:rsidRPr="00317A00">
              <w:rPr>
                <w:rFonts w:cs="Calibri"/>
                <w:lang w:eastAsia="en-GB"/>
              </w:rPr>
              <w:t>Capita Business Services*</w:t>
            </w:r>
          </w:p>
        </w:tc>
        <w:tc>
          <w:tcPr>
            <w:tcW w:w="1756" w:type="dxa"/>
            <w:tcBorders>
              <w:top w:val="nil"/>
              <w:left w:val="nil"/>
              <w:bottom w:val="nil"/>
              <w:right w:val="nil"/>
            </w:tcBorders>
            <w:shd w:val="clear" w:color="000000" w:fill="FFFFFF"/>
            <w:noWrap/>
            <w:vAlign w:val="bottom"/>
          </w:tcPr>
          <w:p w:rsidR="00286159" w:rsidRPr="00317A00" w:rsidRDefault="00286159" w:rsidP="00AE1C26">
            <w:pPr>
              <w:jc w:val="right"/>
              <w:rPr>
                <w:rFonts w:cs="Calibri"/>
                <w:lang w:eastAsia="en-GB"/>
              </w:rPr>
            </w:pPr>
            <w:r w:rsidRPr="00317A00">
              <w:rPr>
                <w:rFonts w:cs="Calibri"/>
                <w:lang w:eastAsia="en-GB"/>
              </w:rPr>
              <w:t>0.1</w:t>
            </w:r>
          </w:p>
        </w:tc>
        <w:tc>
          <w:tcPr>
            <w:tcW w:w="416" w:type="dxa"/>
            <w:tcBorders>
              <w:top w:val="nil"/>
              <w:left w:val="nil"/>
              <w:bottom w:val="nil"/>
              <w:right w:val="nil"/>
            </w:tcBorders>
            <w:shd w:val="clear" w:color="000000" w:fill="FFFFFF"/>
            <w:noWrap/>
            <w:vAlign w:val="bottom"/>
          </w:tcPr>
          <w:p w:rsidR="00286159" w:rsidRPr="00317A00" w:rsidRDefault="00286159" w:rsidP="00AE1C26">
            <w:pPr>
              <w:rPr>
                <w:rFonts w:cs="Calibri"/>
                <w:lang w:eastAsia="en-GB"/>
              </w:rPr>
            </w:pPr>
          </w:p>
        </w:tc>
        <w:tc>
          <w:tcPr>
            <w:tcW w:w="1956" w:type="dxa"/>
            <w:tcBorders>
              <w:top w:val="nil"/>
              <w:left w:val="nil"/>
              <w:bottom w:val="nil"/>
              <w:right w:val="nil"/>
            </w:tcBorders>
            <w:shd w:val="clear" w:color="000000" w:fill="FFFFFF"/>
            <w:noWrap/>
            <w:vAlign w:val="bottom"/>
          </w:tcPr>
          <w:p w:rsidR="00286159" w:rsidRPr="00317A00" w:rsidRDefault="00286159" w:rsidP="00AE1C26">
            <w:pPr>
              <w:jc w:val="right"/>
              <w:rPr>
                <w:rFonts w:cs="Calibri"/>
                <w:lang w:eastAsia="en-GB"/>
              </w:rPr>
            </w:pPr>
            <w:r w:rsidRPr="00317A00">
              <w:rPr>
                <w:rFonts w:cs="Calibri"/>
                <w:lang w:eastAsia="en-GB"/>
              </w:rPr>
              <w:t>0.0</w:t>
            </w:r>
          </w:p>
        </w:tc>
      </w:tr>
      <w:tr w:rsidR="00286159" w:rsidRPr="00317A00" w:rsidTr="00AE1C26">
        <w:trPr>
          <w:trHeight w:val="299"/>
        </w:trPr>
        <w:tc>
          <w:tcPr>
            <w:tcW w:w="3136" w:type="dxa"/>
            <w:tcBorders>
              <w:top w:val="nil"/>
              <w:left w:val="nil"/>
              <w:bottom w:val="nil"/>
              <w:right w:val="nil"/>
            </w:tcBorders>
            <w:shd w:val="clear" w:color="000000" w:fill="FFFFFF"/>
            <w:noWrap/>
            <w:vAlign w:val="bottom"/>
            <w:hideMark/>
          </w:tcPr>
          <w:p w:rsidR="00286159" w:rsidRPr="00317A00" w:rsidRDefault="00286159" w:rsidP="00AE1C26">
            <w:pPr>
              <w:rPr>
                <w:rFonts w:cs="Calibri"/>
                <w:b/>
                <w:bCs/>
                <w:color w:val="000000"/>
                <w:lang w:eastAsia="en-GB"/>
              </w:rPr>
            </w:pPr>
            <w:r w:rsidRPr="00317A00">
              <w:rPr>
                <w:rFonts w:cs="Calibri"/>
                <w:b/>
                <w:bCs/>
                <w:color w:val="000000"/>
                <w:lang w:eastAsia="en-GB"/>
              </w:rPr>
              <w:t>Total</w:t>
            </w:r>
          </w:p>
        </w:tc>
        <w:tc>
          <w:tcPr>
            <w:tcW w:w="1756" w:type="dxa"/>
            <w:tcBorders>
              <w:top w:val="single" w:sz="4" w:space="0" w:color="auto"/>
              <w:left w:val="nil"/>
              <w:bottom w:val="double" w:sz="6" w:space="0" w:color="auto"/>
              <w:right w:val="nil"/>
            </w:tcBorders>
            <w:shd w:val="clear" w:color="000000" w:fill="FFFFFF"/>
            <w:noWrap/>
            <w:vAlign w:val="bottom"/>
            <w:hideMark/>
          </w:tcPr>
          <w:p w:rsidR="00286159" w:rsidRPr="00317A00" w:rsidRDefault="00286159" w:rsidP="00AE1C26">
            <w:pPr>
              <w:jc w:val="right"/>
              <w:rPr>
                <w:rFonts w:cs="Calibri"/>
                <w:b/>
                <w:bCs/>
                <w:lang w:eastAsia="en-GB"/>
              </w:rPr>
            </w:pPr>
            <w:r w:rsidRPr="00317A00">
              <w:rPr>
                <w:rFonts w:cs="Calibri"/>
                <w:b/>
                <w:bCs/>
                <w:lang w:eastAsia="en-GB"/>
              </w:rPr>
              <w:t>0.3</w:t>
            </w:r>
          </w:p>
        </w:tc>
        <w:tc>
          <w:tcPr>
            <w:tcW w:w="416" w:type="dxa"/>
            <w:tcBorders>
              <w:top w:val="single" w:sz="4" w:space="0" w:color="auto"/>
              <w:left w:val="nil"/>
              <w:bottom w:val="double" w:sz="6" w:space="0" w:color="auto"/>
              <w:right w:val="nil"/>
            </w:tcBorders>
            <w:shd w:val="clear" w:color="000000" w:fill="FFFFFF"/>
            <w:noWrap/>
            <w:vAlign w:val="bottom"/>
            <w:hideMark/>
          </w:tcPr>
          <w:p w:rsidR="00286159" w:rsidRPr="00317A00" w:rsidRDefault="00286159" w:rsidP="00AE1C26">
            <w:pPr>
              <w:rPr>
                <w:rFonts w:cs="Calibri"/>
                <w:b/>
                <w:bCs/>
                <w:lang w:eastAsia="en-GB"/>
              </w:rPr>
            </w:pPr>
            <w:r w:rsidRPr="00317A00">
              <w:rPr>
                <w:rFonts w:cs="Calibri"/>
                <w:b/>
                <w:bCs/>
                <w:lang w:eastAsia="en-GB"/>
              </w:rPr>
              <w:t> </w:t>
            </w:r>
          </w:p>
        </w:tc>
        <w:tc>
          <w:tcPr>
            <w:tcW w:w="1956" w:type="dxa"/>
            <w:tcBorders>
              <w:top w:val="single" w:sz="4" w:space="0" w:color="auto"/>
              <w:left w:val="nil"/>
              <w:bottom w:val="double" w:sz="6" w:space="0" w:color="auto"/>
              <w:right w:val="nil"/>
            </w:tcBorders>
            <w:shd w:val="clear" w:color="000000" w:fill="FFFFFF"/>
            <w:noWrap/>
            <w:vAlign w:val="bottom"/>
            <w:hideMark/>
          </w:tcPr>
          <w:p w:rsidR="00286159" w:rsidRPr="00317A00" w:rsidRDefault="00286159" w:rsidP="00AE1C26">
            <w:pPr>
              <w:jc w:val="right"/>
              <w:rPr>
                <w:rFonts w:cs="Calibri"/>
                <w:b/>
                <w:bCs/>
                <w:lang w:eastAsia="en-GB"/>
              </w:rPr>
            </w:pPr>
            <w:r w:rsidRPr="00317A00">
              <w:rPr>
                <w:rFonts w:cs="Calibri"/>
                <w:b/>
                <w:bCs/>
                <w:lang w:eastAsia="en-GB"/>
              </w:rPr>
              <w:t>0.2</w:t>
            </w:r>
          </w:p>
        </w:tc>
      </w:tr>
    </w:tbl>
    <w:p w:rsidR="00F72906" w:rsidRDefault="00F72906" w:rsidP="00F72906"/>
    <w:p w:rsidR="00F72906" w:rsidRDefault="00F72906" w:rsidP="00F72906">
      <w:r>
        <w:t>*Admission agreement has ended, therefore Contingent Assets are £0.0m as at 31st March 2020.</w:t>
      </w:r>
    </w:p>
    <w:p w:rsidR="00F72906" w:rsidRDefault="00F72906" w:rsidP="00F72906"/>
    <w:p w:rsidR="00F72906" w:rsidRDefault="00F72906" w:rsidP="00286159">
      <w:pPr>
        <w:pStyle w:val="Heading3"/>
      </w:pPr>
      <w:r>
        <w:t>26. Impairment Losses</w:t>
      </w:r>
    </w:p>
    <w:p w:rsidR="00F72906" w:rsidRDefault="00F72906" w:rsidP="00F72906"/>
    <w:p w:rsidR="00C96EA3" w:rsidRDefault="00F72906" w:rsidP="00C96EA3">
      <w:pPr>
        <w:sectPr w:rsidR="00C96EA3" w:rsidSect="002525F7">
          <w:pgSz w:w="11906" w:h="16838"/>
          <w:pgMar w:top="1440" w:right="1440" w:bottom="1440" w:left="709" w:header="708" w:footer="708" w:gutter="0"/>
          <w:cols w:space="708"/>
          <w:docGrid w:linePitch="360"/>
        </w:sectPr>
      </w:pPr>
      <w:r>
        <w:t>The Fund had no contingent liabilities at 31 March 2020.</w:t>
      </w:r>
    </w:p>
    <w:p w:rsidR="00F72906" w:rsidRDefault="00F72906" w:rsidP="00286159">
      <w:pPr>
        <w:pStyle w:val="Heading1"/>
      </w:pPr>
      <w:bookmarkStart w:id="48" w:name="_Toc61870312"/>
      <w:r>
        <w:lastRenderedPageBreak/>
        <w:t>Glossary</w:t>
      </w:r>
      <w:bookmarkEnd w:id="48"/>
    </w:p>
    <w:p w:rsidR="00F72906" w:rsidRDefault="00F72906" w:rsidP="00F72906"/>
    <w:p w:rsidR="00F72906" w:rsidRDefault="00F72906" w:rsidP="00F72906">
      <w:r>
        <w:t>ACCRUALS</w:t>
      </w:r>
    </w:p>
    <w:p w:rsidR="00F72906" w:rsidRDefault="00F72906" w:rsidP="00F72906"/>
    <w:p w:rsidR="00F72906" w:rsidRDefault="00F72906" w:rsidP="00F72906">
      <w:r>
        <w:t>Amounts charged to the accounts for goods and services received during the year for which payments have not been made.</w:t>
      </w:r>
    </w:p>
    <w:p w:rsidR="00F72906" w:rsidRDefault="00F72906" w:rsidP="00F72906"/>
    <w:p w:rsidR="00F72906" w:rsidRDefault="00F72906" w:rsidP="00F72906">
      <w:r>
        <w:t>BALANCE SHEET</w:t>
      </w:r>
    </w:p>
    <w:p w:rsidR="00F72906" w:rsidRDefault="00F72906" w:rsidP="00F72906"/>
    <w:p w:rsidR="00F72906" w:rsidRDefault="00F72906" w:rsidP="00F72906">
      <w:r>
        <w:t>This shows the value as at the Balance Sheet date of the assets and liabilities recognised by the authority. The net assets of the authority (assets less liabilities) are matched by the reserves held by the authority. Reserves are reported in two categories. The first category of reserves are usable reserves, i.e. those reserves that the authority may use to provide services. The second category of reserves are those that the authority is not able to use to provide services. This category of reserves includes reserves that hold unrealised gains and losses (for example the Revaluation Reserve), where amounts would only become available to provide services if the assets are sold.</w:t>
      </w:r>
    </w:p>
    <w:p w:rsidR="00F72906" w:rsidRDefault="00F72906" w:rsidP="00F72906"/>
    <w:p w:rsidR="00F72906" w:rsidRDefault="00F72906" w:rsidP="00F72906">
      <w:r>
        <w:t>CAPITAL EXPENDITURE</w:t>
      </w:r>
    </w:p>
    <w:p w:rsidR="00F72906" w:rsidRDefault="00F72906" w:rsidP="00F72906"/>
    <w:p w:rsidR="00F72906" w:rsidRDefault="00F72906" w:rsidP="00F72906">
      <w:r>
        <w:t>Expenditure on the acquisition of assets to be of value to the Council beyond the end of the financial year, e.g. purchase of land and buildings, construction of roads etc or revenue expenditure which the Government may exceptionally permit the Council to capitalise e.g. redundancy payments.</w:t>
      </w:r>
    </w:p>
    <w:p w:rsidR="00F72906" w:rsidRDefault="00F72906" w:rsidP="00F72906"/>
    <w:p w:rsidR="00F72906" w:rsidRDefault="00F72906" w:rsidP="00F72906">
      <w:r>
        <w:t>CAPITAL RECEIPTS</w:t>
      </w:r>
    </w:p>
    <w:p w:rsidR="00F72906" w:rsidRDefault="00F72906" w:rsidP="00F72906"/>
    <w:p w:rsidR="00F72906" w:rsidRDefault="00F72906" w:rsidP="00F72906">
      <w:r>
        <w:t>Money received from the sale of land, buildings and plant.  A prescribed portion of receipts received for HRA dwellings must be “pooled” and paid to central government.</w:t>
      </w:r>
    </w:p>
    <w:p w:rsidR="00F72906" w:rsidRDefault="00F72906" w:rsidP="00F72906"/>
    <w:p w:rsidR="00F72906" w:rsidRDefault="00F72906" w:rsidP="00F72906">
      <w:r>
        <w:t>CASH FLOW STATEMENT</w:t>
      </w:r>
    </w:p>
    <w:p w:rsidR="00F72906" w:rsidRDefault="00F72906" w:rsidP="00F72906"/>
    <w:p w:rsidR="00F72906" w:rsidRDefault="00F72906" w:rsidP="00F72906">
      <w:r>
        <w:t xml:space="preserve">Shows the changes in cash and cash equivalents of the authority during the reporting period. The statement shows how the authority generates and uses cash and cash equivalents by classifying cash flows as operating, investing and financing activities. The amount of net cash flows arising from operating activities is a key indicator of the extent to which the operations of the authority are funded by way of taxation and grant income or from the recipients of services provided by the authority. Investing activities represent the extent to which cash outflows have been made for resources which are intended to contribute to the </w:t>
      </w:r>
      <w:r>
        <w:lastRenderedPageBreak/>
        <w:t>authority’s future service delivery. Cash flows arising from financing activities are useful in predicting claims on future cash flows by providers of capital (i.e. borrowing) to the authority.</w:t>
      </w:r>
    </w:p>
    <w:p w:rsidR="00F72906" w:rsidRDefault="00F72906" w:rsidP="00F72906"/>
    <w:p w:rsidR="00F72906" w:rsidRDefault="00F72906" w:rsidP="00F72906">
      <w:r>
        <w:t>COMMUNITY ASSETS</w:t>
      </w:r>
    </w:p>
    <w:p w:rsidR="00F72906" w:rsidRDefault="00F72906" w:rsidP="00F72906"/>
    <w:p w:rsidR="00F72906" w:rsidRDefault="00F72906" w:rsidP="00F72906">
      <w:r>
        <w:t>A classification of fixed assets that the Council intends to hold in perpetuity that may have restrictions on their disposal.  Examples of such assets are parks, historic buildings and works of art.</w:t>
      </w:r>
    </w:p>
    <w:p w:rsidR="00F72906" w:rsidRDefault="00F72906" w:rsidP="00F72906"/>
    <w:p w:rsidR="00F72906" w:rsidRDefault="00F72906" w:rsidP="00F72906">
      <w:r>
        <w:t>COMPREHENSIVE INCOME AND EXPENDITURE STATEMENT</w:t>
      </w:r>
    </w:p>
    <w:p w:rsidR="00F72906" w:rsidRDefault="00F72906" w:rsidP="00F72906"/>
    <w:p w:rsidR="00F72906" w:rsidRDefault="00F72906" w:rsidP="00F72906">
      <w:r>
        <w:t>This statement shows the accounting cost in the year of providing services in accordance with generally accepted accounting practices, rather than the amount to be funded from taxation or rents. Authorities raise taxation and rents to cover expenditure in accordance with statutory requirements; this may be different from the accounting cost. The taxation position is shown in both the Expenditure and Funding Analysis and the Movement in Reserves Statement.</w:t>
      </w:r>
    </w:p>
    <w:p w:rsidR="00F72906" w:rsidRDefault="00F72906" w:rsidP="00F72906"/>
    <w:p w:rsidR="00F72906" w:rsidRDefault="00F72906" w:rsidP="00F72906">
      <w:r>
        <w:t>CONSISTENCY</w:t>
      </w:r>
    </w:p>
    <w:p w:rsidR="00F72906" w:rsidRDefault="00F72906" w:rsidP="00F72906"/>
    <w:p w:rsidR="00F72906" w:rsidRDefault="00F72906" w:rsidP="00F72906">
      <w:r>
        <w:t>The principle that the accounting treatment of like items should be treated the same from one period to the next.</w:t>
      </w:r>
    </w:p>
    <w:p w:rsidR="00F72906" w:rsidRDefault="00F72906" w:rsidP="00F72906"/>
    <w:p w:rsidR="00F72906" w:rsidRDefault="00F72906" w:rsidP="00F72906">
      <w:r>
        <w:t xml:space="preserve">CORPORATE AND DEMOCRATIC CORE </w:t>
      </w:r>
    </w:p>
    <w:p w:rsidR="00F72906" w:rsidRDefault="00F72906" w:rsidP="00F72906"/>
    <w:p w:rsidR="00F72906" w:rsidRDefault="00F72906" w:rsidP="00F72906">
      <w:r>
        <w:t>This comprises all activities which local authorities engage in specifically because they are elected multi-purpose authorities.  The cost of these activities are thus over and above those which would be incurred by a single purpose body managing the same service.  There is no logical basis for apportioning these costs to services.  It comprises of Democratic Representation and Management and Corporate Management.</w:t>
      </w:r>
    </w:p>
    <w:p w:rsidR="00F72906" w:rsidRDefault="00F72906" w:rsidP="00F72906"/>
    <w:p w:rsidR="00F72906" w:rsidRDefault="00F72906" w:rsidP="00F72906">
      <w:r>
        <w:t>COLLECTION FUND ADJUSTMENT ACCOUNT</w:t>
      </w:r>
    </w:p>
    <w:p w:rsidR="00F72906" w:rsidRDefault="00F72906" w:rsidP="00F72906"/>
    <w:p w:rsidR="00F72906" w:rsidRDefault="00F72906" w:rsidP="00F72906">
      <w:r>
        <w:t>The Collection Fund Adjustment Account manages the differences arising from the recognition of council tax and non-domestic rates income in the Comprehensive Income and Expenditure Statement as it falls due from council tax payers and business rates payers compared with the statutory arrangements for paying across amounts to the General Fund from the Collection Fund.</w:t>
      </w:r>
    </w:p>
    <w:p w:rsidR="00F72906" w:rsidRDefault="00F72906" w:rsidP="00F72906"/>
    <w:p w:rsidR="00F72906" w:rsidRDefault="00F72906" w:rsidP="00F72906">
      <w:r>
        <w:t>CREDITORS</w:t>
      </w:r>
    </w:p>
    <w:p w:rsidR="00F72906" w:rsidRDefault="00F72906" w:rsidP="00F72906"/>
    <w:p w:rsidR="00F72906" w:rsidRDefault="00F72906" w:rsidP="00F72906">
      <w:r>
        <w:t>Amounts owed by the Council at 31 March for goods received or services rendered but not yet paid for.</w:t>
      </w:r>
    </w:p>
    <w:p w:rsidR="00F72906" w:rsidRDefault="00F72906" w:rsidP="00F72906"/>
    <w:p w:rsidR="00F72906" w:rsidRDefault="00F72906" w:rsidP="00F72906">
      <w:r>
        <w:t>DEBTORS</w:t>
      </w:r>
    </w:p>
    <w:p w:rsidR="00F72906" w:rsidRDefault="00F72906" w:rsidP="00F72906"/>
    <w:p w:rsidR="00F72906" w:rsidRDefault="00F72906" w:rsidP="00F72906">
      <w:r>
        <w:t>Amounts owed to the Council which are collectable or outstanding at 31 March.</w:t>
      </w:r>
    </w:p>
    <w:p w:rsidR="00F72906" w:rsidRDefault="00F72906" w:rsidP="00F72906"/>
    <w:p w:rsidR="00F72906" w:rsidRDefault="00F72906" w:rsidP="00F72906">
      <w:r>
        <w:t>EXPENDITURE AND FUNDING ANALYSIS</w:t>
      </w:r>
    </w:p>
    <w:p w:rsidR="00F72906" w:rsidRDefault="00F72906" w:rsidP="00F72906"/>
    <w:p w:rsidR="00F72906" w:rsidRDefault="00F72906" w:rsidP="00F72906">
      <w:r>
        <w:t>The purpose of this statement is to demonstrate to council tax and rent payers how the funding available to the authority (ie government grants, rents, council tax and business rates) for the year has been used in providing services in comparison with those resources consumed or earned by authorities in accordance with generally accepted accounting practices. Income and expenditure accounted for under generally accepted accounting practices is presented more fully in the Comprehensive Income and Expenditure Statement.</w:t>
      </w:r>
    </w:p>
    <w:p w:rsidR="00F72906" w:rsidRDefault="00F72906" w:rsidP="00F72906"/>
    <w:p w:rsidR="00F72906" w:rsidRDefault="00F72906" w:rsidP="00F72906">
      <w:r>
        <w:t>FINANCE LEASE</w:t>
      </w:r>
    </w:p>
    <w:p w:rsidR="00F72906" w:rsidRDefault="00F72906" w:rsidP="00F72906"/>
    <w:p w:rsidR="00F72906" w:rsidRDefault="00F72906" w:rsidP="00F72906">
      <w:r>
        <w:t>A lease that transfers substantially all of the risks and rewards of ownership of an asset to the lessee (the Council) and at the end of the lease term substantially all the asset value and interest payments have been made.</w:t>
      </w:r>
    </w:p>
    <w:p w:rsidR="00F72906" w:rsidRDefault="00F72906" w:rsidP="00F72906"/>
    <w:p w:rsidR="00F72906" w:rsidRDefault="00F72906" w:rsidP="00F72906">
      <w:r>
        <w:t>FIXED ASSETS</w:t>
      </w:r>
    </w:p>
    <w:p w:rsidR="00F72906" w:rsidRDefault="00F72906" w:rsidP="00F72906"/>
    <w:p w:rsidR="00F72906" w:rsidRDefault="00F72906" w:rsidP="00F72906">
      <w:r>
        <w:t>Tangible assets that yield benefits to the Council and the services it provides for a period of more than one year.</w:t>
      </w:r>
    </w:p>
    <w:p w:rsidR="00F72906" w:rsidRDefault="00F72906" w:rsidP="00F72906"/>
    <w:p w:rsidR="00F72906" w:rsidRDefault="00F72906" w:rsidP="00F72906">
      <w:r>
        <w:t>GOING CONCERN</w:t>
      </w:r>
    </w:p>
    <w:p w:rsidR="00F72906" w:rsidRDefault="00F72906" w:rsidP="00F72906"/>
    <w:p w:rsidR="00F72906" w:rsidRDefault="00F72906" w:rsidP="00F72906">
      <w:r>
        <w:t>The concept that the Council will remain in operational existence for the foreseeable future, in particular that the revenue accounts and balance sheet assume no intention to curtail significantly the scale of operations.</w:t>
      </w:r>
    </w:p>
    <w:p w:rsidR="00F72906" w:rsidRDefault="00F72906" w:rsidP="00F72906"/>
    <w:p w:rsidR="00F72906" w:rsidRDefault="00F72906" w:rsidP="00F72906"/>
    <w:p w:rsidR="00F72906" w:rsidRDefault="00F72906" w:rsidP="00F72906">
      <w:r>
        <w:lastRenderedPageBreak/>
        <w:t>GOVERNMENT GRANTS - SPECIFIC</w:t>
      </w:r>
    </w:p>
    <w:p w:rsidR="00F72906" w:rsidRDefault="00F72906" w:rsidP="00F72906"/>
    <w:p w:rsidR="00F72906" w:rsidRDefault="00F72906" w:rsidP="00F72906">
      <w:r>
        <w:t>Assistance by Government and inter-government agencies and similar bodies, whether local, national or international, in the form of cash or transfers of assets to the Council in return for past or future compliance with certain conditions relating to the activities of the Council.</w:t>
      </w:r>
    </w:p>
    <w:p w:rsidR="00F72906" w:rsidRDefault="00F72906" w:rsidP="00F72906"/>
    <w:p w:rsidR="00F72906" w:rsidRDefault="00F72906" w:rsidP="00F72906">
      <w:r>
        <w:t>INFRASTRUCTURE ASSETS</w:t>
      </w:r>
    </w:p>
    <w:p w:rsidR="00F72906" w:rsidRDefault="00F72906" w:rsidP="00F72906"/>
    <w:p w:rsidR="00F72906" w:rsidRDefault="00F72906" w:rsidP="00F72906">
      <w:r>
        <w:t>A classification of fixed assets, whose life is of indefinite length and which are not usually capable of being sold, e g highways, street lighting and footpaths.</w:t>
      </w:r>
    </w:p>
    <w:p w:rsidR="00F72906" w:rsidRDefault="00F72906" w:rsidP="00F72906"/>
    <w:p w:rsidR="00F72906" w:rsidRDefault="00F72906" w:rsidP="00F72906">
      <w:r>
        <w:t>LONG TERM INVESTMENTS</w:t>
      </w:r>
    </w:p>
    <w:p w:rsidR="00F72906" w:rsidRDefault="00F72906" w:rsidP="00F72906"/>
    <w:p w:rsidR="00F72906" w:rsidRDefault="00F72906" w:rsidP="00F72906">
      <w:r>
        <w:t>A long-term investment is an investment that is intended to be held for use on a continuing basis in the activities of the Council.  Investments should be so classified only where an intention to hold the investment for the long term can clearly be demonstrated or where there are restrictions as to the investor's ability to dispose of the investment. Investments which do not meet the above criteria should be classified as current assets.</w:t>
      </w:r>
    </w:p>
    <w:p w:rsidR="00F72906" w:rsidRDefault="00F72906" w:rsidP="00F72906"/>
    <w:p w:rsidR="00F72906" w:rsidRDefault="00F72906" w:rsidP="00F72906">
      <w:r>
        <w:t>LEVIES</w:t>
      </w:r>
    </w:p>
    <w:p w:rsidR="00F72906" w:rsidRDefault="00F72906" w:rsidP="00F72906"/>
    <w:p w:rsidR="00F72906" w:rsidRDefault="00F72906" w:rsidP="00F72906">
      <w:r>
        <w:t>These are payments to London-wide bodies whose costs are borne by local authorities in the area concerned.</w:t>
      </w:r>
    </w:p>
    <w:p w:rsidR="00F72906" w:rsidRDefault="00F72906" w:rsidP="00F72906"/>
    <w:p w:rsidR="00F72906" w:rsidRDefault="00F72906" w:rsidP="00F72906">
      <w:r>
        <w:t>LONG-TERM CONTRACTS</w:t>
      </w:r>
    </w:p>
    <w:p w:rsidR="00F72906" w:rsidRDefault="00F72906" w:rsidP="00F72906"/>
    <w:p w:rsidR="00F72906" w:rsidRDefault="00F72906" w:rsidP="00F72906">
      <w:r>
        <w:t>A contract entered into for the design, manufacture or construction of a single substantial asset or the provision of a service (or a combination of assets or services which together constitute a single project), where the time taken substantially to complete the contract is such that the contract activity falls into different accounting periods.  Some contracts with a shorter duration than one year should be accounted for as long-term contracts if they are sufficiently material to the activity of the period.</w:t>
      </w:r>
    </w:p>
    <w:p w:rsidR="00F72906" w:rsidRDefault="00F72906" w:rsidP="00F72906"/>
    <w:p w:rsidR="00F72906" w:rsidRDefault="00F72906" w:rsidP="00F72906">
      <w:r>
        <w:t>MINIMUM REVENUE PROVISION (MRP)</w:t>
      </w:r>
    </w:p>
    <w:p w:rsidR="00F72906" w:rsidRDefault="00F72906" w:rsidP="00F72906"/>
    <w:p w:rsidR="00F72906" w:rsidRDefault="00F72906" w:rsidP="00F72906">
      <w:r>
        <w:t>The minimum amount the Council must charge to the revenue accounts each year to repay loans as defined by Government regulation.</w:t>
      </w:r>
    </w:p>
    <w:p w:rsidR="00F72906" w:rsidRDefault="00F72906" w:rsidP="00F72906"/>
    <w:p w:rsidR="00F72906" w:rsidRDefault="00F72906" w:rsidP="00F72906">
      <w:r>
        <w:t>MOVEMENT IN RESERVE STATEMENT</w:t>
      </w:r>
    </w:p>
    <w:p w:rsidR="00F72906" w:rsidRDefault="00F72906" w:rsidP="00F72906"/>
    <w:p w:rsidR="00F72906" w:rsidRDefault="00F72906" w:rsidP="00F72906">
      <w:r>
        <w:t>Shows the movement from the start of the year to the end on the different reserves held by the authority, analysed into ‘usable reserves’ (i.e. those that can be applied to fund expenditure or reduce local taxation) and other ‘unusable reserves’. The movement in Reserves Statement shows how the movements in year of the authority’s reserves are broken down between gains and losses incurred in accordance with generally accepted accounting practices and the statutory adjustments required to return to the amounts chargeable to council tax or rents for the year. The Net Increase/Decrease line shows the statutory General Fund Balance and Housing Revenue Account Balance movements in the year following those adjustments.</w:t>
      </w:r>
    </w:p>
    <w:p w:rsidR="00F72906" w:rsidRDefault="00F72906" w:rsidP="00F72906"/>
    <w:p w:rsidR="00F72906" w:rsidRDefault="00F72906" w:rsidP="00F72906">
      <w:r>
        <w:t>NON DOMESTIC RATE (NDR)</w:t>
      </w:r>
    </w:p>
    <w:p w:rsidR="00F72906" w:rsidRDefault="00F72906" w:rsidP="00F72906"/>
    <w:p w:rsidR="00F72906" w:rsidRDefault="00F72906" w:rsidP="00F72906">
      <w:r>
        <w:t>A flat rate in the pound set by the Central Government and levied on all non-residential premises according to their rateable value collected by the Council.</w:t>
      </w:r>
    </w:p>
    <w:p w:rsidR="00F72906" w:rsidRDefault="00F72906" w:rsidP="00F72906"/>
    <w:p w:rsidR="00F72906" w:rsidRDefault="00F72906" w:rsidP="00F72906">
      <w:r>
        <w:t>OPERATING LEASES</w:t>
      </w:r>
    </w:p>
    <w:p w:rsidR="00F72906" w:rsidRDefault="00F72906" w:rsidP="00F72906"/>
    <w:p w:rsidR="00F72906" w:rsidRDefault="00F72906" w:rsidP="00F72906">
      <w:r>
        <w:t>The lessor is paid rental for the hire of an asset for a period, which is substantially less than the useful economic life of an asset.  The lessor is taking a risk on the residual value at the end of the lease.</w:t>
      </w:r>
    </w:p>
    <w:p w:rsidR="00F72906" w:rsidRDefault="00F72906" w:rsidP="00F72906"/>
    <w:p w:rsidR="00F72906" w:rsidRDefault="00F72906" w:rsidP="00F72906">
      <w:r>
        <w:t>OPERATIONAL ASSETS/NON OPERATIONAL ASSETS</w:t>
      </w:r>
    </w:p>
    <w:p w:rsidR="00F72906" w:rsidRDefault="00F72906" w:rsidP="00F72906"/>
    <w:p w:rsidR="00F72906" w:rsidRDefault="00F72906" w:rsidP="00F72906">
      <w:r>
        <w:t>-</w:t>
      </w:r>
      <w:r>
        <w:tab/>
        <w:t>Fixed assets held and occupied, used or consumed by the Council in the direct delivery of services for which it has either a statutory or discretionary responsibility.</w:t>
      </w:r>
    </w:p>
    <w:p w:rsidR="00F72906" w:rsidRDefault="00F72906" w:rsidP="00F72906">
      <w:r>
        <w:t>-</w:t>
      </w:r>
      <w:r>
        <w:tab/>
        <w:t>Non-operational assets, not directly occupied or surplus to requirements pending sale or development.</w:t>
      </w:r>
    </w:p>
    <w:p w:rsidR="00F72906" w:rsidRDefault="00F72906" w:rsidP="00F72906"/>
    <w:p w:rsidR="00F72906" w:rsidRDefault="00F72906" w:rsidP="00F72906">
      <w:r>
        <w:t>PRECEPTS</w:t>
      </w:r>
    </w:p>
    <w:p w:rsidR="00F72906" w:rsidRDefault="00F72906" w:rsidP="00F72906"/>
    <w:p w:rsidR="00F72906" w:rsidRDefault="00F72906" w:rsidP="00F72906">
      <w:r>
        <w:t>A charge made by another authority on the Council to finance its net expenditure. This Council has a charge on the collection fund by the Greater London Authority.</w:t>
      </w:r>
    </w:p>
    <w:p w:rsidR="00F72906" w:rsidRDefault="00F72906" w:rsidP="00F72906"/>
    <w:p w:rsidR="00F72906" w:rsidRDefault="00F72906" w:rsidP="00F72906">
      <w:r>
        <w:t>PRIOR YEAR ADJUSTMENTS</w:t>
      </w:r>
    </w:p>
    <w:p w:rsidR="00F72906" w:rsidRDefault="00F72906" w:rsidP="00F72906"/>
    <w:p w:rsidR="00F72906" w:rsidRDefault="00F72906" w:rsidP="00F72906">
      <w:r>
        <w:lastRenderedPageBreak/>
        <w:t>Those material adjustments applicable to prior years arising from changes in accounting policies or from the correction of fundamental errors.  They do not include normal recurring corrections or adjustments of accounting estimates made in prior years.</w:t>
      </w:r>
    </w:p>
    <w:p w:rsidR="00F72906" w:rsidRDefault="00F72906" w:rsidP="00F72906"/>
    <w:p w:rsidR="00F72906" w:rsidRDefault="00F72906" w:rsidP="00F72906">
      <w:r>
        <w:t>PRUDENCE</w:t>
      </w:r>
    </w:p>
    <w:p w:rsidR="00F72906" w:rsidRDefault="00F72906" w:rsidP="00F72906"/>
    <w:p w:rsidR="00F72906" w:rsidRDefault="00F72906" w:rsidP="00F72906">
      <w:r>
        <w:t>The concept that revenue is not anticipated but is recognised only when realised in the form either of cash or of other assets the ultimate cash realisation of which can be assessed with reasonable certainty.</w:t>
      </w:r>
    </w:p>
    <w:p w:rsidR="00F72906" w:rsidRDefault="00F72906" w:rsidP="00F72906"/>
    <w:p w:rsidR="00F72906" w:rsidRDefault="00F72906" w:rsidP="00F72906">
      <w:r>
        <w:t>REVALUATION RESERVE</w:t>
      </w:r>
    </w:p>
    <w:p w:rsidR="00F72906" w:rsidRDefault="00F72906" w:rsidP="00F72906"/>
    <w:p w:rsidR="00F72906" w:rsidRDefault="00F72906" w:rsidP="00F72906">
      <w:r>
        <w:t>The Revaluation Reserve contains the gains made by the Authority arising from increases in the value of its Property, Plant and Equipment.</w:t>
      </w:r>
    </w:p>
    <w:p w:rsidR="00F72906" w:rsidRDefault="00F72906" w:rsidP="00F72906"/>
    <w:p w:rsidR="00F72906" w:rsidRDefault="00F72906" w:rsidP="00F72906">
      <w:r>
        <w:t>REVENUE SUPPORT GRANT</w:t>
      </w:r>
    </w:p>
    <w:p w:rsidR="00F72906" w:rsidRDefault="00F72906" w:rsidP="00F72906"/>
    <w:p w:rsidR="00C96EA3" w:rsidRDefault="00F72906" w:rsidP="00C96EA3">
      <w:r>
        <w:t>A general grant paid to local councils from national taxation.</w:t>
      </w:r>
    </w:p>
    <w:p w:rsidR="00F72906" w:rsidRDefault="00F72906" w:rsidP="00C96EA3">
      <w:r>
        <w:t xml:space="preserve"> </w:t>
      </w:r>
    </w:p>
    <w:p w:rsidR="00F72906" w:rsidRDefault="00F72906" w:rsidP="00F72906">
      <w:r>
        <w:t>ABBREVIATIONS</w:t>
      </w:r>
    </w:p>
    <w:p w:rsidR="00F72906" w:rsidRDefault="00F72906" w:rsidP="00F72906"/>
    <w:p w:rsidR="00F72906" w:rsidRDefault="00F72906" w:rsidP="00F72906">
      <w:r>
        <w:t>ALMO</w:t>
      </w:r>
      <w:r>
        <w:tab/>
        <w:t>Arm’s Length Management Organisation</w:t>
      </w:r>
    </w:p>
    <w:p w:rsidR="00F72906" w:rsidRDefault="00F72906" w:rsidP="00F72906">
      <w:r>
        <w:t>AVC</w:t>
      </w:r>
      <w:r>
        <w:tab/>
        <w:t>Additional Voluntary Contribution</w:t>
      </w:r>
    </w:p>
    <w:p w:rsidR="00F72906" w:rsidRDefault="00F72906" w:rsidP="00F72906">
      <w:r>
        <w:t>BHP</w:t>
      </w:r>
      <w:r>
        <w:tab/>
        <w:t>Brent Housing Partnership</w:t>
      </w:r>
    </w:p>
    <w:p w:rsidR="00F72906" w:rsidRDefault="00F72906" w:rsidP="00F72906">
      <w:r>
        <w:t>CIL</w:t>
      </w:r>
      <w:r>
        <w:tab/>
        <w:t>Community Infrastructure Levy</w:t>
      </w:r>
    </w:p>
    <w:p w:rsidR="00F72906" w:rsidRDefault="00F72906" w:rsidP="00F72906">
      <w:r>
        <w:t>CIPFA</w:t>
      </w:r>
      <w:r>
        <w:tab/>
        <w:t>Chartered Institute of Public Finance and Accountancy / Code of Practice on Local Authority Accounting in the United Kingdom</w:t>
      </w:r>
    </w:p>
    <w:p w:rsidR="00F72906" w:rsidRDefault="00F72906" w:rsidP="00F72906">
      <w:r>
        <w:t>DCLG</w:t>
      </w:r>
      <w:r>
        <w:tab/>
        <w:t>Department for Communities and Local Government</w:t>
      </w:r>
    </w:p>
    <w:p w:rsidR="00F72906" w:rsidRDefault="00F72906" w:rsidP="00F72906">
      <w:r>
        <w:t>CIES</w:t>
      </w:r>
      <w:r>
        <w:tab/>
        <w:t>Comprehensive Income and Expenditure Statement</w:t>
      </w:r>
    </w:p>
    <w:p w:rsidR="00F72906" w:rsidRDefault="00F72906" w:rsidP="00F72906">
      <w:r>
        <w:t>DfE</w:t>
      </w:r>
      <w:r>
        <w:tab/>
        <w:t xml:space="preserve">Department for Education </w:t>
      </w:r>
    </w:p>
    <w:p w:rsidR="00F72906" w:rsidRDefault="00F72906" w:rsidP="00F72906">
      <w:r>
        <w:t>FTE</w:t>
      </w:r>
      <w:r>
        <w:tab/>
        <w:t>Full Time Equivalent</w:t>
      </w:r>
    </w:p>
    <w:p w:rsidR="00F72906" w:rsidRDefault="00F72906" w:rsidP="00F72906">
      <w:r>
        <w:t>GAAP</w:t>
      </w:r>
      <w:r>
        <w:tab/>
        <w:t>Generally Accepted Accounting Principles./ Practice</w:t>
      </w:r>
    </w:p>
    <w:p w:rsidR="00F72906" w:rsidRDefault="00F72906" w:rsidP="00F72906">
      <w:r>
        <w:t>GF</w:t>
      </w:r>
      <w:r>
        <w:tab/>
        <w:t>General Fund</w:t>
      </w:r>
    </w:p>
    <w:p w:rsidR="00F72906" w:rsidRDefault="00F72906" w:rsidP="00F72906">
      <w:r>
        <w:t>GLA</w:t>
      </w:r>
      <w:r>
        <w:tab/>
        <w:t>Greater London Authority</w:t>
      </w:r>
    </w:p>
    <w:p w:rsidR="00F72906" w:rsidRDefault="00F72906" w:rsidP="00F72906">
      <w:r>
        <w:lastRenderedPageBreak/>
        <w:t>HRA</w:t>
      </w:r>
      <w:r>
        <w:tab/>
        <w:t>Housing Revenue Account</w:t>
      </w:r>
    </w:p>
    <w:p w:rsidR="00F72906" w:rsidRDefault="00F72906" w:rsidP="00F72906">
      <w:r>
        <w:t>IAS</w:t>
      </w:r>
      <w:r>
        <w:tab/>
        <w:t>International Accounting Standards</w:t>
      </w:r>
    </w:p>
    <w:p w:rsidR="00F72906" w:rsidRDefault="00F72906" w:rsidP="00F72906">
      <w:r>
        <w:t>IFRS</w:t>
      </w:r>
      <w:r>
        <w:tab/>
        <w:t>International Financial Reporting Standards</w:t>
      </w:r>
    </w:p>
    <w:p w:rsidR="00F72906" w:rsidRDefault="00F72906" w:rsidP="00F72906">
      <w:r>
        <w:t>IPSAS</w:t>
      </w:r>
      <w:r>
        <w:tab/>
        <w:t>International Public Sector Accounting Standards</w:t>
      </w:r>
    </w:p>
    <w:p w:rsidR="00F72906" w:rsidRDefault="00F72906" w:rsidP="00F72906">
      <w:r>
        <w:t>LASAAC</w:t>
      </w:r>
      <w:r>
        <w:tab/>
        <w:t>Local Authority (Scotland) Accounts Advisory Committee</w:t>
      </w:r>
    </w:p>
    <w:p w:rsidR="00C96EA3" w:rsidRDefault="00F72906" w:rsidP="00F72906">
      <w:r>
        <w:t>LBB</w:t>
      </w:r>
      <w:r w:rsidR="00C96EA3" w:rsidRPr="00C96EA3">
        <w:t xml:space="preserve"> </w:t>
      </w:r>
      <w:r w:rsidR="00C96EA3">
        <w:tab/>
        <w:t>London Borough of Brent</w:t>
      </w:r>
    </w:p>
    <w:p w:rsidR="00F72906" w:rsidRDefault="00F72906" w:rsidP="00F72906">
      <w:r>
        <w:t>LGPS</w:t>
      </w:r>
      <w:r>
        <w:tab/>
        <w:t>Local Government Pension Scheme</w:t>
      </w:r>
    </w:p>
    <w:p w:rsidR="00F72906" w:rsidRDefault="00F72906" w:rsidP="00F72906">
      <w:r>
        <w:t>MHCLG</w:t>
      </w:r>
      <w:r w:rsidR="00C96EA3" w:rsidRPr="00C96EA3">
        <w:t xml:space="preserve"> </w:t>
      </w:r>
      <w:r w:rsidR="00C96EA3">
        <w:t>Ministry of Housing, Communities and Local Government's</w:t>
      </w:r>
    </w:p>
    <w:p w:rsidR="00F72906" w:rsidRDefault="00C96EA3" w:rsidP="00F72906">
      <w:r>
        <w:t>MRA</w:t>
      </w:r>
      <w:r>
        <w:tab/>
      </w:r>
      <w:r w:rsidR="00F72906">
        <w:t>Major Repairs Allowance</w:t>
      </w:r>
    </w:p>
    <w:p w:rsidR="00F72906" w:rsidRDefault="00F72906" w:rsidP="00F72906">
      <w:r>
        <w:t>MRP</w:t>
      </w:r>
      <w:r>
        <w:tab/>
        <w:t>Minimum Revenue Provision</w:t>
      </w:r>
    </w:p>
    <w:p w:rsidR="00F72906" w:rsidRDefault="00F72906" w:rsidP="00F72906">
      <w:r>
        <w:t>NAIL</w:t>
      </w:r>
      <w:r w:rsidR="00C96EA3" w:rsidRPr="00C96EA3">
        <w:t xml:space="preserve"> </w:t>
      </w:r>
      <w:r w:rsidR="00C96EA3">
        <w:tab/>
        <w:t>New Accommodation for Independent Living</w:t>
      </w:r>
    </w:p>
    <w:p w:rsidR="00F72906" w:rsidRDefault="00F72906" w:rsidP="00F72906">
      <w:r>
        <w:t>NDR</w:t>
      </w:r>
      <w:r>
        <w:tab/>
        <w:t>Non Domestic Rates (also called Business Rates)</w:t>
      </w:r>
    </w:p>
    <w:p w:rsidR="00F72906" w:rsidRDefault="00F72906" w:rsidP="00F72906">
      <w:r>
        <w:t>PFI</w:t>
      </w:r>
      <w:r>
        <w:tab/>
        <w:t>Private Finance Initiative</w:t>
      </w:r>
    </w:p>
    <w:p w:rsidR="00F72906" w:rsidRDefault="00F72906" w:rsidP="00F72906">
      <w:r>
        <w:t>PCT</w:t>
      </w:r>
      <w:r w:rsidR="00C96EA3" w:rsidRPr="00C96EA3">
        <w:t xml:space="preserve"> </w:t>
      </w:r>
      <w:r w:rsidR="00C96EA3">
        <w:tab/>
        <w:t>Primary Care Trust</w:t>
      </w:r>
    </w:p>
    <w:p w:rsidR="00F72906" w:rsidRDefault="00F72906" w:rsidP="00F72906">
      <w:r>
        <w:t>PWLB</w:t>
      </w:r>
      <w:r>
        <w:tab/>
        <w:t>Public Works Loans Board</w:t>
      </w:r>
    </w:p>
    <w:p w:rsidR="00F72906" w:rsidRDefault="00F72906" w:rsidP="00F72906"/>
    <w:p w:rsidR="0003552F" w:rsidRDefault="0003552F"/>
    <w:sectPr w:rsidR="0003552F" w:rsidSect="002525F7">
      <w:pgSz w:w="11906" w:h="16838"/>
      <w:pgMar w:top="1440" w:right="1440" w:bottom="1440"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1A96" w:rsidRDefault="00891A96" w:rsidP="00D27B25">
      <w:pPr>
        <w:spacing w:after="0" w:line="240" w:lineRule="auto"/>
      </w:pPr>
      <w:r>
        <w:separator/>
      </w:r>
    </w:p>
  </w:endnote>
  <w:endnote w:type="continuationSeparator" w:id="0">
    <w:p w:rsidR="00891A96" w:rsidRDefault="00891A96" w:rsidP="00D27B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FS Lola">
    <w:altName w:val="FS Lol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DIN-Regular">
    <w:panose1 w:val="00000000000000000000"/>
    <w:charset w:val="00"/>
    <w:family w:val="swiss"/>
    <w:notTrueType/>
    <w:pitch w:val="default"/>
    <w:sig w:usb0="00000003" w:usb1="00000000" w:usb2="00000000" w:usb3="00000000" w:csb0="00000001" w:csb1="00000000"/>
  </w:font>
  <w:font w:name="MetaPlusBook-Roman">
    <w:altName w:val="Arial Narrow"/>
    <w:charset w:val="00"/>
    <w:family w:val="swiss"/>
    <w:pitch w:val="variable"/>
    <w:sig w:usb0="000000AF" w:usb1="10002048" w:usb2="00000000" w:usb3="00000000" w:csb0="00000001"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Helvetica Neue">
    <w:altName w:val="Times New Roman"/>
    <w:charset w:val="00"/>
    <w:family w:val="roman"/>
    <w:pitch w:val="default"/>
  </w:font>
  <w:font w:name="FS Lola ExtraBold">
    <w:altName w:val="FS Lola ExtraBold"/>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1A96" w:rsidRDefault="00891A96" w:rsidP="00D27B25">
      <w:pPr>
        <w:spacing w:after="0" w:line="240" w:lineRule="auto"/>
      </w:pPr>
      <w:r>
        <w:separator/>
      </w:r>
    </w:p>
  </w:footnote>
  <w:footnote w:type="continuationSeparator" w:id="0">
    <w:p w:rsidR="00891A96" w:rsidRDefault="00891A96" w:rsidP="00D27B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B01CD882"/>
    <w:styleLink w:val="StyleOutlinenumbered1"/>
    <w:lvl w:ilvl="0">
      <w:start w:val="1"/>
      <w:numFmt w:val="decimal"/>
      <w:lvlText w:val="%1."/>
      <w:lvlJc w:val="left"/>
      <w:pPr>
        <w:tabs>
          <w:tab w:val="num" w:pos="643"/>
        </w:tabs>
        <w:ind w:left="643" w:hanging="360"/>
      </w:pPr>
      <w:rPr>
        <w:rFonts w:cs="Times New Roman"/>
      </w:rPr>
    </w:lvl>
  </w:abstractNum>
  <w:abstractNum w:abstractNumId="1" w15:restartNumberingAfterBreak="0">
    <w:nsid w:val="FFFFFF83"/>
    <w:multiLevelType w:val="singleLevel"/>
    <w:tmpl w:val="1DC2E68C"/>
    <w:styleLink w:val="ImportedStyle11"/>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02524115"/>
    <w:multiLevelType w:val="hybridMultilevel"/>
    <w:tmpl w:val="FEA21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4F75B8"/>
    <w:multiLevelType w:val="multilevel"/>
    <w:tmpl w:val="CDB05F26"/>
    <w:lvl w:ilvl="0">
      <w:start w:val="1"/>
      <w:numFmt w:val="decimal"/>
      <w:lvlRestart w:val="0"/>
      <w:pStyle w:val="Heading1Num"/>
      <w:isLgl/>
      <w:lvlText w:val="%1"/>
      <w:lvlJc w:val="left"/>
      <w:pPr>
        <w:tabs>
          <w:tab w:val="num" w:pos="567"/>
        </w:tabs>
        <w:ind w:left="567" w:hanging="567"/>
      </w:pPr>
      <w:rPr>
        <w:rFonts w:cs="Times New Roman" w:hint="default"/>
      </w:rPr>
    </w:lvl>
    <w:lvl w:ilvl="1">
      <w:start w:val="1"/>
      <w:numFmt w:val="decimal"/>
      <w:pStyle w:val="Heading2Num"/>
      <w:lvlText w:val="%1.%2"/>
      <w:lvlJc w:val="left"/>
      <w:pPr>
        <w:tabs>
          <w:tab w:val="num" w:pos="567"/>
        </w:tabs>
        <w:ind w:left="567" w:hanging="567"/>
      </w:pPr>
      <w:rPr>
        <w:rFonts w:cs="Times New Roman" w:hint="default"/>
      </w:rPr>
    </w:lvl>
    <w:lvl w:ilvl="2">
      <w:start w:val="1"/>
      <w:numFmt w:val="decimal"/>
      <w:pStyle w:val="Heading3Num"/>
      <w:lvlText w:val="%1.%2.%3"/>
      <w:lvlJc w:val="left"/>
      <w:pPr>
        <w:tabs>
          <w:tab w:val="num" w:pos="567"/>
        </w:tabs>
        <w:ind w:left="567" w:hanging="567"/>
      </w:pPr>
      <w:rPr>
        <w:rFonts w:cs="Times New Roman"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Arial" w:hAnsi="Arial"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4" w15:restartNumberingAfterBreak="0">
    <w:nsid w:val="09F81F1A"/>
    <w:multiLevelType w:val="multilevel"/>
    <w:tmpl w:val="B3C4D8B2"/>
    <w:styleLink w:val="AonList"/>
    <w:lvl w:ilvl="0">
      <w:start w:val="1"/>
      <w:numFmt w:val="bullet"/>
      <w:pStyle w:val="AonBullet1"/>
      <w:lvlText w:val=""/>
      <w:lvlJc w:val="left"/>
      <w:pPr>
        <w:tabs>
          <w:tab w:val="num" w:pos="360"/>
        </w:tabs>
        <w:ind w:left="360" w:hanging="360"/>
      </w:pPr>
      <w:rPr>
        <w:rFonts w:ascii="Wingdings" w:hAnsi="Wingdings" w:hint="default"/>
        <w:color w:val="auto"/>
        <w:sz w:val="20"/>
      </w:rPr>
    </w:lvl>
    <w:lvl w:ilvl="1">
      <w:start w:val="1"/>
      <w:numFmt w:val="bullet"/>
      <w:pStyle w:val="AonBullet2"/>
      <w:lvlText w:val="–"/>
      <w:lvlJc w:val="left"/>
      <w:pPr>
        <w:tabs>
          <w:tab w:val="num" w:pos="720"/>
        </w:tabs>
        <w:ind w:left="720" w:hanging="360"/>
      </w:pPr>
      <w:rPr>
        <w:rFonts w:ascii="Arial" w:hAnsi="Arial" w:hint="default"/>
        <w:b/>
        <w:i w:val="0"/>
        <w:color w:val="auto"/>
      </w:rPr>
    </w:lvl>
    <w:lvl w:ilvl="2">
      <w:start w:val="1"/>
      <w:numFmt w:val="bullet"/>
      <w:pStyle w:val="AonBullet3"/>
      <w:lvlText w:val="•"/>
      <w:lvlJc w:val="left"/>
      <w:pPr>
        <w:tabs>
          <w:tab w:val="num" w:pos="1080"/>
        </w:tabs>
        <w:ind w:left="1080" w:hanging="360"/>
      </w:pPr>
      <w:rPr>
        <w:rFonts w:ascii="Arial" w:hAnsi="Arial" w:hint="default"/>
        <w:sz w:val="20"/>
      </w:rPr>
    </w:lvl>
    <w:lvl w:ilvl="3">
      <w:start w:val="1"/>
      <w:numFmt w:val="bullet"/>
      <w:pStyle w:val="AonBullet4"/>
      <w:lvlText w:val=""/>
      <w:lvlJc w:val="left"/>
      <w:pPr>
        <w:tabs>
          <w:tab w:val="num" w:pos="1440"/>
        </w:tabs>
        <w:ind w:left="1440" w:hanging="360"/>
      </w:pPr>
      <w:rPr>
        <w:rFonts w:ascii="Symbol" w:hAnsi="Symbol" w:hint="default"/>
        <w:sz w:val="20"/>
      </w:rPr>
    </w:lvl>
    <w:lvl w:ilvl="4">
      <w:start w:val="1"/>
      <w:numFmt w:val="bullet"/>
      <w:pStyle w:val="AonBullet5"/>
      <w:lvlText w:val="-"/>
      <w:lvlJc w:val="left"/>
      <w:pPr>
        <w:tabs>
          <w:tab w:val="num" w:pos="1800"/>
        </w:tabs>
        <w:ind w:left="1800" w:hanging="360"/>
      </w:pPr>
      <w:rPr>
        <w:rFonts w:ascii="Times New Roman" w:hAnsi="Times New Roman" w:hint="default"/>
        <w:sz w:val="20"/>
      </w:rPr>
    </w:lvl>
    <w:lvl w:ilvl="5">
      <w:start w:val="1"/>
      <w:numFmt w:val="bullet"/>
      <w:lvlText w:val="-"/>
      <w:lvlJc w:val="left"/>
      <w:pPr>
        <w:tabs>
          <w:tab w:val="num" w:pos="3960"/>
        </w:tabs>
        <w:ind w:left="3960" w:hanging="360"/>
      </w:pPr>
      <w:rPr>
        <w:rFonts w:ascii="Courier New" w:hAnsi="Courier New" w:hint="default"/>
        <w:color w:val="auto"/>
      </w:rPr>
    </w:lvl>
    <w:lvl w:ilvl="6">
      <w:start w:val="1"/>
      <w:numFmt w:val="bullet"/>
      <w:lvlText w:val=""/>
      <w:lvlJc w:val="left"/>
      <w:pPr>
        <w:tabs>
          <w:tab w:val="num" w:pos="4680"/>
        </w:tabs>
        <w:ind w:left="4680" w:hanging="360"/>
      </w:pPr>
      <w:rPr>
        <w:rFonts w:ascii="Wingdings" w:hAnsi="Wingdings" w:hint="default"/>
      </w:rPr>
    </w:lvl>
    <w:lvl w:ilvl="7">
      <w:start w:val="1"/>
      <w:numFmt w:val="bullet"/>
      <w:lvlText w:val=""/>
      <w:lvlJc w:val="left"/>
      <w:pPr>
        <w:tabs>
          <w:tab w:val="num" w:pos="3600"/>
        </w:tabs>
        <w:ind w:left="3600" w:hanging="360"/>
      </w:pPr>
      <w:rPr>
        <w:rFonts w:ascii="Symbol" w:hAnsi="Symbol" w:hint="default"/>
      </w:rPr>
    </w:lvl>
    <w:lvl w:ilvl="8">
      <w:start w:val="1"/>
      <w:numFmt w:val="bullet"/>
      <w:lvlText w:val=""/>
      <w:lvlJc w:val="left"/>
      <w:pPr>
        <w:tabs>
          <w:tab w:val="num" w:pos="3960"/>
        </w:tabs>
        <w:ind w:left="3960" w:hanging="360"/>
      </w:pPr>
      <w:rPr>
        <w:rFonts w:ascii="Symbol" w:hAnsi="Symbol" w:hint="default"/>
      </w:rPr>
    </w:lvl>
  </w:abstractNum>
  <w:abstractNum w:abstractNumId="5" w15:restartNumberingAfterBreak="0">
    <w:nsid w:val="0DAA705C"/>
    <w:multiLevelType w:val="multilevel"/>
    <w:tmpl w:val="A8E60998"/>
    <w:lvl w:ilvl="0">
      <w:start w:val="1"/>
      <w:numFmt w:val="decimal"/>
      <w:pStyle w:val="NumberedAnnexParaCharChar"/>
      <w:lvlText w:val="%1."/>
      <w:lvlJc w:val="left"/>
      <w:pPr>
        <w:tabs>
          <w:tab w:val="num" w:pos="1277"/>
        </w:tabs>
        <w:ind w:left="710"/>
      </w:pPr>
      <w:rPr>
        <w:rFonts w:ascii="Arial" w:hAnsi="Arial" w:cs="Times New Roman" w:hint="default"/>
        <w:caps w:val="0"/>
        <w:strike w:val="0"/>
        <w:dstrike w:val="0"/>
        <w:vanish w:val="0"/>
        <w:color w:val="000000"/>
        <w:sz w:val="24"/>
        <w:szCs w:val="24"/>
        <w:u w:val="none"/>
        <w:effect w:val="none"/>
        <w:vertAlign w:val="baseline"/>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0DC91143"/>
    <w:multiLevelType w:val="multilevel"/>
    <w:tmpl w:val="C7D6DB6A"/>
    <w:lvl w:ilvl="0">
      <w:start w:val="1"/>
      <w:numFmt w:val="decimal"/>
      <w:lvlRestart w:val="0"/>
      <w:pStyle w:val="hNumber1"/>
      <w:isLgl/>
      <w:lvlText w:val="%1"/>
      <w:lvlJc w:val="left"/>
      <w:pPr>
        <w:tabs>
          <w:tab w:val="num" w:pos="567"/>
        </w:tabs>
        <w:ind w:left="567" w:hanging="567"/>
      </w:pPr>
      <w:rPr>
        <w:rFonts w:cs="Times New Roman" w:hint="default"/>
      </w:rPr>
    </w:lvl>
    <w:lvl w:ilvl="1">
      <w:start w:val="1"/>
      <w:numFmt w:val="decimal"/>
      <w:lvlText w:val="%1.%2"/>
      <w:lvlJc w:val="left"/>
      <w:pPr>
        <w:tabs>
          <w:tab w:val="num" w:pos="1134"/>
        </w:tabs>
        <w:ind w:left="1134" w:hanging="567"/>
      </w:pPr>
      <w:rPr>
        <w:rFonts w:cs="Times New Roman" w:hint="default"/>
      </w:rPr>
    </w:lvl>
    <w:lvl w:ilvl="2">
      <w:start w:val="1"/>
      <w:numFmt w:val="decimal"/>
      <w:lvlText w:val="%1.%2.%3"/>
      <w:lvlJc w:val="left"/>
      <w:pPr>
        <w:tabs>
          <w:tab w:val="num" w:pos="1701"/>
        </w:tabs>
        <w:ind w:left="1701" w:hanging="567"/>
      </w:pPr>
      <w:rPr>
        <w:rFonts w:cs="Times New Roman"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Arial" w:hAnsi="Arial"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7" w15:restartNumberingAfterBreak="0">
    <w:nsid w:val="0E266BE6"/>
    <w:multiLevelType w:val="hybridMultilevel"/>
    <w:tmpl w:val="BA30452A"/>
    <w:lvl w:ilvl="0" w:tplc="EE3C1B28">
      <w:start w:val="1"/>
      <w:numFmt w:val="bullet"/>
      <w:pStyle w:val="hBullet3"/>
      <w:lvlText w:val=""/>
      <w:lvlJc w:val="left"/>
      <w:pPr>
        <w:tabs>
          <w:tab w:val="num" w:pos="567"/>
        </w:tabs>
        <w:ind w:left="567" w:hanging="567"/>
      </w:pPr>
      <w:rPr>
        <w:rFonts w:ascii="Symbol" w:hAnsi="Symbol" w:hint="default"/>
        <w:b w:val="0"/>
        <w:i w:val="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3A78D4"/>
    <w:multiLevelType w:val="multilevel"/>
    <w:tmpl w:val="A642D374"/>
    <w:styleLink w:val="HRNumber"/>
    <w:lvl w:ilvl="0">
      <w:start w:val="1"/>
      <w:numFmt w:val="decimal"/>
      <w:pStyle w:val="NumberHymans"/>
      <w:lvlText w:val="%1"/>
      <w:lvlJc w:val="left"/>
      <w:pPr>
        <w:ind w:left="567" w:hanging="567"/>
      </w:pPr>
      <w:rPr>
        <w:rFonts w:ascii="Arial" w:hAnsi="Arial" w:cs="Times New Roman" w:hint="default"/>
        <w:color w:val="4B4B4B"/>
        <w:sz w:val="20"/>
      </w:rPr>
    </w:lvl>
    <w:lvl w:ilvl="1">
      <w:start w:val="1"/>
      <w:numFmt w:val="decimal"/>
      <w:lvlText w:val="%1.%2"/>
      <w:lvlJc w:val="left"/>
      <w:pPr>
        <w:ind w:left="1134" w:hanging="567"/>
      </w:pPr>
      <w:rPr>
        <w:rFonts w:ascii="Arial" w:hAnsi="Arial" w:cs="Times New Roman" w:hint="default"/>
        <w:color w:val="4B4B4B"/>
        <w:sz w:val="20"/>
      </w:rPr>
    </w:lvl>
    <w:lvl w:ilvl="2">
      <w:start w:val="1"/>
      <w:numFmt w:val="decimal"/>
      <w:lvlText w:val="%1.%2.%3"/>
      <w:lvlJc w:val="left"/>
      <w:pPr>
        <w:ind w:left="1701" w:hanging="567"/>
      </w:pPr>
      <w:rPr>
        <w:rFonts w:ascii="Arial" w:hAnsi="Arial" w:cs="Times New Roman" w:hint="default"/>
        <w:color w:val="4B4B4B"/>
        <w:sz w:val="20"/>
      </w:rPr>
    </w:lvl>
    <w:lvl w:ilvl="3">
      <w:start w:val="1"/>
      <w:numFmt w:val="decimal"/>
      <w:lvlText w:val="%1.%2.%3.%4"/>
      <w:lvlJc w:val="left"/>
      <w:pPr>
        <w:ind w:left="1728" w:hanging="648"/>
      </w:pPr>
      <w:rPr>
        <w:rFonts w:ascii="Arial" w:hAnsi="Arial" w:cs="Times New Roman" w:hint="default"/>
        <w:color w:val="auto"/>
        <w:sz w:val="20"/>
      </w:rPr>
    </w:lvl>
    <w:lvl w:ilvl="4">
      <w:start w:val="1"/>
      <w:numFmt w:val="decimal"/>
      <w:lvlText w:val="%1.%2.%3.%4.%5"/>
      <w:lvlJc w:val="left"/>
      <w:pPr>
        <w:ind w:left="2232" w:hanging="792"/>
      </w:pPr>
      <w:rPr>
        <w:rFonts w:ascii="Arial" w:hAnsi="Arial" w:cs="Times New Roman" w:hint="default"/>
        <w:color w:val="auto"/>
        <w:sz w:val="20"/>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9" w15:restartNumberingAfterBreak="0">
    <w:nsid w:val="2C847397"/>
    <w:multiLevelType w:val="hybridMultilevel"/>
    <w:tmpl w:val="7B9C9996"/>
    <w:styleLink w:val="ImportedStyle21"/>
    <w:lvl w:ilvl="0" w:tplc="A41C609E">
      <w:start w:val="1"/>
      <w:numFmt w:val="bullet"/>
      <w:lvlText w:val=""/>
      <w:lvlJc w:val="left"/>
      <w:pPr>
        <w:ind w:left="720" w:hanging="360"/>
      </w:pPr>
      <w:rPr>
        <w:rFonts w:ascii="Symbol" w:hAnsi="Symbol" w:hint="default"/>
      </w:rPr>
    </w:lvl>
    <w:lvl w:ilvl="1" w:tplc="08090019">
      <w:start w:val="1"/>
      <w:numFmt w:val="bullet"/>
      <w:lvlText w:val="o"/>
      <w:lvlJc w:val="left"/>
      <w:pPr>
        <w:ind w:left="1440" w:hanging="360"/>
      </w:pPr>
      <w:rPr>
        <w:rFonts w:ascii="Courier New" w:hAnsi="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10" w15:restartNumberingAfterBreak="0">
    <w:nsid w:val="381F41E6"/>
    <w:multiLevelType w:val="multilevel"/>
    <w:tmpl w:val="4D8A0410"/>
    <w:styleLink w:val="HRBullet"/>
    <w:lvl w:ilvl="0">
      <w:start w:val="1"/>
      <w:numFmt w:val="bullet"/>
      <w:pStyle w:val="BulletHymans"/>
      <w:lvlText w:val=""/>
      <w:lvlJc w:val="left"/>
      <w:pPr>
        <w:ind w:left="1844" w:hanging="567"/>
      </w:pPr>
      <w:rPr>
        <w:rFonts w:ascii="Symbol" w:hAnsi="Symbol" w:hint="default"/>
        <w:color w:val="4B4B4B"/>
        <w:sz w:val="20"/>
      </w:rPr>
    </w:lvl>
    <w:lvl w:ilvl="1">
      <w:start w:val="1"/>
      <w:numFmt w:val="none"/>
      <w:lvlText w:val="%2-"/>
      <w:lvlJc w:val="left"/>
      <w:pPr>
        <w:ind w:left="2574" w:hanging="567"/>
      </w:pPr>
      <w:rPr>
        <w:rFonts w:cs="Times New Roman" w:hint="default"/>
        <w:color w:val="4B4B4B"/>
        <w:sz w:val="20"/>
      </w:rPr>
    </w:lvl>
    <w:lvl w:ilvl="2">
      <w:start w:val="1"/>
      <w:numFmt w:val="bullet"/>
      <w:lvlText w:val=""/>
      <w:lvlJc w:val="left"/>
      <w:pPr>
        <w:ind w:left="3141" w:hanging="567"/>
      </w:pPr>
      <w:rPr>
        <w:rFonts w:ascii="Symbol" w:hAnsi="Symbol" w:hint="default"/>
        <w:color w:val="4B4B4B"/>
      </w:rPr>
    </w:lvl>
    <w:lvl w:ilvl="3">
      <w:start w:val="1"/>
      <w:numFmt w:val="none"/>
      <w:lvlText w:val="-"/>
      <w:lvlJc w:val="left"/>
      <w:pPr>
        <w:ind w:left="3141" w:hanging="567"/>
      </w:pPr>
      <w:rPr>
        <w:rFonts w:cs="Times New Roman" w:hint="default"/>
        <w:color w:val="auto"/>
      </w:rPr>
    </w:lvl>
    <w:lvl w:ilvl="4">
      <w:start w:val="1"/>
      <w:numFmt w:val="lowerLetter"/>
      <w:lvlText w:val="(%5)"/>
      <w:lvlJc w:val="left"/>
      <w:pPr>
        <w:ind w:left="3240" w:hanging="360"/>
      </w:pPr>
      <w:rPr>
        <w:rFonts w:cs="Times New Roman" w:hint="default"/>
      </w:rPr>
    </w:lvl>
    <w:lvl w:ilvl="5">
      <w:start w:val="1"/>
      <w:numFmt w:val="lowerRoman"/>
      <w:lvlText w:val="(%6)"/>
      <w:lvlJc w:val="left"/>
      <w:pPr>
        <w:ind w:left="3600" w:hanging="360"/>
      </w:pPr>
      <w:rPr>
        <w:rFonts w:cs="Times New Roman" w:hint="default"/>
      </w:rPr>
    </w:lvl>
    <w:lvl w:ilvl="6">
      <w:start w:val="1"/>
      <w:numFmt w:val="decimal"/>
      <w:lvlText w:val="%7."/>
      <w:lvlJc w:val="left"/>
      <w:pPr>
        <w:ind w:left="3960" w:hanging="360"/>
      </w:pPr>
      <w:rPr>
        <w:rFonts w:cs="Times New Roman" w:hint="default"/>
      </w:rPr>
    </w:lvl>
    <w:lvl w:ilvl="7">
      <w:start w:val="1"/>
      <w:numFmt w:val="lowerLetter"/>
      <w:lvlText w:val="%8."/>
      <w:lvlJc w:val="left"/>
      <w:pPr>
        <w:ind w:left="4320" w:hanging="360"/>
      </w:pPr>
      <w:rPr>
        <w:rFonts w:cs="Times New Roman" w:hint="default"/>
      </w:rPr>
    </w:lvl>
    <w:lvl w:ilvl="8">
      <w:start w:val="1"/>
      <w:numFmt w:val="lowerRoman"/>
      <w:lvlText w:val="%9."/>
      <w:lvlJc w:val="left"/>
      <w:pPr>
        <w:ind w:left="4680" w:hanging="360"/>
      </w:pPr>
      <w:rPr>
        <w:rFonts w:cs="Times New Roman" w:hint="default"/>
      </w:rPr>
    </w:lvl>
  </w:abstractNum>
  <w:abstractNum w:abstractNumId="11" w15:restartNumberingAfterBreak="0">
    <w:nsid w:val="46196E0A"/>
    <w:multiLevelType w:val="hybridMultilevel"/>
    <w:tmpl w:val="7A8E29AC"/>
    <w:styleLink w:val="ImportedStyle2"/>
    <w:lvl w:ilvl="0" w:tplc="FE743A40">
      <w:start w:val="1"/>
      <w:numFmt w:val="lowerLetter"/>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21BCB1B4">
      <w:start w:val="1"/>
      <w:numFmt w:val="lowerLetter"/>
      <w:lvlText w:val="%2."/>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2" w:tplc="EDF46BBA">
      <w:start w:val="1"/>
      <w:numFmt w:val="lowerRoman"/>
      <w:lvlText w:val="%3."/>
      <w:lvlJc w:val="left"/>
      <w:pPr>
        <w:ind w:left="2160" w:hanging="295"/>
      </w:pPr>
      <w:rPr>
        <w:rFonts w:hAnsi="Arial Unicode MS" w:cs="Times New Roman"/>
        <w:caps w:val="0"/>
        <w:smallCaps w:val="0"/>
        <w:strike w:val="0"/>
        <w:dstrike w:val="0"/>
        <w:color w:val="000000"/>
        <w:spacing w:val="0"/>
        <w:w w:val="100"/>
        <w:kern w:val="0"/>
        <w:position w:val="0"/>
        <w:vertAlign w:val="baseline"/>
      </w:rPr>
    </w:lvl>
    <w:lvl w:ilvl="3" w:tplc="47D08B48">
      <w:start w:val="1"/>
      <w:numFmt w:val="decimal"/>
      <w:lvlText w:val="%4."/>
      <w:lvlJc w:val="left"/>
      <w:pPr>
        <w:ind w:left="2880" w:hanging="360"/>
      </w:pPr>
      <w:rPr>
        <w:rFonts w:hAnsi="Arial Unicode MS" w:cs="Times New Roman"/>
        <w:caps w:val="0"/>
        <w:smallCaps w:val="0"/>
        <w:strike w:val="0"/>
        <w:dstrike w:val="0"/>
        <w:color w:val="000000"/>
        <w:spacing w:val="0"/>
        <w:w w:val="100"/>
        <w:kern w:val="0"/>
        <w:position w:val="0"/>
        <w:vertAlign w:val="baseline"/>
      </w:rPr>
    </w:lvl>
    <w:lvl w:ilvl="4" w:tplc="EDE4D780">
      <w:start w:val="1"/>
      <w:numFmt w:val="lowerLetter"/>
      <w:lvlText w:val="%5."/>
      <w:lvlJc w:val="left"/>
      <w:pPr>
        <w:ind w:left="3600" w:hanging="360"/>
      </w:pPr>
      <w:rPr>
        <w:rFonts w:hAnsi="Arial Unicode MS" w:cs="Times New Roman"/>
        <w:caps w:val="0"/>
        <w:smallCaps w:val="0"/>
        <w:strike w:val="0"/>
        <w:dstrike w:val="0"/>
        <w:color w:val="000000"/>
        <w:spacing w:val="0"/>
        <w:w w:val="100"/>
        <w:kern w:val="0"/>
        <w:position w:val="0"/>
        <w:vertAlign w:val="baseline"/>
      </w:rPr>
    </w:lvl>
    <w:lvl w:ilvl="5" w:tplc="EDEE5A3A">
      <w:start w:val="1"/>
      <w:numFmt w:val="lowerRoman"/>
      <w:lvlText w:val="%6."/>
      <w:lvlJc w:val="left"/>
      <w:pPr>
        <w:ind w:left="4320" w:hanging="295"/>
      </w:pPr>
      <w:rPr>
        <w:rFonts w:hAnsi="Arial Unicode MS" w:cs="Times New Roman"/>
        <w:caps w:val="0"/>
        <w:smallCaps w:val="0"/>
        <w:strike w:val="0"/>
        <w:dstrike w:val="0"/>
        <w:color w:val="000000"/>
        <w:spacing w:val="0"/>
        <w:w w:val="100"/>
        <w:kern w:val="0"/>
        <w:position w:val="0"/>
        <w:vertAlign w:val="baseline"/>
      </w:rPr>
    </w:lvl>
    <w:lvl w:ilvl="6" w:tplc="BA5E34A8">
      <w:start w:val="1"/>
      <w:numFmt w:val="decimal"/>
      <w:lvlText w:val="%7."/>
      <w:lvlJc w:val="left"/>
      <w:pPr>
        <w:ind w:left="5040" w:hanging="360"/>
      </w:pPr>
      <w:rPr>
        <w:rFonts w:hAnsi="Arial Unicode MS" w:cs="Times New Roman"/>
        <w:caps w:val="0"/>
        <w:smallCaps w:val="0"/>
        <w:strike w:val="0"/>
        <w:dstrike w:val="0"/>
        <w:color w:val="000000"/>
        <w:spacing w:val="0"/>
        <w:w w:val="100"/>
        <w:kern w:val="0"/>
        <w:position w:val="0"/>
        <w:vertAlign w:val="baseline"/>
      </w:rPr>
    </w:lvl>
    <w:lvl w:ilvl="7" w:tplc="66F89594">
      <w:start w:val="1"/>
      <w:numFmt w:val="lowerLetter"/>
      <w:lvlText w:val="%8."/>
      <w:lvlJc w:val="left"/>
      <w:pPr>
        <w:ind w:left="5760" w:hanging="360"/>
      </w:pPr>
      <w:rPr>
        <w:rFonts w:hAnsi="Arial Unicode MS" w:cs="Times New Roman"/>
        <w:caps w:val="0"/>
        <w:smallCaps w:val="0"/>
        <w:strike w:val="0"/>
        <w:dstrike w:val="0"/>
        <w:color w:val="000000"/>
        <w:spacing w:val="0"/>
        <w:w w:val="100"/>
        <w:kern w:val="0"/>
        <w:position w:val="0"/>
        <w:vertAlign w:val="baseline"/>
      </w:rPr>
    </w:lvl>
    <w:lvl w:ilvl="8" w:tplc="FB7666A2">
      <w:start w:val="1"/>
      <w:numFmt w:val="lowerRoman"/>
      <w:lvlText w:val="%9."/>
      <w:lvlJc w:val="left"/>
      <w:pPr>
        <w:ind w:left="6480" w:hanging="295"/>
      </w:pPr>
      <w:rPr>
        <w:rFonts w:hAnsi="Arial Unicode MS" w:cs="Times New Roman"/>
        <w:caps w:val="0"/>
        <w:smallCaps w:val="0"/>
        <w:strike w:val="0"/>
        <w:dstrike w:val="0"/>
        <w:color w:val="000000"/>
        <w:spacing w:val="0"/>
        <w:w w:val="100"/>
        <w:kern w:val="0"/>
        <w:position w:val="0"/>
        <w:vertAlign w:val="baseline"/>
      </w:rPr>
    </w:lvl>
  </w:abstractNum>
  <w:abstractNum w:abstractNumId="12" w15:restartNumberingAfterBreak="0">
    <w:nsid w:val="4A7A6697"/>
    <w:multiLevelType w:val="hybridMultilevel"/>
    <w:tmpl w:val="1930A2C4"/>
    <w:styleLink w:val="ImportedStyle1"/>
    <w:lvl w:ilvl="0" w:tplc="B718A616">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4280746E">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FE0EF78C">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6AEEC09A">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4CEC809A">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FBFCA736">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5EA65EA0">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7F0C824A">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BC9C4310">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13" w15:restartNumberingAfterBreak="0">
    <w:nsid w:val="4BA12539"/>
    <w:multiLevelType w:val="hybridMultilevel"/>
    <w:tmpl w:val="8B305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C26122E"/>
    <w:multiLevelType w:val="multilevel"/>
    <w:tmpl w:val="544C556C"/>
    <w:lvl w:ilvl="0">
      <w:start w:val="1"/>
      <w:numFmt w:val="decimal"/>
      <w:pStyle w:val="Bulletplus"/>
      <w:lvlText w:val="%1."/>
      <w:lvlJc w:val="left"/>
      <w:pPr>
        <w:tabs>
          <w:tab w:val="num" w:pos="720"/>
        </w:tabs>
        <w:ind w:left="720" w:hanging="720"/>
      </w:pPr>
      <w:rPr>
        <w:rFonts w:cs="Times New Roman"/>
      </w:rPr>
    </w:lvl>
    <w:lvl w:ilvl="1">
      <w:start w:val="1"/>
      <w:numFmt w:val="decimal"/>
      <w:pStyle w:val="EmDashplus"/>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5" w15:restartNumberingAfterBreak="0">
    <w:nsid w:val="4E845B7D"/>
    <w:multiLevelType w:val="multilevel"/>
    <w:tmpl w:val="C9F2E31E"/>
    <w:styleLink w:val="StyleOutlinenumbered"/>
    <w:lvl w:ilvl="0">
      <w:start w:val="1"/>
      <w:numFmt w:val="bullet"/>
      <w:lvlText w:val=""/>
      <w:lvlJc w:val="left"/>
      <w:pPr>
        <w:tabs>
          <w:tab w:val="num" w:pos="567"/>
        </w:tabs>
        <w:ind w:left="1134" w:hanging="567"/>
      </w:pPr>
      <w:rPr>
        <w:rFonts w:ascii="Symbol" w:hAnsi="Symbol" w:hint="default"/>
      </w:rPr>
    </w:lvl>
    <w:lvl w:ilvl="1">
      <w:start w:val="1"/>
      <w:numFmt w:val="bullet"/>
      <w:lvlText w:val=""/>
      <w:lvlJc w:val="left"/>
      <w:pPr>
        <w:tabs>
          <w:tab w:val="num" w:pos="360"/>
        </w:tabs>
        <w:ind w:left="360" w:hanging="360"/>
      </w:pPr>
      <w:rPr>
        <w:rFonts w:ascii="Symbol" w:hAnsi="Symbol" w:hint="default"/>
        <w:sz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6" w15:restartNumberingAfterBreak="0">
    <w:nsid w:val="61BC3D3D"/>
    <w:multiLevelType w:val="multilevel"/>
    <w:tmpl w:val="FAE6F968"/>
    <w:styleLink w:val="GTListBullet"/>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Restart w:val="0"/>
      <w:lvlText w:val=""/>
      <w:lvlJc w:val="left"/>
      <w:pPr>
        <w:tabs>
          <w:tab w:val="num" w:pos="851"/>
        </w:tabs>
        <w:ind w:left="851" w:hanging="284"/>
      </w:pPr>
      <w:rPr>
        <w:rFonts w:ascii="Symbol" w:hAnsi="Symbol" w:hint="default"/>
        <w:color w:val="auto"/>
      </w:rPr>
    </w:lvl>
    <w:lvl w:ilvl="3">
      <w:start w:val="1"/>
      <w:numFmt w:val="none"/>
      <w:lvlRestart w:val="0"/>
      <w:lvlText w:val=""/>
      <w:lvlJc w:val="left"/>
      <w:pPr>
        <w:tabs>
          <w:tab w:val="num" w:pos="851"/>
        </w:tabs>
        <w:ind w:left="851" w:firstLine="0"/>
      </w:pPr>
    </w:lvl>
    <w:lvl w:ilvl="4">
      <w:start w:val="1"/>
      <w:numFmt w:val="none"/>
      <w:lvlRestart w:val="0"/>
      <w:lvlText w:val=""/>
      <w:lvlJc w:val="left"/>
      <w:pPr>
        <w:tabs>
          <w:tab w:val="num" w:pos="851"/>
        </w:tabs>
        <w:ind w:left="851" w:firstLine="0"/>
      </w:pPr>
    </w:lvl>
    <w:lvl w:ilvl="5">
      <w:start w:val="1"/>
      <w:numFmt w:val="none"/>
      <w:lvlRestart w:val="0"/>
      <w:lvlText w:val=""/>
      <w:lvlJc w:val="left"/>
      <w:pPr>
        <w:tabs>
          <w:tab w:val="num" w:pos="851"/>
        </w:tabs>
        <w:ind w:left="851" w:firstLine="0"/>
      </w:pPr>
    </w:lvl>
    <w:lvl w:ilvl="6">
      <w:start w:val="1"/>
      <w:numFmt w:val="none"/>
      <w:lvlRestart w:val="0"/>
      <w:lvlText w:val=""/>
      <w:lvlJc w:val="left"/>
      <w:pPr>
        <w:tabs>
          <w:tab w:val="num" w:pos="851"/>
        </w:tabs>
        <w:ind w:left="851" w:firstLine="0"/>
      </w:pPr>
    </w:lvl>
    <w:lvl w:ilvl="7">
      <w:start w:val="1"/>
      <w:numFmt w:val="none"/>
      <w:lvlRestart w:val="0"/>
      <w:lvlText w:val=""/>
      <w:lvlJc w:val="left"/>
      <w:pPr>
        <w:tabs>
          <w:tab w:val="num" w:pos="851"/>
        </w:tabs>
        <w:ind w:left="851" w:firstLine="0"/>
      </w:pPr>
    </w:lvl>
    <w:lvl w:ilvl="8">
      <w:start w:val="1"/>
      <w:numFmt w:val="none"/>
      <w:lvlRestart w:val="0"/>
      <w:lvlText w:val=""/>
      <w:lvlJc w:val="left"/>
      <w:pPr>
        <w:ind w:left="851" w:firstLine="0"/>
      </w:pPr>
    </w:lvl>
  </w:abstractNum>
  <w:abstractNum w:abstractNumId="17" w15:restartNumberingAfterBreak="0">
    <w:nsid w:val="6B7945A6"/>
    <w:multiLevelType w:val="multilevel"/>
    <w:tmpl w:val="B538BD02"/>
    <w:lvl w:ilvl="0">
      <w:start w:val="1"/>
      <w:numFmt w:val="bullet"/>
      <w:lvlRestart w:val="0"/>
      <w:pStyle w:val="hBullets"/>
      <w:lvlText w:val=""/>
      <w:lvlJc w:val="left"/>
      <w:pPr>
        <w:tabs>
          <w:tab w:val="num" w:pos="567"/>
        </w:tabs>
        <w:ind w:left="567" w:hanging="567"/>
      </w:pPr>
      <w:rPr>
        <w:rFonts w:ascii="Symbol" w:hAnsi="Symbol" w:hint="default"/>
        <w:b w:val="0"/>
        <w:i w:val="0"/>
        <w:color w:val="4B4B4B"/>
        <w:sz w:val="20"/>
      </w:rPr>
    </w:lvl>
    <w:lvl w:ilvl="1">
      <w:start w:val="1"/>
      <w:numFmt w:val="bullet"/>
      <w:lvlText w:val="-"/>
      <w:lvlJc w:val="left"/>
      <w:pPr>
        <w:tabs>
          <w:tab w:val="num" w:pos="1134"/>
        </w:tabs>
        <w:ind w:left="1134" w:hanging="567"/>
      </w:pPr>
      <w:rPr>
        <w:rFonts w:ascii="Arial" w:hAnsi="Arial" w:hint="default"/>
        <w:b w:val="0"/>
        <w:i w:val="0"/>
        <w:color w:val="4B4B4B"/>
        <w:sz w:val="20"/>
      </w:rPr>
    </w:lvl>
    <w:lvl w:ilvl="2">
      <w:start w:val="1"/>
      <w:numFmt w:val="bullet"/>
      <w:lvlText w:val=""/>
      <w:lvlJc w:val="left"/>
      <w:pPr>
        <w:tabs>
          <w:tab w:val="num" w:pos="1701"/>
        </w:tabs>
        <w:ind w:left="1701" w:hanging="567"/>
      </w:pPr>
      <w:rPr>
        <w:rFonts w:ascii="Symbol" w:hAnsi="Symbol" w:hint="default"/>
        <w:b w:val="0"/>
        <w:i w:val="0"/>
        <w:color w:val="4B4B4B"/>
        <w:sz w:val="20"/>
      </w:rPr>
    </w:lvl>
    <w:lvl w:ilvl="3">
      <w:start w:val="1"/>
      <w:numFmt w:val="bullet"/>
      <w:lvlText w:val=""/>
      <w:lvlJc w:val="left"/>
      <w:pPr>
        <w:tabs>
          <w:tab w:val="num" w:pos="2835"/>
        </w:tabs>
        <w:ind w:left="2835" w:hanging="567"/>
      </w:pPr>
      <w:rPr>
        <w:rFonts w:ascii="Symbol" w:hAnsi="Symbol" w:hint="default"/>
        <w:b w:val="0"/>
        <w:i w:val="0"/>
        <w:color w:val="auto"/>
        <w:sz w:val="22"/>
      </w:rPr>
    </w:lvl>
    <w:lvl w:ilvl="4">
      <w:start w:val="1"/>
      <w:numFmt w:val="bullet"/>
      <w:lvlText w:val="·"/>
      <w:lvlJc w:val="left"/>
      <w:pPr>
        <w:tabs>
          <w:tab w:val="num" w:pos="1418"/>
        </w:tabs>
        <w:ind w:left="1418" w:hanging="567"/>
      </w:pPr>
      <w:rPr>
        <w:rFonts w:ascii="Symbol" w:hAnsi="Symbol" w:hint="default"/>
        <w:b w:val="0"/>
        <w:i w:val="0"/>
        <w:color w:val="auto"/>
        <w:sz w:val="22"/>
      </w:rPr>
    </w:lvl>
    <w:lvl w:ilvl="5">
      <w:start w:val="1"/>
      <w:numFmt w:val="bullet"/>
      <w:lvlText w:val="·"/>
      <w:lvlJc w:val="left"/>
      <w:pPr>
        <w:tabs>
          <w:tab w:val="num" w:pos="1985"/>
        </w:tabs>
        <w:ind w:left="1985" w:hanging="567"/>
      </w:pPr>
      <w:rPr>
        <w:rFonts w:ascii="Symbol" w:hAnsi="Symbol" w:hint="default"/>
        <w:b w:val="0"/>
        <w:i w:val="0"/>
        <w:color w:val="auto"/>
        <w:sz w:val="22"/>
      </w:rPr>
    </w:lvl>
    <w:lvl w:ilvl="6">
      <w:start w:val="1"/>
      <w:numFmt w:val="bullet"/>
      <w:lvlRestart w:val="0"/>
      <w:lvlText w:val="·"/>
      <w:lvlJc w:val="left"/>
      <w:pPr>
        <w:tabs>
          <w:tab w:val="num" w:pos="851"/>
        </w:tabs>
        <w:ind w:left="851" w:hanging="851"/>
      </w:pPr>
      <w:rPr>
        <w:rFonts w:ascii="Symbol" w:hAnsi="Symbol" w:hint="default"/>
        <w:b w:val="0"/>
        <w:i w:val="0"/>
        <w:color w:val="auto"/>
        <w:sz w:val="22"/>
      </w:rPr>
    </w:lvl>
    <w:lvl w:ilvl="7">
      <w:start w:val="1"/>
      <w:numFmt w:val="bullet"/>
      <w:lvlRestart w:val="0"/>
      <w:lvlText w:val="·"/>
      <w:lvlJc w:val="left"/>
      <w:pPr>
        <w:tabs>
          <w:tab w:val="num" w:pos="1418"/>
        </w:tabs>
        <w:ind w:left="1418" w:hanging="567"/>
      </w:pPr>
      <w:rPr>
        <w:rFonts w:ascii="Symbol" w:hAnsi="Symbol" w:hint="default"/>
        <w:b w:val="0"/>
        <w:i w:val="0"/>
        <w:color w:val="auto"/>
        <w:sz w:val="22"/>
      </w:rPr>
    </w:lvl>
    <w:lvl w:ilvl="8">
      <w:start w:val="1"/>
      <w:numFmt w:val="bullet"/>
      <w:lvlText w:val="·"/>
      <w:lvlJc w:val="left"/>
      <w:pPr>
        <w:tabs>
          <w:tab w:val="num" w:pos="1985"/>
        </w:tabs>
        <w:ind w:left="1985" w:hanging="567"/>
      </w:pPr>
      <w:rPr>
        <w:rFonts w:ascii="Symbol" w:hAnsi="Symbol" w:hint="default"/>
        <w:b w:val="0"/>
        <w:i w:val="0"/>
        <w:color w:val="auto"/>
        <w:sz w:val="22"/>
      </w:rPr>
    </w:lvl>
  </w:abstractNum>
  <w:abstractNum w:abstractNumId="18" w15:restartNumberingAfterBreak="0">
    <w:nsid w:val="700E2211"/>
    <w:multiLevelType w:val="hybridMultilevel"/>
    <w:tmpl w:val="5A747B5E"/>
    <w:lvl w:ilvl="0" w:tplc="37F066BE">
      <w:start w:val="1"/>
      <w:numFmt w:val="decimal"/>
      <w:pStyle w:val="TenderQuestion"/>
      <w:lvlText w:val="Q%1."/>
      <w:lvlJc w:val="left"/>
      <w:pPr>
        <w:ind w:left="720" w:hanging="360"/>
      </w:pPr>
      <w:rPr>
        <w:rFonts w:cs="Times New Roman" w:hint="default"/>
        <w:color w:val="000000"/>
        <w:sz w:val="2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9" w15:restartNumberingAfterBreak="0">
    <w:nsid w:val="767825E7"/>
    <w:multiLevelType w:val="multilevel"/>
    <w:tmpl w:val="567E87DA"/>
    <w:lvl w:ilvl="0">
      <w:start w:val="1"/>
      <w:numFmt w:val="bullet"/>
      <w:pStyle w:val="hBullet1"/>
      <w:lvlText w:val="·"/>
      <w:lvlJc w:val="left"/>
      <w:pPr>
        <w:tabs>
          <w:tab w:val="num" w:pos="851"/>
        </w:tabs>
        <w:ind w:left="851" w:hanging="851"/>
      </w:pPr>
      <w:rPr>
        <w:rFonts w:ascii="Symbol" w:hAnsi="Symbol" w:hint="default"/>
        <w:color w:val="auto"/>
      </w:rPr>
    </w:lvl>
    <w:lvl w:ilvl="1">
      <w:start w:val="1"/>
      <w:numFmt w:val="bullet"/>
      <w:lvlText w:val="·"/>
      <w:lvlJc w:val="left"/>
      <w:pPr>
        <w:tabs>
          <w:tab w:val="num" w:pos="1418"/>
        </w:tabs>
        <w:ind w:left="1418" w:hanging="567"/>
      </w:pPr>
      <w:rPr>
        <w:rFonts w:ascii="Symbol" w:hAnsi="Symbol" w:hint="default"/>
        <w:color w:val="auto"/>
      </w:rPr>
    </w:lvl>
    <w:lvl w:ilvl="2">
      <w:start w:val="1"/>
      <w:numFmt w:val="bullet"/>
      <w:lvlText w:val="·"/>
      <w:lvlJc w:val="left"/>
      <w:pPr>
        <w:tabs>
          <w:tab w:val="num" w:pos="1985"/>
        </w:tabs>
        <w:ind w:left="1985" w:hanging="567"/>
      </w:pPr>
      <w:rPr>
        <w:rFonts w:ascii="Symbol" w:hAnsi="Symbol" w:hint="default"/>
        <w:color w:val="auto"/>
      </w:rPr>
    </w:lvl>
    <w:lvl w:ilvl="3">
      <w:start w:val="1"/>
      <w:numFmt w:val="bullet"/>
      <w:lvlText w:val="·"/>
      <w:lvlJc w:val="left"/>
      <w:pPr>
        <w:tabs>
          <w:tab w:val="num" w:pos="1418"/>
        </w:tabs>
        <w:ind w:left="1418" w:hanging="567"/>
      </w:pPr>
      <w:rPr>
        <w:rFonts w:ascii="Symbol" w:hAnsi="Symbol" w:hint="default"/>
        <w:color w:val="auto"/>
      </w:rPr>
    </w:lvl>
    <w:lvl w:ilvl="4">
      <w:start w:val="1"/>
      <w:numFmt w:val="bullet"/>
      <w:lvlText w:val="·"/>
      <w:lvlJc w:val="left"/>
      <w:pPr>
        <w:tabs>
          <w:tab w:val="num" w:pos="851"/>
        </w:tabs>
        <w:ind w:left="851" w:hanging="851"/>
      </w:pPr>
      <w:rPr>
        <w:rFonts w:ascii="Symbol" w:hAnsi="Symbol" w:hint="default"/>
        <w:color w:val="auto"/>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20" w15:restartNumberingAfterBreak="0">
    <w:nsid w:val="79E803A7"/>
    <w:multiLevelType w:val="hybridMultilevel"/>
    <w:tmpl w:val="12C68C94"/>
    <w:lvl w:ilvl="0" w:tplc="E424C0AC">
      <w:start w:val="1"/>
      <w:numFmt w:val="bullet"/>
      <w:pStyle w:val="hBullet2"/>
      <w:lvlText w:val=""/>
      <w:lvlJc w:val="left"/>
      <w:pPr>
        <w:tabs>
          <w:tab w:val="num" w:pos="1418"/>
        </w:tabs>
        <w:ind w:left="1418" w:hanging="567"/>
      </w:pPr>
      <w:rPr>
        <w:rFonts w:ascii="Symbol" w:hAnsi="Symbol" w:hint="default"/>
        <w:b w:val="0"/>
        <w:i w:val="0"/>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D8C43ED"/>
    <w:multiLevelType w:val="hybridMultilevel"/>
    <w:tmpl w:val="C8F62D4C"/>
    <w:lvl w:ilvl="0" w:tplc="1400B2A6">
      <w:numFmt w:val="bullet"/>
      <w:pStyle w:val="Bodytextbold"/>
      <w:lvlText w:val="-"/>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2"/>
  </w:num>
  <w:num w:numId="3">
    <w:abstractNumId w:val="21"/>
  </w:num>
  <w:num w:numId="4">
    <w:abstractNumId w:val="4"/>
  </w:num>
  <w:num w:numId="5">
    <w:abstractNumId w:val="14"/>
  </w:num>
  <w:num w:numId="6">
    <w:abstractNumId w:val="8"/>
  </w:num>
  <w:num w:numId="7">
    <w:abstractNumId w:val="10"/>
  </w:num>
  <w:num w:numId="8">
    <w:abstractNumId w:val="19"/>
  </w:num>
  <w:num w:numId="9">
    <w:abstractNumId w:val="20"/>
  </w:num>
  <w:num w:numId="10">
    <w:abstractNumId w:val="7"/>
  </w:num>
  <w:num w:numId="11">
    <w:abstractNumId w:val="17"/>
  </w:num>
  <w:num w:numId="12">
    <w:abstractNumId w:val="6"/>
  </w:num>
  <w:num w:numId="13">
    <w:abstractNumId w:val="18"/>
  </w:num>
  <w:num w:numId="14">
    <w:abstractNumId w:val="3"/>
  </w:num>
  <w:num w:numId="15">
    <w:abstractNumId w:val="15"/>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11"/>
  </w:num>
  <w:num w:numId="19">
    <w:abstractNumId w:val="0"/>
  </w:num>
  <w:num w:numId="20">
    <w:abstractNumId w:val="1"/>
  </w:num>
  <w:num w:numId="21">
    <w:abstractNumId w:val="9"/>
  </w:num>
  <w:num w:numId="22">
    <w:abstractNumId w:val="1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906"/>
    <w:rsid w:val="00003661"/>
    <w:rsid w:val="000138B2"/>
    <w:rsid w:val="0003552F"/>
    <w:rsid w:val="000878D7"/>
    <w:rsid w:val="001449FD"/>
    <w:rsid w:val="001822CA"/>
    <w:rsid w:val="001B304C"/>
    <w:rsid w:val="00231ED3"/>
    <w:rsid w:val="0023590A"/>
    <w:rsid w:val="002525F7"/>
    <w:rsid w:val="00286159"/>
    <w:rsid w:val="003D58E6"/>
    <w:rsid w:val="00456ADB"/>
    <w:rsid w:val="005C77F5"/>
    <w:rsid w:val="006127BF"/>
    <w:rsid w:val="0067327D"/>
    <w:rsid w:val="006C130C"/>
    <w:rsid w:val="007058D0"/>
    <w:rsid w:val="00711454"/>
    <w:rsid w:val="0073204A"/>
    <w:rsid w:val="00752FD4"/>
    <w:rsid w:val="0076192C"/>
    <w:rsid w:val="007B70DC"/>
    <w:rsid w:val="007D0E47"/>
    <w:rsid w:val="00855E61"/>
    <w:rsid w:val="0087018B"/>
    <w:rsid w:val="00891A96"/>
    <w:rsid w:val="008E5FFD"/>
    <w:rsid w:val="00971A48"/>
    <w:rsid w:val="009C7D60"/>
    <w:rsid w:val="00A570D1"/>
    <w:rsid w:val="00A70A31"/>
    <w:rsid w:val="00A924BE"/>
    <w:rsid w:val="00AE1C26"/>
    <w:rsid w:val="00AF636E"/>
    <w:rsid w:val="00AF73B9"/>
    <w:rsid w:val="00B43A2F"/>
    <w:rsid w:val="00B64F8F"/>
    <w:rsid w:val="00BB1DF9"/>
    <w:rsid w:val="00C00DF8"/>
    <w:rsid w:val="00C965C3"/>
    <w:rsid w:val="00C96EA3"/>
    <w:rsid w:val="00CA7656"/>
    <w:rsid w:val="00CB4118"/>
    <w:rsid w:val="00D27B25"/>
    <w:rsid w:val="00D33F11"/>
    <w:rsid w:val="00D41493"/>
    <w:rsid w:val="00D4571A"/>
    <w:rsid w:val="00D53A04"/>
    <w:rsid w:val="00D934C4"/>
    <w:rsid w:val="00DA081D"/>
    <w:rsid w:val="00DC2F2A"/>
    <w:rsid w:val="00E329F7"/>
    <w:rsid w:val="00E60552"/>
    <w:rsid w:val="00E72CAE"/>
    <w:rsid w:val="00EA2048"/>
    <w:rsid w:val="00F72906"/>
    <w:rsid w:val="00FB33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3CADA"/>
  <w15:chartTrackingRefBased/>
  <w15:docId w15:val="{4BB02510-0032-464D-81E0-F1663E372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iPriority="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lsdException w:name="Light List Accent 2"/>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lsdException w:name="Dark List Accent 2" w:uiPriority="70"/>
    <w:lsdException w:name="Colorful Shading Accent 2" w:uiPriority="71"/>
    <w:lsdException w:name="Colorful List Accent 2" w:uiPriority="72"/>
    <w:lsdException w:name="Colorful Grid Accent 2" w:uiPriority="73"/>
    <w:lsdException w:name="Light Shading Accent 3"/>
    <w:lsdException w:name="Light List Accent 3"/>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lsdException w:name="Colorful Shading Accent 3" w:uiPriority="71"/>
    <w:lsdException w:name="Colorful List Accent 3" w:uiPriority="72"/>
    <w:lsdException w:name="Colorful Grid Accent 3" w:uiPriority="73"/>
    <w:lsdException w:name="Light Shading Accent 4" w:uiPriority="60"/>
    <w:lsdException w:name="Light List Accent 4"/>
    <w:lsdException w:name="Light Grid Accent 4" w:uiPriority="62"/>
    <w:lsdException w:name="Medium Shading 1 Accent 4"/>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lsdException w:name="Light List Accent 5" w:uiPriority="61"/>
    <w:lsdException w:name="Light Grid Accent 5" w:uiPriority="62"/>
    <w:lsdException w:name="Medium Shading 1 Accent 5"/>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lsdException w:name="Medium Shading 2 Accent 6"/>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9"/>
    <w:qFormat/>
    <w:rsid w:val="00F7290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9"/>
    <w:unhideWhenUsed/>
    <w:qFormat/>
    <w:rsid w:val="000355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9"/>
    <w:unhideWhenUsed/>
    <w:qFormat/>
    <w:rsid w:val="00B43A2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9"/>
    <w:unhideWhenUsed/>
    <w:qFormat/>
    <w:rsid w:val="00B43A2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aliases w:val="Briefing note heading"/>
    <w:basedOn w:val="Normal"/>
    <w:next w:val="Normal"/>
    <w:link w:val="Heading5Char"/>
    <w:uiPriority w:val="99"/>
    <w:qFormat/>
    <w:rsid w:val="00891A96"/>
    <w:pPr>
      <w:keepNext/>
      <w:keepLines/>
      <w:spacing w:before="200" w:after="0" w:line="240" w:lineRule="auto"/>
      <w:outlineLvl w:val="4"/>
    </w:pPr>
    <w:rPr>
      <w:rFonts w:ascii="Calibri Light" w:eastAsia="Times New Roman" w:hAnsi="Calibri Light" w:cs="Times New Roman"/>
      <w:color w:val="073662"/>
      <w:sz w:val="20"/>
      <w:szCs w:val="20"/>
    </w:rPr>
  </w:style>
  <w:style w:type="paragraph" w:styleId="Heading6">
    <w:name w:val="heading 6"/>
    <w:basedOn w:val="Normal"/>
    <w:next w:val="Normal"/>
    <w:link w:val="Heading6Char"/>
    <w:uiPriority w:val="99"/>
    <w:qFormat/>
    <w:rsid w:val="00891A96"/>
    <w:pPr>
      <w:keepNext/>
      <w:keepLines/>
      <w:spacing w:before="200" w:after="0" w:line="240" w:lineRule="auto"/>
      <w:outlineLvl w:val="5"/>
    </w:pPr>
    <w:rPr>
      <w:rFonts w:ascii="Calibri Light" w:eastAsia="Times New Roman" w:hAnsi="Calibri Light" w:cs="Times New Roman"/>
      <w:i/>
      <w:iCs/>
      <w:color w:val="073662"/>
      <w:sz w:val="20"/>
      <w:szCs w:val="20"/>
    </w:rPr>
  </w:style>
  <w:style w:type="paragraph" w:styleId="Heading7">
    <w:name w:val="heading 7"/>
    <w:basedOn w:val="Normal"/>
    <w:next w:val="Normal"/>
    <w:link w:val="Heading7Char"/>
    <w:uiPriority w:val="99"/>
    <w:qFormat/>
    <w:rsid w:val="00891A96"/>
    <w:pPr>
      <w:keepNext/>
      <w:keepLines/>
      <w:spacing w:before="200" w:after="0" w:line="240" w:lineRule="auto"/>
      <w:outlineLvl w:val="6"/>
    </w:pPr>
    <w:rPr>
      <w:rFonts w:ascii="Calibri Light" w:eastAsia="Times New Roman" w:hAnsi="Calibri Light" w:cs="Times New Roman"/>
      <w:i/>
      <w:iCs/>
      <w:color w:val="404040"/>
      <w:sz w:val="20"/>
      <w:szCs w:val="20"/>
    </w:rPr>
  </w:style>
  <w:style w:type="paragraph" w:styleId="Heading8">
    <w:name w:val="heading 8"/>
    <w:basedOn w:val="Normal"/>
    <w:next w:val="Normal"/>
    <w:link w:val="Heading8Char"/>
    <w:uiPriority w:val="99"/>
    <w:qFormat/>
    <w:rsid w:val="00891A96"/>
    <w:pPr>
      <w:keepNext/>
      <w:spacing w:after="0" w:line="240" w:lineRule="auto"/>
      <w:ind w:left="720"/>
      <w:jc w:val="both"/>
      <w:outlineLvl w:val="7"/>
    </w:pPr>
    <w:rPr>
      <w:rFonts w:ascii="Arial" w:eastAsia="Times New Roman" w:hAnsi="Arial" w:cs="Times New Roman"/>
      <w:b/>
      <w:sz w:val="24"/>
      <w:szCs w:val="20"/>
      <w:lang w:eastAsia="en-GB"/>
    </w:rPr>
  </w:style>
  <w:style w:type="paragraph" w:styleId="Heading9">
    <w:name w:val="heading 9"/>
    <w:basedOn w:val="Normal"/>
    <w:link w:val="Heading9Char"/>
    <w:uiPriority w:val="99"/>
    <w:qFormat/>
    <w:rsid w:val="00891A96"/>
    <w:pPr>
      <w:tabs>
        <w:tab w:val="num" w:pos="0"/>
      </w:tabs>
      <w:spacing w:before="240" w:after="60" w:line="280" w:lineRule="atLeast"/>
      <w:ind w:left="3600" w:hanging="720"/>
      <w:jc w:val="both"/>
      <w:outlineLvl w:val="8"/>
    </w:pPr>
    <w:rPr>
      <w:rFonts w:ascii="Arial" w:eastAsia="Times New Roman" w:hAnsi="Arial" w:cs="Arial"/>
      <w:b/>
      <w:iCs/>
      <w:color w:val="000000"/>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72906"/>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99"/>
    <w:unhideWhenUsed/>
    <w:qFormat/>
    <w:rsid w:val="00F72906"/>
    <w:pPr>
      <w:outlineLvl w:val="9"/>
    </w:pPr>
    <w:rPr>
      <w:lang w:val="en-US"/>
    </w:rPr>
  </w:style>
  <w:style w:type="paragraph" w:styleId="TOC1">
    <w:name w:val="toc 1"/>
    <w:basedOn w:val="Normal"/>
    <w:next w:val="Normal"/>
    <w:autoRedefine/>
    <w:uiPriority w:val="39"/>
    <w:unhideWhenUsed/>
    <w:rsid w:val="00F72906"/>
    <w:pPr>
      <w:spacing w:after="100"/>
    </w:pPr>
  </w:style>
  <w:style w:type="character" w:styleId="Hyperlink">
    <w:name w:val="Hyperlink"/>
    <w:basedOn w:val="DefaultParagraphFont"/>
    <w:uiPriority w:val="99"/>
    <w:unhideWhenUsed/>
    <w:rsid w:val="00F72906"/>
    <w:rPr>
      <w:color w:val="0563C1" w:themeColor="hyperlink"/>
      <w:u w:val="single"/>
    </w:rPr>
  </w:style>
  <w:style w:type="paragraph" w:customStyle="1" w:styleId="BodyB">
    <w:name w:val="Body B"/>
    <w:rsid w:val="00752FD4"/>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eastAsia="en-GB"/>
    </w:rPr>
  </w:style>
  <w:style w:type="paragraph" w:styleId="ListParagraph">
    <w:name w:val="List Paragraph"/>
    <w:aliases w:val="Red body text"/>
    <w:basedOn w:val="Normal"/>
    <w:uiPriority w:val="34"/>
    <w:qFormat/>
    <w:rsid w:val="00752FD4"/>
    <w:pPr>
      <w:ind w:left="720"/>
      <w:contextualSpacing/>
    </w:pPr>
  </w:style>
  <w:style w:type="table" w:styleId="TableGrid">
    <w:name w:val="Table Grid"/>
    <w:basedOn w:val="TableNormal"/>
    <w:uiPriority w:val="39"/>
    <w:rsid w:val="0076192C"/>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9"/>
    <w:rsid w:val="0003552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9"/>
    <w:rsid w:val="00B43A2F"/>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9"/>
    <w:rsid w:val="00B43A2F"/>
    <w:rPr>
      <w:rFonts w:asciiTheme="majorHAnsi" w:eastAsiaTheme="majorEastAsia" w:hAnsiTheme="majorHAnsi" w:cstheme="majorBidi"/>
      <w:i/>
      <w:iCs/>
      <w:color w:val="2E74B5" w:themeColor="accent1" w:themeShade="BF"/>
    </w:rPr>
  </w:style>
  <w:style w:type="table" w:customStyle="1" w:styleId="TableGrid2">
    <w:name w:val="Table Grid2"/>
    <w:uiPriority w:val="99"/>
    <w:rsid w:val="0000366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Table32">
    <w:name w:val="List Table 32"/>
    <w:basedOn w:val="TableNormal"/>
    <w:uiPriority w:val="48"/>
    <w:rsid w:val="0023590A"/>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eGridLight">
    <w:name w:val="Grid Table Light"/>
    <w:basedOn w:val="TableNormal"/>
    <w:uiPriority w:val="40"/>
    <w:rsid w:val="002525F7"/>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31">
    <w:name w:val="Table Grid31"/>
    <w:uiPriority w:val="99"/>
    <w:rsid w:val="002525F7"/>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27B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7B25"/>
  </w:style>
  <w:style w:type="paragraph" w:styleId="Footer">
    <w:name w:val="footer"/>
    <w:basedOn w:val="Normal"/>
    <w:link w:val="FooterChar"/>
    <w:uiPriority w:val="99"/>
    <w:unhideWhenUsed/>
    <w:rsid w:val="00D27B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7B25"/>
  </w:style>
  <w:style w:type="paragraph" w:styleId="TOC2">
    <w:name w:val="toc 2"/>
    <w:basedOn w:val="Normal"/>
    <w:next w:val="Normal"/>
    <w:autoRedefine/>
    <w:uiPriority w:val="39"/>
    <w:unhideWhenUsed/>
    <w:rsid w:val="00E60552"/>
    <w:pPr>
      <w:spacing w:after="100"/>
      <w:ind w:left="220"/>
    </w:pPr>
  </w:style>
  <w:style w:type="paragraph" w:styleId="TOC3">
    <w:name w:val="toc 3"/>
    <w:basedOn w:val="Normal"/>
    <w:next w:val="Normal"/>
    <w:autoRedefine/>
    <w:uiPriority w:val="39"/>
    <w:unhideWhenUsed/>
    <w:rsid w:val="00E60552"/>
    <w:pPr>
      <w:spacing w:after="100"/>
      <w:ind w:left="440"/>
    </w:pPr>
  </w:style>
  <w:style w:type="paragraph" w:styleId="TOC4">
    <w:name w:val="toc 4"/>
    <w:basedOn w:val="Normal"/>
    <w:next w:val="Normal"/>
    <w:autoRedefine/>
    <w:uiPriority w:val="99"/>
    <w:unhideWhenUsed/>
    <w:rsid w:val="00E60552"/>
    <w:pPr>
      <w:spacing w:after="100"/>
      <w:ind w:left="660"/>
    </w:pPr>
    <w:rPr>
      <w:rFonts w:eastAsiaTheme="minorEastAsia"/>
      <w:lang w:eastAsia="en-GB"/>
    </w:rPr>
  </w:style>
  <w:style w:type="paragraph" w:styleId="TOC5">
    <w:name w:val="toc 5"/>
    <w:basedOn w:val="Normal"/>
    <w:next w:val="Normal"/>
    <w:autoRedefine/>
    <w:uiPriority w:val="99"/>
    <w:unhideWhenUsed/>
    <w:rsid w:val="00E60552"/>
    <w:pPr>
      <w:spacing w:after="100"/>
      <w:ind w:left="880"/>
    </w:pPr>
    <w:rPr>
      <w:rFonts w:eastAsiaTheme="minorEastAsia"/>
      <w:lang w:eastAsia="en-GB"/>
    </w:rPr>
  </w:style>
  <w:style w:type="paragraph" w:styleId="TOC6">
    <w:name w:val="toc 6"/>
    <w:basedOn w:val="Normal"/>
    <w:next w:val="Normal"/>
    <w:autoRedefine/>
    <w:uiPriority w:val="99"/>
    <w:unhideWhenUsed/>
    <w:rsid w:val="00E60552"/>
    <w:pPr>
      <w:spacing w:after="100"/>
      <w:ind w:left="1100"/>
    </w:pPr>
    <w:rPr>
      <w:rFonts w:eastAsiaTheme="minorEastAsia"/>
      <w:lang w:eastAsia="en-GB"/>
    </w:rPr>
  </w:style>
  <w:style w:type="paragraph" w:styleId="TOC7">
    <w:name w:val="toc 7"/>
    <w:basedOn w:val="Normal"/>
    <w:next w:val="Normal"/>
    <w:autoRedefine/>
    <w:uiPriority w:val="99"/>
    <w:unhideWhenUsed/>
    <w:rsid w:val="00E60552"/>
    <w:pPr>
      <w:spacing w:after="100"/>
      <w:ind w:left="1320"/>
    </w:pPr>
    <w:rPr>
      <w:rFonts w:eastAsiaTheme="minorEastAsia"/>
      <w:lang w:eastAsia="en-GB"/>
    </w:rPr>
  </w:style>
  <w:style w:type="paragraph" w:styleId="TOC8">
    <w:name w:val="toc 8"/>
    <w:basedOn w:val="Normal"/>
    <w:next w:val="Normal"/>
    <w:autoRedefine/>
    <w:uiPriority w:val="99"/>
    <w:unhideWhenUsed/>
    <w:rsid w:val="00E60552"/>
    <w:pPr>
      <w:spacing w:after="100"/>
      <w:ind w:left="1540"/>
    </w:pPr>
    <w:rPr>
      <w:rFonts w:eastAsiaTheme="minorEastAsia"/>
      <w:lang w:eastAsia="en-GB"/>
    </w:rPr>
  </w:style>
  <w:style w:type="paragraph" w:styleId="TOC9">
    <w:name w:val="toc 9"/>
    <w:basedOn w:val="Normal"/>
    <w:next w:val="Normal"/>
    <w:autoRedefine/>
    <w:uiPriority w:val="99"/>
    <w:unhideWhenUsed/>
    <w:rsid w:val="00E60552"/>
    <w:pPr>
      <w:spacing w:after="100"/>
      <w:ind w:left="1760"/>
    </w:pPr>
    <w:rPr>
      <w:rFonts w:eastAsiaTheme="minorEastAsia"/>
      <w:lang w:eastAsia="en-GB"/>
    </w:rPr>
  </w:style>
  <w:style w:type="character" w:customStyle="1" w:styleId="Heading5Char">
    <w:name w:val="Heading 5 Char"/>
    <w:aliases w:val="Briefing note heading Char"/>
    <w:basedOn w:val="DefaultParagraphFont"/>
    <w:link w:val="Heading5"/>
    <w:uiPriority w:val="99"/>
    <w:rsid w:val="00891A96"/>
    <w:rPr>
      <w:rFonts w:ascii="Calibri Light" w:eastAsia="Times New Roman" w:hAnsi="Calibri Light" w:cs="Times New Roman"/>
      <w:color w:val="073662"/>
      <w:sz w:val="20"/>
      <w:szCs w:val="20"/>
    </w:rPr>
  </w:style>
  <w:style w:type="character" w:customStyle="1" w:styleId="Heading6Char">
    <w:name w:val="Heading 6 Char"/>
    <w:basedOn w:val="DefaultParagraphFont"/>
    <w:link w:val="Heading6"/>
    <w:uiPriority w:val="99"/>
    <w:rsid w:val="00891A96"/>
    <w:rPr>
      <w:rFonts w:ascii="Calibri Light" w:eastAsia="Times New Roman" w:hAnsi="Calibri Light" w:cs="Times New Roman"/>
      <w:i/>
      <w:iCs/>
      <w:color w:val="073662"/>
      <w:sz w:val="20"/>
      <w:szCs w:val="20"/>
    </w:rPr>
  </w:style>
  <w:style w:type="character" w:customStyle="1" w:styleId="Heading7Char">
    <w:name w:val="Heading 7 Char"/>
    <w:basedOn w:val="DefaultParagraphFont"/>
    <w:link w:val="Heading7"/>
    <w:uiPriority w:val="99"/>
    <w:rsid w:val="00891A96"/>
    <w:rPr>
      <w:rFonts w:ascii="Calibri Light" w:eastAsia="Times New Roman" w:hAnsi="Calibri Light" w:cs="Times New Roman"/>
      <w:i/>
      <w:iCs/>
      <w:color w:val="404040"/>
      <w:sz w:val="20"/>
      <w:szCs w:val="20"/>
    </w:rPr>
  </w:style>
  <w:style w:type="character" w:customStyle="1" w:styleId="Heading8Char">
    <w:name w:val="Heading 8 Char"/>
    <w:basedOn w:val="DefaultParagraphFont"/>
    <w:link w:val="Heading8"/>
    <w:uiPriority w:val="99"/>
    <w:rsid w:val="00891A96"/>
    <w:rPr>
      <w:rFonts w:ascii="Arial" w:eastAsia="Times New Roman" w:hAnsi="Arial" w:cs="Times New Roman"/>
      <w:b/>
      <w:sz w:val="24"/>
      <w:szCs w:val="20"/>
      <w:lang w:eastAsia="en-GB"/>
    </w:rPr>
  </w:style>
  <w:style w:type="character" w:customStyle="1" w:styleId="Heading9Char">
    <w:name w:val="Heading 9 Char"/>
    <w:basedOn w:val="DefaultParagraphFont"/>
    <w:link w:val="Heading9"/>
    <w:uiPriority w:val="99"/>
    <w:rsid w:val="00891A96"/>
    <w:rPr>
      <w:rFonts w:ascii="Arial" w:eastAsia="Times New Roman" w:hAnsi="Arial" w:cs="Arial"/>
      <w:b/>
      <w:iCs/>
      <w:color w:val="000000"/>
      <w:sz w:val="20"/>
      <w:szCs w:val="20"/>
      <w:lang w:eastAsia="en-GB"/>
    </w:rPr>
  </w:style>
  <w:style w:type="paragraph" w:styleId="NoSpacing">
    <w:name w:val="No Spacing"/>
    <w:link w:val="NoSpacingChar"/>
    <w:uiPriority w:val="99"/>
    <w:qFormat/>
    <w:rsid w:val="00891A96"/>
    <w:pPr>
      <w:spacing w:after="0" w:line="240" w:lineRule="auto"/>
    </w:pPr>
    <w:rPr>
      <w:rFonts w:ascii="Calibri" w:eastAsia="Times New Roman" w:hAnsi="Calibri" w:cs="Times New Roman"/>
      <w:lang w:val="en-US" w:eastAsia="zh-CN"/>
    </w:rPr>
  </w:style>
  <w:style w:type="character" w:customStyle="1" w:styleId="NoSpacingChar">
    <w:name w:val="No Spacing Char"/>
    <w:basedOn w:val="DefaultParagraphFont"/>
    <w:link w:val="NoSpacing"/>
    <w:uiPriority w:val="99"/>
    <w:locked/>
    <w:rsid w:val="00891A96"/>
    <w:rPr>
      <w:rFonts w:ascii="Calibri" w:eastAsia="Times New Roman" w:hAnsi="Calibri" w:cs="Times New Roman"/>
      <w:lang w:val="en-US" w:eastAsia="zh-CN"/>
    </w:rPr>
  </w:style>
  <w:style w:type="character" w:styleId="PageNumber">
    <w:name w:val="page number"/>
    <w:basedOn w:val="DefaultParagraphFont"/>
    <w:uiPriority w:val="99"/>
    <w:rsid w:val="00891A96"/>
    <w:rPr>
      <w:rFonts w:cs="Times New Roman"/>
    </w:rPr>
  </w:style>
  <w:style w:type="paragraph" w:customStyle="1" w:styleId="Sectionheading">
    <w:name w:val="Section heading"/>
    <w:basedOn w:val="Normal"/>
    <w:uiPriority w:val="99"/>
    <w:rsid w:val="00891A96"/>
    <w:pPr>
      <w:spacing w:after="0" w:line="240" w:lineRule="auto"/>
    </w:pPr>
    <w:rPr>
      <w:rFonts w:ascii="Segoe UI Light" w:eastAsia="Times New Roman" w:hAnsi="Segoe UI Light" w:cs="Segoe UI Light"/>
      <w:sz w:val="72"/>
      <w:szCs w:val="72"/>
      <w:lang w:val="en-US" w:eastAsia="zh-TW"/>
    </w:rPr>
  </w:style>
  <w:style w:type="paragraph" w:customStyle="1" w:styleId="Contents">
    <w:name w:val="Contents"/>
    <w:basedOn w:val="Normal"/>
    <w:uiPriority w:val="99"/>
    <w:rsid w:val="00891A96"/>
    <w:pPr>
      <w:widowControl w:val="0"/>
      <w:tabs>
        <w:tab w:val="left" w:pos="426"/>
        <w:tab w:val="left" w:pos="8080"/>
      </w:tabs>
      <w:autoSpaceDE w:val="0"/>
      <w:autoSpaceDN w:val="0"/>
      <w:adjustRightInd w:val="0"/>
      <w:snapToGrid w:val="0"/>
      <w:spacing w:after="0" w:line="16" w:lineRule="atLeast"/>
    </w:pPr>
    <w:rPr>
      <w:rFonts w:ascii="Segoe UI" w:eastAsia="Times New Roman" w:hAnsi="Segoe UI" w:cs="Segoe UI"/>
      <w:lang w:val="en-US" w:eastAsia="zh-TW"/>
    </w:rPr>
  </w:style>
  <w:style w:type="paragraph" w:customStyle="1" w:styleId="Contentspagenumber">
    <w:name w:val="Contents page number"/>
    <w:basedOn w:val="Normal"/>
    <w:uiPriority w:val="99"/>
    <w:rsid w:val="00891A96"/>
    <w:pPr>
      <w:widowControl w:val="0"/>
      <w:tabs>
        <w:tab w:val="left" w:pos="1139"/>
        <w:tab w:val="left" w:pos="8080"/>
      </w:tabs>
      <w:autoSpaceDE w:val="0"/>
      <w:autoSpaceDN w:val="0"/>
      <w:adjustRightInd w:val="0"/>
      <w:snapToGrid w:val="0"/>
      <w:spacing w:after="0" w:line="16" w:lineRule="atLeast"/>
    </w:pPr>
    <w:rPr>
      <w:rFonts w:ascii="Segoe UI" w:eastAsia="Times New Roman" w:hAnsi="Segoe UI" w:cs="Segoe UI"/>
      <w:b/>
      <w:bCs/>
      <w:color w:val="FF0000"/>
      <w:lang w:val="en-US" w:eastAsia="zh-TW"/>
    </w:rPr>
  </w:style>
  <w:style w:type="paragraph" w:customStyle="1" w:styleId="Textheadings">
    <w:name w:val="Text headings"/>
    <w:basedOn w:val="Normal"/>
    <w:uiPriority w:val="99"/>
    <w:rsid w:val="00891A96"/>
    <w:pPr>
      <w:widowControl w:val="0"/>
      <w:autoSpaceDE w:val="0"/>
      <w:autoSpaceDN w:val="0"/>
      <w:adjustRightInd w:val="0"/>
      <w:spacing w:after="0" w:line="240" w:lineRule="auto"/>
    </w:pPr>
    <w:rPr>
      <w:rFonts w:ascii="Segoe UI" w:eastAsia="Times New Roman" w:hAnsi="Segoe UI" w:cs="Segoe UI"/>
      <w:b/>
      <w:bCs/>
      <w:color w:val="FF0000"/>
      <w:lang w:val="en-US" w:eastAsia="zh-TW"/>
    </w:rPr>
  </w:style>
  <w:style w:type="paragraph" w:customStyle="1" w:styleId="Tableheading11pt">
    <w:name w:val="Table heading 11pt"/>
    <w:basedOn w:val="Normal"/>
    <w:uiPriority w:val="99"/>
    <w:rsid w:val="00891A96"/>
    <w:pPr>
      <w:tabs>
        <w:tab w:val="left" w:pos="2835"/>
      </w:tabs>
      <w:spacing w:after="0" w:line="240" w:lineRule="auto"/>
      <w:jc w:val="center"/>
    </w:pPr>
    <w:rPr>
      <w:rFonts w:ascii="Segoe UI" w:eastAsia="Times New Roman" w:hAnsi="Segoe UI" w:cs="Segoe UI"/>
      <w:b/>
      <w:bCs/>
      <w:color w:val="FFFFFF"/>
      <w:lang w:val="en-US" w:eastAsia="zh-TW"/>
    </w:rPr>
  </w:style>
  <w:style w:type="paragraph" w:customStyle="1" w:styleId="Tabletext11">
    <w:name w:val="Table text 11"/>
    <w:basedOn w:val="Normal"/>
    <w:uiPriority w:val="99"/>
    <w:rsid w:val="00891A96"/>
    <w:pPr>
      <w:tabs>
        <w:tab w:val="left" w:pos="2835"/>
      </w:tabs>
      <w:spacing w:after="0" w:line="240" w:lineRule="auto"/>
    </w:pPr>
    <w:rPr>
      <w:rFonts w:ascii="Segoe UI" w:eastAsia="Times New Roman" w:hAnsi="Segoe UI" w:cs="Segoe UI"/>
      <w:color w:val="FFFFFF"/>
      <w:lang w:val="en-US" w:eastAsia="zh-TW"/>
    </w:rPr>
  </w:style>
  <w:style w:type="paragraph" w:customStyle="1" w:styleId="RLtableheading10pt">
    <w:name w:val="R/L table heading 10pt"/>
    <w:basedOn w:val="Normal"/>
    <w:uiPriority w:val="99"/>
    <w:rsid w:val="00891A96"/>
    <w:pPr>
      <w:spacing w:after="0" w:line="240" w:lineRule="auto"/>
    </w:pPr>
    <w:rPr>
      <w:rFonts w:ascii="Segoe UI" w:eastAsia="Times New Roman" w:hAnsi="Segoe UI" w:cs="Segoe UI"/>
      <w:b/>
      <w:bCs/>
      <w:color w:val="FFFFFF"/>
      <w:spacing w:val="-12"/>
      <w:kern w:val="13"/>
      <w:sz w:val="20"/>
      <w:szCs w:val="20"/>
      <w:lang w:val="en-US" w:eastAsia="zh-TW"/>
    </w:rPr>
  </w:style>
  <w:style w:type="paragraph" w:customStyle="1" w:styleId="TabletextRL10pt">
    <w:name w:val="Table text R/L 10 pt"/>
    <w:basedOn w:val="Normal"/>
    <w:uiPriority w:val="99"/>
    <w:rsid w:val="00891A96"/>
    <w:pPr>
      <w:widowControl w:val="0"/>
      <w:autoSpaceDE w:val="0"/>
      <w:autoSpaceDN w:val="0"/>
      <w:adjustRightInd w:val="0"/>
      <w:spacing w:after="0" w:line="240" w:lineRule="auto"/>
    </w:pPr>
    <w:rPr>
      <w:rFonts w:ascii="Segoe UI" w:eastAsia="Times New Roman" w:hAnsi="Segoe UI" w:cs="Segoe UI"/>
      <w:spacing w:val="-12"/>
      <w:kern w:val="13"/>
      <w:sz w:val="20"/>
      <w:szCs w:val="20"/>
      <w:lang w:val="en-US" w:eastAsia="zh-TW"/>
    </w:rPr>
  </w:style>
  <w:style w:type="paragraph" w:customStyle="1" w:styleId="Indexbold">
    <w:name w:val="Index bold"/>
    <w:basedOn w:val="Normal"/>
    <w:uiPriority w:val="99"/>
    <w:rsid w:val="00891A96"/>
    <w:pPr>
      <w:widowControl w:val="0"/>
      <w:tabs>
        <w:tab w:val="left" w:pos="1139"/>
        <w:tab w:val="left" w:pos="8080"/>
      </w:tabs>
      <w:autoSpaceDE w:val="0"/>
      <w:autoSpaceDN w:val="0"/>
      <w:adjustRightInd w:val="0"/>
      <w:snapToGrid w:val="0"/>
      <w:spacing w:after="0" w:line="16" w:lineRule="atLeast"/>
    </w:pPr>
    <w:rPr>
      <w:rFonts w:ascii="Segoe UI" w:eastAsia="Times New Roman" w:hAnsi="Segoe UI" w:cs="Segoe UI"/>
      <w:b/>
      <w:bCs/>
      <w:lang w:val="en-US" w:eastAsia="zh-TW"/>
    </w:rPr>
  </w:style>
  <w:style w:type="paragraph" w:customStyle="1" w:styleId="Indexnormal">
    <w:name w:val="Index normal"/>
    <w:basedOn w:val="Normal"/>
    <w:uiPriority w:val="99"/>
    <w:rsid w:val="00891A96"/>
    <w:pPr>
      <w:widowControl w:val="0"/>
      <w:autoSpaceDE w:val="0"/>
      <w:autoSpaceDN w:val="0"/>
      <w:adjustRightInd w:val="0"/>
      <w:spacing w:after="0" w:line="240" w:lineRule="auto"/>
    </w:pPr>
    <w:rPr>
      <w:rFonts w:ascii="Segoe UI" w:eastAsia="Times New Roman" w:hAnsi="Segoe UI" w:cs="Segoe UI"/>
      <w:lang w:val="en-US" w:eastAsia="zh-TW"/>
    </w:rPr>
  </w:style>
  <w:style w:type="paragraph" w:customStyle="1" w:styleId="SectionHeading0">
    <w:name w:val="Section Heading"/>
    <w:basedOn w:val="Normal"/>
    <w:uiPriority w:val="99"/>
    <w:rsid w:val="00891A96"/>
    <w:pPr>
      <w:spacing w:after="0" w:line="240" w:lineRule="auto"/>
      <w:outlineLvl w:val="0"/>
    </w:pPr>
    <w:rPr>
      <w:rFonts w:ascii="Segoe UI Light" w:eastAsia="Times New Roman" w:hAnsi="Segoe UI Light" w:cs="Segoe UI Light"/>
      <w:sz w:val="72"/>
      <w:szCs w:val="72"/>
      <w:lang w:val="en-US" w:eastAsia="zh-TW"/>
    </w:rPr>
  </w:style>
  <w:style w:type="paragraph" w:customStyle="1" w:styleId="BodyText1">
    <w:name w:val="Body Text1"/>
    <w:basedOn w:val="Normal"/>
    <w:link w:val="BodytextChar"/>
    <w:uiPriority w:val="99"/>
    <w:rsid w:val="00891A96"/>
    <w:pPr>
      <w:widowControl w:val="0"/>
      <w:autoSpaceDE w:val="0"/>
      <w:autoSpaceDN w:val="0"/>
      <w:adjustRightInd w:val="0"/>
      <w:spacing w:after="0" w:line="240" w:lineRule="auto"/>
    </w:pPr>
    <w:rPr>
      <w:rFonts w:ascii="Segoe UI" w:eastAsia="Times New Roman" w:hAnsi="Segoe UI" w:cs="Times New Roman"/>
      <w:lang w:eastAsia="en-GB"/>
    </w:rPr>
  </w:style>
  <w:style w:type="paragraph" w:customStyle="1" w:styleId="Tablebold">
    <w:name w:val="Table bold"/>
    <w:basedOn w:val="Normal"/>
    <w:uiPriority w:val="99"/>
    <w:rsid w:val="00891A96"/>
    <w:pPr>
      <w:tabs>
        <w:tab w:val="left" w:pos="2835"/>
      </w:tabs>
      <w:spacing w:after="0" w:line="240" w:lineRule="auto"/>
      <w:jc w:val="center"/>
    </w:pPr>
    <w:rPr>
      <w:rFonts w:ascii="Segoe UI" w:eastAsia="Times New Roman" w:hAnsi="Segoe UI" w:cs="Segoe UI"/>
      <w:b/>
      <w:bCs/>
      <w:color w:val="FFFFFF"/>
      <w:lang w:val="en-US" w:eastAsia="zh-TW"/>
    </w:rPr>
  </w:style>
  <w:style w:type="paragraph" w:customStyle="1" w:styleId="TableBoldRL">
    <w:name w:val="Table Bold R/L"/>
    <w:basedOn w:val="Normal"/>
    <w:uiPriority w:val="99"/>
    <w:rsid w:val="00891A96"/>
    <w:pPr>
      <w:spacing w:after="0" w:line="240" w:lineRule="auto"/>
    </w:pPr>
    <w:rPr>
      <w:rFonts w:ascii="Segoe UI" w:eastAsia="Times New Roman" w:hAnsi="Segoe UI" w:cs="Segoe UI"/>
      <w:b/>
      <w:bCs/>
      <w:color w:val="0070C0"/>
      <w:lang w:val="en-US" w:eastAsia="zh-TW"/>
    </w:rPr>
  </w:style>
  <w:style w:type="paragraph" w:customStyle="1" w:styleId="TabletextRL">
    <w:name w:val="Table text R/L"/>
    <w:basedOn w:val="Normal"/>
    <w:uiPriority w:val="99"/>
    <w:rsid w:val="00891A96"/>
    <w:pPr>
      <w:spacing w:after="0" w:line="240" w:lineRule="auto"/>
    </w:pPr>
    <w:rPr>
      <w:rFonts w:ascii="Segoe UI" w:eastAsia="Times New Roman" w:hAnsi="Segoe UI" w:cs="Segoe UI"/>
      <w:color w:val="FFFFFF"/>
      <w:lang w:val="en-US" w:eastAsia="zh-TW"/>
    </w:rPr>
  </w:style>
  <w:style w:type="paragraph" w:customStyle="1" w:styleId="TableHeadingsmallRL">
    <w:name w:val="Table Heading small R/L"/>
    <w:basedOn w:val="Normal"/>
    <w:uiPriority w:val="99"/>
    <w:rsid w:val="00891A96"/>
    <w:pPr>
      <w:spacing w:after="0" w:line="240" w:lineRule="auto"/>
    </w:pPr>
    <w:rPr>
      <w:rFonts w:ascii="Segoe UI" w:eastAsia="Times New Roman" w:hAnsi="Segoe UI" w:cs="Segoe UI"/>
      <w:b/>
      <w:bCs/>
      <w:color w:val="FFFFFF"/>
      <w:spacing w:val="-12"/>
      <w:kern w:val="13"/>
      <w:sz w:val="20"/>
      <w:szCs w:val="20"/>
      <w:lang w:val="en-US" w:eastAsia="zh-TW"/>
    </w:rPr>
  </w:style>
  <w:style w:type="paragraph" w:customStyle="1" w:styleId="TabletextsmallRL">
    <w:name w:val="Table text small R/L"/>
    <w:basedOn w:val="Normal"/>
    <w:uiPriority w:val="99"/>
    <w:rsid w:val="00891A96"/>
    <w:pPr>
      <w:widowControl w:val="0"/>
      <w:autoSpaceDE w:val="0"/>
      <w:autoSpaceDN w:val="0"/>
      <w:adjustRightInd w:val="0"/>
      <w:spacing w:after="0" w:line="240" w:lineRule="auto"/>
    </w:pPr>
    <w:rPr>
      <w:rFonts w:ascii="Segoe UI" w:eastAsia="Times New Roman" w:hAnsi="Segoe UI" w:cs="Segoe UI"/>
      <w:spacing w:val="-12"/>
      <w:kern w:val="13"/>
      <w:sz w:val="20"/>
      <w:szCs w:val="20"/>
      <w:lang w:val="en-US" w:eastAsia="zh-TW"/>
    </w:rPr>
  </w:style>
  <w:style w:type="paragraph" w:customStyle="1" w:styleId="TabletextboldRL">
    <w:name w:val="Table text bold R/L"/>
    <w:basedOn w:val="Normal"/>
    <w:uiPriority w:val="99"/>
    <w:rsid w:val="00891A96"/>
    <w:pPr>
      <w:spacing w:after="0" w:line="240" w:lineRule="auto"/>
    </w:pPr>
    <w:rPr>
      <w:rFonts w:ascii="Segoe UI" w:eastAsia="Times New Roman" w:hAnsi="Segoe UI" w:cs="Segoe UI"/>
      <w:b/>
      <w:bCs/>
      <w:sz w:val="20"/>
      <w:szCs w:val="20"/>
      <w:lang w:val="en-US" w:eastAsia="zh-TW"/>
    </w:rPr>
  </w:style>
  <w:style w:type="paragraph" w:customStyle="1" w:styleId="Bodytextbold">
    <w:name w:val="Body text bold"/>
    <w:basedOn w:val="ListParagraph"/>
    <w:uiPriority w:val="99"/>
    <w:rsid w:val="00891A96"/>
    <w:pPr>
      <w:widowControl w:val="0"/>
      <w:numPr>
        <w:numId w:val="3"/>
      </w:numPr>
      <w:autoSpaceDE w:val="0"/>
      <w:autoSpaceDN w:val="0"/>
      <w:adjustRightInd w:val="0"/>
      <w:spacing w:after="0" w:line="240" w:lineRule="auto"/>
    </w:pPr>
    <w:rPr>
      <w:rFonts w:ascii="Segoe UI" w:eastAsia="Times New Roman" w:hAnsi="Segoe UI" w:cs="Segoe UI"/>
      <w:b/>
      <w:bCs/>
      <w:color w:val="FF0000"/>
      <w:lang w:val="en-US" w:eastAsia="zh-TW"/>
    </w:rPr>
  </w:style>
  <w:style w:type="character" w:customStyle="1" w:styleId="Style1">
    <w:name w:val="Style1"/>
    <w:basedOn w:val="DefaultParagraphFont"/>
    <w:uiPriority w:val="99"/>
    <w:rsid w:val="00891A96"/>
    <w:rPr>
      <w:rFonts w:ascii="Segoe UI" w:hAnsi="Segoe UI" w:cs="Segoe UI"/>
      <w:b/>
      <w:bCs/>
      <w:color w:val="FF0000"/>
      <w:sz w:val="22"/>
      <w:szCs w:val="22"/>
    </w:rPr>
  </w:style>
  <w:style w:type="character" w:customStyle="1" w:styleId="Redbodytext2">
    <w:name w:val="Red body text 2"/>
    <w:basedOn w:val="DefaultParagraphFont"/>
    <w:uiPriority w:val="99"/>
    <w:rsid w:val="00891A96"/>
    <w:rPr>
      <w:rFonts w:ascii="Segoe UI" w:hAnsi="Segoe UI" w:cs="Segoe UI"/>
      <w:b/>
      <w:bCs/>
      <w:color w:val="FF0000"/>
      <w:sz w:val="22"/>
      <w:szCs w:val="22"/>
    </w:rPr>
  </w:style>
  <w:style w:type="character" w:customStyle="1" w:styleId="ContentsPagenumber0">
    <w:name w:val="Contents Page number"/>
    <w:basedOn w:val="DefaultParagraphFont"/>
    <w:uiPriority w:val="99"/>
    <w:rsid w:val="00891A96"/>
    <w:rPr>
      <w:rFonts w:cs="Times New Roman"/>
      <w:color w:val="FF0000"/>
    </w:rPr>
  </w:style>
  <w:style w:type="character" w:customStyle="1" w:styleId="Contentspagenumber2">
    <w:name w:val="Contents page number 2"/>
    <w:basedOn w:val="ContentsPagenumber0"/>
    <w:uiPriority w:val="99"/>
    <w:rsid w:val="00891A96"/>
    <w:rPr>
      <w:rFonts w:ascii="Segoe UI" w:hAnsi="Segoe UI" w:cs="Times New Roman"/>
      <w:b/>
      <w:color w:val="FF0000"/>
      <w:sz w:val="22"/>
    </w:rPr>
  </w:style>
  <w:style w:type="character" w:customStyle="1" w:styleId="Style2">
    <w:name w:val="Style2"/>
    <w:basedOn w:val="DefaultParagraphFont"/>
    <w:uiPriority w:val="99"/>
    <w:rsid w:val="00891A96"/>
    <w:rPr>
      <w:rFonts w:ascii="Segoe UI" w:hAnsi="Segoe UI" w:cs="Segoe UI"/>
      <w:sz w:val="22"/>
      <w:szCs w:val="22"/>
    </w:rPr>
  </w:style>
  <w:style w:type="character" w:customStyle="1" w:styleId="Indenttextnormal">
    <w:name w:val="Indent text normal"/>
    <w:basedOn w:val="DefaultParagraphFont"/>
    <w:uiPriority w:val="99"/>
    <w:rsid w:val="00891A96"/>
    <w:rPr>
      <w:rFonts w:ascii="Segoe UI" w:hAnsi="Segoe UI" w:cs="Segoe UI"/>
      <w:sz w:val="22"/>
      <w:szCs w:val="22"/>
    </w:rPr>
  </w:style>
  <w:style w:type="character" w:customStyle="1" w:styleId="Tabletextcentred">
    <w:name w:val="Table text centred"/>
    <w:basedOn w:val="DefaultParagraphFont"/>
    <w:uiPriority w:val="99"/>
    <w:rsid w:val="00891A96"/>
    <w:rPr>
      <w:rFonts w:ascii="Segoe UI" w:hAnsi="Segoe UI" w:cs="Segoe UI"/>
      <w:color w:val="0070C0"/>
      <w:sz w:val="22"/>
      <w:szCs w:val="22"/>
    </w:rPr>
  </w:style>
  <w:style w:type="character" w:customStyle="1" w:styleId="Tabletextsmall">
    <w:name w:val="Table text small"/>
    <w:basedOn w:val="DefaultParagraphFont"/>
    <w:uiPriority w:val="99"/>
    <w:rsid w:val="00891A96"/>
    <w:rPr>
      <w:rFonts w:ascii="Segoe UI" w:hAnsi="Segoe UI" w:cs="Segoe UI"/>
      <w:spacing w:val="-12"/>
      <w:kern w:val="13"/>
      <w:sz w:val="20"/>
      <w:szCs w:val="20"/>
    </w:rPr>
  </w:style>
  <w:style w:type="paragraph" w:customStyle="1" w:styleId="Tabletextsmall2">
    <w:name w:val="Table text small 2"/>
    <w:basedOn w:val="Normal"/>
    <w:uiPriority w:val="99"/>
    <w:rsid w:val="00891A96"/>
    <w:pPr>
      <w:widowControl w:val="0"/>
      <w:autoSpaceDE w:val="0"/>
      <w:autoSpaceDN w:val="0"/>
      <w:adjustRightInd w:val="0"/>
      <w:spacing w:after="0" w:line="240" w:lineRule="auto"/>
    </w:pPr>
    <w:rPr>
      <w:rFonts w:ascii="Segoe UI" w:eastAsia="Times New Roman" w:hAnsi="Segoe UI" w:cs="Segoe UI"/>
      <w:spacing w:val="-12"/>
      <w:kern w:val="20"/>
      <w:sz w:val="20"/>
      <w:szCs w:val="20"/>
      <w:lang w:val="en-US" w:eastAsia="zh-TW"/>
    </w:rPr>
  </w:style>
  <w:style w:type="paragraph" w:customStyle="1" w:styleId="TabletextsmallBold">
    <w:name w:val="Table text small Bold"/>
    <w:basedOn w:val="Normal"/>
    <w:uiPriority w:val="99"/>
    <w:rsid w:val="00891A96"/>
    <w:pPr>
      <w:widowControl w:val="0"/>
      <w:autoSpaceDE w:val="0"/>
      <w:autoSpaceDN w:val="0"/>
      <w:adjustRightInd w:val="0"/>
      <w:spacing w:after="0" w:line="240" w:lineRule="auto"/>
    </w:pPr>
    <w:rPr>
      <w:rFonts w:ascii="Segoe UI" w:eastAsia="Times New Roman" w:hAnsi="Segoe UI" w:cs="Segoe UI"/>
      <w:b/>
      <w:bCs/>
      <w:sz w:val="20"/>
      <w:szCs w:val="20"/>
      <w:lang w:val="en-US" w:eastAsia="zh-TW"/>
    </w:rPr>
  </w:style>
  <w:style w:type="paragraph" w:styleId="BodyText">
    <w:name w:val="Body Text"/>
    <w:basedOn w:val="Normal"/>
    <w:link w:val="BodyTextChar0"/>
    <w:uiPriority w:val="99"/>
    <w:rsid w:val="00891A96"/>
    <w:pPr>
      <w:spacing w:after="0" w:line="240" w:lineRule="auto"/>
      <w:ind w:right="50"/>
      <w:jc w:val="both"/>
    </w:pPr>
    <w:rPr>
      <w:rFonts w:ascii="Times New Roman" w:eastAsia="Times New Roman" w:hAnsi="Times New Roman" w:cs="Times New Roman"/>
      <w:sz w:val="24"/>
      <w:szCs w:val="20"/>
      <w:lang w:val="en-US" w:eastAsia="en-GB"/>
    </w:rPr>
  </w:style>
  <w:style w:type="character" w:customStyle="1" w:styleId="BodyTextChar0">
    <w:name w:val="Body Text Char"/>
    <w:basedOn w:val="DefaultParagraphFont"/>
    <w:link w:val="BodyText"/>
    <w:uiPriority w:val="99"/>
    <w:rsid w:val="00891A96"/>
    <w:rPr>
      <w:rFonts w:ascii="Times New Roman" w:eastAsia="Times New Roman" w:hAnsi="Times New Roman" w:cs="Times New Roman"/>
      <w:sz w:val="24"/>
      <w:szCs w:val="20"/>
      <w:lang w:val="en-US" w:eastAsia="en-GB"/>
    </w:rPr>
  </w:style>
  <w:style w:type="paragraph" w:customStyle="1" w:styleId="Body">
    <w:name w:val="Body"/>
    <w:uiPriority w:val="99"/>
    <w:rsid w:val="00891A96"/>
    <w:pPr>
      <w:pBdr>
        <w:top w:val="none" w:sz="96" w:space="31" w:color="FFFFFF" w:frame="1"/>
        <w:left w:val="none" w:sz="96" w:space="31" w:color="FFFFFF" w:frame="1"/>
        <w:bottom w:val="none" w:sz="96" w:space="31" w:color="FFFFFF" w:frame="1"/>
        <w:right w:val="none" w:sz="96" w:space="31" w:color="FFFFFF" w:frame="1"/>
        <w:bar w:val="none" w:sz="0" w:color="000000"/>
      </w:pBdr>
      <w:spacing w:after="200" w:line="276" w:lineRule="auto"/>
    </w:pPr>
    <w:rPr>
      <w:rFonts w:ascii="Calibri" w:eastAsia="Times New Roman" w:hAnsi="Calibri" w:cs="Calibri"/>
      <w:color w:val="000000"/>
      <w:u w:color="000000"/>
      <w:lang w:val="en-US" w:eastAsia="en-GB"/>
    </w:rPr>
  </w:style>
  <w:style w:type="paragraph" w:styleId="BalloonText">
    <w:name w:val="Balloon Text"/>
    <w:basedOn w:val="Normal"/>
    <w:link w:val="BalloonTextChar"/>
    <w:uiPriority w:val="99"/>
    <w:rsid w:val="00891A96"/>
    <w:pPr>
      <w:spacing w:after="0" w:line="240" w:lineRule="auto"/>
    </w:pPr>
    <w:rPr>
      <w:rFonts w:ascii="Segoe UI" w:eastAsia="Times New Roman" w:hAnsi="Segoe UI" w:cs="Segoe UI"/>
      <w:sz w:val="18"/>
      <w:szCs w:val="18"/>
      <w:lang w:val="en-US" w:eastAsia="zh-TW"/>
    </w:rPr>
  </w:style>
  <w:style w:type="character" w:customStyle="1" w:styleId="BalloonTextChar">
    <w:name w:val="Balloon Text Char"/>
    <w:basedOn w:val="DefaultParagraphFont"/>
    <w:link w:val="BalloonText"/>
    <w:uiPriority w:val="99"/>
    <w:rsid w:val="00891A96"/>
    <w:rPr>
      <w:rFonts w:ascii="Segoe UI" w:eastAsia="Times New Roman" w:hAnsi="Segoe UI" w:cs="Segoe UI"/>
      <w:sz w:val="18"/>
      <w:szCs w:val="18"/>
      <w:lang w:val="en-US" w:eastAsia="zh-TW"/>
    </w:rPr>
  </w:style>
  <w:style w:type="character" w:styleId="CommentReference">
    <w:name w:val="annotation reference"/>
    <w:basedOn w:val="DefaultParagraphFont"/>
    <w:uiPriority w:val="99"/>
    <w:rsid w:val="00891A96"/>
    <w:rPr>
      <w:rFonts w:cs="Times New Roman"/>
      <w:sz w:val="16"/>
      <w:szCs w:val="16"/>
    </w:rPr>
  </w:style>
  <w:style w:type="paragraph" w:styleId="CommentText">
    <w:name w:val="annotation text"/>
    <w:basedOn w:val="Normal"/>
    <w:link w:val="CommentTextChar"/>
    <w:uiPriority w:val="99"/>
    <w:rsid w:val="00891A96"/>
    <w:pPr>
      <w:spacing w:after="0" w:line="240" w:lineRule="auto"/>
    </w:pPr>
    <w:rPr>
      <w:rFonts w:ascii="Calibri" w:eastAsia="Times New Roman" w:hAnsi="Calibri" w:cs="Times New Roman"/>
      <w:sz w:val="20"/>
      <w:szCs w:val="20"/>
      <w:lang w:val="en-US" w:eastAsia="zh-TW"/>
    </w:rPr>
  </w:style>
  <w:style w:type="character" w:customStyle="1" w:styleId="CommentTextChar">
    <w:name w:val="Comment Text Char"/>
    <w:basedOn w:val="DefaultParagraphFont"/>
    <w:link w:val="CommentText"/>
    <w:uiPriority w:val="99"/>
    <w:rsid w:val="00891A96"/>
    <w:rPr>
      <w:rFonts w:ascii="Calibri" w:eastAsia="Times New Roman" w:hAnsi="Calibri" w:cs="Times New Roman"/>
      <w:sz w:val="20"/>
      <w:szCs w:val="20"/>
      <w:lang w:val="en-US" w:eastAsia="zh-TW"/>
    </w:rPr>
  </w:style>
  <w:style w:type="paragraph" w:styleId="CommentSubject">
    <w:name w:val="annotation subject"/>
    <w:basedOn w:val="CommentText"/>
    <w:next w:val="CommentText"/>
    <w:link w:val="CommentSubjectChar"/>
    <w:uiPriority w:val="99"/>
    <w:rsid w:val="00891A96"/>
    <w:rPr>
      <w:b/>
      <w:bCs/>
    </w:rPr>
  </w:style>
  <w:style w:type="character" w:customStyle="1" w:styleId="CommentSubjectChar">
    <w:name w:val="Comment Subject Char"/>
    <w:basedOn w:val="CommentTextChar"/>
    <w:link w:val="CommentSubject"/>
    <w:uiPriority w:val="99"/>
    <w:rsid w:val="00891A96"/>
    <w:rPr>
      <w:rFonts w:ascii="Calibri" w:eastAsia="Times New Roman" w:hAnsi="Calibri" w:cs="Times New Roman"/>
      <w:b/>
      <w:bCs/>
      <w:sz w:val="20"/>
      <w:szCs w:val="20"/>
      <w:lang w:val="en-US" w:eastAsia="zh-TW"/>
    </w:rPr>
  </w:style>
  <w:style w:type="paragraph" w:customStyle="1" w:styleId="PlainTableHead">
    <w:name w:val="Plain Table Head"/>
    <w:basedOn w:val="Normal"/>
    <w:uiPriority w:val="99"/>
    <w:rsid w:val="00891A96"/>
    <w:pPr>
      <w:keepNext/>
      <w:overflowPunct w:val="0"/>
      <w:autoSpaceDE w:val="0"/>
      <w:autoSpaceDN w:val="0"/>
      <w:adjustRightInd w:val="0"/>
      <w:spacing w:before="60" w:after="60" w:line="240" w:lineRule="auto"/>
      <w:textAlignment w:val="baseline"/>
    </w:pPr>
    <w:rPr>
      <w:rFonts w:ascii="Arial" w:eastAsia="Times New Roman" w:hAnsi="Arial" w:cs="Times New Roman"/>
      <w:b/>
      <w:color w:val="263C6B"/>
      <w:sz w:val="20"/>
      <w:szCs w:val="20"/>
      <w:lang w:val="en-US"/>
    </w:rPr>
  </w:style>
  <w:style w:type="paragraph" w:customStyle="1" w:styleId="PlainTableText">
    <w:name w:val="Plain Table Text"/>
    <w:basedOn w:val="Normal"/>
    <w:uiPriority w:val="99"/>
    <w:rsid w:val="00891A96"/>
    <w:pPr>
      <w:overflowPunct w:val="0"/>
      <w:autoSpaceDE w:val="0"/>
      <w:autoSpaceDN w:val="0"/>
      <w:adjustRightInd w:val="0"/>
      <w:spacing w:after="0" w:line="240" w:lineRule="auto"/>
      <w:textAlignment w:val="baseline"/>
    </w:pPr>
    <w:rPr>
      <w:rFonts w:ascii="Arial" w:eastAsia="Times New Roman" w:hAnsi="Arial" w:cs="Times New Roman"/>
      <w:sz w:val="20"/>
      <w:szCs w:val="20"/>
      <w:lang w:val="en-US"/>
    </w:rPr>
  </w:style>
  <w:style w:type="paragraph" w:customStyle="1" w:styleId="RuledTableText">
    <w:name w:val="Ruled Table Text"/>
    <w:basedOn w:val="Normal"/>
    <w:uiPriority w:val="99"/>
    <w:rsid w:val="00891A96"/>
    <w:pPr>
      <w:overflowPunct w:val="0"/>
      <w:autoSpaceDE w:val="0"/>
      <w:autoSpaceDN w:val="0"/>
      <w:adjustRightInd w:val="0"/>
      <w:spacing w:after="0" w:line="240" w:lineRule="auto"/>
      <w:textAlignment w:val="baseline"/>
    </w:pPr>
    <w:rPr>
      <w:rFonts w:ascii="Arial" w:eastAsia="Times New Roman" w:hAnsi="Arial" w:cs="Times New Roman"/>
      <w:sz w:val="20"/>
      <w:szCs w:val="20"/>
      <w:lang w:val="en-US"/>
    </w:rPr>
  </w:style>
  <w:style w:type="paragraph" w:customStyle="1" w:styleId="Table3Data">
    <w:name w:val="Table3/Data"/>
    <w:basedOn w:val="Normal"/>
    <w:uiPriority w:val="99"/>
    <w:rsid w:val="00891A96"/>
    <w:pPr>
      <w:spacing w:after="0" w:line="240" w:lineRule="auto"/>
    </w:pPr>
    <w:rPr>
      <w:rFonts w:ascii="Arial" w:eastAsia="Times New Roman" w:hAnsi="Arial" w:cs="Times New Roman"/>
      <w:sz w:val="20"/>
      <w:szCs w:val="20"/>
      <w:lang w:val="en-US"/>
    </w:rPr>
  </w:style>
  <w:style w:type="paragraph" w:customStyle="1" w:styleId="AonBodyCopy">
    <w:name w:val="Aon Body Copy"/>
    <w:basedOn w:val="Normal"/>
    <w:link w:val="AonBodyCopyChar"/>
    <w:uiPriority w:val="99"/>
    <w:rsid w:val="00891A96"/>
    <w:pPr>
      <w:spacing w:after="120" w:line="240" w:lineRule="auto"/>
    </w:pPr>
    <w:rPr>
      <w:rFonts w:ascii="Arial" w:eastAsia="MS Mincho" w:hAnsi="Arial" w:cs="Times New Roman"/>
      <w:sz w:val="23"/>
      <w:szCs w:val="20"/>
    </w:rPr>
  </w:style>
  <w:style w:type="paragraph" w:customStyle="1" w:styleId="AonBullet1">
    <w:name w:val="Aon Bullet 1"/>
    <w:basedOn w:val="Normal"/>
    <w:uiPriority w:val="99"/>
    <w:rsid w:val="00891A96"/>
    <w:pPr>
      <w:numPr>
        <w:numId w:val="4"/>
      </w:numPr>
      <w:spacing w:after="120" w:line="240" w:lineRule="auto"/>
    </w:pPr>
    <w:rPr>
      <w:rFonts w:ascii="Arial" w:eastAsia="Times New Roman" w:hAnsi="Arial" w:cs="Times New Roman"/>
      <w:sz w:val="23"/>
      <w:szCs w:val="20"/>
    </w:rPr>
  </w:style>
  <w:style w:type="paragraph" w:customStyle="1" w:styleId="AonBullet2">
    <w:name w:val="Aon Bullet 2"/>
    <w:basedOn w:val="Normal"/>
    <w:uiPriority w:val="99"/>
    <w:rsid w:val="00891A96"/>
    <w:pPr>
      <w:numPr>
        <w:ilvl w:val="1"/>
        <w:numId w:val="4"/>
      </w:numPr>
      <w:spacing w:after="120" w:line="240" w:lineRule="auto"/>
    </w:pPr>
    <w:rPr>
      <w:rFonts w:ascii="Arial" w:eastAsia="Times New Roman" w:hAnsi="Arial" w:cs="Times New Roman"/>
      <w:sz w:val="23"/>
      <w:szCs w:val="20"/>
    </w:rPr>
  </w:style>
  <w:style w:type="paragraph" w:customStyle="1" w:styleId="AonBullet3">
    <w:name w:val="Aon Bullet 3"/>
    <w:basedOn w:val="Normal"/>
    <w:uiPriority w:val="99"/>
    <w:rsid w:val="00891A96"/>
    <w:pPr>
      <w:numPr>
        <w:ilvl w:val="2"/>
        <w:numId w:val="4"/>
      </w:numPr>
      <w:spacing w:after="120" w:line="240" w:lineRule="auto"/>
    </w:pPr>
    <w:rPr>
      <w:rFonts w:ascii="Arial" w:eastAsia="Times New Roman" w:hAnsi="Arial" w:cs="Times New Roman"/>
      <w:sz w:val="23"/>
      <w:szCs w:val="20"/>
    </w:rPr>
  </w:style>
  <w:style w:type="paragraph" w:customStyle="1" w:styleId="AonBullet4">
    <w:name w:val="Aon Bullet 4"/>
    <w:basedOn w:val="Normal"/>
    <w:uiPriority w:val="99"/>
    <w:rsid w:val="00891A96"/>
    <w:pPr>
      <w:numPr>
        <w:ilvl w:val="3"/>
        <w:numId w:val="4"/>
      </w:numPr>
      <w:spacing w:after="120" w:line="240" w:lineRule="auto"/>
    </w:pPr>
    <w:rPr>
      <w:rFonts w:ascii="Arial" w:eastAsia="Times New Roman" w:hAnsi="Arial" w:cs="Times New Roman"/>
      <w:sz w:val="23"/>
      <w:szCs w:val="20"/>
      <w:lang w:val="de-DE"/>
    </w:rPr>
  </w:style>
  <w:style w:type="paragraph" w:customStyle="1" w:styleId="AonBullet5">
    <w:name w:val="Aon Bullet 5"/>
    <w:basedOn w:val="Normal"/>
    <w:uiPriority w:val="99"/>
    <w:rsid w:val="00891A96"/>
    <w:pPr>
      <w:numPr>
        <w:ilvl w:val="4"/>
        <w:numId w:val="4"/>
      </w:numPr>
      <w:spacing w:after="120" w:line="240" w:lineRule="auto"/>
    </w:pPr>
    <w:rPr>
      <w:rFonts w:ascii="Arial" w:eastAsia="Times New Roman" w:hAnsi="Arial" w:cs="Times New Roman"/>
      <w:sz w:val="23"/>
      <w:szCs w:val="20"/>
    </w:rPr>
  </w:style>
  <w:style w:type="character" w:customStyle="1" w:styleId="AonBlue">
    <w:name w:val="Aon  Blue"/>
    <w:uiPriority w:val="99"/>
    <w:rsid w:val="00891A96"/>
    <w:rPr>
      <w:color w:val="0083A9"/>
    </w:rPr>
  </w:style>
  <w:style w:type="paragraph" w:customStyle="1" w:styleId="2ColumnTableTitle">
    <w:name w:val="2 Column Table Title"/>
    <w:basedOn w:val="Normal"/>
    <w:uiPriority w:val="99"/>
    <w:rsid w:val="00891A96"/>
    <w:pPr>
      <w:autoSpaceDE w:val="0"/>
      <w:autoSpaceDN w:val="0"/>
      <w:adjustRightInd w:val="0"/>
      <w:spacing w:after="120" w:line="240" w:lineRule="auto"/>
      <w:textAlignment w:val="center"/>
    </w:pPr>
    <w:rPr>
      <w:rFonts w:ascii="Arial" w:eastAsia="Times New Roman" w:hAnsi="Arial" w:cs="Times New Roman"/>
      <w:b/>
      <w:bCs/>
      <w:color w:val="000000"/>
      <w:sz w:val="20"/>
      <w:szCs w:val="20"/>
      <w:lang w:val="en-US"/>
    </w:rPr>
  </w:style>
  <w:style w:type="paragraph" w:customStyle="1" w:styleId="2ColumnBody">
    <w:name w:val="2 Column Body"/>
    <w:basedOn w:val="AonBodyCopy"/>
    <w:link w:val="2ColumnBodyChar"/>
    <w:uiPriority w:val="99"/>
    <w:rsid w:val="00891A96"/>
  </w:style>
  <w:style w:type="paragraph" w:customStyle="1" w:styleId="2ColumnVerticalSpace">
    <w:name w:val="2 Column Vertical Space"/>
    <w:basedOn w:val="AonBodyCopy"/>
    <w:next w:val="AonBodyCopy"/>
    <w:uiPriority w:val="99"/>
    <w:rsid w:val="00891A96"/>
    <w:pPr>
      <w:pBdr>
        <w:top w:val="single" w:sz="4" w:space="1" w:color="auto"/>
      </w:pBdr>
      <w:spacing w:before="120" w:after="0"/>
      <w:ind w:left="2520"/>
      <w:jc w:val="right"/>
    </w:pPr>
    <w:rPr>
      <w:sz w:val="16"/>
      <w:szCs w:val="16"/>
    </w:rPr>
  </w:style>
  <w:style w:type="paragraph" w:customStyle="1" w:styleId="2ColumnHeading1">
    <w:name w:val="2 Column Heading 1"/>
    <w:basedOn w:val="2ColumnBody"/>
    <w:next w:val="2ColumnBody"/>
    <w:uiPriority w:val="99"/>
    <w:rsid w:val="00891A96"/>
    <w:pPr>
      <w:spacing w:after="0"/>
    </w:pPr>
    <w:rPr>
      <w:b/>
    </w:rPr>
  </w:style>
  <w:style w:type="paragraph" w:customStyle="1" w:styleId="Bulletplus">
    <w:name w:val="Bullet plus"/>
    <w:basedOn w:val="Normal"/>
    <w:link w:val="BulletplusChar"/>
    <w:uiPriority w:val="99"/>
    <w:rsid w:val="00891A96"/>
    <w:pPr>
      <w:numPr>
        <w:numId w:val="5"/>
      </w:numPr>
      <w:spacing w:after="120" w:line="240" w:lineRule="auto"/>
    </w:pPr>
    <w:rPr>
      <w:rFonts w:ascii="Arial" w:eastAsia="MS Mincho" w:hAnsi="Arial" w:cs="Times New Roman"/>
      <w:sz w:val="23"/>
      <w:szCs w:val="23"/>
    </w:rPr>
  </w:style>
  <w:style w:type="paragraph" w:customStyle="1" w:styleId="AonIndentBullet1">
    <w:name w:val="Aon Indent Bullet 1"/>
    <w:basedOn w:val="AonBullet1"/>
    <w:uiPriority w:val="99"/>
    <w:rsid w:val="00891A96"/>
    <w:pPr>
      <w:numPr>
        <w:numId w:val="0"/>
      </w:numPr>
      <w:ind w:left="357"/>
    </w:pPr>
  </w:style>
  <w:style w:type="paragraph" w:customStyle="1" w:styleId="EmDashplus">
    <w:name w:val="EmDash plus"/>
    <w:basedOn w:val="Normal"/>
    <w:uiPriority w:val="99"/>
    <w:rsid w:val="00891A96"/>
    <w:pPr>
      <w:numPr>
        <w:ilvl w:val="1"/>
        <w:numId w:val="5"/>
      </w:numPr>
      <w:spacing w:after="120" w:line="240" w:lineRule="auto"/>
    </w:pPr>
    <w:rPr>
      <w:rFonts w:ascii="Arial" w:eastAsia="Times New Roman" w:hAnsi="Arial" w:cs="Times New Roman"/>
      <w:sz w:val="20"/>
      <w:szCs w:val="20"/>
    </w:rPr>
  </w:style>
  <w:style w:type="paragraph" w:customStyle="1" w:styleId="2ColumnHeading2">
    <w:name w:val="2 Column Heading 2"/>
    <w:basedOn w:val="2ColumnBody"/>
    <w:next w:val="2ColumnBody"/>
    <w:uiPriority w:val="99"/>
    <w:rsid w:val="00891A96"/>
    <w:pPr>
      <w:spacing w:after="0"/>
    </w:pPr>
    <w:rPr>
      <w:b/>
      <w:i/>
    </w:rPr>
  </w:style>
  <w:style w:type="paragraph" w:customStyle="1" w:styleId="SubSectionLine">
    <w:name w:val="SubSectionLine"/>
    <w:basedOn w:val="Normal"/>
    <w:next w:val="Normal"/>
    <w:uiPriority w:val="99"/>
    <w:rsid w:val="00891A96"/>
    <w:pPr>
      <w:pBdr>
        <w:top w:val="single" w:sz="2" w:space="1" w:color="000000"/>
        <w:between w:val="single" w:sz="2" w:space="1" w:color="000000"/>
      </w:pBdr>
      <w:overflowPunct w:val="0"/>
      <w:autoSpaceDE w:val="0"/>
      <w:autoSpaceDN w:val="0"/>
      <w:adjustRightInd w:val="0"/>
      <w:spacing w:before="120" w:after="0" w:line="240" w:lineRule="auto"/>
      <w:ind w:left="2347" w:right="28"/>
      <w:jc w:val="right"/>
      <w:textAlignment w:val="baseline"/>
    </w:pPr>
    <w:rPr>
      <w:rFonts w:ascii="Arial" w:eastAsia="Times New Roman" w:hAnsi="Arial" w:cs="Times New Roman"/>
      <w:sz w:val="16"/>
      <w:szCs w:val="20"/>
    </w:rPr>
  </w:style>
  <w:style w:type="paragraph" w:customStyle="1" w:styleId="note">
    <w:name w:val="note"/>
    <w:basedOn w:val="Normal"/>
    <w:uiPriority w:val="99"/>
    <w:rsid w:val="00891A96"/>
    <w:pPr>
      <w:widowControl w:val="0"/>
      <w:overflowPunct w:val="0"/>
      <w:autoSpaceDE w:val="0"/>
      <w:autoSpaceDN w:val="0"/>
      <w:adjustRightInd w:val="0"/>
      <w:spacing w:after="120" w:line="240" w:lineRule="auto"/>
      <w:ind w:left="680" w:hanging="680"/>
      <w:textAlignment w:val="baseline"/>
    </w:pPr>
    <w:rPr>
      <w:rFonts w:ascii="Arial" w:eastAsia="Times New Roman" w:hAnsi="Arial" w:cs="Times New Roman"/>
      <w:i/>
      <w:sz w:val="20"/>
      <w:szCs w:val="20"/>
    </w:rPr>
  </w:style>
  <w:style w:type="paragraph" w:customStyle="1" w:styleId="Normalplus">
    <w:name w:val="Normal plus"/>
    <w:basedOn w:val="Normal"/>
    <w:link w:val="NormalplusChar"/>
    <w:uiPriority w:val="99"/>
    <w:rsid w:val="00891A96"/>
    <w:pPr>
      <w:overflowPunct w:val="0"/>
      <w:autoSpaceDE w:val="0"/>
      <w:autoSpaceDN w:val="0"/>
      <w:adjustRightInd w:val="0"/>
      <w:spacing w:after="120" w:line="240" w:lineRule="auto"/>
      <w:textAlignment w:val="baseline"/>
    </w:pPr>
    <w:rPr>
      <w:rFonts w:ascii="Arial" w:eastAsia="MS Mincho" w:hAnsi="Arial" w:cs="Times New Roman"/>
      <w:sz w:val="20"/>
      <w:szCs w:val="20"/>
      <w:lang w:val="en-US"/>
    </w:rPr>
  </w:style>
  <w:style w:type="character" w:customStyle="1" w:styleId="NormalplusChar">
    <w:name w:val="Normal plus Char"/>
    <w:basedOn w:val="DefaultParagraphFont"/>
    <w:link w:val="Normalplus"/>
    <w:uiPriority w:val="99"/>
    <w:locked/>
    <w:rsid w:val="00891A96"/>
    <w:rPr>
      <w:rFonts w:ascii="Arial" w:eastAsia="MS Mincho" w:hAnsi="Arial" w:cs="Times New Roman"/>
      <w:sz w:val="20"/>
      <w:szCs w:val="20"/>
      <w:lang w:val="en-US"/>
    </w:rPr>
  </w:style>
  <w:style w:type="paragraph" w:customStyle="1" w:styleId="PlainTableTitle">
    <w:name w:val="Plain Table Title"/>
    <w:basedOn w:val="PlainTableHead"/>
    <w:uiPriority w:val="99"/>
    <w:rsid w:val="00891A96"/>
    <w:pPr>
      <w:jc w:val="center"/>
    </w:pPr>
    <w:rPr>
      <w:sz w:val="22"/>
    </w:rPr>
  </w:style>
  <w:style w:type="paragraph" w:customStyle="1" w:styleId="space">
    <w:name w:val="space"/>
    <w:basedOn w:val="Normal"/>
    <w:link w:val="spaceChar"/>
    <w:uiPriority w:val="99"/>
    <w:rsid w:val="00891A96"/>
    <w:pPr>
      <w:keepNext/>
      <w:overflowPunct w:val="0"/>
      <w:autoSpaceDE w:val="0"/>
      <w:autoSpaceDN w:val="0"/>
      <w:adjustRightInd w:val="0"/>
      <w:spacing w:after="0" w:line="240" w:lineRule="auto"/>
      <w:textAlignment w:val="baseline"/>
    </w:pPr>
    <w:rPr>
      <w:rFonts w:ascii="Arial" w:eastAsia="MS Mincho" w:hAnsi="Arial" w:cs="Times New Roman"/>
      <w:sz w:val="12"/>
      <w:szCs w:val="20"/>
      <w:lang w:val="en-US"/>
    </w:rPr>
  </w:style>
  <w:style w:type="paragraph" w:customStyle="1" w:styleId="SubtitleL2">
    <w:name w:val="Subtitle L2"/>
    <w:basedOn w:val="Normalplus"/>
    <w:next w:val="Normalplus"/>
    <w:link w:val="SubtitleL2Char"/>
    <w:uiPriority w:val="99"/>
    <w:rsid w:val="00891A96"/>
    <w:pPr>
      <w:spacing w:after="0"/>
    </w:pPr>
    <w:rPr>
      <w:b/>
      <w:color w:val="263C6B"/>
    </w:rPr>
  </w:style>
  <w:style w:type="character" w:customStyle="1" w:styleId="SubtitleL2Char">
    <w:name w:val="Subtitle L2 Char"/>
    <w:basedOn w:val="NormalplusChar"/>
    <w:link w:val="SubtitleL2"/>
    <w:uiPriority w:val="99"/>
    <w:locked/>
    <w:rsid w:val="00891A96"/>
    <w:rPr>
      <w:rFonts w:ascii="Arial" w:eastAsia="MS Mincho" w:hAnsi="Arial" w:cs="Times New Roman"/>
      <w:b/>
      <w:color w:val="263C6B"/>
      <w:sz w:val="20"/>
      <w:szCs w:val="20"/>
      <w:lang w:val="en-US"/>
    </w:rPr>
  </w:style>
  <w:style w:type="character" w:customStyle="1" w:styleId="spaceChar">
    <w:name w:val="space Char"/>
    <w:basedOn w:val="DefaultParagraphFont"/>
    <w:link w:val="space"/>
    <w:uiPriority w:val="99"/>
    <w:locked/>
    <w:rsid w:val="00891A96"/>
    <w:rPr>
      <w:rFonts w:ascii="Arial" w:eastAsia="MS Mincho" w:hAnsi="Arial" w:cs="Times New Roman"/>
      <w:sz w:val="12"/>
      <w:szCs w:val="20"/>
      <w:lang w:val="en-US"/>
    </w:rPr>
  </w:style>
  <w:style w:type="paragraph" w:customStyle="1" w:styleId="TableHead2">
    <w:name w:val="Table Head 2"/>
    <w:basedOn w:val="Normal"/>
    <w:uiPriority w:val="99"/>
    <w:rsid w:val="00891A96"/>
    <w:pPr>
      <w:spacing w:after="0" w:line="240" w:lineRule="auto"/>
    </w:pPr>
    <w:rPr>
      <w:rFonts w:ascii="Arial" w:eastAsia="MS Mincho" w:hAnsi="Arial" w:cs="Times New Roman"/>
      <w:sz w:val="18"/>
      <w:szCs w:val="20"/>
      <w:lang w:val="en-US"/>
    </w:rPr>
  </w:style>
  <w:style w:type="paragraph" w:customStyle="1" w:styleId="TableHead3">
    <w:name w:val="Table Head 3"/>
    <w:basedOn w:val="Normal"/>
    <w:uiPriority w:val="99"/>
    <w:rsid w:val="00891A96"/>
    <w:pPr>
      <w:spacing w:before="60" w:after="60" w:line="240" w:lineRule="auto"/>
    </w:pPr>
    <w:rPr>
      <w:rFonts w:ascii="Arial" w:eastAsia="MS Mincho" w:hAnsi="Arial" w:cs="Times New Roman"/>
      <w:b/>
      <w:color w:val="0000FF"/>
      <w:sz w:val="20"/>
      <w:szCs w:val="20"/>
      <w:lang w:val="en-US"/>
    </w:rPr>
  </w:style>
  <w:style w:type="paragraph" w:customStyle="1" w:styleId="Tablesubhead">
    <w:name w:val="Table subhead"/>
    <w:basedOn w:val="Normal"/>
    <w:uiPriority w:val="99"/>
    <w:rsid w:val="00891A96"/>
    <w:pPr>
      <w:spacing w:before="60" w:after="60" w:line="240" w:lineRule="auto"/>
      <w:jc w:val="both"/>
    </w:pPr>
    <w:rPr>
      <w:rFonts w:ascii="Arial" w:eastAsia="MS Mincho" w:hAnsi="Arial" w:cs="Times New Roman"/>
      <w:b/>
      <w:color w:val="000080"/>
      <w:sz w:val="20"/>
      <w:szCs w:val="20"/>
      <w:lang w:val="en-US"/>
    </w:rPr>
  </w:style>
  <w:style w:type="paragraph" w:customStyle="1" w:styleId="TableText5">
    <w:name w:val="Table Text5"/>
    <w:basedOn w:val="Normal"/>
    <w:uiPriority w:val="99"/>
    <w:rsid w:val="00891A96"/>
    <w:pPr>
      <w:tabs>
        <w:tab w:val="decimal" w:pos="787"/>
      </w:tabs>
      <w:spacing w:before="60" w:after="60" w:line="240" w:lineRule="auto"/>
      <w:jc w:val="both"/>
    </w:pPr>
    <w:rPr>
      <w:rFonts w:ascii="Arial" w:eastAsia="MS Mincho" w:hAnsi="Arial" w:cs="Times New Roman"/>
      <w:sz w:val="20"/>
      <w:szCs w:val="20"/>
      <w:lang w:val="en-US"/>
    </w:rPr>
  </w:style>
  <w:style w:type="character" w:customStyle="1" w:styleId="AonBodyCopyChar">
    <w:name w:val="Aon Body Copy Char"/>
    <w:basedOn w:val="DefaultParagraphFont"/>
    <w:link w:val="AonBodyCopy"/>
    <w:uiPriority w:val="99"/>
    <w:locked/>
    <w:rsid w:val="00891A96"/>
    <w:rPr>
      <w:rFonts w:ascii="Arial" w:eastAsia="MS Mincho" w:hAnsi="Arial" w:cs="Times New Roman"/>
      <w:sz w:val="23"/>
      <w:szCs w:val="20"/>
    </w:rPr>
  </w:style>
  <w:style w:type="character" w:customStyle="1" w:styleId="2ColumnBodyChar">
    <w:name w:val="2 Column Body Char"/>
    <w:basedOn w:val="DefaultParagraphFont"/>
    <w:link w:val="2ColumnBody"/>
    <w:uiPriority w:val="99"/>
    <w:locked/>
    <w:rsid w:val="00891A96"/>
    <w:rPr>
      <w:rFonts w:ascii="Arial" w:eastAsia="MS Mincho" w:hAnsi="Arial" w:cs="Times New Roman"/>
      <w:sz w:val="23"/>
      <w:szCs w:val="20"/>
    </w:rPr>
  </w:style>
  <w:style w:type="character" w:customStyle="1" w:styleId="BulletplusChar">
    <w:name w:val="Bullet plus Char"/>
    <w:basedOn w:val="DefaultParagraphFont"/>
    <w:link w:val="Bulletplus"/>
    <w:uiPriority w:val="99"/>
    <w:locked/>
    <w:rsid w:val="00891A96"/>
    <w:rPr>
      <w:rFonts w:ascii="Arial" w:eastAsia="MS Mincho" w:hAnsi="Arial" w:cs="Times New Roman"/>
      <w:sz w:val="23"/>
      <w:szCs w:val="23"/>
    </w:rPr>
  </w:style>
  <w:style w:type="paragraph" w:styleId="NormalWeb">
    <w:name w:val="Normal (Web)"/>
    <w:basedOn w:val="Normal"/>
    <w:uiPriority w:val="99"/>
    <w:rsid w:val="00891A96"/>
    <w:pPr>
      <w:spacing w:before="96" w:after="216" w:line="312" w:lineRule="atLeast"/>
    </w:pPr>
    <w:rPr>
      <w:rFonts w:ascii="Times New Roman" w:eastAsia="Times New Roman" w:hAnsi="Times New Roman" w:cs="Times New Roman"/>
      <w:sz w:val="24"/>
      <w:szCs w:val="24"/>
      <w:lang w:eastAsia="en-GB"/>
    </w:rPr>
  </w:style>
  <w:style w:type="character" w:customStyle="1" w:styleId="bold1">
    <w:name w:val="bold1"/>
    <w:basedOn w:val="DefaultParagraphFont"/>
    <w:uiPriority w:val="99"/>
    <w:rsid w:val="00891A96"/>
    <w:rPr>
      <w:rFonts w:cs="Times New Roman"/>
      <w:b/>
      <w:bCs/>
    </w:rPr>
  </w:style>
  <w:style w:type="paragraph" w:customStyle="1" w:styleId="Default">
    <w:name w:val="Default"/>
    <w:uiPriority w:val="99"/>
    <w:rsid w:val="00891A96"/>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Indent3">
    <w:name w:val="Body Text Indent 3"/>
    <w:basedOn w:val="Normal"/>
    <w:link w:val="BodyTextIndent3Char"/>
    <w:uiPriority w:val="99"/>
    <w:rsid w:val="00891A96"/>
    <w:pPr>
      <w:spacing w:after="0" w:line="240" w:lineRule="auto"/>
      <w:ind w:left="720" w:hanging="720"/>
      <w:jc w:val="both"/>
    </w:pPr>
    <w:rPr>
      <w:rFonts w:ascii="Arial" w:eastAsia="Times New Roman" w:hAnsi="Arial" w:cs="Times New Roman"/>
      <w:sz w:val="24"/>
      <w:szCs w:val="20"/>
      <w:lang w:eastAsia="en-GB"/>
    </w:rPr>
  </w:style>
  <w:style w:type="character" w:customStyle="1" w:styleId="BodyTextIndent3Char">
    <w:name w:val="Body Text Indent 3 Char"/>
    <w:basedOn w:val="DefaultParagraphFont"/>
    <w:link w:val="BodyTextIndent3"/>
    <w:uiPriority w:val="99"/>
    <w:rsid w:val="00891A96"/>
    <w:rPr>
      <w:rFonts w:ascii="Arial" w:eastAsia="Times New Roman" w:hAnsi="Arial" w:cs="Times New Roman"/>
      <w:sz w:val="24"/>
      <w:szCs w:val="20"/>
      <w:lang w:eastAsia="en-GB"/>
    </w:rPr>
  </w:style>
  <w:style w:type="paragraph" w:styleId="BodyTextIndent">
    <w:name w:val="Body Text Indent"/>
    <w:basedOn w:val="Normal"/>
    <w:link w:val="BodyTextIndentChar"/>
    <w:uiPriority w:val="99"/>
    <w:rsid w:val="00891A96"/>
    <w:pPr>
      <w:spacing w:after="120" w:line="240" w:lineRule="auto"/>
      <w:ind w:left="283"/>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uiPriority w:val="99"/>
    <w:rsid w:val="00891A96"/>
    <w:rPr>
      <w:rFonts w:ascii="Times New Roman" w:eastAsia="Times New Roman" w:hAnsi="Times New Roman" w:cs="Times New Roman"/>
      <w:sz w:val="20"/>
      <w:szCs w:val="20"/>
    </w:rPr>
  </w:style>
  <w:style w:type="paragraph" w:styleId="BodyTextIndent2">
    <w:name w:val="Body Text Indent 2"/>
    <w:basedOn w:val="Normal"/>
    <w:link w:val="BodyTextIndent2Char"/>
    <w:uiPriority w:val="99"/>
    <w:rsid w:val="00891A96"/>
    <w:pPr>
      <w:spacing w:after="120" w:line="480" w:lineRule="auto"/>
      <w:ind w:left="283"/>
    </w:pPr>
    <w:rPr>
      <w:rFonts w:ascii="Times New Roman" w:eastAsia="Times New Roman" w:hAnsi="Times New Roman" w:cs="Times New Roman"/>
      <w:sz w:val="20"/>
      <w:szCs w:val="20"/>
      <w:lang w:eastAsia="en-GB"/>
    </w:rPr>
  </w:style>
  <w:style w:type="character" w:customStyle="1" w:styleId="BodyTextIndent2Char">
    <w:name w:val="Body Text Indent 2 Char"/>
    <w:basedOn w:val="DefaultParagraphFont"/>
    <w:link w:val="BodyTextIndent2"/>
    <w:uiPriority w:val="99"/>
    <w:rsid w:val="00891A96"/>
    <w:rPr>
      <w:rFonts w:ascii="Times New Roman" w:eastAsia="Times New Roman" w:hAnsi="Times New Roman" w:cs="Times New Roman"/>
      <w:sz w:val="20"/>
      <w:szCs w:val="20"/>
      <w:lang w:eastAsia="en-GB"/>
    </w:rPr>
  </w:style>
  <w:style w:type="paragraph" w:styleId="BodyText2">
    <w:name w:val="Body Text 2"/>
    <w:basedOn w:val="Normal"/>
    <w:link w:val="BodyText2Char"/>
    <w:uiPriority w:val="99"/>
    <w:rsid w:val="00891A96"/>
    <w:pPr>
      <w:tabs>
        <w:tab w:val="left" w:pos="1140"/>
      </w:tabs>
      <w:spacing w:after="0" w:line="240" w:lineRule="auto"/>
      <w:ind w:left="1140" w:hanging="420"/>
    </w:pPr>
    <w:rPr>
      <w:rFonts w:ascii="Times New Roman" w:eastAsia="Times New Roman" w:hAnsi="Times New Roman" w:cs="Times New Roman"/>
      <w:sz w:val="28"/>
      <w:szCs w:val="20"/>
      <w:lang w:val="en-US" w:eastAsia="en-GB"/>
    </w:rPr>
  </w:style>
  <w:style w:type="character" w:customStyle="1" w:styleId="BodyText2Char">
    <w:name w:val="Body Text 2 Char"/>
    <w:basedOn w:val="DefaultParagraphFont"/>
    <w:link w:val="BodyText2"/>
    <w:uiPriority w:val="99"/>
    <w:rsid w:val="00891A96"/>
    <w:rPr>
      <w:rFonts w:ascii="Times New Roman" w:eastAsia="Times New Roman" w:hAnsi="Times New Roman" w:cs="Times New Roman"/>
      <w:sz w:val="28"/>
      <w:szCs w:val="20"/>
      <w:lang w:val="en-US" w:eastAsia="en-GB"/>
    </w:rPr>
  </w:style>
  <w:style w:type="paragraph" w:styleId="BodyText3">
    <w:name w:val="Body Text 3"/>
    <w:basedOn w:val="Normal"/>
    <w:link w:val="BodyText3Char"/>
    <w:uiPriority w:val="99"/>
    <w:rsid w:val="00891A96"/>
    <w:pPr>
      <w:spacing w:after="0" w:line="240" w:lineRule="auto"/>
      <w:jc w:val="both"/>
    </w:pPr>
    <w:rPr>
      <w:rFonts w:ascii="Arial" w:eastAsia="Times New Roman" w:hAnsi="Arial" w:cs="Times New Roman"/>
      <w:sz w:val="24"/>
      <w:szCs w:val="20"/>
      <w:lang w:eastAsia="en-GB"/>
    </w:rPr>
  </w:style>
  <w:style w:type="character" w:customStyle="1" w:styleId="BodyText3Char">
    <w:name w:val="Body Text 3 Char"/>
    <w:basedOn w:val="DefaultParagraphFont"/>
    <w:link w:val="BodyText3"/>
    <w:uiPriority w:val="99"/>
    <w:rsid w:val="00891A96"/>
    <w:rPr>
      <w:rFonts w:ascii="Arial" w:eastAsia="Times New Roman" w:hAnsi="Arial" w:cs="Times New Roman"/>
      <w:sz w:val="24"/>
      <w:szCs w:val="20"/>
      <w:lang w:eastAsia="en-GB"/>
    </w:rPr>
  </w:style>
  <w:style w:type="paragraph" w:styleId="Title">
    <w:name w:val="Title"/>
    <w:basedOn w:val="Normal"/>
    <w:link w:val="TitleChar"/>
    <w:uiPriority w:val="99"/>
    <w:qFormat/>
    <w:rsid w:val="00891A96"/>
    <w:pPr>
      <w:spacing w:after="0" w:line="240" w:lineRule="auto"/>
      <w:jc w:val="center"/>
    </w:pPr>
    <w:rPr>
      <w:rFonts w:ascii="Arial" w:eastAsia="Times New Roman" w:hAnsi="Arial" w:cs="Times New Roman"/>
      <w:b/>
      <w:sz w:val="40"/>
      <w:szCs w:val="20"/>
      <w:lang w:val="en-US" w:eastAsia="en-GB"/>
    </w:rPr>
  </w:style>
  <w:style w:type="character" w:customStyle="1" w:styleId="TitleChar">
    <w:name w:val="Title Char"/>
    <w:basedOn w:val="DefaultParagraphFont"/>
    <w:link w:val="Title"/>
    <w:uiPriority w:val="99"/>
    <w:rsid w:val="00891A96"/>
    <w:rPr>
      <w:rFonts w:ascii="Arial" w:eastAsia="Times New Roman" w:hAnsi="Arial" w:cs="Times New Roman"/>
      <w:b/>
      <w:sz w:val="40"/>
      <w:szCs w:val="20"/>
      <w:lang w:val="en-US" w:eastAsia="en-GB"/>
    </w:rPr>
  </w:style>
  <w:style w:type="paragraph" w:customStyle="1" w:styleId="loose">
    <w:name w:val="loose"/>
    <w:basedOn w:val="Normal"/>
    <w:uiPriority w:val="99"/>
    <w:rsid w:val="00891A96"/>
    <w:pPr>
      <w:spacing w:before="210" w:after="0" w:line="240" w:lineRule="auto"/>
    </w:pPr>
    <w:rPr>
      <w:rFonts w:ascii="Times New Roman" w:eastAsia="Times New Roman" w:hAnsi="Times New Roman" w:cs="Times New Roman"/>
      <w:sz w:val="24"/>
      <w:szCs w:val="24"/>
      <w:lang w:eastAsia="en-GB"/>
    </w:rPr>
  </w:style>
  <w:style w:type="paragraph" w:customStyle="1" w:styleId="legsubject1">
    <w:name w:val="legsubject1"/>
    <w:basedOn w:val="Normal"/>
    <w:uiPriority w:val="99"/>
    <w:rsid w:val="00891A96"/>
    <w:pPr>
      <w:shd w:val="clear" w:color="auto" w:fill="FFFFFF"/>
      <w:spacing w:after="240" w:line="360" w:lineRule="atLeast"/>
    </w:pPr>
    <w:rPr>
      <w:rFonts w:ascii="Times New Roman" w:eastAsia="Times New Roman" w:hAnsi="Times New Roman" w:cs="Times New Roman"/>
      <w:caps/>
      <w:color w:val="494949"/>
      <w:sz w:val="29"/>
      <w:szCs w:val="29"/>
      <w:lang w:eastAsia="en-GB"/>
    </w:rPr>
  </w:style>
  <w:style w:type="paragraph" w:customStyle="1" w:styleId="BodyTextGrey">
    <w:name w:val="Body Text Grey"/>
    <w:basedOn w:val="BodyText"/>
    <w:link w:val="BodyTextGreyChar"/>
    <w:uiPriority w:val="99"/>
    <w:rsid w:val="00891A96"/>
    <w:pPr>
      <w:spacing w:before="20" w:after="200" w:line="280" w:lineRule="atLeast"/>
      <w:ind w:right="0"/>
      <w:jc w:val="left"/>
    </w:pPr>
    <w:rPr>
      <w:rFonts w:ascii="Arial" w:hAnsi="Arial" w:cs="Arial"/>
      <w:iCs/>
      <w:color w:val="4B4B4B"/>
      <w:sz w:val="20"/>
      <w:lang w:val="en-GB" w:eastAsia="en-US"/>
    </w:rPr>
  </w:style>
  <w:style w:type="character" w:customStyle="1" w:styleId="BodyTextGreyChar">
    <w:name w:val="Body Text Grey Char"/>
    <w:basedOn w:val="DefaultParagraphFont"/>
    <w:link w:val="BodyTextGrey"/>
    <w:uiPriority w:val="99"/>
    <w:locked/>
    <w:rsid w:val="00891A96"/>
    <w:rPr>
      <w:rFonts w:ascii="Arial" w:eastAsia="Times New Roman" w:hAnsi="Arial" w:cs="Arial"/>
      <w:iCs/>
      <w:color w:val="4B4B4B"/>
      <w:sz w:val="20"/>
      <w:szCs w:val="20"/>
    </w:rPr>
  </w:style>
  <w:style w:type="paragraph" w:customStyle="1" w:styleId="Appendix1">
    <w:name w:val="Appendix 1"/>
    <w:basedOn w:val="Heading1"/>
    <w:next w:val="BodyTextGrey"/>
    <w:uiPriority w:val="99"/>
    <w:rsid w:val="00891A96"/>
    <w:pPr>
      <w:pageBreakBefore/>
      <w:spacing w:before="140" w:after="140" w:line="360" w:lineRule="atLeast"/>
    </w:pPr>
    <w:rPr>
      <w:rFonts w:ascii="Arial" w:eastAsia="Times New Roman" w:hAnsi="Arial" w:cs="Times New Roman"/>
      <w:color w:val="3FA6CC"/>
      <w:kern w:val="28"/>
      <w:sz w:val="36"/>
      <w:szCs w:val="20"/>
    </w:rPr>
  </w:style>
  <w:style w:type="paragraph" w:customStyle="1" w:styleId="Appendix2">
    <w:name w:val="Appendix 2"/>
    <w:basedOn w:val="Heading2"/>
    <w:next w:val="BodyTextGrey"/>
    <w:uiPriority w:val="99"/>
    <w:rsid w:val="00891A96"/>
    <w:pPr>
      <w:spacing w:before="0" w:line="280" w:lineRule="atLeast"/>
    </w:pPr>
    <w:rPr>
      <w:rFonts w:ascii="Arial" w:eastAsia="Times New Roman" w:hAnsi="Arial" w:cs="Arial"/>
      <w:b/>
      <w:iCs/>
      <w:color w:val="0F6FC6"/>
      <w:sz w:val="20"/>
      <w:szCs w:val="22"/>
    </w:rPr>
  </w:style>
  <w:style w:type="paragraph" w:customStyle="1" w:styleId="Appendix3">
    <w:name w:val="Appendix 3"/>
    <w:basedOn w:val="Heading3"/>
    <w:next w:val="BodyTextGrey"/>
    <w:uiPriority w:val="99"/>
    <w:rsid w:val="00891A96"/>
    <w:pPr>
      <w:spacing w:before="20" w:after="20" w:line="280" w:lineRule="atLeast"/>
    </w:pPr>
    <w:rPr>
      <w:rFonts w:ascii="Arial" w:eastAsia="Times New Roman" w:hAnsi="Arial" w:cs="Arial"/>
      <w:b/>
      <w:iCs/>
      <w:color w:val="000000"/>
      <w:sz w:val="20"/>
      <w:szCs w:val="20"/>
    </w:rPr>
  </w:style>
  <w:style w:type="paragraph" w:customStyle="1" w:styleId="FooterText">
    <w:name w:val="Footer Text"/>
    <w:basedOn w:val="Normal"/>
    <w:uiPriority w:val="99"/>
    <w:rsid w:val="00891A96"/>
    <w:pPr>
      <w:keepLines/>
      <w:pBdr>
        <w:top w:val="single" w:sz="2" w:space="4" w:color="646464"/>
      </w:pBdr>
      <w:spacing w:before="20" w:after="0" w:line="280" w:lineRule="atLeast"/>
      <w:ind w:left="-425"/>
    </w:pPr>
    <w:rPr>
      <w:rFonts w:ascii="Arial" w:eastAsia="Times New Roman" w:hAnsi="Arial" w:cs="Arial"/>
      <w:iCs/>
      <w:color w:val="4B4B4B"/>
      <w:sz w:val="20"/>
      <w:szCs w:val="20"/>
      <w:lang w:eastAsia="en-GB"/>
    </w:rPr>
  </w:style>
  <w:style w:type="paragraph" w:customStyle="1" w:styleId="FreedomHeading">
    <w:name w:val="Freedom Heading"/>
    <w:basedOn w:val="Heading1"/>
    <w:next w:val="Normal"/>
    <w:uiPriority w:val="99"/>
    <w:rsid w:val="00891A96"/>
    <w:pPr>
      <w:spacing w:before="140" w:after="140" w:line="360" w:lineRule="atLeast"/>
    </w:pPr>
    <w:rPr>
      <w:rFonts w:ascii="Arial" w:eastAsia="Times New Roman" w:hAnsi="Arial" w:cs="Times New Roman"/>
      <w:caps/>
      <w:color w:val="40A6CC"/>
      <w:kern w:val="28"/>
      <w:sz w:val="36"/>
      <w:szCs w:val="20"/>
    </w:rPr>
  </w:style>
  <w:style w:type="paragraph" w:customStyle="1" w:styleId="hBullet1">
    <w:name w:val="hBullet1"/>
    <w:basedOn w:val="Normal"/>
    <w:uiPriority w:val="99"/>
    <w:rsid w:val="00891A96"/>
    <w:pPr>
      <w:widowControl w:val="0"/>
      <w:numPr>
        <w:numId w:val="8"/>
      </w:numPr>
      <w:spacing w:before="120" w:after="120" w:line="280" w:lineRule="atLeast"/>
    </w:pPr>
    <w:rPr>
      <w:rFonts w:ascii="Arial" w:eastAsia="Times New Roman" w:hAnsi="Arial" w:cs="Times New Roman"/>
      <w:sz w:val="20"/>
      <w:szCs w:val="24"/>
      <w:lang w:eastAsia="en-GB"/>
    </w:rPr>
  </w:style>
  <w:style w:type="paragraph" w:customStyle="1" w:styleId="hBullet2">
    <w:name w:val="hBullet2"/>
    <w:basedOn w:val="Normal"/>
    <w:uiPriority w:val="99"/>
    <w:rsid w:val="00891A96"/>
    <w:pPr>
      <w:widowControl w:val="0"/>
      <w:numPr>
        <w:numId w:val="9"/>
      </w:numPr>
      <w:spacing w:before="120" w:after="120" w:line="280" w:lineRule="atLeast"/>
    </w:pPr>
    <w:rPr>
      <w:rFonts w:ascii="Arial" w:eastAsia="Times New Roman" w:hAnsi="Arial" w:cs="Times New Roman"/>
      <w:sz w:val="20"/>
      <w:szCs w:val="24"/>
      <w:lang w:eastAsia="en-GB"/>
    </w:rPr>
  </w:style>
  <w:style w:type="paragraph" w:customStyle="1" w:styleId="hBullet3">
    <w:name w:val="hBullet3"/>
    <w:basedOn w:val="Normal"/>
    <w:uiPriority w:val="99"/>
    <w:rsid w:val="00891A96"/>
    <w:pPr>
      <w:widowControl w:val="0"/>
      <w:numPr>
        <w:numId w:val="10"/>
      </w:numPr>
      <w:spacing w:before="120" w:after="120" w:line="280" w:lineRule="atLeast"/>
    </w:pPr>
    <w:rPr>
      <w:rFonts w:ascii="Arial" w:eastAsia="Times New Roman" w:hAnsi="Arial" w:cs="Times New Roman"/>
      <w:sz w:val="20"/>
      <w:szCs w:val="24"/>
      <w:lang w:eastAsia="en-GB"/>
    </w:rPr>
  </w:style>
  <w:style w:type="paragraph" w:customStyle="1" w:styleId="hBullets">
    <w:name w:val="hBullets"/>
    <w:uiPriority w:val="99"/>
    <w:rsid w:val="00891A96"/>
    <w:pPr>
      <w:numPr>
        <w:numId w:val="11"/>
      </w:numPr>
      <w:spacing w:before="20" w:after="20" w:line="280" w:lineRule="atLeast"/>
    </w:pPr>
    <w:rPr>
      <w:rFonts w:ascii="Arial" w:eastAsia="Times New Roman" w:hAnsi="Arial" w:cs="Times New Roman"/>
      <w:color w:val="4B4B4B"/>
      <w:sz w:val="20"/>
      <w:szCs w:val="24"/>
      <w:lang w:eastAsia="en-GB"/>
    </w:rPr>
  </w:style>
  <w:style w:type="paragraph" w:customStyle="1" w:styleId="Heading1Num">
    <w:name w:val="Heading 1 Num"/>
    <w:basedOn w:val="Heading1"/>
    <w:next w:val="BodyTextGrey"/>
    <w:uiPriority w:val="99"/>
    <w:rsid w:val="00891A96"/>
    <w:pPr>
      <w:numPr>
        <w:numId w:val="14"/>
      </w:numPr>
      <w:spacing w:before="140" w:after="140" w:line="360" w:lineRule="atLeast"/>
    </w:pPr>
    <w:rPr>
      <w:rFonts w:ascii="Arial" w:eastAsia="Times New Roman" w:hAnsi="Arial" w:cs="Times New Roman"/>
      <w:color w:val="3FA6CC"/>
      <w:kern w:val="28"/>
      <w:sz w:val="36"/>
      <w:szCs w:val="20"/>
    </w:rPr>
  </w:style>
  <w:style w:type="paragraph" w:customStyle="1" w:styleId="Heading2Num">
    <w:name w:val="Heading 2 Num"/>
    <w:basedOn w:val="Heading2"/>
    <w:next w:val="BodyTextGrey"/>
    <w:uiPriority w:val="99"/>
    <w:rsid w:val="00891A96"/>
    <w:pPr>
      <w:numPr>
        <w:ilvl w:val="1"/>
        <w:numId w:val="14"/>
      </w:numPr>
      <w:spacing w:before="0" w:line="280" w:lineRule="atLeast"/>
    </w:pPr>
    <w:rPr>
      <w:rFonts w:ascii="Arial" w:eastAsia="Times New Roman" w:hAnsi="Arial" w:cs="Arial"/>
      <w:b/>
      <w:iCs/>
      <w:color w:val="0F6FC6"/>
      <w:sz w:val="20"/>
      <w:szCs w:val="20"/>
    </w:rPr>
  </w:style>
  <w:style w:type="paragraph" w:customStyle="1" w:styleId="Heading3Num">
    <w:name w:val="Heading 3 Num"/>
    <w:basedOn w:val="Heading3"/>
    <w:next w:val="BodyTextGrey"/>
    <w:uiPriority w:val="99"/>
    <w:rsid w:val="00891A96"/>
    <w:pPr>
      <w:numPr>
        <w:ilvl w:val="2"/>
        <w:numId w:val="14"/>
      </w:numPr>
      <w:spacing w:before="20" w:after="20" w:line="280" w:lineRule="atLeast"/>
    </w:pPr>
    <w:rPr>
      <w:rFonts w:ascii="Arial" w:eastAsia="Times New Roman" w:hAnsi="Arial" w:cs="Arial"/>
      <w:b/>
      <w:iCs/>
      <w:color w:val="000000"/>
      <w:sz w:val="20"/>
      <w:szCs w:val="20"/>
    </w:rPr>
  </w:style>
  <w:style w:type="paragraph" w:customStyle="1" w:styleId="hNumber1">
    <w:name w:val="hNumber1"/>
    <w:uiPriority w:val="99"/>
    <w:rsid w:val="00891A96"/>
    <w:pPr>
      <w:widowControl w:val="0"/>
      <w:numPr>
        <w:numId w:val="12"/>
      </w:numPr>
      <w:spacing w:before="20" w:after="20" w:line="280" w:lineRule="atLeast"/>
    </w:pPr>
    <w:rPr>
      <w:rFonts w:ascii="Arial" w:eastAsia="Times New Roman" w:hAnsi="Arial" w:cs="Times New Roman"/>
      <w:color w:val="4B4B4B"/>
      <w:sz w:val="20"/>
      <w:szCs w:val="24"/>
      <w:lang w:eastAsia="en-GB"/>
    </w:rPr>
  </w:style>
  <w:style w:type="paragraph" w:customStyle="1" w:styleId="HymanHeader">
    <w:name w:val="HymanHeader"/>
    <w:basedOn w:val="Normal"/>
    <w:uiPriority w:val="99"/>
    <w:rsid w:val="00891A96"/>
    <w:pPr>
      <w:pBdr>
        <w:top w:val="single" w:sz="2" w:space="4" w:color="646464"/>
      </w:pBdr>
      <w:spacing w:before="20" w:after="200" w:line="280" w:lineRule="atLeast"/>
      <w:ind w:left="-425"/>
    </w:pPr>
    <w:rPr>
      <w:rFonts w:ascii="Arial" w:eastAsia="Times New Roman" w:hAnsi="Arial" w:cs="Arial"/>
      <w:iCs/>
      <w:color w:val="4B4B4B"/>
      <w:sz w:val="20"/>
      <w:szCs w:val="20"/>
      <w:lang w:val="fr-FR" w:eastAsia="en-GB"/>
    </w:rPr>
  </w:style>
  <w:style w:type="paragraph" w:customStyle="1" w:styleId="LetterDate">
    <w:name w:val="Letter Date"/>
    <w:basedOn w:val="Normal"/>
    <w:uiPriority w:val="99"/>
    <w:rsid w:val="00891A96"/>
    <w:pPr>
      <w:spacing w:before="480" w:after="480" w:line="280" w:lineRule="atLeast"/>
    </w:pPr>
    <w:rPr>
      <w:rFonts w:ascii="Arial" w:eastAsia="Times New Roman" w:hAnsi="Arial" w:cs="Times New Roman"/>
      <w:iCs/>
      <w:color w:val="646464"/>
      <w:sz w:val="20"/>
      <w:szCs w:val="28"/>
      <w:lang w:eastAsia="en-GB"/>
    </w:rPr>
  </w:style>
  <w:style w:type="paragraph" w:customStyle="1" w:styleId="ListBullet-Hymans">
    <w:name w:val="List Bullet - Hymans"/>
    <w:basedOn w:val="Normal"/>
    <w:uiPriority w:val="99"/>
    <w:rsid w:val="00891A96"/>
    <w:pPr>
      <w:tabs>
        <w:tab w:val="num" w:pos="360"/>
      </w:tabs>
      <w:spacing w:before="20" w:after="0" w:line="280" w:lineRule="atLeast"/>
      <w:ind w:left="360" w:hanging="360"/>
      <w:jc w:val="both"/>
    </w:pPr>
    <w:rPr>
      <w:rFonts w:ascii="Arial" w:eastAsia="Times New Roman" w:hAnsi="Arial" w:cs="Arial"/>
      <w:iCs/>
      <w:color w:val="000000"/>
      <w:sz w:val="20"/>
      <w:szCs w:val="20"/>
      <w:lang w:eastAsia="en-GB"/>
    </w:rPr>
  </w:style>
  <w:style w:type="paragraph" w:customStyle="1" w:styleId="NormalLeft">
    <w:name w:val="Normal Left"/>
    <w:basedOn w:val="Normal"/>
    <w:uiPriority w:val="99"/>
    <w:rsid w:val="00891A96"/>
    <w:pPr>
      <w:spacing w:before="20" w:after="0" w:line="280" w:lineRule="atLeast"/>
      <w:ind w:left="-400"/>
      <w:jc w:val="both"/>
    </w:pPr>
    <w:rPr>
      <w:rFonts w:ascii="Arial" w:eastAsia="Times New Roman" w:hAnsi="Arial" w:cs="Times New Roman"/>
      <w:iCs/>
      <w:color w:val="000000"/>
      <w:sz w:val="20"/>
      <w:szCs w:val="20"/>
      <w:lang w:eastAsia="en-GB"/>
    </w:rPr>
  </w:style>
  <w:style w:type="paragraph" w:customStyle="1" w:styleId="Signatory">
    <w:name w:val="Signatory"/>
    <w:basedOn w:val="Normal"/>
    <w:uiPriority w:val="99"/>
    <w:rsid w:val="00891A96"/>
    <w:pPr>
      <w:spacing w:before="20" w:after="200" w:line="280" w:lineRule="atLeast"/>
    </w:pPr>
    <w:rPr>
      <w:rFonts w:ascii="Arial" w:eastAsia="Times New Roman" w:hAnsi="Arial" w:cs="Arial"/>
      <w:iCs/>
      <w:sz w:val="16"/>
      <w:szCs w:val="20"/>
      <w:lang w:eastAsia="en-GB"/>
    </w:rPr>
  </w:style>
  <w:style w:type="paragraph" w:customStyle="1" w:styleId="StyleLeft45cm">
    <w:name w:val="Style Left:  4.5 cm"/>
    <w:basedOn w:val="Normal"/>
    <w:uiPriority w:val="99"/>
    <w:rsid w:val="00891A96"/>
    <w:pPr>
      <w:spacing w:before="20" w:after="0" w:line="280" w:lineRule="atLeast"/>
      <w:ind w:left="2552"/>
      <w:jc w:val="both"/>
    </w:pPr>
    <w:rPr>
      <w:rFonts w:ascii="Arial" w:eastAsia="Times New Roman" w:hAnsi="Arial" w:cs="Times New Roman"/>
      <w:iCs/>
      <w:color w:val="000000"/>
      <w:sz w:val="20"/>
      <w:szCs w:val="20"/>
      <w:lang w:eastAsia="en-GB"/>
    </w:rPr>
  </w:style>
  <w:style w:type="paragraph" w:customStyle="1" w:styleId="StyleTenderVerticalSmallLeftBefore1ptAfter1pt">
    <w:name w:val="Style Tender Vertical Small + Left Before:  1 pt After:  1 pt"/>
    <w:basedOn w:val="TenderVerticalSmall"/>
    <w:uiPriority w:val="99"/>
    <w:rsid w:val="00891A96"/>
    <w:pPr>
      <w:spacing w:after="20"/>
      <w:jc w:val="left"/>
    </w:pPr>
    <w:rPr>
      <w:rFonts w:cs="Times New Roman"/>
      <w:iCs w:val="0"/>
      <w:szCs w:val="20"/>
    </w:rPr>
  </w:style>
  <w:style w:type="paragraph" w:customStyle="1" w:styleId="TableColumn1">
    <w:name w:val="Table Column1"/>
    <w:basedOn w:val="TableHeader"/>
    <w:autoRedefine/>
    <w:uiPriority w:val="99"/>
    <w:rsid w:val="00891A96"/>
  </w:style>
  <w:style w:type="paragraph" w:customStyle="1" w:styleId="TableHeader">
    <w:name w:val="Table Header"/>
    <w:basedOn w:val="TableText"/>
    <w:uiPriority w:val="99"/>
    <w:rsid w:val="00891A96"/>
    <w:pPr>
      <w:spacing w:after="20"/>
    </w:pPr>
    <w:rPr>
      <w:color w:val="FFFFFF"/>
    </w:rPr>
  </w:style>
  <w:style w:type="paragraph" w:customStyle="1" w:styleId="TableText">
    <w:name w:val="Table Text"/>
    <w:basedOn w:val="Normal"/>
    <w:uiPriority w:val="99"/>
    <w:rsid w:val="00891A96"/>
    <w:pPr>
      <w:spacing w:before="20" w:after="200" w:line="280" w:lineRule="atLeast"/>
    </w:pPr>
    <w:rPr>
      <w:rFonts w:ascii="Arial" w:eastAsia="Times New Roman" w:hAnsi="Arial" w:cs="Arial"/>
      <w:iCs/>
      <w:sz w:val="20"/>
      <w:szCs w:val="20"/>
      <w:lang w:eastAsia="en-GB"/>
    </w:rPr>
  </w:style>
  <w:style w:type="paragraph" w:customStyle="1" w:styleId="TableHeaderText-Hymans">
    <w:name w:val="TableHeaderText - Hymans"/>
    <w:basedOn w:val="Normal"/>
    <w:uiPriority w:val="99"/>
    <w:rsid w:val="00891A96"/>
    <w:pPr>
      <w:spacing w:before="20" w:after="0" w:line="280" w:lineRule="atLeast"/>
      <w:jc w:val="both"/>
    </w:pPr>
    <w:rPr>
      <w:rFonts w:ascii="Times New Roman" w:eastAsia="Times New Roman" w:hAnsi="Times New Roman" w:cs="Times New Roman"/>
      <w:iCs/>
      <w:color w:val="000000"/>
      <w:sz w:val="24"/>
      <w:szCs w:val="24"/>
      <w:lang w:eastAsia="en-GB"/>
    </w:rPr>
  </w:style>
  <w:style w:type="paragraph" w:customStyle="1" w:styleId="TableSpacer">
    <w:name w:val="TableSpacer"/>
    <w:basedOn w:val="Normal"/>
    <w:next w:val="Heading2"/>
    <w:uiPriority w:val="99"/>
    <w:rsid w:val="00891A96"/>
    <w:pPr>
      <w:spacing w:before="240" w:after="0" w:line="280" w:lineRule="atLeast"/>
      <w:jc w:val="both"/>
    </w:pPr>
    <w:rPr>
      <w:rFonts w:ascii="Arial" w:eastAsia="Times New Roman" w:hAnsi="Arial" w:cs="Arial"/>
      <w:iCs/>
      <w:color w:val="FFFFFF"/>
      <w:sz w:val="24"/>
      <w:szCs w:val="20"/>
      <w:lang w:eastAsia="en-GB"/>
    </w:rPr>
  </w:style>
  <w:style w:type="paragraph" w:customStyle="1" w:styleId="TableText-Hymans">
    <w:name w:val="TableText - Hymans"/>
    <w:basedOn w:val="Normal"/>
    <w:uiPriority w:val="99"/>
    <w:rsid w:val="00891A96"/>
    <w:pPr>
      <w:spacing w:before="20" w:after="0" w:line="280" w:lineRule="atLeast"/>
      <w:jc w:val="both"/>
    </w:pPr>
    <w:rPr>
      <w:rFonts w:ascii="Times New Roman" w:eastAsia="Times New Roman" w:hAnsi="Times New Roman" w:cs="Times New Roman"/>
      <w:iCs/>
      <w:color w:val="000000"/>
      <w:sz w:val="24"/>
      <w:szCs w:val="24"/>
      <w:lang w:eastAsia="en-GB"/>
    </w:rPr>
  </w:style>
  <w:style w:type="paragraph" w:customStyle="1" w:styleId="TenderAppendix">
    <w:name w:val="Tender Appendix"/>
    <w:next w:val="Normal"/>
    <w:uiPriority w:val="99"/>
    <w:rsid w:val="00891A96"/>
    <w:pPr>
      <w:keepNext/>
      <w:keepLines/>
      <w:spacing w:before="20" w:after="0" w:line="240" w:lineRule="auto"/>
    </w:pPr>
    <w:rPr>
      <w:rFonts w:ascii="Arial" w:eastAsia="Times New Roman" w:hAnsi="Arial" w:cs="Times New Roman"/>
      <w:caps/>
      <w:color w:val="40A6CC"/>
      <w:sz w:val="36"/>
      <w:szCs w:val="20"/>
      <w:lang w:eastAsia="en-GB"/>
    </w:rPr>
  </w:style>
  <w:style w:type="paragraph" w:customStyle="1" w:styleId="TenderBluetext">
    <w:name w:val="Tender Blue text"/>
    <w:basedOn w:val="Normal"/>
    <w:uiPriority w:val="99"/>
    <w:rsid w:val="00891A96"/>
    <w:pPr>
      <w:tabs>
        <w:tab w:val="right" w:pos="6271"/>
      </w:tabs>
      <w:spacing w:before="120" w:after="0" w:line="280" w:lineRule="atLeast"/>
    </w:pPr>
    <w:rPr>
      <w:rFonts w:ascii="Arial" w:eastAsia="Times New Roman" w:hAnsi="Arial" w:cs="Times New Roman"/>
      <w:color w:val="3FA6CC"/>
      <w:sz w:val="20"/>
      <w:szCs w:val="20"/>
      <w:lang w:eastAsia="en-GB"/>
    </w:rPr>
  </w:style>
  <w:style w:type="paragraph" w:customStyle="1" w:styleId="TenderBullet">
    <w:name w:val="Tender Bullet"/>
    <w:basedOn w:val="Normal"/>
    <w:uiPriority w:val="99"/>
    <w:rsid w:val="00891A96"/>
    <w:pPr>
      <w:tabs>
        <w:tab w:val="num" w:pos="360"/>
      </w:tabs>
      <w:spacing w:before="20" w:after="240" w:line="280" w:lineRule="atLeast"/>
      <w:ind w:left="360" w:right="-3" w:hanging="360"/>
      <w:jc w:val="both"/>
    </w:pPr>
    <w:rPr>
      <w:rFonts w:ascii="Arial" w:eastAsia="Times New Roman" w:hAnsi="Arial" w:cs="Arial"/>
      <w:b/>
      <w:iCs/>
      <w:color w:val="000000"/>
      <w:sz w:val="20"/>
      <w:szCs w:val="20"/>
      <w:lang w:eastAsia="en-GB"/>
    </w:rPr>
  </w:style>
  <w:style w:type="paragraph" w:customStyle="1" w:styleId="TenderH1">
    <w:name w:val="Tender H1"/>
    <w:next w:val="Normal"/>
    <w:uiPriority w:val="99"/>
    <w:rsid w:val="00891A96"/>
    <w:pPr>
      <w:keepNext/>
      <w:keepLines/>
      <w:tabs>
        <w:tab w:val="num" w:pos="0"/>
      </w:tabs>
      <w:spacing w:before="20" w:after="360" w:line="240" w:lineRule="auto"/>
      <w:ind w:hanging="403"/>
    </w:pPr>
    <w:rPr>
      <w:rFonts w:ascii="Arial" w:eastAsia="Times New Roman" w:hAnsi="Arial" w:cs="Times New Roman"/>
      <w:caps/>
      <w:color w:val="40A6CC"/>
      <w:sz w:val="36"/>
      <w:szCs w:val="20"/>
      <w:lang w:eastAsia="en-GB"/>
    </w:rPr>
  </w:style>
  <w:style w:type="paragraph" w:customStyle="1" w:styleId="TenderH2">
    <w:name w:val="Tender H2"/>
    <w:basedOn w:val="Normal"/>
    <w:next w:val="Normal"/>
    <w:uiPriority w:val="99"/>
    <w:rsid w:val="00891A96"/>
    <w:pPr>
      <w:keepNext/>
      <w:keepLines/>
      <w:tabs>
        <w:tab w:val="num" w:pos="0"/>
      </w:tabs>
      <w:spacing w:before="20" w:after="0" w:line="280" w:lineRule="atLeast"/>
      <w:jc w:val="both"/>
    </w:pPr>
    <w:rPr>
      <w:rFonts w:ascii="Arial" w:eastAsia="Times New Roman" w:hAnsi="Arial" w:cs="Arial"/>
      <w:iCs/>
      <w:caps/>
      <w:color w:val="F06A00"/>
      <w:sz w:val="20"/>
      <w:szCs w:val="20"/>
      <w:lang w:eastAsia="en-GB"/>
    </w:rPr>
  </w:style>
  <w:style w:type="paragraph" w:customStyle="1" w:styleId="TenderIntro">
    <w:name w:val="Tender Intro"/>
    <w:uiPriority w:val="99"/>
    <w:rsid w:val="00891A96"/>
    <w:pPr>
      <w:spacing w:before="20" w:after="360" w:line="240" w:lineRule="auto"/>
      <w:ind w:left="-403"/>
    </w:pPr>
    <w:rPr>
      <w:rFonts w:ascii="Arial" w:eastAsia="Times New Roman" w:hAnsi="Arial" w:cs="Times New Roman"/>
      <w:caps/>
      <w:color w:val="40A6CC"/>
      <w:sz w:val="36"/>
      <w:szCs w:val="20"/>
      <w:lang w:eastAsia="en-GB"/>
    </w:rPr>
  </w:style>
  <w:style w:type="paragraph" w:customStyle="1" w:styleId="TenderQuestion">
    <w:name w:val="Tender Question"/>
    <w:next w:val="BodyTextGrey"/>
    <w:uiPriority w:val="99"/>
    <w:rsid w:val="00891A96"/>
    <w:pPr>
      <w:numPr>
        <w:numId w:val="13"/>
      </w:numPr>
      <w:tabs>
        <w:tab w:val="left" w:pos="567"/>
      </w:tabs>
      <w:spacing w:before="20" w:after="20" w:line="240" w:lineRule="auto"/>
    </w:pPr>
    <w:rPr>
      <w:rFonts w:ascii="Arial" w:eastAsia="Times New Roman" w:hAnsi="Arial" w:cs="Arial"/>
      <w:iCs/>
      <w:color w:val="3FA6CC"/>
      <w:sz w:val="20"/>
      <w:szCs w:val="20"/>
    </w:rPr>
  </w:style>
  <w:style w:type="paragraph" w:customStyle="1" w:styleId="TenderTableHeader">
    <w:name w:val="Tender Table Header"/>
    <w:basedOn w:val="Normal"/>
    <w:uiPriority w:val="99"/>
    <w:rsid w:val="00891A96"/>
    <w:pPr>
      <w:spacing w:before="20" w:after="0" w:line="280" w:lineRule="atLeast"/>
      <w:jc w:val="both"/>
    </w:pPr>
    <w:rPr>
      <w:rFonts w:ascii="Arial" w:eastAsia="Times New Roman" w:hAnsi="Arial" w:cs="Arial"/>
      <w:iCs/>
      <w:color w:val="FFFFFF"/>
      <w:sz w:val="20"/>
      <w:szCs w:val="20"/>
      <w:lang w:eastAsia="en-GB"/>
    </w:rPr>
  </w:style>
  <w:style w:type="paragraph" w:customStyle="1" w:styleId="TenderVerticalBigBlue">
    <w:name w:val="Tender Vertical Big Blue"/>
    <w:uiPriority w:val="99"/>
    <w:rsid w:val="00891A96"/>
    <w:pPr>
      <w:tabs>
        <w:tab w:val="right" w:pos="9180"/>
      </w:tabs>
      <w:spacing w:before="20" w:after="0" w:line="280" w:lineRule="atLeast"/>
    </w:pPr>
    <w:rPr>
      <w:rFonts w:ascii="Arial" w:eastAsia="Times New Roman" w:hAnsi="Arial" w:cs="Arial"/>
      <w:iCs/>
      <w:caps/>
      <w:color w:val="40A6CC"/>
      <w:sz w:val="112"/>
      <w:szCs w:val="112"/>
      <w:lang w:eastAsia="en-GB"/>
    </w:rPr>
  </w:style>
  <w:style w:type="paragraph" w:customStyle="1" w:styleId="TenderVerticalSmall">
    <w:name w:val="Tender Vertical Small"/>
    <w:basedOn w:val="Normal"/>
    <w:uiPriority w:val="99"/>
    <w:rsid w:val="00891A96"/>
    <w:pPr>
      <w:tabs>
        <w:tab w:val="right" w:pos="9180"/>
      </w:tabs>
      <w:spacing w:before="20" w:after="0" w:line="280" w:lineRule="atLeast"/>
      <w:jc w:val="both"/>
    </w:pPr>
    <w:rPr>
      <w:rFonts w:ascii="Arial" w:eastAsia="Times New Roman" w:hAnsi="Arial" w:cs="Arial"/>
      <w:iCs/>
      <w:caps/>
      <w:color w:val="646464"/>
      <w:sz w:val="36"/>
      <w:szCs w:val="36"/>
      <w:lang w:eastAsia="en-GB"/>
    </w:rPr>
  </w:style>
  <w:style w:type="paragraph" w:customStyle="1" w:styleId="TitleLogo">
    <w:name w:val="Title Logo"/>
    <w:basedOn w:val="Normal"/>
    <w:uiPriority w:val="99"/>
    <w:rsid w:val="00891A96"/>
    <w:pPr>
      <w:spacing w:before="1200" w:after="1560" w:line="280" w:lineRule="atLeast"/>
      <w:jc w:val="both"/>
    </w:pPr>
    <w:rPr>
      <w:rFonts w:ascii="Arial" w:eastAsia="Times New Roman" w:hAnsi="Arial" w:cs="Arial"/>
      <w:b/>
      <w:iCs/>
      <w:color w:val="000000"/>
      <w:sz w:val="56"/>
      <w:szCs w:val="20"/>
      <w:lang w:eastAsia="en-GB"/>
    </w:rPr>
  </w:style>
  <w:style w:type="paragraph" w:customStyle="1" w:styleId="Action">
    <w:name w:val="Action"/>
    <w:basedOn w:val="Normal"/>
    <w:link w:val="ActionChar"/>
    <w:uiPriority w:val="99"/>
    <w:rsid w:val="00891A96"/>
    <w:pPr>
      <w:spacing w:before="20" w:after="200" w:line="280" w:lineRule="atLeast"/>
    </w:pPr>
    <w:rPr>
      <w:rFonts w:ascii="Arial" w:eastAsia="Times New Roman" w:hAnsi="Arial" w:cs="Arial"/>
      <w:iCs/>
      <w:color w:val="3FA6CC"/>
      <w:sz w:val="20"/>
      <w:szCs w:val="20"/>
      <w:lang w:eastAsia="en-GB"/>
    </w:rPr>
  </w:style>
  <w:style w:type="character" w:customStyle="1" w:styleId="ActionChar">
    <w:name w:val="Action Char"/>
    <w:basedOn w:val="DefaultParagraphFont"/>
    <w:link w:val="Action"/>
    <w:uiPriority w:val="99"/>
    <w:locked/>
    <w:rsid w:val="00891A96"/>
    <w:rPr>
      <w:rFonts w:ascii="Arial" w:eastAsia="Times New Roman" w:hAnsi="Arial" w:cs="Arial"/>
      <w:iCs/>
      <w:color w:val="3FA6CC"/>
      <w:sz w:val="20"/>
      <w:szCs w:val="20"/>
      <w:lang w:eastAsia="en-GB"/>
    </w:rPr>
  </w:style>
  <w:style w:type="table" w:customStyle="1" w:styleId="LightShading-Accent11">
    <w:name w:val="Light Shading - Accent 11"/>
    <w:aliases w:val="serena"/>
    <w:uiPriority w:val="99"/>
    <w:rsid w:val="00891A96"/>
    <w:pPr>
      <w:spacing w:before="20" w:after="0" w:line="240" w:lineRule="auto"/>
    </w:pPr>
    <w:rPr>
      <w:rFonts w:ascii="Times New Roman" w:eastAsia="Times New Roman" w:hAnsi="Times New Roman" w:cs="Times New Roman"/>
      <w:color w:val="0B5294"/>
      <w:sz w:val="20"/>
      <w:szCs w:val="20"/>
      <w:lang w:eastAsia="en-GB"/>
    </w:rPr>
    <w:tblPr>
      <w:tblStyleRowBandSize w:val="1"/>
      <w:tblStyleColBandSize w:val="1"/>
      <w:tblInd w:w="0" w:type="dxa"/>
      <w:tblBorders>
        <w:top w:val="single" w:sz="8" w:space="0" w:color="0F6FC6"/>
        <w:bottom w:val="single" w:sz="8" w:space="0" w:color="0F6FC6"/>
      </w:tblBorders>
      <w:tblCellMar>
        <w:top w:w="0" w:type="dxa"/>
        <w:left w:w="108" w:type="dxa"/>
        <w:bottom w:w="0" w:type="dxa"/>
        <w:right w:w="108" w:type="dxa"/>
      </w:tblCellMar>
    </w:tblPr>
    <w:tblStylePr w:type="firstRow">
      <w:pPr>
        <w:spacing w:before="0" w:after="0"/>
      </w:pPr>
      <w:rPr>
        <w:rFonts w:cs="Times New Roman"/>
        <w:b/>
        <w:bCs/>
        <w:color w:val="auto"/>
      </w:rPr>
      <w:tblPr/>
      <w:tcPr>
        <w:shd w:val="clear" w:color="auto" w:fill="0B1F36"/>
      </w:tcPr>
    </w:tblStylePr>
    <w:tblStylePr w:type="lastRow">
      <w:pPr>
        <w:spacing w:before="0" w:after="0"/>
      </w:pPr>
      <w:rPr>
        <w:rFonts w:cs="Times New Roman"/>
        <w:b/>
        <w:bCs/>
      </w:rPr>
      <w:tblPr/>
      <w:tcPr>
        <w:tcBorders>
          <w:top w:val="single" w:sz="8" w:space="0" w:color="0F6FC6"/>
          <w:left w:val="nil"/>
          <w:bottom w:val="single" w:sz="8" w:space="0" w:color="0F6F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BADBF9"/>
      </w:tcPr>
    </w:tblStylePr>
    <w:tblStylePr w:type="band1Horz">
      <w:rPr>
        <w:rFonts w:cs="Times New Roman"/>
      </w:rPr>
      <w:tblPr/>
      <w:tcPr>
        <w:tcBorders>
          <w:left w:val="nil"/>
          <w:right w:val="nil"/>
          <w:insideH w:val="nil"/>
          <w:insideV w:val="nil"/>
        </w:tcBorders>
        <w:shd w:val="clear" w:color="auto" w:fill="BADBF9"/>
      </w:tcPr>
    </w:tblStylePr>
  </w:style>
  <w:style w:type="table" w:styleId="LightShading-Accent5">
    <w:name w:val="Light Shading Accent 5"/>
    <w:basedOn w:val="TableNormal"/>
    <w:uiPriority w:val="99"/>
    <w:rsid w:val="00891A96"/>
    <w:pPr>
      <w:spacing w:before="20" w:after="0" w:line="240" w:lineRule="auto"/>
    </w:pPr>
    <w:rPr>
      <w:rFonts w:ascii="Times New Roman" w:eastAsia="Times New Roman" w:hAnsi="Times New Roman" w:cs="Times New Roman"/>
      <w:color w:val="54A738"/>
      <w:sz w:val="20"/>
      <w:szCs w:val="20"/>
      <w:lang w:eastAsia="en-GB"/>
    </w:rPr>
    <w:tblPr>
      <w:tblStyleRowBandSize w:val="1"/>
      <w:tblStyleColBandSize w:val="1"/>
      <w:tblBorders>
        <w:top w:val="single" w:sz="8" w:space="0" w:color="7CCA62"/>
        <w:bottom w:val="single" w:sz="8" w:space="0" w:color="7CCA62"/>
      </w:tblBorders>
    </w:tblPr>
    <w:tblStylePr w:type="firstRow">
      <w:pPr>
        <w:spacing w:before="0" w:after="0"/>
      </w:pPr>
      <w:rPr>
        <w:rFonts w:cs="Times New Roman"/>
        <w:b/>
        <w:bCs/>
      </w:rPr>
      <w:tblPr/>
      <w:tcPr>
        <w:tcBorders>
          <w:top w:val="single" w:sz="8" w:space="0" w:color="7CCA62"/>
          <w:left w:val="nil"/>
          <w:bottom w:val="single" w:sz="8" w:space="0" w:color="7CCA62"/>
          <w:right w:val="nil"/>
          <w:insideH w:val="nil"/>
          <w:insideV w:val="nil"/>
        </w:tcBorders>
      </w:tcPr>
    </w:tblStylePr>
    <w:tblStylePr w:type="lastRow">
      <w:pPr>
        <w:spacing w:before="0" w:after="0"/>
      </w:pPr>
      <w:rPr>
        <w:rFonts w:cs="Times New Roman"/>
        <w:b/>
        <w:bCs/>
      </w:rPr>
      <w:tblPr/>
      <w:tcPr>
        <w:tcBorders>
          <w:top w:val="single" w:sz="8" w:space="0" w:color="7CCA62"/>
          <w:left w:val="nil"/>
          <w:bottom w:val="single" w:sz="8" w:space="0" w:color="7CCA62"/>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EF2D8"/>
      </w:tcPr>
    </w:tblStylePr>
    <w:tblStylePr w:type="band1Horz">
      <w:rPr>
        <w:rFonts w:cs="Times New Roman"/>
      </w:rPr>
      <w:tblPr/>
      <w:tcPr>
        <w:tcBorders>
          <w:left w:val="nil"/>
          <w:right w:val="nil"/>
          <w:insideH w:val="nil"/>
          <w:insideV w:val="nil"/>
        </w:tcBorders>
        <w:shd w:val="clear" w:color="auto" w:fill="DEF2D8"/>
      </w:tcPr>
    </w:tblStylePr>
  </w:style>
  <w:style w:type="paragraph" w:customStyle="1" w:styleId="BodyTextNum">
    <w:name w:val="Body Text Num"/>
    <w:basedOn w:val="Normal"/>
    <w:uiPriority w:val="99"/>
    <w:rsid w:val="00891A96"/>
    <w:pPr>
      <w:spacing w:before="20" w:after="200" w:line="280" w:lineRule="atLeast"/>
    </w:pPr>
    <w:rPr>
      <w:rFonts w:ascii="Arial" w:eastAsia="Times New Roman" w:hAnsi="Arial" w:cs="Arial"/>
      <w:iCs/>
      <w:sz w:val="20"/>
      <w:szCs w:val="20"/>
      <w:lang w:eastAsia="en-GB"/>
    </w:rPr>
  </w:style>
  <w:style w:type="paragraph" w:customStyle="1" w:styleId="ByLine">
    <w:name w:val="ByLine"/>
    <w:basedOn w:val="Normal"/>
    <w:uiPriority w:val="99"/>
    <w:rsid w:val="00891A96"/>
    <w:pPr>
      <w:framePr w:w="7042" w:h="2448" w:hRule="exact" w:hSpace="187" w:wrap="around" w:hAnchor="page" w:x="3889" w:y="8641" w:anchorLock="1"/>
      <w:spacing w:before="240" w:after="0" w:line="240" w:lineRule="auto"/>
      <w:ind w:left="864"/>
    </w:pPr>
    <w:rPr>
      <w:rFonts w:ascii="Arial" w:eastAsia="Times New Roman" w:hAnsi="Arial" w:cs="Arial"/>
      <w:b/>
      <w:sz w:val="20"/>
      <w:szCs w:val="20"/>
      <w:lang w:eastAsia="en-GB"/>
    </w:rPr>
  </w:style>
  <w:style w:type="paragraph" w:styleId="Caption">
    <w:name w:val="caption"/>
    <w:basedOn w:val="Normal"/>
    <w:next w:val="Normal"/>
    <w:uiPriority w:val="99"/>
    <w:qFormat/>
    <w:rsid w:val="00891A96"/>
    <w:pPr>
      <w:spacing w:before="120" w:after="120" w:line="280" w:lineRule="atLeast"/>
      <w:jc w:val="both"/>
    </w:pPr>
    <w:rPr>
      <w:rFonts w:ascii="Arial" w:eastAsia="Times New Roman" w:hAnsi="Arial" w:cs="Arial"/>
      <w:bCs/>
      <w:iCs/>
      <w:color w:val="000000"/>
      <w:sz w:val="20"/>
      <w:szCs w:val="20"/>
      <w:lang w:eastAsia="en-GB"/>
    </w:rPr>
  </w:style>
  <w:style w:type="character" w:styleId="FootnoteReference">
    <w:name w:val="footnote reference"/>
    <w:basedOn w:val="DefaultParagraphFont"/>
    <w:uiPriority w:val="99"/>
    <w:rsid w:val="00891A96"/>
    <w:rPr>
      <w:rFonts w:cs="Times New Roman"/>
      <w:vertAlign w:val="superscript"/>
    </w:rPr>
  </w:style>
  <w:style w:type="paragraph" w:styleId="FootnoteText">
    <w:name w:val="footnote text"/>
    <w:basedOn w:val="Normal"/>
    <w:link w:val="FootnoteTextChar"/>
    <w:uiPriority w:val="99"/>
    <w:rsid w:val="00891A96"/>
    <w:pPr>
      <w:spacing w:before="20" w:after="0" w:line="240" w:lineRule="auto"/>
    </w:pPr>
    <w:rPr>
      <w:rFonts w:ascii="Arial" w:eastAsia="Times New Roman" w:hAnsi="Arial" w:cs="Arial"/>
      <w:b/>
      <w:sz w:val="20"/>
      <w:szCs w:val="20"/>
      <w:lang w:eastAsia="en-GB"/>
    </w:rPr>
  </w:style>
  <w:style w:type="character" w:customStyle="1" w:styleId="FootnoteTextChar">
    <w:name w:val="Footnote Text Char"/>
    <w:basedOn w:val="DefaultParagraphFont"/>
    <w:link w:val="FootnoteText"/>
    <w:uiPriority w:val="99"/>
    <w:rsid w:val="00891A96"/>
    <w:rPr>
      <w:rFonts w:ascii="Arial" w:eastAsia="Times New Roman" w:hAnsi="Arial" w:cs="Arial"/>
      <w:b/>
      <w:sz w:val="20"/>
      <w:szCs w:val="20"/>
      <w:lang w:eastAsia="en-GB"/>
    </w:rPr>
  </w:style>
  <w:style w:type="paragraph" w:customStyle="1" w:styleId="OrangeTitle">
    <w:name w:val="OrangeTitle"/>
    <w:basedOn w:val="Normal"/>
    <w:uiPriority w:val="99"/>
    <w:rsid w:val="00891A96"/>
    <w:pPr>
      <w:spacing w:before="20" w:after="60" w:line="280" w:lineRule="atLeast"/>
    </w:pPr>
    <w:rPr>
      <w:rFonts w:ascii="Arial" w:eastAsia="Times New Roman" w:hAnsi="Arial" w:cs="Arial"/>
      <w:iCs/>
      <w:caps/>
      <w:color w:val="F06A00"/>
      <w:sz w:val="20"/>
      <w:szCs w:val="20"/>
      <w:lang w:eastAsia="en-GB"/>
    </w:rPr>
  </w:style>
  <w:style w:type="paragraph" w:customStyle="1" w:styleId="ReportDate">
    <w:name w:val="ReportDate"/>
    <w:basedOn w:val="Normal"/>
    <w:next w:val="Normal"/>
    <w:uiPriority w:val="99"/>
    <w:rsid w:val="00891A96"/>
    <w:pPr>
      <w:framePr w:w="2030" w:hSpace="187" w:wrap="auto" w:vAnchor="page" w:hAnchor="page" w:x="8699" w:y="13249" w:anchorLock="1"/>
      <w:spacing w:before="20" w:after="0" w:line="240" w:lineRule="auto"/>
      <w:jc w:val="right"/>
    </w:pPr>
    <w:rPr>
      <w:rFonts w:ascii="Arial" w:eastAsia="Times New Roman" w:hAnsi="Arial" w:cs="Arial"/>
      <w:b/>
      <w:noProof/>
      <w:sz w:val="18"/>
      <w:szCs w:val="20"/>
      <w:lang w:eastAsia="en-GB"/>
    </w:rPr>
  </w:style>
  <w:style w:type="paragraph" w:styleId="TableofFigures">
    <w:name w:val="table of figures"/>
    <w:basedOn w:val="Normal"/>
    <w:next w:val="Normal"/>
    <w:uiPriority w:val="99"/>
    <w:rsid w:val="00891A96"/>
    <w:pPr>
      <w:spacing w:before="20" w:after="0" w:line="280" w:lineRule="atLeast"/>
      <w:jc w:val="both"/>
    </w:pPr>
    <w:rPr>
      <w:rFonts w:ascii="Arial" w:eastAsia="Times New Roman" w:hAnsi="Arial" w:cs="Arial"/>
      <w:iCs/>
      <w:color w:val="000000"/>
      <w:sz w:val="20"/>
      <w:szCs w:val="20"/>
      <w:lang w:eastAsia="en-GB"/>
    </w:rPr>
  </w:style>
  <w:style w:type="table" w:styleId="MediumGrid3-Accent2">
    <w:name w:val="Medium Grid 3 Accent 2"/>
    <w:basedOn w:val="TableNormal"/>
    <w:uiPriority w:val="99"/>
    <w:rsid w:val="00891A96"/>
    <w:pPr>
      <w:spacing w:before="20"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6EAFF"/>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9DD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9DD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009DD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009DD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6DD6FF"/>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6DD6FF"/>
      </w:tcPr>
    </w:tblStylePr>
  </w:style>
  <w:style w:type="table" w:styleId="MediumShading1-Accent4">
    <w:name w:val="Medium Shading 1 Accent 4"/>
    <w:basedOn w:val="TableNormal"/>
    <w:uiPriority w:val="99"/>
    <w:rsid w:val="00891A96"/>
    <w:pPr>
      <w:spacing w:before="20"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37EFBD"/>
        <w:left w:val="single" w:sz="8" w:space="0" w:color="37EFBD"/>
        <w:bottom w:val="single" w:sz="8" w:space="0" w:color="37EFBD"/>
        <w:right w:val="single" w:sz="8" w:space="0" w:color="37EFBD"/>
        <w:insideH w:val="single" w:sz="8" w:space="0" w:color="37EFBD"/>
      </w:tblBorders>
    </w:tblPr>
    <w:tblStylePr w:type="firstRow">
      <w:pPr>
        <w:spacing w:before="0" w:after="0"/>
      </w:pPr>
      <w:rPr>
        <w:rFonts w:cs="Times New Roman"/>
        <w:b/>
        <w:bCs/>
        <w:color w:val="FFFFFF"/>
      </w:rPr>
      <w:tblPr/>
      <w:tcPr>
        <w:tcBorders>
          <w:top w:val="single" w:sz="8" w:space="0" w:color="37EFBD"/>
          <w:left w:val="single" w:sz="8" w:space="0" w:color="37EFBD"/>
          <w:bottom w:val="single" w:sz="8" w:space="0" w:color="37EFBD"/>
          <w:right w:val="single" w:sz="8" w:space="0" w:color="37EFBD"/>
          <w:insideH w:val="nil"/>
          <w:insideV w:val="nil"/>
        </w:tcBorders>
        <w:shd w:val="clear" w:color="auto" w:fill="10CF9B"/>
      </w:tcPr>
    </w:tblStylePr>
    <w:tblStylePr w:type="lastRow">
      <w:pPr>
        <w:spacing w:before="0" w:after="0"/>
      </w:pPr>
      <w:rPr>
        <w:rFonts w:cs="Times New Roman"/>
        <w:b/>
        <w:bCs/>
      </w:rPr>
      <w:tblPr/>
      <w:tcPr>
        <w:tcBorders>
          <w:top w:val="double" w:sz="6" w:space="0" w:color="37EFBD"/>
          <w:left w:val="single" w:sz="8" w:space="0" w:color="37EFBD"/>
          <w:bottom w:val="single" w:sz="8" w:space="0" w:color="37EFBD"/>
          <w:right w:val="single" w:sz="8" w:space="0" w:color="37EFB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BDFAE9"/>
      </w:tcPr>
    </w:tblStylePr>
    <w:tblStylePr w:type="band1Horz">
      <w:rPr>
        <w:rFonts w:cs="Times New Roman"/>
      </w:rPr>
      <w:tblPr/>
      <w:tcPr>
        <w:tcBorders>
          <w:insideH w:val="nil"/>
          <w:insideV w:val="nil"/>
        </w:tcBorders>
        <w:shd w:val="clear" w:color="auto" w:fill="BDFAE9"/>
      </w:tcPr>
    </w:tblStylePr>
    <w:tblStylePr w:type="band2Horz">
      <w:rPr>
        <w:rFonts w:cs="Times New Roman"/>
      </w:rPr>
      <w:tblPr/>
      <w:tcPr>
        <w:tcBorders>
          <w:insideH w:val="nil"/>
          <w:insideV w:val="nil"/>
        </w:tcBorders>
      </w:tcPr>
    </w:tblStylePr>
  </w:style>
  <w:style w:type="table" w:styleId="MediumShading1-Accent6">
    <w:name w:val="Medium Shading 1 Accent 6"/>
    <w:basedOn w:val="TableNormal"/>
    <w:uiPriority w:val="99"/>
    <w:rsid w:val="00891A96"/>
    <w:pPr>
      <w:spacing w:before="20"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BBD176"/>
        <w:left w:val="single" w:sz="8" w:space="0" w:color="BBD176"/>
        <w:bottom w:val="single" w:sz="8" w:space="0" w:color="BBD176"/>
        <w:right w:val="single" w:sz="8" w:space="0" w:color="BBD176"/>
        <w:insideH w:val="single" w:sz="8" w:space="0" w:color="BBD176"/>
      </w:tblBorders>
    </w:tblPr>
    <w:tblStylePr w:type="firstRow">
      <w:pPr>
        <w:spacing w:before="0" w:after="0"/>
      </w:pPr>
      <w:rPr>
        <w:rFonts w:ascii="Arial" w:hAnsi="Arial" w:cs="Times New Roman"/>
        <w:b/>
        <w:bCs/>
        <w:i w:val="0"/>
        <w:color w:val="FFFFFF"/>
      </w:rPr>
      <w:tblPr/>
      <w:tcPr>
        <w:tcBorders>
          <w:top w:val="single" w:sz="8" w:space="0" w:color="BBD176"/>
          <w:left w:val="single" w:sz="8" w:space="0" w:color="BBD176"/>
          <w:bottom w:val="single" w:sz="8" w:space="0" w:color="BBD176"/>
          <w:right w:val="single" w:sz="8" w:space="0" w:color="BBD176"/>
          <w:insideH w:val="nil"/>
          <w:insideV w:val="nil"/>
        </w:tcBorders>
        <w:shd w:val="clear" w:color="auto" w:fill="A5C249"/>
      </w:tcPr>
    </w:tblStylePr>
    <w:tblStylePr w:type="lastRow">
      <w:pPr>
        <w:spacing w:before="0" w:after="0"/>
      </w:pPr>
      <w:rPr>
        <w:rFonts w:cs="Times New Roman"/>
        <w:b/>
        <w:bCs/>
      </w:rPr>
      <w:tblPr/>
      <w:tcPr>
        <w:tcBorders>
          <w:top w:val="double" w:sz="6" w:space="0" w:color="BBD176"/>
          <w:left w:val="single" w:sz="8" w:space="0" w:color="BBD176"/>
          <w:bottom w:val="single" w:sz="8" w:space="0" w:color="BBD176"/>
          <w:right w:val="single" w:sz="8" w:space="0" w:color="BBD176"/>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8F0D1"/>
      </w:tcPr>
    </w:tblStylePr>
    <w:tblStylePr w:type="band1Horz">
      <w:rPr>
        <w:rFonts w:cs="Times New Roman"/>
      </w:rPr>
      <w:tblPr/>
      <w:tcPr>
        <w:tcBorders>
          <w:insideH w:val="nil"/>
          <w:insideV w:val="nil"/>
        </w:tcBorders>
        <w:shd w:val="clear" w:color="auto" w:fill="E8F0D1"/>
      </w:tcPr>
    </w:tblStylePr>
    <w:tblStylePr w:type="band2Horz">
      <w:rPr>
        <w:rFonts w:cs="Times New Roman"/>
      </w:rPr>
      <w:tblPr/>
      <w:tcPr>
        <w:tcBorders>
          <w:insideH w:val="nil"/>
          <w:insideV w:val="nil"/>
        </w:tcBorders>
      </w:tcPr>
    </w:tblStylePr>
  </w:style>
  <w:style w:type="table" w:styleId="MediumShading1-Accent5">
    <w:name w:val="Medium Shading 1 Accent 5"/>
    <w:basedOn w:val="TableNormal"/>
    <w:uiPriority w:val="99"/>
    <w:rsid w:val="00891A96"/>
    <w:pPr>
      <w:spacing w:before="20"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9CD789"/>
        <w:left w:val="single" w:sz="8" w:space="0" w:color="9CD789"/>
        <w:bottom w:val="single" w:sz="8" w:space="0" w:color="9CD789"/>
        <w:right w:val="single" w:sz="8" w:space="0" w:color="9CD789"/>
        <w:insideH w:val="single" w:sz="8" w:space="0" w:color="9CD789"/>
      </w:tblBorders>
    </w:tblPr>
    <w:tblStylePr w:type="firstRow">
      <w:pPr>
        <w:spacing w:before="0" w:after="0"/>
      </w:pPr>
      <w:rPr>
        <w:rFonts w:cs="Times New Roman"/>
        <w:b/>
        <w:bCs/>
        <w:color w:val="FFFFFF"/>
      </w:rPr>
      <w:tblPr/>
      <w:tcPr>
        <w:tcBorders>
          <w:top w:val="single" w:sz="8" w:space="0" w:color="9CD789"/>
          <w:left w:val="single" w:sz="8" w:space="0" w:color="9CD789"/>
          <w:bottom w:val="single" w:sz="8" w:space="0" w:color="9CD789"/>
          <w:right w:val="single" w:sz="8" w:space="0" w:color="9CD789"/>
          <w:insideH w:val="nil"/>
          <w:insideV w:val="nil"/>
        </w:tcBorders>
        <w:shd w:val="clear" w:color="auto" w:fill="7CCA62"/>
      </w:tcPr>
    </w:tblStylePr>
    <w:tblStylePr w:type="lastRow">
      <w:pPr>
        <w:spacing w:before="0" w:after="0"/>
      </w:pPr>
      <w:rPr>
        <w:rFonts w:cs="Times New Roman"/>
        <w:b/>
        <w:bCs/>
      </w:rPr>
      <w:tblPr/>
      <w:tcPr>
        <w:tcBorders>
          <w:top w:val="double" w:sz="6" w:space="0" w:color="9CD789"/>
          <w:left w:val="single" w:sz="8" w:space="0" w:color="9CD789"/>
          <w:bottom w:val="single" w:sz="8" w:space="0" w:color="9CD789"/>
          <w:right w:val="single" w:sz="8" w:space="0" w:color="9CD78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EF2D8"/>
      </w:tcPr>
    </w:tblStylePr>
    <w:tblStylePr w:type="band1Horz">
      <w:rPr>
        <w:rFonts w:cs="Times New Roman"/>
      </w:rPr>
      <w:tblPr/>
      <w:tcPr>
        <w:tcBorders>
          <w:insideH w:val="nil"/>
          <w:insideV w:val="nil"/>
        </w:tcBorders>
        <w:shd w:val="clear" w:color="auto" w:fill="DEF2D8"/>
      </w:tcPr>
    </w:tblStylePr>
    <w:tblStylePr w:type="band2Horz">
      <w:rPr>
        <w:rFonts w:cs="Times New Roman"/>
      </w:rPr>
      <w:tblPr/>
      <w:tcPr>
        <w:tcBorders>
          <w:insideH w:val="nil"/>
          <w:insideV w:val="nil"/>
        </w:tcBorders>
      </w:tcPr>
    </w:tblStylePr>
  </w:style>
  <w:style w:type="table" w:styleId="MediumShading2-Accent6">
    <w:name w:val="Medium Shading 2 Accent 6"/>
    <w:basedOn w:val="TableNormal"/>
    <w:uiPriority w:val="99"/>
    <w:rsid w:val="00891A96"/>
    <w:pPr>
      <w:spacing w:before="20" w:after="0" w:line="240" w:lineRule="auto"/>
    </w:pPr>
    <w:rPr>
      <w:rFonts w:ascii="Times New Roman" w:eastAsia="Times New Roman" w:hAnsi="Times New Roman" w:cs="Times New Roman"/>
      <w:sz w:val="20"/>
      <w:szCs w:val="20"/>
      <w:lang w:eastAsia="en-GB"/>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A5C24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A5C249"/>
      </w:tcPr>
    </w:tblStylePr>
    <w:tblStylePr w:type="lastCol">
      <w:rPr>
        <w:rFonts w:cs="Times New Roman"/>
        <w:b/>
        <w:bCs/>
        <w:color w:val="FFFFFF"/>
      </w:rPr>
      <w:tblPr/>
      <w:tcPr>
        <w:tcBorders>
          <w:left w:val="nil"/>
          <w:right w:val="nil"/>
          <w:insideH w:val="nil"/>
          <w:insideV w:val="nil"/>
        </w:tcBorders>
        <w:shd w:val="clear" w:color="auto" w:fill="A5C249"/>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DarkList-Accent3">
    <w:name w:val="Dark List Accent 3"/>
    <w:basedOn w:val="TableNormal"/>
    <w:uiPriority w:val="99"/>
    <w:rsid w:val="00891A96"/>
    <w:pPr>
      <w:spacing w:before="20" w:after="0" w:line="240" w:lineRule="auto"/>
    </w:pPr>
    <w:rPr>
      <w:rFonts w:ascii="Times New Roman" w:eastAsia="Times New Roman" w:hAnsi="Times New Roman" w:cs="Times New Roman"/>
      <w:color w:val="FFFFFF"/>
      <w:sz w:val="20"/>
      <w:szCs w:val="20"/>
      <w:lang w:eastAsia="en-GB"/>
    </w:rPr>
    <w:tblPr>
      <w:tblStyleRowBandSize w:val="1"/>
      <w:tblStyleColBandSize w:val="1"/>
    </w:tblPr>
    <w:tcPr>
      <w:shd w:val="clear" w:color="auto" w:fill="0BD0D9"/>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05676B"/>
      </w:tcPr>
    </w:tblStylePr>
    <w:tblStylePr w:type="firstCol">
      <w:rPr>
        <w:rFonts w:cs="Times New Roman"/>
      </w:rPr>
      <w:tblPr/>
      <w:tcPr>
        <w:tcBorders>
          <w:top w:val="nil"/>
          <w:left w:val="nil"/>
          <w:bottom w:val="nil"/>
          <w:right w:val="single" w:sz="18" w:space="0" w:color="FFFFFF"/>
          <w:insideH w:val="nil"/>
          <w:insideV w:val="nil"/>
        </w:tcBorders>
        <w:shd w:val="clear" w:color="auto" w:fill="089BA2"/>
      </w:tcPr>
    </w:tblStylePr>
    <w:tblStylePr w:type="lastCol">
      <w:rPr>
        <w:rFonts w:cs="Times New Roman"/>
      </w:rPr>
      <w:tblPr/>
      <w:tcPr>
        <w:tcBorders>
          <w:top w:val="nil"/>
          <w:left w:val="single" w:sz="18" w:space="0" w:color="FFFFFF"/>
          <w:bottom w:val="nil"/>
          <w:right w:val="nil"/>
          <w:insideH w:val="nil"/>
          <w:insideV w:val="nil"/>
        </w:tcBorders>
        <w:shd w:val="clear" w:color="auto" w:fill="089BA2"/>
      </w:tcPr>
    </w:tblStylePr>
    <w:tblStylePr w:type="band1Vert">
      <w:rPr>
        <w:rFonts w:cs="Times New Roman"/>
      </w:rPr>
      <w:tblPr/>
      <w:tcPr>
        <w:tcBorders>
          <w:top w:val="nil"/>
          <w:left w:val="nil"/>
          <w:bottom w:val="nil"/>
          <w:right w:val="nil"/>
          <w:insideH w:val="nil"/>
          <w:insideV w:val="nil"/>
        </w:tcBorders>
        <w:shd w:val="clear" w:color="auto" w:fill="089BA2"/>
      </w:tcPr>
    </w:tblStylePr>
    <w:tblStylePr w:type="band1Horz">
      <w:rPr>
        <w:rFonts w:cs="Times New Roman"/>
      </w:rPr>
      <w:tblPr/>
      <w:tcPr>
        <w:tcBorders>
          <w:top w:val="nil"/>
          <w:left w:val="nil"/>
          <w:bottom w:val="nil"/>
          <w:right w:val="nil"/>
          <w:insideH w:val="nil"/>
          <w:insideV w:val="nil"/>
        </w:tcBorders>
        <w:shd w:val="clear" w:color="auto" w:fill="089BA2"/>
      </w:tcPr>
    </w:tblStylePr>
  </w:style>
  <w:style w:type="table" w:customStyle="1" w:styleId="LightList-Accent11">
    <w:name w:val="Light List - Accent 11"/>
    <w:uiPriority w:val="99"/>
    <w:rsid w:val="00891A96"/>
    <w:pPr>
      <w:spacing w:before="20" w:after="0" w:line="240" w:lineRule="auto"/>
    </w:pPr>
    <w:rPr>
      <w:rFonts w:ascii="Times New Roman" w:eastAsia="Times New Roman" w:hAnsi="Times New Roman" w:cs="Times New Roman"/>
      <w:sz w:val="20"/>
      <w:szCs w:val="20"/>
      <w:lang w:eastAsia="en-GB"/>
    </w:rPr>
    <w:tblPr>
      <w:tblStyleRowBandSize w:val="1"/>
      <w:tblStyleColBandSize w:val="1"/>
      <w:tblInd w:w="0" w:type="dxa"/>
      <w:tblBorders>
        <w:top w:val="single" w:sz="8" w:space="0" w:color="0F6FC6"/>
        <w:left w:val="single" w:sz="8" w:space="0" w:color="0F6FC6"/>
        <w:bottom w:val="single" w:sz="8" w:space="0" w:color="0F6FC6"/>
        <w:right w:val="single" w:sz="8" w:space="0" w:color="0F6FC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0F6FC6"/>
      </w:tcPr>
    </w:tblStylePr>
    <w:tblStylePr w:type="lastRow">
      <w:pPr>
        <w:spacing w:before="0" w:after="0"/>
      </w:pPr>
      <w:rPr>
        <w:rFonts w:cs="Times New Roman"/>
        <w:b/>
        <w:bCs/>
      </w:rPr>
      <w:tblPr/>
      <w:tcPr>
        <w:tcBorders>
          <w:top w:val="double" w:sz="6" w:space="0" w:color="0F6FC6"/>
          <w:left w:val="single" w:sz="8" w:space="0" w:color="0F6FC6"/>
          <w:bottom w:val="single" w:sz="8" w:space="0" w:color="0F6FC6"/>
          <w:right w:val="single" w:sz="8" w:space="0" w:color="0F6F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F6FC6"/>
          <w:left w:val="single" w:sz="8" w:space="0" w:color="0F6FC6"/>
          <w:bottom w:val="single" w:sz="8" w:space="0" w:color="0F6FC6"/>
          <w:right w:val="single" w:sz="8" w:space="0" w:color="0F6FC6"/>
        </w:tcBorders>
      </w:tcPr>
    </w:tblStylePr>
    <w:tblStylePr w:type="band1Horz">
      <w:rPr>
        <w:rFonts w:cs="Times New Roman"/>
      </w:rPr>
      <w:tblPr/>
      <w:tcPr>
        <w:tcBorders>
          <w:top w:val="single" w:sz="8" w:space="0" w:color="0F6FC6"/>
          <w:left w:val="single" w:sz="8" w:space="0" w:color="0F6FC6"/>
          <w:bottom w:val="single" w:sz="8" w:space="0" w:color="0F6FC6"/>
          <w:right w:val="single" w:sz="8" w:space="0" w:color="0F6FC6"/>
        </w:tcBorders>
      </w:tcPr>
    </w:tblStylePr>
  </w:style>
  <w:style w:type="table" w:customStyle="1" w:styleId="LightList1">
    <w:name w:val="Light List1"/>
    <w:uiPriority w:val="99"/>
    <w:rsid w:val="00891A96"/>
    <w:pPr>
      <w:spacing w:before="20" w:after="0" w:line="240" w:lineRule="auto"/>
    </w:pPr>
    <w:rPr>
      <w:rFonts w:ascii="Times New Roman" w:eastAsia="Times New Roman" w:hAnsi="Times New Roman" w:cs="Times New Roman"/>
      <w:sz w:val="20"/>
      <w:szCs w:val="20"/>
      <w:lang w:eastAsia="en-GB"/>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pPr>
      <w:rPr>
        <w:rFonts w:cs="Times New Roman"/>
        <w:b w:val="0"/>
        <w:bCs/>
        <w:color w:val="FFFFFF"/>
      </w:rPr>
      <w:tblPr/>
      <w:tcPr>
        <w:shd w:val="clear" w:color="auto" w:fill="C0D7F1"/>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val="0"/>
        <w:bCs/>
        <w:i w:val="0"/>
      </w:rPr>
    </w:tblStylePr>
    <w:tblStylePr w:type="lastCol">
      <w:rPr>
        <w:rFonts w:cs="Times New Roman"/>
        <w:b w:val="0"/>
        <w:bCs/>
        <w:i w:val="0"/>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color w:val="000000"/>
      </w:rPr>
      <w:tblPr/>
      <w:tcPr>
        <w:tcBorders>
          <w:top w:val="single" w:sz="8" w:space="0" w:color="000000"/>
          <w:left w:val="single" w:sz="8" w:space="0" w:color="000000"/>
          <w:bottom w:val="single" w:sz="8" w:space="0" w:color="000000"/>
          <w:right w:val="single" w:sz="8" w:space="0" w:color="000000"/>
        </w:tcBorders>
      </w:tcPr>
    </w:tblStylePr>
    <w:tblStylePr w:type="band2Horz">
      <w:rPr>
        <w:rFonts w:cs="Times New Roman"/>
        <w:color w:val="000000"/>
      </w:rPr>
    </w:tblStylePr>
  </w:style>
  <w:style w:type="table" w:customStyle="1" w:styleId="LightShading1">
    <w:name w:val="Light Shading1"/>
    <w:uiPriority w:val="99"/>
    <w:rsid w:val="00891A96"/>
    <w:pPr>
      <w:spacing w:before="20" w:after="0" w:line="240" w:lineRule="auto"/>
    </w:pPr>
    <w:rPr>
      <w:rFonts w:ascii="Times New Roman" w:eastAsia="Times New Roman" w:hAnsi="Times New Roman" w:cs="Times New Roman"/>
      <w:color w:val="000000"/>
      <w:sz w:val="20"/>
      <w:szCs w:val="20"/>
      <w:lang w:eastAsia="en-GB"/>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LightShading-Accent12">
    <w:name w:val="Light Shading - Accent 12"/>
    <w:uiPriority w:val="99"/>
    <w:rsid w:val="00891A96"/>
    <w:pPr>
      <w:spacing w:before="20" w:after="0" w:line="240" w:lineRule="auto"/>
    </w:pPr>
    <w:rPr>
      <w:rFonts w:ascii="Times New Roman" w:eastAsia="Times New Roman" w:hAnsi="Times New Roman" w:cs="Times New Roman"/>
      <w:color w:val="0B5294"/>
      <w:sz w:val="20"/>
      <w:szCs w:val="20"/>
      <w:lang w:eastAsia="en-GB"/>
    </w:rPr>
    <w:tblPr>
      <w:tblStyleRowBandSize w:val="1"/>
      <w:tblStyleColBandSize w:val="1"/>
      <w:tblInd w:w="0" w:type="dxa"/>
      <w:tblBorders>
        <w:top w:val="single" w:sz="8" w:space="0" w:color="0F6FC6"/>
        <w:bottom w:val="single" w:sz="8" w:space="0" w:color="0F6FC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F6FC6"/>
          <w:left w:val="nil"/>
          <w:bottom w:val="single" w:sz="8" w:space="0" w:color="0F6FC6"/>
          <w:right w:val="nil"/>
          <w:insideH w:val="nil"/>
          <w:insideV w:val="nil"/>
        </w:tcBorders>
      </w:tcPr>
    </w:tblStylePr>
    <w:tblStylePr w:type="lastRow">
      <w:pPr>
        <w:spacing w:before="0" w:after="0"/>
      </w:pPr>
      <w:rPr>
        <w:rFonts w:cs="Times New Roman"/>
        <w:b/>
        <w:bCs/>
      </w:rPr>
      <w:tblPr/>
      <w:tcPr>
        <w:tcBorders>
          <w:top w:val="single" w:sz="8" w:space="0" w:color="0F6FC6"/>
          <w:left w:val="nil"/>
          <w:bottom w:val="single" w:sz="8" w:space="0" w:color="0F6F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BADBF9"/>
      </w:tcPr>
    </w:tblStylePr>
    <w:tblStylePr w:type="band1Horz">
      <w:rPr>
        <w:rFonts w:cs="Times New Roman"/>
      </w:rPr>
      <w:tblPr/>
      <w:tcPr>
        <w:tcBorders>
          <w:left w:val="nil"/>
          <w:right w:val="nil"/>
          <w:insideH w:val="nil"/>
          <w:insideV w:val="nil"/>
        </w:tcBorders>
        <w:shd w:val="clear" w:color="auto" w:fill="BADBF9"/>
      </w:tcPr>
    </w:tblStylePr>
  </w:style>
  <w:style w:type="table" w:styleId="LightShading-Accent2">
    <w:name w:val="Light Shading Accent 2"/>
    <w:basedOn w:val="TableNormal"/>
    <w:uiPriority w:val="99"/>
    <w:rsid w:val="00891A96"/>
    <w:pPr>
      <w:spacing w:before="20" w:after="0" w:line="240" w:lineRule="auto"/>
    </w:pPr>
    <w:rPr>
      <w:rFonts w:ascii="Times New Roman" w:eastAsia="Times New Roman" w:hAnsi="Times New Roman" w:cs="Times New Roman"/>
      <w:color w:val="0075A2"/>
      <w:sz w:val="20"/>
      <w:szCs w:val="20"/>
      <w:lang w:eastAsia="en-GB"/>
    </w:rPr>
    <w:tblPr>
      <w:tblStyleRowBandSize w:val="1"/>
      <w:tblStyleColBandSize w:val="1"/>
      <w:tblBorders>
        <w:top w:val="single" w:sz="8" w:space="0" w:color="009DD9"/>
        <w:bottom w:val="single" w:sz="8" w:space="0" w:color="009DD9"/>
      </w:tblBorders>
    </w:tblPr>
    <w:tblStylePr w:type="firstRow">
      <w:pPr>
        <w:spacing w:before="0" w:after="0"/>
      </w:pPr>
      <w:rPr>
        <w:rFonts w:cs="Times New Roman"/>
        <w:b/>
        <w:bCs/>
      </w:rPr>
      <w:tblPr/>
      <w:tcPr>
        <w:tcBorders>
          <w:top w:val="single" w:sz="8" w:space="0" w:color="009DD9"/>
          <w:left w:val="nil"/>
          <w:bottom w:val="single" w:sz="8" w:space="0" w:color="009DD9"/>
          <w:right w:val="nil"/>
          <w:insideH w:val="nil"/>
          <w:insideV w:val="nil"/>
        </w:tcBorders>
      </w:tcPr>
    </w:tblStylePr>
    <w:tblStylePr w:type="lastRow">
      <w:pPr>
        <w:spacing w:before="0" w:after="0"/>
      </w:pPr>
      <w:rPr>
        <w:rFonts w:cs="Times New Roman"/>
        <w:b/>
        <w:bCs/>
      </w:rPr>
      <w:tblPr/>
      <w:tcPr>
        <w:tcBorders>
          <w:top w:val="single" w:sz="8" w:space="0" w:color="009DD9"/>
          <w:left w:val="nil"/>
          <w:bottom w:val="single" w:sz="8" w:space="0" w:color="009DD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B6EAFF"/>
      </w:tcPr>
    </w:tblStylePr>
    <w:tblStylePr w:type="band1Horz">
      <w:rPr>
        <w:rFonts w:cs="Times New Roman"/>
      </w:rPr>
      <w:tblPr/>
      <w:tcPr>
        <w:tcBorders>
          <w:left w:val="nil"/>
          <w:right w:val="nil"/>
          <w:insideH w:val="nil"/>
          <w:insideV w:val="nil"/>
        </w:tcBorders>
        <w:shd w:val="clear" w:color="auto" w:fill="B6EAFF"/>
      </w:tcPr>
    </w:tblStylePr>
  </w:style>
  <w:style w:type="table" w:styleId="LightShading-Accent3">
    <w:name w:val="Light Shading Accent 3"/>
    <w:basedOn w:val="TableNormal"/>
    <w:uiPriority w:val="99"/>
    <w:rsid w:val="00891A96"/>
    <w:pPr>
      <w:spacing w:before="20" w:after="0" w:line="240" w:lineRule="auto"/>
    </w:pPr>
    <w:rPr>
      <w:rFonts w:ascii="Times New Roman" w:eastAsia="Times New Roman" w:hAnsi="Times New Roman" w:cs="Times New Roman"/>
      <w:color w:val="089BA2"/>
      <w:sz w:val="20"/>
      <w:szCs w:val="20"/>
      <w:lang w:eastAsia="en-GB"/>
    </w:rPr>
    <w:tblPr>
      <w:tblStyleRowBandSize w:val="1"/>
      <w:tblStyleColBandSize w:val="1"/>
      <w:tblBorders>
        <w:top w:val="single" w:sz="8" w:space="0" w:color="0BD0D9"/>
        <w:bottom w:val="single" w:sz="8" w:space="0" w:color="0BD0D9"/>
      </w:tblBorders>
    </w:tblPr>
    <w:tblStylePr w:type="firstRow">
      <w:pPr>
        <w:spacing w:before="0" w:after="0"/>
      </w:pPr>
      <w:rPr>
        <w:rFonts w:cs="Times New Roman"/>
        <w:b/>
        <w:bCs/>
      </w:rPr>
      <w:tblPr/>
      <w:tcPr>
        <w:tcBorders>
          <w:top w:val="single" w:sz="8" w:space="0" w:color="0BD0D9"/>
          <w:left w:val="nil"/>
          <w:bottom w:val="single" w:sz="8" w:space="0" w:color="0BD0D9"/>
          <w:right w:val="nil"/>
          <w:insideH w:val="nil"/>
          <w:insideV w:val="nil"/>
        </w:tcBorders>
      </w:tcPr>
    </w:tblStylePr>
    <w:tblStylePr w:type="lastRow">
      <w:pPr>
        <w:spacing w:before="0" w:after="0"/>
      </w:pPr>
      <w:rPr>
        <w:rFonts w:cs="Times New Roman"/>
        <w:b/>
        <w:bCs/>
      </w:rPr>
      <w:tblPr/>
      <w:tcPr>
        <w:tcBorders>
          <w:top w:val="single" w:sz="8" w:space="0" w:color="0BD0D9"/>
          <w:left w:val="nil"/>
          <w:bottom w:val="single" w:sz="8" w:space="0" w:color="0BD0D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BCF8FB"/>
      </w:tcPr>
    </w:tblStylePr>
    <w:tblStylePr w:type="band1Horz">
      <w:rPr>
        <w:rFonts w:cs="Times New Roman"/>
      </w:rPr>
      <w:tblPr/>
      <w:tcPr>
        <w:tcBorders>
          <w:left w:val="nil"/>
          <w:right w:val="nil"/>
          <w:insideH w:val="nil"/>
          <w:insideV w:val="nil"/>
        </w:tcBorders>
        <w:shd w:val="clear" w:color="auto" w:fill="BCF8FB"/>
      </w:tcPr>
    </w:tblStylePr>
  </w:style>
  <w:style w:type="table" w:styleId="LightList-Accent2">
    <w:name w:val="Light List Accent 2"/>
    <w:basedOn w:val="TableNormal"/>
    <w:uiPriority w:val="99"/>
    <w:rsid w:val="00891A96"/>
    <w:pPr>
      <w:spacing w:before="20"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009DD9"/>
        <w:left w:val="single" w:sz="8" w:space="0" w:color="009DD9"/>
        <w:bottom w:val="single" w:sz="8" w:space="0" w:color="009DD9"/>
        <w:right w:val="single" w:sz="8" w:space="0" w:color="009DD9"/>
      </w:tblBorders>
    </w:tblPr>
    <w:tblStylePr w:type="firstRow">
      <w:pPr>
        <w:spacing w:before="0" w:after="0"/>
      </w:pPr>
      <w:rPr>
        <w:rFonts w:cs="Times New Roman"/>
        <w:b/>
        <w:bCs/>
        <w:color w:val="FFFFFF"/>
      </w:rPr>
      <w:tblPr/>
      <w:tcPr>
        <w:shd w:val="clear" w:color="auto" w:fill="009DD9"/>
      </w:tcPr>
    </w:tblStylePr>
    <w:tblStylePr w:type="lastRow">
      <w:pPr>
        <w:spacing w:before="0" w:after="0"/>
      </w:pPr>
      <w:rPr>
        <w:rFonts w:cs="Times New Roman"/>
        <w:b/>
        <w:bCs/>
      </w:rPr>
      <w:tblPr/>
      <w:tcPr>
        <w:tcBorders>
          <w:top w:val="double" w:sz="6" w:space="0" w:color="009DD9"/>
          <w:left w:val="single" w:sz="8" w:space="0" w:color="009DD9"/>
          <w:bottom w:val="single" w:sz="8" w:space="0" w:color="009DD9"/>
          <w:right w:val="single" w:sz="8" w:space="0" w:color="009DD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9DD9"/>
          <w:left w:val="single" w:sz="8" w:space="0" w:color="009DD9"/>
          <w:bottom w:val="single" w:sz="8" w:space="0" w:color="009DD9"/>
          <w:right w:val="single" w:sz="8" w:space="0" w:color="009DD9"/>
        </w:tcBorders>
      </w:tcPr>
    </w:tblStylePr>
    <w:tblStylePr w:type="band1Horz">
      <w:rPr>
        <w:rFonts w:cs="Times New Roman"/>
      </w:rPr>
      <w:tblPr/>
      <w:tcPr>
        <w:tcBorders>
          <w:top w:val="single" w:sz="8" w:space="0" w:color="009DD9"/>
          <w:left w:val="single" w:sz="8" w:space="0" w:color="009DD9"/>
          <w:bottom w:val="single" w:sz="8" w:space="0" w:color="009DD9"/>
          <w:right w:val="single" w:sz="8" w:space="0" w:color="009DD9"/>
        </w:tcBorders>
      </w:tcPr>
    </w:tblStylePr>
  </w:style>
  <w:style w:type="table" w:styleId="LightList-Accent3">
    <w:name w:val="Light List Accent 3"/>
    <w:basedOn w:val="TableNormal"/>
    <w:uiPriority w:val="99"/>
    <w:rsid w:val="00891A96"/>
    <w:pPr>
      <w:spacing w:before="20"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0BD0D9"/>
        <w:left w:val="single" w:sz="8" w:space="0" w:color="0BD0D9"/>
        <w:bottom w:val="single" w:sz="8" w:space="0" w:color="0BD0D9"/>
        <w:right w:val="single" w:sz="8" w:space="0" w:color="0BD0D9"/>
      </w:tblBorders>
    </w:tblPr>
    <w:tblStylePr w:type="firstRow">
      <w:pPr>
        <w:spacing w:before="0" w:after="0"/>
      </w:pPr>
      <w:rPr>
        <w:rFonts w:cs="Times New Roman"/>
        <w:b/>
        <w:bCs/>
        <w:color w:val="FFFFFF"/>
      </w:rPr>
      <w:tblPr/>
      <w:tcPr>
        <w:shd w:val="clear" w:color="auto" w:fill="0BD0D9"/>
      </w:tcPr>
    </w:tblStylePr>
    <w:tblStylePr w:type="lastRow">
      <w:pPr>
        <w:spacing w:before="0" w:after="0"/>
      </w:pPr>
      <w:rPr>
        <w:rFonts w:cs="Times New Roman"/>
        <w:b/>
        <w:bCs/>
      </w:rPr>
      <w:tblPr/>
      <w:tcPr>
        <w:tcBorders>
          <w:top w:val="double" w:sz="6" w:space="0" w:color="0BD0D9"/>
          <w:left w:val="single" w:sz="8" w:space="0" w:color="0BD0D9"/>
          <w:bottom w:val="single" w:sz="8" w:space="0" w:color="0BD0D9"/>
          <w:right w:val="single" w:sz="8" w:space="0" w:color="0BD0D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BD0D9"/>
          <w:left w:val="single" w:sz="8" w:space="0" w:color="0BD0D9"/>
          <w:bottom w:val="single" w:sz="8" w:space="0" w:color="0BD0D9"/>
          <w:right w:val="single" w:sz="8" w:space="0" w:color="0BD0D9"/>
        </w:tcBorders>
      </w:tcPr>
    </w:tblStylePr>
    <w:tblStylePr w:type="band1Horz">
      <w:rPr>
        <w:rFonts w:cs="Times New Roman"/>
      </w:rPr>
      <w:tblPr/>
      <w:tcPr>
        <w:tcBorders>
          <w:top w:val="single" w:sz="8" w:space="0" w:color="0BD0D9"/>
          <w:left w:val="single" w:sz="8" w:space="0" w:color="0BD0D9"/>
          <w:bottom w:val="single" w:sz="8" w:space="0" w:color="0BD0D9"/>
          <w:right w:val="single" w:sz="8" w:space="0" w:color="0BD0D9"/>
        </w:tcBorders>
      </w:tcPr>
    </w:tblStylePr>
  </w:style>
  <w:style w:type="table" w:customStyle="1" w:styleId="MediumShading1-Accent11">
    <w:name w:val="Medium Shading 1 - Accent 11"/>
    <w:uiPriority w:val="99"/>
    <w:rsid w:val="00891A96"/>
    <w:pPr>
      <w:spacing w:before="20" w:after="0" w:line="240" w:lineRule="auto"/>
    </w:pPr>
    <w:rPr>
      <w:rFonts w:ascii="Times New Roman" w:eastAsia="Times New Roman" w:hAnsi="Times New Roman" w:cs="Times New Roman"/>
      <w:sz w:val="20"/>
      <w:szCs w:val="20"/>
      <w:lang w:eastAsia="en-GB"/>
    </w:rPr>
    <w:tblPr>
      <w:tblStyleRowBandSize w:val="1"/>
      <w:tblStyleColBandSize w:val="1"/>
      <w:tblInd w:w="0" w:type="dxa"/>
      <w:tblBorders>
        <w:top w:val="single" w:sz="8" w:space="0" w:color="3093EF"/>
        <w:left w:val="single" w:sz="8" w:space="0" w:color="3093EF"/>
        <w:bottom w:val="single" w:sz="8" w:space="0" w:color="3093EF"/>
        <w:right w:val="single" w:sz="8" w:space="0" w:color="3093EF"/>
        <w:insideH w:val="single" w:sz="8" w:space="0" w:color="3093EF"/>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3093EF"/>
          <w:left w:val="single" w:sz="8" w:space="0" w:color="3093EF"/>
          <w:bottom w:val="single" w:sz="8" w:space="0" w:color="3093EF"/>
          <w:right w:val="single" w:sz="8" w:space="0" w:color="3093EF"/>
          <w:insideH w:val="nil"/>
          <w:insideV w:val="nil"/>
        </w:tcBorders>
        <w:shd w:val="clear" w:color="auto" w:fill="0F6FC6"/>
      </w:tcPr>
    </w:tblStylePr>
    <w:tblStylePr w:type="lastRow">
      <w:pPr>
        <w:spacing w:before="0" w:after="0"/>
      </w:pPr>
      <w:rPr>
        <w:rFonts w:cs="Times New Roman"/>
        <w:b/>
        <w:bCs/>
      </w:rPr>
      <w:tblPr/>
      <w:tcPr>
        <w:tcBorders>
          <w:top w:val="double" w:sz="6" w:space="0" w:color="3093EF"/>
          <w:left w:val="single" w:sz="8" w:space="0" w:color="3093EF"/>
          <w:bottom w:val="single" w:sz="8" w:space="0" w:color="3093EF"/>
          <w:right w:val="single" w:sz="8" w:space="0" w:color="3093E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BADBF9"/>
      </w:tcPr>
    </w:tblStylePr>
    <w:tblStylePr w:type="band1Horz">
      <w:rPr>
        <w:rFonts w:cs="Times New Roman"/>
      </w:rPr>
      <w:tblPr/>
      <w:tcPr>
        <w:tcBorders>
          <w:insideH w:val="nil"/>
          <w:insideV w:val="nil"/>
        </w:tcBorders>
        <w:shd w:val="clear" w:color="auto" w:fill="BADBF9"/>
      </w:tcPr>
    </w:tblStylePr>
    <w:tblStylePr w:type="band2Horz">
      <w:rPr>
        <w:rFonts w:cs="Times New Roman"/>
      </w:rPr>
      <w:tblPr/>
      <w:tcPr>
        <w:tcBorders>
          <w:insideH w:val="nil"/>
          <w:insideV w:val="nil"/>
        </w:tcBorders>
      </w:tcPr>
    </w:tblStylePr>
  </w:style>
  <w:style w:type="paragraph" w:customStyle="1" w:styleId="White">
    <w:name w:val="White"/>
    <w:basedOn w:val="BodyText"/>
    <w:next w:val="BodyTextGrey"/>
    <w:uiPriority w:val="99"/>
    <w:rsid w:val="00891A96"/>
    <w:pPr>
      <w:spacing w:before="20" w:after="200" w:line="280" w:lineRule="atLeast"/>
      <w:ind w:right="0"/>
      <w:jc w:val="left"/>
    </w:pPr>
    <w:rPr>
      <w:rFonts w:ascii="Arial" w:hAnsi="Arial" w:cs="Arial"/>
      <w:iCs/>
      <w:color w:val="FFFFFF"/>
      <w:sz w:val="20"/>
      <w:lang w:val="en-GB" w:eastAsia="en-US"/>
    </w:rPr>
  </w:style>
  <w:style w:type="paragraph" w:customStyle="1" w:styleId="Orange">
    <w:name w:val="Orange"/>
    <w:basedOn w:val="Normal"/>
    <w:next w:val="BodyTextGrey"/>
    <w:uiPriority w:val="99"/>
    <w:rsid w:val="00891A96"/>
    <w:pPr>
      <w:spacing w:before="20" w:after="200" w:line="280" w:lineRule="atLeast"/>
    </w:pPr>
    <w:rPr>
      <w:rFonts w:ascii="Arial" w:eastAsia="Times New Roman" w:hAnsi="Arial" w:cs="Arial"/>
      <w:iCs/>
      <w:color w:val="0F6FC6"/>
      <w:sz w:val="20"/>
      <w:szCs w:val="20"/>
    </w:rPr>
  </w:style>
  <w:style w:type="paragraph" w:customStyle="1" w:styleId="Blue">
    <w:name w:val="Blue"/>
    <w:basedOn w:val="BodyText"/>
    <w:next w:val="BodyTextGrey"/>
    <w:uiPriority w:val="99"/>
    <w:rsid w:val="00891A96"/>
    <w:pPr>
      <w:spacing w:before="20" w:after="200" w:line="280" w:lineRule="atLeast"/>
      <w:ind w:right="0"/>
      <w:jc w:val="left"/>
    </w:pPr>
    <w:rPr>
      <w:rFonts w:ascii="Arial" w:hAnsi="Arial" w:cs="Arial"/>
      <w:iCs/>
      <w:color w:val="000000"/>
      <w:sz w:val="20"/>
      <w:lang w:val="en-GB" w:eastAsia="en-US"/>
    </w:rPr>
  </w:style>
  <w:style w:type="paragraph" w:customStyle="1" w:styleId="HRTest18">
    <w:name w:val="HRTest18"/>
    <w:basedOn w:val="Normal"/>
    <w:uiPriority w:val="99"/>
    <w:rsid w:val="00891A96"/>
    <w:pPr>
      <w:spacing w:before="20" w:after="20" w:line="280" w:lineRule="atLeast"/>
      <w:ind w:left="200"/>
      <w:jc w:val="both"/>
    </w:pPr>
    <w:rPr>
      <w:rFonts w:ascii="Arial" w:eastAsia="Times New Roman" w:hAnsi="Arial" w:cs="Arial"/>
      <w:iCs/>
      <w:caps/>
      <w:color w:val="FF9900"/>
      <w:sz w:val="20"/>
      <w:szCs w:val="20"/>
      <w:lang w:eastAsia="en-GB"/>
    </w:rPr>
  </w:style>
  <w:style w:type="table" w:styleId="LightList-Accent4">
    <w:name w:val="Light List Accent 4"/>
    <w:basedOn w:val="TableNormal"/>
    <w:uiPriority w:val="99"/>
    <w:rsid w:val="00891A96"/>
    <w:pPr>
      <w:spacing w:before="20"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10CF9B"/>
        <w:left w:val="single" w:sz="8" w:space="0" w:color="10CF9B"/>
        <w:bottom w:val="single" w:sz="8" w:space="0" w:color="10CF9B"/>
        <w:right w:val="single" w:sz="8" w:space="0" w:color="10CF9B"/>
      </w:tblBorders>
    </w:tblPr>
    <w:tblStylePr w:type="firstRow">
      <w:pPr>
        <w:spacing w:before="0" w:after="0"/>
      </w:pPr>
      <w:rPr>
        <w:rFonts w:cs="Times New Roman"/>
        <w:b/>
        <w:bCs/>
        <w:color w:val="FFFFFF"/>
      </w:rPr>
      <w:tblPr/>
      <w:tcPr>
        <w:shd w:val="clear" w:color="auto" w:fill="10CF9B"/>
      </w:tcPr>
    </w:tblStylePr>
    <w:tblStylePr w:type="lastRow">
      <w:pPr>
        <w:spacing w:before="0" w:after="0"/>
      </w:pPr>
      <w:rPr>
        <w:rFonts w:cs="Times New Roman"/>
        <w:b/>
        <w:bCs/>
      </w:rPr>
      <w:tblPr/>
      <w:tcPr>
        <w:tcBorders>
          <w:top w:val="double" w:sz="6" w:space="0" w:color="10CF9B"/>
          <w:left w:val="single" w:sz="8" w:space="0" w:color="10CF9B"/>
          <w:bottom w:val="single" w:sz="8" w:space="0" w:color="10CF9B"/>
          <w:right w:val="single" w:sz="8" w:space="0" w:color="10CF9B"/>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10CF9B"/>
          <w:left w:val="single" w:sz="8" w:space="0" w:color="10CF9B"/>
          <w:bottom w:val="single" w:sz="8" w:space="0" w:color="10CF9B"/>
          <w:right w:val="single" w:sz="8" w:space="0" w:color="10CF9B"/>
        </w:tcBorders>
      </w:tcPr>
    </w:tblStylePr>
    <w:tblStylePr w:type="band1Horz">
      <w:rPr>
        <w:rFonts w:cs="Times New Roman"/>
      </w:rPr>
      <w:tblPr/>
      <w:tcPr>
        <w:tcBorders>
          <w:top w:val="single" w:sz="8" w:space="0" w:color="10CF9B"/>
          <w:left w:val="single" w:sz="8" w:space="0" w:color="10CF9B"/>
          <w:bottom w:val="single" w:sz="8" w:space="0" w:color="10CF9B"/>
          <w:right w:val="single" w:sz="8" w:space="0" w:color="10CF9B"/>
        </w:tcBorders>
      </w:tcPr>
    </w:tblStylePr>
  </w:style>
  <w:style w:type="paragraph" w:customStyle="1" w:styleId="MeetingHeader">
    <w:name w:val="MeetingHeader"/>
    <w:basedOn w:val="Normal"/>
    <w:uiPriority w:val="99"/>
    <w:rsid w:val="00891A96"/>
    <w:pPr>
      <w:spacing w:before="20" w:after="20" w:line="280" w:lineRule="atLeast"/>
      <w:jc w:val="both"/>
    </w:pPr>
    <w:rPr>
      <w:rFonts w:ascii="Arial" w:eastAsia="Times New Roman" w:hAnsi="Arial" w:cs="Arial"/>
      <w:color w:val="4B4B4B"/>
      <w:sz w:val="20"/>
      <w:szCs w:val="20"/>
      <w:lang w:eastAsia="en-GB"/>
    </w:rPr>
  </w:style>
  <w:style w:type="paragraph" w:customStyle="1" w:styleId="MeetingHeaderCaps">
    <w:name w:val="MeetingHeaderCaps"/>
    <w:basedOn w:val="Normal"/>
    <w:uiPriority w:val="99"/>
    <w:rsid w:val="00891A96"/>
    <w:pPr>
      <w:spacing w:before="20" w:after="20" w:line="280" w:lineRule="atLeast"/>
      <w:jc w:val="both"/>
    </w:pPr>
    <w:rPr>
      <w:rFonts w:ascii="Arial" w:eastAsia="Times New Roman" w:hAnsi="Arial" w:cs="Arial"/>
      <w:caps/>
      <w:color w:val="4B4B4B"/>
      <w:sz w:val="20"/>
      <w:szCs w:val="20"/>
      <w:lang w:eastAsia="en-GB"/>
    </w:rPr>
  </w:style>
  <w:style w:type="paragraph" w:customStyle="1" w:styleId="MeetingTitle">
    <w:name w:val="MeetingTitle"/>
    <w:basedOn w:val="MeetingHeaderCaps"/>
    <w:next w:val="MeetingHeaderCaps"/>
    <w:uiPriority w:val="99"/>
    <w:rsid w:val="00891A96"/>
  </w:style>
  <w:style w:type="character" w:styleId="SubtleEmphasis">
    <w:name w:val="Subtle Emphasis"/>
    <w:basedOn w:val="DefaultParagraphFont"/>
    <w:uiPriority w:val="99"/>
    <w:qFormat/>
    <w:rsid w:val="00891A96"/>
    <w:rPr>
      <w:rFonts w:cs="Times New Roman"/>
      <w:i/>
      <w:iCs/>
      <w:color w:val="808080"/>
    </w:rPr>
  </w:style>
  <w:style w:type="paragraph" w:customStyle="1" w:styleId="StyleTenderVerticalBigBlue48ptLeft02cmRight02">
    <w:name w:val="Style Tender Vertical Big Blue + 48 pt Left:  0.2 cm Right:  0.2 ..."/>
    <w:basedOn w:val="TenderVerticalBigBlue"/>
    <w:uiPriority w:val="99"/>
    <w:rsid w:val="00891A96"/>
    <w:pPr>
      <w:spacing w:after="20"/>
      <w:ind w:left="113" w:right="113"/>
    </w:pPr>
    <w:rPr>
      <w:rFonts w:cs="Times New Roman"/>
      <w:iCs w:val="0"/>
      <w:caps w:val="0"/>
    </w:rPr>
  </w:style>
  <w:style w:type="paragraph" w:customStyle="1" w:styleId="BulletHymans">
    <w:name w:val="Bullet Hymans"/>
    <w:link w:val="BulletHymansChar"/>
    <w:uiPriority w:val="99"/>
    <w:rsid w:val="00891A96"/>
    <w:pPr>
      <w:numPr>
        <w:numId w:val="7"/>
      </w:numPr>
      <w:spacing w:before="20" w:after="140" w:line="280" w:lineRule="exact"/>
    </w:pPr>
    <w:rPr>
      <w:rFonts w:ascii="Arial" w:eastAsia="Times New Roman" w:hAnsi="Arial" w:cs="Arial"/>
      <w:iCs/>
      <w:color w:val="4B4B4B"/>
      <w:sz w:val="20"/>
      <w:szCs w:val="20"/>
    </w:rPr>
  </w:style>
  <w:style w:type="paragraph" w:customStyle="1" w:styleId="NumberHymans">
    <w:name w:val="Number Hymans"/>
    <w:uiPriority w:val="99"/>
    <w:rsid w:val="00891A96"/>
    <w:pPr>
      <w:numPr>
        <w:numId w:val="6"/>
      </w:numPr>
      <w:spacing w:before="20" w:after="140" w:line="280" w:lineRule="exact"/>
    </w:pPr>
    <w:rPr>
      <w:rFonts w:ascii="Arial" w:eastAsia="Times New Roman" w:hAnsi="Arial" w:cs="Arial"/>
      <w:iCs/>
      <w:color w:val="4B4B4B"/>
      <w:sz w:val="20"/>
      <w:szCs w:val="20"/>
    </w:rPr>
  </w:style>
  <w:style w:type="paragraph" w:customStyle="1" w:styleId="StyleTenderBluetextBefore1pt">
    <w:name w:val="Style Tender Blue text + Before:  1 pt"/>
    <w:basedOn w:val="TenderBluetext"/>
    <w:uiPriority w:val="99"/>
    <w:rsid w:val="00891A96"/>
    <w:pPr>
      <w:spacing w:before="20"/>
    </w:pPr>
    <w:rPr>
      <w:caps/>
    </w:rPr>
  </w:style>
  <w:style w:type="paragraph" w:customStyle="1" w:styleId="Filepath">
    <w:name w:val="Filepath"/>
    <w:uiPriority w:val="99"/>
    <w:rsid w:val="00891A96"/>
    <w:pPr>
      <w:spacing w:before="20" w:after="20" w:line="280" w:lineRule="atLeast"/>
      <w:ind w:left="-425"/>
    </w:pPr>
    <w:rPr>
      <w:rFonts w:ascii="Arial" w:eastAsia="Times New Roman" w:hAnsi="Arial" w:cs="Arial"/>
      <w:color w:val="4B4B4B"/>
      <w:sz w:val="14"/>
      <w:szCs w:val="20"/>
      <w:lang w:eastAsia="en-GB"/>
    </w:rPr>
  </w:style>
  <w:style w:type="character" w:styleId="FollowedHyperlink">
    <w:name w:val="FollowedHyperlink"/>
    <w:basedOn w:val="DefaultParagraphFont"/>
    <w:uiPriority w:val="99"/>
    <w:rsid w:val="00891A96"/>
    <w:rPr>
      <w:rFonts w:cs="Times New Roman"/>
      <w:color w:val="85DFD0"/>
      <w:u w:val="single"/>
    </w:rPr>
  </w:style>
  <w:style w:type="paragraph" w:customStyle="1" w:styleId="Pa10">
    <w:name w:val="Pa10"/>
    <w:basedOn w:val="Default"/>
    <w:next w:val="Default"/>
    <w:uiPriority w:val="99"/>
    <w:rsid w:val="00891A96"/>
    <w:pPr>
      <w:spacing w:line="231" w:lineRule="atLeast"/>
    </w:pPr>
    <w:rPr>
      <w:rFonts w:ascii="FS Lola" w:hAnsi="FS Lola" w:cs="Times New Roman"/>
      <w:color w:val="auto"/>
    </w:rPr>
  </w:style>
  <w:style w:type="paragraph" w:customStyle="1" w:styleId="Pa18">
    <w:name w:val="Pa18"/>
    <w:basedOn w:val="Default"/>
    <w:next w:val="Default"/>
    <w:uiPriority w:val="99"/>
    <w:rsid w:val="00891A96"/>
    <w:pPr>
      <w:spacing w:line="231" w:lineRule="atLeast"/>
    </w:pPr>
    <w:rPr>
      <w:rFonts w:ascii="FS Lola" w:hAnsi="FS Lola" w:cs="Times New Roman"/>
      <w:color w:val="auto"/>
    </w:rPr>
  </w:style>
  <w:style w:type="paragraph" w:customStyle="1" w:styleId="Pa20">
    <w:name w:val="Pa20"/>
    <w:basedOn w:val="Default"/>
    <w:next w:val="Default"/>
    <w:uiPriority w:val="99"/>
    <w:rsid w:val="00891A96"/>
    <w:pPr>
      <w:spacing w:line="231" w:lineRule="atLeast"/>
    </w:pPr>
    <w:rPr>
      <w:rFonts w:ascii="FS Lola" w:hAnsi="FS Lola" w:cs="Times New Roman"/>
      <w:color w:val="auto"/>
    </w:rPr>
  </w:style>
  <w:style w:type="character" w:customStyle="1" w:styleId="BulletHymansChar">
    <w:name w:val="Bullet Hymans Char"/>
    <w:basedOn w:val="DefaultParagraphFont"/>
    <w:link w:val="BulletHymans"/>
    <w:uiPriority w:val="99"/>
    <w:locked/>
    <w:rsid w:val="00891A96"/>
    <w:rPr>
      <w:rFonts w:ascii="Arial" w:eastAsia="Times New Roman" w:hAnsi="Arial" w:cs="Arial"/>
      <w:iCs/>
      <w:color w:val="4B4B4B"/>
      <w:sz w:val="20"/>
      <w:szCs w:val="20"/>
    </w:rPr>
  </w:style>
  <w:style w:type="table" w:customStyle="1" w:styleId="TableGrid1">
    <w:name w:val="Table Grid1"/>
    <w:uiPriority w:val="99"/>
    <w:rsid w:val="00891A96"/>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lockText">
    <w:name w:val="Block Text"/>
    <w:basedOn w:val="Normal"/>
    <w:uiPriority w:val="99"/>
    <w:rsid w:val="00891A96"/>
    <w:pPr>
      <w:spacing w:after="0" w:line="240" w:lineRule="auto"/>
      <w:ind w:left="720" w:right="50"/>
      <w:jc w:val="both"/>
    </w:pPr>
    <w:rPr>
      <w:rFonts w:ascii="Times New Roman" w:eastAsia="Times New Roman" w:hAnsi="Times New Roman" w:cs="Times New Roman"/>
      <w:sz w:val="24"/>
      <w:szCs w:val="20"/>
      <w:lang w:val="en-US" w:eastAsia="en-GB"/>
    </w:rPr>
  </w:style>
  <w:style w:type="paragraph" w:customStyle="1" w:styleId="Style0">
    <w:name w:val="Style0"/>
    <w:uiPriority w:val="99"/>
    <w:rsid w:val="00891A96"/>
    <w:pPr>
      <w:spacing w:after="0" w:line="240" w:lineRule="auto"/>
    </w:pPr>
    <w:rPr>
      <w:rFonts w:ascii="Arial" w:eastAsia="Times New Roman" w:hAnsi="Arial" w:cs="Times New Roman"/>
      <w:sz w:val="24"/>
      <w:szCs w:val="20"/>
    </w:rPr>
  </w:style>
  <w:style w:type="paragraph" w:styleId="ListBullet">
    <w:name w:val="List Bullet"/>
    <w:basedOn w:val="Normal"/>
    <w:autoRedefine/>
    <w:uiPriority w:val="99"/>
    <w:qFormat/>
    <w:rsid w:val="00891A96"/>
    <w:pPr>
      <w:tabs>
        <w:tab w:val="num" w:pos="360"/>
      </w:tabs>
      <w:spacing w:after="0" w:line="240" w:lineRule="auto"/>
      <w:ind w:left="360" w:hanging="360"/>
      <w:jc w:val="both"/>
    </w:pPr>
    <w:rPr>
      <w:rFonts w:ascii="Times New Roman" w:eastAsia="Times New Roman" w:hAnsi="Times New Roman" w:cs="Times New Roman"/>
      <w:szCs w:val="20"/>
      <w:lang w:val="en-IE" w:eastAsia="en-GB"/>
    </w:rPr>
  </w:style>
  <w:style w:type="paragraph" w:customStyle="1" w:styleId="TitleDS">
    <w:name w:val="Title DS"/>
    <w:basedOn w:val="Normal"/>
    <w:uiPriority w:val="99"/>
    <w:rsid w:val="00891A96"/>
    <w:pPr>
      <w:overflowPunct w:val="0"/>
      <w:autoSpaceDE w:val="0"/>
      <w:autoSpaceDN w:val="0"/>
      <w:adjustRightInd w:val="0"/>
      <w:spacing w:after="0" w:line="240" w:lineRule="auto"/>
      <w:ind w:left="2100"/>
      <w:textAlignment w:val="baseline"/>
    </w:pPr>
    <w:rPr>
      <w:rFonts w:ascii="Times New Roman" w:eastAsia="Times New Roman" w:hAnsi="Times New Roman" w:cs="Times New Roman"/>
      <w:b/>
      <w:sz w:val="28"/>
      <w:szCs w:val="20"/>
      <w:lang w:eastAsia="en-GB"/>
    </w:rPr>
  </w:style>
  <w:style w:type="paragraph" w:customStyle="1" w:styleId="text">
    <w:name w:val="text"/>
    <w:basedOn w:val="Normal"/>
    <w:uiPriority w:val="99"/>
    <w:rsid w:val="00891A96"/>
    <w:pPr>
      <w:widowControl w:val="0"/>
      <w:overflowPunct w:val="0"/>
      <w:autoSpaceDE w:val="0"/>
      <w:autoSpaceDN w:val="0"/>
      <w:adjustRightInd w:val="0"/>
      <w:spacing w:after="240" w:line="240" w:lineRule="auto"/>
      <w:jc w:val="both"/>
      <w:textAlignment w:val="baseline"/>
    </w:pPr>
    <w:rPr>
      <w:rFonts w:ascii="Times New Roman" w:eastAsia="Times New Roman" w:hAnsi="Times New Roman" w:cs="Times New Roman"/>
      <w:sz w:val="23"/>
      <w:szCs w:val="20"/>
      <w:lang w:eastAsia="en-GB"/>
    </w:rPr>
  </w:style>
  <w:style w:type="paragraph" w:styleId="DocumentMap">
    <w:name w:val="Document Map"/>
    <w:basedOn w:val="Normal"/>
    <w:link w:val="DocumentMapChar"/>
    <w:uiPriority w:val="99"/>
    <w:semiHidden/>
    <w:rsid w:val="00891A96"/>
    <w:pPr>
      <w:shd w:val="clear" w:color="auto" w:fill="000080"/>
      <w:spacing w:after="0" w:line="240" w:lineRule="auto"/>
    </w:pPr>
    <w:rPr>
      <w:rFonts w:ascii="Tahoma" w:eastAsia="Times New Roman" w:hAnsi="Tahoma" w:cs="Times New Roman"/>
      <w:sz w:val="20"/>
      <w:szCs w:val="20"/>
      <w:lang w:eastAsia="en-GB"/>
    </w:rPr>
  </w:style>
  <w:style w:type="character" w:customStyle="1" w:styleId="DocumentMapChar">
    <w:name w:val="Document Map Char"/>
    <w:basedOn w:val="DefaultParagraphFont"/>
    <w:link w:val="DocumentMap"/>
    <w:uiPriority w:val="99"/>
    <w:semiHidden/>
    <w:rsid w:val="00891A96"/>
    <w:rPr>
      <w:rFonts w:ascii="Tahoma" w:eastAsia="Times New Roman" w:hAnsi="Tahoma" w:cs="Times New Roman"/>
      <w:sz w:val="20"/>
      <w:szCs w:val="20"/>
      <w:shd w:val="clear" w:color="auto" w:fill="000080"/>
      <w:lang w:eastAsia="en-GB"/>
    </w:rPr>
  </w:style>
  <w:style w:type="paragraph" w:customStyle="1" w:styleId="TableColumnHeader">
    <w:name w:val="Table Column Header"/>
    <w:basedOn w:val="Normal"/>
    <w:uiPriority w:val="99"/>
    <w:rsid w:val="00891A96"/>
    <w:pPr>
      <w:spacing w:before="120" w:after="170" w:line="260" w:lineRule="atLeast"/>
    </w:pPr>
    <w:rPr>
      <w:rFonts w:ascii="Times New Roman" w:eastAsia="Times New Roman" w:hAnsi="Times New Roman" w:cs="Times New Roman"/>
      <w:b/>
      <w:sz w:val="20"/>
      <w:szCs w:val="20"/>
      <w:lang w:eastAsia="en-GB"/>
    </w:rPr>
  </w:style>
  <w:style w:type="paragraph" w:customStyle="1" w:styleId="Bullets">
    <w:name w:val="Bullets"/>
    <w:basedOn w:val="Normal"/>
    <w:uiPriority w:val="99"/>
    <w:rsid w:val="00891A96"/>
    <w:pPr>
      <w:tabs>
        <w:tab w:val="num" w:pos="397"/>
        <w:tab w:val="left" w:pos="3062"/>
      </w:tabs>
      <w:spacing w:before="30" w:after="0" w:line="264" w:lineRule="auto"/>
      <w:ind w:left="397" w:hanging="397"/>
    </w:pPr>
    <w:rPr>
      <w:rFonts w:ascii="Times" w:eastAsia="Times New Roman" w:hAnsi="Times" w:cs="Times New Roman"/>
      <w:sz w:val="21"/>
      <w:szCs w:val="20"/>
    </w:rPr>
  </w:style>
  <w:style w:type="character" w:customStyle="1" w:styleId="head2character">
    <w:name w:val="head2 character"/>
    <w:uiPriority w:val="99"/>
    <w:rsid w:val="00891A96"/>
    <w:rPr>
      <w:rFonts w:ascii="Arial Narrow" w:hAnsi="Arial Narrow"/>
      <w:b/>
      <w:color w:val="2F523D"/>
    </w:rPr>
  </w:style>
  <w:style w:type="paragraph" w:customStyle="1" w:styleId="ExampleText">
    <w:name w:val="ExampleText"/>
    <w:basedOn w:val="Normal"/>
    <w:uiPriority w:val="99"/>
    <w:rsid w:val="00891A96"/>
    <w:pPr>
      <w:keepLines/>
      <w:widowControl w:val="0"/>
      <w:suppressAutoHyphens/>
      <w:autoSpaceDE w:val="0"/>
      <w:autoSpaceDN w:val="0"/>
      <w:adjustRightInd w:val="0"/>
      <w:spacing w:before="150" w:after="0" w:line="260" w:lineRule="atLeast"/>
      <w:ind w:left="680"/>
      <w:textAlignment w:val="baseline"/>
    </w:pPr>
    <w:rPr>
      <w:rFonts w:ascii="DIN-Regular" w:eastAsia="Times New Roman" w:hAnsi="DIN-Regular" w:cs="DIN-Regular"/>
      <w:color w:val="000000"/>
      <w:sz w:val="18"/>
      <w:szCs w:val="18"/>
      <w:lang w:val="en-US" w:eastAsia="en-GB"/>
    </w:rPr>
  </w:style>
  <w:style w:type="paragraph" w:customStyle="1" w:styleId="Bodytextnumbered">
    <w:name w:val="Body text (numbered)"/>
    <w:basedOn w:val="BodyText1"/>
    <w:link w:val="BodytextnumberedChar"/>
    <w:uiPriority w:val="99"/>
    <w:rsid w:val="00891A96"/>
    <w:pPr>
      <w:widowControl/>
      <w:tabs>
        <w:tab w:val="num" w:pos="360"/>
        <w:tab w:val="num" w:pos="720"/>
      </w:tabs>
      <w:autoSpaceDE/>
      <w:autoSpaceDN/>
      <w:adjustRightInd/>
      <w:spacing w:before="140" w:after="140"/>
      <w:ind w:left="720"/>
    </w:pPr>
    <w:rPr>
      <w:rFonts w:ascii="Arial" w:hAnsi="Arial"/>
      <w:sz w:val="20"/>
      <w:szCs w:val="20"/>
    </w:rPr>
  </w:style>
  <w:style w:type="character" w:customStyle="1" w:styleId="BodytextChar">
    <w:name w:val="Body text Char"/>
    <w:link w:val="BodyText1"/>
    <w:uiPriority w:val="99"/>
    <w:locked/>
    <w:rsid w:val="00891A96"/>
    <w:rPr>
      <w:rFonts w:ascii="Segoe UI" w:eastAsia="Times New Roman" w:hAnsi="Segoe UI" w:cs="Times New Roman"/>
      <w:lang w:eastAsia="en-GB"/>
    </w:rPr>
  </w:style>
  <w:style w:type="paragraph" w:customStyle="1" w:styleId="Bullet1">
    <w:name w:val="Bullet 1"/>
    <w:basedOn w:val="Normal"/>
    <w:link w:val="Bullet1CharChar"/>
    <w:uiPriority w:val="99"/>
    <w:rsid w:val="00891A96"/>
    <w:pPr>
      <w:tabs>
        <w:tab w:val="num" w:pos="794"/>
      </w:tabs>
      <w:spacing w:before="100" w:after="0" w:line="240" w:lineRule="auto"/>
      <w:ind w:left="794" w:hanging="397"/>
    </w:pPr>
    <w:rPr>
      <w:rFonts w:ascii="Arial" w:eastAsia="Times New Roman" w:hAnsi="Arial" w:cs="Times New Roman"/>
      <w:sz w:val="20"/>
      <w:szCs w:val="20"/>
      <w:lang w:eastAsia="en-GB"/>
    </w:rPr>
  </w:style>
  <w:style w:type="character" w:customStyle="1" w:styleId="Bullet1CharChar">
    <w:name w:val="Bullet 1 Char Char"/>
    <w:link w:val="Bullet1"/>
    <w:uiPriority w:val="99"/>
    <w:locked/>
    <w:rsid w:val="00891A96"/>
    <w:rPr>
      <w:rFonts w:ascii="Arial" w:eastAsia="Times New Roman" w:hAnsi="Arial" w:cs="Times New Roman"/>
      <w:sz w:val="20"/>
      <w:szCs w:val="20"/>
      <w:lang w:eastAsia="en-GB"/>
    </w:rPr>
  </w:style>
  <w:style w:type="paragraph" w:styleId="Date">
    <w:name w:val="Date"/>
    <w:basedOn w:val="Normal"/>
    <w:next w:val="Normal"/>
    <w:link w:val="DateChar"/>
    <w:uiPriority w:val="99"/>
    <w:rsid w:val="00891A96"/>
    <w:pPr>
      <w:widowControl w:val="0"/>
      <w:spacing w:after="0" w:line="240" w:lineRule="auto"/>
    </w:pPr>
    <w:rPr>
      <w:rFonts w:ascii="Times New Roman" w:eastAsia="Times New Roman" w:hAnsi="Times New Roman" w:cs="Times New Roman"/>
      <w:sz w:val="20"/>
      <w:szCs w:val="20"/>
      <w:lang w:val="en-US" w:eastAsia="en-GB"/>
    </w:rPr>
  </w:style>
  <w:style w:type="character" w:customStyle="1" w:styleId="DateChar">
    <w:name w:val="Date Char"/>
    <w:basedOn w:val="DefaultParagraphFont"/>
    <w:link w:val="Date"/>
    <w:uiPriority w:val="99"/>
    <w:rsid w:val="00891A96"/>
    <w:rPr>
      <w:rFonts w:ascii="Times New Roman" w:eastAsia="Times New Roman" w:hAnsi="Times New Roman" w:cs="Times New Roman"/>
      <w:sz w:val="20"/>
      <w:szCs w:val="20"/>
      <w:lang w:val="en-US" w:eastAsia="en-GB"/>
    </w:rPr>
  </w:style>
  <w:style w:type="paragraph" w:customStyle="1" w:styleId="letter">
    <w:name w:val="letter"/>
    <w:basedOn w:val="Normal"/>
    <w:uiPriority w:val="99"/>
    <w:rsid w:val="00891A96"/>
    <w:pPr>
      <w:spacing w:after="0" w:line="240" w:lineRule="auto"/>
      <w:jc w:val="both"/>
    </w:pPr>
    <w:rPr>
      <w:rFonts w:ascii="Times New Roman" w:eastAsia="Times New Roman" w:hAnsi="Times New Roman" w:cs="Times New Roman"/>
      <w:sz w:val="24"/>
      <w:szCs w:val="20"/>
      <w:lang w:eastAsia="en-GB"/>
    </w:rPr>
  </w:style>
  <w:style w:type="paragraph" w:customStyle="1" w:styleId="Commentary">
    <w:name w:val="Commentary"/>
    <w:link w:val="CommentaryChar"/>
    <w:uiPriority w:val="99"/>
    <w:rsid w:val="00891A96"/>
    <w:pPr>
      <w:spacing w:after="0" w:line="240" w:lineRule="auto"/>
      <w:outlineLvl w:val="0"/>
    </w:pPr>
    <w:rPr>
      <w:rFonts w:ascii="MetaPlusBook-Roman" w:eastAsia="Times New Roman" w:hAnsi="MetaPlusBook-Roman" w:cs="Times New Roman"/>
      <w:sz w:val="24"/>
      <w:szCs w:val="24"/>
      <w:lang w:eastAsia="en-GB"/>
    </w:rPr>
  </w:style>
  <w:style w:type="character" w:customStyle="1" w:styleId="CommentaryChar">
    <w:name w:val="Commentary Char"/>
    <w:link w:val="Commentary"/>
    <w:uiPriority w:val="99"/>
    <w:locked/>
    <w:rsid w:val="00891A96"/>
    <w:rPr>
      <w:rFonts w:ascii="MetaPlusBook-Roman" w:eastAsia="Times New Roman" w:hAnsi="MetaPlusBook-Roman" w:cs="Times New Roman"/>
      <w:sz w:val="24"/>
      <w:szCs w:val="24"/>
      <w:lang w:eastAsia="en-GB"/>
    </w:rPr>
  </w:style>
  <w:style w:type="paragraph" w:customStyle="1" w:styleId="TitleLineRule">
    <w:name w:val="Title Line/Rule"/>
    <w:basedOn w:val="Normal"/>
    <w:uiPriority w:val="99"/>
    <w:rsid w:val="00891A96"/>
    <w:pPr>
      <w:pBdr>
        <w:bottom w:val="single" w:sz="24" w:space="1" w:color="0000FF"/>
      </w:pBdr>
      <w:spacing w:after="120" w:line="240" w:lineRule="auto"/>
      <w:ind w:left="2041" w:right="85"/>
    </w:pPr>
    <w:rPr>
      <w:rFonts w:ascii="Times New Roman" w:eastAsia="Times New Roman" w:hAnsi="Times New Roman" w:cs="Times New Roman"/>
      <w:sz w:val="3"/>
      <w:szCs w:val="20"/>
    </w:rPr>
  </w:style>
  <w:style w:type="character" w:customStyle="1" w:styleId="Disclaimer">
    <w:name w:val="Disclaimer"/>
    <w:uiPriority w:val="99"/>
    <w:rsid w:val="00891A96"/>
  </w:style>
  <w:style w:type="character" w:customStyle="1" w:styleId="DisclaimerWebAddress">
    <w:name w:val="DisclaimerWebAddress"/>
    <w:uiPriority w:val="99"/>
    <w:rsid w:val="00891A96"/>
    <w:rPr>
      <w:rFonts w:ascii="Arial Narrow" w:hAnsi="Arial Narrow"/>
      <w:b/>
      <w:sz w:val="18"/>
    </w:rPr>
  </w:style>
  <w:style w:type="character" w:customStyle="1" w:styleId="DisclaimerText">
    <w:name w:val="DisclaimerText"/>
    <w:uiPriority w:val="99"/>
    <w:rsid w:val="00891A96"/>
    <w:rPr>
      <w:rFonts w:ascii="Arial Narrow" w:hAnsi="Arial Narrow"/>
      <w:sz w:val="14"/>
    </w:rPr>
  </w:style>
  <w:style w:type="paragraph" w:customStyle="1" w:styleId="DisclaimerBox">
    <w:name w:val="DisclaimerBox"/>
    <w:basedOn w:val="Normal"/>
    <w:uiPriority w:val="99"/>
    <w:rsid w:val="00891A96"/>
    <w:pPr>
      <w:framePr w:w="9749" w:hSpace="187" w:vSpace="187" w:wrap="around" w:hAnchor="margin" w:yAlign="bottom"/>
      <w:spacing w:before="80" w:after="0" w:line="240" w:lineRule="auto"/>
    </w:pPr>
    <w:rPr>
      <w:rFonts w:ascii="Times New Roman" w:eastAsia="Times New Roman" w:hAnsi="Times New Roman" w:cs="Times New Roman"/>
      <w:sz w:val="14"/>
      <w:szCs w:val="20"/>
      <w:lang w:val="en-US" w:eastAsia="en-GB"/>
    </w:rPr>
  </w:style>
  <w:style w:type="character" w:customStyle="1" w:styleId="CommentSubjectChar1">
    <w:name w:val="Comment Subject Char1"/>
    <w:uiPriority w:val="99"/>
    <w:semiHidden/>
    <w:rsid w:val="00891A96"/>
    <w:rPr>
      <w:b/>
    </w:rPr>
  </w:style>
  <w:style w:type="paragraph" w:customStyle="1" w:styleId="NormalTimesNewRoman">
    <w:name w:val="Normal + Times New Roman"/>
    <w:basedOn w:val="BodyText2"/>
    <w:uiPriority w:val="99"/>
    <w:rsid w:val="00891A96"/>
    <w:pPr>
      <w:tabs>
        <w:tab w:val="clear" w:pos="1140"/>
        <w:tab w:val="num" w:pos="1152"/>
      </w:tabs>
      <w:ind w:left="426" w:hanging="432"/>
      <w:jc w:val="both"/>
    </w:pPr>
    <w:rPr>
      <w:sz w:val="24"/>
      <w:szCs w:val="24"/>
      <w:lang w:val="en-GB" w:eastAsia="en-US"/>
    </w:rPr>
  </w:style>
  <w:style w:type="paragraph" w:customStyle="1" w:styleId="AssignmentContent">
    <w:name w:val="Assignment Content"/>
    <w:basedOn w:val="Normal"/>
    <w:autoRedefine/>
    <w:uiPriority w:val="99"/>
    <w:rsid w:val="00891A96"/>
    <w:pPr>
      <w:spacing w:after="0" w:line="480" w:lineRule="auto"/>
      <w:jc w:val="right"/>
    </w:pPr>
    <w:rPr>
      <w:rFonts w:ascii="Calibri" w:eastAsia="Times New Roman" w:hAnsi="Calibri" w:cs="Times New Roman"/>
      <w:lang w:eastAsia="en-GB"/>
    </w:rPr>
  </w:style>
  <w:style w:type="paragraph" w:customStyle="1" w:styleId="StyleHeading1Left0cmFirstline102cm">
    <w:name w:val="Style Heading 1 + Left:  0 cm First line:  1.02 cm"/>
    <w:basedOn w:val="Heading1"/>
    <w:uiPriority w:val="99"/>
    <w:rsid w:val="00891A96"/>
    <w:pPr>
      <w:keepLines w:val="0"/>
      <w:widowControl w:val="0"/>
      <w:tabs>
        <w:tab w:val="num" w:pos="432"/>
      </w:tabs>
      <w:spacing w:after="60" w:line="240" w:lineRule="auto"/>
      <w:ind w:firstLine="578"/>
    </w:pPr>
    <w:rPr>
      <w:rFonts w:ascii="Arial" w:eastAsia="Times New Roman" w:hAnsi="Arial" w:cs="Calibri"/>
      <w:bCs/>
      <w:color w:val="auto"/>
      <w:kern w:val="32"/>
      <w:sz w:val="22"/>
      <w:szCs w:val="22"/>
      <w:lang w:eastAsia="en-GB"/>
    </w:rPr>
  </w:style>
  <w:style w:type="paragraph" w:customStyle="1" w:styleId="StyleJustifiedBefore9pt">
    <w:name w:val="Style Justified Before:  9 pt"/>
    <w:basedOn w:val="Normal"/>
    <w:uiPriority w:val="99"/>
    <w:rsid w:val="00891A96"/>
    <w:pPr>
      <w:keepLines/>
      <w:widowControl w:val="0"/>
      <w:spacing w:before="180" w:after="0" w:line="240" w:lineRule="auto"/>
      <w:jc w:val="both"/>
    </w:pPr>
    <w:rPr>
      <w:rFonts w:ascii="Arial" w:eastAsia="Times New Roman" w:hAnsi="Arial" w:cs="Times New Roman"/>
      <w:sz w:val="24"/>
      <w:szCs w:val="20"/>
      <w:lang w:eastAsia="en-GB"/>
    </w:rPr>
  </w:style>
  <w:style w:type="paragraph" w:customStyle="1" w:styleId="StyleJustifiedBefore9pt1">
    <w:name w:val="Style Justified Before:  9 pt1"/>
    <w:basedOn w:val="Normal"/>
    <w:uiPriority w:val="99"/>
    <w:rsid w:val="00891A96"/>
    <w:pPr>
      <w:keepLines/>
      <w:spacing w:before="180" w:after="0" w:line="240" w:lineRule="auto"/>
      <w:jc w:val="both"/>
    </w:pPr>
    <w:rPr>
      <w:rFonts w:ascii="Arial" w:eastAsia="Times New Roman" w:hAnsi="Arial" w:cs="Times New Roman"/>
      <w:sz w:val="24"/>
      <w:szCs w:val="20"/>
      <w:lang w:eastAsia="en-GB"/>
    </w:rPr>
  </w:style>
  <w:style w:type="paragraph" w:customStyle="1" w:styleId="Char">
    <w:name w:val="Char"/>
    <w:basedOn w:val="Normal"/>
    <w:uiPriority w:val="99"/>
    <w:rsid w:val="00891A96"/>
    <w:pPr>
      <w:spacing w:line="240" w:lineRule="exact"/>
    </w:pPr>
    <w:rPr>
      <w:rFonts w:ascii="Verdana" w:eastAsia="Times New Roman" w:hAnsi="Verdana" w:cs="Times New Roman"/>
      <w:sz w:val="20"/>
      <w:szCs w:val="20"/>
    </w:rPr>
  </w:style>
  <w:style w:type="paragraph" w:styleId="Revision">
    <w:name w:val="Revision"/>
    <w:hidden/>
    <w:uiPriority w:val="99"/>
    <w:semiHidden/>
    <w:rsid w:val="00891A96"/>
    <w:pPr>
      <w:spacing w:after="0" w:line="240" w:lineRule="auto"/>
    </w:pPr>
    <w:rPr>
      <w:rFonts w:ascii="Times New Roman" w:eastAsia="Times New Roman" w:hAnsi="Times New Roman" w:cs="Times New Roman"/>
      <w:sz w:val="20"/>
      <w:szCs w:val="20"/>
      <w:lang w:eastAsia="en-GB"/>
    </w:rPr>
  </w:style>
  <w:style w:type="character" w:customStyle="1" w:styleId="BodytextnumberedChar">
    <w:name w:val="Body text (numbered) Char"/>
    <w:link w:val="Bodytextnumbered"/>
    <w:uiPriority w:val="99"/>
    <w:locked/>
    <w:rsid w:val="00891A96"/>
    <w:rPr>
      <w:rFonts w:ascii="Arial" w:eastAsia="Times New Roman" w:hAnsi="Arial" w:cs="Times New Roman"/>
      <w:sz w:val="20"/>
      <w:szCs w:val="20"/>
      <w:lang w:eastAsia="en-GB"/>
    </w:rPr>
  </w:style>
  <w:style w:type="paragraph" w:customStyle="1" w:styleId="xl65">
    <w:name w:val="xl65"/>
    <w:basedOn w:val="Normal"/>
    <w:uiPriority w:val="99"/>
    <w:rsid w:val="00891A96"/>
    <w:pPr>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xl67">
    <w:name w:val="xl67"/>
    <w:basedOn w:val="Normal"/>
    <w:uiPriority w:val="99"/>
    <w:rsid w:val="00891A96"/>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8">
    <w:name w:val="xl68"/>
    <w:basedOn w:val="Normal"/>
    <w:uiPriority w:val="99"/>
    <w:rsid w:val="00891A96"/>
    <w:pPr>
      <w:pBdr>
        <w:top w:val="single" w:sz="4" w:space="0" w:color="auto"/>
        <w:bottom w:val="double" w:sz="6" w:space="0" w:color="auto"/>
      </w:pBdr>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xl69">
    <w:name w:val="xl69"/>
    <w:basedOn w:val="Normal"/>
    <w:uiPriority w:val="99"/>
    <w:rsid w:val="00891A96"/>
    <w:pPr>
      <w:spacing w:before="100" w:beforeAutospacing="1" w:after="100" w:afterAutospacing="1" w:line="240" w:lineRule="auto"/>
      <w:jc w:val="right"/>
    </w:pPr>
    <w:rPr>
      <w:rFonts w:ascii="Times New Roman" w:eastAsia="Times New Roman" w:hAnsi="Times New Roman" w:cs="Times New Roman"/>
      <w:b/>
      <w:bCs/>
      <w:sz w:val="24"/>
      <w:szCs w:val="24"/>
      <w:lang w:eastAsia="en-GB"/>
    </w:rPr>
  </w:style>
  <w:style w:type="paragraph" w:customStyle="1" w:styleId="xl70">
    <w:name w:val="xl70"/>
    <w:basedOn w:val="Normal"/>
    <w:uiPriority w:val="99"/>
    <w:rsid w:val="00891A96"/>
    <w:pPr>
      <w:spacing w:before="100" w:beforeAutospacing="1" w:after="100" w:afterAutospacing="1" w:line="240" w:lineRule="auto"/>
      <w:jc w:val="right"/>
    </w:pPr>
    <w:rPr>
      <w:rFonts w:ascii="Times New Roman" w:eastAsia="Times New Roman" w:hAnsi="Times New Roman" w:cs="Times New Roman"/>
      <w:b/>
      <w:bCs/>
      <w:sz w:val="24"/>
      <w:szCs w:val="24"/>
      <w:lang w:eastAsia="en-GB"/>
    </w:rPr>
  </w:style>
  <w:style w:type="paragraph" w:customStyle="1" w:styleId="xl71">
    <w:name w:val="xl71"/>
    <w:basedOn w:val="Normal"/>
    <w:uiPriority w:val="99"/>
    <w:rsid w:val="00891A96"/>
    <w:pPr>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xl72">
    <w:name w:val="xl72"/>
    <w:basedOn w:val="Normal"/>
    <w:uiPriority w:val="99"/>
    <w:rsid w:val="00891A96"/>
    <w:pPr>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xl73">
    <w:name w:val="xl73"/>
    <w:basedOn w:val="Normal"/>
    <w:uiPriority w:val="99"/>
    <w:rsid w:val="00891A9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74">
    <w:name w:val="xl74"/>
    <w:basedOn w:val="Normal"/>
    <w:uiPriority w:val="99"/>
    <w:rsid w:val="00891A96"/>
    <w:pPr>
      <w:spacing w:before="100" w:beforeAutospacing="1" w:after="100" w:afterAutospacing="1" w:line="240" w:lineRule="auto"/>
    </w:pPr>
    <w:rPr>
      <w:rFonts w:ascii="Times New Roman" w:eastAsia="Times New Roman" w:hAnsi="Times New Roman" w:cs="Times New Roman"/>
      <w:b/>
      <w:bCs/>
      <w:sz w:val="20"/>
      <w:szCs w:val="20"/>
      <w:lang w:eastAsia="en-GB"/>
    </w:rPr>
  </w:style>
  <w:style w:type="paragraph" w:customStyle="1" w:styleId="xl75">
    <w:name w:val="xl75"/>
    <w:basedOn w:val="Normal"/>
    <w:uiPriority w:val="99"/>
    <w:rsid w:val="00891A96"/>
    <w:pPr>
      <w:spacing w:before="100" w:beforeAutospacing="1" w:after="100" w:afterAutospacing="1" w:line="240" w:lineRule="auto"/>
    </w:pPr>
    <w:rPr>
      <w:rFonts w:ascii="Times New Roman" w:eastAsia="Times New Roman" w:hAnsi="Times New Roman" w:cs="Times New Roman"/>
      <w:sz w:val="20"/>
      <w:szCs w:val="20"/>
      <w:lang w:eastAsia="en-GB"/>
    </w:rPr>
  </w:style>
  <w:style w:type="paragraph" w:customStyle="1" w:styleId="xl76">
    <w:name w:val="xl76"/>
    <w:basedOn w:val="Normal"/>
    <w:uiPriority w:val="99"/>
    <w:rsid w:val="00891A96"/>
    <w:pPr>
      <w:spacing w:before="100" w:beforeAutospacing="1" w:after="100" w:afterAutospacing="1" w:line="240" w:lineRule="auto"/>
      <w:jc w:val="right"/>
    </w:pPr>
    <w:rPr>
      <w:rFonts w:ascii="Times New Roman" w:eastAsia="Times New Roman" w:hAnsi="Times New Roman" w:cs="Times New Roman"/>
      <w:b/>
      <w:bCs/>
      <w:sz w:val="20"/>
      <w:szCs w:val="20"/>
      <w:lang w:eastAsia="en-GB"/>
    </w:rPr>
  </w:style>
  <w:style w:type="paragraph" w:customStyle="1" w:styleId="xl77">
    <w:name w:val="xl77"/>
    <w:basedOn w:val="Normal"/>
    <w:uiPriority w:val="99"/>
    <w:rsid w:val="00891A96"/>
    <w:pPr>
      <w:spacing w:before="100" w:beforeAutospacing="1" w:after="100" w:afterAutospacing="1" w:line="240" w:lineRule="auto"/>
      <w:jc w:val="right"/>
    </w:pPr>
    <w:rPr>
      <w:rFonts w:ascii="Times New Roman" w:eastAsia="Times New Roman" w:hAnsi="Times New Roman" w:cs="Times New Roman"/>
      <w:sz w:val="20"/>
      <w:szCs w:val="20"/>
      <w:lang w:eastAsia="en-GB"/>
    </w:rPr>
  </w:style>
  <w:style w:type="paragraph" w:customStyle="1" w:styleId="xl78">
    <w:name w:val="xl78"/>
    <w:basedOn w:val="Normal"/>
    <w:uiPriority w:val="99"/>
    <w:rsid w:val="00891A96"/>
    <w:pPr>
      <w:spacing w:before="100" w:beforeAutospacing="1" w:after="100" w:afterAutospacing="1" w:line="240" w:lineRule="auto"/>
    </w:pPr>
    <w:rPr>
      <w:rFonts w:ascii="Times New Roman" w:eastAsia="Times New Roman" w:hAnsi="Times New Roman" w:cs="Times New Roman"/>
      <w:sz w:val="20"/>
      <w:szCs w:val="20"/>
      <w:lang w:eastAsia="en-GB"/>
    </w:rPr>
  </w:style>
  <w:style w:type="paragraph" w:customStyle="1" w:styleId="xl79">
    <w:name w:val="xl79"/>
    <w:basedOn w:val="Normal"/>
    <w:uiPriority w:val="99"/>
    <w:rsid w:val="00891A96"/>
    <w:pPr>
      <w:spacing w:before="100" w:beforeAutospacing="1" w:after="100" w:afterAutospacing="1" w:line="240" w:lineRule="auto"/>
    </w:pPr>
    <w:rPr>
      <w:rFonts w:ascii="Times New Roman" w:eastAsia="Times New Roman" w:hAnsi="Times New Roman" w:cs="Times New Roman"/>
      <w:sz w:val="20"/>
      <w:szCs w:val="20"/>
      <w:lang w:eastAsia="en-GB"/>
    </w:rPr>
  </w:style>
  <w:style w:type="paragraph" w:customStyle="1" w:styleId="xl66">
    <w:name w:val="xl66"/>
    <w:basedOn w:val="Normal"/>
    <w:uiPriority w:val="99"/>
    <w:rsid w:val="00891A9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80">
    <w:name w:val="xl80"/>
    <w:basedOn w:val="Normal"/>
    <w:uiPriority w:val="99"/>
    <w:rsid w:val="00891A96"/>
    <w:pPr>
      <w:pBdr>
        <w:top w:val="single" w:sz="8"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en-GB"/>
    </w:rPr>
  </w:style>
  <w:style w:type="paragraph" w:customStyle="1" w:styleId="xl81">
    <w:name w:val="xl81"/>
    <w:basedOn w:val="Normal"/>
    <w:uiPriority w:val="99"/>
    <w:rsid w:val="00891A96"/>
    <w:pPr>
      <w:pBdr>
        <w:bottom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82">
    <w:name w:val="xl82"/>
    <w:basedOn w:val="Normal"/>
    <w:uiPriority w:val="99"/>
    <w:rsid w:val="00891A96"/>
    <w:pP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en-GB"/>
    </w:rPr>
  </w:style>
  <w:style w:type="paragraph" w:customStyle="1" w:styleId="xl83">
    <w:name w:val="xl83"/>
    <w:basedOn w:val="Normal"/>
    <w:uiPriority w:val="99"/>
    <w:rsid w:val="00891A96"/>
    <w:pP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en-GB"/>
    </w:rPr>
  </w:style>
  <w:style w:type="paragraph" w:customStyle="1" w:styleId="xl84">
    <w:name w:val="xl84"/>
    <w:basedOn w:val="Normal"/>
    <w:uiPriority w:val="99"/>
    <w:rsid w:val="00891A96"/>
    <w:pPr>
      <w:pBdr>
        <w:bottom w:val="single" w:sz="8"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en-GB"/>
    </w:rPr>
  </w:style>
  <w:style w:type="paragraph" w:customStyle="1" w:styleId="xl85">
    <w:name w:val="xl85"/>
    <w:basedOn w:val="Normal"/>
    <w:uiPriority w:val="99"/>
    <w:rsid w:val="00891A96"/>
    <w:pPr>
      <w:pBdr>
        <w:top w:val="single" w:sz="8"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en-GB"/>
    </w:rPr>
  </w:style>
  <w:style w:type="paragraph" w:customStyle="1" w:styleId="xl86">
    <w:name w:val="xl86"/>
    <w:basedOn w:val="Normal"/>
    <w:uiPriority w:val="99"/>
    <w:rsid w:val="00891A96"/>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87">
    <w:name w:val="xl87"/>
    <w:basedOn w:val="Normal"/>
    <w:uiPriority w:val="99"/>
    <w:rsid w:val="00891A96"/>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88">
    <w:name w:val="xl88"/>
    <w:basedOn w:val="Normal"/>
    <w:uiPriority w:val="99"/>
    <w:rsid w:val="00891A96"/>
    <w:pPr>
      <w:pBdr>
        <w:top w:val="single" w:sz="8"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en-GB"/>
    </w:rPr>
  </w:style>
  <w:style w:type="paragraph" w:customStyle="1" w:styleId="xl89">
    <w:name w:val="xl89"/>
    <w:basedOn w:val="Normal"/>
    <w:uiPriority w:val="99"/>
    <w:rsid w:val="00891A96"/>
    <w:pPr>
      <w:pBdr>
        <w:bottom w:val="single" w:sz="8"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en-GB"/>
    </w:rPr>
  </w:style>
  <w:style w:type="paragraph" w:customStyle="1" w:styleId="xl90">
    <w:name w:val="xl90"/>
    <w:basedOn w:val="Normal"/>
    <w:uiPriority w:val="99"/>
    <w:rsid w:val="00891A96"/>
    <w:pPr>
      <w:pBdr>
        <w:bottom w:val="single" w:sz="8"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en-GB"/>
    </w:rPr>
  </w:style>
  <w:style w:type="paragraph" w:customStyle="1" w:styleId="xl91">
    <w:name w:val="xl91"/>
    <w:basedOn w:val="Normal"/>
    <w:uiPriority w:val="99"/>
    <w:rsid w:val="00891A96"/>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en-GB"/>
    </w:rPr>
  </w:style>
  <w:style w:type="paragraph" w:customStyle="1" w:styleId="xl92">
    <w:name w:val="xl92"/>
    <w:basedOn w:val="Normal"/>
    <w:uiPriority w:val="99"/>
    <w:rsid w:val="00891A96"/>
    <w:pPr>
      <w:pBdr>
        <w:top w:val="single" w:sz="8"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en-GB"/>
    </w:rPr>
  </w:style>
  <w:style w:type="paragraph" w:customStyle="1" w:styleId="xl93">
    <w:name w:val="xl93"/>
    <w:basedOn w:val="Normal"/>
    <w:uiPriority w:val="99"/>
    <w:rsid w:val="00891A96"/>
    <w:pP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lang w:eastAsia="en-GB"/>
    </w:rPr>
  </w:style>
  <w:style w:type="paragraph" w:customStyle="1" w:styleId="xl94">
    <w:name w:val="xl94"/>
    <w:basedOn w:val="Normal"/>
    <w:uiPriority w:val="99"/>
    <w:rsid w:val="00891A96"/>
    <w:pPr>
      <w:pBdr>
        <w:bottom w:val="single" w:sz="8"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en-GB"/>
    </w:rPr>
  </w:style>
  <w:style w:type="paragraph" w:customStyle="1" w:styleId="xl95">
    <w:name w:val="xl95"/>
    <w:basedOn w:val="Normal"/>
    <w:uiPriority w:val="99"/>
    <w:rsid w:val="00891A96"/>
    <w:pP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lang w:eastAsia="en-GB"/>
    </w:rPr>
  </w:style>
  <w:style w:type="paragraph" w:customStyle="1" w:styleId="xl96">
    <w:name w:val="xl96"/>
    <w:basedOn w:val="Normal"/>
    <w:uiPriority w:val="99"/>
    <w:rsid w:val="00891A96"/>
    <w:pPr>
      <w:pBdr>
        <w:bottom w:val="single" w:sz="8"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lang w:eastAsia="en-GB"/>
    </w:rPr>
  </w:style>
  <w:style w:type="paragraph" w:customStyle="1" w:styleId="xl97">
    <w:name w:val="xl97"/>
    <w:basedOn w:val="Normal"/>
    <w:uiPriority w:val="99"/>
    <w:rsid w:val="00891A96"/>
    <w:pPr>
      <w:pBdr>
        <w:bottom w:val="single" w:sz="8"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lang w:eastAsia="en-GB"/>
    </w:rPr>
  </w:style>
  <w:style w:type="paragraph" w:customStyle="1" w:styleId="xl98">
    <w:name w:val="xl98"/>
    <w:basedOn w:val="Normal"/>
    <w:uiPriority w:val="99"/>
    <w:rsid w:val="00891A96"/>
    <w:pP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lang w:eastAsia="en-GB"/>
    </w:rPr>
  </w:style>
  <w:style w:type="paragraph" w:customStyle="1" w:styleId="xl64">
    <w:name w:val="xl64"/>
    <w:basedOn w:val="Normal"/>
    <w:uiPriority w:val="99"/>
    <w:rsid w:val="00891A9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RSection">
    <w:name w:val="CRSection"/>
    <w:basedOn w:val="Normal"/>
    <w:uiPriority w:val="99"/>
    <w:rsid w:val="00891A96"/>
    <w:pPr>
      <w:spacing w:after="120" w:line="240" w:lineRule="auto"/>
    </w:pPr>
    <w:rPr>
      <w:rFonts w:ascii="Arial" w:eastAsia="Times New Roman" w:hAnsi="Arial" w:cs="Times New Roman"/>
      <w:b/>
      <w:caps/>
      <w:noProof/>
      <w:color w:val="000080"/>
      <w:sz w:val="20"/>
      <w:szCs w:val="20"/>
      <w:lang w:eastAsia="en-GB"/>
    </w:rPr>
  </w:style>
  <w:style w:type="paragraph" w:customStyle="1" w:styleId="Char3CharChar">
    <w:name w:val="Char3 Char Char"/>
    <w:basedOn w:val="Normal"/>
    <w:autoRedefine/>
    <w:uiPriority w:val="99"/>
    <w:rsid w:val="00891A96"/>
    <w:pPr>
      <w:spacing w:before="160" w:line="240" w:lineRule="exact"/>
      <w:jc w:val="both"/>
    </w:pPr>
    <w:rPr>
      <w:rFonts w:ascii="Times New Roman" w:eastAsia="Times New Roman" w:hAnsi="Times New Roman" w:cs="Times New Roman"/>
      <w:sz w:val="23"/>
      <w:szCs w:val="20"/>
    </w:rPr>
  </w:style>
  <w:style w:type="paragraph" w:styleId="PlainText">
    <w:name w:val="Plain Text"/>
    <w:basedOn w:val="Normal"/>
    <w:link w:val="PlainTextChar"/>
    <w:uiPriority w:val="99"/>
    <w:rsid w:val="00891A96"/>
    <w:pPr>
      <w:spacing w:after="0" w:line="240" w:lineRule="auto"/>
    </w:pPr>
    <w:rPr>
      <w:rFonts w:ascii="Consolas" w:eastAsia="Times New Roman" w:hAnsi="Consolas" w:cs="Times New Roman"/>
      <w:sz w:val="21"/>
      <w:szCs w:val="21"/>
      <w:lang w:eastAsia="en-GB"/>
    </w:rPr>
  </w:style>
  <w:style w:type="character" w:customStyle="1" w:styleId="PlainTextChar">
    <w:name w:val="Plain Text Char"/>
    <w:basedOn w:val="DefaultParagraphFont"/>
    <w:link w:val="PlainText"/>
    <w:uiPriority w:val="99"/>
    <w:rsid w:val="00891A96"/>
    <w:rPr>
      <w:rFonts w:ascii="Consolas" w:eastAsia="Times New Roman" w:hAnsi="Consolas" w:cs="Times New Roman"/>
      <w:sz w:val="21"/>
      <w:szCs w:val="21"/>
      <w:lang w:eastAsia="en-GB"/>
    </w:rPr>
  </w:style>
  <w:style w:type="paragraph" w:customStyle="1" w:styleId="CM4">
    <w:name w:val="CM4"/>
    <w:basedOn w:val="Default"/>
    <w:next w:val="Default"/>
    <w:uiPriority w:val="99"/>
    <w:rsid w:val="00891A96"/>
    <w:pPr>
      <w:widowControl w:val="0"/>
    </w:pPr>
    <w:rPr>
      <w:color w:val="auto"/>
    </w:rPr>
  </w:style>
  <w:style w:type="paragraph" w:customStyle="1" w:styleId="CM1">
    <w:name w:val="CM1"/>
    <w:basedOn w:val="Default"/>
    <w:next w:val="Default"/>
    <w:uiPriority w:val="99"/>
    <w:rsid w:val="00891A96"/>
    <w:pPr>
      <w:widowControl w:val="0"/>
      <w:spacing w:line="263" w:lineRule="atLeast"/>
    </w:pPr>
    <w:rPr>
      <w:color w:val="auto"/>
    </w:rPr>
  </w:style>
  <w:style w:type="paragraph" w:customStyle="1" w:styleId="CM5">
    <w:name w:val="CM5"/>
    <w:basedOn w:val="Default"/>
    <w:next w:val="Default"/>
    <w:uiPriority w:val="99"/>
    <w:rsid w:val="00891A96"/>
    <w:pPr>
      <w:widowControl w:val="0"/>
    </w:pPr>
    <w:rPr>
      <w:color w:val="auto"/>
    </w:rPr>
  </w:style>
  <w:style w:type="paragraph" w:customStyle="1" w:styleId="CM2">
    <w:name w:val="CM2"/>
    <w:basedOn w:val="Default"/>
    <w:next w:val="Default"/>
    <w:uiPriority w:val="99"/>
    <w:rsid w:val="00891A96"/>
    <w:pPr>
      <w:widowControl w:val="0"/>
    </w:pPr>
    <w:rPr>
      <w:color w:val="auto"/>
    </w:rPr>
  </w:style>
  <w:style w:type="paragraph" w:customStyle="1" w:styleId="CM3">
    <w:name w:val="CM3"/>
    <w:basedOn w:val="Default"/>
    <w:next w:val="Default"/>
    <w:uiPriority w:val="99"/>
    <w:rsid w:val="00891A96"/>
    <w:pPr>
      <w:widowControl w:val="0"/>
      <w:spacing w:line="260" w:lineRule="atLeast"/>
    </w:pPr>
    <w:rPr>
      <w:color w:val="auto"/>
    </w:rPr>
  </w:style>
  <w:style w:type="paragraph" w:customStyle="1" w:styleId="CM6">
    <w:name w:val="CM6"/>
    <w:basedOn w:val="Default"/>
    <w:next w:val="Default"/>
    <w:uiPriority w:val="99"/>
    <w:rsid w:val="00891A96"/>
    <w:pPr>
      <w:widowControl w:val="0"/>
    </w:pPr>
    <w:rPr>
      <w:color w:val="auto"/>
    </w:rPr>
  </w:style>
  <w:style w:type="paragraph" w:customStyle="1" w:styleId="BodyText20">
    <w:name w:val="Body Text2"/>
    <w:basedOn w:val="Normal"/>
    <w:uiPriority w:val="99"/>
    <w:rsid w:val="00891A96"/>
    <w:pPr>
      <w:spacing w:before="140" w:after="0" w:line="300" w:lineRule="atLeast"/>
    </w:pPr>
    <w:rPr>
      <w:rFonts w:ascii="Arial" w:eastAsia="Times New Roman" w:hAnsi="Arial" w:cs="Times New Roman"/>
      <w:szCs w:val="24"/>
      <w:lang w:eastAsia="en-GB"/>
    </w:rPr>
  </w:style>
  <w:style w:type="character" w:styleId="Emphasis">
    <w:name w:val="Emphasis"/>
    <w:basedOn w:val="DefaultParagraphFont"/>
    <w:uiPriority w:val="99"/>
    <w:qFormat/>
    <w:rsid w:val="00891A96"/>
    <w:rPr>
      <w:rFonts w:cs="Times New Roman"/>
      <w:i/>
      <w:iCs/>
    </w:rPr>
  </w:style>
  <w:style w:type="character" w:styleId="Strong">
    <w:name w:val="Strong"/>
    <w:basedOn w:val="DefaultParagraphFont"/>
    <w:uiPriority w:val="99"/>
    <w:qFormat/>
    <w:rsid w:val="00891A96"/>
    <w:rPr>
      <w:rFonts w:cs="Times New Roman"/>
      <w:b/>
      <w:bCs/>
    </w:rPr>
  </w:style>
  <w:style w:type="table" w:customStyle="1" w:styleId="TableGrid3">
    <w:name w:val="Table Grid3"/>
    <w:uiPriority w:val="99"/>
    <w:rsid w:val="00891A9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rsid w:val="00891A96"/>
    <w:pPr>
      <w:spacing w:after="0" w:line="240" w:lineRule="auto"/>
    </w:pPr>
    <w:rPr>
      <w:rFonts w:ascii="Times New Roman" w:eastAsia="Times New Roman" w:hAnsi="Times New Roman" w:cs="Times New Roman"/>
      <w:sz w:val="20"/>
      <w:szCs w:val="20"/>
      <w:lang w:eastAsia="en-GB"/>
    </w:rPr>
  </w:style>
  <w:style w:type="character" w:customStyle="1" w:styleId="EndnoteTextChar">
    <w:name w:val="Endnote Text Char"/>
    <w:basedOn w:val="DefaultParagraphFont"/>
    <w:link w:val="EndnoteText"/>
    <w:uiPriority w:val="99"/>
    <w:semiHidden/>
    <w:rsid w:val="00891A96"/>
    <w:rPr>
      <w:rFonts w:ascii="Times New Roman" w:eastAsia="Times New Roman" w:hAnsi="Times New Roman" w:cs="Times New Roman"/>
      <w:sz w:val="20"/>
      <w:szCs w:val="20"/>
      <w:lang w:eastAsia="en-GB"/>
    </w:rPr>
  </w:style>
  <w:style w:type="character" w:styleId="EndnoteReference">
    <w:name w:val="endnote reference"/>
    <w:basedOn w:val="DefaultParagraphFont"/>
    <w:uiPriority w:val="99"/>
    <w:semiHidden/>
    <w:rsid w:val="00891A96"/>
    <w:rPr>
      <w:rFonts w:cs="Times New Roman"/>
      <w:vertAlign w:val="superscript"/>
    </w:rPr>
  </w:style>
  <w:style w:type="paragraph" w:customStyle="1" w:styleId="AccountsHeading1">
    <w:name w:val="Accounts_Heading1"/>
    <w:basedOn w:val="Heading1"/>
    <w:link w:val="AccountsHeading1Char"/>
    <w:uiPriority w:val="99"/>
    <w:rsid w:val="00891A96"/>
    <w:pPr>
      <w:keepLines w:val="0"/>
      <w:spacing w:before="0" w:line="240" w:lineRule="auto"/>
      <w:jc w:val="both"/>
    </w:pPr>
    <w:rPr>
      <w:rFonts w:ascii="Calibri" w:eastAsia="Times New Roman" w:hAnsi="Calibri" w:cs="Calibri"/>
      <w:lang w:eastAsia="en-GB"/>
    </w:rPr>
  </w:style>
  <w:style w:type="character" w:customStyle="1" w:styleId="AccountsHeading1Char">
    <w:name w:val="Accounts_Heading1 Char"/>
    <w:basedOn w:val="Heading1Char"/>
    <w:link w:val="AccountsHeading1"/>
    <w:uiPriority w:val="99"/>
    <w:locked/>
    <w:rsid w:val="00891A96"/>
    <w:rPr>
      <w:rFonts w:ascii="Calibri" w:eastAsia="Times New Roman" w:hAnsi="Calibri" w:cs="Calibri"/>
      <w:color w:val="2E74B5" w:themeColor="accent1" w:themeShade="BF"/>
      <w:sz w:val="32"/>
      <w:szCs w:val="32"/>
      <w:lang w:eastAsia="en-GB"/>
    </w:rPr>
  </w:style>
  <w:style w:type="paragraph" w:customStyle="1" w:styleId="NumberedAnnexParaCharChar">
    <w:name w:val="Numbered Annex Para Char Char"/>
    <w:basedOn w:val="Normal"/>
    <w:uiPriority w:val="99"/>
    <w:rsid w:val="00891A96"/>
    <w:pPr>
      <w:numPr>
        <w:numId w:val="16"/>
      </w:numPr>
      <w:spacing w:after="0" w:line="240" w:lineRule="auto"/>
    </w:pPr>
    <w:rPr>
      <w:rFonts w:ascii="Arial" w:eastAsia="Times New Roman" w:hAnsi="Arial" w:cs="Times New Roman"/>
      <w:sz w:val="24"/>
      <w:szCs w:val="24"/>
      <w:lang w:val="en-AU" w:eastAsia="en-GB"/>
    </w:rPr>
  </w:style>
  <w:style w:type="table" w:customStyle="1" w:styleId="TableGrid4">
    <w:name w:val="Table Grid4"/>
    <w:uiPriority w:val="99"/>
    <w:rsid w:val="00891A96"/>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Table31">
    <w:name w:val="List Table 31"/>
    <w:uiPriority w:val="99"/>
    <w:rsid w:val="00891A96"/>
    <w:pPr>
      <w:spacing w:after="0" w:line="240" w:lineRule="auto"/>
    </w:pPr>
    <w:rPr>
      <w:rFonts w:ascii="Calibri" w:eastAsia="Times New Roman" w:hAnsi="Calibri" w:cs="Times New Roman"/>
      <w:sz w:val="20"/>
      <w:szCs w:val="20"/>
      <w:lang w:eastAsia="en-GB"/>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cs="Times New Roman"/>
        <w:b/>
        <w:bCs/>
        <w:color w:val="FFFFFF"/>
      </w:rPr>
      <w:tblPr/>
      <w:tcPr>
        <w:shd w:val="clear" w:color="auto" w:fill="000000"/>
      </w:tcPr>
    </w:tblStylePr>
    <w:tblStylePr w:type="lastRow">
      <w:rPr>
        <w:rFonts w:cs="Times New Roman"/>
        <w:b/>
        <w:bCs/>
      </w:rPr>
      <w:tblPr/>
      <w:tcPr>
        <w:tcBorders>
          <w:top w:val="double" w:sz="4" w:space="0" w:color="000000"/>
        </w:tcBorders>
        <w:shd w:val="clear" w:color="auto" w:fill="FFFFFF"/>
      </w:tcPr>
    </w:tblStylePr>
    <w:tblStylePr w:type="firstCol">
      <w:rPr>
        <w:rFonts w:cs="Times New Roman"/>
        <w:b/>
        <w:bCs/>
      </w:rPr>
      <w:tblPr/>
      <w:tcPr>
        <w:tcBorders>
          <w:right w:val="nil"/>
        </w:tcBorders>
        <w:shd w:val="clear" w:color="auto" w:fill="FFFFFF"/>
      </w:tcPr>
    </w:tblStylePr>
    <w:tblStylePr w:type="lastCol">
      <w:rPr>
        <w:rFonts w:cs="Times New Roman"/>
        <w:b/>
        <w:bCs/>
      </w:rPr>
      <w:tblPr/>
      <w:tcPr>
        <w:tcBorders>
          <w:left w:val="nil"/>
        </w:tcBorders>
        <w:shd w:val="clear" w:color="auto" w:fill="FFFFFF"/>
      </w:tcPr>
    </w:tblStylePr>
    <w:tblStylePr w:type="band1Vert">
      <w:rPr>
        <w:rFonts w:cs="Times New Roman"/>
      </w:rPr>
      <w:tblPr/>
      <w:tcPr>
        <w:tcBorders>
          <w:left w:val="single" w:sz="4" w:space="0" w:color="000000"/>
          <w:right w:val="single" w:sz="4" w:space="0" w:color="000000"/>
        </w:tcBorders>
      </w:tcPr>
    </w:tblStylePr>
    <w:tblStylePr w:type="band1Horz">
      <w:rPr>
        <w:rFonts w:cs="Times New Roman"/>
      </w:rPr>
      <w:tblPr/>
      <w:tcPr>
        <w:tcBorders>
          <w:top w:val="single" w:sz="4" w:space="0" w:color="000000"/>
          <w:bottom w:val="single" w:sz="4" w:space="0" w:color="000000"/>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000000"/>
          <w:left w:val="nil"/>
        </w:tcBorders>
      </w:tcPr>
    </w:tblStylePr>
    <w:tblStylePr w:type="swCell">
      <w:rPr>
        <w:rFonts w:cs="Times New Roman"/>
      </w:rPr>
      <w:tblPr/>
      <w:tcPr>
        <w:tcBorders>
          <w:top w:val="double" w:sz="4" w:space="0" w:color="000000"/>
          <w:right w:val="nil"/>
        </w:tcBorders>
      </w:tcPr>
    </w:tblStylePr>
  </w:style>
  <w:style w:type="table" w:customStyle="1" w:styleId="TableGrid5">
    <w:name w:val="Table Grid5"/>
    <w:uiPriority w:val="99"/>
    <w:rsid w:val="00891A96"/>
    <w:pPr>
      <w:spacing w:after="0" w:line="240" w:lineRule="auto"/>
    </w:pPr>
    <w:rPr>
      <w:rFonts w:ascii="Calibri" w:eastAsia="Times New Roman" w:hAnsi="Calibri"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erena1">
    <w:name w:val="serena1"/>
    <w:uiPriority w:val="99"/>
    <w:rsid w:val="00891A96"/>
    <w:pPr>
      <w:spacing w:before="20" w:after="0" w:line="240" w:lineRule="auto"/>
    </w:pPr>
    <w:rPr>
      <w:rFonts w:ascii="Times New Roman" w:eastAsia="Times New Roman" w:hAnsi="Times New Roman" w:cs="Times New Roman"/>
      <w:color w:val="0B5294"/>
      <w:sz w:val="20"/>
      <w:szCs w:val="20"/>
      <w:lang w:eastAsia="en-GB"/>
    </w:rPr>
    <w:tblPr>
      <w:tblStyleRowBandSize w:val="1"/>
      <w:tblStyleColBandSize w:val="1"/>
      <w:tblInd w:w="0" w:type="dxa"/>
      <w:tblBorders>
        <w:top w:val="single" w:sz="8" w:space="0" w:color="0F6FC6"/>
        <w:bottom w:val="single" w:sz="8" w:space="0" w:color="0F6FC6"/>
      </w:tblBorders>
      <w:tblCellMar>
        <w:top w:w="0" w:type="dxa"/>
        <w:left w:w="108" w:type="dxa"/>
        <w:bottom w:w="0" w:type="dxa"/>
        <w:right w:w="108" w:type="dxa"/>
      </w:tblCellMar>
    </w:tblPr>
    <w:tblStylePr w:type="firstRow">
      <w:pPr>
        <w:spacing w:before="0" w:after="0"/>
      </w:pPr>
      <w:rPr>
        <w:rFonts w:cs="Times New Roman"/>
        <w:b/>
        <w:bCs/>
        <w:color w:val="auto"/>
      </w:rPr>
      <w:tblPr/>
      <w:tcPr>
        <w:shd w:val="clear" w:color="auto" w:fill="0B1F36"/>
      </w:tcPr>
    </w:tblStylePr>
    <w:tblStylePr w:type="lastRow">
      <w:pPr>
        <w:spacing w:before="0" w:after="0"/>
      </w:pPr>
      <w:rPr>
        <w:rFonts w:cs="Times New Roman"/>
        <w:b/>
        <w:bCs/>
      </w:rPr>
      <w:tblPr/>
      <w:tcPr>
        <w:tcBorders>
          <w:top w:val="single" w:sz="8" w:space="0" w:color="0F6FC6"/>
          <w:left w:val="nil"/>
          <w:bottom w:val="single" w:sz="8" w:space="0" w:color="0F6F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BADBF9"/>
      </w:tcPr>
    </w:tblStylePr>
    <w:tblStylePr w:type="band1Horz">
      <w:rPr>
        <w:rFonts w:cs="Times New Roman"/>
      </w:rPr>
      <w:tblPr/>
      <w:tcPr>
        <w:tcBorders>
          <w:left w:val="nil"/>
          <w:right w:val="nil"/>
          <w:insideH w:val="nil"/>
          <w:insideV w:val="nil"/>
        </w:tcBorders>
        <w:shd w:val="clear" w:color="auto" w:fill="BADBF9"/>
      </w:tcPr>
    </w:tblStylePr>
  </w:style>
  <w:style w:type="table" w:customStyle="1" w:styleId="LightShading-Accent51">
    <w:name w:val="Light Shading - Accent 51"/>
    <w:uiPriority w:val="99"/>
    <w:rsid w:val="00891A96"/>
    <w:pPr>
      <w:spacing w:before="20" w:after="0" w:line="240" w:lineRule="auto"/>
    </w:pPr>
    <w:rPr>
      <w:rFonts w:ascii="Times New Roman" w:eastAsia="Times New Roman" w:hAnsi="Times New Roman" w:cs="Times New Roman"/>
      <w:color w:val="54A738"/>
      <w:sz w:val="20"/>
      <w:szCs w:val="20"/>
      <w:lang w:eastAsia="en-GB"/>
    </w:rPr>
    <w:tblPr>
      <w:tblStyleRowBandSize w:val="1"/>
      <w:tblStyleColBandSize w:val="1"/>
      <w:tblInd w:w="0" w:type="dxa"/>
      <w:tblBorders>
        <w:top w:val="single" w:sz="8" w:space="0" w:color="7CCA62"/>
        <w:bottom w:val="single" w:sz="8" w:space="0" w:color="7CCA62"/>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7CCA62"/>
          <w:left w:val="nil"/>
          <w:bottom w:val="single" w:sz="8" w:space="0" w:color="7CCA62"/>
          <w:right w:val="nil"/>
          <w:insideH w:val="nil"/>
          <w:insideV w:val="nil"/>
        </w:tcBorders>
      </w:tcPr>
    </w:tblStylePr>
    <w:tblStylePr w:type="lastRow">
      <w:pPr>
        <w:spacing w:before="0" w:after="0"/>
      </w:pPr>
      <w:rPr>
        <w:rFonts w:cs="Times New Roman"/>
        <w:b/>
        <w:bCs/>
      </w:rPr>
      <w:tblPr/>
      <w:tcPr>
        <w:tcBorders>
          <w:top w:val="single" w:sz="8" w:space="0" w:color="7CCA62"/>
          <w:left w:val="nil"/>
          <w:bottom w:val="single" w:sz="8" w:space="0" w:color="7CCA62"/>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EF2D8"/>
      </w:tcPr>
    </w:tblStylePr>
    <w:tblStylePr w:type="band1Horz">
      <w:rPr>
        <w:rFonts w:cs="Times New Roman"/>
      </w:rPr>
      <w:tblPr/>
      <w:tcPr>
        <w:tcBorders>
          <w:left w:val="nil"/>
          <w:right w:val="nil"/>
          <w:insideH w:val="nil"/>
          <w:insideV w:val="nil"/>
        </w:tcBorders>
        <w:shd w:val="clear" w:color="auto" w:fill="DEF2D8"/>
      </w:tcPr>
    </w:tblStylePr>
  </w:style>
  <w:style w:type="table" w:customStyle="1" w:styleId="MediumGrid3-Accent21">
    <w:name w:val="Medium Grid 3 - Accent 21"/>
    <w:uiPriority w:val="99"/>
    <w:rsid w:val="00891A96"/>
    <w:pPr>
      <w:spacing w:before="20" w:after="0" w:line="240" w:lineRule="auto"/>
    </w:pPr>
    <w:rPr>
      <w:rFonts w:ascii="Times New Roman" w:eastAsia="Times New Roman" w:hAnsi="Times New Roman" w:cs="Times New Roman"/>
      <w:sz w:val="20"/>
      <w:szCs w:val="20"/>
      <w:lang w:eastAsia="en-GB"/>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B6EAFF"/>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9DD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9DD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009DD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009DD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6DD6FF"/>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6DD6FF"/>
      </w:tcPr>
    </w:tblStylePr>
  </w:style>
  <w:style w:type="table" w:customStyle="1" w:styleId="MediumShading1-Accent41">
    <w:name w:val="Medium Shading 1 - Accent 41"/>
    <w:uiPriority w:val="99"/>
    <w:rsid w:val="00891A96"/>
    <w:pPr>
      <w:spacing w:before="20" w:after="0" w:line="240" w:lineRule="auto"/>
    </w:pPr>
    <w:rPr>
      <w:rFonts w:ascii="Times New Roman" w:eastAsia="Times New Roman" w:hAnsi="Times New Roman" w:cs="Times New Roman"/>
      <w:sz w:val="20"/>
      <w:szCs w:val="20"/>
      <w:lang w:eastAsia="en-GB"/>
    </w:rPr>
    <w:tblPr>
      <w:tblStyleRowBandSize w:val="1"/>
      <w:tblStyleColBandSize w:val="1"/>
      <w:tblInd w:w="0" w:type="dxa"/>
      <w:tblBorders>
        <w:top w:val="single" w:sz="8" w:space="0" w:color="37EFBD"/>
        <w:left w:val="single" w:sz="8" w:space="0" w:color="37EFBD"/>
        <w:bottom w:val="single" w:sz="8" w:space="0" w:color="37EFBD"/>
        <w:right w:val="single" w:sz="8" w:space="0" w:color="37EFBD"/>
        <w:insideH w:val="single" w:sz="8" w:space="0" w:color="37EFBD"/>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37EFBD"/>
          <w:left w:val="single" w:sz="8" w:space="0" w:color="37EFBD"/>
          <w:bottom w:val="single" w:sz="8" w:space="0" w:color="37EFBD"/>
          <w:right w:val="single" w:sz="8" w:space="0" w:color="37EFBD"/>
          <w:insideH w:val="nil"/>
          <w:insideV w:val="nil"/>
        </w:tcBorders>
        <w:shd w:val="clear" w:color="auto" w:fill="10CF9B"/>
      </w:tcPr>
    </w:tblStylePr>
    <w:tblStylePr w:type="lastRow">
      <w:pPr>
        <w:spacing w:before="0" w:after="0"/>
      </w:pPr>
      <w:rPr>
        <w:rFonts w:cs="Times New Roman"/>
        <w:b/>
        <w:bCs/>
      </w:rPr>
      <w:tblPr/>
      <w:tcPr>
        <w:tcBorders>
          <w:top w:val="double" w:sz="6" w:space="0" w:color="37EFBD"/>
          <w:left w:val="single" w:sz="8" w:space="0" w:color="37EFBD"/>
          <w:bottom w:val="single" w:sz="8" w:space="0" w:color="37EFBD"/>
          <w:right w:val="single" w:sz="8" w:space="0" w:color="37EFB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BDFAE9"/>
      </w:tcPr>
    </w:tblStylePr>
    <w:tblStylePr w:type="band1Horz">
      <w:rPr>
        <w:rFonts w:cs="Times New Roman"/>
      </w:rPr>
      <w:tblPr/>
      <w:tcPr>
        <w:tcBorders>
          <w:insideH w:val="nil"/>
          <w:insideV w:val="nil"/>
        </w:tcBorders>
        <w:shd w:val="clear" w:color="auto" w:fill="BDFAE9"/>
      </w:tcPr>
    </w:tblStylePr>
    <w:tblStylePr w:type="band2Horz">
      <w:rPr>
        <w:rFonts w:cs="Times New Roman"/>
      </w:rPr>
      <w:tblPr/>
      <w:tcPr>
        <w:tcBorders>
          <w:insideH w:val="nil"/>
          <w:insideV w:val="nil"/>
        </w:tcBorders>
      </w:tcPr>
    </w:tblStylePr>
  </w:style>
  <w:style w:type="table" w:customStyle="1" w:styleId="MediumShading1-Accent61">
    <w:name w:val="Medium Shading 1 - Accent 61"/>
    <w:uiPriority w:val="99"/>
    <w:rsid w:val="00891A96"/>
    <w:pPr>
      <w:spacing w:before="20" w:after="0" w:line="240" w:lineRule="auto"/>
    </w:pPr>
    <w:rPr>
      <w:rFonts w:ascii="Times New Roman" w:eastAsia="Times New Roman" w:hAnsi="Times New Roman" w:cs="Times New Roman"/>
      <w:sz w:val="20"/>
      <w:szCs w:val="20"/>
      <w:lang w:eastAsia="en-GB"/>
    </w:rPr>
    <w:tblPr>
      <w:tblStyleRowBandSize w:val="1"/>
      <w:tblStyleColBandSize w:val="1"/>
      <w:tblInd w:w="0" w:type="dxa"/>
      <w:tblBorders>
        <w:top w:val="single" w:sz="8" w:space="0" w:color="BBD176"/>
        <w:left w:val="single" w:sz="8" w:space="0" w:color="BBD176"/>
        <w:bottom w:val="single" w:sz="8" w:space="0" w:color="BBD176"/>
        <w:right w:val="single" w:sz="8" w:space="0" w:color="BBD176"/>
        <w:insideH w:val="single" w:sz="8" w:space="0" w:color="BBD176"/>
      </w:tblBorders>
      <w:tblCellMar>
        <w:top w:w="0" w:type="dxa"/>
        <w:left w:w="108" w:type="dxa"/>
        <w:bottom w:w="0" w:type="dxa"/>
        <w:right w:w="108" w:type="dxa"/>
      </w:tblCellMar>
    </w:tblPr>
    <w:tblStylePr w:type="firstRow">
      <w:pPr>
        <w:spacing w:before="0" w:after="0"/>
      </w:pPr>
      <w:rPr>
        <w:rFonts w:ascii="Arial" w:hAnsi="Arial" w:cs="Times New Roman"/>
        <w:b/>
        <w:bCs/>
        <w:i w:val="0"/>
        <w:color w:val="FFFFFF"/>
      </w:rPr>
      <w:tblPr/>
      <w:tcPr>
        <w:tcBorders>
          <w:top w:val="single" w:sz="8" w:space="0" w:color="BBD176"/>
          <w:left w:val="single" w:sz="8" w:space="0" w:color="BBD176"/>
          <w:bottom w:val="single" w:sz="8" w:space="0" w:color="BBD176"/>
          <w:right w:val="single" w:sz="8" w:space="0" w:color="BBD176"/>
          <w:insideH w:val="nil"/>
          <w:insideV w:val="nil"/>
        </w:tcBorders>
        <w:shd w:val="clear" w:color="auto" w:fill="A5C249"/>
      </w:tcPr>
    </w:tblStylePr>
    <w:tblStylePr w:type="lastRow">
      <w:pPr>
        <w:spacing w:before="0" w:after="0"/>
      </w:pPr>
      <w:rPr>
        <w:rFonts w:cs="Times New Roman"/>
        <w:b/>
        <w:bCs/>
      </w:rPr>
      <w:tblPr/>
      <w:tcPr>
        <w:tcBorders>
          <w:top w:val="double" w:sz="6" w:space="0" w:color="BBD176"/>
          <w:left w:val="single" w:sz="8" w:space="0" w:color="BBD176"/>
          <w:bottom w:val="single" w:sz="8" w:space="0" w:color="BBD176"/>
          <w:right w:val="single" w:sz="8" w:space="0" w:color="BBD176"/>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8F0D1"/>
      </w:tcPr>
    </w:tblStylePr>
    <w:tblStylePr w:type="band1Horz">
      <w:rPr>
        <w:rFonts w:cs="Times New Roman"/>
      </w:rPr>
      <w:tblPr/>
      <w:tcPr>
        <w:tcBorders>
          <w:insideH w:val="nil"/>
          <w:insideV w:val="nil"/>
        </w:tcBorders>
        <w:shd w:val="clear" w:color="auto" w:fill="E8F0D1"/>
      </w:tcPr>
    </w:tblStylePr>
    <w:tblStylePr w:type="band2Horz">
      <w:rPr>
        <w:rFonts w:cs="Times New Roman"/>
      </w:rPr>
      <w:tblPr/>
      <w:tcPr>
        <w:tcBorders>
          <w:insideH w:val="nil"/>
          <w:insideV w:val="nil"/>
        </w:tcBorders>
      </w:tcPr>
    </w:tblStylePr>
  </w:style>
  <w:style w:type="table" w:customStyle="1" w:styleId="MediumShading1-Accent51">
    <w:name w:val="Medium Shading 1 - Accent 51"/>
    <w:uiPriority w:val="99"/>
    <w:rsid w:val="00891A96"/>
    <w:pPr>
      <w:spacing w:before="20" w:after="0" w:line="240" w:lineRule="auto"/>
    </w:pPr>
    <w:rPr>
      <w:rFonts w:ascii="Times New Roman" w:eastAsia="Times New Roman" w:hAnsi="Times New Roman" w:cs="Times New Roman"/>
      <w:sz w:val="20"/>
      <w:szCs w:val="20"/>
      <w:lang w:eastAsia="en-GB"/>
    </w:rPr>
    <w:tblPr>
      <w:tblStyleRowBandSize w:val="1"/>
      <w:tblStyleColBandSize w:val="1"/>
      <w:tblInd w:w="0" w:type="dxa"/>
      <w:tblBorders>
        <w:top w:val="single" w:sz="8" w:space="0" w:color="9CD789"/>
        <w:left w:val="single" w:sz="8" w:space="0" w:color="9CD789"/>
        <w:bottom w:val="single" w:sz="8" w:space="0" w:color="9CD789"/>
        <w:right w:val="single" w:sz="8" w:space="0" w:color="9CD789"/>
        <w:insideH w:val="single" w:sz="8" w:space="0" w:color="9CD789"/>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9CD789"/>
          <w:left w:val="single" w:sz="8" w:space="0" w:color="9CD789"/>
          <w:bottom w:val="single" w:sz="8" w:space="0" w:color="9CD789"/>
          <w:right w:val="single" w:sz="8" w:space="0" w:color="9CD789"/>
          <w:insideH w:val="nil"/>
          <w:insideV w:val="nil"/>
        </w:tcBorders>
        <w:shd w:val="clear" w:color="auto" w:fill="7CCA62"/>
      </w:tcPr>
    </w:tblStylePr>
    <w:tblStylePr w:type="lastRow">
      <w:pPr>
        <w:spacing w:before="0" w:after="0"/>
      </w:pPr>
      <w:rPr>
        <w:rFonts w:cs="Times New Roman"/>
        <w:b/>
        <w:bCs/>
      </w:rPr>
      <w:tblPr/>
      <w:tcPr>
        <w:tcBorders>
          <w:top w:val="double" w:sz="6" w:space="0" w:color="9CD789"/>
          <w:left w:val="single" w:sz="8" w:space="0" w:color="9CD789"/>
          <w:bottom w:val="single" w:sz="8" w:space="0" w:color="9CD789"/>
          <w:right w:val="single" w:sz="8" w:space="0" w:color="9CD78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EF2D8"/>
      </w:tcPr>
    </w:tblStylePr>
    <w:tblStylePr w:type="band1Horz">
      <w:rPr>
        <w:rFonts w:cs="Times New Roman"/>
      </w:rPr>
      <w:tblPr/>
      <w:tcPr>
        <w:tcBorders>
          <w:insideH w:val="nil"/>
          <w:insideV w:val="nil"/>
        </w:tcBorders>
        <w:shd w:val="clear" w:color="auto" w:fill="DEF2D8"/>
      </w:tcPr>
    </w:tblStylePr>
    <w:tblStylePr w:type="band2Horz">
      <w:rPr>
        <w:rFonts w:cs="Times New Roman"/>
      </w:rPr>
      <w:tblPr/>
      <w:tcPr>
        <w:tcBorders>
          <w:insideH w:val="nil"/>
          <w:insideV w:val="nil"/>
        </w:tcBorders>
      </w:tcPr>
    </w:tblStylePr>
  </w:style>
  <w:style w:type="table" w:customStyle="1" w:styleId="MediumShading2-Accent61">
    <w:name w:val="Medium Shading 2 - Accent 61"/>
    <w:uiPriority w:val="99"/>
    <w:rsid w:val="00891A96"/>
    <w:pPr>
      <w:spacing w:before="20" w:after="0" w:line="240" w:lineRule="auto"/>
    </w:pPr>
    <w:rPr>
      <w:rFonts w:ascii="Times New Roman" w:eastAsia="Times New Roman" w:hAnsi="Times New Roman" w:cs="Times New Roman"/>
      <w:sz w:val="20"/>
      <w:szCs w:val="20"/>
      <w:lang w:eastAsia="en-GB"/>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A5C24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A5C249"/>
      </w:tcPr>
    </w:tblStylePr>
    <w:tblStylePr w:type="lastCol">
      <w:rPr>
        <w:rFonts w:cs="Times New Roman"/>
        <w:b/>
        <w:bCs/>
        <w:color w:val="FFFFFF"/>
      </w:rPr>
      <w:tblPr/>
      <w:tcPr>
        <w:tcBorders>
          <w:left w:val="nil"/>
          <w:right w:val="nil"/>
          <w:insideH w:val="nil"/>
          <w:insideV w:val="nil"/>
        </w:tcBorders>
        <w:shd w:val="clear" w:color="auto" w:fill="A5C249"/>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DarkList-Accent31">
    <w:name w:val="Dark List - Accent 31"/>
    <w:uiPriority w:val="99"/>
    <w:rsid w:val="00891A96"/>
    <w:pPr>
      <w:spacing w:before="20" w:after="0" w:line="240" w:lineRule="auto"/>
    </w:pPr>
    <w:rPr>
      <w:rFonts w:ascii="Times New Roman" w:eastAsia="Times New Roman" w:hAnsi="Times New Roman" w:cs="Times New Roman"/>
      <w:color w:val="FFFFFF"/>
      <w:sz w:val="20"/>
      <w:szCs w:val="20"/>
      <w:lang w:eastAsia="en-GB"/>
    </w:rPr>
    <w:tblPr>
      <w:tblStyleRowBandSize w:val="1"/>
      <w:tblStyleColBandSize w:val="1"/>
      <w:tblInd w:w="0" w:type="dxa"/>
      <w:tblCellMar>
        <w:top w:w="0" w:type="dxa"/>
        <w:left w:w="108" w:type="dxa"/>
        <w:bottom w:w="0" w:type="dxa"/>
        <w:right w:w="108" w:type="dxa"/>
      </w:tblCellMar>
    </w:tblPr>
    <w:tcPr>
      <w:shd w:val="clear" w:color="auto" w:fill="0BD0D9"/>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05676B"/>
      </w:tcPr>
    </w:tblStylePr>
    <w:tblStylePr w:type="firstCol">
      <w:rPr>
        <w:rFonts w:cs="Times New Roman"/>
      </w:rPr>
      <w:tblPr/>
      <w:tcPr>
        <w:tcBorders>
          <w:top w:val="nil"/>
          <w:left w:val="nil"/>
          <w:bottom w:val="nil"/>
          <w:right w:val="single" w:sz="18" w:space="0" w:color="FFFFFF"/>
          <w:insideH w:val="nil"/>
          <w:insideV w:val="nil"/>
        </w:tcBorders>
        <w:shd w:val="clear" w:color="auto" w:fill="089BA2"/>
      </w:tcPr>
    </w:tblStylePr>
    <w:tblStylePr w:type="lastCol">
      <w:rPr>
        <w:rFonts w:cs="Times New Roman"/>
      </w:rPr>
      <w:tblPr/>
      <w:tcPr>
        <w:tcBorders>
          <w:top w:val="nil"/>
          <w:left w:val="single" w:sz="18" w:space="0" w:color="FFFFFF"/>
          <w:bottom w:val="nil"/>
          <w:right w:val="nil"/>
          <w:insideH w:val="nil"/>
          <w:insideV w:val="nil"/>
        </w:tcBorders>
        <w:shd w:val="clear" w:color="auto" w:fill="089BA2"/>
      </w:tcPr>
    </w:tblStylePr>
    <w:tblStylePr w:type="band1Vert">
      <w:rPr>
        <w:rFonts w:cs="Times New Roman"/>
      </w:rPr>
      <w:tblPr/>
      <w:tcPr>
        <w:tcBorders>
          <w:top w:val="nil"/>
          <w:left w:val="nil"/>
          <w:bottom w:val="nil"/>
          <w:right w:val="nil"/>
          <w:insideH w:val="nil"/>
          <w:insideV w:val="nil"/>
        </w:tcBorders>
        <w:shd w:val="clear" w:color="auto" w:fill="089BA2"/>
      </w:tcPr>
    </w:tblStylePr>
    <w:tblStylePr w:type="band1Horz">
      <w:rPr>
        <w:rFonts w:cs="Times New Roman"/>
      </w:rPr>
      <w:tblPr/>
      <w:tcPr>
        <w:tcBorders>
          <w:top w:val="nil"/>
          <w:left w:val="nil"/>
          <w:bottom w:val="nil"/>
          <w:right w:val="nil"/>
          <w:insideH w:val="nil"/>
          <w:insideV w:val="nil"/>
        </w:tcBorders>
        <w:shd w:val="clear" w:color="auto" w:fill="089BA2"/>
      </w:tcPr>
    </w:tblStylePr>
  </w:style>
  <w:style w:type="table" w:customStyle="1" w:styleId="LightList-Accent111">
    <w:name w:val="Light List - Accent 111"/>
    <w:uiPriority w:val="99"/>
    <w:rsid w:val="00891A96"/>
    <w:pPr>
      <w:spacing w:before="20" w:after="0" w:line="240" w:lineRule="auto"/>
    </w:pPr>
    <w:rPr>
      <w:rFonts w:ascii="Times New Roman" w:eastAsia="Times New Roman" w:hAnsi="Times New Roman" w:cs="Times New Roman"/>
      <w:sz w:val="20"/>
      <w:szCs w:val="20"/>
      <w:lang w:eastAsia="en-GB"/>
    </w:rPr>
    <w:tblPr>
      <w:tblStyleRowBandSize w:val="1"/>
      <w:tblStyleColBandSize w:val="1"/>
      <w:tblInd w:w="0" w:type="dxa"/>
      <w:tblBorders>
        <w:top w:val="single" w:sz="8" w:space="0" w:color="0F6FC6"/>
        <w:left w:val="single" w:sz="8" w:space="0" w:color="0F6FC6"/>
        <w:bottom w:val="single" w:sz="8" w:space="0" w:color="0F6FC6"/>
        <w:right w:val="single" w:sz="8" w:space="0" w:color="0F6FC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0F6FC6"/>
      </w:tcPr>
    </w:tblStylePr>
    <w:tblStylePr w:type="lastRow">
      <w:pPr>
        <w:spacing w:before="0" w:after="0"/>
      </w:pPr>
      <w:rPr>
        <w:rFonts w:cs="Times New Roman"/>
        <w:b/>
        <w:bCs/>
      </w:rPr>
      <w:tblPr/>
      <w:tcPr>
        <w:tcBorders>
          <w:top w:val="double" w:sz="6" w:space="0" w:color="0F6FC6"/>
          <w:left w:val="single" w:sz="8" w:space="0" w:color="0F6FC6"/>
          <w:bottom w:val="single" w:sz="8" w:space="0" w:color="0F6FC6"/>
          <w:right w:val="single" w:sz="8" w:space="0" w:color="0F6F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F6FC6"/>
          <w:left w:val="single" w:sz="8" w:space="0" w:color="0F6FC6"/>
          <w:bottom w:val="single" w:sz="8" w:space="0" w:color="0F6FC6"/>
          <w:right w:val="single" w:sz="8" w:space="0" w:color="0F6FC6"/>
        </w:tcBorders>
      </w:tcPr>
    </w:tblStylePr>
    <w:tblStylePr w:type="band1Horz">
      <w:rPr>
        <w:rFonts w:cs="Times New Roman"/>
      </w:rPr>
      <w:tblPr/>
      <w:tcPr>
        <w:tcBorders>
          <w:top w:val="single" w:sz="8" w:space="0" w:color="0F6FC6"/>
          <w:left w:val="single" w:sz="8" w:space="0" w:color="0F6FC6"/>
          <w:bottom w:val="single" w:sz="8" w:space="0" w:color="0F6FC6"/>
          <w:right w:val="single" w:sz="8" w:space="0" w:color="0F6FC6"/>
        </w:tcBorders>
      </w:tcPr>
    </w:tblStylePr>
  </w:style>
  <w:style w:type="table" w:customStyle="1" w:styleId="LightList11">
    <w:name w:val="Light List11"/>
    <w:uiPriority w:val="99"/>
    <w:rsid w:val="00891A96"/>
    <w:pPr>
      <w:spacing w:before="20" w:after="0" w:line="240" w:lineRule="auto"/>
    </w:pPr>
    <w:rPr>
      <w:rFonts w:ascii="Times New Roman" w:eastAsia="Times New Roman" w:hAnsi="Times New Roman" w:cs="Times New Roman"/>
      <w:sz w:val="20"/>
      <w:szCs w:val="20"/>
      <w:lang w:eastAsia="en-GB"/>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pPr>
      <w:rPr>
        <w:rFonts w:cs="Times New Roman"/>
        <w:b w:val="0"/>
        <w:bCs/>
        <w:color w:val="FFFFFF"/>
      </w:rPr>
      <w:tblPr/>
      <w:tcPr>
        <w:shd w:val="clear" w:color="auto" w:fill="C0D7F1"/>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val="0"/>
        <w:bCs/>
        <w:i w:val="0"/>
      </w:rPr>
    </w:tblStylePr>
    <w:tblStylePr w:type="lastCol">
      <w:rPr>
        <w:rFonts w:cs="Times New Roman"/>
        <w:b w:val="0"/>
        <w:bCs/>
        <w:i w:val="0"/>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color w:val="000000"/>
      </w:rPr>
      <w:tblPr/>
      <w:tcPr>
        <w:tcBorders>
          <w:top w:val="single" w:sz="8" w:space="0" w:color="000000"/>
          <w:left w:val="single" w:sz="8" w:space="0" w:color="000000"/>
          <w:bottom w:val="single" w:sz="8" w:space="0" w:color="000000"/>
          <w:right w:val="single" w:sz="8" w:space="0" w:color="000000"/>
        </w:tcBorders>
      </w:tcPr>
    </w:tblStylePr>
    <w:tblStylePr w:type="band2Horz">
      <w:rPr>
        <w:rFonts w:cs="Times New Roman"/>
        <w:color w:val="000000"/>
      </w:rPr>
    </w:tblStylePr>
  </w:style>
  <w:style w:type="table" w:customStyle="1" w:styleId="LightShading11">
    <w:name w:val="Light Shading11"/>
    <w:uiPriority w:val="99"/>
    <w:rsid w:val="00891A96"/>
    <w:pPr>
      <w:spacing w:before="20" w:after="0" w:line="240" w:lineRule="auto"/>
    </w:pPr>
    <w:rPr>
      <w:rFonts w:ascii="Times New Roman" w:eastAsia="Times New Roman" w:hAnsi="Times New Roman" w:cs="Times New Roman"/>
      <w:color w:val="000000"/>
      <w:sz w:val="20"/>
      <w:szCs w:val="20"/>
      <w:lang w:eastAsia="en-GB"/>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LightShading-Accent121">
    <w:name w:val="Light Shading - Accent 121"/>
    <w:uiPriority w:val="99"/>
    <w:rsid w:val="00891A96"/>
    <w:pPr>
      <w:spacing w:before="20" w:after="0" w:line="240" w:lineRule="auto"/>
    </w:pPr>
    <w:rPr>
      <w:rFonts w:ascii="Times New Roman" w:eastAsia="Times New Roman" w:hAnsi="Times New Roman" w:cs="Times New Roman"/>
      <w:color w:val="0B5294"/>
      <w:sz w:val="20"/>
      <w:szCs w:val="20"/>
      <w:lang w:eastAsia="en-GB"/>
    </w:rPr>
    <w:tblPr>
      <w:tblStyleRowBandSize w:val="1"/>
      <w:tblStyleColBandSize w:val="1"/>
      <w:tblInd w:w="0" w:type="dxa"/>
      <w:tblBorders>
        <w:top w:val="single" w:sz="8" w:space="0" w:color="0F6FC6"/>
        <w:bottom w:val="single" w:sz="8" w:space="0" w:color="0F6FC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F6FC6"/>
          <w:left w:val="nil"/>
          <w:bottom w:val="single" w:sz="8" w:space="0" w:color="0F6FC6"/>
          <w:right w:val="nil"/>
          <w:insideH w:val="nil"/>
          <w:insideV w:val="nil"/>
        </w:tcBorders>
      </w:tcPr>
    </w:tblStylePr>
    <w:tblStylePr w:type="lastRow">
      <w:pPr>
        <w:spacing w:before="0" w:after="0"/>
      </w:pPr>
      <w:rPr>
        <w:rFonts w:cs="Times New Roman"/>
        <w:b/>
        <w:bCs/>
      </w:rPr>
      <w:tblPr/>
      <w:tcPr>
        <w:tcBorders>
          <w:top w:val="single" w:sz="8" w:space="0" w:color="0F6FC6"/>
          <w:left w:val="nil"/>
          <w:bottom w:val="single" w:sz="8" w:space="0" w:color="0F6F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BADBF9"/>
      </w:tcPr>
    </w:tblStylePr>
    <w:tblStylePr w:type="band1Horz">
      <w:rPr>
        <w:rFonts w:cs="Times New Roman"/>
      </w:rPr>
      <w:tblPr/>
      <w:tcPr>
        <w:tcBorders>
          <w:left w:val="nil"/>
          <w:right w:val="nil"/>
          <w:insideH w:val="nil"/>
          <w:insideV w:val="nil"/>
        </w:tcBorders>
        <w:shd w:val="clear" w:color="auto" w:fill="BADBF9"/>
      </w:tcPr>
    </w:tblStylePr>
  </w:style>
  <w:style w:type="table" w:customStyle="1" w:styleId="LightShading-Accent21">
    <w:name w:val="Light Shading - Accent 21"/>
    <w:uiPriority w:val="99"/>
    <w:rsid w:val="00891A96"/>
    <w:pPr>
      <w:spacing w:before="20" w:after="0" w:line="240" w:lineRule="auto"/>
    </w:pPr>
    <w:rPr>
      <w:rFonts w:ascii="Times New Roman" w:eastAsia="Times New Roman" w:hAnsi="Times New Roman" w:cs="Times New Roman"/>
      <w:color w:val="0075A2"/>
      <w:sz w:val="20"/>
      <w:szCs w:val="20"/>
      <w:lang w:eastAsia="en-GB"/>
    </w:rPr>
    <w:tblPr>
      <w:tblStyleRowBandSize w:val="1"/>
      <w:tblStyleColBandSize w:val="1"/>
      <w:tblInd w:w="0" w:type="dxa"/>
      <w:tblBorders>
        <w:top w:val="single" w:sz="8" w:space="0" w:color="009DD9"/>
        <w:bottom w:val="single" w:sz="8" w:space="0" w:color="009DD9"/>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9DD9"/>
          <w:left w:val="nil"/>
          <w:bottom w:val="single" w:sz="8" w:space="0" w:color="009DD9"/>
          <w:right w:val="nil"/>
          <w:insideH w:val="nil"/>
          <w:insideV w:val="nil"/>
        </w:tcBorders>
      </w:tcPr>
    </w:tblStylePr>
    <w:tblStylePr w:type="lastRow">
      <w:pPr>
        <w:spacing w:before="0" w:after="0"/>
      </w:pPr>
      <w:rPr>
        <w:rFonts w:cs="Times New Roman"/>
        <w:b/>
        <w:bCs/>
      </w:rPr>
      <w:tblPr/>
      <w:tcPr>
        <w:tcBorders>
          <w:top w:val="single" w:sz="8" w:space="0" w:color="009DD9"/>
          <w:left w:val="nil"/>
          <w:bottom w:val="single" w:sz="8" w:space="0" w:color="009DD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B6EAFF"/>
      </w:tcPr>
    </w:tblStylePr>
    <w:tblStylePr w:type="band1Horz">
      <w:rPr>
        <w:rFonts w:cs="Times New Roman"/>
      </w:rPr>
      <w:tblPr/>
      <w:tcPr>
        <w:tcBorders>
          <w:left w:val="nil"/>
          <w:right w:val="nil"/>
          <w:insideH w:val="nil"/>
          <w:insideV w:val="nil"/>
        </w:tcBorders>
        <w:shd w:val="clear" w:color="auto" w:fill="B6EAFF"/>
      </w:tcPr>
    </w:tblStylePr>
  </w:style>
  <w:style w:type="table" w:customStyle="1" w:styleId="LightShading-Accent31">
    <w:name w:val="Light Shading - Accent 31"/>
    <w:uiPriority w:val="99"/>
    <w:rsid w:val="00891A96"/>
    <w:pPr>
      <w:spacing w:before="20" w:after="0" w:line="240" w:lineRule="auto"/>
    </w:pPr>
    <w:rPr>
      <w:rFonts w:ascii="Times New Roman" w:eastAsia="Times New Roman" w:hAnsi="Times New Roman" w:cs="Times New Roman"/>
      <w:color w:val="089BA2"/>
      <w:sz w:val="20"/>
      <w:szCs w:val="20"/>
      <w:lang w:eastAsia="en-GB"/>
    </w:rPr>
    <w:tblPr>
      <w:tblStyleRowBandSize w:val="1"/>
      <w:tblStyleColBandSize w:val="1"/>
      <w:tblInd w:w="0" w:type="dxa"/>
      <w:tblBorders>
        <w:top w:val="single" w:sz="8" w:space="0" w:color="0BD0D9"/>
        <w:bottom w:val="single" w:sz="8" w:space="0" w:color="0BD0D9"/>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BD0D9"/>
          <w:left w:val="nil"/>
          <w:bottom w:val="single" w:sz="8" w:space="0" w:color="0BD0D9"/>
          <w:right w:val="nil"/>
          <w:insideH w:val="nil"/>
          <w:insideV w:val="nil"/>
        </w:tcBorders>
      </w:tcPr>
    </w:tblStylePr>
    <w:tblStylePr w:type="lastRow">
      <w:pPr>
        <w:spacing w:before="0" w:after="0"/>
      </w:pPr>
      <w:rPr>
        <w:rFonts w:cs="Times New Roman"/>
        <w:b/>
        <w:bCs/>
      </w:rPr>
      <w:tblPr/>
      <w:tcPr>
        <w:tcBorders>
          <w:top w:val="single" w:sz="8" w:space="0" w:color="0BD0D9"/>
          <w:left w:val="nil"/>
          <w:bottom w:val="single" w:sz="8" w:space="0" w:color="0BD0D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BCF8FB"/>
      </w:tcPr>
    </w:tblStylePr>
    <w:tblStylePr w:type="band1Horz">
      <w:rPr>
        <w:rFonts w:cs="Times New Roman"/>
      </w:rPr>
      <w:tblPr/>
      <w:tcPr>
        <w:tcBorders>
          <w:left w:val="nil"/>
          <w:right w:val="nil"/>
          <w:insideH w:val="nil"/>
          <w:insideV w:val="nil"/>
        </w:tcBorders>
        <w:shd w:val="clear" w:color="auto" w:fill="BCF8FB"/>
      </w:tcPr>
    </w:tblStylePr>
  </w:style>
  <w:style w:type="table" w:customStyle="1" w:styleId="LightList-Accent21">
    <w:name w:val="Light List - Accent 21"/>
    <w:uiPriority w:val="99"/>
    <w:rsid w:val="00891A96"/>
    <w:pPr>
      <w:spacing w:before="20" w:after="0" w:line="240" w:lineRule="auto"/>
    </w:pPr>
    <w:rPr>
      <w:rFonts w:ascii="Times New Roman" w:eastAsia="Times New Roman" w:hAnsi="Times New Roman" w:cs="Times New Roman"/>
      <w:sz w:val="20"/>
      <w:szCs w:val="20"/>
      <w:lang w:eastAsia="en-GB"/>
    </w:rPr>
    <w:tblPr>
      <w:tblStyleRowBandSize w:val="1"/>
      <w:tblStyleColBandSize w:val="1"/>
      <w:tblInd w:w="0" w:type="dxa"/>
      <w:tblBorders>
        <w:top w:val="single" w:sz="8" w:space="0" w:color="009DD9"/>
        <w:left w:val="single" w:sz="8" w:space="0" w:color="009DD9"/>
        <w:bottom w:val="single" w:sz="8" w:space="0" w:color="009DD9"/>
        <w:right w:val="single" w:sz="8" w:space="0" w:color="009DD9"/>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009DD9"/>
      </w:tcPr>
    </w:tblStylePr>
    <w:tblStylePr w:type="lastRow">
      <w:pPr>
        <w:spacing w:before="0" w:after="0"/>
      </w:pPr>
      <w:rPr>
        <w:rFonts w:cs="Times New Roman"/>
        <w:b/>
        <w:bCs/>
      </w:rPr>
      <w:tblPr/>
      <w:tcPr>
        <w:tcBorders>
          <w:top w:val="double" w:sz="6" w:space="0" w:color="009DD9"/>
          <w:left w:val="single" w:sz="8" w:space="0" w:color="009DD9"/>
          <w:bottom w:val="single" w:sz="8" w:space="0" w:color="009DD9"/>
          <w:right w:val="single" w:sz="8" w:space="0" w:color="009DD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9DD9"/>
          <w:left w:val="single" w:sz="8" w:space="0" w:color="009DD9"/>
          <w:bottom w:val="single" w:sz="8" w:space="0" w:color="009DD9"/>
          <w:right w:val="single" w:sz="8" w:space="0" w:color="009DD9"/>
        </w:tcBorders>
      </w:tcPr>
    </w:tblStylePr>
    <w:tblStylePr w:type="band1Horz">
      <w:rPr>
        <w:rFonts w:cs="Times New Roman"/>
      </w:rPr>
      <w:tblPr/>
      <w:tcPr>
        <w:tcBorders>
          <w:top w:val="single" w:sz="8" w:space="0" w:color="009DD9"/>
          <w:left w:val="single" w:sz="8" w:space="0" w:color="009DD9"/>
          <w:bottom w:val="single" w:sz="8" w:space="0" w:color="009DD9"/>
          <w:right w:val="single" w:sz="8" w:space="0" w:color="009DD9"/>
        </w:tcBorders>
      </w:tcPr>
    </w:tblStylePr>
  </w:style>
  <w:style w:type="table" w:customStyle="1" w:styleId="LightList-Accent31">
    <w:name w:val="Light List - Accent 31"/>
    <w:uiPriority w:val="99"/>
    <w:rsid w:val="00891A96"/>
    <w:pPr>
      <w:spacing w:before="20" w:after="0" w:line="240" w:lineRule="auto"/>
    </w:pPr>
    <w:rPr>
      <w:rFonts w:ascii="Times New Roman" w:eastAsia="Times New Roman" w:hAnsi="Times New Roman" w:cs="Times New Roman"/>
      <w:sz w:val="20"/>
      <w:szCs w:val="20"/>
      <w:lang w:eastAsia="en-GB"/>
    </w:rPr>
    <w:tblPr>
      <w:tblStyleRowBandSize w:val="1"/>
      <w:tblStyleColBandSize w:val="1"/>
      <w:tblInd w:w="0" w:type="dxa"/>
      <w:tblBorders>
        <w:top w:val="single" w:sz="8" w:space="0" w:color="0BD0D9"/>
        <w:left w:val="single" w:sz="8" w:space="0" w:color="0BD0D9"/>
        <w:bottom w:val="single" w:sz="8" w:space="0" w:color="0BD0D9"/>
        <w:right w:val="single" w:sz="8" w:space="0" w:color="0BD0D9"/>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0BD0D9"/>
      </w:tcPr>
    </w:tblStylePr>
    <w:tblStylePr w:type="lastRow">
      <w:pPr>
        <w:spacing w:before="0" w:after="0"/>
      </w:pPr>
      <w:rPr>
        <w:rFonts w:cs="Times New Roman"/>
        <w:b/>
        <w:bCs/>
      </w:rPr>
      <w:tblPr/>
      <w:tcPr>
        <w:tcBorders>
          <w:top w:val="double" w:sz="6" w:space="0" w:color="0BD0D9"/>
          <w:left w:val="single" w:sz="8" w:space="0" w:color="0BD0D9"/>
          <w:bottom w:val="single" w:sz="8" w:space="0" w:color="0BD0D9"/>
          <w:right w:val="single" w:sz="8" w:space="0" w:color="0BD0D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BD0D9"/>
          <w:left w:val="single" w:sz="8" w:space="0" w:color="0BD0D9"/>
          <w:bottom w:val="single" w:sz="8" w:space="0" w:color="0BD0D9"/>
          <w:right w:val="single" w:sz="8" w:space="0" w:color="0BD0D9"/>
        </w:tcBorders>
      </w:tcPr>
    </w:tblStylePr>
    <w:tblStylePr w:type="band1Horz">
      <w:rPr>
        <w:rFonts w:cs="Times New Roman"/>
      </w:rPr>
      <w:tblPr/>
      <w:tcPr>
        <w:tcBorders>
          <w:top w:val="single" w:sz="8" w:space="0" w:color="0BD0D9"/>
          <w:left w:val="single" w:sz="8" w:space="0" w:color="0BD0D9"/>
          <w:bottom w:val="single" w:sz="8" w:space="0" w:color="0BD0D9"/>
          <w:right w:val="single" w:sz="8" w:space="0" w:color="0BD0D9"/>
        </w:tcBorders>
      </w:tcPr>
    </w:tblStylePr>
  </w:style>
  <w:style w:type="table" w:customStyle="1" w:styleId="MediumShading1-Accent111">
    <w:name w:val="Medium Shading 1 - Accent 111"/>
    <w:uiPriority w:val="99"/>
    <w:rsid w:val="00891A96"/>
    <w:pPr>
      <w:spacing w:before="20" w:after="0" w:line="240" w:lineRule="auto"/>
    </w:pPr>
    <w:rPr>
      <w:rFonts w:ascii="Times New Roman" w:eastAsia="Times New Roman" w:hAnsi="Times New Roman" w:cs="Times New Roman"/>
      <w:sz w:val="20"/>
      <w:szCs w:val="20"/>
      <w:lang w:eastAsia="en-GB"/>
    </w:rPr>
    <w:tblPr>
      <w:tblStyleRowBandSize w:val="1"/>
      <w:tblStyleColBandSize w:val="1"/>
      <w:tblInd w:w="0" w:type="dxa"/>
      <w:tblBorders>
        <w:top w:val="single" w:sz="8" w:space="0" w:color="3093EF"/>
        <w:left w:val="single" w:sz="8" w:space="0" w:color="3093EF"/>
        <w:bottom w:val="single" w:sz="8" w:space="0" w:color="3093EF"/>
        <w:right w:val="single" w:sz="8" w:space="0" w:color="3093EF"/>
        <w:insideH w:val="single" w:sz="8" w:space="0" w:color="3093EF"/>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3093EF"/>
          <w:left w:val="single" w:sz="8" w:space="0" w:color="3093EF"/>
          <w:bottom w:val="single" w:sz="8" w:space="0" w:color="3093EF"/>
          <w:right w:val="single" w:sz="8" w:space="0" w:color="3093EF"/>
          <w:insideH w:val="nil"/>
          <w:insideV w:val="nil"/>
        </w:tcBorders>
        <w:shd w:val="clear" w:color="auto" w:fill="0F6FC6"/>
      </w:tcPr>
    </w:tblStylePr>
    <w:tblStylePr w:type="lastRow">
      <w:pPr>
        <w:spacing w:before="0" w:after="0"/>
      </w:pPr>
      <w:rPr>
        <w:rFonts w:cs="Times New Roman"/>
        <w:b/>
        <w:bCs/>
      </w:rPr>
      <w:tblPr/>
      <w:tcPr>
        <w:tcBorders>
          <w:top w:val="double" w:sz="6" w:space="0" w:color="3093EF"/>
          <w:left w:val="single" w:sz="8" w:space="0" w:color="3093EF"/>
          <w:bottom w:val="single" w:sz="8" w:space="0" w:color="3093EF"/>
          <w:right w:val="single" w:sz="8" w:space="0" w:color="3093E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BADBF9"/>
      </w:tcPr>
    </w:tblStylePr>
    <w:tblStylePr w:type="band1Horz">
      <w:rPr>
        <w:rFonts w:cs="Times New Roman"/>
      </w:rPr>
      <w:tblPr/>
      <w:tcPr>
        <w:tcBorders>
          <w:insideH w:val="nil"/>
          <w:insideV w:val="nil"/>
        </w:tcBorders>
        <w:shd w:val="clear" w:color="auto" w:fill="BADBF9"/>
      </w:tcPr>
    </w:tblStylePr>
    <w:tblStylePr w:type="band2Horz">
      <w:rPr>
        <w:rFonts w:cs="Times New Roman"/>
      </w:rPr>
      <w:tblPr/>
      <w:tcPr>
        <w:tcBorders>
          <w:insideH w:val="nil"/>
          <w:insideV w:val="nil"/>
        </w:tcBorders>
      </w:tcPr>
    </w:tblStylePr>
  </w:style>
  <w:style w:type="table" w:customStyle="1" w:styleId="LightList-Accent41">
    <w:name w:val="Light List - Accent 41"/>
    <w:uiPriority w:val="99"/>
    <w:rsid w:val="00891A96"/>
    <w:pPr>
      <w:spacing w:before="20" w:after="0" w:line="240" w:lineRule="auto"/>
    </w:pPr>
    <w:rPr>
      <w:rFonts w:ascii="Times New Roman" w:eastAsia="Times New Roman" w:hAnsi="Times New Roman" w:cs="Times New Roman"/>
      <w:sz w:val="20"/>
      <w:szCs w:val="20"/>
      <w:lang w:eastAsia="en-GB"/>
    </w:rPr>
    <w:tblPr>
      <w:tblStyleRowBandSize w:val="1"/>
      <w:tblStyleColBandSize w:val="1"/>
      <w:tblInd w:w="0" w:type="dxa"/>
      <w:tblBorders>
        <w:top w:val="single" w:sz="8" w:space="0" w:color="10CF9B"/>
        <w:left w:val="single" w:sz="8" w:space="0" w:color="10CF9B"/>
        <w:bottom w:val="single" w:sz="8" w:space="0" w:color="10CF9B"/>
        <w:right w:val="single" w:sz="8" w:space="0" w:color="10CF9B"/>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10CF9B"/>
      </w:tcPr>
    </w:tblStylePr>
    <w:tblStylePr w:type="lastRow">
      <w:pPr>
        <w:spacing w:before="0" w:after="0"/>
      </w:pPr>
      <w:rPr>
        <w:rFonts w:cs="Times New Roman"/>
        <w:b/>
        <w:bCs/>
      </w:rPr>
      <w:tblPr/>
      <w:tcPr>
        <w:tcBorders>
          <w:top w:val="double" w:sz="6" w:space="0" w:color="10CF9B"/>
          <w:left w:val="single" w:sz="8" w:space="0" w:color="10CF9B"/>
          <w:bottom w:val="single" w:sz="8" w:space="0" w:color="10CF9B"/>
          <w:right w:val="single" w:sz="8" w:space="0" w:color="10CF9B"/>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10CF9B"/>
          <w:left w:val="single" w:sz="8" w:space="0" w:color="10CF9B"/>
          <w:bottom w:val="single" w:sz="8" w:space="0" w:color="10CF9B"/>
          <w:right w:val="single" w:sz="8" w:space="0" w:color="10CF9B"/>
        </w:tcBorders>
      </w:tcPr>
    </w:tblStylePr>
    <w:tblStylePr w:type="band1Horz">
      <w:rPr>
        <w:rFonts w:cs="Times New Roman"/>
      </w:rPr>
      <w:tblPr/>
      <w:tcPr>
        <w:tcBorders>
          <w:top w:val="single" w:sz="8" w:space="0" w:color="10CF9B"/>
          <w:left w:val="single" w:sz="8" w:space="0" w:color="10CF9B"/>
          <w:bottom w:val="single" w:sz="8" w:space="0" w:color="10CF9B"/>
          <w:right w:val="single" w:sz="8" w:space="0" w:color="10CF9B"/>
        </w:tcBorders>
      </w:tcPr>
    </w:tblStylePr>
  </w:style>
  <w:style w:type="table" w:customStyle="1" w:styleId="TableGrid11">
    <w:name w:val="Table Grid11"/>
    <w:uiPriority w:val="99"/>
    <w:rsid w:val="00891A96"/>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uiPriority w:val="99"/>
    <w:rsid w:val="00891A9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uiPriority w:val="99"/>
    <w:rsid w:val="00891A96"/>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Outlinenumbered1">
    <w:name w:val="Style Outline numbered1"/>
    <w:rsid w:val="00891A96"/>
    <w:pPr>
      <w:numPr>
        <w:numId w:val="19"/>
      </w:numPr>
    </w:pPr>
  </w:style>
  <w:style w:type="numbering" w:customStyle="1" w:styleId="ImportedStyle11">
    <w:name w:val="Imported Style 11"/>
    <w:rsid w:val="00891A96"/>
    <w:pPr>
      <w:numPr>
        <w:numId w:val="20"/>
      </w:numPr>
    </w:pPr>
  </w:style>
  <w:style w:type="numbering" w:customStyle="1" w:styleId="AonList">
    <w:name w:val="Aon List"/>
    <w:rsid w:val="00891A96"/>
    <w:pPr>
      <w:numPr>
        <w:numId w:val="4"/>
      </w:numPr>
    </w:pPr>
  </w:style>
  <w:style w:type="numbering" w:customStyle="1" w:styleId="HRNumber">
    <w:name w:val="HR Number"/>
    <w:rsid w:val="00891A96"/>
    <w:pPr>
      <w:numPr>
        <w:numId w:val="6"/>
      </w:numPr>
    </w:pPr>
  </w:style>
  <w:style w:type="numbering" w:customStyle="1" w:styleId="ImportedStyle21">
    <w:name w:val="Imported Style 21"/>
    <w:rsid w:val="00891A96"/>
    <w:pPr>
      <w:numPr>
        <w:numId w:val="21"/>
      </w:numPr>
    </w:pPr>
  </w:style>
  <w:style w:type="numbering" w:customStyle="1" w:styleId="HRBullet">
    <w:name w:val="HR Bullet"/>
    <w:rsid w:val="00891A96"/>
    <w:pPr>
      <w:numPr>
        <w:numId w:val="7"/>
      </w:numPr>
    </w:pPr>
  </w:style>
  <w:style w:type="numbering" w:customStyle="1" w:styleId="ImportedStyle2">
    <w:name w:val="Imported Style 2"/>
    <w:rsid w:val="00891A96"/>
    <w:pPr>
      <w:numPr>
        <w:numId w:val="18"/>
      </w:numPr>
    </w:pPr>
  </w:style>
  <w:style w:type="numbering" w:customStyle="1" w:styleId="ImportedStyle1">
    <w:name w:val="Imported Style 1"/>
    <w:rsid w:val="00891A96"/>
    <w:pPr>
      <w:numPr>
        <w:numId w:val="17"/>
      </w:numPr>
    </w:pPr>
  </w:style>
  <w:style w:type="numbering" w:customStyle="1" w:styleId="StyleOutlinenumbered">
    <w:name w:val="Style Outline numbered"/>
    <w:rsid w:val="00891A96"/>
    <w:pPr>
      <w:numPr>
        <w:numId w:val="15"/>
      </w:numPr>
    </w:pPr>
  </w:style>
  <w:style w:type="paragraph" w:customStyle="1" w:styleId="BodyA">
    <w:name w:val="Body A"/>
    <w:rsid w:val="00891A96"/>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val="en-US" w:eastAsia="en-GB"/>
    </w:rPr>
  </w:style>
  <w:style w:type="paragraph" w:customStyle="1" w:styleId="msonormal0">
    <w:name w:val="msonormal"/>
    <w:basedOn w:val="Normal"/>
    <w:rsid w:val="00891A96"/>
    <w:pPr>
      <w:spacing w:before="100" w:beforeAutospacing="1" w:after="100" w:afterAutospacing="1" w:line="240" w:lineRule="auto"/>
    </w:pPr>
    <w:rPr>
      <w:rFonts w:ascii="Times New Roman" w:hAnsi="Times New Roman" w:cs="Times New Roman"/>
      <w:sz w:val="24"/>
      <w:szCs w:val="24"/>
      <w:lang w:eastAsia="en-GB"/>
    </w:rPr>
  </w:style>
  <w:style w:type="paragraph" w:customStyle="1" w:styleId="xl99">
    <w:name w:val="xl99"/>
    <w:basedOn w:val="Normal"/>
    <w:rsid w:val="00891A96"/>
    <w:pPr>
      <w:shd w:val="clear" w:color="auto" w:fill="FFFFFF"/>
      <w:spacing w:before="100" w:beforeAutospacing="1" w:after="100" w:afterAutospacing="1" w:line="240" w:lineRule="auto"/>
    </w:pPr>
    <w:rPr>
      <w:rFonts w:ascii="Times New Roman" w:hAnsi="Times New Roman" w:cs="Times New Roman"/>
      <w:sz w:val="20"/>
      <w:szCs w:val="20"/>
      <w:lang w:eastAsia="en-GB"/>
    </w:rPr>
  </w:style>
  <w:style w:type="paragraph" w:customStyle="1" w:styleId="xl100">
    <w:name w:val="xl100"/>
    <w:basedOn w:val="Normal"/>
    <w:rsid w:val="00891A96"/>
    <w:pPr>
      <w:shd w:val="clear" w:color="auto" w:fill="FFFFFF"/>
      <w:spacing w:before="100" w:beforeAutospacing="1" w:after="100" w:afterAutospacing="1" w:line="240" w:lineRule="auto"/>
      <w:jc w:val="right"/>
    </w:pPr>
    <w:rPr>
      <w:rFonts w:ascii="Times New Roman" w:hAnsi="Times New Roman" w:cs="Times New Roman"/>
      <w:sz w:val="20"/>
      <w:szCs w:val="20"/>
      <w:lang w:eastAsia="en-GB"/>
    </w:rPr>
  </w:style>
  <w:style w:type="paragraph" w:customStyle="1" w:styleId="xl101">
    <w:name w:val="xl101"/>
    <w:basedOn w:val="Normal"/>
    <w:rsid w:val="00891A96"/>
    <w:pPr>
      <w:shd w:val="clear" w:color="auto" w:fill="FFFFFF"/>
      <w:spacing w:before="100" w:beforeAutospacing="1" w:after="100" w:afterAutospacing="1" w:line="240" w:lineRule="auto"/>
      <w:jc w:val="right"/>
    </w:pPr>
    <w:rPr>
      <w:rFonts w:ascii="Times New Roman" w:hAnsi="Times New Roman" w:cs="Times New Roman"/>
      <w:b/>
      <w:bCs/>
      <w:sz w:val="20"/>
      <w:szCs w:val="20"/>
      <w:lang w:eastAsia="en-GB"/>
    </w:rPr>
  </w:style>
  <w:style w:type="paragraph" w:customStyle="1" w:styleId="xl102">
    <w:name w:val="xl102"/>
    <w:basedOn w:val="Normal"/>
    <w:rsid w:val="00891A96"/>
    <w:pPr>
      <w:shd w:val="clear" w:color="auto" w:fill="FFFFFF"/>
      <w:spacing w:before="100" w:beforeAutospacing="1" w:after="100" w:afterAutospacing="1" w:line="240" w:lineRule="auto"/>
      <w:jc w:val="right"/>
    </w:pPr>
    <w:rPr>
      <w:rFonts w:ascii="Times New Roman" w:hAnsi="Times New Roman" w:cs="Times New Roman"/>
      <w:b/>
      <w:bCs/>
      <w:sz w:val="20"/>
      <w:szCs w:val="20"/>
      <w:lang w:eastAsia="en-GB"/>
    </w:rPr>
  </w:style>
  <w:style w:type="paragraph" w:customStyle="1" w:styleId="xl103">
    <w:name w:val="xl103"/>
    <w:basedOn w:val="Normal"/>
    <w:rsid w:val="00891A96"/>
    <w:pPr>
      <w:shd w:val="clear" w:color="auto" w:fill="FFFFFF"/>
      <w:spacing w:before="100" w:beforeAutospacing="1" w:after="100" w:afterAutospacing="1" w:line="240" w:lineRule="auto"/>
      <w:jc w:val="right"/>
    </w:pPr>
    <w:rPr>
      <w:rFonts w:ascii="Times New Roman" w:hAnsi="Times New Roman" w:cs="Times New Roman"/>
      <w:b/>
      <w:bCs/>
      <w:sz w:val="20"/>
      <w:szCs w:val="20"/>
      <w:lang w:eastAsia="en-GB"/>
    </w:rPr>
  </w:style>
  <w:style w:type="paragraph" w:customStyle="1" w:styleId="xl104">
    <w:name w:val="xl104"/>
    <w:basedOn w:val="Normal"/>
    <w:rsid w:val="00891A96"/>
    <w:pPr>
      <w:shd w:val="clear" w:color="auto" w:fill="FFFFFF"/>
      <w:spacing w:before="100" w:beforeAutospacing="1" w:after="100" w:afterAutospacing="1" w:line="240" w:lineRule="auto"/>
      <w:jc w:val="right"/>
    </w:pPr>
    <w:rPr>
      <w:rFonts w:ascii="Times New Roman" w:hAnsi="Times New Roman" w:cs="Times New Roman"/>
      <w:b/>
      <w:bCs/>
      <w:sz w:val="20"/>
      <w:szCs w:val="20"/>
      <w:lang w:eastAsia="en-GB"/>
    </w:rPr>
  </w:style>
  <w:style w:type="paragraph" w:customStyle="1" w:styleId="xl105">
    <w:name w:val="xl105"/>
    <w:basedOn w:val="Normal"/>
    <w:rsid w:val="00891A96"/>
    <w:pPr>
      <w:shd w:val="clear" w:color="auto" w:fill="FFFFFF"/>
      <w:spacing w:before="100" w:beforeAutospacing="1" w:after="100" w:afterAutospacing="1" w:line="240" w:lineRule="auto"/>
    </w:pPr>
    <w:rPr>
      <w:rFonts w:ascii="Times New Roman" w:hAnsi="Times New Roman" w:cs="Times New Roman"/>
      <w:sz w:val="20"/>
      <w:szCs w:val="20"/>
      <w:lang w:eastAsia="en-GB"/>
    </w:rPr>
  </w:style>
  <w:style w:type="paragraph" w:customStyle="1" w:styleId="xl106">
    <w:name w:val="xl106"/>
    <w:basedOn w:val="Normal"/>
    <w:rsid w:val="00891A96"/>
    <w:pPr>
      <w:shd w:val="clear" w:color="auto" w:fill="FFFFFF"/>
      <w:spacing w:before="100" w:beforeAutospacing="1" w:after="100" w:afterAutospacing="1" w:line="240" w:lineRule="auto"/>
      <w:jc w:val="right"/>
    </w:pPr>
    <w:rPr>
      <w:rFonts w:ascii="Times New Roman" w:hAnsi="Times New Roman" w:cs="Times New Roman"/>
      <w:color w:val="000000"/>
      <w:sz w:val="20"/>
      <w:szCs w:val="20"/>
      <w:lang w:eastAsia="en-GB"/>
    </w:rPr>
  </w:style>
  <w:style w:type="paragraph" w:customStyle="1" w:styleId="xl107">
    <w:name w:val="xl107"/>
    <w:basedOn w:val="Normal"/>
    <w:rsid w:val="00891A96"/>
    <w:pPr>
      <w:shd w:val="clear" w:color="auto" w:fill="FFFFFF"/>
      <w:spacing w:before="100" w:beforeAutospacing="1" w:after="100" w:afterAutospacing="1" w:line="240" w:lineRule="auto"/>
      <w:jc w:val="right"/>
    </w:pPr>
    <w:rPr>
      <w:rFonts w:ascii="Times New Roman" w:hAnsi="Times New Roman" w:cs="Times New Roman"/>
      <w:b/>
      <w:bCs/>
      <w:color w:val="000000"/>
      <w:sz w:val="20"/>
      <w:szCs w:val="20"/>
      <w:lang w:eastAsia="en-GB"/>
    </w:rPr>
  </w:style>
  <w:style w:type="paragraph" w:customStyle="1" w:styleId="xl108">
    <w:name w:val="xl108"/>
    <w:basedOn w:val="Normal"/>
    <w:rsid w:val="00891A96"/>
    <w:pPr>
      <w:shd w:val="clear" w:color="auto" w:fill="FFFFFF"/>
      <w:spacing w:before="100" w:beforeAutospacing="1" w:after="100" w:afterAutospacing="1" w:line="240" w:lineRule="auto"/>
    </w:pPr>
    <w:rPr>
      <w:rFonts w:ascii="Times New Roman" w:hAnsi="Times New Roman" w:cs="Times New Roman"/>
      <w:b/>
      <w:bCs/>
      <w:sz w:val="20"/>
      <w:szCs w:val="20"/>
      <w:lang w:eastAsia="en-GB"/>
    </w:rPr>
  </w:style>
  <w:style w:type="paragraph" w:customStyle="1" w:styleId="xl109">
    <w:name w:val="xl109"/>
    <w:basedOn w:val="Normal"/>
    <w:rsid w:val="00891A96"/>
    <w:pPr>
      <w:shd w:val="clear" w:color="auto" w:fill="FFFFFF"/>
      <w:spacing w:before="100" w:beforeAutospacing="1" w:after="100" w:afterAutospacing="1" w:line="240" w:lineRule="auto"/>
    </w:pPr>
    <w:rPr>
      <w:rFonts w:ascii="Times New Roman" w:hAnsi="Times New Roman" w:cs="Times New Roman"/>
      <w:color w:val="000000"/>
      <w:sz w:val="20"/>
      <w:szCs w:val="20"/>
      <w:lang w:eastAsia="en-GB"/>
    </w:rPr>
  </w:style>
  <w:style w:type="paragraph" w:customStyle="1" w:styleId="xl110">
    <w:name w:val="xl110"/>
    <w:basedOn w:val="Normal"/>
    <w:rsid w:val="00891A96"/>
    <w:pPr>
      <w:shd w:val="clear" w:color="auto" w:fill="FFFFFF"/>
      <w:spacing w:before="100" w:beforeAutospacing="1" w:after="100" w:afterAutospacing="1" w:line="240" w:lineRule="auto"/>
    </w:pPr>
    <w:rPr>
      <w:rFonts w:ascii="Times New Roman" w:hAnsi="Times New Roman" w:cs="Times New Roman"/>
      <w:color w:val="000000"/>
      <w:sz w:val="20"/>
      <w:szCs w:val="20"/>
      <w:lang w:eastAsia="en-GB"/>
    </w:rPr>
  </w:style>
  <w:style w:type="paragraph" w:customStyle="1" w:styleId="xl111">
    <w:name w:val="xl111"/>
    <w:basedOn w:val="Normal"/>
    <w:rsid w:val="00891A96"/>
    <w:pPr>
      <w:shd w:val="clear" w:color="auto" w:fill="FFFFFF"/>
      <w:spacing w:before="100" w:beforeAutospacing="1" w:after="100" w:afterAutospacing="1" w:line="240" w:lineRule="auto"/>
    </w:pPr>
    <w:rPr>
      <w:rFonts w:ascii="Times New Roman" w:hAnsi="Times New Roman" w:cs="Times New Roman"/>
      <w:color w:val="000000"/>
      <w:sz w:val="20"/>
      <w:szCs w:val="20"/>
      <w:lang w:eastAsia="en-GB"/>
    </w:rPr>
  </w:style>
  <w:style w:type="paragraph" w:customStyle="1" w:styleId="xl112">
    <w:name w:val="xl112"/>
    <w:basedOn w:val="Normal"/>
    <w:rsid w:val="00891A96"/>
    <w:pPr>
      <w:shd w:val="clear" w:color="auto" w:fill="FFFFFF"/>
      <w:spacing w:before="100" w:beforeAutospacing="1" w:after="100" w:afterAutospacing="1" w:line="240" w:lineRule="auto"/>
      <w:jc w:val="right"/>
    </w:pPr>
    <w:rPr>
      <w:rFonts w:ascii="Times New Roman" w:hAnsi="Times New Roman" w:cs="Times New Roman"/>
      <w:b/>
      <w:bCs/>
      <w:color w:val="000000"/>
      <w:sz w:val="20"/>
      <w:szCs w:val="20"/>
      <w:lang w:eastAsia="en-GB"/>
    </w:rPr>
  </w:style>
  <w:style w:type="paragraph" w:customStyle="1" w:styleId="xl113">
    <w:name w:val="xl113"/>
    <w:basedOn w:val="Normal"/>
    <w:rsid w:val="00891A96"/>
    <w:pPr>
      <w:shd w:val="clear" w:color="auto" w:fill="FFFFFF"/>
      <w:spacing w:before="100" w:beforeAutospacing="1" w:after="100" w:afterAutospacing="1" w:line="240" w:lineRule="auto"/>
      <w:jc w:val="right"/>
    </w:pPr>
    <w:rPr>
      <w:rFonts w:ascii="Times New Roman" w:hAnsi="Times New Roman" w:cs="Times New Roman"/>
      <w:b/>
      <w:bCs/>
      <w:color w:val="000000"/>
      <w:sz w:val="20"/>
      <w:szCs w:val="20"/>
      <w:lang w:eastAsia="en-GB"/>
    </w:rPr>
  </w:style>
  <w:style w:type="paragraph" w:customStyle="1" w:styleId="xl114">
    <w:name w:val="xl114"/>
    <w:basedOn w:val="Normal"/>
    <w:rsid w:val="00891A96"/>
    <w:pPr>
      <w:shd w:val="clear" w:color="auto" w:fill="FFFFFF"/>
      <w:spacing w:before="100" w:beforeAutospacing="1" w:after="100" w:afterAutospacing="1" w:line="240" w:lineRule="auto"/>
    </w:pPr>
    <w:rPr>
      <w:rFonts w:ascii="Times New Roman" w:hAnsi="Times New Roman" w:cs="Times New Roman"/>
      <w:b/>
      <w:bCs/>
      <w:sz w:val="20"/>
      <w:szCs w:val="20"/>
      <w:lang w:eastAsia="en-GB"/>
    </w:rPr>
  </w:style>
  <w:style w:type="paragraph" w:customStyle="1" w:styleId="xl115">
    <w:name w:val="xl115"/>
    <w:basedOn w:val="Normal"/>
    <w:rsid w:val="00891A96"/>
    <w:pPr>
      <w:shd w:val="clear" w:color="auto" w:fill="FFFFFF"/>
      <w:spacing w:before="100" w:beforeAutospacing="1" w:after="100" w:afterAutospacing="1" w:line="240" w:lineRule="auto"/>
      <w:jc w:val="right"/>
    </w:pPr>
    <w:rPr>
      <w:rFonts w:ascii="Times New Roman" w:hAnsi="Times New Roman" w:cs="Times New Roman"/>
      <w:color w:val="000000"/>
      <w:sz w:val="20"/>
      <w:szCs w:val="20"/>
      <w:lang w:eastAsia="en-GB"/>
    </w:rPr>
  </w:style>
  <w:style w:type="paragraph" w:customStyle="1" w:styleId="xl116">
    <w:name w:val="xl116"/>
    <w:basedOn w:val="Normal"/>
    <w:rsid w:val="00891A96"/>
    <w:pPr>
      <w:shd w:val="clear" w:color="auto" w:fill="FFFFFF"/>
      <w:spacing w:before="100" w:beforeAutospacing="1" w:after="100" w:afterAutospacing="1" w:line="240" w:lineRule="auto"/>
      <w:jc w:val="right"/>
    </w:pPr>
    <w:rPr>
      <w:rFonts w:ascii="Times New Roman" w:hAnsi="Times New Roman" w:cs="Times New Roman"/>
      <w:b/>
      <w:bCs/>
      <w:color w:val="000000"/>
      <w:sz w:val="20"/>
      <w:szCs w:val="20"/>
      <w:lang w:eastAsia="en-GB"/>
    </w:rPr>
  </w:style>
  <w:style w:type="paragraph" w:customStyle="1" w:styleId="xl117">
    <w:name w:val="xl117"/>
    <w:basedOn w:val="Normal"/>
    <w:rsid w:val="00891A96"/>
    <w:pPr>
      <w:shd w:val="clear" w:color="auto" w:fill="FFFFFF"/>
      <w:spacing w:before="100" w:beforeAutospacing="1" w:after="100" w:afterAutospacing="1" w:line="240" w:lineRule="auto"/>
      <w:jc w:val="right"/>
    </w:pPr>
    <w:rPr>
      <w:rFonts w:ascii="Times New Roman" w:hAnsi="Times New Roman" w:cs="Times New Roman"/>
      <w:sz w:val="20"/>
      <w:szCs w:val="20"/>
      <w:lang w:eastAsia="en-GB"/>
    </w:rPr>
  </w:style>
  <w:style w:type="paragraph" w:customStyle="1" w:styleId="xl118">
    <w:name w:val="xl118"/>
    <w:basedOn w:val="Normal"/>
    <w:rsid w:val="00891A96"/>
    <w:pPr>
      <w:shd w:val="clear" w:color="auto" w:fill="FFFFFF"/>
      <w:spacing w:before="100" w:beforeAutospacing="1" w:after="100" w:afterAutospacing="1" w:line="240" w:lineRule="auto"/>
      <w:jc w:val="right"/>
    </w:pPr>
    <w:rPr>
      <w:rFonts w:ascii="Times New Roman" w:hAnsi="Times New Roman" w:cs="Times New Roman"/>
      <w:sz w:val="20"/>
      <w:szCs w:val="20"/>
      <w:lang w:eastAsia="en-GB"/>
    </w:rPr>
  </w:style>
  <w:style w:type="paragraph" w:customStyle="1" w:styleId="xl119">
    <w:name w:val="xl119"/>
    <w:basedOn w:val="Normal"/>
    <w:rsid w:val="00891A96"/>
    <w:pPr>
      <w:shd w:val="clear" w:color="auto" w:fill="FFFFFF"/>
      <w:spacing w:before="100" w:beforeAutospacing="1" w:after="100" w:afterAutospacing="1" w:line="240" w:lineRule="auto"/>
      <w:jc w:val="right"/>
    </w:pPr>
    <w:rPr>
      <w:rFonts w:ascii="Times New Roman" w:hAnsi="Times New Roman" w:cs="Times New Roman"/>
      <w:sz w:val="20"/>
      <w:szCs w:val="20"/>
      <w:lang w:eastAsia="en-GB"/>
    </w:rPr>
  </w:style>
  <w:style w:type="paragraph" w:customStyle="1" w:styleId="xl120">
    <w:name w:val="xl120"/>
    <w:basedOn w:val="Normal"/>
    <w:rsid w:val="00891A96"/>
    <w:pPr>
      <w:shd w:val="clear" w:color="auto" w:fill="FFFFFF"/>
      <w:spacing w:before="100" w:beforeAutospacing="1" w:after="100" w:afterAutospacing="1" w:line="240" w:lineRule="auto"/>
      <w:jc w:val="right"/>
    </w:pPr>
    <w:rPr>
      <w:rFonts w:ascii="Times New Roman" w:hAnsi="Times New Roman" w:cs="Times New Roman"/>
      <w:sz w:val="20"/>
      <w:szCs w:val="20"/>
      <w:lang w:eastAsia="en-GB"/>
    </w:rPr>
  </w:style>
  <w:style w:type="paragraph" w:customStyle="1" w:styleId="xl121">
    <w:name w:val="xl121"/>
    <w:basedOn w:val="Normal"/>
    <w:rsid w:val="00891A96"/>
    <w:pPr>
      <w:shd w:val="clear" w:color="auto" w:fill="FFFFFF"/>
      <w:spacing w:before="100" w:beforeAutospacing="1" w:after="100" w:afterAutospacing="1" w:line="240" w:lineRule="auto"/>
      <w:jc w:val="right"/>
    </w:pPr>
    <w:rPr>
      <w:rFonts w:ascii="Times New Roman" w:hAnsi="Times New Roman" w:cs="Times New Roman"/>
      <w:sz w:val="20"/>
      <w:szCs w:val="20"/>
      <w:lang w:eastAsia="en-GB"/>
    </w:rPr>
  </w:style>
  <w:style w:type="paragraph" w:customStyle="1" w:styleId="xl122">
    <w:name w:val="xl122"/>
    <w:basedOn w:val="Normal"/>
    <w:rsid w:val="00891A96"/>
    <w:pPr>
      <w:shd w:val="clear" w:color="auto" w:fill="FFFFFF"/>
      <w:spacing w:before="100" w:beforeAutospacing="1" w:after="100" w:afterAutospacing="1" w:line="240" w:lineRule="auto"/>
      <w:jc w:val="right"/>
    </w:pPr>
    <w:rPr>
      <w:rFonts w:ascii="Times New Roman" w:hAnsi="Times New Roman" w:cs="Times New Roman"/>
      <w:sz w:val="20"/>
      <w:szCs w:val="20"/>
      <w:lang w:eastAsia="en-GB"/>
    </w:rPr>
  </w:style>
  <w:style w:type="paragraph" w:customStyle="1" w:styleId="xl123">
    <w:name w:val="xl123"/>
    <w:basedOn w:val="Normal"/>
    <w:rsid w:val="00891A96"/>
    <w:pPr>
      <w:shd w:val="clear" w:color="auto" w:fill="FFFFFF"/>
      <w:spacing w:before="100" w:beforeAutospacing="1" w:after="100" w:afterAutospacing="1" w:line="240" w:lineRule="auto"/>
      <w:jc w:val="right"/>
    </w:pPr>
    <w:rPr>
      <w:rFonts w:ascii="Times New Roman" w:hAnsi="Times New Roman" w:cs="Times New Roman"/>
      <w:b/>
      <w:bCs/>
      <w:sz w:val="20"/>
      <w:szCs w:val="20"/>
      <w:lang w:eastAsia="en-GB"/>
    </w:rPr>
  </w:style>
  <w:style w:type="paragraph" w:customStyle="1" w:styleId="xl124">
    <w:name w:val="xl124"/>
    <w:basedOn w:val="Normal"/>
    <w:rsid w:val="00891A96"/>
    <w:pPr>
      <w:shd w:val="clear" w:color="auto" w:fill="FFFFFF"/>
      <w:spacing w:before="100" w:beforeAutospacing="1" w:after="100" w:afterAutospacing="1" w:line="240" w:lineRule="auto"/>
      <w:jc w:val="right"/>
    </w:pPr>
    <w:rPr>
      <w:rFonts w:ascii="Times New Roman" w:hAnsi="Times New Roman" w:cs="Times New Roman"/>
      <w:b/>
      <w:bCs/>
      <w:sz w:val="20"/>
      <w:szCs w:val="20"/>
      <w:lang w:eastAsia="en-GB"/>
    </w:rPr>
  </w:style>
  <w:style w:type="paragraph" w:customStyle="1" w:styleId="xl125">
    <w:name w:val="xl125"/>
    <w:basedOn w:val="Normal"/>
    <w:rsid w:val="00891A96"/>
    <w:pPr>
      <w:shd w:val="clear" w:color="auto" w:fill="FFFFFF"/>
      <w:spacing w:before="100" w:beforeAutospacing="1" w:after="100" w:afterAutospacing="1" w:line="240" w:lineRule="auto"/>
      <w:jc w:val="right"/>
    </w:pPr>
    <w:rPr>
      <w:rFonts w:ascii="Times New Roman" w:hAnsi="Times New Roman" w:cs="Times New Roman"/>
      <w:b/>
      <w:bCs/>
      <w:sz w:val="20"/>
      <w:szCs w:val="20"/>
      <w:lang w:eastAsia="en-GB"/>
    </w:rPr>
  </w:style>
  <w:style w:type="paragraph" w:customStyle="1" w:styleId="xl126">
    <w:name w:val="xl126"/>
    <w:basedOn w:val="Normal"/>
    <w:rsid w:val="00891A96"/>
    <w:pPr>
      <w:shd w:val="clear" w:color="auto" w:fill="FFFFFF"/>
      <w:spacing w:before="100" w:beforeAutospacing="1" w:after="100" w:afterAutospacing="1" w:line="240" w:lineRule="auto"/>
      <w:jc w:val="right"/>
    </w:pPr>
    <w:rPr>
      <w:rFonts w:ascii="Times New Roman" w:hAnsi="Times New Roman" w:cs="Times New Roman"/>
      <w:b/>
      <w:bCs/>
      <w:sz w:val="20"/>
      <w:szCs w:val="20"/>
      <w:lang w:eastAsia="en-GB"/>
    </w:rPr>
  </w:style>
  <w:style w:type="paragraph" w:customStyle="1" w:styleId="xl127">
    <w:name w:val="xl127"/>
    <w:basedOn w:val="Normal"/>
    <w:rsid w:val="00891A96"/>
    <w:pPr>
      <w:shd w:val="clear" w:color="auto" w:fill="FFFFFF"/>
      <w:spacing w:before="100" w:beforeAutospacing="1" w:after="100" w:afterAutospacing="1" w:line="240" w:lineRule="auto"/>
      <w:jc w:val="right"/>
    </w:pPr>
    <w:rPr>
      <w:rFonts w:ascii="Times New Roman" w:hAnsi="Times New Roman" w:cs="Times New Roman"/>
      <w:b/>
      <w:bCs/>
      <w:sz w:val="20"/>
      <w:szCs w:val="20"/>
      <w:lang w:eastAsia="en-GB"/>
    </w:rPr>
  </w:style>
  <w:style w:type="paragraph" w:customStyle="1" w:styleId="xl128">
    <w:name w:val="xl128"/>
    <w:basedOn w:val="Normal"/>
    <w:rsid w:val="00891A96"/>
    <w:pPr>
      <w:shd w:val="clear" w:color="auto" w:fill="FFFFFF"/>
      <w:spacing w:before="100" w:beforeAutospacing="1" w:after="100" w:afterAutospacing="1" w:line="240" w:lineRule="auto"/>
      <w:jc w:val="right"/>
    </w:pPr>
    <w:rPr>
      <w:rFonts w:ascii="Times New Roman" w:hAnsi="Times New Roman" w:cs="Times New Roman"/>
      <w:sz w:val="20"/>
      <w:szCs w:val="20"/>
      <w:lang w:eastAsia="en-GB"/>
    </w:rPr>
  </w:style>
  <w:style w:type="paragraph" w:customStyle="1" w:styleId="xl129">
    <w:name w:val="xl129"/>
    <w:basedOn w:val="Normal"/>
    <w:rsid w:val="00891A96"/>
    <w:pPr>
      <w:shd w:val="clear" w:color="auto" w:fill="FFFFFF"/>
      <w:spacing w:before="100" w:beforeAutospacing="1" w:after="100" w:afterAutospacing="1" w:line="240" w:lineRule="auto"/>
      <w:jc w:val="right"/>
    </w:pPr>
    <w:rPr>
      <w:rFonts w:ascii="Times New Roman" w:hAnsi="Times New Roman" w:cs="Times New Roman"/>
      <w:color w:val="000000"/>
      <w:sz w:val="20"/>
      <w:szCs w:val="20"/>
      <w:lang w:eastAsia="en-GB"/>
    </w:rPr>
  </w:style>
  <w:style w:type="paragraph" w:customStyle="1" w:styleId="xl130">
    <w:name w:val="xl130"/>
    <w:basedOn w:val="Normal"/>
    <w:rsid w:val="00891A96"/>
    <w:pPr>
      <w:shd w:val="clear" w:color="auto" w:fill="FFFFFF"/>
      <w:spacing w:before="100" w:beforeAutospacing="1" w:after="100" w:afterAutospacing="1" w:line="240" w:lineRule="auto"/>
      <w:jc w:val="right"/>
    </w:pPr>
    <w:rPr>
      <w:rFonts w:ascii="Times New Roman" w:hAnsi="Times New Roman" w:cs="Times New Roman"/>
      <w:color w:val="000000"/>
      <w:sz w:val="20"/>
      <w:szCs w:val="20"/>
      <w:lang w:eastAsia="en-GB"/>
    </w:rPr>
  </w:style>
  <w:style w:type="paragraph" w:customStyle="1" w:styleId="xl131">
    <w:name w:val="xl131"/>
    <w:basedOn w:val="Normal"/>
    <w:rsid w:val="00891A96"/>
    <w:pPr>
      <w:shd w:val="clear" w:color="auto" w:fill="FFFFFF"/>
      <w:spacing w:before="100" w:beforeAutospacing="1" w:after="100" w:afterAutospacing="1" w:line="240" w:lineRule="auto"/>
      <w:jc w:val="right"/>
    </w:pPr>
    <w:rPr>
      <w:rFonts w:ascii="Times New Roman" w:hAnsi="Times New Roman" w:cs="Times New Roman"/>
      <w:color w:val="000000"/>
      <w:sz w:val="20"/>
      <w:szCs w:val="20"/>
      <w:lang w:eastAsia="en-GB"/>
    </w:rPr>
  </w:style>
  <w:style w:type="paragraph" w:customStyle="1" w:styleId="xl132">
    <w:name w:val="xl132"/>
    <w:basedOn w:val="Normal"/>
    <w:rsid w:val="00891A96"/>
    <w:pPr>
      <w:shd w:val="clear" w:color="auto" w:fill="FFFFFF"/>
      <w:spacing w:before="100" w:beforeAutospacing="1" w:after="100" w:afterAutospacing="1" w:line="240" w:lineRule="auto"/>
    </w:pPr>
    <w:rPr>
      <w:rFonts w:ascii="Times New Roman" w:hAnsi="Times New Roman" w:cs="Times New Roman"/>
      <w:b/>
      <w:bCs/>
      <w:sz w:val="20"/>
      <w:szCs w:val="20"/>
      <w:lang w:eastAsia="en-GB"/>
    </w:rPr>
  </w:style>
  <w:style w:type="paragraph" w:customStyle="1" w:styleId="xl133">
    <w:name w:val="xl133"/>
    <w:basedOn w:val="Normal"/>
    <w:rsid w:val="00891A96"/>
    <w:pPr>
      <w:shd w:val="clear" w:color="auto" w:fill="FFFFFF"/>
      <w:spacing w:before="100" w:beforeAutospacing="1" w:after="100" w:afterAutospacing="1" w:line="240" w:lineRule="auto"/>
      <w:jc w:val="right"/>
    </w:pPr>
    <w:rPr>
      <w:rFonts w:ascii="Times New Roman" w:hAnsi="Times New Roman" w:cs="Times New Roman"/>
      <w:b/>
      <w:bCs/>
      <w:color w:val="000000"/>
      <w:sz w:val="20"/>
      <w:szCs w:val="20"/>
      <w:lang w:eastAsia="en-GB"/>
    </w:rPr>
  </w:style>
  <w:style w:type="paragraph" w:customStyle="1" w:styleId="xl134">
    <w:name w:val="xl134"/>
    <w:basedOn w:val="Normal"/>
    <w:rsid w:val="00891A96"/>
    <w:pPr>
      <w:shd w:val="clear" w:color="auto" w:fill="FFFFFF"/>
      <w:spacing w:before="100" w:beforeAutospacing="1" w:after="100" w:afterAutospacing="1" w:line="240" w:lineRule="auto"/>
      <w:jc w:val="right"/>
    </w:pPr>
    <w:rPr>
      <w:rFonts w:ascii="Times New Roman" w:hAnsi="Times New Roman" w:cs="Times New Roman"/>
      <w:b/>
      <w:bCs/>
      <w:color w:val="000000"/>
      <w:sz w:val="20"/>
      <w:szCs w:val="20"/>
      <w:lang w:eastAsia="en-GB"/>
    </w:rPr>
  </w:style>
  <w:style w:type="paragraph" w:customStyle="1" w:styleId="xl135">
    <w:name w:val="xl135"/>
    <w:basedOn w:val="Normal"/>
    <w:rsid w:val="00891A96"/>
    <w:pPr>
      <w:shd w:val="clear" w:color="auto" w:fill="FFFFFF"/>
      <w:spacing w:before="100" w:beforeAutospacing="1" w:after="100" w:afterAutospacing="1" w:line="240" w:lineRule="auto"/>
    </w:pPr>
    <w:rPr>
      <w:rFonts w:ascii="Times New Roman" w:hAnsi="Times New Roman" w:cs="Times New Roman"/>
      <w:i/>
      <w:iCs/>
      <w:color w:val="0070C0"/>
      <w:sz w:val="20"/>
      <w:szCs w:val="20"/>
      <w:lang w:eastAsia="en-GB"/>
    </w:rPr>
  </w:style>
  <w:style w:type="paragraph" w:customStyle="1" w:styleId="xl136">
    <w:name w:val="xl136"/>
    <w:basedOn w:val="Normal"/>
    <w:rsid w:val="00891A96"/>
    <w:pPr>
      <w:shd w:val="clear" w:color="auto" w:fill="FFFFFF"/>
      <w:spacing w:before="100" w:beforeAutospacing="1" w:after="100" w:afterAutospacing="1" w:line="240" w:lineRule="auto"/>
      <w:jc w:val="center"/>
    </w:pPr>
    <w:rPr>
      <w:rFonts w:ascii="Times New Roman" w:hAnsi="Times New Roman" w:cs="Times New Roman"/>
      <w:b/>
      <w:bCs/>
      <w:sz w:val="20"/>
      <w:szCs w:val="20"/>
      <w:lang w:eastAsia="en-GB"/>
    </w:rPr>
  </w:style>
  <w:style w:type="paragraph" w:customStyle="1" w:styleId="xl137">
    <w:name w:val="xl137"/>
    <w:basedOn w:val="Normal"/>
    <w:rsid w:val="00891A96"/>
    <w:pPr>
      <w:shd w:val="clear" w:color="auto" w:fill="FFFFFF"/>
      <w:spacing w:before="100" w:beforeAutospacing="1" w:after="100" w:afterAutospacing="1" w:line="240" w:lineRule="auto"/>
      <w:jc w:val="center"/>
    </w:pPr>
    <w:rPr>
      <w:rFonts w:ascii="Times New Roman" w:hAnsi="Times New Roman" w:cs="Times New Roman"/>
      <w:b/>
      <w:bCs/>
      <w:sz w:val="20"/>
      <w:szCs w:val="20"/>
      <w:lang w:eastAsia="en-GB"/>
    </w:rPr>
  </w:style>
  <w:style w:type="paragraph" w:customStyle="1" w:styleId="xl138">
    <w:name w:val="xl138"/>
    <w:basedOn w:val="Normal"/>
    <w:rsid w:val="00891A96"/>
    <w:pPr>
      <w:shd w:val="clear" w:color="auto" w:fill="FFFFFF"/>
      <w:spacing w:before="100" w:beforeAutospacing="1" w:after="100" w:afterAutospacing="1" w:line="240" w:lineRule="auto"/>
      <w:jc w:val="center"/>
    </w:pPr>
    <w:rPr>
      <w:rFonts w:ascii="Times New Roman" w:hAnsi="Times New Roman" w:cs="Times New Roman"/>
      <w:b/>
      <w:bCs/>
      <w:sz w:val="20"/>
      <w:szCs w:val="20"/>
      <w:lang w:eastAsia="en-GB"/>
    </w:rPr>
  </w:style>
  <w:style w:type="paragraph" w:customStyle="1" w:styleId="xl139">
    <w:name w:val="xl139"/>
    <w:basedOn w:val="Normal"/>
    <w:rsid w:val="00891A96"/>
    <w:pPr>
      <w:shd w:val="clear" w:color="auto" w:fill="FFFFFF"/>
      <w:spacing w:before="100" w:beforeAutospacing="1" w:after="100" w:afterAutospacing="1" w:line="240" w:lineRule="auto"/>
      <w:jc w:val="center"/>
    </w:pPr>
    <w:rPr>
      <w:rFonts w:ascii="Times New Roman" w:hAnsi="Times New Roman" w:cs="Times New Roman"/>
      <w:sz w:val="20"/>
      <w:szCs w:val="20"/>
      <w:lang w:eastAsia="en-GB"/>
    </w:rPr>
  </w:style>
  <w:style w:type="paragraph" w:customStyle="1" w:styleId="xl140">
    <w:name w:val="xl140"/>
    <w:basedOn w:val="Normal"/>
    <w:rsid w:val="00891A96"/>
    <w:pPr>
      <w:shd w:val="clear" w:color="auto" w:fill="FFFFFF"/>
      <w:spacing w:before="100" w:beforeAutospacing="1" w:after="100" w:afterAutospacing="1" w:line="240" w:lineRule="auto"/>
      <w:jc w:val="center"/>
    </w:pPr>
    <w:rPr>
      <w:rFonts w:ascii="Times New Roman" w:hAnsi="Times New Roman" w:cs="Times New Roman"/>
      <w:sz w:val="20"/>
      <w:szCs w:val="20"/>
      <w:lang w:eastAsia="en-GB"/>
    </w:rPr>
  </w:style>
  <w:style w:type="paragraph" w:customStyle="1" w:styleId="xl141">
    <w:name w:val="xl141"/>
    <w:basedOn w:val="Normal"/>
    <w:rsid w:val="00891A96"/>
    <w:pPr>
      <w:shd w:val="clear" w:color="auto" w:fill="FFFFFF"/>
      <w:spacing w:before="100" w:beforeAutospacing="1" w:after="100" w:afterAutospacing="1" w:line="240" w:lineRule="auto"/>
      <w:jc w:val="center"/>
    </w:pPr>
    <w:rPr>
      <w:rFonts w:ascii="Times New Roman" w:hAnsi="Times New Roman" w:cs="Times New Roman"/>
      <w:sz w:val="20"/>
      <w:szCs w:val="20"/>
      <w:lang w:eastAsia="en-GB"/>
    </w:rPr>
  </w:style>
  <w:style w:type="paragraph" w:customStyle="1" w:styleId="xl142">
    <w:name w:val="xl142"/>
    <w:basedOn w:val="Normal"/>
    <w:rsid w:val="00891A96"/>
    <w:pPr>
      <w:shd w:val="clear" w:color="auto" w:fill="FFFFFF"/>
      <w:spacing w:before="100" w:beforeAutospacing="1" w:after="100" w:afterAutospacing="1" w:line="240" w:lineRule="auto"/>
      <w:jc w:val="center"/>
    </w:pPr>
    <w:rPr>
      <w:rFonts w:ascii="Times New Roman" w:hAnsi="Times New Roman" w:cs="Times New Roman"/>
      <w:sz w:val="20"/>
      <w:szCs w:val="20"/>
      <w:lang w:eastAsia="en-GB"/>
    </w:rPr>
  </w:style>
  <w:style w:type="paragraph" w:customStyle="1" w:styleId="xl143">
    <w:name w:val="xl143"/>
    <w:basedOn w:val="Normal"/>
    <w:rsid w:val="00891A96"/>
    <w:pPr>
      <w:shd w:val="clear" w:color="auto" w:fill="FFFFFF"/>
      <w:spacing w:before="100" w:beforeAutospacing="1" w:after="100" w:afterAutospacing="1" w:line="240" w:lineRule="auto"/>
      <w:jc w:val="center"/>
    </w:pPr>
    <w:rPr>
      <w:rFonts w:ascii="Times New Roman" w:hAnsi="Times New Roman" w:cs="Times New Roman"/>
      <w:sz w:val="20"/>
      <w:szCs w:val="20"/>
      <w:lang w:eastAsia="en-GB"/>
    </w:rPr>
  </w:style>
  <w:style w:type="paragraph" w:customStyle="1" w:styleId="xl144">
    <w:name w:val="xl144"/>
    <w:basedOn w:val="Normal"/>
    <w:rsid w:val="00891A96"/>
    <w:pPr>
      <w:shd w:val="clear" w:color="auto" w:fill="FFFFFF"/>
      <w:spacing w:before="100" w:beforeAutospacing="1" w:after="100" w:afterAutospacing="1" w:line="240" w:lineRule="auto"/>
      <w:jc w:val="center"/>
    </w:pPr>
    <w:rPr>
      <w:rFonts w:ascii="Times New Roman" w:hAnsi="Times New Roman" w:cs="Times New Roman"/>
      <w:sz w:val="20"/>
      <w:szCs w:val="20"/>
      <w:lang w:eastAsia="en-GB"/>
    </w:rPr>
  </w:style>
  <w:style w:type="paragraph" w:customStyle="1" w:styleId="xl145">
    <w:name w:val="xl145"/>
    <w:basedOn w:val="Normal"/>
    <w:rsid w:val="00891A96"/>
    <w:pPr>
      <w:shd w:val="clear" w:color="auto" w:fill="FFFFFF"/>
      <w:spacing w:before="100" w:beforeAutospacing="1" w:after="100" w:afterAutospacing="1" w:line="240" w:lineRule="auto"/>
      <w:jc w:val="center"/>
    </w:pPr>
    <w:rPr>
      <w:rFonts w:ascii="Times New Roman" w:hAnsi="Times New Roman" w:cs="Times New Roman"/>
      <w:sz w:val="20"/>
      <w:szCs w:val="20"/>
      <w:lang w:eastAsia="en-GB"/>
    </w:rPr>
  </w:style>
  <w:style w:type="paragraph" w:customStyle="1" w:styleId="xl146">
    <w:name w:val="xl146"/>
    <w:basedOn w:val="Normal"/>
    <w:rsid w:val="00891A96"/>
    <w:pPr>
      <w:shd w:val="clear" w:color="auto" w:fill="FFFFFF"/>
      <w:spacing w:before="100" w:beforeAutospacing="1" w:after="100" w:afterAutospacing="1" w:line="240" w:lineRule="auto"/>
      <w:jc w:val="center"/>
    </w:pPr>
    <w:rPr>
      <w:rFonts w:ascii="Times New Roman" w:hAnsi="Times New Roman" w:cs="Times New Roman"/>
      <w:sz w:val="20"/>
      <w:szCs w:val="20"/>
      <w:lang w:eastAsia="en-GB"/>
    </w:rPr>
  </w:style>
  <w:style w:type="paragraph" w:customStyle="1" w:styleId="xl147">
    <w:name w:val="xl147"/>
    <w:basedOn w:val="Normal"/>
    <w:rsid w:val="00891A96"/>
    <w:pPr>
      <w:shd w:val="clear" w:color="auto" w:fill="FFFFFF"/>
      <w:spacing w:before="100" w:beforeAutospacing="1" w:after="100" w:afterAutospacing="1" w:line="240" w:lineRule="auto"/>
      <w:jc w:val="center"/>
    </w:pPr>
    <w:rPr>
      <w:rFonts w:ascii="Times New Roman" w:hAnsi="Times New Roman" w:cs="Times New Roman"/>
      <w:b/>
      <w:bCs/>
      <w:sz w:val="20"/>
      <w:szCs w:val="20"/>
      <w:lang w:eastAsia="en-GB"/>
    </w:rPr>
  </w:style>
  <w:style w:type="paragraph" w:customStyle="1" w:styleId="xl148">
    <w:name w:val="xl148"/>
    <w:basedOn w:val="Normal"/>
    <w:rsid w:val="00891A96"/>
    <w:pPr>
      <w:shd w:val="clear" w:color="auto" w:fill="FFFFFF"/>
      <w:spacing w:before="100" w:beforeAutospacing="1" w:after="100" w:afterAutospacing="1" w:line="240" w:lineRule="auto"/>
      <w:jc w:val="center"/>
    </w:pPr>
    <w:rPr>
      <w:rFonts w:ascii="Times New Roman" w:hAnsi="Times New Roman" w:cs="Times New Roman"/>
      <w:b/>
      <w:bCs/>
      <w:sz w:val="20"/>
      <w:szCs w:val="20"/>
      <w:lang w:eastAsia="en-GB"/>
    </w:rPr>
  </w:style>
  <w:style w:type="paragraph" w:customStyle="1" w:styleId="xl149">
    <w:name w:val="xl149"/>
    <w:basedOn w:val="Normal"/>
    <w:rsid w:val="00891A96"/>
    <w:pPr>
      <w:shd w:val="clear" w:color="auto" w:fill="FFFFFF"/>
      <w:spacing w:before="100" w:beforeAutospacing="1" w:after="100" w:afterAutospacing="1" w:line="240" w:lineRule="auto"/>
      <w:jc w:val="center"/>
    </w:pPr>
    <w:rPr>
      <w:rFonts w:ascii="Times New Roman" w:hAnsi="Times New Roman" w:cs="Times New Roman"/>
      <w:b/>
      <w:bCs/>
      <w:sz w:val="20"/>
      <w:szCs w:val="20"/>
      <w:lang w:eastAsia="en-GB"/>
    </w:rPr>
  </w:style>
  <w:style w:type="paragraph" w:customStyle="1" w:styleId="xl150">
    <w:name w:val="xl150"/>
    <w:basedOn w:val="Normal"/>
    <w:rsid w:val="00891A96"/>
    <w:pPr>
      <w:shd w:val="clear" w:color="auto" w:fill="FFFFFF"/>
      <w:spacing w:before="100" w:beforeAutospacing="1" w:after="100" w:afterAutospacing="1" w:line="240" w:lineRule="auto"/>
      <w:jc w:val="center"/>
    </w:pPr>
    <w:rPr>
      <w:rFonts w:ascii="Times New Roman" w:hAnsi="Times New Roman" w:cs="Times New Roman"/>
      <w:b/>
      <w:bCs/>
      <w:sz w:val="20"/>
      <w:szCs w:val="20"/>
      <w:lang w:eastAsia="en-GB"/>
    </w:rPr>
  </w:style>
  <w:style w:type="paragraph" w:customStyle="1" w:styleId="xl151">
    <w:name w:val="xl151"/>
    <w:basedOn w:val="Normal"/>
    <w:rsid w:val="00891A96"/>
    <w:pPr>
      <w:shd w:val="clear" w:color="auto" w:fill="FFFFFF"/>
      <w:spacing w:before="100" w:beforeAutospacing="1" w:after="100" w:afterAutospacing="1" w:line="240" w:lineRule="auto"/>
      <w:jc w:val="center"/>
    </w:pPr>
    <w:rPr>
      <w:rFonts w:ascii="Times New Roman" w:hAnsi="Times New Roman" w:cs="Times New Roman"/>
      <w:b/>
      <w:bCs/>
      <w:sz w:val="20"/>
      <w:szCs w:val="20"/>
      <w:lang w:eastAsia="en-GB"/>
    </w:rPr>
  </w:style>
  <w:style w:type="paragraph" w:customStyle="1" w:styleId="xl152">
    <w:name w:val="xl152"/>
    <w:basedOn w:val="Normal"/>
    <w:rsid w:val="00891A96"/>
    <w:pPr>
      <w:shd w:val="clear" w:color="auto" w:fill="FFFFFF"/>
      <w:spacing w:before="100" w:beforeAutospacing="1" w:after="100" w:afterAutospacing="1" w:line="240" w:lineRule="auto"/>
      <w:jc w:val="center"/>
    </w:pPr>
    <w:rPr>
      <w:rFonts w:ascii="Times New Roman" w:hAnsi="Times New Roman" w:cs="Times New Roman"/>
      <w:sz w:val="20"/>
      <w:szCs w:val="20"/>
      <w:lang w:eastAsia="en-GB"/>
    </w:rPr>
  </w:style>
  <w:style w:type="paragraph" w:customStyle="1" w:styleId="xl153">
    <w:name w:val="xl153"/>
    <w:basedOn w:val="Normal"/>
    <w:rsid w:val="00891A96"/>
    <w:pPr>
      <w:shd w:val="clear" w:color="auto" w:fill="FFFFFF"/>
      <w:spacing w:before="100" w:beforeAutospacing="1" w:after="100" w:afterAutospacing="1" w:line="240" w:lineRule="auto"/>
      <w:jc w:val="center"/>
    </w:pPr>
    <w:rPr>
      <w:rFonts w:ascii="Times New Roman" w:hAnsi="Times New Roman" w:cs="Times New Roman"/>
      <w:sz w:val="20"/>
      <w:szCs w:val="20"/>
      <w:lang w:eastAsia="en-GB"/>
    </w:rPr>
  </w:style>
  <w:style w:type="paragraph" w:customStyle="1" w:styleId="xl154">
    <w:name w:val="xl154"/>
    <w:basedOn w:val="Normal"/>
    <w:rsid w:val="00891A96"/>
    <w:pPr>
      <w:shd w:val="clear" w:color="auto" w:fill="FFFFFF"/>
      <w:spacing w:before="100" w:beforeAutospacing="1" w:after="100" w:afterAutospacing="1" w:line="240" w:lineRule="auto"/>
      <w:jc w:val="center"/>
    </w:pPr>
    <w:rPr>
      <w:rFonts w:ascii="Times New Roman" w:hAnsi="Times New Roman" w:cs="Times New Roman"/>
      <w:sz w:val="20"/>
      <w:szCs w:val="20"/>
      <w:lang w:eastAsia="en-GB"/>
    </w:rPr>
  </w:style>
  <w:style w:type="paragraph" w:customStyle="1" w:styleId="xl155">
    <w:name w:val="xl155"/>
    <w:basedOn w:val="Normal"/>
    <w:rsid w:val="00891A96"/>
    <w:pPr>
      <w:shd w:val="clear" w:color="auto" w:fill="FFFFFF"/>
      <w:spacing w:before="100" w:beforeAutospacing="1" w:after="100" w:afterAutospacing="1" w:line="240" w:lineRule="auto"/>
      <w:jc w:val="center"/>
    </w:pPr>
    <w:rPr>
      <w:rFonts w:ascii="Times New Roman" w:hAnsi="Times New Roman" w:cs="Times New Roman"/>
      <w:sz w:val="20"/>
      <w:szCs w:val="20"/>
      <w:lang w:eastAsia="en-GB"/>
    </w:rPr>
  </w:style>
  <w:style w:type="paragraph" w:customStyle="1" w:styleId="xl156">
    <w:name w:val="xl156"/>
    <w:basedOn w:val="Normal"/>
    <w:rsid w:val="00891A96"/>
    <w:pPr>
      <w:shd w:val="clear" w:color="auto" w:fill="FFFFFF"/>
      <w:spacing w:before="100" w:beforeAutospacing="1" w:after="100" w:afterAutospacing="1" w:line="240" w:lineRule="auto"/>
      <w:jc w:val="center"/>
    </w:pPr>
    <w:rPr>
      <w:rFonts w:ascii="Times New Roman" w:hAnsi="Times New Roman" w:cs="Times New Roman"/>
      <w:sz w:val="20"/>
      <w:szCs w:val="20"/>
      <w:lang w:eastAsia="en-GB"/>
    </w:rPr>
  </w:style>
  <w:style w:type="paragraph" w:customStyle="1" w:styleId="xl157">
    <w:name w:val="xl157"/>
    <w:basedOn w:val="Normal"/>
    <w:rsid w:val="00891A96"/>
    <w:pPr>
      <w:shd w:val="clear" w:color="auto" w:fill="FFFFFF"/>
      <w:spacing w:before="100" w:beforeAutospacing="1" w:after="100" w:afterAutospacing="1" w:line="240" w:lineRule="auto"/>
      <w:jc w:val="center"/>
    </w:pPr>
    <w:rPr>
      <w:rFonts w:ascii="Times New Roman" w:hAnsi="Times New Roman" w:cs="Times New Roman"/>
      <w:sz w:val="20"/>
      <w:szCs w:val="20"/>
      <w:lang w:eastAsia="en-GB"/>
    </w:rPr>
  </w:style>
  <w:style w:type="paragraph" w:customStyle="1" w:styleId="xl158">
    <w:name w:val="xl158"/>
    <w:basedOn w:val="Normal"/>
    <w:rsid w:val="00891A96"/>
    <w:pPr>
      <w:shd w:val="clear" w:color="auto" w:fill="FFFFFF"/>
      <w:spacing w:before="100" w:beforeAutospacing="1" w:after="100" w:afterAutospacing="1" w:line="240" w:lineRule="auto"/>
      <w:jc w:val="center"/>
    </w:pPr>
    <w:rPr>
      <w:rFonts w:ascii="Times New Roman" w:hAnsi="Times New Roman" w:cs="Times New Roman"/>
      <w:sz w:val="20"/>
      <w:szCs w:val="20"/>
      <w:lang w:eastAsia="en-GB"/>
    </w:rPr>
  </w:style>
  <w:style w:type="paragraph" w:customStyle="1" w:styleId="xl159">
    <w:name w:val="xl159"/>
    <w:basedOn w:val="Normal"/>
    <w:rsid w:val="00891A96"/>
    <w:pPr>
      <w:shd w:val="clear" w:color="auto" w:fill="FFFFFF"/>
      <w:spacing w:before="100" w:beforeAutospacing="1" w:after="100" w:afterAutospacing="1" w:line="240" w:lineRule="auto"/>
      <w:jc w:val="center"/>
    </w:pPr>
    <w:rPr>
      <w:rFonts w:ascii="Times New Roman" w:hAnsi="Times New Roman" w:cs="Times New Roman"/>
      <w:sz w:val="20"/>
      <w:szCs w:val="20"/>
      <w:lang w:eastAsia="en-GB"/>
    </w:rPr>
  </w:style>
  <w:style w:type="paragraph" w:customStyle="1" w:styleId="xl160">
    <w:name w:val="xl160"/>
    <w:basedOn w:val="Normal"/>
    <w:rsid w:val="00891A96"/>
    <w:pPr>
      <w:shd w:val="clear" w:color="auto" w:fill="FFFFFF"/>
      <w:spacing w:before="100" w:beforeAutospacing="1" w:after="100" w:afterAutospacing="1" w:line="240" w:lineRule="auto"/>
      <w:jc w:val="center"/>
    </w:pPr>
    <w:rPr>
      <w:rFonts w:ascii="Times New Roman" w:hAnsi="Times New Roman" w:cs="Times New Roman"/>
      <w:sz w:val="20"/>
      <w:szCs w:val="20"/>
      <w:lang w:eastAsia="en-GB"/>
    </w:rPr>
  </w:style>
  <w:style w:type="paragraph" w:customStyle="1" w:styleId="xl161">
    <w:name w:val="xl161"/>
    <w:basedOn w:val="Normal"/>
    <w:rsid w:val="00891A96"/>
    <w:pPr>
      <w:shd w:val="clear" w:color="auto" w:fill="FFFFFF"/>
      <w:spacing w:before="100" w:beforeAutospacing="1" w:after="100" w:afterAutospacing="1" w:line="240" w:lineRule="auto"/>
      <w:jc w:val="center"/>
    </w:pPr>
    <w:rPr>
      <w:rFonts w:ascii="Times New Roman" w:hAnsi="Times New Roman" w:cs="Times New Roman"/>
      <w:b/>
      <w:bCs/>
      <w:sz w:val="20"/>
      <w:szCs w:val="20"/>
      <w:lang w:eastAsia="en-GB"/>
    </w:rPr>
  </w:style>
  <w:style w:type="paragraph" w:customStyle="1" w:styleId="xl162">
    <w:name w:val="xl162"/>
    <w:basedOn w:val="Normal"/>
    <w:rsid w:val="00891A96"/>
    <w:pPr>
      <w:shd w:val="clear" w:color="auto" w:fill="FFFFFF"/>
      <w:spacing w:before="100" w:beforeAutospacing="1" w:after="100" w:afterAutospacing="1" w:line="240" w:lineRule="auto"/>
      <w:jc w:val="center"/>
    </w:pPr>
    <w:rPr>
      <w:rFonts w:ascii="Times New Roman" w:hAnsi="Times New Roman" w:cs="Times New Roman"/>
      <w:b/>
      <w:bCs/>
      <w:sz w:val="20"/>
      <w:szCs w:val="20"/>
      <w:lang w:eastAsia="en-GB"/>
    </w:rPr>
  </w:style>
  <w:style w:type="paragraph" w:customStyle="1" w:styleId="xl163">
    <w:name w:val="xl163"/>
    <w:basedOn w:val="Normal"/>
    <w:rsid w:val="00891A96"/>
    <w:pPr>
      <w:shd w:val="clear" w:color="auto" w:fill="FFFFFF"/>
      <w:spacing w:before="100" w:beforeAutospacing="1" w:after="100" w:afterAutospacing="1" w:line="240" w:lineRule="auto"/>
      <w:jc w:val="center"/>
    </w:pPr>
    <w:rPr>
      <w:rFonts w:ascii="Times New Roman" w:hAnsi="Times New Roman" w:cs="Times New Roman"/>
      <w:b/>
      <w:bCs/>
      <w:sz w:val="20"/>
      <w:szCs w:val="20"/>
      <w:lang w:eastAsia="en-GB"/>
    </w:rPr>
  </w:style>
  <w:style w:type="paragraph" w:customStyle="1" w:styleId="xl164">
    <w:name w:val="xl164"/>
    <w:basedOn w:val="Normal"/>
    <w:rsid w:val="00891A96"/>
    <w:pPr>
      <w:shd w:val="clear" w:color="auto" w:fill="FFFFFF"/>
      <w:spacing w:before="100" w:beforeAutospacing="1" w:after="100" w:afterAutospacing="1" w:line="240" w:lineRule="auto"/>
      <w:jc w:val="center"/>
    </w:pPr>
    <w:rPr>
      <w:rFonts w:ascii="Times New Roman" w:hAnsi="Times New Roman" w:cs="Times New Roman"/>
      <w:b/>
      <w:bCs/>
      <w:sz w:val="20"/>
      <w:szCs w:val="20"/>
      <w:lang w:eastAsia="en-GB"/>
    </w:rPr>
  </w:style>
  <w:style w:type="paragraph" w:customStyle="1" w:styleId="xl165">
    <w:name w:val="xl165"/>
    <w:basedOn w:val="Normal"/>
    <w:rsid w:val="00891A96"/>
    <w:pPr>
      <w:shd w:val="clear" w:color="auto" w:fill="FFFFFF"/>
      <w:spacing w:before="100" w:beforeAutospacing="1" w:after="100" w:afterAutospacing="1" w:line="240" w:lineRule="auto"/>
      <w:jc w:val="center"/>
    </w:pPr>
    <w:rPr>
      <w:rFonts w:ascii="Times New Roman" w:hAnsi="Times New Roman" w:cs="Times New Roman"/>
      <w:b/>
      <w:bCs/>
      <w:sz w:val="20"/>
      <w:szCs w:val="20"/>
      <w:lang w:eastAsia="en-GB"/>
    </w:rPr>
  </w:style>
  <w:style w:type="paragraph" w:customStyle="1" w:styleId="xl166">
    <w:name w:val="xl166"/>
    <w:basedOn w:val="Normal"/>
    <w:rsid w:val="00891A96"/>
    <w:pPr>
      <w:shd w:val="clear" w:color="auto" w:fill="FFFFFF"/>
      <w:spacing w:before="100" w:beforeAutospacing="1" w:after="100" w:afterAutospacing="1" w:line="240" w:lineRule="auto"/>
      <w:jc w:val="center"/>
    </w:pPr>
    <w:rPr>
      <w:rFonts w:ascii="Times New Roman" w:hAnsi="Times New Roman" w:cs="Times New Roman"/>
      <w:b/>
      <w:bCs/>
      <w:sz w:val="20"/>
      <w:szCs w:val="20"/>
      <w:lang w:eastAsia="en-GB"/>
    </w:rPr>
  </w:style>
  <w:style w:type="paragraph" w:customStyle="1" w:styleId="xl167">
    <w:name w:val="xl167"/>
    <w:basedOn w:val="Normal"/>
    <w:rsid w:val="00891A96"/>
    <w:pPr>
      <w:shd w:val="clear" w:color="auto" w:fill="FFFFFF"/>
      <w:spacing w:before="100" w:beforeAutospacing="1" w:after="100" w:afterAutospacing="1" w:line="240" w:lineRule="auto"/>
      <w:jc w:val="center"/>
    </w:pPr>
    <w:rPr>
      <w:rFonts w:ascii="Times New Roman" w:hAnsi="Times New Roman" w:cs="Times New Roman"/>
      <w:b/>
      <w:bCs/>
      <w:sz w:val="20"/>
      <w:szCs w:val="20"/>
      <w:lang w:eastAsia="en-GB"/>
    </w:rPr>
  </w:style>
  <w:style w:type="paragraph" w:customStyle="1" w:styleId="xl168">
    <w:name w:val="xl168"/>
    <w:basedOn w:val="Normal"/>
    <w:rsid w:val="00891A96"/>
    <w:pPr>
      <w:shd w:val="clear" w:color="auto" w:fill="FFFFFF"/>
      <w:spacing w:before="100" w:beforeAutospacing="1" w:after="100" w:afterAutospacing="1" w:line="240" w:lineRule="auto"/>
      <w:jc w:val="right"/>
    </w:pPr>
    <w:rPr>
      <w:rFonts w:ascii="Times New Roman" w:hAnsi="Times New Roman" w:cs="Times New Roman"/>
      <w:b/>
      <w:bCs/>
      <w:sz w:val="20"/>
      <w:szCs w:val="20"/>
      <w:lang w:eastAsia="en-GB"/>
    </w:rPr>
  </w:style>
  <w:style w:type="paragraph" w:customStyle="1" w:styleId="xl169">
    <w:name w:val="xl169"/>
    <w:basedOn w:val="Normal"/>
    <w:rsid w:val="00891A96"/>
    <w:pPr>
      <w:shd w:val="clear" w:color="auto" w:fill="FFFFFF"/>
      <w:spacing w:before="100" w:beforeAutospacing="1" w:after="100" w:afterAutospacing="1" w:line="240" w:lineRule="auto"/>
      <w:jc w:val="right"/>
    </w:pPr>
    <w:rPr>
      <w:rFonts w:ascii="Times New Roman" w:hAnsi="Times New Roman" w:cs="Times New Roman"/>
      <w:b/>
      <w:bCs/>
      <w:sz w:val="20"/>
      <w:szCs w:val="20"/>
      <w:lang w:eastAsia="en-GB"/>
    </w:rPr>
  </w:style>
  <w:style w:type="paragraph" w:customStyle="1" w:styleId="xl170">
    <w:name w:val="xl170"/>
    <w:basedOn w:val="Normal"/>
    <w:rsid w:val="00891A96"/>
    <w:pPr>
      <w:shd w:val="clear" w:color="auto" w:fill="FFFFFF"/>
      <w:spacing w:before="100" w:beforeAutospacing="1" w:after="100" w:afterAutospacing="1" w:line="240" w:lineRule="auto"/>
      <w:jc w:val="right"/>
    </w:pPr>
    <w:rPr>
      <w:rFonts w:ascii="Times New Roman" w:hAnsi="Times New Roman" w:cs="Times New Roman"/>
      <w:sz w:val="20"/>
      <w:szCs w:val="20"/>
      <w:lang w:eastAsia="en-GB"/>
    </w:rPr>
  </w:style>
  <w:style w:type="paragraph" w:customStyle="1" w:styleId="xl171">
    <w:name w:val="xl171"/>
    <w:basedOn w:val="Normal"/>
    <w:rsid w:val="00891A96"/>
    <w:pPr>
      <w:shd w:val="clear" w:color="auto" w:fill="FFFFFF"/>
      <w:spacing w:before="100" w:beforeAutospacing="1" w:after="100" w:afterAutospacing="1" w:line="240" w:lineRule="auto"/>
      <w:jc w:val="right"/>
    </w:pPr>
    <w:rPr>
      <w:rFonts w:ascii="Times New Roman" w:hAnsi="Times New Roman" w:cs="Times New Roman"/>
      <w:sz w:val="20"/>
      <w:szCs w:val="20"/>
      <w:lang w:eastAsia="en-GB"/>
    </w:rPr>
  </w:style>
  <w:style w:type="paragraph" w:customStyle="1" w:styleId="xl172">
    <w:name w:val="xl172"/>
    <w:basedOn w:val="Normal"/>
    <w:rsid w:val="00891A96"/>
    <w:pPr>
      <w:shd w:val="clear" w:color="auto" w:fill="FFFFFF"/>
      <w:spacing w:before="100" w:beforeAutospacing="1" w:after="100" w:afterAutospacing="1" w:line="240" w:lineRule="auto"/>
    </w:pPr>
    <w:rPr>
      <w:rFonts w:ascii="Times New Roman" w:hAnsi="Times New Roman" w:cs="Times New Roman"/>
      <w:b/>
      <w:bCs/>
      <w:sz w:val="20"/>
      <w:szCs w:val="20"/>
      <w:lang w:eastAsia="en-GB"/>
    </w:rPr>
  </w:style>
  <w:style w:type="paragraph" w:customStyle="1" w:styleId="xl173">
    <w:name w:val="xl173"/>
    <w:basedOn w:val="Normal"/>
    <w:rsid w:val="00891A96"/>
    <w:pPr>
      <w:shd w:val="clear" w:color="auto" w:fill="FFFFFF"/>
      <w:spacing w:before="100" w:beforeAutospacing="1" w:after="100" w:afterAutospacing="1" w:line="240" w:lineRule="auto"/>
      <w:jc w:val="right"/>
    </w:pPr>
    <w:rPr>
      <w:rFonts w:ascii="Times New Roman" w:hAnsi="Times New Roman" w:cs="Times New Roman"/>
      <w:b/>
      <w:bCs/>
      <w:sz w:val="20"/>
      <w:szCs w:val="20"/>
      <w:lang w:eastAsia="en-GB"/>
    </w:rPr>
  </w:style>
  <w:style w:type="paragraph" w:customStyle="1" w:styleId="xl174">
    <w:name w:val="xl174"/>
    <w:basedOn w:val="Normal"/>
    <w:rsid w:val="00891A96"/>
    <w:pPr>
      <w:shd w:val="clear" w:color="auto" w:fill="FFFFFF"/>
      <w:spacing w:before="100" w:beforeAutospacing="1" w:after="100" w:afterAutospacing="1" w:line="240" w:lineRule="auto"/>
      <w:jc w:val="right"/>
    </w:pPr>
    <w:rPr>
      <w:rFonts w:ascii="Times New Roman" w:hAnsi="Times New Roman" w:cs="Times New Roman"/>
      <w:b/>
      <w:bCs/>
      <w:sz w:val="20"/>
      <w:szCs w:val="20"/>
      <w:lang w:eastAsia="en-GB"/>
    </w:rPr>
  </w:style>
  <w:style w:type="paragraph" w:customStyle="1" w:styleId="xl175">
    <w:name w:val="xl175"/>
    <w:basedOn w:val="Normal"/>
    <w:rsid w:val="00891A96"/>
    <w:pPr>
      <w:shd w:val="clear" w:color="auto" w:fill="FFFFFF"/>
      <w:spacing w:before="100" w:beforeAutospacing="1" w:after="100" w:afterAutospacing="1" w:line="240" w:lineRule="auto"/>
    </w:pPr>
    <w:rPr>
      <w:rFonts w:ascii="Times New Roman" w:hAnsi="Times New Roman" w:cs="Times New Roman"/>
      <w:b/>
      <w:bCs/>
      <w:sz w:val="20"/>
      <w:szCs w:val="20"/>
      <w:lang w:eastAsia="en-GB"/>
    </w:rPr>
  </w:style>
  <w:style w:type="paragraph" w:customStyle="1" w:styleId="xl176">
    <w:name w:val="xl176"/>
    <w:basedOn w:val="Normal"/>
    <w:rsid w:val="00891A96"/>
    <w:pPr>
      <w:shd w:val="clear" w:color="auto" w:fill="FFFFFF"/>
      <w:spacing w:before="100" w:beforeAutospacing="1" w:after="100" w:afterAutospacing="1" w:line="240" w:lineRule="auto"/>
    </w:pPr>
    <w:rPr>
      <w:rFonts w:ascii="Times New Roman" w:hAnsi="Times New Roman" w:cs="Times New Roman"/>
      <w:i/>
      <w:iCs/>
      <w:sz w:val="20"/>
      <w:szCs w:val="20"/>
      <w:lang w:eastAsia="en-GB"/>
    </w:rPr>
  </w:style>
  <w:style w:type="paragraph" w:customStyle="1" w:styleId="xl177">
    <w:name w:val="xl177"/>
    <w:basedOn w:val="Normal"/>
    <w:rsid w:val="00891A96"/>
    <w:pPr>
      <w:shd w:val="clear" w:color="auto" w:fill="FFFFFF"/>
      <w:spacing w:before="100" w:beforeAutospacing="1" w:after="100" w:afterAutospacing="1" w:line="240" w:lineRule="auto"/>
      <w:jc w:val="right"/>
    </w:pPr>
    <w:rPr>
      <w:rFonts w:ascii="Times New Roman" w:hAnsi="Times New Roman" w:cs="Times New Roman"/>
      <w:b/>
      <w:bCs/>
      <w:sz w:val="20"/>
      <w:szCs w:val="20"/>
      <w:lang w:eastAsia="en-GB"/>
    </w:rPr>
  </w:style>
  <w:style w:type="paragraph" w:customStyle="1" w:styleId="xl178">
    <w:name w:val="xl178"/>
    <w:basedOn w:val="Normal"/>
    <w:rsid w:val="00891A96"/>
    <w:pPr>
      <w:shd w:val="clear" w:color="auto" w:fill="FFFFFF"/>
      <w:spacing w:before="100" w:beforeAutospacing="1" w:after="100" w:afterAutospacing="1" w:line="240" w:lineRule="auto"/>
    </w:pPr>
    <w:rPr>
      <w:rFonts w:ascii="Times New Roman" w:hAnsi="Times New Roman" w:cs="Times New Roman"/>
      <w:sz w:val="20"/>
      <w:szCs w:val="20"/>
      <w:lang w:eastAsia="en-GB"/>
    </w:rPr>
  </w:style>
  <w:style w:type="paragraph" w:customStyle="1" w:styleId="xl179">
    <w:name w:val="xl179"/>
    <w:basedOn w:val="Normal"/>
    <w:rsid w:val="00891A96"/>
    <w:pPr>
      <w:shd w:val="clear" w:color="auto" w:fill="FFFFFF"/>
      <w:spacing w:before="100" w:beforeAutospacing="1" w:after="100" w:afterAutospacing="1" w:line="240" w:lineRule="auto"/>
      <w:jc w:val="right"/>
    </w:pPr>
    <w:rPr>
      <w:rFonts w:ascii="Times New Roman" w:hAnsi="Times New Roman" w:cs="Times New Roman"/>
      <w:sz w:val="20"/>
      <w:szCs w:val="20"/>
      <w:lang w:eastAsia="en-GB"/>
    </w:rPr>
  </w:style>
  <w:style w:type="paragraph" w:customStyle="1" w:styleId="xl180">
    <w:name w:val="xl180"/>
    <w:basedOn w:val="Normal"/>
    <w:rsid w:val="00891A96"/>
    <w:pPr>
      <w:shd w:val="clear" w:color="auto" w:fill="FFFFFF"/>
      <w:spacing w:before="100" w:beforeAutospacing="1" w:after="100" w:afterAutospacing="1" w:line="240" w:lineRule="auto"/>
      <w:jc w:val="right"/>
    </w:pPr>
    <w:rPr>
      <w:rFonts w:ascii="Times New Roman" w:hAnsi="Times New Roman" w:cs="Times New Roman"/>
      <w:b/>
      <w:bCs/>
      <w:sz w:val="20"/>
      <w:szCs w:val="20"/>
      <w:lang w:eastAsia="en-GB"/>
    </w:rPr>
  </w:style>
  <w:style w:type="paragraph" w:customStyle="1" w:styleId="xl181">
    <w:name w:val="xl181"/>
    <w:basedOn w:val="Normal"/>
    <w:rsid w:val="00891A96"/>
    <w:pPr>
      <w:shd w:val="clear" w:color="auto" w:fill="FFFFFF"/>
      <w:spacing w:before="100" w:beforeAutospacing="1" w:after="100" w:afterAutospacing="1" w:line="240" w:lineRule="auto"/>
      <w:jc w:val="right"/>
    </w:pPr>
    <w:rPr>
      <w:rFonts w:ascii="Times New Roman" w:hAnsi="Times New Roman" w:cs="Times New Roman"/>
      <w:b/>
      <w:bCs/>
      <w:sz w:val="20"/>
      <w:szCs w:val="20"/>
      <w:lang w:eastAsia="en-GB"/>
    </w:rPr>
  </w:style>
  <w:style w:type="paragraph" w:customStyle="1" w:styleId="xl182">
    <w:name w:val="xl182"/>
    <w:basedOn w:val="Normal"/>
    <w:rsid w:val="00891A96"/>
    <w:pPr>
      <w:shd w:val="clear" w:color="auto" w:fill="FFFFFF"/>
      <w:spacing w:before="100" w:beforeAutospacing="1" w:after="100" w:afterAutospacing="1" w:line="240" w:lineRule="auto"/>
    </w:pPr>
    <w:rPr>
      <w:rFonts w:ascii="Times New Roman" w:hAnsi="Times New Roman" w:cs="Times New Roman"/>
      <w:sz w:val="20"/>
      <w:szCs w:val="20"/>
      <w:lang w:eastAsia="en-GB"/>
    </w:rPr>
  </w:style>
  <w:style w:type="paragraph" w:customStyle="1" w:styleId="xl183">
    <w:name w:val="xl183"/>
    <w:basedOn w:val="Normal"/>
    <w:rsid w:val="00891A96"/>
    <w:pPr>
      <w:shd w:val="clear" w:color="auto" w:fill="FFFFFF"/>
      <w:spacing w:before="100" w:beforeAutospacing="1" w:after="100" w:afterAutospacing="1" w:line="240" w:lineRule="auto"/>
    </w:pPr>
    <w:rPr>
      <w:rFonts w:ascii="Times New Roman" w:hAnsi="Times New Roman" w:cs="Times New Roman"/>
      <w:sz w:val="20"/>
      <w:szCs w:val="20"/>
      <w:lang w:eastAsia="en-GB"/>
    </w:rPr>
  </w:style>
  <w:style w:type="paragraph" w:customStyle="1" w:styleId="xl184">
    <w:name w:val="xl184"/>
    <w:basedOn w:val="Normal"/>
    <w:rsid w:val="00891A96"/>
    <w:pPr>
      <w:shd w:val="clear" w:color="auto" w:fill="FFFFFF"/>
      <w:spacing w:before="100" w:beforeAutospacing="1" w:after="100" w:afterAutospacing="1" w:line="240" w:lineRule="auto"/>
    </w:pPr>
    <w:rPr>
      <w:rFonts w:ascii="Times New Roman" w:hAnsi="Times New Roman" w:cs="Times New Roman"/>
      <w:sz w:val="20"/>
      <w:szCs w:val="20"/>
      <w:lang w:eastAsia="en-GB"/>
    </w:rPr>
  </w:style>
  <w:style w:type="paragraph" w:customStyle="1" w:styleId="xl185">
    <w:name w:val="xl185"/>
    <w:basedOn w:val="Normal"/>
    <w:rsid w:val="00891A96"/>
    <w:pPr>
      <w:shd w:val="clear" w:color="auto" w:fill="FFFFFF"/>
      <w:spacing w:before="100" w:beforeAutospacing="1" w:after="100" w:afterAutospacing="1" w:line="240" w:lineRule="auto"/>
    </w:pPr>
    <w:rPr>
      <w:rFonts w:ascii="Times New Roman" w:hAnsi="Times New Roman" w:cs="Times New Roman"/>
      <w:b/>
      <w:bCs/>
      <w:sz w:val="20"/>
      <w:szCs w:val="20"/>
      <w:lang w:eastAsia="en-GB"/>
    </w:rPr>
  </w:style>
  <w:style w:type="paragraph" w:customStyle="1" w:styleId="xl186">
    <w:name w:val="xl186"/>
    <w:basedOn w:val="Normal"/>
    <w:rsid w:val="00891A96"/>
    <w:pPr>
      <w:shd w:val="clear" w:color="auto" w:fill="FFFFFF"/>
      <w:spacing w:before="100" w:beforeAutospacing="1" w:after="100" w:afterAutospacing="1" w:line="240" w:lineRule="auto"/>
      <w:jc w:val="center"/>
    </w:pPr>
    <w:rPr>
      <w:rFonts w:ascii="Times New Roman" w:hAnsi="Times New Roman" w:cs="Times New Roman"/>
      <w:b/>
      <w:bCs/>
      <w:sz w:val="20"/>
      <w:szCs w:val="20"/>
      <w:lang w:eastAsia="en-GB"/>
    </w:rPr>
  </w:style>
  <w:style w:type="paragraph" w:customStyle="1" w:styleId="xl187">
    <w:name w:val="xl187"/>
    <w:basedOn w:val="Normal"/>
    <w:rsid w:val="00891A96"/>
    <w:pPr>
      <w:shd w:val="clear" w:color="auto" w:fill="FFFFFF"/>
      <w:spacing w:before="100" w:beforeAutospacing="1" w:after="100" w:afterAutospacing="1" w:line="240" w:lineRule="auto"/>
      <w:jc w:val="center"/>
    </w:pPr>
    <w:rPr>
      <w:rFonts w:ascii="Times New Roman" w:hAnsi="Times New Roman" w:cs="Times New Roman"/>
      <w:sz w:val="20"/>
      <w:szCs w:val="20"/>
      <w:lang w:eastAsia="en-GB"/>
    </w:rPr>
  </w:style>
  <w:style w:type="paragraph" w:customStyle="1" w:styleId="xl188">
    <w:name w:val="xl188"/>
    <w:basedOn w:val="Normal"/>
    <w:rsid w:val="00891A96"/>
    <w:pPr>
      <w:shd w:val="clear" w:color="auto" w:fill="FFFFFF"/>
      <w:spacing w:before="100" w:beforeAutospacing="1" w:after="100" w:afterAutospacing="1" w:line="240" w:lineRule="auto"/>
      <w:jc w:val="center"/>
    </w:pPr>
    <w:rPr>
      <w:rFonts w:ascii="Times New Roman" w:hAnsi="Times New Roman" w:cs="Times New Roman"/>
      <w:b/>
      <w:bCs/>
      <w:sz w:val="20"/>
      <w:szCs w:val="20"/>
      <w:lang w:eastAsia="en-GB"/>
    </w:rPr>
  </w:style>
  <w:style w:type="paragraph" w:customStyle="1" w:styleId="xl189">
    <w:name w:val="xl189"/>
    <w:basedOn w:val="Normal"/>
    <w:rsid w:val="00891A96"/>
    <w:pPr>
      <w:shd w:val="clear" w:color="auto" w:fill="FFFFFF"/>
      <w:spacing w:before="100" w:beforeAutospacing="1" w:after="100" w:afterAutospacing="1" w:line="240" w:lineRule="auto"/>
      <w:jc w:val="center"/>
    </w:pPr>
    <w:rPr>
      <w:rFonts w:ascii="Times New Roman" w:hAnsi="Times New Roman" w:cs="Times New Roman"/>
      <w:sz w:val="20"/>
      <w:szCs w:val="20"/>
      <w:lang w:eastAsia="en-GB"/>
    </w:rPr>
  </w:style>
  <w:style w:type="paragraph" w:customStyle="1" w:styleId="xl190">
    <w:name w:val="xl190"/>
    <w:basedOn w:val="Normal"/>
    <w:rsid w:val="00891A96"/>
    <w:pPr>
      <w:shd w:val="clear" w:color="auto" w:fill="FFFFFF"/>
      <w:spacing w:before="100" w:beforeAutospacing="1" w:after="100" w:afterAutospacing="1" w:line="240" w:lineRule="auto"/>
      <w:jc w:val="center"/>
    </w:pPr>
    <w:rPr>
      <w:rFonts w:ascii="Times New Roman" w:hAnsi="Times New Roman" w:cs="Times New Roman"/>
      <w:sz w:val="20"/>
      <w:szCs w:val="20"/>
      <w:lang w:eastAsia="en-GB"/>
    </w:rPr>
  </w:style>
  <w:style w:type="paragraph" w:customStyle="1" w:styleId="xl191">
    <w:name w:val="xl191"/>
    <w:basedOn w:val="Normal"/>
    <w:rsid w:val="00891A96"/>
    <w:pPr>
      <w:shd w:val="clear" w:color="auto" w:fill="FFFFFF"/>
      <w:spacing w:before="100" w:beforeAutospacing="1" w:after="100" w:afterAutospacing="1" w:line="240" w:lineRule="auto"/>
      <w:jc w:val="right"/>
    </w:pPr>
    <w:rPr>
      <w:rFonts w:ascii="Times New Roman" w:hAnsi="Times New Roman" w:cs="Times New Roman"/>
      <w:b/>
      <w:bCs/>
      <w:sz w:val="20"/>
      <w:szCs w:val="20"/>
      <w:lang w:eastAsia="en-GB"/>
    </w:rPr>
  </w:style>
  <w:style w:type="paragraph" w:customStyle="1" w:styleId="xl192">
    <w:name w:val="xl192"/>
    <w:basedOn w:val="Normal"/>
    <w:rsid w:val="00891A96"/>
    <w:pPr>
      <w:shd w:val="clear" w:color="auto" w:fill="FFFFFF"/>
      <w:spacing w:before="100" w:beforeAutospacing="1" w:after="100" w:afterAutospacing="1" w:line="240" w:lineRule="auto"/>
      <w:jc w:val="right"/>
    </w:pPr>
    <w:rPr>
      <w:rFonts w:ascii="Times New Roman" w:hAnsi="Times New Roman" w:cs="Times New Roman"/>
      <w:b/>
      <w:bCs/>
      <w:sz w:val="20"/>
      <w:szCs w:val="20"/>
      <w:lang w:eastAsia="en-GB"/>
    </w:rPr>
  </w:style>
  <w:style w:type="paragraph" w:customStyle="1" w:styleId="xl193">
    <w:name w:val="xl193"/>
    <w:basedOn w:val="Normal"/>
    <w:rsid w:val="00891A96"/>
    <w:pPr>
      <w:spacing w:before="100" w:beforeAutospacing="1" w:after="100" w:afterAutospacing="1" w:line="240" w:lineRule="auto"/>
    </w:pPr>
    <w:rPr>
      <w:rFonts w:ascii="Times New Roman" w:hAnsi="Times New Roman" w:cs="Times New Roman"/>
      <w:sz w:val="24"/>
      <w:szCs w:val="24"/>
      <w:lang w:eastAsia="en-GB"/>
    </w:rPr>
  </w:style>
  <w:style w:type="character" w:customStyle="1" w:styleId="emailstyle122">
    <w:name w:val="emailstyle122"/>
    <w:basedOn w:val="DefaultParagraphFont"/>
    <w:semiHidden/>
    <w:rsid w:val="00891A96"/>
    <w:rPr>
      <w:rFonts w:ascii="Arial" w:hAnsi="Arial" w:cs="Arial" w:hint="default"/>
      <w:b w:val="0"/>
      <w:bCs w:val="0"/>
      <w:i w:val="0"/>
      <w:iCs w:val="0"/>
      <w:color w:val="auto"/>
    </w:rPr>
  </w:style>
  <w:style w:type="paragraph" w:styleId="ListBullet2">
    <w:name w:val="List Bullet 2"/>
    <w:basedOn w:val="Normal"/>
    <w:uiPriority w:val="1"/>
    <w:semiHidden/>
    <w:unhideWhenUsed/>
    <w:qFormat/>
    <w:rsid w:val="00891A96"/>
    <w:pPr>
      <w:tabs>
        <w:tab w:val="num" w:pos="567"/>
      </w:tabs>
      <w:spacing w:after="120" w:line="240" w:lineRule="atLeast"/>
      <w:ind w:left="567" w:hanging="283"/>
    </w:pPr>
    <w:rPr>
      <w:rFonts w:eastAsia="Times New Roman" w:cs="Times New Roman"/>
      <w:sz w:val="18"/>
      <w:szCs w:val="18"/>
    </w:rPr>
  </w:style>
  <w:style w:type="paragraph" w:styleId="ListBullet3">
    <w:name w:val="List Bullet 3"/>
    <w:basedOn w:val="Normal"/>
    <w:uiPriority w:val="1"/>
    <w:semiHidden/>
    <w:unhideWhenUsed/>
    <w:qFormat/>
    <w:rsid w:val="00891A96"/>
    <w:pPr>
      <w:tabs>
        <w:tab w:val="num" w:pos="851"/>
      </w:tabs>
      <w:spacing w:after="120" w:line="240" w:lineRule="atLeast"/>
      <w:ind w:left="851" w:hanging="284"/>
    </w:pPr>
    <w:rPr>
      <w:rFonts w:eastAsia="Times New Roman" w:cs="Times New Roman"/>
      <w:sz w:val="18"/>
      <w:szCs w:val="18"/>
    </w:rPr>
  </w:style>
  <w:style w:type="numbering" w:customStyle="1" w:styleId="GTListBullet">
    <w:name w:val="GT List Bullet"/>
    <w:uiPriority w:val="99"/>
    <w:rsid w:val="00891A96"/>
    <w:pPr>
      <w:numPr>
        <w:numId w:val="22"/>
      </w:numPr>
    </w:pPr>
  </w:style>
  <w:style w:type="paragraph" w:customStyle="1" w:styleId="Pa0">
    <w:name w:val="Pa0"/>
    <w:basedOn w:val="Default"/>
    <w:next w:val="Default"/>
    <w:uiPriority w:val="99"/>
    <w:rsid w:val="00891A96"/>
    <w:pPr>
      <w:spacing w:line="241" w:lineRule="atLeast"/>
    </w:pPr>
    <w:rPr>
      <w:rFonts w:ascii="FS Lola" w:hAnsi="FS Lola" w:cs="Times New Roman"/>
      <w:color w:val="auto"/>
    </w:rPr>
  </w:style>
  <w:style w:type="character" w:customStyle="1" w:styleId="A6">
    <w:name w:val="A6"/>
    <w:uiPriority w:val="99"/>
    <w:rsid w:val="00891A96"/>
    <w:rPr>
      <w:rFonts w:cs="FS Lola"/>
      <w:color w:val="000000"/>
      <w:sz w:val="18"/>
      <w:szCs w:val="18"/>
    </w:rPr>
  </w:style>
  <w:style w:type="paragraph" w:customStyle="1" w:styleId="Pa19">
    <w:name w:val="Pa19"/>
    <w:basedOn w:val="Normal"/>
    <w:next w:val="Normal"/>
    <w:uiPriority w:val="99"/>
    <w:rsid w:val="00891A96"/>
    <w:pPr>
      <w:autoSpaceDE w:val="0"/>
      <w:autoSpaceDN w:val="0"/>
      <w:adjustRightInd w:val="0"/>
      <w:spacing w:after="0" w:line="231" w:lineRule="atLeast"/>
    </w:pPr>
    <w:rPr>
      <w:rFonts w:ascii="FS Lola" w:hAnsi="FS Lola"/>
      <w:sz w:val="24"/>
      <w:szCs w:val="24"/>
    </w:rPr>
  </w:style>
  <w:style w:type="paragraph" w:customStyle="1" w:styleId="Pa17">
    <w:name w:val="Pa17"/>
    <w:basedOn w:val="Normal"/>
    <w:next w:val="Normal"/>
    <w:uiPriority w:val="99"/>
    <w:rsid w:val="00891A96"/>
    <w:pPr>
      <w:autoSpaceDE w:val="0"/>
      <w:autoSpaceDN w:val="0"/>
      <w:adjustRightInd w:val="0"/>
      <w:spacing w:after="0" w:line="231" w:lineRule="atLeast"/>
    </w:pPr>
    <w:rPr>
      <w:rFonts w:ascii="FS Lola" w:hAnsi="FS Lola"/>
      <w:sz w:val="24"/>
      <w:szCs w:val="24"/>
    </w:rPr>
  </w:style>
  <w:style w:type="character" w:customStyle="1" w:styleId="A11">
    <w:name w:val="A11"/>
    <w:uiPriority w:val="99"/>
    <w:rsid w:val="00891A96"/>
    <w:rPr>
      <w:rFonts w:ascii="FS Lola ExtraBold" w:hAnsi="FS Lola ExtraBold" w:cs="FS Lola ExtraBold"/>
      <w:b/>
      <w:bCs/>
      <w:color w:val="000000"/>
      <w:sz w:val="18"/>
      <w:szCs w:val="18"/>
    </w:rPr>
  </w:style>
  <w:style w:type="paragraph" w:customStyle="1" w:styleId="Pa9">
    <w:name w:val="Pa9"/>
    <w:basedOn w:val="Normal"/>
    <w:next w:val="Normal"/>
    <w:uiPriority w:val="99"/>
    <w:rsid w:val="00891A96"/>
    <w:pPr>
      <w:autoSpaceDE w:val="0"/>
      <w:autoSpaceDN w:val="0"/>
      <w:adjustRightInd w:val="0"/>
      <w:spacing w:after="0" w:line="231" w:lineRule="atLeast"/>
    </w:pPr>
    <w:rPr>
      <w:rFonts w:ascii="FS Lola" w:hAnsi="FS Lola"/>
      <w:sz w:val="24"/>
      <w:szCs w:val="24"/>
    </w:rPr>
  </w:style>
  <w:style w:type="character" w:styleId="IntenseEmphasis">
    <w:name w:val="Intense Emphasis"/>
    <w:basedOn w:val="DefaultParagraphFont"/>
    <w:uiPriority w:val="21"/>
    <w:qFormat/>
    <w:rsid w:val="00891A96"/>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675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Documents%20and%20Settings\Documents%20and%20Settings\Kastur.Varsani\Local%20Settings\Temporary%20Internet%20Files\Content.MSO\78E98ECD.xlsx" TargetMode="External"/><Relationship Id="rId5" Type="http://schemas.openxmlformats.org/officeDocument/2006/relationships/webSettings" Target="webSettings.xml"/><Relationship Id="rId10" Type="http://schemas.openxmlformats.org/officeDocument/2006/relationships/hyperlink" Target="file:///C:\Documents%20and%20Settings\Documents%20and%20Settings\Kastur.Varsani\Local%20Settings\Temporary%20Internet%20Files\Content.MSO\78E98ECD.xlsx"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03F959-2FFC-4C6A-8914-60E63E02E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32900844</Template>
  <TotalTime>12</TotalTime>
  <Pages>170</Pages>
  <Words>42553</Words>
  <Characters>242556</Characters>
  <Application>Microsoft Office Word</Application>
  <DocSecurity>0</DocSecurity>
  <Lines>2021</Lines>
  <Paragraphs>569</Paragraphs>
  <ScaleCrop>false</ScaleCrop>
  <HeadingPairs>
    <vt:vector size="2" baseType="variant">
      <vt:variant>
        <vt:lpstr>Title</vt:lpstr>
      </vt:variant>
      <vt:variant>
        <vt:i4>1</vt:i4>
      </vt:variant>
    </vt:vector>
  </HeadingPairs>
  <TitlesOfParts>
    <vt:vector size="1" baseType="lpstr">
      <vt:lpstr/>
    </vt:vector>
  </TitlesOfParts>
  <Company>London Borough of Brent</Company>
  <LinksUpToDate>false</LinksUpToDate>
  <CharactersWithSpaces>284540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Tang, Sin Yee</dc:creator>
  <cp:keywords/>
  <dc:description/>
  <cp:lastModifiedBy>Tang, Sin Yee</cp:lastModifiedBy>
  <cp:revision>4</cp:revision>
  <dcterms:created xsi:type="dcterms:W3CDTF">2021-01-18T13:29:00Z</dcterms:created>
  <dcterms:modified xsi:type="dcterms:W3CDTF">2021-01-18T13:57:00Z</dcterms:modified>
</cp:coreProperties>
</file>